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DAC10" w14:textId="45E00CBB" w:rsidR="00E47457" w:rsidRPr="008C1E5F" w:rsidRDefault="00030B72" w:rsidP="00B4170D">
      <w:pPr>
        <w:pStyle w:val="Heading1"/>
      </w:pPr>
      <w:bookmarkStart w:id="0" w:name="_Toc195024196"/>
      <w:r w:rsidRPr="008C1E5F">
        <w:t>Fall River</w:t>
      </w:r>
      <w:r w:rsidR="00CE0FF0" w:rsidRPr="008C1E5F">
        <w:t xml:space="preserve"> Public Schools</w:t>
      </w:r>
      <w:bookmarkEnd w:id="0"/>
    </w:p>
    <w:p w14:paraId="7F1243B7" w14:textId="0BA27B5F" w:rsidR="008E314D" w:rsidRPr="008C1E5F" w:rsidRDefault="00FD0F0A" w:rsidP="00457876">
      <w:pPr>
        <w:pStyle w:val="Titlepagesubheading"/>
      </w:pPr>
      <w:bookmarkStart w:id="1" w:name="_Hlk101983091"/>
      <w:r w:rsidRPr="008C1E5F">
        <w:t xml:space="preserve">Comprehensive </w:t>
      </w:r>
      <w:r w:rsidR="008E314D" w:rsidRPr="008C1E5F">
        <w:t>District Review Report</w:t>
      </w:r>
      <w:bookmarkEnd w:id="1"/>
      <w:r w:rsidR="008E314D" w:rsidRPr="008C1E5F">
        <w:t xml:space="preserve"> </w:t>
      </w:r>
    </w:p>
    <w:p w14:paraId="3575704A" w14:textId="05774ACB" w:rsidR="008E314D" w:rsidRPr="008C1E5F" w:rsidRDefault="00030B72" w:rsidP="00457876">
      <w:pPr>
        <w:pStyle w:val="Titlepagedate"/>
      </w:pPr>
      <w:r w:rsidRPr="008C1E5F">
        <w:t>November</w:t>
      </w:r>
      <w:r w:rsidR="00510CFD" w:rsidRPr="008C1E5F">
        <w:t xml:space="preserve"> </w:t>
      </w:r>
      <w:r w:rsidR="00D84CF0" w:rsidRPr="008C1E5F">
        <w:t>20</w:t>
      </w:r>
      <w:r w:rsidRPr="008C1E5F">
        <w:t>24</w:t>
      </w:r>
    </w:p>
    <w:p w14:paraId="0DB0F0E7" w14:textId="77777777" w:rsidR="00A95BAB" w:rsidRPr="008C1E5F"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Pr="008C1E5F"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Pr="008C1E5F"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Pr="008C1E5F"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Pr="008C1E5F"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Pr="008C1E5F"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8C1E5F" w:rsidRDefault="4DF0ADFC" w:rsidP="00457876">
      <w:pPr>
        <w:pStyle w:val="Titlepageorganization"/>
      </w:pPr>
      <w:r w:rsidRPr="008C1E5F">
        <w:t>Massachusetts Department of Elementary and Secondary Education</w:t>
      </w:r>
    </w:p>
    <w:p w14:paraId="7AB2F13C" w14:textId="0DB8189D" w:rsidR="14BBBE3B" w:rsidRPr="008C1E5F" w:rsidRDefault="14BBBE3B" w:rsidP="00457876">
      <w:pPr>
        <w:pStyle w:val="Titlepagetext14pt"/>
      </w:pPr>
      <w:r w:rsidRPr="008C1E5F">
        <w:t>Office of District Reviews and Monitoring</w:t>
      </w:r>
    </w:p>
    <w:p w14:paraId="5DC820FA" w14:textId="5046D58B" w:rsidR="26918BE0" w:rsidRPr="008C1E5F" w:rsidRDefault="00E34155" w:rsidP="00457876">
      <w:pPr>
        <w:pStyle w:val="Titlepagetext10pt"/>
      </w:pPr>
      <w:r w:rsidRPr="008C1E5F">
        <w:t>135 Santilli Highway</w:t>
      </w:r>
    </w:p>
    <w:p w14:paraId="6DA8D26D" w14:textId="3BBEE20E" w:rsidR="26918BE0" w:rsidRPr="008C1E5F" w:rsidRDefault="00E34155" w:rsidP="00457876">
      <w:pPr>
        <w:pStyle w:val="Titlepagetext10pt"/>
      </w:pPr>
      <w:r w:rsidRPr="008C1E5F">
        <w:t>Everett</w:t>
      </w:r>
      <w:r w:rsidR="26918BE0" w:rsidRPr="008C1E5F">
        <w:t xml:space="preserve">, MA </w:t>
      </w:r>
      <w:r w:rsidR="001B2E5F" w:rsidRPr="008C1E5F">
        <w:t>02149</w:t>
      </w:r>
    </w:p>
    <w:p w14:paraId="7CA72F40" w14:textId="4A091369" w:rsidR="26918BE0" w:rsidRPr="008C1E5F" w:rsidRDefault="26918BE0" w:rsidP="00457876">
      <w:pPr>
        <w:pStyle w:val="Titlepagetext10pt"/>
      </w:pPr>
      <w:r w:rsidRPr="008C1E5F">
        <w:t>781-338-3000</w:t>
      </w:r>
    </w:p>
    <w:p w14:paraId="33E67B60" w14:textId="7BE75C45" w:rsidR="26918BE0" w:rsidRPr="008C1E5F" w:rsidRDefault="26918BE0" w:rsidP="00457876">
      <w:pPr>
        <w:pStyle w:val="Titlepagetext10pt"/>
        <w:rPr>
          <w:rFonts w:eastAsia="Calibri" w:cs="Arial"/>
          <w:b/>
          <w:bCs/>
        </w:rPr>
      </w:pPr>
      <w:hyperlink r:id="rId11" w:history="1">
        <w:r w:rsidRPr="008C1E5F">
          <w:t>www.doe.mass.edu</w:t>
        </w:r>
      </w:hyperlink>
    </w:p>
    <w:p w14:paraId="6719BDA7" w14:textId="77777777" w:rsidR="00B048BD" w:rsidRPr="008C1E5F"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Pr="008C1E5F"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8C1E5F" w:rsidRDefault="00E64C7A" w:rsidP="00457876">
      <w:pPr>
        <w:pStyle w:val="Titlepageorganization"/>
      </w:pPr>
      <w:r w:rsidRPr="008C1E5F">
        <w:t>American Institutes for Research</w:t>
      </w:r>
    </w:p>
    <w:p w14:paraId="7AF9AAE1" w14:textId="1F5EF69F" w:rsidR="00D67779" w:rsidRPr="008C1E5F" w:rsidRDefault="00D67779" w:rsidP="00457876">
      <w:pPr>
        <w:pStyle w:val="Titlepagetext14pt"/>
      </w:pPr>
      <w:r w:rsidRPr="008C1E5F">
        <w:t xml:space="preserve">Education Systems and Policy </w:t>
      </w:r>
    </w:p>
    <w:p w14:paraId="75CD3090" w14:textId="77777777" w:rsidR="008415C9" w:rsidRPr="008C1E5F" w:rsidRDefault="008415C9" w:rsidP="00457876">
      <w:pPr>
        <w:pStyle w:val="Titlepagetext10pt"/>
      </w:pPr>
      <w:r w:rsidRPr="008C1E5F">
        <w:rPr>
          <w:shd w:val="clear" w:color="auto" w:fill="FFFFFF"/>
        </w:rPr>
        <w:t>201 Jones Road, Suite 100</w:t>
      </w:r>
      <w:r w:rsidRPr="008C1E5F">
        <w:br/>
      </w:r>
      <w:r w:rsidRPr="008C1E5F">
        <w:rPr>
          <w:shd w:val="clear" w:color="auto" w:fill="FFFFFF"/>
        </w:rPr>
        <w:t>Waltham, MA 02451</w:t>
      </w:r>
      <w:r w:rsidRPr="008C1E5F" w:rsidDel="00281957">
        <w:t xml:space="preserve"> </w:t>
      </w:r>
    </w:p>
    <w:p w14:paraId="2A326DCB" w14:textId="23BDDE59" w:rsidR="00144555" w:rsidRPr="008C1E5F" w:rsidRDefault="00144555" w:rsidP="00457876">
      <w:pPr>
        <w:pStyle w:val="Titlepagetext10pt"/>
      </w:pPr>
      <w:r w:rsidRPr="008C1E5F">
        <w:t>202</w:t>
      </w:r>
      <w:r w:rsidR="006D04CC" w:rsidRPr="008C1E5F">
        <w:t>-</w:t>
      </w:r>
      <w:r w:rsidRPr="008C1E5F">
        <w:t xml:space="preserve">403-5000 </w:t>
      </w:r>
    </w:p>
    <w:p w14:paraId="5CEDCF71" w14:textId="446BE90E" w:rsidR="002025EB" w:rsidRPr="008C1E5F" w:rsidRDefault="002025EB" w:rsidP="00457876">
      <w:pPr>
        <w:pStyle w:val="Titlepagetext10pt"/>
      </w:pPr>
      <w:hyperlink r:id="rId12" w:history="1">
        <w:r w:rsidRPr="008C1E5F">
          <w:rPr>
            <w:rStyle w:val="Hyperlink"/>
          </w:rPr>
          <w:t>www.air.org</w:t>
        </w:r>
      </w:hyperlink>
    </w:p>
    <w:p w14:paraId="12EB57D0" w14:textId="77777777" w:rsidR="0047019E" w:rsidRPr="008C1E5F"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EFE101B" w14:textId="77777777" w:rsidR="0047019E" w:rsidRPr="008C1E5F"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2D2669DF" w14:textId="77777777" w:rsidR="0047019E" w:rsidRPr="008C1E5F"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4E714ED6" w14:textId="77777777" w:rsidR="0047019E" w:rsidRPr="008C1E5F"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Pr="008C1E5F"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CC894CE" w14:textId="77777777" w:rsidR="0047019E" w:rsidRPr="008C1E5F"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10D768D" w14:textId="77777777" w:rsidR="0047019E" w:rsidRPr="008C1E5F"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2599213" w14:textId="77777777" w:rsidR="0047019E" w:rsidRPr="008C1E5F"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Pr="008C1E5F"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Pr="008C1E5F"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8C1E5F" w:rsidRDefault="002025EB" w:rsidP="00457876">
      <w:pPr>
        <w:tabs>
          <w:tab w:val="right" w:pos="9090"/>
        </w:tabs>
        <w:ind w:right="90"/>
        <w:rPr>
          <w:b/>
          <w:bCs/>
          <w:sz w:val="28"/>
          <w:szCs w:val="28"/>
        </w:rPr>
      </w:pPr>
      <w:r w:rsidRPr="008C1E5F">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sidRPr="008C1E5F">
        <w:rPr>
          <w:b/>
          <w:bCs/>
          <w:sz w:val="28"/>
          <w:szCs w:val="28"/>
        </w:rPr>
        <w:tab/>
      </w:r>
      <w:r w:rsidR="00457876" w:rsidRPr="008C1E5F">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8C1E5F">
        <w:rPr>
          <w:b/>
          <w:bCs/>
          <w:sz w:val="28"/>
          <w:szCs w:val="28"/>
        </w:rPr>
        <w:br w:type="page"/>
      </w:r>
    </w:p>
    <w:p w14:paraId="224357F6" w14:textId="26DBFA6B" w:rsidR="008E314D" w:rsidRPr="008C1E5F" w:rsidRDefault="00D84CF0" w:rsidP="0055077E">
      <w:pPr>
        <w:pStyle w:val="TOCHeading"/>
      </w:pPr>
      <w:r w:rsidRPr="008C1E5F">
        <w:lastRenderedPageBreak/>
        <w:t>Contents</w:t>
      </w:r>
    </w:p>
    <w:p w14:paraId="59B8DB91" w14:textId="1D8E98A0" w:rsidR="00305BFA" w:rsidRPr="008C1E5F" w:rsidRDefault="002E7525">
      <w:pPr>
        <w:pStyle w:val="TOC1"/>
        <w:tabs>
          <w:tab w:val="right" w:leader="dot" w:pos="9350"/>
        </w:tabs>
        <w:rPr>
          <w:rFonts w:eastAsiaTheme="minorEastAsia"/>
          <w:noProof/>
          <w:kern w:val="2"/>
          <w:sz w:val="24"/>
          <w:szCs w:val="24"/>
          <w14:ligatures w14:val="standardContextual"/>
        </w:rPr>
      </w:pPr>
      <w:r w:rsidRPr="008C1E5F">
        <w:rPr>
          <w:sz w:val="20"/>
          <w:szCs w:val="20"/>
        </w:rPr>
        <w:fldChar w:fldCharType="begin"/>
      </w:r>
      <w:r w:rsidRPr="008C1E5F">
        <w:rPr>
          <w:sz w:val="20"/>
          <w:szCs w:val="20"/>
        </w:rPr>
        <w:instrText xml:space="preserve"> TOC \h \z \t "Heading 2,1" </w:instrText>
      </w:r>
      <w:r w:rsidRPr="008C1E5F">
        <w:rPr>
          <w:sz w:val="20"/>
          <w:szCs w:val="20"/>
        </w:rPr>
        <w:fldChar w:fldCharType="separate"/>
      </w:r>
      <w:hyperlink w:anchor="_Toc190886734" w:history="1">
        <w:r w:rsidR="00305BFA" w:rsidRPr="008C1E5F">
          <w:rPr>
            <w:rStyle w:val="Hyperlink"/>
            <w:noProof/>
          </w:rPr>
          <w:t>Executive Summary</w:t>
        </w:r>
        <w:r w:rsidR="00305BFA" w:rsidRPr="008C1E5F">
          <w:rPr>
            <w:noProof/>
            <w:webHidden/>
          </w:rPr>
          <w:tab/>
        </w:r>
        <w:r w:rsidR="00305BFA" w:rsidRPr="008C1E5F">
          <w:rPr>
            <w:noProof/>
            <w:webHidden/>
          </w:rPr>
          <w:fldChar w:fldCharType="begin"/>
        </w:r>
        <w:r w:rsidR="00305BFA" w:rsidRPr="008C1E5F">
          <w:rPr>
            <w:noProof/>
            <w:webHidden/>
          </w:rPr>
          <w:instrText xml:space="preserve"> PAGEREF _Toc190886734 \h </w:instrText>
        </w:r>
        <w:r w:rsidR="00305BFA" w:rsidRPr="008C1E5F">
          <w:rPr>
            <w:noProof/>
            <w:webHidden/>
          </w:rPr>
        </w:r>
        <w:r w:rsidR="00305BFA" w:rsidRPr="008C1E5F">
          <w:rPr>
            <w:noProof/>
            <w:webHidden/>
          </w:rPr>
          <w:fldChar w:fldCharType="separate"/>
        </w:r>
        <w:r w:rsidR="002146D0">
          <w:rPr>
            <w:noProof/>
            <w:webHidden/>
          </w:rPr>
          <w:t>1</w:t>
        </w:r>
        <w:r w:rsidR="00305BFA" w:rsidRPr="008C1E5F">
          <w:rPr>
            <w:noProof/>
            <w:webHidden/>
          </w:rPr>
          <w:fldChar w:fldCharType="end"/>
        </w:r>
      </w:hyperlink>
    </w:p>
    <w:p w14:paraId="23CC3F3E" w14:textId="5906DDDF" w:rsidR="00305BFA" w:rsidRPr="008C1E5F" w:rsidRDefault="00305BFA">
      <w:pPr>
        <w:pStyle w:val="TOC1"/>
        <w:tabs>
          <w:tab w:val="right" w:leader="dot" w:pos="9350"/>
        </w:tabs>
        <w:rPr>
          <w:rFonts w:eastAsiaTheme="minorEastAsia"/>
          <w:noProof/>
          <w:kern w:val="2"/>
          <w:sz w:val="24"/>
          <w:szCs w:val="24"/>
          <w14:ligatures w14:val="standardContextual"/>
        </w:rPr>
      </w:pPr>
      <w:hyperlink w:anchor="_Toc190886735" w:history="1">
        <w:r w:rsidRPr="008C1E5F">
          <w:rPr>
            <w:rStyle w:val="Hyperlink"/>
            <w:noProof/>
          </w:rPr>
          <w:t>Fall River Public Schools: District Review Overview</w:t>
        </w:r>
        <w:r w:rsidRPr="008C1E5F">
          <w:rPr>
            <w:noProof/>
            <w:webHidden/>
          </w:rPr>
          <w:tab/>
        </w:r>
        <w:r w:rsidRPr="008C1E5F">
          <w:rPr>
            <w:noProof/>
            <w:webHidden/>
          </w:rPr>
          <w:fldChar w:fldCharType="begin"/>
        </w:r>
        <w:r w:rsidRPr="008C1E5F">
          <w:rPr>
            <w:noProof/>
            <w:webHidden/>
          </w:rPr>
          <w:instrText xml:space="preserve"> PAGEREF _Toc190886735 \h </w:instrText>
        </w:r>
        <w:r w:rsidRPr="008C1E5F">
          <w:rPr>
            <w:noProof/>
            <w:webHidden/>
          </w:rPr>
        </w:r>
        <w:r w:rsidRPr="008C1E5F">
          <w:rPr>
            <w:noProof/>
            <w:webHidden/>
          </w:rPr>
          <w:fldChar w:fldCharType="separate"/>
        </w:r>
        <w:r w:rsidR="002146D0">
          <w:rPr>
            <w:noProof/>
            <w:webHidden/>
          </w:rPr>
          <w:t>6</w:t>
        </w:r>
        <w:r w:rsidRPr="008C1E5F">
          <w:rPr>
            <w:noProof/>
            <w:webHidden/>
          </w:rPr>
          <w:fldChar w:fldCharType="end"/>
        </w:r>
      </w:hyperlink>
    </w:p>
    <w:p w14:paraId="6DA2E0C6" w14:textId="09726F34" w:rsidR="00305BFA" w:rsidRPr="008C1E5F" w:rsidRDefault="00305BFA">
      <w:pPr>
        <w:pStyle w:val="TOC1"/>
        <w:tabs>
          <w:tab w:val="right" w:leader="dot" w:pos="9350"/>
        </w:tabs>
        <w:rPr>
          <w:rFonts w:eastAsiaTheme="minorEastAsia"/>
          <w:noProof/>
          <w:kern w:val="2"/>
          <w:sz w:val="24"/>
          <w:szCs w:val="24"/>
          <w14:ligatures w14:val="standardContextual"/>
        </w:rPr>
      </w:pPr>
      <w:hyperlink w:anchor="_Toc190886736" w:history="1">
        <w:r w:rsidRPr="008C1E5F">
          <w:rPr>
            <w:rStyle w:val="Hyperlink"/>
            <w:noProof/>
          </w:rPr>
          <w:t>Leadership and Governance</w:t>
        </w:r>
        <w:r w:rsidRPr="008C1E5F">
          <w:rPr>
            <w:noProof/>
            <w:webHidden/>
          </w:rPr>
          <w:tab/>
        </w:r>
        <w:r w:rsidRPr="008C1E5F">
          <w:rPr>
            <w:noProof/>
            <w:webHidden/>
          </w:rPr>
          <w:fldChar w:fldCharType="begin"/>
        </w:r>
        <w:r w:rsidRPr="008C1E5F">
          <w:rPr>
            <w:noProof/>
            <w:webHidden/>
          </w:rPr>
          <w:instrText xml:space="preserve"> PAGEREF _Toc190886736 \h </w:instrText>
        </w:r>
        <w:r w:rsidRPr="008C1E5F">
          <w:rPr>
            <w:noProof/>
            <w:webHidden/>
          </w:rPr>
        </w:r>
        <w:r w:rsidRPr="008C1E5F">
          <w:rPr>
            <w:noProof/>
            <w:webHidden/>
          </w:rPr>
          <w:fldChar w:fldCharType="separate"/>
        </w:r>
        <w:r w:rsidR="002146D0">
          <w:rPr>
            <w:noProof/>
            <w:webHidden/>
          </w:rPr>
          <w:t>13</w:t>
        </w:r>
        <w:r w:rsidRPr="008C1E5F">
          <w:rPr>
            <w:noProof/>
            <w:webHidden/>
          </w:rPr>
          <w:fldChar w:fldCharType="end"/>
        </w:r>
      </w:hyperlink>
    </w:p>
    <w:p w14:paraId="1C95EF10" w14:textId="10DCC270" w:rsidR="00305BFA" w:rsidRPr="008C1E5F" w:rsidRDefault="00305BFA">
      <w:pPr>
        <w:pStyle w:val="TOC1"/>
        <w:tabs>
          <w:tab w:val="right" w:leader="dot" w:pos="9350"/>
        </w:tabs>
        <w:rPr>
          <w:rFonts w:eastAsiaTheme="minorEastAsia"/>
          <w:noProof/>
          <w:kern w:val="2"/>
          <w:sz w:val="24"/>
          <w:szCs w:val="24"/>
          <w14:ligatures w14:val="standardContextual"/>
        </w:rPr>
      </w:pPr>
      <w:hyperlink w:anchor="_Toc190886737" w:history="1">
        <w:r w:rsidRPr="008C1E5F">
          <w:rPr>
            <w:rStyle w:val="Hyperlink"/>
            <w:noProof/>
          </w:rPr>
          <w:t>Curriculum and Instruction</w:t>
        </w:r>
        <w:r w:rsidRPr="008C1E5F">
          <w:rPr>
            <w:noProof/>
            <w:webHidden/>
          </w:rPr>
          <w:tab/>
        </w:r>
        <w:r w:rsidRPr="008C1E5F">
          <w:rPr>
            <w:noProof/>
            <w:webHidden/>
          </w:rPr>
          <w:fldChar w:fldCharType="begin"/>
        </w:r>
        <w:r w:rsidRPr="008C1E5F">
          <w:rPr>
            <w:noProof/>
            <w:webHidden/>
          </w:rPr>
          <w:instrText xml:space="preserve"> PAGEREF _Toc190886737 \h </w:instrText>
        </w:r>
        <w:r w:rsidRPr="008C1E5F">
          <w:rPr>
            <w:noProof/>
            <w:webHidden/>
          </w:rPr>
        </w:r>
        <w:r w:rsidRPr="008C1E5F">
          <w:rPr>
            <w:noProof/>
            <w:webHidden/>
          </w:rPr>
          <w:fldChar w:fldCharType="separate"/>
        </w:r>
        <w:r w:rsidR="002146D0">
          <w:rPr>
            <w:noProof/>
            <w:webHidden/>
          </w:rPr>
          <w:t>20</w:t>
        </w:r>
        <w:r w:rsidRPr="008C1E5F">
          <w:rPr>
            <w:noProof/>
            <w:webHidden/>
          </w:rPr>
          <w:fldChar w:fldCharType="end"/>
        </w:r>
      </w:hyperlink>
    </w:p>
    <w:p w14:paraId="3F00F847" w14:textId="383D6A81" w:rsidR="00305BFA" w:rsidRPr="008C1E5F" w:rsidRDefault="00305BFA">
      <w:pPr>
        <w:pStyle w:val="TOC1"/>
        <w:tabs>
          <w:tab w:val="right" w:leader="dot" w:pos="9350"/>
        </w:tabs>
        <w:rPr>
          <w:rFonts w:eastAsiaTheme="minorEastAsia"/>
          <w:noProof/>
          <w:kern w:val="2"/>
          <w:sz w:val="24"/>
          <w:szCs w:val="24"/>
          <w14:ligatures w14:val="standardContextual"/>
        </w:rPr>
      </w:pPr>
      <w:hyperlink w:anchor="_Toc190886738" w:history="1">
        <w:r w:rsidRPr="008C1E5F">
          <w:rPr>
            <w:rStyle w:val="Hyperlink"/>
            <w:noProof/>
          </w:rPr>
          <w:t>Assessment</w:t>
        </w:r>
        <w:r w:rsidRPr="008C1E5F">
          <w:rPr>
            <w:noProof/>
            <w:webHidden/>
          </w:rPr>
          <w:tab/>
        </w:r>
        <w:r w:rsidRPr="008C1E5F">
          <w:rPr>
            <w:noProof/>
            <w:webHidden/>
          </w:rPr>
          <w:fldChar w:fldCharType="begin"/>
        </w:r>
        <w:r w:rsidRPr="008C1E5F">
          <w:rPr>
            <w:noProof/>
            <w:webHidden/>
          </w:rPr>
          <w:instrText xml:space="preserve"> PAGEREF _Toc190886738 \h </w:instrText>
        </w:r>
        <w:r w:rsidRPr="008C1E5F">
          <w:rPr>
            <w:noProof/>
            <w:webHidden/>
          </w:rPr>
        </w:r>
        <w:r w:rsidRPr="008C1E5F">
          <w:rPr>
            <w:noProof/>
            <w:webHidden/>
          </w:rPr>
          <w:fldChar w:fldCharType="separate"/>
        </w:r>
        <w:r w:rsidR="002146D0">
          <w:rPr>
            <w:noProof/>
            <w:webHidden/>
          </w:rPr>
          <w:t>30</w:t>
        </w:r>
        <w:r w:rsidRPr="008C1E5F">
          <w:rPr>
            <w:noProof/>
            <w:webHidden/>
          </w:rPr>
          <w:fldChar w:fldCharType="end"/>
        </w:r>
      </w:hyperlink>
    </w:p>
    <w:p w14:paraId="23418FDD" w14:textId="44AAB6C9" w:rsidR="00305BFA" w:rsidRPr="008C1E5F" w:rsidRDefault="00305BFA">
      <w:pPr>
        <w:pStyle w:val="TOC1"/>
        <w:tabs>
          <w:tab w:val="right" w:leader="dot" w:pos="9350"/>
        </w:tabs>
        <w:rPr>
          <w:rFonts w:eastAsiaTheme="minorEastAsia"/>
          <w:noProof/>
          <w:kern w:val="2"/>
          <w:sz w:val="24"/>
          <w:szCs w:val="24"/>
          <w14:ligatures w14:val="standardContextual"/>
        </w:rPr>
      </w:pPr>
      <w:hyperlink w:anchor="_Toc190886739" w:history="1">
        <w:r w:rsidRPr="008C1E5F">
          <w:rPr>
            <w:rStyle w:val="Hyperlink"/>
            <w:noProof/>
          </w:rPr>
          <w:t>Human Resources and Professional Development</w:t>
        </w:r>
        <w:r w:rsidRPr="008C1E5F">
          <w:rPr>
            <w:noProof/>
            <w:webHidden/>
          </w:rPr>
          <w:tab/>
        </w:r>
        <w:r w:rsidRPr="008C1E5F">
          <w:rPr>
            <w:noProof/>
            <w:webHidden/>
          </w:rPr>
          <w:fldChar w:fldCharType="begin"/>
        </w:r>
        <w:r w:rsidRPr="008C1E5F">
          <w:rPr>
            <w:noProof/>
            <w:webHidden/>
          </w:rPr>
          <w:instrText xml:space="preserve"> PAGEREF _Toc190886739 \h </w:instrText>
        </w:r>
        <w:r w:rsidRPr="008C1E5F">
          <w:rPr>
            <w:noProof/>
            <w:webHidden/>
          </w:rPr>
        </w:r>
        <w:r w:rsidRPr="008C1E5F">
          <w:rPr>
            <w:noProof/>
            <w:webHidden/>
          </w:rPr>
          <w:fldChar w:fldCharType="separate"/>
        </w:r>
        <w:r w:rsidR="002146D0">
          <w:rPr>
            <w:noProof/>
            <w:webHidden/>
          </w:rPr>
          <w:t>36</w:t>
        </w:r>
        <w:r w:rsidRPr="008C1E5F">
          <w:rPr>
            <w:noProof/>
            <w:webHidden/>
          </w:rPr>
          <w:fldChar w:fldCharType="end"/>
        </w:r>
      </w:hyperlink>
    </w:p>
    <w:p w14:paraId="2538E37C" w14:textId="492525D5" w:rsidR="00305BFA" w:rsidRPr="008C1E5F" w:rsidRDefault="00305BFA">
      <w:pPr>
        <w:pStyle w:val="TOC1"/>
        <w:tabs>
          <w:tab w:val="right" w:leader="dot" w:pos="9350"/>
        </w:tabs>
        <w:rPr>
          <w:rFonts w:eastAsiaTheme="minorEastAsia"/>
          <w:noProof/>
          <w:kern w:val="2"/>
          <w:sz w:val="24"/>
          <w:szCs w:val="24"/>
          <w14:ligatures w14:val="standardContextual"/>
        </w:rPr>
      </w:pPr>
      <w:hyperlink w:anchor="_Toc190886740" w:history="1">
        <w:r w:rsidRPr="008C1E5F">
          <w:rPr>
            <w:rStyle w:val="Hyperlink"/>
            <w:noProof/>
          </w:rPr>
          <w:t>Student Support</w:t>
        </w:r>
        <w:r w:rsidRPr="008C1E5F">
          <w:rPr>
            <w:noProof/>
            <w:webHidden/>
          </w:rPr>
          <w:tab/>
        </w:r>
        <w:r w:rsidRPr="008C1E5F">
          <w:rPr>
            <w:noProof/>
            <w:webHidden/>
          </w:rPr>
          <w:fldChar w:fldCharType="begin"/>
        </w:r>
        <w:r w:rsidRPr="008C1E5F">
          <w:rPr>
            <w:noProof/>
            <w:webHidden/>
          </w:rPr>
          <w:instrText xml:space="preserve"> PAGEREF _Toc190886740 \h </w:instrText>
        </w:r>
        <w:r w:rsidRPr="008C1E5F">
          <w:rPr>
            <w:noProof/>
            <w:webHidden/>
          </w:rPr>
        </w:r>
        <w:r w:rsidRPr="008C1E5F">
          <w:rPr>
            <w:noProof/>
            <w:webHidden/>
          </w:rPr>
          <w:fldChar w:fldCharType="separate"/>
        </w:r>
        <w:r w:rsidR="002146D0">
          <w:rPr>
            <w:noProof/>
            <w:webHidden/>
          </w:rPr>
          <w:t>45</w:t>
        </w:r>
        <w:r w:rsidRPr="008C1E5F">
          <w:rPr>
            <w:noProof/>
            <w:webHidden/>
          </w:rPr>
          <w:fldChar w:fldCharType="end"/>
        </w:r>
      </w:hyperlink>
    </w:p>
    <w:p w14:paraId="127BC97E" w14:textId="530BCAB6" w:rsidR="00305BFA" w:rsidRPr="0044036C" w:rsidRDefault="0044036C">
      <w:pPr>
        <w:pStyle w:val="TOC1"/>
        <w:tabs>
          <w:tab w:val="right" w:leader="dot" w:pos="9350"/>
        </w:tabs>
        <w:rPr>
          <w:rStyle w:val="Hyperlink"/>
          <w:rFonts w:eastAsiaTheme="minorEastAsia"/>
          <w:noProof/>
          <w:kern w:val="2"/>
          <w:sz w:val="24"/>
          <w:szCs w:val="24"/>
          <w14:ligatures w14:val="standardContextual"/>
        </w:rPr>
      </w:pPr>
      <w:r>
        <w:rPr>
          <w:noProof/>
        </w:rPr>
        <w:fldChar w:fldCharType="begin"/>
      </w:r>
      <w:r>
        <w:rPr>
          <w:noProof/>
        </w:rPr>
        <w:instrText>HYPERLINK  \l "_Financial_and_Asset"</w:instrText>
      </w:r>
      <w:r>
        <w:rPr>
          <w:noProof/>
        </w:rPr>
      </w:r>
      <w:r>
        <w:rPr>
          <w:noProof/>
        </w:rPr>
        <w:fldChar w:fldCharType="separate"/>
      </w:r>
      <w:r w:rsidR="00305BFA" w:rsidRPr="0044036C">
        <w:rPr>
          <w:rStyle w:val="Hyperlink"/>
          <w:noProof/>
        </w:rPr>
        <w:t>Financial and Asset Management</w:t>
      </w:r>
      <w:r w:rsidR="00305BFA" w:rsidRPr="0044036C">
        <w:rPr>
          <w:rStyle w:val="Hyperlink"/>
          <w:noProof/>
          <w:webHidden/>
        </w:rPr>
        <w:tab/>
      </w:r>
      <w:r w:rsidR="00305BFA" w:rsidRPr="0044036C">
        <w:rPr>
          <w:rStyle w:val="Hyperlink"/>
          <w:noProof/>
          <w:webHidden/>
        </w:rPr>
        <w:fldChar w:fldCharType="begin"/>
      </w:r>
      <w:r w:rsidR="00305BFA" w:rsidRPr="0044036C">
        <w:rPr>
          <w:rStyle w:val="Hyperlink"/>
          <w:noProof/>
          <w:webHidden/>
        </w:rPr>
        <w:instrText xml:space="preserve"> PAGEREF _Toc190886741 \h </w:instrText>
      </w:r>
      <w:r w:rsidR="00305BFA" w:rsidRPr="0044036C">
        <w:rPr>
          <w:rStyle w:val="Hyperlink"/>
          <w:noProof/>
          <w:webHidden/>
        </w:rPr>
      </w:r>
      <w:r w:rsidR="00305BFA" w:rsidRPr="0044036C">
        <w:rPr>
          <w:rStyle w:val="Hyperlink"/>
          <w:noProof/>
          <w:webHidden/>
        </w:rPr>
        <w:fldChar w:fldCharType="separate"/>
      </w:r>
      <w:r w:rsidR="002146D0">
        <w:rPr>
          <w:rStyle w:val="Hyperlink"/>
          <w:noProof/>
          <w:webHidden/>
        </w:rPr>
        <w:t>52</w:t>
      </w:r>
      <w:r w:rsidR="00305BFA" w:rsidRPr="0044036C">
        <w:rPr>
          <w:rStyle w:val="Hyperlink"/>
          <w:noProof/>
          <w:webHidden/>
        </w:rPr>
        <w:fldChar w:fldCharType="end"/>
      </w:r>
    </w:p>
    <w:p w14:paraId="31ED9827" w14:textId="5B2F9520" w:rsidR="00305BFA" w:rsidRPr="008C1E5F" w:rsidRDefault="0044036C">
      <w:pPr>
        <w:pStyle w:val="TOC1"/>
        <w:tabs>
          <w:tab w:val="right" w:leader="dot" w:pos="9350"/>
        </w:tabs>
        <w:rPr>
          <w:rFonts w:eastAsiaTheme="minorEastAsia"/>
          <w:noProof/>
          <w:kern w:val="2"/>
          <w:sz w:val="24"/>
          <w:szCs w:val="24"/>
          <w14:ligatures w14:val="standardContextual"/>
        </w:rPr>
      </w:pPr>
      <w:r>
        <w:rPr>
          <w:noProof/>
        </w:rPr>
        <w:fldChar w:fldCharType="end"/>
      </w:r>
      <w:hyperlink w:anchor="_Toc190886742" w:history="1">
        <w:r w:rsidR="00305BFA" w:rsidRPr="008C1E5F">
          <w:rPr>
            <w:rStyle w:val="Hyperlink"/>
            <w:noProof/>
          </w:rPr>
          <w:t>Appendix A. Summary of Site Visit Activities</w:t>
        </w:r>
        <w:r w:rsidR="00305BFA" w:rsidRPr="008C1E5F">
          <w:rPr>
            <w:noProof/>
            <w:webHidden/>
          </w:rPr>
          <w:tab/>
          <w:t>A-</w:t>
        </w:r>
        <w:r w:rsidR="00305BFA" w:rsidRPr="008C1E5F">
          <w:rPr>
            <w:noProof/>
            <w:webHidden/>
          </w:rPr>
          <w:fldChar w:fldCharType="begin"/>
        </w:r>
        <w:r w:rsidR="00305BFA" w:rsidRPr="008C1E5F">
          <w:rPr>
            <w:noProof/>
            <w:webHidden/>
          </w:rPr>
          <w:instrText xml:space="preserve"> PAGEREF _Toc190886742 \h </w:instrText>
        </w:r>
        <w:r w:rsidR="00305BFA" w:rsidRPr="008C1E5F">
          <w:rPr>
            <w:noProof/>
            <w:webHidden/>
          </w:rPr>
        </w:r>
        <w:r w:rsidR="00305BFA" w:rsidRPr="008C1E5F">
          <w:rPr>
            <w:noProof/>
            <w:webHidden/>
          </w:rPr>
          <w:fldChar w:fldCharType="separate"/>
        </w:r>
        <w:r w:rsidR="002146D0">
          <w:rPr>
            <w:noProof/>
            <w:webHidden/>
          </w:rPr>
          <w:t>1</w:t>
        </w:r>
        <w:r w:rsidR="00305BFA" w:rsidRPr="008C1E5F">
          <w:rPr>
            <w:noProof/>
            <w:webHidden/>
          </w:rPr>
          <w:fldChar w:fldCharType="end"/>
        </w:r>
      </w:hyperlink>
    </w:p>
    <w:p w14:paraId="02F2DE8C" w14:textId="0C71D683" w:rsidR="00305BFA" w:rsidRPr="008C1E5F" w:rsidRDefault="00305BFA">
      <w:pPr>
        <w:pStyle w:val="TOC1"/>
        <w:tabs>
          <w:tab w:val="right" w:leader="dot" w:pos="9350"/>
        </w:tabs>
        <w:rPr>
          <w:rFonts w:eastAsiaTheme="minorEastAsia"/>
          <w:noProof/>
          <w:kern w:val="2"/>
          <w:sz w:val="24"/>
          <w:szCs w:val="24"/>
          <w14:ligatures w14:val="standardContextual"/>
        </w:rPr>
      </w:pPr>
      <w:hyperlink w:anchor="_Toc190886743" w:history="1">
        <w:r w:rsidRPr="008C1E5F">
          <w:rPr>
            <w:rStyle w:val="Hyperlink"/>
            <w:noProof/>
          </w:rPr>
          <w:t xml:space="preserve">Appendix B. Districtwide Instructional Observation Report </w:t>
        </w:r>
        <w:r w:rsidRPr="008C1E5F">
          <w:rPr>
            <w:noProof/>
            <w:webHidden/>
          </w:rPr>
          <w:tab/>
          <w:t>B-</w:t>
        </w:r>
        <w:r w:rsidRPr="008C1E5F">
          <w:rPr>
            <w:noProof/>
            <w:webHidden/>
          </w:rPr>
          <w:fldChar w:fldCharType="begin"/>
        </w:r>
        <w:r w:rsidRPr="008C1E5F">
          <w:rPr>
            <w:noProof/>
            <w:webHidden/>
          </w:rPr>
          <w:instrText xml:space="preserve"> PAGEREF _Toc190886743 \h </w:instrText>
        </w:r>
        <w:r w:rsidRPr="008C1E5F">
          <w:rPr>
            <w:noProof/>
            <w:webHidden/>
          </w:rPr>
        </w:r>
        <w:r w:rsidRPr="008C1E5F">
          <w:rPr>
            <w:noProof/>
            <w:webHidden/>
          </w:rPr>
          <w:fldChar w:fldCharType="separate"/>
        </w:r>
        <w:r w:rsidR="002146D0">
          <w:rPr>
            <w:noProof/>
            <w:webHidden/>
          </w:rPr>
          <w:t>1</w:t>
        </w:r>
        <w:r w:rsidRPr="008C1E5F">
          <w:rPr>
            <w:noProof/>
            <w:webHidden/>
          </w:rPr>
          <w:fldChar w:fldCharType="end"/>
        </w:r>
      </w:hyperlink>
    </w:p>
    <w:p w14:paraId="3A505430" w14:textId="5099E484" w:rsidR="00305BFA" w:rsidRPr="008C1E5F" w:rsidRDefault="00305BFA">
      <w:pPr>
        <w:pStyle w:val="TOC1"/>
        <w:tabs>
          <w:tab w:val="right" w:leader="dot" w:pos="9350"/>
        </w:tabs>
        <w:rPr>
          <w:rFonts w:eastAsiaTheme="minorEastAsia"/>
          <w:noProof/>
          <w:kern w:val="2"/>
          <w:sz w:val="24"/>
          <w:szCs w:val="24"/>
          <w14:ligatures w14:val="standardContextual"/>
        </w:rPr>
      </w:pPr>
      <w:hyperlink w:anchor="_Toc190886744" w:history="1">
        <w:r w:rsidRPr="008C1E5F">
          <w:rPr>
            <w:rStyle w:val="Hyperlink"/>
            <w:noProof/>
          </w:rPr>
          <w:t>Appendix C. Resources to Support Implementation of DESE’s District Standards and Indicators</w:t>
        </w:r>
        <w:r w:rsidRPr="008C1E5F">
          <w:rPr>
            <w:noProof/>
            <w:webHidden/>
          </w:rPr>
          <w:tab/>
          <w:t>C-</w:t>
        </w:r>
        <w:r w:rsidRPr="008C1E5F">
          <w:rPr>
            <w:noProof/>
            <w:webHidden/>
          </w:rPr>
          <w:fldChar w:fldCharType="begin"/>
        </w:r>
        <w:r w:rsidRPr="008C1E5F">
          <w:rPr>
            <w:noProof/>
            <w:webHidden/>
          </w:rPr>
          <w:instrText xml:space="preserve"> PAGEREF _Toc190886744 \h </w:instrText>
        </w:r>
        <w:r w:rsidRPr="008C1E5F">
          <w:rPr>
            <w:noProof/>
            <w:webHidden/>
          </w:rPr>
        </w:r>
        <w:r w:rsidRPr="008C1E5F">
          <w:rPr>
            <w:noProof/>
            <w:webHidden/>
          </w:rPr>
          <w:fldChar w:fldCharType="separate"/>
        </w:r>
        <w:r w:rsidR="002146D0">
          <w:rPr>
            <w:noProof/>
            <w:webHidden/>
          </w:rPr>
          <w:t>1</w:t>
        </w:r>
        <w:r w:rsidRPr="008C1E5F">
          <w:rPr>
            <w:noProof/>
            <w:webHidden/>
          </w:rPr>
          <w:fldChar w:fldCharType="end"/>
        </w:r>
      </w:hyperlink>
    </w:p>
    <w:p w14:paraId="36BA792D" w14:textId="1A4FAA56" w:rsidR="00305BFA" w:rsidRPr="008C1E5F" w:rsidRDefault="00305BFA">
      <w:pPr>
        <w:pStyle w:val="TOC1"/>
        <w:tabs>
          <w:tab w:val="right" w:leader="dot" w:pos="9350"/>
        </w:tabs>
        <w:rPr>
          <w:rFonts w:eastAsiaTheme="minorEastAsia"/>
          <w:noProof/>
          <w:kern w:val="2"/>
          <w:sz w:val="24"/>
          <w:szCs w:val="24"/>
          <w14:ligatures w14:val="standardContextual"/>
        </w:rPr>
      </w:pPr>
      <w:hyperlink w:anchor="_Toc190886745" w:history="1">
        <w:r w:rsidRPr="008C1E5F">
          <w:rPr>
            <w:rStyle w:val="Hyperlink"/>
            <w:noProof/>
          </w:rPr>
          <w:t>Appendix D. Enrollment, Attendance, Expenditures</w:t>
        </w:r>
        <w:r w:rsidRPr="008C1E5F">
          <w:rPr>
            <w:noProof/>
            <w:webHidden/>
          </w:rPr>
          <w:tab/>
          <w:t>D-</w:t>
        </w:r>
        <w:r w:rsidRPr="008C1E5F">
          <w:rPr>
            <w:noProof/>
            <w:webHidden/>
          </w:rPr>
          <w:fldChar w:fldCharType="begin"/>
        </w:r>
        <w:r w:rsidRPr="008C1E5F">
          <w:rPr>
            <w:noProof/>
            <w:webHidden/>
          </w:rPr>
          <w:instrText xml:space="preserve"> PAGEREF _Toc190886745 \h </w:instrText>
        </w:r>
        <w:r w:rsidRPr="008C1E5F">
          <w:rPr>
            <w:noProof/>
            <w:webHidden/>
          </w:rPr>
        </w:r>
        <w:r w:rsidRPr="008C1E5F">
          <w:rPr>
            <w:noProof/>
            <w:webHidden/>
          </w:rPr>
          <w:fldChar w:fldCharType="separate"/>
        </w:r>
        <w:r w:rsidR="002146D0">
          <w:rPr>
            <w:noProof/>
            <w:webHidden/>
          </w:rPr>
          <w:t>1</w:t>
        </w:r>
        <w:r w:rsidRPr="008C1E5F">
          <w:rPr>
            <w:noProof/>
            <w:webHidden/>
          </w:rPr>
          <w:fldChar w:fldCharType="end"/>
        </w:r>
      </w:hyperlink>
    </w:p>
    <w:p w14:paraId="2AC7859F" w14:textId="41D0A238" w:rsidR="00305BFA" w:rsidRPr="008C1E5F" w:rsidRDefault="00305BFA">
      <w:pPr>
        <w:pStyle w:val="TOC1"/>
        <w:tabs>
          <w:tab w:val="right" w:leader="dot" w:pos="9350"/>
        </w:tabs>
        <w:rPr>
          <w:rFonts w:eastAsiaTheme="minorEastAsia"/>
          <w:noProof/>
          <w:kern w:val="2"/>
          <w:sz w:val="24"/>
          <w:szCs w:val="24"/>
          <w14:ligatures w14:val="standardContextual"/>
        </w:rPr>
      </w:pPr>
      <w:hyperlink w:anchor="_Toc190886746" w:history="1">
        <w:r w:rsidRPr="008C1E5F">
          <w:rPr>
            <w:rStyle w:val="Hyperlink"/>
            <w:noProof/>
          </w:rPr>
          <w:t>Appendix E. Student Performance Data</w:t>
        </w:r>
        <w:r w:rsidRPr="008C1E5F">
          <w:rPr>
            <w:noProof/>
            <w:webHidden/>
          </w:rPr>
          <w:tab/>
          <w:t>E-</w:t>
        </w:r>
        <w:r w:rsidRPr="008C1E5F">
          <w:rPr>
            <w:noProof/>
            <w:webHidden/>
          </w:rPr>
          <w:fldChar w:fldCharType="begin"/>
        </w:r>
        <w:r w:rsidRPr="008C1E5F">
          <w:rPr>
            <w:noProof/>
            <w:webHidden/>
          </w:rPr>
          <w:instrText xml:space="preserve"> PAGEREF _Toc190886746 \h </w:instrText>
        </w:r>
        <w:r w:rsidRPr="008C1E5F">
          <w:rPr>
            <w:noProof/>
            <w:webHidden/>
          </w:rPr>
        </w:r>
        <w:r w:rsidRPr="008C1E5F">
          <w:rPr>
            <w:noProof/>
            <w:webHidden/>
          </w:rPr>
          <w:fldChar w:fldCharType="separate"/>
        </w:r>
        <w:r w:rsidR="002146D0">
          <w:rPr>
            <w:noProof/>
            <w:webHidden/>
          </w:rPr>
          <w:t>1</w:t>
        </w:r>
        <w:r w:rsidRPr="008C1E5F">
          <w:rPr>
            <w:noProof/>
            <w:webHidden/>
          </w:rPr>
          <w:fldChar w:fldCharType="end"/>
        </w:r>
      </w:hyperlink>
    </w:p>
    <w:p w14:paraId="6BA6D8CC" w14:textId="435DE92C" w:rsidR="002E7525" w:rsidRPr="008C1E5F"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8C1E5F">
        <w:rPr>
          <w:sz w:val="20"/>
          <w:szCs w:val="20"/>
        </w:rPr>
        <w:fldChar w:fldCharType="end"/>
      </w:r>
    </w:p>
    <w:p w14:paraId="4CD42A87" w14:textId="77777777" w:rsidR="002E7525" w:rsidRPr="008C1E5F"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p>
    <w:p w14:paraId="47E28774" w14:textId="7AD808BD" w:rsidR="008E314D" w:rsidRPr="008C1E5F" w:rsidRDefault="008E314D"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8C1E5F">
        <w:rPr>
          <w:sz w:val="20"/>
          <w:szCs w:val="20"/>
        </w:rPr>
        <w:br w:type="page"/>
      </w:r>
    </w:p>
    <w:p w14:paraId="58733E23" w14:textId="0988C18C" w:rsidR="008E314D" w:rsidRPr="008C1E5F" w:rsidRDefault="002A28B1" w:rsidP="0066116F">
      <w:pPr>
        <w:tabs>
          <w:tab w:val="right" w:pos="9360"/>
        </w:tabs>
      </w:pPr>
      <w:r w:rsidRPr="008C1E5F">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8C1E5F">
        <w:t xml:space="preserve"> </w:t>
      </w:r>
      <w:r w:rsidR="0066116F" w:rsidRPr="008C1E5F">
        <w:tab/>
      </w:r>
      <w:r w:rsidR="00457876" w:rsidRPr="008C1E5F">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Pr="008C1E5F"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403F3B7F" w:rsidR="008E314D" w:rsidRPr="008C1E5F" w:rsidRDefault="008E314D" w:rsidP="0066116F">
      <w:pPr>
        <w:pStyle w:val="BodyText"/>
        <w:jc w:val="center"/>
      </w:pPr>
      <w:r w:rsidRPr="008C1E5F">
        <w:t xml:space="preserve">This document was prepared by the </w:t>
      </w:r>
      <w:r w:rsidR="00740294" w:rsidRPr="008C1E5F">
        <w:t xml:space="preserve">American Institutes for Research, </w:t>
      </w:r>
      <w:r w:rsidR="001B4127" w:rsidRPr="008C1E5F">
        <w:t xml:space="preserve">in </w:t>
      </w:r>
      <w:r w:rsidR="00181912" w:rsidRPr="008C1E5F">
        <w:t xml:space="preserve">collaboration </w:t>
      </w:r>
      <w:r w:rsidR="001B4127" w:rsidRPr="008C1E5F">
        <w:t>with the</w:t>
      </w:r>
      <w:r w:rsidRPr="008C1E5F">
        <w:br/>
        <w:t>Massachusetts Department of Elementary and Secondary Education</w:t>
      </w:r>
    </w:p>
    <w:p w14:paraId="07584CCA" w14:textId="77777777" w:rsidR="009A469D" w:rsidRPr="008C1E5F"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6B8EC7D9" w14:textId="263B1D0A" w:rsidR="008E314D" w:rsidRPr="0063009F" w:rsidRDefault="002146D0"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63009F">
        <w:t>Patrick Tutwiler</w:t>
      </w:r>
    </w:p>
    <w:p w14:paraId="5F95BE93" w14:textId="6CB1E8C0" w:rsidR="008E314D" w:rsidRPr="0063009F" w:rsidRDefault="002146D0" w:rsidP="00177F96">
      <w:pPr>
        <w:tabs>
          <w:tab w:val="left" w:pos="360"/>
          <w:tab w:val="left" w:pos="720"/>
          <w:tab w:val="left" w:pos="1080"/>
          <w:tab w:val="left" w:pos="1440"/>
          <w:tab w:val="left" w:pos="1800"/>
          <w:tab w:val="left" w:pos="2160"/>
          <w:tab w:val="left" w:pos="2520"/>
          <w:tab w:val="left" w:pos="2880"/>
        </w:tabs>
        <w:spacing w:line="240" w:lineRule="auto"/>
        <w:jc w:val="center"/>
      </w:pPr>
      <w:r w:rsidRPr="0063009F">
        <w:t>Interim</w:t>
      </w:r>
      <w:r w:rsidR="637F277E" w:rsidRPr="0063009F">
        <w:t xml:space="preserve"> </w:t>
      </w:r>
      <w:r w:rsidR="008E314D" w:rsidRPr="0063009F">
        <w:t>Commissioner</w:t>
      </w:r>
    </w:p>
    <w:p w14:paraId="26B707AB" w14:textId="7216A413" w:rsidR="001E776B" w:rsidRPr="0063009F"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sidRPr="0063009F">
        <w:rPr>
          <w:rStyle w:val="bold"/>
        </w:rPr>
        <w:t xml:space="preserve">Published </w:t>
      </w:r>
      <w:r w:rsidR="0063009F" w:rsidRPr="0063009F">
        <w:rPr>
          <w:rStyle w:val="bold"/>
        </w:rPr>
        <w:t xml:space="preserve">May </w:t>
      </w:r>
      <w:r w:rsidR="000538C4" w:rsidRPr="0063009F">
        <w:rPr>
          <w:rStyle w:val="bold"/>
        </w:rPr>
        <w:t>20</w:t>
      </w:r>
      <w:r w:rsidR="00B4170D" w:rsidRPr="0063009F">
        <w:rPr>
          <w:rStyle w:val="bold"/>
        </w:rPr>
        <w:t>25</w:t>
      </w:r>
    </w:p>
    <w:p w14:paraId="25585579" w14:textId="77777777" w:rsidR="0066787A" w:rsidRPr="008C1E5F"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66801AB8" w:rsidR="008E314D" w:rsidRPr="008C1E5F" w:rsidRDefault="008E314D" w:rsidP="0066116F">
      <w:pPr>
        <w:pStyle w:val="BodyText"/>
        <w:jc w:val="center"/>
      </w:pPr>
      <w:r w:rsidRPr="008C1E5F">
        <w:t xml:space="preserve">The Massachusetts Department of Elementary and Secondary Education, an affirmative action employer, is committed to ensuring that </w:t>
      </w:r>
      <w:proofErr w:type="gramStart"/>
      <w:r w:rsidRPr="008C1E5F">
        <w:t>all of</w:t>
      </w:r>
      <w:proofErr w:type="gramEnd"/>
      <w:r w:rsidRPr="008C1E5F">
        <w:t xml:space="preserve"> its programs and facilities are accessible to all members of the public. We do not discriminate </w:t>
      </w:r>
      <w:proofErr w:type="gramStart"/>
      <w:r w:rsidRPr="008C1E5F">
        <w:t>on the basis of</w:t>
      </w:r>
      <w:proofErr w:type="gramEnd"/>
      <w:r w:rsidRPr="008C1E5F">
        <w:t xml:space="preserve"> age, color, disability, national origin, race, religion, sex, gender identity, or sexual orientation. Inquiries regarding the Department’s compliance with Title IX and other civil rights laws may be directed to the Human Resources Director, </w:t>
      </w:r>
      <w:r w:rsidR="004C1845" w:rsidRPr="008C1E5F">
        <w:rPr>
          <w:snapToGrid w:val="0"/>
        </w:rPr>
        <w:t>135 Santilli Highway</w:t>
      </w:r>
      <w:r w:rsidRPr="008C1E5F">
        <w:t xml:space="preserve">, </w:t>
      </w:r>
      <w:r w:rsidR="004C1845" w:rsidRPr="008C1E5F">
        <w:t>Everett</w:t>
      </w:r>
      <w:r w:rsidRPr="008C1E5F">
        <w:t>, MA 0214</w:t>
      </w:r>
      <w:r w:rsidR="004C1845" w:rsidRPr="008C1E5F">
        <w:t>9</w:t>
      </w:r>
      <w:r w:rsidRPr="008C1E5F">
        <w:t>. Phone: 781-338-6105.</w:t>
      </w:r>
    </w:p>
    <w:p w14:paraId="4361469B" w14:textId="01BB1F28" w:rsidR="001166A5" w:rsidRPr="008C1E5F" w:rsidRDefault="001166A5" w:rsidP="0066116F">
      <w:pPr>
        <w:pStyle w:val="BodyTextposthead"/>
        <w:jc w:val="center"/>
      </w:pPr>
      <w:r w:rsidRPr="008C1E5F">
        <w:t>© 202</w:t>
      </w:r>
      <w:r w:rsidR="5E5E36B6" w:rsidRPr="008C1E5F">
        <w:t>5</w:t>
      </w:r>
      <w:r w:rsidRPr="008C1E5F">
        <w:t xml:space="preserve"> Massachusetts Department of Elementary and Secondary Education</w:t>
      </w:r>
    </w:p>
    <w:p w14:paraId="05DE9136" w14:textId="623DDC6B" w:rsidR="001166A5" w:rsidRPr="008C1E5F" w:rsidRDefault="001166A5" w:rsidP="0066116F">
      <w:pPr>
        <w:pStyle w:val="BodyTextposthead"/>
        <w:jc w:val="center"/>
        <w:rPr>
          <w:i/>
          <w:iCs/>
          <w:spacing w:val="-4"/>
        </w:rPr>
      </w:pPr>
      <w:r w:rsidRPr="008C1E5F">
        <w:rPr>
          <w:i/>
          <w:iCs/>
          <w:spacing w:val="-4"/>
        </w:rPr>
        <w:t>Permission is hereby granted to copy any or all parts of this document for non-commercial educational purposes. Please credit the “Massachusetts Department of Elementary and Secondary Education.”</w:t>
      </w:r>
    </w:p>
    <w:p w14:paraId="4675837B" w14:textId="150DEE5D" w:rsidR="001166A5" w:rsidRPr="008C1E5F" w:rsidRDefault="001166A5" w:rsidP="0066116F">
      <w:pPr>
        <w:pStyle w:val="BodyTextposthead"/>
        <w:jc w:val="center"/>
      </w:pPr>
    </w:p>
    <w:p w14:paraId="33BF0CF8" w14:textId="77777777" w:rsidR="001166A5" w:rsidRPr="008C1E5F"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Pr="008C1E5F"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Pr="008C1E5F"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Pr="008C1E5F"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Pr="008C1E5F"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Pr="008C1E5F"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Pr="008C1E5F"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Pr="008C1E5F"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8C1E5F"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8C1E5F">
        <w:t>Massachusetts Department of Elementary and Secondary Education</w:t>
      </w:r>
    </w:p>
    <w:p w14:paraId="4D1D0F8C" w14:textId="5F6681F7" w:rsidR="008E314D" w:rsidRPr="008C1E5F"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8C1E5F">
        <w:rPr>
          <w:snapToGrid w:val="0"/>
        </w:rPr>
        <w:t>135 Santilli Highway</w:t>
      </w:r>
      <w:r w:rsidR="008E314D" w:rsidRPr="008C1E5F">
        <w:t xml:space="preserve">, </w:t>
      </w:r>
      <w:r w:rsidRPr="008C1E5F">
        <w:t xml:space="preserve">Everett </w:t>
      </w:r>
      <w:r w:rsidR="008E314D" w:rsidRPr="008C1E5F">
        <w:t>MA 0214</w:t>
      </w:r>
      <w:r w:rsidRPr="008C1E5F">
        <w:t>9</w:t>
      </w:r>
    </w:p>
    <w:p w14:paraId="6EEA3F3B" w14:textId="0B264AC8" w:rsidR="008E314D" w:rsidRPr="008C1E5F"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8C1E5F">
        <w:t>Phone</w:t>
      </w:r>
      <w:r w:rsidR="00D84CF0" w:rsidRPr="008C1E5F">
        <w:t>:</w:t>
      </w:r>
      <w:r w:rsidRPr="008C1E5F">
        <w:t xml:space="preserve"> 781-338-3000</w:t>
      </w:r>
      <w:r w:rsidRPr="008C1E5F">
        <w:tab/>
        <w:t>TTY: N.E.T. Relay 800-439-2370</w:t>
      </w:r>
    </w:p>
    <w:p w14:paraId="2B889E51" w14:textId="77777777" w:rsidR="008E314D" w:rsidRPr="008C1E5F"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Pr="008C1E5F">
          <w:rPr>
            <w:rStyle w:val="Hyperlink"/>
          </w:rPr>
          <w:t>ww</w:t>
        </w:r>
        <w:r w:rsidRPr="008C1E5F">
          <w:rPr>
            <w:rStyle w:val="Hyperlink"/>
            <w:color w:val="0563C1"/>
          </w:rPr>
          <w:t>w.doe.m</w:t>
        </w:r>
        <w:r w:rsidRPr="008C1E5F">
          <w:rPr>
            <w:rStyle w:val="Hyperlink"/>
          </w:rPr>
          <w:t>ass.edu</w:t>
        </w:r>
      </w:hyperlink>
    </w:p>
    <w:p w14:paraId="332E41D9" w14:textId="77777777" w:rsidR="008E314D" w:rsidRPr="008C1E5F"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8C1E5F"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8C1E5F"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8C1E5F" w:rsidSect="00D67AD2">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38C89F4C" w:rsidR="008D6102" w:rsidRPr="008C1E5F" w:rsidRDefault="008D6102" w:rsidP="008D6102">
      <w:pPr>
        <w:pStyle w:val="Heading2"/>
      </w:pPr>
      <w:bookmarkStart w:id="2" w:name="_Toc101446225"/>
      <w:bookmarkStart w:id="3" w:name="_Toc190886734"/>
      <w:bookmarkStart w:id="4" w:name="_Toc195024197"/>
      <w:bookmarkStart w:id="5" w:name="_Toc350870260"/>
      <w:bookmarkStart w:id="6" w:name="_Toc273777167"/>
      <w:bookmarkStart w:id="7" w:name="_Toc277066425"/>
      <w:bookmarkStart w:id="8" w:name="_Toc337817149"/>
      <w:bookmarkStart w:id="9" w:name="_Toc101878649"/>
      <w:r w:rsidRPr="008C1E5F">
        <w:lastRenderedPageBreak/>
        <w:t>Executive Summary</w:t>
      </w:r>
      <w:bookmarkEnd w:id="2"/>
      <w:bookmarkEnd w:id="3"/>
      <w:bookmarkEnd w:id="4"/>
    </w:p>
    <w:p w14:paraId="0B800380" w14:textId="3CC33539" w:rsidR="00862D56" w:rsidRPr="008C1E5F" w:rsidRDefault="00862D56" w:rsidP="00862D56">
      <w:pPr>
        <w:pStyle w:val="BodyText"/>
      </w:pPr>
      <w:bookmarkStart w:id="10" w:name="_Hlk40937737"/>
      <w:bookmarkStart w:id="11" w:name="_Toc104552856"/>
      <w:bookmarkEnd w:id="5"/>
      <w:r w:rsidRPr="008C1E5F">
        <w:t>In accordance with Massachusetts state law, the Massachusetts Department of Elementary and Secondary Education (DESE) contracted with the American Institutes for Research</w:t>
      </w:r>
      <w:r w:rsidRPr="008C1E5F">
        <w:rPr>
          <w:rFonts w:ascii="Franklin Gothic Book" w:hAnsi="Franklin Gothic Book" w:cs="Calibri"/>
          <w:vertAlign w:val="superscript"/>
        </w:rPr>
        <w:t>®</w:t>
      </w:r>
      <w:r w:rsidRPr="008C1E5F">
        <w:t xml:space="preserve"> (AIR</w:t>
      </w:r>
      <w:r w:rsidRPr="008C1E5F">
        <w:rPr>
          <w:rFonts w:ascii="Franklin Gothic Book" w:hAnsi="Franklin Gothic Book" w:cs="Calibri"/>
          <w:vertAlign w:val="superscript"/>
        </w:rPr>
        <w:t>®</w:t>
      </w:r>
      <w:r w:rsidRPr="008C1E5F">
        <w:t xml:space="preserve">) to conduct a comprehensive review of </w:t>
      </w:r>
      <w:r w:rsidR="00D60333" w:rsidRPr="008C1E5F">
        <w:t>Fall River</w:t>
      </w:r>
      <w:r w:rsidRPr="008C1E5F">
        <w:t xml:space="preserve"> Public Schools (hereafter, </w:t>
      </w:r>
      <w:r w:rsidR="00D60333" w:rsidRPr="008C1E5F">
        <w:t>Fall River</w:t>
      </w:r>
      <w:r w:rsidRPr="008C1E5F">
        <w:t xml:space="preserve">) in </w:t>
      </w:r>
      <w:r w:rsidR="00D65738">
        <w:t>November</w:t>
      </w:r>
      <w:r w:rsidR="00D65738" w:rsidRPr="008C1E5F">
        <w:t xml:space="preserve"> </w:t>
      </w:r>
      <w:r w:rsidRPr="008C1E5F">
        <w:t xml:space="preserve">2024. Data collection activities associated with the review </w:t>
      </w:r>
      <w:r w:rsidRPr="008C1E5F">
        <w:rPr>
          <w:rFonts w:ascii="Franklin Gothic Book" w:eastAsia="Franklin Gothic Book" w:hAnsi="Franklin Gothic Book" w:cs="Franklin Gothic Book"/>
        </w:rPr>
        <w:t xml:space="preserve">included interviews, focus groups, and document reviews and </w:t>
      </w:r>
      <w:r w:rsidRPr="008C1E5F">
        <w:t>were designed to understand how districts operate in support of continuous improvement efforts. The review focused on the six standards (and related indicators) that DESE has identified as being important components of district effectiveness. The resulting report provides an in-depth look at district systems, policies, and practices and includes recommendations to promote systemic improvements and advance equitable student outcomes and experiences.</w:t>
      </w:r>
      <w:r w:rsidR="00F73AF8" w:rsidRPr="008C1E5F">
        <w:rPr>
          <w:rStyle w:val="FootnoteReference"/>
        </w:rPr>
        <w:footnoteReference w:id="2"/>
      </w:r>
    </w:p>
    <w:p w14:paraId="41D8CE26" w14:textId="3D08BCF1" w:rsidR="000B1DD2" w:rsidRPr="008C1E5F" w:rsidRDefault="18845F70" w:rsidP="000B1DD2">
      <w:pPr>
        <w:pStyle w:val="BodyText"/>
      </w:pPr>
      <w:r w:rsidRPr="008C1E5F">
        <w:rPr>
          <w:rFonts w:ascii="Franklin Gothic Book" w:eastAsia="Franklin Gothic Book" w:hAnsi="Franklin Gothic Book" w:cs="Franklin Gothic Book"/>
        </w:rPr>
        <w:t xml:space="preserve">In addition, to collect data on instructional practices, </w:t>
      </w:r>
      <w:r w:rsidR="00C6066A" w:rsidRPr="008C1E5F">
        <w:rPr>
          <w:rFonts w:ascii="Franklin Gothic Book" w:eastAsia="Franklin Gothic Book" w:hAnsi="Franklin Gothic Book" w:cs="Franklin Gothic Book"/>
        </w:rPr>
        <w:t>eight</w:t>
      </w:r>
      <w:r w:rsidR="00C6066A" w:rsidRPr="008C1E5F">
        <w:t xml:space="preserve"> </w:t>
      </w:r>
      <w:r w:rsidR="008672D4" w:rsidRPr="008C1E5F">
        <w:t xml:space="preserve">observers, who focused primarily on instruction in the classroom, visited </w:t>
      </w:r>
      <w:r w:rsidR="005D33EC" w:rsidRPr="008C1E5F">
        <w:t xml:space="preserve">Fall River </w:t>
      </w:r>
      <w:r w:rsidR="008672D4" w:rsidRPr="008C1E5F">
        <w:t>during the week</w:t>
      </w:r>
      <w:r w:rsidR="00BD62F1" w:rsidRPr="008C1E5F">
        <w:t>s</w:t>
      </w:r>
      <w:r w:rsidR="008672D4" w:rsidRPr="008C1E5F">
        <w:t xml:space="preserve"> of </w:t>
      </w:r>
      <w:r w:rsidR="007C13FC" w:rsidRPr="008C1E5F">
        <w:t>November 18 and November 25</w:t>
      </w:r>
      <w:r w:rsidR="008672D4" w:rsidRPr="008C1E5F">
        <w:t xml:space="preserve">. The observers conducted </w:t>
      </w:r>
      <w:r w:rsidR="007C13FC" w:rsidRPr="008C1E5F">
        <w:t xml:space="preserve">192 </w:t>
      </w:r>
      <w:r w:rsidR="008672D4" w:rsidRPr="008C1E5F">
        <w:t xml:space="preserve">observations in a sample of classrooms across grade levels, focused </w:t>
      </w:r>
      <w:r w:rsidR="00B841A7" w:rsidRPr="008C1E5F">
        <w:t xml:space="preserve">primarily </w:t>
      </w:r>
      <w:r w:rsidR="008672D4" w:rsidRPr="008C1E5F">
        <w:t xml:space="preserve">on literacy, English language arts (ELA), and mathematics. The Teachstone Classroom Assessment Scoring System (CLASS) protocol, </w:t>
      </w:r>
      <w:r w:rsidR="00B224CA" w:rsidRPr="008C1E5F">
        <w:t>developed</w:t>
      </w:r>
      <w:r w:rsidR="008672D4" w:rsidRPr="008C1E5F">
        <w:t xml:space="preserve"> by the Center for Advanced Study of Teaching and Learning at the University of Virginia,</w:t>
      </w:r>
      <w:r w:rsidR="008672D4" w:rsidRPr="008C1E5F">
        <w:rPr>
          <w:rStyle w:val="FootnoteReference"/>
        </w:rPr>
        <w:footnoteReference w:id="3"/>
      </w:r>
      <w:r w:rsidR="008672D4" w:rsidRPr="008C1E5F">
        <w:t xml:space="preserve"> guided all classroom observations in the district. These observations used the three grade-band levels of the CLASS protocols: K-3, Upper Elementary (4-5), and Secondary (6</w:t>
      </w:r>
      <w:r w:rsidR="008672D4" w:rsidRPr="008C1E5F">
        <w:noBreakHyphen/>
        <w:t xml:space="preserve">12). </w:t>
      </w:r>
    </w:p>
    <w:p w14:paraId="294F0C09" w14:textId="470BE63D" w:rsidR="000B1DD2" w:rsidRDefault="0083338D" w:rsidP="0066116F">
      <w:pPr>
        <w:pStyle w:val="Heading3"/>
      </w:pPr>
      <w:hyperlink w:anchor="_Leadership_and_Governance">
        <w:bookmarkStart w:id="12" w:name="_Toc195024198"/>
        <w:r>
          <w:rPr>
            <w:rStyle w:val="Hyperlink"/>
          </w:rPr>
          <w:t>Leadership and Governance</w:t>
        </w:r>
      </w:hyperlink>
      <w:bookmarkEnd w:id="12"/>
    </w:p>
    <w:p w14:paraId="108CF7B8" w14:textId="77DE42DD" w:rsidR="0094015A" w:rsidRPr="008C1E5F" w:rsidRDefault="0094015A" w:rsidP="0094015A">
      <w:pPr>
        <w:pStyle w:val="BodyTextposthead"/>
        <w:rPr>
          <w:rFonts w:eastAsia="Aptos" w:cs="Aptos"/>
        </w:rPr>
      </w:pPr>
      <w:r w:rsidRPr="008C1E5F">
        <w:t xml:space="preserve">Fall River is led by a new superintendent and assistant superintendent and chief academic officer, both of whom worked previously in the district in other roles. District leaders have established several effective distributed leadership structures, including senior staff meetings, “core four” meetings, district instructional leadership team (ILT) meetings, principal meetings, and empowered ILTs at each building. In Fall River, working relationships between the school committee and district leaders are in the early stages and can sometimes be tense; </w:t>
      </w:r>
      <w:r>
        <w:t>building rapport</w:t>
      </w:r>
      <w:r w:rsidRPr="008C1E5F">
        <w:rPr>
          <w:rFonts w:eastAsia="Aptos" w:cs="Aptos"/>
          <w:color w:val="242424"/>
        </w:rPr>
        <w:t xml:space="preserve"> </w:t>
      </w:r>
      <w:r w:rsidRPr="008C1E5F">
        <w:t xml:space="preserve">between the two is an area for growth. </w:t>
      </w:r>
      <w:r w:rsidRPr="008C1E5F">
        <w:rPr>
          <w:rFonts w:ascii="Franklin Gothic Book" w:hAnsi="Franklin Gothic Book"/>
          <w:spacing w:val="-2"/>
        </w:rPr>
        <w:t>Additionally</w:t>
      </w:r>
      <w:r w:rsidRPr="008C1E5F">
        <w:rPr>
          <w:rFonts w:ascii="Franklin Gothic Book" w:eastAsia="Franklin Gothic Book" w:hAnsi="Franklin Gothic Book" w:cs="Franklin Gothic Book"/>
          <w:spacing w:val="-2"/>
        </w:rPr>
        <w:t>,</w:t>
      </w:r>
      <w:r>
        <w:rPr>
          <w:rFonts w:ascii="Franklin Gothic Book" w:eastAsia="Franklin Gothic Book" w:hAnsi="Franklin Gothic Book" w:cs="Franklin Gothic Book"/>
          <w:spacing w:val="-2"/>
        </w:rPr>
        <w:t xml:space="preserve"> at the time of the district review,</w:t>
      </w:r>
      <w:r w:rsidRPr="008C1E5F">
        <w:rPr>
          <w:rFonts w:ascii="Franklin Gothic Book" w:eastAsia="Franklin Gothic Book" w:hAnsi="Franklin Gothic Book" w:cs="Franklin Gothic Book"/>
          <w:spacing w:val="-2"/>
        </w:rPr>
        <w:t xml:space="preserve"> teachers</w:t>
      </w:r>
      <w:r w:rsidRPr="008C1E5F">
        <w:rPr>
          <w:rFonts w:ascii="Franklin Gothic Book" w:hAnsi="Franklin Gothic Book"/>
          <w:spacing w:val="-2"/>
        </w:rPr>
        <w:t xml:space="preserve"> characterized their relationships with leaders as more tense than usual due to contract negotiations</w:t>
      </w:r>
      <w:r w:rsidRPr="008C1E5F">
        <w:rPr>
          <w:rFonts w:ascii="Franklin Gothic Book" w:eastAsiaTheme="minorEastAsia" w:hAnsi="Franklin Gothic Book"/>
          <w:spacing w:val="-2"/>
        </w:rPr>
        <w:t xml:space="preserve">. </w:t>
      </w:r>
      <w:r>
        <w:rPr>
          <w:rFonts w:ascii="Franklin Gothic Book" w:eastAsiaTheme="minorEastAsia" w:hAnsi="Franklin Gothic Book"/>
          <w:spacing w:val="-2"/>
        </w:rPr>
        <w:t xml:space="preserve">Improving working relationships between the </w:t>
      </w:r>
      <w:r w:rsidR="00C00A21">
        <w:rPr>
          <w:rFonts w:ascii="Franklin Gothic Book" w:eastAsiaTheme="minorEastAsia" w:hAnsi="Franklin Gothic Book"/>
          <w:spacing w:val="-2"/>
        </w:rPr>
        <w:t xml:space="preserve">teachers’ </w:t>
      </w:r>
      <w:r>
        <w:rPr>
          <w:rFonts w:ascii="Franklin Gothic Book" w:eastAsiaTheme="minorEastAsia" w:hAnsi="Franklin Gothic Book"/>
          <w:spacing w:val="-2"/>
        </w:rPr>
        <w:t>association and school committee</w:t>
      </w:r>
      <w:r w:rsidRPr="008C1E5F">
        <w:rPr>
          <w:rFonts w:ascii="Franklin Gothic Book" w:eastAsiaTheme="minorEastAsia" w:hAnsi="Franklin Gothic Book"/>
          <w:spacing w:val="-2"/>
        </w:rPr>
        <w:t xml:space="preserve"> is also an area for growth. </w:t>
      </w:r>
      <w:r w:rsidRPr="008C1E5F">
        <w:t xml:space="preserve">The school committee is composed of multiple subcommittees </w:t>
      </w:r>
      <w:r w:rsidRPr="008C1E5F">
        <w:rPr>
          <w:rFonts w:eastAsia="Aptos" w:cs="Aptos"/>
          <w:color w:val="242424"/>
        </w:rPr>
        <w:t xml:space="preserve">to fulfill their responsibilities; school committee agendas </w:t>
      </w:r>
      <w:r w:rsidR="00FF0120">
        <w:rPr>
          <w:rFonts w:eastAsia="Aptos" w:cs="Aptos"/>
          <w:color w:val="242424"/>
        </w:rPr>
        <w:t xml:space="preserve">and video recordings </w:t>
      </w:r>
      <w:r w:rsidR="00EE0DAB">
        <w:rPr>
          <w:rFonts w:eastAsia="Aptos" w:cs="Aptos"/>
          <w:color w:val="242424"/>
        </w:rPr>
        <w:t xml:space="preserve">were publicly available on the district’s website, but </w:t>
      </w:r>
      <w:r w:rsidRPr="008C1E5F">
        <w:rPr>
          <w:rFonts w:eastAsia="Aptos" w:cs="Aptos"/>
          <w:color w:val="242424"/>
        </w:rPr>
        <w:t xml:space="preserve">minutes </w:t>
      </w:r>
      <w:r w:rsidR="00EE0DAB">
        <w:rPr>
          <w:rFonts w:eastAsia="Aptos" w:cs="Aptos"/>
          <w:color w:val="242424"/>
        </w:rPr>
        <w:t>were not</w:t>
      </w:r>
      <w:r w:rsidRPr="008C1E5F">
        <w:rPr>
          <w:rFonts w:eastAsia="Aptos" w:cs="Aptos"/>
          <w:color w:val="242424"/>
        </w:rPr>
        <w:t xml:space="preserve">. </w:t>
      </w:r>
      <w:r w:rsidRPr="008C1E5F">
        <w:rPr>
          <w:rFonts w:ascii="Franklin Gothic Book" w:eastAsia="Franklin Gothic Book" w:hAnsi="Franklin Gothic Book" w:cs="Franklin Gothic Book"/>
          <w:spacing w:val="-2"/>
        </w:rPr>
        <w:t xml:space="preserve">Leaders </w:t>
      </w:r>
      <w:r w:rsidR="00F26BC1">
        <w:rPr>
          <w:rFonts w:ascii="Franklin Gothic Book" w:eastAsia="Franklin Gothic Book" w:hAnsi="Franklin Gothic Book" w:cs="Franklin Gothic Book"/>
          <w:spacing w:val="-2"/>
        </w:rPr>
        <w:t>were mixed on whether</w:t>
      </w:r>
      <w:r w:rsidRPr="008C1E5F">
        <w:rPr>
          <w:rFonts w:ascii="Franklin Gothic Book" w:eastAsia="Franklin Gothic Book" w:hAnsi="Franklin Gothic Book" w:cs="Franklin Gothic Book"/>
          <w:spacing w:val="-2"/>
        </w:rPr>
        <w:t xml:space="preserve"> </w:t>
      </w:r>
      <w:r w:rsidRPr="008C1E5F">
        <w:rPr>
          <w:rFonts w:ascii="Franklin Gothic Book" w:hAnsi="Franklin Gothic Book"/>
          <w:spacing w:val="-2"/>
        </w:rPr>
        <w:t xml:space="preserve">Fall River has </w:t>
      </w:r>
      <w:r w:rsidRPr="008C1E5F">
        <w:rPr>
          <w:rFonts w:eastAsia="Aptos" w:cs="Aptos"/>
        </w:rPr>
        <w:t>established representative school councils, including school councils at all schools</w:t>
      </w:r>
      <w:r w:rsidR="00F26BC1">
        <w:rPr>
          <w:rFonts w:eastAsia="Aptos" w:cs="Aptos"/>
        </w:rPr>
        <w:t xml:space="preserve">, </w:t>
      </w:r>
      <w:r w:rsidR="00233138">
        <w:rPr>
          <w:rFonts w:eastAsia="Aptos" w:cs="Aptos"/>
        </w:rPr>
        <w:t>though it is a common stakeholder engagement goal</w:t>
      </w:r>
      <w:r>
        <w:rPr>
          <w:rFonts w:eastAsia="Aptos" w:cs="Aptos"/>
        </w:rPr>
        <w:t xml:space="preserve">. </w:t>
      </w:r>
      <w:r w:rsidR="00F26BC1">
        <w:rPr>
          <w:rFonts w:eastAsia="Aptos" w:cs="Aptos"/>
        </w:rPr>
        <w:t>M</w:t>
      </w:r>
      <w:r w:rsidRPr="008C1E5F">
        <w:rPr>
          <w:rFonts w:eastAsia="Aptos" w:cs="Aptos"/>
        </w:rPr>
        <w:t xml:space="preserve">any school leaders and staff </w:t>
      </w:r>
      <w:r w:rsidR="00F26BC1">
        <w:rPr>
          <w:rFonts w:eastAsia="Aptos" w:cs="Aptos"/>
        </w:rPr>
        <w:t xml:space="preserve">also </w:t>
      </w:r>
      <w:r w:rsidRPr="008C1E5F">
        <w:rPr>
          <w:rFonts w:eastAsia="Aptos" w:cs="Aptos"/>
        </w:rPr>
        <w:t xml:space="preserve">reported </w:t>
      </w:r>
      <w:r w:rsidR="00166F52">
        <w:rPr>
          <w:rFonts w:eastAsia="Aptos" w:cs="Aptos"/>
        </w:rPr>
        <w:t xml:space="preserve">that </w:t>
      </w:r>
      <w:r w:rsidRPr="008C1E5F">
        <w:rPr>
          <w:rFonts w:eastAsia="Aptos" w:cs="Aptos"/>
        </w:rPr>
        <w:t>school councils are</w:t>
      </w:r>
      <w:r>
        <w:rPr>
          <w:rFonts w:eastAsia="Aptos" w:cs="Aptos"/>
        </w:rPr>
        <w:t xml:space="preserve"> inconsistent across the schools and</w:t>
      </w:r>
      <w:r w:rsidRPr="008C1E5F">
        <w:rPr>
          <w:rFonts w:eastAsia="Aptos" w:cs="Aptos"/>
        </w:rPr>
        <w:t xml:space="preserve"> not regularly involved in school policy decision</w:t>
      </w:r>
      <w:r>
        <w:rPr>
          <w:rFonts w:eastAsia="Aptos" w:cs="Aptos"/>
        </w:rPr>
        <w:t>s.</w:t>
      </w:r>
    </w:p>
    <w:p w14:paraId="0B0801D9" w14:textId="07DA0253" w:rsidR="000C335C" w:rsidRPr="008C1E5F" w:rsidRDefault="004F546B" w:rsidP="00B4170D">
      <w:pPr>
        <w:pStyle w:val="BodyText"/>
      </w:pPr>
      <w:r w:rsidRPr="008C1E5F">
        <w:rPr>
          <w:spacing w:val="-2"/>
        </w:rPr>
        <w:t xml:space="preserve">At the time of the district review, the district </w:t>
      </w:r>
      <w:r w:rsidR="00E516D8" w:rsidRPr="008C1E5F">
        <w:rPr>
          <w:spacing w:val="-2"/>
        </w:rPr>
        <w:t>did not have a current strategic plan</w:t>
      </w:r>
      <w:r w:rsidR="00A44CD6" w:rsidRPr="008C1E5F">
        <w:rPr>
          <w:spacing w:val="-2"/>
        </w:rPr>
        <w:t xml:space="preserve">. </w:t>
      </w:r>
      <w:r w:rsidR="00757353" w:rsidRPr="008C1E5F">
        <w:rPr>
          <w:spacing w:val="-2"/>
        </w:rPr>
        <w:t xml:space="preserve">The district </w:t>
      </w:r>
      <w:r w:rsidR="00BD62F1" w:rsidRPr="008C1E5F">
        <w:rPr>
          <w:spacing w:val="-2"/>
        </w:rPr>
        <w:t>has</w:t>
      </w:r>
      <w:r w:rsidR="00757353" w:rsidRPr="008C1E5F">
        <w:rPr>
          <w:spacing w:val="-2"/>
        </w:rPr>
        <w:t xml:space="preserve"> </w:t>
      </w:r>
      <w:r w:rsidR="00AC06A1" w:rsidRPr="008C1E5F">
        <w:rPr>
          <w:spacing w:val="-2"/>
        </w:rPr>
        <w:t xml:space="preserve">several other current plans, including a </w:t>
      </w:r>
      <w:r w:rsidR="00B707DB" w:rsidRPr="008C1E5F">
        <w:rPr>
          <w:spacing w:val="-2"/>
        </w:rPr>
        <w:t>District Instructional Prioritization Plan for the 2024-2025 school year</w:t>
      </w:r>
      <w:r w:rsidR="00B707DB">
        <w:rPr>
          <w:spacing w:val="-2"/>
        </w:rPr>
        <w:t>, developed in partnership with DESE’s Statewide Systems of Support (</w:t>
      </w:r>
      <w:r w:rsidR="00B86465">
        <w:rPr>
          <w:spacing w:val="-2"/>
        </w:rPr>
        <w:t>S</w:t>
      </w:r>
      <w:r w:rsidR="00550F80">
        <w:rPr>
          <w:spacing w:val="-2"/>
        </w:rPr>
        <w:t>S</w:t>
      </w:r>
      <w:r w:rsidR="00B86465">
        <w:rPr>
          <w:spacing w:val="-2"/>
        </w:rPr>
        <w:t>oS</w:t>
      </w:r>
      <w:r w:rsidR="00B707DB">
        <w:rPr>
          <w:spacing w:val="-2"/>
        </w:rPr>
        <w:t xml:space="preserve">) office, and </w:t>
      </w:r>
      <w:r w:rsidR="00AC06A1" w:rsidRPr="008C1E5F">
        <w:rPr>
          <w:spacing w:val="-2"/>
        </w:rPr>
        <w:lastRenderedPageBreak/>
        <w:t>Student Opportunity Act Plan</w:t>
      </w:r>
      <w:r w:rsidR="00B86465">
        <w:rPr>
          <w:spacing w:val="-2"/>
        </w:rPr>
        <w:t>.</w:t>
      </w:r>
      <w:r w:rsidR="00AE2012" w:rsidRPr="008C1E5F">
        <w:rPr>
          <w:spacing w:val="-2"/>
        </w:rPr>
        <w:t xml:space="preserve"> </w:t>
      </w:r>
      <w:r w:rsidR="0094015A" w:rsidRPr="008C1E5F">
        <w:rPr>
          <w:spacing w:val="-2"/>
        </w:rPr>
        <w:t>Additionally, each school has a current improvement plan that is updated annually with family input from school councils.</w:t>
      </w:r>
      <w:r w:rsidR="00A64B93" w:rsidRPr="008C1E5F">
        <w:rPr>
          <w:spacing w:val="-2"/>
        </w:rPr>
        <w:t xml:space="preserve"> These plans include consistent priorities across schools as well as </w:t>
      </w:r>
      <w:r w:rsidR="00231CF7" w:rsidRPr="008C1E5F">
        <w:rPr>
          <w:spacing w:val="-2"/>
        </w:rPr>
        <w:t xml:space="preserve">the flexibility to address the unique needs and contexts of each </w:t>
      </w:r>
      <w:r w:rsidR="001D1B6E" w:rsidRPr="008C1E5F">
        <w:rPr>
          <w:spacing w:val="-2"/>
        </w:rPr>
        <w:t>building</w:t>
      </w:r>
      <w:r w:rsidR="00A64B93" w:rsidRPr="008C1E5F">
        <w:rPr>
          <w:spacing w:val="-2"/>
        </w:rPr>
        <w:t>.</w:t>
      </w:r>
      <w:r w:rsidR="00F67769" w:rsidRPr="008C1E5F">
        <w:rPr>
          <w:spacing w:val="-2"/>
        </w:rPr>
        <w:t xml:space="preserve"> </w:t>
      </w:r>
      <w:r w:rsidR="000E13CE" w:rsidRPr="008C1E5F">
        <w:rPr>
          <w:spacing w:val="-2"/>
        </w:rPr>
        <w:t>The district is focusing on implementation</w:t>
      </w:r>
      <w:r w:rsidR="00166F52">
        <w:rPr>
          <w:spacing w:val="-2"/>
        </w:rPr>
        <w:t>,</w:t>
      </w:r>
      <w:r w:rsidR="000E13CE" w:rsidRPr="008C1E5F">
        <w:rPr>
          <w:spacing w:val="-2"/>
        </w:rPr>
        <w:t xml:space="preserve"> monitoring</w:t>
      </w:r>
      <w:r w:rsidR="00166F52">
        <w:rPr>
          <w:spacing w:val="-2"/>
        </w:rPr>
        <w:t>,</w:t>
      </w:r>
      <w:r w:rsidR="000E13CE" w:rsidRPr="008C1E5F">
        <w:rPr>
          <w:spacing w:val="-2"/>
        </w:rPr>
        <w:t xml:space="preserve"> and continuous improvement and has </w:t>
      </w:r>
      <w:r w:rsidR="00C03894" w:rsidRPr="008C1E5F">
        <w:rPr>
          <w:spacing w:val="-2"/>
        </w:rPr>
        <w:t xml:space="preserve">established formal processes </w:t>
      </w:r>
      <w:r w:rsidR="00497911" w:rsidRPr="008C1E5F">
        <w:rPr>
          <w:spacing w:val="-2"/>
        </w:rPr>
        <w:t xml:space="preserve">to assess </w:t>
      </w:r>
      <w:r w:rsidR="00166F52">
        <w:rPr>
          <w:spacing w:val="-2"/>
        </w:rPr>
        <w:t>its</w:t>
      </w:r>
      <w:r w:rsidR="00166F52" w:rsidRPr="008C1E5F">
        <w:rPr>
          <w:spacing w:val="-2"/>
        </w:rPr>
        <w:t xml:space="preserve"> </w:t>
      </w:r>
      <w:r w:rsidR="00497911" w:rsidRPr="008C1E5F">
        <w:rPr>
          <w:spacing w:val="-2"/>
        </w:rPr>
        <w:t>effectiveness and communicate progress</w:t>
      </w:r>
      <w:r w:rsidR="00192E91" w:rsidRPr="008C1E5F">
        <w:rPr>
          <w:spacing w:val="-2"/>
        </w:rPr>
        <w:t xml:space="preserve">, including </w:t>
      </w:r>
      <w:r w:rsidR="007655B6" w:rsidRPr="008C1E5F">
        <w:rPr>
          <w:spacing w:val="-2"/>
        </w:rPr>
        <w:t>through data dives and school walkthroughs.</w:t>
      </w:r>
      <w:r w:rsidR="00A66209" w:rsidRPr="008C1E5F">
        <w:rPr>
          <w:spacing w:val="-2"/>
        </w:rPr>
        <w:t xml:space="preserve"> T</w:t>
      </w:r>
      <w:r w:rsidR="00497911" w:rsidRPr="008C1E5F">
        <w:rPr>
          <w:spacing w:val="-2"/>
        </w:rPr>
        <w:t xml:space="preserve">o monitor the implementation of the school improvement plans on an ongoing basis, the district has prioritized the creation and execution of short-term goals in each </w:t>
      </w:r>
      <w:r w:rsidR="00023DFB" w:rsidRPr="008C1E5F">
        <w:rPr>
          <w:spacing w:val="-2"/>
        </w:rPr>
        <w:t>school. The district active</w:t>
      </w:r>
      <w:r w:rsidR="00305673" w:rsidRPr="008C1E5F">
        <w:rPr>
          <w:spacing w:val="-2"/>
        </w:rPr>
        <w:t>ly</w:t>
      </w:r>
      <w:r w:rsidR="00023DFB" w:rsidRPr="008C1E5F">
        <w:rPr>
          <w:spacing w:val="-2"/>
        </w:rPr>
        <w:t xml:space="preserve"> partners with school leaders to monitor progress. </w:t>
      </w:r>
      <w:r w:rsidR="000C335C" w:rsidRPr="008C1E5F">
        <w:rPr>
          <w:spacing w:val="-2"/>
        </w:rPr>
        <w:t>Together, district leaders and school leaders collaborate to support students and improve outcomes.</w:t>
      </w:r>
    </w:p>
    <w:p w14:paraId="4D3B978E" w14:textId="7AE89340" w:rsidR="004F546B" w:rsidRPr="008C1E5F" w:rsidRDefault="005F4A9B" w:rsidP="00B4170D">
      <w:pPr>
        <w:pStyle w:val="BodyText"/>
        <w:rPr>
          <w:rFonts w:eastAsia="Aptos" w:cs="Aptos"/>
        </w:rPr>
      </w:pPr>
      <w:r w:rsidRPr="008C1E5F">
        <w:t>District staff identified few strategies for recruiting and retaining diverse leaders to ensure stability during leadership turnover.</w:t>
      </w:r>
      <w:r w:rsidR="00DB3BC0" w:rsidRPr="008C1E5F">
        <w:t xml:space="preserve"> </w:t>
      </w:r>
      <w:r w:rsidR="00CF6C94" w:rsidRPr="008C1E5F">
        <w:t>When possible</w:t>
      </w:r>
      <w:r w:rsidR="00E248D9" w:rsidRPr="008C1E5F">
        <w:t xml:space="preserve"> and appropriate, the district </w:t>
      </w:r>
      <w:proofErr w:type="gramStart"/>
      <w:r w:rsidR="00E248D9" w:rsidRPr="008C1E5F">
        <w:t>make</w:t>
      </w:r>
      <w:r w:rsidR="00BD62F1" w:rsidRPr="008C1E5F">
        <w:t>s</w:t>
      </w:r>
      <w:r w:rsidR="00E248D9" w:rsidRPr="008C1E5F">
        <w:t xml:space="preserve"> an effort</w:t>
      </w:r>
      <w:proofErr w:type="gramEnd"/>
      <w:r w:rsidR="00E248D9" w:rsidRPr="008C1E5F">
        <w:t xml:space="preserve"> to </w:t>
      </w:r>
      <w:proofErr w:type="gramStart"/>
      <w:r w:rsidR="00E248D9" w:rsidRPr="008C1E5F">
        <w:t>hire</w:t>
      </w:r>
      <w:proofErr w:type="gramEnd"/>
      <w:r w:rsidR="00E248D9" w:rsidRPr="008C1E5F">
        <w:t xml:space="preserve"> internally, </w:t>
      </w:r>
      <w:r w:rsidR="002E4793" w:rsidRPr="008C1E5F">
        <w:t xml:space="preserve">as indicated by </w:t>
      </w:r>
      <w:r w:rsidR="00867491" w:rsidRPr="008C1E5F">
        <w:t>several new district leaders</w:t>
      </w:r>
      <w:r w:rsidR="002E4793" w:rsidRPr="008C1E5F">
        <w:t xml:space="preserve">. The </w:t>
      </w:r>
      <w:r w:rsidR="00831724" w:rsidRPr="008C1E5F">
        <w:rPr>
          <w:rFonts w:eastAsia="Aptos" w:cs="Aptos"/>
        </w:rPr>
        <w:t xml:space="preserve">district </w:t>
      </w:r>
      <w:r w:rsidR="00867491" w:rsidRPr="008C1E5F">
        <w:rPr>
          <w:rFonts w:eastAsia="Aptos" w:cs="Aptos"/>
        </w:rPr>
        <w:t xml:space="preserve">is </w:t>
      </w:r>
      <w:r w:rsidR="00E40830" w:rsidRPr="008C1E5F">
        <w:rPr>
          <w:rFonts w:eastAsia="Aptos" w:cs="Aptos"/>
        </w:rPr>
        <w:t xml:space="preserve">also </w:t>
      </w:r>
      <w:r w:rsidR="00867491" w:rsidRPr="008C1E5F">
        <w:rPr>
          <w:rFonts w:eastAsia="Aptos" w:cs="Aptos"/>
        </w:rPr>
        <w:t xml:space="preserve">working to improve </w:t>
      </w:r>
      <w:r w:rsidR="00831724" w:rsidRPr="008C1E5F">
        <w:rPr>
          <w:rFonts w:eastAsia="Aptos" w:cs="Aptos"/>
        </w:rPr>
        <w:t>efforts to engage the broader community</w:t>
      </w:r>
      <w:r w:rsidR="00867491" w:rsidRPr="008C1E5F">
        <w:rPr>
          <w:rFonts w:eastAsia="Aptos" w:cs="Aptos"/>
        </w:rPr>
        <w:t>, such as by</w:t>
      </w:r>
      <w:r w:rsidR="00AD369A" w:rsidRPr="008C1E5F">
        <w:rPr>
          <w:rFonts w:eastAsia="Aptos" w:cs="Aptos"/>
        </w:rPr>
        <w:t xml:space="preserve"> </w:t>
      </w:r>
      <w:r w:rsidR="00831724" w:rsidRPr="008C1E5F">
        <w:rPr>
          <w:rFonts w:eastAsia="Aptos" w:cs="Aptos"/>
        </w:rPr>
        <w:t>solicit</w:t>
      </w:r>
      <w:r w:rsidR="00AD369A" w:rsidRPr="008C1E5F">
        <w:rPr>
          <w:rFonts w:eastAsia="Aptos" w:cs="Aptos"/>
        </w:rPr>
        <w:t>ing</w:t>
      </w:r>
      <w:r w:rsidR="00831724" w:rsidRPr="008C1E5F">
        <w:rPr>
          <w:rFonts w:eastAsia="Aptos" w:cs="Aptos"/>
        </w:rPr>
        <w:t xml:space="preserve"> parent feedback on district priorities through surveys</w:t>
      </w:r>
      <w:r w:rsidR="00E40830" w:rsidRPr="008C1E5F">
        <w:rPr>
          <w:rFonts w:eastAsia="Aptos" w:cs="Aptos"/>
        </w:rPr>
        <w:t>.</w:t>
      </w:r>
      <w:r w:rsidR="00831724" w:rsidRPr="008C1E5F">
        <w:rPr>
          <w:rFonts w:eastAsia="Aptos" w:cs="Aptos"/>
        </w:rPr>
        <w:t xml:space="preserve"> </w:t>
      </w:r>
      <w:r w:rsidR="00E40830" w:rsidRPr="008C1E5F">
        <w:rPr>
          <w:rFonts w:eastAsia="Aptos" w:cs="Aptos"/>
        </w:rPr>
        <w:t xml:space="preserve">However, </w:t>
      </w:r>
      <w:r w:rsidR="00FE7CF5" w:rsidRPr="008C1E5F">
        <w:rPr>
          <w:rFonts w:eastAsia="Aptos" w:cs="Aptos"/>
        </w:rPr>
        <w:t xml:space="preserve">there was </w:t>
      </w:r>
      <w:r w:rsidR="00C63BB9">
        <w:rPr>
          <w:rFonts w:eastAsia="Aptos" w:cs="Aptos"/>
        </w:rPr>
        <w:t>no</w:t>
      </w:r>
      <w:r w:rsidR="00C63BB9" w:rsidRPr="008C1E5F">
        <w:rPr>
          <w:rFonts w:eastAsia="Aptos" w:cs="Aptos"/>
        </w:rPr>
        <w:t xml:space="preserve"> </w:t>
      </w:r>
      <w:r w:rsidR="00831724" w:rsidRPr="008C1E5F">
        <w:rPr>
          <w:rFonts w:eastAsia="Aptos" w:cs="Aptos"/>
        </w:rPr>
        <w:t>clear process for incorporating the data from these surveys into decision-making processes</w:t>
      </w:r>
      <w:r w:rsidR="00FE7CF5" w:rsidRPr="008C1E5F">
        <w:rPr>
          <w:rFonts w:eastAsia="Aptos" w:cs="Aptos"/>
        </w:rPr>
        <w:t xml:space="preserve">. </w:t>
      </w:r>
      <w:r w:rsidR="00831724" w:rsidRPr="008C1E5F">
        <w:rPr>
          <w:rFonts w:eastAsia="Aptos" w:cs="Aptos"/>
        </w:rPr>
        <w:t xml:space="preserve">Additionally, </w:t>
      </w:r>
      <w:r w:rsidR="00FE7CF5" w:rsidRPr="008C1E5F">
        <w:rPr>
          <w:rFonts w:eastAsia="Aptos" w:cs="Aptos"/>
        </w:rPr>
        <w:t>parents reported</w:t>
      </w:r>
      <w:r w:rsidR="00831724" w:rsidRPr="008C1E5F">
        <w:rPr>
          <w:rFonts w:eastAsia="Aptos" w:cs="Aptos"/>
        </w:rPr>
        <w:t xml:space="preserve"> the desire to be more involved with district </w:t>
      </w:r>
      <w:r w:rsidR="00C63BB9">
        <w:rPr>
          <w:rFonts w:eastAsia="Aptos" w:cs="Aptos"/>
        </w:rPr>
        <w:t>decision-making</w:t>
      </w:r>
      <w:r w:rsidR="00A11160" w:rsidRPr="008C1E5F">
        <w:rPr>
          <w:rFonts w:eastAsia="Aptos" w:cs="Aptos"/>
        </w:rPr>
        <w:t xml:space="preserve">. </w:t>
      </w:r>
      <w:bookmarkEnd w:id="10"/>
    </w:p>
    <w:p w14:paraId="770E4914" w14:textId="3A1FCDD4" w:rsidR="000B1DD2" w:rsidRPr="008C1E5F" w:rsidRDefault="000B1DD2" w:rsidP="000B1DD2">
      <w:pPr>
        <w:pStyle w:val="Heading3"/>
      </w:pPr>
      <w:hyperlink w:anchor="_Curriculum_and_Instruction" w:history="1">
        <w:bookmarkStart w:id="13" w:name="_Toc195024199"/>
        <w:r w:rsidRPr="008C1E5F">
          <w:rPr>
            <w:rStyle w:val="Hyperlink"/>
          </w:rPr>
          <w:t>Curriculum and Instruction</w:t>
        </w:r>
        <w:bookmarkEnd w:id="13"/>
      </w:hyperlink>
    </w:p>
    <w:p w14:paraId="7601DFE8" w14:textId="77777777" w:rsidR="00A21E26" w:rsidRPr="008C1E5F" w:rsidRDefault="006B6195" w:rsidP="00F2219C">
      <w:pPr>
        <w:pStyle w:val="BodyTextposthead"/>
      </w:pPr>
      <w:r w:rsidRPr="008C1E5F">
        <w:t xml:space="preserve">District leaders described </w:t>
      </w:r>
      <w:r w:rsidR="006A249D" w:rsidRPr="008C1E5F">
        <w:t xml:space="preserve">an instructional vision for the district, although </w:t>
      </w:r>
      <w:r w:rsidR="008219D4" w:rsidRPr="008C1E5F">
        <w:t>school leaders</w:t>
      </w:r>
      <w:r w:rsidR="001E582D" w:rsidRPr="008C1E5F">
        <w:t xml:space="preserve"> and</w:t>
      </w:r>
      <w:r w:rsidR="006A249D" w:rsidRPr="008C1E5F">
        <w:t xml:space="preserve"> </w:t>
      </w:r>
      <w:r w:rsidR="008219D4" w:rsidRPr="008C1E5F">
        <w:t>teacher</w:t>
      </w:r>
      <w:r w:rsidR="006A249D" w:rsidRPr="008C1E5F">
        <w:t>s were unaware of this vision</w:t>
      </w:r>
      <w:r w:rsidR="00165140" w:rsidRPr="008C1E5F">
        <w:t xml:space="preserve">. </w:t>
      </w:r>
      <w:r w:rsidR="00084F22" w:rsidRPr="008C1E5F">
        <w:t>Despite this</w:t>
      </w:r>
      <w:r w:rsidR="00A21E26" w:rsidRPr="008C1E5F">
        <w:t xml:space="preserve">, the district </w:t>
      </w:r>
      <w:r w:rsidR="00BD62F1" w:rsidRPr="008C1E5F">
        <w:t>has</w:t>
      </w:r>
      <w:r w:rsidR="00A21E26" w:rsidRPr="008C1E5F">
        <w:t xml:space="preserve"> clearly defined priorities outlined in the </w:t>
      </w:r>
      <w:r w:rsidR="00A21E26" w:rsidRPr="008C1E5F">
        <w:rPr>
          <w:rFonts w:eastAsia="Aptos" w:cs="Aptos"/>
          <w:color w:val="242424"/>
        </w:rPr>
        <w:t xml:space="preserve">District Instructional Prioritization Plan. </w:t>
      </w:r>
      <w:r w:rsidR="006C5B89" w:rsidRPr="008C1E5F">
        <w:rPr>
          <w:rFonts w:eastAsia="Aptos" w:cs="Aptos"/>
          <w:color w:val="242424"/>
        </w:rPr>
        <w:t xml:space="preserve">To monitor </w:t>
      </w:r>
      <w:r w:rsidR="00F2219C" w:rsidRPr="008C1E5F">
        <w:rPr>
          <w:rFonts w:eastAsia="Aptos" w:cs="Aptos"/>
          <w:color w:val="242424"/>
        </w:rPr>
        <w:t xml:space="preserve">progress toward meeting these priorities and </w:t>
      </w:r>
      <w:r w:rsidR="00BD62F1" w:rsidRPr="008C1E5F">
        <w:rPr>
          <w:rFonts w:eastAsia="Aptos" w:cs="Aptos"/>
          <w:color w:val="242424"/>
        </w:rPr>
        <w:t xml:space="preserve">to </w:t>
      </w:r>
      <w:r w:rsidR="00F2219C" w:rsidRPr="008C1E5F">
        <w:rPr>
          <w:rFonts w:eastAsia="Aptos" w:cs="Aptos"/>
          <w:color w:val="242424"/>
        </w:rPr>
        <w:t xml:space="preserve">determine the effectiveness of improvement efforts, the district leverages each school’s ILT. </w:t>
      </w:r>
      <w:r w:rsidR="00836E26" w:rsidRPr="008C1E5F">
        <w:rPr>
          <w:rFonts w:eastAsia="Aptos" w:cs="Aptos"/>
          <w:color w:val="242424"/>
        </w:rPr>
        <w:t xml:space="preserve">Further, the district </w:t>
      </w:r>
      <w:r w:rsidR="00836E26" w:rsidRPr="008C1E5F">
        <w:t xml:space="preserve">supports each school’s ILT to ensure they are effective structures that support school improvement. </w:t>
      </w:r>
    </w:p>
    <w:p w14:paraId="40F7B2CE" w14:textId="74FD483D" w:rsidR="00B80D28" w:rsidRPr="008C1E5F" w:rsidRDefault="00EC4863" w:rsidP="00B4170D">
      <w:pPr>
        <w:pStyle w:val="BodyText"/>
        <w:rPr>
          <w:spacing w:val="-2"/>
        </w:rPr>
      </w:pPr>
      <w:r w:rsidRPr="008C1E5F">
        <w:rPr>
          <w:spacing w:val="-2"/>
        </w:rPr>
        <w:t xml:space="preserve">Over the past several years, the district has prioritized purchasing and implementing high-quality instructional materials. </w:t>
      </w:r>
      <w:r w:rsidR="00D60AB9" w:rsidRPr="008C1E5F">
        <w:rPr>
          <w:spacing w:val="-2"/>
        </w:rPr>
        <w:t xml:space="preserve">Although most curricular materials have been in place for several years, the district </w:t>
      </w:r>
      <w:r w:rsidR="009A618A" w:rsidRPr="008C1E5F">
        <w:rPr>
          <w:spacing w:val="-2"/>
        </w:rPr>
        <w:t>has</w:t>
      </w:r>
      <w:r w:rsidR="00D60AB9" w:rsidRPr="008C1E5F">
        <w:rPr>
          <w:spacing w:val="-2"/>
        </w:rPr>
        <w:t xml:space="preserve"> a comprehensive process in place for reviewing and adopting new curricula, including </w:t>
      </w:r>
      <w:r w:rsidR="00B80D28" w:rsidRPr="008C1E5F">
        <w:rPr>
          <w:spacing w:val="-2"/>
        </w:rPr>
        <w:t xml:space="preserve">reviewing CURATE and </w:t>
      </w:r>
      <w:r w:rsidR="00B86465" w:rsidRPr="008C1E5F">
        <w:rPr>
          <w:spacing w:val="-2"/>
        </w:rPr>
        <w:t>EdReports</w:t>
      </w:r>
      <w:r w:rsidR="007F3277">
        <w:rPr>
          <w:spacing w:val="-2"/>
        </w:rPr>
        <w:t xml:space="preserve"> ratings</w:t>
      </w:r>
      <w:r w:rsidR="00B80D28" w:rsidRPr="008C1E5F">
        <w:rPr>
          <w:spacing w:val="-2"/>
        </w:rPr>
        <w:t xml:space="preserve">, completing an equity protocol, and piloting materials for at least one year across multiple staff. </w:t>
      </w:r>
      <w:r w:rsidR="008D03DD" w:rsidRPr="008C1E5F">
        <w:rPr>
          <w:spacing w:val="-2"/>
        </w:rPr>
        <w:t xml:space="preserve">With most curricula </w:t>
      </w:r>
      <w:r w:rsidR="00FD1584" w:rsidRPr="008C1E5F">
        <w:rPr>
          <w:spacing w:val="-2"/>
        </w:rPr>
        <w:t xml:space="preserve">in place, the district is focusing on supporting teachers in their implementation of </w:t>
      </w:r>
      <w:r w:rsidR="00183C23" w:rsidRPr="008C1E5F">
        <w:rPr>
          <w:spacing w:val="-2"/>
        </w:rPr>
        <w:t>instructional materials</w:t>
      </w:r>
      <w:r w:rsidR="00FD1584" w:rsidRPr="008C1E5F">
        <w:rPr>
          <w:spacing w:val="-2"/>
        </w:rPr>
        <w:t xml:space="preserve">. </w:t>
      </w:r>
      <w:r w:rsidR="00092911" w:rsidRPr="008C1E5F">
        <w:rPr>
          <w:spacing w:val="-2"/>
        </w:rPr>
        <w:t>The district has a variety of formal structures to support teachers, including training and coaching by curriculum publishers and regular professional learning communities</w:t>
      </w:r>
      <w:r w:rsidR="009A149E" w:rsidRPr="008C1E5F">
        <w:rPr>
          <w:spacing w:val="-2"/>
        </w:rPr>
        <w:t xml:space="preserve">. </w:t>
      </w:r>
      <w:r w:rsidR="00B500B2" w:rsidRPr="008C1E5F">
        <w:rPr>
          <w:spacing w:val="-2"/>
        </w:rPr>
        <w:t xml:space="preserve">Yet teachers described </w:t>
      </w:r>
      <w:r w:rsidR="00B500B2">
        <w:rPr>
          <w:spacing w:val="-2"/>
        </w:rPr>
        <w:t>concerns about curricular adaptations and insufficient time in certain academic blocks to follow</w:t>
      </w:r>
      <w:r w:rsidR="00214340">
        <w:rPr>
          <w:spacing w:val="-2"/>
        </w:rPr>
        <w:t xml:space="preserve"> the district’s pacing guidance</w:t>
      </w:r>
      <w:r w:rsidR="00B500B2">
        <w:rPr>
          <w:spacing w:val="-2"/>
        </w:rPr>
        <w:t>.</w:t>
      </w:r>
      <w:r w:rsidR="0015166A" w:rsidRPr="008C1E5F">
        <w:rPr>
          <w:spacing w:val="-2"/>
        </w:rPr>
        <w:t xml:space="preserve"> </w:t>
      </w:r>
    </w:p>
    <w:p w14:paraId="7993557C" w14:textId="0C97AE43" w:rsidR="005B4C08" w:rsidRPr="00BE45C5" w:rsidRDefault="004632F0" w:rsidP="00B4170D">
      <w:pPr>
        <w:pStyle w:val="BodyText"/>
        <w:rPr>
          <w:spacing w:val="-2"/>
        </w:rPr>
      </w:pPr>
      <w:r w:rsidRPr="00BE45C5">
        <w:rPr>
          <w:spacing w:val="-2"/>
        </w:rPr>
        <w:t xml:space="preserve">Fall River </w:t>
      </w:r>
      <w:proofErr w:type="gramStart"/>
      <w:r w:rsidRPr="00BE45C5">
        <w:rPr>
          <w:spacing w:val="-2"/>
        </w:rPr>
        <w:t>is dedicated to</w:t>
      </w:r>
      <w:r w:rsidR="00B07D0B" w:rsidRPr="00BE45C5">
        <w:rPr>
          <w:spacing w:val="-2"/>
        </w:rPr>
        <w:t xml:space="preserve"> provid</w:t>
      </w:r>
      <w:r w:rsidRPr="00BE45C5">
        <w:rPr>
          <w:spacing w:val="-2"/>
        </w:rPr>
        <w:t>ing</w:t>
      </w:r>
      <w:proofErr w:type="gramEnd"/>
      <w:r w:rsidRPr="00BE45C5">
        <w:rPr>
          <w:spacing w:val="-2"/>
        </w:rPr>
        <w:t xml:space="preserve"> students with</w:t>
      </w:r>
      <w:r w:rsidR="00B07D0B" w:rsidRPr="00BE45C5">
        <w:rPr>
          <w:spacing w:val="-2"/>
        </w:rPr>
        <w:t xml:space="preserve"> equitable access to course</w:t>
      </w:r>
      <w:r w:rsidR="00E367D2" w:rsidRPr="00BE45C5">
        <w:rPr>
          <w:spacing w:val="-2"/>
        </w:rPr>
        <w:t xml:space="preserve">s, particularly </w:t>
      </w:r>
      <w:r w:rsidR="003C1E7A" w:rsidRPr="00BE45C5">
        <w:rPr>
          <w:spacing w:val="-2"/>
        </w:rPr>
        <w:t xml:space="preserve">English </w:t>
      </w:r>
      <w:r w:rsidR="00B500B2" w:rsidRPr="00BE45C5">
        <w:rPr>
          <w:spacing w:val="-2"/>
        </w:rPr>
        <w:t xml:space="preserve">Learners and </w:t>
      </w:r>
      <w:r w:rsidR="00930F79">
        <w:rPr>
          <w:spacing w:val="-2"/>
        </w:rPr>
        <w:t>S</w:t>
      </w:r>
      <w:r w:rsidR="00B500B2" w:rsidRPr="00BE45C5">
        <w:rPr>
          <w:spacing w:val="-2"/>
        </w:rPr>
        <w:t xml:space="preserve">tudents with </w:t>
      </w:r>
      <w:r w:rsidR="00930F79">
        <w:rPr>
          <w:spacing w:val="-2"/>
        </w:rPr>
        <w:t>D</w:t>
      </w:r>
      <w:r w:rsidR="00B500B2" w:rsidRPr="00BE45C5">
        <w:rPr>
          <w:spacing w:val="-2"/>
        </w:rPr>
        <w:t>isabilities.</w:t>
      </w:r>
      <w:r w:rsidR="00E367D2" w:rsidRPr="00BE45C5">
        <w:rPr>
          <w:spacing w:val="-2"/>
        </w:rPr>
        <w:t xml:space="preserve"> Additionally, the district is working to improve </w:t>
      </w:r>
      <w:r w:rsidR="009A618A" w:rsidRPr="00BE45C5">
        <w:rPr>
          <w:spacing w:val="-2"/>
        </w:rPr>
        <w:t xml:space="preserve">its </w:t>
      </w:r>
      <w:r w:rsidR="00E367D2" w:rsidRPr="00BE45C5">
        <w:rPr>
          <w:spacing w:val="-2"/>
        </w:rPr>
        <w:t>multitiered systems of support</w:t>
      </w:r>
      <w:r w:rsidR="0049076F" w:rsidRPr="00BE45C5">
        <w:rPr>
          <w:spacing w:val="-2"/>
        </w:rPr>
        <w:t xml:space="preserve"> (MTSS)</w:t>
      </w:r>
      <w:r w:rsidR="00E367D2" w:rsidRPr="00BE45C5">
        <w:rPr>
          <w:spacing w:val="-2"/>
        </w:rPr>
        <w:t xml:space="preserve"> using </w:t>
      </w:r>
      <w:r w:rsidR="0049076F" w:rsidRPr="00BE45C5">
        <w:rPr>
          <w:spacing w:val="-2"/>
        </w:rPr>
        <w:t xml:space="preserve">a grant provided by DESE. As part of the </w:t>
      </w:r>
      <w:r w:rsidR="00400295" w:rsidRPr="00BE45C5">
        <w:rPr>
          <w:spacing w:val="-2"/>
        </w:rPr>
        <w:t xml:space="preserve">MTSS </w:t>
      </w:r>
      <w:r w:rsidR="00683553" w:rsidRPr="00BE45C5">
        <w:rPr>
          <w:spacing w:val="-2"/>
        </w:rPr>
        <w:t xml:space="preserve">system, the high school utilizes </w:t>
      </w:r>
      <w:r w:rsidR="008F15FD" w:rsidRPr="00BE45C5">
        <w:rPr>
          <w:spacing w:val="-2"/>
        </w:rPr>
        <w:t xml:space="preserve">a </w:t>
      </w:r>
      <w:r w:rsidR="00772831" w:rsidRPr="00BE45C5">
        <w:rPr>
          <w:spacing w:val="-2"/>
        </w:rPr>
        <w:t xml:space="preserve">collaborative teaming </w:t>
      </w:r>
      <w:r w:rsidR="00F51EC7" w:rsidRPr="00BE45C5">
        <w:rPr>
          <w:spacing w:val="-2"/>
        </w:rPr>
        <w:t xml:space="preserve">structure </w:t>
      </w:r>
      <w:r w:rsidR="00772831" w:rsidRPr="00BE45C5">
        <w:rPr>
          <w:spacing w:val="-2"/>
        </w:rPr>
        <w:t>where</w:t>
      </w:r>
      <w:r w:rsidR="009A618A" w:rsidRPr="00BE45C5">
        <w:rPr>
          <w:spacing w:val="-2"/>
        </w:rPr>
        <w:t>by</w:t>
      </w:r>
      <w:r w:rsidR="00772831" w:rsidRPr="00BE45C5">
        <w:rPr>
          <w:spacing w:val="-2"/>
        </w:rPr>
        <w:t xml:space="preserve"> students are regularly actively involved in decision</w:t>
      </w:r>
      <w:r w:rsidR="009A618A" w:rsidRPr="00BE45C5">
        <w:rPr>
          <w:spacing w:val="-2"/>
        </w:rPr>
        <w:t xml:space="preserve"> </w:t>
      </w:r>
      <w:r w:rsidR="00772831" w:rsidRPr="00BE45C5">
        <w:rPr>
          <w:spacing w:val="-2"/>
        </w:rPr>
        <w:t xml:space="preserve">making about the supports they receive. </w:t>
      </w:r>
      <w:r w:rsidR="00661ABD" w:rsidRPr="00BE45C5">
        <w:rPr>
          <w:spacing w:val="-2"/>
        </w:rPr>
        <w:t xml:space="preserve">All schools have dedicated time during the day to provide students with interventions and supports. </w:t>
      </w:r>
      <w:r w:rsidR="00772831" w:rsidRPr="00BE45C5">
        <w:rPr>
          <w:spacing w:val="-2"/>
        </w:rPr>
        <w:t>T</w:t>
      </w:r>
      <w:r w:rsidR="00F51EC7" w:rsidRPr="00BE45C5">
        <w:rPr>
          <w:spacing w:val="-2"/>
        </w:rPr>
        <w:t xml:space="preserve">he district </w:t>
      </w:r>
      <w:r w:rsidR="006C7D30" w:rsidRPr="00BE45C5">
        <w:rPr>
          <w:spacing w:val="-2"/>
        </w:rPr>
        <w:t>also</w:t>
      </w:r>
      <w:r w:rsidR="00ED08AE" w:rsidRPr="00BE45C5">
        <w:rPr>
          <w:spacing w:val="-2"/>
        </w:rPr>
        <w:t xml:space="preserve"> </w:t>
      </w:r>
      <w:r w:rsidR="00F51EC7" w:rsidRPr="00BE45C5">
        <w:rPr>
          <w:spacing w:val="-2"/>
        </w:rPr>
        <w:t>places a strong emphasis on supporting historically underserved students by providing</w:t>
      </w:r>
      <w:r w:rsidR="001D0928" w:rsidRPr="00BE45C5">
        <w:rPr>
          <w:spacing w:val="-2"/>
        </w:rPr>
        <w:t xml:space="preserve"> the</w:t>
      </w:r>
      <w:r w:rsidR="00F51EC7" w:rsidRPr="00BE45C5">
        <w:rPr>
          <w:spacing w:val="-2"/>
        </w:rPr>
        <w:t xml:space="preserve"> </w:t>
      </w:r>
      <w:r w:rsidR="001D0928" w:rsidRPr="00BE45C5">
        <w:rPr>
          <w:spacing w:val="-2"/>
        </w:rPr>
        <w:t>individualized supports and services they need</w:t>
      </w:r>
      <w:r w:rsidR="001A640E" w:rsidRPr="00BE45C5">
        <w:rPr>
          <w:spacing w:val="-2"/>
        </w:rPr>
        <w:t xml:space="preserve"> and </w:t>
      </w:r>
      <w:r w:rsidR="001D0928" w:rsidRPr="00BE45C5">
        <w:rPr>
          <w:spacing w:val="-2"/>
        </w:rPr>
        <w:t xml:space="preserve">using data to monitor outcomes and adjust as needed. However, </w:t>
      </w:r>
      <w:r w:rsidR="005B4C08" w:rsidRPr="00BE45C5">
        <w:rPr>
          <w:spacing w:val="-2"/>
        </w:rPr>
        <w:t xml:space="preserve">there are some barriers </w:t>
      </w:r>
      <w:r w:rsidR="009A618A" w:rsidRPr="00BE45C5">
        <w:rPr>
          <w:spacing w:val="-2"/>
        </w:rPr>
        <w:t xml:space="preserve">to accessing opportunities </w:t>
      </w:r>
      <w:r w:rsidR="005B4C08" w:rsidRPr="00BE45C5">
        <w:rPr>
          <w:spacing w:val="-2"/>
        </w:rPr>
        <w:t xml:space="preserve">for </w:t>
      </w:r>
      <w:r w:rsidR="00B500B2" w:rsidRPr="00BE45C5">
        <w:rPr>
          <w:spacing w:val="-2"/>
        </w:rPr>
        <w:t xml:space="preserve">English Learners and </w:t>
      </w:r>
      <w:r w:rsidR="00930F79">
        <w:rPr>
          <w:spacing w:val="-2"/>
        </w:rPr>
        <w:t>S</w:t>
      </w:r>
      <w:r w:rsidR="00B500B2" w:rsidRPr="00BE45C5">
        <w:rPr>
          <w:spacing w:val="-2"/>
        </w:rPr>
        <w:t xml:space="preserve">tudents with </w:t>
      </w:r>
      <w:r w:rsidR="00930F79">
        <w:rPr>
          <w:spacing w:val="-2"/>
        </w:rPr>
        <w:t>D</w:t>
      </w:r>
      <w:r w:rsidR="00B500B2" w:rsidRPr="00BE45C5">
        <w:rPr>
          <w:spacing w:val="-2"/>
        </w:rPr>
        <w:t>isabilities.</w:t>
      </w:r>
      <w:r w:rsidR="00935961" w:rsidRPr="00BE45C5">
        <w:rPr>
          <w:spacing w:val="-2"/>
        </w:rPr>
        <w:t xml:space="preserve"> </w:t>
      </w:r>
      <w:r w:rsidR="006E0ED9" w:rsidRPr="00BE45C5">
        <w:rPr>
          <w:spacing w:val="-2"/>
        </w:rPr>
        <w:t xml:space="preserve">Required </w:t>
      </w:r>
      <w:r w:rsidR="00904A9D" w:rsidRPr="00BE45C5">
        <w:rPr>
          <w:spacing w:val="-2"/>
        </w:rPr>
        <w:t xml:space="preserve">English as a </w:t>
      </w:r>
      <w:r w:rsidR="00904A9D" w:rsidRPr="00BE45C5">
        <w:rPr>
          <w:spacing w:val="-2"/>
        </w:rPr>
        <w:lastRenderedPageBreak/>
        <w:t xml:space="preserve">second language </w:t>
      </w:r>
      <w:r w:rsidR="006E0ED9" w:rsidRPr="00BE45C5">
        <w:rPr>
          <w:spacing w:val="-2"/>
        </w:rPr>
        <w:t xml:space="preserve">courses or other interventions can conflict with </w:t>
      </w:r>
      <w:r w:rsidR="00255DDC" w:rsidRPr="00BE45C5">
        <w:rPr>
          <w:spacing w:val="-2"/>
        </w:rPr>
        <w:t>specials/</w:t>
      </w:r>
      <w:r w:rsidR="006E0ED9" w:rsidRPr="00BE45C5">
        <w:rPr>
          <w:spacing w:val="-2"/>
        </w:rPr>
        <w:t>unified arts opportunities</w:t>
      </w:r>
      <w:r w:rsidR="00B500B2" w:rsidRPr="00BE45C5">
        <w:rPr>
          <w:spacing w:val="-2"/>
        </w:rPr>
        <w:t xml:space="preserve"> (e.g., music, chorus), limiting English Learners’ ability to participate. </w:t>
      </w:r>
      <w:r w:rsidR="006E0ED9" w:rsidRPr="00BE45C5">
        <w:rPr>
          <w:spacing w:val="-2"/>
        </w:rPr>
        <w:t xml:space="preserve">For </w:t>
      </w:r>
      <w:r w:rsidR="00930F79">
        <w:rPr>
          <w:spacing w:val="-2"/>
        </w:rPr>
        <w:t>S</w:t>
      </w:r>
      <w:r w:rsidR="00B500B2" w:rsidRPr="00BE45C5">
        <w:rPr>
          <w:spacing w:val="-2"/>
        </w:rPr>
        <w:t xml:space="preserve">tudents with </w:t>
      </w:r>
      <w:r w:rsidR="00930F79">
        <w:rPr>
          <w:spacing w:val="-2"/>
        </w:rPr>
        <w:t>D</w:t>
      </w:r>
      <w:r w:rsidR="00B500B2" w:rsidRPr="00BE45C5">
        <w:rPr>
          <w:spacing w:val="-2"/>
        </w:rPr>
        <w:t>isabilities,</w:t>
      </w:r>
      <w:r w:rsidR="00E926C7" w:rsidRPr="00BE45C5">
        <w:rPr>
          <w:spacing w:val="-2"/>
        </w:rPr>
        <w:t xml:space="preserve"> </w:t>
      </w:r>
      <w:r w:rsidR="00E926C7">
        <w:rPr>
          <w:spacing w:val="-2"/>
        </w:rPr>
        <w:t>e</w:t>
      </w:r>
      <w:r w:rsidR="00E926C7" w:rsidRPr="00BE45C5">
        <w:rPr>
          <w:spacing w:val="-2"/>
        </w:rPr>
        <w:t xml:space="preserve">nsuring </w:t>
      </w:r>
      <w:r w:rsidR="00B500B2" w:rsidRPr="00BE45C5">
        <w:rPr>
          <w:spacing w:val="-2"/>
        </w:rPr>
        <w:t xml:space="preserve">that students receive appropriate supports </w:t>
      </w:r>
      <w:r w:rsidR="00E926C7" w:rsidRPr="00BE45C5">
        <w:rPr>
          <w:spacing w:val="-2"/>
        </w:rPr>
        <w:t>in the least restrictive environment</w:t>
      </w:r>
      <w:r w:rsidR="00B500B2" w:rsidRPr="00BE45C5">
        <w:rPr>
          <w:spacing w:val="-2"/>
        </w:rPr>
        <w:t xml:space="preserve">, are </w:t>
      </w:r>
      <w:r w:rsidR="0024416A">
        <w:rPr>
          <w:spacing w:val="-2"/>
        </w:rPr>
        <w:t>served</w:t>
      </w:r>
      <w:r w:rsidR="0024416A" w:rsidRPr="00BE45C5">
        <w:rPr>
          <w:spacing w:val="-2"/>
        </w:rPr>
        <w:t xml:space="preserve"> </w:t>
      </w:r>
      <w:r w:rsidR="00B500B2" w:rsidRPr="00BE45C5">
        <w:rPr>
          <w:spacing w:val="-2"/>
        </w:rPr>
        <w:t>by credentialed staff, and have equitable access to a high-quality education</w:t>
      </w:r>
      <w:r w:rsidR="00B500B2">
        <w:rPr>
          <w:spacing w:val="-2"/>
        </w:rPr>
        <w:t xml:space="preserve"> are barriers.</w:t>
      </w:r>
    </w:p>
    <w:p w14:paraId="4A10F319" w14:textId="77777777" w:rsidR="00F51EC7" w:rsidRPr="008C1E5F" w:rsidRDefault="00DE76DB" w:rsidP="00B4170D">
      <w:pPr>
        <w:pStyle w:val="BodyText"/>
      </w:pPr>
      <w:r w:rsidRPr="008C1E5F">
        <w:t>T</w:t>
      </w:r>
      <w:r w:rsidR="00F51EC7" w:rsidRPr="008C1E5F">
        <w:t xml:space="preserve">he district offers a wide range of </w:t>
      </w:r>
      <w:r w:rsidR="00230B5E" w:rsidRPr="008C1E5F">
        <w:t>opportunities to take classes</w:t>
      </w:r>
      <w:r w:rsidR="00F51EC7" w:rsidRPr="008C1E5F">
        <w:t xml:space="preserve"> beyond core academic subjects, allowing students to explore their interests and passions</w:t>
      </w:r>
      <w:r w:rsidR="00230B5E" w:rsidRPr="008C1E5F">
        <w:t xml:space="preserve">. However, parents are not always aware of the opportunities available to their child, particularly at the high school level. </w:t>
      </w:r>
      <w:r w:rsidR="0033333A" w:rsidRPr="008C1E5F">
        <w:t>In classroom instruction, Fall River supports teachers in implementing evidence-based instructional practices by providing professional development, offering instructional coaching, and conducting walkthroughs</w:t>
      </w:r>
      <w:r w:rsidR="00B500B2">
        <w:t xml:space="preserve"> on a regular basis</w:t>
      </w:r>
      <w:r w:rsidR="0033333A" w:rsidRPr="008C1E5F">
        <w:t xml:space="preserve">. </w:t>
      </w:r>
    </w:p>
    <w:p w14:paraId="65498654" w14:textId="19BA8684" w:rsidR="000B1DD2" w:rsidRPr="008C1E5F" w:rsidRDefault="000B1DD2" w:rsidP="000B1DD2">
      <w:pPr>
        <w:pStyle w:val="Heading3"/>
        <w:rPr>
          <w:color w:val="000000" w:themeColor="text1"/>
        </w:rPr>
      </w:pPr>
      <w:hyperlink w:anchor="_Assessment" w:history="1">
        <w:bookmarkStart w:id="14" w:name="_Toc195024200"/>
        <w:r w:rsidRPr="008C1E5F">
          <w:rPr>
            <w:rStyle w:val="Hyperlink"/>
            <w:bdr w:val="none" w:sz="0" w:space="0" w:color="auto" w:frame="1"/>
          </w:rPr>
          <w:t>Assessment</w:t>
        </w:r>
        <w:bookmarkEnd w:id="14"/>
      </w:hyperlink>
    </w:p>
    <w:p w14:paraId="082419E6" w14:textId="694694A3" w:rsidR="00D75FA6" w:rsidRPr="008C1E5F" w:rsidRDefault="001C70B0" w:rsidP="00E73A87">
      <w:pPr>
        <w:pStyle w:val="BodyTextposthead"/>
      </w:pPr>
      <w:r w:rsidRPr="008C1E5F">
        <w:t xml:space="preserve">Fall River </w:t>
      </w:r>
      <w:r w:rsidR="00410194" w:rsidRPr="008C1E5F">
        <w:t xml:space="preserve">utilizes a </w:t>
      </w:r>
      <w:r w:rsidR="00960723" w:rsidRPr="008C1E5F">
        <w:t>variety of data,</w:t>
      </w:r>
      <w:r w:rsidR="00BF17BE" w:rsidRPr="008C1E5F">
        <w:t xml:space="preserve"> includ</w:t>
      </w:r>
      <w:r w:rsidR="00960723" w:rsidRPr="008C1E5F">
        <w:t xml:space="preserve">ing </w:t>
      </w:r>
      <w:r w:rsidR="00BF17BE" w:rsidRPr="008C1E5F">
        <w:t xml:space="preserve">both academic and </w:t>
      </w:r>
      <w:proofErr w:type="gramStart"/>
      <w:r w:rsidR="00BF17BE" w:rsidRPr="008C1E5F">
        <w:t>nonacademic</w:t>
      </w:r>
      <w:proofErr w:type="gramEnd"/>
      <w:r w:rsidR="00BF17BE" w:rsidRPr="008C1E5F">
        <w:t xml:space="preserve"> information for each student</w:t>
      </w:r>
      <w:r w:rsidRPr="008C1E5F">
        <w:t xml:space="preserve">. </w:t>
      </w:r>
      <w:r w:rsidR="009B1A6C" w:rsidRPr="008C1E5F">
        <w:t>To triangulate these various data sources, the</w:t>
      </w:r>
      <w:r w:rsidR="00015144" w:rsidRPr="008C1E5F">
        <w:t xml:space="preserve"> district </w:t>
      </w:r>
      <w:r w:rsidR="00232D1B" w:rsidRPr="008C1E5F">
        <w:t xml:space="preserve">utilizes online platforms including </w:t>
      </w:r>
      <w:proofErr w:type="spellStart"/>
      <w:r w:rsidR="00232D1B" w:rsidRPr="008C1E5F">
        <w:t>DnA</w:t>
      </w:r>
      <w:proofErr w:type="spellEnd"/>
      <w:r w:rsidR="00232D1B" w:rsidRPr="008C1E5F">
        <w:t xml:space="preserve"> for academic data and </w:t>
      </w:r>
      <w:proofErr w:type="spellStart"/>
      <w:r w:rsidR="00232D1B" w:rsidRPr="008C1E5F">
        <w:t>Educ</w:t>
      </w:r>
      <w:r w:rsidR="009B1A6C" w:rsidRPr="008C1E5F">
        <w:t>limber</w:t>
      </w:r>
      <w:proofErr w:type="spellEnd"/>
      <w:r w:rsidR="009B1A6C" w:rsidRPr="008C1E5F">
        <w:t xml:space="preserve"> for nonacademic data</w:t>
      </w:r>
      <w:r w:rsidR="000540C4" w:rsidRPr="008C1E5F">
        <w:t xml:space="preserve">. </w:t>
      </w:r>
      <w:r w:rsidR="00A20DC8" w:rsidRPr="008C1E5F">
        <w:t xml:space="preserve">However, </w:t>
      </w:r>
      <w:r w:rsidR="00906D53" w:rsidRPr="008C1E5F">
        <w:t>teachers</w:t>
      </w:r>
      <w:r w:rsidR="00A20DC8" w:rsidRPr="008C1E5F">
        <w:t xml:space="preserve"> identified several concerns about the quality, pacing, and alignment of </w:t>
      </w:r>
      <w:r w:rsidR="003F41A9" w:rsidRPr="008C1E5F">
        <w:t xml:space="preserve">the district </w:t>
      </w:r>
      <w:r w:rsidR="00A20DC8" w:rsidRPr="008C1E5F">
        <w:t>benchmark</w:t>
      </w:r>
      <w:r w:rsidR="003F41A9" w:rsidRPr="008C1E5F">
        <w:t>s</w:t>
      </w:r>
      <w:r w:rsidR="005879CB" w:rsidRPr="008C1E5F">
        <w:t xml:space="preserve"> that </w:t>
      </w:r>
      <w:r w:rsidR="001804B0" w:rsidRPr="008C1E5F">
        <w:t>negatively impact their usefulness</w:t>
      </w:r>
      <w:r w:rsidR="003E3CDC" w:rsidRPr="008C1E5F">
        <w:t xml:space="preserve"> for </w:t>
      </w:r>
      <w:r w:rsidR="007B79CE" w:rsidRPr="008C1E5F">
        <w:t>driving instruction</w:t>
      </w:r>
      <w:r w:rsidR="003F41A9" w:rsidRPr="008C1E5F">
        <w:t>.</w:t>
      </w:r>
      <w:r w:rsidR="00B57E01" w:rsidRPr="008C1E5F">
        <w:t xml:space="preserve"> </w:t>
      </w:r>
      <w:r w:rsidR="00E73A87" w:rsidRPr="008C1E5F">
        <w:t>To support data-based decision</w:t>
      </w:r>
      <w:r w:rsidR="009A618A" w:rsidRPr="008C1E5F">
        <w:t xml:space="preserve"> </w:t>
      </w:r>
      <w:r w:rsidR="00E73A87" w:rsidRPr="008C1E5F">
        <w:t xml:space="preserve">making across </w:t>
      </w:r>
      <w:r w:rsidR="00D75FA6" w:rsidRPr="008C1E5F">
        <w:t>all schools</w:t>
      </w:r>
      <w:r w:rsidR="00E73A87" w:rsidRPr="008C1E5F">
        <w:t>,</w:t>
      </w:r>
      <w:r w:rsidR="00D75FA6" w:rsidRPr="008C1E5F">
        <w:t xml:space="preserve"> the district supports </w:t>
      </w:r>
      <w:r w:rsidR="009436FA" w:rsidRPr="008C1E5F">
        <w:t xml:space="preserve">schools </w:t>
      </w:r>
      <w:r w:rsidR="0024416A">
        <w:t>in</w:t>
      </w:r>
      <w:r w:rsidR="0024416A" w:rsidRPr="008C1E5F">
        <w:t xml:space="preserve"> </w:t>
      </w:r>
      <w:r w:rsidR="00D75FA6" w:rsidRPr="2D58F6A0">
        <w:rPr>
          <w:rFonts w:eastAsiaTheme="majorEastAsia" w:cs="Segoe UI"/>
          <w:color w:val="000000" w:themeColor="text1"/>
        </w:rPr>
        <w:t>complet</w:t>
      </w:r>
      <w:r w:rsidR="009436FA" w:rsidRPr="2D58F6A0">
        <w:rPr>
          <w:rFonts w:eastAsiaTheme="majorEastAsia" w:cs="Segoe UI"/>
          <w:color w:val="000000" w:themeColor="text1"/>
        </w:rPr>
        <w:t>ing</w:t>
      </w:r>
      <w:r w:rsidR="00D75FA6" w:rsidRPr="2D58F6A0">
        <w:rPr>
          <w:rFonts w:eastAsiaTheme="majorEastAsia" w:cs="Segoe UI"/>
          <w:color w:val="000000" w:themeColor="text1"/>
        </w:rPr>
        <w:t xml:space="preserve"> multiple data dives per year to inform their short-term action plans</w:t>
      </w:r>
      <w:r w:rsidR="00704B76" w:rsidRPr="2D58F6A0">
        <w:rPr>
          <w:rFonts w:eastAsiaTheme="majorEastAsia" w:cs="Segoe UI"/>
          <w:color w:val="000000" w:themeColor="text1"/>
        </w:rPr>
        <w:t xml:space="preserve">. </w:t>
      </w:r>
      <w:r w:rsidR="00AA071D" w:rsidRPr="2D58F6A0">
        <w:rPr>
          <w:rFonts w:eastAsiaTheme="majorEastAsia" w:cs="Segoe UI"/>
          <w:color w:val="000000" w:themeColor="text1"/>
        </w:rPr>
        <w:t>The district has also implemented a structured data inquiry process to identify and address equity gaps across all schools.</w:t>
      </w:r>
      <w:r w:rsidR="00421125" w:rsidRPr="2D58F6A0">
        <w:rPr>
          <w:rFonts w:eastAsiaTheme="majorEastAsia" w:cs="Segoe UI"/>
          <w:color w:val="000000" w:themeColor="text1"/>
        </w:rPr>
        <w:t xml:space="preserve"> </w:t>
      </w:r>
      <w:r w:rsidR="00704B76" w:rsidRPr="2D58F6A0">
        <w:rPr>
          <w:rFonts w:eastAsiaTheme="majorEastAsia" w:cs="Segoe UI"/>
          <w:color w:val="000000" w:themeColor="text1"/>
        </w:rPr>
        <w:t xml:space="preserve">District leaders </w:t>
      </w:r>
      <w:r w:rsidR="00761B2D" w:rsidRPr="2D58F6A0">
        <w:rPr>
          <w:rFonts w:eastAsiaTheme="majorEastAsia" w:cs="Segoe UI"/>
          <w:color w:val="000000" w:themeColor="text1"/>
        </w:rPr>
        <w:t xml:space="preserve">have </w:t>
      </w:r>
      <w:r w:rsidR="00761B2D" w:rsidRPr="008C1E5F">
        <w:t>established many formal structures to support data use across the district and schools</w:t>
      </w:r>
      <w:r w:rsidR="009A618A" w:rsidRPr="008C1E5F">
        <w:t>,</w:t>
      </w:r>
      <w:r w:rsidR="00761B2D" w:rsidRPr="2D58F6A0">
        <w:rPr>
          <w:rFonts w:eastAsiaTheme="majorEastAsia" w:cs="Segoe UI"/>
          <w:color w:val="000000" w:themeColor="text1"/>
        </w:rPr>
        <w:t xml:space="preserve"> including</w:t>
      </w:r>
      <w:r w:rsidR="00704B76" w:rsidRPr="2D58F6A0">
        <w:rPr>
          <w:rFonts w:eastAsiaTheme="majorEastAsia" w:cs="Segoe UI"/>
          <w:color w:val="000000" w:themeColor="text1"/>
        </w:rPr>
        <w:t xml:space="preserve"> </w:t>
      </w:r>
      <w:r w:rsidR="0098182A" w:rsidRPr="2D58F6A0">
        <w:rPr>
          <w:rFonts w:eastAsiaTheme="majorEastAsia" w:cs="Segoe UI"/>
          <w:color w:val="000000" w:themeColor="text1"/>
        </w:rPr>
        <w:t>professional learning communities</w:t>
      </w:r>
      <w:r w:rsidR="00704B76" w:rsidRPr="2D58F6A0">
        <w:rPr>
          <w:rFonts w:eastAsiaTheme="majorEastAsia" w:cs="Segoe UI"/>
          <w:color w:val="000000" w:themeColor="text1"/>
        </w:rPr>
        <w:t>, professional development, coaching, and observation and feedback cycles</w:t>
      </w:r>
      <w:r w:rsidR="009A618A" w:rsidRPr="2D58F6A0">
        <w:rPr>
          <w:rFonts w:eastAsiaTheme="majorEastAsia" w:cs="Segoe UI"/>
          <w:color w:val="000000" w:themeColor="text1"/>
        </w:rPr>
        <w:t>,</w:t>
      </w:r>
      <w:r w:rsidR="00704B76" w:rsidRPr="2D58F6A0">
        <w:rPr>
          <w:rFonts w:eastAsiaTheme="majorEastAsia" w:cs="Segoe UI"/>
          <w:color w:val="000000" w:themeColor="text1"/>
        </w:rPr>
        <w:t xml:space="preserve"> </w:t>
      </w:r>
      <w:r w:rsidR="00FA3CD2">
        <w:rPr>
          <w:rFonts w:eastAsiaTheme="majorEastAsia" w:cs="Segoe UI"/>
          <w:color w:val="000000" w:themeColor="text1"/>
        </w:rPr>
        <w:t>which are</w:t>
      </w:r>
      <w:r w:rsidR="00704B76" w:rsidRPr="2D58F6A0">
        <w:rPr>
          <w:rFonts w:eastAsiaTheme="majorEastAsia" w:cs="Segoe UI"/>
          <w:color w:val="000000" w:themeColor="text1"/>
        </w:rPr>
        <w:t xml:space="preserve"> crucial to gauging progress toward schools’ short-term goals. </w:t>
      </w:r>
    </w:p>
    <w:p w14:paraId="6C0246B3" w14:textId="5CA8D2B8" w:rsidR="00D75FA6" w:rsidRPr="008C1E5F" w:rsidRDefault="00E55BB8" w:rsidP="00B4170D">
      <w:pPr>
        <w:pStyle w:val="BodyText"/>
      </w:pPr>
      <w:r w:rsidRPr="008C1E5F">
        <w:t>Fall River expect</w:t>
      </w:r>
      <w:r w:rsidR="00901305" w:rsidRPr="008C1E5F">
        <w:t>s</w:t>
      </w:r>
      <w:r w:rsidRPr="008C1E5F">
        <w:t xml:space="preserve"> teachers to communicate with families about student performance and they have systems and processes in place for this communication.</w:t>
      </w:r>
      <w:r w:rsidR="00B66687" w:rsidRPr="008C1E5F">
        <w:t xml:space="preserve"> Teachers utilize a variety of methods </w:t>
      </w:r>
      <w:r w:rsidR="008539B2" w:rsidRPr="008C1E5F">
        <w:t>to communicate about student progress toward grade-level standards, including</w:t>
      </w:r>
      <w:r w:rsidR="00B32952" w:rsidRPr="008C1E5F">
        <w:t xml:space="preserve"> report cards,</w:t>
      </w:r>
      <w:r w:rsidR="008539B2" w:rsidRPr="008C1E5F">
        <w:t xml:space="preserve"> </w:t>
      </w:r>
      <w:r w:rsidR="00B10E9D" w:rsidRPr="008C1E5F">
        <w:t>Parent</w:t>
      </w:r>
      <w:r w:rsidR="00263848">
        <w:t xml:space="preserve"> </w:t>
      </w:r>
      <w:r w:rsidR="00B10E9D" w:rsidRPr="008C1E5F">
        <w:t>Square</w:t>
      </w:r>
      <w:r w:rsidR="00B32952" w:rsidRPr="008C1E5F">
        <w:t>, Aspen, and Google Classroom</w:t>
      </w:r>
      <w:r w:rsidR="000C4910" w:rsidRPr="008C1E5F">
        <w:t>, and</w:t>
      </w:r>
      <w:r w:rsidR="00B32952" w:rsidRPr="008C1E5F">
        <w:t xml:space="preserve"> </w:t>
      </w:r>
      <w:r w:rsidR="000C4910" w:rsidRPr="008C1E5F">
        <w:t>p</w:t>
      </w:r>
      <w:r w:rsidR="00BB4597" w:rsidRPr="008C1E5F">
        <w:t xml:space="preserve">arents had positive impressions of these communication methods. </w:t>
      </w:r>
      <w:r w:rsidR="000E51B7" w:rsidRPr="008C1E5F">
        <w:t>The district also supports students in taking ownership of their own learning by having them s</w:t>
      </w:r>
      <w:r w:rsidR="00AE12B3" w:rsidRPr="008C1E5F">
        <w:t>et academic goals</w:t>
      </w:r>
      <w:r w:rsidR="009A618A" w:rsidRPr="008C1E5F">
        <w:t>.</w:t>
      </w:r>
      <w:r w:rsidR="000C4910" w:rsidRPr="008C1E5F">
        <w:t xml:space="preserve"> </w:t>
      </w:r>
      <w:r w:rsidR="009E1BB7" w:rsidRPr="008C1E5F">
        <w:t>Teachers then check</w:t>
      </w:r>
      <w:r w:rsidR="009A618A" w:rsidRPr="008C1E5F">
        <w:t xml:space="preserve"> </w:t>
      </w:r>
      <w:r w:rsidR="009E1BB7" w:rsidRPr="008C1E5F">
        <w:t xml:space="preserve">in with students on their progress toward attaining these goals throughout the school year. </w:t>
      </w:r>
    </w:p>
    <w:p w14:paraId="05B6D72B" w14:textId="58EB2854" w:rsidR="000B1DD2" w:rsidRPr="008C1E5F" w:rsidRDefault="000B1DD2" w:rsidP="000B1DD2">
      <w:pPr>
        <w:pStyle w:val="Heading3"/>
      </w:pPr>
      <w:hyperlink w:anchor="_Human_Resources_and">
        <w:bookmarkStart w:id="15" w:name="_Toc195024201"/>
        <w:r w:rsidRPr="2D58F6A0">
          <w:rPr>
            <w:rStyle w:val="Hyperlink"/>
          </w:rPr>
          <w:t>Human Resources and Professional Development</w:t>
        </w:r>
        <w:bookmarkEnd w:id="15"/>
      </w:hyperlink>
    </w:p>
    <w:p w14:paraId="5E36A9B6" w14:textId="21549900" w:rsidR="00080185" w:rsidRPr="008C1E5F" w:rsidRDefault="00D065BA" w:rsidP="00931743">
      <w:pPr>
        <w:pStyle w:val="BodyTextposthead"/>
      </w:pPr>
      <w:r w:rsidRPr="008C1E5F">
        <w:t>Fall River’s human resources</w:t>
      </w:r>
      <w:r w:rsidR="005D065E">
        <w:t xml:space="preserve"> department</w:t>
      </w:r>
      <w:r w:rsidRPr="008C1E5F">
        <w:t xml:space="preserve"> </w:t>
      </w:r>
      <w:r w:rsidR="00747F1F" w:rsidRPr="008C1E5F">
        <w:t xml:space="preserve">is </w:t>
      </w:r>
      <w:r w:rsidR="00F94254" w:rsidRPr="008C1E5F">
        <w:t xml:space="preserve">led by a new </w:t>
      </w:r>
      <w:r w:rsidR="005E3BBB" w:rsidRPr="008C1E5F">
        <w:t xml:space="preserve">executive director of human resources who started in July 2024. The human </w:t>
      </w:r>
      <w:r w:rsidR="003D0CEC" w:rsidRPr="008C1E5F">
        <w:t xml:space="preserve">resources department </w:t>
      </w:r>
      <w:r w:rsidR="006E4CC6" w:rsidRPr="008C1E5F">
        <w:t>supports the hiring and onboarding of new staff</w:t>
      </w:r>
      <w:r w:rsidR="006A3581" w:rsidRPr="008C1E5F">
        <w:t xml:space="preserve">, resolving staff disputes, </w:t>
      </w:r>
      <w:r w:rsidR="00EB331C" w:rsidRPr="008C1E5F">
        <w:t xml:space="preserve">and </w:t>
      </w:r>
      <w:r w:rsidR="00CC6391" w:rsidRPr="008C1E5F">
        <w:t>maintain</w:t>
      </w:r>
      <w:r w:rsidR="009A11A6" w:rsidRPr="008C1E5F">
        <w:t>ing</w:t>
      </w:r>
      <w:r w:rsidR="00CC6391" w:rsidRPr="008C1E5F">
        <w:t xml:space="preserve"> staff records</w:t>
      </w:r>
      <w:r w:rsidR="00BC584C" w:rsidRPr="008C1E5F">
        <w:t xml:space="preserve">, although </w:t>
      </w:r>
      <w:r w:rsidR="00EF6995" w:rsidRPr="008C1E5F">
        <w:t xml:space="preserve">the office </w:t>
      </w:r>
      <w:r w:rsidR="00842E77" w:rsidRPr="008C1E5F">
        <w:t xml:space="preserve">lacks </w:t>
      </w:r>
      <w:r w:rsidR="0065247D">
        <w:t xml:space="preserve">documentation of its </w:t>
      </w:r>
      <w:r w:rsidR="00300996">
        <w:t>standard operating procedures</w:t>
      </w:r>
      <w:r w:rsidR="00300996" w:rsidRPr="008C1E5F">
        <w:t>.</w:t>
      </w:r>
      <w:r w:rsidR="003357CF" w:rsidRPr="008C1E5F">
        <w:t xml:space="preserve"> </w:t>
      </w:r>
      <w:r w:rsidR="006C2332">
        <w:t>Furthermore</w:t>
      </w:r>
      <w:r w:rsidR="00E17B88" w:rsidRPr="008C1E5F">
        <w:t xml:space="preserve">, the district does not currently have </w:t>
      </w:r>
      <w:r w:rsidR="00300996">
        <w:t>effective policies and procedures to recruit and hire</w:t>
      </w:r>
      <w:r w:rsidR="00372310" w:rsidRPr="008C1E5F">
        <w:t xml:space="preserve"> new staff </w:t>
      </w:r>
      <w:r w:rsidR="00300996">
        <w:t>and</w:t>
      </w:r>
      <w:r w:rsidR="00300996" w:rsidRPr="008C1E5F">
        <w:t xml:space="preserve"> </w:t>
      </w:r>
      <w:r w:rsidR="006C2332">
        <w:t>lacks a</w:t>
      </w:r>
      <w:r w:rsidR="00931743" w:rsidRPr="008C1E5F">
        <w:t xml:space="preserve"> teacher and school leader retention </w:t>
      </w:r>
      <w:r w:rsidR="00300996">
        <w:t>strategy</w:t>
      </w:r>
      <w:r w:rsidR="00300996" w:rsidRPr="008C1E5F">
        <w:t>.</w:t>
      </w:r>
      <w:r w:rsidR="008203B8">
        <w:t xml:space="preserve"> Given the district’s staffing challenges</w:t>
      </w:r>
      <w:r w:rsidR="00D072BB" w:rsidRPr="008C1E5F">
        <w:t xml:space="preserve">, </w:t>
      </w:r>
      <w:r w:rsidR="008203B8">
        <w:t xml:space="preserve">some </w:t>
      </w:r>
      <w:r w:rsidR="00A52081" w:rsidRPr="008C1E5F">
        <w:t xml:space="preserve">new hires sometimes require emergency waivers </w:t>
      </w:r>
      <w:r w:rsidR="009A618A" w:rsidRPr="008C1E5F">
        <w:t xml:space="preserve">because </w:t>
      </w:r>
      <w:r w:rsidR="00A52081" w:rsidRPr="008C1E5F">
        <w:t xml:space="preserve">they do not have the appropriate credentials or </w:t>
      </w:r>
      <w:r w:rsidR="00EF6BDE" w:rsidRPr="008C1E5F">
        <w:t>licensures</w:t>
      </w:r>
      <w:r w:rsidR="00300996">
        <w:t>; supporting staff and new hires in attaining appropriate credentials is an area of growth. Lastly, there can be a lengthy period between when a candidate accepts a position and when the onboarding process begins, which sometimes results in the district losing candidates and is a barrier to hiring.</w:t>
      </w:r>
      <w:r w:rsidR="00EF6BDE" w:rsidRPr="008C1E5F">
        <w:t xml:space="preserve"> </w:t>
      </w:r>
    </w:p>
    <w:p w14:paraId="72198255" w14:textId="2DD39EFD" w:rsidR="003D1B12" w:rsidRPr="008C1E5F" w:rsidRDefault="008603B3" w:rsidP="00B4170D">
      <w:pPr>
        <w:pStyle w:val="BodyText"/>
        <w:rPr>
          <w:spacing w:val="-2"/>
        </w:rPr>
      </w:pPr>
      <w:r w:rsidRPr="008C1E5F">
        <w:rPr>
          <w:spacing w:val="-2"/>
        </w:rPr>
        <w:lastRenderedPageBreak/>
        <w:t xml:space="preserve">District records suggest that school-level evaluators consistently complete teacher evaluations. A review of evaluations indicates that teacher evaluations </w:t>
      </w:r>
      <w:r w:rsidR="00EB17DF" w:rsidRPr="008C1E5F">
        <w:rPr>
          <w:spacing w:val="-2"/>
        </w:rPr>
        <w:t xml:space="preserve">consistently </w:t>
      </w:r>
      <w:r w:rsidRPr="008C1E5F">
        <w:rPr>
          <w:spacing w:val="-2"/>
        </w:rPr>
        <w:t xml:space="preserve">include </w:t>
      </w:r>
      <w:r w:rsidRPr="008C1E5F">
        <w:rPr>
          <w:spacing w:val="-2"/>
          <w:bdr w:val="none" w:sz="0" w:space="0" w:color="auto" w:frame="1"/>
        </w:rPr>
        <w:t xml:space="preserve">SMART goals, </w:t>
      </w:r>
      <w:r w:rsidRPr="008C1E5F">
        <w:rPr>
          <w:spacing w:val="-2"/>
        </w:rPr>
        <w:t>multiple sources of evidence, and feedback for each standard.</w:t>
      </w:r>
      <w:r w:rsidR="003941F2" w:rsidRPr="008C1E5F">
        <w:rPr>
          <w:spacing w:val="-2"/>
        </w:rPr>
        <w:t xml:space="preserve"> </w:t>
      </w:r>
      <w:r w:rsidR="009A618A" w:rsidRPr="008C1E5F">
        <w:rPr>
          <w:spacing w:val="-2"/>
        </w:rPr>
        <w:t xml:space="preserve">Although </w:t>
      </w:r>
      <w:r w:rsidR="00380AA8" w:rsidRPr="008C1E5F">
        <w:rPr>
          <w:spacing w:val="-2"/>
        </w:rPr>
        <w:t xml:space="preserve">teacher evaluations </w:t>
      </w:r>
      <w:r w:rsidR="009A618A" w:rsidRPr="008C1E5F">
        <w:rPr>
          <w:spacing w:val="-2"/>
        </w:rPr>
        <w:t xml:space="preserve">are </w:t>
      </w:r>
      <w:r w:rsidR="00B5770B" w:rsidRPr="008C1E5F">
        <w:rPr>
          <w:spacing w:val="-2"/>
        </w:rPr>
        <w:t xml:space="preserve">thoroughly completed, </w:t>
      </w:r>
      <w:r w:rsidR="0038561A" w:rsidRPr="008C1E5F">
        <w:rPr>
          <w:spacing w:val="-2"/>
        </w:rPr>
        <w:t xml:space="preserve">district records suggest that administrator evaluations do not consistently articulate areas </w:t>
      </w:r>
      <w:r w:rsidR="008B5F32" w:rsidRPr="008C1E5F">
        <w:rPr>
          <w:spacing w:val="-2"/>
        </w:rPr>
        <w:t>for improvement</w:t>
      </w:r>
      <w:r w:rsidR="002435F5" w:rsidRPr="008C1E5F">
        <w:rPr>
          <w:spacing w:val="-2"/>
        </w:rPr>
        <w:t xml:space="preserve">, which are important for </w:t>
      </w:r>
      <w:r w:rsidR="00D76BFC" w:rsidRPr="008C1E5F">
        <w:rPr>
          <w:spacing w:val="-2"/>
        </w:rPr>
        <w:t xml:space="preserve">supporting school improvement. </w:t>
      </w:r>
      <w:r w:rsidR="00931743" w:rsidRPr="008C1E5F">
        <w:rPr>
          <w:spacing w:val="-2"/>
        </w:rPr>
        <w:t>The district offers a va</w:t>
      </w:r>
      <w:r w:rsidR="00EB74C7" w:rsidRPr="008C1E5F">
        <w:rPr>
          <w:spacing w:val="-2"/>
        </w:rPr>
        <w:t xml:space="preserve">riety of </w:t>
      </w:r>
      <w:r w:rsidR="00931743" w:rsidRPr="008C1E5F">
        <w:rPr>
          <w:spacing w:val="-2"/>
        </w:rPr>
        <w:t>professional development</w:t>
      </w:r>
      <w:r w:rsidR="00EB74C7" w:rsidRPr="008C1E5F">
        <w:rPr>
          <w:spacing w:val="-2"/>
        </w:rPr>
        <w:t xml:space="preserve"> opportunities to staff</w:t>
      </w:r>
      <w:r w:rsidR="009C7FF5" w:rsidRPr="008C1E5F">
        <w:rPr>
          <w:spacing w:val="-2"/>
        </w:rPr>
        <w:t xml:space="preserve"> that are ongoing, </w:t>
      </w:r>
      <w:r w:rsidR="00FC4267">
        <w:rPr>
          <w:spacing w:val="-2"/>
        </w:rPr>
        <w:t>evidence-based</w:t>
      </w:r>
      <w:r w:rsidR="009C7FF5" w:rsidRPr="008C1E5F">
        <w:rPr>
          <w:spacing w:val="-2"/>
        </w:rPr>
        <w:t xml:space="preserve">, </w:t>
      </w:r>
      <w:r w:rsidR="00FC4267">
        <w:rPr>
          <w:spacing w:val="-2"/>
        </w:rPr>
        <w:t>data-informed</w:t>
      </w:r>
      <w:r w:rsidR="009C7FF5" w:rsidRPr="008C1E5F">
        <w:rPr>
          <w:spacing w:val="-2"/>
        </w:rPr>
        <w:t xml:space="preserve">, and relevant. These professional opportunities address </w:t>
      </w:r>
      <w:r w:rsidR="00EB74C7" w:rsidRPr="008C1E5F">
        <w:rPr>
          <w:spacing w:val="-2"/>
        </w:rPr>
        <w:t xml:space="preserve">general topics important for all and differentiated topics that address the needs of specific staff </w:t>
      </w:r>
      <w:proofErr w:type="gramStart"/>
      <w:r w:rsidR="00EB74C7" w:rsidRPr="008C1E5F">
        <w:rPr>
          <w:spacing w:val="-2"/>
        </w:rPr>
        <w:t>roles</w:t>
      </w:r>
      <w:proofErr w:type="gramEnd"/>
      <w:r w:rsidR="009C7FF5" w:rsidRPr="008C1E5F">
        <w:rPr>
          <w:spacing w:val="-2"/>
        </w:rPr>
        <w:t xml:space="preserve">. </w:t>
      </w:r>
      <w:r w:rsidR="00300996">
        <w:rPr>
          <w:spacing w:val="-2"/>
        </w:rPr>
        <w:t xml:space="preserve">However, experienced teachers reported the need for more targeted professional development that meets their specific learning needs. </w:t>
      </w:r>
      <w:r w:rsidR="00300996" w:rsidRPr="008C1E5F">
        <w:rPr>
          <w:spacing w:val="-2"/>
        </w:rPr>
        <w:t xml:space="preserve">The district also has a new staff mentoring program and recently expanded this program to ensure that staff hired midyear </w:t>
      </w:r>
      <w:proofErr w:type="gramStart"/>
      <w:r w:rsidR="00300996" w:rsidRPr="008C1E5F">
        <w:rPr>
          <w:spacing w:val="-2"/>
        </w:rPr>
        <w:t>would</w:t>
      </w:r>
      <w:proofErr w:type="gramEnd"/>
      <w:r w:rsidR="00300996" w:rsidRPr="008C1E5F">
        <w:rPr>
          <w:spacing w:val="-2"/>
        </w:rPr>
        <w:t xml:space="preserve"> still be assigned to mentors. </w:t>
      </w:r>
      <w:r w:rsidR="00300996">
        <w:rPr>
          <w:spacing w:val="-2"/>
        </w:rPr>
        <w:t xml:space="preserve">Staff praised how the district addressed this </w:t>
      </w:r>
      <w:r w:rsidR="00300996" w:rsidRPr="008C1E5F">
        <w:rPr>
          <w:spacing w:val="-2"/>
        </w:rPr>
        <w:t>need within the mentoring program</w:t>
      </w:r>
      <w:r w:rsidR="00DD70B2" w:rsidRPr="008C1E5F">
        <w:rPr>
          <w:spacing w:val="-2"/>
        </w:rPr>
        <w:t xml:space="preserve">. </w:t>
      </w:r>
    </w:p>
    <w:p w14:paraId="2D5F1324" w14:textId="067F5807" w:rsidR="000B1DD2" w:rsidRPr="008C1E5F" w:rsidRDefault="000B1DD2" w:rsidP="000B1DD2">
      <w:pPr>
        <w:pStyle w:val="Heading3"/>
      </w:pPr>
      <w:hyperlink w:anchor="_Student_Support" w:history="1">
        <w:bookmarkStart w:id="16" w:name="_Toc195024202"/>
        <w:r w:rsidRPr="008C1E5F">
          <w:rPr>
            <w:rStyle w:val="Hyperlink"/>
          </w:rPr>
          <w:t>Student S</w:t>
        </w:r>
        <w:bookmarkStart w:id="17" w:name="_Hlt191559942"/>
        <w:r w:rsidRPr="008C1E5F">
          <w:rPr>
            <w:rStyle w:val="Hyperlink"/>
          </w:rPr>
          <w:t>u</w:t>
        </w:r>
        <w:bookmarkEnd w:id="17"/>
        <w:r w:rsidRPr="008C1E5F">
          <w:rPr>
            <w:rStyle w:val="Hyperlink"/>
          </w:rPr>
          <w:t>pport</w:t>
        </w:r>
        <w:bookmarkEnd w:id="16"/>
      </w:hyperlink>
    </w:p>
    <w:p w14:paraId="398D93DF" w14:textId="1A8DE823" w:rsidR="00217027" w:rsidRPr="008C1E5F" w:rsidRDefault="00693293" w:rsidP="00B4170D">
      <w:pPr>
        <w:pStyle w:val="BodyTextposthead"/>
        <w:rPr>
          <w:spacing w:val="-2"/>
        </w:rPr>
      </w:pPr>
      <w:r w:rsidRPr="008C1E5F">
        <w:rPr>
          <w:spacing w:val="-2"/>
        </w:rPr>
        <w:t xml:space="preserve">Fall River prioritizes providing a safe and supportive school environment for its students and staff, with </w:t>
      </w:r>
      <w:r w:rsidR="00876D06">
        <w:rPr>
          <w:spacing w:val="-2"/>
        </w:rPr>
        <w:t>an emphasis</w:t>
      </w:r>
      <w:r w:rsidR="00876D06" w:rsidRPr="008C1E5F">
        <w:rPr>
          <w:spacing w:val="-2"/>
        </w:rPr>
        <w:t xml:space="preserve"> </w:t>
      </w:r>
      <w:r w:rsidRPr="008C1E5F">
        <w:rPr>
          <w:spacing w:val="-2"/>
        </w:rPr>
        <w:t>on improving student attendance and promoting positive behavior approaches in all schools.</w:t>
      </w:r>
      <w:r w:rsidR="00372185" w:rsidRPr="008C1E5F">
        <w:rPr>
          <w:spacing w:val="-2"/>
        </w:rPr>
        <w:t xml:space="preserve"> The distri</w:t>
      </w:r>
      <w:r w:rsidR="006F5B00" w:rsidRPr="008C1E5F">
        <w:rPr>
          <w:spacing w:val="-2"/>
        </w:rPr>
        <w:t>ct has a robust approach to addressing student absenteeism</w:t>
      </w:r>
      <w:r w:rsidR="00D56D72" w:rsidRPr="008C1E5F">
        <w:rPr>
          <w:spacing w:val="-2"/>
        </w:rPr>
        <w:t>,</w:t>
      </w:r>
      <w:r w:rsidR="00992300" w:rsidRPr="008C1E5F">
        <w:rPr>
          <w:spacing w:val="-2"/>
        </w:rPr>
        <w:t xml:space="preserve"> which </w:t>
      </w:r>
      <w:r w:rsidR="001A2416" w:rsidRPr="008C1E5F">
        <w:rPr>
          <w:spacing w:val="-2"/>
        </w:rPr>
        <w:t xml:space="preserve">includes </w:t>
      </w:r>
      <w:r w:rsidR="00B8498E" w:rsidRPr="008C1E5F">
        <w:rPr>
          <w:spacing w:val="-2"/>
        </w:rPr>
        <w:t xml:space="preserve">a </w:t>
      </w:r>
      <w:r w:rsidR="001A2416" w:rsidRPr="008C1E5F">
        <w:rPr>
          <w:spacing w:val="-2"/>
        </w:rPr>
        <w:t>variety of support staff responsible for student attendance</w:t>
      </w:r>
      <w:r w:rsidR="00C952BF" w:rsidRPr="008C1E5F">
        <w:rPr>
          <w:spacing w:val="-2"/>
        </w:rPr>
        <w:t xml:space="preserve">; implementing </w:t>
      </w:r>
      <w:r w:rsidR="00413DFF">
        <w:rPr>
          <w:spacing w:val="-2"/>
        </w:rPr>
        <w:t>individualized attendance plans and</w:t>
      </w:r>
      <w:r w:rsidR="00413DFF" w:rsidRPr="008C1E5F">
        <w:rPr>
          <w:spacing w:val="-2"/>
        </w:rPr>
        <w:t xml:space="preserve"> </w:t>
      </w:r>
      <w:r w:rsidR="00AB7476" w:rsidRPr="008C1E5F">
        <w:rPr>
          <w:spacing w:val="-2"/>
        </w:rPr>
        <w:t>incentives</w:t>
      </w:r>
      <w:r w:rsidR="00C952BF" w:rsidRPr="008C1E5F">
        <w:rPr>
          <w:spacing w:val="-2"/>
        </w:rPr>
        <w:t xml:space="preserve">; </w:t>
      </w:r>
      <w:r w:rsidR="004920DC" w:rsidRPr="008C1E5F">
        <w:rPr>
          <w:spacing w:val="-2"/>
        </w:rPr>
        <w:t xml:space="preserve">conducting home visits; and purchasing vehicles for school staff to </w:t>
      </w:r>
      <w:r w:rsidR="00C010B3" w:rsidRPr="008C1E5F">
        <w:rPr>
          <w:spacing w:val="-2"/>
        </w:rPr>
        <w:t xml:space="preserve">bring students to school if needed. </w:t>
      </w:r>
      <w:r w:rsidR="007F460E" w:rsidRPr="008C1E5F">
        <w:rPr>
          <w:spacing w:val="-2"/>
        </w:rPr>
        <w:t xml:space="preserve">At the high school level, the district has implemented supportive programming for students struggling with substance abuse. </w:t>
      </w:r>
      <w:r w:rsidR="0048170A">
        <w:rPr>
          <w:spacing w:val="-2"/>
        </w:rPr>
        <w:t xml:space="preserve">Despite having student </w:t>
      </w:r>
      <w:r w:rsidR="00213696">
        <w:rPr>
          <w:spacing w:val="-2"/>
        </w:rPr>
        <w:t>representatives</w:t>
      </w:r>
      <w:r w:rsidR="0048170A">
        <w:rPr>
          <w:spacing w:val="-2"/>
        </w:rPr>
        <w:t xml:space="preserve"> on the school committee, </w:t>
      </w:r>
      <w:r w:rsidR="00DF142B">
        <w:rPr>
          <w:spacing w:val="-2"/>
        </w:rPr>
        <w:t xml:space="preserve">members </w:t>
      </w:r>
      <w:r w:rsidR="00ED7B28" w:rsidRPr="008C1E5F">
        <w:rPr>
          <w:spacing w:val="-2"/>
        </w:rPr>
        <w:t xml:space="preserve">would like more opportunities for student representatives to exercise their voice and leadership on the committee. </w:t>
      </w:r>
    </w:p>
    <w:p w14:paraId="076E9A65" w14:textId="46C67537" w:rsidR="00A664E2" w:rsidRPr="008C1E5F" w:rsidRDefault="00E463CF" w:rsidP="00B4170D">
      <w:pPr>
        <w:pStyle w:val="BodyText"/>
      </w:pPr>
      <w:r w:rsidRPr="008C1E5F">
        <w:t>The district offers health and physical education, aligned with the Massachusetts Comprehensive Health and Physical Education Framework</w:t>
      </w:r>
      <w:r w:rsidR="00B96CAC" w:rsidRPr="008C1E5F">
        <w:t>, although offerings are</w:t>
      </w:r>
      <w:r w:rsidRPr="008C1E5F">
        <w:t xml:space="preserve"> inconsistent across grades. </w:t>
      </w:r>
      <w:r w:rsidR="00413DFF" w:rsidRPr="008C1E5F">
        <w:t>To identify students with behavioral or mental health concerns, the district uses a variety of tools</w:t>
      </w:r>
      <w:r w:rsidR="00413DFF">
        <w:t xml:space="preserve"> and screeners</w:t>
      </w:r>
      <w:r w:rsidR="00413DFF" w:rsidRPr="008C1E5F">
        <w:t>, including administering the Satchel Pulse universal screener to all students in Kindergarten through Grade 12. The district</w:t>
      </w:r>
      <w:r w:rsidR="00413DFF">
        <w:t xml:space="preserve"> partners </w:t>
      </w:r>
      <w:r w:rsidR="00413DFF" w:rsidRPr="008C1E5F">
        <w:t xml:space="preserve">with </w:t>
      </w:r>
      <w:r w:rsidR="00413DFF">
        <w:t xml:space="preserve">various </w:t>
      </w:r>
      <w:r w:rsidR="00413DFF" w:rsidRPr="008C1E5F">
        <w:t xml:space="preserve">community </w:t>
      </w:r>
      <w:proofErr w:type="gramStart"/>
      <w:r w:rsidR="00DB590F" w:rsidRPr="008C1E5F">
        <w:t>organizations</w:t>
      </w:r>
      <w:r w:rsidR="00DB590F">
        <w:t>,</w:t>
      </w:r>
      <w:proofErr w:type="gramEnd"/>
      <w:r w:rsidR="00413DFF" w:rsidRPr="008C1E5F">
        <w:t xml:space="preserve"> proactive</w:t>
      </w:r>
      <w:r w:rsidR="00413DFF">
        <w:t xml:space="preserve">ly connects families with these </w:t>
      </w:r>
      <w:r w:rsidR="00413DFF" w:rsidRPr="008C1E5F">
        <w:t>support</w:t>
      </w:r>
      <w:r w:rsidR="00413DFF">
        <w:t>s</w:t>
      </w:r>
      <w:r w:rsidR="00413DFF" w:rsidRPr="008C1E5F">
        <w:t>, and annual</w:t>
      </w:r>
      <w:r w:rsidR="00413DFF">
        <w:t>ly</w:t>
      </w:r>
      <w:r w:rsidR="00413DFF" w:rsidRPr="008C1E5F">
        <w:t xml:space="preserve"> review</w:t>
      </w:r>
      <w:r w:rsidR="00413DFF">
        <w:t>s</w:t>
      </w:r>
      <w:r w:rsidR="00413DFF" w:rsidRPr="008C1E5F">
        <w:t xml:space="preserve"> </w:t>
      </w:r>
      <w:r w:rsidR="00413DFF">
        <w:t>each</w:t>
      </w:r>
      <w:r w:rsidR="00413DFF" w:rsidRPr="008C1E5F">
        <w:t xml:space="preserve"> partnership </w:t>
      </w:r>
      <w:r w:rsidR="00413DFF">
        <w:t>to ensure meeting needs</w:t>
      </w:r>
      <w:r w:rsidR="00413DFF" w:rsidRPr="008C1E5F">
        <w:t xml:space="preserve"> </w:t>
      </w:r>
      <w:r w:rsidR="00413DFF">
        <w:t xml:space="preserve">as </w:t>
      </w:r>
      <w:r w:rsidR="00413DFF" w:rsidRPr="008C1E5F">
        <w:t>intended</w:t>
      </w:r>
      <w:r w:rsidR="00413DFF">
        <w:t>.</w:t>
      </w:r>
      <w:r w:rsidR="00413DFF" w:rsidRPr="001079B8">
        <w:t xml:space="preserve"> </w:t>
      </w:r>
      <w:r w:rsidR="00413DFF" w:rsidRPr="008C1E5F">
        <w:t>The district also has community liaisons at each school who are responsible for maintaining community partnerships and assisting families in accessing resources.</w:t>
      </w:r>
      <w:r w:rsidR="00413DFF">
        <w:t xml:space="preserve"> </w:t>
      </w:r>
      <w:r w:rsidR="00413DFF" w:rsidRPr="008C1E5F">
        <w:t>However</w:t>
      </w:r>
      <w:r w:rsidR="00896F5C" w:rsidRPr="008C1E5F">
        <w:t xml:space="preserve">, </w:t>
      </w:r>
      <w:r w:rsidR="0062507B" w:rsidRPr="008C1E5F">
        <w:t xml:space="preserve">the </w:t>
      </w:r>
      <w:r w:rsidR="00F359E8">
        <w:t>district does not have an active English Learner Parent Advisory Council (ELPAC)</w:t>
      </w:r>
      <w:r w:rsidR="00A348BD">
        <w:t>,</w:t>
      </w:r>
      <w:r w:rsidR="0045434D">
        <w:t xml:space="preserve"> and participation in its </w:t>
      </w:r>
      <w:r w:rsidR="00BD3A78" w:rsidRPr="008C1E5F">
        <w:rPr>
          <w:color w:val="000000" w:themeColor="text1"/>
        </w:rPr>
        <w:t>Special Education Parent Advisory Council (SEPAC)</w:t>
      </w:r>
      <w:r w:rsidR="0045434D">
        <w:rPr>
          <w:color w:val="000000" w:themeColor="text1"/>
        </w:rPr>
        <w:t xml:space="preserve"> is limited</w:t>
      </w:r>
      <w:r w:rsidR="0015172D" w:rsidRPr="008C1E5F">
        <w:rPr>
          <w:rFonts w:eastAsia="Aptos" w:cs="Aptos"/>
          <w:color w:val="000000" w:themeColor="text1"/>
        </w:rPr>
        <w:t>.</w:t>
      </w:r>
    </w:p>
    <w:p w14:paraId="3925DA00" w14:textId="2F9540A7" w:rsidR="00413DFF" w:rsidRPr="008C1E5F" w:rsidRDefault="00413DFF" w:rsidP="00413DFF">
      <w:pPr>
        <w:pStyle w:val="BodyText"/>
      </w:pPr>
      <w:r w:rsidRPr="008C1E5F">
        <w:t xml:space="preserve">The district is working to improve its MTSS framework and is leveraging the GLEAM grant to help build strong tiered systems. Additionally, each school has </w:t>
      </w:r>
      <w:r w:rsidRPr="008C1E5F">
        <w:rPr>
          <w:bdr w:val="none" w:sz="0" w:space="0" w:color="auto" w:frame="1"/>
        </w:rPr>
        <w:t xml:space="preserve">collaborative teaming structures </w:t>
      </w:r>
      <w:r w:rsidR="009C4C4D">
        <w:rPr>
          <w:bdr w:val="none" w:sz="0" w:space="0" w:color="auto" w:frame="1"/>
        </w:rPr>
        <w:t>through which</w:t>
      </w:r>
      <w:r w:rsidRPr="008C1E5F">
        <w:rPr>
          <w:bdr w:val="none" w:sz="0" w:space="0" w:color="auto" w:frame="1"/>
        </w:rPr>
        <w:t xml:space="preserve"> </w:t>
      </w:r>
      <w:r w:rsidR="009C4C4D">
        <w:rPr>
          <w:bdr w:val="none" w:sz="0" w:space="0" w:color="auto" w:frame="1"/>
        </w:rPr>
        <w:t xml:space="preserve">students </w:t>
      </w:r>
      <w:proofErr w:type="gramStart"/>
      <w:r w:rsidR="009C4C4D">
        <w:rPr>
          <w:bdr w:val="none" w:sz="0" w:space="0" w:color="auto" w:frame="1"/>
        </w:rPr>
        <w:t xml:space="preserve">are connected </w:t>
      </w:r>
      <w:r w:rsidRPr="008C1E5F">
        <w:rPr>
          <w:bdr w:val="none" w:sz="0" w:space="0" w:color="auto" w:frame="1"/>
        </w:rPr>
        <w:t>with</w:t>
      </w:r>
      <w:proofErr w:type="gramEnd"/>
      <w:r w:rsidRPr="008C1E5F">
        <w:rPr>
          <w:bdr w:val="none" w:sz="0" w:space="0" w:color="auto" w:frame="1"/>
        </w:rPr>
        <w:t xml:space="preserve"> academic and nonacademic </w:t>
      </w:r>
      <w:proofErr w:type="gramStart"/>
      <w:r w:rsidRPr="008C1E5F">
        <w:rPr>
          <w:bdr w:val="none" w:sz="0" w:space="0" w:color="auto" w:frame="1"/>
        </w:rPr>
        <w:t>supports</w:t>
      </w:r>
      <w:proofErr w:type="gramEnd"/>
      <w:r w:rsidRPr="008C1E5F">
        <w:rPr>
          <w:bdr w:val="none" w:sz="0" w:space="0" w:color="auto" w:frame="1"/>
        </w:rPr>
        <w:t>.</w:t>
      </w:r>
    </w:p>
    <w:p w14:paraId="202DC286" w14:textId="318569F8" w:rsidR="000B1DD2" w:rsidRPr="008C1E5F" w:rsidRDefault="000B1DD2" w:rsidP="000B1DD2">
      <w:pPr>
        <w:pStyle w:val="Heading3"/>
      </w:pPr>
      <w:hyperlink w:anchor="_Financial_and_Asset" w:history="1">
        <w:bookmarkStart w:id="18" w:name="_Toc195024203"/>
        <w:r w:rsidRPr="008C1E5F">
          <w:rPr>
            <w:rStyle w:val="Hyperlink"/>
          </w:rPr>
          <w:t>Financial and Asset Management</w:t>
        </w:r>
        <w:bookmarkEnd w:id="18"/>
      </w:hyperlink>
    </w:p>
    <w:p w14:paraId="53F90378" w14:textId="1C7BC1F2" w:rsidR="00346302" w:rsidRPr="008C1E5F" w:rsidRDefault="00346302" w:rsidP="00346302">
      <w:pPr>
        <w:pStyle w:val="BodyTextposthead"/>
      </w:pPr>
      <w:r w:rsidRPr="008C1E5F">
        <w:t xml:space="preserve">The Finance Office and Facilities and Operations Office </w:t>
      </w:r>
      <w:r w:rsidR="00ED20BB">
        <w:t xml:space="preserve">in Fall River efficiently manage </w:t>
      </w:r>
      <w:r w:rsidRPr="008C1E5F">
        <w:t xml:space="preserve">various operations as well as financial services. Although there are enough staff for these offices to complete the responsibilities, district leaders identified a need to </w:t>
      </w:r>
      <w:r w:rsidR="00EE08B5">
        <w:t xml:space="preserve">continue training existing </w:t>
      </w:r>
      <w:r w:rsidR="00CE4ECD">
        <w:t xml:space="preserve">members </w:t>
      </w:r>
      <w:r w:rsidR="00EE08B5">
        <w:t xml:space="preserve">and </w:t>
      </w:r>
      <w:r w:rsidRPr="008C1E5F">
        <w:t xml:space="preserve">hire qualified staff with financial expertise. The district utilizes MUNIS cash management to </w:t>
      </w:r>
      <w:r w:rsidRPr="008C1E5F">
        <w:lastRenderedPageBreak/>
        <w:t>monitor and control resources, including managing financial records, procurement records, invoices, and purchase orders. The district has a transparent budgeting process, with community involvement, detailed timelines, and public notices of meetings, and district leaders regularly communicate about the budget to the school committee.</w:t>
      </w:r>
      <w:r w:rsidR="004C417A">
        <w:t xml:space="preserve"> However, despite some opportunities for feedback</w:t>
      </w:r>
      <w:r w:rsidR="00A67DA7">
        <w:t>,</w:t>
      </w:r>
      <w:r w:rsidRPr="008C1E5F">
        <w:t xml:space="preserve"> </w:t>
      </w:r>
      <w:r w:rsidR="00A67DA7">
        <w:t>the</w:t>
      </w:r>
      <w:r w:rsidRPr="008C1E5F">
        <w:t xml:space="preserve"> district is looking to engage families more purposefully in the budget process</w:t>
      </w:r>
      <w:r w:rsidR="000D5AA0">
        <w:t xml:space="preserve"> and could edit its budget book to be more accessible to the </w:t>
      </w:r>
      <w:proofErr w:type="gramStart"/>
      <w:r w:rsidR="000D5AA0">
        <w:t>general public</w:t>
      </w:r>
      <w:proofErr w:type="gramEnd"/>
      <w:r w:rsidR="000D5AA0">
        <w:t xml:space="preserve">. </w:t>
      </w:r>
      <w:r w:rsidRPr="008C1E5F">
        <w:t>The district makes effective use of state and federal grants</w:t>
      </w:r>
      <w:r w:rsidR="002B2BD5">
        <w:t xml:space="preserve"> </w:t>
      </w:r>
      <w:r w:rsidR="00EB52EA">
        <w:t xml:space="preserve">but has generally not met </w:t>
      </w:r>
      <w:r w:rsidRPr="008C1E5F">
        <w:t>net school spending requirements</w:t>
      </w:r>
      <w:r w:rsidR="00EB52EA">
        <w:t xml:space="preserve"> in recent history</w:t>
      </w:r>
      <w:r w:rsidR="002B2BD5">
        <w:t>.</w:t>
      </w:r>
    </w:p>
    <w:p w14:paraId="1306ECCF" w14:textId="7C578C05" w:rsidR="001D1230" w:rsidRPr="008C1E5F" w:rsidRDefault="00A81204" w:rsidP="00B4170D">
      <w:pPr>
        <w:pStyle w:val="BodyText"/>
        <w:rPr>
          <w:spacing w:val="-2"/>
        </w:rPr>
      </w:pPr>
      <w:r w:rsidRPr="008C1E5F">
        <w:rPr>
          <w:spacing w:val="-2"/>
        </w:rPr>
        <w:t xml:space="preserve">The district’s Operations Office </w:t>
      </w:r>
      <w:r w:rsidR="00AD3AC9" w:rsidRPr="008C1E5F">
        <w:rPr>
          <w:spacing w:val="-2"/>
        </w:rPr>
        <w:t>manages all operational elements, including facilities maintenance, transportation, food services, and information technology</w:t>
      </w:r>
      <w:r w:rsidR="00346302">
        <w:rPr>
          <w:spacing w:val="-2"/>
        </w:rPr>
        <w:t xml:space="preserve">. The district </w:t>
      </w:r>
      <w:r w:rsidR="00F270ED" w:rsidRPr="008C1E5F">
        <w:rPr>
          <w:spacing w:val="-2"/>
        </w:rPr>
        <w:t xml:space="preserve">supports </w:t>
      </w:r>
      <w:r w:rsidR="00346302">
        <w:rPr>
          <w:spacing w:val="-2"/>
        </w:rPr>
        <w:t>technology use among staff and students, through technology facilitators and Chromebooks for every student.</w:t>
      </w:r>
      <w:r w:rsidR="00346302" w:rsidRPr="008C1E5F">
        <w:rPr>
          <w:spacing w:val="-2"/>
        </w:rPr>
        <w:t xml:space="preserve"> </w:t>
      </w:r>
      <w:r w:rsidR="00346302">
        <w:rPr>
          <w:spacing w:val="-2"/>
        </w:rPr>
        <w:t>However, t</w:t>
      </w:r>
      <w:r w:rsidR="00346302" w:rsidRPr="008C1E5F">
        <w:rPr>
          <w:spacing w:val="-2"/>
        </w:rPr>
        <w:t>he</w:t>
      </w:r>
      <w:r w:rsidR="001D1230" w:rsidRPr="008C1E5F">
        <w:rPr>
          <w:spacing w:val="-2"/>
        </w:rPr>
        <w:t xml:space="preserve"> district also does not currently have a preventative maintenance plan. </w:t>
      </w:r>
      <w:r w:rsidR="007924B3">
        <w:rPr>
          <w:spacing w:val="-2"/>
        </w:rPr>
        <w:t xml:space="preserve">Additionally, </w:t>
      </w:r>
      <w:r w:rsidR="0013021E">
        <w:rPr>
          <w:spacing w:val="-2"/>
        </w:rPr>
        <w:t>specific</w:t>
      </w:r>
      <w:r w:rsidR="007924B3">
        <w:rPr>
          <w:spacing w:val="-2"/>
        </w:rPr>
        <w:t xml:space="preserve"> city and district requirements</w:t>
      </w:r>
      <w:r w:rsidR="0080170C">
        <w:rPr>
          <w:spacing w:val="-2"/>
        </w:rPr>
        <w:t xml:space="preserve"> slow down the district’s ability to pay vendors for services rendered. </w:t>
      </w:r>
    </w:p>
    <w:p w14:paraId="0BB78F5A" w14:textId="77777777" w:rsidR="00493582" w:rsidRPr="008C1E5F" w:rsidRDefault="009335F1" w:rsidP="00B4170D">
      <w:pPr>
        <w:pStyle w:val="BodyText"/>
        <w:rPr>
          <w:spacing w:val="2"/>
        </w:rPr>
      </w:pPr>
      <w:r w:rsidRPr="008C1E5F">
        <w:rPr>
          <w:spacing w:val="2"/>
        </w:rPr>
        <w:t xml:space="preserve">The district has a </w:t>
      </w:r>
      <w:r w:rsidR="004F4503" w:rsidRPr="008C1E5F">
        <w:rPr>
          <w:spacing w:val="2"/>
        </w:rPr>
        <w:t>newly adopted, five-year</w:t>
      </w:r>
      <w:r w:rsidRPr="008C1E5F">
        <w:rPr>
          <w:spacing w:val="2"/>
        </w:rPr>
        <w:t xml:space="preserve"> capital plan</w:t>
      </w:r>
      <w:r w:rsidR="004F4503" w:rsidRPr="008C1E5F">
        <w:rPr>
          <w:spacing w:val="2"/>
        </w:rPr>
        <w:t xml:space="preserve"> that </w:t>
      </w:r>
      <w:r w:rsidR="00CF3961" w:rsidRPr="008C1E5F">
        <w:rPr>
          <w:spacing w:val="2"/>
        </w:rPr>
        <w:t xml:space="preserve">describes </w:t>
      </w:r>
      <w:r w:rsidRPr="008C1E5F">
        <w:rPr>
          <w:spacing w:val="2"/>
        </w:rPr>
        <w:t>future district capital needs, based on future enrollment projections and facility assessments, and incorporates input from district and community stakeholders.</w:t>
      </w:r>
      <w:r w:rsidR="00601CCA" w:rsidRPr="008C1E5F">
        <w:rPr>
          <w:spacing w:val="2"/>
        </w:rPr>
        <w:t xml:space="preserve"> </w:t>
      </w:r>
      <w:r w:rsidR="00340683" w:rsidRPr="008C1E5F">
        <w:rPr>
          <w:spacing w:val="2"/>
        </w:rPr>
        <w:t xml:space="preserve">This year, the district made two major capital </w:t>
      </w:r>
      <w:r w:rsidR="002C0B42" w:rsidRPr="008C1E5F">
        <w:rPr>
          <w:spacing w:val="2"/>
        </w:rPr>
        <w:t>improvement investments</w:t>
      </w:r>
      <w:r w:rsidR="00AE5402" w:rsidRPr="008C1E5F">
        <w:rPr>
          <w:spacing w:val="2"/>
        </w:rPr>
        <w:t>:</w:t>
      </w:r>
      <w:r w:rsidR="002C0B42" w:rsidRPr="008C1E5F">
        <w:rPr>
          <w:spacing w:val="2"/>
        </w:rPr>
        <w:t xml:space="preserve"> </w:t>
      </w:r>
      <w:r w:rsidR="00340683" w:rsidRPr="008C1E5F">
        <w:rPr>
          <w:spacing w:val="2"/>
        </w:rPr>
        <w:t xml:space="preserve">the opening of an early education school for three- and four-year olds and </w:t>
      </w:r>
      <w:proofErr w:type="spellStart"/>
      <w:r w:rsidR="00340683" w:rsidRPr="008C1E5F">
        <w:rPr>
          <w:spacing w:val="2"/>
        </w:rPr>
        <w:t>Westall</w:t>
      </w:r>
      <w:proofErr w:type="spellEnd"/>
      <w:r w:rsidR="00340683" w:rsidRPr="008C1E5F">
        <w:rPr>
          <w:spacing w:val="2"/>
        </w:rPr>
        <w:t xml:space="preserve"> Elementary School, a neighborhood school</w:t>
      </w:r>
      <w:r w:rsidR="002C0B42" w:rsidRPr="008C1E5F">
        <w:rPr>
          <w:spacing w:val="2"/>
        </w:rPr>
        <w:t xml:space="preserve">. The </w:t>
      </w:r>
      <w:r w:rsidR="00A05952" w:rsidRPr="008C1E5F">
        <w:rPr>
          <w:spacing w:val="2"/>
        </w:rPr>
        <w:t xml:space="preserve">district </w:t>
      </w:r>
      <w:r w:rsidR="002C0B42" w:rsidRPr="008C1E5F">
        <w:rPr>
          <w:spacing w:val="2"/>
          <w:bdr w:val="none" w:sz="0" w:space="0" w:color="auto" w:frame="1"/>
        </w:rPr>
        <w:t>prioritiz</w:t>
      </w:r>
      <w:r w:rsidR="00A05952" w:rsidRPr="008C1E5F">
        <w:rPr>
          <w:spacing w:val="2"/>
          <w:bdr w:val="none" w:sz="0" w:space="0" w:color="auto" w:frame="1"/>
        </w:rPr>
        <w:t>ed</w:t>
      </w:r>
      <w:r w:rsidR="002C0B42" w:rsidRPr="008C1E5F">
        <w:rPr>
          <w:spacing w:val="2"/>
          <w:bdr w:val="none" w:sz="0" w:space="0" w:color="auto" w:frame="1"/>
        </w:rPr>
        <w:t xml:space="preserve"> these larger capital improvement investments to address increases in student enrollment and declines in available spacing.</w:t>
      </w:r>
    </w:p>
    <w:p w14:paraId="4913F992" w14:textId="77777777" w:rsidR="00493582" w:rsidRPr="008C1E5F" w:rsidRDefault="00493582" w:rsidP="00493582">
      <w:pPr>
        <w:pStyle w:val="BodyTextposthead"/>
      </w:pPr>
    </w:p>
    <w:p w14:paraId="7A47C448" w14:textId="4A4B6825" w:rsidR="003D6ECF" w:rsidRPr="008C1E5F" w:rsidRDefault="00881466" w:rsidP="003D6ECF">
      <w:pPr>
        <w:pStyle w:val="Heading2"/>
      </w:pPr>
      <w:bookmarkStart w:id="19" w:name="_Toc190886735"/>
      <w:bookmarkStart w:id="20" w:name="_Toc195024204"/>
      <w:bookmarkEnd w:id="11"/>
      <w:r w:rsidRPr="008C1E5F">
        <w:lastRenderedPageBreak/>
        <w:t>Fall River</w:t>
      </w:r>
      <w:r w:rsidR="003D6ECF" w:rsidRPr="008C1E5F">
        <w:t xml:space="preserve"> </w:t>
      </w:r>
      <w:r w:rsidR="00D30A74" w:rsidRPr="008C1E5F">
        <w:t xml:space="preserve">Public Schools: </w:t>
      </w:r>
      <w:r w:rsidR="003D6ECF" w:rsidRPr="008C1E5F">
        <w:t>District Review Overview</w:t>
      </w:r>
      <w:bookmarkEnd w:id="19"/>
      <w:bookmarkEnd w:id="20"/>
    </w:p>
    <w:p w14:paraId="2E41F691" w14:textId="77777777" w:rsidR="003D6ECF" w:rsidRPr="008C1E5F" w:rsidRDefault="003D6ECF" w:rsidP="00F4028E">
      <w:pPr>
        <w:pStyle w:val="Heading3"/>
        <w:rPr>
          <w:color w:val="C00000"/>
        </w:rPr>
      </w:pPr>
      <w:bookmarkStart w:id="21" w:name="_Toc273777149"/>
      <w:bookmarkStart w:id="22" w:name="_Toc277066412"/>
      <w:bookmarkStart w:id="23" w:name="_Toc338665638"/>
      <w:bookmarkStart w:id="24" w:name="_Toc195024205"/>
      <w:r w:rsidRPr="008C1E5F">
        <w:t>Purpose</w:t>
      </w:r>
      <w:bookmarkEnd w:id="21"/>
      <w:bookmarkEnd w:id="22"/>
      <w:bookmarkEnd w:id="23"/>
      <w:bookmarkEnd w:id="24"/>
    </w:p>
    <w:p w14:paraId="339CEE9F" w14:textId="7652AD9C" w:rsidR="003D6ECF" w:rsidRPr="008C1E5F" w:rsidRDefault="003D6ECF" w:rsidP="003D6ECF">
      <w:pPr>
        <w:pStyle w:val="BodyTextposthead"/>
        <w:rPr>
          <w:rFonts w:cs="Calibri"/>
          <w:bCs/>
        </w:rPr>
      </w:pPr>
      <w:r w:rsidRPr="008C1E5F">
        <w:t xml:space="preserve">Conducted under Chapter 15, Section 55A of the Massachusetts General Laws, </w:t>
      </w:r>
      <w:r w:rsidR="00D30A74" w:rsidRPr="008C1E5F">
        <w:t xml:space="preserve">comprehensive </w:t>
      </w:r>
      <w:r w:rsidRPr="008C1E5F">
        <w:t xml:space="preserve">district reviews support local school districts in establishing or strengthening a cycle of continuous improvement. Reviews </w:t>
      </w:r>
      <w:r w:rsidR="00D30A74" w:rsidRPr="008C1E5F">
        <w:t xml:space="preserve">carefully </w:t>
      </w:r>
      <w:r w:rsidRPr="008C1E5F">
        <w:t xml:space="preserve">consider the effectiveness of systemwide functions, </w:t>
      </w:r>
      <w:r w:rsidR="00D30A74" w:rsidRPr="008C1E5F">
        <w:t>referring</w:t>
      </w:r>
      <w:r w:rsidRPr="008C1E5F">
        <w:t xml:space="preserve"> to the six district standards used by DESE: Leadership and Governance, Curriculum and Instruction, Assessment, Human Resources and Professional Development, Student Support, and Financial and Asset Management.</w:t>
      </w:r>
      <w:r w:rsidRPr="008C1E5F">
        <w:rPr>
          <w:rStyle w:val="FootnoteReference"/>
        </w:rPr>
        <w:footnoteReference w:id="4"/>
      </w:r>
      <w:r w:rsidRPr="008C1E5F">
        <w:t xml:space="preserve"> Reviews </w:t>
      </w:r>
      <w:r w:rsidR="00D740FB" w:rsidRPr="008C1E5F">
        <w:t>provide the state, district leaders, and the public with an in-depth look into the systems, structures, and practices of a district and how they affect student experiences and opportunities.</w:t>
      </w:r>
      <w:r w:rsidR="0079466E" w:rsidRPr="008C1E5F">
        <w:t xml:space="preserve"> Dis</w:t>
      </w:r>
      <w:r w:rsidR="00F01D16" w:rsidRPr="008C1E5F">
        <w:t>trict reviews provide information and recommendations</w:t>
      </w:r>
      <w:r w:rsidR="00793B34" w:rsidRPr="008C1E5F">
        <w:t xml:space="preserve"> to </w:t>
      </w:r>
      <w:r w:rsidR="00B81D99" w:rsidRPr="008C1E5F">
        <w:t>support districts in</w:t>
      </w:r>
      <w:r w:rsidR="00793B34" w:rsidRPr="008C1E5F">
        <w:rPr>
          <w:rFonts w:cs="Calibri"/>
          <w:bCs/>
        </w:rPr>
        <w:t xml:space="preserve"> </w:t>
      </w:r>
      <w:r w:rsidR="00B81D99" w:rsidRPr="008C1E5F">
        <w:rPr>
          <w:rFonts w:cs="Calibri"/>
          <w:bCs/>
        </w:rPr>
        <w:t xml:space="preserve">implementing </w:t>
      </w:r>
      <w:r w:rsidR="007E7A6E" w:rsidRPr="008C1E5F">
        <w:rPr>
          <w:rFonts w:cs="Calibri"/>
          <w:bCs/>
        </w:rPr>
        <w:t xml:space="preserve">systemic improvements and </w:t>
      </w:r>
      <w:r w:rsidR="00F26EEE">
        <w:rPr>
          <w:rFonts w:cs="Calibri"/>
          <w:bCs/>
        </w:rPr>
        <w:t>advancing</w:t>
      </w:r>
      <w:r w:rsidR="00F26EEE" w:rsidRPr="008C1E5F">
        <w:rPr>
          <w:rFonts w:cs="Calibri"/>
          <w:bCs/>
        </w:rPr>
        <w:t xml:space="preserve"> </w:t>
      </w:r>
      <w:r w:rsidR="007E7A6E" w:rsidRPr="008C1E5F">
        <w:rPr>
          <w:rFonts w:cs="Calibri"/>
          <w:bCs/>
        </w:rPr>
        <w:t>equitable student outcomes and experiences.</w:t>
      </w:r>
      <w:r w:rsidR="00B53F86" w:rsidRPr="008C1E5F">
        <w:rPr>
          <w:rFonts w:cs="Calibri"/>
          <w:bCs/>
        </w:rPr>
        <w:t xml:space="preserve"> </w:t>
      </w:r>
    </w:p>
    <w:p w14:paraId="267B0A5A" w14:textId="77777777" w:rsidR="003D6ECF" w:rsidRPr="008C1E5F" w:rsidRDefault="003D6ECF" w:rsidP="003D6ECF">
      <w:pPr>
        <w:pStyle w:val="Heading3"/>
      </w:pPr>
      <w:bookmarkStart w:id="25" w:name="_Toc273777151"/>
      <w:bookmarkStart w:id="26" w:name="_Toc277066413"/>
      <w:bookmarkStart w:id="27" w:name="_Toc338665639"/>
      <w:bookmarkStart w:id="28" w:name="_Toc195024206"/>
      <w:r w:rsidRPr="008C1E5F">
        <w:t>Methodology</w:t>
      </w:r>
      <w:bookmarkEnd w:id="25"/>
      <w:bookmarkEnd w:id="26"/>
      <w:bookmarkEnd w:id="27"/>
      <w:bookmarkEnd w:id="28"/>
    </w:p>
    <w:p w14:paraId="6A0B0F11" w14:textId="082C7C00" w:rsidR="009D0554" w:rsidRPr="008C1E5F" w:rsidRDefault="003D6ECF" w:rsidP="003D6ECF">
      <w:pPr>
        <w:pStyle w:val="BodyTextposthead"/>
      </w:pPr>
      <w:r w:rsidRPr="008C1E5F">
        <w:t>A district review team consisting of AIR staff members and subcontractors, with expertise in each district standard, reviews documentation and extant data prior to conducting an on</w:t>
      </w:r>
      <w:r w:rsidR="00D30A74" w:rsidRPr="008C1E5F">
        <w:t>-</w:t>
      </w:r>
      <w:r w:rsidRPr="008C1E5F">
        <w:t>site visit. On</w:t>
      </w:r>
      <w:r w:rsidR="00D30A74" w:rsidRPr="008C1E5F">
        <w:t>-</w:t>
      </w:r>
      <w:r w:rsidRPr="008C1E5F">
        <w:t xml:space="preserve">site data collection includes team members conducting interviews and focus group sessions with a wide range of stakeholders, including </w:t>
      </w:r>
      <w:r w:rsidR="009F03CD" w:rsidRPr="008C1E5F">
        <w:t xml:space="preserve">municipal </w:t>
      </w:r>
      <w:r w:rsidR="00132A2B" w:rsidRPr="008C1E5F">
        <w:t>staff</w:t>
      </w:r>
      <w:r w:rsidR="009F03CD" w:rsidRPr="008C1E5F">
        <w:t xml:space="preserve">, </w:t>
      </w:r>
      <w:r w:rsidRPr="008C1E5F">
        <w:t xml:space="preserve">school committee members, teachers’ association representatives, district and school administrators, teachers, students, and students’ families. </w:t>
      </w:r>
      <w:r w:rsidR="00F97066" w:rsidRPr="008C1E5F">
        <w:t xml:space="preserve">Reviewers also conduct </w:t>
      </w:r>
      <w:r w:rsidR="00AE5402" w:rsidRPr="008C1E5F">
        <w:t xml:space="preserve">virtual </w:t>
      </w:r>
      <w:r w:rsidR="00F97066" w:rsidRPr="008C1E5F">
        <w:t xml:space="preserve">focus groups and </w:t>
      </w:r>
      <w:r w:rsidR="005803A6" w:rsidRPr="008C1E5F">
        <w:t xml:space="preserve">interviews as needed. </w:t>
      </w:r>
      <w:r w:rsidR="00491ACB" w:rsidRPr="008C1E5F">
        <w:t xml:space="preserve">Information about review activities and the site visit schedule is in Appendix A. </w:t>
      </w:r>
      <w:r w:rsidRPr="008C1E5F">
        <w:t xml:space="preserve">Team members also observe classroom instruction and collect data using the CLASS protocol. </w:t>
      </w:r>
      <w:r w:rsidR="005803A6" w:rsidRPr="008C1E5F">
        <w:t>The Districtwide Instructional Observation Report</w:t>
      </w:r>
      <w:r w:rsidR="00006535" w:rsidRPr="008C1E5F">
        <w:t xml:space="preserve"> resulting from these classroom observations</w:t>
      </w:r>
      <w:r w:rsidR="005803A6" w:rsidRPr="008C1E5F">
        <w:t xml:space="preserve"> is </w:t>
      </w:r>
      <w:r w:rsidR="009D0554" w:rsidRPr="008C1E5F">
        <w:t>i</w:t>
      </w:r>
      <w:r w:rsidR="005803A6" w:rsidRPr="008C1E5F">
        <w:t xml:space="preserve">n Appendix </w:t>
      </w:r>
      <w:r w:rsidR="00006535" w:rsidRPr="008C1E5F">
        <w:t>B</w:t>
      </w:r>
      <w:r w:rsidR="005803A6" w:rsidRPr="008C1E5F">
        <w:t xml:space="preserve">. </w:t>
      </w:r>
    </w:p>
    <w:p w14:paraId="5948E833" w14:textId="1420DD3E" w:rsidR="003D6ECF" w:rsidRPr="008C1E5F" w:rsidRDefault="6D93BB2B" w:rsidP="0066116F">
      <w:pPr>
        <w:pStyle w:val="BodyText"/>
        <w:rPr>
          <w:color w:val="000080"/>
        </w:rPr>
      </w:pPr>
      <w:r w:rsidRPr="008C1E5F">
        <w:t xml:space="preserve">Following the site visit, all interview and focus group data </w:t>
      </w:r>
      <w:r w:rsidR="00AE5402" w:rsidRPr="008C1E5F">
        <w:t xml:space="preserve">are </w:t>
      </w:r>
      <w:r w:rsidRPr="008C1E5F">
        <w:t>transcribed</w:t>
      </w:r>
      <w:r w:rsidR="0034507E">
        <w:t xml:space="preserve"> </w:t>
      </w:r>
      <w:r w:rsidRPr="008C1E5F">
        <w:t>using automated transcription. The transcripts are then coded using both deterministic coding, based on the protocol questions, as well as natural language processing models. Team members analyze the coded data to develop a set of objective findings.</w:t>
      </w:r>
      <w:r w:rsidR="003D6ECF" w:rsidRPr="008C1E5F">
        <w:t xml:space="preserve"> The team lead and multiple quality assurance reviewers, including DESE staff, then review the initial draft of the report. DESE staff provides recommendations for the district, based on the findings of strengths and areas of growth identified</w:t>
      </w:r>
      <w:r w:rsidR="00D30A74" w:rsidRPr="008C1E5F">
        <w:t>,</w:t>
      </w:r>
      <w:r w:rsidR="003D6ECF" w:rsidRPr="008C1E5F">
        <w:t xml:space="preserve"> before AIR finalizes and submits the report to DESE</w:t>
      </w:r>
      <w:r w:rsidR="003D6ECF" w:rsidRPr="008C1E5F">
        <w:rPr>
          <w:color w:val="000080"/>
        </w:rPr>
        <w:t>. D</w:t>
      </w:r>
      <w:r w:rsidR="003D6ECF" w:rsidRPr="008C1E5F">
        <w:t>ESE previews and then sends the report to the district for factual review before publishing it on the DESE website.</w:t>
      </w:r>
      <w:r w:rsidR="00C268FD" w:rsidRPr="008C1E5F">
        <w:t xml:space="preserve"> </w:t>
      </w:r>
      <w:r w:rsidR="00D3025F" w:rsidRPr="008C1E5F">
        <w:t xml:space="preserve">DESE also provides </w:t>
      </w:r>
      <w:r w:rsidR="00C268FD" w:rsidRPr="008C1E5F">
        <w:t xml:space="preserve">additional resources to support </w:t>
      </w:r>
      <w:r w:rsidR="00DE4CBF" w:rsidRPr="008C1E5F">
        <w:t>the implementation</w:t>
      </w:r>
      <w:r w:rsidR="00C268FD" w:rsidRPr="008C1E5F">
        <w:t xml:space="preserve"> of DESE’s District Standards and Indicators</w:t>
      </w:r>
      <w:r w:rsidR="009D0554" w:rsidRPr="008C1E5F">
        <w:t>, summarized</w:t>
      </w:r>
      <w:r w:rsidR="00D3025F" w:rsidRPr="008C1E5F">
        <w:t xml:space="preserve"> in Appendix </w:t>
      </w:r>
      <w:r w:rsidR="00006535" w:rsidRPr="008C1E5F">
        <w:t>C</w:t>
      </w:r>
      <w:r w:rsidR="00C268FD" w:rsidRPr="008C1E5F">
        <w:t>.</w:t>
      </w:r>
    </w:p>
    <w:p w14:paraId="5D00CDA2" w14:textId="4E3045B6" w:rsidR="003D6ECF" w:rsidRPr="008C1E5F" w:rsidRDefault="003D6ECF" w:rsidP="003D6ECF">
      <w:pPr>
        <w:pStyle w:val="Heading3"/>
      </w:pPr>
      <w:bookmarkStart w:id="29" w:name="_Toc195024207"/>
      <w:r w:rsidRPr="008C1E5F">
        <w:t>Site Visit</w:t>
      </w:r>
      <w:bookmarkEnd w:id="29"/>
    </w:p>
    <w:p w14:paraId="02DDA948" w14:textId="27CD1767" w:rsidR="003D6ECF" w:rsidRPr="008C1E5F" w:rsidRDefault="003D6ECF" w:rsidP="450D0E67">
      <w:pPr>
        <w:pStyle w:val="BodyTextposthead"/>
        <w:rPr>
          <w:rFonts w:ascii="Franklin Gothic Book" w:eastAsia="Franklin Gothic Book" w:hAnsi="Franklin Gothic Book" w:cs="Franklin Gothic Book"/>
          <w:color w:val="2F5496" w:themeColor="accent5" w:themeShade="BF"/>
          <w:sz w:val="28"/>
        </w:rPr>
      </w:pPr>
      <w:r w:rsidRPr="008C1E5F">
        <w:t xml:space="preserve">The site visit to </w:t>
      </w:r>
      <w:r w:rsidR="00DD22FE" w:rsidRPr="008C1E5F">
        <w:t>Fall River</w:t>
      </w:r>
      <w:r w:rsidRPr="008C1E5F">
        <w:t xml:space="preserve"> was conducted during the week</w:t>
      </w:r>
      <w:r w:rsidR="00AE5402" w:rsidRPr="008C1E5F">
        <w:t>s</w:t>
      </w:r>
      <w:r w:rsidRPr="008C1E5F">
        <w:t xml:space="preserve"> of </w:t>
      </w:r>
      <w:r w:rsidR="00DD22FE" w:rsidRPr="008C1E5F">
        <w:t xml:space="preserve">November </w:t>
      </w:r>
      <w:r w:rsidR="00EB2889" w:rsidRPr="008C1E5F">
        <w:t>18</w:t>
      </w:r>
      <w:r w:rsidR="007C13FC" w:rsidRPr="008C1E5F">
        <w:t xml:space="preserve"> and 25</w:t>
      </w:r>
      <w:r w:rsidR="00EB2889" w:rsidRPr="008C1E5F">
        <w:t>, 2024</w:t>
      </w:r>
      <w:r w:rsidRPr="008C1E5F">
        <w:t xml:space="preserve">. The site visit included </w:t>
      </w:r>
      <w:r w:rsidR="008F4C0F" w:rsidRPr="008C1E5F">
        <w:t>23</w:t>
      </w:r>
      <w:r w:rsidRPr="008C1E5F">
        <w:t xml:space="preserve"> hours of interviews and focus groups with approximately </w:t>
      </w:r>
      <w:r w:rsidR="00504885" w:rsidRPr="008C1E5F">
        <w:t>100</w:t>
      </w:r>
      <w:r w:rsidRPr="008C1E5F">
        <w:t xml:space="preserve"> stakeholders, including school committee members, district administrators, school staff, students, students’ families, and teachers’ association representatives. The review team conducted </w:t>
      </w:r>
      <w:r w:rsidR="00C223CD" w:rsidRPr="008C1E5F">
        <w:t>four</w:t>
      </w:r>
      <w:r w:rsidR="00D30A74" w:rsidRPr="008C1E5F">
        <w:t xml:space="preserve"> </w:t>
      </w:r>
      <w:r w:rsidRPr="008C1E5F">
        <w:t xml:space="preserve">teacher focus groups with </w:t>
      </w:r>
      <w:r w:rsidR="00F40153" w:rsidRPr="008C1E5F">
        <w:t>15</w:t>
      </w:r>
      <w:r w:rsidR="00D30A74" w:rsidRPr="008C1E5F">
        <w:t> </w:t>
      </w:r>
      <w:r w:rsidRPr="008C1E5F">
        <w:t>elementary</w:t>
      </w:r>
      <w:r w:rsidR="00D02CA3" w:rsidRPr="008C1E5F">
        <w:t xml:space="preserve"> </w:t>
      </w:r>
      <w:r w:rsidRPr="008C1E5F">
        <w:t xml:space="preserve">school teachers, </w:t>
      </w:r>
      <w:r w:rsidR="00CD6B5E" w:rsidRPr="008C1E5F">
        <w:t>10</w:t>
      </w:r>
      <w:r w:rsidR="00D30A74" w:rsidRPr="008C1E5F">
        <w:t xml:space="preserve"> </w:t>
      </w:r>
      <w:r w:rsidRPr="008C1E5F">
        <w:t>middle</w:t>
      </w:r>
      <w:r w:rsidR="00D02CA3" w:rsidRPr="008C1E5F">
        <w:t xml:space="preserve"> </w:t>
      </w:r>
      <w:r w:rsidRPr="008C1E5F">
        <w:t xml:space="preserve">school teachers, and </w:t>
      </w:r>
      <w:r w:rsidR="00AE5402" w:rsidRPr="008C1E5F">
        <w:t>seven</w:t>
      </w:r>
      <w:r w:rsidRPr="008C1E5F">
        <w:t xml:space="preserve"> high</w:t>
      </w:r>
      <w:r w:rsidR="00D02CA3" w:rsidRPr="008C1E5F">
        <w:t xml:space="preserve"> </w:t>
      </w:r>
      <w:r w:rsidRPr="008C1E5F">
        <w:t xml:space="preserve">school </w:t>
      </w:r>
      <w:r w:rsidRPr="008C1E5F">
        <w:lastRenderedPageBreak/>
        <w:t>teachers</w:t>
      </w:r>
      <w:r w:rsidR="00FC43E8" w:rsidRPr="008C1E5F">
        <w:t xml:space="preserve">; </w:t>
      </w:r>
      <w:r w:rsidR="00D25C43" w:rsidRPr="008C1E5F">
        <w:t>two</w:t>
      </w:r>
      <w:r w:rsidR="000A5023" w:rsidRPr="008C1E5F">
        <w:t xml:space="preserve"> student</w:t>
      </w:r>
      <w:r w:rsidR="00FC43E8" w:rsidRPr="008C1E5F">
        <w:t> </w:t>
      </w:r>
      <w:r w:rsidR="00FC43E8" w:rsidRPr="008C1E5F">
        <w:rPr>
          <w:rFonts w:ascii="Franklin Gothic Book" w:hAnsi="Franklin Gothic Book"/>
          <w:color w:val="000000"/>
          <w:shd w:val="clear" w:color="auto" w:fill="FFFFFF"/>
        </w:rPr>
        <w:t xml:space="preserve">focus groups with </w:t>
      </w:r>
      <w:r w:rsidR="00AF140A" w:rsidRPr="008C1E5F">
        <w:t>10</w:t>
      </w:r>
      <w:r w:rsidR="00FC43E8" w:rsidRPr="008C1E5F">
        <w:t> </w:t>
      </w:r>
      <w:r w:rsidR="00FC43E8" w:rsidRPr="008C1E5F">
        <w:rPr>
          <w:rFonts w:ascii="Franklin Gothic Book" w:hAnsi="Franklin Gothic Book"/>
          <w:color w:val="000000"/>
          <w:shd w:val="clear" w:color="auto" w:fill="FFFFFF"/>
        </w:rPr>
        <w:t xml:space="preserve">middle school and </w:t>
      </w:r>
      <w:r w:rsidR="00AE5402" w:rsidRPr="008C1E5F">
        <w:t>nine</w:t>
      </w:r>
      <w:r w:rsidR="00FC43E8" w:rsidRPr="008C1E5F">
        <w:t> </w:t>
      </w:r>
      <w:r w:rsidR="00FC43E8" w:rsidRPr="008C1E5F">
        <w:rPr>
          <w:rFonts w:ascii="Franklin Gothic Book" w:hAnsi="Franklin Gothic Book"/>
          <w:color w:val="000000"/>
          <w:shd w:val="clear" w:color="auto" w:fill="FFFFFF"/>
        </w:rPr>
        <w:t xml:space="preserve">high school students; </w:t>
      </w:r>
      <w:r w:rsidR="00FA22D6" w:rsidRPr="008C1E5F">
        <w:t>one</w:t>
      </w:r>
      <w:r w:rsidR="00FC43E8" w:rsidRPr="008C1E5F">
        <w:t> </w:t>
      </w:r>
      <w:r w:rsidR="00FC43E8" w:rsidRPr="008C1E5F">
        <w:rPr>
          <w:rFonts w:ascii="Franklin Gothic Book" w:hAnsi="Franklin Gothic Book"/>
          <w:color w:val="000000"/>
          <w:shd w:val="clear" w:color="auto" w:fill="FFFFFF"/>
        </w:rPr>
        <w:t xml:space="preserve">family focus group with </w:t>
      </w:r>
      <w:r w:rsidR="00DC4F89" w:rsidRPr="008C1E5F">
        <w:t>1</w:t>
      </w:r>
      <w:r w:rsidR="00FA22D6" w:rsidRPr="008C1E5F">
        <w:t>5</w:t>
      </w:r>
      <w:r w:rsidR="00FC43E8" w:rsidRPr="008C1E5F">
        <w:t> </w:t>
      </w:r>
      <w:r w:rsidR="00FC43E8" w:rsidRPr="008C1E5F">
        <w:rPr>
          <w:rFonts w:ascii="Franklin Gothic Book" w:hAnsi="Franklin Gothic Book"/>
          <w:color w:val="000000"/>
          <w:shd w:val="clear" w:color="auto" w:fill="FFFFFF"/>
        </w:rPr>
        <w:t>parents</w:t>
      </w:r>
      <w:r w:rsidR="004F4F64" w:rsidRPr="008C1E5F">
        <w:rPr>
          <w:rFonts w:ascii="Franklin Gothic Book" w:hAnsi="Franklin Gothic Book"/>
          <w:color w:val="000000"/>
          <w:shd w:val="clear" w:color="auto" w:fill="FFFFFF"/>
        </w:rPr>
        <w:t>; and one interview with a town official</w:t>
      </w:r>
      <w:r w:rsidR="00FC43E8" w:rsidRPr="008C1E5F">
        <w:rPr>
          <w:rFonts w:ascii="Franklin Gothic Book" w:hAnsi="Franklin Gothic Book"/>
          <w:shd w:val="clear" w:color="auto" w:fill="FFFFFF"/>
        </w:rPr>
        <w:t>.</w:t>
      </w:r>
      <w:r w:rsidR="2976EE1D" w:rsidRPr="008C1E5F">
        <w:rPr>
          <w:rFonts w:ascii="Franklin Gothic Book" w:hAnsi="Franklin Gothic Book"/>
          <w:shd w:val="clear" w:color="auto" w:fill="FFFFFF"/>
        </w:rPr>
        <w:t xml:space="preserve"> </w:t>
      </w:r>
      <w:r w:rsidR="57BD5B47" w:rsidRPr="008C1E5F">
        <w:rPr>
          <w:rFonts w:ascii="Franklin Gothic Book" w:eastAsia="Franklin Gothic Book" w:hAnsi="Franklin Gothic Book" w:cs="Franklin Gothic Book"/>
        </w:rPr>
        <w:t xml:space="preserve">Data collection also included distributing a questionnaire to district leaders, as well as to each principal, to gather information about district and school processes and operations; respondents in </w:t>
      </w:r>
      <w:r w:rsidR="57BD5B47" w:rsidRPr="008C1E5F">
        <w:t xml:space="preserve">Fall River </w:t>
      </w:r>
      <w:r w:rsidR="57BD5B47" w:rsidRPr="008C1E5F">
        <w:rPr>
          <w:rFonts w:ascii="Franklin Gothic Book" w:eastAsia="Franklin Gothic Book" w:hAnsi="Franklin Gothic Book" w:cs="Franklin Gothic Book"/>
        </w:rPr>
        <w:t xml:space="preserve">completed the district questionnaire and </w:t>
      </w:r>
      <w:r w:rsidR="00861D5D" w:rsidRPr="008C1E5F">
        <w:t>15</w:t>
      </w:r>
      <w:r w:rsidR="57BD5B47" w:rsidRPr="008C1E5F">
        <w:t xml:space="preserve"> </w:t>
      </w:r>
      <w:r w:rsidR="57BD5B47" w:rsidRPr="008C1E5F">
        <w:rPr>
          <w:rFonts w:ascii="Franklin Gothic Book" w:eastAsia="Franklin Gothic Book" w:hAnsi="Franklin Gothic Book" w:cs="Franklin Gothic Book"/>
        </w:rPr>
        <w:t xml:space="preserve">of </w:t>
      </w:r>
      <w:r w:rsidR="00861D5D" w:rsidRPr="008C1E5F">
        <w:t>16</w:t>
      </w:r>
      <w:r w:rsidR="57BD5B47" w:rsidRPr="008C1E5F">
        <w:t xml:space="preserve"> </w:t>
      </w:r>
      <w:r w:rsidR="57BD5B47" w:rsidRPr="008C1E5F">
        <w:rPr>
          <w:rFonts w:ascii="Franklin Gothic Book" w:eastAsia="Franklin Gothic Book" w:hAnsi="Franklin Gothic Book" w:cs="Franklin Gothic Book"/>
        </w:rPr>
        <w:t>principal questionnaires.</w:t>
      </w:r>
      <w:r w:rsidR="57BD5B47" w:rsidRPr="008C1E5F">
        <w:t xml:space="preserve"> </w:t>
      </w:r>
    </w:p>
    <w:p w14:paraId="698EEF1B" w14:textId="5C63BD76" w:rsidR="003D6ECF" w:rsidRPr="008C1E5F" w:rsidRDefault="003D6ECF" w:rsidP="00605669">
      <w:pPr>
        <w:pStyle w:val="BodyText"/>
      </w:pPr>
      <w:r w:rsidRPr="008C1E5F">
        <w:t xml:space="preserve">The site team also conducted </w:t>
      </w:r>
      <w:r w:rsidR="439C6234" w:rsidRPr="008C1E5F">
        <w:t xml:space="preserve">192 </w:t>
      </w:r>
      <w:r w:rsidRPr="008C1E5F">
        <w:t xml:space="preserve">observations of classroom instruction </w:t>
      </w:r>
      <w:r w:rsidR="5864232C" w:rsidRPr="008C1E5F">
        <w:t>across</w:t>
      </w:r>
      <w:r w:rsidR="00A81C46" w:rsidRPr="008C1E5F">
        <w:t xml:space="preserve"> </w:t>
      </w:r>
      <w:r w:rsidR="00250A60" w:rsidRPr="008C1E5F">
        <w:t>16</w:t>
      </w:r>
      <w:r w:rsidR="006D04CC" w:rsidRPr="008C1E5F">
        <w:t xml:space="preserve"> </w:t>
      </w:r>
      <w:r w:rsidRPr="008C1E5F">
        <w:t>schools.</w:t>
      </w:r>
      <w:r w:rsidR="00B72349" w:rsidRPr="008C1E5F">
        <w:rPr>
          <w:rStyle w:val="CommentReference"/>
        </w:rPr>
        <w:t xml:space="preserve"> </w:t>
      </w:r>
      <w:r w:rsidR="00D30A74" w:rsidRPr="008C1E5F">
        <w:t>C</w:t>
      </w:r>
      <w:r w:rsidRPr="008C1E5F">
        <w:t xml:space="preserve">ertified team members conducted instructional observations using the Teachstone CLASS protocol. </w:t>
      </w:r>
    </w:p>
    <w:p w14:paraId="2B77C53A" w14:textId="26BF69D1" w:rsidR="003D6ECF" w:rsidRPr="008C1E5F" w:rsidRDefault="003D6ECF" w:rsidP="003D6ECF">
      <w:pPr>
        <w:pStyle w:val="Heading3"/>
      </w:pPr>
      <w:bookmarkStart w:id="30" w:name="_Toc195024208"/>
      <w:r w:rsidRPr="008C1E5F">
        <w:t>District Profile</w:t>
      </w:r>
      <w:bookmarkEnd w:id="30"/>
    </w:p>
    <w:p w14:paraId="4FD89638" w14:textId="75CAD6ED" w:rsidR="00382726" w:rsidRPr="008C1E5F" w:rsidRDefault="00382726" w:rsidP="00F4028E">
      <w:pPr>
        <w:pStyle w:val="BodyTextposthead"/>
      </w:pPr>
      <w:r w:rsidRPr="008C1E5F">
        <w:t xml:space="preserve">The City of Fall River </w:t>
      </w:r>
      <w:proofErr w:type="gramStart"/>
      <w:r w:rsidRPr="008C1E5F">
        <w:t>is located in</w:t>
      </w:r>
      <w:proofErr w:type="gramEnd"/>
      <w:r w:rsidRPr="008C1E5F">
        <w:t xml:space="preserve"> southeast Massachusetts and borders the cities of Swansea, </w:t>
      </w:r>
      <w:r w:rsidR="00AE5402" w:rsidRPr="008C1E5F">
        <w:t xml:space="preserve">Massachusetts, </w:t>
      </w:r>
      <w:r w:rsidRPr="008C1E5F">
        <w:t xml:space="preserve">and Tiverton, </w:t>
      </w:r>
      <w:r w:rsidR="00AE5402" w:rsidRPr="008C1E5F">
        <w:t>Rhode Island</w:t>
      </w:r>
      <w:r w:rsidRPr="008C1E5F">
        <w:t xml:space="preserve">. According to </w:t>
      </w:r>
      <w:hyperlink r:id="rId21" w:history="1">
        <w:r w:rsidR="00C77139" w:rsidRPr="00C77139">
          <w:rPr>
            <w:rStyle w:val="Hyperlink"/>
            <w:rFonts w:ascii="Franklin Gothic Book" w:eastAsia="Franklin Gothic Book" w:hAnsi="Franklin Gothic Book" w:cs="Franklin Gothic Book"/>
          </w:rPr>
          <w:t>census data</w:t>
        </w:r>
      </w:hyperlink>
      <w:r w:rsidRPr="008C1E5F">
        <w:t>, Fall River’s median income from 2019-2023 was $53,933, which is below the state median income of $101,341. In 2023, Fall River had an estimated 93,840 residents.</w:t>
      </w:r>
    </w:p>
    <w:p w14:paraId="6265C02E" w14:textId="344616C5" w:rsidR="006E5B7D" w:rsidRPr="008C1E5F" w:rsidRDefault="006E5B7D" w:rsidP="00B4170D">
      <w:pPr>
        <w:pStyle w:val="BodyText"/>
      </w:pPr>
      <w:r w:rsidRPr="008C1E5F">
        <w:t xml:space="preserve">The </w:t>
      </w:r>
      <w:r w:rsidR="00AE5402" w:rsidRPr="008C1E5F">
        <w:t>s</w:t>
      </w:r>
      <w:r w:rsidRPr="008C1E5F">
        <w:t xml:space="preserve">uperintendent of </w:t>
      </w:r>
      <w:r w:rsidR="00504885" w:rsidRPr="008C1E5F">
        <w:t>Fall River</w:t>
      </w:r>
      <w:r w:rsidRPr="008C1E5F">
        <w:t xml:space="preserve"> Public Schools is Dr. </w:t>
      </w:r>
      <w:r w:rsidR="0077727B" w:rsidRPr="008C1E5F">
        <w:t>Tracy Curley</w:t>
      </w:r>
      <w:r w:rsidRPr="008C1E5F">
        <w:t xml:space="preserve">, who was appointed in </w:t>
      </w:r>
      <w:r w:rsidR="0077727B" w:rsidRPr="008C1E5F">
        <w:t>July 2024.</w:t>
      </w:r>
      <w:r w:rsidRPr="008C1E5F">
        <w:t xml:space="preserve"> Additionally, the district is governed by a school committee composed of </w:t>
      </w:r>
      <w:r w:rsidR="00393197" w:rsidRPr="008C1E5F">
        <w:t>seven</w:t>
      </w:r>
      <w:r w:rsidRPr="008C1E5F">
        <w:t xml:space="preserve"> members who are</w:t>
      </w:r>
      <w:r w:rsidR="007169EE">
        <w:t xml:space="preserve"> </w:t>
      </w:r>
      <w:r w:rsidRPr="008C1E5F">
        <w:t>elected for two-year terms.</w:t>
      </w:r>
    </w:p>
    <w:p w14:paraId="748AA06A" w14:textId="32F2C651" w:rsidR="006E5B7D" w:rsidRPr="008C1E5F" w:rsidRDefault="006E5B7D" w:rsidP="00B4170D">
      <w:pPr>
        <w:pStyle w:val="BodyText"/>
      </w:pPr>
      <w:r w:rsidRPr="008C1E5F">
        <w:t>In the 202</w:t>
      </w:r>
      <w:r w:rsidR="00ED0699" w:rsidRPr="008C1E5F">
        <w:t>4</w:t>
      </w:r>
      <w:r w:rsidRPr="008C1E5F">
        <w:t>-202</w:t>
      </w:r>
      <w:r w:rsidR="00ED0699" w:rsidRPr="008C1E5F">
        <w:t>5</w:t>
      </w:r>
      <w:r w:rsidRPr="008C1E5F">
        <w:t xml:space="preserve"> school year, the district served </w:t>
      </w:r>
      <w:r w:rsidR="00674AB9" w:rsidRPr="008C1E5F">
        <w:t>11</w:t>
      </w:r>
      <w:r w:rsidRPr="008C1E5F">
        <w:t>,</w:t>
      </w:r>
      <w:r w:rsidR="00674AB9" w:rsidRPr="008C1E5F">
        <w:t>089</w:t>
      </w:r>
      <w:r w:rsidRPr="008C1E5F">
        <w:t xml:space="preserve"> students across its </w:t>
      </w:r>
      <w:r w:rsidR="006A77C0" w:rsidRPr="008C1E5F">
        <w:t>19</w:t>
      </w:r>
      <w:r w:rsidRPr="008C1E5F">
        <w:t xml:space="preserve"> schools. Since the 2020-21 school year, total enrollment has increased by </w:t>
      </w:r>
      <w:r w:rsidR="00996D89" w:rsidRPr="008C1E5F">
        <w:t>1,091</w:t>
      </w:r>
      <w:r w:rsidRPr="008C1E5F">
        <w:t xml:space="preserve"> students. Table 1 provides an overview of student enrollment by school for the </w:t>
      </w:r>
      <w:r w:rsidRPr="008C1E5F" w:rsidDel="00116C40">
        <w:t>2024</w:t>
      </w:r>
      <w:r w:rsidRPr="008C1E5F">
        <w:t>-</w:t>
      </w:r>
      <w:r w:rsidR="00116C40" w:rsidRPr="008C1E5F">
        <w:t>202</w:t>
      </w:r>
      <w:r w:rsidR="00116C40">
        <w:t>5</w:t>
      </w:r>
      <w:r w:rsidR="00116C40" w:rsidRPr="008C1E5F">
        <w:t xml:space="preserve"> </w:t>
      </w:r>
      <w:r w:rsidRPr="008C1E5F">
        <w:t>school year.</w:t>
      </w:r>
    </w:p>
    <w:p w14:paraId="2F33E95E" w14:textId="77777777" w:rsidR="00B4170D" w:rsidRPr="008C1E5F" w:rsidRDefault="00B4170D">
      <w:pPr>
        <w:spacing w:line="240" w:lineRule="auto"/>
        <w:rPr>
          <w:rFonts w:ascii="Franklin Gothic Demi" w:hAnsi="Franklin Gothic Demi"/>
        </w:rPr>
      </w:pPr>
      <w:r w:rsidRPr="008C1E5F">
        <w:br w:type="page"/>
      </w:r>
    </w:p>
    <w:p w14:paraId="0538FE71" w14:textId="1F0F7623" w:rsidR="006E5B7D" w:rsidRPr="008C1E5F" w:rsidRDefault="006E5B7D" w:rsidP="00F35C7D">
      <w:pPr>
        <w:pStyle w:val="TableTitle0"/>
      </w:pPr>
      <w:r w:rsidRPr="008C1E5F">
        <w:lastRenderedPageBreak/>
        <w:t>Table 1. Schools, Type, Grades Served, and Enrollment, 202</w:t>
      </w:r>
      <w:r w:rsidR="001D3B98" w:rsidRPr="008C1E5F">
        <w:t>4</w:t>
      </w:r>
      <w:r w:rsidRPr="008C1E5F">
        <w:t>-202</w:t>
      </w:r>
      <w:r w:rsidR="001D3B98" w:rsidRPr="008C1E5F">
        <w:t>5</w:t>
      </w:r>
    </w:p>
    <w:tbl>
      <w:tblPr>
        <w:tblStyle w:val="MSVTable1"/>
        <w:tblW w:w="5000" w:type="pct"/>
        <w:tblLook w:val="06A0" w:firstRow="1" w:lastRow="0" w:firstColumn="1" w:lastColumn="0" w:noHBand="1" w:noVBand="1"/>
        <w:tblCaption w:val="Table 1: Brockton Public Schools  "/>
        <w:tblDescription w:val="Schools, Type, Grades Served, and Enrollment, 2019-2020&#10;"/>
      </w:tblPr>
      <w:tblGrid>
        <w:gridCol w:w="3818"/>
        <w:gridCol w:w="1994"/>
        <w:gridCol w:w="1614"/>
        <w:gridCol w:w="1918"/>
      </w:tblGrid>
      <w:tr w:rsidR="006E5B7D" w:rsidRPr="008C1E5F" w14:paraId="69DEBC59" w14:textId="77777777" w:rsidTr="00B4170D">
        <w:trPr>
          <w:cnfStyle w:val="100000000000" w:firstRow="1" w:lastRow="0" w:firstColumn="0" w:lastColumn="0" w:oddVBand="0" w:evenVBand="0" w:oddHBand="0" w:evenHBand="0" w:firstRowFirstColumn="0" w:firstRowLastColumn="0" w:lastRowFirstColumn="0" w:lastRowLastColumn="0"/>
        </w:trPr>
        <w:tc>
          <w:tcPr>
            <w:tcW w:w="3818" w:type="dxa"/>
            <w:hideMark/>
          </w:tcPr>
          <w:p w14:paraId="7685F94F" w14:textId="77777777" w:rsidR="006E5B7D" w:rsidRPr="008C1E5F" w:rsidRDefault="006E5B7D" w:rsidP="00B4170D">
            <w:pPr>
              <w:pStyle w:val="TableColHeadingLeft"/>
            </w:pPr>
            <w:r w:rsidRPr="008C1E5F">
              <w:t xml:space="preserve">School </w:t>
            </w:r>
          </w:p>
        </w:tc>
        <w:tc>
          <w:tcPr>
            <w:tcW w:w="1994" w:type="dxa"/>
            <w:hideMark/>
          </w:tcPr>
          <w:p w14:paraId="0CBA37C0" w14:textId="77777777" w:rsidR="006E5B7D" w:rsidRPr="008C1E5F" w:rsidRDefault="006E5B7D" w:rsidP="00B4170D">
            <w:pPr>
              <w:pStyle w:val="TableColHeadingCenter"/>
            </w:pPr>
            <w:r w:rsidRPr="008C1E5F">
              <w:t>Type</w:t>
            </w:r>
          </w:p>
        </w:tc>
        <w:tc>
          <w:tcPr>
            <w:tcW w:w="1614" w:type="dxa"/>
            <w:hideMark/>
          </w:tcPr>
          <w:p w14:paraId="5EF97187" w14:textId="77777777" w:rsidR="006E5B7D" w:rsidRPr="008C1E5F" w:rsidRDefault="006E5B7D" w:rsidP="00B4170D">
            <w:pPr>
              <w:pStyle w:val="TableColHeadingCenter"/>
            </w:pPr>
            <w:r w:rsidRPr="008C1E5F">
              <w:t>Grades served</w:t>
            </w:r>
          </w:p>
        </w:tc>
        <w:tc>
          <w:tcPr>
            <w:tcW w:w="1918" w:type="dxa"/>
          </w:tcPr>
          <w:p w14:paraId="22852B66" w14:textId="77777777" w:rsidR="006E5B7D" w:rsidRPr="008C1E5F" w:rsidRDefault="006E5B7D" w:rsidP="00B4170D">
            <w:pPr>
              <w:pStyle w:val="TableColHeadingCenter"/>
            </w:pPr>
            <w:r w:rsidRPr="008C1E5F">
              <w:t>Enrollment</w:t>
            </w:r>
          </w:p>
        </w:tc>
      </w:tr>
      <w:tr w:rsidR="006E5B7D" w:rsidRPr="008C1E5F" w14:paraId="78104AEE" w14:textId="77777777" w:rsidTr="00B4170D">
        <w:tc>
          <w:tcPr>
            <w:tcW w:w="3818" w:type="dxa"/>
          </w:tcPr>
          <w:p w14:paraId="20EC8970" w14:textId="70C2EA04" w:rsidR="006E5B7D" w:rsidRPr="008C1E5F" w:rsidRDefault="0053749A" w:rsidP="00B4170D">
            <w:pPr>
              <w:pStyle w:val="TableText"/>
            </w:pPr>
            <w:r w:rsidRPr="008C1E5F">
              <w:t>Early Learning Center</w:t>
            </w:r>
          </w:p>
        </w:tc>
        <w:tc>
          <w:tcPr>
            <w:tcW w:w="1994" w:type="dxa"/>
          </w:tcPr>
          <w:p w14:paraId="2D613EC4" w14:textId="77777777" w:rsidR="006E5B7D" w:rsidRPr="008C1E5F" w:rsidRDefault="006E5B7D" w:rsidP="00B4170D">
            <w:pPr>
              <w:pStyle w:val="TableTextCentered"/>
            </w:pPr>
            <w:r w:rsidRPr="008C1E5F">
              <w:t>Elementary</w:t>
            </w:r>
          </w:p>
        </w:tc>
        <w:tc>
          <w:tcPr>
            <w:tcW w:w="1614" w:type="dxa"/>
          </w:tcPr>
          <w:p w14:paraId="06B1BE12" w14:textId="7684B136" w:rsidR="006E5B7D" w:rsidRPr="008C1E5F" w:rsidRDefault="006E5B7D" w:rsidP="00B4170D">
            <w:pPr>
              <w:pStyle w:val="TableTextCentered"/>
            </w:pPr>
            <w:r w:rsidRPr="008C1E5F">
              <w:t>PK</w:t>
            </w:r>
          </w:p>
        </w:tc>
        <w:tc>
          <w:tcPr>
            <w:tcW w:w="1918" w:type="dxa"/>
            <w:shd w:val="clear" w:color="auto" w:fill="D9E2F3" w:themeFill="accent5" w:themeFillTint="33"/>
          </w:tcPr>
          <w:p w14:paraId="6BD57C59" w14:textId="06FF9E12" w:rsidR="006E5B7D" w:rsidRPr="008C1E5F" w:rsidRDefault="0094521C" w:rsidP="00B4170D">
            <w:pPr>
              <w:pStyle w:val="TableTextCentered"/>
            </w:pPr>
            <w:r w:rsidRPr="008C1E5F">
              <w:t>164</w:t>
            </w:r>
          </w:p>
        </w:tc>
      </w:tr>
      <w:tr w:rsidR="006E5B7D" w:rsidRPr="008C1E5F" w14:paraId="3C79C683" w14:textId="77777777" w:rsidTr="00B4170D">
        <w:tc>
          <w:tcPr>
            <w:tcW w:w="3818" w:type="dxa"/>
          </w:tcPr>
          <w:p w14:paraId="24177C2E" w14:textId="6912F93D" w:rsidR="006E5B7D" w:rsidRPr="008C1E5F" w:rsidRDefault="0094521C" w:rsidP="00B4170D">
            <w:pPr>
              <w:pStyle w:val="TableText"/>
            </w:pPr>
            <w:r w:rsidRPr="008C1E5F">
              <w:t>FRPS Early Learning Center</w:t>
            </w:r>
          </w:p>
        </w:tc>
        <w:tc>
          <w:tcPr>
            <w:tcW w:w="1994" w:type="dxa"/>
          </w:tcPr>
          <w:p w14:paraId="3403C3F5" w14:textId="77777777" w:rsidR="006E5B7D" w:rsidRPr="008C1E5F" w:rsidRDefault="0094521C" w:rsidP="00B4170D">
            <w:pPr>
              <w:pStyle w:val="TableTextCentered"/>
            </w:pPr>
            <w:r w:rsidRPr="008C1E5F">
              <w:t>Elementary</w:t>
            </w:r>
          </w:p>
        </w:tc>
        <w:tc>
          <w:tcPr>
            <w:tcW w:w="1614" w:type="dxa"/>
          </w:tcPr>
          <w:p w14:paraId="0F816047" w14:textId="16BE7228" w:rsidR="006E5B7D" w:rsidRPr="008C1E5F" w:rsidRDefault="0094521C" w:rsidP="00B4170D">
            <w:pPr>
              <w:pStyle w:val="TableTextCentered"/>
            </w:pPr>
            <w:r w:rsidRPr="008C1E5F">
              <w:t>PK</w:t>
            </w:r>
          </w:p>
        </w:tc>
        <w:tc>
          <w:tcPr>
            <w:tcW w:w="1918" w:type="dxa"/>
            <w:shd w:val="clear" w:color="auto" w:fill="D9E2F3" w:themeFill="accent5" w:themeFillTint="33"/>
          </w:tcPr>
          <w:p w14:paraId="71574833" w14:textId="558232B1" w:rsidR="006E5B7D" w:rsidRPr="008C1E5F" w:rsidRDefault="0094521C" w:rsidP="00B4170D">
            <w:pPr>
              <w:pStyle w:val="TableTextCentered"/>
            </w:pPr>
            <w:r w:rsidRPr="008C1E5F">
              <w:t>5</w:t>
            </w:r>
            <w:r w:rsidR="009A1804" w:rsidRPr="008C1E5F">
              <w:t>3</w:t>
            </w:r>
          </w:p>
        </w:tc>
      </w:tr>
      <w:tr w:rsidR="0094521C" w:rsidRPr="008C1E5F" w14:paraId="756A20E3" w14:textId="77777777" w:rsidTr="00B4170D">
        <w:tc>
          <w:tcPr>
            <w:tcW w:w="3818" w:type="dxa"/>
          </w:tcPr>
          <w:p w14:paraId="26C15E57" w14:textId="5F71E6CD" w:rsidR="0094521C" w:rsidRPr="008C1E5F" w:rsidRDefault="000D2ECF" w:rsidP="00B4170D">
            <w:pPr>
              <w:pStyle w:val="TableText"/>
            </w:pPr>
            <w:r w:rsidRPr="008C1E5F">
              <w:t>Mary Fonseca Elementary School</w:t>
            </w:r>
          </w:p>
        </w:tc>
        <w:tc>
          <w:tcPr>
            <w:tcW w:w="1994" w:type="dxa"/>
          </w:tcPr>
          <w:p w14:paraId="634D05C5" w14:textId="77777777" w:rsidR="0094521C" w:rsidRPr="008C1E5F" w:rsidRDefault="0094521C" w:rsidP="00B4170D">
            <w:pPr>
              <w:pStyle w:val="TableTextCentered"/>
            </w:pPr>
            <w:r w:rsidRPr="008C1E5F">
              <w:t>Elementary</w:t>
            </w:r>
          </w:p>
        </w:tc>
        <w:tc>
          <w:tcPr>
            <w:tcW w:w="1614" w:type="dxa"/>
          </w:tcPr>
          <w:p w14:paraId="1CE3526D" w14:textId="0413AC73" w:rsidR="0094521C" w:rsidRPr="008C1E5F" w:rsidRDefault="000D2ECF" w:rsidP="00B4170D">
            <w:pPr>
              <w:pStyle w:val="TableTextCentered"/>
            </w:pPr>
            <w:r w:rsidRPr="008C1E5F">
              <w:t>PK-5</w:t>
            </w:r>
          </w:p>
        </w:tc>
        <w:tc>
          <w:tcPr>
            <w:tcW w:w="1918" w:type="dxa"/>
            <w:shd w:val="clear" w:color="auto" w:fill="D9E2F3" w:themeFill="accent5" w:themeFillTint="33"/>
          </w:tcPr>
          <w:p w14:paraId="57DDDCBD" w14:textId="32C4AB04" w:rsidR="0094521C" w:rsidRPr="008C1E5F" w:rsidRDefault="000D2ECF" w:rsidP="00B4170D">
            <w:pPr>
              <w:pStyle w:val="TableTextCentered"/>
            </w:pPr>
            <w:r w:rsidRPr="008C1E5F">
              <w:t>598</w:t>
            </w:r>
          </w:p>
        </w:tc>
      </w:tr>
      <w:tr w:rsidR="000D2ECF" w:rsidRPr="008C1E5F" w14:paraId="5559C6DB" w14:textId="77777777" w:rsidTr="00B4170D">
        <w:tc>
          <w:tcPr>
            <w:tcW w:w="3818" w:type="dxa"/>
          </w:tcPr>
          <w:p w14:paraId="16CAED71" w14:textId="51B69856" w:rsidR="000D2ECF" w:rsidRPr="008C1E5F" w:rsidRDefault="000D2ECF" w:rsidP="00B4170D">
            <w:pPr>
              <w:pStyle w:val="TableText"/>
            </w:pPr>
            <w:r w:rsidRPr="008C1E5F">
              <w:t>North End Elementary School</w:t>
            </w:r>
          </w:p>
        </w:tc>
        <w:tc>
          <w:tcPr>
            <w:tcW w:w="1994" w:type="dxa"/>
          </w:tcPr>
          <w:p w14:paraId="0203B696" w14:textId="6DD45993" w:rsidR="000D2ECF" w:rsidRPr="008C1E5F" w:rsidRDefault="000D2ECF" w:rsidP="00B4170D">
            <w:pPr>
              <w:pStyle w:val="TableTextCentered"/>
            </w:pPr>
            <w:r w:rsidRPr="008C1E5F">
              <w:t>Elementary</w:t>
            </w:r>
          </w:p>
        </w:tc>
        <w:tc>
          <w:tcPr>
            <w:tcW w:w="1614" w:type="dxa"/>
          </w:tcPr>
          <w:p w14:paraId="63804440" w14:textId="4184ACB2" w:rsidR="000D2ECF" w:rsidRPr="008C1E5F" w:rsidRDefault="000D2ECF" w:rsidP="00B4170D">
            <w:pPr>
              <w:pStyle w:val="TableTextCentered"/>
            </w:pPr>
            <w:r w:rsidRPr="008C1E5F">
              <w:t>PK-5</w:t>
            </w:r>
          </w:p>
        </w:tc>
        <w:tc>
          <w:tcPr>
            <w:tcW w:w="1918" w:type="dxa"/>
            <w:shd w:val="clear" w:color="auto" w:fill="D9E2F3" w:themeFill="accent5" w:themeFillTint="33"/>
          </w:tcPr>
          <w:p w14:paraId="4AC72817" w14:textId="306C37E0" w:rsidR="000D2ECF" w:rsidRPr="008C1E5F" w:rsidRDefault="000D2ECF" w:rsidP="00B4170D">
            <w:pPr>
              <w:pStyle w:val="TableTextCentered"/>
            </w:pPr>
            <w:r w:rsidRPr="008C1E5F">
              <w:t>655</w:t>
            </w:r>
          </w:p>
        </w:tc>
      </w:tr>
      <w:tr w:rsidR="000D2ECF" w:rsidRPr="008C1E5F" w14:paraId="7A0D11FA" w14:textId="77777777" w:rsidTr="00B4170D">
        <w:tc>
          <w:tcPr>
            <w:tcW w:w="3818" w:type="dxa"/>
          </w:tcPr>
          <w:p w14:paraId="65BFFE86" w14:textId="7012D3FB" w:rsidR="000D2ECF" w:rsidRPr="008C1E5F" w:rsidRDefault="000D2ECF" w:rsidP="00B4170D">
            <w:pPr>
              <w:pStyle w:val="TableText"/>
            </w:pPr>
            <w:r w:rsidRPr="008C1E5F">
              <w:t>Spencer Borden</w:t>
            </w:r>
          </w:p>
        </w:tc>
        <w:tc>
          <w:tcPr>
            <w:tcW w:w="1994" w:type="dxa"/>
          </w:tcPr>
          <w:p w14:paraId="1194375F" w14:textId="48A3DA75" w:rsidR="000D2ECF" w:rsidRPr="008C1E5F" w:rsidRDefault="000D2ECF" w:rsidP="00B4170D">
            <w:pPr>
              <w:pStyle w:val="TableTextCentered"/>
            </w:pPr>
            <w:r w:rsidRPr="008C1E5F">
              <w:t>Elementary</w:t>
            </w:r>
          </w:p>
        </w:tc>
        <w:tc>
          <w:tcPr>
            <w:tcW w:w="1614" w:type="dxa"/>
          </w:tcPr>
          <w:p w14:paraId="7E1CDF12" w14:textId="211F1295" w:rsidR="000D2ECF" w:rsidRPr="008C1E5F" w:rsidRDefault="000D2ECF" w:rsidP="00B4170D">
            <w:pPr>
              <w:pStyle w:val="TableTextCentered"/>
            </w:pPr>
            <w:r w:rsidRPr="008C1E5F">
              <w:t>PK-5</w:t>
            </w:r>
          </w:p>
        </w:tc>
        <w:tc>
          <w:tcPr>
            <w:tcW w:w="1918" w:type="dxa"/>
            <w:shd w:val="clear" w:color="auto" w:fill="D9E2F3" w:themeFill="accent5" w:themeFillTint="33"/>
          </w:tcPr>
          <w:p w14:paraId="34A6B225" w14:textId="5C145C75" w:rsidR="000D2ECF" w:rsidRPr="008C1E5F" w:rsidRDefault="000D2ECF" w:rsidP="00B4170D">
            <w:pPr>
              <w:pStyle w:val="TableTextCentered"/>
            </w:pPr>
            <w:r w:rsidRPr="008C1E5F">
              <w:t>575</w:t>
            </w:r>
          </w:p>
        </w:tc>
      </w:tr>
      <w:tr w:rsidR="003B7BD8" w:rsidRPr="008C1E5F" w14:paraId="2A01EB54" w14:textId="77777777" w:rsidTr="00B4170D">
        <w:tc>
          <w:tcPr>
            <w:tcW w:w="3818" w:type="dxa"/>
          </w:tcPr>
          <w:p w14:paraId="7AA4A1E9" w14:textId="44FEA42B" w:rsidR="003B7BD8" w:rsidRPr="008C1E5F" w:rsidRDefault="003B7BD8" w:rsidP="00B4170D">
            <w:pPr>
              <w:pStyle w:val="TableText"/>
            </w:pPr>
            <w:r w:rsidRPr="008C1E5F">
              <w:t>William S. Greene</w:t>
            </w:r>
          </w:p>
        </w:tc>
        <w:tc>
          <w:tcPr>
            <w:tcW w:w="1994" w:type="dxa"/>
          </w:tcPr>
          <w:p w14:paraId="18E45B0A" w14:textId="4F6C97CB" w:rsidR="003B7BD8" w:rsidRPr="008C1E5F" w:rsidRDefault="003B7BD8" w:rsidP="00B4170D">
            <w:pPr>
              <w:pStyle w:val="TableTextCentered"/>
            </w:pPr>
            <w:r w:rsidRPr="008C1E5F">
              <w:t>Elementary</w:t>
            </w:r>
          </w:p>
        </w:tc>
        <w:tc>
          <w:tcPr>
            <w:tcW w:w="1614" w:type="dxa"/>
          </w:tcPr>
          <w:p w14:paraId="0B854329" w14:textId="434F63D2" w:rsidR="003B7BD8" w:rsidRPr="008C1E5F" w:rsidRDefault="003B7BD8" w:rsidP="00B4170D">
            <w:pPr>
              <w:pStyle w:val="TableTextCentered"/>
            </w:pPr>
            <w:r w:rsidRPr="008C1E5F">
              <w:t>PK-5</w:t>
            </w:r>
          </w:p>
        </w:tc>
        <w:tc>
          <w:tcPr>
            <w:tcW w:w="1918" w:type="dxa"/>
            <w:shd w:val="clear" w:color="auto" w:fill="D9E2F3" w:themeFill="accent5" w:themeFillTint="33"/>
          </w:tcPr>
          <w:p w14:paraId="126E3C09" w14:textId="74133437" w:rsidR="003B7BD8" w:rsidRPr="008C1E5F" w:rsidRDefault="003B7BD8" w:rsidP="00B4170D">
            <w:pPr>
              <w:pStyle w:val="TableTextCentered"/>
            </w:pPr>
            <w:r w:rsidRPr="008C1E5F">
              <w:t>733</w:t>
            </w:r>
          </w:p>
        </w:tc>
      </w:tr>
      <w:tr w:rsidR="001F42C3" w:rsidRPr="008C1E5F" w14:paraId="77E40756" w14:textId="77777777" w:rsidTr="00B4170D">
        <w:tc>
          <w:tcPr>
            <w:tcW w:w="3818" w:type="dxa"/>
          </w:tcPr>
          <w:p w14:paraId="4F5BC05D" w14:textId="14F840D8" w:rsidR="001F42C3" w:rsidRPr="008C1E5F" w:rsidRDefault="001F42C3" w:rsidP="00B4170D">
            <w:pPr>
              <w:pStyle w:val="TableText"/>
            </w:pPr>
            <w:r w:rsidRPr="008C1E5F">
              <w:t>John J Doran</w:t>
            </w:r>
          </w:p>
        </w:tc>
        <w:tc>
          <w:tcPr>
            <w:tcW w:w="1994" w:type="dxa"/>
          </w:tcPr>
          <w:p w14:paraId="0DEF9FA8" w14:textId="45E09977" w:rsidR="001F42C3" w:rsidRPr="008C1E5F" w:rsidRDefault="001F42C3" w:rsidP="00B4170D">
            <w:pPr>
              <w:pStyle w:val="TableTextCentered"/>
            </w:pPr>
            <w:r w:rsidRPr="008C1E5F">
              <w:t>Elementary</w:t>
            </w:r>
          </w:p>
        </w:tc>
        <w:tc>
          <w:tcPr>
            <w:tcW w:w="1614" w:type="dxa"/>
          </w:tcPr>
          <w:p w14:paraId="3CCCAAC7" w14:textId="44E4D890" w:rsidR="001F42C3" w:rsidRPr="008C1E5F" w:rsidRDefault="006E48C8" w:rsidP="00B4170D">
            <w:pPr>
              <w:pStyle w:val="TableTextCentered"/>
            </w:pPr>
            <w:r w:rsidRPr="008C1E5F">
              <w:t>Pk-8</w:t>
            </w:r>
          </w:p>
        </w:tc>
        <w:tc>
          <w:tcPr>
            <w:tcW w:w="1918" w:type="dxa"/>
            <w:shd w:val="clear" w:color="auto" w:fill="D9E2F3" w:themeFill="accent5" w:themeFillTint="33"/>
          </w:tcPr>
          <w:p w14:paraId="12C0575B" w14:textId="424CA61E" w:rsidR="001F42C3" w:rsidRPr="008C1E5F" w:rsidRDefault="006E48C8" w:rsidP="00B4170D">
            <w:pPr>
              <w:pStyle w:val="TableTextCentered"/>
            </w:pPr>
            <w:r w:rsidRPr="008C1E5F">
              <w:t>525</w:t>
            </w:r>
          </w:p>
        </w:tc>
      </w:tr>
      <w:tr w:rsidR="0094521C" w:rsidRPr="008C1E5F" w14:paraId="54E8896E" w14:textId="77777777" w:rsidTr="00B4170D">
        <w:tc>
          <w:tcPr>
            <w:tcW w:w="3818" w:type="dxa"/>
          </w:tcPr>
          <w:p w14:paraId="037CA9B1" w14:textId="3240F0CE" w:rsidR="0094521C" w:rsidRPr="008C1E5F" w:rsidRDefault="000D2ECF" w:rsidP="00B4170D">
            <w:pPr>
              <w:pStyle w:val="TableText"/>
            </w:pPr>
            <w:r w:rsidRPr="008C1E5F">
              <w:t>Letourneau Elementary School</w:t>
            </w:r>
          </w:p>
        </w:tc>
        <w:tc>
          <w:tcPr>
            <w:tcW w:w="1994" w:type="dxa"/>
          </w:tcPr>
          <w:p w14:paraId="60869D47" w14:textId="77777777" w:rsidR="0094521C" w:rsidRPr="008C1E5F" w:rsidRDefault="0094521C" w:rsidP="00B4170D">
            <w:pPr>
              <w:pStyle w:val="TableTextCentered"/>
            </w:pPr>
            <w:r w:rsidRPr="008C1E5F">
              <w:t>Elementary</w:t>
            </w:r>
          </w:p>
        </w:tc>
        <w:tc>
          <w:tcPr>
            <w:tcW w:w="1614" w:type="dxa"/>
          </w:tcPr>
          <w:p w14:paraId="274C8C8E" w14:textId="44DABFEE" w:rsidR="0094521C" w:rsidRPr="008C1E5F" w:rsidRDefault="000D2ECF" w:rsidP="00B4170D">
            <w:pPr>
              <w:pStyle w:val="TableTextCentered"/>
            </w:pPr>
            <w:r w:rsidRPr="008C1E5F">
              <w:t>K-5</w:t>
            </w:r>
          </w:p>
        </w:tc>
        <w:tc>
          <w:tcPr>
            <w:tcW w:w="1918" w:type="dxa"/>
            <w:shd w:val="clear" w:color="auto" w:fill="D9E2F3" w:themeFill="accent5" w:themeFillTint="33"/>
          </w:tcPr>
          <w:p w14:paraId="3EB8DC4F" w14:textId="71AF2850" w:rsidR="0094521C" w:rsidRPr="008C1E5F" w:rsidRDefault="009A1804" w:rsidP="00B4170D">
            <w:pPr>
              <w:pStyle w:val="TableTextCentered"/>
            </w:pPr>
            <w:r w:rsidRPr="008C1E5F">
              <w:t>566</w:t>
            </w:r>
          </w:p>
        </w:tc>
      </w:tr>
      <w:tr w:rsidR="0094521C" w:rsidRPr="008C1E5F" w14:paraId="7A26678C" w14:textId="77777777" w:rsidTr="00B4170D">
        <w:tc>
          <w:tcPr>
            <w:tcW w:w="3818" w:type="dxa"/>
          </w:tcPr>
          <w:p w14:paraId="77ED2CC8" w14:textId="37B2CFE7" w:rsidR="0094521C" w:rsidRPr="008C1E5F" w:rsidRDefault="005E5986" w:rsidP="00B4170D">
            <w:pPr>
              <w:pStyle w:val="TableText"/>
            </w:pPr>
            <w:r w:rsidRPr="008C1E5F">
              <w:t>James Tansey</w:t>
            </w:r>
          </w:p>
        </w:tc>
        <w:tc>
          <w:tcPr>
            <w:tcW w:w="1994" w:type="dxa"/>
          </w:tcPr>
          <w:p w14:paraId="60DBDD1B" w14:textId="77777777" w:rsidR="0094521C" w:rsidRPr="008C1E5F" w:rsidRDefault="0094521C" w:rsidP="00B4170D">
            <w:pPr>
              <w:pStyle w:val="TableTextCentered"/>
            </w:pPr>
            <w:r w:rsidRPr="008C1E5F">
              <w:t>Elementary</w:t>
            </w:r>
          </w:p>
        </w:tc>
        <w:tc>
          <w:tcPr>
            <w:tcW w:w="1614" w:type="dxa"/>
          </w:tcPr>
          <w:p w14:paraId="6DBE36BD" w14:textId="720F0C6F" w:rsidR="0094521C" w:rsidRPr="008C1E5F" w:rsidRDefault="005E5986" w:rsidP="00B4170D">
            <w:pPr>
              <w:pStyle w:val="TableTextCentered"/>
            </w:pPr>
            <w:r w:rsidRPr="008C1E5F">
              <w:t>K-5</w:t>
            </w:r>
          </w:p>
        </w:tc>
        <w:tc>
          <w:tcPr>
            <w:tcW w:w="1918" w:type="dxa"/>
            <w:shd w:val="clear" w:color="auto" w:fill="D9E2F3" w:themeFill="accent5" w:themeFillTint="33"/>
          </w:tcPr>
          <w:p w14:paraId="3546DA03" w14:textId="09748314" w:rsidR="0094521C" w:rsidRPr="008C1E5F" w:rsidRDefault="005E5986" w:rsidP="00B4170D">
            <w:pPr>
              <w:pStyle w:val="TableTextCentered"/>
            </w:pPr>
            <w:r w:rsidRPr="008C1E5F">
              <w:t>280</w:t>
            </w:r>
          </w:p>
        </w:tc>
      </w:tr>
      <w:tr w:rsidR="0094521C" w:rsidRPr="008C1E5F" w14:paraId="35F154F0" w14:textId="77777777" w:rsidTr="00B4170D">
        <w:tc>
          <w:tcPr>
            <w:tcW w:w="3818" w:type="dxa"/>
          </w:tcPr>
          <w:p w14:paraId="2E5F6A7C" w14:textId="6190BB30" w:rsidR="0094521C" w:rsidRPr="008C1E5F" w:rsidRDefault="006E48C8" w:rsidP="00B4170D">
            <w:pPr>
              <w:pStyle w:val="TableText"/>
            </w:pPr>
            <w:r w:rsidRPr="008C1E5F">
              <w:t>Carlton M. Viveiros Elementary School</w:t>
            </w:r>
          </w:p>
        </w:tc>
        <w:tc>
          <w:tcPr>
            <w:tcW w:w="1994" w:type="dxa"/>
          </w:tcPr>
          <w:p w14:paraId="1D84DE02" w14:textId="533FC24A" w:rsidR="0094521C" w:rsidRPr="008C1E5F" w:rsidRDefault="006E48C8" w:rsidP="00B4170D">
            <w:pPr>
              <w:pStyle w:val="TableTextCentered"/>
            </w:pPr>
            <w:r w:rsidRPr="008C1E5F">
              <w:t>Elementary</w:t>
            </w:r>
          </w:p>
        </w:tc>
        <w:tc>
          <w:tcPr>
            <w:tcW w:w="1614" w:type="dxa"/>
          </w:tcPr>
          <w:p w14:paraId="0D45A6BB" w14:textId="18286055" w:rsidR="0094521C" w:rsidRPr="008C1E5F" w:rsidRDefault="006E48C8" w:rsidP="00B4170D">
            <w:pPr>
              <w:pStyle w:val="TableTextCentered"/>
            </w:pPr>
            <w:r w:rsidRPr="008C1E5F">
              <w:t>K-5</w:t>
            </w:r>
          </w:p>
        </w:tc>
        <w:tc>
          <w:tcPr>
            <w:tcW w:w="1918" w:type="dxa"/>
            <w:shd w:val="clear" w:color="auto" w:fill="D9E2F3" w:themeFill="accent5" w:themeFillTint="33"/>
          </w:tcPr>
          <w:p w14:paraId="441A09A8" w14:textId="3A80BE4E" w:rsidR="0094521C" w:rsidRPr="008C1E5F" w:rsidRDefault="006E48C8" w:rsidP="00B4170D">
            <w:pPr>
              <w:pStyle w:val="TableTextCentered"/>
            </w:pPr>
            <w:r w:rsidRPr="008C1E5F">
              <w:t>712</w:t>
            </w:r>
          </w:p>
        </w:tc>
      </w:tr>
      <w:tr w:rsidR="00995C97" w:rsidRPr="008C1E5F" w14:paraId="1671072F" w14:textId="77777777" w:rsidTr="00B4170D">
        <w:tc>
          <w:tcPr>
            <w:tcW w:w="3818" w:type="dxa"/>
          </w:tcPr>
          <w:p w14:paraId="16900ED8" w14:textId="501BBA7B" w:rsidR="00995C97" w:rsidRPr="008C1E5F" w:rsidRDefault="00995C97" w:rsidP="00B4170D">
            <w:pPr>
              <w:pStyle w:val="TableText"/>
            </w:pPr>
            <w:r w:rsidRPr="008C1E5F">
              <w:t xml:space="preserve">Samuel </w:t>
            </w:r>
            <w:r w:rsidR="006D0B00" w:rsidRPr="008C1E5F">
              <w:t>Watson</w:t>
            </w:r>
          </w:p>
        </w:tc>
        <w:tc>
          <w:tcPr>
            <w:tcW w:w="1994" w:type="dxa"/>
          </w:tcPr>
          <w:p w14:paraId="2F96295F" w14:textId="4752454A" w:rsidR="00995C97" w:rsidRPr="008C1E5F" w:rsidRDefault="006D0B00" w:rsidP="00B4170D">
            <w:pPr>
              <w:pStyle w:val="TableTextCentered"/>
            </w:pPr>
            <w:r w:rsidRPr="008C1E5F">
              <w:t>Elementary</w:t>
            </w:r>
          </w:p>
        </w:tc>
        <w:tc>
          <w:tcPr>
            <w:tcW w:w="1614" w:type="dxa"/>
          </w:tcPr>
          <w:p w14:paraId="2EBDDE21" w14:textId="4A152860" w:rsidR="00995C97" w:rsidRPr="008C1E5F" w:rsidRDefault="006D0B00" w:rsidP="00B4170D">
            <w:pPr>
              <w:pStyle w:val="TableTextCentered"/>
            </w:pPr>
            <w:r w:rsidRPr="008C1E5F">
              <w:t>K-5</w:t>
            </w:r>
          </w:p>
        </w:tc>
        <w:tc>
          <w:tcPr>
            <w:tcW w:w="1918" w:type="dxa"/>
            <w:shd w:val="clear" w:color="auto" w:fill="D9E2F3" w:themeFill="accent5" w:themeFillTint="33"/>
          </w:tcPr>
          <w:p w14:paraId="44FF6FCE" w14:textId="196723C1" w:rsidR="00995C97" w:rsidRPr="008C1E5F" w:rsidRDefault="006D0B00" w:rsidP="00B4170D">
            <w:pPr>
              <w:pStyle w:val="TableTextCentered"/>
            </w:pPr>
            <w:r w:rsidRPr="008C1E5F">
              <w:t>287</w:t>
            </w:r>
          </w:p>
        </w:tc>
      </w:tr>
      <w:tr w:rsidR="003034A1" w:rsidRPr="008C1E5F" w14:paraId="2DECF647" w14:textId="77777777" w:rsidTr="00B4170D">
        <w:tc>
          <w:tcPr>
            <w:tcW w:w="3818" w:type="dxa"/>
          </w:tcPr>
          <w:p w14:paraId="2253A28E" w14:textId="12D93B13" w:rsidR="003034A1" w:rsidRPr="008C1E5F" w:rsidRDefault="003034A1" w:rsidP="00B4170D">
            <w:pPr>
              <w:pStyle w:val="TableText"/>
            </w:pPr>
            <w:proofErr w:type="spellStart"/>
            <w:r w:rsidRPr="008C1E5F">
              <w:t>Westall</w:t>
            </w:r>
            <w:proofErr w:type="spellEnd"/>
            <w:r w:rsidRPr="008C1E5F">
              <w:t xml:space="preserve"> Elementary School</w:t>
            </w:r>
          </w:p>
        </w:tc>
        <w:tc>
          <w:tcPr>
            <w:tcW w:w="1994" w:type="dxa"/>
          </w:tcPr>
          <w:p w14:paraId="7D8FED43" w14:textId="20BF264A" w:rsidR="003034A1" w:rsidRPr="008C1E5F" w:rsidRDefault="003034A1" w:rsidP="00B4170D">
            <w:pPr>
              <w:pStyle w:val="TableTextCentered"/>
            </w:pPr>
            <w:r w:rsidRPr="008C1E5F">
              <w:t>Elementary</w:t>
            </w:r>
          </w:p>
        </w:tc>
        <w:tc>
          <w:tcPr>
            <w:tcW w:w="1614" w:type="dxa"/>
          </w:tcPr>
          <w:p w14:paraId="158E0EB7" w14:textId="4B48558E" w:rsidR="003034A1" w:rsidRPr="008C1E5F" w:rsidRDefault="003034A1" w:rsidP="00B4170D">
            <w:pPr>
              <w:pStyle w:val="TableTextCentered"/>
            </w:pPr>
            <w:r w:rsidRPr="008C1E5F">
              <w:t>K-5</w:t>
            </w:r>
          </w:p>
        </w:tc>
        <w:tc>
          <w:tcPr>
            <w:tcW w:w="1918" w:type="dxa"/>
            <w:shd w:val="clear" w:color="auto" w:fill="D9E2F3" w:themeFill="accent5" w:themeFillTint="33"/>
          </w:tcPr>
          <w:p w14:paraId="05D74133" w14:textId="55BA6E99" w:rsidR="003034A1" w:rsidRPr="008C1E5F" w:rsidRDefault="003034A1" w:rsidP="00B4170D">
            <w:pPr>
              <w:pStyle w:val="TableTextCentered"/>
            </w:pPr>
            <w:r w:rsidRPr="008C1E5F">
              <w:t>276</w:t>
            </w:r>
          </w:p>
        </w:tc>
      </w:tr>
      <w:tr w:rsidR="0094521C" w:rsidRPr="008C1E5F" w14:paraId="6A617614" w14:textId="77777777" w:rsidTr="00B4170D">
        <w:tc>
          <w:tcPr>
            <w:tcW w:w="3818" w:type="dxa"/>
          </w:tcPr>
          <w:p w14:paraId="06544C0A" w14:textId="0F30FE3C" w:rsidR="0094521C" w:rsidRPr="008C1E5F" w:rsidRDefault="004668DC" w:rsidP="00B4170D">
            <w:pPr>
              <w:pStyle w:val="TableText"/>
            </w:pPr>
            <w:r w:rsidRPr="008C1E5F">
              <w:t>Henry Lord Community School</w:t>
            </w:r>
          </w:p>
        </w:tc>
        <w:tc>
          <w:tcPr>
            <w:tcW w:w="1994" w:type="dxa"/>
          </w:tcPr>
          <w:p w14:paraId="6AF5CEBB" w14:textId="207D24EB" w:rsidR="0094521C" w:rsidRPr="008C1E5F" w:rsidRDefault="00751496" w:rsidP="00B4170D">
            <w:pPr>
              <w:pStyle w:val="TableTextCentered"/>
            </w:pPr>
            <w:r w:rsidRPr="008C1E5F">
              <w:t>K-8</w:t>
            </w:r>
          </w:p>
        </w:tc>
        <w:tc>
          <w:tcPr>
            <w:tcW w:w="1614" w:type="dxa"/>
          </w:tcPr>
          <w:p w14:paraId="7308D77D" w14:textId="25A517F3" w:rsidR="0094521C" w:rsidRPr="008C1E5F" w:rsidRDefault="00751496" w:rsidP="00B4170D">
            <w:pPr>
              <w:pStyle w:val="TableTextCentered"/>
            </w:pPr>
            <w:r w:rsidRPr="008C1E5F">
              <w:t>K-8</w:t>
            </w:r>
          </w:p>
        </w:tc>
        <w:tc>
          <w:tcPr>
            <w:tcW w:w="1918" w:type="dxa"/>
            <w:shd w:val="clear" w:color="auto" w:fill="D9E2F3" w:themeFill="accent5" w:themeFillTint="33"/>
          </w:tcPr>
          <w:p w14:paraId="353FC47B" w14:textId="1386D83E" w:rsidR="0094521C" w:rsidRPr="008C1E5F" w:rsidRDefault="00751496" w:rsidP="00B4170D">
            <w:pPr>
              <w:pStyle w:val="TableTextCentered"/>
            </w:pPr>
            <w:r w:rsidRPr="008C1E5F">
              <w:t>817</w:t>
            </w:r>
          </w:p>
        </w:tc>
      </w:tr>
      <w:tr w:rsidR="0094521C" w:rsidRPr="008C1E5F" w14:paraId="47C82B1B" w14:textId="77777777" w:rsidTr="00B4170D">
        <w:tc>
          <w:tcPr>
            <w:tcW w:w="3818" w:type="dxa"/>
          </w:tcPr>
          <w:p w14:paraId="37FBBD79" w14:textId="1A956AA6" w:rsidR="0094521C" w:rsidRPr="008C1E5F" w:rsidRDefault="005D215F" w:rsidP="00B4170D">
            <w:pPr>
              <w:pStyle w:val="TableText"/>
            </w:pPr>
            <w:r w:rsidRPr="008C1E5F">
              <w:t>Matthew J. Kuss Middle School</w:t>
            </w:r>
          </w:p>
        </w:tc>
        <w:tc>
          <w:tcPr>
            <w:tcW w:w="1994" w:type="dxa"/>
          </w:tcPr>
          <w:p w14:paraId="4FA0AD7D" w14:textId="77777777" w:rsidR="0094521C" w:rsidRPr="008C1E5F" w:rsidRDefault="0094521C" w:rsidP="00B4170D">
            <w:pPr>
              <w:pStyle w:val="TableTextCentered"/>
            </w:pPr>
            <w:r w:rsidRPr="008C1E5F">
              <w:t>Middle</w:t>
            </w:r>
          </w:p>
        </w:tc>
        <w:tc>
          <w:tcPr>
            <w:tcW w:w="1614" w:type="dxa"/>
          </w:tcPr>
          <w:p w14:paraId="622C68C7" w14:textId="6AF6D31C" w:rsidR="0094521C" w:rsidRPr="008C1E5F" w:rsidRDefault="005D215F" w:rsidP="00B4170D">
            <w:pPr>
              <w:pStyle w:val="TableTextCentered"/>
            </w:pPr>
            <w:r w:rsidRPr="008C1E5F">
              <w:t>6-8</w:t>
            </w:r>
          </w:p>
        </w:tc>
        <w:tc>
          <w:tcPr>
            <w:tcW w:w="1918" w:type="dxa"/>
            <w:shd w:val="clear" w:color="auto" w:fill="D9E2F3" w:themeFill="accent5" w:themeFillTint="33"/>
          </w:tcPr>
          <w:p w14:paraId="5CBC885C" w14:textId="026264DE" w:rsidR="0094521C" w:rsidRPr="008C1E5F" w:rsidRDefault="00037A59" w:rsidP="00B4170D">
            <w:pPr>
              <w:pStyle w:val="TableTextCentered"/>
            </w:pPr>
            <w:r w:rsidRPr="008C1E5F">
              <w:t>646</w:t>
            </w:r>
          </w:p>
        </w:tc>
      </w:tr>
      <w:tr w:rsidR="0094521C" w:rsidRPr="008C1E5F" w14:paraId="1622A946" w14:textId="77777777" w:rsidTr="00B4170D">
        <w:tc>
          <w:tcPr>
            <w:tcW w:w="3818" w:type="dxa"/>
          </w:tcPr>
          <w:p w14:paraId="652A840C" w14:textId="0CBF3614" w:rsidR="0094521C" w:rsidRPr="008C1E5F" w:rsidRDefault="00037A59" w:rsidP="00B4170D">
            <w:pPr>
              <w:pStyle w:val="TableText"/>
            </w:pPr>
            <w:r w:rsidRPr="008C1E5F">
              <w:t>Morton Middle School</w:t>
            </w:r>
          </w:p>
        </w:tc>
        <w:tc>
          <w:tcPr>
            <w:tcW w:w="1994" w:type="dxa"/>
          </w:tcPr>
          <w:p w14:paraId="2B18A703" w14:textId="109026CE" w:rsidR="0094521C" w:rsidRPr="008C1E5F" w:rsidRDefault="00037A59" w:rsidP="00B4170D">
            <w:pPr>
              <w:pStyle w:val="TableTextCentered"/>
            </w:pPr>
            <w:r w:rsidRPr="008C1E5F">
              <w:t>Middle</w:t>
            </w:r>
          </w:p>
        </w:tc>
        <w:tc>
          <w:tcPr>
            <w:tcW w:w="1614" w:type="dxa"/>
          </w:tcPr>
          <w:p w14:paraId="6BCBF215" w14:textId="3075B952" w:rsidR="0094521C" w:rsidRPr="008C1E5F" w:rsidRDefault="00037A59" w:rsidP="00B4170D">
            <w:pPr>
              <w:pStyle w:val="TableTextCentered"/>
            </w:pPr>
            <w:r w:rsidRPr="008C1E5F">
              <w:t>6-8</w:t>
            </w:r>
          </w:p>
        </w:tc>
        <w:tc>
          <w:tcPr>
            <w:tcW w:w="1918" w:type="dxa"/>
            <w:shd w:val="clear" w:color="auto" w:fill="D9E2F3" w:themeFill="accent5" w:themeFillTint="33"/>
          </w:tcPr>
          <w:p w14:paraId="0A130139" w14:textId="4494C759" w:rsidR="0094521C" w:rsidRPr="008C1E5F" w:rsidRDefault="00037A59" w:rsidP="00B4170D">
            <w:pPr>
              <w:pStyle w:val="TableTextCentered"/>
            </w:pPr>
            <w:r w:rsidRPr="008C1E5F">
              <w:t>751</w:t>
            </w:r>
          </w:p>
        </w:tc>
      </w:tr>
      <w:tr w:rsidR="000A7E6F" w:rsidRPr="008C1E5F" w14:paraId="0AAADE20" w14:textId="77777777" w:rsidTr="00B4170D">
        <w:tc>
          <w:tcPr>
            <w:tcW w:w="3818" w:type="dxa"/>
          </w:tcPr>
          <w:p w14:paraId="604C08F3" w14:textId="2D4C3624" w:rsidR="000A7E6F" w:rsidRPr="008C1E5F" w:rsidRDefault="000A7E6F" w:rsidP="00B4170D">
            <w:pPr>
              <w:pStyle w:val="TableText"/>
            </w:pPr>
            <w:r w:rsidRPr="008C1E5F">
              <w:t>Talbot Innovation School</w:t>
            </w:r>
          </w:p>
        </w:tc>
        <w:tc>
          <w:tcPr>
            <w:tcW w:w="1994" w:type="dxa"/>
          </w:tcPr>
          <w:p w14:paraId="6000400C" w14:textId="1854071B" w:rsidR="000A7E6F" w:rsidRPr="008C1E5F" w:rsidRDefault="000A7E6F" w:rsidP="00B4170D">
            <w:pPr>
              <w:pStyle w:val="TableTextCentered"/>
            </w:pPr>
            <w:r w:rsidRPr="008C1E5F">
              <w:t>Middle</w:t>
            </w:r>
          </w:p>
        </w:tc>
        <w:tc>
          <w:tcPr>
            <w:tcW w:w="1614" w:type="dxa"/>
          </w:tcPr>
          <w:p w14:paraId="04A5EA2C" w14:textId="5466B3BC" w:rsidR="000A7E6F" w:rsidRPr="008C1E5F" w:rsidRDefault="000A7E6F" w:rsidP="00B4170D">
            <w:pPr>
              <w:pStyle w:val="TableTextCentered"/>
            </w:pPr>
            <w:r w:rsidRPr="008C1E5F">
              <w:t>6-8</w:t>
            </w:r>
          </w:p>
        </w:tc>
        <w:tc>
          <w:tcPr>
            <w:tcW w:w="1918" w:type="dxa"/>
            <w:shd w:val="clear" w:color="auto" w:fill="D9E2F3" w:themeFill="accent5" w:themeFillTint="33"/>
          </w:tcPr>
          <w:p w14:paraId="6C155D58" w14:textId="7F3C6AFE" w:rsidR="000A7E6F" w:rsidRPr="008C1E5F" w:rsidRDefault="00434C7F" w:rsidP="00B4170D">
            <w:pPr>
              <w:pStyle w:val="TableTextCentered"/>
            </w:pPr>
            <w:r w:rsidRPr="008C1E5F">
              <w:t>582</w:t>
            </w:r>
          </w:p>
        </w:tc>
      </w:tr>
      <w:tr w:rsidR="00853F3B" w:rsidRPr="008C1E5F" w14:paraId="596745ED" w14:textId="77777777" w:rsidTr="00B4170D">
        <w:tc>
          <w:tcPr>
            <w:tcW w:w="3818" w:type="dxa"/>
          </w:tcPr>
          <w:p w14:paraId="4AC4936F" w14:textId="73E7F145" w:rsidR="00853F3B" w:rsidRPr="008C1E5F" w:rsidRDefault="00853F3B" w:rsidP="00B4170D">
            <w:pPr>
              <w:pStyle w:val="TableText"/>
            </w:pPr>
            <w:r w:rsidRPr="008C1E5F">
              <w:t>B.M.C. Durfee High School</w:t>
            </w:r>
          </w:p>
        </w:tc>
        <w:tc>
          <w:tcPr>
            <w:tcW w:w="1994" w:type="dxa"/>
          </w:tcPr>
          <w:p w14:paraId="7258DB38" w14:textId="241FE385" w:rsidR="00853F3B" w:rsidRPr="008C1E5F" w:rsidRDefault="00853F3B" w:rsidP="00B4170D">
            <w:pPr>
              <w:pStyle w:val="TableTextCentered"/>
            </w:pPr>
            <w:r w:rsidRPr="008C1E5F">
              <w:t>High</w:t>
            </w:r>
          </w:p>
        </w:tc>
        <w:tc>
          <w:tcPr>
            <w:tcW w:w="1614" w:type="dxa"/>
          </w:tcPr>
          <w:p w14:paraId="55DEE1A3" w14:textId="76683E1A" w:rsidR="00853F3B" w:rsidRPr="008C1E5F" w:rsidRDefault="00853F3B" w:rsidP="00B4170D">
            <w:pPr>
              <w:pStyle w:val="TableTextCentered"/>
            </w:pPr>
            <w:r w:rsidRPr="008C1E5F">
              <w:t>9-12</w:t>
            </w:r>
          </w:p>
        </w:tc>
        <w:tc>
          <w:tcPr>
            <w:tcW w:w="1918" w:type="dxa"/>
            <w:shd w:val="clear" w:color="auto" w:fill="D9E2F3" w:themeFill="accent5" w:themeFillTint="33"/>
          </w:tcPr>
          <w:p w14:paraId="62831270" w14:textId="18237504" w:rsidR="00853F3B" w:rsidRPr="008C1E5F" w:rsidRDefault="00853F3B" w:rsidP="00B4170D">
            <w:pPr>
              <w:pStyle w:val="TableTextCentered"/>
            </w:pPr>
            <w:r w:rsidRPr="008C1E5F">
              <w:t>2,642</w:t>
            </w:r>
          </w:p>
        </w:tc>
      </w:tr>
      <w:tr w:rsidR="00853F3B" w:rsidRPr="008C1E5F" w14:paraId="50BFEB45" w14:textId="77777777" w:rsidTr="00B4170D">
        <w:tc>
          <w:tcPr>
            <w:tcW w:w="3818" w:type="dxa"/>
          </w:tcPr>
          <w:p w14:paraId="69F27CDF" w14:textId="45775882" w:rsidR="00853F3B" w:rsidRPr="008C1E5F" w:rsidRDefault="00853F3B" w:rsidP="00B4170D">
            <w:pPr>
              <w:pStyle w:val="TableText"/>
            </w:pPr>
            <w:r w:rsidRPr="008C1E5F">
              <w:t>Stone Community Day School</w:t>
            </w:r>
          </w:p>
        </w:tc>
        <w:tc>
          <w:tcPr>
            <w:tcW w:w="1994" w:type="dxa"/>
          </w:tcPr>
          <w:p w14:paraId="16AD66CF" w14:textId="0C53573B" w:rsidR="00853F3B" w:rsidRPr="008C1E5F" w:rsidRDefault="00853F3B" w:rsidP="00B4170D">
            <w:pPr>
              <w:pStyle w:val="TableTextCentered"/>
            </w:pPr>
            <w:r w:rsidRPr="008C1E5F">
              <w:t>Alternative</w:t>
            </w:r>
          </w:p>
        </w:tc>
        <w:tc>
          <w:tcPr>
            <w:tcW w:w="1614" w:type="dxa"/>
          </w:tcPr>
          <w:p w14:paraId="154DC6FA" w14:textId="74462BFA" w:rsidR="00853F3B" w:rsidRPr="008C1E5F" w:rsidRDefault="00853F3B" w:rsidP="00B4170D">
            <w:pPr>
              <w:pStyle w:val="TableTextCentered"/>
            </w:pPr>
            <w:r w:rsidRPr="008C1E5F">
              <w:t>2-12</w:t>
            </w:r>
          </w:p>
        </w:tc>
        <w:tc>
          <w:tcPr>
            <w:tcW w:w="1918" w:type="dxa"/>
            <w:shd w:val="clear" w:color="auto" w:fill="D9E2F3" w:themeFill="accent5" w:themeFillTint="33"/>
          </w:tcPr>
          <w:p w14:paraId="63D72C00" w14:textId="431202D7" w:rsidR="00853F3B" w:rsidRPr="008C1E5F" w:rsidRDefault="00853F3B" w:rsidP="00B4170D">
            <w:pPr>
              <w:pStyle w:val="TableTextCentered"/>
            </w:pPr>
            <w:r w:rsidRPr="008C1E5F">
              <w:t>56</w:t>
            </w:r>
          </w:p>
        </w:tc>
      </w:tr>
      <w:tr w:rsidR="00853F3B" w:rsidRPr="008C1E5F" w14:paraId="6FDD57AE" w14:textId="77777777" w:rsidTr="00B4170D">
        <w:tc>
          <w:tcPr>
            <w:tcW w:w="3818" w:type="dxa"/>
          </w:tcPr>
          <w:p w14:paraId="598C925E" w14:textId="700431A5" w:rsidR="00853F3B" w:rsidRPr="008C1E5F" w:rsidRDefault="00853F3B" w:rsidP="00B4170D">
            <w:pPr>
              <w:pStyle w:val="TableText"/>
            </w:pPr>
            <w:r w:rsidRPr="008C1E5F">
              <w:t>Resiliency Preparatory Academy</w:t>
            </w:r>
          </w:p>
        </w:tc>
        <w:tc>
          <w:tcPr>
            <w:tcW w:w="1994" w:type="dxa"/>
          </w:tcPr>
          <w:p w14:paraId="00D8083A" w14:textId="1DE395C4" w:rsidR="00853F3B" w:rsidRPr="008C1E5F" w:rsidRDefault="00853F3B" w:rsidP="00B4170D">
            <w:pPr>
              <w:pStyle w:val="TableTextCentered"/>
            </w:pPr>
            <w:r w:rsidRPr="008C1E5F">
              <w:t>Alternative</w:t>
            </w:r>
          </w:p>
        </w:tc>
        <w:tc>
          <w:tcPr>
            <w:tcW w:w="1614" w:type="dxa"/>
          </w:tcPr>
          <w:p w14:paraId="7AC05802" w14:textId="049343DC" w:rsidR="00853F3B" w:rsidRPr="008C1E5F" w:rsidRDefault="00853F3B" w:rsidP="00B4170D">
            <w:pPr>
              <w:pStyle w:val="TableTextCentered"/>
            </w:pPr>
            <w:r w:rsidRPr="008C1E5F">
              <w:t>7-12</w:t>
            </w:r>
          </w:p>
        </w:tc>
        <w:tc>
          <w:tcPr>
            <w:tcW w:w="1918" w:type="dxa"/>
            <w:shd w:val="clear" w:color="auto" w:fill="D9E2F3" w:themeFill="accent5" w:themeFillTint="33"/>
          </w:tcPr>
          <w:p w14:paraId="3FFD34BF" w14:textId="41573F54" w:rsidR="00853F3B" w:rsidRPr="008C1E5F" w:rsidRDefault="00853F3B" w:rsidP="00B4170D">
            <w:pPr>
              <w:pStyle w:val="TableTextCentered"/>
            </w:pPr>
            <w:r w:rsidRPr="008C1E5F">
              <w:t>171</w:t>
            </w:r>
          </w:p>
        </w:tc>
      </w:tr>
      <w:tr w:rsidR="00853F3B" w:rsidRPr="008C1E5F" w14:paraId="3FA5FA2E" w14:textId="77777777" w:rsidTr="00B4170D">
        <w:tc>
          <w:tcPr>
            <w:tcW w:w="3818" w:type="dxa"/>
          </w:tcPr>
          <w:p w14:paraId="6DB185CA" w14:textId="77777777" w:rsidR="00853F3B" w:rsidRPr="008C1E5F" w:rsidRDefault="00853F3B" w:rsidP="00B4170D">
            <w:pPr>
              <w:pStyle w:val="TableText"/>
              <w:spacing w:before="20" w:after="20"/>
            </w:pPr>
          </w:p>
        </w:tc>
        <w:tc>
          <w:tcPr>
            <w:tcW w:w="1994" w:type="dxa"/>
          </w:tcPr>
          <w:p w14:paraId="4E667A69" w14:textId="77777777" w:rsidR="00853F3B" w:rsidRPr="008C1E5F" w:rsidRDefault="00853F3B" w:rsidP="00B4170D">
            <w:pPr>
              <w:pStyle w:val="TableText"/>
              <w:spacing w:before="20" w:after="20"/>
              <w:rPr>
                <w:b/>
                <w:color w:val="000000"/>
              </w:rPr>
            </w:pPr>
          </w:p>
        </w:tc>
        <w:tc>
          <w:tcPr>
            <w:tcW w:w="1614" w:type="dxa"/>
          </w:tcPr>
          <w:p w14:paraId="4C72FADD" w14:textId="77777777" w:rsidR="00853F3B" w:rsidRPr="008C1E5F" w:rsidRDefault="00853F3B" w:rsidP="00F4028E">
            <w:pPr>
              <w:pStyle w:val="TableSubheadingCentered"/>
              <w:rPr>
                <w:color w:val="000000"/>
              </w:rPr>
            </w:pPr>
            <w:r w:rsidRPr="008C1E5F">
              <w:t>Total</w:t>
            </w:r>
          </w:p>
        </w:tc>
        <w:tc>
          <w:tcPr>
            <w:tcW w:w="1918" w:type="dxa"/>
            <w:shd w:val="clear" w:color="auto" w:fill="D9E2F3" w:themeFill="accent5" w:themeFillTint="33"/>
          </w:tcPr>
          <w:p w14:paraId="720EDFA0" w14:textId="0C2D7F75" w:rsidR="00853F3B" w:rsidRPr="008C1E5F" w:rsidRDefault="00853F3B" w:rsidP="00F4028E">
            <w:pPr>
              <w:pStyle w:val="TableSubheadingCentered"/>
            </w:pPr>
            <w:r w:rsidRPr="008C1E5F">
              <w:t>11,089</w:t>
            </w:r>
          </w:p>
        </w:tc>
      </w:tr>
    </w:tbl>
    <w:p w14:paraId="3FB3B6F4" w14:textId="73063CCF" w:rsidR="00386F17" w:rsidRPr="008C1E5F" w:rsidRDefault="00386F17" w:rsidP="00B4170D">
      <w:pPr>
        <w:pStyle w:val="BodyText"/>
      </w:pPr>
      <w:r w:rsidRPr="008C1E5F">
        <w:t xml:space="preserve">Figure 1 shows the distribution of Fall River’s students’ race/ethnicity. Figure 2 shows student makeup for selected populations as compared to state averages. In the </w:t>
      </w:r>
      <w:r w:rsidR="00343B30" w:rsidRPr="008C1E5F">
        <w:t>202</w:t>
      </w:r>
      <w:r w:rsidR="00343B30">
        <w:t>4</w:t>
      </w:r>
      <w:r w:rsidRPr="008C1E5F">
        <w:t>-</w:t>
      </w:r>
      <w:r w:rsidR="00343B30" w:rsidRPr="008C1E5F">
        <w:t>202</w:t>
      </w:r>
      <w:r w:rsidR="00343B30">
        <w:t>5</w:t>
      </w:r>
      <w:r w:rsidR="00343B30" w:rsidRPr="008C1E5F">
        <w:t xml:space="preserve"> </w:t>
      </w:r>
      <w:r w:rsidRPr="008C1E5F">
        <w:t xml:space="preserve">school year, </w:t>
      </w:r>
      <w:r w:rsidR="00343B30">
        <w:t>31.8</w:t>
      </w:r>
      <w:r w:rsidRPr="008C1E5F">
        <w:t xml:space="preserve"> percent spoke a first language other than English, and </w:t>
      </w:r>
      <w:r w:rsidR="00343B30">
        <w:t>26.4</w:t>
      </w:r>
      <w:r w:rsidRPr="008C1E5F">
        <w:t xml:space="preserve"> percent were English </w:t>
      </w:r>
      <w:r w:rsidR="007169EE">
        <w:t>L</w:t>
      </w:r>
      <w:r w:rsidRPr="008C1E5F">
        <w:t>earners (ELs). Full enrollment figures compared with the state are in Tables D1 and D2 in Appendix D. Appendix D also provides additional information about district enrollment, student attendance, and expenditures.</w:t>
      </w:r>
    </w:p>
    <w:p w14:paraId="1FA3EFC9" w14:textId="3D329760" w:rsidR="00F019D1" w:rsidRPr="008C1E5F" w:rsidRDefault="00F019D1" w:rsidP="00F019D1">
      <w:pPr>
        <w:pStyle w:val="TableTitle0"/>
        <w:rPr>
          <w:rFonts w:eastAsia="Franklin Gothic Demi" w:cs="Franklin Gothic Demi"/>
          <w:color w:val="6D5700"/>
          <w:u w:val="single"/>
        </w:rPr>
      </w:pPr>
      <w:r w:rsidRPr="008C1E5F">
        <w:rPr>
          <w:rFonts w:eastAsia="Franklin Gothic Demi" w:cs="Franklin Gothic Demi"/>
          <w:color w:val="000000" w:themeColor="text1"/>
        </w:rPr>
        <w:lastRenderedPageBreak/>
        <w:t>Figure 1. Distribution of Students, by Race/Ethnicity (2024-</w:t>
      </w:r>
      <w:r w:rsidR="00AE5402" w:rsidRPr="008C1E5F">
        <w:rPr>
          <w:rFonts w:eastAsia="Franklin Gothic Demi" w:cs="Franklin Gothic Demi"/>
          <w:color w:val="000000" w:themeColor="text1"/>
        </w:rPr>
        <w:t>20</w:t>
      </w:r>
      <w:r w:rsidRPr="008C1E5F">
        <w:rPr>
          <w:rFonts w:eastAsia="Franklin Gothic Demi" w:cs="Franklin Gothic Demi"/>
          <w:color w:val="000000" w:themeColor="text1"/>
        </w:rPr>
        <w:t>25)</w:t>
      </w:r>
    </w:p>
    <w:p w14:paraId="6F32C483" w14:textId="77777777" w:rsidR="00F019D1" w:rsidRPr="008C1E5F" w:rsidRDefault="00F019D1" w:rsidP="00F019D1">
      <w:r w:rsidRPr="008C1E5F">
        <w:rPr>
          <w:noProof/>
        </w:rPr>
        <w:drawing>
          <wp:inline distT="0" distB="0" distL="0" distR="0" wp14:anchorId="448C6307" wp14:editId="62E37C89">
            <wp:extent cx="5943600" cy="1990725"/>
            <wp:effectExtent l="0" t="0" r="0" b="9525"/>
            <wp:docPr id="775203445" name="drawing" descr="A pie chart with numbers and a few percen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203445" name="drawing" descr="A pie chart with numbers and a few percentages"/>
                    <pic:cNvPicPr/>
                  </pic:nvPicPr>
                  <pic:blipFill>
                    <a:blip r:embed="rId22">
                      <a:extLst>
                        <a:ext uri="{28A0092B-C50C-407E-A947-70E740481C1C}">
                          <a14:useLocalDpi xmlns:a14="http://schemas.microsoft.com/office/drawing/2010/main"/>
                        </a:ext>
                      </a:extLst>
                    </a:blip>
                    <a:stretch>
                      <a:fillRect/>
                    </a:stretch>
                  </pic:blipFill>
                  <pic:spPr>
                    <a:xfrm>
                      <a:off x="0" y="0"/>
                      <a:ext cx="5943600" cy="1990725"/>
                    </a:xfrm>
                    <a:prstGeom prst="rect">
                      <a:avLst/>
                    </a:prstGeom>
                  </pic:spPr>
                </pic:pic>
              </a:graphicData>
            </a:graphic>
          </wp:inline>
        </w:drawing>
      </w:r>
    </w:p>
    <w:p w14:paraId="09A9D545" w14:textId="37659E5E" w:rsidR="00F019D1" w:rsidRPr="008C1E5F" w:rsidRDefault="00F019D1" w:rsidP="00F019D1">
      <w:pPr>
        <w:pStyle w:val="TableTitle0"/>
        <w:rPr>
          <w:rFonts w:eastAsia="Franklin Gothic Demi" w:cs="Franklin Gothic Demi"/>
          <w:color w:val="6D5700"/>
          <w:u w:val="single"/>
        </w:rPr>
      </w:pPr>
      <w:r w:rsidRPr="008C1E5F">
        <w:rPr>
          <w:rFonts w:eastAsia="Franklin Gothic Demi" w:cs="Franklin Gothic Demi"/>
          <w:color w:val="000000" w:themeColor="text1"/>
        </w:rPr>
        <w:t>Figure 2. Distribution of Students, by Selected Populations (2024-</w:t>
      </w:r>
      <w:r w:rsidR="00AE5402" w:rsidRPr="008C1E5F">
        <w:rPr>
          <w:rFonts w:eastAsia="Franklin Gothic Demi" w:cs="Franklin Gothic Demi"/>
          <w:color w:val="000000" w:themeColor="text1"/>
        </w:rPr>
        <w:t>20</w:t>
      </w:r>
      <w:r w:rsidRPr="008C1E5F">
        <w:rPr>
          <w:rFonts w:eastAsia="Franklin Gothic Demi" w:cs="Franklin Gothic Demi"/>
          <w:color w:val="000000" w:themeColor="text1"/>
        </w:rPr>
        <w:t>25)</w:t>
      </w:r>
    </w:p>
    <w:p w14:paraId="53677F53" w14:textId="77777777" w:rsidR="00F019D1" w:rsidRPr="008C1E5F" w:rsidRDefault="00F019D1" w:rsidP="00F019D1">
      <w:pPr>
        <w:keepNext/>
        <w:spacing w:before="240" w:after="60"/>
      </w:pPr>
      <w:r w:rsidRPr="008C1E5F">
        <w:rPr>
          <w:noProof/>
        </w:rPr>
        <w:drawing>
          <wp:inline distT="0" distB="0" distL="0" distR="0" wp14:anchorId="517AA2D8" wp14:editId="739C1D63">
            <wp:extent cx="5943600" cy="2628899"/>
            <wp:effectExtent l="0" t="0" r="0" b="635"/>
            <wp:docPr id="1852502902" name="drawing" descr="A graph of different colored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502902" name="drawing" descr="A graph of different colored bars"/>
                    <pic:cNvPicPr/>
                  </pic:nvPicPr>
                  <pic:blipFill>
                    <a:blip r:embed="rId23">
                      <a:extLst>
                        <a:ext uri="{28A0092B-C50C-407E-A947-70E740481C1C}">
                          <a14:useLocalDpi xmlns:a14="http://schemas.microsoft.com/office/drawing/2010/main"/>
                        </a:ext>
                      </a:extLst>
                    </a:blip>
                    <a:stretch>
                      <a:fillRect/>
                    </a:stretch>
                  </pic:blipFill>
                  <pic:spPr>
                    <a:xfrm>
                      <a:off x="0" y="0"/>
                      <a:ext cx="5943600" cy="2628899"/>
                    </a:xfrm>
                    <a:prstGeom prst="rect">
                      <a:avLst/>
                    </a:prstGeom>
                  </pic:spPr>
                </pic:pic>
              </a:graphicData>
            </a:graphic>
          </wp:inline>
        </w:drawing>
      </w:r>
    </w:p>
    <w:p w14:paraId="05FEA3B0" w14:textId="59960AF7" w:rsidR="006243ED" w:rsidRPr="008C1E5F" w:rsidRDefault="006243ED" w:rsidP="00B4170D">
      <w:pPr>
        <w:pStyle w:val="BodyText"/>
        <w:rPr>
          <w:spacing w:val="-2"/>
        </w:rPr>
      </w:pPr>
      <w:r w:rsidRPr="008C1E5F">
        <w:rPr>
          <w:spacing w:val="-2"/>
        </w:rPr>
        <w:t xml:space="preserve">Figure 3 shows the percentage of Fall River’s students meeting or exceeding expectations on </w:t>
      </w:r>
      <w:r w:rsidR="00AE5402" w:rsidRPr="008C1E5F">
        <w:rPr>
          <w:spacing w:val="-2"/>
        </w:rPr>
        <w:t>the Massachusetts Comprehensive Assessment System (</w:t>
      </w:r>
      <w:r w:rsidRPr="008C1E5F">
        <w:rPr>
          <w:spacing w:val="-2"/>
        </w:rPr>
        <w:t>MCAS</w:t>
      </w:r>
      <w:r w:rsidR="00AE5402" w:rsidRPr="008C1E5F">
        <w:rPr>
          <w:spacing w:val="-2"/>
        </w:rPr>
        <w:t>)</w:t>
      </w:r>
      <w:r w:rsidRPr="008C1E5F">
        <w:rPr>
          <w:spacing w:val="-2"/>
        </w:rPr>
        <w:t xml:space="preserve">, as compared to the statewide percentage of students meeting or exceeding expectations on MCAS. In 2024, the percentage of students meeting or exceeding expectations was lower for Fall River than for the state in </w:t>
      </w:r>
      <w:r w:rsidR="00887EA8" w:rsidRPr="008C1E5F">
        <w:rPr>
          <w:spacing w:val="-2"/>
        </w:rPr>
        <w:t>G</w:t>
      </w:r>
      <w:r w:rsidRPr="008C1E5F">
        <w:rPr>
          <w:spacing w:val="-2"/>
        </w:rPr>
        <w:t xml:space="preserve">rades 3-8 (ELA and </w:t>
      </w:r>
      <w:r w:rsidR="00AE5402" w:rsidRPr="008C1E5F">
        <w:rPr>
          <w:spacing w:val="-2"/>
        </w:rPr>
        <w:t>m</w:t>
      </w:r>
      <w:r w:rsidRPr="008C1E5F">
        <w:rPr>
          <w:spacing w:val="-2"/>
        </w:rPr>
        <w:t>ath</w:t>
      </w:r>
      <w:r w:rsidR="00AE5402" w:rsidRPr="008C1E5F">
        <w:rPr>
          <w:spacing w:val="-2"/>
        </w:rPr>
        <w:t>ematics</w:t>
      </w:r>
      <w:r w:rsidRPr="008C1E5F">
        <w:rPr>
          <w:spacing w:val="-2"/>
        </w:rPr>
        <w:t>), 5 and 8 (</w:t>
      </w:r>
      <w:r w:rsidR="00AE5402" w:rsidRPr="008C1E5F">
        <w:rPr>
          <w:spacing w:val="-2"/>
        </w:rPr>
        <w:t>s</w:t>
      </w:r>
      <w:r w:rsidRPr="008C1E5F">
        <w:rPr>
          <w:spacing w:val="-2"/>
        </w:rPr>
        <w:t xml:space="preserve">cience), and 10 (ELA, </w:t>
      </w:r>
      <w:r w:rsidR="00AE5402" w:rsidRPr="008C1E5F">
        <w:rPr>
          <w:spacing w:val="-2"/>
        </w:rPr>
        <w:t>mathematics</w:t>
      </w:r>
      <w:r w:rsidRPr="008C1E5F">
        <w:rPr>
          <w:spacing w:val="-2"/>
        </w:rPr>
        <w:t xml:space="preserve">, </w:t>
      </w:r>
      <w:r w:rsidR="00AE5402" w:rsidRPr="008C1E5F">
        <w:rPr>
          <w:spacing w:val="-2"/>
        </w:rPr>
        <w:t>s</w:t>
      </w:r>
      <w:r w:rsidRPr="008C1E5F">
        <w:rPr>
          <w:spacing w:val="-2"/>
        </w:rPr>
        <w:t xml:space="preserve">cience). </w:t>
      </w:r>
    </w:p>
    <w:p w14:paraId="59B41881" w14:textId="56F0D5BB" w:rsidR="000E46AE" w:rsidRPr="008C1E5F" w:rsidRDefault="000E46AE" w:rsidP="000E46AE">
      <w:pPr>
        <w:pStyle w:val="TableTitle0"/>
      </w:pPr>
      <w:r w:rsidRPr="008C1E5F">
        <w:lastRenderedPageBreak/>
        <w:t xml:space="preserve">Figure </w:t>
      </w:r>
      <w:r w:rsidR="009F4904" w:rsidRPr="008C1E5F">
        <w:t>3</w:t>
      </w:r>
      <w:r w:rsidRPr="008C1E5F">
        <w:t>. Percentage of Students Meeting or Exceeding Expectations, MCAS, 2024</w:t>
      </w:r>
    </w:p>
    <w:p w14:paraId="6D1CE74D" w14:textId="5576CF03" w:rsidR="000E46AE" w:rsidRPr="008C1E5F" w:rsidRDefault="00A1287F" w:rsidP="000E46AE">
      <w:pPr>
        <w:pStyle w:val="BodyTextposthead"/>
      </w:pPr>
      <w:r w:rsidRPr="008C1E5F">
        <w:rPr>
          <w:noProof/>
        </w:rPr>
        <w:drawing>
          <wp:inline distT="0" distB="0" distL="0" distR="0" wp14:anchorId="49F09210" wp14:editId="72B87790">
            <wp:extent cx="5943600" cy="2757276"/>
            <wp:effectExtent l="0" t="0" r="0" b="5080"/>
            <wp:docPr id="577814358" name="drawing" descr="A graph of a number of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14358" name="drawing" descr="A graph of a number of students"/>
                    <pic:cNvPicPr/>
                  </pic:nvPicPr>
                  <pic:blipFill>
                    <a:blip r:embed="rId24">
                      <a:extLst>
                        <a:ext uri="{28A0092B-C50C-407E-A947-70E740481C1C}">
                          <a14:useLocalDpi xmlns:a14="http://schemas.microsoft.com/office/drawing/2010/main" val="0"/>
                        </a:ext>
                      </a:extLst>
                    </a:blip>
                    <a:stretch>
                      <a:fillRect/>
                    </a:stretch>
                  </pic:blipFill>
                  <pic:spPr>
                    <a:xfrm>
                      <a:off x="0" y="0"/>
                      <a:ext cx="5943600" cy="2757276"/>
                    </a:xfrm>
                    <a:prstGeom prst="rect">
                      <a:avLst/>
                    </a:prstGeom>
                  </pic:spPr>
                </pic:pic>
              </a:graphicData>
            </a:graphic>
          </wp:inline>
        </w:drawing>
      </w:r>
    </w:p>
    <w:p w14:paraId="00FB4AA6" w14:textId="647ADE37" w:rsidR="006E1560" w:rsidRPr="008C1E5F" w:rsidRDefault="006E1560" w:rsidP="00725AA1">
      <w:pPr>
        <w:pStyle w:val="BodyText"/>
      </w:pPr>
      <w:r w:rsidRPr="008C1E5F">
        <w:t xml:space="preserve">Fall River’s </w:t>
      </w:r>
      <w:r w:rsidR="00B01C20">
        <w:t>H</w:t>
      </w:r>
      <w:r w:rsidRPr="008C1E5F">
        <w:t xml:space="preserve">igh </w:t>
      </w:r>
      <w:r w:rsidR="00B01C20">
        <w:t>N</w:t>
      </w:r>
      <w:r w:rsidRPr="008C1E5F">
        <w:t>eeds students, who comprise 86.0 percent of the district</w:t>
      </w:r>
      <w:r w:rsidR="003B0865">
        <w:t xml:space="preserve"> in 2024</w:t>
      </w:r>
      <w:r w:rsidRPr="008C1E5F">
        <w:t xml:space="preserve">, met or exceeded expectations on the 2024 MCAS assessments at rates 6 to 18 percentage points below </w:t>
      </w:r>
      <w:r w:rsidR="00B01C20">
        <w:t>H</w:t>
      </w:r>
      <w:r w:rsidRPr="008C1E5F">
        <w:t xml:space="preserve">igh </w:t>
      </w:r>
      <w:r w:rsidR="00B01C20">
        <w:t>N</w:t>
      </w:r>
      <w:r w:rsidRPr="008C1E5F">
        <w:t xml:space="preserve">eeds students across the state (see Figure 4). </w:t>
      </w:r>
    </w:p>
    <w:p w14:paraId="33AC90F6" w14:textId="2EF29EFC" w:rsidR="007E1CC8" w:rsidRPr="008C1E5F" w:rsidRDefault="007E1CC8" w:rsidP="00B4170D">
      <w:pPr>
        <w:pStyle w:val="TableTitle0"/>
      </w:pPr>
      <w:r>
        <w:t xml:space="preserve">Figure </w:t>
      </w:r>
      <w:r w:rsidR="00280979">
        <w:t>4</w:t>
      </w:r>
      <w:r>
        <w:t>. Percentage of High Needs Students Meeting or Exceeding Expectations, MCAS, 2024</w:t>
      </w:r>
    </w:p>
    <w:p w14:paraId="522CCDE8" w14:textId="3FAFDF09" w:rsidR="009546E7" w:rsidRPr="008C1E5F" w:rsidRDefault="00ED686F" w:rsidP="009546E7">
      <w:pPr>
        <w:pStyle w:val="BodyTextposthead"/>
      </w:pPr>
      <w:r>
        <w:rPr>
          <w:noProof/>
        </w:rPr>
        <w:drawing>
          <wp:inline distT="0" distB="0" distL="0" distR="0" wp14:anchorId="590C391B" wp14:editId="46A7A5A6">
            <wp:extent cx="5781822" cy="2654300"/>
            <wp:effectExtent l="0" t="0" r="9525" b="12700"/>
            <wp:docPr id="2029201259" name="Chart 1" descr="A figure showing the percent high needs students meeting or exceeding the 2024 MCAS">
              <a:extLst xmlns:a="http://schemas.openxmlformats.org/drawingml/2006/main">
                <a:ext uri="{FF2B5EF4-FFF2-40B4-BE49-F238E27FC236}">
                  <a16:creationId xmlns:a16="http://schemas.microsoft.com/office/drawing/2014/main" id="{1102F843-E1E7-0119-BF01-FD2371EFF9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E74C111" w14:textId="570831DB" w:rsidR="006E5B7D" w:rsidRPr="008C1E5F" w:rsidRDefault="006E5B7D" w:rsidP="00B4170D">
      <w:pPr>
        <w:pStyle w:val="BodyText"/>
      </w:pPr>
      <w:r w:rsidRPr="008C1E5F">
        <w:t xml:space="preserve">Most high school students in </w:t>
      </w:r>
      <w:r w:rsidR="002717FB" w:rsidRPr="008C1E5F">
        <w:t>Fall River</w:t>
      </w:r>
      <w:r w:rsidRPr="008C1E5F">
        <w:t xml:space="preserve"> attend </w:t>
      </w:r>
      <w:r w:rsidR="002717FB" w:rsidRPr="008C1E5F">
        <w:t>B.M.C. Durfee High School</w:t>
      </w:r>
      <w:r w:rsidRPr="008C1E5F">
        <w:t xml:space="preserve">, but the district offers alternative settings for secondary students via the </w:t>
      </w:r>
      <w:r w:rsidR="002717FB" w:rsidRPr="008C1E5F">
        <w:t xml:space="preserve">Resiliency Preparatory Academy </w:t>
      </w:r>
      <w:r w:rsidRPr="008C1E5F">
        <w:t xml:space="preserve">and </w:t>
      </w:r>
      <w:r w:rsidR="002717FB" w:rsidRPr="008C1E5F">
        <w:t>Stone Community Day School</w:t>
      </w:r>
      <w:r w:rsidRPr="008C1E5F">
        <w:t xml:space="preserve">. Across these three settings, </w:t>
      </w:r>
      <w:r w:rsidR="002717FB" w:rsidRPr="008C1E5F">
        <w:t>Fall River’s</w:t>
      </w:r>
      <w:r w:rsidRPr="008C1E5F">
        <w:t xml:space="preserve"> 2023 </w:t>
      </w:r>
      <w:r w:rsidR="00AE5402" w:rsidRPr="008C1E5F">
        <w:t>four</w:t>
      </w:r>
      <w:r w:rsidRPr="008C1E5F">
        <w:t xml:space="preserve">-year cohort graduation rate </w:t>
      </w:r>
      <w:r w:rsidR="00BE03EB" w:rsidRPr="008C1E5F">
        <w:t>(</w:t>
      </w:r>
      <w:r w:rsidR="004D0A20" w:rsidRPr="008C1E5F">
        <w:t>74</w:t>
      </w:r>
      <w:r w:rsidR="00BE03EB" w:rsidRPr="008C1E5F">
        <w:t>.</w:t>
      </w:r>
      <w:r w:rsidR="004D0A20" w:rsidRPr="008C1E5F">
        <w:t>5</w:t>
      </w:r>
      <w:r w:rsidR="00887EA8" w:rsidRPr="008C1E5F">
        <w:t xml:space="preserve"> percent</w:t>
      </w:r>
      <w:r w:rsidR="00BE03EB" w:rsidRPr="008C1E5F">
        <w:t xml:space="preserve">) </w:t>
      </w:r>
      <w:r w:rsidRPr="008C1E5F">
        <w:t xml:space="preserve">was </w:t>
      </w:r>
      <w:r w:rsidR="003C1E7A">
        <w:t>14.7</w:t>
      </w:r>
      <w:r w:rsidR="003C1E7A" w:rsidRPr="008C1E5F">
        <w:t xml:space="preserve"> </w:t>
      </w:r>
      <w:r w:rsidRPr="008C1E5F">
        <w:t>percentage points lower than the state rate (</w:t>
      </w:r>
      <w:r w:rsidR="00BE03EB" w:rsidRPr="008C1E5F">
        <w:t>89</w:t>
      </w:r>
      <w:r w:rsidR="007D4D2B" w:rsidRPr="008C1E5F">
        <w:t>.2</w:t>
      </w:r>
      <w:r w:rsidR="00887EA8" w:rsidRPr="008C1E5F">
        <w:t xml:space="preserve"> percent</w:t>
      </w:r>
      <w:r w:rsidR="007D4D2B" w:rsidRPr="008C1E5F">
        <w:t>)</w:t>
      </w:r>
      <w:r w:rsidRPr="008C1E5F">
        <w:t xml:space="preserve">. Furthermore, the district’s dropout rate is </w:t>
      </w:r>
      <w:r w:rsidR="005D678D" w:rsidRPr="008C1E5F">
        <w:t>more than twice the</w:t>
      </w:r>
      <w:r w:rsidRPr="008C1E5F">
        <w:t xml:space="preserve"> state rate</w:t>
      </w:r>
      <w:r w:rsidR="00C43598" w:rsidRPr="008C1E5F">
        <w:t xml:space="preserve"> and more than </w:t>
      </w:r>
      <w:r w:rsidR="00887EA8" w:rsidRPr="008C1E5F">
        <w:t>five</w:t>
      </w:r>
      <w:r w:rsidR="00C43598" w:rsidRPr="008C1E5F">
        <w:t xml:space="preserve"> times the state rate for White students</w:t>
      </w:r>
      <w:r w:rsidR="00A57586">
        <w:t>.</w:t>
      </w:r>
      <w:r w:rsidR="00C43598" w:rsidRPr="008C1E5F">
        <w:t xml:space="preserve"> </w:t>
      </w:r>
    </w:p>
    <w:p w14:paraId="733FCA24" w14:textId="1400C7A0" w:rsidR="006E5B7D" w:rsidRPr="008C1E5F" w:rsidRDefault="006E5B7D" w:rsidP="00B4170D">
      <w:pPr>
        <w:pStyle w:val="BodyText"/>
      </w:pPr>
      <w:r>
        <w:lastRenderedPageBreak/>
        <w:t>Of students who graduated from the district in 202</w:t>
      </w:r>
      <w:r w:rsidR="009C53FA">
        <w:t>2</w:t>
      </w:r>
      <w:r>
        <w:t>-</w:t>
      </w:r>
      <w:r w:rsidR="00887EA8">
        <w:t>20</w:t>
      </w:r>
      <w:r>
        <w:t>2</w:t>
      </w:r>
      <w:r w:rsidR="009C53FA">
        <w:t>3</w:t>
      </w:r>
      <w:r>
        <w:t xml:space="preserve">, </w:t>
      </w:r>
      <w:r w:rsidR="00E54F54">
        <w:t>35</w:t>
      </w:r>
      <w:r>
        <w:t>.</w:t>
      </w:r>
      <w:r w:rsidR="00E54F54">
        <w:t>9</w:t>
      </w:r>
      <w:r>
        <w:t xml:space="preserve"> percent went on to attend college or university by March 202</w:t>
      </w:r>
      <w:r w:rsidR="7974CE58">
        <w:t>4</w:t>
      </w:r>
      <w:r>
        <w:t xml:space="preserve">, which </w:t>
      </w:r>
      <w:r w:rsidR="00F159D8">
        <w:t xml:space="preserve">is </w:t>
      </w:r>
      <w:r w:rsidR="006B0BD5">
        <w:t>slightly more than</w:t>
      </w:r>
      <w:r>
        <w:t xml:space="preserve"> half the state rate of 6</w:t>
      </w:r>
      <w:r w:rsidR="00074742">
        <w:t>3</w:t>
      </w:r>
      <w:r>
        <w:t>.</w:t>
      </w:r>
      <w:r w:rsidR="00074742">
        <w:t>2</w:t>
      </w:r>
      <w:r>
        <w:t xml:space="preserve"> percent. Additionally, </w:t>
      </w:r>
      <w:r w:rsidR="00227D1D">
        <w:t>31</w:t>
      </w:r>
      <w:r>
        <w:t>.</w:t>
      </w:r>
      <w:r w:rsidR="00227D1D">
        <w:t>5</w:t>
      </w:r>
      <w:r>
        <w:t xml:space="preserve"> percent of 2022-</w:t>
      </w:r>
      <w:r w:rsidR="00887EA8">
        <w:t>20</w:t>
      </w:r>
      <w:r>
        <w:t xml:space="preserve">23 graduates planned on entering the workforce or an apprenticeship after high school, compared to </w:t>
      </w:r>
      <w:r w:rsidR="00882C22">
        <w:t>13</w:t>
      </w:r>
      <w:r>
        <w:t>.</w:t>
      </w:r>
      <w:r w:rsidR="00882C22">
        <w:t>8</w:t>
      </w:r>
      <w:r>
        <w:t xml:space="preserve"> percent of students across the state. </w:t>
      </w:r>
    </w:p>
    <w:p w14:paraId="74F67E2E" w14:textId="6D07C908" w:rsidR="006E5B7D" w:rsidRPr="008C1E5F" w:rsidRDefault="006E5B7D" w:rsidP="00B4170D">
      <w:pPr>
        <w:pStyle w:val="BodyText"/>
      </w:pPr>
      <w:r w:rsidRPr="008C1E5F">
        <w:t xml:space="preserve">In 2024 statewide accountability results, </w:t>
      </w:r>
      <w:r w:rsidR="00DD6E19">
        <w:t>six</w:t>
      </w:r>
      <w:r w:rsidR="00DD6E19" w:rsidRPr="008C1E5F">
        <w:t xml:space="preserve"> </w:t>
      </w:r>
      <w:r w:rsidRPr="008C1E5F">
        <w:t xml:space="preserve">schools </w:t>
      </w:r>
      <w:r w:rsidR="00966096" w:rsidRPr="008C1E5F">
        <w:t>(B</w:t>
      </w:r>
      <w:r w:rsidR="00180BC1" w:rsidRPr="008C1E5F">
        <w:t>.</w:t>
      </w:r>
      <w:r w:rsidR="00966096" w:rsidRPr="008C1E5F">
        <w:t>M</w:t>
      </w:r>
      <w:r w:rsidR="00180BC1" w:rsidRPr="008C1E5F">
        <w:t>.</w:t>
      </w:r>
      <w:r w:rsidR="00966096" w:rsidRPr="008C1E5F">
        <w:t>C</w:t>
      </w:r>
      <w:r w:rsidR="00180BC1" w:rsidRPr="008C1E5F">
        <w:t>.</w:t>
      </w:r>
      <w:r w:rsidR="00966096" w:rsidRPr="008C1E5F">
        <w:t xml:space="preserve"> Durfee High School, </w:t>
      </w:r>
      <w:r w:rsidR="00DE39FB" w:rsidRPr="008C1E5F">
        <w:t xml:space="preserve">Mary Fonseca Elementary School, </w:t>
      </w:r>
      <w:r w:rsidR="0092093E" w:rsidRPr="008C1E5F">
        <w:t>Matthew J</w:t>
      </w:r>
      <w:r w:rsidR="00180BC1" w:rsidRPr="008C1E5F">
        <w:t>.</w:t>
      </w:r>
      <w:r w:rsidR="0092093E" w:rsidRPr="008C1E5F">
        <w:t xml:space="preserve"> Kuss Middle School, </w:t>
      </w:r>
      <w:r w:rsidR="00205100" w:rsidRPr="008C1E5F">
        <w:t>Talbot Innovation School,</w:t>
      </w:r>
      <w:r w:rsidR="003C4764">
        <w:t xml:space="preserve"> Morton Middle,</w:t>
      </w:r>
      <w:r w:rsidR="00205100" w:rsidRPr="008C1E5F">
        <w:t xml:space="preserve"> and </w:t>
      </w:r>
      <w:r w:rsidR="00953737" w:rsidRPr="008C1E5F">
        <w:t>William S. Greene</w:t>
      </w:r>
      <w:r w:rsidR="00F258C0" w:rsidRPr="008C1E5F">
        <w:t>)</w:t>
      </w:r>
      <w:r w:rsidR="0063485D" w:rsidRPr="008C1E5F">
        <w:t xml:space="preserve"> </w:t>
      </w:r>
      <w:r w:rsidRPr="008C1E5F">
        <w:t>were identified as requiring assistance or intervention due to being among the lowest performing 10 percent of schools statewide</w:t>
      </w:r>
      <w:r w:rsidR="00D568E0">
        <w:t>;</w:t>
      </w:r>
      <w:r w:rsidR="00F51E27" w:rsidRPr="008C1E5F">
        <w:t xml:space="preserve"> three schools </w:t>
      </w:r>
      <w:r w:rsidR="00082B03" w:rsidRPr="008C1E5F">
        <w:t>(</w:t>
      </w:r>
      <w:r w:rsidR="00B85DE9" w:rsidRPr="008C1E5F">
        <w:t xml:space="preserve">Carlton M. </w:t>
      </w:r>
      <w:proofErr w:type="spellStart"/>
      <w:r w:rsidR="00B85DE9" w:rsidRPr="008C1E5F">
        <w:t>Vivieros</w:t>
      </w:r>
      <w:proofErr w:type="spellEnd"/>
      <w:r w:rsidR="00B85DE9" w:rsidRPr="008C1E5F">
        <w:t xml:space="preserve"> Elementary School, </w:t>
      </w:r>
      <w:r w:rsidR="00F33F3C" w:rsidRPr="008C1E5F">
        <w:t xml:space="preserve">Henry Lord Community School, and </w:t>
      </w:r>
      <w:r w:rsidR="006D0267" w:rsidRPr="008C1E5F">
        <w:t xml:space="preserve">Samuel Watson) </w:t>
      </w:r>
      <w:r w:rsidR="00F51E27" w:rsidRPr="008C1E5F">
        <w:t>were</w:t>
      </w:r>
      <w:r w:rsidRPr="008C1E5F">
        <w:t xml:space="preserve"> identified as requiring assistance or intervention due</w:t>
      </w:r>
      <w:r w:rsidR="00F51E27" w:rsidRPr="008C1E5F">
        <w:t xml:space="preserve"> to </w:t>
      </w:r>
      <w:r w:rsidR="00B52D58" w:rsidRPr="008C1E5F">
        <w:t xml:space="preserve">low performance of their </w:t>
      </w:r>
      <w:r w:rsidR="00887EA8" w:rsidRPr="008C1E5F">
        <w:t>W</w:t>
      </w:r>
      <w:r w:rsidR="00B52D58" w:rsidRPr="008C1E5F">
        <w:t>hite student group</w:t>
      </w:r>
      <w:r w:rsidR="0073711E">
        <w:t>;</w:t>
      </w:r>
      <w:r w:rsidR="00B52D58" w:rsidRPr="008C1E5F">
        <w:t xml:space="preserve"> and two </w:t>
      </w:r>
      <w:r w:rsidR="006D0267" w:rsidRPr="008C1E5F">
        <w:t>schools (</w:t>
      </w:r>
      <w:r w:rsidR="006F27F2" w:rsidRPr="008C1E5F">
        <w:t xml:space="preserve">Stone PK-12 and Resiliency </w:t>
      </w:r>
      <w:r w:rsidR="0000310F" w:rsidRPr="008C1E5F">
        <w:t>Preparatory Academy</w:t>
      </w:r>
      <w:r w:rsidR="00183C11" w:rsidRPr="008C1E5F">
        <w:t xml:space="preserve">) </w:t>
      </w:r>
      <w:r w:rsidR="00B52D58" w:rsidRPr="008C1E5F">
        <w:t>were identified as requiring assistance or intervention due to</w:t>
      </w:r>
      <w:r w:rsidRPr="008C1E5F">
        <w:t xml:space="preserve"> the low assessment participation of </w:t>
      </w:r>
      <w:r w:rsidR="00C52315" w:rsidRPr="008C1E5F">
        <w:t>several</w:t>
      </w:r>
      <w:r w:rsidRPr="008C1E5F">
        <w:t xml:space="preserve"> student group</w:t>
      </w:r>
      <w:r w:rsidR="00C52315" w:rsidRPr="008C1E5F">
        <w:t>s (</w:t>
      </w:r>
      <w:r w:rsidR="00AE6B18">
        <w:t>A</w:t>
      </w:r>
      <w:r w:rsidR="00C52315" w:rsidRPr="008C1E5F">
        <w:t>ll</w:t>
      </w:r>
      <w:r w:rsidR="00AE6B18">
        <w:t xml:space="preserve"> Students</w:t>
      </w:r>
      <w:r w:rsidR="00C52315" w:rsidRPr="008C1E5F">
        <w:t xml:space="preserve">, </w:t>
      </w:r>
      <w:r w:rsidR="00AE6B18">
        <w:t>L</w:t>
      </w:r>
      <w:r w:rsidR="00C52315" w:rsidRPr="008C1E5F">
        <w:t xml:space="preserve">ow </w:t>
      </w:r>
      <w:r w:rsidR="00AE6B18">
        <w:t>I</w:t>
      </w:r>
      <w:r w:rsidR="00C52315" w:rsidRPr="008C1E5F">
        <w:t xml:space="preserve">ncome, </w:t>
      </w:r>
      <w:r w:rsidR="00AE6B18">
        <w:t>H</w:t>
      </w:r>
      <w:r w:rsidR="00C52315" w:rsidRPr="008C1E5F">
        <w:t xml:space="preserve">igh </w:t>
      </w:r>
      <w:r w:rsidR="00AE6B18">
        <w:t>N</w:t>
      </w:r>
      <w:r w:rsidR="00C52315" w:rsidRPr="008C1E5F">
        <w:t xml:space="preserve">eeds, and </w:t>
      </w:r>
      <w:r w:rsidR="00AE6B18">
        <w:t>S</w:t>
      </w:r>
      <w:r w:rsidR="00C52315" w:rsidRPr="008C1E5F">
        <w:t xml:space="preserve">tudents with </w:t>
      </w:r>
      <w:r w:rsidR="00AE6B18">
        <w:t>D</w:t>
      </w:r>
      <w:r w:rsidR="00C52315" w:rsidRPr="008C1E5F">
        <w:t>isabilities)</w:t>
      </w:r>
      <w:r w:rsidRPr="008C1E5F">
        <w:t xml:space="preserve">. </w:t>
      </w:r>
      <w:r w:rsidR="00A57586" w:rsidRPr="008C1E5F">
        <w:t>However</w:t>
      </w:r>
      <w:r w:rsidR="00A57586">
        <w:t>,</w:t>
      </w:r>
      <w:r w:rsidRPr="008C1E5F">
        <w:t xml:space="preserve"> the district </w:t>
      </w:r>
      <w:r w:rsidR="00887EA8" w:rsidRPr="008C1E5F">
        <w:t>made</w:t>
      </w:r>
      <w:r w:rsidRPr="008C1E5F">
        <w:t xml:space="preserve"> moderate progress toward achieving its accountability targets as set by DESE.</w:t>
      </w:r>
      <w:r w:rsidR="00961472" w:rsidRPr="008C1E5F">
        <w:t xml:space="preserve"> </w:t>
      </w:r>
      <w:r w:rsidRPr="008C1E5F">
        <w:t xml:space="preserve">Furthermore, </w:t>
      </w:r>
      <w:r w:rsidR="00961472" w:rsidRPr="008C1E5F">
        <w:t xml:space="preserve">John J. Doran </w:t>
      </w:r>
      <w:r w:rsidR="00472D92" w:rsidRPr="008C1E5F">
        <w:t>School</w:t>
      </w:r>
      <w:r w:rsidR="00A36EEE" w:rsidRPr="008C1E5F">
        <w:t xml:space="preserve">, </w:t>
      </w:r>
      <w:r w:rsidR="00472D92" w:rsidRPr="008C1E5F">
        <w:t>Letourneau Elementary School</w:t>
      </w:r>
      <w:r w:rsidR="00A36EEE" w:rsidRPr="008C1E5F">
        <w:t>, North End Elementary School</w:t>
      </w:r>
      <w:r w:rsidR="00297D7A" w:rsidRPr="008C1E5F">
        <w:t xml:space="preserve">, and Spencer Borden Elementary School </w:t>
      </w:r>
      <w:r w:rsidRPr="008C1E5F">
        <w:t xml:space="preserve">made substantial progress toward </w:t>
      </w:r>
      <w:r w:rsidR="00465B29" w:rsidRPr="008C1E5F">
        <w:t>their</w:t>
      </w:r>
      <w:r w:rsidRPr="008C1E5F">
        <w:t xml:space="preserve"> targets in 2024</w:t>
      </w:r>
      <w:r w:rsidR="00A57586">
        <w:t>.</w:t>
      </w:r>
      <w:r w:rsidRPr="008C1E5F">
        <w:t xml:space="preserve"> </w:t>
      </w:r>
    </w:p>
    <w:p w14:paraId="368AF02C" w14:textId="6C6B3C5A" w:rsidR="009B28B6" w:rsidRPr="008C1E5F" w:rsidRDefault="009B28B6" w:rsidP="00B4170D">
      <w:pPr>
        <w:pStyle w:val="BodyText"/>
      </w:pPr>
      <w:r w:rsidRPr="008C1E5F">
        <w:t xml:space="preserve">In fiscal year 2023, the total in-district per-pupil expenditure for Fall River </w:t>
      </w:r>
      <w:r w:rsidR="00887EA8" w:rsidRPr="008C1E5F">
        <w:t>w</w:t>
      </w:r>
      <w:r w:rsidRPr="008C1E5F">
        <w:t xml:space="preserve">as $21,341, which is $1,459 less than the average in-district per-pupil expenditure in districts with similar demographics ($22,800), and </w:t>
      </w:r>
      <w:r w:rsidR="00887EA8" w:rsidRPr="008C1E5F">
        <w:t>$</w:t>
      </w:r>
      <w:r w:rsidRPr="008C1E5F">
        <w:t>94 more than the average in-district per-pupil expenditures in districts of similar wealth ($21,247).</w:t>
      </w:r>
      <w:r w:rsidR="00887EA8" w:rsidRPr="008C1E5F">
        <w:rPr>
          <w:rStyle w:val="FootnoteReference"/>
        </w:rPr>
        <w:footnoteReference w:id="5"/>
      </w:r>
      <w:r w:rsidRPr="008C1E5F">
        <w:t xml:space="preserve"> In-district per pupil expenditures for Fall River were $</w:t>
      </w:r>
      <w:r w:rsidR="00FA3030">
        <w:t>574</w:t>
      </w:r>
      <w:r w:rsidR="00FA3030" w:rsidRPr="008C1E5F">
        <w:t xml:space="preserve"> </w:t>
      </w:r>
      <w:r w:rsidRPr="008C1E5F">
        <w:t>more than the average state spending per pupil ($</w:t>
      </w:r>
      <w:r w:rsidR="0067402C">
        <w:t>20,767</w:t>
      </w:r>
      <w:r w:rsidRPr="008C1E5F">
        <w:t>). Actual net school spending was slightly below what is required by the Chapter 70 state education aid program, as shown in Table D</w:t>
      </w:r>
      <w:r w:rsidR="000E346C">
        <w:t>5</w:t>
      </w:r>
      <w:r w:rsidRPr="008C1E5F">
        <w:t xml:space="preserve"> in Appendix D.</w:t>
      </w:r>
    </w:p>
    <w:p w14:paraId="31ABE0F8" w14:textId="034039A4" w:rsidR="00A942D3" w:rsidRPr="008C1E5F" w:rsidRDefault="00A942D3" w:rsidP="00A942D3">
      <w:pPr>
        <w:pStyle w:val="Heading3"/>
      </w:pPr>
      <w:bookmarkStart w:id="31" w:name="_Toc195024209"/>
      <w:r w:rsidRPr="008C1E5F">
        <w:t>Classroom Observations</w:t>
      </w:r>
      <w:bookmarkEnd w:id="31"/>
      <w:r w:rsidRPr="008C1E5F">
        <w:t xml:space="preserve"> </w:t>
      </w:r>
    </w:p>
    <w:p w14:paraId="2160887D" w14:textId="45A5424A" w:rsidR="00A942D3" w:rsidRPr="008C1E5F" w:rsidRDefault="009F76A8" w:rsidP="00A942D3">
      <w:pPr>
        <w:pStyle w:val="BodyTextposthead"/>
      </w:pPr>
      <w:r w:rsidRPr="008C1E5F">
        <w:t>Eight</w:t>
      </w:r>
      <w:r w:rsidR="00A942D3" w:rsidRPr="008C1E5F">
        <w:t xml:space="preserve"> observers, who focused primarily on instruction in the classroom, visited </w:t>
      </w:r>
      <w:r w:rsidR="001E3C6B" w:rsidRPr="008C1E5F">
        <w:t>Fall River</w:t>
      </w:r>
      <w:r w:rsidR="00A942D3" w:rsidRPr="008C1E5F">
        <w:t xml:space="preserve"> during the week</w:t>
      </w:r>
      <w:r w:rsidR="007D68E6" w:rsidRPr="008C1E5F">
        <w:t>s</w:t>
      </w:r>
      <w:r w:rsidR="00A942D3" w:rsidRPr="008C1E5F">
        <w:t xml:space="preserve"> of </w:t>
      </w:r>
      <w:r w:rsidR="007D68E6" w:rsidRPr="008C1E5F">
        <w:t>November 18 and November 2</w:t>
      </w:r>
      <w:r w:rsidR="001E3C6B" w:rsidRPr="008C1E5F">
        <w:t>5</w:t>
      </w:r>
      <w:r w:rsidR="007D68E6" w:rsidRPr="008C1E5F">
        <w:t>.</w:t>
      </w:r>
      <w:r w:rsidR="00A942D3" w:rsidRPr="008C1E5F">
        <w:t xml:space="preserve"> The observers conducted </w:t>
      </w:r>
      <w:r w:rsidR="00CE537B" w:rsidRPr="008C1E5F">
        <w:t>192</w:t>
      </w:r>
      <w:r w:rsidR="00A942D3" w:rsidRPr="008C1E5F">
        <w:t xml:space="preserve"> observations in a sample of classrooms across grade levels, focused on literacy, ELA, and mathematics. The CLASS protocol guided all classroom observations in the district. These observations used the three grade-band levels of CLASS protocols: K-3, Upper Elementary (4-5), and Secondary (6-12).</w:t>
      </w:r>
    </w:p>
    <w:p w14:paraId="0F60E460" w14:textId="77777777" w:rsidR="00A942D3" w:rsidRPr="008C1E5F" w:rsidRDefault="00A942D3" w:rsidP="00B4170D">
      <w:pPr>
        <w:pStyle w:val="BodyText"/>
      </w:pPr>
      <w:r w:rsidRPr="008C1E5F">
        <w:t>The K-3 protocol includes 10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in addition to Student Engagement. The three domains observed at all levels broadly are defined as follows:</w:t>
      </w:r>
    </w:p>
    <w:p w14:paraId="1325FCDC" w14:textId="77777777" w:rsidR="00A942D3" w:rsidRPr="008C1E5F" w:rsidRDefault="00A942D3" w:rsidP="00B4170D">
      <w:pPr>
        <w:pStyle w:val="Bullet1"/>
      </w:pPr>
      <w:r w:rsidRPr="008C1E5F">
        <w:rPr>
          <w:rStyle w:val="Bodytextdemi0"/>
        </w:rPr>
        <w:t>Emotional Support</w:t>
      </w:r>
      <w:r w:rsidRPr="008C1E5F">
        <w:rPr>
          <w:rFonts w:ascii="Franklin Gothic Demi" w:hAnsi="Franklin Gothic Demi"/>
        </w:rPr>
        <w:t>.</w:t>
      </w:r>
      <w:r w:rsidRPr="008C1E5F">
        <w:t xml:space="preserve"> Describes the social-emotional functioning of the classroom, including teacher-student relationships and responsiveness to social-emotional needs.</w:t>
      </w:r>
    </w:p>
    <w:p w14:paraId="3362506D" w14:textId="77777777" w:rsidR="00A942D3" w:rsidRPr="008C1E5F" w:rsidRDefault="00A942D3" w:rsidP="00B4170D">
      <w:pPr>
        <w:pStyle w:val="Bullet1"/>
      </w:pPr>
      <w:r w:rsidRPr="008C1E5F">
        <w:rPr>
          <w:rStyle w:val="Bodytextdemi0"/>
        </w:rPr>
        <w:t>Classroom Organization</w:t>
      </w:r>
      <w:r w:rsidRPr="008C1E5F">
        <w:rPr>
          <w:rFonts w:ascii="Franklin Gothic Demi" w:hAnsi="Franklin Gothic Demi"/>
        </w:rPr>
        <w:t>.</w:t>
      </w:r>
      <w:r w:rsidRPr="008C1E5F">
        <w:t xml:space="preserve"> Describes the management of students’ behavior, time, and attention in the classroom.</w:t>
      </w:r>
    </w:p>
    <w:p w14:paraId="5DB42A88" w14:textId="77777777" w:rsidR="00A942D3" w:rsidRPr="008C1E5F" w:rsidRDefault="00A942D3" w:rsidP="00B4170D">
      <w:pPr>
        <w:pStyle w:val="Bullet1"/>
      </w:pPr>
      <w:r w:rsidRPr="008C1E5F">
        <w:rPr>
          <w:rStyle w:val="Bodytextdemi0"/>
        </w:rPr>
        <w:lastRenderedPageBreak/>
        <w:t>Instructional Support</w:t>
      </w:r>
      <w:r w:rsidRPr="008C1E5F">
        <w:rPr>
          <w:rFonts w:ascii="Franklin Gothic Demi" w:hAnsi="Franklin Gothic Demi"/>
        </w:rPr>
        <w:t>.</w:t>
      </w:r>
      <w:r w:rsidRPr="008C1E5F">
        <w:t xml:space="preserve"> Describes the efforts to support cognitive and language development, including cognitive demand of the assigned tasks, the focus on higher order thinking skills, and the use of process-oriented feedback.</w:t>
      </w:r>
    </w:p>
    <w:p w14:paraId="63D08170" w14:textId="77777777" w:rsidR="00A942D3" w:rsidRPr="008C1E5F" w:rsidRDefault="00A942D3" w:rsidP="00B4170D">
      <w:pPr>
        <w:pStyle w:val="BodyText"/>
      </w:pPr>
      <w:r w:rsidRPr="008C1E5F">
        <w:t>When conducting a classroom visit, the observer rates each dimension (including Student Engagement) on a scale of 1 to 7. A rating of 1 or 2 (low range) indicates that the dimension was never or rarely evident during the visit. A rating of 3, 4, or 5 (middle range) indicates that the dimension was evident but not exhibited consistently or in a way that included all students. A rating of 6 or 7 (high range) indicates that the dimension was reflected in all or most classroom activities and in a way that included all or most students.</w:t>
      </w:r>
    </w:p>
    <w:p w14:paraId="03377C0D" w14:textId="28B30205" w:rsidR="00A942D3" w:rsidRPr="008C1E5F" w:rsidRDefault="00A942D3" w:rsidP="00B4170D">
      <w:pPr>
        <w:pStyle w:val="BodyText"/>
      </w:pPr>
      <w:r w:rsidRPr="008C1E5F">
        <w:t xml:space="preserve">In </w:t>
      </w:r>
      <w:r w:rsidR="009A038F" w:rsidRPr="008C1E5F">
        <w:t>Fall River</w:t>
      </w:r>
      <w:r w:rsidRPr="008C1E5F">
        <w:t xml:space="preserve">, ratings are provided across three grade bands: K-5, 6-8, and 9-12. For each grade band, ratings are provided across the overarching domains, as well as at individual dimensions within those domains. </w:t>
      </w:r>
      <w:r w:rsidR="0068161E" w:rsidRPr="008C1E5F">
        <w:t xml:space="preserve">Figure </w:t>
      </w:r>
      <w:r w:rsidR="0085458D" w:rsidRPr="008C1E5F">
        <w:t>5</w:t>
      </w:r>
      <w:r w:rsidR="0068161E" w:rsidRPr="008C1E5F">
        <w:t xml:space="preserve"> shows average rating</w:t>
      </w:r>
      <w:r w:rsidR="00CE58BD" w:rsidRPr="008C1E5F">
        <w:t xml:space="preserve">s, by domain, for each grade band. </w:t>
      </w:r>
      <w:r w:rsidRPr="008C1E5F">
        <w:t xml:space="preserve">The full report of findings from observations conducted in </w:t>
      </w:r>
      <w:r w:rsidR="05C29D42" w:rsidRPr="008C1E5F">
        <w:t xml:space="preserve">Fall River </w:t>
      </w:r>
      <w:r w:rsidRPr="008C1E5F">
        <w:t>is in Appendix</w:t>
      </w:r>
      <w:r w:rsidRPr="008C1E5F">
        <w:rPr>
          <w:rFonts w:ascii="Arial" w:hAnsi="Arial" w:cs="Arial"/>
        </w:rPr>
        <w:t> </w:t>
      </w:r>
      <w:r w:rsidRPr="008C1E5F">
        <w:t xml:space="preserve">B, and summary results are in Tables 17, 18, and 19 in this appendix. </w:t>
      </w:r>
    </w:p>
    <w:p w14:paraId="650B6C9C" w14:textId="0C6081E6" w:rsidR="009757E3" w:rsidRPr="008C1E5F" w:rsidRDefault="007D4D2B" w:rsidP="0058542B">
      <w:pPr>
        <w:pStyle w:val="TableTitle0"/>
      </w:pPr>
      <w:r w:rsidRPr="008C1E5F">
        <w:t xml:space="preserve">Figure </w:t>
      </w:r>
      <w:r w:rsidR="0085458D" w:rsidRPr="008C1E5F">
        <w:t>5</w:t>
      </w:r>
      <w:r w:rsidRPr="008C1E5F">
        <w:t xml:space="preserve">. </w:t>
      </w:r>
      <w:r w:rsidR="0085458D" w:rsidRPr="008C1E5F">
        <w:t xml:space="preserve">Fall River </w:t>
      </w:r>
      <w:r w:rsidRPr="008C1E5F">
        <w:t xml:space="preserve">CLASS Domain Averages by Grade </w:t>
      </w:r>
      <w:r w:rsidR="00CE58BD" w:rsidRPr="008C1E5F">
        <w:t>Band</w:t>
      </w:r>
    </w:p>
    <w:p w14:paraId="32E3B6E1" w14:textId="147EACAD" w:rsidR="009757E3" w:rsidRPr="008C1E5F" w:rsidRDefault="0046431A" w:rsidP="0046431A">
      <w:pPr>
        <w:pStyle w:val="Bullet1"/>
        <w:numPr>
          <w:ilvl w:val="0"/>
          <w:numId w:val="0"/>
        </w:numPr>
      </w:pPr>
      <w:r w:rsidRPr="008C1E5F">
        <w:rPr>
          <w:noProof/>
        </w:rPr>
        <w:drawing>
          <wp:inline distT="0" distB="0" distL="0" distR="0" wp14:anchorId="5AB32DEE" wp14:editId="6C025C2B">
            <wp:extent cx="5943600" cy="2918375"/>
            <wp:effectExtent l="0" t="0" r="0" b="0"/>
            <wp:docPr id="1668306478" name="draw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06478" name="drawing">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a:ext>
                      </a:extLst>
                    </a:blip>
                    <a:stretch>
                      <a:fillRect/>
                    </a:stretch>
                  </pic:blipFill>
                  <pic:spPr>
                    <a:xfrm>
                      <a:off x="0" y="0"/>
                      <a:ext cx="5943600" cy="2918375"/>
                    </a:xfrm>
                    <a:prstGeom prst="rect">
                      <a:avLst/>
                    </a:prstGeom>
                  </pic:spPr>
                </pic:pic>
              </a:graphicData>
            </a:graphic>
          </wp:inline>
        </w:drawing>
      </w:r>
    </w:p>
    <w:p w14:paraId="029EB846" w14:textId="12B43814" w:rsidR="00A942D3" w:rsidRPr="008C1E5F" w:rsidRDefault="00A942D3" w:rsidP="00B4170D">
      <w:pPr>
        <w:pStyle w:val="BodyText"/>
      </w:pPr>
      <w:r w:rsidRPr="008C1E5F">
        <w:t xml:space="preserve">Overall, in the K-5 grade band, instructional observations suggest </w:t>
      </w:r>
      <w:r w:rsidR="005B7596" w:rsidRPr="008C1E5F">
        <w:t>generally strong evidence of</w:t>
      </w:r>
      <w:r w:rsidR="00C332C1" w:rsidRPr="008C1E5F">
        <w:t xml:space="preserve"> classroom organization, moderately strong evidence of</w:t>
      </w:r>
      <w:r w:rsidRPr="008C1E5F">
        <w:t xml:space="preserve"> emotional support and student engagement (Grades 4-5) and mixed evidence of consistently rigorous instructional support. In the 6-8 </w:t>
      </w:r>
      <w:r w:rsidR="00F47BF4" w:rsidRPr="008C1E5F">
        <w:t>and 9-12 grade bands</w:t>
      </w:r>
      <w:r w:rsidRPr="008C1E5F">
        <w:t xml:space="preserve">, instructional observations provide evidence of </w:t>
      </w:r>
      <w:r w:rsidR="00CF7169" w:rsidRPr="008C1E5F">
        <w:t xml:space="preserve">consistently strong classroom organization </w:t>
      </w:r>
      <w:r w:rsidR="0002610D" w:rsidRPr="008C1E5F">
        <w:t xml:space="preserve">and mixed evidence of </w:t>
      </w:r>
      <w:r w:rsidRPr="008C1E5F">
        <w:t xml:space="preserve">consistently strong emotional support, student engagement, and rigorous instructional support. </w:t>
      </w:r>
    </w:p>
    <w:p w14:paraId="7C3892B1" w14:textId="77777777" w:rsidR="00A942D3" w:rsidRPr="008C1E5F" w:rsidRDefault="00A942D3" w:rsidP="008D6102">
      <w:pPr>
        <w:pStyle w:val="BodyText"/>
      </w:pPr>
    </w:p>
    <w:p w14:paraId="5A4DB43F" w14:textId="77777777" w:rsidR="008D6102" w:rsidRPr="008C1E5F" w:rsidRDefault="008D6102" w:rsidP="00D84912">
      <w:pPr>
        <w:pStyle w:val="Heading2"/>
      </w:pPr>
      <w:bookmarkStart w:id="32" w:name="_Leadership_and_Governance"/>
      <w:bookmarkStart w:id="33" w:name="_Toc101446227"/>
      <w:bookmarkStart w:id="34" w:name="_Toc190886736"/>
      <w:bookmarkStart w:id="35" w:name="_Toc195024210"/>
      <w:bookmarkStart w:id="36" w:name="_Toc350870261"/>
      <w:bookmarkEnd w:id="32"/>
      <w:r w:rsidRPr="008C1E5F">
        <w:lastRenderedPageBreak/>
        <w:t>Leadership and Governance</w:t>
      </w:r>
      <w:bookmarkEnd w:id="33"/>
      <w:bookmarkEnd w:id="34"/>
      <w:bookmarkEnd w:id="35"/>
    </w:p>
    <w:p w14:paraId="63244A6E" w14:textId="77777777" w:rsidR="00A7777E" w:rsidRPr="008C1E5F" w:rsidRDefault="00A7777E" w:rsidP="00F4028E">
      <w:pPr>
        <w:pStyle w:val="BodyText"/>
      </w:pPr>
      <w:r w:rsidRPr="008C1E5F">
        <w:t>This section examines the extent to which school committees, district leaders, school leaders, and advisory council members work collaboratively and strategically to promote high-quality teaching and learning that is antiracist, inclusive, multilingual, and multicultural; that values and affirms each student and their families; and that creates equitable opportunities and experiences for all students, particularly those who have been historically underserved. It also focuses on the extent to which districts establish, implement, and evaluate policies, plans, procedures, systems, and budgets with a primary focus on achieving districtwide strategic objectives, in part through equitable and effective use of resources, that ultimately lead to high-quality teaching and learning for all students.</w:t>
      </w:r>
    </w:p>
    <w:p w14:paraId="6CCEFE2D" w14:textId="12567FAA" w:rsidR="00B72349" w:rsidRPr="008C1E5F" w:rsidRDefault="00944D9E" w:rsidP="00F4028E">
      <w:pPr>
        <w:pStyle w:val="BodyText"/>
        <w:rPr>
          <w:rFonts w:ascii="Franklin Gothic Demi" w:hAnsi="Franklin Gothic Demi"/>
        </w:rPr>
      </w:pPr>
      <w:r w:rsidRPr="008C1E5F">
        <w:t xml:space="preserve">Table </w:t>
      </w:r>
      <w:r w:rsidR="000F34B4" w:rsidRPr="008C1E5F">
        <w:t xml:space="preserve">2 </w:t>
      </w:r>
      <w:r w:rsidRPr="008C1E5F">
        <w:t>summarizes key strengths and areas for growth in leadership and governance</w:t>
      </w:r>
      <w:r w:rsidR="48CC6FA7" w:rsidRPr="008C1E5F">
        <w:t xml:space="preserve"> in Fall River</w:t>
      </w:r>
      <w:r w:rsidRPr="008C1E5F">
        <w:t>.</w:t>
      </w:r>
    </w:p>
    <w:p w14:paraId="5317D7CB" w14:textId="084955CD" w:rsidR="003D6ECF" w:rsidRPr="008C1E5F" w:rsidRDefault="003D6ECF" w:rsidP="00946862">
      <w:pPr>
        <w:pStyle w:val="TableTitle0"/>
      </w:pPr>
      <w:r w:rsidRPr="008C1E5F">
        <w:t xml:space="preserve">Table </w:t>
      </w:r>
      <w:r w:rsidR="00BD049B" w:rsidRPr="008C1E5F">
        <w:t>2</w:t>
      </w:r>
      <w:r w:rsidRPr="008C1E5F">
        <w:t xml:space="preserve">. Summary of </w:t>
      </w:r>
      <w:r w:rsidR="00944D9E" w:rsidRPr="008C1E5F">
        <w:t xml:space="preserve">Key Strengths </w:t>
      </w:r>
      <w:r w:rsidRPr="008C1E5F">
        <w:t xml:space="preserve">and </w:t>
      </w:r>
      <w:r w:rsidR="00944D9E" w:rsidRPr="008C1E5F">
        <w:t xml:space="preserve">Areas </w:t>
      </w:r>
      <w:r w:rsidRPr="008C1E5F">
        <w:t xml:space="preserve">for </w:t>
      </w:r>
      <w:r w:rsidR="00944D9E" w:rsidRPr="008C1E5F">
        <w:t>Growth:</w:t>
      </w:r>
      <w:r w:rsidRPr="008C1E5F">
        <w:t xml:space="preserve"> Leadership and Governance</w:t>
      </w:r>
      <w:r w:rsidR="00C0766E" w:rsidRPr="008C1E5F">
        <w:t xml:space="preserve"> Standard</w:t>
      </w:r>
    </w:p>
    <w:tbl>
      <w:tblPr>
        <w:tblStyle w:val="MSVTable1"/>
        <w:tblW w:w="5000" w:type="pct"/>
        <w:tblLayout w:type="fixed"/>
        <w:tblLook w:val="04A0" w:firstRow="1" w:lastRow="0" w:firstColumn="1" w:lastColumn="0" w:noHBand="0" w:noVBand="1"/>
      </w:tblPr>
      <w:tblGrid>
        <w:gridCol w:w="1702"/>
        <w:gridCol w:w="4079"/>
        <w:gridCol w:w="3563"/>
      </w:tblGrid>
      <w:tr w:rsidR="003D6ECF" w:rsidRPr="008C1E5F" w14:paraId="1BA64263" w14:textId="77777777" w:rsidTr="00D4039C">
        <w:trPr>
          <w:cnfStyle w:val="100000000000" w:firstRow="1" w:lastRow="0" w:firstColumn="0" w:lastColumn="0" w:oddVBand="0" w:evenVBand="0" w:oddHBand="0" w:evenHBand="0" w:firstRowFirstColumn="0" w:firstRowLastColumn="0" w:lastRowFirstColumn="0" w:lastRowLastColumn="0"/>
          <w:tblHeader/>
        </w:trPr>
        <w:tc>
          <w:tcPr>
            <w:tcW w:w="1702" w:type="dxa"/>
          </w:tcPr>
          <w:p w14:paraId="54BE6202" w14:textId="77777777" w:rsidR="003D6ECF" w:rsidRPr="008C1E5F" w:rsidRDefault="003D6ECF" w:rsidP="00473308">
            <w:pPr>
              <w:pStyle w:val="TableColHeadingCenter"/>
            </w:pPr>
            <w:r w:rsidRPr="008C1E5F">
              <w:t>Indicator</w:t>
            </w:r>
          </w:p>
        </w:tc>
        <w:tc>
          <w:tcPr>
            <w:tcW w:w="4079" w:type="dxa"/>
          </w:tcPr>
          <w:p w14:paraId="26C2C9B5" w14:textId="77777777" w:rsidR="003D6ECF" w:rsidRPr="008C1E5F" w:rsidRDefault="003D6ECF" w:rsidP="00473308">
            <w:pPr>
              <w:pStyle w:val="TableColHeadingCenter"/>
            </w:pPr>
            <w:r w:rsidRPr="008C1E5F">
              <w:t>Strengths</w:t>
            </w:r>
          </w:p>
        </w:tc>
        <w:tc>
          <w:tcPr>
            <w:tcW w:w="3563" w:type="dxa"/>
          </w:tcPr>
          <w:p w14:paraId="19C0FC93" w14:textId="398D47A8" w:rsidR="003D6ECF" w:rsidRPr="008C1E5F" w:rsidRDefault="003D6ECF" w:rsidP="00473308">
            <w:pPr>
              <w:pStyle w:val="TableColHeadingCenter"/>
            </w:pPr>
            <w:r w:rsidRPr="008C1E5F">
              <w:t xml:space="preserve">Areas for </w:t>
            </w:r>
            <w:r w:rsidR="00944D9E" w:rsidRPr="008C1E5F">
              <w:t>growth</w:t>
            </w:r>
          </w:p>
        </w:tc>
      </w:tr>
      <w:tr w:rsidR="003D6ECF" w:rsidRPr="008C1E5F" w14:paraId="684F20FE" w14:textId="77777777" w:rsidTr="00D4039C">
        <w:trPr>
          <w:cnfStyle w:val="000000100000" w:firstRow="0" w:lastRow="0" w:firstColumn="0" w:lastColumn="0" w:oddVBand="0" w:evenVBand="0" w:oddHBand="1" w:evenHBand="0" w:firstRowFirstColumn="0" w:firstRowLastColumn="0" w:lastRowFirstColumn="0" w:lastRowLastColumn="0"/>
        </w:trPr>
        <w:tc>
          <w:tcPr>
            <w:tcW w:w="1702" w:type="dxa"/>
          </w:tcPr>
          <w:p w14:paraId="544D7F2B" w14:textId="07A7E7DB" w:rsidR="003D6ECF" w:rsidRPr="008C1E5F" w:rsidRDefault="00895032" w:rsidP="00473308">
            <w:pPr>
              <w:pStyle w:val="TableSubheading"/>
            </w:pPr>
            <w:hyperlink w:anchor="_School_Committee_Governance" w:history="1">
              <w:r w:rsidRPr="008C1E5F">
                <w:rPr>
                  <w:rStyle w:val="Hyperlink"/>
                </w:rPr>
                <w:t>Lead</w:t>
              </w:r>
              <w:bookmarkStart w:id="37" w:name="_Hlt191539932"/>
              <w:r w:rsidRPr="008C1E5F">
                <w:rPr>
                  <w:rStyle w:val="Hyperlink"/>
                </w:rPr>
                <w:t>e</w:t>
              </w:r>
              <w:bookmarkEnd w:id="37"/>
              <w:r w:rsidRPr="008C1E5F">
                <w:rPr>
                  <w:rStyle w:val="Hyperlink"/>
                </w:rPr>
                <w:t>rship and Governi</w:t>
              </w:r>
              <w:bookmarkStart w:id="38" w:name="_Hlt191539930"/>
              <w:r w:rsidRPr="008C1E5F">
                <w:rPr>
                  <w:rStyle w:val="Hyperlink"/>
                </w:rPr>
                <w:t>n</w:t>
              </w:r>
              <w:bookmarkEnd w:id="38"/>
              <w:r w:rsidRPr="008C1E5F">
                <w:rPr>
                  <w:rStyle w:val="Hyperlink"/>
                </w:rPr>
                <w:t>g Structures</w:t>
              </w:r>
            </w:hyperlink>
          </w:p>
        </w:tc>
        <w:tc>
          <w:tcPr>
            <w:tcW w:w="4079" w:type="dxa"/>
          </w:tcPr>
          <w:p w14:paraId="795C99D3" w14:textId="1A988F0F" w:rsidR="003D6ECF" w:rsidRPr="008C1E5F" w:rsidRDefault="00640022" w:rsidP="007D69BA">
            <w:pPr>
              <w:pStyle w:val="TableBullet1"/>
            </w:pPr>
            <w:r w:rsidRPr="008C1E5F">
              <w:t>The district’s shared, distributed leadership structures are effective.</w:t>
            </w:r>
          </w:p>
        </w:tc>
        <w:tc>
          <w:tcPr>
            <w:tcW w:w="3563" w:type="dxa"/>
          </w:tcPr>
          <w:p w14:paraId="33370938" w14:textId="616985F4" w:rsidR="00772668" w:rsidRPr="008C1E5F" w:rsidRDefault="00772668" w:rsidP="00D60333">
            <w:pPr>
              <w:pStyle w:val="TableBullet1"/>
            </w:pPr>
            <w:r w:rsidRPr="008C1E5F">
              <w:rPr>
                <w:rFonts w:eastAsia="Aptos" w:cs="Aptos"/>
                <w:color w:val="242424"/>
              </w:rPr>
              <w:t>Posting school committee notes on the district’s website in a timely manner</w:t>
            </w:r>
          </w:p>
          <w:p w14:paraId="0048425E" w14:textId="4282A1AB" w:rsidR="003D6ECF" w:rsidRPr="008C1E5F" w:rsidRDefault="00F604DE" w:rsidP="00D60333">
            <w:pPr>
              <w:pStyle w:val="TableBullet1"/>
            </w:pPr>
            <w:r>
              <w:rPr>
                <w:rFonts w:eastAsia="Aptos" w:cs="Aptos"/>
                <w:color w:val="242424"/>
              </w:rPr>
              <w:t>Building r</w:t>
            </w:r>
            <w:r w:rsidR="00CA028B">
              <w:rPr>
                <w:rFonts w:eastAsia="Aptos" w:cs="Aptos"/>
                <w:color w:val="242424"/>
              </w:rPr>
              <w:t>apport</w:t>
            </w:r>
            <w:r w:rsidR="00663327" w:rsidRPr="008C1E5F">
              <w:rPr>
                <w:rFonts w:eastAsia="Aptos" w:cs="Aptos"/>
                <w:color w:val="242424"/>
              </w:rPr>
              <w:t xml:space="preserve"> </w:t>
            </w:r>
            <w:r w:rsidR="006F128D" w:rsidRPr="008C1E5F">
              <w:t>between district leaders and s</w:t>
            </w:r>
            <w:r w:rsidR="00030B72" w:rsidRPr="008C1E5F">
              <w:t xml:space="preserve">chool committee </w:t>
            </w:r>
            <w:r w:rsidR="00A73088" w:rsidRPr="008C1E5F">
              <w:t>members</w:t>
            </w:r>
          </w:p>
          <w:p w14:paraId="36F50195" w14:textId="5CDB38AD" w:rsidR="00A57586" w:rsidRDefault="00FB2B21" w:rsidP="00772668">
            <w:pPr>
              <w:pStyle w:val="TableBullet1"/>
            </w:pPr>
            <w:r>
              <w:t xml:space="preserve">Improving working relationships between the </w:t>
            </w:r>
            <w:r w:rsidR="00AB1ED0">
              <w:t xml:space="preserve">teachers’ </w:t>
            </w:r>
            <w:r>
              <w:t xml:space="preserve">association and school committee </w:t>
            </w:r>
          </w:p>
          <w:p w14:paraId="7086393F" w14:textId="77BF1262" w:rsidR="009227FE" w:rsidRPr="008C1E5F" w:rsidRDefault="009227FE" w:rsidP="00772668">
            <w:pPr>
              <w:pStyle w:val="TableBullet1"/>
            </w:pPr>
            <w:r w:rsidRPr="008C1E5F">
              <w:t xml:space="preserve">Having </w:t>
            </w:r>
            <w:r w:rsidR="00E91D7D">
              <w:t>active</w:t>
            </w:r>
            <w:r w:rsidR="00C74E9D" w:rsidRPr="008C1E5F">
              <w:t xml:space="preserve"> school councils</w:t>
            </w:r>
            <w:r w:rsidRPr="008C1E5F">
              <w:t xml:space="preserve"> at all schools</w:t>
            </w:r>
            <w:r w:rsidR="00D15927">
              <w:t xml:space="preserve"> that are involved in school policy decisions</w:t>
            </w:r>
          </w:p>
        </w:tc>
      </w:tr>
      <w:tr w:rsidR="003D6ECF" w:rsidRPr="008C1E5F" w14:paraId="14B42E08" w14:textId="77777777" w:rsidTr="00D4039C">
        <w:tc>
          <w:tcPr>
            <w:tcW w:w="1702" w:type="dxa"/>
          </w:tcPr>
          <w:p w14:paraId="3EB19AE6" w14:textId="0ED240AF" w:rsidR="003D6ECF" w:rsidRPr="008C1E5F" w:rsidRDefault="00F95311" w:rsidP="00473308">
            <w:pPr>
              <w:pStyle w:val="TableSubheading"/>
            </w:pPr>
            <w:hyperlink w:anchor="_Strategic_Planning,_Implementation," w:history="1">
              <w:r w:rsidRPr="008C1E5F">
                <w:rPr>
                  <w:rStyle w:val="Hyperlink"/>
                </w:rPr>
                <w:t>Strategic Planning, Impleme</w:t>
              </w:r>
              <w:bookmarkStart w:id="39" w:name="_Hlt191539934"/>
              <w:r w:rsidRPr="008C1E5F">
                <w:rPr>
                  <w:rStyle w:val="Hyperlink"/>
                </w:rPr>
                <w:t>n</w:t>
              </w:r>
              <w:bookmarkEnd w:id="39"/>
              <w:r w:rsidRPr="008C1E5F">
                <w:rPr>
                  <w:rStyle w:val="Hyperlink"/>
                </w:rPr>
                <w:t>tation, and Monitoring</w:t>
              </w:r>
            </w:hyperlink>
          </w:p>
        </w:tc>
        <w:tc>
          <w:tcPr>
            <w:tcW w:w="4079" w:type="dxa"/>
          </w:tcPr>
          <w:p w14:paraId="61327349" w14:textId="7EDFBF59" w:rsidR="003D6ECF" w:rsidRPr="008C1E5F" w:rsidRDefault="000C09EB" w:rsidP="007D69BA">
            <w:pPr>
              <w:pStyle w:val="TableBullet1"/>
            </w:pPr>
            <w:r w:rsidRPr="008C1E5F">
              <w:t>All schools have current improvement plans that are updated annually</w:t>
            </w:r>
            <w:r w:rsidR="00370643" w:rsidRPr="008C1E5F">
              <w:t xml:space="preserve"> and include</w:t>
            </w:r>
            <w:r w:rsidRPr="008C1E5F">
              <w:t xml:space="preserve"> family input from school councils</w:t>
            </w:r>
            <w:r w:rsidR="00D46F82" w:rsidRPr="008C1E5F">
              <w:t>.</w:t>
            </w:r>
          </w:p>
          <w:p w14:paraId="3C710E27" w14:textId="68BCB8A2" w:rsidR="000C09EB" w:rsidRPr="008C1E5F" w:rsidRDefault="00D85E79" w:rsidP="007D69BA">
            <w:pPr>
              <w:pStyle w:val="TableBullet1"/>
            </w:pPr>
            <w:r w:rsidRPr="008C1E5F">
              <w:t xml:space="preserve">The district </w:t>
            </w:r>
            <w:r w:rsidR="00C565BE" w:rsidRPr="008C1E5F">
              <w:t>actively</w:t>
            </w:r>
            <w:r w:rsidRPr="008C1E5F">
              <w:t xml:space="preserve"> </w:t>
            </w:r>
            <w:r w:rsidR="00F8739F" w:rsidRPr="008C1E5F">
              <w:t xml:space="preserve">partners with school leaders to </w:t>
            </w:r>
            <w:r w:rsidR="000C09EB" w:rsidRPr="008C1E5F">
              <w:t>monitor</w:t>
            </w:r>
            <w:r w:rsidRPr="008C1E5F">
              <w:t xml:space="preserve"> progress </w:t>
            </w:r>
            <w:r w:rsidR="001C1CA2" w:rsidRPr="008C1E5F">
              <w:t>via</w:t>
            </w:r>
            <w:r w:rsidR="000C09EB" w:rsidRPr="008C1E5F">
              <w:t xml:space="preserve"> short-term goals</w:t>
            </w:r>
            <w:r w:rsidRPr="008C1E5F">
              <w:t xml:space="preserve"> aligned to</w:t>
            </w:r>
            <w:r w:rsidR="00E368B7" w:rsidRPr="008C1E5F">
              <w:t xml:space="preserve"> their </w:t>
            </w:r>
            <w:r w:rsidR="00221DFD" w:rsidRPr="008C1E5F">
              <w:t xml:space="preserve">school </w:t>
            </w:r>
            <w:r w:rsidR="006F3094" w:rsidRPr="008C1E5F">
              <w:t>improvement plans</w:t>
            </w:r>
            <w:r w:rsidR="00D46F82" w:rsidRPr="008C1E5F">
              <w:t>.</w:t>
            </w:r>
          </w:p>
        </w:tc>
        <w:tc>
          <w:tcPr>
            <w:tcW w:w="3563" w:type="dxa"/>
          </w:tcPr>
          <w:p w14:paraId="5838C396" w14:textId="185E75FC" w:rsidR="003D6ECF" w:rsidRPr="008C1E5F" w:rsidRDefault="00E244FF" w:rsidP="00E244FF">
            <w:pPr>
              <w:pStyle w:val="TableBullet1"/>
            </w:pPr>
            <w:r w:rsidRPr="008C1E5F">
              <w:t xml:space="preserve">Developing a district strategic plan </w:t>
            </w:r>
          </w:p>
        </w:tc>
      </w:tr>
      <w:tr w:rsidR="003D6ECF" w:rsidRPr="008C1E5F" w14:paraId="22B4591C" w14:textId="77777777" w:rsidTr="00D4039C">
        <w:trPr>
          <w:cnfStyle w:val="000000100000" w:firstRow="0" w:lastRow="0" w:firstColumn="0" w:lastColumn="0" w:oddVBand="0" w:evenVBand="0" w:oddHBand="1" w:evenHBand="0" w:firstRowFirstColumn="0" w:firstRowLastColumn="0" w:lastRowFirstColumn="0" w:lastRowLastColumn="0"/>
        </w:trPr>
        <w:tc>
          <w:tcPr>
            <w:tcW w:w="1702" w:type="dxa"/>
          </w:tcPr>
          <w:p w14:paraId="5F56A8E5" w14:textId="54D87C5A" w:rsidR="003D6ECF" w:rsidRPr="008C1E5F" w:rsidRDefault="003D6ECF" w:rsidP="00473308">
            <w:pPr>
              <w:pStyle w:val="TableSubheading"/>
            </w:pPr>
            <w:hyperlink w:anchor="_District_Culture_1" w:history="1">
              <w:r w:rsidRPr="008C1E5F">
                <w:rPr>
                  <w:rStyle w:val="Hyperlink"/>
                </w:rPr>
                <w:t xml:space="preserve">District </w:t>
              </w:r>
              <w:r w:rsidR="00F95311" w:rsidRPr="008C1E5F">
                <w:rPr>
                  <w:rStyle w:val="Hyperlink"/>
                </w:rPr>
                <w:t>Cul</w:t>
              </w:r>
              <w:bookmarkStart w:id="40" w:name="_Hlt191539940"/>
              <w:r w:rsidR="00F95311" w:rsidRPr="008C1E5F">
                <w:rPr>
                  <w:rStyle w:val="Hyperlink"/>
                </w:rPr>
                <w:t>t</w:t>
              </w:r>
              <w:bookmarkEnd w:id="40"/>
              <w:r w:rsidR="00F95311" w:rsidRPr="008C1E5F">
                <w:rPr>
                  <w:rStyle w:val="Hyperlink"/>
                </w:rPr>
                <w:t>ure</w:t>
              </w:r>
            </w:hyperlink>
          </w:p>
        </w:tc>
        <w:tc>
          <w:tcPr>
            <w:tcW w:w="4079" w:type="dxa"/>
          </w:tcPr>
          <w:p w14:paraId="71629D95" w14:textId="4CF65039" w:rsidR="0000691E" w:rsidRPr="008C1E5F" w:rsidRDefault="0000691E" w:rsidP="0000691E">
            <w:pPr>
              <w:pStyle w:val="TableBullet1"/>
            </w:pPr>
            <w:r w:rsidRPr="008C1E5F">
              <w:t xml:space="preserve">Together, district leaders </w:t>
            </w:r>
            <w:r w:rsidR="003A5A76" w:rsidRPr="008C1E5F">
              <w:t>a</w:t>
            </w:r>
            <w:r w:rsidRPr="008C1E5F">
              <w:t>nd school leaders collaborate to support students and improve outcomes.</w:t>
            </w:r>
          </w:p>
          <w:p w14:paraId="2956C390" w14:textId="4CA587D3" w:rsidR="003D6ECF" w:rsidRPr="008C1E5F" w:rsidRDefault="003D6ECF" w:rsidP="00B64144">
            <w:pPr>
              <w:pStyle w:val="TableBullet1"/>
              <w:numPr>
                <w:ilvl w:val="0"/>
                <w:numId w:val="0"/>
              </w:numPr>
              <w:ind w:left="360"/>
            </w:pPr>
          </w:p>
        </w:tc>
        <w:tc>
          <w:tcPr>
            <w:tcW w:w="3563" w:type="dxa"/>
          </w:tcPr>
          <w:p w14:paraId="1D74E98D" w14:textId="6530E054" w:rsidR="00B64144" w:rsidRPr="008C1E5F" w:rsidRDefault="00B64144" w:rsidP="007D69BA">
            <w:pPr>
              <w:pStyle w:val="TableBullet1"/>
            </w:pPr>
            <w:r w:rsidRPr="008C1E5F">
              <w:t>Establishing strategies for recruiting, onboarding, and retaining district leaders</w:t>
            </w:r>
          </w:p>
          <w:p w14:paraId="0F21E755" w14:textId="216560EC" w:rsidR="003D6ECF" w:rsidRPr="008C1E5F" w:rsidRDefault="003A5A76" w:rsidP="007D69BA">
            <w:pPr>
              <w:pStyle w:val="TableBullet1"/>
            </w:pPr>
            <w:r w:rsidRPr="008C1E5F">
              <w:t xml:space="preserve">Involving </w:t>
            </w:r>
            <w:r w:rsidR="00231040">
              <w:t>families</w:t>
            </w:r>
            <w:r w:rsidRPr="008C1E5F">
              <w:t xml:space="preserve"> in shared decision</w:t>
            </w:r>
            <w:r w:rsidR="00887EA8" w:rsidRPr="008C1E5F">
              <w:t xml:space="preserve"> </w:t>
            </w:r>
            <w:r w:rsidRPr="008C1E5F">
              <w:t>making</w:t>
            </w:r>
          </w:p>
        </w:tc>
      </w:tr>
    </w:tbl>
    <w:p w14:paraId="47244709" w14:textId="2F8C3EBE" w:rsidR="003D6ECF" w:rsidRPr="008C1E5F" w:rsidRDefault="00895032" w:rsidP="003D6ECF">
      <w:pPr>
        <w:pStyle w:val="Heading3"/>
      </w:pPr>
      <w:bookmarkStart w:id="41" w:name="_School_Committee_Governance"/>
      <w:bookmarkStart w:id="42" w:name="_Leadership_and_Governing"/>
      <w:bookmarkStart w:id="43" w:name="_Toc195024211"/>
      <w:bookmarkEnd w:id="41"/>
      <w:bookmarkEnd w:id="42"/>
      <w:r w:rsidRPr="008C1E5F">
        <w:t>Leadership and Gov</w:t>
      </w:r>
      <w:r w:rsidR="003D6ECF" w:rsidRPr="008C1E5F">
        <w:t>e</w:t>
      </w:r>
      <w:r w:rsidRPr="008C1E5F">
        <w:t>rning Structures</w:t>
      </w:r>
      <w:bookmarkEnd w:id="43"/>
    </w:p>
    <w:p w14:paraId="2C5DE954" w14:textId="40A5F342" w:rsidR="00C05038" w:rsidRPr="008C1E5F" w:rsidRDefault="00E41E97" w:rsidP="00F4028E">
      <w:pPr>
        <w:pStyle w:val="BodyTextposthead"/>
      </w:pPr>
      <w:r w:rsidRPr="008C1E5F">
        <w:t xml:space="preserve">Fall River </w:t>
      </w:r>
      <w:r w:rsidR="00D446CF" w:rsidRPr="008C1E5F">
        <w:t>ha</w:t>
      </w:r>
      <w:r w:rsidR="009F085F" w:rsidRPr="008C1E5F">
        <w:t xml:space="preserve">s various leadership and governance structures in place that </w:t>
      </w:r>
      <w:r w:rsidR="009E5382">
        <w:t>support</w:t>
      </w:r>
      <w:r w:rsidR="009F085F" w:rsidRPr="008C1E5F">
        <w:t xml:space="preserve"> district operations. </w:t>
      </w:r>
      <w:r w:rsidR="00C84890" w:rsidRPr="008C1E5F">
        <w:t xml:space="preserve">At the highest level, </w:t>
      </w:r>
      <w:r w:rsidR="001316C4" w:rsidRPr="008C1E5F">
        <w:t xml:space="preserve">Fall River is led by </w:t>
      </w:r>
      <w:r w:rsidR="006C4A6B" w:rsidRPr="008C1E5F">
        <w:t xml:space="preserve">the </w:t>
      </w:r>
      <w:r w:rsidR="00A27D80" w:rsidRPr="008C1E5F">
        <w:t>s</w:t>
      </w:r>
      <w:r w:rsidR="006C4A6B" w:rsidRPr="008C1E5F">
        <w:t xml:space="preserve">uperintendent of </w:t>
      </w:r>
      <w:r w:rsidR="00A27D80" w:rsidRPr="008C1E5F">
        <w:t>s</w:t>
      </w:r>
      <w:r w:rsidR="006C4A6B" w:rsidRPr="008C1E5F">
        <w:t xml:space="preserve">chools, </w:t>
      </w:r>
      <w:r w:rsidR="00A81BC9">
        <w:t xml:space="preserve">three </w:t>
      </w:r>
      <w:r w:rsidR="00A27D80" w:rsidRPr="008C1E5F">
        <w:t>a</w:t>
      </w:r>
      <w:r w:rsidR="006C4A6B" w:rsidRPr="008C1E5F">
        <w:t xml:space="preserve">ssistant </w:t>
      </w:r>
      <w:r w:rsidR="00A27D80" w:rsidRPr="008C1E5F">
        <w:t>s</w:t>
      </w:r>
      <w:r w:rsidR="006C4A6B" w:rsidRPr="008C1E5F">
        <w:t>uperintendent</w:t>
      </w:r>
      <w:r w:rsidR="00A81BC9">
        <w:t>s</w:t>
      </w:r>
      <w:r w:rsidR="001802D1">
        <w:t xml:space="preserve"> (including the </w:t>
      </w:r>
      <w:r w:rsidR="00A27D80" w:rsidRPr="008C1E5F">
        <w:t>c</w:t>
      </w:r>
      <w:r w:rsidR="006C4A6B" w:rsidRPr="008C1E5F">
        <w:t xml:space="preserve">hief </w:t>
      </w:r>
      <w:r w:rsidR="00A27D80" w:rsidRPr="008C1E5F">
        <w:t>a</w:t>
      </w:r>
      <w:r w:rsidR="006C4A6B" w:rsidRPr="008C1E5F">
        <w:t xml:space="preserve">cademic </w:t>
      </w:r>
      <w:r w:rsidR="00A27D80" w:rsidRPr="008C1E5F">
        <w:t>o</w:t>
      </w:r>
      <w:r w:rsidR="006C4A6B" w:rsidRPr="008C1E5F">
        <w:t>fficer</w:t>
      </w:r>
      <w:r w:rsidR="001802D1">
        <w:t xml:space="preserve">, the assistant superintendent of student </w:t>
      </w:r>
      <w:r w:rsidR="001802D1">
        <w:lastRenderedPageBreak/>
        <w:t xml:space="preserve">support and strategic integration, and </w:t>
      </w:r>
      <w:r w:rsidR="006C4A6B" w:rsidRPr="008C1E5F">
        <w:t xml:space="preserve">the </w:t>
      </w:r>
      <w:r w:rsidR="00A72009" w:rsidRPr="008C1E5F">
        <w:t>a</w:t>
      </w:r>
      <w:r w:rsidR="006C4A6B" w:rsidRPr="008C1E5F">
        <w:t xml:space="preserve">ssistant </w:t>
      </w:r>
      <w:r w:rsidR="00A72009" w:rsidRPr="008C1E5F">
        <w:t>s</w:t>
      </w:r>
      <w:r w:rsidR="006C4A6B" w:rsidRPr="008C1E5F">
        <w:t xml:space="preserve">uperintendent of </w:t>
      </w:r>
      <w:r w:rsidR="00A72009" w:rsidRPr="008C1E5F">
        <w:t>s</w:t>
      </w:r>
      <w:r w:rsidR="006C4A6B" w:rsidRPr="008C1E5F">
        <w:t xml:space="preserve">pecial </w:t>
      </w:r>
      <w:r w:rsidR="00A72009" w:rsidRPr="008C1E5F">
        <w:t>e</w:t>
      </w:r>
      <w:r w:rsidR="006C4A6B" w:rsidRPr="008C1E5F">
        <w:t>ducation</w:t>
      </w:r>
      <w:r w:rsidR="001802D1">
        <w:t xml:space="preserve">), </w:t>
      </w:r>
      <w:r w:rsidR="006C4A6B" w:rsidRPr="008C1E5F">
        <w:t>as well as many directors</w:t>
      </w:r>
      <w:r w:rsidR="00EC06AE" w:rsidRPr="008C1E5F">
        <w:t xml:space="preserve"> and department heads</w:t>
      </w:r>
      <w:r w:rsidR="008A636B">
        <w:t xml:space="preserve">, </w:t>
      </w:r>
      <w:r w:rsidR="003A3B59">
        <w:t>such as</w:t>
      </w:r>
      <w:r w:rsidR="008A636B">
        <w:t xml:space="preserve"> the chief </w:t>
      </w:r>
      <w:proofErr w:type="gramStart"/>
      <w:r w:rsidR="008A636B">
        <w:t>financial officer, chief operating</w:t>
      </w:r>
      <w:proofErr w:type="gramEnd"/>
      <w:r w:rsidR="008A636B">
        <w:t xml:space="preserve"> officer, chief information officer, and director of human resources</w:t>
      </w:r>
      <w:r w:rsidR="00EC06AE" w:rsidRPr="008C1E5F">
        <w:t xml:space="preserve">. </w:t>
      </w:r>
      <w:r w:rsidR="00C84890" w:rsidRPr="008C1E5F">
        <w:t xml:space="preserve">In addition to these district-level leadership positions, the district is also guided by </w:t>
      </w:r>
      <w:r w:rsidR="00210473" w:rsidRPr="008C1E5F">
        <w:t>a school committee.</w:t>
      </w:r>
      <w:r w:rsidR="001316C4" w:rsidRPr="008C1E5F">
        <w:t xml:space="preserve"> </w:t>
      </w:r>
      <w:r w:rsidR="00C05038" w:rsidRPr="008C1E5F">
        <w:t>Fall River’s school committee consists of seven core members, including the mayor, who serves as chair of the committee. According to the district’s website</w:t>
      </w:r>
      <w:r w:rsidR="00CB4A0C" w:rsidRPr="008C1E5F">
        <w:t xml:space="preserve"> and school committee members</w:t>
      </w:r>
      <w:r w:rsidR="00C05038" w:rsidRPr="008C1E5F">
        <w:t xml:space="preserve">, </w:t>
      </w:r>
      <w:r w:rsidR="00CB4A0C" w:rsidRPr="008C1E5F">
        <w:t>t</w:t>
      </w:r>
      <w:r w:rsidR="00C05038" w:rsidRPr="008C1E5F">
        <w:t xml:space="preserve">he seven school </w:t>
      </w:r>
      <w:r w:rsidR="00CB4A0C" w:rsidRPr="008C1E5F">
        <w:t>c</w:t>
      </w:r>
      <w:r w:rsidR="00C05038" w:rsidRPr="008C1E5F">
        <w:t xml:space="preserve">ommittee members divide their responsibilities </w:t>
      </w:r>
      <w:r w:rsidR="002C7FFB" w:rsidRPr="008C1E5F">
        <w:t xml:space="preserve">across </w:t>
      </w:r>
      <w:r w:rsidR="00C05038" w:rsidRPr="008C1E5F">
        <w:t>five main subcommittees: the Evaluation and Accelerated Improvement Plan subcommittee</w:t>
      </w:r>
      <w:r w:rsidR="002C7FFB" w:rsidRPr="008C1E5F">
        <w:t>,</w:t>
      </w:r>
      <w:r w:rsidR="00C05038" w:rsidRPr="008C1E5F">
        <w:t xml:space="preserve"> the Finance subcommittee, the Grievances subcommittee, the Instructional and Special Education subcommittee, and the Parent Community Outreach subcommittee</w:t>
      </w:r>
      <w:r w:rsidR="007B4F79">
        <w:t xml:space="preserve">, though according to </w:t>
      </w:r>
      <w:r w:rsidR="00DD2C47">
        <w:t>a district leader</w:t>
      </w:r>
      <w:r w:rsidR="00C82448">
        <w:t>, these descriptions have not been recently updated</w:t>
      </w:r>
      <w:r w:rsidR="00C05038" w:rsidRPr="008C1E5F">
        <w:t>. According to the district website, this Evaluation and Accelerated Improvement Plan subcommittee also liaises with DESE</w:t>
      </w:r>
      <w:r w:rsidR="00692B93" w:rsidRPr="008C1E5F">
        <w:t xml:space="preserve"> “for the purpose of providing evidence to DESE of progress by the Committee </w:t>
      </w:r>
      <w:r w:rsidR="006B4D8B" w:rsidRPr="008C1E5F">
        <w:t>in achieving the mandates of the [</w:t>
      </w:r>
      <w:r w:rsidR="008C21E0" w:rsidRPr="008C1E5F">
        <w:t>Accelerated Improvement] Plan</w:t>
      </w:r>
      <w:r w:rsidR="007B795B" w:rsidRPr="008C1E5F">
        <w:t xml:space="preserve">.” </w:t>
      </w:r>
      <w:r w:rsidR="00C05038" w:rsidRPr="008C1E5F">
        <w:t xml:space="preserve">Another subcommittee of note is the district’s </w:t>
      </w:r>
      <w:r w:rsidR="00887EA8" w:rsidRPr="008C1E5F">
        <w:t>F</w:t>
      </w:r>
      <w:r w:rsidR="00C05038" w:rsidRPr="008C1E5F">
        <w:t>inance subcommittee, which oversees budget preparation and the budget calendar. This subcommittee was also mentioned at length in interviews in terms of the school committee’s large responsibilities surrounding budget preparation, planning, and monitoring</w:t>
      </w:r>
      <w:r w:rsidR="00F0072B" w:rsidRPr="008C1E5F">
        <w:t xml:space="preserve">. </w:t>
      </w:r>
      <w:r w:rsidR="002D637B" w:rsidRPr="008C1E5F">
        <w:t xml:space="preserve">Despite these various subcommittees mentioned in focus groups and on the district’s website, </w:t>
      </w:r>
      <w:r w:rsidR="00E16EB4" w:rsidRPr="008C1E5F">
        <w:t>no</w:t>
      </w:r>
      <w:r w:rsidR="002D637B" w:rsidRPr="008C1E5F">
        <w:t xml:space="preserve"> </w:t>
      </w:r>
      <w:r w:rsidR="00D01E6E" w:rsidRPr="008C1E5F">
        <w:t xml:space="preserve">meeting notes from the larger school committee meetings or any subcommittee meetings are publicly posted on the district’s website. </w:t>
      </w:r>
      <w:r w:rsidR="00631514" w:rsidRPr="008C1E5F">
        <w:t xml:space="preserve">According to guidance </w:t>
      </w:r>
      <w:r w:rsidR="005C730D" w:rsidRPr="008C1E5F">
        <w:t xml:space="preserve">from the state of Massachusetts, </w:t>
      </w:r>
      <w:r w:rsidR="00916DB6" w:rsidRPr="008C1E5F">
        <w:t xml:space="preserve">all public bodies are required to create and approve minutes for all open session meetings within </w:t>
      </w:r>
      <w:r w:rsidR="00893B0B" w:rsidRPr="008C1E5F">
        <w:t>30 days or the next three public body meetings. At the time of this district review, no school committee meeting notes ha</w:t>
      </w:r>
      <w:r w:rsidR="00887EA8" w:rsidRPr="008C1E5F">
        <w:t>d</w:t>
      </w:r>
      <w:r w:rsidR="00893B0B" w:rsidRPr="008C1E5F">
        <w:t xml:space="preserve"> been posted for the </w:t>
      </w:r>
      <w:r w:rsidR="00A24468" w:rsidRPr="008C1E5F">
        <w:t xml:space="preserve">2024-2025 school year. </w:t>
      </w:r>
      <w:r w:rsidR="00F16F50" w:rsidRPr="008C1E5F">
        <w:t xml:space="preserve">Posting school committee notes on the district’s website in a timely manner is an area for growth in the district. </w:t>
      </w:r>
    </w:p>
    <w:p w14:paraId="3B011E02" w14:textId="611A1A30" w:rsidR="00C05038" w:rsidRPr="008C1E5F" w:rsidRDefault="00A462E1" w:rsidP="00F4028E">
      <w:pPr>
        <w:pStyle w:val="BodyText"/>
      </w:pPr>
      <w:r w:rsidRPr="008C1E5F">
        <w:t>Fall River’s school</w:t>
      </w:r>
      <w:r w:rsidR="00C05038" w:rsidRPr="008C1E5F">
        <w:t xml:space="preserve"> committee has a functioning governance structure that </w:t>
      </w:r>
      <w:r w:rsidR="00C17AB8" w:rsidRPr="008C1E5F">
        <w:t xml:space="preserve">works to fulfill </w:t>
      </w:r>
      <w:r w:rsidR="00A0482B">
        <w:t>its</w:t>
      </w:r>
      <w:r w:rsidR="00A0482B" w:rsidRPr="008C1E5F">
        <w:t xml:space="preserve"> </w:t>
      </w:r>
      <w:r w:rsidR="00C17AB8" w:rsidRPr="008C1E5F">
        <w:t xml:space="preserve">responsibilities to evaluate the superintendent, create district policy, and </w:t>
      </w:r>
      <w:r w:rsidR="0043251D" w:rsidRPr="008C1E5F">
        <w:t xml:space="preserve">review and approve the district’s budget. </w:t>
      </w:r>
      <w:r w:rsidRPr="008C1E5F">
        <w:t>In interviews, c</w:t>
      </w:r>
      <w:r w:rsidR="00C05038" w:rsidRPr="008C1E5F">
        <w:t>ommittee members highlighted their responsibilities in overseeing the superintendent’s evaluation, explaining that they were midway through the process of developing and approving the superintendent’s goals for the upcoming year, performing a self-</w:t>
      </w:r>
      <w:r w:rsidR="003B30A1" w:rsidRPr="008C1E5F">
        <w:t>evaluation</w:t>
      </w:r>
      <w:r w:rsidR="00C05038" w:rsidRPr="008C1E5F">
        <w:t xml:space="preserve"> of the school committee, and approving a timeline for the superintendent’s upcoming evaluation. </w:t>
      </w:r>
      <w:r w:rsidR="007C366D" w:rsidRPr="008C1E5F">
        <w:t xml:space="preserve">The timeline for </w:t>
      </w:r>
      <w:r w:rsidR="00782582" w:rsidRPr="008C1E5F">
        <w:t xml:space="preserve">approving the superintendent’s goals and evaluating the superintendent was adjusted </w:t>
      </w:r>
      <w:r w:rsidR="004E72F6" w:rsidRPr="008C1E5F">
        <w:t xml:space="preserve">this year due to </w:t>
      </w:r>
      <w:r w:rsidR="00782582" w:rsidRPr="008C1E5F">
        <w:t xml:space="preserve">the superintendent </w:t>
      </w:r>
      <w:r w:rsidR="005C29E2" w:rsidRPr="008C1E5F">
        <w:t>being</w:t>
      </w:r>
      <w:r w:rsidR="00782582" w:rsidRPr="008C1E5F">
        <w:t xml:space="preserve"> new to </w:t>
      </w:r>
      <w:r w:rsidR="005C29E2" w:rsidRPr="008C1E5F">
        <w:t>the</w:t>
      </w:r>
      <w:r w:rsidR="00782582" w:rsidRPr="008C1E5F">
        <w:t xml:space="preserve"> role as of July </w:t>
      </w:r>
      <w:r w:rsidR="004940DD" w:rsidRPr="008C1E5F">
        <w:t xml:space="preserve">2024. </w:t>
      </w:r>
      <w:r w:rsidR="00F64CAA" w:rsidRPr="008C1E5F">
        <w:t>Moving forward, s</w:t>
      </w:r>
      <w:r w:rsidR="00C05038" w:rsidRPr="008C1E5F">
        <w:t>chool committee members also reported that</w:t>
      </w:r>
      <w:r w:rsidR="00AE0A7D" w:rsidRPr="008C1E5F">
        <w:t xml:space="preserve"> </w:t>
      </w:r>
      <w:r w:rsidR="00C05038" w:rsidRPr="008C1E5F">
        <w:t xml:space="preserve">they “made a motion to add comments to the superintendent’s evaluation tool” for all scoring categories </w:t>
      </w:r>
      <w:r w:rsidR="00CE1B17" w:rsidRPr="008C1E5F">
        <w:t>to allow</w:t>
      </w:r>
      <w:r w:rsidR="00931F16" w:rsidRPr="008C1E5F">
        <w:t xml:space="preserve"> all members </w:t>
      </w:r>
      <w:r w:rsidR="00C05038" w:rsidRPr="008C1E5F">
        <w:t xml:space="preserve">to explain their scoring decisions. </w:t>
      </w:r>
      <w:r w:rsidR="000346E6" w:rsidRPr="008C1E5F">
        <w:t xml:space="preserve">This comments section </w:t>
      </w:r>
      <w:r w:rsidR="00CE1B17" w:rsidRPr="008C1E5F">
        <w:t>will</w:t>
      </w:r>
      <w:r w:rsidR="000346E6" w:rsidRPr="008C1E5F">
        <w:t xml:space="preserve"> be a new addition to the superintendent's evaluation rubric</w:t>
      </w:r>
      <w:r w:rsidR="00CE1B17" w:rsidRPr="008C1E5F">
        <w:t xml:space="preserve"> for the 2024-</w:t>
      </w:r>
      <w:r w:rsidR="00216BD3" w:rsidRPr="008C1E5F">
        <w:t>20</w:t>
      </w:r>
      <w:r w:rsidR="00CE1B17" w:rsidRPr="008C1E5F">
        <w:t xml:space="preserve">25 school year. </w:t>
      </w:r>
    </w:p>
    <w:p w14:paraId="4DE0265D" w14:textId="617D43AE" w:rsidR="008D6F10" w:rsidRPr="008C1E5F" w:rsidRDefault="002E0A83" w:rsidP="00F4028E">
      <w:pPr>
        <w:pStyle w:val="BodyText"/>
      </w:pPr>
      <w:r w:rsidRPr="008C1E5F">
        <w:t xml:space="preserve">According to </w:t>
      </w:r>
      <w:r w:rsidR="00065C81">
        <w:t xml:space="preserve">focus groups, working relationships between </w:t>
      </w:r>
      <w:r w:rsidRPr="008C1E5F">
        <w:t>district leaders and school committee members</w:t>
      </w:r>
      <w:r w:rsidR="00C05038" w:rsidRPr="008C1E5F">
        <w:t xml:space="preserve"> </w:t>
      </w:r>
      <w:r w:rsidRPr="008C1E5F">
        <w:t xml:space="preserve">are still </w:t>
      </w:r>
      <w:r w:rsidR="00570492" w:rsidRPr="008C1E5F">
        <w:t>in early stages</w:t>
      </w:r>
      <w:r w:rsidR="00011935" w:rsidRPr="008C1E5F">
        <w:t xml:space="preserve"> and are sometimes tense</w:t>
      </w:r>
      <w:r w:rsidR="00C05038" w:rsidRPr="008C1E5F">
        <w:t xml:space="preserve">. </w:t>
      </w:r>
      <w:r w:rsidR="000B0798" w:rsidRPr="008C1E5F">
        <w:t>As mentioned above, t</w:t>
      </w:r>
      <w:r w:rsidR="00E9034F" w:rsidRPr="008C1E5F">
        <w:t xml:space="preserve">he superintendent </w:t>
      </w:r>
      <w:r w:rsidR="00D153AD" w:rsidRPr="008C1E5F">
        <w:t xml:space="preserve">is new to her role and began leading the district in July </w:t>
      </w:r>
      <w:r w:rsidR="009E4020" w:rsidRPr="008C1E5F">
        <w:t>2024</w:t>
      </w:r>
      <w:r w:rsidR="003E6AC0" w:rsidRPr="008C1E5F">
        <w:t xml:space="preserve"> and</w:t>
      </w:r>
      <w:r w:rsidR="009E4020" w:rsidRPr="008C1E5F">
        <w:t>,</w:t>
      </w:r>
      <w:r w:rsidR="003E6AC0" w:rsidRPr="008C1E5F">
        <w:t xml:space="preserve"> as such, a formal evaluation has not yet been completed</w:t>
      </w:r>
      <w:r w:rsidR="00D153AD" w:rsidRPr="008C1E5F">
        <w:t xml:space="preserve">. </w:t>
      </w:r>
      <w:r w:rsidR="000B0798" w:rsidRPr="008C1E5F">
        <w:t>According to interviews,</w:t>
      </w:r>
      <w:r w:rsidR="00B23A2B" w:rsidRPr="008C1E5F">
        <w:t xml:space="preserve"> the superintendent is still </w:t>
      </w:r>
      <w:r w:rsidR="000B0798" w:rsidRPr="008C1E5F">
        <w:t xml:space="preserve">working through her formal entry plan into the district and </w:t>
      </w:r>
      <w:r w:rsidR="00B23A2B" w:rsidRPr="008C1E5F">
        <w:t>trying to “build a little bit more of a network and relationships with the school committee.”</w:t>
      </w:r>
      <w:r w:rsidR="00E14165" w:rsidRPr="008C1E5F">
        <w:t xml:space="preserve"> However, district leaders </w:t>
      </w:r>
      <w:r w:rsidR="000B0798" w:rsidRPr="008C1E5F">
        <w:t>also reported</w:t>
      </w:r>
      <w:r w:rsidR="00E14165" w:rsidRPr="008C1E5F">
        <w:t xml:space="preserve"> that the current superintendent faced opposition from </w:t>
      </w:r>
      <w:r w:rsidR="009F1BA4" w:rsidRPr="008C1E5F">
        <w:t>several members of the school committee upon her</w:t>
      </w:r>
      <w:r w:rsidR="00286AD0" w:rsidRPr="008C1E5F">
        <w:t xml:space="preserve"> promotion to superintendent from her previous role as </w:t>
      </w:r>
      <w:r w:rsidR="00200905" w:rsidRPr="008C1E5F">
        <w:t>a</w:t>
      </w:r>
      <w:r w:rsidR="00286AD0" w:rsidRPr="008C1E5F">
        <w:t xml:space="preserve">ssistant </w:t>
      </w:r>
      <w:r w:rsidR="00200905" w:rsidRPr="008C1E5F">
        <w:t>s</w:t>
      </w:r>
      <w:r w:rsidR="00286AD0" w:rsidRPr="008C1E5F">
        <w:t xml:space="preserve">uperintendent and </w:t>
      </w:r>
      <w:r w:rsidR="00200905" w:rsidRPr="008C1E5F">
        <w:t>c</w:t>
      </w:r>
      <w:r w:rsidR="00286AD0" w:rsidRPr="008C1E5F">
        <w:t xml:space="preserve">hief </w:t>
      </w:r>
      <w:r w:rsidR="00200905" w:rsidRPr="008C1E5F">
        <w:t>a</w:t>
      </w:r>
      <w:r w:rsidR="00286AD0" w:rsidRPr="008C1E5F">
        <w:t xml:space="preserve">cademic </w:t>
      </w:r>
      <w:r w:rsidR="00200905" w:rsidRPr="008C1E5F">
        <w:t>o</w:t>
      </w:r>
      <w:r w:rsidR="00286AD0" w:rsidRPr="008C1E5F">
        <w:t xml:space="preserve">fficer. </w:t>
      </w:r>
      <w:r w:rsidR="00902105" w:rsidRPr="008C1E5F">
        <w:lastRenderedPageBreak/>
        <w:t xml:space="preserve">Currently, </w:t>
      </w:r>
      <w:r w:rsidR="00F43CA5" w:rsidRPr="008C1E5F">
        <w:t>there are still reported tensions between the school committee and the district superintendent</w:t>
      </w:r>
      <w:r w:rsidR="009E4020" w:rsidRPr="008C1E5F">
        <w:t>,</w:t>
      </w:r>
      <w:r w:rsidR="00F43CA5" w:rsidRPr="008C1E5F">
        <w:t xml:space="preserve"> and </w:t>
      </w:r>
      <w:r w:rsidR="00902105" w:rsidRPr="008C1E5F">
        <w:t>both agreed that there was</w:t>
      </w:r>
      <w:r w:rsidR="00FC33D5" w:rsidRPr="008C1E5F">
        <w:t xml:space="preserve"> occasionally</w:t>
      </w:r>
      <w:r w:rsidR="00902105" w:rsidRPr="008C1E5F">
        <w:t xml:space="preserve"> “strain” in the relationship</w:t>
      </w:r>
      <w:r w:rsidR="00CE0F0F" w:rsidRPr="008C1E5F">
        <w:t xml:space="preserve"> </w:t>
      </w:r>
      <w:r w:rsidR="00FC33D5" w:rsidRPr="008C1E5F">
        <w:t xml:space="preserve">regarding </w:t>
      </w:r>
      <w:r w:rsidR="005F0497" w:rsidRPr="008C1E5F">
        <w:t xml:space="preserve">the best way to </w:t>
      </w:r>
      <w:r w:rsidR="00296AEA" w:rsidRPr="008C1E5F">
        <w:t>collaboratively</w:t>
      </w:r>
      <w:r w:rsidR="005F0497" w:rsidRPr="008C1E5F">
        <w:t xml:space="preserve"> fulfill</w:t>
      </w:r>
      <w:r w:rsidR="00F45B8E" w:rsidRPr="008C1E5F">
        <w:t xml:space="preserve"> their responsibilities</w:t>
      </w:r>
      <w:r w:rsidR="005F0497" w:rsidRPr="008C1E5F">
        <w:t xml:space="preserve"> and benefit the district</w:t>
      </w:r>
      <w:r w:rsidR="00F5718D" w:rsidRPr="008C1E5F">
        <w:t xml:space="preserve">. </w:t>
      </w:r>
      <w:r w:rsidR="00552439">
        <w:t>Despite this</w:t>
      </w:r>
      <w:r w:rsidR="00F5718D" w:rsidRPr="008C1E5F">
        <w:t>, in interviews and focus groups,</w:t>
      </w:r>
      <w:r w:rsidR="0046056D" w:rsidRPr="008C1E5F">
        <w:t xml:space="preserve"> </w:t>
      </w:r>
      <w:r w:rsidR="00A14CEE" w:rsidRPr="008C1E5F">
        <w:t xml:space="preserve">both </w:t>
      </w:r>
      <w:r w:rsidR="009E1F0E" w:rsidRPr="008C1E5F">
        <w:t>parties</w:t>
      </w:r>
      <w:r w:rsidR="00A14CEE" w:rsidRPr="008C1E5F">
        <w:t xml:space="preserve"> </w:t>
      </w:r>
      <w:r w:rsidR="00F5718D" w:rsidRPr="008C1E5F">
        <w:t>reiterated their commitment to Fall River</w:t>
      </w:r>
      <w:r w:rsidR="00B20C08" w:rsidRPr="008C1E5F">
        <w:t xml:space="preserve"> and</w:t>
      </w:r>
      <w:r w:rsidR="00891164" w:rsidRPr="008C1E5F">
        <w:t xml:space="preserve"> </w:t>
      </w:r>
      <w:r w:rsidR="0091549D" w:rsidRPr="008C1E5F">
        <w:t xml:space="preserve">their desire to </w:t>
      </w:r>
      <w:r w:rsidR="00284C51" w:rsidRPr="008C1E5F">
        <w:t xml:space="preserve">collaborate effectively to </w:t>
      </w:r>
      <w:r w:rsidR="0091549D" w:rsidRPr="008C1E5F">
        <w:t xml:space="preserve">improve the district and outcomes for all students. </w:t>
      </w:r>
      <w:r w:rsidR="00F604DE">
        <w:t>Building r</w:t>
      </w:r>
      <w:r w:rsidR="00D6032B">
        <w:t>ap</w:t>
      </w:r>
      <w:r w:rsidR="00F604DE">
        <w:t>port between</w:t>
      </w:r>
      <w:r w:rsidR="00CC74B7" w:rsidRPr="008C1E5F">
        <w:t xml:space="preserve"> both partie</w:t>
      </w:r>
      <w:r w:rsidR="00663327" w:rsidRPr="008C1E5F">
        <w:t>s</w:t>
      </w:r>
      <w:r w:rsidR="00A31DD1" w:rsidRPr="008C1E5F">
        <w:t xml:space="preserve"> is an area for growth in Fall River. </w:t>
      </w:r>
    </w:p>
    <w:p w14:paraId="21EDA977" w14:textId="323CA6B9" w:rsidR="000705C5" w:rsidRDefault="006321C1" w:rsidP="00C577A5">
      <w:pPr>
        <w:pStyle w:val="BodyText"/>
      </w:pPr>
      <w:r w:rsidRPr="008C1E5F">
        <w:t>At the time of the district review, m</w:t>
      </w:r>
      <w:r w:rsidR="00C05038" w:rsidRPr="008C1E5F">
        <w:t>embers of the teachers</w:t>
      </w:r>
      <w:r w:rsidR="009E4020" w:rsidRPr="008C1E5F">
        <w:t>’</w:t>
      </w:r>
      <w:r w:rsidR="00C05038" w:rsidRPr="008C1E5F">
        <w:t xml:space="preserve"> association characterized their working relationship with the school committee as </w:t>
      </w:r>
      <w:r w:rsidR="00B67501" w:rsidRPr="008C1E5F">
        <w:t xml:space="preserve">strained and </w:t>
      </w:r>
      <w:r w:rsidR="00C05038" w:rsidRPr="008C1E5F">
        <w:t>disconnected</w:t>
      </w:r>
      <w:r w:rsidR="00AD01B6" w:rsidRPr="008C1E5F">
        <w:t xml:space="preserve">, due in large part to </w:t>
      </w:r>
      <w:r w:rsidR="009415E0" w:rsidRPr="008C1E5F">
        <w:t xml:space="preserve">the negotiations surrounding </w:t>
      </w:r>
      <w:r w:rsidR="0096173D">
        <w:t>a new</w:t>
      </w:r>
      <w:r w:rsidR="0096173D" w:rsidRPr="008C1E5F">
        <w:t xml:space="preserve"> </w:t>
      </w:r>
      <w:r w:rsidR="009415E0" w:rsidRPr="008C1E5F">
        <w:t xml:space="preserve">teacher contract. According to teacher focus groups, </w:t>
      </w:r>
      <w:r w:rsidR="00983DD5" w:rsidRPr="008C1E5F">
        <w:t>the teacher</w:t>
      </w:r>
      <w:r w:rsidR="009415E0" w:rsidRPr="008C1E5F">
        <w:t xml:space="preserve"> contract </w:t>
      </w:r>
      <w:r w:rsidR="00102D80">
        <w:t>had</w:t>
      </w:r>
      <w:r w:rsidR="009415E0" w:rsidRPr="008C1E5F">
        <w:t xml:space="preserve"> expired on August 31, 2024, and </w:t>
      </w:r>
      <w:r w:rsidR="00DB6EE0">
        <w:t>at the time of the district review, a new contract was not yet in place.</w:t>
      </w:r>
      <w:r w:rsidR="009415E0" w:rsidRPr="008C1E5F">
        <w:t xml:space="preserve"> </w:t>
      </w:r>
      <w:r w:rsidR="00930076" w:rsidRPr="008C1E5F">
        <w:t>Teachers in focus groups expressed great dissatisfaction with the negotiations process</w:t>
      </w:r>
      <w:r w:rsidR="00DA4661">
        <w:t>,</w:t>
      </w:r>
      <w:r w:rsidR="00930076" w:rsidRPr="008C1E5F">
        <w:t xml:space="preserve"> </w:t>
      </w:r>
      <w:r w:rsidR="008E1965">
        <w:t>while</w:t>
      </w:r>
      <w:r w:rsidR="00125287" w:rsidRPr="008C1E5F">
        <w:t xml:space="preserve"> members of the school committee </w:t>
      </w:r>
      <w:r w:rsidR="00BD168C">
        <w:t xml:space="preserve">reported </w:t>
      </w:r>
      <w:r w:rsidR="00F45358">
        <w:t xml:space="preserve">giving the </w:t>
      </w:r>
      <w:r w:rsidR="00B70515">
        <w:t>teacher association a fair offer that was</w:t>
      </w:r>
      <w:r w:rsidR="007E1EAB">
        <w:t xml:space="preserve"> not accepted. </w:t>
      </w:r>
      <w:r w:rsidR="00125287" w:rsidRPr="008C1E5F">
        <w:t xml:space="preserve">School committee members also noted that they </w:t>
      </w:r>
      <w:r w:rsidR="00832AB1">
        <w:t>were</w:t>
      </w:r>
      <w:r w:rsidR="00832AB1" w:rsidRPr="008C1E5F">
        <w:t xml:space="preserve"> </w:t>
      </w:r>
      <w:r w:rsidR="00125287" w:rsidRPr="008C1E5F">
        <w:t xml:space="preserve">trying to avoid layoffs and that the district </w:t>
      </w:r>
      <w:r w:rsidR="000705C5">
        <w:t>did</w:t>
      </w:r>
      <w:r w:rsidR="000705C5" w:rsidRPr="008C1E5F">
        <w:t xml:space="preserve"> </w:t>
      </w:r>
      <w:r w:rsidR="00125287" w:rsidRPr="008C1E5F">
        <w:t xml:space="preserve">not have the budget to give the teachers’ association members the salary increases they </w:t>
      </w:r>
      <w:r w:rsidR="000705C5">
        <w:t>were</w:t>
      </w:r>
      <w:r w:rsidR="000705C5" w:rsidRPr="008C1E5F">
        <w:t xml:space="preserve"> </w:t>
      </w:r>
      <w:r w:rsidR="00125287" w:rsidRPr="008C1E5F">
        <w:t xml:space="preserve">requesting without cutting support staff. </w:t>
      </w:r>
      <w:r w:rsidR="000705C5">
        <w:t xml:space="preserve">In the time since the </w:t>
      </w:r>
      <w:r w:rsidR="007B2870">
        <w:t>onsite visit</w:t>
      </w:r>
      <w:r w:rsidR="000705C5">
        <w:t xml:space="preserve">, the district has finalized a new three-year teacher contract with the teachers’ association. </w:t>
      </w:r>
      <w:r w:rsidR="005C3925">
        <w:t xml:space="preserve">Still, </w:t>
      </w:r>
      <w:r w:rsidR="00105151">
        <w:t>maintaining</w:t>
      </w:r>
      <w:r w:rsidR="00FD72E1">
        <w:t xml:space="preserve"> </w:t>
      </w:r>
      <w:r w:rsidR="0096173D">
        <w:t xml:space="preserve">working </w:t>
      </w:r>
      <w:r w:rsidR="0075580D">
        <w:t xml:space="preserve">relationships </w:t>
      </w:r>
      <w:r w:rsidR="00D90DEB">
        <w:t xml:space="preserve">between the </w:t>
      </w:r>
      <w:r w:rsidR="006B64D6">
        <w:t>teachers’</w:t>
      </w:r>
      <w:r w:rsidR="00D90DEB">
        <w:t xml:space="preserve"> association and school committee </w:t>
      </w:r>
      <w:r w:rsidR="005C3925">
        <w:t>remains</w:t>
      </w:r>
      <w:r w:rsidR="00E406C9">
        <w:t xml:space="preserve"> </w:t>
      </w:r>
      <w:r w:rsidR="00021A99">
        <w:t xml:space="preserve">an area of growth for the district. </w:t>
      </w:r>
    </w:p>
    <w:p w14:paraId="526AFF0D" w14:textId="76A26D0C" w:rsidR="000D50D9" w:rsidRPr="008C1E5F" w:rsidRDefault="00963A52" w:rsidP="00F4028E">
      <w:pPr>
        <w:pStyle w:val="BodyText"/>
      </w:pPr>
      <w:r w:rsidRPr="008C1E5F">
        <w:t xml:space="preserve">According to district leaders, </w:t>
      </w:r>
      <w:r w:rsidR="00F3437B" w:rsidRPr="008C1E5F">
        <w:t>there are several</w:t>
      </w:r>
      <w:r w:rsidR="00460F77" w:rsidRPr="008C1E5F">
        <w:t xml:space="preserve"> </w:t>
      </w:r>
      <w:r w:rsidR="00F91615" w:rsidRPr="008C1E5F">
        <w:t>district</w:t>
      </w:r>
      <w:r w:rsidR="00F3437B" w:rsidRPr="008C1E5F">
        <w:t xml:space="preserve"> teaming structure</w:t>
      </w:r>
      <w:r w:rsidR="00CC23E7" w:rsidRPr="008C1E5F">
        <w:t>s</w:t>
      </w:r>
      <w:r w:rsidR="00F3437B" w:rsidRPr="008C1E5F">
        <w:t xml:space="preserve"> that meet regularly</w:t>
      </w:r>
      <w:r w:rsidR="00967E3E" w:rsidRPr="008C1E5F">
        <w:t xml:space="preserve"> </w:t>
      </w:r>
      <w:r w:rsidR="00AE2049" w:rsidRPr="008C1E5F">
        <w:t>and are a strength of the district</w:t>
      </w:r>
      <w:r w:rsidR="00460F77" w:rsidRPr="008C1E5F">
        <w:t>: (</w:t>
      </w:r>
      <w:r w:rsidR="009E4020" w:rsidRPr="008C1E5F">
        <w:t>a</w:t>
      </w:r>
      <w:r w:rsidR="00460F77" w:rsidRPr="008C1E5F">
        <w:t xml:space="preserve">) the senior staff team composed of the </w:t>
      </w:r>
      <w:r w:rsidR="00F91615" w:rsidRPr="008C1E5F">
        <w:t xml:space="preserve">superintendent, </w:t>
      </w:r>
      <w:r w:rsidR="00460F77" w:rsidRPr="008C1E5F">
        <w:t>chief academic officer, chief operations officer, chief information officer, chief financial officer, and executive director of human resources</w:t>
      </w:r>
      <w:r w:rsidR="009E4020" w:rsidRPr="008C1E5F">
        <w:t>,</w:t>
      </w:r>
      <w:r w:rsidR="000A2A37" w:rsidRPr="008C1E5F">
        <w:t xml:space="preserve"> </w:t>
      </w:r>
      <w:r w:rsidR="00473FF2" w:rsidRPr="008C1E5F">
        <w:t xml:space="preserve">which </w:t>
      </w:r>
      <w:r w:rsidR="000A2A37" w:rsidRPr="008C1E5F">
        <w:t xml:space="preserve">meets weekly </w:t>
      </w:r>
      <w:r w:rsidR="00F91615" w:rsidRPr="008C1E5F">
        <w:t>to collaborate across departments</w:t>
      </w:r>
      <w:r w:rsidR="000A087C" w:rsidRPr="008C1E5F">
        <w:t xml:space="preserve"> on resource allocation, staffing, program implementation, and operations</w:t>
      </w:r>
      <w:r w:rsidR="00F91615" w:rsidRPr="008C1E5F">
        <w:t>; (</w:t>
      </w:r>
      <w:r w:rsidR="009E4020" w:rsidRPr="008C1E5F">
        <w:t>b</w:t>
      </w:r>
      <w:r w:rsidR="00F91615" w:rsidRPr="008C1E5F">
        <w:t xml:space="preserve">) the </w:t>
      </w:r>
      <w:r w:rsidR="00063EB1">
        <w:t>“</w:t>
      </w:r>
      <w:r w:rsidR="00F91615" w:rsidRPr="008C1E5F">
        <w:t>core four team</w:t>
      </w:r>
      <w:r w:rsidR="00063EB1">
        <w:t>”</w:t>
      </w:r>
      <w:r w:rsidR="00F91615" w:rsidRPr="008C1E5F">
        <w:t xml:space="preserve"> composed of the superintendent, </w:t>
      </w:r>
      <w:r w:rsidR="00E34C5F" w:rsidRPr="008C1E5F">
        <w:t>chief academic officer</w:t>
      </w:r>
      <w:r w:rsidR="00F91615" w:rsidRPr="008C1E5F">
        <w:t>, assistant superintendent of student services and strategic integration, and assistant superintendent of special education</w:t>
      </w:r>
      <w:r w:rsidR="009E4020" w:rsidRPr="008C1E5F">
        <w:t>,</w:t>
      </w:r>
      <w:r w:rsidR="004A55D5" w:rsidRPr="008C1E5F">
        <w:t xml:space="preserve"> </w:t>
      </w:r>
      <w:r w:rsidR="00CF7540" w:rsidRPr="008C1E5F">
        <w:t xml:space="preserve">which </w:t>
      </w:r>
      <w:r w:rsidR="004A55D5" w:rsidRPr="008C1E5F">
        <w:t xml:space="preserve">meets </w:t>
      </w:r>
      <w:r w:rsidR="00ED5ADF" w:rsidRPr="008C1E5F">
        <w:t>every two weeks</w:t>
      </w:r>
      <w:r w:rsidR="004A55D5" w:rsidRPr="008C1E5F">
        <w:t xml:space="preserve"> </w:t>
      </w:r>
      <w:r w:rsidR="009E4020" w:rsidRPr="008C1E5F">
        <w:t xml:space="preserve">and </w:t>
      </w:r>
      <w:r w:rsidR="007025FC" w:rsidRPr="008C1E5F">
        <w:t>focuse</w:t>
      </w:r>
      <w:r w:rsidR="009E4020" w:rsidRPr="008C1E5F">
        <w:t>s</w:t>
      </w:r>
      <w:r w:rsidR="007025FC" w:rsidRPr="008C1E5F">
        <w:t xml:space="preserve"> on the district’s instructional priorities</w:t>
      </w:r>
      <w:r w:rsidR="001F5166" w:rsidRPr="008C1E5F">
        <w:t>; (</w:t>
      </w:r>
      <w:r w:rsidR="0067054F">
        <w:t>c</w:t>
      </w:r>
      <w:r w:rsidR="001F5166" w:rsidRPr="008C1E5F">
        <w:t>) the district instructional leadership team</w:t>
      </w:r>
      <w:r w:rsidR="00BD62F1" w:rsidRPr="008C1E5F">
        <w:t xml:space="preserve"> (ILT)</w:t>
      </w:r>
      <w:r w:rsidR="001F5166" w:rsidRPr="008C1E5F">
        <w:t xml:space="preserve"> composed of the </w:t>
      </w:r>
      <w:r w:rsidR="00137C76" w:rsidRPr="008C1E5F">
        <w:t xml:space="preserve">superintendent, </w:t>
      </w:r>
      <w:r w:rsidR="00E34C5F" w:rsidRPr="008C1E5F">
        <w:t>chief academic officer</w:t>
      </w:r>
      <w:r w:rsidR="00137C76" w:rsidRPr="008C1E5F">
        <w:t xml:space="preserve">, </w:t>
      </w:r>
      <w:r w:rsidR="00CD6A95" w:rsidRPr="008C1E5F">
        <w:t>principals, and director</w:t>
      </w:r>
      <w:r w:rsidR="00312070" w:rsidRPr="008C1E5F">
        <w:t>s</w:t>
      </w:r>
      <w:r w:rsidR="009E4020" w:rsidRPr="008C1E5F">
        <w:t>,</w:t>
      </w:r>
      <w:r w:rsidR="00CD6A95" w:rsidRPr="008C1E5F">
        <w:t xml:space="preserve"> </w:t>
      </w:r>
      <w:r w:rsidR="00F309D7" w:rsidRPr="008C1E5F">
        <w:t>which</w:t>
      </w:r>
      <w:r w:rsidR="00CD6A95" w:rsidRPr="008C1E5F">
        <w:t xml:space="preserve"> meet </w:t>
      </w:r>
      <w:r w:rsidR="00263808" w:rsidRPr="008C1E5F">
        <w:t xml:space="preserve">every two weeks </w:t>
      </w:r>
      <w:r w:rsidR="009E4020" w:rsidRPr="008C1E5F">
        <w:t xml:space="preserve">and </w:t>
      </w:r>
      <w:r w:rsidR="001B7715" w:rsidRPr="008C1E5F">
        <w:t>focuse</w:t>
      </w:r>
      <w:r w:rsidR="009E4020" w:rsidRPr="008C1E5F">
        <w:t>s</w:t>
      </w:r>
      <w:r w:rsidR="001B7715" w:rsidRPr="008C1E5F">
        <w:t xml:space="preserve"> on </w:t>
      </w:r>
      <w:r w:rsidR="00262496" w:rsidRPr="008C1E5F">
        <w:t>building the capacity of team members to lead</w:t>
      </w:r>
      <w:r w:rsidR="00BF121D" w:rsidRPr="008C1E5F">
        <w:t xml:space="preserve"> instruction in the school</w:t>
      </w:r>
      <w:r w:rsidR="00262496" w:rsidRPr="008C1E5F">
        <w:t>s</w:t>
      </w:r>
      <w:r w:rsidR="00BF121D" w:rsidRPr="008C1E5F">
        <w:t xml:space="preserve"> </w:t>
      </w:r>
      <w:r w:rsidR="00262496" w:rsidRPr="008C1E5F">
        <w:t xml:space="preserve">(e.g., </w:t>
      </w:r>
      <w:r w:rsidR="00BF121D" w:rsidRPr="008C1E5F">
        <w:t>through learning walk</w:t>
      </w:r>
      <w:r w:rsidR="00B762DF" w:rsidRPr="008C1E5F">
        <w:t>s</w:t>
      </w:r>
      <w:r w:rsidR="00BF121D" w:rsidRPr="008C1E5F">
        <w:t>, reviewing student work samples</w:t>
      </w:r>
      <w:r w:rsidR="00262496" w:rsidRPr="008C1E5F">
        <w:t>)</w:t>
      </w:r>
      <w:r w:rsidR="00385ABD" w:rsidRPr="008C1E5F">
        <w:t>; and (</w:t>
      </w:r>
      <w:r w:rsidR="009E4020" w:rsidRPr="008C1E5F">
        <w:t>d</w:t>
      </w:r>
      <w:r w:rsidR="00385ABD" w:rsidRPr="008C1E5F">
        <w:t xml:space="preserve">) </w:t>
      </w:r>
      <w:r w:rsidR="009E4020" w:rsidRPr="008C1E5F">
        <w:t xml:space="preserve">monthly </w:t>
      </w:r>
      <w:r w:rsidR="00424990" w:rsidRPr="008C1E5F">
        <w:t>principal meetings</w:t>
      </w:r>
      <w:r w:rsidR="0002337C" w:rsidRPr="008C1E5F">
        <w:t xml:space="preserve"> </w:t>
      </w:r>
      <w:r w:rsidR="006C475C" w:rsidRPr="008C1E5F">
        <w:t xml:space="preserve">focused on professional development for school leaders (e.g., </w:t>
      </w:r>
      <w:r w:rsidR="00435342" w:rsidRPr="008C1E5F">
        <w:t>completing a book stud</w:t>
      </w:r>
      <w:r w:rsidR="000A087C" w:rsidRPr="008C1E5F">
        <w:t>y, debrie</w:t>
      </w:r>
      <w:r w:rsidR="00514576" w:rsidRPr="008C1E5F">
        <w:t>fing</w:t>
      </w:r>
      <w:r w:rsidR="00E925DC" w:rsidRPr="008C1E5F">
        <w:t xml:space="preserve"> observations of classrooms an</w:t>
      </w:r>
      <w:r w:rsidR="00C33F40" w:rsidRPr="008C1E5F">
        <w:t>d</w:t>
      </w:r>
      <w:r w:rsidR="00E925DC" w:rsidRPr="008C1E5F">
        <w:t xml:space="preserve"> </w:t>
      </w:r>
      <w:r w:rsidR="0036598D" w:rsidRPr="008C1E5F">
        <w:t>co</w:t>
      </w:r>
      <w:r w:rsidR="00B56FAB" w:rsidRPr="008C1E5F">
        <w:t>mmon planning times</w:t>
      </w:r>
      <w:r w:rsidR="00C33F40" w:rsidRPr="008C1E5F">
        <w:t>, reviewing student data and work samples aligned to the district instructional priority and other district priorities</w:t>
      </w:r>
      <w:r w:rsidR="001C56C8" w:rsidRPr="008C1E5F">
        <w:t>).</w:t>
      </w:r>
      <w:r w:rsidR="00435342" w:rsidRPr="008C1E5F">
        <w:t xml:space="preserve"> </w:t>
      </w:r>
      <w:r w:rsidR="005A1D44">
        <w:t>To ensure t</w:t>
      </w:r>
      <w:r w:rsidR="00DB1709">
        <w:t>hese teams</w:t>
      </w:r>
      <w:r w:rsidR="005A1D44">
        <w:t xml:space="preserve"> are effective, </w:t>
      </w:r>
      <w:r w:rsidR="008C0FE7">
        <w:t xml:space="preserve">district leaders described how </w:t>
      </w:r>
      <w:r w:rsidR="005A1D44">
        <w:t xml:space="preserve">each </w:t>
      </w:r>
      <w:r w:rsidR="008C0FE7">
        <w:t>prioritized</w:t>
      </w:r>
      <w:r w:rsidR="005A1D44">
        <w:t xml:space="preserve"> opportunities for</w:t>
      </w:r>
      <w:r w:rsidR="00A104D7">
        <w:t xml:space="preserve"> thought partnership and collaboration across departments and schools</w:t>
      </w:r>
      <w:r w:rsidR="005A1D44">
        <w:t xml:space="preserve"> versus general information sharing and updates.</w:t>
      </w:r>
    </w:p>
    <w:p w14:paraId="3DB5FFCC" w14:textId="7BFC64E6" w:rsidR="000D50D9" w:rsidRPr="008C1E5F" w:rsidRDefault="008561F3" w:rsidP="00F4028E">
      <w:pPr>
        <w:pStyle w:val="BodyText"/>
      </w:pPr>
      <w:r w:rsidRPr="008C1E5F">
        <w:t xml:space="preserve">In focus groups with staff from across the district, participants agreed that the district empowers </w:t>
      </w:r>
      <w:r w:rsidR="00295171" w:rsidRPr="008C1E5F">
        <w:t xml:space="preserve">school leaders and </w:t>
      </w:r>
      <w:r w:rsidRPr="008C1E5F">
        <w:t xml:space="preserve">school </w:t>
      </w:r>
      <w:r w:rsidR="00295171" w:rsidRPr="008C1E5F">
        <w:t xml:space="preserve">ILTs </w:t>
      </w:r>
      <w:r w:rsidRPr="008C1E5F">
        <w:t xml:space="preserve">to establish an inclusive environment and foster positive and collaborative learning. They noted that the level of autonomy granted </w:t>
      </w:r>
      <w:r w:rsidR="00F64296" w:rsidRPr="008C1E5F">
        <w:t>by the district</w:t>
      </w:r>
      <w:r w:rsidRPr="008C1E5F">
        <w:t xml:space="preserve"> enhances their effectiveness in implementing school initiatives aligned with the district’s educational vision</w:t>
      </w:r>
      <w:r w:rsidR="00071960">
        <w:t xml:space="preserve"> (see Strategic Planning, Implementation, and Monitoring for information about the educational vision)</w:t>
      </w:r>
      <w:r w:rsidRPr="008C1E5F">
        <w:t xml:space="preserve">. District leaders provided examples of how the district supports </w:t>
      </w:r>
      <w:r w:rsidR="00F64296" w:rsidRPr="008C1E5F">
        <w:t>ILTs</w:t>
      </w:r>
      <w:r w:rsidRPr="008C1E5F">
        <w:t xml:space="preserve"> in strengthening their teaching and learning practices, such as when </w:t>
      </w:r>
      <w:r w:rsidR="009425C8" w:rsidRPr="008C1E5F">
        <w:t>they</w:t>
      </w:r>
      <w:r w:rsidRPr="008C1E5F">
        <w:t xml:space="preserve"> share data with school leaders “at different points during </w:t>
      </w:r>
      <w:r w:rsidRPr="008C1E5F">
        <w:lastRenderedPageBreak/>
        <w:t xml:space="preserve">the school year through the weekly newsletter from the district.” In addition, school leaders described collaborative structures </w:t>
      </w:r>
      <w:r w:rsidR="007F4D5D" w:rsidRPr="008C1E5F">
        <w:t xml:space="preserve">with </w:t>
      </w:r>
      <w:r w:rsidRPr="008C1E5F">
        <w:t xml:space="preserve">building-based coaches and department heads, </w:t>
      </w:r>
      <w:r w:rsidR="00A14B2E" w:rsidRPr="008C1E5F">
        <w:t>leading</w:t>
      </w:r>
      <w:r w:rsidRPr="008C1E5F">
        <w:t xml:space="preserve"> to targeted professional learning opportunities. School leaders also described the various teams or committees that are active at schools across the district, which include the ILT</w:t>
      </w:r>
      <w:r w:rsidR="00E969A0">
        <w:t>s</w:t>
      </w:r>
      <w:r w:rsidRPr="008C1E5F">
        <w:t>, data teams, student support team</w:t>
      </w:r>
      <w:r w:rsidR="009F26AB" w:rsidRPr="008C1E5F">
        <w:t>s</w:t>
      </w:r>
      <w:r w:rsidRPr="008C1E5F">
        <w:t>, grade-level teams, administrative leadership team</w:t>
      </w:r>
      <w:r w:rsidR="00983DD5">
        <w:t>s</w:t>
      </w:r>
      <w:r w:rsidRPr="008C1E5F">
        <w:t xml:space="preserve">, and the school council. </w:t>
      </w:r>
    </w:p>
    <w:p w14:paraId="30A2728B" w14:textId="4CF235A3" w:rsidR="00AB59D1" w:rsidRDefault="00650A03" w:rsidP="00F4028E">
      <w:pPr>
        <w:pStyle w:val="BodyText"/>
      </w:pPr>
      <w:r w:rsidRPr="008C1E5F">
        <w:t xml:space="preserve">District leaders </w:t>
      </w:r>
      <w:r w:rsidR="00C5484F">
        <w:t>were mixed on whether</w:t>
      </w:r>
      <w:r w:rsidRPr="008C1E5F">
        <w:t xml:space="preserve"> Fall River has established representative school and parent advisory councils, including</w:t>
      </w:r>
      <w:r w:rsidR="00160E6A" w:rsidRPr="008C1E5F">
        <w:t xml:space="preserve"> school councils at all schools,</w:t>
      </w:r>
      <w:r w:rsidRPr="008C1E5F">
        <w:t xml:space="preserve"> </w:t>
      </w:r>
      <w:r w:rsidRPr="008C1E5F">
        <w:rPr>
          <w:color w:val="000000" w:themeColor="text1"/>
        </w:rPr>
        <w:t>a Special Education Parent Advisory Council (SEPAC), an</w:t>
      </w:r>
      <w:r w:rsidR="00160E6A" w:rsidRPr="008C1E5F">
        <w:rPr>
          <w:color w:val="000000" w:themeColor="text1"/>
        </w:rPr>
        <w:t>d an</w:t>
      </w:r>
      <w:r w:rsidRPr="008C1E5F">
        <w:rPr>
          <w:color w:val="000000" w:themeColor="text1"/>
        </w:rPr>
        <w:t xml:space="preserve"> English Learner Parent Advisory Council (ELPAC)</w:t>
      </w:r>
      <w:r w:rsidRPr="008C1E5F">
        <w:t>.</w:t>
      </w:r>
      <w:r w:rsidR="000311A9" w:rsidRPr="008C1E5F">
        <w:t xml:space="preserve"> </w:t>
      </w:r>
      <w:r w:rsidR="00C5484F">
        <w:t xml:space="preserve">Many </w:t>
      </w:r>
      <w:r w:rsidR="009D1741" w:rsidRPr="008C1E5F">
        <w:t>school leaders specifically reported not having</w:t>
      </w:r>
      <w:r w:rsidR="009D1741" w:rsidRPr="008C1E5F">
        <w:rPr>
          <w:b/>
          <w:bCs/>
        </w:rPr>
        <w:t xml:space="preserve"> </w:t>
      </w:r>
      <w:r w:rsidR="009D1741" w:rsidRPr="008C1E5F">
        <w:t xml:space="preserve">their own active school councils that are involved in school policy decisions. </w:t>
      </w:r>
      <w:r w:rsidR="00AB59D1">
        <w:t xml:space="preserve">Similarly, </w:t>
      </w:r>
      <w:r w:rsidR="00F75D56">
        <w:t xml:space="preserve">some parents reported being aware of </w:t>
      </w:r>
      <w:r w:rsidR="00547097">
        <w:t xml:space="preserve">these school councils, although </w:t>
      </w:r>
      <w:r w:rsidR="00D15927">
        <w:t>accounts varied regarding how</w:t>
      </w:r>
      <w:r w:rsidR="00566C2B">
        <w:t xml:space="preserve"> school leaders</w:t>
      </w:r>
      <w:r w:rsidR="00D15927">
        <w:t xml:space="preserve"> utilized them. Having active school councils at all schools that are involved in school policy decisions is an area of growth for the district.</w:t>
      </w:r>
    </w:p>
    <w:p w14:paraId="5755C838" w14:textId="473F002C" w:rsidR="003D6ECF" w:rsidRPr="008C1E5F" w:rsidRDefault="00F95311" w:rsidP="003D6ECF">
      <w:pPr>
        <w:pStyle w:val="Heading3"/>
      </w:pPr>
      <w:bookmarkStart w:id="44" w:name="_Strategic_Planning,_Implementation,"/>
      <w:bookmarkStart w:id="45" w:name="_Toc195024212"/>
      <w:bookmarkEnd w:id="44"/>
      <w:r w:rsidRPr="008C1E5F">
        <w:t>Strategic Planning, Implementation, and Monitoring</w:t>
      </w:r>
      <w:bookmarkEnd w:id="45"/>
    </w:p>
    <w:p w14:paraId="6214CE64" w14:textId="3F50433C" w:rsidR="001B3F7E" w:rsidRPr="008C1E5F" w:rsidRDefault="001B3F7E" w:rsidP="00F4028E">
      <w:pPr>
        <w:pStyle w:val="BodyTextposthead"/>
      </w:pPr>
      <w:r w:rsidRPr="008C1E5F">
        <w:t xml:space="preserve">According to the district’s public website, the </w:t>
      </w:r>
      <w:r w:rsidR="0022064A" w:rsidRPr="008C1E5F">
        <w:t xml:space="preserve">district’s </w:t>
      </w:r>
      <w:r w:rsidRPr="008C1E5F">
        <w:t>mission is “to provide a value-added, high-quality, all-encompassing educational experience, ensuring preparation for successful transition to college and/or career so that all students will attain their fullest potential and become responsible members of society.” Focus group responses from school leaders indicate that this mission is</w:t>
      </w:r>
      <w:r w:rsidRPr="008C1E5F">
        <w:rPr>
          <w:i/>
          <w:iCs/>
        </w:rPr>
        <w:t xml:space="preserve"> </w:t>
      </w:r>
      <w:r w:rsidRPr="008C1E5F">
        <w:t xml:space="preserve">widely shared across the district. This sentiment was evident in focus groups, with staff articulating that the district has a successful </w:t>
      </w:r>
      <w:r w:rsidR="00DA3308" w:rsidRPr="008C1E5F">
        <w:t>c</w:t>
      </w:r>
      <w:r w:rsidRPr="008C1E5F">
        <w:t xml:space="preserve">areer and </w:t>
      </w:r>
      <w:r w:rsidR="00DA3308" w:rsidRPr="008C1E5F">
        <w:t>t</w:t>
      </w:r>
      <w:r w:rsidRPr="008C1E5F">
        <w:t xml:space="preserve">echnical </w:t>
      </w:r>
      <w:r w:rsidR="00DA3308" w:rsidRPr="008C1E5F">
        <w:t>e</w:t>
      </w:r>
      <w:r w:rsidRPr="008C1E5F">
        <w:t xml:space="preserve">ducation program (CTE) as well as opportunities for students to enroll in </w:t>
      </w:r>
      <w:r w:rsidR="00DA3308" w:rsidRPr="008C1E5F">
        <w:t>A</w:t>
      </w:r>
      <w:r w:rsidRPr="008C1E5F">
        <w:t xml:space="preserve">dvanced </w:t>
      </w:r>
      <w:r w:rsidR="00DA3308" w:rsidRPr="008C1E5F">
        <w:t>P</w:t>
      </w:r>
      <w:r w:rsidRPr="008C1E5F">
        <w:t xml:space="preserve">lacement (AP) classes and dual enrollment classes. </w:t>
      </w:r>
    </w:p>
    <w:p w14:paraId="3E3B36AE" w14:textId="276A07B2" w:rsidR="00870765" w:rsidRDefault="00EC1C20" w:rsidP="00F4028E">
      <w:pPr>
        <w:pStyle w:val="BodyText"/>
        <w:rPr>
          <w:color w:val="242424"/>
        </w:rPr>
      </w:pPr>
      <w:r>
        <w:t xml:space="preserve">One area for growth for </w:t>
      </w:r>
      <w:r w:rsidR="00A30DF9" w:rsidRPr="008C1E5F">
        <w:t xml:space="preserve">Fall River </w:t>
      </w:r>
      <w:r>
        <w:t xml:space="preserve">is that the district has not </w:t>
      </w:r>
      <w:r w:rsidR="003D0D4C" w:rsidRPr="008C1E5F">
        <w:t xml:space="preserve">yet </w:t>
      </w:r>
      <w:r w:rsidR="0046756F" w:rsidRPr="008C1E5F">
        <w:t xml:space="preserve">developed a </w:t>
      </w:r>
      <w:r w:rsidR="003D0D4C" w:rsidRPr="008C1E5F">
        <w:t>d</w:t>
      </w:r>
      <w:r w:rsidR="0046756F" w:rsidRPr="008C1E5F">
        <w:t xml:space="preserve">istrict </w:t>
      </w:r>
      <w:r w:rsidR="003D0D4C" w:rsidRPr="008C1E5F">
        <w:t>strategic p</w:t>
      </w:r>
      <w:r w:rsidR="0046756F" w:rsidRPr="008C1E5F">
        <w:t xml:space="preserve">lan, </w:t>
      </w:r>
      <w:r w:rsidR="003D0D4C" w:rsidRPr="008C1E5F">
        <w:t xml:space="preserve">with </w:t>
      </w:r>
      <w:r w:rsidR="00C26C98" w:rsidRPr="008C1E5F">
        <w:t xml:space="preserve">its </w:t>
      </w:r>
      <w:r w:rsidR="003D0D4C" w:rsidRPr="008C1E5F">
        <w:t xml:space="preserve">most recent </w:t>
      </w:r>
      <w:r w:rsidR="0046756F" w:rsidRPr="008C1E5F">
        <w:t xml:space="preserve">plan </w:t>
      </w:r>
      <w:r w:rsidR="003D0D4C" w:rsidRPr="008C1E5F">
        <w:t xml:space="preserve">having expired </w:t>
      </w:r>
      <w:r w:rsidR="0046756F" w:rsidRPr="008C1E5F">
        <w:t>in 2021.</w:t>
      </w:r>
      <w:r w:rsidR="00A24809" w:rsidRPr="008C1E5F">
        <w:t xml:space="preserve"> With the newly hired superintendent, district leaders reported that th</w:t>
      </w:r>
      <w:r w:rsidR="00C26C98" w:rsidRPr="008C1E5F">
        <w:t>e</w:t>
      </w:r>
      <w:r w:rsidR="00A24809" w:rsidRPr="008C1E5F">
        <w:t xml:space="preserve"> district review </w:t>
      </w:r>
      <w:r w:rsidR="00460F1D" w:rsidRPr="008C1E5F">
        <w:t xml:space="preserve">will </w:t>
      </w:r>
      <w:r w:rsidR="00A24809" w:rsidRPr="008C1E5F">
        <w:t>help with the development of a new strategic plan that is representative of all stakeholders.</w:t>
      </w:r>
      <w:r w:rsidR="00415198" w:rsidRPr="008C1E5F">
        <w:t xml:space="preserve"> Fall River </w:t>
      </w:r>
      <w:r w:rsidR="00C26C98" w:rsidRPr="008C1E5F">
        <w:t>has</w:t>
      </w:r>
      <w:r w:rsidR="00163AF5" w:rsidRPr="008C1E5F">
        <w:t xml:space="preserve"> several </w:t>
      </w:r>
      <w:r w:rsidR="005E51A7" w:rsidRPr="008C1E5F">
        <w:t xml:space="preserve">other current plans, including a </w:t>
      </w:r>
      <w:r w:rsidR="0046756F" w:rsidRPr="008C1E5F">
        <w:t xml:space="preserve">Student Opportunity </w:t>
      </w:r>
      <w:r w:rsidR="000408FA" w:rsidRPr="008C1E5F">
        <w:t>Act Plan, approved in 2020</w:t>
      </w:r>
      <w:r w:rsidR="00A231CE" w:rsidRPr="008C1E5F">
        <w:t xml:space="preserve"> </w:t>
      </w:r>
      <w:r w:rsidR="009B3F8F" w:rsidRPr="008C1E5F">
        <w:t>and</w:t>
      </w:r>
      <w:r w:rsidR="00A231CE" w:rsidRPr="008C1E5F">
        <w:t xml:space="preserve"> updated in </w:t>
      </w:r>
      <w:r w:rsidR="009B3F8F" w:rsidRPr="008C1E5F">
        <w:t>2024</w:t>
      </w:r>
      <w:r w:rsidR="005E51A7" w:rsidRPr="008C1E5F">
        <w:t xml:space="preserve">, and a </w:t>
      </w:r>
      <w:r w:rsidR="005E51A7" w:rsidRPr="008C1E5F">
        <w:rPr>
          <w:color w:val="242424"/>
        </w:rPr>
        <w:t>District Instructional Prioritization Plan for the 2024-2025 school year</w:t>
      </w:r>
      <w:r w:rsidR="00682BB4" w:rsidRPr="008C1E5F">
        <w:rPr>
          <w:color w:val="242424"/>
        </w:rPr>
        <w:t xml:space="preserve">, </w:t>
      </w:r>
      <w:r w:rsidR="001559F0">
        <w:rPr>
          <w:color w:val="242424"/>
        </w:rPr>
        <w:t>developed in partnership</w:t>
      </w:r>
      <w:r w:rsidR="00682BB4" w:rsidRPr="008C1E5F">
        <w:rPr>
          <w:color w:val="242424"/>
        </w:rPr>
        <w:t xml:space="preserve"> with DESE’s</w:t>
      </w:r>
      <w:r w:rsidR="00E74F1A" w:rsidRPr="008C1E5F">
        <w:rPr>
          <w:color w:val="242424"/>
        </w:rPr>
        <w:t xml:space="preserve"> Office of</w:t>
      </w:r>
      <w:r w:rsidR="00682BB4" w:rsidRPr="008C1E5F">
        <w:rPr>
          <w:color w:val="242424"/>
        </w:rPr>
        <w:t xml:space="preserve"> Statewide System of Support</w:t>
      </w:r>
      <w:r w:rsidR="005E51A7" w:rsidRPr="008C1E5F">
        <w:rPr>
          <w:color w:val="242424"/>
        </w:rPr>
        <w:t>.</w:t>
      </w:r>
      <w:r w:rsidR="0046756F" w:rsidRPr="008C1E5F">
        <w:t xml:space="preserve"> </w:t>
      </w:r>
      <w:r w:rsidR="007B4052" w:rsidRPr="008C1E5F">
        <w:rPr>
          <w:color w:val="242424"/>
        </w:rPr>
        <w:t xml:space="preserve">According to the </w:t>
      </w:r>
      <w:r w:rsidR="421EAEC4" w:rsidRPr="008C1E5F">
        <w:rPr>
          <w:color w:val="242424"/>
        </w:rPr>
        <w:t>District Instructional Prioritization Plan</w:t>
      </w:r>
      <w:r w:rsidR="007B4052" w:rsidRPr="008C1E5F">
        <w:rPr>
          <w:color w:val="242424"/>
        </w:rPr>
        <w:t xml:space="preserve">, </w:t>
      </w:r>
      <w:r w:rsidR="0046756F" w:rsidRPr="008C1E5F">
        <w:rPr>
          <w:color w:val="242424"/>
        </w:rPr>
        <w:t>the district’s main goal</w:t>
      </w:r>
      <w:r w:rsidR="005150BA" w:rsidRPr="008C1E5F">
        <w:rPr>
          <w:color w:val="242424"/>
        </w:rPr>
        <w:t>s</w:t>
      </w:r>
      <w:r w:rsidR="0046756F" w:rsidRPr="008C1E5F">
        <w:rPr>
          <w:color w:val="242424"/>
        </w:rPr>
        <w:t xml:space="preserve"> for the year </w:t>
      </w:r>
      <w:r w:rsidR="005150BA" w:rsidRPr="008C1E5F">
        <w:rPr>
          <w:color w:val="242424"/>
        </w:rPr>
        <w:t>are</w:t>
      </w:r>
      <w:r w:rsidR="00483F49">
        <w:rPr>
          <w:color w:val="242424"/>
        </w:rPr>
        <w:t>:</w:t>
      </w:r>
    </w:p>
    <w:p w14:paraId="3C88477B" w14:textId="29066237" w:rsidR="00483F49" w:rsidRDefault="00483F49" w:rsidP="00483F49">
      <w:pPr>
        <w:pStyle w:val="BodyText"/>
        <w:ind w:left="720"/>
      </w:pPr>
      <w:r>
        <w:t xml:space="preserve">Middle school mathematics educators will unpack the standards of Carnegie lessons and intentionally engage students in grade-appropriate oral and written discourse that supports the language development of SWD and MLLs so that students acquire and are able to use academic language to communicate their understanding of grade-level work. </w:t>
      </w:r>
    </w:p>
    <w:p w14:paraId="4D3BEFDB" w14:textId="2EC2B96A" w:rsidR="0046756F" w:rsidRPr="008C1E5F" w:rsidRDefault="00EC4980" w:rsidP="00F4028E">
      <w:pPr>
        <w:pStyle w:val="BodyText"/>
      </w:pPr>
      <w:r w:rsidRPr="008C1E5F">
        <w:rPr>
          <w:color w:val="242424"/>
        </w:rPr>
        <w:t>In</w:t>
      </w:r>
      <w:r w:rsidR="009C7215" w:rsidRPr="008C1E5F">
        <w:rPr>
          <w:color w:val="242424"/>
        </w:rPr>
        <w:t xml:space="preserve"> </w:t>
      </w:r>
      <w:r w:rsidRPr="008C1E5F">
        <w:rPr>
          <w:color w:val="242424"/>
        </w:rPr>
        <w:t>interviews,</w:t>
      </w:r>
      <w:r w:rsidR="009C7215" w:rsidRPr="008C1E5F">
        <w:rPr>
          <w:color w:val="242424"/>
        </w:rPr>
        <w:t xml:space="preserve"> </w:t>
      </w:r>
      <w:r w:rsidR="0046756F" w:rsidRPr="008C1E5F">
        <w:rPr>
          <w:color w:val="242424"/>
        </w:rPr>
        <w:t>district leaders</w:t>
      </w:r>
      <w:r w:rsidRPr="008C1E5F">
        <w:rPr>
          <w:color w:val="242424"/>
        </w:rPr>
        <w:t xml:space="preserve"> also</w:t>
      </w:r>
      <w:r w:rsidR="0046756F" w:rsidRPr="008C1E5F">
        <w:rPr>
          <w:color w:val="242424"/>
        </w:rPr>
        <w:t xml:space="preserve"> reported goal</w:t>
      </w:r>
      <w:r w:rsidRPr="008C1E5F">
        <w:rPr>
          <w:color w:val="242424"/>
        </w:rPr>
        <w:t>s</w:t>
      </w:r>
      <w:r w:rsidR="0046756F" w:rsidRPr="008C1E5F">
        <w:rPr>
          <w:color w:val="242424"/>
        </w:rPr>
        <w:t xml:space="preserve"> to engage all students with high-quality instructional materials and appropriate instructional support, </w:t>
      </w:r>
      <w:r w:rsidR="00F8408A" w:rsidRPr="008C1E5F">
        <w:rPr>
          <w:color w:val="242424"/>
        </w:rPr>
        <w:t>create</w:t>
      </w:r>
      <w:r w:rsidR="00DB55D9" w:rsidRPr="008C1E5F">
        <w:rPr>
          <w:color w:val="242424"/>
        </w:rPr>
        <w:t xml:space="preserve"> a sense of belonging so that students </w:t>
      </w:r>
      <w:r w:rsidR="00BF02E7" w:rsidRPr="008C1E5F">
        <w:rPr>
          <w:color w:val="242424"/>
        </w:rPr>
        <w:t xml:space="preserve">feel </w:t>
      </w:r>
      <w:r w:rsidR="00DB55D9" w:rsidRPr="008C1E5F">
        <w:rPr>
          <w:color w:val="242424"/>
        </w:rPr>
        <w:t>valued and engaged socially and academically in their school community</w:t>
      </w:r>
      <w:r w:rsidR="00FF4F99" w:rsidRPr="008C1E5F">
        <w:rPr>
          <w:color w:val="242424"/>
        </w:rPr>
        <w:t xml:space="preserve">, and </w:t>
      </w:r>
      <w:r w:rsidR="0046756F" w:rsidRPr="008C1E5F">
        <w:rPr>
          <w:color w:val="242424"/>
        </w:rPr>
        <w:t>authentically engaging</w:t>
      </w:r>
      <w:r w:rsidR="008F3D24">
        <w:rPr>
          <w:color w:val="242424"/>
        </w:rPr>
        <w:t xml:space="preserve"> with the families of</w:t>
      </w:r>
      <w:r w:rsidR="0046756F" w:rsidRPr="008C1E5F">
        <w:rPr>
          <w:color w:val="242424"/>
        </w:rPr>
        <w:t xml:space="preserve"> their </w:t>
      </w:r>
      <w:r w:rsidR="00320303">
        <w:rPr>
          <w:color w:val="242424"/>
        </w:rPr>
        <w:t>English Learners</w:t>
      </w:r>
      <w:r w:rsidR="00320303" w:rsidRPr="008C1E5F">
        <w:rPr>
          <w:color w:val="242424"/>
        </w:rPr>
        <w:t xml:space="preserve"> </w:t>
      </w:r>
      <w:r w:rsidR="0046756F" w:rsidRPr="008C1E5F">
        <w:rPr>
          <w:color w:val="242424"/>
        </w:rPr>
        <w:t xml:space="preserve">and </w:t>
      </w:r>
      <w:r w:rsidR="00930F79">
        <w:rPr>
          <w:color w:val="242424"/>
        </w:rPr>
        <w:t>S</w:t>
      </w:r>
      <w:r w:rsidR="00320303">
        <w:rPr>
          <w:color w:val="242424"/>
        </w:rPr>
        <w:t xml:space="preserve">tudents with </w:t>
      </w:r>
      <w:r w:rsidR="00930F79">
        <w:rPr>
          <w:color w:val="242424"/>
        </w:rPr>
        <w:t>D</w:t>
      </w:r>
      <w:r w:rsidR="00320303">
        <w:rPr>
          <w:color w:val="242424"/>
        </w:rPr>
        <w:t>isabilities</w:t>
      </w:r>
      <w:r w:rsidR="0046756F" w:rsidRPr="008C1E5F">
        <w:rPr>
          <w:color w:val="242424"/>
        </w:rPr>
        <w:t xml:space="preserve"> to </w:t>
      </w:r>
      <w:r w:rsidR="00FA626E">
        <w:rPr>
          <w:color w:val="242424"/>
        </w:rPr>
        <w:t>improve</w:t>
      </w:r>
      <w:r w:rsidR="0046756F" w:rsidRPr="008C1E5F">
        <w:rPr>
          <w:color w:val="242424"/>
        </w:rPr>
        <w:t xml:space="preserve"> benchmark data</w:t>
      </w:r>
      <w:r w:rsidR="00A727CA" w:rsidRPr="008C1E5F">
        <w:rPr>
          <w:color w:val="242424"/>
        </w:rPr>
        <w:t>.</w:t>
      </w:r>
      <w:r w:rsidR="00F259B0" w:rsidRPr="008C1E5F">
        <w:rPr>
          <w:color w:val="242424"/>
        </w:rPr>
        <w:t xml:space="preserve"> </w:t>
      </w:r>
    </w:p>
    <w:p w14:paraId="64863E75" w14:textId="0A7B3B9E" w:rsidR="00996F62" w:rsidRPr="008C1E5F" w:rsidRDefault="0058422D" w:rsidP="00F4028E">
      <w:pPr>
        <w:pStyle w:val="BodyText"/>
        <w:rPr>
          <w:spacing w:val="-2"/>
        </w:rPr>
      </w:pPr>
      <w:r w:rsidRPr="008C1E5F">
        <w:rPr>
          <w:spacing w:val="-2"/>
        </w:rPr>
        <w:t xml:space="preserve">Although there is no formal districtwide </w:t>
      </w:r>
      <w:r w:rsidR="003358D2" w:rsidRPr="008C1E5F">
        <w:rPr>
          <w:spacing w:val="-2"/>
        </w:rPr>
        <w:t>strategic plan, a</w:t>
      </w:r>
      <w:r w:rsidR="00996F62" w:rsidRPr="008C1E5F">
        <w:rPr>
          <w:spacing w:val="-2"/>
        </w:rPr>
        <w:t xml:space="preserve">ll school leaders have developed a </w:t>
      </w:r>
      <w:r w:rsidR="002D3D06" w:rsidRPr="008C1E5F">
        <w:rPr>
          <w:spacing w:val="-2"/>
        </w:rPr>
        <w:t>s</w:t>
      </w:r>
      <w:r w:rsidR="00996F62" w:rsidRPr="008C1E5F">
        <w:rPr>
          <w:spacing w:val="-2"/>
        </w:rPr>
        <w:t xml:space="preserve">chool </w:t>
      </w:r>
      <w:r w:rsidR="002D3D06" w:rsidRPr="008C1E5F">
        <w:rPr>
          <w:spacing w:val="-2"/>
        </w:rPr>
        <w:t>i</w:t>
      </w:r>
      <w:r w:rsidR="00996F62" w:rsidRPr="008C1E5F">
        <w:rPr>
          <w:spacing w:val="-2"/>
        </w:rPr>
        <w:t xml:space="preserve">mprovement </w:t>
      </w:r>
      <w:r w:rsidR="002D3D06" w:rsidRPr="008C1E5F">
        <w:rPr>
          <w:spacing w:val="-2"/>
        </w:rPr>
        <w:t>p</w:t>
      </w:r>
      <w:r w:rsidR="00996F62" w:rsidRPr="008C1E5F">
        <w:rPr>
          <w:spacing w:val="-2"/>
        </w:rPr>
        <w:t xml:space="preserve">lan for the 2024-2025 school year. These plans include instructional priorities and strategies for reducing disparities in student opportunities and outcomes, </w:t>
      </w:r>
      <w:r w:rsidR="00D43E8F" w:rsidRPr="008C1E5F">
        <w:rPr>
          <w:spacing w:val="-2"/>
        </w:rPr>
        <w:t xml:space="preserve">aligned with the </w:t>
      </w:r>
      <w:r w:rsidR="00D43E8F" w:rsidRPr="008C1E5F">
        <w:rPr>
          <w:color w:val="242424"/>
          <w:spacing w:val="-2"/>
        </w:rPr>
        <w:t xml:space="preserve">District </w:t>
      </w:r>
      <w:r w:rsidR="00D43E8F" w:rsidRPr="008C1E5F">
        <w:rPr>
          <w:color w:val="242424"/>
          <w:spacing w:val="-2"/>
        </w:rPr>
        <w:lastRenderedPageBreak/>
        <w:t>Instructional Prioritization Plan</w:t>
      </w:r>
      <w:r w:rsidR="002947E9" w:rsidRPr="008C1E5F">
        <w:rPr>
          <w:color w:val="242424"/>
          <w:spacing w:val="-2"/>
        </w:rPr>
        <w:t xml:space="preserve"> where appropriate</w:t>
      </w:r>
      <w:r w:rsidR="00D43E8F" w:rsidRPr="008C1E5F">
        <w:rPr>
          <w:color w:val="242424"/>
          <w:spacing w:val="-2"/>
        </w:rPr>
        <w:t xml:space="preserve">. </w:t>
      </w:r>
      <w:r w:rsidR="00996F62" w:rsidRPr="008C1E5F">
        <w:rPr>
          <w:spacing w:val="-2"/>
        </w:rPr>
        <w:t>In focus groups</w:t>
      </w:r>
      <w:r w:rsidR="00921793">
        <w:rPr>
          <w:spacing w:val="-2"/>
        </w:rPr>
        <w:t>,</w:t>
      </w:r>
      <w:r w:rsidR="00996F62" w:rsidRPr="008C1E5F">
        <w:rPr>
          <w:spacing w:val="-2"/>
        </w:rPr>
        <w:t xml:space="preserve"> school leaders </w:t>
      </w:r>
      <w:r w:rsidR="00813927" w:rsidRPr="008C1E5F">
        <w:rPr>
          <w:spacing w:val="-2"/>
        </w:rPr>
        <w:t xml:space="preserve">described </w:t>
      </w:r>
      <w:r w:rsidR="00996F62" w:rsidRPr="008C1E5F">
        <w:rPr>
          <w:spacing w:val="-2"/>
        </w:rPr>
        <w:t>collaborating with the district to align their plans with broader district goals, stating that</w:t>
      </w:r>
      <w:r w:rsidR="00F41E9A" w:rsidRPr="008C1E5F">
        <w:rPr>
          <w:spacing w:val="-2"/>
        </w:rPr>
        <w:t xml:space="preserve"> every spring</w:t>
      </w:r>
      <w:r w:rsidR="00902C16">
        <w:rPr>
          <w:spacing w:val="-2"/>
        </w:rPr>
        <w:t>,</w:t>
      </w:r>
      <w:r w:rsidR="00F41E9A" w:rsidRPr="008C1E5F">
        <w:rPr>
          <w:spacing w:val="-2"/>
        </w:rPr>
        <w:t xml:space="preserve"> they have a meeting with the district team to develop their school improvement plans for the upcoming year. </w:t>
      </w:r>
      <w:r w:rsidR="00CE355D" w:rsidRPr="008C1E5F">
        <w:rPr>
          <w:spacing w:val="-2"/>
        </w:rPr>
        <w:t xml:space="preserve">A review of all the school improvement plans found </w:t>
      </w:r>
      <w:r w:rsidR="00813927" w:rsidRPr="008C1E5F">
        <w:rPr>
          <w:spacing w:val="-2"/>
        </w:rPr>
        <w:t xml:space="preserve">the following </w:t>
      </w:r>
      <w:r w:rsidR="001E00DF" w:rsidRPr="008C1E5F">
        <w:rPr>
          <w:spacing w:val="-2"/>
        </w:rPr>
        <w:t xml:space="preserve">three common </w:t>
      </w:r>
      <w:r w:rsidR="008A1221" w:rsidRPr="008C1E5F">
        <w:rPr>
          <w:spacing w:val="-2"/>
        </w:rPr>
        <w:t xml:space="preserve">goals </w:t>
      </w:r>
      <w:r w:rsidR="0038110D" w:rsidRPr="008C1E5F">
        <w:rPr>
          <w:spacing w:val="-2"/>
        </w:rPr>
        <w:t>across schools</w:t>
      </w:r>
      <w:r w:rsidR="0084623B" w:rsidRPr="008C1E5F">
        <w:rPr>
          <w:spacing w:val="-2"/>
        </w:rPr>
        <w:t xml:space="preserve">, with additional school-specific goals as needed: </w:t>
      </w:r>
    </w:p>
    <w:p w14:paraId="0D16F156" w14:textId="28B99D57" w:rsidR="00996F62" w:rsidRPr="008C1E5F" w:rsidRDefault="00996F62" w:rsidP="00F4028E">
      <w:pPr>
        <w:pStyle w:val="NumberedList"/>
      </w:pPr>
      <w:r w:rsidRPr="008C1E5F">
        <w:t>Intentionally engag</w:t>
      </w:r>
      <w:r w:rsidR="00813927" w:rsidRPr="008C1E5F">
        <w:t>e</w:t>
      </w:r>
      <w:r w:rsidRPr="008C1E5F">
        <w:t xml:space="preserve"> students in grade-appropriate oral and written discourse that supports the language development of </w:t>
      </w:r>
      <w:r w:rsidR="00930F79">
        <w:t>S</w:t>
      </w:r>
      <w:r w:rsidR="00073EA2">
        <w:t xml:space="preserve">tudents with </w:t>
      </w:r>
      <w:r w:rsidR="00930F79">
        <w:t>D</w:t>
      </w:r>
      <w:r w:rsidR="00073EA2">
        <w:t>isabilities</w:t>
      </w:r>
      <w:r w:rsidR="00073EA2" w:rsidRPr="008C1E5F">
        <w:t xml:space="preserve"> </w:t>
      </w:r>
      <w:r w:rsidRPr="008C1E5F">
        <w:t xml:space="preserve">and </w:t>
      </w:r>
      <w:r w:rsidR="00073EA2">
        <w:t>English Learners</w:t>
      </w:r>
      <w:r w:rsidRPr="008C1E5F">
        <w:t xml:space="preserve"> so that students acquire and </w:t>
      </w:r>
      <w:proofErr w:type="gramStart"/>
      <w:r w:rsidRPr="008C1E5F">
        <w:t>are able to</w:t>
      </w:r>
      <w:proofErr w:type="gramEnd"/>
      <w:r w:rsidRPr="008C1E5F">
        <w:t xml:space="preserve"> use academic language to communicate their understanding of grade</w:t>
      </w:r>
      <w:r w:rsidR="00813927" w:rsidRPr="008C1E5F">
        <w:t>-</w:t>
      </w:r>
      <w:r w:rsidRPr="008C1E5F">
        <w:t>level work.</w:t>
      </w:r>
    </w:p>
    <w:p w14:paraId="44353A1F" w14:textId="203128B9" w:rsidR="00996F62" w:rsidRPr="008C1E5F" w:rsidRDefault="00996F62" w:rsidP="00A31511">
      <w:pPr>
        <w:pStyle w:val="ListParagraph"/>
        <w:numPr>
          <w:ilvl w:val="0"/>
          <w:numId w:val="13"/>
        </w:numPr>
        <w:tabs>
          <w:tab w:val="left" w:pos="460"/>
        </w:tabs>
        <w:spacing w:line="259" w:lineRule="auto"/>
        <w:rPr>
          <w:rFonts w:eastAsia="Aptos" w:cs="Aptos"/>
        </w:rPr>
      </w:pPr>
      <w:r w:rsidRPr="008C1E5F">
        <w:rPr>
          <w:rFonts w:eastAsia="Aptos" w:cs="Aptos"/>
        </w:rPr>
        <w:t>Effectively engag</w:t>
      </w:r>
      <w:r w:rsidR="00813927" w:rsidRPr="008C1E5F">
        <w:rPr>
          <w:rFonts w:eastAsia="Aptos" w:cs="Aptos"/>
        </w:rPr>
        <w:t>e</w:t>
      </w:r>
      <w:r w:rsidRPr="008C1E5F">
        <w:rPr>
          <w:rFonts w:eastAsia="Aptos" w:cs="Aptos"/>
        </w:rPr>
        <w:t xml:space="preserve"> multiple stakeholders in monitoring progress toward school improvement goals for</w:t>
      </w:r>
      <w:r w:rsidR="009F6EEB">
        <w:rPr>
          <w:rFonts w:eastAsia="Aptos" w:cs="Aptos"/>
        </w:rPr>
        <w:t xml:space="preserve"> the 2024-</w:t>
      </w:r>
      <w:r w:rsidRPr="008C1E5F">
        <w:rPr>
          <w:rFonts w:eastAsia="Aptos" w:cs="Aptos"/>
        </w:rPr>
        <w:t>2</w:t>
      </w:r>
      <w:r w:rsidR="009F6EEB">
        <w:rPr>
          <w:rFonts w:eastAsia="Aptos" w:cs="Aptos"/>
        </w:rPr>
        <w:t>02</w:t>
      </w:r>
      <w:r w:rsidRPr="008C1E5F">
        <w:rPr>
          <w:rFonts w:eastAsia="Aptos" w:cs="Aptos"/>
        </w:rPr>
        <w:t xml:space="preserve">5 as well as in developing a data-informed, results-oriented School Improvement Plan for </w:t>
      </w:r>
      <w:r w:rsidR="009F6EEB">
        <w:rPr>
          <w:rFonts w:eastAsia="Aptos" w:cs="Aptos"/>
        </w:rPr>
        <w:t>the 2025-20</w:t>
      </w:r>
      <w:r w:rsidRPr="008C1E5F">
        <w:rPr>
          <w:rFonts w:eastAsia="Aptos" w:cs="Aptos"/>
        </w:rPr>
        <w:t>26</w:t>
      </w:r>
      <w:r w:rsidRPr="008C1E5F">
        <w:rPr>
          <w:rFonts w:cs="Segoe UI"/>
          <w:color w:val="1D1F25"/>
          <w:shd w:val="clear" w:color="auto" w:fill="FFFFFF"/>
        </w:rPr>
        <w:t xml:space="preserve"> </w:t>
      </w:r>
      <w:r w:rsidR="009F6EEB">
        <w:rPr>
          <w:rFonts w:cs="Segoe UI"/>
          <w:color w:val="1D1F25"/>
          <w:shd w:val="clear" w:color="auto" w:fill="FFFFFF"/>
        </w:rPr>
        <w:t xml:space="preserve">school year </w:t>
      </w:r>
      <w:r w:rsidRPr="008C1E5F">
        <w:rPr>
          <w:rFonts w:eastAsia="Aptos" w:cs="Aptos"/>
        </w:rPr>
        <w:t>as evidenced by</w:t>
      </w:r>
      <w:r w:rsidR="00813927" w:rsidRPr="008C1E5F">
        <w:rPr>
          <w:rFonts w:eastAsia="Aptos" w:cs="Aptos"/>
        </w:rPr>
        <w:t xml:space="preserve"> the following</w:t>
      </w:r>
      <w:r w:rsidRPr="008C1E5F">
        <w:rPr>
          <w:rFonts w:eastAsia="Aptos" w:cs="Aptos"/>
        </w:rPr>
        <w:t xml:space="preserve">: </w:t>
      </w:r>
    </w:p>
    <w:p w14:paraId="490394D9" w14:textId="77777777" w:rsidR="00996F62" w:rsidRPr="008C1E5F" w:rsidRDefault="00996F62" w:rsidP="00F4028E">
      <w:pPr>
        <w:pStyle w:val="NumberedList"/>
        <w:numPr>
          <w:ilvl w:val="1"/>
          <w:numId w:val="13"/>
        </w:numPr>
        <w:ind w:left="1080"/>
        <w:contextualSpacing w:val="0"/>
      </w:pPr>
      <w:r w:rsidRPr="008C1E5F">
        <w:t xml:space="preserve">Facilitation of ILT meetings aligned with the district vision for effective ILTs resulting in appropriate short-term goals </w:t>
      </w:r>
    </w:p>
    <w:p w14:paraId="29721DA7" w14:textId="654EA918" w:rsidR="00996F62" w:rsidRPr="008C1E5F" w:rsidRDefault="00996F62" w:rsidP="00F4028E">
      <w:pPr>
        <w:pStyle w:val="NumberedList"/>
        <w:numPr>
          <w:ilvl w:val="1"/>
          <w:numId w:val="13"/>
        </w:numPr>
        <w:ind w:left="1080"/>
        <w:contextualSpacing w:val="0"/>
      </w:pPr>
      <w:r w:rsidRPr="008C1E5F">
        <w:t xml:space="preserve">Establishment of a school council that comes together at least quarterly and is meaningfully engaged in the process of adopting educational goals for the school that are consistent with local educational policies and statewide student performance standards </w:t>
      </w:r>
      <w:r w:rsidR="00813927" w:rsidRPr="008C1E5F">
        <w:t>i</w:t>
      </w:r>
      <w:r w:rsidRPr="008C1E5F">
        <w:t xml:space="preserve">dentifying the educational needs of students attending the school </w:t>
      </w:r>
    </w:p>
    <w:p w14:paraId="19E85AD3" w14:textId="77777777" w:rsidR="00996F62" w:rsidRPr="008C1E5F" w:rsidRDefault="00996F62" w:rsidP="00F4028E">
      <w:pPr>
        <w:pStyle w:val="NumberedList"/>
        <w:numPr>
          <w:ilvl w:val="1"/>
          <w:numId w:val="13"/>
        </w:numPr>
        <w:ind w:left="1080"/>
        <w:contextualSpacing w:val="0"/>
      </w:pPr>
      <w:r w:rsidRPr="008C1E5F">
        <w:t xml:space="preserve">Reviewing the annual school building budget </w:t>
      </w:r>
    </w:p>
    <w:p w14:paraId="01F10B40" w14:textId="77777777" w:rsidR="00996F62" w:rsidRPr="008C1E5F" w:rsidRDefault="00996F62" w:rsidP="00F4028E">
      <w:pPr>
        <w:pStyle w:val="NumberedList"/>
        <w:numPr>
          <w:ilvl w:val="1"/>
          <w:numId w:val="13"/>
        </w:numPr>
        <w:ind w:left="1080"/>
        <w:contextualSpacing w:val="0"/>
      </w:pPr>
      <w:r w:rsidRPr="008C1E5F">
        <w:t>Formulating a school improvement plan</w:t>
      </w:r>
    </w:p>
    <w:p w14:paraId="17494B61" w14:textId="15B9E306" w:rsidR="00996F62" w:rsidRPr="008C1E5F" w:rsidRDefault="00996F62" w:rsidP="00F4028E">
      <w:pPr>
        <w:pStyle w:val="NumberedList"/>
      </w:pPr>
      <w:r w:rsidRPr="008C1E5F">
        <w:t>Reduc</w:t>
      </w:r>
      <w:r w:rsidR="00813927" w:rsidRPr="008C1E5F">
        <w:t>e</w:t>
      </w:r>
      <w:r w:rsidRPr="008C1E5F">
        <w:t xml:space="preserve"> chronic </w:t>
      </w:r>
      <w:r w:rsidR="000017DD" w:rsidRPr="008C1E5F">
        <w:t xml:space="preserve">absenteeism </w:t>
      </w:r>
      <w:r w:rsidRPr="008C1E5F">
        <w:t>rates</w:t>
      </w:r>
      <w:r w:rsidR="00813927" w:rsidRPr="008C1E5F">
        <w:t>.</w:t>
      </w:r>
      <w:r w:rsidRPr="008C1E5F">
        <w:t xml:space="preserve"> </w:t>
      </w:r>
    </w:p>
    <w:p w14:paraId="03CD5347" w14:textId="204C3B38" w:rsidR="00691A47" w:rsidRPr="008C1E5F" w:rsidRDefault="00943C45" w:rsidP="00F4028E">
      <w:pPr>
        <w:pStyle w:val="BodyText"/>
      </w:pPr>
      <w:r w:rsidRPr="008C1E5F">
        <w:t xml:space="preserve">The </w:t>
      </w:r>
      <w:r w:rsidR="00E61F12" w:rsidRPr="008C1E5F">
        <w:t xml:space="preserve">development of these school improvement plans, </w:t>
      </w:r>
      <w:r w:rsidR="002A7805" w:rsidRPr="008C1E5F">
        <w:t>with consistent</w:t>
      </w:r>
      <w:r w:rsidR="00E61F12" w:rsidRPr="008C1E5F">
        <w:t xml:space="preserve"> priorities</w:t>
      </w:r>
      <w:r w:rsidR="002A7805" w:rsidRPr="008C1E5F">
        <w:t xml:space="preserve"> across schools</w:t>
      </w:r>
      <w:r w:rsidR="00E61F12" w:rsidRPr="008C1E5F">
        <w:t xml:space="preserve">, is a strength of the district. </w:t>
      </w:r>
    </w:p>
    <w:p w14:paraId="64E6910A" w14:textId="30B3441F" w:rsidR="00E53D8A" w:rsidRPr="008C1E5F" w:rsidRDefault="00F862E8" w:rsidP="00F4028E">
      <w:pPr>
        <w:pStyle w:val="BodyText"/>
      </w:pPr>
      <w:bookmarkStart w:id="46" w:name="_District_and_School_1"/>
      <w:bookmarkStart w:id="47" w:name="_District_Culture"/>
      <w:bookmarkEnd w:id="46"/>
      <w:bookmarkEnd w:id="47"/>
      <w:r w:rsidRPr="008C1E5F">
        <w:t xml:space="preserve">Discussions with the school leaders and the superintendent revealed that district and school leaders implement existing </w:t>
      </w:r>
      <w:r w:rsidR="00E53D8A" w:rsidRPr="008C1E5F">
        <w:t>annual</w:t>
      </w:r>
      <w:r w:rsidRPr="008C1E5F">
        <w:t xml:space="preserve"> </w:t>
      </w:r>
      <w:r w:rsidR="4CBE7018" w:rsidRPr="008C1E5F">
        <w:t xml:space="preserve">school </w:t>
      </w:r>
      <w:r w:rsidRPr="008C1E5F">
        <w:t xml:space="preserve">improvement plans and have established formal processes to assess their effectiveness and communicate progress to the district community. For example, in focus groups, school leaders explained that </w:t>
      </w:r>
      <w:r w:rsidR="00ED0664" w:rsidRPr="008C1E5F">
        <w:t xml:space="preserve">the </w:t>
      </w:r>
      <w:r w:rsidR="00AB776C" w:rsidRPr="008C1E5F">
        <w:t xml:space="preserve">district </w:t>
      </w:r>
      <w:r w:rsidR="00ED0664" w:rsidRPr="008C1E5F">
        <w:t>ILT</w:t>
      </w:r>
      <w:r w:rsidRPr="008C1E5F">
        <w:t xml:space="preserve"> looks at the district’s priority goals and </w:t>
      </w:r>
      <w:r w:rsidR="005D755D" w:rsidRPr="008C1E5F">
        <w:t>conducts</w:t>
      </w:r>
      <w:r w:rsidR="0070219C" w:rsidRPr="008C1E5F">
        <w:t xml:space="preserve"> data dives and </w:t>
      </w:r>
      <w:r w:rsidRPr="008C1E5F">
        <w:t xml:space="preserve">walkthroughs with principals to ensure that those goals are being prioritized. </w:t>
      </w:r>
      <w:r w:rsidR="00AC4CA1" w:rsidRPr="008C1E5F">
        <w:t>To monitor the implementation of the</w:t>
      </w:r>
      <w:r w:rsidR="00E53D8A" w:rsidRPr="008C1E5F">
        <w:t xml:space="preserve"> school improvement plans</w:t>
      </w:r>
      <w:r w:rsidR="00AC4CA1" w:rsidRPr="008C1E5F">
        <w:t xml:space="preserve"> on an ongoing basis</w:t>
      </w:r>
      <w:r w:rsidR="00E53D8A" w:rsidRPr="008C1E5F">
        <w:t xml:space="preserve">, </w:t>
      </w:r>
      <w:r w:rsidR="00AC4CA1" w:rsidRPr="008C1E5F">
        <w:t xml:space="preserve">district </w:t>
      </w:r>
      <w:r w:rsidR="00E53D8A" w:rsidRPr="008C1E5F">
        <w:t xml:space="preserve">and </w:t>
      </w:r>
      <w:r w:rsidR="00AC4CA1" w:rsidRPr="008C1E5F">
        <w:t xml:space="preserve">school </w:t>
      </w:r>
      <w:r w:rsidR="00E53D8A" w:rsidRPr="008C1E5F">
        <w:t xml:space="preserve">leaders </w:t>
      </w:r>
      <w:r w:rsidR="00134108" w:rsidRPr="008C1E5F">
        <w:t>described how</w:t>
      </w:r>
      <w:r w:rsidR="00E53D8A" w:rsidRPr="008C1E5F">
        <w:t xml:space="preserve"> the district has prioritized the creation and execution of short-term goals in</w:t>
      </w:r>
      <w:r w:rsidR="00AC4CA1" w:rsidRPr="008C1E5F">
        <w:t xml:space="preserve"> each</w:t>
      </w:r>
      <w:r w:rsidR="00E53D8A" w:rsidRPr="008C1E5F">
        <w:t xml:space="preserve"> school. As mentioned by school leaders in focus groups, the </w:t>
      </w:r>
      <w:r w:rsidR="00E34C5F" w:rsidRPr="008C1E5F">
        <w:t xml:space="preserve">chief academic officer </w:t>
      </w:r>
      <w:r w:rsidR="00AC4CA1" w:rsidRPr="008C1E5F">
        <w:t>works with</w:t>
      </w:r>
      <w:r w:rsidR="00E53D8A" w:rsidRPr="008C1E5F">
        <w:t xml:space="preserve"> principals throughout the district to create short-term goals and then analyze data to measure their effectiveness. For example, one principal mentioned that their school was currently focused on achieving a goal to improve student discourse in the classroom, so they prioritized </w:t>
      </w:r>
      <w:r w:rsidR="006D0478">
        <w:t xml:space="preserve">the </w:t>
      </w:r>
      <w:r w:rsidR="00AC4CA1" w:rsidRPr="008C1E5F">
        <w:t xml:space="preserve">inclusion of </w:t>
      </w:r>
      <w:r w:rsidR="00073EA2">
        <w:t>English Learners</w:t>
      </w:r>
      <w:r w:rsidR="00073EA2" w:rsidRPr="008C1E5F">
        <w:t xml:space="preserve"> </w:t>
      </w:r>
      <w:r w:rsidR="00E53D8A" w:rsidRPr="008C1E5F">
        <w:t xml:space="preserve">and </w:t>
      </w:r>
      <w:r w:rsidR="0086515B">
        <w:t>S</w:t>
      </w:r>
      <w:r w:rsidR="00073EA2">
        <w:t xml:space="preserve">tudents with </w:t>
      </w:r>
      <w:r w:rsidR="0086515B">
        <w:t>D</w:t>
      </w:r>
      <w:r w:rsidR="00073EA2">
        <w:t>isabilities</w:t>
      </w:r>
      <w:r w:rsidR="00073EA2" w:rsidRPr="008C1E5F">
        <w:t xml:space="preserve"> </w:t>
      </w:r>
      <w:r w:rsidR="00E53D8A" w:rsidRPr="008C1E5F">
        <w:t xml:space="preserve">in their classrooms. In general, school leaders explained that these short-term goals were intended to take about six weeks and then principals would measure their success through data collected during principals’ classroom walkthroughs and other data sources. </w:t>
      </w:r>
      <w:r w:rsidR="00227C96" w:rsidRPr="008C1E5F">
        <w:t>The district’s active partnership with school leaders to monitor progress via short-term goals aligned to their school improvement plans</w:t>
      </w:r>
      <w:r w:rsidR="00250742" w:rsidRPr="008C1E5F">
        <w:t xml:space="preserve"> is a strength of the district. </w:t>
      </w:r>
    </w:p>
    <w:p w14:paraId="40BB80EE" w14:textId="1C91170E" w:rsidR="00D1162E" w:rsidRPr="008C1E5F" w:rsidRDefault="004728CB" w:rsidP="00F4028E">
      <w:pPr>
        <w:pStyle w:val="BodyText"/>
      </w:pPr>
      <w:r w:rsidRPr="008C1E5F">
        <w:lastRenderedPageBreak/>
        <w:t>In addition</w:t>
      </w:r>
      <w:r w:rsidR="00476AE7" w:rsidRPr="008C1E5F">
        <w:t xml:space="preserve"> to the </w:t>
      </w:r>
      <w:proofErr w:type="gramStart"/>
      <w:r w:rsidR="00476AE7" w:rsidRPr="008C1E5F">
        <w:t>aforementioned annual</w:t>
      </w:r>
      <w:proofErr w:type="gramEnd"/>
      <w:r w:rsidR="00476AE7" w:rsidRPr="008C1E5F">
        <w:t xml:space="preserve"> school improvement plans and short-term goals</w:t>
      </w:r>
      <w:r w:rsidRPr="008C1E5F">
        <w:t xml:space="preserve">, district leaders reported that </w:t>
      </w:r>
      <w:r w:rsidR="00C8605F" w:rsidRPr="008C1E5F">
        <w:t xml:space="preserve">they </w:t>
      </w:r>
      <w:r w:rsidR="0070219C" w:rsidRPr="008C1E5F">
        <w:t xml:space="preserve">had created a </w:t>
      </w:r>
      <w:r w:rsidR="009705DB" w:rsidRPr="008C1E5F">
        <w:t xml:space="preserve">“school partnership model </w:t>
      </w:r>
      <w:r w:rsidR="00476AE7" w:rsidRPr="008C1E5F">
        <w:t>[throughout the district]</w:t>
      </w:r>
      <w:r w:rsidR="009705DB" w:rsidRPr="008C1E5F">
        <w:t xml:space="preserve"> this year, where each director [is assigned to] a cluster of schools.” </w:t>
      </w:r>
      <w:r w:rsidR="00051B3C" w:rsidRPr="008C1E5F">
        <w:t>These</w:t>
      </w:r>
      <w:r w:rsidR="005616A1" w:rsidRPr="008C1E5F">
        <w:t xml:space="preserve"> directors have offices within the</w:t>
      </w:r>
      <w:r w:rsidR="00DD5D26" w:rsidRPr="008C1E5F">
        <w:t xml:space="preserve"> schools that they partner with,</w:t>
      </w:r>
      <w:r w:rsidR="005616A1" w:rsidRPr="008C1E5F">
        <w:t xml:space="preserve"> and they are required to have at least three interactions a month with </w:t>
      </w:r>
      <w:r w:rsidR="00D15D85" w:rsidRPr="008C1E5F">
        <w:t>the</w:t>
      </w:r>
      <w:r w:rsidR="005616A1" w:rsidRPr="008C1E5F">
        <w:t xml:space="preserve"> school principal and their team. </w:t>
      </w:r>
      <w:r w:rsidR="00051B3C" w:rsidRPr="008C1E5F">
        <w:t xml:space="preserve">During these interactions, directors “become thought partners” with the principals and </w:t>
      </w:r>
      <w:r w:rsidR="00DD5D26" w:rsidRPr="008C1E5F">
        <w:t>together they</w:t>
      </w:r>
      <w:r w:rsidR="00051B3C" w:rsidRPr="008C1E5F">
        <w:t xml:space="preserve"> plan all-school activities with principals</w:t>
      </w:r>
      <w:r w:rsidR="00DD5D26" w:rsidRPr="008C1E5F">
        <w:t xml:space="preserve">, </w:t>
      </w:r>
      <w:r w:rsidR="00270988" w:rsidRPr="008C1E5F">
        <w:t>aligned with</w:t>
      </w:r>
      <w:r w:rsidR="00DD5D26" w:rsidRPr="008C1E5F">
        <w:t xml:space="preserve"> the </w:t>
      </w:r>
      <w:r w:rsidR="00051B3C" w:rsidRPr="008C1E5F">
        <w:t>schools’ improvement goals. For example, directors and principals plan school-based data meetings</w:t>
      </w:r>
      <w:r w:rsidR="00DD5D26" w:rsidRPr="008C1E5F">
        <w:t xml:space="preserve"> together</w:t>
      </w:r>
      <w:r w:rsidR="00051B3C" w:rsidRPr="008C1E5F">
        <w:t>,</w:t>
      </w:r>
      <w:r w:rsidR="00DD5D26" w:rsidRPr="008C1E5F">
        <w:t xml:space="preserve"> observe classrooms together,</w:t>
      </w:r>
      <w:r w:rsidR="00051B3C" w:rsidRPr="008C1E5F">
        <w:t xml:space="preserve"> or visit professional learning time together</w:t>
      </w:r>
      <w:r w:rsidR="00691A47" w:rsidRPr="008C1E5F">
        <w:t xml:space="preserve">, depending on the schools’ needs and their improvement goals. </w:t>
      </w:r>
    </w:p>
    <w:p w14:paraId="4C9A44B9" w14:textId="26C79BB4" w:rsidR="003D6ECF" w:rsidRPr="008C1E5F" w:rsidRDefault="003D6ECF" w:rsidP="005F044C">
      <w:pPr>
        <w:pStyle w:val="Heading3"/>
        <w:tabs>
          <w:tab w:val="left" w:pos="4035"/>
        </w:tabs>
      </w:pPr>
      <w:bookmarkStart w:id="48" w:name="_District_Culture_1"/>
      <w:bookmarkStart w:id="49" w:name="_Toc195024213"/>
      <w:bookmarkEnd w:id="48"/>
      <w:r w:rsidRPr="008C1E5F">
        <w:t xml:space="preserve">District </w:t>
      </w:r>
      <w:r w:rsidR="00F95311" w:rsidRPr="008C1E5F">
        <w:t>Culture</w:t>
      </w:r>
      <w:bookmarkEnd w:id="49"/>
      <w:r w:rsidR="005F044C" w:rsidRPr="008C1E5F">
        <w:tab/>
      </w:r>
    </w:p>
    <w:p w14:paraId="0D06DDB2" w14:textId="483009F7" w:rsidR="00E06464" w:rsidRPr="008C1E5F" w:rsidRDefault="00C00347" w:rsidP="00F4028E">
      <w:pPr>
        <w:pStyle w:val="BodyTextposthead"/>
        <w:rPr>
          <w:color w:val="242424"/>
        </w:rPr>
      </w:pPr>
      <w:r w:rsidRPr="008C1E5F">
        <w:t xml:space="preserve">As mentioned </w:t>
      </w:r>
      <w:r w:rsidR="00AB776C" w:rsidRPr="008C1E5F">
        <w:t xml:space="preserve">earlier </w:t>
      </w:r>
      <w:r w:rsidRPr="008C1E5F">
        <w:t>in the Strategic Planning, Implementation, and Monitoring</w:t>
      </w:r>
      <w:r w:rsidR="00AB776C" w:rsidRPr="008C1E5F">
        <w:t xml:space="preserve"> section</w:t>
      </w:r>
      <w:r w:rsidRPr="008C1E5F">
        <w:t>, district administrators foster collaboration and shared decision</w:t>
      </w:r>
      <w:r w:rsidR="00AB776C" w:rsidRPr="008C1E5F">
        <w:t xml:space="preserve"> </w:t>
      </w:r>
      <w:r w:rsidRPr="008C1E5F">
        <w:t>making to improve opportunities and outcomes for all students through collaborative data meetings and school partnership models</w:t>
      </w:r>
      <w:r w:rsidR="0040698E" w:rsidRPr="008C1E5F">
        <w:t xml:space="preserve">, </w:t>
      </w:r>
      <w:r w:rsidR="00AB776C" w:rsidRPr="008C1E5F">
        <w:t xml:space="preserve">which is </w:t>
      </w:r>
      <w:r w:rsidR="0040698E" w:rsidRPr="008C1E5F">
        <w:t>a strength of the district</w:t>
      </w:r>
      <w:r w:rsidRPr="008C1E5F">
        <w:t xml:space="preserve">. Additionally, elected, district, and school leaders have clearly defined roles, as described in interviews and indicated by a review of district administrators’ evaluations. </w:t>
      </w:r>
      <w:r w:rsidR="00082F0D" w:rsidRPr="008C1E5F">
        <w:rPr>
          <w:color w:val="242424"/>
        </w:rPr>
        <w:t>They also</w:t>
      </w:r>
      <w:r w:rsidRPr="008C1E5F">
        <w:rPr>
          <w:color w:val="242424"/>
        </w:rPr>
        <w:t xml:space="preserve"> maintain working relationships with </w:t>
      </w:r>
      <w:r w:rsidR="00922ADF" w:rsidRPr="008C1E5F">
        <w:rPr>
          <w:color w:val="242424"/>
        </w:rPr>
        <w:t>each other</w:t>
      </w:r>
      <w:r w:rsidRPr="008C1E5F">
        <w:rPr>
          <w:color w:val="242424"/>
        </w:rPr>
        <w:t xml:space="preserve">, which are described in evaluations as strong and productive, facilitating their ability to advance school improvement plans. Specifically, in interviews, school leaders noted a positive relationship with district </w:t>
      </w:r>
      <w:r w:rsidR="001D7746" w:rsidRPr="008C1E5F">
        <w:rPr>
          <w:color w:val="242424"/>
        </w:rPr>
        <w:t>leaders and</w:t>
      </w:r>
      <w:r w:rsidRPr="008C1E5F">
        <w:rPr>
          <w:color w:val="242424"/>
        </w:rPr>
        <w:t xml:space="preserve"> reported having a good balance of autonomy and district support, specifically regarding analyzing student data and developing </w:t>
      </w:r>
      <w:r w:rsidR="004A67AB" w:rsidRPr="008C1E5F">
        <w:rPr>
          <w:color w:val="242424"/>
        </w:rPr>
        <w:t xml:space="preserve">subsequent </w:t>
      </w:r>
      <w:r w:rsidRPr="008C1E5F">
        <w:rPr>
          <w:color w:val="242424"/>
        </w:rPr>
        <w:t xml:space="preserve">action plans. </w:t>
      </w:r>
    </w:p>
    <w:p w14:paraId="0611F580" w14:textId="472A7739" w:rsidR="00C00347" w:rsidRPr="008C1E5F" w:rsidRDefault="00C00347" w:rsidP="00F4028E">
      <w:pPr>
        <w:pStyle w:val="BodyText"/>
      </w:pPr>
      <w:r w:rsidRPr="008C1E5F">
        <w:t xml:space="preserve">However, </w:t>
      </w:r>
      <w:r w:rsidR="008D3F96" w:rsidRPr="008C1E5F">
        <w:t>as previously described</w:t>
      </w:r>
      <w:r w:rsidRPr="008C1E5F">
        <w:t xml:space="preserve">, there were mixed </w:t>
      </w:r>
      <w:r w:rsidR="008D3F96" w:rsidRPr="008C1E5F">
        <w:t>reports</w:t>
      </w:r>
      <w:r w:rsidRPr="008C1E5F">
        <w:t xml:space="preserve"> from various stakeholders across interviews regarding the working relationship between the school committee and </w:t>
      </w:r>
      <w:r w:rsidR="005B00A0" w:rsidRPr="008C1E5F">
        <w:t>district leaders</w:t>
      </w:r>
      <w:r w:rsidRPr="008C1E5F">
        <w:t xml:space="preserve">. District leaders specifically noted that </w:t>
      </w:r>
      <w:r w:rsidR="00E2344A">
        <w:t>tensions</w:t>
      </w:r>
      <w:r w:rsidR="003A0D93" w:rsidRPr="008C1E5F">
        <w:t xml:space="preserve"> </w:t>
      </w:r>
      <w:r w:rsidRPr="008C1E5F">
        <w:t xml:space="preserve">between school committee members </w:t>
      </w:r>
      <w:r w:rsidR="00167931" w:rsidRPr="008C1E5F">
        <w:t>and</w:t>
      </w:r>
      <w:r w:rsidRPr="008C1E5F">
        <w:t xml:space="preserve"> the superintendent </w:t>
      </w:r>
      <w:r w:rsidR="00167931" w:rsidRPr="008C1E5F">
        <w:t xml:space="preserve">sometimes </w:t>
      </w:r>
      <w:r w:rsidRPr="008C1E5F">
        <w:t xml:space="preserve">impeded district </w:t>
      </w:r>
      <w:r w:rsidR="00B0431F" w:rsidRPr="008C1E5F">
        <w:t>leaders’</w:t>
      </w:r>
      <w:r w:rsidRPr="008C1E5F">
        <w:t xml:space="preserve"> ability to develop and </w:t>
      </w:r>
      <w:r w:rsidR="004C4EE4">
        <w:t>prioritize efforts</w:t>
      </w:r>
      <w:r w:rsidRPr="008C1E5F">
        <w:t xml:space="preserve"> in the district. </w:t>
      </w:r>
      <w:r w:rsidR="00670CB1" w:rsidRPr="008C1E5F">
        <w:t xml:space="preserve">For example, one district leader referenced that the superintendent was often called into situations to answer specific </w:t>
      </w:r>
      <w:r w:rsidR="002802BF" w:rsidRPr="008C1E5F">
        <w:t xml:space="preserve">historical </w:t>
      </w:r>
      <w:r w:rsidR="00670CB1" w:rsidRPr="008C1E5F">
        <w:t>questions</w:t>
      </w:r>
      <w:r w:rsidR="002802BF" w:rsidRPr="008C1E5F">
        <w:t xml:space="preserve">, such as information relating to “the last </w:t>
      </w:r>
      <w:r w:rsidR="00AB776C" w:rsidRPr="008C1E5F">
        <w:t xml:space="preserve">ten </w:t>
      </w:r>
      <w:r w:rsidR="002802BF" w:rsidRPr="008C1E5F">
        <w:t>years of mold inspections”</w:t>
      </w:r>
      <w:r w:rsidR="00521E3D" w:rsidRPr="008C1E5F">
        <w:t xml:space="preserve"> after a mold issue was identified at one of the district’s schools (see </w:t>
      </w:r>
      <w:r w:rsidR="00791325" w:rsidRPr="008C1E5F">
        <w:t>Operations for additional information).</w:t>
      </w:r>
      <w:r w:rsidR="002802BF" w:rsidRPr="008C1E5F">
        <w:t xml:space="preserve"> </w:t>
      </w:r>
      <w:r w:rsidR="008F199F" w:rsidRPr="008C1E5F">
        <w:t>According to interviews with district leaders, time allotted to respond to these historical questions detracted from the superintendent’s ability to manage current situations</w:t>
      </w:r>
      <w:r w:rsidR="003B7E55">
        <w:t xml:space="preserve"> and </w:t>
      </w:r>
      <w:r w:rsidR="008F199F" w:rsidRPr="008C1E5F">
        <w:t xml:space="preserve">priorities. </w:t>
      </w:r>
    </w:p>
    <w:p w14:paraId="34B9741E" w14:textId="50CCB583" w:rsidR="00D518A9" w:rsidRPr="008C1E5F" w:rsidRDefault="005327A8" w:rsidP="00F4028E">
      <w:pPr>
        <w:pStyle w:val="BodyText"/>
      </w:pPr>
      <w:r w:rsidRPr="008C1E5F">
        <w:t xml:space="preserve">In terms of district leadership turnover, </w:t>
      </w:r>
      <w:r w:rsidR="00D518A9" w:rsidRPr="008C1E5F">
        <w:t>Fall River struggles to recruit and retain staff in the district, and this extends to the district’s leadership. As of this year, the district’s superintendent</w:t>
      </w:r>
      <w:r w:rsidR="00367738" w:rsidRPr="008C1E5F">
        <w:t xml:space="preserve">, </w:t>
      </w:r>
      <w:r w:rsidR="00462AE9" w:rsidRPr="008C1E5F">
        <w:t>chief academic officer</w:t>
      </w:r>
      <w:r w:rsidR="00367738" w:rsidRPr="008C1E5F">
        <w:t>,</w:t>
      </w:r>
      <w:r w:rsidR="00D518A9" w:rsidRPr="008C1E5F">
        <w:t xml:space="preserve"> and director of human resources are </w:t>
      </w:r>
      <w:r w:rsidR="007F7EC9" w:rsidRPr="008C1E5F">
        <w:t xml:space="preserve">all </w:t>
      </w:r>
      <w:r w:rsidR="00D518A9" w:rsidRPr="008C1E5F">
        <w:t xml:space="preserve">new to their positions. </w:t>
      </w:r>
      <w:r w:rsidR="00DB65DA" w:rsidRPr="008C1E5F">
        <w:t>I</w:t>
      </w:r>
      <w:r w:rsidR="00D518A9" w:rsidRPr="008C1E5F">
        <w:t xml:space="preserve">n interviews, district staff did not outline a clear strategy for recruiting and retaining diverse leaders, and this lack of strategy </w:t>
      </w:r>
      <w:r w:rsidR="00893BEC" w:rsidRPr="008C1E5F">
        <w:t>does</w:t>
      </w:r>
      <w:r w:rsidR="00D518A9" w:rsidRPr="008C1E5F">
        <w:t xml:space="preserve"> not ensure stability or sustain initiatives during leadership </w:t>
      </w:r>
      <w:r w:rsidR="002804D6" w:rsidRPr="008C1E5F">
        <w:t>turnover. F</w:t>
      </w:r>
      <w:r w:rsidR="00D518A9" w:rsidRPr="008C1E5F">
        <w:t xml:space="preserve">or recruitment, district leaders described that they posted job openings on </w:t>
      </w:r>
      <w:proofErr w:type="spellStart"/>
      <w:r w:rsidR="00D518A9" w:rsidRPr="008C1E5F">
        <w:t>TalentEd</w:t>
      </w:r>
      <w:proofErr w:type="spellEnd"/>
      <w:r w:rsidR="00D518A9" w:rsidRPr="008C1E5F">
        <w:t xml:space="preserve"> and </w:t>
      </w:r>
      <w:proofErr w:type="spellStart"/>
      <w:r w:rsidR="00D518A9" w:rsidRPr="008C1E5F">
        <w:t>SchoolSpring</w:t>
      </w:r>
      <w:proofErr w:type="spellEnd"/>
      <w:r w:rsidR="00D518A9" w:rsidRPr="008C1E5F">
        <w:t xml:space="preserve"> for all positions, including </w:t>
      </w:r>
      <w:r w:rsidR="002D3225" w:rsidRPr="008C1E5F">
        <w:t>district leaders</w:t>
      </w:r>
      <w:r w:rsidR="00D518A9" w:rsidRPr="008C1E5F">
        <w:t xml:space="preserve">. </w:t>
      </w:r>
      <w:r w:rsidR="008A228E" w:rsidRPr="008C1E5F">
        <w:t>Although the</w:t>
      </w:r>
      <w:r w:rsidR="00D518A9" w:rsidRPr="008C1E5F">
        <w:t xml:space="preserve"> district’s superintendent </w:t>
      </w:r>
      <w:r w:rsidR="002D3225" w:rsidRPr="008C1E5F">
        <w:t xml:space="preserve">and </w:t>
      </w:r>
      <w:r w:rsidR="00462AE9" w:rsidRPr="008C1E5F">
        <w:t xml:space="preserve">chief academic officer </w:t>
      </w:r>
      <w:r w:rsidR="002D3225" w:rsidRPr="008C1E5F">
        <w:t>are</w:t>
      </w:r>
      <w:r w:rsidR="00D518A9" w:rsidRPr="008C1E5F">
        <w:t xml:space="preserve"> new to </w:t>
      </w:r>
      <w:r w:rsidR="002D3225" w:rsidRPr="008C1E5F">
        <w:t xml:space="preserve">their </w:t>
      </w:r>
      <w:r w:rsidR="00D518A9" w:rsidRPr="008C1E5F">
        <w:t>role</w:t>
      </w:r>
      <w:r w:rsidR="002D3225" w:rsidRPr="008C1E5F">
        <w:t>s</w:t>
      </w:r>
      <w:r w:rsidR="00D518A9" w:rsidRPr="008C1E5F">
        <w:t xml:space="preserve">, </w:t>
      </w:r>
      <w:r w:rsidR="002D3225" w:rsidRPr="008C1E5F">
        <w:t xml:space="preserve">both </w:t>
      </w:r>
      <w:r w:rsidR="00D518A9" w:rsidRPr="008C1E5F">
        <w:t>previously held leadership role</w:t>
      </w:r>
      <w:r w:rsidR="002D3225" w:rsidRPr="008C1E5F">
        <w:t>s</w:t>
      </w:r>
      <w:r w:rsidR="00D518A9" w:rsidRPr="008C1E5F">
        <w:t xml:space="preserve"> in the district, indicating </w:t>
      </w:r>
      <w:r w:rsidR="00E875E3" w:rsidRPr="008C1E5F">
        <w:t>that the district consider</w:t>
      </w:r>
      <w:r w:rsidR="00AB776C" w:rsidRPr="008C1E5F">
        <w:t>s</w:t>
      </w:r>
      <w:r w:rsidR="00E875E3" w:rsidRPr="008C1E5F">
        <w:t xml:space="preserve"> internal staff to fill leadership vacancies</w:t>
      </w:r>
      <w:r w:rsidR="00D518A9" w:rsidRPr="008C1E5F">
        <w:t xml:space="preserve">. </w:t>
      </w:r>
      <w:r w:rsidR="00B64144" w:rsidRPr="008C1E5F">
        <w:t>Establishing strategies for recruiting, onboarding, and retaining</w:t>
      </w:r>
      <w:r w:rsidR="009B6F18" w:rsidRPr="008C1E5F">
        <w:t xml:space="preserve"> diverse</w:t>
      </w:r>
      <w:r w:rsidR="00B64144" w:rsidRPr="008C1E5F">
        <w:t xml:space="preserve"> district leaders is an area </w:t>
      </w:r>
      <w:r w:rsidR="00BD62F1" w:rsidRPr="008C1E5F">
        <w:t xml:space="preserve">for </w:t>
      </w:r>
      <w:r w:rsidR="00B64144" w:rsidRPr="008C1E5F">
        <w:t xml:space="preserve">growth for the district. </w:t>
      </w:r>
    </w:p>
    <w:p w14:paraId="6885CB80" w14:textId="77B63C98" w:rsidR="00A63AA1" w:rsidRPr="008C1E5F" w:rsidRDefault="005C25C4" w:rsidP="00F4028E">
      <w:pPr>
        <w:pStyle w:val="BodyText"/>
      </w:pPr>
      <w:r w:rsidRPr="008C1E5F">
        <w:lastRenderedPageBreak/>
        <w:t xml:space="preserve">In terms of stakeholder engagement, </w:t>
      </w:r>
      <w:r w:rsidR="00A63AA1" w:rsidRPr="008C1E5F">
        <w:t>Fall River partners with key stakeholders and intentionally seeks input from underrepresented groups in decision</w:t>
      </w:r>
      <w:r w:rsidR="00AB037F" w:rsidRPr="008C1E5F">
        <w:t xml:space="preserve"> </w:t>
      </w:r>
      <w:r w:rsidR="00A63AA1" w:rsidRPr="008C1E5F">
        <w:t xml:space="preserve">making in a few key areas, with room for growth and further involvement of stakeholder engagement in the district. Parents in focus groups noted that the district uses </w:t>
      </w:r>
      <w:proofErr w:type="spellStart"/>
      <w:r w:rsidR="00A63AA1" w:rsidRPr="008C1E5F">
        <w:t>ParentSquare</w:t>
      </w:r>
      <w:proofErr w:type="spellEnd"/>
      <w:r w:rsidR="00A63AA1" w:rsidRPr="008C1E5F">
        <w:t xml:space="preserve"> and emails as well as Facebook and </w:t>
      </w:r>
      <w:r w:rsidR="00AB037F" w:rsidRPr="008C1E5F">
        <w:t>X to communicate with parents</w:t>
      </w:r>
      <w:r w:rsidR="00A63AA1" w:rsidRPr="008C1E5F">
        <w:t xml:space="preserve">. Additionally, one parent in a focus group shared a positive experience, noting that their school ran a school-level event </w:t>
      </w:r>
      <w:r w:rsidR="00AB037F" w:rsidRPr="008C1E5F">
        <w:t>that</w:t>
      </w:r>
      <w:r w:rsidR="00A63AA1" w:rsidRPr="008C1E5F">
        <w:t xml:space="preserve"> provided parents with information on how that school compared to other schools in the state. Generally, parents agreed that communication was effective and that they appreciated </w:t>
      </w:r>
      <w:r w:rsidR="000E702F" w:rsidRPr="008C1E5F">
        <w:t>opportunities to get involved</w:t>
      </w:r>
      <w:r w:rsidR="00A63AA1" w:rsidRPr="008C1E5F">
        <w:t xml:space="preserve">. </w:t>
      </w:r>
      <w:r w:rsidR="00EA567E" w:rsidRPr="008C1E5F">
        <w:t>Some p</w:t>
      </w:r>
      <w:r w:rsidR="00A63AA1" w:rsidRPr="008C1E5F">
        <w:t xml:space="preserve">arents in focus groups </w:t>
      </w:r>
      <w:r w:rsidR="00AB037F" w:rsidRPr="008C1E5F">
        <w:t xml:space="preserve">described </w:t>
      </w:r>
      <w:r w:rsidR="00A63AA1" w:rsidRPr="008C1E5F">
        <w:t>attending school</w:t>
      </w:r>
      <w:r w:rsidR="00AB037F" w:rsidRPr="008C1E5F">
        <w:t>-</w:t>
      </w:r>
      <w:r w:rsidR="00A63AA1" w:rsidRPr="008C1E5F">
        <w:t xml:space="preserve">level parent advisory councils </w:t>
      </w:r>
      <w:r w:rsidR="007125AE">
        <w:t>at their child’s school</w:t>
      </w:r>
      <w:r w:rsidR="00A63AA1" w:rsidRPr="008C1E5F">
        <w:t xml:space="preserve"> as well as </w:t>
      </w:r>
      <w:r w:rsidR="00D24F11">
        <w:t>the</w:t>
      </w:r>
      <w:r w:rsidR="00A63AA1" w:rsidRPr="008C1E5F">
        <w:t xml:space="preserve"> SEPAC</w:t>
      </w:r>
      <w:r w:rsidR="00691086">
        <w:t xml:space="preserve"> and ELPAC</w:t>
      </w:r>
      <w:r w:rsidR="00390C9F">
        <w:t xml:space="preserve"> (see Family and Community partnerships for more information on the SEPAC and ELPAC)</w:t>
      </w:r>
      <w:r w:rsidR="00A63AA1" w:rsidRPr="008C1E5F">
        <w:t xml:space="preserve">. </w:t>
      </w:r>
    </w:p>
    <w:p w14:paraId="7BA50164" w14:textId="38E1FE2B" w:rsidR="005C25C4" w:rsidRPr="008C1E5F" w:rsidRDefault="00A63AA1" w:rsidP="00F4028E">
      <w:pPr>
        <w:pStyle w:val="BodyText"/>
      </w:pPr>
      <w:r w:rsidRPr="008C1E5F">
        <w:t>The school committee, district staff, and superintendent outlined the district</w:t>
      </w:r>
      <w:r w:rsidR="00AB037F" w:rsidRPr="008C1E5F">
        <w:t>’</w:t>
      </w:r>
      <w:r w:rsidRPr="008C1E5F">
        <w:t xml:space="preserve">s efforts to engage the broader community. District leadership noted that they intentionally solicited parent feedback on district priorities through two surveys </w:t>
      </w:r>
      <w:r w:rsidR="00AB037F" w:rsidRPr="008C1E5F">
        <w:t xml:space="preserve">that </w:t>
      </w:r>
      <w:r w:rsidRPr="008C1E5F">
        <w:t xml:space="preserve">were administered on </w:t>
      </w:r>
      <w:proofErr w:type="spellStart"/>
      <w:r w:rsidRPr="008C1E5F">
        <w:t>ParentSquare</w:t>
      </w:r>
      <w:proofErr w:type="spellEnd"/>
      <w:r w:rsidRPr="008C1E5F">
        <w:t xml:space="preserve"> throughout the school year: </w:t>
      </w:r>
      <w:r w:rsidR="00AB037F" w:rsidRPr="008C1E5F">
        <w:t xml:space="preserve">a survey on </w:t>
      </w:r>
      <w:r w:rsidRPr="008C1E5F">
        <w:t>the conditions for learning for parents and for students</w:t>
      </w:r>
      <w:r w:rsidR="00900ABE">
        <w:t>,</w:t>
      </w:r>
      <w:r w:rsidRPr="008C1E5F">
        <w:t xml:space="preserve"> and a survey on budget priorities. </w:t>
      </w:r>
      <w:r w:rsidR="003F759A">
        <w:t>Yet</w:t>
      </w:r>
      <w:r w:rsidRPr="008C1E5F">
        <w:t>, district personnel did not describe a clear process for incorporating the data from these surveys into decision-making processes</w:t>
      </w:r>
      <w:r w:rsidR="00BE05D3" w:rsidRPr="008C1E5F">
        <w:t xml:space="preserve"> and did not provide examples of how the data ha</w:t>
      </w:r>
      <w:r w:rsidR="00AB037F" w:rsidRPr="008C1E5F">
        <w:t>ve</w:t>
      </w:r>
      <w:r w:rsidR="00BE05D3" w:rsidRPr="008C1E5F">
        <w:t xml:space="preserve"> been used in the past</w:t>
      </w:r>
      <w:r w:rsidRPr="008C1E5F">
        <w:t xml:space="preserve">. Additionally, in focus groups, many parents reported the desire to be more involved with district </w:t>
      </w:r>
      <w:r w:rsidR="00900ABE">
        <w:t>decision-making</w:t>
      </w:r>
      <w:r w:rsidRPr="008C1E5F">
        <w:t>, such as through participation on committees like the superintendent search committee</w:t>
      </w:r>
      <w:r w:rsidR="009B54B7" w:rsidRPr="008C1E5F">
        <w:t xml:space="preserve">. </w:t>
      </w:r>
      <w:r w:rsidR="00D1526C">
        <w:t>A</w:t>
      </w:r>
      <w:r w:rsidR="009B54B7" w:rsidRPr="008C1E5F">
        <w:t>ccording to parents,</w:t>
      </w:r>
      <w:r w:rsidRPr="008C1E5F">
        <w:t xml:space="preserve"> the district </w:t>
      </w:r>
      <w:r w:rsidR="003932C8" w:rsidRPr="008C1E5F">
        <w:t>does</w:t>
      </w:r>
      <w:r w:rsidRPr="008C1E5F">
        <w:t xml:space="preserve"> not </w:t>
      </w:r>
      <w:r w:rsidR="003932C8" w:rsidRPr="008C1E5F">
        <w:t>consistently communicate about these</w:t>
      </w:r>
      <w:r w:rsidRPr="008C1E5F">
        <w:t xml:space="preserve"> opportunities for parent</w:t>
      </w:r>
      <w:r w:rsidR="003932C8" w:rsidRPr="008C1E5F">
        <w:t>al</w:t>
      </w:r>
      <w:r w:rsidRPr="008C1E5F">
        <w:t xml:space="preserve"> involvement</w:t>
      </w:r>
      <w:r w:rsidR="004D0A79" w:rsidRPr="008C1E5F">
        <w:t>. Parents who report</w:t>
      </w:r>
      <w:r w:rsidR="00AB037F" w:rsidRPr="008C1E5F">
        <w:t>ed</w:t>
      </w:r>
      <w:r w:rsidR="004D0A79" w:rsidRPr="008C1E5F">
        <w:t xml:space="preserve"> participating in these opportunities </w:t>
      </w:r>
      <w:r w:rsidR="009C0403" w:rsidRPr="008C1E5F">
        <w:t xml:space="preserve">knew that they could get involved and </w:t>
      </w:r>
      <w:r w:rsidR="004D0A79" w:rsidRPr="008C1E5F">
        <w:t>asked to do so</w:t>
      </w:r>
      <w:r w:rsidR="009C0403" w:rsidRPr="008C1E5F">
        <w:t xml:space="preserve">. </w:t>
      </w:r>
      <w:r w:rsidR="003932C8" w:rsidRPr="008C1E5F">
        <w:t xml:space="preserve">Actively involving parents in shared </w:t>
      </w:r>
      <w:r w:rsidR="00900ABE">
        <w:t>decision-making</w:t>
      </w:r>
      <w:r w:rsidR="003932C8" w:rsidRPr="008C1E5F">
        <w:t xml:space="preserve"> across the district is an area </w:t>
      </w:r>
      <w:r w:rsidR="0044036C">
        <w:t>for</w:t>
      </w:r>
      <w:r w:rsidR="00BD62F1" w:rsidRPr="008C1E5F">
        <w:t xml:space="preserve"> </w:t>
      </w:r>
      <w:r w:rsidR="003932C8" w:rsidRPr="008C1E5F">
        <w:t xml:space="preserve">growth. </w:t>
      </w:r>
    </w:p>
    <w:p w14:paraId="1043824D" w14:textId="1C6D3133" w:rsidR="005D0752" w:rsidRPr="008C1E5F" w:rsidRDefault="005D0752" w:rsidP="005D0752">
      <w:pPr>
        <w:pStyle w:val="Heading3"/>
      </w:pPr>
      <w:bookmarkStart w:id="50" w:name="_Toc195024214"/>
      <w:r w:rsidRPr="008C1E5F">
        <w:t>Recommendations</w:t>
      </w:r>
      <w:bookmarkEnd w:id="50"/>
    </w:p>
    <w:p w14:paraId="1DC738E6" w14:textId="7B68664A" w:rsidR="008D6102" w:rsidRPr="00743645" w:rsidRDefault="00FA4B73" w:rsidP="005D0752">
      <w:pPr>
        <w:pStyle w:val="Bullet1"/>
        <w:rPr>
          <w:i/>
        </w:rPr>
      </w:pPr>
      <w:r w:rsidRPr="00743645">
        <w:rPr>
          <w:i/>
          <w:iCs/>
        </w:rPr>
        <w:t>The district should post minutes from all school committee meetings</w:t>
      </w:r>
      <w:r w:rsidR="009B4494">
        <w:rPr>
          <w:i/>
          <w:iCs/>
        </w:rPr>
        <w:t xml:space="preserve"> to the district website</w:t>
      </w:r>
      <w:r w:rsidRPr="00743645">
        <w:rPr>
          <w:i/>
          <w:iCs/>
        </w:rPr>
        <w:t xml:space="preserve"> </w:t>
      </w:r>
      <w:r w:rsidR="00A07C53" w:rsidRPr="00743645">
        <w:rPr>
          <w:i/>
          <w:iCs/>
        </w:rPr>
        <w:t xml:space="preserve">in a timely manner. </w:t>
      </w:r>
    </w:p>
    <w:p w14:paraId="7577E042" w14:textId="3A2E2841" w:rsidR="00A07C53" w:rsidRPr="00743645" w:rsidRDefault="006E1526" w:rsidP="005D0752">
      <w:pPr>
        <w:pStyle w:val="Bullet1"/>
        <w:rPr>
          <w:bCs/>
          <w:i/>
          <w:iCs/>
        </w:rPr>
      </w:pPr>
      <w:r>
        <w:rPr>
          <w:bCs/>
          <w:i/>
          <w:iCs/>
        </w:rPr>
        <w:t>The superintendent and school commit</w:t>
      </w:r>
      <w:r w:rsidR="002E0AB5">
        <w:rPr>
          <w:bCs/>
          <w:i/>
          <w:iCs/>
        </w:rPr>
        <w:t>tee</w:t>
      </w:r>
      <w:r>
        <w:rPr>
          <w:bCs/>
          <w:i/>
          <w:iCs/>
        </w:rPr>
        <w:t xml:space="preserve"> should identify </w:t>
      </w:r>
      <w:r w:rsidR="002E0AB5">
        <w:rPr>
          <w:bCs/>
          <w:i/>
          <w:iCs/>
        </w:rPr>
        <w:t>opportunities to build rapport</w:t>
      </w:r>
      <w:r w:rsidR="00D46C46">
        <w:rPr>
          <w:bCs/>
          <w:i/>
          <w:iCs/>
        </w:rPr>
        <w:t>, clarify the division of responsibilities,</w:t>
      </w:r>
      <w:r w:rsidR="002E0AB5">
        <w:rPr>
          <w:bCs/>
          <w:i/>
          <w:iCs/>
        </w:rPr>
        <w:t xml:space="preserve"> and </w:t>
      </w:r>
      <w:r w:rsidR="00AE6038">
        <w:rPr>
          <w:bCs/>
          <w:i/>
          <w:iCs/>
        </w:rPr>
        <w:t xml:space="preserve">intentionally </w:t>
      </w:r>
      <w:r w:rsidR="002E0AB5">
        <w:rPr>
          <w:bCs/>
          <w:i/>
          <w:iCs/>
        </w:rPr>
        <w:t>s</w:t>
      </w:r>
      <w:r w:rsidR="00D46C46">
        <w:rPr>
          <w:bCs/>
          <w:i/>
          <w:iCs/>
        </w:rPr>
        <w:t xml:space="preserve">trengthen their partnership in support of positive outcomes for the district. </w:t>
      </w:r>
    </w:p>
    <w:p w14:paraId="679057FA" w14:textId="601FFD53" w:rsidR="00877A48" w:rsidRPr="00743645" w:rsidRDefault="00195215" w:rsidP="005D0752">
      <w:pPr>
        <w:pStyle w:val="Bullet1"/>
        <w:rPr>
          <w:bCs/>
          <w:i/>
          <w:iCs/>
        </w:rPr>
      </w:pPr>
      <w:r>
        <w:rPr>
          <w:bCs/>
          <w:i/>
          <w:iCs/>
        </w:rPr>
        <w:t>The school committee should</w:t>
      </w:r>
      <w:r w:rsidR="00745AF8">
        <w:rPr>
          <w:bCs/>
          <w:i/>
          <w:iCs/>
        </w:rPr>
        <w:t xml:space="preserve"> leverage </w:t>
      </w:r>
      <w:r w:rsidR="00160610">
        <w:rPr>
          <w:bCs/>
          <w:i/>
          <w:iCs/>
        </w:rPr>
        <w:t>the</w:t>
      </w:r>
      <w:r w:rsidR="00E84966">
        <w:rPr>
          <w:bCs/>
          <w:i/>
          <w:iCs/>
        </w:rPr>
        <w:t xml:space="preserve"> successful</w:t>
      </w:r>
      <w:r w:rsidR="00160610">
        <w:rPr>
          <w:bCs/>
          <w:i/>
          <w:iCs/>
        </w:rPr>
        <w:t xml:space="preserve"> finalization of a three-year teacher contract</w:t>
      </w:r>
      <w:r w:rsidR="00E84966">
        <w:rPr>
          <w:bCs/>
          <w:i/>
          <w:iCs/>
        </w:rPr>
        <w:t xml:space="preserve"> to</w:t>
      </w:r>
      <w:r w:rsidR="00745AF8">
        <w:rPr>
          <w:bCs/>
          <w:i/>
          <w:iCs/>
        </w:rPr>
        <w:t xml:space="preserve"> </w:t>
      </w:r>
      <w:r w:rsidR="00160610">
        <w:rPr>
          <w:bCs/>
          <w:i/>
          <w:iCs/>
        </w:rPr>
        <w:t xml:space="preserve">continue </w:t>
      </w:r>
      <w:r>
        <w:rPr>
          <w:bCs/>
          <w:i/>
          <w:iCs/>
        </w:rPr>
        <w:t xml:space="preserve">improving and maintaining a productive relationship with </w:t>
      </w:r>
      <w:r w:rsidR="00745AF8">
        <w:rPr>
          <w:bCs/>
          <w:i/>
          <w:iCs/>
        </w:rPr>
        <w:t xml:space="preserve">the </w:t>
      </w:r>
      <w:r w:rsidR="00160610">
        <w:rPr>
          <w:bCs/>
          <w:i/>
          <w:iCs/>
        </w:rPr>
        <w:t>teachers’ association</w:t>
      </w:r>
      <w:r w:rsidR="00745AF8">
        <w:rPr>
          <w:bCs/>
          <w:i/>
          <w:iCs/>
        </w:rPr>
        <w:t xml:space="preserve">. </w:t>
      </w:r>
    </w:p>
    <w:p w14:paraId="133E3615" w14:textId="3823E417" w:rsidR="00FC005A" w:rsidRDefault="00FC005A" w:rsidP="00FC005A">
      <w:pPr>
        <w:pStyle w:val="Bullet1"/>
        <w:rPr>
          <w:i/>
          <w:iCs/>
        </w:rPr>
      </w:pPr>
      <w:r w:rsidRPr="00743645">
        <w:rPr>
          <w:i/>
          <w:iCs/>
        </w:rPr>
        <w:t>The district should issue clear guidance to school leaders around the expectation to convene a school council at each school in the district</w:t>
      </w:r>
      <w:r w:rsidR="00810310" w:rsidRPr="00743645">
        <w:rPr>
          <w:i/>
          <w:iCs/>
        </w:rPr>
        <w:t xml:space="preserve"> and provide ongoing assistance to ensure that these councils </w:t>
      </w:r>
      <w:r w:rsidR="009436B0" w:rsidRPr="00743645">
        <w:rPr>
          <w:i/>
          <w:iCs/>
        </w:rPr>
        <w:t xml:space="preserve">meet regularly </w:t>
      </w:r>
      <w:r w:rsidR="00003FDA" w:rsidRPr="00743645">
        <w:rPr>
          <w:i/>
          <w:iCs/>
        </w:rPr>
        <w:t xml:space="preserve">and inform school-level </w:t>
      </w:r>
      <w:r w:rsidR="00900ABE">
        <w:rPr>
          <w:i/>
          <w:iCs/>
        </w:rPr>
        <w:t>decision-making</w:t>
      </w:r>
      <w:r w:rsidRPr="00743645">
        <w:rPr>
          <w:i/>
          <w:iCs/>
        </w:rPr>
        <w:t xml:space="preserve">. </w:t>
      </w:r>
    </w:p>
    <w:p w14:paraId="462C91AB" w14:textId="32872674" w:rsidR="00EC1C20" w:rsidRPr="00743645" w:rsidRDefault="00EC1C20" w:rsidP="00FC005A">
      <w:pPr>
        <w:pStyle w:val="Bullet1"/>
        <w:rPr>
          <w:i/>
          <w:iCs/>
        </w:rPr>
      </w:pPr>
      <w:r>
        <w:rPr>
          <w:i/>
          <w:iCs/>
        </w:rPr>
        <w:t>The district should develop a strategic plan</w:t>
      </w:r>
      <w:r w:rsidR="00487866">
        <w:rPr>
          <w:i/>
          <w:iCs/>
        </w:rPr>
        <w:t xml:space="preserve"> that guides the district’s work and is representative of all stakeholders.</w:t>
      </w:r>
    </w:p>
    <w:p w14:paraId="7F084EA4" w14:textId="01AA44A1" w:rsidR="00437CD9" w:rsidRPr="00743645" w:rsidRDefault="00437CD9" w:rsidP="005D0752">
      <w:pPr>
        <w:pStyle w:val="Bullet1"/>
        <w:rPr>
          <w:bCs/>
          <w:i/>
          <w:iCs/>
        </w:rPr>
      </w:pPr>
      <w:r w:rsidRPr="00743645">
        <w:rPr>
          <w:bCs/>
          <w:i/>
          <w:iCs/>
        </w:rPr>
        <w:t>The district should develop a strategy for</w:t>
      </w:r>
      <w:r w:rsidR="00D45BD9" w:rsidRPr="00743645">
        <w:rPr>
          <w:bCs/>
          <w:i/>
          <w:iCs/>
        </w:rPr>
        <w:t xml:space="preserve"> </w:t>
      </w:r>
      <w:r w:rsidR="00EC50FF" w:rsidRPr="00743645">
        <w:rPr>
          <w:bCs/>
          <w:i/>
          <w:iCs/>
        </w:rPr>
        <w:t xml:space="preserve">recruiting and retaining </w:t>
      </w:r>
      <w:r w:rsidR="00303AD4" w:rsidRPr="00743645">
        <w:rPr>
          <w:bCs/>
          <w:i/>
          <w:iCs/>
        </w:rPr>
        <w:t>diverse and effective</w:t>
      </w:r>
      <w:r w:rsidR="00743645" w:rsidRPr="00743645">
        <w:rPr>
          <w:bCs/>
          <w:i/>
          <w:iCs/>
        </w:rPr>
        <w:t xml:space="preserve"> district leaders. </w:t>
      </w:r>
    </w:p>
    <w:p w14:paraId="273DB92C" w14:textId="29A70AF9" w:rsidR="00743645" w:rsidRPr="00743645" w:rsidRDefault="00743645" w:rsidP="005D0752">
      <w:pPr>
        <w:pStyle w:val="Bullet1"/>
        <w:rPr>
          <w:bCs/>
          <w:i/>
          <w:iCs/>
        </w:rPr>
      </w:pPr>
      <w:r w:rsidRPr="00743645">
        <w:rPr>
          <w:bCs/>
          <w:i/>
          <w:iCs/>
        </w:rPr>
        <w:t xml:space="preserve">The district should systematically create opportunities for families to participate in shared </w:t>
      </w:r>
      <w:r w:rsidR="00900ABE">
        <w:rPr>
          <w:bCs/>
          <w:i/>
          <w:iCs/>
        </w:rPr>
        <w:t>decision-making</w:t>
      </w:r>
      <w:r w:rsidRPr="00743645">
        <w:rPr>
          <w:bCs/>
          <w:i/>
          <w:iCs/>
        </w:rPr>
        <w:t xml:space="preserve"> at the district level. </w:t>
      </w:r>
    </w:p>
    <w:p w14:paraId="7EDE9323" w14:textId="77777777" w:rsidR="008D6102" w:rsidRPr="008C1E5F" w:rsidRDefault="008D6102" w:rsidP="008D6102">
      <w:pPr>
        <w:pStyle w:val="Heading2"/>
      </w:pPr>
      <w:bookmarkStart w:id="51" w:name="_Curriculum_and_Instruction"/>
      <w:bookmarkStart w:id="52" w:name="_Toc101446228"/>
      <w:bookmarkStart w:id="53" w:name="_Toc190886737"/>
      <w:bookmarkStart w:id="54" w:name="_Toc195024215"/>
      <w:bookmarkEnd w:id="51"/>
      <w:r w:rsidRPr="008C1E5F">
        <w:lastRenderedPageBreak/>
        <w:t>Curriculum and Instruction</w:t>
      </w:r>
      <w:bookmarkEnd w:id="52"/>
      <w:bookmarkEnd w:id="53"/>
      <w:bookmarkEnd w:id="54"/>
    </w:p>
    <w:p w14:paraId="7E2DC369" w14:textId="77777777" w:rsidR="00E01775" w:rsidRPr="008C1E5F" w:rsidRDefault="00E01775" w:rsidP="00F4028E">
      <w:pPr>
        <w:pStyle w:val="BodyText"/>
      </w:pPr>
      <w:r w:rsidRPr="008C1E5F">
        <w:t>This section examines the extent to which district leaders have established a shared instructional vision, anchored in culturally and linguistically sustaining practices, that guides all curricular and instructional decisions toward equitable outcomes for all students. It also focuses on the extent to which the district pairs high quality curriculum and instructional materials, and high expectations for all students, with individualized supports so that every student can engage in deeper learning and develop the knowledge and skills that will prepare them to succeed in college and/or the workplace.</w:t>
      </w:r>
    </w:p>
    <w:p w14:paraId="654F2607" w14:textId="3BE7E55C" w:rsidR="000B66C1" w:rsidRPr="008C1E5F" w:rsidRDefault="000B66C1" w:rsidP="00F4028E">
      <w:pPr>
        <w:pStyle w:val="BodyText"/>
      </w:pPr>
      <w:r w:rsidRPr="008C1E5F">
        <w:t xml:space="preserve">Table </w:t>
      </w:r>
      <w:r w:rsidR="00BD049B" w:rsidRPr="008C1E5F">
        <w:t xml:space="preserve">3 </w:t>
      </w:r>
      <w:r w:rsidRPr="008C1E5F">
        <w:t>summarizes key strengths and areas for growth in curriculum and instruction</w:t>
      </w:r>
      <w:r w:rsidR="61767BE4" w:rsidRPr="008C1E5F">
        <w:t xml:space="preserve"> in Fall River</w:t>
      </w:r>
      <w:r w:rsidRPr="008C1E5F">
        <w:t>.</w:t>
      </w:r>
    </w:p>
    <w:p w14:paraId="7925A4CF" w14:textId="55FE6BC2" w:rsidR="00473308" w:rsidRPr="008C1E5F" w:rsidRDefault="00473308" w:rsidP="00473308">
      <w:pPr>
        <w:pStyle w:val="TableTitle0"/>
      </w:pPr>
      <w:r w:rsidRPr="008C1E5F">
        <w:t xml:space="preserve">Table </w:t>
      </w:r>
      <w:r w:rsidR="00163C7A" w:rsidRPr="008C1E5F">
        <w:t>3</w:t>
      </w:r>
      <w:r w:rsidRPr="008C1E5F">
        <w:t xml:space="preserve">. Summary of </w:t>
      </w:r>
      <w:r w:rsidR="000B66C1" w:rsidRPr="008C1E5F">
        <w:t xml:space="preserve">Key Strengths </w:t>
      </w:r>
      <w:r w:rsidRPr="008C1E5F">
        <w:t xml:space="preserve">and </w:t>
      </w:r>
      <w:r w:rsidR="000B66C1" w:rsidRPr="008C1E5F">
        <w:t xml:space="preserve">Areas </w:t>
      </w:r>
      <w:r w:rsidRPr="008C1E5F">
        <w:t xml:space="preserve">for </w:t>
      </w:r>
      <w:r w:rsidR="000B66C1" w:rsidRPr="008C1E5F">
        <w:t>Growth:</w:t>
      </w:r>
      <w:r w:rsidRPr="008C1E5F">
        <w:t xml:space="preserve"> Curriculum and Instruction</w:t>
      </w:r>
      <w:r w:rsidR="00C0766E" w:rsidRPr="008C1E5F">
        <w:t xml:space="preserve"> Standard</w:t>
      </w:r>
    </w:p>
    <w:tbl>
      <w:tblPr>
        <w:tblStyle w:val="MSVTable1"/>
        <w:tblW w:w="5000" w:type="pct"/>
        <w:tblLook w:val="04A0" w:firstRow="1" w:lastRow="0" w:firstColumn="1" w:lastColumn="0" w:noHBand="0" w:noVBand="1"/>
      </w:tblPr>
      <w:tblGrid>
        <w:gridCol w:w="1613"/>
        <w:gridCol w:w="4500"/>
        <w:gridCol w:w="3231"/>
      </w:tblGrid>
      <w:tr w:rsidR="00473308" w:rsidRPr="008C1E5F" w14:paraId="24E33970" w14:textId="77777777" w:rsidTr="00455FDE">
        <w:trPr>
          <w:cnfStyle w:val="100000000000" w:firstRow="1" w:lastRow="0" w:firstColumn="0" w:lastColumn="0" w:oddVBand="0" w:evenVBand="0" w:oddHBand="0" w:evenHBand="0" w:firstRowFirstColumn="0" w:firstRowLastColumn="0" w:lastRowFirstColumn="0" w:lastRowLastColumn="0"/>
        </w:trPr>
        <w:tc>
          <w:tcPr>
            <w:tcW w:w="863" w:type="pct"/>
          </w:tcPr>
          <w:p w14:paraId="34309A87" w14:textId="77777777" w:rsidR="00473308" w:rsidRPr="008C1E5F" w:rsidRDefault="00473308" w:rsidP="00473308">
            <w:pPr>
              <w:pStyle w:val="TableColHeadingCenter"/>
            </w:pPr>
            <w:r w:rsidRPr="008C1E5F">
              <w:t>Indicator</w:t>
            </w:r>
          </w:p>
        </w:tc>
        <w:tc>
          <w:tcPr>
            <w:tcW w:w="2408" w:type="pct"/>
          </w:tcPr>
          <w:p w14:paraId="47A4F44D" w14:textId="77777777" w:rsidR="00473308" w:rsidRPr="008C1E5F" w:rsidRDefault="00473308" w:rsidP="00473308">
            <w:pPr>
              <w:pStyle w:val="TableColHeadingCenter"/>
            </w:pPr>
            <w:r w:rsidRPr="008C1E5F">
              <w:t>Strengths</w:t>
            </w:r>
          </w:p>
        </w:tc>
        <w:tc>
          <w:tcPr>
            <w:tcW w:w="1729" w:type="pct"/>
          </w:tcPr>
          <w:p w14:paraId="1E3CFDD9" w14:textId="5DA986FA" w:rsidR="00473308" w:rsidRPr="008C1E5F" w:rsidRDefault="00473308" w:rsidP="00473308">
            <w:pPr>
              <w:pStyle w:val="TableColHeadingCenter"/>
            </w:pPr>
            <w:r w:rsidRPr="008C1E5F">
              <w:t xml:space="preserve">Areas for </w:t>
            </w:r>
            <w:r w:rsidR="000B66C1" w:rsidRPr="008C1E5F">
              <w:t>g</w:t>
            </w:r>
            <w:r w:rsidRPr="008C1E5F">
              <w:t>rowth</w:t>
            </w:r>
          </w:p>
        </w:tc>
      </w:tr>
      <w:tr w:rsidR="00473308" w:rsidRPr="008C1E5F" w14:paraId="1369F705" w14:textId="77777777" w:rsidTr="00455FDE">
        <w:trPr>
          <w:cnfStyle w:val="000000100000" w:firstRow="0" w:lastRow="0" w:firstColumn="0" w:lastColumn="0" w:oddVBand="0" w:evenVBand="0" w:oddHBand="1" w:evenHBand="0" w:firstRowFirstColumn="0" w:firstRowLastColumn="0" w:lastRowFirstColumn="0" w:lastRowLastColumn="0"/>
        </w:trPr>
        <w:tc>
          <w:tcPr>
            <w:tcW w:w="863" w:type="pct"/>
          </w:tcPr>
          <w:p w14:paraId="3C1F3BBB" w14:textId="06CE8C3D" w:rsidR="00473308" w:rsidRPr="008C1E5F" w:rsidRDefault="0037284E" w:rsidP="00473308">
            <w:pPr>
              <w:pStyle w:val="TableSubheading"/>
            </w:pPr>
            <w:hyperlink w:anchor="_Instructional_Leadership" w:history="1">
              <w:r w:rsidRPr="008C1E5F">
                <w:rPr>
                  <w:rStyle w:val="Hyperlink"/>
                </w:rPr>
                <w:t>Instructional Leadership</w:t>
              </w:r>
            </w:hyperlink>
          </w:p>
        </w:tc>
        <w:tc>
          <w:tcPr>
            <w:tcW w:w="2408" w:type="pct"/>
          </w:tcPr>
          <w:p w14:paraId="4AC4DE66" w14:textId="653C8001" w:rsidR="00B9512A" w:rsidRPr="008C1E5F" w:rsidRDefault="00B9512A" w:rsidP="00473308">
            <w:pPr>
              <w:pStyle w:val="TableBullet1"/>
            </w:pPr>
            <w:r w:rsidRPr="008C1E5F">
              <w:t>The district is focusing on implementation</w:t>
            </w:r>
            <w:r w:rsidR="00CB0BFA">
              <w:t>,</w:t>
            </w:r>
            <w:r w:rsidRPr="008C1E5F">
              <w:t xml:space="preserve"> monitoring</w:t>
            </w:r>
            <w:r w:rsidR="00CB0BFA">
              <w:t>,</w:t>
            </w:r>
            <w:r w:rsidRPr="008C1E5F">
              <w:t xml:space="preserve"> and continuous improvement. </w:t>
            </w:r>
          </w:p>
          <w:p w14:paraId="4EBC7B6F" w14:textId="074CA4B1" w:rsidR="001F6907" w:rsidRPr="008C1E5F" w:rsidRDefault="00072CF4" w:rsidP="00B9512A">
            <w:pPr>
              <w:pStyle w:val="TableBullet1"/>
            </w:pPr>
            <w:r w:rsidRPr="008C1E5F">
              <w:t xml:space="preserve">Each school has </w:t>
            </w:r>
            <w:r w:rsidR="00F97D9C" w:rsidRPr="008C1E5F">
              <w:t xml:space="preserve">an ILT composed of diverse stakeholders </w:t>
            </w:r>
            <w:r w:rsidR="006F59F0" w:rsidRPr="008C1E5F">
              <w:t xml:space="preserve">who </w:t>
            </w:r>
            <w:r w:rsidR="00F97D9C" w:rsidRPr="008C1E5F">
              <w:t xml:space="preserve">meet regularly. The district supports these ILTs to ensure they are effective structures that support school improvement. </w:t>
            </w:r>
          </w:p>
        </w:tc>
        <w:tc>
          <w:tcPr>
            <w:tcW w:w="1729" w:type="pct"/>
          </w:tcPr>
          <w:p w14:paraId="2FD82E03" w14:textId="6023ABC5" w:rsidR="00473308" w:rsidRPr="008C1E5F" w:rsidRDefault="0061444A" w:rsidP="00473308">
            <w:pPr>
              <w:pStyle w:val="TableBullet1"/>
            </w:pPr>
            <w:r w:rsidRPr="008C1E5F">
              <w:t>Creating a consistent</w:t>
            </w:r>
            <w:r w:rsidR="00F01D3A" w:rsidRPr="008C1E5F">
              <w:t xml:space="preserve"> instructional vision </w:t>
            </w:r>
            <w:r w:rsidRPr="008C1E5F">
              <w:t>that is known throughout</w:t>
            </w:r>
            <w:r w:rsidR="00F01D3A" w:rsidRPr="008C1E5F">
              <w:t xml:space="preserve"> the district</w:t>
            </w:r>
          </w:p>
        </w:tc>
      </w:tr>
      <w:tr w:rsidR="00473308" w:rsidRPr="008C1E5F" w14:paraId="6F5158ED" w14:textId="77777777" w:rsidTr="00455FDE">
        <w:tc>
          <w:tcPr>
            <w:tcW w:w="863" w:type="pct"/>
          </w:tcPr>
          <w:p w14:paraId="63362AB2" w14:textId="1DEE2BF2" w:rsidR="00473308" w:rsidRPr="008C1E5F" w:rsidRDefault="008722B8" w:rsidP="00473308">
            <w:pPr>
              <w:pStyle w:val="TableSubheading"/>
            </w:pPr>
            <w:hyperlink w:anchor="_Curriculum_and_Instructional" w:history="1">
              <w:r w:rsidRPr="008C1E5F">
                <w:rPr>
                  <w:rStyle w:val="Hyperlink"/>
                </w:rPr>
                <w:t>Curriculum and Instructional Materials</w:t>
              </w:r>
            </w:hyperlink>
          </w:p>
        </w:tc>
        <w:tc>
          <w:tcPr>
            <w:tcW w:w="2408" w:type="pct"/>
          </w:tcPr>
          <w:p w14:paraId="676E6A79" w14:textId="2256DDF7" w:rsidR="00473308" w:rsidRPr="008C1E5F" w:rsidRDefault="00417FEB" w:rsidP="00473308">
            <w:pPr>
              <w:pStyle w:val="TableBullet1"/>
            </w:pPr>
            <w:r w:rsidRPr="008C1E5F">
              <w:t>The district has prioritized purchasing and implementing high-quality instructional materials</w:t>
            </w:r>
            <w:r w:rsidR="000E4C79" w:rsidRPr="008C1E5F">
              <w:t>, with these instructional materials in</w:t>
            </w:r>
            <w:r w:rsidR="006F59F0" w:rsidRPr="008C1E5F">
              <w:t xml:space="preserve"> </w:t>
            </w:r>
            <w:r w:rsidR="000E4C79" w:rsidRPr="008C1E5F">
              <w:t>place for several years</w:t>
            </w:r>
            <w:r w:rsidR="00BC072B" w:rsidRPr="008C1E5F">
              <w:t>.</w:t>
            </w:r>
            <w:r w:rsidR="0087208F" w:rsidRPr="008C1E5F">
              <w:t xml:space="preserve"> </w:t>
            </w:r>
          </w:p>
          <w:p w14:paraId="44F03868" w14:textId="25C0E4CB" w:rsidR="000E4C79" w:rsidRPr="008C1E5F" w:rsidRDefault="000E4C79" w:rsidP="00473308">
            <w:pPr>
              <w:pStyle w:val="TableBullet1"/>
            </w:pPr>
            <w:r w:rsidRPr="008C1E5F">
              <w:t xml:space="preserve">The district </w:t>
            </w:r>
            <w:r w:rsidR="002846AD" w:rsidRPr="008C1E5F">
              <w:t xml:space="preserve">has a comprehensive adoption process for new curricula, including extensive piloting before </w:t>
            </w:r>
            <w:r w:rsidR="00A62DF4" w:rsidRPr="008C1E5F">
              <w:t xml:space="preserve">final selections are made. </w:t>
            </w:r>
          </w:p>
          <w:p w14:paraId="27E8B156" w14:textId="4DC0A896" w:rsidR="000C09EB" w:rsidRPr="008C1E5F" w:rsidRDefault="00A62DF4" w:rsidP="00473308">
            <w:pPr>
              <w:pStyle w:val="TableBullet1"/>
            </w:pPr>
            <w:r w:rsidRPr="008C1E5F">
              <w:t xml:space="preserve">The district has </w:t>
            </w:r>
            <w:r w:rsidR="00F52011" w:rsidRPr="008C1E5F">
              <w:t>a variety of formal structures to support</w:t>
            </w:r>
            <w:r w:rsidR="000C09EB" w:rsidRPr="008C1E5F">
              <w:t xml:space="preserve"> teachers with </w:t>
            </w:r>
            <w:r w:rsidR="00F52011" w:rsidRPr="008C1E5F">
              <w:t>implementing</w:t>
            </w:r>
            <w:r w:rsidR="000C09EB" w:rsidRPr="008C1E5F">
              <w:t xml:space="preserve"> </w:t>
            </w:r>
            <w:r w:rsidR="00A53084" w:rsidRPr="008C1E5F">
              <w:t>high-quality instructional materials</w:t>
            </w:r>
            <w:r w:rsidR="00F52011" w:rsidRPr="008C1E5F">
              <w:t xml:space="preserve"> (e.g., training and coaching by publishers, PLCs)</w:t>
            </w:r>
            <w:r w:rsidR="00A53084" w:rsidRPr="008C1E5F">
              <w:t xml:space="preserve">. </w:t>
            </w:r>
          </w:p>
        </w:tc>
        <w:tc>
          <w:tcPr>
            <w:tcW w:w="1729" w:type="pct"/>
          </w:tcPr>
          <w:p w14:paraId="219DAB4F" w14:textId="7F2B92D0" w:rsidR="00327567" w:rsidRDefault="00E136FF" w:rsidP="00473308">
            <w:pPr>
              <w:pStyle w:val="TableBullet1"/>
            </w:pPr>
            <w:r>
              <w:t>Addressing teache</w:t>
            </w:r>
            <w:r w:rsidR="00751251">
              <w:t>r concerns</w:t>
            </w:r>
            <w:r w:rsidR="00DC5506">
              <w:t xml:space="preserve"> </w:t>
            </w:r>
            <w:r w:rsidR="00751251">
              <w:t xml:space="preserve">about </w:t>
            </w:r>
            <w:r w:rsidR="002B16C1">
              <w:t xml:space="preserve">curricular </w:t>
            </w:r>
            <w:r w:rsidR="002D5EF4">
              <w:t>adaptation</w:t>
            </w:r>
            <w:r w:rsidR="002B16C1">
              <w:t xml:space="preserve"> and </w:t>
            </w:r>
            <w:r w:rsidR="00327567">
              <w:t xml:space="preserve">insufficient time in certain academic blocks to follow the </w:t>
            </w:r>
            <w:r w:rsidR="00327567" w:rsidRPr="008C1E5F">
              <w:t>district’s pacing guidance</w:t>
            </w:r>
          </w:p>
          <w:p w14:paraId="24E7E538" w14:textId="3866704F" w:rsidR="00473308" w:rsidRPr="008C1E5F" w:rsidRDefault="00473308" w:rsidP="007312EF">
            <w:pPr>
              <w:pStyle w:val="TableBullet1"/>
              <w:numPr>
                <w:ilvl w:val="0"/>
                <w:numId w:val="0"/>
              </w:numPr>
              <w:ind w:left="360"/>
            </w:pPr>
          </w:p>
        </w:tc>
      </w:tr>
      <w:tr w:rsidR="00473308" w:rsidRPr="008C1E5F" w14:paraId="2815FD55" w14:textId="77777777" w:rsidTr="00455FDE">
        <w:trPr>
          <w:cnfStyle w:val="000000100000" w:firstRow="0" w:lastRow="0" w:firstColumn="0" w:lastColumn="0" w:oddVBand="0" w:evenVBand="0" w:oddHBand="1" w:evenHBand="0" w:firstRowFirstColumn="0" w:firstRowLastColumn="0" w:lastRowFirstColumn="0" w:lastRowLastColumn="0"/>
        </w:trPr>
        <w:tc>
          <w:tcPr>
            <w:tcW w:w="863" w:type="pct"/>
          </w:tcPr>
          <w:p w14:paraId="1ECD7628" w14:textId="19BE3BC3" w:rsidR="00473308" w:rsidRPr="008C1E5F" w:rsidRDefault="00320588" w:rsidP="00473308">
            <w:pPr>
              <w:pStyle w:val="TableSubheading"/>
            </w:pPr>
            <w:hyperlink w:anchor="_Equitable_Practices_and" w:history="1">
              <w:r w:rsidRPr="008C1E5F">
                <w:rPr>
                  <w:rStyle w:val="Hyperlink"/>
                </w:rPr>
                <w:t>Equitable Practices and</w:t>
              </w:r>
              <w:r w:rsidR="00473308" w:rsidRPr="008C1E5F">
                <w:rPr>
                  <w:rStyle w:val="Hyperlink"/>
                </w:rPr>
                <w:t xml:space="preserve"> </w:t>
              </w:r>
              <w:r w:rsidRPr="008C1E5F">
                <w:rPr>
                  <w:rStyle w:val="Hyperlink"/>
                </w:rPr>
                <w:t>A</w:t>
              </w:r>
              <w:r w:rsidR="00473308" w:rsidRPr="008C1E5F">
                <w:rPr>
                  <w:rStyle w:val="Hyperlink"/>
                </w:rPr>
                <w:t>ccess</w:t>
              </w:r>
            </w:hyperlink>
          </w:p>
        </w:tc>
        <w:tc>
          <w:tcPr>
            <w:tcW w:w="2408" w:type="pct"/>
          </w:tcPr>
          <w:p w14:paraId="0736B04D" w14:textId="6AA03BB3" w:rsidR="00F24EDA" w:rsidRPr="008C1E5F" w:rsidRDefault="00C36C18">
            <w:pPr>
              <w:pStyle w:val="TableBullet1"/>
              <w:ind w:left="288" w:hanging="288"/>
            </w:pPr>
            <w:r w:rsidRPr="008C1E5F">
              <w:t xml:space="preserve">At the high school level, students are regularly </w:t>
            </w:r>
            <w:r w:rsidR="00F24EDA" w:rsidRPr="008C1E5F">
              <w:t xml:space="preserve">involved </w:t>
            </w:r>
            <w:r w:rsidR="00F24EDA" w:rsidRPr="008C1E5F">
              <w:rPr>
                <w:rFonts w:eastAsia="Aptos" w:cs="Aptos"/>
              </w:rPr>
              <w:t xml:space="preserve">in </w:t>
            </w:r>
            <w:r w:rsidR="00CB0BFA">
              <w:rPr>
                <w:rFonts w:eastAsia="Aptos" w:cs="Aptos"/>
              </w:rPr>
              <w:t>decision-making</w:t>
            </w:r>
            <w:r w:rsidR="00F24EDA" w:rsidRPr="008C1E5F">
              <w:rPr>
                <w:rFonts w:eastAsia="Aptos" w:cs="Aptos"/>
              </w:rPr>
              <w:t xml:space="preserve"> and the delivery of tiered supports through the pod structure. </w:t>
            </w:r>
          </w:p>
          <w:p w14:paraId="351DCE14" w14:textId="57CA6181" w:rsidR="004E2596" w:rsidRPr="008C1E5F" w:rsidRDefault="004E2596" w:rsidP="00C052EF">
            <w:pPr>
              <w:pStyle w:val="TableBullet1"/>
              <w:ind w:left="288" w:hanging="288"/>
            </w:pPr>
            <w:r w:rsidRPr="008C1E5F">
              <w:t>Having dedicated time during the school day at each building provide</w:t>
            </w:r>
            <w:r w:rsidR="006F59F0" w:rsidRPr="008C1E5F">
              <w:t>s</w:t>
            </w:r>
            <w:r w:rsidRPr="008C1E5F">
              <w:t xml:space="preserve"> students with interventions and supports</w:t>
            </w:r>
            <w:r w:rsidR="006F59F0" w:rsidRPr="008C1E5F">
              <w:t>.</w:t>
            </w:r>
            <w:r w:rsidRPr="008C1E5F">
              <w:t xml:space="preserve"> </w:t>
            </w:r>
          </w:p>
          <w:p w14:paraId="25D7F32B" w14:textId="6ABECF26" w:rsidR="00473308" w:rsidRPr="008C1E5F" w:rsidRDefault="000C164B" w:rsidP="00C052EF">
            <w:pPr>
              <w:pStyle w:val="TableBullet1"/>
              <w:ind w:left="288" w:hanging="288"/>
            </w:pPr>
            <w:r w:rsidRPr="008C1E5F">
              <w:t>The district offers students opportunities to take classes other than their core academic classes.</w:t>
            </w:r>
          </w:p>
        </w:tc>
        <w:tc>
          <w:tcPr>
            <w:tcW w:w="1729" w:type="pct"/>
          </w:tcPr>
          <w:p w14:paraId="023209CA" w14:textId="24066F3C" w:rsidR="00604A73" w:rsidRPr="008C1E5F" w:rsidRDefault="002D6A99" w:rsidP="00473308">
            <w:pPr>
              <w:pStyle w:val="TableBullet1"/>
            </w:pPr>
            <w:r w:rsidRPr="008C1E5F">
              <w:t>E</w:t>
            </w:r>
            <w:r w:rsidR="00530085" w:rsidRPr="008C1E5F">
              <w:t>nabl</w:t>
            </w:r>
            <w:r w:rsidRPr="008C1E5F">
              <w:t>ing</w:t>
            </w:r>
            <w:r w:rsidR="00530085" w:rsidRPr="008C1E5F">
              <w:t xml:space="preserve"> </w:t>
            </w:r>
            <w:r w:rsidR="00930F79">
              <w:t>English L</w:t>
            </w:r>
            <w:r w:rsidR="006F59F0" w:rsidRPr="008C1E5F">
              <w:t>earners</w:t>
            </w:r>
            <w:r w:rsidR="00530085" w:rsidRPr="008C1E5F">
              <w:t xml:space="preserve"> </w:t>
            </w:r>
            <w:r w:rsidR="000E4AB2" w:rsidRPr="008C1E5F">
              <w:t xml:space="preserve">to have </w:t>
            </w:r>
            <w:r w:rsidRPr="008C1E5F">
              <w:t>more equitable</w:t>
            </w:r>
            <w:r w:rsidR="000E4AB2" w:rsidRPr="008C1E5F">
              <w:t xml:space="preserve"> access to </w:t>
            </w:r>
            <w:r w:rsidRPr="008C1E5F">
              <w:t>unified arts opportunities</w:t>
            </w:r>
          </w:p>
          <w:p w14:paraId="0822E768" w14:textId="201F3558" w:rsidR="001D26CA" w:rsidRDefault="001D26CA" w:rsidP="00473308">
            <w:pPr>
              <w:pStyle w:val="TableBullet1"/>
            </w:pPr>
            <w:r w:rsidRPr="008C1E5F">
              <w:t>Ensuring</w:t>
            </w:r>
            <w:r>
              <w:t xml:space="preserve"> that </w:t>
            </w:r>
            <w:r w:rsidR="00930F79">
              <w:t>S</w:t>
            </w:r>
            <w:r>
              <w:t xml:space="preserve">tudents with </w:t>
            </w:r>
            <w:r w:rsidR="00930F79">
              <w:t>D</w:t>
            </w:r>
            <w:r>
              <w:t xml:space="preserve">isabilities receive appropriate supports in the least restrictive environment, are </w:t>
            </w:r>
            <w:r w:rsidR="00CB0BFA">
              <w:t>served</w:t>
            </w:r>
            <w:r w:rsidR="00CB0BFA" w:rsidRPr="008C1E5F">
              <w:t xml:space="preserve"> </w:t>
            </w:r>
            <w:r w:rsidRPr="008C1E5F">
              <w:t>by credentialed staff</w:t>
            </w:r>
            <w:r>
              <w:t>, and have equitable access to a high-quality education</w:t>
            </w:r>
          </w:p>
          <w:p w14:paraId="3F011882" w14:textId="6D8C7D5E" w:rsidR="00493F6B" w:rsidRPr="008C1E5F" w:rsidRDefault="00204340" w:rsidP="00473308">
            <w:pPr>
              <w:pStyle w:val="TableBullet1"/>
            </w:pPr>
            <w:r w:rsidRPr="008C1E5F">
              <w:t>Communicating with parents about the opportunities available to their children at the high school level</w:t>
            </w:r>
          </w:p>
        </w:tc>
      </w:tr>
      <w:tr w:rsidR="0037284E" w:rsidRPr="008C1E5F" w14:paraId="0EC4A794" w14:textId="77777777" w:rsidTr="00455FDE">
        <w:tc>
          <w:tcPr>
            <w:tcW w:w="863" w:type="pct"/>
          </w:tcPr>
          <w:p w14:paraId="78BB75FC" w14:textId="3B30DC47" w:rsidR="0037284E" w:rsidRPr="008C1E5F" w:rsidRDefault="00320588" w:rsidP="00473308">
            <w:pPr>
              <w:pStyle w:val="TableSubheading"/>
            </w:pPr>
            <w:hyperlink w:anchor="_Effective_Instruction_and" w:history="1">
              <w:r w:rsidRPr="008C1E5F">
                <w:rPr>
                  <w:rStyle w:val="Hyperlink"/>
                </w:rPr>
                <w:t>Effective Instruction and Curricular Implementation</w:t>
              </w:r>
            </w:hyperlink>
          </w:p>
        </w:tc>
        <w:tc>
          <w:tcPr>
            <w:tcW w:w="2408" w:type="pct"/>
          </w:tcPr>
          <w:p w14:paraId="4AAA2C06" w14:textId="4E9FD65E" w:rsidR="0037284E" w:rsidRPr="008C1E5F" w:rsidRDefault="00962109" w:rsidP="00FF6482">
            <w:pPr>
              <w:pStyle w:val="TableBullet1"/>
            </w:pPr>
            <w:r>
              <w:t>The</w:t>
            </w:r>
            <w:r w:rsidR="00DD163E" w:rsidRPr="008C1E5F">
              <w:t xml:space="preserve"> district supports teachers in implementing evidence-based instructional practices by providing professional development</w:t>
            </w:r>
            <w:r>
              <w:t xml:space="preserve">, </w:t>
            </w:r>
            <w:r w:rsidR="00DD163E" w:rsidRPr="008C1E5F">
              <w:t>coaching, and conducting walkthroughs and observations on a regular basis</w:t>
            </w:r>
            <w:r w:rsidR="000C4AAF">
              <w:t xml:space="preserve">. </w:t>
            </w:r>
          </w:p>
        </w:tc>
        <w:tc>
          <w:tcPr>
            <w:tcW w:w="1729" w:type="pct"/>
          </w:tcPr>
          <w:p w14:paraId="7D67B62C" w14:textId="3346A50F" w:rsidR="0037284E" w:rsidRPr="008C1E5F" w:rsidRDefault="0037284E" w:rsidP="006F5D90">
            <w:pPr>
              <w:pStyle w:val="TableBullet1"/>
              <w:numPr>
                <w:ilvl w:val="0"/>
                <w:numId w:val="0"/>
              </w:numPr>
              <w:ind w:left="360" w:hanging="360"/>
            </w:pPr>
          </w:p>
        </w:tc>
      </w:tr>
    </w:tbl>
    <w:p w14:paraId="6EA47201" w14:textId="0E589CC2" w:rsidR="00473308" w:rsidRPr="008C1E5F" w:rsidRDefault="0037284E" w:rsidP="00473308">
      <w:pPr>
        <w:pStyle w:val="Heading3"/>
      </w:pPr>
      <w:bookmarkStart w:id="55" w:name="_Curriculum_Selection_and"/>
      <w:bookmarkStart w:id="56" w:name="_Instructional_Leadership"/>
      <w:bookmarkStart w:id="57" w:name="_Toc195024216"/>
      <w:bookmarkEnd w:id="55"/>
      <w:bookmarkEnd w:id="56"/>
      <w:r w:rsidRPr="008C1E5F">
        <w:t>Instructional Leadership</w:t>
      </w:r>
      <w:bookmarkEnd w:id="57"/>
    </w:p>
    <w:p w14:paraId="0C0AA9A9" w14:textId="684E3959" w:rsidR="004155F8" w:rsidRPr="008C1E5F" w:rsidRDefault="004155F8" w:rsidP="004155F8">
      <w:pPr>
        <w:pStyle w:val="BodyTextposthead"/>
      </w:pPr>
      <w:bookmarkStart w:id="58" w:name="_Classroom_Instruction"/>
      <w:bookmarkEnd w:id="58"/>
      <w:r w:rsidRPr="008C1E5F">
        <w:t xml:space="preserve">The </w:t>
      </w:r>
      <w:r w:rsidR="003E232A" w:rsidRPr="008C1E5F">
        <w:rPr>
          <w:rFonts w:eastAsia="Aptos" w:cs="Aptos"/>
        </w:rPr>
        <w:t>chief academic officer</w:t>
      </w:r>
      <w:r w:rsidR="003E232A" w:rsidRPr="008C1E5F">
        <w:t xml:space="preserve"> </w:t>
      </w:r>
      <w:r w:rsidRPr="008C1E5F">
        <w:t xml:space="preserve">has primary responsibility for overseeing decisions about curriculum and instruction for the district. Although he has been a Fall River employee for many years, including 11 years as a middle school principal, </w:t>
      </w:r>
      <w:r w:rsidR="003D1FDD">
        <w:t xml:space="preserve">at the time of the </w:t>
      </w:r>
      <w:r w:rsidR="00D1526C">
        <w:t>district</w:t>
      </w:r>
      <w:r w:rsidR="003D1FDD">
        <w:t xml:space="preserve"> review, </w:t>
      </w:r>
      <w:r w:rsidRPr="008C1E5F">
        <w:t>he ha</w:t>
      </w:r>
      <w:r w:rsidR="003D1FDD">
        <w:t>d</w:t>
      </w:r>
      <w:r w:rsidRPr="008C1E5F">
        <w:t xml:space="preserve"> been in </w:t>
      </w:r>
      <w:r w:rsidR="003D1FDD">
        <w:t xml:space="preserve">the </w:t>
      </w:r>
      <w:r w:rsidRPr="008C1E5F">
        <w:t xml:space="preserve">role for </w:t>
      </w:r>
      <w:r w:rsidR="003D1FDD">
        <w:t xml:space="preserve">only </w:t>
      </w:r>
      <w:r w:rsidRPr="008C1E5F">
        <w:t xml:space="preserve">a few months. </w:t>
      </w:r>
      <w:r w:rsidR="00680115" w:rsidRPr="008C1E5F">
        <w:t>The</w:t>
      </w:r>
      <w:r w:rsidR="00CF2ABA" w:rsidRPr="008C1E5F">
        <w:t xml:space="preserve"> </w:t>
      </w:r>
      <w:r w:rsidR="003E232A" w:rsidRPr="008C1E5F">
        <w:rPr>
          <w:rFonts w:eastAsia="Aptos" w:cs="Aptos"/>
        </w:rPr>
        <w:t>chief academic officer</w:t>
      </w:r>
      <w:r w:rsidR="003E232A" w:rsidRPr="008C1E5F">
        <w:t xml:space="preserve"> </w:t>
      </w:r>
      <w:r w:rsidR="00680115" w:rsidRPr="008C1E5F">
        <w:t xml:space="preserve">is supported by </w:t>
      </w:r>
      <w:r w:rsidR="006F59F1" w:rsidRPr="008C1E5F">
        <w:t xml:space="preserve">a team of </w:t>
      </w:r>
      <w:r w:rsidR="006D2C5A" w:rsidRPr="008C1E5F">
        <w:t>content</w:t>
      </w:r>
      <w:r w:rsidR="006F59F1" w:rsidRPr="008C1E5F">
        <w:t xml:space="preserve"> directors (ELA,</w:t>
      </w:r>
      <w:r w:rsidR="00DC5506">
        <w:t xml:space="preserve"> </w:t>
      </w:r>
      <w:r w:rsidR="006F59F1" w:rsidRPr="008C1E5F">
        <w:t>math</w:t>
      </w:r>
      <w:r w:rsidR="00904A9D" w:rsidRPr="008C1E5F">
        <w:t>ematics</w:t>
      </w:r>
      <w:r w:rsidR="006F59F1" w:rsidRPr="008C1E5F">
        <w:t xml:space="preserve">, science, social studies, fine arts, and physical education) as well as </w:t>
      </w:r>
      <w:r w:rsidR="00617E21" w:rsidRPr="008C1E5F">
        <w:t xml:space="preserve">the </w:t>
      </w:r>
      <w:r w:rsidR="00CE706D" w:rsidRPr="008C1E5F">
        <w:t>d</w:t>
      </w:r>
      <w:r w:rsidR="00617E21" w:rsidRPr="008C1E5F">
        <w:t xml:space="preserve">irector of </w:t>
      </w:r>
      <w:r w:rsidR="00CE706D" w:rsidRPr="008C1E5F">
        <w:t>g</w:t>
      </w:r>
      <w:r w:rsidR="00617E21" w:rsidRPr="008C1E5F">
        <w:t xml:space="preserve">rants, the </w:t>
      </w:r>
      <w:r w:rsidR="008926C8">
        <w:t>multilingual learner</w:t>
      </w:r>
      <w:r w:rsidR="00904A9D" w:rsidRPr="008C1E5F">
        <w:t xml:space="preserve"> c</w:t>
      </w:r>
      <w:r w:rsidR="00617E21" w:rsidRPr="008C1E5F">
        <w:t xml:space="preserve">oordinator, and the </w:t>
      </w:r>
      <w:r w:rsidR="00CE706D" w:rsidRPr="008C1E5F">
        <w:t>c</w:t>
      </w:r>
      <w:r w:rsidR="00617E21" w:rsidRPr="008C1E5F">
        <w:t xml:space="preserve">oordinator of </w:t>
      </w:r>
      <w:r w:rsidR="00CE706D" w:rsidRPr="008C1E5F">
        <w:t>d</w:t>
      </w:r>
      <w:r w:rsidR="00617E21" w:rsidRPr="008C1E5F">
        <w:t xml:space="preserve">ata, </w:t>
      </w:r>
      <w:r w:rsidR="00CE706D" w:rsidRPr="008C1E5F">
        <w:t>a</w:t>
      </w:r>
      <w:r w:rsidR="00617E21" w:rsidRPr="008C1E5F">
        <w:t xml:space="preserve">ssessment, and </w:t>
      </w:r>
      <w:r w:rsidR="00CE706D" w:rsidRPr="008C1E5F">
        <w:t>a</w:t>
      </w:r>
      <w:r w:rsidR="00617E21" w:rsidRPr="008C1E5F">
        <w:t>ccountability.</w:t>
      </w:r>
    </w:p>
    <w:p w14:paraId="4F13AC6D" w14:textId="7B9C1369" w:rsidR="008B5689" w:rsidRPr="008C1E5F" w:rsidRDefault="009D5A19" w:rsidP="002F31C2">
      <w:pPr>
        <w:pStyle w:val="BodyTextposthead"/>
      </w:pPr>
      <w:r w:rsidRPr="008C1E5F">
        <w:t xml:space="preserve">According to </w:t>
      </w:r>
      <w:r w:rsidR="00E55A1C" w:rsidRPr="008C1E5F">
        <w:t>school leaders,</w:t>
      </w:r>
      <w:r w:rsidRPr="008C1E5F">
        <w:t xml:space="preserve"> teachers</w:t>
      </w:r>
      <w:r w:rsidR="000D03EC" w:rsidRPr="008C1E5F">
        <w:t>,</w:t>
      </w:r>
      <w:r w:rsidR="00E55A1C" w:rsidRPr="008C1E5F">
        <w:t xml:space="preserve"> and other school staff</w:t>
      </w:r>
      <w:r w:rsidR="00FF77CD" w:rsidRPr="008C1E5F">
        <w:t>,</w:t>
      </w:r>
      <w:r w:rsidRPr="008C1E5F">
        <w:t xml:space="preserve"> the district does not </w:t>
      </w:r>
      <w:r w:rsidR="00B219E9" w:rsidRPr="008C1E5F">
        <w:t>have</w:t>
      </w:r>
      <w:r w:rsidRPr="008C1E5F">
        <w:t xml:space="preserve"> a clear </w:t>
      </w:r>
      <w:r w:rsidR="00AD6A51" w:rsidRPr="008C1E5F">
        <w:t xml:space="preserve">districtwide </w:t>
      </w:r>
      <w:r w:rsidRPr="008C1E5F">
        <w:t>instructional vision</w:t>
      </w:r>
      <w:r w:rsidR="00710EC4" w:rsidRPr="008C1E5F">
        <w:t xml:space="preserve">. </w:t>
      </w:r>
      <w:r w:rsidR="003D1FDD">
        <w:t>In interviews</w:t>
      </w:r>
      <w:r w:rsidR="008C2E90" w:rsidRPr="008C1E5F">
        <w:t>, t</w:t>
      </w:r>
      <w:r w:rsidR="007A6E80" w:rsidRPr="008C1E5F">
        <w:t>he superintendent</w:t>
      </w:r>
      <w:r w:rsidRPr="008C1E5F">
        <w:t xml:space="preserve"> </w:t>
      </w:r>
      <w:r w:rsidR="007A6E80" w:rsidRPr="008C1E5F">
        <w:t>described</w:t>
      </w:r>
      <w:r w:rsidR="0004748F" w:rsidRPr="008C1E5F">
        <w:t xml:space="preserve"> a vision for instruction </w:t>
      </w:r>
      <w:r w:rsidR="003F677A" w:rsidRPr="008C1E5F">
        <w:t>centered around providing equitable access to grade-appropriate instruction for all students</w:t>
      </w:r>
      <w:r w:rsidR="00226AB6" w:rsidRPr="008C1E5F">
        <w:t xml:space="preserve"> </w:t>
      </w:r>
      <w:r w:rsidR="00B11A03" w:rsidRPr="008C1E5F">
        <w:t>by focusing on the subgroups with the highest need</w:t>
      </w:r>
      <w:r w:rsidR="00B211C0" w:rsidRPr="008C1E5F">
        <w:t xml:space="preserve">, particularly </w:t>
      </w:r>
      <w:r w:rsidR="00F0781F">
        <w:t xml:space="preserve">English </w:t>
      </w:r>
      <w:r w:rsidR="00073EA2">
        <w:t>L</w:t>
      </w:r>
      <w:r w:rsidR="00F0781F">
        <w:t>earners</w:t>
      </w:r>
      <w:r w:rsidR="00F0781F" w:rsidRPr="008C1E5F">
        <w:t xml:space="preserve"> </w:t>
      </w:r>
      <w:r w:rsidR="00B211C0" w:rsidRPr="008C1E5F">
        <w:t xml:space="preserve">and </w:t>
      </w:r>
      <w:r w:rsidR="00930F79">
        <w:t>S</w:t>
      </w:r>
      <w:r w:rsidR="00F0781F">
        <w:t xml:space="preserve">tudents with </w:t>
      </w:r>
      <w:r w:rsidR="00930F79">
        <w:t>D</w:t>
      </w:r>
      <w:r w:rsidR="00F0781F">
        <w:t>isabilities</w:t>
      </w:r>
      <w:r w:rsidR="0025489B">
        <w:t xml:space="preserve"> (</w:t>
      </w:r>
      <w:r w:rsidR="005B0414">
        <w:t xml:space="preserve">see </w:t>
      </w:r>
      <w:r w:rsidR="0025489B" w:rsidRPr="008C1E5F">
        <w:t>Strategic Planning, Implementation, and Monitoring</w:t>
      </w:r>
      <w:r w:rsidR="00582363">
        <w:t xml:space="preserve">). </w:t>
      </w:r>
      <w:r w:rsidR="00904A9D" w:rsidRPr="008C1E5F">
        <w:t xml:space="preserve">Although </w:t>
      </w:r>
      <w:r w:rsidR="008C2E90" w:rsidRPr="008C1E5F">
        <w:t xml:space="preserve">school leaders </w:t>
      </w:r>
      <w:r w:rsidR="00B11A03" w:rsidRPr="008C1E5F">
        <w:t xml:space="preserve">seemed to be </w:t>
      </w:r>
      <w:r w:rsidR="00DC5506" w:rsidRPr="008C1E5F">
        <w:t xml:space="preserve">generally </w:t>
      </w:r>
      <w:r w:rsidR="00B11A03" w:rsidRPr="008C1E5F">
        <w:t xml:space="preserve">aware of this </w:t>
      </w:r>
      <w:r w:rsidR="00D2755F" w:rsidRPr="008C1E5F">
        <w:t>vision</w:t>
      </w:r>
      <w:r w:rsidR="00DC5506">
        <w:t>,</w:t>
      </w:r>
      <w:r w:rsidR="00D2755F" w:rsidRPr="008C1E5F">
        <w:t xml:space="preserve"> they </w:t>
      </w:r>
      <w:r w:rsidR="00C832A5" w:rsidRPr="008C1E5F">
        <w:t>agreed</w:t>
      </w:r>
      <w:r w:rsidR="00B971AC" w:rsidRPr="008C1E5F">
        <w:t xml:space="preserve"> </w:t>
      </w:r>
      <w:r w:rsidRPr="008C1E5F">
        <w:t xml:space="preserve">that </w:t>
      </w:r>
      <w:r w:rsidR="00F35E09" w:rsidRPr="008C1E5F">
        <w:t xml:space="preserve">it </w:t>
      </w:r>
      <w:r w:rsidR="00287209" w:rsidRPr="008C1E5F">
        <w:t>has</w:t>
      </w:r>
      <w:r w:rsidRPr="008C1E5F">
        <w:t xml:space="preserve"> not </w:t>
      </w:r>
      <w:r w:rsidR="00287209" w:rsidRPr="008C1E5F">
        <w:t>yet been</w:t>
      </w:r>
      <w:r w:rsidRPr="008C1E5F">
        <w:t xml:space="preserve"> communicated or implemented across schools or departments. </w:t>
      </w:r>
      <w:r w:rsidR="00187DD4" w:rsidRPr="008C1E5F">
        <w:t xml:space="preserve">Principals reported that some schools </w:t>
      </w:r>
      <w:r w:rsidR="00425BB6" w:rsidRPr="008C1E5F">
        <w:t xml:space="preserve">and departments </w:t>
      </w:r>
      <w:r w:rsidR="0022310F" w:rsidRPr="008C1E5F">
        <w:t xml:space="preserve">have </w:t>
      </w:r>
      <w:r w:rsidR="009F1423" w:rsidRPr="008C1E5F">
        <w:t xml:space="preserve">a </w:t>
      </w:r>
      <w:r w:rsidR="0022310F" w:rsidRPr="008C1E5F">
        <w:t xml:space="preserve">shared instructional </w:t>
      </w:r>
      <w:r w:rsidR="00A36005" w:rsidRPr="008C1E5F">
        <w:t>approach</w:t>
      </w:r>
      <w:r w:rsidR="0022310F" w:rsidRPr="008C1E5F">
        <w:t xml:space="preserve">, </w:t>
      </w:r>
      <w:r w:rsidR="008B5689" w:rsidRPr="008C1E5F">
        <w:t xml:space="preserve">such as the reading department utilizing the pathways model and elementary schools using </w:t>
      </w:r>
      <w:r w:rsidR="004856AB" w:rsidRPr="008C1E5F">
        <w:t xml:space="preserve">the </w:t>
      </w:r>
      <w:r w:rsidR="00A36005" w:rsidRPr="008C1E5F">
        <w:t>workshop</w:t>
      </w:r>
      <w:r w:rsidR="004856AB" w:rsidRPr="008C1E5F">
        <w:t xml:space="preserve"> model</w:t>
      </w:r>
      <w:r w:rsidR="003A4DEE" w:rsidRPr="008C1E5F">
        <w:t>, but this is not yet consistent across all schools and departments.</w:t>
      </w:r>
      <w:r w:rsidR="001A56EC" w:rsidRPr="008C1E5F">
        <w:t xml:space="preserve"> Formalizing and communicating an instructional vision across the district is an area </w:t>
      </w:r>
      <w:r w:rsidR="0044036C">
        <w:t>for</w:t>
      </w:r>
      <w:r w:rsidR="001A56EC" w:rsidRPr="008C1E5F">
        <w:t xml:space="preserve"> growth.</w:t>
      </w:r>
      <w:r w:rsidR="004856AB" w:rsidRPr="008C1E5F">
        <w:t xml:space="preserve"> </w:t>
      </w:r>
    </w:p>
    <w:p w14:paraId="191172B5" w14:textId="770B43CC" w:rsidR="009D5A19" w:rsidRPr="008C1E5F" w:rsidRDefault="009D5A19" w:rsidP="00455FDE">
      <w:pPr>
        <w:pStyle w:val="BodyText"/>
      </w:pPr>
      <w:r w:rsidRPr="008C1E5F">
        <w:t xml:space="preserve">The superintendent, school leaders, and </w:t>
      </w:r>
      <w:r w:rsidR="00904A9D" w:rsidRPr="008C1E5F">
        <w:t xml:space="preserve">the </w:t>
      </w:r>
      <w:r w:rsidR="00720C0E" w:rsidRPr="008C1E5F">
        <w:t>chief academic officer</w:t>
      </w:r>
      <w:r w:rsidRPr="008C1E5F">
        <w:t xml:space="preserve"> agreed that</w:t>
      </w:r>
      <w:r w:rsidRPr="008C1E5F">
        <w:rPr>
          <w:b/>
          <w:bCs/>
          <w:i/>
          <w:iCs/>
        </w:rPr>
        <w:t xml:space="preserve"> </w:t>
      </w:r>
      <w:r w:rsidRPr="008C1E5F">
        <w:t xml:space="preserve">the district has systems in place to implement, monitor, and continuously improve on the </w:t>
      </w:r>
      <w:r w:rsidR="00B649F3" w:rsidRPr="008C1E5F">
        <w:t>district’s instructional priorities</w:t>
      </w:r>
      <w:r w:rsidRPr="008C1E5F">
        <w:t xml:space="preserve">. </w:t>
      </w:r>
      <w:r w:rsidR="00981603" w:rsidRPr="008C1E5F">
        <w:t xml:space="preserve">The district </w:t>
      </w:r>
      <w:r w:rsidR="00C41FA4" w:rsidRPr="008C1E5F">
        <w:t>provides additional</w:t>
      </w:r>
      <w:r w:rsidR="00981603" w:rsidRPr="008C1E5F">
        <w:t xml:space="preserve"> </w:t>
      </w:r>
      <w:r w:rsidR="00340C94" w:rsidRPr="008C1E5F">
        <w:t xml:space="preserve">monitoring efforts </w:t>
      </w:r>
      <w:r w:rsidR="00877981" w:rsidRPr="008C1E5F">
        <w:t xml:space="preserve">to </w:t>
      </w:r>
      <w:proofErr w:type="gramStart"/>
      <w:r w:rsidR="00877981" w:rsidRPr="008C1E5F">
        <w:t>particular schools</w:t>
      </w:r>
      <w:proofErr w:type="gramEnd"/>
      <w:r w:rsidR="00877981" w:rsidRPr="008C1E5F">
        <w:t xml:space="preserve">, with those in the </w:t>
      </w:r>
      <w:r w:rsidR="00CA2E71">
        <w:t xml:space="preserve">state’s </w:t>
      </w:r>
      <w:r w:rsidR="00B73EFE" w:rsidRPr="008C1E5F">
        <w:t>lowest</w:t>
      </w:r>
      <w:r w:rsidR="00877981" w:rsidRPr="008C1E5F">
        <w:t xml:space="preserve"> 10 percent </w:t>
      </w:r>
      <w:r w:rsidR="00CA2E71">
        <w:t>of schools (</w:t>
      </w:r>
      <w:r w:rsidR="00B73EFE" w:rsidRPr="008C1E5F">
        <w:t>according to state accountability data</w:t>
      </w:r>
      <w:r w:rsidR="00CA2E71">
        <w:t>)</w:t>
      </w:r>
      <w:r w:rsidR="00F905F8" w:rsidRPr="008C1E5F">
        <w:t xml:space="preserve"> </w:t>
      </w:r>
      <w:r w:rsidR="00877981" w:rsidRPr="008C1E5F">
        <w:t xml:space="preserve">receiving monthly </w:t>
      </w:r>
      <w:r w:rsidR="00E347C5">
        <w:t>instructional</w:t>
      </w:r>
      <w:r w:rsidR="00877981" w:rsidRPr="008C1E5F">
        <w:t xml:space="preserve"> walkthroughs </w:t>
      </w:r>
      <w:r w:rsidR="00416756" w:rsidRPr="008C1E5F">
        <w:t>by district and school leaders</w:t>
      </w:r>
      <w:r w:rsidR="00EC38E2">
        <w:t>.</w:t>
      </w:r>
      <w:r w:rsidR="00416756" w:rsidRPr="008C1E5F">
        <w:t xml:space="preserve"> </w:t>
      </w:r>
      <w:r w:rsidR="00910AB3">
        <w:t xml:space="preserve">For other schools, </w:t>
      </w:r>
      <w:r w:rsidR="00A37E5A">
        <w:t xml:space="preserve">the district also conducts monitoring </w:t>
      </w:r>
      <w:r w:rsidR="006E4095">
        <w:t>efforts although less frequently.</w:t>
      </w:r>
      <w:r w:rsidR="00DE15F7">
        <w:t xml:space="preserve"> As a school leader summarized, “</w:t>
      </w:r>
      <w:r w:rsidR="00DE15F7" w:rsidRPr="00DE15F7">
        <w:t>other schools have the same process, just not as often.</w:t>
      </w:r>
      <w:r w:rsidR="00DE15F7">
        <w:t>”</w:t>
      </w:r>
      <w:r w:rsidR="006E4095">
        <w:t xml:space="preserve"> L</w:t>
      </w:r>
      <w:r w:rsidR="000F295B">
        <w:t>eaders, at both the s</w:t>
      </w:r>
      <w:r w:rsidR="0091178A" w:rsidRPr="008C1E5F">
        <w:t>chool</w:t>
      </w:r>
      <w:r w:rsidR="000F295B">
        <w:t>-</w:t>
      </w:r>
      <w:r w:rsidR="0091178A" w:rsidRPr="008C1E5F">
        <w:t xml:space="preserve"> </w:t>
      </w:r>
      <w:r w:rsidR="00A6216F" w:rsidRPr="008C1E5F">
        <w:t>and district</w:t>
      </w:r>
      <w:r w:rsidR="000F295B">
        <w:t>-levels,</w:t>
      </w:r>
      <w:r w:rsidR="00A6216F" w:rsidRPr="008C1E5F">
        <w:t xml:space="preserve"> agreed that this system has been effective at </w:t>
      </w:r>
      <w:r w:rsidR="002931B3" w:rsidRPr="008C1E5F">
        <w:t xml:space="preserve">ensuring </w:t>
      </w:r>
      <w:r w:rsidR="005E621F" w:rsidRPr="008C1E5F">
        <w:t>instructional quality.</w:t>
      </w:r>
      <w:r w:rsidRPr="008C1E5F">
        <w:t xml:space="preserve"> </w:t>
      </w:r>
      <w:r w:rsidR="00B9512A" w:rsidRPr="008C1E5F">
        <w:t>The district’s focus on implementation</w:t>
      </w:r>
      <w:r w:rsidR="000F295B">
        <w:t>,</w:t>
      </w:r>
      <w:r w:rsidR="00B9512A" w:rsidRPr="008C1E5F">
        <w:t xml:space="preserve"> monitoring</w:t>
      </w:r>
      <w:r w:rsidR="00376C0F">
        <w:t>,</w:t>
      </w:r>
      <w:r w:rsidR="00B9512A" w:rsidRPr="008C1E5F">
        <w:t xml:space="preserve"> and continuous improvement is a strength. </w:t>
      </w:r>
    </w:p>
    <w:p w14:paraId="60994DAD" w14:textId="016CE4FA" w:rsidR="00B23437" w:rsidRPr="008C1E5F" w:rsidRDefault="002D3061" w:rsidP="00455FDE">
      <w:pPr>
        <w:pStyle w:val="BodyText"/>
        <w:rPr>
          <w:spacing w:val="-2"/>
        </w:rPr>
      </w:pPr>
      <w:r w:rsidRPr="008C1E5F">
        <w:rPr>
          <w:spacing w:val="-2"/>
        </w:rPr>
        <w:t xml:space="preserve">According to the </w:t>
      </w:r>
      <w:r w:rsidR="003638EE" w:rsidRPr="008C1E5F">
        <w:rPr>
          <w:spacing w:val="-2"/>
        </w:rPr>
        <w:t>District Instructional Prioritization Plan</w:t>
      </w:r>
      <w:r w:rsidR="008D4835" w:rsidRPr="008C1E5F">
        <w:rPr>
          <w:spacing w:val="-2"/>
        </w:rPr>
        <w:t xml:space="preserve">, the district </w:t>
      </w:r>
      <w:r w:rsidR="007B7FAF" w:rsidRPr="008C1E5F">
        <w:rPr>
          <w:spacing w:val="-2"/>
        </w:rPr>
        <w:t>leverag</w:t>
      </w:r>
      <w:r w:rsidR="008A4888" w:rsidRPr="008C1E5F">
        <w:rPr>
          <w:spacing w:val="-2"/>
        </w:rPr>
        <w:t>es</w:t>
      </w:r>
      <w:r w:rsidR="007B7FAF" w:rsidRPr="008C1E5F">
        <w:rPr>
          <w:spacing w:val="-2"/>
        </w:rPr>
        <w:t xml:space="preserve"> each school’s ILT </w:t>
      </w:r>
      <w:r w:rsidR="004A0596" w:rsidRPr="008C1E5F">
        <w:rPr>
          <w:spacing w:val="-2"/>
        </w:rPr>
        <w:t xml:space="preserve">to engage in progress monitoring </w:t>
      </w:r>
      <w:r w:rsidR="0062326B" w:rsidRPr="008C1E5F">
        <w:rPr>
          <w:spacing w:val="-2"/>
        </w:rPr>
        <w:t xml:space="preserve">to determine </w:t>
      </w:r>
      <w:r w:rsidR="00904A9D" w:rsidRPr="008C1E5F">
        <w:rPr>
          <w:spacing w:val="-2"/>
        </w:rPr>
        <w:t xml:space="preserve">the </w:t>
      </w:r>
      <w:r w:rsidR="0062326B" w:rsidRPr="008C1E5F">
        <w:rPr>
          <w:spacing w:val="-2"/>
        </w:rPr>
        <w:t>effectiveness</w:t>
      </w:r>
      <w:r w:rsidR="00A5137A" w:rsidRPr="008C1E5F">
        <w:rPr>
          <w:spacing w:val="-2"/>
        </w:rPr>
        <w:t xml:space="preserve"> of improvement efforts</w:t>
      </w:r>
      <w:r w:rsidR="0062326B" w:rsidRPr="008C1E5F">
        <w:rPr>
          <w:spacing w:val="-2"/>
        </w:rPr>
        <w:t xml:space="preserve">. </w:t>
      </w:r>
      <w:r w:rsidR="009D5A19" w:rsidRPr="008C1E5F">
        <w:rPr>
          <w:spacing w:val="-2"/>
        </w:rPr>
        <w:t xml:space="preserve">Principals and other </w:t>
      </w:r>
      <w:r w:rsidR="008A4888" w:rsidRPr="008C1E5F">
        <w:rPr>
          <w:spacing w:val="-2"/>
        </w:rPr>
        <w:t xml:space="preserve">district </w:t>
      </w:r>
      <w:r w:rsidR="009D5A19" w:rsidRPr="008C1E5F">
        <w:rPr>
          <w:spacing w:val="-2"/>
        </w:rPr>
        <w:t xml:space="preserve">officials reported the district has guidance and systems in place to empower </w:t>
      </w:r>
      <w:r w:rsidR="008A4888" w:rsidRPr="008C1E5F">
        <w:rPr>
          <w:spacing w:val="-2"/>
        </w:rPr>
        <w:t xml:space="preserve">each school’s </w:t>
      </w:r>
      <w:r w:rsidR="008B7A1C" w:rsidRPr="008C1E5F">
        <w:rPr>
          <w:spacing w:val="-2"/>
        </w:rPr>
        <w:t>ILT</w:t>
      </w:r>
      <w:r w:rsidR="009D5A19" w:rsidRPr="008C1E5F">
        <w:rPr>
          <w:spacing w:val="-2"/>
        </w:rPr>
        <w:t>.</w:t>
      </w:r>
      <w:r w:rsidR="00DD34C0" w:rsidRPr="008C1E5F">
        <w:rPr>
          <w:spacing w:val="-2"/>
        </w:rPr>
        <w:t xml:space="preserve"> </w:t>
      </w:r>
      <w:r w:rsidR="009D5A19" w:rsidRPr="008C1E5F">
        <w:rPr>
          <w:spacing w:val="-2"/>
        </w:rPr>
        <w:t>Principals agreed that the district sets expectations for the ILT</w:t>
      </w:r>
      <w:r w:rsidR="00904A9D" w:rsidRPr="008C1E5F">
        <w:rPr>
          <w:spacing w:val="-2"/>
        </w:rPr>
        <w:t>s</w:t>
      </w:r>
      <w:r w:rsidR="009D5A19" w:rsidRPr="008C1E5F">
        <w:rPr>
          <w:spacing w:val="-2"/>
        </w:rPr>
        <w:t>’ authority and scope of work</w:t>
      </w:r>
      <w:r w:rsidR="00E946CB">
        <w:rPr>
          <w:spacing w:val="-2"/>
        </w:rPr>
        <w:t>.</w:t>
      </w:r>
      <w:r w:rsidR="009D5A19" w:rsidRPr="008C1E5F">
        <w:rPr>
          <w:spacing w:val="-2"/>
        </w:rPr>
        <w:t xml:space="preserve"> </w:t>
      </w:r>
      <w:r w:rsidR="00E946CB">
        <w:rPr>
          <w:spacing w:val="-2"/>
        </w:rPr>
        <w:t>Specifically</w:t>
      </w:r>
      <w:r w:rsidR="00CE6C2D" w:rsidRPr="008C1E5F">
        <w:rPr>
          <w:spacing w:val="-2"/>
        </w:rPr>
        <w:t xml:space="preserve">, </w:t>
      </w:r>
      <w:r w:rsidR="002D5799">
        <w:rPr>
          <w:spacing w:val="-2"/>
        </w:rPr>
        <w:t xml:space="preserve">school-level </w:t>
      </w:r>
      <w:r w:rsidR="00CE6C2D" w:rsidRPr="008C1E5F">
        <w:rPr>
          <w:spacing w:val="-2"/>
        </w:rPr>
        <w:t>ILT</w:t>
      </w:r>
      <w:r w:rsidR="00904A9D" w:rsidRPr="008C1E5F">
        <w:rPr>
          <w:spacing w:val="-2"/>
        </w:rPr>
        <w:t>s</w:t>
      </w:r>
      <w:r w:rsidR="00CE6C2D" w:rsidRPr="008C1E5F">
        <w:rPr>
          <w:spacing w:val="-2"/>
        </w:rPr>
        <w:t xml:space="preserve"> are responsible for</w:t>
      </w:r>
      <w:r w:rsidR="00A75A36" w:rsidRPr="008C1E5F">
        <w:rPr>
          <w:spacing w:val="-2"/>
        </w:rPr>
        <w:t xml:space="preserve"> </w:t>
      </w:r>
      <w:r w:rsidR="00CE6C2D" w:rsidRPr="008C1E5F">
        <w:rPr>
          <w:spacing w:val="-2"/>
        </w:rPr>
        <w:t>developing</w:t>
      </w:r>
      <w:r w:rsidR="00A75A36" w:rsidRPr="008C1E5F">
        <w:rPr>
          <w:spacing w:val="-2"/>
        </w:rPr>
        <w:t xml:space="preserve"> </w:t>
      </w:r>
      <w:r w:rsidR="009D5A19" w:rsidRPr="008C1E5F">
        <w:rPr>
          <w:spacing w:val="-2"/>
        </w:rPr>
        <w:t xml:space="preserve">an annual </w:t>
      </w:r>
      <w:r w:rsidR="00F90811" w:rsidRPr="008C1E5F">
        <w:rPr>
          <w:spacing w:val="-2"/>
        </w:rPr>
        <w:t>improvement</w:t>
      </w:r>
      <w:r w:rsidR="009D5A19" w:rsidRPr="008C1E5F">
        <w:rPr>
          <w:spacing w:val="-2"/>
        </w:rPr>
        <w:t xml:space="preserve"> plan with </w:t>
      </w:r>
      <w:r w:rsidR="00942CBD" w:rsidRPr="008C1E5F">
        <w:rPr>
          <w:spacing w:val="-2"/>
        </w:rPr>
        <w:t xml:space="preserve">short-term </w:t>
      </w:r>
      <w:r w:rsidR="009D5A19" w:rsidRPr="008C1E5F">
        <w:rPr>
          <w:spacing w:val="-2"/>
        </w:rPr>
        <w:t>goals</w:t>
      </w:r>
      <w:r w:rsidR="00A75A36" w:rsidRPr="008C1E5F">
        <w:rPr>
          <w:spacing w:val="-2"/>
        </w:rPr>
        <w:t xml:space="preserve"> unique to each school, </w:t>
      </w:r>
      <w:r w:rsidR="007769FF" w:rsidRPr="008C1E5F">
        <w:rPr>
          <w:spacing w:val="-2"/>
        </w:rPr>
        <w:t xml:space="preserve">which are </w:t>
      </w:r>
      <w:r w:rsidR="0097247D" w:rsidRPr="008C1E5F">
        <w:rPr>
          <w:spacing w:val="-2"/>
        </w:rPr>
        <w:t xml:space="preserve">reviewed and approved by the </w:t>
      </w:r>
      <w:r w:rsidR="00904A9D" w:rsidRPr="008C1E5F">
        <w:rPr>
          <w:spacing w:val="-2"/>
        </w:rPr>
        <w:t xml:space="preserve">district </w:t>
      </w:r>
      <w:r w:rsidR="0097247D" w:rsidRPr="008C1E5F">
        <w:rPr>
          <w:spacing w:val="-2"/>
        </w:rPr>
        <w:t>ILT</w:t>
      </w:r>
      <w:r w:rsidR="009D5A19" w:rsidRPr="008C1E5F">
        <w:rPr>
          <w:spacing w:val="-2"/>
        </w:rPr>
        <w:t xml:space="preserve">. </w:t>
      </w:r>
      <w:r w:rsidR="00107EB4" w:rsidRPr="008C1E5F">
        <w:rPr>
          <w:spacing w:val="-2"/>
        </w:rPr>
        <w:t xml:space="preserve">For example, </w:t>
      </w:r>
      <w:r w:rsidR="004D02E6" w:rsidRPr="008C1E5F">
        <w:rPr>
          <w:spacing w:val="-2"/>
        </w:rPr>
        <w:t>one school reported setting a goal of a 10</w:t>
      </w:r>
      <w:r w:rsidR="00904A9D" w:rsidRPr="008C1E5F">
        <w:rPr>
          <w:spacing w:val="-2"/>
        </w:rPr>
        <w:t xml:space="preserve"> percent</w:t>
      </w:r>
      <w:r w:rsidR="004D02E6" w:rsidRPr="008C1E5F">
        <w:rPr>
          <w:spacing w:val="-2"/>
        </w:rPr>
        <w:t xml:space="preserve"> </w:t>
      </w:r>
      <w:r w:rsidR="004B0479" w:rsidRPr="008C1E5F">
        <w:rPr>
          <w:spacing w:val="-2"/>
        </w:rPr>
        <w:t>increase in benchmark</w:t>
      </w:r>
      <w:r w:rsidR="00CD666A" w:rsidRPr="008C1E5F">
        <w:rPr>
          <w:spacing w:val="-2"/>
        </w:rPr>
        <w:t xml:space="preserve"> assessment</w:t>
      </w:r>
      <w:r w:rsidR="004B0479" w:rsidRPr="008C1E5F">
        <w:rPr>
          <w:spacing w:val="-2"/>
        </w:rPr>
        <w:t xml:space="preserve">s </w:t>
      </w:r>
      <w:r w:rsidR="00B0440D" w:rsidRPr="008C1E5F">
        <w:rPr>
          <w:spacing w:val="-2"/>
        </w:rPr>
        <w:t xml:space="preserve">by the end of the year, with interim </w:t>
      </w:r>
      <w:r w:rsidR="0054044D" w:rsidRPr="008C1E5F">
        <w:rPr>
          <w:spacing w:val="-2"/>
        </w:rPr>
        <w:t>measures along the way</w:t>
      </w:r>
      <w:r w:rsidR="0018275C" w:rsidRPr="008C1E5F">
        <w:rPr>
          <w:spacing w:val="-2"/>
        </w:rPr>
        <w:t xml:space="preserve">. </w:t>
      </w:r>
      <w:r w:rsidR="009B1508" w:rsidRPr="008C1E5F">
        <w:rPr>
          <w:spacing w:val="-2"/>
        </w:rPr>
        <w:t>P</w:t>
      </w:r>
      <w:r w:rsidR="003B62E5" w:rsidRPr="008C1E5F">
        <w:rPr>
          <w:spacing w:val="-2"/>
        </w:rPr>
        <w:t xml:space="preserve">rincipals </w:t>
      </w:r>
      <w:r w:rsidR="009B1508" w:rsidRPr="008C1E5F">
        <w:rPr>
          <w:spacing w:val="-2"/>
        </w:rPr>
        <w:t xml:space="preserve">also </w:t>
      </w:r>
      <w:r w:rsidR="003B62E5" w:rsidRPr="008C1E5F">
        <w:rPr>
          <w:spacing w:val="-2"/>
        </w:rPr>
        <w:t xml:space="preserve">reported </w:t>
      </w:r>
      <w:r w:rsidR="005E60F6">
        <w:rPr>
          <w:spacing w:val="-2"/>
        </w:rPr>
        <w:t xml:space="preserve">that </w:t>
      </w:r>
      <w:r w:rsidR="00ED1665" w:rsidRPr="008C1E5F">
        <w:rPr>
          <w:spacing w:val="-2"/>
        </w:rPr>
        <w:t xml:space="preserve">the district </w:t>
      </w:r>
      <w:r w:rsidR="00B340C8" w:rsidRPr="008C1E5F">
        <w:rPr>
          <w:spacing w:val="-2"/>
        </w:rPr>
        <w:t>ha</w:t>
      </w:r>
      <w:r w:rsidR="00617F30" w:rsidRPr="008C1E5F">
        <w:rPr>
          <w:spacing w:val="-2"/>
        </w:rPr>
        <w:t>s</w:t>
      </w:r>
      <w:r w:rsidR="00B340C8" w:rsidRPr="008C1E5F">
        <w:rPr>
          <w:spacing w:val="-2"/>
        </w:rPr>
        <w:t xml:space="preserve"> </w:t>
      </w:r>
      <w:r w:rsidR="00B340C8" w:rsidRPr="008C1E5F">
        <w:rPr>
          <w:spacing w:val="-2"/>
        </w:rPr>
        <w:lastRenderedPageBreak/>
        <w:t>a long-term</w:t>
      </w:r>
      <w:r w:rsidR="00ED1665" w:rsidRPr="008C1E5F">
        <w:rPr>
          <w:spacing w:val="-2"/>
        </w:rPr>
        <w:t xml:space="preserve"> partners</w:t>
      </w:r>
      <w:r w:rsidR="00B340C8" w:rsidRPr="008C1E5F">
        <w:rPr>
          <w:spacing w:val="-2"/>
        </w:rPr>
        <w:t>hip</w:t>
      </w:r>
      <w:r w:rsidR="00ED1665" w:rsidRPr="008C1E5F">
        <w:rPr>
          <w:spacing w:val="-2"/>
        </w:rPr>
        <w:t xml:space="preserve"> with The New Teacher Project</w:t>
      </w:r>
      <w:r w:rsidR="00B340C8" w:rsidRPr="008C1E5F">
        <w:rPr>
          <w:spacing w:val="-2"/>
        </w:rPr>
        <w:t xml:space="preserve">, and </w:t>
      </w:r>
      <w:r w:rsidR="00F11929" w:rsidRPr="008C1E5F">
        <w:rPr>
          <w:spacing w:val="-2"/>
        </w:rPr>
        <w:t xml:space="preserve">their recent work </w:t>
      </w:r>
      <w:r w:rsidR="006D1D65" w:rsidRPr="008C1E5F">
        <w:rPr>
          <w:spacing w:val="-2"/>
        </w:rPr>
        <w:t>has focused on</w:t>
      </w:r>
      <w:r w:rsidR="00ED1665" w:rsidRPr="008C1E5F">
        <w:rPr>
          <w:spacing w:val="-2"/>
        </w:rPr>
        <w:t xml:space="preserve"> revamp</w:t>
      </w:r>
      <w:r w:rsidR="006A15EC" w:rsidRPr="008C1E5F">
        <w:rPr>
          <w:spacing w:val="-2"/>
        </w:rPr>
        <w:t>ing</w:t>
      </w:r>
      <w:r w:rsidR="00ED1665" w:rsidRPr="008C1E5F">
        <w:rPr>
          <w:spacing w:val="-2"/>
        </w:rPr>
        <w:t xml:space="preserve"> ILTs</w:t>
      </w:r>
      <w:r w:rsidR="00D661AE" w:rsidRPr="008C1E5F">
        <w:rPr>
          <w:spacing w:val="-2"/>
        </w:rPr>
        <w:t xml:space="preserve"> </w:t>
      </w:r>
      <w:r w:rsidR="006D1D65" w:rsidRPr="008C1E5F">
        <w:rPr>
          <w:spacing w:val="-2"/>
        </w:rPr>
        <w:t>to</w:t>
      </w:r>
      <w:r w:rsidR="00D661AE" w:rsidRPr="008C1E5F">
        <w:rPr>
          <w:spacing w:val="-2"/>
        </w:rPr>
        <w:t xml:space="preserve"> provide more structure, including implementation of improvement cycles. </w:t>
      </w:r>
      <w:r w:rsidR="005D0D49" w:rsidRPr="008C1E5F">
        <w:rPr>
          <w:spacing w:val="-2"/>
        </w:rPr>
        <w:t>Each school’s</w:t>
      </w:r>
      <w:r w:rsidR="009D5A19" w:rsidRPr="008C1E5F">
        <w:rPr>
          <w:spacing w:val="-2"/>
        </w:rPr>
        <w:t xml:space="preserve"> ILT includes representation from diverse stakeholders including special educators, English as a </w:t>
      </w:r>
      <w:r w:rsidR="00904A9D" w:rsidRPr="008C1E5F">
        <w:rPr>
          <w:spacing w:val="-2"/>
        </w:rPr>
        <w:t>s</w:t>
      </w:r>
      <w:r w:rsidR="009D5A19" w:rsidRPr="008C1E5F">
        <w:rPr>
          <w:spacing w:val="-2"/>
        </w:rPr>
        <w:t xml:space="preserve">econd </w:t>
      </w:r>
      <w:r w:rsidR="00904A9D" w:rsidRPr="008C1E5F">
        <w:rPr>
          <w:spacing w:val="-2"/>
        </w:rPr>
        <w:t>l</w:t>
      </w:r>
      <w:r w:rsidR="009D5A19" w:rsidRPr="008C1E5F">
        <w:rPr>
          <w:spacing w:val="-2"/>
        </w:rPr>
        <w:t>anguage (ESL) teachers, general educators across all grade levels, and administrators</w:t>
      </w:r>
      <w:r w:rsidR="00533FE6">
        <w:rPr>
          <w:spacing w:val="-2"/>
        </w:rPr>
        <w:t>. These teams</w:t>
      </w:r>
      <w:r w:rsidR="00533FE6" w:rsidRPr="008C1E5F">
        <w:rPr>
          <w:spacing w:val="-2"/>
        </w:rPr>
        <w:t xml:space="preserve"> </w:t>
      </w:r>
      <w:r w:rsidR="004860FD" w:rsidRPr="008C1E5F">
        <w:rPr>
          <w:spacing w:val="-2"/>
        </w:rPr>
        <w:t>currently meet twice per month</w:t>
      </w:r>
      <w:r w:rsidR="009D5A19" w:rsidRPr="008C1E5F">
        <w:rPr>
          <w:spacing w:val="-2"/>
        </w:rPr>
        <w:t>.</w:t>
      </w:r>
      <w:r w:rsidR="003C43D7" w:rsidRPr="008C1E5F">
        <w:rPr>
          <w:spacing w:val="-2"/>
        </w:rPr>
        <w:t xml:space="preserve"> The establishment of an ILT at each school, and district support of these ILTs to ensure they are effective structures to support school improvement, is a strength of the district. </w:t>
      </w:r>
    </w:p>
    <w:p w14:paraId="26C7FD28" w14:textId="51A478CB" w:rsidR="00440591" w:rsidRPr="008C1E5F" w:rsidRDefault="002A206B" w:rsidP="00455FDE">
      <w:pPr>
        <w:pStyle w:val="BodyText"/>
      </w:pPr>
      <w:r>
        <w:t>To support the district</w:t>
      </w:r>
      <w:r w:rsidR="00616584">
        <w:t>’s improvement efforts</w:t>
      </w:r>
      <w:r>
        <w:t xml:space="preserve">, </w:t>
      </w:r>
      <w:r w:rsidR="00616584">
        <w:t xml:space="preserve">Fall River participates in </w:t>
      </w:r>
      <w:r w:rsidR="00D56FA8" w:rsidRPr="008C1E5F">
        <w:t xml:space="preserve">many </w:t>
      </w:r>
      <w:r w:rsidR="00440591" w:rsidRPr="008C1E5F">
        <w:t>initiative</w:t>
      </w:r>
      <w:r w:rsidR="00D56FA8" w:rsidRPr="008C1E5F">
        <w:t>s sponsored by DESE</w:t>
      </w:r>
      <w:r w:rsidR="00506AF8" w:rsidRPr="008C1E5F">
        <w:t>, including</w:t>
      </w:r>
      <w:r w:rsidR="000214D3" w:rsidRPr="008C1E5F">
        <w:t xml:space="preserve"> </w:t>
      </w:r>
      <w:r w:rsidR="00A35DAD">
        <w:t xml:space="preserve">working with </w:t>
      </w:r>
      <w:r w:rsidR="007F60F3">
        <w:t>the statewide system</w:t>
      </w:r>
      <w:r w:rsidR="00856BD8">
        <w:t xml:space="preserve"> of support (SSoS) tea</w:t>
      </w:r>
      <w:r w:rsidR="00A35DAD">
        <w:t>m; receiving</w:t>
      </w:r>
      <w:r w:rsidR="007F60F3">
        <w:t xml:space="preserve"> </w:t>
      </w:r>
      <w:r w:rsidR="003B3777">
        <w:t>a variety of grants such as</w:t>
      </w:r>
      <w:r w:rsidR="000214D3" w:rsidRPr="008C1E5F">
        <w:t xml:space="preserve"> </w:t>
      </w:r>
      <w:r w:rsidR="003B3777">
        <w:t>the</w:t>
      </w:r>
      <w:r w:rsidR="000214D3" w:rsidRPr="008C1E5F">
        <w:t xml:space="preserve"> </w:t>
      </w:r>
      <w:r w:rsidR="00B4723B" w:rsidRPr="008C1E5F">
        <w:t xml:space="preserve">school turnaround assistance grant, </w:t>
      </w:r>
      <w:r w:rsidR="000214D3" w:rsidRPr="008C1E5F">
        <w:t>a GLEAM grant for middle school math</w:t>
      </w:r>
      <w:r w:rsidR="00574050" w:rsidRPr="008C1E5F">
        <w:t>ematics</w:t>
      </w:r>
      <w:r w:rsidR="000214D3" w:rsidRPr="008C1E5F">
        <w:t xml:space="preserve">, </w:t>
      </w:r>
      <w:r w:rsidR="00190FFC" w:rsidRPr="008C1E5F">
        <w:t xml:space="preserve">a 21st </w:t>
      </w:r>
      <w:r w:rsidR="00FA4B48" w:rsidRPr="008C1E5F">
        <w:t>C</w:t>
      </w:r>
      <w:r w:rsidR="00190FFC" w:rsidRPr="008C1E5F">
        <w:t xml:space="preserve">entury </w:t>
      </w:r>
      <w:r w:rsidR="00935277" w:rsidRPr="008C1E5F">
        <w:t xml:space="preserve">Community Learning Centers </w:t>
      </w:r>
      <w:r w:rsidR="00190FFC" w:rsidRPr="008C1E5F">
        <w:t>grant for</w:t>
      </w:r>
      <w:r w:rsidR="00935277" w:rsidRPr="008C1E5F">
        <w:t xml:space="preserve"> </w:t>
      </w:r>
      <w:r w:rsidR="006C739A" w:rsidRPr="008C1E5F">
        <w:t>before</w:t>
      </w:r>
      <w:r w:rsidR="00904A9D" w:rsidRPr="008C1E5F">
        <w:t>-</w:t>
      </w:r>
      <w:r w:rsidR="006C739A" w:rsidRPr="008C1E5F">
        <w:t xml:space="preserve"> and </w:t>
      </w:r>
      <w:r w:rsidR="00935277" w:rsidRPr="008C1E5F">
        <w:t xml:space="preserve">afterschool programs, </w:t>
      </w:r>
      <w:r w:rsidR="003B3777">
        <w:t xml:space="preserve">and </w:t>
      </w:r>
      <w:r w:rsidR="00190FFC" w:rsidRPr="008C1E5F">
        <w:t>an in</w:t>
      </w:r>
      <w:r w:rsidR="002101A3" w:rsidRPr="008C1E5F">
        <w:t xml:space="preserve">tensive assistance grant </w:t>
      </w:r>
      <w:r w:rsidR="00D2117E" w:rsidRPr="008C1E5F">
        <w:t xml:space="preserve">for Talbot </w:t>
      </w:r>
      <w:r w:rsidR="001736E8" w:rsidRPr="008C1E5F">
        <w:t>Middle School</w:t>
      </w:r>
      <w:r w:rsidR="003B3777">
        <w:t xml:space="preserve">; </w:t>
      </w:r>
      <w:r w:rsidR="00632634" w:rsidRPr="008C1E5F">
        <w:t xml:space="preserve">and </w:t>
      </w:r>
      <w:r w:rsidR="003B3777">
        <w:t>participating in</w:t>
      </w:r>
      <w:r w:rsidR="00632634" w:rsidRPr="008C1E5F">
        <w:t xml:space="preserve"> </w:t>
      </w:r>
      <w:r w:rsidR="00806219" w:rsidRPr="008C1E5F">
        <w:t xml:space="preserve">the </w:t>
      </w:r>
      <w:r w:rsidR="00636858" w:rsidRPr="008C1E5F">
        <w:t xml:space="preserve">Universal Design for Learning </w:t>
      </w:r>
      <w:r w:rsidR="00806219" w:rsidRPr="008C1E5F">
        <w:t xml:space="preserve">Academy </w:t>
      </w:r>
      <w:r w:rsidR="007E1FEB" w:rsidRPr="008C1E5F">
        <w:t xml:space="preserve">to ensure accessibility for </w:t>
      </w:r>
      <w:r w:rsidR="008D3019">
        <w:t>English Learners</w:t>
      </w:r>
      <w:r w:rsidR="00632634" w:rsidRPr="008C1E5F">
        <w:t>.</w:t>
      </w:r>
      <w:r w:rsidR="00506AF8" w:rsidRPr="008C1E5F">
        <w:t xml:space="preserve"> </w:t>
      </w:r>
    </w:p>
    <w:p w14:paraId="68501147" w14:textId="22AD83EA" w:rsidR="00473308" w:rsidRPr="008C1E5F" w:rsidRDefault="00473308" w:rsidP="00473308">
      <w:pPr>
        <w:pStyle w:val="Heading3"/>
      </w:pPr>
      <w:bookmarkStart w:id="59" w:name="_Curriculum_and_Instructional"/>
      <w:bookmarkStart w:id="60" w:name="_Toc195024217"/>
      <w:bookmarkEnd w:id="59"/>
      <w:r w:rsidRPr="008C1E5F">
        <w:t>C</w:t>
      </w:r>
      <w:r w:rsidR="0037284E" w:rsidRPr="008C1E5F">
        <w:t>urriculum and Instructional Materials</w:t>
      </w:r>
      <w:bookmarkEnd w:id="60"/>
    </w:p>
    <w:p w14:paraId="72F45EF0" w14:textId="5E0A72FB" w:rsidR="00841241" w:rsidRPr="008C1E5F" w:rsidRDefault="00841241" w:rsidP="008A4888">
      <w:pPr>
        <w:pStyle w:val="BodyTextposthead"/>
      </w:pPr>
      <w:r w:rsidRPr="008C1E5F">
        <w:rPr>
          <w:spacing w:val="-4"/>
        </w:rPr>
        <w:t xml:space="preserve">District staff reported primarily using </w:t>
      </w:r>
      <w:r w:rsidR="00D62FA2" w:rsidRPr="008C1E5F">
        <w:rPr>
          <w:spacing w:val="-4"/>
        </w:rPr>
        <w:t>CURATE</w:t>
      </w:r>
      <w:r w:rsidR="000D3C78" w:rsidRPr="008C1E5F">
        <w:rPr>
          <w:spacing w:val="-4"/>
        </w:rPr>
        <w:t>, EdReports, and equity protocols provided by Mass Ready</w:t>
      </w:r>
      <w:r w:rsidRPr="008C1E5F">
        <w:rPr>
          <w:spacing w:val="-4"/>
        </w:rPr>
        <w:t xml:space="preserve"> to evaluate curricular decisions and described their protocols for </w:t>
      </w:r>
      <w:r w:rsidR="00843231" w:rsidRPr="008C1E5F">
        <w:rPr>
          <w:spacing w:val="-4"/>
        </w:rPr>
        <w:t xml:space="preserve">selecting and </w:t>
      </w:r>
      <w:r w:rsidRPr="008C1E5F">
        <w:rPr>
          <w:spacing w:val="-4"/>
        </w:rPr>
        <w:t>piloting new curricula</w:t>
      </w:r>
      <w:r w:rsidR="00843231" w:rsidRPr="008C1E5F">
        <w:rPr>
          <w:spacing w:val="-4"/>
        </w:rPr>
        <w:t xml:space="preserve">. </w:t>
      </w:r>
      <w:r w:rsidR="002F082A" w:rsidRPr="008C1E5F">
        <w:rPr>
          <w:spacing w:val="-4"/>
        </w:rPr>
        <w:t>Staff at all levels explained that the district has selected</w:t>
      </w:r>
      <w:r w:rsidR="002D1163" w:rsidRPr="008C1E5F">
        <w:rPr>
          <w:spacing w:val="-4"/>
        </w:rPr>
        <w:t xml:space="preserve"> high-quality instructional materials</w:t>
      </w:r>
      <w:r w:rsidR="002F082A" w:rsidRPr="008C1E5F">
        <w:rPr>
          <w:spacing w:val="-4"/>
        </w:rPr>
        <w:t xml:space="preserve"> for </w:t>
      </w:r>
      <w:r w:rsidR="00904A9D" w:rsidRPr="008C1E5F">
        <w:rPr>
          <w:spacing w:val="-4"/>
        </w:rPr>
        <w:t>G</w:t>
      </w:r>
      <w:r w:rsidR="002F082A" w:rsidRPr="008C1E5F">
        <w:rPr>
          <w:spacing w:val="-4"/>
        </w:rPr>
        <w:t>rades K-12 in ELA, math</w:t>
      </w:r>
      <w:r w:rsidR="00904A9D" w:rsidRPr="008C1E5F">
        <w:rPr>
          <w:spacing w:val="-4"/>
        </w:rPr>
        <w:t>ematics</w:t>
      </w:r>
      <w:r w:rsidR="002F082A" w:rsidRPr="008C1E5F">
        <w:rPr>
          <w:spacing w:val="-4"/>
        </w:rPr>
        <w:t>,</w:t>
      </w:r>
      <w:r w:rsidRPr="008C1E5F">
        <w:rPr>
          <w:spacing w:val="-4"/>
        </w:rPr>
        <w:t xml:space="preserve"> and </w:t>
      </w:r>
      <w:r w:rsidR="002F082A" w:rsidRPr="008C1E5F">
        <w:rPr>
          <w:spacing w:val="-4"/>
        </w:rPr>
        <w:t xml:space="preserve">science </w:t>
      </w:r>
      <w:r w:rsidRPr="008C1E5F">
        <w:rPr>
          <w:spacing w:val="-4"/>
        </w:rPr>
        <w:t xml:space="preserve">and </w:t>
      </w:r>
      <w:r w:rsidR="002F082A" w:rsidRPr="008C1E5F">
        <w:rPr>
          <w:spacing w:val="-4"/>
        </w:rPr>
        <w:t>that these curricular materials have been in</w:t>
      </w:r>
      <w:r w:rsidR="00904A9D" w:rsidRPr="008C1E5F">
        <w:rPr>
          <w:spacing w:val="-4"/>
        </w:rPr>
        <w:t xml:space="preserve"> </w:t>
      </w:r>
      <w:r w:rsidR="002F082A" w:rsidRPr="008C1E5F">
        <w:rPr>
          <w:spacing w:val="-4"/>
        </w:rPr>
        <w:t xml:space="preserve">place for several years, </w:t>
      </w:r>
      <w:r w:rsidR="00904A9D" w:rsidRPr="008C1E5F">
        <w:rPr>
          <w:spacing w:val="-4"/>
        </w:rPr>
        <w:t xml:space="preserve">which is </w:t>
      </w:r>
      <w:r w:rsidR="002F082A" w:rsidRPr="008C1E5F">
        <w:rPr>
          <w:spacing w:val="-4"/>
        </w:rPr>
        <w:t>a strength of the district.</w:t>
      </w:r>
      <w:r w:rsidR="00D260F8" w:rsidRPr="008C1E5F">
        <w:rPr>
          <w:spacing w:val="-4"/>
        </w:rPr>
        <w:t xml:space="preserve"> </w:t>
      </w:r>
      <w:r w:rsidR="003F3D31" w:rsidRPr="008C1E5F">
        <w:rPr>
          <w:spacing w:val="-4"/>
        </w:rPr>
        <w:t>W</w:t>
      </w:r>
      <w:r w:rsidR="00EC29E5" w:rsidRPr="008C1E5F">
        <w:rPr>
          <w:spacing w:val="-4"/>
        </w:rPr>
        <w:t xml:space="preserve">hen </w:t>
      </w:r>
      <w:r w:rsidR="002D1C00" w:rsidRPr="008C1E5F">
        <w:rPr>
          <w:spacing w:val="-4"/>
        </w:rPr>
        <w:t xml:space="preserve">the district </w:t>
      </w:r>
      <w:r w:rsidR="0091206A" w:rsidRPr="008C1E5F">
        <w:rPr>
          <w:spacing w:val="-4"/>
        </w:rPr>
        <w:t>review</w:t>
      </w:r>
      <w:r w:rsidR="00904A9D" w:rsidRPr="008C1E5F">
        <w:rPr>
          <w:spacing w:val="-4"/>
        </w:rPr>
        <w:t>s</w:t>
      </w:r>
      <w:r w:rsidR="0091206A" w:rsidRPr="008C1E5F">
        <w:rPr>
          <w:spacing w:val="-4"/>
        </w:rPr>
        <w:t xml:space="preserve"> new curricular materials, there is a comprehensive process in place</w:t>
      </w:r>
      <w:r w:rsidR="0094675F" w:rsidRPr="008C1E5F">
        <w:rPr>
          <w:spacing w:val="-4"/>
        </w:rPr>
        <w:t>.</w:t>
      </w:r>
      <w:r w:rsidRPr="008C1E5F">
        <w:rPr>
          <w:spacing w:val="-4"/>
        </w:rPr>
        <w:t xml:space="preserve"> </w:t>
      </w:r>
      <w:r w:rsidR="00765F57" w:rsidRPr="008C1E5F">
        <w:rPr>
          <w:spacing w:val="-4"/>
        </w:rPr>
        <w:t xml:space="preserve">District leaders explained that </w:t>
      </w:r>
      <w:r w:rsidR="00523AE2" w:rsidRPr="008C1E5F">
        <w:rPr>
          <w:spacing w:val="-4"/>
        </w:rPr>
        <w:t xml:space="preserve">they begin by </w:t>
      </w:r>
      <w:r w:rsidR="00BB5130" w:rsidRPr="008C1E5F">
        <w:rPr>
          <w:spacing w:val="-4"/>
        </w:rPr>
        <w:t>establishing</w:t>
      </w:r>
      <w:r w:rsidR="00781A45" w:rsidRPr="008C1E5F">
        <w:rPr>
          <w:spacing w:val="-4"/>
        </w:rPr>
        <w:t xml:space="preserve"> a committee of diverse stakeholders from across the district</w:t>
      </w:r>
      <w:r w:rsidR="00904A9D" w:rsidRPr="008C1E5F">
        <w:rPr>
          <w:spacing w:val="-4"/>
        </w:rPr>
        <w:t>,</w:t>
      </w:r>
      <w:r w:rsidR="00781A45" w:rsidRPr="008C1E5F">
        <w:rPr>
          <w:spacing w:val="-4"/>
        </w:rPr>
        <w:t xml:space="preserve"> including </w:t>
      </w:r>
      <w:r w:rsidR="008A07EF" w:rsidRPr="008C1E5F">
        <w:rPr>
          <w:spacing w:val="-4"/>
        </w:rPr>
        <w:t>district leaders, administrators, and teachers (general education, ESL, and special educators). The committee reviews</w:t>
      </w:r>
      <w:r w:rsidR="00523AE2" w:rsidRPr="008C1E5F">
        <w:rPr>
          <w:spacing w:val="-4"/>
        </w:rPr>
        <w:t xml:space="preserve"> CURATE and EdReports</w:t>
      </w:r>
      <w:r w:rsidR="008B76AA" w:rsidRPr="008C1E5F">
        <w:rPr>
          <w:spacing w:val="-4"/>
        </w:rPr>
        <w:t xml:space="preserve"> to determine which curricula they will investigate further. </w:t>
      </w:r>
      <w:r w:rsidR="00C74E85" w:rsidRPr="008C1E5F">
        <w:rPr>
          <w:spacing w:val="-4"/>
        </w:rPr>
        <w:t>To ensure that</w:t>
      </w:r>
      <w:r w:rsidR="00A82675" w:rsidRPr="008C1E5F">
        <w:rPr>
          <w:spacing w:val="-4"/>
        </w:rPr>
        <w:t xml:space="preserve"> materials </w:t>
      </w:r>
      <w:r w:rsidR="005E74E3" w:rsidRPr="008C1E5F">
        <w:rPr>
          <w:spacing w:val="-4"/>
        </w:rPr>
        <w:t>are diverse and representative of students, the committee also complete</w:t>
      </w:r>
      <w:r w:rsidR="00654D2B" w:rsidRPr="008C1E5F">
        <w:rPr>
          <w:spacing w:val="-4"/>
        </w:rPr>
        <w:t>s</w:t>
      </w:r>
      <w:r w:rsidR="005E74E3" w:rsidRPr="008C1E5F">
        <w:rPr>
          <w:spacing w:val="-4"/>
        </w:rPr>
        <w:t xml:space="preserve"> an equity protocol </w:t>
      </w:r>
      <w:r w:rsidR="00AD0925" w:rsidRPr="008C1E5F">
        <w:rPr>
          <w:spacing w:val="-4"/>
        </w:rPr>
        <w:t xml:space="preserve">to examine the texts </w:t>
      </w:r>
      <w:r w:rsidR="004F0C6A" w:rsidRPr="008C1E5F">
        <w:rPr>
          <w:spacing w:val="-4"/>
        </w:rPr>
        <w:t xml:space="preserve">being used and perspectives </w:t>
      </w:r>
      <w:r w:rsidR="00E80469" w:rsidRPr="008C1E5F">
        <w:rPr>
          <w:spacing w:val="-4"/>
        </w:rPr>
        <w:t>that are represented.</w:t>
      </w:r>
      <w:r w:rsidR="008B76AA" w:rsidRPr="008C1E5F">
        <w:rPr>
          <w:spacing w:val="-4"/>
        </w:rPr>
        <w:t xml:space="preserve"> Once </w:t>
      </w:r>
      <w:r w:rsidR="00E80469" w:rsidRPr="008C1E5F">
        <w:rPr>
          <w:spacing w:val="-4"/>
        </w:rPr>
        <w:t>the</w:t>
      </w:r>
      <w:r w:rsidR="00DD7B9D" w:rsidRPr="008C1E5F">
        <w:rPr>
          <w:spacing w:val="-4"/>
        </w:rPr>
        <w:t xml:space="preserve"> committee has </w:t>
      </w:r>
      <w:r w:rsidR="00C12318" w:rsidRPr="008C1E5F">
        <w:rPr>
          <w:spacing w:val="-4"/>
        </w:rPr>
        <w:t xml:space="preserve">narrowed </w:t>
      </w:r>
      <w:r w:rsidR="00904A9D" w:rsidRPr="008C1E5F">
        <w:rPr>
          <w:spacing w:val="-4"/>
        </w:rPr>
        <w:t xml:space="preserve">down </w:t>
      </w:r>
      <w:r w:rsidR="00C12318" w:rsidRPr="008C1E5F">
        <w:rPr>
          <w:spacing w:val="-4"/>
        </w:rPr>
        <w:t xml:space="preserve">the selection process, </w:t>
      </w:r>
      <w:r w:rsidR="00765F57" w:rsidRPr="008C1E5F">
        <w:rPr>
          <w:spacing w:val="-4"/>
        </w:rPr>
        <w:t>all potential curricula are piloted for at least one year</w:t>
      </w:r>
      <w:r w:rsidR="00A32A17" w:rsidRPr="008C1E5F">
        <w:rPr>
          <w:spacing w:val="-4"/>
        </w:rPr>
        <w:t xml:space="preserve"> across multiple staff. </w:t>
      </w:r>
      <w:r w:rsidR="00435A01" w:rsidRPr="008C1E5F">
        <w:rPr>
          <w:spacing w:val="-4"/>
        </w:rPr>
        <w:t>I</w:t>
      </w:r>
      <w:r w:rsidR="001F631F" w:rsidRPr="008C1E5F">
        <w:rPr>
          <w:spacing w:val="-4"/>
        </w:rPr>
        <w:t>n some cases</w:t>
      </w:r>
      <w:r w:rsidR="00435A01" w:rsidRPr="008C1E5F">
        <w:rPr>
          <w:spacing w:val="-4"/>
        </w:rPr>
        <w:t>,</w:t>
      </w:r>
      <w:r w:rsidR="001F631F" w:rsidRPr="008C1E5F">
        <w:rPr>
          <w:spacing w:val="-4"/>
        </w:rPr>
        <w:t xml:space="preserve"> full </w:t>
      </w:r>
      <w:r w:rsidR="0059611A">
        <w:rPr>
          <w:spacing w:val="-4"/>
        </w:rPr>
        <w:t xml:space="preserve">year </w:t>
      </w:r>
      <w:r w:rsidR="001F631F" w:rsidRPr="008C1E5F">
        <w:rPr>
          <w:spacing w:val="-4"/>
        </w:rPr>
        <w:t xml:space="preserve">pilots </w:t>
      </w:r>
      <w:r w:rsidR="00435A01" w:rsidRPr="008C1E5F">
        <w:rPr>
          <w:spacing w:val="-4"/>
        </w:rPr>
        <w:t>are conducted</w:t>
      </w:r>
      <w:r w:rsidR="001F631F" w:rsidRPr="008C1E5F">
        <w:rPr>
          <w:spacing w:val="-4"/>
        </w:rPr>
        <w:t xml:space="preserve"> with </w:t>
      </w:r>
      <w:r w:rsidR="008C69B5" w:rsidRPr="008C1E5F">
        <w:rPr>
          <w:spacing w:val="-4"/>
        </w:rPr>
        <w:t>several curricula being considered to ensure the right fit for the district</w:t>
      </w:r>
      <w:r w:rsidR="004C0336" w:rsidRPr="008C1E5F">
        <w:rPr>
          <w:spacing w:val="-4"/>
        </w:rPr>
        <w:t xml:space="preserve">. </w:t>
      </w:r>
      <w:r w:rsidR="00541B3C" w:rsidRPr="008C1E5F">
        <w:rPr>
          <w:spacing w:val="-4"/>
        </w:rPr>
        <w:t xml:space="preserve">For example, </w:t>
      </w:r>
      <w:r w:rsidR="003B1188" w:rsidRPr="008C1E5F">
        <w:rPr>
          <w:spacing w:val="-4"/>
        </w:rPr>
        <w:t xml:space="preserve">when </w:t>
      </w:r>
      <w:r w:rsidR="00A4390D" w:rsidRPr="008C1E5F">
        <w:rPr>
          <w:spacing w:val="-4"/>
        </w:rPr>
        <w:t>selecting</w:t>
      </w:r>
      <w:r w:rsidR="003B1188" w:rsidRPr="008C1E5F">
        <w:rPr>
          <w:spacing w:val="-4"/>
        </w:rPr>
        <w:t xml:space="preserve"> </w:t>
      </w:r>
      <w:r w:rsidR="00D66BD6" w:rsidRPr="008C1E5F">
        <w:rPr>
          <w:spacing w:val="-4"/>
        </w:rPr>
        <w:t>the most recent middle school</w:t>
      </w:r>
      <w:r w:rsidR="003B1188" w:rsidRPr="008C1E5F">
        <w:rPr>
          <w:spacing w:val="-4"/>
        </w:rPr>
        <w:t xml:space="preserve"> ELA curriculum, </w:t>
      </w:r>
      <w:r w:rsidR="00213DF9" w:rsidRPr="008C1E5F">
        <w:rPr>
          <w:spacing w:val="-4"/>
        </w:rPr>
        <w:t xml:space="preserve">middle school teachers piloted both Amplify and Springboard, </w:t>
      </w:r>
      <w:r w:rsidR="005852E6" w:rsidRPr="008C1E5F">
        <w:rPr>
          <w:spacing w:val="-4"/>
        </w:rPr>
        <w:t xml:space="preserve">with different teachers </w:t>
      </w:r>
      <w:r w:rsidR="0099098D" w:rsidRPr="008C1E5F">
        <w:rPr>
          <w:spacing w:val="-4"/>
        </w:rPr>
        <w:t>teaching each option for a full year.</w:t>
      </w:r>
      <w:r w:rsidR="0000643D" w:rsidRPr="008C1E5F">
        <w:rPr>
          <w:spacing w:val="-4"/>
        </w:rPr>
        <w:t xml:space="preserve"> Afterward, </w:t>
      </w:r>
      <w:r w:rsidR="00C1492B" w:rsidRPr="008C1E5F">
        <w:rPr>
          <w:spacing w:val="-4"/>
        </w:rPr>
        <w:t xml:space="preserve">the district collected </w:t>
      </w:r>
      <w:r w:rsidR="001D3A9A" w:rsidRPr="008C1E5F">
        <w:rPr>
          <w:spacing w:val="-4"/>
        </w:rPr>
        <w:t>extensive</w:t>
      </w:r>
      <w:r w:rsidR="00C1492B" w:rsidRPr="008C1E5F">
        <w:rPr>
          <w:spacing w:val="-4"/>
        </w:rPr>
        <w:t xml:space="preserve"> feedback from students, faculty, </w:t>
      </w:r>
      <w:r w:rsidR="00132AC8" w:rsidRPr="008C1E5F">
        <w:rPr>
          <w:spacing w:val="-4"/>
        </w:rPr>
        <w:t xml:space="preserve">and parents before </w:t>
      </w:r>
      <w:r w:rsidR="007C3AC7" w:rsidRPr="008C1E5F">
        <w:rPr>
          <w:spacing w:val="-4"/>
        </w:rPr>
        <w:t xml:space="preserve">a final selection </w:t>
      </w:r>
      <w:r w:rsidR="00904A9D" w:rsidRPr="008C1E5F">
        <w:rPr>
          <w:spacing w:val="-4"/>
        </w:rPr>
        <w:t xml:space="preserve">was </w:t>
      </w:r>
      <w:r w:rsidR="007C3AC7" w:rsidRPr="008C1E5F">
        <w:rPr>
          <w:spacing w:val="-4"/>
        </w:rPr>
        <w:t xml:space="preserve">made. </w:t>
      </w:r>
      <w:r w:rsidR="00FA6AFB" w:rsidRPr="008C1E5F">
        <w:rPr>
          <w:spacing w:val="-4"/>
        </w:rPr>
        <w:t xml:space="preserve">The </w:t>
      </w:r>
      <w:r w:rsidR="00D10C56" w:rsidRPr="008C1E5F">
        <w:rPr>
          <w:spacing w:val="-4"/>
        </w:rPr>
        <w:t>clearly designed</w:t>
      </w:r>
      <w:r w:rsidR="00FA6AFB" w:rsidRPr="008C1E5F">
        <w:rPr>
          <w:spacing w:val="-4"/>
        </w:rPr>
        <w:t xml:space="preserve"> curriculum</w:t>
      </w:r>
      <w:r w:rsidR="00F551D4" w:rsidRPr="008C1E5F">
        <w:rPr>
          <w:spacing w:val="-4"/>
        </w:rPr>
        <w:t xml:space="preserve"> selection process, which i</w:t>
      </w:r>
      <w:r w:rsidR="00D10C56" w:rsidRPr="008C1E5F">
        <w:rPr>
          <w:spacing w:val="-4"/>
        </w:rPr>
        <w:t>ncludes extensive</w:t>
      </w:r>
      <w:r w:rsidR="00FA6AFB" w:rsidRPr="008C1E5F">
        <w:rPr>
          <w:spacing w:val="-4"/>
        </w:rPr>
        <w:t xml:space="preserve"> piloting </w:t>
      </w:r>
      <w:r w:rsidR="00D10C56" w:rsidRPr="008C1E5F">
        <w:rPr>
          <w:spacing w:val="-4"/>
        </w:rPr>
        <w:t>and a variety of perspectives,</w:t>
      </w:r>
      <w:r w:rsidR="00FA6AFB" w:rsidRPr="008C1E5F">
        <w:rPr>
          <w:spacing w:val="-4"/>
        </w:rPr>
        <w:t xml:space="preserve"> is a strength of the district</w:t>
      </w:r>
      <w:r w:rsidR="00D10C56" w:rsidRPr="008C1E5F">
        <w:rPr>
          <w:spacing w:val="-4"/>
        </w:rPr>
        <w:t xml:space="preserve">. </w:t>
      </w:r>
      <w:r w:rsidR="00904A9D" w:rsidRPr="008C1E5F">
        <w:t>T</w:t>
      </w:r>
      <w:r w:rsidRPr="008C1E5F">
        <w:t xml:space="preserve">able </w:t>
      </w:r>
      <w:r w:rsidR="00904A9D" w:rsidRPr="008C1E5F">
        <w:t xml:space="preserve">4 </w:t>
      </w:r>
      <w:r w:rsidRPr="008C1E5F">
        <w:t>summarizes the status of all districtwide curricula being used</w:t>
      </w:r>
      <w:r w:rsidR="008A4888" w:rsidRPr="008C1E5F">
        <w:t>.</w:t>
      </w:r>
    </w:p>
    <w:p w14:paraId="07AFC3A8" w14:textId="410E727C" w:rsidR="008A4888" w:rsidRPr="008C1E5F" w:rsidRDefault="008A4888" w:rsidP="00725AA1">
      <w:pPr>
        <w:pStyle w:val="TableTitle0"/>
      </w:pPr>
      <w:r w:rsidRPr="008C1E5F">
        <w:t>Table 4. Curricula Used in Fall River</w:t>
      </w:r>
    </w:p>
    <w:tbl>
      <w:tblPr>
        <w:tblStyle w:val="MSVTable1"/>
        <w:tblW w:w="5000" w:type="pct"/>
        <w:tblLayout w:type="fixed"/>
        <w:tblLook w:val="04A0" w:firstRow="1" w:lastRow="0" w:firstColumn="1" w:lastColumn="0" w:noHBand="0" w:noVBand="1"/>
      </w:tblPr>
      <w:tblGrid>
        <w:gridCol w:w="739"/>
        <w:gridCol w:w="1220"/>
        <w:gridCol w:w="2983"/>
        <w:gridCol w:w="2160"/>
        <w:gridCol w:w="1061"/>
        <w:gridCol w:w="1181"/>
      </w:tblGrid>
      <w:tr w:rsidR="00D508D3" w:rsidRPr="008C1E5F" w14:paraId="7D41CAA7" w14:textId="7361723C" w:rsidTr="00803FF9">
        <w:trPr>
          <w:cnfStyle w:val="100000000000" w:firstRow="1" w:lastRow="0" w:firstColumn="0" w:lastColumn="0" w:oddVBand="0" w:evenVBand="0" w:oddHBand="0" w:evenHBand="0" w:firstRowFirstColumn="0" w:firstRowLastColumn="0" w:lastRowFirstColumn="0" w:lastRowLastColumn="0"/>
          <w:tblHeader/>
        </w:trPr>
        <w:tc>
          <w:tcPr>
            <w:tcW w:w="395" w:type="pct"/>
            <w:vAlign w:val="bottom"/>
          </w:tcPr>
          <w:p w14:paraId="7A55BC83" w14:textId="03A0FC04" w:rsidR="00D508D3" w:rsidRPr="008C1E5F" w:rsidRDefault="00D508D3" w:rsidP="00455FDE">
            <w:pPr>
              <w:pStyle w:val="TableColHeadingCenter"/>
            </w:pPr>
            <w:r w:rsidRPr="008C1E5F">
              <w:t>Grade level(s)</w:t>
            </w:r>
          </w:p>
        </w:tc>
        <w:tc>
          <w:tcPr>
            <w:tcW w:w="653" w:type="pct"/>
            <w:vAlign w:val="bottom"/>
          </w:tcPr>
          <w:p w14:paraId="462DDE5B" w14:textId="0C57BB8B" w:rsidR="00D508D3" w:rsidRPr="008C1E5F" w:rsidRDefault="00D508D3" w:rsidP="00455FDE">
            <w:pPr>
              <w:pStyle w:val="TableColHeadingCenter"/>
            </w:pPr>
            <w:r w:rsidRPr="008C1E5F">
              <w:t>Subject</w:t>
            </w:r>
          </w:p>
        </w:tc>
        <w:tc>
          <w:tcPr>
            <w:tcW w:w="1596" w:type="pct"/>
            <w:vAlign w:val="bottom"/>
          </w:tcPr>
          <w:p w14:paraId="16DDF827" w14:textId="4BBB810C" w:rsidR="00D508D3" w:rsidRPr="008C1E5F" w:rsidRDefault="00D508D3" w:rsidP="00455FDE">
            <w:pPr>
              <w:pStyle w:val="TableColHeadingCenter"/>
            </w:pPr>
            <w:r w:rsidRPr="008C1E5F">
              <w:t>Curriculum</w:t>
            </w:r>
          </w:p>
        </w:tc>
        <w:tc>
          <w:tcPr>
            <w:tcW w:w="1156" w:type="pct"/>
            <w:vAlign w:val="bottom"/>
          </w:tcPr>
          <w:p w14:paraId="5B413269" w14:textId="7EF7A0FA" w:rsidR="00D508D3" w:rsidRPr="008C1E5F" w:rsidRDefault="00D508D3" w:rsidP="00455FDE">
            <w:pPr>
              <w:pStyle w:val="TableColHeadingCenter"/>
            </w:pPr>
            <w:r w:rsidRPr="008C1E5F">
              <w:t>Type</w:t>
            </w:r>
          </w:p>
        </w:tc>
        <w:tc>
          <w:tcPr>
            <w:tcW w:w="568" w:type="pct"/>
            <w:vAlign w:val="bottom"/>
          </w:tcPr>
          <w:p w14:paraId="43F454C5" w14:textId="37DC7728" w:rsidR="00D508D3" w:rsidRPr="008C1E5F" w:rsidRDefault="00803FF9" w:rsidP="00455FDE">
            <w:pPr>
              <w:pStyle w:val="TableColHeadingCenter"/>
            </w:pPr>
            <w:r>
              <w:t xml:space="preserve">CURATE </w:t>
            </w:r>
            <w:r w:rsidR="00D508D3" w:rsidRPr="008C1E5F">
              <w:t>Rating</w:t>
            </w:r>
          </w:p>
        </w:tc>
        <w:tc>
          <w:tcPr>
            <w:tcW w:w="632" w:type="pct"/>
          </w:tcPr>
          <w:p w14:paraId="7C686CA4" w14:textId="431B2C99" w:rsidR="00D508D3" w:rsidRPr="008C1E5F" w:rsidRDefault="00803FF9" w:rsidP="00455FDE">
            <w:pPr>
              <w:pStyle w:val="TableColHeadingCenter"/>
            </w:pPr>
            <w:r>
              <w:t>EdReports Rating</w:t>
            </w:r>
          </w:p>
        </w:tc>
      </w:tr>
      <w:tr w:rsidR="00D508D3" w:rsidRPr="008C1E5F" w14:paraId="51F53E0C" w14:textId="483BF9EF" w:rsidTr="00803FF9">
        <w:trPr>
          <w:cnfStyle w:val="000000100000" w:firstRow="0" w:lastRow="0" w:firstColumn="0" w:lastColumn="0" w:oddVBand="0" w:evenVBand="0" w:oddHBand="1" w:evenHBand="0" w:firstRowFirstColumn="0" w:firstRowLastColumn="0" w:lastRowFirstColumn="0" w:lastRowLastColumn="0"/>
        </w:trPr>
        <w:tc>
          <w:tcPr>
            <w:tcW w:w="395" w:type="pct"/>
          </w:tcPr>
          <w:p w14:paraId="600858AF" w14:textId="559F7919" w:rsidR="00D508D3" w:rsidRPr="008C1E5F" w:rsidRDefault="00D508D3" w:rsidP="00455FDE">
            <w:pPr>
              <w:pStyle w:val="TableText"/>
            </w:pPr>
            <w:r w:rsidRPr="008C1E5F">
              <w:t>K-5</w:t>
            </w:r>
          </w:p>
        </w:tc>
        <w:tc>
          <w:tcPr>
            <w:tcW w:w="653" w:type="pct"/>
          </w:tcPr>
          <w:p w14:paraId="3B3F20B2" w14:textId="5CB2CC0E" w:rsidR="00D508D3" w:rsidRPr="008C1E5F" w:rsidRDefault="00D508D3" w:rsidP="00455FDE">
            <w:pPr>
              <w:pStyle w:val="TableText"/>
            </w:pPr>
            <w:r w:rsidRPr="008C1E5F">
              <w:t>ELA</w:t>
            </w:r>
          </w:p>
        </w:tc>
        <w:tc>
          <w:tcPr>
            <w:tcW w:w="1596" w:type="pct"/>
          </w:tcPr>
          <w:p w14:paraId="4157BF26" w14:textId="2079CBBB" w:rsidR="00D508D3" w:rsidRPr="008C1E5F" w:rsidRDefault="00D508D3" w:rsidP="00455FDE">
            <w:pPr>
              <w:pStyle w:val="TableText"/>
            </w:pPr>
            <w:r w:rsidRPr="008C1E5F">
              <w:t>McGraw-Hill Wonders</w:t>
            </w:r>
          </w:p>
        </w:tc>
        <w:tc>
          <w:tcPr>
            <w:tcW w:w="1156" w:type="pct"/>
          </w:tcPr>
          <w:p w14:paraId="3DEFFD8D" w14:textId="3DEDB90E" w:rsidR="00D508D3" w:rsidRPr="008C1E5F" w:rsidRDefault="00D508D3" w:rsidP="00455FDE">
            <w:pPr>
              <w:pStyle w:val="TableText"/>
            </w:pPr>
            <w:r w:rsidRPr="008C1E5F">
              <w:t>Comprehensive</w:t>
            </w:r>
          </w:p>
        </w:tc>
        <w:tc>
          <w:tcPr>
            <w:tcW w:w="568" w:type="pct"/>
          </w:tcPr>
          <w:p w14:paraId="0F62214C" w14:textId="0287576F" w:rsidR="00D508D3" w:rsidRPr="008C1E5F" w:rsidRDefault="00803FF9" w:rsidP="00455FDE">
            <w:pPr>
              <w:pStyle w:val="TableText"/>
            </w:pPr>
            <w:r>
              <w:t>ME</w:t>
            </w:r>
          </w:p>
        </w:tc>
        <w:tc>
          <w:tcPr>
            <w:tcW w:w="632" w:type="pct"/>
          </w:tcPr>
          <w:p w14:paraId="3FF019AB" w14:textId="215CC9BA" w:rsidR="00D508D3" w:rsidRPr="008C1E5F" w:rsidRDefault="00803FF9" w:rsidP="00455FDE">
            <w:pPr>
              <w:pStyle w:val="TableText"/>
            </w:pPr>
            <w:r>
              <w:t>ME</w:t>
            </w:r>
          </w:p>
        </w:tc>
      </w:tr>
      <w:tr w:rsidR="00D508D3" w:rsidRPr="008C1E5F" w14:paraId="30F6D1C6" w14:textId="37DF99C6" w:rsidTr="00803FF9">
        <w:tc>
          <w:tcPr>
            <w:tcW w:w="395" w:type="pct"/>
          </w:tcPr>
          <w:p w14:paraId="36B5EA93" w14:textId="44759BCE" w:rsidR="00D508D3" w:rsidRPr="008C1E5F" w:rsidRDefault="00D508D3" w:rsidP="00455FDE">
            <w:pPr>
              <w:pStyle w:val="TableText"/>
            </w:pPr>
            <w:r w:rsidRPr="008C1E5F">
              <w:t>K-5</w:t>
            </w:r>
          </w:p>
        </w:tc>
        <w:tc>
          <w:tcPr>
            <w:tcW w:w="653" w:type="pct"/>
          </w:tcPr>
          <w:p w14:paraId="7BF4C963" w14:textId="15AD0B70" w:rsidR="00D508D3" w:rsidRPr="008C1E5F" w:rsidRDefault="00D508D3" w:rsidP="00455FDE">
            <w:pPr>
              <w:pStyle w:val="TableText"/>
            </w:pPr>
            <w:r w:rsidRPr="008C1E5F">
              <w:t>Mathematics</w:t>
            </w:r>
          </w:p>
        </w:tc>
        <w:tc>
          <w:tcPr>
            <w:tcW w:w="1596" w:type="pct"/>
          </w:tcPr>
          <w:p w14:paraId="78DEDFCF" w14:textId="2EAB7A34" w:rsidR="00D508D3" w:rsidRPr="008C1E5F" w:rsidRDefault="00D508D3" w:rsidP="00455FDE">
            <w:pPr>
              <w:pStyle w:val="TableText"/>
            </w:pPr>
            <w:r w:rsidRPr="008C1E5F">
              <w:t>Illustrative Math</w:t>
            </w:r>
          </w:p>
        </w:tc>
        <w:tc>
          <w:tcPr>
            <w:tcW w:w="1156" w:type="pct"/>
          </w:tcPr>
          <w:p w14:paraId="193D0A5A" w14:textId="037BF0E4" w:rsidR="00D508D3" w:rsidRPr="008C1E5F" w:rsidRDefault="00D508D3" w:rsidP="00455FDE">
            <w:pPr>
              <w:pStyle w:val="TableText"/>
            </w:pPr>
            <w:r w:rsidRPr="008C1E5F">
              <w:t>Comprehensive</w:t>
            </w:r>
          </w:p>
        </w:tc>
        <w:tc>
          <w:tcPr>
            <w:tcW w:w="568" w:type="pct"/>
          </w:tcPr>
          <w:p w14:paraId="55C2E5CD" w14:textId="4E583582" w:rsidR="00D508D3" w:rsidRPr="008C1E5F" w:rsidRDefault="00803FF9" w:rsidP="00455FDE">
            <w:pPr>
              <w:pStyle w:val="TableText"/>
            </w:pPr>
            <w:r>
              <w:t>ME</w:t>
            </w:r>
          </w:p>
        </w:tc>
        <w:tc>
          <w:tcPr>
            <w:tcW w:w="632" w:type="pct"/>
          </w:tcPr>
          <w:p w14:paraId="181B20D7" w14:textId="6E9589F1" w:rsidR="00D508D3" w:rsidRPr="008C1E5F" w:rsidRDefault="00803FF9" w:rsidP="00455FDE">
            <w:pPr>
              <w:pStyle w:val="TableText"/>
            </w:pPr>
            <w:r>
              <w:t>ME</w:t>
            </w:r>
          </w:p>
        </w:tc>
      </w:tr>
      <w:tr w:rsidR="00D508D3" w:rsidRPr="008C1E5F" w14:paraId="77186F74" w14:textId="532309DF" w:rsidTr="00803FF9">
        <w:trPr>
          <w:cnfStyle w:val="000000100000" w:firstRow="0" w:lastRow="0" w:firstColumn="0" w:lastColumn="0" w:oddVBand="0" w:evenVBand="0" w:oddHBand="1" w:evenHBand="0" w:firstRowFirstColumn="0" w:firstRowLastColumn="0" w:lastRowFirstColumn="0" w:lastRowLastColumn="0"/>
        </w:trPr>
        <w:tc>
          <w:tcPr>
            <w:tcW w:w="395" w:type="pct"/>
          </w:tcPr>
          <w:p w14:paraId="75D1F8F1" w14:textId="3A62113A" w:rsidR="00D508D3" w:rsidRPr="008C1E5F" w:rsidRDefault="00D508D3" w:rsidP="00455FDE">
            <w:pPr>
              <w:pStyle w:val="TableText"/>
            </w:pPr>
            <w:r w:rsidRPr="008C1E5F">
              <w:t>K-5</w:t>
            </w:r>
          </w:p>
        </w:tc>
        <w:tc>
          <w:tcPr>
            <w:tcW w:w="653" w:type="pct"/>
          </w:tcPr>
          <w:p w14:paraId="13482100" w14:textId="5CCE6E22" w:rsidR="00D508D3" w:rsidRPr="008C1E5F" w:rsidRDefault="00D508D3" w:rsidP="00455FDE">
            <w:pPr>
              <w:pStyle w:val="TableText"/>
            </w:pPr>
            <w:r w:rsidRPr="008C1E5F">
              <w:t>Mathematics</w:t>
            </w:r>
          </w:p>
        </w:tc>
        <w:tc>
          <w:tcPr>
            <w:tcW w:w="1596" w:type="pct"/>
          </w:tcPr>
          <w:p w14:paraId="5126C2C2" w14:textId="10AC5B96" w:rsidR="00D508D3" w:rsidRPr="008C1E5F" w:rsidRDefault="00D508D3" w:rsidP="00455FDE">
            <w:pPr>
              <w:pStyle w:val="TableText"/>
            </w:pPr>
            <w:r w:rsidRPr="008C1E5F">
              <w:t>Imagine Learning</w:t>
            </w:r>
          </w:p>
        </w:tc>
        <w:tc>
          <w:tcPr>
            <w:tcW w:w="1156" w:type="pct"/>
          </w:tcPr>
          <w:p w14:paraId="570A6A70" w14:textId="3F42516C" w:rsidR="00D508D3" w:rsidRPr="008C1E5F" w:rsidRDefault="00D508D3" w:rsidP="00455FDE">
            <w:pPr>
              <w:pStyle w:val="TableText"/>
            </w:pPr>
            <w:r w:rsidRPr="008C1E5F">
              <w:t>Comprehensive</w:t>
            </w:r>
          </w:p>
        </w:tc>
        <w:tc>
          <w:tcPr>
            <w:tcW w:w="568" w:type="pct"/>
          </w:tcPr>
          <w:p w14:paraId="45A21BFC" w14:textId="0CACF66F" w:rsidR="00D508D3" w:rsidRPr="008C1E5F" w:rsidRDefault="00803FF9" w:rsidP="00455FDE">
            <w:pPr>
              <w:pStyle w:val="TableText"/>
            </w:pPr>
            <w:r>
              <w:t>ME</w:t>
            </w:r>
          </w:p>
        </w:tc>
        <w:tc>
          <w:tcPr>
            <w:tcW w:w="632" w:type="pct"/>
          </w:tcPr>
          <w:p w14:paraId="023E917F" w14:textId="00F618F7" w:rsidR="00D508D3" w:rsidRPr="008C1E5F" w:rsidRDefault="00803FF9" w:rsidP="00455FDE">
            <w:pPr>
              <w:pStyle w:val="TableText"/>
            </w:pPr>
            <w:r>
              <w:t>ME</w:t>
            </w:r>
          </w:p>
        </w:tc>
      </w:tr>
      <w:tr w:rsidR="00D508D3" w:rsidRPr="008C1E5F" w14:paraId="6D347E03" w14:textId="642E488B" w:rsidTr="00803FF9">
        <w:tc>
          <w:tcPr>
            <w:tcW w:w="395" w:type="pct"/>
          </w:tcPr>
          <w:p w14:paraId="44B0F644" w14:textId="652A9E62" w:rsidR="00D508D3" w:rsidRPr="008C1E5F" w:rsidRDefault="00D508D3" w:rsidP="00455FDE">
            <w:pPr>
              <w:pStyle w:val="TableText"/>
            </w:pPr>
            <w:r w:rsidRPr="008C1E5F">
              <w:t>K-5</w:t>
            </w:r>
          </w:p>
        </w:tc>
        <w:tc>
          <w:tcPr>
            <w:tcW w:w="653" w:type="pct"/>
          </w:tcPr>
          <w:p w14:paraId="53E47893" w14:textId="2F0B0DCA" w:rsidR="00D508D3" w:rsidRPr="008C1E5F" w:rsidRDefault="00D508D3" w:rsidP="00455FDE">
            <w:pPr>
              <w:pStyle w:val="TableText"/>
            </w:pPr>
            <w:r w:rsidRPr="008C1E5F">
              <w:t>Science</w:t>
            </w:r>
          </w:p>
        </w:tc>
        <w:tc>
          <w:tcPr>
            <w:tcW w:w="1596" w:type="pct"/>
          </w:tcPr>
          <w:p w14:paraId="7EF2927D" w14:textId="5A616E21" w:rsidR="00D508D3" w:rsidRPr="008C1E5F" w:rsidRDefault="00D508D3" w:rsidP="00455FDE">
            <w:pPr>
              <w:pStyle w:val="TableText"/>
            </w:pPr>
            <w:r w:rsidRPr="008C1E5F">
              <w:t>Project Lead the Way</w:t>
            </w:r>
          </w:p>
        </w:tc>
        <w:tc>
          <w:tcPr>
            <w:tcW w:w="1156" w:type="pct"/>
          </w:tcPr>
          <w:p w14:paraId="3AEAC59D" w14:textId="6BE875B9" w:rsidR="00D508D3" w:rsidRPr="008C1E5F" w:rsidRDefault="00D508D3" w:rsidP="00455FDE">
            <w:pPr>
              <w:pStyle w:val="TableText"/>
            </w:pPr>
            <w:r w:rsidRPr="008C1E5F">
              <w:t>Comprehensive</w:t>
            </w:r>
          </w:p>
        </w:tc>
        <w:tc>
          <w:tcPr>
            <w:tcW w:w="568" w:type="pct"/>
          </w:tcPr>
          <w:p w14:paraId="5BABE9C8" w14:textId="3531F1AE" w:rsidR="00D508D3" w:rsidRPr="008C1E5F" w:rsidRDefault="00803FF9" w:rsidP="00455FDE">
            <w:pPr>
              <w:pStyle w:val="TableText"/>
            </w:pPr>
            <w:r>
              <w:t>NR</w:t>
            </w:r>
          </w:p>
        </w:tc>
        <w:tc>
          <w:tcPr>
            <w:tcW w:w="632" w:type="pct"/>
          </w:tcPr>
          <w:p w14:paraId="5EA1D79B" w14:textId="2DCCA134" w:rsidR="00D508D3" w:rsidRPr="008C1E5F" w:rsidRDefault="00803FF9" w:rsidP="00455FDE">
            <w:pPr>
              <w:pStyle w:val="TableText"/>
            </w:pPr>
            <w:r>
              <w:t>NR</w:t>
            </w:r>
          </w:p>
        </w:tc>
      </w:tr>
      <w:tr w:rsidR="00D508D3" w:rsidRPr="008C1E5F" w14:paraId="19FEA9CA" w14:textId="07BCEEBC" w:rsidTr="00803FF9">
        <w:trPr>
          <w:cnfStyle w:val="000000100000" w:firstRow="0" w:lastRow="0" w:firstColumn="0" w:lastColumn="0" w:oddVBand="0" w:evenVBand="0" w:oddHBand="1" w:evenHBand="0" w:firstRowFirstColumn="0" w:firstRowLastColumn="0" w:lastRowFirstColumn="0" w:lastRowLastColumn="0"/>
        </w:trPr>
        <w:tc>
          <w:tcPr>
            <w:tcW w:w="395" w:type="pct"/>
          </w:tcPr>
          <w:p w14:paraId="51A4AEF1" w14:textId="1AA9E166" w:rsidR="00D508D3" w:rsidRPr="008C1E5F" w:rsidRDefault="00D508D3" w:rsidP="00455FDE">
            <w:pPr>
              <w:pStyle w:val="TableText"/>
            </w:pPr>
            <w:r w:rsidRPr="008C1E5F">
              <w:lastRenderedPageBreak/>
              <w:t>6-8</w:t>
            </w:r>
          </w:p>
        </w:tc>
        <w:tc>
          <w:tcPr>
            <w:tcW w:w="653" w:type="pct"/>
          </w:tcPr>
          <w:p w14:paraId="35D83123" w14:textId="0238C273" w:rsidR="00D508D3" w:rsidRPr="008C1E5F" w:rsidRDefault="00D508D3" w:rsidP="00455FDE">
            <w:pPr>
              <w:pStyle w:val="TableText"/>
            </w:pPr>
            <w:r w:rsidRPr="008C1E5F">
              <w:t>ELA</w:t>
            </w:r>
          </w:p>
        </w:tc>
        <w:tc>
          <w:tcPr>
            <w:tcW w:w="1596" w:type="pct"/>
          </w:tcPr>
          <w:p w14:paraId="41E1E089" w14:textId="568878B0" w:rsidR="00D508D3" w:rsidRPr="008C1E5F" w:rsidRDefault="00D508D3" w:rsidP="00455FDE">
            <w:pPr>
              <w:pStyle w:val="TableText"/>
            </w:pPr>
            <w:r w:rsidRPr="008C1E5F">
              <w:t>Amplify</w:t>
            </w:r>
          </w:p>
        </w:tc>
        <w:tc>
          <w:tcPr>
            <w:tcW w:w="1156" w:type="pct"/>
          </w:tcPr>
          <w:p w14:paraId="116FB2ED" w14:textId="4C8AD9A5" w:rsidR="00D508D3" w:rsidRPr="008C1E5F" w:rsidRDefault="00D508D3" w:rsidP="00455FDE">
            <w:pPr>
              <w:pStyle w:val="TableText"/>
            </w:pPr>
            <w:r w:rsidRPr="008C1E5F">
              <w:t>Comprehensive</w:t>
            </w:r>
          </w:p>
        </w:tc>
        <w:tc>
          <w:tcPr>
            <w:tcW w:w="568" w:type="pct"/>
          </w:tcPr>
          <w:p w14:paraId="052FE8B2" w14:textId="7CDDB72C" w:rsidR="00D508D3" w:rsidRPr="008C1E5F" w:rsidRDefault="00803FF9" w:rsidP="00455FDE">
            <w:pPr>
              <w:pStyle w:val="TableText"/>
            </w:pPr>
            <w:r>
              <w:t>ME</w:t>
            </w:r>
          </w:p>
        </w:tc>
        <w:tc>
          <w:tcPr>
            <w:tcW w:w="632" w:type="pct"/>
          </w:tcPr>
          <w:p w14:paraId="761F492C" w14:textId="199F1078" w:rsidR="00D508D3" w:rsidRPr="008C1E5F" w:rsidRDefault="00803FF9" w:rsidP="00455FDE">
            <w:pPr>
              <w:pStyle w:val="TableText"/>
            </w:pPr>
            <w:r>
              <w:t>ME</w:t>
            </w:r>
          </w:p>
        </w:tc>
      </w:tr>
      <w:tr w:rsidR="00D508D3" w:rsidRPr="008C1E5F" w14:paraId="171B65EC" w14:textId="1F83A83C" w:rsidTr="00803FF9">
        <w:tc>
          <w:tcPr>
            <w:tcW w:w="395" w:type="pct"/>
          </w:tcPr>
          <w:p w14:paraId="2B985C43" w14:textId="44026E05" w:rsidR="00D508D3" w:rsidRPr="008C1E5F" w:rsidRDefault="00D508D3" w:rsidP="00455FDE">
            <w:pPr>
              <w:pStyle w:val="TableText"/>
            </w:pPr>
            <w:r w:rsidRPr="008C1E5F">
              <w:t>6-12</w:t>
            </w:r>
          </w:p>
        </w:tc>
        <w:tc>
          <w:tcPr>
            <w:tcW w:w="653" w:type="pct"/>
          </w:tcPr>
          <w:p w14:paraId="0F184013" w14:textId="5BEA1C6D" w:rsidR="00D508D3" w:rsidRPr="008C1E5F" w:rsidRDefault="00D508D3" w:rsidP="00455FDE">
            <w:pPr>
              <w:pStyle w:val="TableText"/>
            </w:pPr>
            <w:r w:rsidRPr="008C1E5F">
              <w:t>Mathematics</w:t>
            </w:r>
          </w:p>
        </w:tc>
        <w:tc>
          <w:tcPr>
            <w:tcW w:w="1596" w:type="pct"/>
          </w:tcPr>
          <w:p w14:paraId="305EC230" w14:textId="72E1343E" w:rsidR="00D508D3" w:rsidRPr="008C1E5F" w:rsidRDefault="00D508D3" w:rsidP="00455FDE">
            <w:pPr>
              <w:pStyle w:val="TableText"/>
            </w:pPr>
            <w:r w:rsidRPr="008C1E5F">
              <w:t>Carnegie Learning</w:t>
            </w:r>
          </w:p>
        </w:tc>
        <w:tc>
          <w:tcPr>
            <w:tcW w:w="1156" w:type="pct"/>
          </w:tcPr>
          <w:p w14:paraId="3E4C8880" w14:textId="449E1819" w:rsidR="00D508D3" w:rsidRPr="008C1E5F" w:rsidRDefault="00D508D3" w:rsidP="00455FDE">
            <w:pPr>
              <w:pStyle w:val="TableText"/>
            </w:pPr>
            <w:r w:rsidRPr="008C1E5F">
              <w:t>Comprehensive</w:t>
            </w:r>
          </w:p>
        </w:tc>
        <w:tc>
          <w:tcPr>
            <w:tcW w:w="568" w:type="pct"/>
          </w:tcPr>
          <w:p w14:paraId="191D60E8" w14:textId="04AD62C6" w:rsidR="00D508D3" w:rsidRPr="008C1E5F" w:rsidRDefault="00803FF9" w:rsidP="00455FDE">
            <w:pPr>
              <w:pStyle w:val="TableText"/>
            </w:pPr>
            <w:r>
              <w:t>PM</w:t>
            </w:r>
          </w:p>
        </w:tc>
        <w:tc>
          <w:tcPr>
            <w:tcW w:w="632" w:type="pct"/>
          </w:tcPr>
          <w:p w14:paraId="18D9C590" w14:textId="504F5F42" w:rsidR="00D508D3" w:rsidRPr="008C1E5F" w:rsidRDefault="00803FF9" w:rsidP="00455FDE">
            <w:pPr>
              <w:pStyle w:val="TableText"/>
            </w:pPr>
            <w:r>
              <w:t>ME</w:t>
            </w:r>
          </w:p>
        </w:tc>
      </w:tr>
      <w:tr w:rsidR="00D508D3" w:rsidRPr="008C1E5F" w14:paraId="368D8D33" w14:textId="04C1EB4D" w:rsidTr="00803FF9">
        <w:trPr>
          <w:cnfStyle w:val="000000100000" w:firstRow="0" w:lastRow="0" w:firstColumn="0" w:lastColumn="0" w:oddVBand="0" w:evenVBand="0" w:oddHBand="1" w:evenHBand="0" w:firstRowFirstColumn="0" w:firstRowLastColumn="0" w:lastRowFirstColumn="0" w:lastRowLastColumn="0"/>
        </w:trPr>
        <w:tc>
          <w:tcPr>
            <w:tcW w:w="395" w:type="pct"/>
          </w:tcPr>
          <w:p w14:paraId="7660DFAC" w14:textId="256CC0F6" w:rsidR="00D508D3" w:rsidRPr="008C1E5F" w:rsidRDefault="00D508D3" w:rsidP="00455FDE">
            <w:pPr>
              <w:pStyle w:val="TableText"/>
            </w:pPr>
            <w:r w:rsidRPr="008C1E5F">
              <w:t>K-12</w:t>
            </w:r>
          </w:p>
        </w:tc>
        <w:tc>
          <w:tcPr>
            <w:tcW w:w="653" w:type="pct"/>
          </w:tcPr>
          <w:p w14:paraId="7D71C0B1" w14:textId="5471F110" w:rsidR="00D508D3" w:rsidRPr="008C1E5F" w:rsidRDefault="00D508D3" w:rsidP="00455FDE">
            <w:pPr>
              <w:pStyle w:val="TableText"/>
            </w:pPr>
            <w:r w:rsidRPr="008C1E5F">
              <w:t>Science</w:t>
            </w:r>
          </w:p>
        </w:tc>
        <w:tc>
          <w:tcPr>
            <w:tcW w:w="1596" w:type="pct"/>
          </w:tcPr>
          <w:p w14:paraId="0FFA4635" w14:textId="4FA2AD75" w:rsidR="00D508D3" w:rsidRPr="008C1E5F" w:rsidRDefault="00D508D3" w:rsidP="00455FDE">
            <w:pPr>
              <w:pStyle w:val="TableText"/>
            </w:pPr>
            <w:r w:rsidRPr="008C1E5F">
              <w:t>OpenSciEd</w:t>
            </w:r>
          </w:p>
        </w:tc>
        <w:tc>
          <w:tcPr>
            <w:tcW w:w="1156" w:type="pct"/>
          </w:tcPr>
          <w:p w14:paraId="0F641521" w14:textId="6F41AAC4" w:rsidR="00D508D3" w:rsidRPr="008C1E5F" w:rsidRDefault="00D508D3" w:rsidP="00455FDE">
            <w:pPr>
              <w:pStyle w:val="TableText"/>
            </w:pPr>
            <w:r w:rsidRPr="008C1E5F">
              <w:t>Comprehensive</w:t>
            </w:r>
          </w:p>
        </w:tc>
        <w:tc>
          <w:tcPr>
            <w:tcW w:w="568" w:type="pct"/>
          </w:tcPr>
          <w:p w14:paraId="0D8B5D78" w14:textId="0AB303C0" w:rsidR="00D508D3" w:rsidRPr="008C1E5F" w:rsidRDefault="00803FF9" w:rsidP="00455FDE">
            <w:pPr>
              <w:pStyle w:val="TableText"/>
            </w:pPr>
            <w:r>
              <w:t>PM</w:t>
            </w:r>
          </w:p>
        </w:tc>
        <w:tc>
          <w:tcPr>
            <w:tcW w:w="632" w:type="pct"/>
          </w:tcPr>
          <w:p w14:paraId="1E6C933C" w14:textId="4936A76C" w:rsidR="00D508D3" w:rsidRPr="008C1E5F" w:rsidRDefault="00803FF9" w:rsidP="00455FDE">
            <w:pPr>
              <w:pStyle w:val="TableText"/>
            </w:pPr>
            <w:r>
              <w:t>NR</w:t>
            </w:r>
          </w:p>
        </w:tc>
      </w:tr>
    </w:tbl>
    <w:p w14:paraId="5C3DFE2C" w14:textId="10A38A9C" w:rsidR="00DA7284" w:rsidRPr="00DA7284" w:rsidRDefault="00DA7284" w:rsidP="00DA7284">
      <w:pPr>
        <w:pStyle w:val="BodyText"/>
        <w:spacing w:before="0"/>
        <w:rPr>
          <w:rFonts w:eastAsiaTheme="minorEastAsia"/>
          <w:sz w:val="20"/>
          <w:szCs w:val="20"/>
        </w:rPr>
      </w:pPr>
      <w:r w:rsidRPr="00DA7284">
        <w:rPr>
          <w:rFonts w:eastAsiaTheme="minorEastAsia"/>
          <w:sz w:val="20"/>
          <w:szCs w:val="20"/>
        </w:rPr>
        <w:t xml:space="preserve">Note. ME = meets expectations; PM = partially meets expectations; NR = not rated; CURATE = </w:t>
      </w:r>
      <w:proofErr w:type="spellStart"/>
      <w:r w:rsidRPr="00DA7284">
        <w:rPr>
          <w:rFonts w:eastAsiaTheme="minorEastAsia"/>
          <w:sz w:val="20"/>
          <w:szCs w:val="20"/>
        </w:rPr>
        <w:t>CUrriculum</w:t>
      </w:r>
      <w:proofErr w:type="spellEnd"/>
      <w:r w:rsidRPr="00DA7284">
        <w:rPr>
          <w:rFonts w:eastAsiaTheme="minorEastAsia"/>
          <w:sz w:val="20"/>
          <w:szCs w:val="20"/>
        </w:rPr>
        <w:t xml:space="preserve"> </w:t>
      </w:r>
      <w:proofErr w:type="spellStart"/>
      <w:r w:rsidRPr="00DA7284">
        <w:rPr>
          <w:rFonts w:eastAsiaTheme="minorEastAsia"/>
          <w:sz w:val="20"/>
          <w:szCs w:val="20"/>
        </w:rPr>
        <w:t>RAtings</w:t>
      </w:r>
      <w:proofErr w:type="spellEnd"/>
      <w:r w:rsidRPr="00DA7284">
        <w:rPr>
          <w:rFonts w:eastAsiaTheme="minorEastAsia"/>
          <w:sz w:val="20"/>
          <w:szCs w:val="20"/>
        </w:rPr>
        <w:t xml:space="preserve"> by </w:t>
      </w:r>
      <w:proofErr w:type="spellStart"/>
      <w:r w:rsidRPr="00DA7284">
        <w:rPr>
          <w:rFonts w:eastAsiaTheme="minorEastAsia"/>
          <w:sz w:val="20"/>
          <w:szCs w:val="20"/>
        </w:rPr>
        <w:t>TEachers</w:t>
      </w:r>
      <w:proofErr w:type="spellEnd"/>
      <w:r w:rsidRPr="00DA7284">
        <w:rPr>
          <w:rFonts w:eastAsiaTheme="minorEastAsia"/>
          <w:sz w:val="20"/>
          <w:szCs w:val="20"/>
        </w:rPr>
        <w:t xml:space="preserve">; OpenSciEd </w:t>
      </w:r>
      <w:r w:rsidR="008A1B0C">
        <w:rPr>
          <w:rFonts w:eastAsiaTheme="minorEastAsia"/>
          <w:sz w:val="20"/>
          <w:szCs w:val="20"/>
        </w:rPr>
        <w:t xml:space="preserve">is </w:t>
      </w:r>
      <w:r w:rsidRPr="00DA7284">
        <w:rPr>
          <w:rFonts w:eastAsiaTheme="minorEastAsia"/>
          <w:sz w:val="20"/>
          <w:szCs w:val="20"/>
        </w:rPr>
        <w:t>DESE developed</w:t>
      </w:r>
      <w:r w:rsidR="008A1B0C">
        <w:rPr>
          <w:rFonts w:eastAsiaTheme="minorEastAsia"/>
          <w:sz w:val="20"/>
          <w:szCs w:val="20"/>
        </w:rPr>
        <w:t>/</w:t>
      </w:r>
      <w:r w:rsidRPr="00DA7284">
        <w:rPr>
          <w:rFonts w:eastAsiaTheme="minorEastAsia"/>
          <w:sz w:val="20"/>
          <w:szCs w:val="20"/>
        </w:rPr>
        <w:t>informed.</w:t>
      </w:r>
    </w:p>
    <w:p w14:paraId="3804DA3B" w14:textId="00A1DA3D" w:rsidR="00D3638C" w:rsidRPr="008C1E5F" w:rsidRDefault="00940BAA" w:rsidP="00455FDE">
      <w:pPr>
        <w:pStyle w:val="BodyText"/>
      </w:pPr>
      <w:proofErr w:type="gramStart"/>
      <w:r w:rsidRPr="008C1E5F">
        <w:t xml:space="preserve">All </w:t>
      </w:r>
      <w:r w:rsidR="00691D17" w:rsidRPr="008C1E5F">
        <w:t>of</w:t>
      </w:r>
      <w:proofErr w:type="gramEnd"/>
      <w:r w:rsidR="00691D17" w:rsidRPr="008C1E5F">
        <w:t xml:space="preserve"> the curricula listed </w:t>
      </w:r>
      <w:r w:rsidR="008A4888" w:rsidRPr="008C1E5F">
        <w:t xml:space="preserve">in Table 4 </w:t>
      </w:r>
      <w:r w:rsidR="00691D17" w:rsidRPr="008C1E5F">
        <w:t>are currently in the implementation phase</w:t>
      </w:r>
      <w:r w:rsidRPr="008C1E5F">
        <w:t>.</w:t>
      </w:r>
      <w:r w:rsidR="005A5D05" w:rsidRPr="008C1E5F">
        <w:t xml:space="preserve"> </w:t>
      </w:r>
      <w:r w:rsidR="003C6649" w:rsidRPr="008C1E5F">
        <w:t xml:space="preserve">Fall River </w:t>
      </w:r>
      <w:r w:rsidR="00E875AE" w:rsidRPr="008C1E5F">
        <w:t>generally</w:t>
      </w:r>
      <w:r w:rsidR="00E1442B" w:rsidRPr="008C1E5F">
        <w:t xml:space="preserve"> </w:t>
      </w:r>
      <w:r w:rsidR="00E875AE" w:rsidRPr="008C1E5F">
        <w:t>selects and implements instructional materials that are vertically and horizontally aligned across all tiers of instruction and is working to improve alignment as necessary</w:t>
      </w:r>
      <w:r w:rsidR="00E1442B" w:rsidRPr="008C1E5F">
        <w:t>;</w:t>
      </w:r>
      <w:r w:rsidR="00A247B5" w:rsidRPr="008C1E5F">
        <w:t xml:space="preserve"> for example</w:t>
      </w:r>
      <w:r w:rsidR="00E1442B" w:rsidRPr="008C1E5F">
        <w:t>,</w:t>
      </w:r>
      <w:r w:rsidR="00A247B5" w:rsidRPr="008C1E5F">
        <w:t xml:space="preserve"> the</w:t>
      </w:r>
      <w:r w:rsidR="00D3638C" w:rsidRPr="008C1E5F">
        <w:t xml:space="preserve"> district </w:t>
      </w:r>
      <w:r w:rsidR="00510A4C" w:rsidRPr="008C1E5F">
        <w:t xml:space="preserve">is implementing OpenSciEd </w:t>
      </w:r>
      <w:r w:rsidR="00905026" w:rsidRPr="008C1E5F">
        <w:t xml:space="preserve">at the elementary, middle, and high school levels. </w:t>
      </w:r>
    </w:p>
    <w:p w14:paraId="185B68AE" w14:textId="46C84A7F" w:rsidR="00924A4B" w:rsidRPr="008C1E5F" w:rsidRDefault="00691D17" w:rsidP="00455FDE">
      <w:pPr>
        <w:pStyle w:val="BodyText"/>
      </w:pPr>
      <w:r w:rsidRPr="008C1E5F">
        <w:t>School leaders</w:t>
      </w:r>
      <w:r w:rsidR="00CA5110" w:rsidRPr="008C1E5F">
        <w:t xml:space="preserve"> and teachers</w:t>
      </w:r>
      <w:r w:rsidRPr="008C1E5F">
        <w:t xml:space="preserve"> reported using the same</w:t>
      </w:r>
      <w:r w:rsidR="001351F5" w:rsidRPr="008C1E5F">
        <w:t xml:space="preserve"> core</w:t>
      </w:r>
      <w:r w:rsidRPr="008C1E5F">
        <w:rPr>
          <w:b/>
          <w:bCs/>
        </w:rPr>
        <w:t xml:space="preserve"> </w:t>
      </w:r>
      <w:r w:rsidRPr="008C1E5F">
        <w:t>curricula</w:t>
      </w:r>
      <w:r w:rsidR="002C4A1D" w:rsidRPr="008C1E5F">
        <w:t xml:space="preserve"> at each level</w:t>
      </w:r>
      <w:r w:rsidR="00162B69" w:rsidRPr="008C1E5F">
        <w:t xml:space="preserve">. </w:t>
      </w:r>
      <w:r w:rsidR="00E26008" w:rsidRPr="008C1E5F">
        <w:t xml:space="preserve">In general, </w:t>
      </w:r>
      <w:r w:rsidR="00DE07B3" w:rsidRPr="008C1E5F">
        <w:t>school leaders</w:t>
      </w:r>
      <w:r w:rsidR="00E26008" w:rsidRPr="008C1E5F">
        <w:t xml:space="preserve"> agreed that </w:t>
      </w:r>
      <w:r w:rsidR="004F4AC0" w:rsidRPr="008C1E5F">
        <w:t xml:space="preserve">the curricula </w:t>
      </w:r>
      <w:r w:rsidR="00E26008" w:rsidRPr="008C1E5F">
        <w:t>meet the needs of their students</w:t>
      </w:r>
      <w:r w:rsidR="0018232B" w:rsidRPr="008C1E5F">
        <w:t>, particularly in the four core areas</w:t>
      </w:r>
      <w:r w:rsidR="00161711" w:rsidRPr="008C1E5F">
        <w:t>. However, school leaders and teachers</w:t>
      </w:r>
      <w:r w:rsidR="00E26008" w:rsidRPr="008C1E5F">
        <w:t xml:space="preserve"> expressed reservations </w:t>
      </w:r>
      <w:r w:rsidR="00C97060" w:rsidRPr="008C1E5F">
        <w:t xml:space="preserve">about </w:t>
      </w:r>
      <w:r w:rsidR="00026149" w:rsidRPr="008C1E5F">
        <w:t xml:space="preserve">being able to adjust the curricula for </w:t>
      </w:r>
      <w:r w:rsidR="00326726" w:rsidRPr="008C1E5F">
        <w:t xml:space="preserve">diverse leaners, </w:t>
      </w:r>
      <w:r w:rsidR="00373C88" w:rsidRPr="008C1E5F">
        <w:t xml:space="preserve">particularly </w:t>
      </w:r>
      <w:r w:rsidR="0000252B">
        <w:t>English Learners</w:t>
      </w:r>
      <w:r w:rsidR="0000252B" w:rsidRPr="008C1E5F">
        <w:t xml:space="preserve"> </w:t>
      </w:r>
      <w:r w:rsidR="00770010" w:rsidRPr="008C1E5F">
        <w:t xml:space="preserve">and </w:t>
      </w:r>
      <w:r w:rsidR="00930F79">
        <w:t>S</w:t>
      </w:r>
      <w:r w:rsidR="0000252B">
        <w:t xml:space="preserve">tudents with </w:t>
      </w:r>
      <w:r w:rsidR="00930F79">
        <w:t>D</w:t>
      </w:r>
      <w:r w:rsidR="0000252B">
        <w:t>isabilities</w:t>
      </w:r>
      <w:r w:rsidR="0000252B" w:rsidRPr="008C1E5F">
        <w:t xml:space="preserve"> </w:t>
      </w:r>
      <w:r w:rsidR="00373C88" w:rsidRPr="008C1E5F">
        <w:t xml:space="preserve">at the elementary </w:t>
      </w:r>
      <w:r w:rsidR="00161711" w:rsidRPr="008C1E5F">
        <w:t xml:space="preserve">and </w:t>
      </w:r>
      <w:r w:rsidR="00FE26DB" w:rsidRPr="008C1E5F">
        <w:t>middle school level</w:t>
      </w:r>
      <w:r w:rsidR="003E5CF7" w:rsidRPr="008C1E5F">
        <w:t>s</w:t>
      </w:r>
      <w:r w:rsidR="00373C88" w:rsidRPr="008C1E5F">
        <w:t xml:space="preserve">. </w:t>
      </w:r>
      <w:r w:rsidR="00DE07B3" w:rsidRPr="008C1E5F">
        <w:t xml:space="preserve">Teachers </w:t>
      </w:r>
      <w:r w:rsidR="00153EAF" w:rsidRPr="008C1E5F">
        <w:t xml:space="preserve">also </w:t>
      </w:r>
      <w:r w:rsidR="00C004B0" w:rsidRPr="008C1E5F">
        <w:t xml:space="preserve">stated that </w:t>
      </w:r>
      <w:r w:rsidR="005D6873" w:rsidRPr="008C1E5F">
        <w:t>maintaining</w:t>
      </w:r>
      <w:r w:rsidR="00C004B0" w:rsidRPr="008C1E5F">
        <w:t xml:space="preserve"> the </w:t>
      </w:r>
      <w:r w:rsidR="005D6873" w:rsidRPr="008C1E5F">
        <w:t xml:space="preserve">district’s </w:t>
      </w:r>
      <w:r w:rsidR="00902EBF" w:rsidRPr="008C1E5F">
        <w:t>pacing</w:t>
      </w:r>
      <w:r w:rsidR="00C004B0" w:rsidRPr="008C1E5F">
        <w:t xml:space="preserve"> </w:t>
      </w:r>
      <w:r w:rsidR="005D6873" w:rsidRPr="008C1E5F">
        <w:t>gui</w:t>
      </w:r>
      <w:r w:rsidR="007B23B1" w:rsidRPr="008C1E5F">
        <w:t>delines can be challenging and that lessons often take longer</w:t>
      </w:r>
      <w:r w:rsidR="004357C8" w:rsidRPr="008C1E5F">
        <w:t xml:space="preserve"> than is allocated</w:t>
      </w:r>
      <w:r w:rsidR="001514A0">
        <w:t xml:space="preserve">, particularly in schools </w:t>
      </w:r>
      <w:r w:rsidR="00FE2DE7">
        <w:t>with shorter academic blocks</w:t>
      </w:r>
      <w:r w:rsidR="00015CE9" w:rsidRPr="008C1E5F">
        <w:t xml:space="preserve">. </w:t>
      </w:r>
      <w:r w:rsidR="00276022" w:rsidRPr="008C1E5F">
        <w:t>For example, m</w:t>
      </w:r>
      <w:r w:rsidR="00015CE9" w:rsidRPr="008C1E5F">
        <w:t xml:space="preserve">iddle school teachers identified this as a challenge with the Amplify curriculum, </w:t>
      </w:r>
      <w:r w:rsidR="000864EE" w:rsidRPr="008C1E5F">
        <w:t>as some schools have shortened blocks (56 minutes</w:t>
      </w:r>
      <w:r w:rsidR="00213D16" w:rsidRPr="008C1E5F">
        <w:t xml:space="preserve"> versus 90 minutes at other schools</w:t>
      </w:r>
      <w:r w:rsidR="000864EE" w:rsidRPr="008C1E5F">
        <w:t>)</w:t>
      </w:r>
      <w:r w:rsidR="00E1442B" w:rsidRPr="008C1E5F">
        <w:t>,</w:t>
      </w:r>
      <w:r w:rsidR="000864EE" w:rsidRPr="008C1E5F">
        <w:t xml:space="preserve"> which is not enough time to get through an entire lesson. </w:t>
      </w:r>
      <w:r w:rsidR="00174941" w:rsidRPr="008C1E5F">
        <w:t xml:space="preserve">As </w:t>
      </w:r>
      <w:r w:rsidR="00E1442B" w:rsidRPr="008C1E5F">
        <w:t xml:space="preserve">one </w:t>
      </w:r>
      <w:r w:rsidR="00174941" w:rsidRPr="008C1E5F">
        <w:t>teacher explained, “I</w:t>
      </w:r>
      <w:r w:rsidR="00E1442B" w:rsidRPr="008C1E5F">
        <w:t>’</w:t>
      </w:r>
      <w:r w:rsidR="00174941" w:rsidRPr="008C1E5F">
        <w:t xml:space="preserve">ve </w:t>
      </w:r>
      <w:r w:rsidR="0010746E" w:rsidRPr="008C1E5F">
        <w:t>parsed</w:t>
      </w:r>
      <w:r w:rsidR="00174941" w:rsidRPr="008C1E5F">
        <w:t xml:space="preserve"> a lot of lessons into two days, but then there</w:t>
      </w:r>
      <w:r w:rsidR="00E1442B" w:rsidRPr="008C1E5F">
        <w:t>’</w:t>
      </w:r>
      <w:r w:rsidR="00174941" w:rsidRPr="008C1E5F">
        <w:t>s pushback about why I</w:t>
      </w:r>
      <w:r w:rsidR="00E1442B" w:rsidRPr="008C1E5F">
        <w:t>’</w:t>
      </w:r>
      <w:r w:rsidR="00174941" w:rsidRPr="008C1E5F">
        <w:t>m two and a half weeks behind where the district would like me to be</w:t>
      </w:r>
      <w:r w:rsidR="0010746E" w:rsidRPr="008C1E5F">
        <w:t xml:space="preserve"> b</w:t>
      </w:r>
      <w:r w:rsidR="00174941" w:rsidRPr="008C1E5F">
        <w:t>ased on the district pacing calendar</w:t>
      </w:r>
      <w:r w:rsidR="00E1442B" w:rsidRPr="008C1E5F">
        <w:t>.</w:t>
      </w:r>
      <w:r w:rsidR="000C3FB4" w:rsidRPr="008C1E5F">
        <w:t xml:space="preserve">” </w:t>
      </w:r>
      <w:r w:rsidR="009451D1" w:rsidRPr="008C1E5F">
        <w:t>Addressing concerns</w:t>
      </w:r>
      <w:r w:rsidR="00A90766">
        <w:t xml:space="preserve"> </w:t>
      </w:r>
      <w:r w:rsidR="008952D0">
        <w:t>about</w:t>
      </w:r>
      <w:r w:rsidR="00A90766">
        <w:t xml:space="preserve"> </w:t>
      </w:r>
      <w:r w:rsidR="002D5EF4">
        <w:t xml:space="preserve">curricular adaptation </w:t>
      </w:r>
      <w:r w:rsidR="00A90766">
        <w:t>and</w:t>
      </w:r>
      <w:r w:rsidR="009451D1" w:rsidRPr="008C1E5F">
        <w:t xml:space="preserve"> </w:t>
      </w:r>
      <w:r w:rsidR="008952D0">
        <w:t>insufficient</w:t>
      </w:r>
      <w:r w:rsidR="00D4258A">
        <w:t xml:space="preserve"> time in </w:t>
      </w:r>
      <w:r w:rsidR="005A4EE4">
        <w:t xml:space="preserve">certain academic blocks to </w:t>
      </w:r>
      <w:r w:rsidR="008952D0">
        <w:t>follow</w:t>
      </w:r>
      <w:r w:rsidR="005A4EE4">
        <w:t xml:space="preserve"> </w:t>
      </w:r>
      <w:r w:rsidR="001D7971">
        <w:t xml:space="preserve">the </w:t>
      </w:r>
      <w:r w:rsidR="001D7971" w:rsidRPr="008C1E5F">
        <w:t>district’s</w:t>
      </w:r>
      <w:r w:rsidR="009451D1" w:rsidRPr="008C1E5F">
        <w:t xml:space="preserve"> pacing guidance is an area </w:t>
      </w:r>
      <w:r w:rsidR="00BD62F1" w:rsidRPr="008C1E5F">
        <w:t xml:space="preserve">for </w:t>
      </w:r>
      <w:r w:rsidR="009451D1" w:rsidRPr="008C1E5F">
        <w:t xml:space="preserve">growth. </w:t>
      </w:r>
    </w:p>
    <w:p w14:paraId="466FD7AA" w14:textId="1BFAF702" w:rsidR="007522CE" w:rsidRPr="008C1E5F" w:rsidRDefault="007522CE" w:rsidP="00455FDE">
      <w:pPr>
        <w:pStyle w:val="BodyText"/>
      </w:pPr>
      <w:r w:rsidRPr="008C1E5F">
        <w:t xml:space="preserve">District staff </w:t>
      </w:r>
      <w:r w:rsidR="008B000F" w:rsidRPr="008C1E5F">
        <w:t>added</w:t>
      </w:r>
      <w:r w:rsidRPr="008C1E5F">
        <w:t xml:space="preserve"> that the district provides </w:t>
      </w:r>
      <w:r w:rsidR="00364592" w:rsidRPr="008C1E5F">
        <w:t>a variety of</w:t>
      </w:r>
      <w:r w:rsidRPr="008C1E5F">
        <w:t xml:space="preserve"> professional learning opportunities to support effective curriculum implementation. School leaders agreed, mentioning that curriculum providers come in</w:t>
      </w:r>
      <w:r w:rsidR="00E61A06" w:rsidRPr="008C1E5F">
        <w:t>to their schools</w:t>
      </w:r>
      <w:r w:rsidRPr="008C1E5F">
        <w:t xml:space="preserve"> to provide training and </w:t>
      </w:r>
      <w:r w:rsidR="007F2C9A" w:rsidRPr="008C1E5F">
        <w:t>individualized, ongoing support to</w:t>
      </w:r>
      <w:r w:rsidRPr="008C1E5F">
        <w:t xml:space="preserve"> teachers</w:t>
      </w:r>
      <w:r w:rsidR="007F2C9A" w:rsidRPr="008C1E5F">
        <w:t>.</w:t>
      </w:r>
      <w:r w:rsidRPr="008C1E5F">
        <w:t xml:space="preserve"> One example </w:t>
      </w:r>
      <w:r w:rsidR="00A157F5" w:rsidRPr="008C1E5F">
        <w:t>provided was</w:t>
      </w:r>
      <w:r w:rsidRPr="008C1E5F">
        <w:t xml:space="preserve"> a summer training in a phonics intervention integrated with Wonders. The intervention was developed at </w:t>
      </w:r>
      <w:r w:rsidR="00372E0F" w:rsidRPr="008C1E5F">
        <w:t>the University of Connecticut</w:t>
      </w:r>
      <w:r w:rsidRPr="008C1E5F">
        <w:t xml:space="preserve">, and elementary </w:t>
      </w:r>
      <w:r w:rsidR="00E1442B" w:rsidRPr="008C1E5F">
        <w:t xml:space="preserve">school </w:t>
      </w:r>
      <w:r w:rsidRPr="008C1E5F">
        <w:t xml:space="preserve">teachers stated that </w:t>
      </w:r>
      <w:r w:rsidR="00372E0F" w:rsidRPr="008C1E5F">
        <w:t>their</w:t>
      </w:r>
      <w:r w:rsidRPr="008C1E5F">
        <w:t xml:space="preserve"> staff w</w:t>
      </w:r>
      <w:r w:rsidR="00CC6C28" w:rsidRPr="008C1E5F">
        <w:t>ere</w:t>
      </w:r>
      <w:r w:rsidRPr="008C1E5F">
        <w:t xml:space="preserve"> “very involved” in both the initial training and follow</w:t>
      </w:r>
      <w:r w:rsidR="00E1442B" w:rsidRPr="008C1E5F">
        <w:t>-</w:t>
      </w:r>
      <w:r w:rsidRPr="008C1E5F">
        <w:t>up support.</w:t>
      </w:r>
      <w:r w:rsidR="002A676F" w:rsidRPr="008C1E5F">
        <w:t xml:space="preserve"> Additionally, </w:t>
      </w:r>
      <w:r w:rsidR="008D15F9" w:rsidRPr="008C1E5F">
        <w:t xml:space="preserve">each school has </w:t>
      </w:r>
      <w:r w:rsidR="00E1442B" w:rsidRPr="008C1E5F">
        <w:t xml:space="preserve">weekly </w:t>
      </w:r>
      <w:r w:rsidR="008D15F9" w:rsidRPr="008C1E5F">
        <w:t>professional learning communities (PLCs)</w:t>
      </w:r>
      <w:r w:rsidR="000E13DA" w:rsidRPr="008C1E5F">
        <w:t xml:space="preserve">, which are </w:t>
      </w:r>
      <w:r w:rsidR="001354BF" w:rsidRPr="008C1E5F">
        <w:t xml:space="preserve">formal structures used to support teachers </w:t>
      </w:r>
      <w:r w:rsidR="002354B2">
        <w:t>in</w:t>
      </w:r>
      <w:r w:rsidR="002354B2" w:rsidRPr="008C1E5F">
        <w:t xml:space="preserve"> </w:t>
      </w:r>
      <w:r w:rsidR="001354BF" w:rsidRPr="008C1E5F">
        <w:t xml:space="preserve">implementing </w:t>
      </w:r>
      <w:r w:rsidR="00775EF6" w:rsidRPr="008C1E5F">
        <w:t>high-quality instructional strategies</w:t>
      </w:r>
      <w:r w:rsidR="001354BF" w:rsidRPr="008C1E5F">
        <w:t xml:space="preserve">. </w:t>
      </w:r>
      <w:r w:rsidR="00CD44BE" w:rsidRPr="008C1E5F">
        <w:t xml:space="preserve">The extent of </w:t>
      </w:r>
      <w:r w:rsidR="00BB22CF" w:rsidRPr="008C1E5F">
        <w:t xml:space="preserve">supports </w:t>
      </w:r>
      <w:r w:rsidR="00E732CC" w:rsidRPr="008C1E5F">
        <w:t>provided is a strength of the district.</w:t>
      </w:r>
    </w:p>
    <w:p w14:paraId="5B29549C" w14:textId="5F100A63" w:rsidR="00473308" w:rsidRPr="008C1E5F" w:rsidRDefault="0037284E" w:rsidP="00473308">
      <w:pPr>
        <w:pStyle w:val="Heading3"/>
      </w:pPr>
      <w:bookmarkStart w:id="61" w:name="_Student_Access_to"/>
      <w:bookmarkStart w:id="62" w:name="_Equitable_Practices_and"/>
      <w:bookmarkStart w:id="63" w:name="_Toc195024218"/>
      <w:bookmarkEnd w:id="61"/>
      <w:bookmarkEnd w:id="62"/>
      <w:r w:rsidRPr="008C1E5F">
        <w:t>Equitable Practices and</w:t>
      </w:r>
      <w:r w:rsidR="00473308" w:rsidRPr="008C1E5F">
        <w:t xml:space="preserve"> Acces</w:t>
      </w:r>
      <w:r w:rsidRPr="008C1E5F">
        <w:t>s</w:t>
      </w:r>
      <w:bookmarkEnd w:id="63"/>
    </w:p>
    <w:p w14:paraId="11910F1E" w14:textId="647D8F51" w:rsidR="0021578D" w:rsidRPr="008C1E5F" w:rsidRDefault="006B06D9" w:rsidP="00455FDE">
      <w:pPr>
        <w:pStyle w:val="BodyTextposthead"/>
        <w:rPr>
          <w:spacing w:val="-4"/>
        </w:rPr>
      </w:pPr>
      <w:r w:rsidRPr="008C1E5F">
        <w:rPr>
          <w:spacing w:val="-4"/>
        </w:rPr>
        <w:t xml:space="preserve">Staff at all levels agreed that the district is making an intentional effort to focus on serving marginalized students, particularly </w:t>
      </w:r>
      <w:r w:rsidR="0000252B">
        <w:rPr>
          <w:spacing w:val="-4"/>
        </w:rPr>
        <w:t>English Learners</w:t>
      </w:r>
      <w:r w:rsidR="0000252B" w:rsidRPr="008C1E5F">
        <w:rPr>
          <w:spacing w:val="-4"/>
        </w:rPr>
        <w:t xml:space="preserve"> </w:t>
      </w:r>
      <w:r w:rsidRPr="008C1E5F">
        <w:rPr>
          <w:spacing w:val="-4"/>
        </w:rPr>
        <w:t xml:space="preserve">and </w:t>
      </w:r>
      <w:r w:rsidR="00930F79">
        <w:rPr>
          <w:spacing w:val="-4"/>
        </w:rPr>
        <w:t>S</w:t>
      </w:r>
      <w:r w:rsidR="0000252B">
        <w:rPr>
          <w:spacing w:val="-4"/>
        </w:rPr>
        <w:t xml:space="preserve">tudents with </w:t>
      </w:r>
      <w:r w:rsidR="00930F79">
        <w:rPr>
          <w:spacing w:val="-4"/>
        </w:rPr>
        <w:t>D</w:t>
      </w:r>
      <w:r w:rsidR="0000252B">
        <w:rPr>
          <w:spacing w:val="-4"/>
        </w:rPr>
        <w:t>isabilities</w:t>
      </w:r>
      <w:r w:rsidRPr="008C1E5F">
        <w:rPr>
          <w:spacing w:val="-4"/>
        </w:rPr>
        <w:t>.</w:t>
      </w:r>
      <w:r w:rsidR="0021578D" w:rsidRPr="008C1E5F">
        <w:rPr>
          <w:spacing w:val="-4"/>
        </w:rPr>
        <w:t xml:space="preserve"> </w:t>
      </w:r>
      <w:r w:rsidR="006C3465" w:rsidRPr="008C1E5F">
        <w:rPr>
          <w:spacing w:val="-4"/>
        </w:rPr>
        <w:t xml:space="preserve">Additionally, the district is </w:t>
      </w:r>
      <w:r w:rsidR="00F20864" w:rsidRPr="008C1E5F">
        <w:rPr>
          <w:spacing w:val="-4"/>
        </w:rPr>
        <w:t xml:space="preserve">working to improve </w:t>
      </w:r>
      <w:r w:rsidR="00836F39" w:rsidRPr="008C1E5F">
        <w:rPr>
          <w:spacing w:val="-4"/>
        </w:rPr>
        <w:t xml:space="preserve">its </w:t>
      </w:r>
      <w:r w:rsidR="00F20864" w:rsidRPr="008C1E5F">
        <w:rPr>
          <w:spacing w:val="-4"/>
        </w:rPr>
        <w:t xml:space="preserve">multitiered systems of support </w:t>
      </w:r>
      <w:r w:rsidR="00836F39" w:rsidRPr="008C1E5F">
        <w:t xml:space="preserve">(MTSS) </w:t>
      </w:r>
      <w:r w:rsidR="007C1E7A" w:rsidRPr="008C1E5F">
        <w:rPr>
          <w:spacing w:val="-4"/>
        </w:rPr>
        <w:t>utilizing the GLEAM gran</w:t>
      </w:r>
      <w:r w:rsidR="00033A37" w:rsidRPr="008C1E5F">
        <w:rPr>
          <w:spacing w:val="-4"/>
        </w:rPr>
        <w:t xml:space="preserve">t to support all learners. </w:t>
      </w:r>
      <w:r w:rsidR="00982735">
        <w:rPr>
          <w:spacing w:val="-4"/>
        </w:rPr>
        <w:t>Still</w:t>
      </w:r>
      <w:r w:rsidR="00033A37" w:rsidRPr="008C1E5F">
        <w:rPr>
          <w:spacing w:val="-4"/>
        </w:rPr>
        <w:t xml:space="preserve">, </w:t>
      </w:r>
      <w:r w:rsidR="00E248E5" w:rsidRPr="008C1E5F">
        <w:rPr>
          <w:spacing w:val="-4"/>
        </w:rPr>
        <w:t xml:space="preserve">staff agreed that there </w:t>
      </w:r>
      <w:r w:rsidR="005A23B2" w:rsidRPr="008C1E5F">
        <w:rPr>
          <w:spacing w:val="-4"/>
        </w:rPr>
        <w:t xml:space="preserve">is room for </w:t>
      </w:r>
      <w:r w:rsidR="00ED232C">
        <w:rPr>
          <w:spacing w:val="-4"/>
        </w:rPr>
        <w:t>improvement</w:t>
      </w:r>
      <w:r w:rsidR="005A23B2" w:rsidRPr="008C1E5F">
        <w:rPr>
          <w:spacing w:val="-4"/>
        </w:rPr>
        <w:t xml:space="preserve"> in ensuring equitable practices for all students. </w:t>
      </w:r>
    </w:p>
    <w:p w14:paraId="77612FDB" w14:textId="4E0BCDF8" w:rsidR="00931E09" w:rsidRPr="008C1E5F" w:rsidRDefault="00AC7A93" w:rsidP="00455FDE">
      <w:pPr>
        <w:pStyle w:val="BodyText"/>
      </w:pPr>
      <w:r w:rsidRPr="008C1E5F">
        <w:lastRenderedPageBreak/>
        <w:t xml:space="preserve">The district has a </w:t>
      </w:r>
      <w:r w:rsidR="00836F39" w:rsidRPr="008C1E5F">
        <w:t>D</w:t>
      </w:r>
      <w:r w:rsidR="00A36E0A" w:rsidRPr="008C1E5F">
        <w:t xml:space="preserve">istrict </w:t>
      </w:r>
      <w:r w:rsidR="00836F39" w:rsidRPr="008C1E5F">
        <w:t>C</w:t>
      </w:r>
      <w:r w:rsidR="00A36E0A" w:rsidRPr="008C1E5F">
        <w:t xml:space="preserve">urriculum </w:t>
      </w:r>
      <w:r w:rsidR="00836F39" w:rsidRPr="008C1E5F">
        <w:t>A</w:t>
      </w:r>
      <w:r w:rsidR="00A36E0A" w:rsidRPr="008C1E5F">
        <w:t xml:space="preserve">ccommodation </w:t>
      </w:r>
      <w:r w:rsidR="00836F39" w:rsidRPr="008C1E5F">
        <w:t>P</w:t>
      </w:r>
      <w:r w:rsidR="00A36E0A" w:rsidRPr="008C1E5F">
        <w:t>lan (</w:t>
      </w:r>
      <w:r w:rsidRPr="008C1E5F">
        <w:t>DCAP</w:t>
      </w:r>
      <w:r w:rsidR="00A36E0A" w:rsidRPr="008C1E5F">
        <w:t>)</w:t>
      </w:r>
      <w:r w:rsidRPr="008C1E5F">
        <w:t xml:space="preserve"> that details how the district applies an adaptable MTSS to implement academic interventions for students</w:t>
      </w:r>
      <w:r w:rsidR="002B4A7E" w:rsidRPr="008C1E5F">
        <w:t xml:space="preserve">. The DCAP also details </w:t>
      </w:r>
      <w:r w:rsidRPr="008C1E5F">
        <w:t xml:space="preserve">progress monitoring procedures that support access to and movement throughout the three tiers of instruction. </w:t>
      </w:r>
      <w:r w:rsidR="00A95C53" w:rsidRPr="008C1E5F">
        <w:t xml:space="preserve">At the </w:t>
      </w:r>
      <w:r w:rsidR="009173F3" w:rsidRPr="008C1E5F">
        <w:t>high school</w:t>
      </w:r>
      <w:r w:rsidR="00A95C53" w:rsidRPr="008C1E5F">
        <w:t xml:space="preserve"> level, t</w:t>
      </w:r>
      <w:r w:rsidRPr="008C1E5F">
        <w:t>he district intentionally engages students in decision</w:t>
      </w:r>
      <w:r w:rsidR="00836F39" w:rsidRPr="008C1E5F">
        <w:t xml:space="preserve"> </w:t>
      </w:r>
      <w:r w:rsidRPr="008C1E5F">
        <w:t>making and the delivery of tiered supports</w:t>
      </w:r>
      <w:r w:rsidR="00A95C53" w:rsidRPr="008C1E5F">
        <w:t xml:space="preserve"> through the pod structure</w:t>
      </w:r>
      <w:r w:rsidR="000C79CA" w:rsidRPr="008C1E5F">
        <w:t>, where</w:t>
      </w:r>
      <w:r w:rsidR="00A95C53" w:rsidRPr="008C1E5F">
        <w:t xml:space="preserve"> </w:t>
      </w:r>
      <w:r w:rsidR="00A02923" w:rsidRPr="008C1E5F">
        <w:t xml:space="preserve">cross-disciplinary teams meet with the student to </w:t>
      </w:r>
      <w:r w:rsidR="00086EBA" w:rsidRPr="008C1E5F">
        <w:t xml:space="preserve">identify the underlying root causes of their </w:t>
      </w:r>
      <w:r w:rsidR="008A2176" w:rsidRPr="008C1E5F">
        <w:t xml:space="preserve">academic </w:t>
      </w:r>
      <w:r w:rsidR="00215AD3" w:rsidRPr="008C1E5F">
        <w:t>and nonacademic</w:t>
      </w:r>
      <w:r w:rsidR="008A2176" w:rsidRPr="008C1E5F">
        <w:t xml:space="preserve"> struggles. </w:t>
      </w:r>
      <w:r w:rsidR="003A626E" w:rsidRPr="008C1E5F">
        <w:t xml:space="preserve">Families </w:t>
      </w:r>
      <w:r w:rsidR="008A2176" w:rsidRPr="008C1E5F">
        <w:t>are also invited to participate</w:t>
      </w:r>
      <w:r w:rsidR="00724F16">
        <w:t>,</w:t>
      </w:r>
      <w:r w:rsidR="008A2176" w:rsidRPr="008C1E5F">
        <w:t xml:space="preserve"> but are reportedly</w:t>
      </w:r>
      <w:r w:rsidR="00402EEF" w:rsidRPr="008C1E5F">
        <w:t xml:space="preserve"> not</w:t>
      </w:r>
      <w:r w:rsidR="003A626E" w:rsidRPr="008C1E5F">
        <w:t xml:space="preserve"> involved as consistently.</w:t>
      </w:r>
      <w:r w:rsidR="00B46744" w:rsidRPr="008C1E5F">
        <w:t xml:space="preserve"> As a support staff member explained, “</w:t>
      </w:r>
      <w:r w:rsidR="00EE24A0" w:rsidRPr="008C1E5F">
        <w:t>[</w:t>
      </w:r>
      <w:r w:rsidR="00836F39" w:rsidRPr="008C1E5F">
        <w:t>P</w:t>
      </w:r>
      <w:r w:rsidR="00EE24A0" w:rsidRPr="008C1E5F">
        <w:t xml:space="preserve">ods allow for] </w:t>
      </w:r>
      <w:r w:rsidR="00B46744" w:rsidRPr="008C1E5F">
        <w:t>conversation</w:t>
      </w:r>
      <w:r w:rsidR="00EE24A0" w:rsidRPr="008C1E5F">
        <w:t>s</w:t>
      </w:r>
      <w:r w:rsidR="00B46744" w:rsidRPr="008C1E5F">
        <w:t xml:space="preserve"> </w:t>
      </w:r>
      <w:r w:rsidR="00EE24A0" w:rsidRPr="008C1E5F">
        <w:t>about</w:t>
      </w:r>
      <w:r w:rsidR="00B46744" w:rsidRPr="008C1E5F">
        <w:t xml:space="preserve"> this is why this is happening and now everybody has an understanding on this kid</w:t>
      </w:r>
      <w:r w:rsidR="00836F39" w:rsidRPr="008C1E5F">
        <w:t>’</w:t>
      </w:r>
      <w:r w:rsidR="00B46744" w:rsidRPr="008C1E5F">
        <w:t xml:space="preserve">s team </w:t>
      </w:r>
      <w:r w:rsidR="00EE24A0" w:rsidRPr="008C1E5F">
        <w:t>of</w:t>
      </w:r>
      <w:r w:rsidR="00B46744" w:rsidRPr="008C1E5F">
        <w:t xml:space="preserve"> what's going on</w:t>
      </w:r>
      <w:r w:rsidR="00EE24A0" w:rsidRPr="008C1E5F">
        <w:t xml:space="preserve">.” </w:t>
      </w:r>
      <w:r w:rsidR="0071516B" w:rsidRPr="008C1E5F">
        <w:t>The intentional involvement of</w:t>
      </w:r>
      <w:r w:rsidR="00FD370D" w:rsidRPr="008C1E5F">
        <w:t xml:space="preserve"> high school</w:t>
      </w:r>
      <w:r w:rsidR="0071516B" w:rsidRPr="008C1E5F">
        <w:t xml:space="preserve"> </w:t>
      </w:r>
      <w:r w:rsidR="00C84CAF" w:rsidRPr="008C1E5F">
        <w:t>students</w:t>
      </w:r>
      <w:r w:rsidR="00FD370D" w:rsidRPr="008C1E5F">
        <w:t xml:space="preserve"> in decision</w:t>
      </w:r>
      <w:r w:rsidR="00836F39" w:rsidRPr="008C1E5F">
        <w:t xml:space="preserve"> </w:t>
      </w:r>
      <w:r w:rsidR="00FD370D" w:rsidRPr="008C1E5F">
        <w:t xml:space="preserve">making and the delivery of tiered supports </w:t>
      </w:r>
      <w:r w:rsidR="00C84CAF" w:rsidRPr="008C1E5F">
        <w:t xml:space="preserve">is a strength of </w:t>
      </w:r>
      <w:r w:rsidR="0071516B" w:rsidRPr="008C1E5F">
        <w:t xml:space="preserve">the </w:t>
      </w:r>
      <w:r w:rsidR="00C84CAF" w:rsidRPr="008C1E5F">
        <w:t xml:space="preserve">district. </w:t>
      </w:r>
    </w:p>
    <w:p w14:paraId="75073A51" w14:textId="08E4E473" w:rsidR="004E7350" w:rsidRPr="008C1E5F" w:rsidRDefault="00610905" w:rsidP="00455FDE">
      <w:pPr>
        <w:pStyle w:val="BodyText"/>
      </w:pPr>
      <w:r w:rsidRPr="008C1E5F">
        <w:t xml:space="preserve">According to </w:t>
      </w:r>
      <w:r w:rsidR="00161CA0" w:rsidRPr="008C1E5F">
        <w:t>district</w:t>
      </w:r>
      <w:r w:rsidR="00814C6F" w:rsidRPr="008C1E5F">
        <w:t xml:space="preserve"> and school</w:t>
      </w:r>
      <w:r w:rsidR="00161CA0" w:rsidRPr="008C1E5F">
        <w:t xml:space="preserve"> leaders,</w:t>
      </w:r>
      <w:r w:rsidRPr="008C1E5F">
        <w:t xml:space="preserve"> </w:t>
      </w:r>
      <w:r w:rsidR="004E7350" w:rsidRPr="008C1E5F">
        <w:t>the following academic interventions are available in ELA and mathematics:</w:t>
      </w:r>
    </w:p>
    <w:p w14:paraId="5603C13D" w14:textId="178660DE" w:rsidR="007C6855" w:rsidRPr="008C1E5F" w:rsidRDefault="004E7350" w:rsidP="00455FDE">
      <w:pPr>
        <w:pStyle w:val="Bullet1"/>
      </w:pPr>
      <w:r w:rsidRPr="008C1E5F">
        <w:t xml:space="preserve">Elementary </w:t>
      </w:r>
      <w:r w:rsidR="007C4893" w:rsidRPr="008C1E5F">
        <w:t>school</w:t>
      </w:r>
      <w:r w:rsidR="00836F39" w:rsidRPr="008C1E5F">
        <w:t>–</w:t>
      </w:r>
      <w:r w:rsidRPr="008C1E5F">
        <w:t>level</w:t>
      </w:r>
      <w:r w:rsidR="00D44F43" w:rsidRPr="008C1E5F">
        <w:t xml:space="preserve"> interventions</w:t>
      </w:r>
      <w:r w:rsidRPr="008C1E5F">
        <w:t xml:space="preserve">: </w:t>
      </w:r>
      <w:proofErr w:type="spellStart"/>
      <w:r w:rsidR="00673B30" w:rsidRPr="008C1E5F">
        <w:t>Fundations</w:t>
      </w:r>
      <w:proofErr w:type="spellEnd"/>
      <w:r w:rsidR="00673B30" w:rsidRPr="008C1E5F">
        <w:t xml:space="preserve"> (Tier 2), Graham Fletcher Fluency Kits (Tier 2),</w:t>
      </w:r>
      <w:r w:rsidR="00673B30">
        <w:t xml:space="preserve"> </w:t>
      </w:r>
      <w:r w:rsidR="00B4246D" w:rsidRPr="008C1E5F">
        <w:t xml:space="preserve">Lexia (Tier 2), </w:t>
      </w:r>
      <w:r w:rsidR="00D32D3A" w:rsidRPr="008C1E5F">
        <w:t>Quick Reads (Tier 2),</w:t>
      </w:r>
      <w:r w:rsidR="0004775E" w:rsidRPr="008C1E5F">
        <w:t xml:space="preserve"> i</w:t>
      </w:r>
      <w:r w:rsidR="00BD62F1" w:rsidRPr="008C1E5F">
        <w:t>-</w:t>
      </w:r>
      <w:r w:rsidR="0004775E" w:rsidRPr="008C1E5F">
        <w:t xml:space="preserve">Ready (Tiers 2 and 3), </w:t>
      </w:r>
      <w:proofErr w:type="spellStart"/>
      <w:r w:rsidR="00673B30" w:rsidRPr="008C1E5F">
        <w:t>Add+Vantage</w:t>
      </w:r>
      <w:proofErr w:type="spellEnd"/>
      <w:r w:rsidR="00673B30" w:rsidRPr="008C1E5F">
        <w:t xml:space="preserve"> (Tier 3), Linguistics (Tier 3), </w:t>
      </w:r>
      <w:r w:rsidRPr="008C1E5F">
        <w:t>Project Read</w:t>
      </w:r>
      <w:r w:rsidR="001E38C6" w:rsidRPr="008C1E5F">
        <w:t xml:space="preserve"> (Tier 3)</w:t>
      </w:r>
      <w:r w:rsidR="00D44F43" w:rsidRPr="008C1E5F">
        <w:t>,</w:t>
      </w:r>
      <w:r w:rsidR="00C15133" w:rsidRPr="008C1E5F">
        <w:t xml:space="preserve"> </w:t>
      </w:r>
      <w:r w:rsidR="007C6855" w:rsidRPr="008C1E5F">
        <w:t>Wilson’s Reading Program (Tier 3)</w:t>
      </w:r>
    </w:p>
    <w:p w14:paraId="2FA8EFEC" w14:textId="77F99969" w:rsidR="007C4893" w:rsidRPr="008C1E5F" w:rsidRDefault="007C4893" w:rsidP="00455FDE">
      <w:pPr>
        <w:pStyle w:val="Bullet1"/>
      </w:pPr>
      <w:r w:rsidRPr="008C1E5F">
        <w:t>Middle school</w:t>
      </w:r>
      <w:r w:rsidR="00836F39" w:rsidRPr="008C1E5F">
        <w:t>–</w:t>
      </w:r>
      <w:r w:rsidRPr="008C1E5F">
        <w:t xml:space="preserve">level interventions: </w:t>
      </w:r>
      <w:r w:rsidR="00D32D3A" w:rsidRPr="008C1E5F">
        <w:t xml:space="preserve">Rewards Plus (Tier 2), </w:t>
      </w:r>
      <w:r w:rsidR="0004775E" w:rsidRPr="008C1E5F">
        <w:t>i</w:t>
      </w:r>
      <w:r w:rsidR="00BD62F1" w:rsidRPr="008C1E5F">
        <w:t>-</w:t>
      </w:r>
      <w:r w:rsidR="0004775E" w:rsidRPr="008C1E5F">
        <w:t xml:space="preserve">Ready (Tiers 2 and 3), </w:t>
      </w:r>
      <w:r w:rsidRPr="008C1E5F">
        <w:t xml:space="preserve">Project Read (Tier 3), </w:t>
      </w:r>
      <w:r w:rsidR="00D32D3A" w:rsidRPr="008C1E5F">
        <w:t>Rewards (Tier 3)</w:t>
      </w:r>
    </w:p>
    <w:p w14:paraId="40343735" w14:textId="24D25A18" w:rsidR="0044612B" w:rsidRPr="008C1E5F" w:rsidRDefault="0044612B" w:rsidP="00455FDE">
      <w:pPr>
        <w:pStyle w:val="Bullet1"/>
      </w:pPr>
      <w:r w:rsidRPr="008C1E5F">
        <w:t>High school</w:t>
      </w:r>
      <w:r w:rsidR="00836F39" w:rsidRPr="008C1E5F">
        <w:t>–</w:t>
      </w:r>
      <w:r w:rsidRPr="008C1E5F">
        <w:t xml:space="preserve">level interventions: </w:t>
      </w:r>
      <w:r w:rsidR="00812D3B" w:rsidRPr="008C1E5F">
        <w:t>What I Need ELA</w:t>
      </w:r>
      <w:r w:rsidR="00F21BE1" w:rsidRPr="008C1E5F">
        <w:t xml:space="preserve"> supports</w:t>
      </w:r>
      <w:r w:rsidR="00812D3B" w:rsidRPr="008C1E5F">
        <w:t xml:space="preserve"> </w:t>
      </w:r>
      <w:r w:rsidR="00F21BE1" w:rsidRPr="008C1E5F">
        <w:t xml:space="preserve">(Tier 2), </w:t>
      </w:r>
      <w:r w:rsidR="00166FF7" w:rsidRPr="008C1E5F">
        <w:t>c</w:t>
      </w:r>
      <w:r w:rsidRPr="008C1E5F">
        <w:t>redit recovery</w:t>
      </w:r>
      <w:r w:rsidR="00166FF7" w:rsidRPr="008C1E5F">
        <w:t xml:space="preserve"> (Tier 3)</w:t>
      </w:r>
      <w:r w:rsidR="00DE25E0" w:rsidRPr="008C1E5F">
        <w:t xml:space="preserve">, </w:t>
      </w:r>
      <w:r w:rsidR="00456BBC" w:rsidRPr="008C1E5F">
        <w:t xml:space="preserve">ELA </w:t>
      </w:r>
      <w:r w:rsidR="005836B1" w:rsidRPr="008C1E5F">
        <w:t xml:space="preserve">Strategies (Tier 3), </w:t>
      </w:r>
      <w:r w:rsidR="00DE25E0" w:rsidRPr="008C1E5F">
        <w:t xml:space="preserve">tutoring </w:t>
      </w:r>
      <w:r w:rsidR="00166FF7" w:rsidRPr="008C1E5F">
        <w:t>(Tier 3)</w:t>
      </w:r>
    </w:p>
    <w:p w14:paraId="65D10293" w14:textId="461EFD7D" w:rsidR="00255F63" w:rsidRPr="008C1E5F" w:rsidRDefault="00166FF7" w:rsidP="00455FDE">
      <w:pPr>
        <w:pStyle w:val="BodyText"/>
      </w:pPr>
      <w:r w:rsidRPr="008C1E5F">
        <w:t xml:space="preserve">Elementary specialists noted that they have </w:t>
      </w:r>
      <w:r w:rsidR="00724F16">
        <w:t xml:space="preserve">the </w:t>
      </w:r>
      <w:r w:rsidRPr="008C1E5F">
        <w:t xml:space="preserve">flexibility to use whatever intervention best meets their students’ needs </w:t>
      </w:r>
      <w:proofErr w:type="gramStart"/>
      <w:r w:rsidRPr="008C1E5F">
        <w:t>as long as</w:t>
      </w:r>
      <w:proofErr w:type="gramEnd"/>
      <w:r w:rsidRPr="008C1E5F">
        <w:t xml:space="preserve"> they are trained in it. In addition to the interventions above, t</w:t>
      </w:r>
      <w:r w:rsidR="00404796" w:rsidRPr="008C1E5F">
        <w:t>eachers and specialists mentioned</w:t>
      </w:r>
      <w:r w:rsidRPr="008C1E5F">
        <w:t xml:space="preserve"> using</w:t>
      </w:r>
      <w:r w:rsidR="00404796" w:rsidRPr="008C1E5F">
        <w:t xml:space="preserve"> </w:t>
      </w:r>
      <w:r w:rsidR="008C7CE0" w:rsidRPr="008C1E5F">
        <w:t>Enhanced Core Reading Instruction,</w:t>
      </w:r>
      <w:r w:rsidRPr="008C1E5F">
        <w:t xml:space="preserve"> </w:t>
      </w:r>
      <w:r w:rsidR="00AB427B" w:rsidRPr="008C1E5F">
        <w:t xml:space="preserve">Science of Reading, </w:t>
      </w:r>
      <w:r w:rsidR="00A04A01" w:rsidRPr="008C1E5F">
        <w:t xml:space="preserve">Writing Revolution, </w:t>
      </w:r>
      <w:r w:rsidR="000B5B29" w:rsidRPr="008C1E5F">
        <w:t xml:space="preserve">and </w:t>
      </w:r>
      <w:r w:rsidRPr="008C1E5F">
        <w:t>Heggerty</w:t>
      </w:r>
      <w:r w:rsidR="000B5B29" w:rsidRPr="008C1E5F">
        <w:t xml:space="preserve"> for ELA</w:t>
      </w:r>
      <w:r w:rsidR="00836F39" w:rsidRPr="008C1E5F">
        <w:t>;</w:t>
      </w:r>
      <w:r w:rsidR="009A4B71" w:rsidRPr="008C1E5F">
        <w:t xml:space="preserve"> Math Stream and Mathia for math</w:t>
      </w:r>
      <w:r w:rsidR="00836F39" w:rsidRPr="008C1E5F">
        <w:t>ematics;</w:t>
      </w:r>
      <w:r w:rsidR="00027986" w:rsidRPr="008C1E5F">
        <w:t xml:space="preserve"> and </w:t>
      </w:r>
      <w:r w:rsidR="000B5B29" w:rsidRPr="008C1E5F">
        <w:t>Gizmo for engineering</w:t>
      </w:r>
      <w:r w:rsidR="00027986" w:rsidRPr="008C1E5F">
        <w:t xml:space="preserve">. </w:t>
      </w:r>
      <w:r w:rsidR="009676B8" w:rsidRPr="008C1E5F">
        <w:t>The support model</w:t>
      </w:r>
      <w:r w:rsidRPr="008C1E5F">
        <w:t xml:space="preserve"> </w:t>
      </w:r>
      <w:r w:rsidR="00353949" w:rsidRPr="008C1E5F">
        <w:t>focus</w:t>
      </w:r>
      <w:r w:rsidR="009676B8" w:rsidRPr="008C1E5F">
        <w:t>es</w:t>
      </w:r>
      <w:r w:rsidR="00353949" w:rsidRPr="008C1E5F">
        <w:t xml:space="preserve"> </w:t>
      </w:r>
      <w:r w:rsidR="00836F39" w:rsidRPr="008C1E5F">
        <w:t xml:space="preserve">primarily </w:t>
      </w:r>
      <w:r w:rsidR="0005673D" w:rsidRPr="008C1E5F">
        <w:t>on</w:t>
      </w:r>
      <w:r w:rsidR="00353949" w:rsidRPr="008C1E5F">
        <w:t xml:space="preserve"> literacy because the district considers </w:t>
      </w:r>
      <w:r w:rsidR="009676B8" w:rsidRPr="008C1E5F">
        <w:t xml:space="preserve">this </w:t>
      </w:r>
      <w:r w:rsidR="00353949" w:rsidRPr="008C1E5F">
        <w:t>skill foundational for all subject areas.</w:t>
      </w:r>
      <w:r w:rsidR="00542CAF" w:rsidRPr="008C1E5F">
        <w:t xml:space="preserve"> </w:t>
      </w:r>
      <w:r w:rsidR="00470FC2">
        <w:t>Specialists characterized training opportunities for these intervention programs as inconsistent</w:t>
      </w:r>
      <w:r w:rsidR="00724F16">
        <w:t>,</w:t>
      </w:r>
      <w:r w:rsidR="00470FC2">
        <w:t xml:space="preserve"> with some being well-structured while others </w:t>
      </w:r>
      <w:r w:rsidR="00536B15">
        <w:t>are</w:t>
      </w:r>
      <w:r w:rsidR="00470FC2">
        <w:t xml:space="preserve"> “second-hand” or minimal. This variation was largely attributed to staff turnover, </w:t>
      </w:r>
      <w:r w:rsidR="00536B15">
        <w:t>resulting</w:t>
      </w:r>
      <w:r w:rsidR="00470FC2">
        <w:t xml:space="preserve"> in leftover intervention materials and staff with varying levels of </w:t>
      </w:r>
      <w:r w:rsidR="00536B15">
        <w:t>familiarity with these programs to provide training</w:t>
      </w:r>
      <w:r w:rsidR="00470FC2">
        <w:t>.</w:t>
      </w:r>
    </w:p>
    <w:p w14:paraId="77058E4A" w14:textId="06565325" w:rsidR="00A347E3" w:rsidRPr="008C1E5F" w:rsidRDefault="00030389" w:rsidP="00455FDE">
      <w:pPr>
        <w:pStyle w:val="BodyText"/>
        <w:rPr>
          <w:spacing w:val="-2"/>
        </w:rPr>
      </w:pPr>
      <w:r w:rsidRPr="008C1E5F">
        <w:rPr>
          <w:spacing w:val="-2"/>
        </w:rPr>
        <w:t xml:space="preserve">School leaders, district leaders, and teachers </w:t>
      </w:r>
      <w:r w:rsidR="009C0361" w:rsidRPr="008C1E5F">
        <w:rPr>
          <w:spacing w:val="-2"/>
        </w:rPr>
        <w:t>agree that they give students universal screeners followed by targeted screeners as needed</w:t>
      </w:r>
      <w:r w:rsidR="0071412F" w:rsidRPr="008C1E5F">
        <w:rPr>
          <w:spacing w:val="-2"/>
        </w:rPr>
        <w:t xml:space="preserve">. </w:t>
      </w:r>
      <w:r w:rsidR="007B5683" w:rsidRPr="008C1E5F">
        <w:rPr>
          <w:spacing w:val="-2"/>
        </w:rPr>
        <w:t xml:space="preserve">The current screening system was </w:t>
      </w:r>
      <w:r w:rsidR="00093DA0" w:rsidRPr="008C1E5F">
        <w:rPr>
          <w:spacing w:val="-2"/>
        </w:rPr>
        <w:t>first developed when Fall River received a GLEAM grant to pilot a comprehensive MTSS system in Talbot Middle School</w:t>
      </w:r>
      <w:r w:rsidR="00F3431B" w:rsidRPr="008C1E5F">
        <w:rPr>
          <w:spacing w:val="-2"/>
        </w:rPr>
        <w:t xml:space="preserve">. </w:t>
      </w:r>
      <w:r w:rsidR="00B24F75" w:rsidRPr="008C1E5F">
        <w:rPr>
          <w:spacing w:val="-2"/>
        </w:rPr>
        <w:t xml:space="preserve">District leaders explained that </w:t>
      </w:r>
      <w:r w:rsidR="00093DA0" w:rsidRPr="008C1E5F">
        <w:rPr>
          <w:spacing w:val="-2"/>
        </w:rPr>
        <w:t xml:space="preserve">MAZE </w:t>
      </w:r>
      <w:r w:rsidR="00B24F75" w:rsidRPr="008C1E5F">
        <w:rPr>
          <w:spacing w:val="-2"/>
        </w:rPr>
        <w:t xml:space="preserve">is used </w:t>
      </w:r>
      <w:r w:rsidR="00093DA0" w:rsidRPr="008C1E5F">
        <w:rPr>
          <w:spacing w:val="-2"/>
        </w:rPr>
        <w:t>as a universal</w:t>
      </w:r>
      <w:r w:rsidR="00DA2D15" w:rsidRPr="008C1E5F">
        <w:rPr>
          <w:spacing w:val="-2"/>
        </w:rPr>
        <w:t xml:space="preserve"> literacy</w:t>
      </w:r>
      <w:r w:rsidR="00093DA0" w:rsidRPr="008C1E5F">
        <w:rPr>
          <w:spacing w:val="-2"/>
        </w:rPr>
        <w:t xml:space="preserve"> screener, follow</w:t>
      </w:r>
      <w:r w:rsidR="00B24F75" w:rsidRPr="008C1E5F">
        <w:rPr>
          <w:spacing w:val="-2"/>
        </w:rPr>
        <w:t>ed</w:t>
      </w:r>
      <w:r w:rsidR="00093DA0" w:rsidRPr="008C1E5F">
        <w:rPr>
          <w:spacing w:val="-2"/>
        </w:rPr>
        <w:t xml:space="preserve"> with DIBELS and </w:t>
      </w:r>
      <w:r w:rsidR="00CD5F7C" w:rsidRPr="008C1E5F">
        <w:rPr>
          <w:spacing w:val="-2"/>
        </w:rPr>
        <w:t xml:space="preserve">the Quick Phonics Screener </w:t>
      </w:r>
      <w:r w:rsidR="00093DA0" w:rsidRPr="008C1E5F">
        <w:rPr>
          <w:spacing w:val="-2"/>
        </w:rPr>
        <w:t xml:space="preserve">as needed to determine which students needed Tier 2 or </w:t>
      </w:r>
      <w:r w:rsidR="00836F39" w:rsidRPr="008C1E5F">
        <w:rPr>
          <w:spacing w:val="-2"/>
        </w:rPr>
        <w:t xml:space="preserve">Tier </w:t>
      </w:r>
      <w:r w:rsidR="00093DA0" w:rsidRPr="008C1E5F">
        <w:rPr>
          <w:spacing w:val="-2"/>
        </w:rPr>
        <w:t xml:space="preserve">3 </w:t>
      </w:r>
      <w:r w:rsidR="00ED103A" w:rsidRPr="008C1E5F">
        <w:rPr>
          <w:spacing w:val="-2"/>
        </w:rPr>
        <w:t xml:space="preserve">literacy </w:t>
      </w:r>
      <w:r w:rsidR="00093DA0" w:rsidRPr="008C1E5F">
        <w:rPr>
          <w:spacing w:val="-2"/>
        </w:rPr>
        <w:t>interventions.</w:t>
      </w:r>
      <w:r w:rsidR="00904E75" w:rsidRPr="008C1E5F">
        <w:rPr>
          <w:spacing w:val="-2"/>
        </w:rPr>
        <w:t xml:space="preserve"> </w:t>
      </w:r>
      <w:r w:rsidR="00AA539B" w:rsidRPr="008C1E5F">
        <w:rPr>
          <w:spacing w:val="-2"/>
        </w:rPr>
        <w:t>For math</w:t>
      </w:r>
      <w:r w:rsidR="00836F39" w:rsidRPr="008C1E5F">
        <w:rPr>
          <w:spacing w:val="-2"/>
        </w:rPr>
        <w:t>ematics</w:t>
      </w:r>
      <w:r w:rsidR="00AA539B" w:rsidRPr="008C1E5F">
        <w:rPr>
          <w:spacing w:val="-2"/>
        </w:rPr>
        <w:t xml:space="preserve">, </w:t>
      </w:r>
      <w:r w:rsidR="00904E75" w:rsidRPr="008C1E5F">
        <w:rPr>
          <w:spacing w:val="-2"/>
        </w:rPr>
        <w:t>i</w:t>
      </w:r>
      <w:r w:rsidR="00BD62F1" w:rsidRPr="008C1E5F">
        <w:rPr>
          <w:spacing w:val="-2"/>
        </w:rPr>
        <w:t>-</w:t>
      </w:r>
      <w:r w:rsidR="00904E75" w:rsidRPr="008C1E5F">
        <w:rPr>
          <w:spacing w:val="-2"/>
        </w:rPr>
        <w:t>Ready</w:t>
      </w:r>
      <w:r w:rsidR="00AA539B" w:rsidRPr="008C1E5F">
        <w:rPr>
          <w:spacing w:val="-2"/>
        </w:rPr>
        <w:t xml:space="preserve"> is used </w:t>
      </w:r>
      <w:r w:rsidR="00CC13AC" w:rsidRPr="008C1E5F">
        <w:rPr>
          <w:spacing w:val="-2"/>
        </w:rPr>
        <w:t>for</w:t>
      </w:r>
      <w:r w:rsidR="00AA539B" w:rsidRPr="008C1E5F">
        <w:rPr>
          <w:spacing w:val="-2"/>
        </w:rPr>
        <w:t xml:space="preserve"> screening </w:t>
      </w:r>
      <w:r w:rsidR="00CC13AC" w:rsidRPr="008C1E5F">
        <w:rPr>
          <w:spacing w:val="-2"/>
        </w:rPr>
        <w:t>at elementary and middle school level</w:t>
      </w:r>
      <w:r w:rsidR="00836F39" w:rsidRPr="008C1E5F">
        <w:rPr>
          <w:spacing w:val="-2"/>
        </w:rPr>
        <w:t>s</w:t>
      </w:r>
      <w:r w:rsidR="00CD0FAB" w:rsidRPr="008C1E5F">
        <w:rPr>
          <w:spacing w:val="-2"/>
        </w:rPr>
        <w:t>.</w:t>
      </w:r>
    </w:p>
    <w:p w14:paraId="41101873" w14:textId="0795DD57" w:rsidR="005A55CB" w:rsidRPr="008C1E5F" w:rsidRDefault="004B4B7B" w:rsidP="00455FDE">
      <w:pPr>
        <w:pStyle w:val="BodyText"/>
      </w:pPr>
      <w:r w:rsidRPr="008C1E5F">
        <w:t xml:space="preserve">All </w:t>
      </w:r>
      <w:r w:rsidR="00164322" w:rsidRPr="008C1E5F">
        <w:t xml:space="preserve">elementary schools report having dedicated time </w:t>
      </w:r>
      <w:r w:rsidR="003C26AE" w:rsidRPr="008C1E5F">
        <w:t xml:space="preserve">for interventions, whether through a separate intervention block (called What I Need </w:t>
      </w:r>
      <w:r w:rsidR="00836F39" w:rsidRPr="008C1E5F">
        <w:t>[</w:t>
      </w:r>
      <w:r w:rsidR="003C26AE" w:rsidRPr="008C1E5F">
        <w:t>WIN</w:t>
      </w:r>
      <w:r w:rsidR="00836F39" w:rsidRPr="008C1E5F">
        <w:t>]</w:t>
      </w:r>
      <w:r w:rsidR="003C26AE" w:rsidRPr="008C1E5F">
        <w:t xml:space="preserve">) or </w:t>
      </w:r>
      <w:r w:rsidR="005524D8" w:rsidRPr="008C1E5F">
        <w:t xml:space="preserve">extra time for interventions </w:t>
      </w:r>
      <w:r w:rsidR="00F671A3" w:rsidRPr="008C1E5F">
        <w:t>allocated in their core blocks.</w:t>
      </w:r>
      <w:r w:rsidR="003C26AE" w:rsidRPr="008C1E5F">
        <w:t xml:space="preserve"> </w:t>
      </w:r>
      <w:r w:rsidR="00862536" w:rsidRPr="008C1E5F">
        <w:t xml:space="preserve">At the middle school level, there is also dedicated time </w:t>
      </w:r>
      <w:r w:rsidR="00855E64" w:rsidRPr="008C1E5F">
        <w:t>for</w:t>
      </w:r>
      <w:r w:rsidR="00862536" w:rsidRPr="008C1E5F">
        <w:t xml:space="preserve"> interventions, either during a WIN Block</w:t>
      </w:r>
      <w:r w:rsidR="002727C7" w:rsidRPr="008C1E5F">
        <w:t xml:space="preserve"> or</w:t>
      </w:r>
      <w:r w:rsidR="00862536" w:rsidRPr="008C1E5F">
        <w:t xml:space="preserve"> Skills </w:t>
      </w:r>
      <w:r w:rsidR="002727C7" w:rsidRPr="008C1E5F">
        <w:t xml:space="preserve">or Strategies </w:t>
      </w:r>
      <w:r w:rsidR="005E0056" w:rsidRPr="008C1E5F">
        <w:t>Block</w:t>
      </w:r>
      <w:r w:rsidR="00927C6A" w:rsidRPr="008C1E5F">
        <w:t xml:space="preserve"> (the </w:t>
      </w:r>
      <w:r w:rsidR="00E9054D" w:rsidRPr="008C1E5F">
        <w:t>name varies by school)</w:t>
      </w:r>
      <w:r w:rsidR="005E0056" w:rsidRPr="008C1E5F">
        <w:t xml:space="preserve">. </w:t>
      </w:r>
      <w:r w:rsidR="007E37F7" w:rsidRPr="008C1E5F">
        <w:t>During this time,</w:t>
      </w:r>
      <w:r w:rsidR="005A55CB" w:rsidRPr="008C1E5F">
        <w:t xml:space="preserve"> </w:t>
      </w:r>
      <w:r w:rsidR="000F0132" w:rsidRPr="008C1E5F">
        <w:t>extra supports are provided</w:t>
      </w:r>
      <w:r w:rsidR="007E37F7" w:rsidRPr="008C1E5F">
        <w:t xml:space="preserve"> based on student need through</w:t>
      </w:r>
      <w:r w:rsidR="000F0132" w:rsidRPr="008C1E5F">
        <w:t xml:space="preserve"> small groups, push-in, or pull-out.</w:t>
      </w:r>
      <w:r w:rsidR="00492E7B" w:rsidRPr="008C1E5F">
        <w:t xml:space="preserve"> </w:t>
      </w:r>
      <w:r w:rsidR="003978C5" w:rsidRPr="008C1E5F">
        <w:t>Th</w:t>
      </w:r>
      <w:r w:rsidR="003264F1" w:rsidRPr="008C1E5F">
        <w:t xml:space="preserve">e </w:t>
      </w:r>
      <w:r w:rsidR="00492E7B" w:rsidRPr="008C1E5F">
        <w:t xml:space="preserve">high school </w:t>
      </w:r>
      <w:r w:rsidR="003978C5" w:rsidRPr="008C1E5F">
        <w:t xml:space="preserve">also </w:t>
      </w:r>
      <w:r w:rsidR="00FE5A19" w:rsidRPr="008C1E5F">
        <w:t>has</w:t>
      </w:r>
      <w:r w:rsidR="003978C5" w:rsidRPr="008C1E5F">
        <w:t xml:space="preserve"> </w:t>
      </w:r>
      <w:r w:rsidR="003978C5" w:rsidRPr="008C1E5F">
        <w:lastRenderedPageBreak/>
        <w:t>a WIN</w:t>
      </w:r>
      <w:r w:rsidR="00774312" w:rsidRPr="008C1E5F">
        <w:t xml:space="preserve"> intervention block</w:t>
      </w:r>
      <w:r w:rsidR="00FD3267" w:rsidRPr="008C1E5F">
        <w:t xml:space="preserve"> for ELA support</w:t>
      </w:r>
      <w:r w:rsidR="00FE5A19" w:rsidRPr="008C1E5F">
        <w:t xml:space="preserve"> </w:t>
      </w:r>
      <w:r w:rsidR="00552297" w:rsidRPr="008C1E5F">
        <w:t xml:space="preserve">and advisory, </w:t>
      </w:r>
      <w:r w:rsidR="00FE5A19" w:rsidRPr="008C1E5F">
        <w:t>and</w:t>
      </w:r>
      <w:r w:rsidR="00A93468" w:rsidRPr="008C1E5F">
        <w:t xml:space="preserve"> </w:t>
      </w:r>
      <w:r w:rsidR="00C8584F" w:rsidRPr="008C1E5F">
        <w:t xml:space="preserve">school support staff report that they provide </w:t>
      </w:r>
      <w:r w:rsidR="00836F39" w:rsidRPr="008C1E5F">
        <w:t>social-emotional learning (</w:t>
      </w:r>
      <w:r w:rsidR="00C8584F" w:rsidRPr="008C1E5F">
        <w:t>SEL</w:t>
      </w:r>
      <w:r w:rsidR="00836F39" w:rsidRPr="008C1E5F">
        <w:t>)</w:t>
      </w:r>
      <w:r w:rsidR="00C8584F" w:rsidRPr="008C1E5F">
        <w:t xml:space="preserve"> supports</w:t>
      </w:r>
      <w:r w:rsidR="00FD3267" w:rsidRPr="008C1E5F">
        <w:t xml:space="preserve"> during the advisory time</w:t>
      </w:r>
      <w:r w:rsidR="000626F4" w:rsidRPr="008C1E5F">
        <w:t>. T</w:t>
      </w:r>
      <w:r w:rsidR="00774312" w:rsidRPr="008C1E5F">
        <w:t>here are</w:t>
      </w:r>
      <w:r w:rsidR="00FE5A19" w:rsidRPr="008C1E5F">
        <w:t xml:space="preserve"> also</w:t>
      </w:r>
      <w:r w:rsidR="00803F68" w:rsidRPr="008C1E5F">
        <w:t xml:space="preserve"> multiple </w:t>
      </w:r>
      <w:r w:rsidR="00942800" w:rsidRPr="008C1E5F">
        <w:t xml:space="preserve">credit recovery </w:t>
      </w:r>
      <w:r w:rsidR="00803F68" w:rsidRPr="008C1E5F">
        <w:t>pathways</w:t>
      </w:r>
      <w:r w:rsidR="003B0E30" w:rsidRPr="008C1E5F">
        <w:t xml:space="preserve"> once a student fail</w:t>
      </w:r>
      <w:r w:rsidR="00836F39" w:rsidRPr="008C1E5F">
        <w:t>s</w:t>
      </w:r>
      <w:r w:rsidR="003B0E30" w:rsidRPr="008C1E5F">
        <w:t xml:space="preserve"> a class</w:t>
      </w:r>
      <w:r w:rsidR="00803F68" w:rsidRPr="008C1E5F">
        <w:t xml:space="preserve">, including both in-school supports and an online </w:t>
      </w:r>
      <w:r w:rsidR="00942800" w:rsidRPr="008C1E5F">
        <w:t>course called Imagine</w:t>
      </w:r>
      <w:r w:rsidR="003F48AC" w:rsidRPr="008C1E5F">
        <w:t>.</w:t>
      </w:r>
      <w:r w:rsidR="00CD7118" w:rsidRPr="008C1E5F">
        <w:t xml:space="preserve"> </w:t>
      </w:r>
      <w:r w:rsidR="004E2596" w:rsidRPr="008C1E5F">
        <w:t xml:space="preserve">Having dedicated time during the school day at each building to provide students with interventions and supports is a strength of the district. </w:t>
      </w:r>
    </w:p>
    <w:p w14:paraId="6CAAB64B" w14:textId="1B59148C" w:rsidR="00C8259E" w:rsidRPr="008C1E5F" w:rsidRDefault="00604BA3" w:rsidP="00455FDE">
      <w:pPr>
        <w:pStyle w:val="BodyText"/>
      </w:pPr>
      <w:r w:rsidRPr="008C1E5F">
        <w:t xml:space="preserve">The superintendent stated that the </w:t>
      </w:r>
      <w:r w:rsidR="00A049FB" w:rsidRPr="008C1E5F">
        <w:t xml:space="preserve">district </w:t>
      </w:r>
      <w:r w:rsidR="009764B4" w:rsidRPr="008C1E5F">
        <w:t>has made an intentional effort to focus on serving marginalized students</w:t>
      </w:r>
      <w:r w:rsidR="00C8259E" w:rsidRPr="008C1E5F">
        <w:t>:</w:t>
      </w:r>
    </w:p>
    <w:p w14:paraId="3CEB1FA5" w14:textId="5C038E1B" w:rsidR="00C8259E" w:rsidRPr="008C1E5F" w:rsidRDefault="00C8259E" w:rsidP="00455FDE">
      <w:pPr>
        <w:pStyle w:val="BlockQuote"/>
      </w:pPr>
      <w:r w:rsidRPr="008C1E5F">
        <w:t>F</w:t>
      </w:r>
      <w:r w:rsidR="00C241EA" w:rsidRPr="008C1E5F">
        <w:t xml:space="preserve">or years, we would literally say </w:t>
      </w:r>
      <w:r w:rsidR="00836F39" w:rsidRPr="008C1E5F">
        <w:t>“</w:t>
      </w:r>
      <w:r w:rsidR="00C241EA" w:rsidRPr="008C1E5F">
        <w:t>all students</w:t>
      </w:r>
      <w:r w:rsidR="00836F39" w:rsidRPr="008C1E5F">
        <w:t>.”..</w:t>
      </w:r>
      <w:r w:rsidR="00221B32" w:rsidRPr="008C1E5F">
        <w:t>.</w:t>
      </w:r>
      <w:r w:rsidR="00C241EA" w:rsidRPr="008C1E5F">
        <w:t xml:space="preserve"> And th</w:t>
      </w:r>
      <w:r w:rsidR="00221B32" w:rsidRPr="008C1E5F">
        <w:t xml:space="preserve">en we </w:t>
      </w:r>
      <w:r w:rsidR="003D6F17" w:rsidRPr="008C1E5F">
        <w:t>[realized that] when we say all, we mean none, because we are not focusing our energy anywhere.</w:t>
      </w:r>
      <w:r w:rsidR="00A62CAB" w:rsidRPr="008C1E5F">
        <w:t xml:space="preserve"> [</w:t>
      </w:r>
      <w:r w:rsidR="00B34EB2" w:rsidRPr="008C1E5F">
        <w:t xml:space="preserve">That </w:t>
      </w:r>
      <w:r w:rsidR="003A3DD7" w:rsidRPr="008C1E5F">
        <w:t>realization</w:t>
      </w:r>
      <w:r w:rsidR="00B34EB2" w:rsidRPr="008C1E5F">
        <w:t xml:space="preserve">] got us to a place </w:t>
      </w:r>
      <w:r w:rsidR="00831747" w:rsidRPr="008C1E5F">
        <w:t xml:space="preserve">where we were calling out specific subgroups and saying </w:t>
      </w:r>
      <w:r w:rsidR="0032049D" w:rsidRPr="008C1E5F">
        <w:t xml:space="preserve">that </w:t>
      </w:r>
      <w:r w:rsidR="00831747" w:rsidRPr="008C1E5F">
        <w:t>out loud</w:t>
      </w:r>
      <w:r w:rsidR="00836F39" w:rsidRPr="008C1E5F">
        <w:t>.</w:t>
      </w:r>
      <w:r w:rsidR="00A70A7A" w:rsidRPr="008C1E5F">
        <w:t xml:space="preserve">… </w:t>
      </w:r>
      <w:r w:rsidR="00462329" w:rsidRPr="008C1E5F">
        <w:t>That’s such a big move, and…[it’s</w:t>
      </w:r>
      <w:r w:rsidR="004F315F" w:rsidRPr="008C1E5F">
        <w:t>] where our commitment is.</w:t>
      </w:r>
    </w:p>
    <w:p w14:paraId="530A2894" w14:textId="027452DF" w:rsidR="004A4F11" w:rsidRPr="008C1E5F" w:rsidRDefault="000A43A3" w:rsidP="00455FDE">
      <w:pPr>
        <w:pStyle w:val="BodyText"/>
        <w:rPr>
          <w:b/>
          <w:spacing w:val="-4"/>
        </w:rPr>
      </w:pPr>
      <w:r w:rsidRPr="008C1E5F">
        <w:rPr>
          <w:spacing w:val="-4"/>
        </w:rPr>
        <w:t>Fall Ri</w:t>
      </w:r>
      <w:r w:rsidR="00EC5578" w:rsidRPr="008C1E5F">
        <w:rPr>
          <w:spacing w:val="-4"/>
        </w:rPr>
        <w:t>v</w:t>
      </w:r>
      <w:r w:rsidRPr="008C1E5F">
        <w:rPr>
          <w:spacing w:val="-4"/>
        </w:rPr>
        <w:t xml:space="preserve">er’s Student Opportunity Act Plan for 2024 </w:t>
      </w:r>
      <w:r w:rsidR="00374904" w:rsidRPr="008C1E5F">
        <w:rPr>
          <w:spacing w:val="-4"/>
        </w:rPr>
        <w:t xml:space="preserve">and </w:t>
      </w:r>
      <w:r w:rsidR="00D17DD7" w:rsidRPr="008C1E5F">
        <w:rPr>
          <w:rFonts w:eastAsia="Aptos" w:cs="Aptos"/>
          <w:color w:val="242424"/>
          <w:spacing w:val="-4"/>
        </w:rPr>
        <w:t>District Instructional Prioritization Plan</w:t>
      </w:r>
      <w:r w:rsidR="00D17DD7" w:rsidRPr="008C1E5F">
        <w:rPr>
          <w:spacing w:val="-4"/>
        </w:rPr>
        <w:t xml:space="preserve"> </w:t>
      </w:r>
      <w:r w:rsidR="00374904" w:rsidRPr="008C1E5F">
        <w:rPr>
          <w:spacing w:val="-4"/>
        </w:rPr>
        <w:t>both focus</w:t>
      </w:r>
      <w:r w:rsidRPr="008C1E5F">
        <w:rPr>
          <w:spacing w:val="-4"/>
        </w:rPr>
        <w:t xml:space="preserve"> on </w:t>
      </w:r>
      <w:r w:rsidR="00CB16AA">
        <w:rPr>
          <w:spacing w:val="-4"/>
        </w:rPr>
        <w:t>English Learners</w:t>
      </w:r>
      <w:r w:rsidR="00CB16AA" w:rsidRPr="008C1E5F">
        <w:rPr>
          <w:spacing w:val="-4"/>
        </w:rPr>
        <w:t xml:space="preserve"> </w:t>
      </w:r>
      <w:r w:rsidRPr="008C1E5F">
        <w:rPr>
          <w:spacing w:val="-4"/>
        </w:rPr>
        <w:t xml:space="preserve">and </w:t>
      </w:r>
      <w:r w:rsidR="00930F79">
        <w:rPr>
          <w:spacing w:val="-4"/>
        </w:rPr>
        <w:t>S</w:t>
      </w:r>
      <w:r w:rsidR="00CB16AA">
        <w:rPr>
          <w:spacing w:val="-4"/>
        </w:rPr>
        <w:t xml:space="preserve">tudents with </w:t>
      </w:r>
      <w:r w:rsidR="00930F79">
        <w:rPr>
          <w:spacing w:val="-4"/>
        </w:rPr>
        <w:t>D</w:t>
      </w:r>
      <w:r w:rsidR="00CB16AA">
        <w:rPr>
          <w:spacing w:val="-4"/>
        </w:rPr>
        <w:t>isabilities</w:t>
      </w:r>
      <w:r w:rsidRPr="008C1E5F">
        <w:rPr>
          <w:spacing w:val="-4"/>
        </w:rPr>
        <w:t>.</w:t>
      </w:r>
      <w:r w:rsidR="001923B5" w:rsidRPr="008C1E5F">
        <w:rPr>
          <w:spacing w:val="-4"/>
        </w:rPr>
        <w:t xml:space="preserve"> However, teachers across the district reported </w:t>
      </w:r>
      <w:r w:rsidR="00C55A9F" w:rsidRPr="008C1E5F">
        <w:rPr>
          <w:spacing w:val="-4"/>
        </w:rPr>
        <w:t xml:space="preserve">challenges with </w:t>
      </w:r>
      <w:r w:rsidR="001923B5" w:rsidRPr="008C1E5F">
        <w:rPr>
          <w:spacing w:val="-4"/>
        </w:rPr>
        <w:t xml:space="preserve">the curriculum materials </w:t>
      </w:r>
      <w:r w:rsidR="00C55A9F" w:rsidRPr="008C1E5F">
        <w:rPr>
          <w:spacing w:val="-4"/>
        </w:rPr>
        <w:t>for both populations</w:t>
      </w:r>
      <w:r w:rsidR="001923B5" w:rsidRPr="008C1E5F">
        <w:rPr>
          <w:spacing w:val="-4"/>
        </w:rPr>
        <w:t>.</w:t>
      </w:r>
      <w:r w:rsidR="003B4FA7" w:rsidRPr="008C1E5F">
        <w:rPr>
          <w:spacing w:val="-4"/>
        </w:rPr>
        <w:t xml:space="preserve"> </w:t>
      </w:r>
      <w:r w:rsidR="0001789A" w:rsidRPr="008C1E5F">
        <w:rPr>
          <w:spacing w:val="-4"/>
        </w:rPr>
        <w:t>For example, at the middle school</w:t>
      </w:r>
      <w:r w:rsidR="00836F39" w:rsidRPr="008C1E5F">
        <w:rPr>
          <w:spacing w:val="-4"/>
        </w:rPr>
        <w:t xml:space="preserve"> </w:t>
      </w:r>
      <w:r w:rsidR="0001789A" w:rsidRPr="008C1E5F">
        <w:rPr>
          <w:spacing w:val="-4"/>
        </w:rPr>
        <w:t xml:space="preserve">level, teachers </w:t>
      </w:r>
      <w:r w:rsidR="004A4F11" w:rsidRPr="008C1E5F">
        <w:rPr>
          <w:spacing w:val="-4"/>
        </w:rPr>
        <w:t xml:space="preserve">described how curricular materials </w:t>
      </w:r>
      <w:r w:rsidR="008562A1" w:rsidRPr="008C1E5F">
        <w:rPr>
          <w:spacing w:val="-4"/>
        </w:rPr>
        <w:t>are predominantly virtual, with few options for paper</w:t>
      </w:r>
      <w:r w:rsidR="00836F39" w:rsidRPr="008C1E5F">
        <w:rPr>
          <w:spacing w:val="-4"/>
        </w:rPr>
        <w:t xml:space="preserve"> and </w:t>
      </w:r>
      <w:r w:rsidR="008562A1" w:rsidRPr="008C1E5F">
        <w:rPr>
          <w:spacing w:val="-4"/>
        </w:rPr>
        <w:t>pencil</w:t>
      </w:r>
      <w:r w:rsidR="00836F39" w:rsidRPr="008C1E5F">
        <w:rPr>
          <w:spacing w:val="-4"/>
        </w:rPr>
        <w:t>,</w:t>
      </w:r>
      <w:r w:rsidR="008562A1" w:rsidRPr="008C1E5F">
        <w:rPr>
          <w:spacing w:val="-4"/>
        </w:rPr>
        <w:t xml:space="preserve"> which would be easier for</w:t>
      </w:r>
      <w:r w:rsidR="00F807DD">
        <w:rPr>
          <w:spacing w:val="-4"/>
        </w:rPr>
        <w:t xml:space="preserve"> some</w:t>
      </w:r>
      <w:r w:rsidR="008562A1" w:rsidRPr="008C1E5F">
        <w:rPr>
          <w:spacing w:val="-4"/>
        </w:rPr>
        <w:t xml:space="preserve"> </w:t>
      </w:r>
      <w:r w:rsidR="00CB16AA">
        <w:rPr>
          <w:spacing w:val="-4"/>
        </w:rPr>
        <w:t>English Learners</w:t>
      </w:r>
      <w:r w:rsidR="00CB16AA" w:rsidRPr="008C1E5F">
        <w:rPr>
          <w:spacing w:val="-4"/>
        </w:rPr>
        <w:t xml:space="preserve"> </w:t>
      </w:r>
      <w:r w:rsidR="008562A1" w:rsidRPr="008C1E5F">
        <w:rPr>
          <w:spacing w:val="-4"/>
        </w:rPr>
        <w:t xml:space="preserve">and </w:t>
      </w:r>
      <w:r w:rsidR="00045FF5">
        <w:rPr>
          <w:spacing w:val="-4"/>
        </w:rPr>
        <w:t>Students with Disabilities</w:t>
      </w:r>
      <w:r w:rsidR="00045FF5" w:rsidRPr="008C1E5F">
        <w:rPr>
          <w:spacing w:val="-4"/>
        </w:rPr>
        <w:t xml:space="preserve"> </w:t>
      </w:r>
      <w:r w:rsidR="00C55A9F" w:rsidRPr="008C1E5F">
        <w:rPr>
          <w:spacing w:val="-4"/>
        </w:rPr>
        <w:t>to access</w:t>
      </w:r>
      <w:r w:rsidR="008562A1" w:rsidRPr="008C1E5F">
        <w:rPr>
          <w:spacing w:val="-4"/>
        </w:rPr>
        <w:t xml:space="preserve">. </w:t>
      </w:r>
      <w:r w:rsidR="00CA175A" w:rsidRPr="008C1E5F">
        <w:rPr>
          <w:spacing w:val="-4"/>
        </w:rPr>
        <w:t xml:space="preserve">They also </w:t>
      </w:r>
      <w:r w:rsidR="00C55A9F" w:rsidRPr="008C1E5F">
        <w:rPr>
          <w:spacing w:val="-4"/>
        </w:rPr>
        <w:t>described</w:t>
      </w:r>
      <w:r w:rsidR="00CA175A" w:rsidRPr="008C1E5F">
        <w:rPr>
          <w:spacing w:val="-4"/>
        </w:rPr>
        <w:t xml:space="preserve"> </w:t>
      </w:r>
      <w:r w:rsidR="004C664F" w:rsidRPr="008C1E5F">
        <w:rPr>
          <w:spacing w:val="-4"/>
        </w:rPr>
        <w:t xml:space="preserve">challenges with modifying the curriculum to meet the needs of </w:t>
      </w:r>
      <w:r w:rsidR="00045FF5">
        <w:rPr>
          <w:spacing w:val="-4"/>
        </w:rPr>
        <w:t>Students with Disabilities</w:t>
      </w:r>
      <w:r w:rsidR="004C664F" w:rsidRPr="008C1E5F">
        <w:rPr>
          <w:spacing w:val="-4"/>
        </w:rPr>
        <w:t xml:space="preserve">, </w:t>
      </w:r>
      <w:r w:rsidR="00836F39" w:rsidRPr="008C1E5F">
        <w:rPr>
          <w:spacing w:val="-4"/>
        </w:rPr>
        <w:t xml:space="preserve">with one teacher </w:t>
      </w:r>
      <w:r w:rsidR="004C664F" w:rsidRPr="008C1E5F">
        <w:rPr>
          <w:spacing w:val="-4"/>
        </w:rPr>
        <w:t>summarizing, “</w:t>
      </w:r>
      <w:r w:rsidR="00836F39" w:rsidRPr="008C1E5F">
        <w:rPr>
          <w:spacing w:val="-4"/>
        </w:rPr>
        <w:t>Y</w:t>
      </w:r>
      <w:r w:rsidR="004C664F" w:rsidRPr="008C1E5F">
        <w:rPr>
          <w:spacing w:val="-4"/>
        </w:rPr>
        <w:t>ou can</w:t>
      </w:r>
      <w:r w:rsidR="00836F39" w:rsidRPr="008C1E5F">
        <w:rPr>
          <w:spacing w:val="-4"/>
        </w:rPr>
        <w:t>’</w:t>
      </w:r>
      <w:r w:rsidR="004C664F" w:rsidRPr="008C1E5F">
        <w:rPr>
          <w:spacing w:val="-4"/>
        </w:rPr>
        <w:t>t modify Carnegie</w:t>
      </w:r>
      <w:r w:rsidR="006854E5" w:rsidRPr="008C1E5F">
        <w:rPr>
          <w:spacing w:val="-4"/>
        </w:rPr>
        <w:t xml:space="preserve"> [</w:t>
      </w:r>
      <w:r w:rsidR="00116161" w:rsidRPr="008C1E5F">
        <w:rPr>
          <w:spacing w:val="-4"/>
        </w:rPr>
        <w:t>math program</w:t>
      </w:r>
      <w:r w:rsidR="006854E5" w:rsidRPr="008C1E5F">
        <w:rPr>
          <w:spacing w:val="-4"/>
        </w:rPr>
        <w:t>]</w:t>
      </w:r>
      <w:r w:rsidR="004C664F" w:rsidRPr="008C1E5F">
        <w:rPr>
          <w:spacing w:val="-4"/>
        </w:rPr>
        <w:t xml:space="preserve"> in an appropriate way for these students.” </w:t>
      </w:r>
    </w:p>
    <w:p w14:paraId="111510C1" w14:textId="01EB3EBA" w:rsidR="00E37F16" w:rsidRPr="008C1E5F" w:rsidRDefault="007A2CB8" w:rsidP="00455FDE">
      <w:pPr>
        <w:pStyle w:val="BodyText"/>
      </w:pPr>
      <w:r w:rsidRPr="008C1E5F">
        <w:t xml:space="preserve">The district </w:t>
      </w:r>
      <w:r w:rsidR="00C00E4B" w:rsidRPr="008C1E5F">
        <w:t xml:space="preserve">is working </w:t>
      </w:r>
      <w:r w:rsidR="00C411C6" w:rsidRPr="008C1E5F">
        <w:t xml:space="preserve">to improve </w:t>
      </w:r>
      <w:r w:rsidR="00E342E7" w:rsidRPr="008C1E5F">
        <w:t xml:space="preserve">access to needed services for </w:t>
      </w:r>
      <w:r w:rsidR="00CB16AA">
        <w:t>English Learners</w:t>
      </w:r>
      <w:r w:rsidR="00CB16AA" w:rsidRPr="008C1E5F">
        <w:t xml:space="preserve"> </w:t>
      </w:r>
      <w:r w:rsidRPr="008C1E5F">
        <w:t xml:space="preserve">and </w:t>
      </w:r>
      <w:r w:rsidR="00045FF5">
        <w:rPr>
          <w:spacing w:val="-4"/>
        </w:rPr>
        <w:t>Students with Disabilities</w:t>
      </w:r>
      <w:r w:rsidR="002A3F7F" w:rsidRPr="008C1E5F">
        <w:t xml:space="preserve">, although </w:t>
      </w:r>
      <w:r w:rsidR="00B7047B" w:rsidRPr="008C1E5F">
        <w:t>district staff identified several challenges</w:t>
      </w:r>
      <w:r w:rsidR="00E342E7" w:rsidRPr="008C1E5F">
        <w:t>.</w:t>
      </w:r>
      <w:r w:rsidRPr="008C1E5F">
        <w:t xml:space="preserve"> </w:t>
      </w:r>
      <w:r w:rsidR="00CB6C4B" w:rsidRPr="008C1E5F">
        <w:t xml:space="preserve">District staff reported that </w:t>
      </w:r>
      <w:r w:rsidR="00B37C9A" w:rsidRPr="008C1E5F">
        <w:t>this year</w:t>
      </w:r>
      <w:r w:rsidR="008C49DE">
        <w:t>,</w:t>
      </w:r>
      <w:r w:rsidR="00B37C9A" w:rsidRPr="008C1E5F">
        <w:t xml:space="preserve"> they transitioned</w:t>
      </w:r>
      <w:r w:rsidR="009C40A6" w:rsidRPr="008C1E5F">
        <w:t xml:space="preserve"> to fully inclusive </w:t>
      </w:r>
      <w:r w:rsidR="00D12592" w:rsidRPr="008C1E5F">
        <w:t>kindergarten classroom</w:t>
      </w:r>
      <w:r w:rsidR="00B37C9A" w:rsidRPr="008C1E5F">
        <w:t>s</w:t>
      </w:r>
      <w:r w:rsidR="00D12592" w:rsidRPr="008C1E5F">
        <w:t xml:space="preserve"> </w:t>
      </w:r>
      <w:r w:rsidR="00E04599" w:rsidRPr="008C1E5F">
        <w:t xml:space="preserve">for </w:t>
      </w:r>
      <w:r w:rsidR="00045FF5">
        <w:rPr>
          <w:spacing w:val="-4"/>
        </w:rPr>
        <w:t>Students with Disabilities</w:t>
      </w:r>
      <w:r w:rsidR="00045FF5" w:rsidRPr="008C1E5F">
        <w:t xml:space="preserve"> </w:t>
      </w:r>
      <w:r w:rsidR="00AD4944" w:rsidRPr="008C1E5F">
        <w:t xml:space="preserve">and </w:t>
      </w:r>
      <w:r w:rsidR="00CB16AA">
        <w:t>English Learners</w:t>
      </w:r>
      <w:r w:rsidR="002E2CCF" w:rsidRPr="008C1E5F">
        <w:t xml:space="preserve">, expanding on the already fully </w:t>
      </w:r>
      <w:r w:rsidR="00133854" w:rsidRPr="008C1E5F">
        <w:t>inclusive</w:t>
      </w:r>
      <w:r w:rsidR="002E2CCF" w:rsidRPr="008C1E5F">
        <w:t xml:space="preserve"> pre</w:t>
      </w:r>
      <w:r w:rsidR="00133854" w:rsidRPr="008C1E5F">
        <w:t>kindergarten</w:t>
      </w:r>
      <w:r w:rsidR="002E2CCF" w:rsidRPr="008C1E5F">
        <w:t xml:space="preserve"> classrooms</w:t>
      </w:r>
      <w:r w:rsidR="00D12592" w:rsidRPr="008C1E5F">
        <w:t>.</w:t>
      </w:r>
      <w:r w:rsidR="0002420E" w:rsidRPr="008C1E5F">
        <w:t xml:space="preserve"> </w:t>
      </w:r>
      <w:r w:rsidR="00EF6EB0" w:rsidRPr="008C1E5F">
        <w:t xml:space="preserve">Teachers expressed concern about this plan at first, but district staff said that the response has </w:t>
      </w:r>
      <w:r w:rsidR="009A4591" w:rsidRPr="008C1E5F">
        <w:t>been very positive overall</w:t>
      </w:r>
      <w:r w:rsidR="00EF6EB0" w:rsidRPr="008C1E5F">
        <w:t>.</w:t>
      </w:r>
      <w:r w:rsidR="00E04599" w:rsidRPr="008C1E5F">
        <w:t xml:space="preserve"> </w:t>
      </w:r>
      <w:r w:rsidR="00AD4944" w:rsidRPr="008C1E5F">
        <w:t>Fall River is a member of the Students with Limited or Interrupted Formal Education</w:t>
      </w:r>
      <w:r w:rsidR="00990F3A" w:rsidRPr="008C1E5F">
        <w:t xml:space="preserve"> (SLIFE) </w:t>
      </w:r>
      <w:r w:rsidR="005A5B55" w:rsidRPr="008C1E5F">
        <w:t>C</w:t>
      </w:r>
      <w:r w:rsidR="00990F3A" w:rsidRPr="008C1E5F">
        <w:t xml:space="preserve">ommunity of </w:t>
      </w:r>
      <w:r w:rsidR="005A5B55" w:rsidRPr="008C1E5F">
        <w:t>P</w:t>
      </w:r>
      <w:r w:rsidR="00990F3A" w:rsidRPr="008C1E5F">
        <w:t>ractice</w:t>
      </w:r>
      <w:r w:rsidR="005A5B55" w:rsidRPr="008C1E5F">
        <w:t xml:space="preserve"> through DESE</w:t>
      </w:r>
      <w:r w:rsidR="00990F3A" w:rsidRPr="008C1E5F">
        <w:t>, which provides</w:t>
      </w:r>
      <w:r w:rsidR="00566FA3" w:rsidRPr="008C1E5F">
        <w:t xml:space="preserve"> educators from across the state with </w:t>
      </w:r>
      <w:r w:rsidR="000101E0" w:rsidRPr="008C1E5F">
        <w:t xml:space="preserve">opportunities to collaborate, share best practices, and engage in professional learning about meeting the needs of </w:t>
      </w:r>
      <w:r w:rsidR="00990F3A" w:rsidRPr="008C1E5F">
        <w:t>newcomer</w:t>
      </w:r>
      <w:r w:rsidR="00935BB3" w:rsidRPr="008C1E5F">
        <w:t xml:space="preserve"> students who experienced interrupted schooling in their home countries</w:t>
      </w:r>
      <w:r w:rsidR="00070C45" w:rsidRPr="008C1E5F">
        <w:t xml:space="preserve">. </w:t>
      </w:r>
      <w:r w:rsidR="007266FF" w:rsidRPr="008C1E5F">
        <w:t xml:space="preserve">District staff said that their </w:t>
      </w:r>
      <w:r w:rsidR="009A3FF6" w:rsidRPr="008C1E5F">
        <w:t>ML</w:t>
      </w:r>
      <w:r w:rsidR="007266FF" w:rsidRPr="008C1E5F">
        <w:t xml:space="preserve"> population </w:t>
      </w:r>
      <w:r w:rsidR="005B150D" w:rsidRPr="008C1E5F">
        <w:t>h</w:t>
      </w:r>
      <w:r w:rsidR="00AE328D" w:rsidRPr="008C1E5F">
        <w:t xml:space="preserve">as “increased drastically” </w:t>
      </w:r>
      <w:r w:rsidR="00FD4A63" w:rsidRPr="008C1E5F">
        <w:t>over</w:t>
      </w:r>
      <w:r w:rsidR="00AE328D" w:rsidRPr="008C1E5F">
        <w:t xml:space="preserve"> the last 10 years</w:t>
      </w:r>
      <w:r w:rsidR="00461E71" w:rsidRPr="008C1E5F">
        <w:t xml:space="preserve">, </w:t>
      </w:r>
      <w:r w:rsidR="00CA352B" w:rsidRPr="008C1E5F">
        <w:t xml:space="preserve">split almost evenly between Spanish and Portuguese speakers. </w:t>
      </w:r>
    </w:p>
    <w:p w14:paraId="42059436" w14:textId="2EFF0166" w:rsidR="00935BB3" w:rsidRPr="008C1E5F" w:rsidRDefault="00F8419C" w:rsidP="00455FDE">
      <w:pPr>
        <w:pStyle w:val="BodyText"/>
      </w:pPr>
      <w:r w:rsidRPr="008C1E5F">
        <w:t xml:space="preserve">Regarding supports for </w:t>
      </w:r>
      <w:r w:rsidR="00045FF5">
        <w:rPr>
          <w:spacing w:val="-4"/>
        </w:rPr>
        <w:t>Students with Disabilities</w:t>
      </w:r>
      <w:r w:rsidRPr="008C1E5F">
        <w:t xml:space="preserve">, </w:t>
      </w:r>
      <w:r w:rsidR="006063F9" w:rsidRPr="008C1E5F">
        <w:t xml:space="preserve">Fall River has </w:t>
      </w:r>
      <w:r w:rsidR="00DE7386" w:rsidRPr="008C1E5F">
        <w:t xml:space="preserve">a </w:t>
      </w:r>
      <w:r w:rsidR="006063F9" w:rsidRPr="008C1E5F">
        <w:t>continuum of settings and services</w:t>
      </w:r>
      <w:r w:rsidR="00657653">
        <w:t xml:space="preserve"> available</w:t>
      </w:r>
      <w:r w:rsidR="006063F9" w:rsidRPr="008C1E5F">
        <w:t>,</w:t>
      </w:r>
      <w:r w:rsidR="00DB7222">
        <w:t xml:space="preserve"> but </w:t>
      </w:r>
      <w:r w:rsidR="00F260CE">
        <w:t xml:space="preserve">state data indicates systemic challenges with providing an equitable education for </w:t>
      </w:r>
      <w:r w:rsidR="00045FF5">
        <w:rPr>
          <w:spacing w:val="-4"/>
        </w:rPr>
        <w:t>Students with Disabilities</w:t>
      </w:r>
      <w:r w:rsidR="00F260CE">
        <w:t>.</w:t>
      </w:r>
      <w:r w:rsidR="006063F9" w:rsidRPr="008C1E5F">
        <w:t xml:space="preserve"> </w:t>
      </w:r>
      <w:r w:rsidR="00F46073" w:rsidRPr="008C1E5F">
        <w:t>According to DESE</w:t>
      </w:r>
      <w:r w:rsidR="00DA636F">
        <w:t xml:space="preserve"> data</w:t>
      </w:r>
      <w:r w:rsidR="00F46073" w:rsidRPr="008C1E5F">
        <w:t>,</w:t>
      </w:r>
      <w:r w:rsidR="00DA636F">
        <w:t xml:space="preserve"> in 2023,</w:t>
      </w:r>
      <w:r w:rsidR="00F46073" w:rsidRPr="008C1E5F">
        <w:t xml:space="preserve"> </w:t>
      </w:r>
      <w:r w:rsidR="004029B2" w:rsidRPr="008C1E5F">
        <w:t>students</w:t>
      </w:r>
      <w:r w:rsidR="00A40513">
        <w:t xml:space="preserve"> aged </w:t>
      </w:r>
      <w:r w:rsidR="00A4566B">
        <w:t>6</w:t>
      </w:r>
      <w:r w:rsidR="00DD073B">
        <w:t xml:space="preserve"> through </w:t>
      </w:r>
      <w:r w:rsidR="00A4566B">
        <w:t>21</w:t>
      </w:r>
      <w:r w:rsidR="004029B2" w:rsidRPr="008C1E5F">
        <w:t xml:space="preserve"> in </w:t>
      </w:r>
      <w:r w:rsidR="00110742" w:rsidRPr="008C1E5F">
        <w:t xml:space="preserve">Fall River </w:t>
      </w:r>
      <w:r w:rsidR="00DA636F">
        <w:t>were placed</w:t>
      </w:r>
      <w:r w:rsidR="00DA636F" w:rsidRPr="008C1E5F">
        <w:t xml:space="preserve"> </w:t>
      </w:r>
      <w:r w:rsidR="004029B2" w:rsidRPr="008C1E5F">
        <w:t xml:space="preserve">in substantially separate classrooms at </w:t>
      </w:r>
      <w:r w:rsidR="00004F3A">
        <w:t xml:space="preserve">a rate </w:t>
      </w:r>
      <w:r w:rsidR="00187DAD" w:rsidRPr="008C1E5F">
        <w:t xml:space="preserve">18.5 percentage points higher than the state </w:t>
      </w:r>
      <w:r w:rsidR="00585DBC">
        <w:t xml:space="preserve">rate </w:t>
      </w:r>
      <w:r w:rsidR="003B20DD" w:rsidRPr="008C1E5F">
        <w:t>(31.7 percent versus 13.2 percent)</w:t>
      </w:r>
      <w:r w:rsidR="00DD073B">
        <w:t xml:space="preserve">, and students aged three through five </w:t>
      </w:r>
      <w:r w:rsidR="00CC6C26">
        <w:t>were</w:t>
      </w:r>
      <w:r w:rsidR="00DD073B">
        <w:t xml:space="preserve"> </w:t>
      </w:r>
      <w:r w:rsidR="00FB5997">
        <w:t xml:space="preserve">placed in substantially </w:t>
      </w:r>
      <w:r w:rsidR="00D20E3C">
        <w:t>separate</w:t>
      </w:r>
      <w:r w:rsidR="00FB5997">
        <w:t xml:space="preserve"> classrooms at</w:t>
      </w:r>
      <w:r w:rsidR="00952BB0">
        <w:t xml:space="preserve"> a rate </w:t>
      </w:r>
      <w:r w:rsidR="003B20DD">
        <w:t>19.5 percentage points higher</w:t>
      </w:r>
      <w:r w:rsidR="00EC7EC1" w:rsidRPr="008C1E5F">
        <w:t xml:space="preserve"> </w:t>
      </w:r>
      <w:r w:rsidR="00D20E3C">
        <w:t>than the state r</w:t>
      </w:r>
      <w:r w:rsidR="00872111">
        <w:t>ate (</w:t>
      </w:r>
      <w:r w:rsidR="00B65D6C">
        <w:t xml:space="preserve">40.6 </w:t>
      </w:r>
      <w:r w:rsidR="002C63A4">
        <w:t>percent</w:t>
      </w:r>
      <w:r w:rsidR="00B65D6C">
        <w:t xml:space="preserve"> versus 21.2 percent)</w:t>
      </w:r>
      <w:r w:rsidR="002C63A4">
        <w:t xml:space="preserve">. </w:t>
      </w:r>
      <w:r w:rsidR="00D852DA">
        <w:t xml:space="preserve">Additionally, the 2023 </w:t>
      </w:r>
      <w:r w:rsidR="008A0A36">
        <w:t xml:space="preserve">4-year </w:t>
      </w:r>
      <w:r w:rsidR="00D852DA">
        <w:t xml:space="preserve">cohort graduation rate for </w:t>
      </w:r>
      <w:r w:rsidR="00045FF5">
        <w:rPr>
          <w:spacing w:val="-4"/>
        </w:rPr>
        <w:t>Students with Disabilities</w:t>
      </w:r>
      <w:r w:rsidR="00D852DA">
        <w:t xml:space="preserve"> in the district was 48.6 percent, which is 27.8 percentage points lower than the state rate.</w:t>
      </w:r>
      <w:r w:rsidR="00D852DA" w:rsidRPr="008C1E5F" w:rsidDel="003B20DD">
        <w:t xml:space="preserve"> </w:t>
      </w:r>
      <w:r w:rsidR="005D5757" w:rsidRPr="008C1E5F">
        <w:t>District officials attri</w:t>
      </w:r>
      <w:r w:rsidR="008C3C7F" w:rsidRPr="008C1E5F">
        <w:t xml:space="preserve">buted </w:t>
      </w:r>
      <w:r w:rsidR="00D852DA">
        <w:t xml:space="preserve">challenges with equitably serving </w:t>
      </w:r>
      <w:r w:rsidR="00045FF5">
        <w:rPr>
          <w:spacing w:val="-4"/>
        </w:rPr>
        <w:t>Students with Disabilities</w:t>
      </w:r>
      <w:r w:rsidR="00045FF5" w:rsidRPr="008C1E5F">
        <w:t xml:space="preserve"> </w:t>
      </w:r>
      <w:r w:rsidR="008C3C7F" w:rsidRPr="008C1E5F">
        <w:t>to several factors: (</w:t>
      </w:r>
      <w:r w:rsidR="00F150F4" w:rsidRPr="008C1E5F">
        <w:t>a</w:t>
      </w:r>
      <w:r w:rsidR="008C3C7F" w:rsidRPr="008C1E5F">
        <w:t xml:space="preserve">) </w:t>
      </w:r>
      <w:r w:rsidR="00D844A2" w:rsidRPr="008C1E5F">
        <w:t>larger class sizes</w:t>
      </w:r>
      <w:r w:rsidR="00F150F4" w:rsidRPr="008C1E5F">
        <w:t>,</w:t>
      </w:r>
      <w:r w:rsidR="00D844A2" w:rsidRPr="008C1E5F">
        <w:t xml:space="preserve"> which </w:t>
      </w:r>
      <w:r w:rsidR="00D852DA">
        <w:t>make</w:t>
      </w:r>
      <w:r w:rsidR="00D852DA" w:rsidRPr="008C1E5F">
        <w:t xml:space="preserve"> </w:t>
      </w:r>
      <w:r w:rsidR="00D844A2" w:rsidRPr="008C1E5F">
        <w:t xml:space="preserve">it </w:t>
      </w:r>
      <w:r w:rsidR="00253C53" w:rsidRPr="008C1E5F">
        <w:t>challenging</w:t>
      </w:r>
      <w:r w:rsidR="00D844A2" w:rsidRPr="008C1E5F">
        <w:t xml:space="preserve"> </w:t>
      </w:r>
      <w:r w:rsidR="00DB7441" w:rsidRPr="008C1E5F">
        <w:t xml:space="preserve">for </w:t>
      </w:r>
      <w:r w:rsidR="00045FF5">
        <w:rPr>
          <w:spacing w:val="-4"/>
        </w:rPr>
        <w:t>Students with Disabilities</w:t>
      </w:r>
      <w:r w:rsidR="00045FF5" w:rsidRPr="008C1E5F">
        <w:t xml:space="preserve"> </w:t>
      </w:r>
      <w:r w:rsidR="00A94577" w:rsidRPr="008C1E5F">
        <w:t xml:space="preserve">to </w:t>
      </w:r>
      <w:r w:rsidR="00831BD0" w:rsidRPr="008C1E5F">
        <w:t>have opportunities for inclusion during</w:t>
      </w:r>
      <w:r w:rsidR="00DB7441" w:rsidRPr="008C1E5F">
        <w:t xml:space="preserve"> portions of the day, (</w:t>
      </w:r>
      <w:r w:rsidR="00F150F4" w:rsidRPr="008C1E5F">
        <w:t>b</w:t>
      </w:r>
      <w:r w:rsidR="00DB7441" w:rsidRPr="008C1E5F">
        <w:t xml:space="preserve">) </w:t>
      </w:r>
      <w:r w:rsidR="00F622E4" w:rsidRPr="008C1E5F">
        <w:t xml:space="preserve">underqualified staff who do not have much </w:t>
      </w:r>
      <w:r w:rsidR="00F622E4" w:rsidRPr="008C1E5F">
        <w:lastRenderedPageBreak/>
        <w:t xml:space="preserve">experience and training </w:t>
      </w:r>
      <w:r w:rsidR="00C23AF7" w:rsidRPr="008C1E5F">
        <w:t xml:space="preserve">for working with </w:t>
      </w:r>
      <w:r w:rsidR="00045FF5">
        <w:rPr>
          <w:spacing w:val="-4"/>
        </w:rPr>
        <w:t>Students with Disabilities</w:t>
      </w:r>
      <w:r w:rsidR="00C23AF7" w:rsidRPr="008C1E5F">
        <w:t>, and (</w:t>
      </w:r>
      <w:r w:rsidR="00F150F4" w:rsidRPr="008C1E5F">
        <w:t>c</w:t>
      </w:r>
      <w:r w:rsidR="00C23AF7" w:rsidRPr="008C1E5F">
        <w:t>) staff vacancies</w:t>
      </w:r>
      <w:r w:rsidR="00B85D2D" w:rsidRPr="008C1E5F">
        <w:t xml:space="preserve"> leaving positions open for long periods of time</w:t>
      </w:r>
      <w:r w:rsidR="00330B67">
        <w:t>.</w:t>
      </w:r>
      <w:r w:rsidR="00D15E18">
        <w:t xml:space="preserve"> </w:t>
      </w:r>
      <w:r w:rsidR="00A90B86" w:rsidRPr="00A90B86">
        <w:t xml:space="preserve">In 2023-2024, </w:t>
      </w:r>
      <w:r w:rsidR="00F501D5">
        <w:t>Fall River</w:t>
      </w:r>
      <w:r w:rsidR="00A90B86" w:rsidRPr="00A90B86">
        <w:t xml:space="preserve"> received a designation of Needs Intervention through the Local Education Agencies’ Special Education Determinations and is working with a technical assistance provider around key data </w:t>
      </w:r>
      <w:proofErr w:type="gramStart"/>
      <w:r w:rsidR="00A90B86" w:rsidRPr="00A90B86">
        <w:t>points</w:t>
      </w:r>
      <w:proofErr w:type="gramEnd"/>
      <w:r w:rsidR="006C49DA">
        <w:t>.</w:t>
      </w:r>
      <w:r w:rsidR="00330B67">
        <w:t xml:space="preserve"> </w:t>
      </w:r>
      <w:r w:rsidR="00B20B2F" w:rsidRPr="008C1E5F">
        <w:t>Ensuring</w:t>
      </w:r>
      <w:r w:rsidR="00152CDA">
        <w:t xml:space="preserve"> that </w:t>
      </w:r>
      <w:r w:rsidR="00045FF5">
        <w:rPr>
          <w:spacing w:val="-4"/>
        </w:rPr>
        <w:t>Students with Disabilities</w:t>
      </w:r>
      <w:r w:rsidR="00045FF5">
        <w:t xml:space="preserve"> </w:t>
      </w:r>
      <w:r w:rsidR="00152CDA">
        <w:t>receive</w:t>
      </w:r>
      <w:r w:rsidR="006C284E">
        <w:t xml:space="preserve"> </w:t>
      </w:r>
      <w:r w:rsidR="00C14422">
        <w:t>appropriate</w:t>
      </w:r>
      <w:r w:rsidR="006C284E">
        <w:t xml:space="preserve"> supports</w:t>
      </w:r>
      <w:r w:rsidR="00236477">
        <w:t xml:space="preserve"> in the least restrictive environment</w:t>
      </w:r>
      <w:r w:rsidR="006135D3">
        <w:t>,</w:t>
      </w:r>
      <w:r w:rsidR="00054E3C">
        <w:t xml:space="preserve"> </w:t>
      </w:r>
      <w:r w:rsidR="00D92783">
        <w:t xml:space="preserve">are </w:t>
      </w:r>
      <w:r w:rsidR="004C2B70" w:rsidRPr="008C1E5F">
        <w:t>serviced by</w:t>
      </w:r>
      <w:r w:rsidR="00604A73" w:rsidRPr="008C1E5F">
        <w:t xml:space="preserve"> credentialed staff</w:t>
      </w:r>
      <w:r w:rsidR="00493FA3">
        <w:t>, and have equitable access to a high-quality education</w:t>
      </w:r>
      <w:r w:rsidR="00604A73" w:rsidRPr="008C1E5F">
        <w:t xml:space="preserve"> is an area </w:t>
      </w:r>
      <w:r w:rsidR="00BD62F1" w:rsidRPr="008C1E5F">
        <w:t xml:space="preserve">for </w:t>
      </w:r>
      <w:r w:rsidR="00604A73" w:rsidRPr="008C1E5F">
        <w:t xml:space="preserve">growth for the district. </w:t>
      </w:r>
    </w:p>
    <w:p w14:paraId="23E7A5A5" w14:textId="0632565D" w:rsidR="00396A58" w:rsidRPr="008C1E5F" w:rsidRDefault="00B03B61" w:rsidP="00455FDE">
      <w:pPr>
        <w:pStyle w:val="BodyText"/>
      </w:pPr>
      <w:r w:rsidRPr="008C1E5F">
        <w:t>When possible</w:t>
      </w:r>
      <w:r w:rsidR="006D06F6" w:rsidRPr="008C1E5F">
        <w:t xml:space="preserve">, teachers </w:t>
      </w:r>
      <w:r w:rsidRPr="008C1E5F">
        <w:t xml:space="preserve">and specialists </w:t>
      </w:r>
      <w:r w:rsidR="001C7AE6" w:rsidRPr="008C1E5F">
        <w:t xml:space="preserve">use </w:t>
      </w:r>
      <w:r w:rsidRPr="008C1E5F">
        <w:t xml:space="preserve">the </w:t>
      </w:r>
      <w:r w:rsidR="00604E7D" w:rsidRPr="008C1E5F">
        <w:t>general e</w:t>
      </w:r>
      <w:r w:rsidR="001C7AE6" w:rsidRPr="008C1E5F">
        <w:t>ducation</w:t>
      </w:r>
      <w:r w:rsidRPr="008C1E5F">
        <w:t xml:space="preserve"> curriculum for </w:t>
      </w:r>
      <w:r w:rsidR="00CB16AA">
        <w:t>English Learners</w:t>
      </w:r>
      <w:r w:rsidR="00CB16AA" w:rsidRPr="008C1E5F">
        <w:t xml:space="preserve"> </w:t>
      </w:r>
      <w:r w:rsidRPr="008C1E5F">
        <w:t xml:space="preserve">and </w:t>
      </w:r>
      <w:r w:rsidR="00045FF5">
        <w:rPr>
          <w:spacing w:val="-4"/>
        </w:rPr>
        <w:t>Students with Disabilities</w:t>
      </w:r>
      <w:r w:rsidR="001C7AE6" w:rsidRPr="008C1E5F">
        <w:t>.</w:t>
      </w:r>
      <w:r w:rsidR="007A2CB8" w:rsidRPr="008C1E5F">
        <w:t xml:space="preserve"> </w:t>
      </w:r>
      <w:r w:rsidR="003F0FA1" w:rsidRPr="008C1E5F">
        <w:t>In some instances, s</w:t>
      </w:r>
      <w:r w:rsidR="007A2CB8" w:rsidRPr="008C1E5F">
        <w:t xml:space="preserve">chool leaders reported using additional curricula for multilingual students </w:t>
      </w:r>
      <w:r w:rsidR="00396A58" w:rsidRPr="008C1E5F">
        <w:t xml:space="preserve">that varied slightly by level: </w:t>
      </w:r>
    </w:p>
    <w:p w14:paraId="7D7BD2DF" w14:textId="1255B119" w:rsidR="00396A58" w:rsidRPr="008C1E5F" w:rsidRDefault="00396A58" w:rsidP="00455FDE">
      <w:pPr>
        <w:pStyle w:val="Bullet1"/>
        <w:rPr>
          <w:b/>
          <w:bCs/>
        </w:rPr>
      </w:pPr>
      <w:r w:rsidRPr="008C1E5F">
        <w:t>Elementary:</w:t>
      </w:r>
      <w:r w:rsidR="0069166F" w:rsidRPr="008C1E5F">
        <w:t xml:space="preserve"> American </w:t>
      </w:r>
      <w:r w:rsidR="000E43B7" w:rsidRPr="008C1E5F">
        <w:t>Reading Company in dual-language elementary classrooms</w:t>
      </w:r>
      <w:r w:rsidR="00577F9E" w:rsidRPr="008C1E5F">
        <w:t xml:space="preserve">, </w:t>
      </w:r>
      <w:r w:rsidR="00B85E29" w:rsidRPr="008C1E5F">
        <w:t>W</w:t>
      </w:r>
      <w:r w:rsidR="005F43DA" w:rsidRPr="008C1E5F">
        <w:t xml:space="preserve">onders using the </w:t>
      </w:r>
      <w:r w:rsidR="003A2F3F" w:rsidRPr="008C1E5F">
        <w:t>systemic functional linguistics (</w:t>
      </w:r>
      <w:r w:rsidR="005F43DA" w:rsidRPr="008C1E5F">
        <w:t>SFL</w:t>
      </w:r>
      <w:r w:rsidR="003A2F3F" w:rsidRPr="008C1E5F">
        <w:t>)</w:t>
      </w:r>
      <w:r w:rsidR="005F43DA" w:rsidRPr="008C1E5F">
        <w:t xml:space="preserve"> approach </w:t>
      </w:r>
    </w:p>
    <w:p w14:paraId="69CB5141" w14:textId="2AEC5DA9" w:rsidR="00396A58" w:rsidRPr="008C1E5F" w:rsidRDefault="00396A58" w:rsidP="00455FDE">
      <w:pPr>
        <w:pStyle w:val="Bullet1"/>
        <w:rPr>
          <w:b/>
          <w:bCs/>
        </w:rPr>
      </w:pPr>
      <w:r w:rsidRPr="008C1E5F">
        <w:t>Middle:</w:t>
      </w:r>
      <w:r w:rsidR="005F43DA" w:rsidRPr="008C1E5F">
        <w:t xml:space="preserve"> </w:t>
      </w:r>
      <w:r w:rsidR="008778FF" w:rsidRPr="008C1E5F">
        <w:t>Time Zones</w:t>
      </w:r>
      <w:r w:rsidR="00E1414A" w:rsidRPr="008C1E5F">
        <w:t xml:space="preserve">, Impacts, and </w:t>
      </w:r>
      <w:r w:rsidRPr="008C1E5F">
        <w:t xml:space="preserve">the </w:t>
      </w:r>
      <w:r w:rsidR="00E1414A" w:rsidRPr="008C1E5F">
        <w:t xml:space="preserve">SFL </w:t>
      </w:r>
      <w:r w:rsidRPr="008C1E5F">
        <w:t>approach</w:t>
      </w:r>
    </w:p>
    <w:p w14:paraId="66149764" w14:textId="4A661E2F" w:rsidR="00396A58" w:rsidRPr="008C1E5F" w:rsidRDefault="00396A58" w:rsidP="00455FDE">
      <w:pPr>
        <w:pStyle w:val="Bullet1"/>
        <w:rPr>
          <w:b/>
          <w:bCs/>
        </w:rPr>
      </w:pPr>
      <w:r w:rsidRPr="008C1E5F">
        <w:t>High:</w:t>
      </w:r>
      <w:r w:rsidR="00D64175" w:rsidRPr="008C1E5F">
        <w:t xml:space="preserve"> </w:t>
      </w:r>
      <w:r w:rsidR="00B87F8E" w:rsidRPr="008C1E5F">
        <w:t>Newcomers Academy, Edge</w:t>
      </w:r>
      <w:r w:rsidR="00A41ADB" w:rsidRPr="008C1E5F">
        <w:t xml:space="preserve"> Competency-Based Pathway</w:t>
      </w:r>
      <w:r w:rsidR="00B87F8E" w:rsidRPr="008C1E5F">
        <w:t xml:space="preserve">, and National Geographic Cengage </w:t>
      </w:r>
    </w:p>
    <w:p w14:paraId="21BD6CA2" w14:textId="1AAB6049" w:rsidR="007A2CB8" w:rsidRPr="008C1E5F" w:rsidRDefault="0020321A" w:rsidP="00455FDE">
      <w:pPr>
        <w:pStyle w:val="BodyText"/>
        <w:rPr>
          <w:b/>
          <w:bCs/>
        </w:rPr>
      </w:pPr>
      <w:r w:rsidRPr="008C1E5F">
        <w:t xml:space="preserve">In </w:t>
      </w:r>
      <w:r w:rsidR="00D75C47" w:rsidRPr="008C1E5F">
        <w:t>nearly all</w:t>
      </w:r>
      <w:r w:rsidRPr="008C1E5F">
        <w:t xml:space="preserve"> cases, </w:t>
      </w:r>
      <w:r w:rsidR="00D75C47" w:rsidRPr="008C1E5F">
        <w:t xml:space="preserve">special educators used the same curricula as the general education </w:t>
      </w:r>
      <w:r w:rsidRPr="008C1E5F">
        <w:t>classrooms</w:t>
      </w:r>
      <w:r w:rsidR="00D75C47" w:rsidRPr="008C1E5F">
        <w:t xml:space="preserve">, </w:t>
      </w:r>
      <w:r w:rsidR="00141801" w:rsidRPr="008C1E5F">
        <w:t xml:space="preserve">supplementing as needed. The </w:t>
      </w:r>
      <w:r w:rsidR="00082234" w:rsidRPr="008C1E5F">
        <w:t xml:space="preserve">Life Skills Program and Autism Program both used different curricula </w:t>
      </w:r>
      <w:r w:rsidR="000C720E" w:rsidRPr="008C1E5F">
        <w:t>to meet their students’ needs.</w:t>
      </w:r>
      <w:r w:rsidR="00FA5C50" w:rsidRPr="008C1E5F">
        <w:t xml:space="preserve"> </w:t>
      </w:r>
      <w:r w:rsidR="002E3B09" w:rsidRPr="008C1E5F">
        <w:t>District and school leaders reported using data to continuously monitor the experiences and outcomes of these students, using disaggregated data and student feedback to adjust coursework offerings, enrichment opportunities, and school-level systems</w:t>
      </w:r>
      <w:r w:rsidR="002E3B09" w:rsidRPr="008C1E5F">
        <w:rPr>
          <w:b/>
          <w:bCs/>
        </w:rPr>
        <w:t>.</w:t>
      </w:r>
      <w:r w:rsidR="002E3B09" w:rsidRPr="008C1E5F">
        <w:t xml:space="preserve"> </w:t>
      </w:r>
      <w:r w:rsidR="00FA5C50" w:rsidRPr="008C1E5F">
        <w:t xml:space="preserve">Moving forward, one of the district’s goals, as laid out in the </w:t>
      </w:r>
      <w:r w:rsidR="00836F39" w:rsidRPr="008C1E5F">
        <w:rPr>
          <w:spacing w:val="-4"/>
        </w:rPr>
        <w:t xml:space="preserve">Student Opportunity Act </w:t>
      </w:r>
      <w:r w:rsidR="00FA2F82" w:rsidRPr="008C1E5F">
        <w:t>P</w:t>
      </w:r>
      <w:r w:rsidR="000A43A3" w:rsidRPr="008C1E5F">
        <w:t>l</w:t>
      </w:r>
      <w:r w:rsidR="00FA5C50" w:rsidRPr="008C1E5F">
        <w:t xml:space="preserve">an, is to ensure that all curricula include </w:t>
      </w:r>
      <w:r w:rsidR="000C720E" w:rsidRPr="008C1E5F">
        <w:t>scaffolding</w:t>
      </w:r>
      <w:r w:rsidR="00FA5C50" w:rsidRPr="008C1E5F">
        <w:t xml:space="preserve"> that </w:t>
      </w:r>
      <w:r w:rsidR="000C720E" w:rsidRPr="008C1E5F">
        <w:t>better enables</w:t>
      </w:r>
      <w:r w:rsidR="00FA5C50" w:rsidRPr="008C1E5F">
        <w:t xml:space="preserve"> </w:t>
      </w:r>
      <w:r w:rsidR="00CB16AA">
        <w:t>English Learners</w:t>
      </w:r>
      <w:r w:rsidR="00CB16AA" w:rsidRPr="008C1E5F">
        <w:t xml:space="preserve"> </w:t>
      </w:r>
      <w:r w:rsidR="00FA5C50" w:rsidRPr="008C1E5F">
        <w:t xml:space="preserve">and </w:t>
      </w:r>
      <w:r w:rsidR="00045FF5">
        <w:rPr>
          <w:spacing w:val="-4"/>
        </w:rPr>
        <w:t>Students with Disabilities</w:t>
      </w:r>
      <w:r w:rsidR="00045FF5" w:rsidRPr="008C1E5F">
        <w:t xml:space="preserve"> </w:t>
      </w:r>
      <w:r w:rsidR="00FA5C50" w:rsidRPr="008C1E5F">
        <w:t xml:space="preserve">to </w:t>
      </w:r>
      <w:r w:rsidR="00217AFE" w:rsidRPr="008C1E5F">
        <w:t>access grade-level work.</w:t>
      </w:r>
      <w:r w:rsidR="003062DC" w:rsidRPr="008C1E5F">
        <w:t xml:space="preserve"> </w:t>
      </w:r>
    </w:p>
    <w:p w14:paraId="63DE470B" w14:textId="316F6A0E" w:rsidR="002C7737" w:rsidRPr="008C1E5F" w:rsidRDefault="007B284B" w:rsidP="00455FDE">
      <w:pPr>
        <w:pStyle w:val="BodyText"/>
      </w:pPr>
      <w:r w:rsidRPr="008C1E5F">
        <w:t xml:space="preserve">Fall River elementary schools vary in their offerings of nonacademic coursework. </w:t>
      </w:r>
      <w:r w:rsidR="006A2038" w:rsidRPr="008C1E5F">
        <w:t xml:space="preserve">Teachers report that all schools offer </w:t>
      </w:r>
      <w:r w:rsidR="00C51374" w:rsidRPr="008C1E5F">
        <w:t xml:space="preserve">art, music, and gym, but </w:t>
      </w:r>
      <w:r w:rsidR="00986F1A" w:rsidRPr="008C1E5F">
        <w:t xml:space="preserve">at some schools, students </w:t>
      </w:r>
      <w:r w:rsidR="00037E44" w:rsidRPr="008C1E5F">
        <w:t xml:space="preserve">alternate between </w:t>
      </w:r>
      <w:r w:rsidR="00986F1A" w:rsidRPr="008C1E5F">
        <w:t>hav</w:t>
      </w:r>
      <w:r w:rsidR="00037E44" w:rsidRPr="008C1E5F">
        <w:t>ing</w:t>
      </w:r>
      <w:r w:rsidR="00986F1A" w:rsidRPr="008C1E5F">
        <w:t xml:space="preserve"> art in one semester and music in another. Other elementary schools have</w:t>
      </w:r>
      <w:r w:rsidR="00A76E35" w:rsidRPr="008C1E5F">
        <w:t xml:space="preserve"> up</w:t>
      </w:r>
      <w:r w:rsidR="00986F1A" w:rsidRPr="008C1E5F">
        <w:t xml:space="preserve"> </w:t>
      </w:r>
      <w:r w:rsidR="002D2E6D" w:rsidRPr="008C1E5F">
        <w:t xml:space="preserve">to </w:t>
      </w:r>
      <w:r w:rsidR="00986F1A" w:rsidRPr="008C1E5F">
        <w:t>six specials per week</w:t>
      </w:r>
      <w:r w:rsidR="008501FF" w:rsidRPr="008C1E5F">
        <w:t>,</w:t>
      </w:r>
      <w:r w:rsidR="00986F1A" w:rsidRPr="008C1E5F">
        <w:t xml:space="preserve"> including</w:t>
      </w:r>
      <w:r w:rsidR="00D863A2" w:rsidRPr="008C1E5F">
        <w:t xml:space="preserve"> health</w:t>
      </w:r>
      <w:r w:rsidR="008C63E2" w:rsidRPr="008C1E5F">
        <w:t>, technology,</w:t>
      </w:r>
      <w:r w:rsidR="00D863A2" w:rsidRPr="008C1E5F">
        <w:t xml:space="preserve"> and </w:t>
      </w:r>
      <w:r w:rsidR="00A76E35" w:rsidRPr="008C1E5F">
        <w:t>STEM.</w:t>
      </w:r>
      <w:r w:rsidR="008C63E2" w:rsidRPr="008C1E5F">
        <w:t xml:space="preserve"> </w:t>
      </w:r>
      <w:r w:rsidR="00756444" w:rsidRPr="008C1E5F">
        <w:t xml:space="preserve">Special </w:t>
      </w:r>
      <w:proofErr w:type="gramStart"/>
      <w:r w:rsidR="00756444" w:rsidRPr="008C1E5F">
        <w:t>offerings</w:t>
      </w:r>
      <w:proofErr w:type="gramEnd"/>
      <w:r w:rsidR="00756444" w:rsidRPr="008C1E5F">
        <w:t xml:space="preserve"> vary based on </w:t>
      </w:r>
      <w:r w:rsidR="002C7737" w:rsidRPr="008C1E5F">
        <w:t>teacher staffing and, in some cases, parent willingness to volunteer their time.</w:t>
      </w:r>
      <w:r w:rsidR="007C5F02" w:rsidRPr="008C1E5F">
        <w:t xml:space="preserve"> Parents noted that </w:t>
      </w:r>
      <w:r w:rsidR="00562D3B" w:rsidRPr="008C1E5F">
        <w:t>extracurricular activities are available after school, but transportation is a challenge.</w:t>
      </w:r>
    </w:p>
    <w:p w14:paraId="1FFCB38B" w14:textId="72349382" w:rsidR="003E71B1" w:rsidRPr="008C1E5F" w:rsidRDefault="002C7737" w:rsidP="00455FDE">
      <w:pPr>
        <w:pStyle w:val="BodyText"/>
      </w:pPr>
      <w:r w:rsidRPr="008C1E5F">
        <w:t>At the middle school level</w:t>
      </w:r>
      <w:r w:rsidR="00526C9C" w:rsidRPr="008C1E5F">
        <w:t>,</w:t>
      </w:r>
      <w:r w:rsidR="00B21590" w:rsidRPr="008C1E5F">
        <w:t xml:space="preserve"> teachers and</w:t>
      </w:r>
      <w:r w:rsidR="00526C9C" w:rsidRPr="008C1E5F">
        <w:t xml:space="preserve"> </w:t>
      </w:r>
      <w:r w:rsidR="002412A6" w:rsidRPr="008C1E5F">
        <w:t xml:space="preserve">students mentioned </w:t>
      </w:r>
      <w:r w:rsidR="00D21FFB">
        <w:t xml:space="preserve">specials (referred to as </w:t>
      </w:r>
      <w:r w:rsidR="00346D1C" w:rsidRPr="008C1E5F">
        <w:t xml:space="preserve">unified arts </w:t>
      </w:r>
      <w:r w:rsidR="00D21FFB">
        <w:t>in Fall River)</w:t>
      </w:r>
      <w:r w:rsidR="00346D1C" w:rsidRPr="008C1E5F">
        <w:t xml:space="preserve"> available</w:t>
      </w:r>
      <w:r w:rsidR="00E30596" w:rsidRPr="008C1E5F">
        <w:t xml:space="preserve"> in </w:t>
      </w:r>
      <w:r w:rsidR="00627BC2" w:rsidRPr="008C1E5F">
        <w:t xml:space="preserve">chorus, band, orchestra, </w:t>
      </w:r>
      <w:r w:rsidR="00A10B61" w:rsidRPr="008C1E5F">
        <w:t xml:space="preserve">technology, computer science, </w:t>
      </w:r>
      <w:r w:rsidR="00B21590" w:rsidRPr="008C1E5F">
        <w:t xml:space="preserve">health, </w:t>
      </w:r>
      <w:r w:rsidR="00A10B61" w:rsidRPr="008C1E5F">
        <w:t xml:space="preserve">and </w:t>
      </w:r>
      <w:r w:rsidR="00E81CAC" w:rsidRPr="008C1E5F">
        <w:t>“helping classes</w:t>
      </w:r>
      <w:r w:rsidR="00F150F4" w:rsidRPr="008C1E5F">
        <w:t>,</w:t>
      </w:r>
      <w:r w:rsidR="00F104A1">
        <w:t>”</w:t>
      </w:r>
      <w:r w:rsidR="00E81CAC" w:rsidRPr="008C1E5F">
        <w:t xml:space="preserve"> in which middle school students </w:t>
      </w:r>
      <w:r w:rsidR="008C0DAB" w:rsidRPr="008C1E5F">
        <w:t xml:space="preserve">provide mentoring to younger students. </w:t>
      </w:r>
      <w:r w:rsidR="00725498" w:rsidRPr="008C1E5F">
        <w:t xml:space="preserve">This year, the middle schools transitioned to students choosing their unified arts </w:t>
      </w:r>
      <w:r w:rsidR="00B401AD" w:rsidRPr="008C1E5F">
        <w:t xml:space="preserve">classes for the first time. This change has been positively received by students, with one teacher describing the change as “a game changer” for student satisfaction. One area </w:t>
      </w:r>
      <w:r w:rsidR="00BD62F1" w:rsidRPr="008C1E5F">
        <w:t xml:space="preserve">for </w:t>
      </w:r>
      <w:r w:rsidR="00B401AD" w:rsidRPr="008C1E5F">
        <w:t xml:space="preserve">growth for the district is that middle school </w:t>
      </w:r>
      <w:r w:rsidR="003E71B1" w:rsidRPr="008C1E5F">
        <w:t xml:space="preserve">teachers described how </w:t>
      </w:r>
      <w:r w:rsidR="00CB16AA">
        <w:t>English Learners</w:t>
      </w:r>
      <w:r w:rsidR="00CB16AA" w:rsidRPr="008C1E5F">
        <w:t xml:space="preserve"> </w:t>
      </w:r>
      <w:r w:rsidR="007A7AF8" w:rsidRPr="008C1E5F">
        <w:t>do not always have equitable access to</w:t>
      </w:r>
      <w:r w:rsidR="000A12A6" w:rsidRPr="008C1E5F">
        <w:t xml:space="preserve"> </w:t>
      </w:r>
      <w:r w:rsidR="00346D1C" w:rsidRPr="008C1E5F">
        <w:t>the unified arts classes</w:t>
      </w:r>
      <w:r w:rsidR="000A12A6" w:rsidRPr="008C1E5F">
        <w:t xml:space="preserve"> because</w:t>
      </w:r>
      <w:r w:rsidR="00AD05A2" w:rsidRPr="008C1E5F">
        <w:t xml:space="preserve"> </w:t>
      </w:r>
      <w:r w:rsidR="00916375" w:rsidRPr="008C1E5F">
        <w:t>the forms used for elective selection are not</w:t>
      </w:r>
      <w:r w:rsidR="00571766">
        <w:t xml:space="preserve"> always</w:t>
      </w:r>
      <w:r w:rsidR="00916375" w:rsidRPr="008C1E5F">
        <w:t xml:space="preserve"> translated</w:t>
      </w:r>
      <w:r w:rsidR="008616CB">
        <w:t xml:space="preserve"> prior to their release. The delay between the release of</w:t>
      </w:r>
      <w:r w:rsidR="00B31424">
        <w:t xml:space="preserve"> selection forms sometimes causes English Learners to receive the forms late, </w:t>
      </w:r>
      <w:r w:rsidR="002E2D12" w:rsidRPr="008C1E5F">
        <w:t>so options are limited</w:t>
      </w:r>
      <w:r w:rsidR="00045376">
        <w:t xml:space="preserve"> as other students have already made their selections</w:t>
      </w:r>
      <w:r w:rsidR="00F214BB">
        <w:t xml:space="preserve">. Additionally, </w:t>
      </w:r>
      <w:r w:rsidR="003D4C56">
        <w:t xml:space="preserve">unified arts </w:t>
      </w:r>
      <w:r w:rsidR="00346D1C" w:rsidRPr="008C1E5F">
        <w:t>classes</w:t>
      </w:r>
      <w:r w:rsidR="000A12A6" w:rsidRPr="008C1E5F">
        <w:t xml:space="preserve"> </w:t>
      </w:r>
      <w:r w:rsidR="003D4C56">
        <w:t xml:space="preserve">sometimes </w:t>
      </w:r>
      <w:r w:rsidR="000A12A6" w:rsidRPr="008C1E5F">
        <w:t xml:space="preserve">conflict with </w:t>
      </w:r>
      <w:r w:rsidR="003D4C56">
        <w:t>students’</w:t>
      </w:r>
      <w:r w:rsidR="000A12A6" w:rsidRPr="008C1E5F">
        <w:t xml:space="preserve"> </w:t>
      </w:r>
      <w:r w:rsidR="002E2D12" w:rsidRPr="008C1E5F">
        <w:t xml:space="preserve">required </w:t>
      </w:r>
      <w:r w:rsidR="00346D1C" w:rsidRPr="008C1E5F">
        <w:t>ESL</w:t>
      </w:r>
      <w:r w:rsidR="002E2D12" w:rsidRPr="008C1E5F">
        <w:t xml:space="preserve"> course</w:t>
      </w:r>
      <w:r w:rsidR="00346D1C" w:rsidRPr="008C1E5F">
        <w:t xml:space="preserve"> </w:t>
      </w:r>
      <w:r w:rsidR="002E2D12" w:rsidRPr="008C1E5F">
        <w:t xml:space="preserve">or other intervention supports they need. </w:t>
      </w:r>
      <w:r w:rsidR="003337CF" w:rsidRPr="008C1E5F">
        <w:t>As a teacher summarized, “</w:t>
      </w:r>
      <w:r w:rsidR="00F150F4" w:rsidRPr="008C1E5F">
        <w:t>I</w:t>
      </w:r>
      <w:r w:rsidR="00E037B6" w:rsidRPr="008C1E5F">
        <w:t>f [E</w:t>
      </w:r>
      <w:r w:rsidR="003D4C56">
        <w:t>nglish Learner</w:t>
      </w:r>
      <w:r w:rsidR="00F150F4" w:rsidRPr="008C1E5F">
        <w:t>s</w:t>
      </w:r>
      <w:r w:rsidR="00E037B6" w:rsidRPr="008C1E5F">
        <w:t xml:space="preserve">] qualify for an ESL class and </w:t>
      </w:r>
      <w:r w:rsidR="00E037B6" w:rsidRPr="008C1E5F">
        <w:lastRenderedPageBreak/>
        <w:t xml:space="preserve">then also qualify for a math or ELA intervention class, now both of their UA [unified arts] classes are taken.” </w:t>
      </w:r>
    </w:p>
    <w:p w14:paraId="7ED488EE" w14:textId="11669CD8" w:rsidR="00B50E99" w:rsidRPr="008C1E5F" w:rsidRDefault="007A2CB8" w:rsidP="00455FDE">
      <w:pPr>
        <w:pStyle w:val="BodyText"/>
      </w:pPr>
      <w:r w:rsidRPr="008C1E5F">
        <w:t xml:space="preserve">A review of </w:t>
      </w:r>
      <w:r w:rsidR="003A2B7A" w:rsidRPr="008C1E5F">
        <w:t>the Durfee</w:t>
      </w:r>
      <w:r w:rsidRPr="008C1E5F">
        <w:t xml:space="preserve"> </w:t>
      </w:r>
      <w:r w:rsidR="003A2B7A" w:rsidRPr="008C1E5F">
        <w:t xml:space="preserve">High School Program of Studies </w:t>
      </w:r>
      <w:r w:rsidRPr="008C1E5F">
        <w:t>indicated that the</w:t>
      </w:r>
      <w:r w:rsidR="003A2B7A" w:rsidRPr="008C1E5F">
        <w:t xml:space="preserve"> </w:t>
      </w:r>
      <w:r w:rsidR="00DD67D3" w:rsidRPr="008C1E5F">
        <w:t>school</w:t>
      </w:r>
      <w:r w:rsidRPr="008C1E5F">
        <w:t xml:space="preserve"> provides students with </w:t>
      </w:r>
      <w:r w:rsidR="00DD67D3" w:rsidRPr="008C1E5F">
        <w:t>a broad</w:t>
      </w:r>
      <w:r w:rsidRPr="008C1E5F">
        <w:t xml:space="preserve"> range of rigorous coursework </w:t>
      </w:r>
      <w:r w:rsidR="00DD67D3" w:rsidRPr="008C1E5F">
        <w:t xml:space="preserve">across </w:t>
      </w:r>
      <w:r w:rsidRPr="008C1E5F">
        <w:t>grades</w:t>
      </w:r>
      <w:r w:rsidR="001F455B" w:rsidRPr="008C1E5F">
        <w:t xml:space="preserve">, </w:t>
      </w:r>
      <w:r w:rsidR="00F150F4" w:rsidRPr="008C1E5F">
        <w:t xml:space="preserve">which is </w:t>
      </w:r>
      <w:r w:rsidR="001F455B" w:rsidRPr="008C1E5F">
        <w:t>a strength of the district</w:t>
      </w:r>
      <w:r w:rsidRPr="008C1E5F">
        <w:t xml:space="preserve">. At </w:t>
      </w:r>
      <w:r w:rsidR="003A2B7A" w:rsidRPr="008C1E5F">
        <w:t>Durfee</w:t>
      </w:r>
      <w:r w:rsidRPr="008C1E5F">
        <w:t>, college prep</w:t>
      </w:r>
      <w:r w:rsidR="00D40924" w:rsidRPr="008C1E5F">
        <w:t>aration</w:t>
      </w:r>
      <w:r w:rsidRPr="008C1E5F">
        <w:t xml:space="preserve"> courses are offered as the standard for all students</w:t>
      </w:r>
      <w:r w:rsidR="00067F43" w:rsidRPr="008C1E5F">
        <w:t>, as well as selected h</w:t>
      </w:r>
      <w:r w:rsidRPr="008C1E5F">
        <w:t>onors courses</w:t>
      </w:r>
      <w:r w:rsidR="00067F43" w:rsidRPr="008C1E5F">
        <w:t xml:space="preserve"> and </w:t>
      </w:r>
      <w:r w:rsidR="00F91195" w:rsidRPr="008C1E5F">
        <w:t>over 20</w:t>
      </w:r>
      <w:r w:rsidR="00067F43" w:rsidRPr="008C1E5F">
        <w:t xml:space="preserve"> </w:t>
      </w:r>
      <w:r w:rsidR="00D40924" w:rsidRPr="008C1E5F">
        <w:t>AP</w:t>
      </w:r>
      <w:r w:rsidRPr="008C1E5F">
        <w:t xml:space="preserve"> courses</w:t>
      </w:r>
      <w:r w:rsidR="00F91195" w:rsidRPr="008C1E5F">
        <w:t xml:space="preserve"> across both core and </w:t>
      </w:r>
      <w:r w:rsidR="00C136D9" w:rsidRPr="008C1E5F">
        <w:t>elective subject areas</w:t>
      </w:r>
      <w:r w:rsidR="00067F43" w:rsidRPr="008C1E5F">
        <w:t xml:space="preserve">. </w:t>
      </w:r>
      <w:r w:rsidR="00C37692" w:rsidRPr="008C1E5F">
        <w:t>E</w:t>
      </w:r>
      <w:r w:rsidR="00067F43" w:rsidRPr="008C1E5F">
        <w:t xml:space="preserve">lective </w:t>
      </w:r>
      <w:r w:rsidR="00C136D9" w:rsidRPr="008C1E5F">
        <w:t>topics</w:t>
      </w:r>
      <w:r w:rsidR="00067F43" w:rsidRPr="008C1E5F">
        <w:t xml:space="preserve"> include Media Studies, Computer Science, Astronomy, Forensics, Social Studies, World Culture, Visual Arts, </w:t>
      </w:r>
      <w:r w:rsidR="00F150F4" w:rsidRPr="008C1E5F">
        <w:t xml:space="preserve">and </w:t>
      </w:r>
      <w:r w:rsidR="00067F43" w:rsidRPr="008C1E5F">
        <w:t>Performing Arts</w:t>
      </w:r>
      <w:r w:rsidR="002A252D" w:rsidRPr="008C1E5F">
        <w:t xml:space="preserve">. Language courses are </w:t>
      </w:r>
      <w:r w:rsidR="00067F43" w:rsidRPr="008C1E5F">
        <w:t xml:space="preserve">offered </w:t>
      </w:r>
      <w:r w:rsidR="002A252D" w:rsidRPr="008C1E5F">
        <w:t>in</w:t>
      </w:r>
      <w:r w:rsidR="00067F43" w:rsidRPr="008C1E5F">
        <w:t xml:space="preserve"> French, Portuguese, Spanish, and Arabic.</w:t>
      </w:r>
      <w:r w:rsidR="00767D72" w:rsidRPr="008C1E5F">
        <w:t xml:space="preserve"> </w:t>
      </w:r>
      <w:r w:rsidR="00217A66" w:rsidRPr="008C1E5F">
        <w:t>To earn college credi</w:t>
      </w:r>
      <w:r w:rsidR="00DB21E5" w:rsidRPr="008C1E5F">
        <w:t>t at Bristol Community College, Bridgewater State University, or UMass Dartmouth</w:t>
      </w:r>
      <w:r w:rsidR="00217A66" w:rsidRPr="008C1E5F">
        <w:t>, students may take dual</w:t>
      </w:r>
      <w:r w:rsidR="00F150F4" w:rsidRPr="008C1E5F">
        <w:t>-</w:t>
      </w:r>
      <w:r w:rsidR="00217A66" w:rsidRPr="008C1E5F">
        <w:t xml:space="preserve">enrollment courses or participate in the Early </w:t>
      </w:r>
      <w:r w:rsidR="00DB21E5" w:rsidRPr="008C1E5F">
        <w:t>College program</w:t>
      </w:r>
      <w:r w:rsidR="00FD1FD3" w:rsidRPr="008C1E5F">
        <w:t>,</w:t>
      </w:r>
      <w:r w:rsidR="00DB21E5" w:rsidRPr="008C1E5F">
        <w:t xml:space="preserve"> which has pathways in </w:t>
      </w:r>
      <w:r w:rsidR="00F150F4" w:rsidRPr="008C1E5F">
        <w:t>health science/medical, business, education, social services, criminal justice</w:t>
      </w:r>
      <w:r w:rsidR="00DB21E5" w:rsidRPr="008C1E5F">
        <w:t xml:space="preserve">, STEM, </w:t>
      </w:r>
      <w:r w:rsidR="00F150F4" w:rsidRPr="008C1E5F">
        <w:t>art</w:t>
      </w:r>
      <w:r w:rsidR="00DB21E5" w:rsidRPr="008C1E5F">
        <w:t>/fashion design, and medical interpretation</w:t>
      </w:r>
      <w:r w:rsidR="00766140" w:rsidRPr="008C1E5F">
        <w:t xml:space="preserve">. </w:t>
      </w:r>
      <w:r w:rsidR="0007199A" w:rsidRPr="008C1E5F">
        <w:t xml:space="preserve">Durfee also has several CTE programs </w:t>
      </w:r>
      <w:r w:rsidR="00790A65" w:rsidRPr="008C1E5F">
        <w:t xml:space="preserve">in </w:t>
      </w:r>
      <w:r w:rsidR="00F150F4" w:rsidRPr="008C1E5F">
        <w:t xml:space="preserve">construction craft laborer, cosmetology, criminal justice, culinary arts, early education </w:t>
      </w:r>
      <w:r w:rsidR="008B7DC4">
        <w:t>and</w:t>
      </w:r>
      <w:r w:rsidR="00F150F4" w:rsidRPr="008C1E5F">
        <w:t xml:space="preserve"> care, engineering, environmental science </w:t>
      </w:r>
      <w:r w:rsidR="008B7DC4">
        <w:t>and</w:t>
      </w:r>
      <w:r w:rsidR="00F150F4" w:rsidRPr="008C1E5F">
        <w:t xml:space="preserve"> tech</w:t>
      </w:r>
      <w:r w:rsidR="008B7DC4">
        <w:t>nology</w:t>
      </w:r>
      <w:r w:rsidR="00F150F4" w:rsidRPr="008C1E5F">
        <w:t>, health assisting, marketing, visual design, and television production.</w:t>
      </w:r>
      <w:r w:rsidR="00790A65" w:rsidRPr="008C1E5F">
        <w:t xml:space="preserve"> </w:t>
      </w:r>
      <w:r w:rsidR="008149DF" w:rsidRPr="008C1E5F">
        <w:t>Additional</w:t>
      </w:r>
      <w:r w:rsidR="00790A65" w:rsidRPr="008C1E5F">
        <w:t xml:space="preserve"> opportunities include </w:t>
      </w:r>
      <w:r w:rsidR="00A70383">
        <w:t>the</w:t>
      </w:r>
      <w:r w:rsidR="00A70383" w:rsidRPr="00A70383">
        <w:t xml:space="preserve"> </w:t>
      </w:r>
      <w:r w:rsidRPr="008C1E5F">
        <w:t>Naval</w:t>
      </w:r>
      <w:r w:rsidR="00A70383" w:rsidRPr="00A70383">
        <w:t> </w:t>
      </w:r>
      <w:r w:rsidRPr="008C1E5F">
        <w:t xml:space="preserve">Junior </w:t>
      </w:r>
      <w:r w:rsidR="00A70383" w:rsidRPr="00A70383">
        <w:t>Reserve Officer Training Corps</w:t>
      </w:r>
      <w:r w:rsidR="00790A65" w:rsidRPr="008C1E5F">
        <w:t xml:space="preserve"> </w:t>
      </w:r>
      <w:r w:rsidR="00066242">
        <w:t>(NJ</w:t>
      </w:r>
      <w:r w:rsidRPr="008C1E5F">
        <w:t>ROTC</w:t>
      </w:r>
      <w:r w:rsidR="00066242">
        <w:t>)</w:t>
      </w:r>
      <w:r w:rsidR="00790A65" w:rsidRPr="008C1E5F">
        <w:t>, a c</w:t>
      </w:r>
      <w:r w:rsidRPr="008C1E5F">
        <w:t>ommunity service course for credit</w:t>
      </w:r>
      <w:r w:rsidR="00790A65" w:rsidRPr="008C1E5F">
        <w:t xml:space="preserve">, </w:t>
      </w:r>
      <w:r w:rsidR="00C17EB0" w:rsidRPr="008C1E5F">
        <w:t xml:space="preserve">and </w:t>
      </w:r>
      <w:r w:rsidR="00790A65" w:rsidRPr="008C1E5F">
        <w:t>i</w:t>
      </w:r>
      <w:r w:rsidRPr="008C1E5F">
        <w:t>nternships for both CTE and non-CTE students</w:t>
      </w:r>
      <w:r w:rsidR="00C17EB0" w:rsidRPr="008C1E5F">
        <w:t xml:space="preserve">. For students </w:t>
      </w:r>
      <w:r w:rsidR="00F150F4" w:rsidRPr="008C1E5F">
        <w:t xml:space="preserve">who </w:t>
      </w:r>
      <w:r w:rsidR="00B50E99" w:rsidRPr="008C1E5F">
        <w:t xml:space="preserve">need a different </w:t>
      </w:r>
      <w:r w:rsidR="00DE7E46" w:rsidRPr="008C1E5F">
        <w:t>approach, the</w:t>
      </w:r>
      <w:r w:rsidR="00103324" w:rsidRPr="008C1E5F">
        <w:t xml:space="preserve"> Durfee-based</w:t>
      </w:r>
      <w:r w:rsidR="00DE7E46" w:rsidRPr="008C1E5F">
        <w:t xml:space="preserve"> Evolve Academy </w:t>
      </w:r>
      <w:r w:rsidR="004C264E" w:rsidRPr="008C1E5F">
        <w:t xml:space="preserve">provides a competency-based pathway </w:t>
      </w:r>
      <w:r w:rsidR="00AA44B0" w:rsidRPr="008C1E5F">
        <w:t>w</w:t>
      </w:r>
      <w:r w:rsidR="001A62FB" w:rsidRPr="008C1E5F">
        <w:t>ith project-based classes</w:t>
      </w:r>
      <w:r w:rsidR="00103324" w:rsidRPr="008C1E5F">
        <w:t xml:space="preserve"> using </w:t>
      </w:r>
      <w:r w:rsidR="001A62FB" w:rsidRPr="008C1E5F">
        <w:t xml:space="preserve">individualized instruction, </w:t>
      </w:r>
    </w:p>
    <w:p w14:paraId="736FB81A" w14:textId="48D6859C" w:rsidR="00103324" w:rsidRPr="008C1E5F" w:rsidRDefault="00823C0E" w:rsidP="00455FDE">
      <w:pPr>
        <w:pStyle w:val="BodyText"/>
      </w:pPr>
      <w:r w:rsidRPr="008C1E5F">
        <w:t xml:space="preserve">For students </w:t>
      </w:r>
      <w:r w:rsidR="000D2561" w:rsidRPr="008C1E5F">
        <w:t xml:space="preserve">in Grades 7-12 </w:t>
      </w:r>
      <w:r w:rsidR="009649CE" w:rsidRPr="008C1E5F">
        <w:t>seeking alternative options, Resiliency Preparatory Academy</w:t>
      </w:r>
      <w:r w:rsidR="00F100F6" w:rsidRPr="008C1E5F">
        <w:t xml:space="preserve"> (RPA)</w:t>
      </w:r>
      <w:r w:rsidR="009649CE" w:rsidRPr="008C1E5F">
        <w:t xml:space="preserve"> provides student-centered personalized learning paths, workforce development, and credit recovery</w:t>
      </w:r>
      <w:r w:rsidR="00B0113F" w:rsidRPr="008C1E5F">
        <w:t xml:space="preserve"> to reduce the dropout rate. A review of </w:t>
      </w:r>
      <w:r w:rsidR="00BB0103" w:rsidRPr="008C1E5F">
        <w:t>RPA</w:t>
      </w:r>
      <w:r w:rsidR="000D2561" w:rsidRPr="008C1E5F">
        <w:t>’</w:t>
      </w:r>
      <w:r w:rsidR="00BB0103" w:rsidRPr="008C1E5F">
        <w:t>s</w:t>
      </w:r>
      <w:r w:rsidR="00B0113F" w:rsidRPr="008C1E5F">
        <w:t xml:space="preserve"> Program of Studies indicated that </w:t>
      </w:r>
      <w:r w:rsidR="00281A87" w:rsidRPr="008C1E5F">
        <w:t>students select on</w:t>
      </w:r>
      <w:r w:rsidR="00BB0103" w:rsidRPr="008C1E5F">
        <w:t>e</w:t>
      </w:r>
      <w:r w:rsidR="00281A87" w:rsidRPr="008C1E5F">
        <w:t xml:space="preserve"> of two pathways: (</w:t>
      </w:r>
      <w:r w:rsidR="000D2561" w:rsidRPr="008C1E5F">
        <w:t>a</w:t>
      </w:r>
      <w:r w:rsidR="00281A87" w:rsidRPr="008C1E5F">
        <w:t>) the comprehensive pathway, where they attend</w:t>
      </w:r>
      <w:r w:rsidR="00F100F6" w:rsidRPr="008C1E5F">
        <w:t xml:space="preserve"> RPA </w:t>
      </w:r>
      <w:r w:rsidR="00BB0103" w:rsidRPr="008C1E5F">
        <w:t xml:space="preserve">full-time </w:t>
      </w:r>
      <w:r w:rsidR="00F100F6" w:rsidRPr="008C1E5F">
        <w:t>for live</w:t>
      </w:r>
      <w:r w:rsidR="000D2561" w:rsidRPr="008C1E5F">
        <w:t xml:space="preserve"> </w:t>
      </w:r>
      <w:r w:rsidR="00F100F6" w:rsidRPr="008C1E5F">
        <w:t>instruction of traditional academic and credit-recovery courses</w:t>
      </w:r>
      <w:r w:rsidR="000D2561" w:rsidRPr="008C1E5F">
        <w:t>,</w:t>
      </w:r>
      <w:r w:rsidR="00F100F6" w:rsidRPr="008C1E5F">
        <w:t xml:space="preserve"> or (</w:t>
      </w:r>
      <w:r w:rsidR="000D2561" w:rsidRPr="008C1E5F">
        <w:t>b</w:t>
      </w:r>
      <w:r w:rsidR="00F100F6" w:rsidRPr="008C1E5F">
        <w:t>) the flex pathway</w:t>
      </w:r>
      <w:r w:rsidR="00C54668">
        <w:t>,</w:t>
      </w:r>
      <w:r w:rsidR="00F100F6" w:rsidRPr="008C1E5F">
        <w:t xml:space="preserve"> where students attend in</w:t>
      </w:r>
      <w:r w:rsidR="000D2561" w:rsidRPr="008C1E5F">
        <w:t xml:space="preserve"> </w:t>
      </w:r>
      <w:r w:rsidR="00F100F6" w:rsidRPr="008C1E5F">
        <w:t xml:space="preserve">person for part of the school day and then </w:t>
      </w:r>
      <w:r w:rsidR="00B67686" w:rsidRPr="008C1E5F">
        <w:t xml:space="preserve">complete the second part of the school day </w:t>
      </w:r>
      <w:r w:rsidR="0067158D" w:rsidRPr="008C1E5F">
        <w:t xml:space="preserve">through </w:t>
      </w:r>
      <w:r w:rsidR="00545984" w:rsidRPr="008C1E5F">
        <w:t xml:space="preserve">employment, </w:t>
      </w:r>
      <w:r w:rsidR="007C7B25" w:rsidRPr="008C1E5F">
        <w:t xml:space="preserve">Urban Youth Workforce Development Opportunities, or Edgenuity on-demand for credit-recovery courses. </w:t>
      </w:r>
      <w:r w:rsidR="003201F9" w:rsidRPr="008C1E5F">
        <w:t>Students still have access to a variety of courses in English</w:t>
      </w:r>
      <w:r w:rsidR="007B3ABD" w:rsidRPr="008C1E5F">
        <w:t>;</w:t>
      </w:r>
      <w:r w:rsidR="003201F9" w:rsidRPr="008C1E5F">
        <w:t xml:space="preserve"> math</w:t>
      </w:r>
      <w:r w:rsidR="000D2561" w:rsidRPr="008C1E5F">
        <w:t>ematics</w:t>
      </w:r>
      <w:r w:rsidR="007B3ABD" w:rsidRPr="008C1E5F">
        <w:t>;</w:t>
      </w:r>
      <w:r w:rsidR="003201F9" w:rsidRPr="008C1E5F">
        <w:t xml:space="preserve"> science</w:t>
      </w:r>
      <w:r w:rsidR="007B3ABD" w:rsidRPr="008C1E5F">
        <w:t>;</w:t>
      </w:r>
      <w:r w:rsidR="003201F9" w:rsidRPr="008C1E5F">
        <w:t xml:space="preserve"> social studies</w:t>
      </w:r>
      <w:r w:rsidR="007B3ABD" w:rsidRPr="008C1E5F">
        <w:t>;</w:t>
      </w:r>
      <w:r w:rsidR="003201F9" w:rsidRPr="008C1E5F">
        <w:t xml:space="preserve"> </w:t>
      </w:r>
      <w:r w:rsidR="007B3ABD" w:rsidRPr="008C1E5F">
        <w:t xml:space="preserve">visual and performing arts; wellness, health, and physical education; culinary arts; and workforce development and postsecondary readiness. </w:t>
      </w:r>
      <w:r w:rsidR="00290D2C" w:rsidRPr="008C1E5F">
        <w:t>During the 2024-</w:t>
      </w:r>
      <w:r w:rsidR="000D2561" w:rsidRPr="008C1E5F">
        <w:t>20</w:t>
      </w:r>
      <w:r w:rsidR="00290D2C" w:rsidRPr="008C1E5F">
        <w:t xml:space="preserve">25 school year, 184 students were enrolled at RPA. </w:t>
      </w:r>
    </w:p>
    <w:p w14:paraId="494A1888" w14:textId="3B5027C8" w:rsidR="004717C0" w:rsidRPr="008C1E5F" w:rsidRDefault="00C33FFB" w:rsidP="00455FDE">
      <w:pPr>
        <w:pStyle w:val="BodyText"/>
      </w:pPr>
      <w:r w:rsidRPr="008C1E5F">
        <w:t xml:space="preserve">Secondary principals agreed that </w:t>
      </w:r>
      <w:r w:rsidR="00D464B7" w:rsidRPr="008C1E5F">
        <w:t xml:space="preserve">students </w:t>
      </w:r>
      <w:r w:rsidR="009B2EB5" w:rsidRPr="008C1E5F">
        <w:t xml:space="preserve">are supported on different pathways, </w:t>
      </w:r>
      <w:r w:rsidR="00A37BE5" w:rsidRPr="008C1E5F">
        <w:t>both career and academic</w:t>
      </w:r>
      <w:r w:rsidR="00F21831" w:rsidRPr="008C1E5F">
        <w:t>, and that these possibilities are clearly communicated to younger students.</w:t>
      </w:r>
      <w:r w:rsidR="009B2EB5" w:rsidRPr="008C1E5F">
        <w:t xml:space="preserve"> </w:t>
      </w:r>
      <w:r w:rsidR="00976892" w:rsidRPr="008C1E5F">
        <w:t xml:space="preserve">One </w:t>
      </w:r>
      <w:r w:rsidR="00A21C57" w:rsidRPr="008C1E5F">
        <w:t xml:space="preserve">middle </w:t>
      </w:r>
      <w:r w:rsidR="00976892" w:rsidRPr="008C1E5F">
        <w:t>school</w:t>
      </w:r>
      <w:r w:rsidR="0019723F" w:rsidRPr="008C1E5F">
        <w:t xml:space="preserve"> </w:t>
      </w:r>
      <w:r w:rsidR="004717C0" w:rsidRPr="008C1E5F">
        <w:t>leader</w:t>
      </w:r>
      <w:r w:rsidR="00976892" w:rsidRPr="008C1E5F">
        <w:t xml:space="preserve"> </w:t>
      </w:r>
      <w:r w:rsidR="004717C0" w:rsidRPr="008C1E5F">
        <w:t>explained:</w:t>
      </w:r>
    </w:p>
    <w:p w14:paraId="432C20F0" w14:textId="5BDBF599" w:rsidR="004717C0" w:rsidRPr="008C1E5F" w:rsidRDefault="0019723F" w:rsidP="00455FDE">
      <w:pPr>
        <w:pStyle w:val="BlockQuote"/>
      </w:pPr>
      <w:r w:rsidRPr="008C1E5F">
        <w:t xml:space="preserve">I think the connection that we have </w:t>
      </w:r>
      <w:r w:rsidR="006F4256" w:rsidRPr="008C1E5F">
        <w:t xml:space="preserve">[with </w:t>
      </w:r>
      <w:r w:rsidR="00E773DA" w:rsidRPr="008C1E5F">
        <w:t xml:space="preserve">our </w:t>
      </w:r>
      <w:r w:rsidR="006F4256" w:rsidRPr="008C1E5F">
        <w:t>high school</w:t>
      </w:r>
      <w:r w:rsidR="001F2C76" w:rsidRPr="008C1E5F">
        <w:t>s</w:t>
      </w:r>
      <w:r w:rsidR="006F4256" w:rsidRPr="008C1E5F">
        <w:t xml:space="preserve">] </w:t>
      </w:r>
      <w:r w:rsidRPr="008C1E5F">
        <w:t xml:space="preserve">is </w:t>
      </w:r>
      <w:proofErr w:type="gramStart"/>
      <w:r w:rsidRPr="008C1E5F">
        <w:t>really exciting</w:t>
      </w:r>
      <w:r w:rsidR="001F2C76" w:rsidRPr="008C1E5F">
        <w:t>.</w:t>
      </w:r>
      <w:r w:rsidR="006F4256" w:rsidRPr="008C1E5F">
        <w:t>…</w:t>
      </w:r>
      <w:proofErr w:type="gramEnd"/>
      <w:r w:rsidRPr="008C1E5F">
        <w:t xml:space="preserve"> </w:t>
      </w:r>
      <w:r w:rsidR="006F4256" w:rsidRPr="008C1E5F">
        <w:t>[Our students</w:t>
      </w:r>
      <w:r w:rsidR="009F4F17" w:rsidRPr="008C1E5F">
        <w:t xml:space="preserve"> are] </w:t>
      </w:r>
      <w:r w:rsidRPr="008C1E5F">
        <w:t>already on their fourth trip to Durfee to see the CTE programming and other resources. We also have the high schools coming in to our schools to do presentation</w:t>
      </w:r>
      <w:r w:rsidR="00DD556B" w:rsidRPr="008C1E5F">
        <w:t>s…</w:t>
      </w:r>
      <w:r w:rsidRPr="008C1E5F">
        <w:t xml:space="preserve">and then also tailoring our programs </w:t>
      </w:r>
      <w:r w:rsidR="00B17F63">
        <w:t>[so]</w:t>
      </w:r>
      <w:r w:rsidRPr="008C1E5F">
        <w:t xml:space="preserve"> that </w:t>
      </w:r>
      <w:r w:rsidR="005D2097" w:rsidRPr="008C1E5F">
        <w:t xml:space="preserve">[students on a] </w:t>
      </w:r>
      <w:r w:rsidRPr="008C1E5F">
        <w:t>C</w:t>
      </w:r>
      <w:r w:rsidR="005D2097" w:rsidRPr="008C1E5F">
        <w:t>TE</w:t>
      </w:r>
      <w:r w:rsidRPr="008C1E5F">
        <w:t xml:space="preserve"> pathway</w:t>
      </w:r>
      <w:r w:rsidR="005D2097" w:rsidRPr="008C1E5F">
        <w:t xml:space="preserve"> also </w:t>
      </w:r>
      <w:r w:rsidRPr="008C1E5F">
        <w:t>have that academic foundation if you choose to go to two-year, four-year college</w:t>
      </w:r>
      <w:r w:rsidR="004717C0" w:rsidRPr="008C1E5F">
        <w:t>.</w:t>
      </w:r>
      <w:r w:rsidR="0055763F" w:rsidRPr="008C1E5F">
        <w:t xml:space="preserve"> </w:t>
      </w:r>
    </w:p>
    <w:p w14:paraId="2F791A76" w14:textId="791FF435" w:rsidR="009601D0" w:rsidRPr="008C1E5F" w:rsidRDefault="0055763F" w:rsidP="00455FDE">
      <w:pPr>
        <w:pStyle w:val="BodyText"/>
      </w:pPr>
      <w:r w:rsidRPr="008C1E5F">
        <w:t>Students agreed that many courses are available to them</w:t>
      </w:r>
      <w:r w:rsidR="00E6784A" w:rsidRPr="008C1E5F">
        <w:t xml:space="preserve">. </w:t>
      </w:r>
      <w:r w:rsidR="00ED7666" w:rsidRPr="008C1E5F">
        <w:t>In contrast, p</w:t>
      </w:r>
      <w:r w:rsidR="00493713" w:rsidRPr="008C1E5F">
        <w:t xml:space="preserve">arents </w:t>
      </w:r>
      <w:r w:rsidR="00ED7666" w:rsidRPr="008C1E5F">
        <w:t>described</w:t>
      </w:r>
      <w:r w:rsidR="00493713" w:rsidRPr="008C1E5F">
        <w:t xml:space="preserve"> </w:t>
      </w:r>
      <w:r w:rsidR="00ED7666" w:rsidRPr="008C1E5F">
        <w:t>feeling</w:t>
      </w:r>
      <w:r w:rsidR="007E6018" w:rsidRPr="008C1E5F">
        <w:t xml:space="preserve"> uninformed about the different options for </w:t>
      </w:r>
      <w:r w:rsidR="00ED7666" w:rsidRPr="008C1E5F">
        <w:t xml:space="preserve">their </w:t>
      </w:r>
      <w:r w:rsidR="007E6018" w:rsidRPr="008C1E5F">
        <w:t xml:space="preserve">students </w:t>
      </w:r>
      <w:r w:rsidR="00C726CA" w:rsidRPr="008C1E5F">
        <w:t>and wishing for a centralized location for this information.</w:t>
      </w:r>
      <w:r w:rsidR="00874A7B" w:rsidRPr="008C1E5F">
        <w:t xml:space="preserve"> As one parent noted</w:t>
      </w:r>
      <w:r w:rsidR="009601D0" w:rsidRPr="008C1E5F">
        <w:t>:</w:t>
      </w:r>
    </w:p>
    <w:p w14:paraId="0E3E8B64" w14:textId="2B183B42" w:rsidR="009601D0" w:rsidRPr="008C1E5F" w:rsidRDefault="009601D0" w:rsidP="00455FDE">
      <w:pPr>
        <w:pStyle w:val="BlockQuote"/>
      </w:pPr>
      <w:r w:rsidRPr="008C1E5F">
        <w:lastRenderedPageBreak/>
        <w:t>I think there</w:t>
      </w:r>
      <w:r w:rsidR="000D2561" w:rsidRPr="008C1E5F">
        <w:t>’</w:t>
      </w:r>
      <w:r w:rsidRPr="008C1E5F">
        <w:t xml:space="preserve">s a tremendous </w:t>
      </w:r>
      <w:proofErr w:type="gramStart"/>
      <w:r w:rsidRPr="008C1E5F">
        <w:t>amount</w:t>
      </w:r>
      <w:proofErr w:type="gramEnd"/>
      <w:r w:rsidRPr="008C1E5F">
        <w:t xml:space="preserve"> of opportunities at Durfee that</w:t>
      </w:r>
      <w:r w:rsidR="0028325D" w:rsidRPr="008C1E5F">
        <w:t xml:space="preserve"> </w:t>
      </w:r>
      <w:r w:rsidRPr="008C1E5F">
        <w:t xml:space="preserve">the parents are not aware of. Like when the student is going into their freshman year, </w:t>
      </w:r>
      <w:proofErr w:type="gramStart"/>
      <w:r w:rsidRPr="008C1E5F">
        <w:t>all of</w:t>
      </w:r>
      <w:proofErr w:type="gramEnd"/>
      <w:r w:rsidRPr="008C1E5F">
        <w:t xml:space="preserve"> the opportunities, whether it be different tracks that are available </w:t>
      </w:r>
      <w:r w:rsidR="006548E3" w:rsidRPr="008C1E5F">
        <w:t>[such as</w:t>
      </w:r>
      <w:r w:rsidR="00773E09" w:rsidRPr="008C1E5F">
        <w:t>]</w:t>
      </w:r>
      <w:r w:rsidR="005C3047" w:rsidRPr="008C1E5F">
        <w:t xml:space="preserve"> </w:t>
      </w:r>
      <w:r w:rsidR="00DA3308" w:rsidRPr="008C1E5F">
        <w:t>A</w:t>
      </w:r>
      <w:r w:rsidRPr="008C1E5F">
        <w:t xml:space="preserve">dvanced </w:t>
      </w:r>
      <w:r w:rsidR="00DA3308" w:rsidRPr="008C1E5F">
        <w:t>P</w:t>
      </w:r>
      <w:r w:rsidRPr="008C1E5F">
        <w:t>lacement, early college, trades</w:t>
      </w:r>
      <w:r w:rsidR="006548E3" w:rsidRPr="008C1E5F">
        <w:t>..</w:t>
      </w:r>
      <w:r w:rsidRPr="008C1E5F">
        <w:t>.</w:t>
      </w:r>
      <w:r w:rsidR="006548E3" w:rsidRPr="008C1E5F">
        <w:t>.</w:t>
      </w:r>
      <w:r w:rsidRPr="008C1E5F">
        <w:t xml:space="preserve"> </w:t>
      </w:r>
      <w:r w:rsidR="003A011A" w:rsidRPr="008C1E5F">
        <w:t>[I</w:t>
      </w:r>
      <w:r w:rsidR="000D2561" w:rsidRPr="008C1E5F">
        <w:t>’</w:t>
      </w:r>
      <w:r w:rsidR="003A011A" w:rsidRPr="008C1E5F">
        <w:t xml:space="preserve">d like to </w:t>
      </w:r>
      <w:r w:rsidR="00F65854" w:rsidRPr="008C1E5F">
        <w:t>have</w:t>
      </w:r>
      <w:r w:rsidR="0083364B" w:rsidRPr="008C1E5F">
        <w:t>]</w:t>
      </w:r>
      <w:r w:rsidRPr="008C1E5F">
        <w:t xml:space="preserve"> one place where you can go </w:t>
      </w:r>
      <w:r w:rsidR="007F36C4" w:rsidRPr="008C1E5F">
        <w:t>to</w:t>
      </w:r>
      <w:r w:rsidR="000D2561" w:rsidRPr="008C1E5F">
        <w:t>.</w:t>
      </w:r>
      <w:r w:rsidR="007F36C4" w:rsidRPr="008C1E5F">
        <w:t>... Y</w:t>
      </w:r>
      <w:r w:rsidRPr="008C1E5F">
        <w:t>ou can</w:t>
      </w:r>
      <w:r w:rsidR="000D2561" w:rsidRPr="008C1E5F">
        <w:t>’</w:t>
      </w:r>
      <w:r w:rsidRPr="008C1E5F">
        <w:t>t easily navigate the information.</w:t>
      </w:r>
    </w:p>
    <w:p w14:paraId="28BE98B0" w14:textId="6196E2C1" w:rsidR="0019723F" w:rsidRPr="008C1E5F" w:rsidRDefault="002477B3" w:rsidP="00455FDE">
      <w:pPr>
        <w:pStyle w:val="BodyText"/>
      </w:pPr>
      <w:r w:rsidRPr="008C1E5F">
        <w:t xml:space="preserve">Communicating with parents about the opportunities available to their children at the high school level is an area </w:t>
      </w:r>
      <w:r w:rsidR="0044036C">
        <w:t>for</w:t>
      </w:r>
      <w:r w:rsidRPr="008C1E5F">
        <w:t xml:space="preserve"> growth for the district</w:t>
      </w:r>
      <w:r w:rsidR="00C726CA" w:rsidRPr="008C1E5F">
        <w:t xml:space="preserve">. </w:t>
      </w:r>
    </w:p>
    <w:p w14:paraId="0D92C3B6" w14:textId="248D8BF6" w:rsidR="00320588" w:rsidRPr="008C1E5F" w:rsidRDefault="00320588" w:rsidP="00320588">
      <w:pPr>
        <w:pStyle w:val="Heading3"/>
      </w:pPr>
      <w:bookmarkStart w:id="64" w:name="_Effective_Instruction_and"/>
      <w:bookmarkStart w:id="65" w:name="_Toc195024219"/>
      <w:bookmarkEnd w:id="64"/>
      <w:r w:rsidRPr="008C1E5F">
        <w:t>Effective Instruction and Curricular Implementation</w:t>
      </w:r>
      <w:bookmarkEnd w:id="65"/>
    </w:p>
    <w:p w14:paraId="22AE22E2" w14:textId="50290D1A" w:rsidR="002A2080" w:rsidRPr="008C1E5F" w:rsidRDefault="002A2080" w:rsidP="00455FDE">
      <w:pPr>
        <w:pStyle w:val="BodyTextposthead"/>
        <w:rPr>
          <w:spacing w:val="-2"/>
        </w:rPr>
      </w:pPr>
      <w:r w:rsidRPr="008C1E5F">
        <w:rPr>
          <w:spacing w:val="-2"/>
        </w:rPr>
        <w:t>Teachers</w:t>
      </w:r>
      <w:r w:rsidR="002C208B" w:rsidRPr="008C1E5F">
        <w:rPr>
          <w:spacing w:val="-2"/>
        </w:rPr>
        <w:t xml:space="preserve">, </w:t>
      </w:r>
      <w:r w:rsidR="006369FB" w:rsidRPr="008C1E5F">
        <w:rPr>
          <w:spacing w:val="-2"/>
        </w:rPr>
        <w:t>school leaders, and district staff generally agreed</w:t>
      </w:r>
      <w:r w:rsidR="00AC6F89">
        <w:rPr>
          <w:spacing w:val="-2"/>
        </w:rPr>
        <w:t xml:space="preserve"> that</w:t>
      </w:r>
      <w:r w:rsidRPr="008C1E5F">
        <w:rPr>
          <w:spacing w:val="-2"/>
        </w:rPr>
        <w:t xml:space="preserve"> their district prioritizes providing </w:t>
      </w:r>
      <w:bookmarkStart w:id="66" w:name="_Int_df41SQnn"/>
      <w:r w:rsidRPr="008C1E5F">
        <w:rPr>
          <w:spacing w:val="-2"/>
        </w:rPr>
        <w:t>supports</w:t>
      </w:r>
      <w:bookmarkEnd w:id="66"/>
      <w:r w:rsidRPr="008C1E5F">
        <w:rPr>
          <w:spacing w:val="-2"/>
        </w:rPr>
        <w:t xml:space="preserve"> for developing a safe and supportive learning environment in which all students can engage in academic content. These supports include</w:t>
      </w:r>
      <w:r w:rsidR="00851320" w:rsidRPr="008C1E5F">
        <w:rPr>
          <w:spacing w:val="-2"/>
        </w:rPr>
        <w:t xml:space="preserve"> providing culturally relevant materials</w:t>
      </w:r>
      <w:r w:rsidR="00A24DD5" w:rsidRPr="008C1E5F">
        <w:rPr>
          <w:spacing w:val="-2"/>
        </w:rPr>
        <w:t xml:space="preserve"> and</w:t>
      </w:r>
      <w:r w:rsidR="00416688" w:rsidRPr="008C1E5F">
        <w:rPr>
          <w:spacing w:val="-2"/>
        </w:rPr>
        <w:t xml:space="preserve"> adjusting lessons to meet the needs of in</w:t>
      </w:r>
      <w:r w:rsidR="0063771A" w:rsidRPr="008C1E5F">
        <w:rPr>
          <w:spacing w:val="-2"/>
        </w:rPr>
        <w:t>dividual students</w:t>
      </w:r>
      <w:r w:rsidR="000D2561" w:rsidRPr="008C1E5F">
        <w:rPr>
          <w:spacing w:val="-2"/>
        </w:rPr>
        <w:t>.</w:t>
      </w:r>
      <w:r w:rsidR="0063771A" w:rsidRPr="008C1E5F">
        <w:rPr>
          <w:spacing w:val="-2"/>
        </w:rPr>
        <w:t xml:space="preserve"> </w:t>
      </w:r>
      <w:r w:rsidRPr="008C1E5F">
        <w:rPr>
          <w:spacing w:val="-2"/>
        </w:rPr>
        <w:t>Students agreed</w:t>
      </w:r>
      <w:r w:rsidR="004E54B8" w:rsidRPr="008C1E5F">
        <w:rPr>
          <w:spacing w:val="-2"/>
        </w:rPr>
        <w:t xml:space="preserve">, </w:t>
      </w:r>
      <w:r w:rsidR="00FA01B4" w:rsidRPr="008C1E5F">
        <w:rPr>
          <w:spacing w:val="-2"/>
        </w:rPr>
        <w:t xml:space="preserve">saying that </w:t>
      </w:r>
      <w:r w:rsidR="00E2781B" w:rsidRPr="008C1E5F">
        <w:rPr>
          <w:spacing w:val="-2"/>
        </w:rPr>
        <w:t>the</w:t>
      </w:r>
      <w:r w:rsidR="00B854A7" w:rsidRPr="008C1E5F">
        <w:rPr>
          <w:spacing w:val="-2"/>
        </w:rPr>
        <w:t xml:space="preserve"> content in most </w:t>
      </w:r>
      <w:r w:rsidR="00E2781B" w:rsidRPr="008C1E5F">
        <w:rPr>
          <w:spacing w:val="-2"/>
        </w:rPr>
        <w:t>of their</w:t>
      </w:r>
      <w:r w:rsidR="00B854A7" w:rsidRPr="008C1E5F">
        <w:rPr>
          <w:spacing w:val="-2"/>
        </w:rPr>
        <w:t xml:space="preserve"> courses </w:t>
      </w:r>
      <w:r w:rsidR="00F702D1" w:rsidRPr="008C1E5F">
        <w:rPr>
          <w:spacing w:val="-2"/>
        </w:rPr>
        <w:t>felt</w:t>
      </w:r>
      <w:r w:rsidR="00B854A7" w:rsidRPr="008C1E5F">
        <w:rPr>
          <w:spacing w:val="-2"/>
        </w:rPr>
        <w:t xml:space="preserve"> relevant to their lives. High school</w:t>
      </w:r>
      <w:r w:rsidR="00F702D1" w:rsidRPr="008C1E5F">
        <w:rPr>
          <w:spacing w:val="-2"/>
        </w:rPr>
        <w:t xml:space="preserve"> students</w:t>
      </w:r>
      <w:r w:rsidR="00BC7302" w:rsidRPr="008C1E5F">
        <w:rPr>
          <w:spacing w:val="-2"/>
        </w:rPr>
        <w:t xml:space="preserve"> </w:t>
      </w:r>
      <w:r w:rsidR="00BD19FE" w:rsidRPr="008C1E5F">
        <w:rPr>
          <w:spacing w:val="-2"/>
        </w:rPr>
        <w:t>particularly appreciated the opportunity to select research projects on topics that interested them.</w:t>
      </w:r>
      <w:r w:rsidR="00B854A7" w:rsidRPr="008C1E5F">
        <w:rPr>
          <w:b/>
          <w:bCs/>
          <w:i/>
          <w:iCs/>
          <w:spacing w:val="-2"/>
        </w:rPr>
        <w:t xml:space="preserve"> </w:t>
      </w:r>
      <w:r w:rsidRPr="008C1E5F">
        <w:rPr>
          <w:spacing w:val="-2"/>
        </w:rPr>
        <w:t>Classroom observation scores in the middle</w:t>
      </w:r>
      <w:r w:rsidR="000D2561" w:rsidRPr="008C1E5F">
        <w:rPr>
          <w:spacing w:val="-2"/>
        </w:rPr>
        <w:t xml:space="preserve"> to </w:t>
      </w:r>
      <w:r w:rsidRPr="008C1E5F">
        <w:rPr>
          <w:spacing w:val="-2"/>
        </w:rPr>
        <w:t>high range for dimensions in the Emotional Support domain in the K-5 grade band</w:t>
      </w:r>
      <w:r w:rsidR="00AA7460" w:rsidRPr="008C1E5F">
        <w:rPr>
          <w:spacing w:val="-2"/>
        </w:rPr>
        <w:t xml:space="preserve"> (average 5.2)</w:t>
      </w:r>
      <w:r w:rsidRPr="008C1E5F">
        <w:rPr>
          <w:spacing w:val="-2"/>
        </w:rPr>
        <w:t xml:space="preserve"> and in the middle range in the 6-8 and 9-12 grade bands</w:t>
      </w:r>
      <w:r w:rsidR="00AA7460" w:rsidRPr="008C1E5F">
        <w:rPr>
          <w:spacing w:val="-2"/>
        </w:rPr>
        <w:t xml:space="preserve"> (averages 4.0 and </w:t>
      </w:r>
      <w:r w:rsidR="002C5570" w:rsidRPr="008C1E5F">
        <w:rPr>
          <w:spacing w:val="-2"/>
        </w:rPr>
        <w:t>4.2, respectively)</w:t>
      </w:r>
      <w:r w:rsidRPr="008C1E5F">
        <w:rPr>
          <w:spacing w:val="-2"/>
        </w:rPr>
        <w:t xml:space="preserve"> </w:t>
      </w:r>
      <w:r w:rsidR="00C309A9" w:rsidRPr="008C1E5F">
        <w:rPr>
          <w:spacing w:val="-2"/>
        </w:rPr>
        <w:t>partially support</w:t>
      </w:r>
      <w:r w:rsidRPr="008C1E5F">
        <w:rPr>
          <w:spacing w:val="-2"/>
        </w:rPr>
        <w:t xml:space="preserve"> these depictions</w:t>
      </w:r>
      <w:r w:rsidR="002C5570" w:rsidRPr="008C1E5F">
        <w:rPr>
          <w:spacing w:val="-2"/>
        </w:rPr>
        <w:t xml:space="preserve">. In </w:t>
      </w:r>
      <w:r w:rsidR="00396ADD" w:rsidRPr="008C1E5F">
        <w:rPr>
          <w:spacing w:val="-2"/>
        </w:rPr>
        <w:t>contras</w:t>
      </w:r>
      <w:r w:rsidR="00DC35B1" w:rsidRPr="008C1E5F">
        <w:rPr>
          <w:spacing w:val="-2"/>
        </w:rPr>
        <w:t>t,</w:t>
      </w:r>
      <w:r w:rsidR="00DA2FC4" w:rsidRPr="008C1E5F">
        <w:rPr>
          <w:spacing w:val="-2"/>
        </w:rPr>
        <w:t xml:space="preserve"> lower scores in Regard for </w:t>
      </w:r>
      <w:r w:rsidR="008319A3" w:rsidRPr="008C1E5F">
        <w:rPr>
          <w:spacing w:val="-2"/>
        </w:rPr>
        <w:t>Student Perspectives (</w:t>
      </w:r>
      <w:r w:rsidR="000D2561" w:rsidRPr="008C1E5F">
        <w:rPr>
          <w:spacing w:val="-2"/>
        </w:rPr>
        <w:t xml:space="preserve">averages </w:t>
      </w:r>
      <w:r w:rsidR="008319A3" w:rsidRPr="008C1E5F">
        <w:rPr>
          <w:spacing w:val="-2"/>
        </w:rPr>
        <w:t>3.1 in K-5, 2.5 in 6-8, and 2.9 in 9-12)</w:t>
      </w:r>
      <w:r w:rsidR="00843F20" w:rsidRPr="008C1E5F">
        <w:rPr>
          <w:spacing w:val="-2"/>
        </w:rPr>
        <w:t xml:space="preserve"> </w:t>
      </w:r>
      <w:r w:rsidR="00AF476B" w:rsidRPr="008C1E5F">
        <w:rPr>
          <w:spacing w:val="-2"/>
        </w:rPr>
        <w:t>suggest that</w:t>
      </w:r>
      <w:r w:rsidR="00843F20" w:rsidRPr="008C1E5F">
        <w:rPr>
          <w:spacing w:val="-2"/>
        </w:rPr>
        <w:t xml:space="preserve"> student choice is limited in lessons</w:t>
      </w:r>
      <w:r w:rsidR="00BB0B80" w:rsidRPr="008C1E5F">
        <w:rPr>
          <w:spacing w:val="-2"/>
        </w:rPr>
        <w:t xml:space="preserve">. </w:t>
      </w:r>
    </w:p>
    <w:p w14:paraId="1134A717" w14:textId="5F3A05CF" w:rsidR="002A2080" w:rsidRPr="008C1E5F" w:rsidRDefault="002A2080" w:rsidP="00455FDE">
      <w:pPr>
        <w:pStyle w:val="BodyText"/>
        <w:rPr>
          <w:b/>
          <w:bCs/>
        </w:rPr>
      </w:pPr>
      <w:r w:rsidRPr="008C1E5F">
        <w:t xml:space="preserve">The district </w:t>
      </w:r>
      <w:r w:rsidR="002E059C" w:rsidRPr="008C1E5F">
        <w:t xml:space="preserve">provides </w:t>
      </w:r>
      <w:r w:rsidR="00AC2BEC" w:rsidRPr="008C1E5F">
        <w:t xml:space="preserve">detailed </w:t>
      </w:r>
      <w:r w:rsidR="002E059C" w:rsidRPr="008C1E5F">
        <w:t xml:space="preserve">curriculum implementation guides </w:t>
      </w:r>
      <w:r w:rsidR="00AC2BEC" w:rsidRPr="008C1E5F">
        <w:t>for ELA at all levels, for math</w:t>
      </w:r>
      <w:r w:rsidR="000D2561" w:rsidRPr="008C1E5F">
        <w:t>ematics</w:t>
      </w:r>
      <w:r w:rsidR="00AC2BEC" w:rsidRPr="008C1E5F">
        <w:t xml:space="preserve"> and science in </w:t>
      </w:r>
      <w:r w:rsidR="000D2561" w:rsidRPr="008C1E5F">
        <w:t>G</w:t>
      </w:r>
      <w:r w:rsidR="00AC2BEC" w:rsidRPr="008C1E5F">
        <w:t>rades K</w:t>
      </w:r>
      <w:r w:rsidR="000B1C4E" w:rsidRPr="008C1E5F">
        <w:t>-</w:t>
      </w:r>
      <w:r w:rsidR="00AC2BEC" w:rsidRPr="008C1E5F">
        <w:t xml:space="preserve">8, </w:t>
      </w:r>
      <w:r w:rsidR="00412030" w:rsidRPr="008C1E5F">
        <w:t xml:space="preserve">and for selected </w:t>
      </w:r>
      <w:r w:rsidR="008E785F" w:rsidRPr="008C1E5F">
        <w:t>courses</w:t>
      </w:r>
      <w:r w:rsidR="00412030" w:rsidRPr="008C1E5F">
        <w:t xml:space="preserve"> in</w:t>
      </w:r>
      <w:r w:rsidR="008E785F" w:rsidRPr="008C1E5F">
        <w:t xml:space="preserve"> the arts, CTE, and social sciences</w:t>
      </w:r>
      <w:r w:rsidRPr="008C1E5F">
        <w:t>. Teacher</w:t>
      </w:r>
      <w:r w:rsidR="00177B5E" w:rsidRPr="008C1E5F">
        <w:t>s note</w:t>
      </w:r>
      <w:r w:rsidR="003C7AF2" w:rsidRPr="008C1E5F">
        <w:t>d</w:t>
      </w:r>
      <w:r w:rsidR="00177B5E" w:rsidRPr="008C1E5F">
        <w:t xml:space="preserve"> that these guides do not always reflect the reality of class period lengths and the timing of benchmarks, </w:t>
      </w:r>
      <w:r w:rsidR="008E448C" w:rsidRPr="008C1E5F">
        <w:t xml:space="preserve">so they find </w:t>
      </w:r>
      <w:r w:rsidR="005E49A2" w:rsidRPr="008C1E5F">
        <w:t xml:space="preserve">following these </w:t>
      </w:r>
      <w:r w:rsidR="008627E7" w:rsidRPr="008C1E5F">
        <w:t xml:space="preserve">pacing </w:t>
      </w:r>
      <w:r w:rsidR="005E49A2" w:rsidRPr="008C1E5F">
        <w:t xml:space="preserve">guides to be </w:t>
      </w:r>
      <w:r w:rsidR="00177B5E" w:rsidRPr="008C1E5F">
        <w:t>challeng</w:t>
      </w:r>
      <w:r w:rsidR="00734470" w:rsidRPr="008C1E5F">
        <w:t>ing</w:t>
      </w:r>
      <w:r w:rsidR="009C3914">
        <w:t xml:space="preserve"> (see</w:t>
      </w:r>
      <w:r w:rsidR="00560E70">
        <w:t xml:space="preserve"> Curriculum and Instructional Materials)</w:t>
      </w:r>
      <w:r w:rsidR="00177B5E" w:rsidRPr="008C1E5F">
        <w:t xml:space="preserve">. </w:t>
      </w:r>
      <w:r w:rsidR="002D483F" w:rsidRPr="008C1E5F">
        <w:t xml:space="preserve">Teachers </w:t>
      </w:r>
      <w:r w:rsidRPr="008C1E5F">
        <w:t>reported the district requires that teachers identify both content and language objectives for all lessons</w:t>
      </w:r>
      <w:r w:rsidR="003941E6" w:rsidRPr="008C1E5F">
        <w:t xml:space="preserve"> and to share these objectives with their students</w:t>
      </w:r>
      <w:r w:rsidR="0051504A" w:rsidRPr="008C1E5F">
        <w:t xml:space="preserve"> in </w:t>
      </w:r>
      <w:r w:rsidR="003E7F85" w:rsidRPr="008C1E5F">
        <w:t>accessible terms</w:t>
      </w:r>
      <w:r w:rsidR="00662E0A" w:rsidRPr="008C1E5F">
        <w:t>. School leaders and teachers agree</w:t>
      </w:r>
      <w:r w:rsidR="00F26431" w:rsidRPr="008C1E5F">
        <w:t>d</w:t>
      </w:r>
      <w:r w:rsidR="00662E0A" w:rsidRPr="008C1E5F">
        <w:t xml:space="preserve"> that</w:t>
      </w:r>
      <w:r w:rsidR="00CD2C98" w:rsidRPr="008C1E5F">
        <w:t xml:space="preserve"> they develop and share these objective</w:t>
      </w:r>
      <w:r w:rsidR="00F26431" w:rsidRPr="008C1E5F">
        <w:t>s</w:t>
      </w:r>
      <w:r w:rsidR="00CD2C98" w:rsidRPr="008C1E5F">
        <w:t xml:space="preserve"> in</w:t>
      </w:r>
      <w:r w:rsidR="00662E0A" w:rsidRPr="008C1E5F">
        <w:t xml:space="preserve"> PLCs</w:t>
      </w:r>
      <w:r w:rsidR="00CD2C98" w:rsidRPr="008C1E5F">
        <w:t xml:space="preserve">, which </w:t>
      </w:r>
      <w:r w:rsidR="00672FE6" w:rsidRPr="008C1E5F">
        <w:t xml:space="preserve">exist at </w:t>
      </w:r>
      <w:r w:rsidR="0025374A" w:rsidRPr="008C1E5F">
        <w:t xml:space="preserve">all schools and meet </w:t>
      </w:r>
      <w:r w:rsidR="00734470" w:rsidRPr="008C1E5F">
        <w:t>weekly</w:t>
      </w:r>
      <w:r w:rsidR="0025374A" w:rsidRPr="008C1E5F">
        <w:t>.</w:t>
      </w:r>
      <w:r w:rsidR="00662E0A" w:rsidRPr="008C1E5F">
        <w:t xml:space="preserve"> </w:t>
      </w:r>
      <w:r w:rsidR="00F26431" w:rsidRPr="008C1E5F">
        <w:t xml:space="preserve">Students </w:t>
      </w:r>
      <w:r w:rsidR="00781544" w:rsidRPr="008C1E5F">
        <w:t>agreed</w:t>
      </w:r>
      <w:r w:rsidR="00F26431" w:rsidRPr="008C1E5F">
        <w:t xml:space="preserve"> that </w:t>
      </w:r>
      <w:r w:rsidR="004C4B77" w:rsidRPr="008C1E5F">
        <w:t>most</w:t>
      </w:r>
      <w:r w:rsidR="00F26431" w:rsidRPr="008C1E5F">
        <w:t xml:space="preserve"> teachers share objectives</w:t>
      </w:r>
      <w:r w:rsidR="004C4B77" w:rsidRPr="008C1E5F">
        <w:t xml:space="preserve"> but noted a few exceptions</w:t>
      </w:r>
      <w:r w:rsidR="00657F98" w:rsidRPr="008C1E5F">
        <w:t xml:space="preserve">, </w:t>
      </w:r>
      <w:r w:rsidR="00B76B5D" w:rsidRPr="008C1E5F">
        <w:t xml:space="preserve">with one student </w:t>
      </w:r>
      <w:r w:rsidR="00657F98" w:rsidRPr="008C1E5F">
        <w:t>saying</w:t>
      </w:r>
      <w:r w:rsidR="00B76B5D" w:rsidRPr="008C1E5F">
        <w:t>,</w:t>
      </w:r>
      <w:r w:rsidR="00657F98" w:rsidRPr="008C1E5F">
        <w:t xml:space="preserve"> “</w:t>
      </w:r>
      <w:r w:rsidR="00737F2D" w:rsidRPr="008C1E5F">
        <w:t xml:space="preserve">Some teachers </w:t>
      </w:r>
      <w:r w:rsidR="0026551C" w:rsidRPr="008C1E5F">
        <w:t xml:space="preserve">[are better </w:t>
      </w:r>
      <w:r w:rsidR="00526416" w:rsidRPr="008C1E5F">
        <w:t>than others at</w:t>
      </w:r>
      <w:r w:rsidR="00451BE3" w:rsidRPr="008C1E5F">
        <w:t>] explaining not just the lesson but the core you’re supposed to get out of it</w:t>
      </w:r>
      <w:r w:rsidR="004C4B77" w:rsidRPr="008C1E5F">
        <w:t>.</w:t>
      </w:r>
      <w:r w:rsidR="00526416" w:rsidRPr="008C1E5F">
        <w:t>”</w:t>
      </w:r>
    </w:p>
    <w:p w14:paraId="0AD068EC" w14:textId="0222A45E" w:rsidR="00E4738D" w:rsidRPr="008C1E5F" w:rsidRDefault="00B65D0C" w:rsidP="00455FDE">
      <w:pPr>
        <w:pStyle w:val="BodyText"/>
      </w:pPr>
      <w:r w:rsidRPr="008C1E5F">
        <w:t>According to teachers</w:t>
      </w:r>
      <w:r w:rsidR="003751DB" w:rsidRPr="008C1E5F">
        <w:t xml:space="preserve"> across the district</w:t>
      </w:r>
      <w:r w:rsidRPr="008C1E5F">
        <w:t xml:space="preserve">, </w:t>
      </w:r>
      <w:r w:rsidR="001A2E2C" w:rsidRPr="008C1E5F">
        <w:t>the</w:t>
      </w:r>
      <w:r w:rsidRPr="008C1E5F">
        <w:t xml:space="preserve"> district supports </w:t>
      </w:r>
      <w:r w:rsidR="006C1A14" w:rsidRPr="008C1E5F">
        <w:t>teachers</w:t>
      </w:r>
      <w:r w:rsidRPr="008C1E5F">
        <w:t xml:space="preserve"> in implementing evidence-based instructional practices by</w:t>
      </w:r>
      <w:r w:rsidR="002E396B" w:rsidRPr="008C1E5F">
        <w:t xml:space="preserve"> providing </w:t>
      </w:r>
      <w:r w:rsidR="00FF6508" w:rsidRPr="008C1E5F">
        <w:t>professional development from curriculum providers</w:t>
      </w:r>
      <w:r w:rsidR="009E434F" w:rsidRPr="008C1E5F">
        <w:t xml:space="preserve"> (e.g., Amplify, Carnegie</w:t>
      </w:r>
      <w:r w:rsidR="00F76A9A" w:rsidRPr="008C1E5F">
        <w:t>, The Hill for Literacy</w:t>
      </w:r>
      <w:r w:rsidR="009E434F" w:rsidRPr="008C1E5F">
        <w:t>)</w:t>
      </w:r>
      <w:r w:rsidR="00FF6508" w:rsidRPr="008C1E5F">
        <w:t xml:space="preserve"> and </w:t>
      </w:r>
      <w:r w:rsidR="000E1BFD" w:rsidRPr="008C1E5F">
        <w:t xml:space="preserve">on instructional practices, </w:t>
      </w:r>
      <w:r w:rsidR="00A13CE6" w:rsidRPr="008C1E5F">
        <w:t xml:space="preserve">having </w:t>
      </w:r>
      <w:proofErr w:type="gramStart"/>
      <w:r w:rsidR="00A13CE6" w:rsidRPr="008C1E5F">
        <w:t>coaching</w:t>
      </w:r>
      <w:proofErr w:type="gramEnd"/>
      <w:r w:rsidR="00A13CE6" w:rsidRPr="008C1E5F">
        <w:t xml:space="preserve"> available, and </w:t>
      </w:r>
      <w:r w:rsidRPr="008C1E5F">
        <w:t xml:space="preserve">conducting walkthroughs and observations on a regular basis. As mentioned </w:t>
      </w:r>
      <w:r w:rsidR="00847941" w:rsidRPr="008C1E5F">
        <w:t>previously</w:t>
      </w:r>
      <w:r w:rsidRPr="008C1E5F">
        <w:t>,</w:t>
      </w:r>
      <w:r w:rsidR="00847941" w:rsidRPr="008C1E5F">
        <w:t xml:space="preserve"> all </w:t>
      </w:r>
      <w:r w:rsidR="00F76A9A" w:rsidRPr="008C1E5F">
        <w:t xml:space="preserve">teachers participate in </w:t>
      </w:r>
      <w:r w:rsidR="00847941" w:rsidRPr="008C1E5F">
        <w:t xml:space="preserve">weekly </w:t>
      </w:r>
      <w:r w:rsidR="00F76A9A" w:rsidRPr="008C1E5F">
        <w:t xml:space="preserve">PLCs facilitated by department leaders </w:t>
      </w:r>
      <w:r w:rsidR="00847941" w:rsidRPr="008C1E5F">
        <w:t xml:space="preserve">to </w:t>
      </w:r>
      <w:r w:rsidR="00F76A9A" w:rsidRPr="008C1E5F">
        <w:t xml:space="preserve">engage regularly in </w:t>
      </w:r>
      <w:r w:rsidR="00836A94" w:rsidRPr="008C1E5F">
        <w:t xml:space="preserve">lesson and unit internalization protocols </w:t>
      </w:r>
      <w:r w:rsidR="00847941" w:rsidRPr="008C1E5F">
        <w:t xml:space="preserve">to </w:t>
      </w:r>
      <w:r w:rsidR="00AC158A" w:rsidRPr="008C1E5F">
        <w:t>support teachers</w:t>
      </w:r>
      <w:r w:rsidR="00847941" w:rsidRPr="008C1E5F">
        <w:t xml:space="preserve"> with lesson planning and </w:t>
      </w:r>
      <w:r w:rsidR="00511367" w:rsidRPr="008C1E5F">
        <w:t>supporting diverse learners</w:t>
      </w:r>
      <w:r w:rsidR="00AC158A" w:rsidRPr="008C1E5F">
        <w:t>.</w:t>
      </w:r>
      <w:r w:rsidR="00847941" w:rsidRPr="008C1E5F">
        <w:t xml:space="preserve"> </w:t>
      </w:r>
      <w:r w:rsidR="00132033" w:rsidRPr="008C1E5F">
        <w:t xml:space="preserve">Additionally, </w:t>
      </w:r>
      <w:r w:rsidRPr="008C1E5F">
        <w:t>walkthroughs</w:t>
      </w:r>
      <w:r w:rsidR="0012035C" w:rsidRPr="008C1E5F">
        <w:t xml:space="preserve"> </w:t>
      </w:r>
      <w:r w:rsidRPr="008C1E5F">
        <w:t xml:space="preserve">focus </w:t>
      </w:r>
      <w:r w:rsidR="00B76B5D" w:rsidRPr="008C1E5F">
        <w:t xml:space="preserve">primarily </w:t>
      </w:r>
      <w:r w:rsidRPr="008C1E5F">
        <w:t>on schools</w:t>
      </w:r>
      <w:r w:rsidR="0012035C" w:rsidRPr="008C1E5F">
        <w:t xml:space="preserve"> </w:t>
      </w:r>
      <w:r w:rsidR="00332CCD">
        <w:t xml:space="preserve">identified </w:t>
      </w:r>
      <w:r w:rsidR="0012035C" w:rsidRPr="008C1E5F">
        <w:t xml:space="preserve">in the </w:t>
      </w:r>
      <w:r w:rsidR="00332CCD">
        <w:t>state’s</w:t>
      </w:r>
      <w:r w:rsidR="0012035C" w:rsidRPr="008C1E5F">
        <w:t xml:space="preserve"> </w:t>
      </w:r>
      <w:r w:rsidR="00E1699B" w:rsidRPr="008C1E5F">
        <w:t>lowest</w:t>
      </w:r>
      <w:r w:rsidR="00CF4600" w:rsidRPr="008C1E5F">
        <w:t xml:space="preserve"> performing</w:t>
      </w:r>
      <w:r w:rsidR="0012035C" w:rsidRPr="008C1E5F">
        <w:t xml:space="preserve"> 10 percent</w:t>
      </w:r>
      <w:r w:rsidR="00CF4600" w:rsidRPr="008C1E5F">
        <w:t xml:space="preserve"> of schools</w:t>
      </w:r>
      <w:r w:rsidR="0012035C" w:rsidRPr="008C1E5F">
        <w:t xml:space="preserve"> </w:t>
      </w:r>
      <w:r w:rsidR="00332CCD">
        <w:t>(</w:t>
      </w:r>
      <w:r w:rsidR="00F03E48" w:rsidRPr="008C1E5F">
        <w:t>Fonseca Elementary</w:t>
      </w:r>
      <w:r w:rsidR="004E7215" w:rsidRPr="008C1E5F">
        <w:t xml:space="preserve"> School</w:t>
      </w:r>
      <w:r w:rsidR="001004E4" w:rsidRPr="008C1E5F">
        <w:t xml:space="preserve">, </w:t>
      </w:r>
      <w:r w:rsidR="004E7215" w:rsidRPr="008C1E5F">
        <w:t xml:space="preserve">Greene Elementary School, </w:t>
      </w:r>
      <w:r w:rsidR="009A7A4F" w:rsidRPr="008C1E5F">
        <w:t xml:space="preserve">Kuss Middle School, Morton Middle School, </w:t>
      </w:r>
      <w:r w:rsidR="001004E4" w:rsidRPr="008C1E5F">
        <w:t xml:space="preserve">Talbot </w:t>
      </w:r>
      <w:r w:rsidR="008D5ECC" w:rsidRPr="008C1E5F">
        <w:t>Innovation</w:t>
      </w:r>
      <w:r w:rsidR="001004E4" w:rsidRPr="008C1E5F">
        <w:t xml:space="preserve"> School, </w:t>
      </w:r>
      <w:r w:rsidR="002318C1" w:rsidRPr="008C1E5F">
        <w:t>and Durfee High School</w:t>
      </w:r>
      <w:r w:rsidR="00332CCD">
        <w:t>)</w:t>
      </w:r>
      <w:r w:rsidR="002318C1" w:rsidRPr="008C1E5F">
        <w:t xml:space="preserve">. </w:t>
      </w:r>
      <w:r w:rsidR="00740F35" w:rsidRPr="008C1E5F">
        <w:t>D</w:t>
      </w:r>
      <w:r w:rsidR="00744857" w:rsidRPr="008C1E5F">
        <w:t>istrict</w:t>
      </w:r>
      <w:r w:rsidR="00B76BC9" w:rsidRPr="008C1E5F">
        <w:t xml:space="preserve"> and school</w:t>
      </w:r>
      <w:r w:rsidR="00744857" w:rsidRPr="008C1E5F">
        <w:t xml:space="preserve"> leaders</w:t>
      </w:r>
      <w:r w:rsidRPr="008C1E5F">
        <w:t xml:space="preserve"> </w:t>
      </w:r>
      <w:r w:rsidR="00740F35" w:rsidRPr="008C1E5F">
        <w:t xml:space="preserve">conduct these walkthroughs, using </w:t>
      </w:r>
      <w:r w:rsidRPr="008C1E5F">
        <w:t xml:space="preserve">DESE’s </w:t>
      </w:r>
      <w:r w:rsidR="0032025F">
        <w:t>content-agnostic observation</w:t>
      </w:r>
      <w:r w:rsidR="0032025F" w:rsidRPr="008C1E5F">
        <w:t xml:space="preserve"> </w:t>
      </w:r>
      <w:r w:rsidRPr="008C1E5F">
        <w:t xml:space="preserve">tool to support high-quality learning </w:t>
      </w:r>
      <w:r w:rsidR="00740F35" w:rsidRPr="008C1E5F">
        <w:t xml:space="preserve">as </w:t>
      </w:r>
      <w:r w:rsidR="00B76BC9" w:rsidRPr="008C1E5F">
        <w:t xml:space="preserve">their rubric </w:t>
      </w:r>
      <w:r w:rsidR="00740F35" w:rsidRPr="008C1E5F">
        <w:t>and look-fors</w:t>
      </w:r>
      <w:r w:rsidRPr="008C1E5F">
        <w:t>.</w:t>
      </w:r>
      <w:r w:rsidR="00740F35" w:rsidRPr="008C1E5F">
        <w:t xml:space="preserve"> </w:t>
      </w:r>
      <w:r w:rsidR="00E4738D" w:rsidRPr="008C1E5F">
        <w:t>D</w:t>
      </w:r>
      <w:r w:rsidR="001466C4" w:rsidRPr="008C1E5F">
        <w:t>istrict leaders, school leaders, and teachers all cited these walkthroughs as helpful</w:t>
      </w:r>
      <w:r w:rsidR="003C0BF1" w:rsidRPr="008C1E5F">
        <w:t xml:space="preserve"> for improving instructional practices</w:t>
      </w:r>
      <w:r w:rsidR="00E4738D" w:rsidRPr="008C1E5F">
        <w:t xml:space="preserve">. </w:t>
      </w:r>
      <w:r w:rsidR="00946286">
        <w:t>The</w:t>
      </w:r>
      <w:r w:rsidR="008F041F">
        <w:t xml:space="preserve"> availability of these supports for teachers to implement evidence-based </w:t>
      </w:r>
      <w:r w:rsidR="00A30D36">
        <w:t xml:space="preserve">instructional practices is a strength of the district. </w:t>
      </w:r>
    </w:p>
    <w:p w14:paraId="04F0E085" w14:textId="75EEEAF6" w:rsidR="00F22CC5" w:rsidRPr="008C1E5F" w:rsidRDefault="00E4738D" w:rsidP="00455FDE">
      <w:pPr>
        <w:pStyle w:val="BodyText"/>
      </w:pPr>
      <w:r w:rsidRPr="008C1E5F">
        <w:lastRenderedPageBreak/>
        <w:t>Yet</w:t>
      </w:r>
      <w:r w:rsidR="00B65D0C" w:rsidRPr="008C1E5F">
        <w:t xml:space="preserve"> </w:t>
      </w:r>
      <w:r w:rsidR="007B2825" w:rsidRPr="008C1E5F">
        <w:t>classroom observation scores in the low to middle range for dimensions in the Instructional Support domain</w:t>
      </w:r>
      <w:r w:rsidR="003241B8" w:rsidRPr="008C1E5F">
        <w:t xml:space="preserve"> across all grade bands indicate that </w:t>
      </w:r>
      <w:r w:rsidR="00AC1DAD" w:rsidRPr="008C1E5F">
        <w:t xml:space="preserve">instructional practices continue to be an area </w:t>
      </w:r>
      <w:r w:rsidR="0044036C">
        <w:t>for</w:t>
      </w:r>
      <w:r w:rsidR="00AC1DAD" w:rsidRPr="008C1E5F">
        <w:t xml:space="preserve"> </w:t>
      </w:r>
      <w:r w:rsidR="00CA5AEA">
        <w:t>improvement</w:t>
      </w:r>
      <w:r w:rsidR="00AC1DAD" w:rsidRPr="008C1E5F">
        <w:t xml:space="preserve">. </w:t>
      </w:r>
      <w:r w:rsidR="00747F55" w:rsidRPr="008C1E5F">
        <w:t>These r</w:t>
      </w:r>
      <w:r w:rsidR="007B2825" w:rsidRPr="008C1E5F">
        <w:t xml:space="preserve">atings </w:t>
      </w:r>
      <w:r w:rsidR="00330C91" w:rsidRPr="008C1E5F">
        <w:t xml:space="preserve">indicate </w:t>
      </w:r>
      <w:r w:rsidR="004C04DC" w:rsidRPr="008C1E5F">
        <w:t xml:space="preserve">inconsistencies across </w:t>
      </w:r>
      <w:r w:rsidR="007B2825" w:rsidRPr="008C1E5F">
        <w:t>teachers</w:t>
      </w:r>
      <w:r w:rsidR="004C04DC" w:rsidRPr="008C1E5F">
        <w:t xml:space="preserve">, </w:t>
      </w:r>
      <w:r w:rsidR="00F22CC5" w:rsidRPr="008C1E5F">
        <w:t xml:space="preserve">such as teachers </w:t>
      </w:r>
      <w:r w:rsidR="007B2825" w:rsidRPr="008C1E5F">
        <w:t xml:space="preserve">sometimes </w:t>
      </w:r>
      <w:r w:rsidR="00F22CC5" w:rsidRPr="008C1E5F">
        <w:t>facilitating student</w:t>
      </w:r>
      <w:r w:rsidR="007B2825" w:rsidRPr="008C1E5F">
        <w:t xml:space="preserve"> engagement in lessons</w:t>
      </w:r>
      <w:r w:rsidR="00B76B5D" w:rsidRPr="008C1E5F">
        <w:t xml:space="preserve">; </w:t>
      </w:r>
      <w:r w:rsidR="00927BF2" w:rsidRPr="008C1E5F">
        <w:t>occasionally facilitating feedback loops with students to expand their thinking</w:t>
      </w:r>
      <w:r w:rsidR="00B76B5D" w:rsidRPr="008C1E5F">
        <w:t xml:space="preserve">; </w:t>
      </w:r>
      <w:r w:rsidR="00F22CC5" w:rsidRPr="008C1E5F">
        <w:t>including</w:t>
      </w:r>
      <w:r w:rsidR="007B2825" w:rsidRPr="008C1E5F">
        <w:t xml:space="preserve"> few opportunities for students to create or generate ideas</w:t>
      </w:r>
      <w:r w:rsidR="00F22CC5" w:rsidRPr="008C1E5F">
        <w:t xml:space="preserve"> and engage in higher order thinking skills</w:t>
      </w:r>
      <w:r w:rsidR="00B76B5D" w:rsidRPr="008C1E5F">
        <w:t xml:space="preserve">; </w:t>
      </w:r>
      <w:r w:rsidR="00F22CC5" w:rsidRPr="008C1E5F">
        <w:t>limiting meaningful discussion and explanation of broad, organizing ideas</w:t>
      </w:r>
      <w:r w:rsidR="00B76B5D" w:rsidRPr="008C1E5F">
        <w:t xml:space="preserve">; </w:t>
      </w:r>
      <w:r w:rsidR="00ED1B04" w:rsidRPr="008C1E5F">
        <w:t xml:space="preserve">and providing few opportunities for discussions in the classrooms. </w:t>
      </w:r>
    </w:p>
    <w:p w14:paraId="40D5D3FE" w14:textId="22D04703" w:rsidR="002B4CEF" w:rsidRPr="008C1E5F" w:rsidRDefault="002B4CEF" w:rsidP="002B4CEF">
      <w:pPr>
        <w:pStyle w:val="Heading3"/>
      </w:pPr>
      <w:bookmarkStart w:id="67" w:name="_Toc195024220"/>
      <w:r w:rsidRPr="008C1E5F">
        <w:t>Recommendations</w:t>
      </w:r>
      <w:bookmarkEnd w:id="67"/>
    </w:p>
    <w:p w14:paraId="1EEADAB5" w14:textId="77777777" w:rsidR="00505366" w:rsidRPr="007B1F14" w:rsidRDefault="00505366" w:rsidP="00505366">
      <w:pPr>
        <w:pStyle w:val="Bullet1"/>
        <w:rPr>
          <w:bCs/>
        </w:rPr>
      </w:pPr>
      <w:r>
        <w:rPr>
          <w:i/>
          <w:iCs/>
        </w:rPr>
        <w:t xml:space="preserve">The district should develop a clear and coherent vision for instruction that guides instructional strategies across all schools and grade levels. </w:t>
      </w:r>
    </w:p>
    <w:p w14:paraId="4C72AC9B" w14:textId="1DB91FED" w:rsidR="009827EE" w:rsidRPr="008C1E5F" w:rsidRDefault="00FE7369">
      <w:pPr>
        <w:pStyle w:val="Bullet1"/>
        <w:rPr>
          <w:bCs/>
        </w:rPr>
      </w:pPr>
      <w:r>
        <w:rPr>
          <w:i/>
          <w:iCs/>
        </w:rPr>
        <w:t xml:space="preserve">The district should address disparities in the time allotted for curricular implementation across schools </w:t>
      </w:r>
      <w:r w:rsidR="007678E0">
        <w:rPr>
          <w:i/>
          <w:iCs/>
        </w:rPr>
        <w:t>to ensure that teachers have enough time to teach the</w:t>
      </w:r>
      <w:r w:rsidR="009827EE">
        <w:rPr>
          <w:i/>
          <w:iCs/>
        </w:rPr>
        <w:t xml:space="preserve"> required lessons according to the district pacing guide. </w:t>
      </w:r>
    </w:p>
    <w:p w14:paraId="46DDAA29" w14:textId="1253429C" w:rsidR="002B4CEF" w:rsidRPr="00950F4A" w:rsidRDefault="00950F4A">
      <w:pPr>
        <w:pStyle w:val="Bullet1"/>
        <w:rPr>
          <w:i/>
        </w:rPr>
      </w:pPr>
      <w:r w:rsidRPr="00950F4A">
        <w:rPr>
          <w:i/>
          <w:iCs/>
        </w:rPr>
        <w:t>The district should examine and address</w:t>
      </w:r>
      <w:r>
        <w:rPr>
          <w:i/>
          <w:iCs/>
        </w:rPr>
        <w:t xml:space="preserve"> the</w:t>
      </w:r>
      <w:r w:rsidRPr="00950F4A">
        <w:rPr>
          <w:i/>
          <w:iCs/>
        </w:rPr>
        <w:t xml:space="preserve"> scheduling and staffing constraints that prevent </w:t>
      </w:r>
      <w:r w:rsidR="00086DA4">
        <w:rPr>
          <w:i/>
          <w:iCs/>
        </w:rPr>
        <w:t>English Learners</w:t>
      </w:r>
      <w:r w:rsidRPr="00950F4A">
        <w:rPr>
          <w:i/>
          <w:iCs/>
        </w:rPr>
        <w:t xml:space="preserve"> from having equitable access to elective courses. </w:t>
      </w:r>
    </w:p>
    <w:p w14:paraId="1E258919" w14:textId="2ED9A107" w:rsidR="00950F4A" w:rsidRPr="00950F4A" w:rsidRDefault="004F6D7C">
      <w:pPr>
        <w:pStyle w:val="Bullet1"/>
        <w:rPr>
          <w:i/>
          <w:iCs/>
        </w:rPr>
      </w:pPr>
      <w:r>
        <w:rPr>
          <w:i/>
          <w:iCs/>
        </w:rPr>
        <w:t>The district should</w:t>
      </w:r>
      <w:r w:rsidR="00D46FFF">
        <w:rPr>
          <w:i/>
          <w:iCs/>
        </w:rPr>
        <w:t xml:space="preserve"> further investigate the root causes of its challenges </w:t>
      </w:r>
      <w:r w:rsidR="00865C95">
        <w:rPr>
          <w:i/>
          <w:iCs/>
        </w:rPr>
        <w:t>around</w:t>
      </w:r>
      <w:r w:rsidR="00D46FFF">
        <w:rPr>
          <w:i/>
          <w:iCs/>
        </w:rPr>
        <w:t xml:space="preserve"> equitably serving </w:t>
      </w:r>
      <w:r w:rsidR="00086DA4">
        <w:rPr>
          <w:i/>
          <w:iCs/>
        </w:rPr>
        <w:t>S</w:t>
      </w:r>
      <w:r w:rsidR="00D46FFF">
        <w:rPr>
          <w:i/>
          <w:iCs/>
        </w:rPr>
        <w:t xml:space="preserve">tudents with </w:t>
      </w:r>
      <w:r w:rsidR="00086DA4">
        <w:rPr>
          <w:i/>
          <w:iCs/>
        </w:rPr>
        <w:t>D</w:t>
      </w:r>
      <w:r w:rsidR="00D46FFF">
        <w:rPr>
          <w:i/>
          <w:iCs/>
        </w:rPr>
        <w:t xml:space="preserve">isabilities and leverage support from its technical assistance provider </w:t>
      </w:r>
      <w:r w:rsidR="00F84EFB">
        <w:rPr>
          <w:i/>
          <w:iCs/>
        </w:rPr>
        <w:t xml:space="preserve">to improve outcomes and opportunities for </w:t>
      </w:r>
      <w:r w:rsidR="00086DA4">
        <w:rPr>
          <w:i/>
          <w:iCs/>
        </w:rPr>
        <w:t>this student group.</w:t>
      </w:r>
    </w:p>
    <w:p w14:paraId="32B00D53" w14:textId="5944F6E3" w:rsidR="001A61D2" w:rsidRPr="00950F4A" w:rsidRDefault="001A61D2">
      <w:pPr>
        <w:pStyle w:val="Bullet1"/>
        <w:rPr>
          <w:i/>
          <w:iCs/>
        </w:rPr>
      </w:pPr>
      <w:r>
        <w:rPr>
          <w:i/>
          <w:iCs/>
        </w:rPr>
        <w:t xml:space="preserve">The district should develop a </w:t>
      </w:r>
      <w:r w:rsidR="00B9672F">
        <w:rPr>
          <w:i/>
          <w:iCs/>
        </w:rPr>
        <w:t xml:space="preserve">centralized </w:t>
      </w:r>
      <w:r w:rsidR="00357906">
        <w:rPr>
          <w:i/>
          <w:iCs/>
        </w:rPr>
        <w:t>system for informing students and families</w:t>
      </w:r>
      <w:r w:rsidR="00B9672F">
        <w:rPr>
          <w:i/>
          <w:iCs/>
        </w:rPr>
        <w:t xml:space="preserve"> of</w:t>
      </w:r>
      <w:r w:rsidR="00357906">
        <w:rPr>
          <w:i/>
          <w:iCs/>
        </w:rPr>
        <w:t xml:space="preserve"> the various</w:t>
      </w:r>
      <w:r w:rsidR="009B67F1">
        <w:rPr>
          <w:i/>
          <w:iCs/>
        </w:rPr>
        <w:t xml:space="preserve"> opportunities, pathways, and programs available to high school students. </w:t>
      </w:r>
    </w:p>
    <w:p w14:paraId="366F3518" w14:textId="77777777" w:rsidR="008D6102" w:rsidRPr="008C1E5F" w:rsidRDefault="008D6102" w:rsidP="008D6102">
      <w:pPr>
        <w:pStyle w:val="Heading2"/>
      </w:pPr>
      <w:bookmarkStart w:id="68" w:name="_Assessment"/>
      <w:bookmarkStart w:id="69" w:name="_Toc101446229"/>
      <w:bookmarkStart w:id="70" w:name="_Toc190886738"/>
      <w:bookmarkStart w:id="71" w:name="_Toc195024221"/>
      <w:bookmarkEnd w:id="68"/>
      <w:r w:rsidRPr="008C1E5F">
        <w:lastRenderedPageBreak/>
        <w:t>Assessment</w:t>
      </w:r>
      <w:bookmarkEnd w:id="69"/>
      <w:bookmarkEnd w:id="70"/>
      <w:bookmarkEnd w:id="71"/>
    </w:p>
    <w:p w14:paraId="705C8AD2" w14:textId="6585A3C1" w:rsidR="00B74C1F" w:rsidRPr="008C1E5F" w:rsidRDefault="00B74C1F" w:rsidP="00455FDE">
      <w:pPr>
        <w:pStyle w:val="BodyText"/>
      </w:pPr>
      <w:r w:rsidRPr="008C1E5F">
        <w:t xml:space="preserve">This section examines the extent to which, through the establishment of strategic data and assessment systems, the district supports a robust, data-centered culture that advances equitable student experiences and outcomes. It also focuses on the extent to which the district collects an array of data and uses </w:t>
      </w:r>
      <w:r w:rsidR="00B76B5D" w:rsidRPr="008C1E5F">
        <w:t xml:space="preserve">those data </w:t>
      </w:r>
      <w:r w:rsidRPr="008C1E5F">
        <w:t xml:space="preserve">to inform decisions at the classroom, school, and district levels as well as the ways in which, by analyzing assessment results and other data, educators develop an understanding of the whole student, can examine trends across student groups, and can adjust their instruction accordingly. </w:t>
      </w:r>
    </w:p>
    <w:p w14:paraId="65DF5D4F" w14:textId="52E8160D" w:rsidR="00C0766E" w:rsidRPr="008C1E5F" w:rsidRDefault="00C0766E" w:rsidP="00455FDE">
      <w:pPr>
        <w:pStyle w:val="BodyText"/>
      </w:pPr>
      <w:r w:rsidRPr="008C1E5F">
        <w:t xml:space="preserve">Table </w:t>
      </w:r>
      <w:r w:rsidR="008A4888" w:rsidRPr="008C1E5F">
        <w:t>5</w:t>
      </w:r>
      <w:r w:rsidR="00163C7A" w:rsidRPr="008C1E5F">
        <w:t xml:space="preserve"> </w:t>
      </w:r>
      <w:r w:rsidRPr="008C1E5F">
        <w:t>summarizes key strengths and areas for growth in assessment</w:t>
      </w:r>
      <w:r w:rsidR="799317D8" w:rsidRPr="008C1E5F">
        <w:t xml:space="preserve"> in Fall River</w:t>
      </w:r>
      <w:r w:rsidRPr="008C1E5F">
        <w:t>.</w:t>
      </w:r>
    </w:p>
    <w:p w14:paraId="329E7498" w14:textId="2CA2E2FD" w:rsidR="00473308" w:rsidRPr="008C1E5F" w:rsidRDefault="00473308" w:rsidP="00473308">
      <w:pPr>
        <w:pStyle w:val="TableTitle0"/>
      </w:pPr>
      <w:r w:rsidRPr="008C1E5F">
        <w:t xml:space="preserve">Table </w:t>
      </w:r>
      <w:r w:rsidR="008A4888" w:rsidRPr="008C1E5F">
        <w:t>5</w:t>
      </w:r>
      <w:r w:rsidRPr="008C1E5F">
        <w:t xml:space="preserve">. Summary of </w:t>
      </w:r>
      <w:r w:rsidR="00C0766E" w:rsidRPr="008C1E5F">
        <w:t xml:space="preserve">Key Strengths </w:t>
      </w:r>
      <w:r w:rsidRPr="008C1E5F">
        <w:t xml:space="preserve">and </w:t>
      </w:r>
      <w:r w:rsidR="00C0766E" w:rsidRPr="008C1E5F">
        <w:t xml:space="preserve">Areas </w:t>
      </w:r>
      <w:r w:rsidRPr="008C1E5F">
        <w:t xml:space="preserve">for </w:t>
      </w:r>
      <w:r w:rsidR="00C0766E" w:rsidRPr="008C1E5F">
        <w:t>Growth:</w:t>
      </w:r>
      <w:r w:rsidRPr="008C1E5F">
        <w:t xml:space="preserve"> Assessment</w:t>
      </w:r>
      <w:r w:rsidR="00C0766E" w:rsidRPr="008C1E5F">
        <w:t xml:space="preserve"> Standard</w:t>
      </w:r>
    </w:p>
    <w:tbl>
      <w:tblPr>
        <w:tblStyle w:val="MSVTable1"/>
        <w:tblW w:w="5000" w:type="pct"/>
        <w:tblLook w:val="04A0" w:firstRow="1" w:lastRow="0" w:firstColumn="1" w:lastColumn="0" w:noHBand="0" w:noVBand="1"/>
      </w:tblPr>
      <w:tblGrid>
        <w:gridCol w:w="2334"/>
        <w:gridCol w:w="3504"/>
        <w:gridCol w:w="3506"/>
      </w:tblGrid>
      <w:tr w:rsidR="00473308" w:rsidRPr="008C1E5F" w14:paraId="4528F62A" w14:textId="77777777" w:rsidTr="00B827DE">
        <w:trPr>
          <w:cnfStyle w:val="100000000000" w:firstRow="1" w:lastRow="0" w:firstColumn="0" w:lastColumn="0" w:oddVBand="0" w:evenVBand="0" w:oddHBand="0" w:evenHBand="0" w:firstRowFirstColumn="0" w:firstRowLastColumn="0" w:lastRowFirstColumn="0" w:lastRowLastColumn="0"/>
        </w:trPr>
        <w:tc>
          <w:tcPr>
            <w:tcW w:w="1249" w:type="pct"/>
          </w:tcPr>
          <w:p w14:paraId="03EBB6C0" w14:textId="77777777" w:rsidR="00473308" w:rsidRPr="008C1E5F" w:rsidRDefault="00473308" w:rsidP="00B827DE">
            <w:pPr>
              <w:pStyle w:val="TableColHeadingCenter"/>
            </w:pPr>
            <w:r w:rsidRPr="008C1E5F">
              <w:t>Indicator</w:t>
            </w:r>
          </w:p>
        </w:tc>
        <w:tc>
          <w:tcPr>
            <w:tcW w:w="1875" w:type="pct"/>
          </w:tcPr>
          <w:p w14:paraId="04CE9AD4" w14:textId="77777777" w:rsidR="00473308" w:rsidRPr="008C1E5F" w:rsidRDefault="00473308" w:rsidP="00B827DE">
            <w:pPr>
              <w:pStyle w:val="TableColHeadingCenter"/>
            </w:pPr>
            <w:r w:rsidRPr="008C1E5F">
              <w:t>Strengths</w:t>
            </w:r>
          </w:p>
        </w:tc>
        <w:tc>
          <w:tcPr>
            <w:tcW w:w="1876" w:type="pct"/>
          </w:tcPr>
          <w:p w14:paraId="0516578A" w14:textId="6F03A48B" w:rsidR="00473308" w:rsidRPr="008C1E5F" w:rsidRDefault="00473308" w:rsidP="00B827DE">
            <w:pPr>
              <w:pStyle w:val="TableColHeadingCenter"/>
            </w:pPr>
            <w:r w:rsidRPr="008C1E5F">
              <w:t xml:space="preserve">Areas for </w:t>
            </w:r>
            <w:r w:rsidR="00C0766E" w:rsidRPr="008C1E5F">
              <w:t>g</w:t>
            </w:r>
            <w:r w:rsidRPr="008C1E5F">
              <w:t>rowth</w:t>
            </w:r>
          </w:p>
        </w:tc>
      </w:tr>
      <w:tr w:rsidR="00473308" w:rsidRPr="008C1E5F" w14:paraId="5BE4F452" w14:textId="77777777" w:rsidTr="00B827DE">
        <w:trPr>
          <w:cnfStyle w:val="000000100000" w:firstRow="0" w:lastRow="0" w:firstColumn="0" w:lastColumn="0" w:oddVBand="0" w:evenVBand="0" w:oddHBand="1" w:evenHBand="0" w:firstRowFirstColumn="0" w:firstRowLastColumn="0" w:lastRowFirstColumn="0" w:lastRowLastColumn="0"/>
        </w:trPr>
        <w:tc>
          <w:tcPr>
            <w:tcW w:w="1249" w:type="pct"/>
          </w:tcPr>
          <w:p w14:paraId="4F788977" w14:textId="791F61DD" w:rsidR="00473308" w:rsidRPr="008C1E5F" w:rsidRDefault="00473308" w:rsidP="005D13E7">
            <w:pPr>
              <w:pStyle w:val="TableSubheading"/>
              <w:rPr>
                <w:bdr w:val="none" w:sz="0" w:space="0" w:color="auto" w:frame="1"/>
              </w:rPr>
            </w:pPr>
            <w:hyperlink w:anchor="_Data_Collection" w:history="1">
              <w:r w:rsidRPr="008C1E5F">
                <w:rPr>
                  <w:rStyle w:val="Hyperlink"/>
                  <w:bdr w:val="none" w:sz="0" w:space="0" w:color="auto" w:frame="1"/>
                </w:rPr>
                <w:t xml:space="preserve">Data </w:t>
              </w:r>
              <w:r w:rsidR="008E0EE8" w:rsidRPr="008C1E5F">
                <w:rPr>
                  <w:rStyle w:val="Hyperlink"/>
                  <w:bdr w:val="none" w:sz="0" w:space="0" w:color="auto" w:frame="1"/>
                </w:rPr>
                <w:t>Collection</w:t>
              </w:r>
            </w:hyperlink>
          </w:p>
        </w:tc>
        <w:tc>
          <w:tcPr>
            <w:tcW w:w="1875" w:type="pct"/>
          </w:tcPr>
          <w:p w14:paraId="360C0B06" w14:textId="6AE2B5C1" w:rsidR="004B4CC5" w:rsidRPr="008C1E5F" w:rsidRDefault="007D2E37" w:rsidP="007D69BA">
            <w:pPr>
              <w:pStyle w:val="TableBullet1"/>
            </w:pPr>
            <w:r w:rsidRPr="008C1E5F">
              <w:t>The district gathers a</w:t>
            </w:r>
            <w:r w:rsidR="004B4CC5" w:rsidRPr="008C1E5F">
              <w:t xml:space="preserve"> range of data, both academic and </w:t>
            </w:r>
            <w:r w:rsidR="00D73656" w:rsidRPr="008C1E5F">
              <w:t>non-academic</w:t>
            </w:r>
            <w:r w:rsidR="004B4CC5" w:rsidRPr="008C1E5F">
              <w:t>, for each student.</w:t>
            </w:r>
          </w:p>
          <w:p w14:paraId="15FB6083" w14:textId="77777777" w:rsidR="00C650F2" w:rsidRPr="008C1E5F" w:rsidRDefault="00940C33" w:rsidP="004B4CC5">
            <w:pPr>
              <w:pStyle w:val="TableBullet1"/>
            </w:pPr>
            <w:r w:rsidRPr="008C1E5F">
              <w:t>The district has</w:t>
            </w:r>
            <w:r w:rsidR="00250A50" w:rsidRPr="008C1E5F">
              <w:t xml:space="preserve"> online platforms (</w:t>
            </w:r>
            <w:proofErr w:type="spellStart"/>
            <w:r w:rsidR="00250A50" w:rsidRPr="008C1E5F">
              <w:t>DnA</w:t>
            </w:r>
            <w:proofErr w:type="spellEnd"/>
            <w:r w:rsidR="00F12D66" w:rsidRPr="008C1E5F">
              <w:t xml:space="preserve"> f</w:t>
            </w:r>
            <w:r w:rsidR="000912BB" w:rsidRPr="008C1E5F">
              <w:t>or academic data</w:t>
            </w:r>
            <w:r w:rsidR="00250A50" w:rsidRPr="008C1E5F">
              <w:t xml:space="preserve">, </w:t>
            </w:r>
            <w:proofErr w:type="spellStart"/>
            <w:r w:rsidR="00250A50" w:rsidRPr="008C1E5F">
              <w:t>Educlimber</w:t>
            </w:r>
            <w:proofErr w:type="spellEnd"/>
            <w:r w:rsidR="008E7D3B" w:rsidRPr="008C1E5F">
              <w:t xml:space="preserve"> for nonacademic data</w:t>
            </w:r>
            <w:r w:rsidR="00250A50" w:rsidRPr="008C1E5F">
              <w:t>) that allow for triangulation of data</w:t>
            </w:r>
            <w:r w:rsidR="008E7D3B" w:rsidRPr="008C1E5F">
              <w:t xml:space="preserve"> sources</w:t>
            </w:r>
            <w:r w:rsidR="00250A50" w:rsidRPr="008C1E5F">
              <w:t xml:space="preserve">. </w:t>
            </w:r>
          </w:p>
          <w:p w14:paraId="5E3E7CC2" w14:textId="1C537EE4" w:rsidR="001E3CED" w:rsidRPr="008C1E5F" w:rsidRDefault="001E3CED" w:rsidP="004B4CC5">
            <w:pPr>
              <w:pStyle w:val="TableBullet1"/>
            </w:pPr>
            <w:r w:rsidRPr="008C1E5F">
              <w:rPr>
                <w:rFonts w:eastAsiaTheme="majorEastAsia" w:cs="Segoe UI"/>
                <w:color w:val="000000"/>
              </w:rPr>
              <w:t xml:space="preserve">The district has implemented a structured data inquiry process to identify and address equity gaps across all schools. </w:t>
            </w:r>
          </w:p>
        </w:tc>
        <w:tc>
          <w:tcPr>
            <w:tcW w:w="1876" w:type="pct"/>
          </w:tcPr>
          <w:p w14:paraId="1E451936" w14:textId="1D0F43A0" w:rsidR="00CB0622" w:rsidRPr="008C1E5F" w:rsidRDefault="000F7F71" w:rsidP="004F1B37">
            <w:pPr>
              <w:pStyle w:val="TableBullet1"/>
            </w:pPr>
            <w:r w:rsidRPr="008C1E5F">
              <w:t>Addressing teachers’ concerns about the quality</w:t>
            </w:r>
            <w:r w:rsidR="0091465E" w:rsidRPr="008C1E5F">
              <w:t>, pacing, and alignment</w:t>
            </w:r>
            <w:r w:rsidRPr="008C1E5F">
              <w:t xml:space="preserve"> of benchmark data to ensure it is a useful data source to drive instruction</w:t>
            </w:r>
          </w:p>
        </w:tc>
      </w:tr>
      <w:tr w:rsidR="00473308" w:rsidRPr="008C1E5F" w14:paraId="3744E5B9" w14:textId="77777777" w:rsidTr="00B827DE">
        <w:tc>
          <w:tcPr>
            <w:tcW w:w="1249" w:type="pct"/>
          </w:tcPr>
          <w:p w14:paraId="797DE778" w14:textId="79E215DF" w:rsidR="00473308" w:rsidRPr="008C1E5F" w:rsidRDefault="00473308" w:rsidP="005D13E7">
            <w:pPr>
              <w:pStyle w:val="TableSubheading"/>
              <w:rPr>
                <w:bdr w:val="none" w:sz="0" w:space="0" w:color="auto" w:frame="1"/>
              </w:rPr>
            </w:pPr>
            <w:hyperlink w:anchor="_Data_Use_and_1" w:history="1">
              <w:r w:rsidRPr="008C1E5F">
                <w:rPr>
                  <w:rStyle w:val="Hyperlink"/>
                  <w:bdr w:val="none" w:sz="0" w:space="0" w:color="auto" w:frame="1"/>
                </w:rPr>
                <w:t xml:space="preserve">Data </w:t>
              </w:r>
              <w:r w:rsidR="008E0EE8" w:rsidRPr="008C1E5F">
                <w:rPr>
                  <w:rStyle w:val="Hyperlink"/>
                  <w:bdr w:val="none" w:sz="0" w:space="0" w:color="auto" w:frame="1"/>
                </w:rPr>
                <w:t>U</w:t>
              </w:r>
              <w:r w:rsidRPr="008C1E5F">
                <w:rPr>
                  <w:rStyle w:val="Hyperlink"/>
                  <w:bdr w:val="none" w:sz="0" w:space="0" w:color="auto" w:frame="1"/>
                </w:rPr>
                <w:t>se</w:t>
              </w:r>
              <w:r w:rsidR="008E0EE8" w:rsidRPr="008C1E5F">
                <w:rPr>
                  <w:rStyle w:val="Hyperlink"/>
                  <w:bdr w:val="none" w:sz="0" w:space="0" w:color="auto" w:frame="1"/>
                </w:rPr>
                <w:t xml:space="preserve"> and Culture</w:t>
              </w:r>
            </w:hyperlink>
          </w:p>
        </w:tc>
        <w:tc>
          <w:tcPr>
            <w:tcW w:w="1875" w:type="pct"/>
          </w:tcPr>
          <w:p w14:paraId="6DBA46E0" w14:textId="77777777" w:rsidR="003A07FC" w:rsidRDefault="00F92D3A" w:rsidP="007D69BA">
            <w:pPr>
              <w:pStyle w:val="TableBullet1"/>
            </w:pPr>
            <w:r w:rsidRPr="008C1E5F">
              <w:t xml:space="preserve">The district has </w:t>
            </w:r>
            <w:r w:rsidR="00943EE8" w:rsidRPr="008C1E5F">
              <w:t>established</w:t>
            </w:r>
            <w:r w:rsidR="00F86967" w:rsidRPr="008C1E5F">
              <w:t xml:space="preserve"> m</w:t>
            </w:r>
            <w:r w:rsidR="004C1BFB" w:rsidRPr="008C1E5F">
              <w:t>any formal structures</w:t>
            </w:r>
            <w:r w:rsidR="00943EE8" w:rsidRPr="008C1E5F">
              <w:t xml:space="preserve"> </w:t>
            </w:r>
            <w:r w:rsidR="00F86967" w:rsidRPr="008C1E5F">
              <w:t xml:space="preserve">to support </w:t>
            </w:r>
            <w:r w:rsidR="004C1BFB" w:rsidRPr="008C1E5F">
              <w:t xml:space="preserve">data </w:t>
            </w:r>
            <w:r w:rsidR="00F86967" w:rsidRPr="008C1E5F">
              <w:t>use</w:t>
            </w:r>
            <w:r w:rsidR="004C1BFB" w:rsidRPr="008C1E5F">
              <w:t xml:space="preserve"> across </w:t>
            </w:r>
            <w:r w:rsidR="00F86967" w:rsidRPr="008C1E5F">
              <w:t>the</w:t>
            </w:r>
            <w:r w:rsidR="004C1BFB" w:rsidRPr="008C1E5F">
              <w:t xml:space="preserve"> district and schools</w:t>
            </w:r>
            <w:r w:rsidR="006F12E5" w:rsidRPr="008C1E5F">
              <w:t>.</w:t>
            </w:r>
          </w:p>
          <w:p w14:paraId="3EFCF2E4" w14:textId="659F0618" w:rsidR="00473308" w:rsidRPr="008C1E5F" w:rsidRDefault="003A07FC" w:rsidP="007D69BA">
            <w:pPr>
              <w:pStyle w:val="TableBullet1"/>
            </w:pPr>
            <w:r>
              <w:t>The district</w:t>
            </w:r>
            <w:r w:rsidR="00247F91">
              <w:t xml:space="preserve"> </w:t>
            </w:r>
            <w:r w:rsidR="00247F91" w:rsidRPr="008C1E5F">
              <w:rPr>
                <w:rFonts w:cs="Segoe UI"/>
                <w:color w:val="242424"/>
              </w:rPr>
              <w:t>utilizes a variety of data sources to examine student performance</w:t>
            </w:r>
            <w:r w:rsidR="000134CC">
              <w:t>.</w:t>
            </w:r>
          </w:p>
        </w:tc>
        <w:tc>
          <w:tcPr>
            <w:tcW w:w="1876" w:type="pct"/>
          </w:tcPr>
          <w:p w14:paraId="08FEEFDF" w14:textId="45720C84" w:rsidR="00473308" w:rsidRPr="008C1E5F" w:rsidRDefault="00473308" w:rsidP="00A26CFF">
            <w:pPr>
              <w:pStyle w:val="TableBullet1"/>
              <w:numPr>
                <w:ilvl w:val="0"/>
                <w:numId w:val="0"/>
              </w:numPr>
              <w:ind w:left="360"/>
            </w:pPr>
          </w:p>
        </w:tc>
      </w:tr>
      <w:tr w:rsidR="00473308" w:rsidRPr="008C1E5F" w14:paraId="2BFB5534" w14:textId="77777777" w:rsidTr="00B827DE">
        <w:trPr>
          <w:cnfStyle w:val="000000100000" w:firstRow="0" w:lastRow="0" w:firstColumn="0" w:lastColumn="0" w:oddVBand="0" w:evenVBand="0" w:oddHBand="1" w:evenHBand="0" w:firstRowFirstColumn="0" w:firstRowLastColumn="0" w:lastRowFirstColumn="0" w:lastRowLastColumn="0"/>
        </w:trPr>
        <w:tc>
          <w:tcPr>
            <w:tcW w:w="1249" w:type="pct"/>
          </w:tcPr>
          <w:p w14:paraId="692DCE62" w14:textId="433E61A2" w:rsidR="00473308" w:rsidRPr="008C1E5F" w:rsidRDefault="00473308" w:rsidP="005D13E7">
            <w:pPr>
              <w:pStyle w:val="TableSubheading"/>
              <w:rPr>
                <w:bdr w:val="none" w:sz="0" w:space="0" w:color="auto" w:frame="1"/>
              </w:rPr>
            </w:pPr>
            <w:hyperlink w:anchor="_Sharing_Data" w:history="1">
              <w:r w:rsidRPr="008C1E5F">
                <w:rPr>
                  <w:rStyle w:val="Hyperlink"/>
                  <w:bdr w:val="none" w:sz="0" w:space="0" w:color="auto" w:frame="1"/>
                </w:rPr>
                <w:t xml:space="preserve">Sharing </w:t>
              </w:r>
              <w:r w:rsidR="008E0EE8" w:rsidRPr="008C1E5F">
                <w:rPr>
                  <w:rStyle w:val="Hyperlink"/>
                  <w:bdr w:val="none" w:sz="0" w:space="0" w:color="auto" w:frame="1"/>
                </w:rPr>
                <w:t>Data</w:t>
              </w:r>
            </w:hyperlink>
          </w:p>
        </w:tc>
        <w:tc>
          <w:tcPr>
            <w:tcW w:w="1875" w:type="pct"/>
          </w:tcPr>
          <w:p w14:paraId="76CAC907" w14:textId="7D3CB702" w:rsidR="005A4200" w:rsidRPr="008C1E5F" w:rsidRDefault="005A4200" w:rsidP="007D69BA">
            <w:pPr>
              <w:pStyle w:val="TableBullet1"/>
            </w:pPr>
            <w:r w:rsidRPr="008C1E5F">
              <w:t xml:space="preserve">Students </w:t>
            </w:r>
            <w:r w:rsidR="00D73656" w:rsidRPr="008C1E5F">
              <w:t>can</w:t>
            </w:r>
            <w:r w:rsidRPr="008C1E5F">
              <w:t xml:space="preserve"> take ownership of their learning by setting their own academic goals.</w:t>
            </w:r>
          </w:p>
          <w:p w14:paraId="1242ABD2" w14:textId="1979A095" w:rsidR="00473308" w:rsidRPr="008C1E5F" w:rsidRDefault="00F52722" w:rsidP="007D69BA">
            <w:pPr>
              <w:pStyle w:val="TableBullet1"/>
            </w:pPr>
            <w:r w:rsidRPr="008C1E5F">
              <w:t>Teachers</w:t>
            </w:r>
            <w:r w:rsidR="0034374F" w:rsidRPr="008C1E5F">
              <w:t xml:space="preserve"> use a </w:t>
            </w:r>
            <w:r w:rsidR="00A26CFF" w:rsidRPr="008C1E5F">
              <w:t>variety of</w:t>
            </w:r>
            <w:r w:rsidR="0034374F" w:rsidRPr="008C1E5F">
              <w:t xml:space="preserve"> methods to communicate student progress toward grade-level standards</w:t>
            </w:r>
            <w:r w:rsidR="00A26CFF" w:rsidRPr="008C1E5F">
              <w:t xml:space="preserve">. </w:t>
            </w:r>
          </w:p>
        </w:tc>
        <w:tc>
          <w:tcPr>
            <w:tcW w:w="1876" w:type="pct"/>
          </w:tcPr>
          <w:p w14:paraId="22C6496B" w14:textId="55E53062" w:rsidR="00473308" w:rsidRPr="008C1E5F" w:rsidRDefault="00473308" w:rsidP="00A26CFF">
            <w:pPr>
              <w:pStyle w:val="TableBullet1"/>
              <w:numPr>
                <w:ilvl w:val="0"/>
                <w:numId w:val="0"/>
              </w:numPr>
              <w:ind w:left="360"/>
            </w:pPr>
          </w:p>
        </w:tc>
      </w:tr>
    </w:tbl>
    <w:p w14:paraId="640082BB" w14:textId="0FC06A67" w:rsidR="00473308" w:rsidRPr="008C1E5F" w:rsidRDefault="00473308" w:rsidP="00473308">
      <w:pPr>
        <w:pStyle w:val="Heading3"/>
      </w:pPr>
      <w:bookmarkStart w:id="72" w:name="_Data_and_Assessment"/>
      <w:bookmarkStart w:id="73" w:name="_Data_Collection"/>
      <w:bookmarkStart w:id="74" w:name="_Toc195024222"/>
      <w:bookmarkEnd w:id="72"/>
      <w:bookmarkEnd w:id="73"/>
      <w:r w:rsidRPr="008C1E5F">
        <w:t xml:space="preserve">Data </w:t>
      </w:r>
      <w:r w:rsidR="008E0EE8" w:rsidRPr="008C1E5F">
        <w:t>Collection</w:t>
      </w:r>
      <w:bookmarkEnd w:id="74"/>
    </w:p>
    <w:p w14:paraId="4A7AC535" w14:textId="09DB1B82" w:rsidR="006739BB" w:rsidRPr="008C1E5F" w:rsidRDefault="00357C7C" w:rsidP="00455FDE">
      <w:pPr>
        <w:pStyle w:val="BodyTextposthead"/>
      </w:pPr>
      <w:bookmarkStart w:id="75" w:name="_Data_Use"/>
      <w:bookmarkStart w:id="76" w:name="_Data_Use_and"/>
      <w:bookmarkEnd w:id="75"/>
      <w:bookmarkEnd w:id="76"/>
      <w:r w:rsidRPr="008C1E5F">
        <w:t>The</w:t>
      </w:r>
      <w:r w:rsidR="009B41F8" w:rsidRPr="008C1E5F">
        <w:t xml:space="preserve"> </w:t>
      </w:r>
      <w:r w:rsidR="003E232A" w:rsidRPr="008C1E5F">
        <w:rPr>
          <w:rFonts w:eastAsia="Aptos" w:cs="Aptos"/>
        </w:rPr>
        <w:t>chief academic officer</w:t>
      </w:r>
      <w:r w:rsidR="003E232A" w:rsidRPr="008C1E5F">
        <w:t xml:space="preserve"> </w:t>
      </w:r>
      <w:r w:rsidR="009B41F8" w:rsidRPr="008C1E5F">
        <w:t>oversees the c</w:t>
      </w:r>
      <w:r w:rsidRPr="008C1E5F">
        <w:t xml:space="preserve">oordinator of </w:t>
      </w:r>
      <w:r w:rsidR="009B41F8" w:rsidRPr="008C1E5F">
        <w:t>d</w:t>
      </w:r>
      <w:r w:rsidRPr="008C1E5F">
        <w:t xml:space="preserve">ata </w:t>
      </w:r>
      <w:r w:rsidR="009B41F8" w:rsidRPr="008C1E5F">
        <w:t>a</w:t>
      </w:r>
      <w:r w:rsidRPr="008C1E5F">
        <w:t xml:space="preserve">ccountability </w:t>
      </w:r>
      <w:r w:rsidR="009B41F8" w:rsidRPr="008C1E5F">
        <w:t>r</w:t>
      </w:r>
      <w:r w:rsidRPr="008C1E5F">
        <w:t xml:space="preserve">esearch and </w:t>
      </w:r>
      <w:r w:rsidR="009B41F8" w:rsidRPr="008C1E5F">
        <w:t>a</w:t>
      </w:r>
      <w:r w:rsidRPr="008C1E5F">
        <w:t>ssessment</w:t>
      </w:r>
      <w:r w:rsidR="00C71B57" w:rsidRPr="008C1E5F">
        <w:t>, who</w:t>
      </w:r>
      <w:r w:rsidRPr="008C1E5F">
        <w:t xml:space="preserve"> is responsible for </w:t>
      </w:r>
      <w:r w:rsidR="004316EE" w:rsidRPr="008C1E5F">
        <w:t>supporting data collection and use</w:t>
      </w:r>
      <w:r w:rsidRPr="008C1E5F">
        <w:t xml:space="preserve"> in the district. The district gathers multiple types of academic (</w:t>
      </w:r>
      <w:r w:rsidR="004B4CC5" w:rsidRPr="008C1E5F">
        <w:t>e.g.,</w:t>
      </w:r>
      <w:r w:rsidR="00A02369" w:rsidRPr="008C1E5F">
        <w:t xml:space="preserve"> district benchmarks,</w:t>
      </w:r>
      <w:r w:rsidR="00A765D5" w:rsidRPr="008C1E5F">
        <w:t xml:space="preserve"> </w:t>
      </w:r>
      <w:r w:rsidR="006012A0" w:rsidRPr="008C1E5F">
        <w:t>i</w:t>
      </w:r>
      <w:r w:rsidR="00BD62F1" w:rsidRPr="008C1E5F">
        <w:t>-</w:t>
      </w:r>
      <w:r w:rsidR="006012A0" w:rsidRPr="008C1E5F">
        <w:t>Ready</w:t>
      </w:r>
      <w:r w:rsidR="00AE3298" w:rsidRPr="008C1E5F">
        <w:t xml:space="preserve">, MAZE, </w:t>
      </w:r>
      <w:r w:rsidR="006012A0" w:rsidRPr="008C1E5F">
        <w:t>DIBE</w:t>
      </w:r>
      <w:r w:rsidR="00F807DD">
        <w:t>L</w:t>
      </w:r>
      <w:r w:rsidR="006012A0" w:rsidRPr="008C1E5F">
        <w:t>S</w:t>
      </w:r>
      <w:r w:rsidRPr="008C1E5F">
        <w:t xml:space="preserve">) and </w:t>
      </w:r>
      <w:r w:rsidRPr="008C1E5F">
        <w:lastRenderedPageBreak/>
        <w:t>nonacademic data (</w:t>
      </w:r>
      <w:r w:rsidR="004B4CC5" w:rsidRPr="008C1E5F">
        <w:t xml:space="preserve">e.g., Conditions for Learning </w:t>
      </w:r>
      <w:r w:rsidR="00E74D87" w:rsidRPr="008C1E5F">
        <w:t>survey,</w:t>
      </w:r>
      <w:r w:rsidR="007D695A">
        <w:t xml:space="preserve"> </w:t>
      </w:r>
      <w:r w:rsidR="00607E6F" w:rsidRPr="008C1E5F">
        <w:t>Satchel Pulse</w:t>
      </w:r>
      <w:r w:rsidR="00B97705" w:rsidRPr="008C1E5F">
        <w:t xml:space="preserve"> screener</w:t>
      </w:r>
      <w:r w:rsidRPr="008C1E5F">
        <w:t xml:space="preserve">) about each </w:t>
      </w:r>
      <w:r w:rsidR="004B4CC5" w:rsidRPr="008C1E5F">
        <w:t xml:space="preserve">student, </w:t>
      </w:r>
      <w:r w:rsidR="00F712D9" w:rsidRPr="008C1E5F">
        <w:t xml:space="preserve">which is </w:t>
      </w:r>
      <w:r w:rsidR="004B4CC5" w:rsidRPr="008C1E5F">
        <w:t>a strength of the district</w:t>
      </w:r>
      <w:r w:rsidRPr="008C1E5F">
        <w:t xml:space="preserve">. </w:t>
      </w:r>
    </w:p>
    <w:p w14:paraId="20926CA4" w14:textId="19541AE7" w:rsidR="002A171A" w:rsidRPr="008C1E5F" w:rsidRDefault="00357C7C" w:rsidP="00455FDE">
      <w:pPr>
        <w:pStyle w:val="BodyText"/>
      </w:pPr>
      <w:r w:rsidRPr="008C1E5F">
        <w:t xml:space="preserve">According to district leaders, Fall River creates </w:t>
      </w:r>
      <w:r w:rsidR="00F712D9" w:rsidRPr="008C1E5F">
        <w:t xml:space="preserve">its </w:t>
      </w:r>
      <w:r w:rsidRPr="008C1E5F">
        <w:t xml:space="preserve">own </w:t>
      </w:r>
      <w:r w:rsidR="008F0099" w:rsidRPr="008C1E5F">
        <w:t xml:space="preserve">district </w:t>
      </w:r>
      <w:r w:rsidRPr="008C1E5F">
        <w:t xml:space="preserve">academic benchmark assessments and administers these to students through the Illuminate </w:t>
      </w:r>
      <w:proofErr w:type="spellStart"/>
      <w:r w:rsidRPr="008C1E5F">
        <w:t>DnA</w:t>
      </w:r>
      <w:proofErr w:type="spellEnd"/>
      <w:r w:rsidRPr="008C1E5F">
        <w:t xml:space="preserve"> platform</w:t>
      </w:r>
      <w:r w:rsidR="002660EC" w:rsidRPr="008C1E5F">
        <w:t xml:space="preserve"> three times per year</w:t>
      </w:r>
      <w:r w:rsidR="006A3234" w:rsidRPr="008C1E5F">
        <w:t xml:space="preserve"> in ELA and math</w:t>
      </w:r>
      <w:r w:rsidR="00F712D9" w:rsidRPr="008C1E5F">
        <w:t>ematics</w:t>
      </w:r>
      <w:r w:rsidRPr="008C1E5F">
        <w:t xml:space="preserve">. </w:t>
      </w:r>
      <w:r w:rsidR="005226CA" w:rsidRPr="008C1E5F">
        <w:t xml:space="preserve">Each benchmark is created </w:t>
      </w:r>
      <w:r w:rsidR="00465E4B" w:rsidRPr="008C1E5F">
        <w:t>using</w:t>
      </w:r>
      <w:r w:rsidR="005226CA" w:rsidRPr="008C1E5F">
        <w:t xml:space="preserve"> past MCAS questions</w:t>
      </w:r>
      <w:r w:rsidR="00CA52C2" w:rsidRPr="008C1E5F">
        <w:t>; a district leader explain</w:t>
      </w:r>
      <w:r w:rsidR="002F0FD3" w:rsidRPr="008C1E5F">
        <w:t>ed</w:t>
      </w:r>
      <w:r w:rsidR="00CA52C2" w:rsidRPr="008C1E5F">
        <w:t xml:space="preserve"> that they pay to access a question bank of MCAS </w:t>
      </w:r>
      <w:r w:rsidR="00502407">
        <w:t>questions</w:t>
      </w:r>
      <w:r w:rsidR="00502407" w:rsidRPr="008C1E5F">
        <w:t xml:space="preserve"> </w:t>
      </w:r>
      <w:r w:rsidR="00CA52C2" w:rsidRPr="008C1E5F">
        <w:t xml:space="preserve">in the Illuminate </w:t>
      </w:r>
      <w:proofErr w:type="spellStart"/>
      <w:r w:rsidR="00CA52C2" w:rsidRPr="008C1E5F">
        <w:t>DnA</w:t>
      </w:r>
      <w:proofErr w:type="spellEnd"/>
      <w:r w:rsidR="00CA52C2" w:rsidRPr="008C1E5F">
        <w:t xml:space="preserve"> platform, and the </w:t>
      </w:r>
      <w:r w:rsidR="001A0049" w:rsidRPr="008C1E5F">
        <w:t xml:space="preserve">content directors </w:t>
      </w:r>
      <w:r w:rsidR="00CA52C2" w:rsidRPr="008C1E5F">
        <w:t>use these</w:t>
      </w:r>
      <w:r w:rsidR="00A27DF6" w:rsidRPr="008C1E5F">
        <w:t xml:space="preserve"> questions along with student MCAS performance data to create their district benchmark assessments for the year</w:t>
      </w:r>
      <w:r w:rsidR="00593C31" w:rsidRPr="008C1E5F">
        <w:t xml:space="preserve">. </w:t>
      </w:r>
      <w:r w:rsidR="0077371F" w:rsidRPr="008C1E5F">
        <w:t xml:space="preserve">Outside of the district benchmarks, teachers have access to the Illuminate </w:t>
      </w:r>
      <w:proofErr w:type="spellStart"/>
      <w:r w:rsidR="0077371F" w:rsidRPr="008C1E5F">
        <w:t>DnA</w:t>
      </w:r>
      <w:proofErr w:type="spellEnd"/>
      <w:r w:rsidR="0077371F" w:rsidRPr="008C1E5F">
        <w:t xml:space="preserve"> platform and are encouraged to create their own assessments in the platform. </w:t>
      </w:r>
      <w:r w:rsidR="00FC2AFE" w:rsidRPr="008C1E5F">
        <w:t xml:space="preserve">Additionally, </w:t>
      </w:r>
      <w:r w:rsidRPr="008C1E5F">
        <w:t xml:space="preserve">Fall River uses the </w:t>
      </w:r>
      <w:proofErr w:type="spellStart"/>
      <w:r w:rsidRPr="008C1E5F">
        <w:t>Educlimber</w:t>
      </w:r>
      <w:proofErr w:type="spellEnd"/>
      <w:r w:rsidRPr="008C1E5F">
        <w:t xml:space="preserve"> platform</w:t>
      </w:r>
      <w:r w:rsidR="009B507A" w:rsidRPr="008C1E5F">
        <w:t>, part of the same suite of tools as Illuminate,</w:t>
      </w:r>
      <w:r w:rsidRPr="008C1E5F">
        <w:t xml:space="preserve"> to triangulate and review student academic</w:t>
      </w:r>
      <w:r w:rsidR="0052612B" w:rsidRPr="008C1E5F">
        <w:t xml:space="preserve">, </w:t>
      </w:r>
      <w:r w:rsidRPr="008C1E5F">
        <w:t>nonacademic</w:t>
      </w:r>
      <w:r w:rsidR="00013A81" w:rsidRPr="008C1E5F">
        <w:t>,</w:t>
      </w:r>
      <w:r w:rsidR="0052612B" w:rsidRPr="008C1E5F">
        <w:t xml:space="preserve"> and intervention data to</w:t>
      </w:r>
      <w:r w:rsidR="00013A81" w:rsidRPr="008C1E5F">
        <w:t xml:space="preserve"> look at trends across course performance and MCAS outcomes.</w:t>
      </w:r>
      <w:r w:rsidRPr="008C1E5F">
        <w:t xml:space="preserve"> </w:t>
      </w:r>
      <w:r w:rsidR="008976C9" w:rsidRPr="008C1E5F">
        <w:t>For example, ELA benchmark a</w:t>
      </w:r>
      <w:r w:rsidR="00001A98" w:rsidRPr="008C1E5F">
        <w:t xml:space="preserve">ssessment </w:t>
      </w:r>
      <w:r w:rsidR="00013A81" w:rsidRPr="008C1E5F">
        <w:t xml:space="preserve">data can be </w:t>
      </w:r>
      <w:r w:rsidR="008976C9" w:rsidRPr="008C1E5F">
        <w:t xml:space="preserve">compared to how students score on MCAS to </w:t>
      </w:r>
      <w:r w:rsidR="001F5FC7" w:rsidRPr="008C1E5F">
        <w:t>help staff</w:t>
      </w:r>
      <w:r w:rsidR="00271013" w:rsidRPr="008C1E5F">
        <w:t xml:space="preserve"> paint a holistic picture of a student’s academic performance.</w:t>
      </w:r>
      <w:r w:rsidR="008A3AF4" w:rsidRPr="008C1E5F">
        <w:t xml:space="preserve"> </w:t>
      </w:r>
      <w:r w:rsidR="00AC0E2D" w:rsidRPr="008C1E5F">
        <w:t xml:space="preserve">These two online platforms allow for the triangulation of </w:t>
      </w:r>
      <w:r w:rsidR="00AB754F" w:rsidRPr="008C1E5F">
        <w:t xml:space="preserve">data sources, </w:t>
      </w:r>
      <w:r w:rsidR="00F712D9" w:rsidRPr="008C1E5F">
        <w:t xml:space="preserve">which is </w:t>
      </w:r>
      <w:r w:rsidR="00AB754F" w:rsidRPr="008C1E5F">
        <w:t xml:space="preserve">a strength of the district. </w:t>
      </w:r>
    </w:p>
    <w:p w14:paraId="0573574B" w14:textId="209D6349" w:rsidR="00582727" w:rsidRPr="008C1E5F" w:rsidRDefault="00BB622B" w:rsidP="00455FDE">
      <w:pPr>
        <w:pStyle w:val="BodyText"/>
      </w:pPr>
      <w:r w:rsidRPr="008C1E5F">
        <w:t>T</w:t>
      </w:r>
      <w:r w:rsidR="000A6EA4" w:rsidRPr="008C1E5F">
        <w:t xml:space="preserve">eachers at </w:t>
      </w:r>
      <w:r w:rsidR="00CC4EBF" w:rsidRPr="008C1E5F">
        <w:t>all levels</w:t>
      </w:r>
      <w:r w:rsidR="000A6EA4" w:rsidRPr="008C1E5F">
        <w:t xml:space="preserve"> </w:t>
      </w:r>
      <w:r w:rsidRPr="008C1E5F">
        <w:t>had mixed opinions about the usability of</w:t>
      </w:r>
      <w:r w:rsidR="00CE114C" w:rsidRPr="008C1E5F">
        <w:t xml:space="preserve"> district-created benchmarks</w:t>
      </w:r>
      <w:r w:rsidRPr="008C1E5F">
        <w:t>.</w:t>
      </w:r>
      <w:r w:rsidR="00CC4EBF" w:rsidRPr="008C1E5F">
        <w:t xml:space="preserve"> At the elementary level, teachers expressed concern </w:t>
      </w:r>
      <w:r w:rsidR="00F712D9" w:rsidRPr="008C1E5F">
        <w:t xml:space="preserve">about </w:t>
      </w:r>
      <w:r w:rsidR="00CC4EBF" w:rsidRPr="008C1E5F">
        <w:t>the accuracy of these data</w:t>
      </w:r>
      <w:r w:rsidR="00661419">
        <w:t xml:space="preserve">, stating that </w:t>
      </w:r>
      <w:r w:rsidR="00581A43" w:rsidRPr="008C1E5F">
        <w:t>their</w:t>
      </w:r>
      <w:r w:rsidR="00CC4EBF" w:rsidRPr="008C1E5F">
        <w:t xml:space="preserve"> students do not typically do well on tests and tend to get burnt out, so it is hard to tell if the data </w:t>
      </w:r>
      <w:r w:rsidR="00F712D9" w:rsidRPr="008C1E5F">
        <w:t xml:space="preserve">are </w:t>
      </w:r>
      <w:r w:rsidR="00CC4EBF" w:rsidRPr="008C1E5F">
        <w:t>a true reflection of students’ progress toward grade-level standards. At the secondary level, teachers expressed concerns about curriculum pacing</w:t>
      </w:r>
      <w:r w:rsidR="00F712D9" w:rsidRPr="008C1E5F">
        <w:t xml:space="preserve"> because</w:t>
      </w:r>
      <w:r w:rsidR="00CC4EBF" w:rsidRPr="008C1E5F">
        <w:t xml:space="preserve"> </w:t>
      </w:r>
      <w:r w:rsidR="00D0101C" w:rsidRPr="008C1E5F">
        <w:t xml:space="preserve">what is being taught does not always align with the </w:t>
      </w:r>
      <w:r w:rsidR="00CC4EBF" w:rsidRPr="008C1E5F">
        <w:t xml:space="preserve">content of </w:t>
      </w:r>
      <w:r w:rsidR="00D0101C" w:rsidRPr="008C1E5F">
        <w:t>district benchmarks</w:t>
      </w:r>
      <w:r w:rsidR="005607B9" w:rsidRPr="008C1E5F">
        <w:t xml:space="preserve"> (see Curriculum and Instructional Materials section)</w:t>
      </w:r>
      <w:r w:rsidR="00D0101C" w:rsidRPr="008C1E5F">
        <w:t>.</w:t>
      </w:r>
      <w:r w:rsidR="00582727" w:rsidRPr="008C1E5F">
        <w:t xml:space="preserve"> One high school teacher explain</w:t>
      </w:r>
      <w:r w:rsidR="00F712D9" w:rsidRPr="008C1E5F">
        <w:t>ed:</w:t>
      </w:r>
    </w:p>
    <w:p w14:paraId="506759FB" w14:textId="2FCE501B" w:rsidR="0071278A" w:rsidRPr="008C1E5F" w:rsidRDefault="00F712D9" w:rsidP="00455FDE">
      <w:pPr>
        <w:pStyle w:val="BlockQuote"/>
      </w:pPr>
      <w:r w:rsidRPr="008C1E5F">
        <w:t>M</w:t>
      </w:r>
      <w:r w:rsidR="00582727" w:rsidRPr="008C1E5F">
        <w:t>aybe it</w:t>
      </w:r>
      <w:r w:rsidRPr="008C1E5F">
        <w:t>’</w:t>
      </w:r>
      <w:r w:rsidR="00582727" w:rsidRPr="008C1E5F">
        <w:t>s a timing issue, but [district-created benchmarks] don</w:t>
      </w:r>
      <w:r w:rsidRPr="008C1E5F">
        <w:t>’</w:t>
      </w:r>
      <w:r w:rsidR="00582727" w:rsidRPr="008C1E5F">
        <w:t>t tend to produce data that</w:t>
      </w:r>
      <w:r w:rsidRPr="008C1E5F">
        <w:t>’</w:t>
      </w:r>
      <w:r w:rsidR="00582727" w:rsidRPr="008C1E5F">
        <w:t>s helpful to teachers</w:t>
      </w:r>
      <w:r w:rsidR="00D73656">
        <w:t xml:space="preserve">… </w:t>
      </w:r>
      <w:r w:rsidRPr="008C1E5F">
        <w:t>E</w:t>
      </w:r>
      <w:r w:rsidR="00582727" w:rsidRPr="008C1E5F">
        <w:t xml:space="preserve">specially with the weekly check-ins that we do, the weekly formatives, we do pick apart the data for that. </w:t>
      </w:r>
      <w:r w:rsidR="00D73656" w:rsidRPr="008C1E5F">
        <w:t>So,</w:t>
      </w:r>
      <w:r w:rsidR="00582727" w:rsidRPr="008C1E5F">
        <w:t xml:space="preserve"> we spend time looking at the data and trying to figure out what went wrong, what went right, and trying to know if we need to reteach something or what have you, but those are also department created</w:t>
      </w:r>
      <w:r w:rsidR="00385399" w:rsidRPr="008C1E5F">
        <w:t xml:space="preserve"> [as opposed to district created]</w:t>
      </w:r>
      <w:r w:rsidR="00582727" w:rsidRPr="008C1E5F">
        <w:t>.</w:t>
      </w:r>
    </w:p>
    <w:p w14:paraId="4DDC8CFC" w14:textId="7888D02D" w:rsidR="000F7F71" w:rsidRPr="008C1E5F" w:rsidRDefault="00614525" w:rsidP="00455FDE">
      <w:pPr>
        <w:pStyle w:val="BodyText"/>
      </w:pPr>
      <w:r w:rsidRPr="008C1E5F">
        <w:t>To address this, s</w:t>
      </w:r>
      <w:r w:rsidR="00D0101C" w:rsidRPr="008C1E5F">
        <w:t xml:space="preserve">ome teachers described how they teach lessons out of sequence </w:t>
      </w:r>
      <w:proofErr w:type="gramStart"/>
      <w:r w:rsidR="00D0101C" w:rsidRPr="008C1E5F">
        <w:t>in order for</w:t>
      </w:r>
      <w:proofErr w:type="gramEnd"/>
      <w:r w:rsidR="00D0101C" w:rsidRPr="008C1E5F">
        <w:t xml:space="preserve"> the benchmarks to be valid.</w:t>
      </w:r>
      <w:r w:rsidRPr="008C1E5F">
        <w:t xml:space="preserve"> </w:t>
      </w:r>
      <w:r w:rsidR="00385399" w:rsidRPr="008C1E5F">
        <w:t>As mentioned above, m</w:t>
      </w:r>
      <w:r w:rsidR="00A5582B" w:rsidRPr="008C1E5F">
        <w:t xml:space="preserve">any of these teachers reported </w:t>
      </w:r>
      <w:r w:rsidR="002E434F" w:rsidRPr="008C1E5F">
        <w:t>relying</w:t>
      </w:r>
      <w:r w:rsidR="008049CA" w:rsidRPr="008C1E5F">
        <w:t xml:space="preserve"> more on department-created </w:t>
      </w:r>
      <w:r w:rsidR="002E434F" w:rsidRPr="008C1E5F">
        <w:t>assessments</w:t>
      </w:r>
      <w:r w:rsidR="008A34EA" w:rsidRPr="008C1E5F">
        <w:t xml:space="preserve"> for modifying instruction and creating small groups. </w:t>
      </w:r>
      <w:r w:rsidR="000F7F71" w:rsidRPr="008C1E5F">
        <w:t>Addressing</w:t>
      </w:r>
      <w:r w:rsidR="00814941" w:rsidRPr="008C1E5F">
        <w:t xml:space="preserve"> </w:t>
      </w:r>
      <w:r w:rsidR="00682318" w:rsidRPr="008C1E5F">
        <w:t>teachers</w:t>
      </w:r>
      <w:r w:rsidR="000F7F71" w:rsidRPr="008C1E5F">
        <w:t xml:space="preserve">’ concerns about the quality </w:t>
      </w:r>
      <w:r w:rsidR="00CC55B0" w:rsidRPr="008C1E5F">
        <w:t>and usefulness</w:t>
      </w:r>
      <w:r w:rsidR="000F7F71" w:rsidRPr="008C1E5F">
        <w:t xml:space="preserve"> of benchmark data to ensure it is a useful data source to drive instruction is</w:t>
      </w:r>
      <w:r w:rsidR="00385654" w:rsidRPr="008C1E5F">
        <w:t xml:space="preserve"> </w:t>
      </w:r>
      <w:r w:rsidR="001724DA" w:rsidRPr="008C1E5F">
        <w:t xml:space="preserve">an area for growth. </w:t>
      </w:r>
    </w:p>
    <w:p w14:paraId="43FA240B" w14:textId="25FABA78" w:rsidR="003F35D2" w:rsidRPr="008C1E5F" w:rsidRDefault="001A2B9D" w:rsidP="00455FDE">
      <w:pPr>
        <w:pStyle w:val="BodyText"/>
      </w:pPr>
      <w:r w:rsidRPr="008C1E5F">
        <w:t>Outside of</w:t>
      </w:r>
      <w:r w:rsidR="00316067" w:rsidRPr="008C1E5F">
        <w:t xml:space="preserve"> the</w:t>
      </w:r>
      <w:r w:rsidRPr="008C1E5F">
        <w:t xml:space="preserve"> district-created benchmark</w:t>
      </w:r>
      <w:r w:rsidR="00316067" w:rsidRPr="008C1E5F">
        <w:t>s</w:t>
      </w:r>
      <w:r w:rsidRPr="008C1E5F">
        <w:t xml:space="preserve">, </w:t>
      </w:r>
      <w:r w:rsidR="0033304E" w:rsidRPr="008C1E5F">
        <w:t>Fall River</w:t>
      </w:r>
      <w:r w:rsidR="0033304E" w:rsidRPr="008C1E5F">
        <w:rPr>
          <w:b/>
          <w:bCs/>
        </w:rPr>
        <w:t xml:space="preserve"> </w:t>
      </w:r>
      <w:r w:rsidR="0033304E" w:rsidRPr="008C1E5F">
        <w:t>strategically selects and implements formal and</w:t>
      </w:r>
      <w:r w:rsidR="0033304E" w:rsidRPr="008C1E5F">
        <w:rPr>
          <w:b/>
          <w:bCs/>
        </w:rPr>
        <w:t xml:space="preserve"> </w:t>
      </w:r>
      <w:r w:rsidR="0033304E" w:rsidRPr="008C1E5F">
        <w:t>informal assessments that align with instructional content. For example,</w:t>
      </w:r>
      <w:r w:rsidR="00813996" w:rsidRPr="008C1E5F">
        <w:t xml:space="preserve"> in science for </w:t>
      </w:r>
      <w:r w:rsidR="007E5B4C" w:rsidRPr="008C1E5F">
        <w:t>G</w:t>
      </w:r>
      <w:r w:rsidR="00813996" w:rsidRPr="008C1E5F">
        <w:t xml:space="preserve">rades 3-12, </w:t>
      </w:r>
      <w:r w:rsidR="00965DA7" w:rsidRPr="008C1E5F">
        <w:t>students</w:t>
      </w:r>
      <w:r w:rsidR="00813996" w:rsidRPr="008C1E5F">
        <w:t xml:space="preserve"> complete </w:t>
      </w:r>
      <w:r w:rsidR="002C04B7" w:rsidRPr="008C1E5F">
        <w:t>curriculum-based unit</w:t>
      </w:r>
      <w:r w:rsidR="00813996" w:rsidRPr="008C1E5F">
        <w:t xml:space="preserve"> assessments. These unit assessments typically count toward students’ grades, and district and school staff use </w:t>
      </w:r>
      <w:r w:rsidR="00B22E14" w:rsidRPr="008C1E5F">
        <w:t>these</w:t>
      </w:r>
      <w:r w:rsidR="00813996" w:rsidRPr="008C1E5F">
        <w:t xml:space="preserve"> data to track student achievement toward content standards.</w:t>
      </w:r>
      <w:r w:rsidR="00B22E14" w:rsidRPr="008C1E5F">
        <w:t xml:space="preserve"> In mathematics, </w:t>
      </w:r>
      <w:r w:rsidR="0033304E" w:rsidRPr="008C1E5F">
        <w:t xml:space="preserve">district and school leaders </w:t>
      </w:r>
      <w:r w:rsidR="00B22E14" w:rsidRPr="008C1E5F">
        <w:t>reported</w:t>
      </w:r>
      <w:r w:rsidR="0033304E" w:rsidRPr="008C1E5F">
        <w:t xml:space="preserve"> that</w:t>
      </w:r>
      <w:r w:rsidR="00226CF1" w:rsidRPr="008C1E5F">
        <w:t xml:space="preserve"> teachers use </w:t>
      </w:r>
      <w:r w:rsidR="00B01371" w:rsidRPr="008C1E5F">
        <w:t>Mathi</w:t>
      </w:r>
      <w:r w:rsidR="003F3AA1" w:rsidRPr="008C1E5F">
        <w:t xml:space="preserve">a’s and </w:t>
      </w:r>
      <w:proofErr w:type="spellStart"/>
      <w:r w:rsidR="003F3AA1" w:rsidRPr="008C1E5F">
        <w:t>Amplify’s</w:t>
      </w:r>
      <w:proofErr w:type="spellEnd"/>
      <w:r w:rsidR="003F3AA1" w:rsidRPr="008C1E5F">
        <w:t xml:space="preserve"> online </w:t>
      </w:r>
      <w:r w:rsidR="00487A70" w:rsidRPr="008C1E5F">
        <w:t xml:space="preserve">unit </w:t>
      </w:r>
      <w:r w:rsidR="003F3AA1" w:rsidRPr="008C1E5F">
        <w:t xml:space="preserve">assessments to monitor student progress. </w:t>
      </w:r>
      <w:r w:rsidR="003F35D2" w:rsidRPr="008C1E5F">
        <w:t xml:space="preserve">At the secondary level, the director of the social studies department is currently </w:t>
      </w:r>
      <w:r w:rsidR="00665593">
        <w:t xml:space="preserve">reviewing ways to consistently assess </w:t>
      </w:r>
      <w:r w:rsidR="007E5B4C" w:rsidRPr="008C1E5F">
        <w:t xml:space="preserve">middle and high school </w:t>
      </w:r>
      <w:r w:rsidR="003F35D2" w:rsidRPr="008C1E5F">
        <w:t>students.</w:t>
      </w:r>
      <w:r w:rsidR="00E40630" w:rsidRPr="008C1E5F">
        <w:t xml:space="preserve"> A district leader also note</w:t>
      </w:r>
      <w:r w:rsidR="007E5B4C" w:rsidRPr="008C1E5F">
        <w:t>d</w:t>
      </w:r>
      <w:r w:rsidR="00E40630" w:rsidRPr="008C1E5F">
        <w:t xml:space="preserve"> that teachers use Nearpod and Google Classroom occasionally </w:t>
      </w:r>
      <w:r w:rsidR="008D3809" w:rsidRPr="008C1E5F">
        <w:t>to administer</w:t>
      </w:r>
      <w:r w:rsidR="00E40630" w:rsidRPr="008C1E5F">
        <w:t xml:space="preserve"> quick formative assessments. Fall River shares </w:t>
      </w:r>
      <w:r w:rsidR="007E5B4C" w:rsidRPr="008C1E5F">
        <w:t xml:space="preserve">its </w:t>
      </w:r>
      <w:r w:rsidR="00E40630" w:rsidRPr="008C1E5F">
        <w:t xml:space="preserve">assessment </w:t>
      </w:r>
      <w:r w:rsidR="00E40630" w:rsidRPr="008C1E5F">
        <w:lastRenderedPageBreak/>
        <w:t xml:space="preserve">schedule and plan with school staff so </w:t>
      </w:r>
      <w:r w:rsidR="007E5B4C" w:rsidRPr="008C1E5F">
        <w:t xml:space="preserve">that </w:t>
      </w:r>
      <w:r w:rsidR="00E40630" w:rsidRPr="008C1E5F">
        <w:t>they understand when and how often they should be assessing their students.</w:t>
      </w:r>
    </w:p>
    <w:p w14:paraId="550BBD0B" w14:textId="69FEC8F6" w:rsidR="003F1042" w:rsidRPr="008C1E5F" w:rsidRDefault="003F1042" w:rsidP="00455FDE">
      <w:pPr>
        <w:pStyle w:val="BodyText"/>
      </w:pPr>
      <w:r w:rsidRPr="008C1E5F">
        <w:t>In focus group</w:t>
      </w:r>
      <w:r w:rsidR="004D2946" w:rsidRPr="008C1E5F">
        <w:t>s</w:t>
      </w:r>
      <w:r w:rsidRPr="008C1E5F">
        <w:t>, district and school leaders and teachers expressed that the collected data provide</w:t>
      </w:r>
      <w:r w:rsidRPr="008C1E5F">
        <w:rPr>
          <w:b/>
          <w:bCs/>
        </w:rPr>
        <w:t xml:space="preserve"> </w:t>
      </w:r>
      <w:r w:rsidRPr="008C1E5F">
        <w:t>a comprehensive understanding of each student. For example</w:t>
      </w:r>
      <w:r w:rsidR="00CC4EBF" w:rsidRPr="008C1E5F">
        <w:t>,</w:t>
      </w:r>
      <w:r w:rsidRPr="008C1E5F">
        <w:t xml:space="preserve"> staff at the secondary level explained various ways that they are using data to guide pod meetings </w:t>
      </w:r>
      <w:r w:rsidR="00607370" w:rsidRPr="008C1E5F">
        <w:t>to</w:t>
      </w:r>
      <w:r w:rsidRPr="008C1E5F">
        <w:t xml:space="preserve"> which students are referred if data indicate they need more intensive support. In these meetings, teachers from different content areas (including </w:t>
      </w:r>
      <w:r w:rsidR="007E5B4C" w:rsidRPr="008C1E5F">
        <w:t xml:space="preserve">special education </w:t>
      </w:r>
      <w:r w:rsidRPr="008C1E5F">
        <w:t>and</w:t>
      </w:r>
      <w:r w:rsidR="003E6E47">
        <w:t xml:space="preserve"> </w:t>
      </w:r>
      <w:r w:rsidRPr="008C1E5F">
        <w:t>E</w:t>
      </w:r>
      <w:r w:rsidR="001C32CE">
        <w:t xml:space="preserve">nglish </w:t>
      </w:r>
      <w:r w:rsidR="00913862" w:rsidRPr="008C1E5F">
        <w:t>L</w:t>
      </w:r>
      <w:r w:rsidR="001C32CE">
        <w:t>earner</w:t>
      </w:r>
      <w:r w:rsidRPr="008C1E5F">
        <w:t xml:space="preserve"> specialists and/or attendance monitors, if applicable) discuss students who are struggling</w:t>
      </w:r>
      <w:r w:rsidR="00032415" w:rsidRPr="008C1E5F">
        <w:t xml:space="preserve">, including their strengths and weaknesses, </w:t>
      </w:r>
      <w:r w:rsidRPr="008C1E5F">
        <w:t>ways to support them</w:t>
      </w:r>
      <w:r w:rsidR="00032415" w:rsidRPr="008C1E5F">
        <w:t>, and short-term goals for monitoring progress</w:t>
      </w:r>
      <w:r w:rsidRPr="008C1E5F">
        <w:t xml:space="preserve">. Progress is monitored over time, and the students are brought back for follow-up meetings. </w:t>
      </w:r>
    </w:p>
    <w:p w14:paraId="5895D78D" w14:textId="59CCE2C6" w:rsidR="00BA0444" w:rsidRPr="008C1E5F" w:rsidRDefault="00C04AE8" w:rsidP="00455FDE">
      <w:pPr>
        <w:pStyle w:val="BodyText"/>
        <w:rPr>
          <w:rFonts w:eastAsiaTheme="majorEastAsia" w:cs="Segoe UI"/>
          <w:color w:val="000000"/>
        </w:rPr>
      </w:pPr>
      <w:r w:rsidRPr="008C1E5F">
        <w:t xml:space="preserve">Fall River </w:t>
      </w:r>
      <w:r w:rsidR="002A14EE" w:rsidRPr="008C1E5F">
        <w:t>centers</w:t>
      </w:r>
      <w:r w:rsidRPr="008C1E5F">
        <w:rPr>
          <w:b/>
          <w:bCs/>
          <w:i/>
          <w:iCs/>
        </w:rPr>
        <w:t xml:space="preserve"> </w:t>
      </w:r>
      <w:r w:rsidRPr="008C1E5F">
        <w:t>assessment</w:t>
      </w:r>
      <w:r w:rsidR="002A14EE" w:rsidRPr="008C1E5F">
        <w:t>s and student data</w:t>
      </w:r>
      <w:r w:rsidRPr="008C1E5F">
        <w:t xml:space="preserve"> as critical component</w:t>
      </w:r>
      <w:r w:rsidR="009F26AB" w:rsidRPr="008C1E5F">
        <w:t>s</w:t>
      </w:r>
      <w:r w:rsidRPr="008C1E5F">
        <w:t xml:space="preserve"> of </w:t>
      </w:r>
      <w:r w:rsidR="009F26AB" w:rsidRPr="008C1E5F">
        <w:t xml:space="preserve">its </w:t>
      </w:r>
      <w:r w:rsidRPr="008C1E5F">
        <w:t xml:space="preserve">commitment to equity. </w:t>
      </w:r>
      <w:r w:rsidRPr="008C1E5F">
        <w:rPr>
          <w:rFonts w:eastAsiaTheme="majorEastAsia" w:cs="Segoe UI"/>
          <w:color w:val="000000"/>
        </w:rPr>
        <w:t xml:space="preserve">According to both district and school </w:t>
      </w:r>
      <w:r w:rsidR="002A14EE" w:rsidRPr="008C1E5F">
        <w:rPr>
          <w:rFonts w:eastAsiaTheme="majorEastAsia" w:cs="Segoe UI"/>
          <w:color w:val="000000"/>
        </w:rPr>
        <w:t xml:space="preserve">leaders, the district regularly engages with schools to complete </w:t>
      </w:r>
      <w:r w:rsidR="00841997" w:rsidRPr="008C1E5F">
        <w:rPr>
          <w:rFonts w:eastAsiaTheme="majorEastAsia" w:cs="Segoe UI"/>
          <w:color w:val="000000"/>
        </w:rPr>
        <w:t xml:space="preserve">multiple </w:t>
      </w:r>
      <w:r w:rsidR="002A14EE" w:rsidRPr="008C1E5F">
        <w:rPr>
          <w:rFonts w:eastAsiaTheme="majorEastAsia" w:cs="Segoe UI"/>
          <w:color w:val="000000"/>
        </w:rPr>
        <w:t>data dives</w:t>
      </w:r>
      <w:r w:rsidR="00841997" w:rsidRPr="008C1E5F">
        <w:rPr>
          <w:rFonts w:eastAsiaTheme="majorEastAsia" w:cs="Segoe UI"/>
          <w:color w:val="000000"/>
        </w:rPr>
        <w:t xml:space="preserve"> per year</w:t>
      </w:r>
      <w:r w:rsidR="00041E39" w:rsidRPr="008C1E5F">
        <w:rPr>
          <w:rFonts w:eastAsiaTheme="majorEastAsia" w:cs="Segoe UI"/>
          <w:color w:val="000000"/>
        </w:rPr>
        <w:t xml:space="preserve"> to inform </w:t>
      </w:r>
      <w:r w:rsidR="009F26AB" w:rsidRPr="008C1E5F">
        <w:rPr>
          <w:rFonts w:eastAsiaTheme="majorEastAsia" w:cs="Segoe UI"/>
          <w:color w:val="000000"/>
        </w:rPr>
        <w:t xml:space="preserve">its </w:t>
      </w:r>
      <w:r w:rsidR="00041E39" w:rsidRPr="008C1E5F">
        <w:rPr>
          <w:rFonts w:eastAsiaTheme="majorEastAsia" w:cs="Segoe UI"/>
          <w:color w:val="000000"/>
        </w:rPr>
        <w:t>short-term action plans</w:t>
      </w:r>
      <w:r w:rsidR="002A14EE" w:rsidRPr="008C1E5F">
        <w:rPr>
          <w:rFonts w:eastAsiaTheme="majorEastAsia" w:cs="Segoe UI"/>
          <w:color w:val="000000"/>
        </w:rPr>
        <w:t>.</w:t>
      </w:r>
      <w:r w:rsidR="00841997" w:rsidRPr="008C1E5F">
        <w:rPr>
          <w:rFonts w:eastAsiaTheme="majorEastAsia" w:cs="Segoe UI"/>
          <w:color w:val="000000"/>
        </w:rPr>
        <w:t xml:space="preserve"> </w:t>
      </w:r>
      <w:r w:rsidR="00BA0444" w:rsidRPr="008C1E5F">
        <w:rPr>
          <w:rFonts w:eastAsiaTheme="majorEastAsia" w:cs="Segoe UI"/>
          <w:color w:val="000000"/>
        </w:rPr>
        <w:t xml:space="preserve">Similarly, school leaders agreed that the data dives are used to inform their short-term goals, which drive their improvement efforts. </w:t>
      </w:r>
      <w:r w:rsidR="000265FF" w:rsidRPr="008C1E5F">
        <w:rPr>
          <w:rFonts w:eastAsiaTheme="majorEastAsia" w:cs="Segoe UI"/>
          <w:color w:val="000000"/>
        </w:rPr>
        <w:t xml:space="preserve">As a school leader summarized, “I honestly like the process this year because it forced you to look at a multitude of different pieces of data and to get to a point of </w:t>
      </w:r>
      <w:r w:rsidR="009F26AB" w:rsidRPr="008C1E5F">
        <w:rPr>
          <w:rFonts w:eastAsiaTheme="majorEastAsia" w:cs="Segoe UI"/>
          <w:color w:val="000000"/>
        </w:rPr>
        <w:t>‘</w:t>
      </w:r>
      <w:r w:rsidR="000265FF" w:rsidRPr="008C1E5F">
        <w:rPr>
          <w:rFonts w:eastAsiaTheme="majorEastAsia" w:cs="Segoe UI"/>
          <w:color w:val="000000"/>
        </w:rPr>
        <w:t>aha.</w:t>
      </w:r>
      <w:r w:rsidR="009F26AB" w:rsidRPr="008C1E5F">
        <w:rPr>
          <w:rFonts w:eastAsiaTheme="majorEastAsia" w:cs="Segoe UI"/>
          <w:color w:val="000000"/>
        </w:rPr>
        <w:t>’</w:t>
      </w:r>
      <w:r w:rsidR="000265FF" w:rsidRPr="008C1E5F">
        <w:rPr>
          <w:rFonts w:eastAsiaTheme="majorEastAsia" w:cs="Segoe UI"/>
          <w:color w:val="000000"/>
        </w:rPr>
        <w:t xml:space="preserve">” </w:t>
      </w:r>
      <w:r w:rsidR="001B4A03" w:rsidRPr="008C1E5F">
        <w:rPr>
          <w:rFonts w:eastAsiaTheme="majorEastAsia" w:cs="Segoe UI"/>
          <w:color w:val="000000"/>
        </w:rPr>
        <w:t xml:space="preserve">District leaders emphasize that PLCs, professional development, coaching, and observation and feedback cycles are crucial in gauging progress toward schools’ short-term goals. </w:t>
      </w:r>
      <w:r w:rsidR="00E35087" w:rsidRPr="008C1E5F">
        <w:rPr>
          <w:rFonts w:eastAsiaTheme="majorEastAsia" w:cs="Segoe UI"/>
          <w:color w:val="000000"/>
        </w:rPr>
        <w:t xml:space="preserve">The district’s use of a structured data </w:t>
      </w:r>
      <w:r w:rsidR="001E3CED" w:rsidRPr="008C1E5F">
        <w:rPr>
          <w:rFonts w:eastAsiaTheme="majorEastAsia" w:cs="Segoe UI"/>
          <w:color w:val="000000"/>
        </w:rPr>
        <w:t xml:space="preserve">inquiry process to identify and address equity gaps is a strength of the district. </w:t>
      </w:r>
    </w:p>
    <w:p w14:paraId="0E4E29B0" w14:textId="6BA84C29" w:rsidR="008E0EE8" w:rsidRPr="008C1E5F" w:rsidRDefault="00473308" w:rsidP="008E0EE8">
      <w:pPr>
        <w:pStyle w:val="Heading3"/>
      </w:pPr>
      <w:bookmarkStart w:id="77" w:name="_Data_Use_and_1"/>
      <w:bookmarkStart w:id="78" w:name="_Toc195024223"/>
      <w:bookmarkEnd w:id="77"/>
      <w:r w:rsidRPr="008C1E5F">
        <w:t>Data Use</w:t>
      </w:r>
      <w:r w:rsidR="008E0EE8" w:rsidRPr="008C1E5F">
        <w:t xml:space="preserve"> and Culture</w:t>
      </w:r>
      <w:bookmarkEnd w:id="78"/>
    </w:p>
    <w:p w14:paraId="458B7EA9" w14:textId="45106DE1" w:rsidR="00262573" w:rsidRPr="008C1E5F" w:rsidRDefault="005A5010" w:rsidP="00455FDE">
      <w:pPr>
        <w:pStyle w:val="BodyTextposthead"/>
        <w:rPr>
          <w:rFonts w:cs="Segoe UI"/>
          <w:color w:val="242424"/>
        </w:rPr>
      </w:pPr>
      <w:r w:rsidRPr="008C1E5F">
        <w:t>Drawing from district leader and school staff focus groups and interviews, it is evident that district, school, and classroom-level leaders have</w:t>
      </w:r>
      <w:r w:rsidRPr="008C1E5F">
        <w:rPr>
          <w:b/>
          <w:bCs/>
          <w:i/>
          <w:iCs/>
        </w:rPr>
        <w:t xml:space="preserve"> </w:t>
      </w:r>
      <w:r w:rsidRPr="008C1E5F">
        <w:t>a shared understanding of how data collection and use are connected to the district’s broader strategic priorities. One district leader describe</w:t>
      </w:r>
      <w:r w:rsidR="00D76BF2" w:rsidRPr="008C1E5F">
        <w:t>d</w:t>
      </w:r>
      <w:r w:rsidRPr="008C1E5F">
        <w:t xml:space="preserve"> </w:t>
      </w:r>
      <w:r w:rsidR="00D76BF2" w:rsidRPr="008C1E5F">
        <w:t>participating in</w:t>
      </w:r>
      <w:r w:rsidRPr="008C1E5F">
        <w:t xml:space="preserve"> PLC meetings and</w:t>
      </w:r>
      <w:r w:rsidR="00E45928" w:rsidRPr="008C1E5F">
        <w:t xml:space="preserve"> explain</w:t>
      </w:r>
      <w:r w:rsidR="00D76BF2" w:rsidRPr="008C1E5F">
        <w:t>ed</w:t>
      </w:r>
      <w:r w:rsidR="00E45928" w:rsidRPr="008C1E5F">
        <w:t xml:space="preserve"> that teachers frequently request</w:t>
      </w:r>
      <w:r w:rsidR="00A24915" w:rsidRPr="008C1E5F">
        <w:t xml:space="preserve"> support from</w:t>
      </w:r>
      <w:r w:rsidR="00E45928" w:rsidRPr="008C1E5F">
        <w:t xml:space="preserve"> </w:t>
      </w:r>
      <w:r w:rsidR="00134998" w:rsidRPr="008C1E5F">
        <w:t>district staff to help interpret data.</w:t>
      </w:r>
      <w:r w:rsidRPr="008C1E5F">
        <w:t xml:space="preserve"> </w:t>
      </w:r>
      <w:r w:rsidR="00134998" w:rsidRPr="008C1E5F">
        <w:t xml:space="preserve">They </w:t>
      </w:r>
      <w:r w:rsidRPr="008C1E5F">
        <w:t>report</w:t>
      </w:r>
      <w:r w:rsidR="009F26AB" w:rsidRPr="008C1E5F">
        <w:t>ed</w:t>
      </w:r>
      <w:r w:rsidR="00134998" w:rsidRPr="008C1E5F">
        <w:t xml:space="preserve"> </w:t>
      </w:r>
      <w:r w:rsidRPr="008C1E5F">
        <w:t xml:space="preserve">that </w:t>
      </w:r>
      <w:r w:rsidR="002C7856" w:rsidRPr="008C1E5F">
        <w:t>in the classroom</w:t>
      </w:r>
      <w:r w:rsidRPr="008C1E5F">
        <w:t xml:space="preserve">, data </w:t>
      </w:r>
      <w:r w:rsidR="009F26AB" w:rsidRPr="008C1E5F">
        <w:t xml:space="preserve">are </w:t>
      </w:r>
      <w:r w:rsidRPr="008C1E5F">
        <w:t>being used</w:t>
      </w:r>
      <w:r w:rsidR="005E103A" w:rsidRPr="008C1E5F">
        <w:t xml:space="preserve"> </w:t>
      </w:r>
      <w:r w:rsidR="00C8057E" w:rsidRPr="008C1E5F">
        <w:t xml:space="preserve">to </w:t>
      </w:r>
      <w:r w:rsidR="00AA64E5" w:rsidRPr="008C1E5F">
        <w:t xml:space="preserve">follow </w:t>
      </w:r>
      <w:r w:rsidR="00C41843" w:rsidRPr="008C1E5F">
        <w:t>the progress</w:t>
      </w:r>
      <w:r w:rsidR="00AA64E5" w:rsidRPr="008C1E5F">
        <w:t xml:space="preserve"> </w:t>
      </w:r>
      <w:r w:rsidR="002579CD" w:rsidRPr="008C1E5F">
        <w:t xml:space="preserve">of individual students. </w:t>
      </w:r>
      <w:r w:rsidR="00C01962" w:rsidRPr="008C1E5F">
        <w:t xml:space="preserve">As previously mentioned, the triangulation of </w:t>
      </w:r>
      <w:r w:rsidR="009F26AB" w:rsidRPr="008C1E5F">
        <w:t xml:space="preserve">data </w:t>
      </w:r>
      <w:r w:rsidR="00B50B33" w:rsidRPr="008C1E5F">
        <w:t xml:space="preserve">is possible through </w:t>
      </w:r>
      <w:r w:rsidR="003269E5" w:rsidRPr="008C1E5F">
        <w:t xml:space="preserve">Illuminate </w:t>
      </w:r>
      <w:proofErr w:type="spellStart"/>
      <w:r w:rsidR="00B50B33" w:rsidRPr="008C1E5F">
        <w:t>DnA</w:t>
      </w:r>
      <w:proofErr w:type="spellEnd"/>
      <w:r w:rsidR="00B50B33" w:rsidRPr="008C1E5F">
        <w:t xml:space="preserve"> and </w:t>
      </w:r>
      <w:proofErr w:type="spellStart"/>
      <w:r w:rsidR="00B50B33" w:rsidRPr="008C1E5F">
        <w:t>Educlimber</w:t>
      </w:r>
      <w:proofErr w:type="spellEnd"/>
      <w:r w:rsidR="002C7856" w:rsidRPr="008C1E5F">
        <w:t>, which</w:t>
      </w:r>
      <w:r w:rsidR="00B50B33" w:rsidRPr="008C1E5F">
        <w:t xml:space="preserve"> ha</w:t>
      </w:r>
      <w:r w:rsidR="009F26AB" w:rsidRPr="008C1E5F">
        <w:t>ve</w:t>
      </w:r>
      <w:r w:rsidR="00B50B33" w:rsidRPr="008C1E5F">
        <w:t xml:space="preserve"> been beneficial in </w:t>
      </w:r>
      <w:r w:rsidR="00A32EDA" w:rsidRPr="008C1E5F">
        <w:t>guiding</w:t>
      </w:r>
      <w:r w:rsidR="00B50B33" w:rsidRPr="008C1E5F">
        <w:t xml:space="preserve"> conversations in teacher PLCs. </w:t>
      </w:r>
      <w:r w:rsidR="00AE70B8" w:rsidRPr="008C1E5F">
        <w:rPr>
          <w:rFonts w:cs="Segoe UI"/>
          <w:color w:val="242424"/>
        </w:rPr>
        <w:t xml:space="preserve">According to the district </w:t>
      </w:r>
      <w:r w:rsidR="0074215D" w:rsidRPr="008C1E5F">
        <w:rPr>
          <w:rFonts w:cs="Segoe UI"/>
          <w:color w:val="242424"/>
        </w:rPr>
        <w:t>s</w:t>
      </w:r>
      <w:r w:rsidR="00AE70B8" w:rsidRPr="008C1E5F">
        <w:rPr>
          <w:rFonts w:cs="Segoe UI"/>
          <w:color w:val="242424"/>
        </w:rPr>
        <w:t xml:space="preserve">uperintendent, </w:t>
      </w:r>
      <w:r w:rsidR="00327A0E" w:rsidRPr="008C1E5F">
        <w:rPr>
          <w:rFonts w:cs="Segoe UI"/>
          <w:color w:val="242424"/>
        </w:rPr>
        <w:t xml:space="preserve">Fall River </w:t>
      </w:r>
      <w:r w:rsidR="00AE70B8" w:rsidRPr="008C1E5F">
        <w:rPr>
          <w:rFonts w:cs="Segoe UI"/>
          <w:color w:val="242424"/>
        </w:rPr>
        <w:t>collects</w:t>
      </w:r>
      <w:r w:rsidR="00327A0E" w:rsidRPr="008C1E5F">
        <w:rPr>
          <w:rFonts w:cs="Segoe UI"/>
          <w:b/>
          <w:bCs/>
          <w:i/>
          <w:iCs/>
          <w:color w:val="242424"/>
        </w:rPr>
        <w:t xml:space="preserve"> </w:t>
      </w:r>
      <w:r w:rsidR="00AE70B8" w:rsidRPr="008C1E5F">
        <w:rPr>
          <w:rFonts w:cs="Segoe UI"/>
          <w:color w:val="242424"/>
        </w:rPr>
        <w:t xml:space="preserve">multiple </w:t>
      </w:r>
      <w:r w:rsidR="00F86C34" w:rsidRPr="008C1E5F">
        <w:rPr>
          <w:rFonts w:cs="Segoe UI"/>
          <w:color w:val="242424"/>
        </w:rPr>
        <w:t xml:space="preserve">sources of </w:t>
      </w:r>
      <w:r w:rsidR="00AE70B8" w:rsidRPr="008C1E5F">
        <w:rPr>
          <w:rFonts w:cs="Segoe UI"/>
          <w:color w:val="242424"/>
        </w:rPr>
        <w:t xml:space="preserve">data and disaggregates </w:t>
      </w:r>
      <w:r w:rsidR="0074215D" w:rsidRPr="008C1E5F">
        <w:rPr>
          <w:rFonts w:cs="Segoe UI"/>
          <w:color w:val="242424"/>
        </w:rPr>
        <w:t xml:space="preserve">by </w:t>
      </w:r>
      <w:r w:rsidR="00AE70B8" w:rsidRPr="008C1E5F">
        <w:rPr>
          <w:rFonts w:cs="Segoe UI"/>
          <w:color w:val="242424"/>
        </w:rPr>
        <w:t>student group</w:t>
      </w:r>
      <w:r w:rsidR="0074215D" w:rsidRPr="008C1E5F">
        <w:rPr>
          <w:rFonts w:cs="Segoe UI"/>
          <w:color w:val="242424"/>
        </w:rPr>
        <w:t xml:space="preserve">s </w:t>
      </w:r>
      <w:r w:rsidR="00AE70B8" w:rsidRPr="008C1E5F">
        <w:rPr>
          <w:rFonts w:cs="Segoe UI"/>
          <w:color w:val="242424"/>
        </w:rPr>
        <w:t>to inform district planning, decision</w:t>
      </w:r>
      <w:r w:rsidR="009F26AB" w:rsidRPr="008C1E5F">
        <w:rPr>
          <w:rFonts w:cs="Segoe UI"/>
          <w:color w:val="242424"/>
        </w:rPr>
        <w:t xml:space="preserve"> </w:t>
      </w:r>
      <w:r w:rsidR="00AE70B8" w:rsidRPr="008C1E5F">
        <w:rPr>
          <w:rFonts w:cs="Segoe UI"/>
          <w:color w:val="242424"/>
        </w:rPr>
        <w:t xml:space="preserve">making, policies, and practices. </w:t>
      </w:r>
    </w:p>
    <w:p w14:paraId="304AD048" w14:textId="1990C27E" w:rsidR="001230EF" w:rsidRPr="008C1E5F" w:rsidRDefault="002828C7" w:rsidP="00455FDE">
      <w:pPr>
        <w:pStyle w:val="BodyText"/>
      </w:pPr>
      <w:r w:rsidRPr="008C1E5F">
        <w:t>The district has established many formal structures to support data use across the district and schools</w:t>
      </w:r>
      <w:r w:rsidR="003561DA" w:rsidRPr="008C1E5F">
        <w:t>,</w:t>
      </w:r>
      <w:r w:rsidR="009F26AB" w:rsidRPr="008C1E5F">
        <w:t xml:space="preserve"> which is</w:t>
      </w:r>
      <w:r w:rsidR="003561DA" w:rsidRPr="008C1E5F">
        <w:t xml:space="preserve"> a strength of the district. </w:t>
      </w:r>
      <w:r w:rsidR="00FA0E1B" w:rsidRPr="008C1E5F">
        <w:t xml:space="preserve">As previously mentioned, </w:t>
      </w:r>
      <w:r w:rsidR="00E467C9" w:rsidRPr="008C1E5F">
        <w:t>the district supports schools in</w:t>
      </w:r>
      <w:r w:rsidR="003F072E" w:rsidRPr="008C1E5F">
        <w:t xml:space="preserve"> </w:t>
      </w:r>
      <w:r w:rsidR="00FA0E1B" w:rsidRPr="008C1E5F">
        <w:t xml:space="preserve">data dives </w:t>
      </w:r>
      <w:r w:rsidR="003F072E" w:rsidRPr="008C1E5F">
        <w:t>multiple times a year.</w:t>
      </w:r>
      <w:r w:rsidR="00FA0E1B" w:rsidRPr="008C1E5F">
        <w:t xml:space="preserve"> </w:t>
      </w:r>
      <w:r w:rsidR="001230EF" w:rsidRPr="008C1E5F">
        <w:t>This process involves district leaders sending Boston University’s Lynch School’s equity protocol to each school principal to examine data through an equity lens. The principal convenes a team, typically their administrative team or ILT, to complete the protocol by reviewing multiple sources of data. As a district leader explain</w:t>
      </w:r>
      <w:r w:rsidR="009F26AB" w:rsidRPr="008C1E5F">
        <w:t>ed</w:t>
      </w:r>
      <w:r w:rsidR="001230EF" w:rsidRPr="008C1E5F">
        <w:t>, “</w:t>
      </w:r>
      <w:r w:rsidR="009F26AB" w:rsidRPr="008C1E5F">
        <w:t>T</w:t>
      </w:r>
      <w:r w:rsidR="001230EF" w:rsidRPr="008C1E5F">
        <w:t>hey</w:t>
      </w:r>
      <w:r w:rsidR="009F26AB" w:rsidRPr="008C1E5F">
        <w:t>’</w:t>
      </w:r>
      <w:r w:rsidR="001230EF" w:rsidRPr="008C1E5F">
        <w:t>re going to look at multiple sources of data, but get really narrow,” to create their short-term goals. The team then presents their findings to district leaders for thought partnership and feedback. A district leader provided an example of what this looked like in practice:</w:t>
      </w:r>
    </w:p>
    <w:p w14:paraId="33A8AAC6" w14:textId="7972AA15" w:rsidR="001230EF" w:rsidRPr="008C1E5F" w:rsidRDefault="001230EF" w:rsidP="00455FDE">
      <w:pPr>
        <w:pStyle w:val="BlockQuote"/>
      </w:pPr>
      <w:r w:rsidRPr="008C1E5F">
        <w:t>At [</w:t>
      </w:r>
      <w:r w:rsidR="009F26AB" w:rsidRPr="008C1E5F">
        <w:t>e</w:t>
      </w:r>
      <w:r w:rsidRPr="008C1E5F">
        <w:t xml:space="preserve">lementary </w:t>
      </w:r>
      <w:r w:rsidR="009F26AB" w:rsidRPr="008C1E5F">
        <w:t>s</w:t>
      </w:r>
      <w:r w:rsidRPr="008C1E5F">
        <w:t>chool], they</w:t>
      </w:r>
      <w:r w:rsidR="009F26AB" w:rsidRPr="008C1E5F">
        <w:t>’</w:t>
      </w:r>
      <w:r w:rsidRPr="008C1E5F">
        <w:t>re heavily focused on fourth</w:t>
      </w:r>
      <w:r w:rsidR="009F26AB" w:rsidRPr="008C1E5F">
        <w:t>-</w:t>
      </w:r>
      <w:r w:rsidRPr="008C1E5F">
        <w:t xml:space="preserve">grade multilingual learners. So, they found that they have issues there around [ML] attendance, they have issues there around </w:t>
      </w:r>
      <w:r w:rsidRPr="008C1E5F">
        <w:lastRenderedPageBreak/>
        <w:t xml:space="preserve">academic achievement. So, we were really unpacking like, how many students [are struggling]?... </w:t>
      </w:r>
      <w:r w:rsidR="009F26AB" w:rsidRPr="008C1E5F">
        <w:t>W</w:t>
      </w:r>
      <w:r w:rsidRPr="008C1E5F">
        <w:t xml:space="preserve">hat does the teaching staff look like? Through these data dives and through my walk[throughs], all my feedback…is </w:t>
      </w:r>
      <w:proofErr w:type="gramStart"/>
      <w:r w:rsidRPr="008C1E5F">
        <w:t>really around</w:t>
      </w:r>
      <w:proofErr w:type="gramEnd"/>
      <w:r w:rsidRPr="008C1E5F">
        <w:t xml:space="preserve"> like interrogating your system. So, when you think about your short-term goal, like what is it about PLC, professional development, coaching, observations, feedback? What is it about those pieces that is going to be different [to address] your short-term goal?</w:t>
      </w:r>
    </w:p>
    <w:p w14:paraId="4FE8BD98" w14:textId="6954A5B7" w:rsidR="00033594" w:rsidRPr="008C1E5F" w:rsidRDefault="009D57C7" w:rsidP="004320EF">
      <w:pPr>
        <w:pStyle w:val="BodyText"/>
        <w:rPr>
          <w:rFonts w:cs="Segoe UI"/>
          <w:color w:val="242424"/>
        </w:rPr>
      </w:pPr>
      <w:r w:rsidRPr="008C1E5F">
        <w:t>District and school staff members unanimously agree</w:t>
      </w:r>
      <w:r w:rsidR="009F26AB" w:rsidRPr="008C1E5F">
        <w:t>d</w:t>
      </w:r>
      <w:r w:rsidRPr="008C1E5F">
        <w:t xml:space="preserve"> that </w:t>
      </w:r>
      <w:r w:rsidR="00013F2B" w:rsidRPr="008C1E5F">
        <w:t xml:space="preserve">data gathered from </w:t>
      </w:r>
      <w:r w:rsidR="00D774F7" w:rsidRPr="008C1E5F">
        <w:t>district benchmarks and formative assessments are being used in PLC meetings</w:t>
      </w:r>
      <w:r w:rsidR="00A81898" w:rsidRPr="008C1E5F">
        <w:t xml:space="preserve"> to inform </w:t>
      </w:r>
      <w:r w:rsidR="003018C5" w:rsidRPr="008C1E5F">
        <w:t>instruction</w:t>
      </w:r>
      <w:r w:rsidR="00D774F7" w:rsidRPr="008C1E5F">
        <w:t xml:space="preserve">. </w:t>
      </w:r>
      <w:r w:rsidR="00C21DA7" w:rsidRPr="008C1E5F">
        <w:rPr>
          <w:rFonts w:cs="Segoe UI"/>
          <w:color w:val="242424"/>
        </w:rPr>
        <w:t>In focus groups, elementary teachers describe</w:t>
      </w:r>
      <w:r w:rsidR="009F26AB" w:rsidRPr="008C1E5F">
        <w:rPr>
          <w:rFonts w:cs="Segoe UI"/>
          <w:color w:val="242424"/>
        </w:rPr>
        <w:t>d</w:t>
      </w:r>
      <w:r w:rsidR="00C21DA7" w:rsidRPr="008C1E5F">
        <w:rPr>
          <w:rFonts w:cs="Segoe UI"/>
          <w:color w:val="242424"/>
        </w:rPr>
        <w:t xml:space="preserve"> how their PLCs are “heavily </w:t>
      </w:r>
      <w:r w:rsidR="00D50725">
        <w:rPr>
          <w:rFonts w:cs="Segoe UI"/>
          <w:color w:val="242424"/>
        </w:rPr>
        <w:t>data-based</w:t>
      </w:r>
      <w:r w:rsidR="00C21DA7" w:rsidRPr="008C1E5F">
        <w:rPr>
          <w:rFonts w:cs="Segoe UI"/>
          <w:color w:val="242424"/>
        </w:rPr>
        <w:t xml:space="preserve">” and how they are expected to review </w:t>
      </w:r>
      <w:r w:rsidR="00554719" w:rsidRPr="008C1E5F">
        <w:rPr>
          <w:rFonts w:cs="Segoe UI"/>
          <w:color w:val="242424"/>
        </w:rPr>
        <w:t xml:space="preserve">assessment data to plan their classroom instructional activities. </w:t>
      </w:r>
      <w:r w:rsidR="00D0534C" w:rsidRPr="008C1E5F">
        <w:rPr>
          <w:rFonts w:cs="Segoe UI"/>
          <w:color w:val="242424"/>
        </w:rPr>
        <w:t>Elementary teachers also report</w:t>
      </w:r>
      <w:r w:rsidR="009F26AB" w:rsidRPr="008C1E5F">
        <w:rPr>
          <w:rFonts w:cs="Segoe UI"/>
          <w:color w:val="242424"/>
        </w:rPr>
        <w:t>ed</w:t>
      </w:r>
      <w:r w:rsidR="00D0534C" w:rsidRPr="008C1E5F">
        <w:rPr>
          <w:rFonts w:cs="Segoe UI"/>
          <w:color w:val="242424"/>
        </w:rPr>
        <w:t xml:space="preserve"> that there </w:t>
      </w:r>
      <w:r w:rsidR="008D6DB1" w:rsidRPr="008C1E5F">
        <w:rPr>
          <w:rFonts w:cs="Segoe UI"/>
          <w:color w:val="242424"/>
        </w:rPr>
        <w:t>is a</w:t>
      </w:r>
      <w:r w:rsidR="00A21BA6" w:rsidRPr="008C1E5F">
        <w:rPr>
          <w:rFonts w:cs="Segoe UI"/>
          <w:color w:val="242424"/>
        </w:rPr>
        <w:t xml:space="preserve"> professional learning </w:t>
      </w:r>
      <w:r w:rsidR="008D6DB1" w:rsidRPr="008C1E5F">
        <w:rPr>
          <w:rFonts w:cs="Segoe UI"/>
          <w:color w:val="242424"/>
        </w:rPr>
        <w:t>team</w:t>
      </w:r>
      <w:r w:rsidR="00A21BA6" w:rsidRPr="008C1E5F">
        <w:rPr>
          <w:rFonts w:cs="Segoe UI"/>
          <w:color w:val="242424"/>
        </w:rPr>
        <w:t xml:space="preserve"> specifically </w:t>
      </w:r>
      <w:r w:rsidR="00B73ECA" w:rsidRPr="008C1E5F">
        <w:rPr>
          <w:rFonts w:cs="Segoe UI"/>
          <w:color w:val="242424"/>
        </w:rPr>
        <w:t>focused</w:t>
      </w:r>
      <w:r w:rsidR="00A21BA6" w:rsidRPr="008C1E5F">
        <w:rPr>
          <w:rFonts w:cs="Segoe UI"/>
          <w:color w:val="242424"/>
        </w:rPr>
        <w:t xml:space="preserve"> on SEL once a month</w:t>
      </w:r>
      <w:r w:rsidR="00D50725">
        <w:rPr>
          <w:rFonts w:cs="Segoe UI"/>
          <w:color w:val="242424"/>
        </w:rPr>
        <w:t>,</w:t>
      </w:r>
      <w:r w:rsidR="00F25A65" w:rsidRPr="008C1E5F">
        <w:rPr>
          <w:rFonts w:cs="Segoe UI"/>
          <w:color w:val="242424"/>
        </w:rPr>
        <w:t xml:space="preserve"> where school support staff will review survey and screener data to determine </w:t>
      </w:r>
      <w:r w:rsidR="008840C3" w:rsidRPr="008C1E5F">
        <w:rPr>
          <w:rFonts w:cs="Segoe UI"/>
          <w:color w:val="242424"/>
        </w:rPr>
        <w:t>intervention groups</w:t>
      </w:r>
      <w:r w:rsidR="00BB35B5" w:rsidRPr="008C1E5F">
        <w:rPr>
          <w:rFonts w:cs="Segoe UI"/>
          <w:color w:val="242424"/>
        </w:rPr>
        <w:t xml:space="preserve">. </w:t>
      </w:r>
    </w:p>
    <w:p w14:paraId="51FC4360" w14:textId="68A95F77" w:rsidR="00554719" w:rsidRPr="008C1E5F" w:rsidRDefault="00554719" w:rsidP="004320EF">
      <w:pPr>
        <w:pStyle w:val="BodyText"/>
        <w:rPr>
          <w:rFonts w:cs="Segoe UI"/>
          <w:color w:val="242424"/>
        </w:rPr>
      </w:pPr>
      <w:r w:rsidRPr="008C1E5F">
        <w:rPr>
          <w:rFonts w:cs="Segoe UI"/>
          <w:color w:val="242424"/>
        </w:rPr>
        <w:t>At the middle school level</w:t>
      </w:r>
      <w:r w:rsidR="00AC4ED0" w:rsidRPr="008C1E5F">
        <w:rPr>
          <w:rFonts w:cs="Segoe UI"/>
          <w:color w:val="242424"/>
        </w:rPr>
        <w:t xml:space="preserve">, </w:t>
      </w:r>
      <w:r w:rsidR="001665C1" w:rsidRPr="008C1E5F">
        <w:rPr>
          <w:rFonts w:cs="Segoe UI"/>
          <w:color w:val="242424"/>
        </w:rPr>
        <w:t>administration of district screeners (supported by the GLEAM grant)</w:t>
      </w:r>
      <w:r w:rsidR="00DB593E" w:rsidRPr="008C1E5F">
        <w:rPr>
          <w:rFonts w:cs="Segoe UI"/>
          <w:color w:val="242424"/>
        </w:rPr>
        <w:t xml:space="preserve"> has </w:t>
      </w:r>
      <w:r w:rsidR="00FA7531" w:rsidRPr="008C1E5F">
        <w:rPr>
          <w:rFonts w:cs="Segoe UI"/>
          <w:color w:val="242424"/>
        </w:rPr>
        <w:t xml:space="preserve">resulted in </w:t>
      </w:r>
      <w:r w:rsidR="005A3CD9" w:rsidRPr="008C1E5F">
        <w:rPr>
          <w:rFonts w:cs="Segoe UI"/>
          <w:color w:val="242424"/>
        </w:rPr>
        <w:t xml:space="preserve">a </w:t>
      </w:r>
      <w:r w:rsidR="00E973A5" w:rsidRPr="008C1E5F">
        <w:rPr>
          <w:rFonts w:cs="Segoe UI"/>
          <w:color w:val="242424"/>
        </w:rPr>
        <w:t xml:space="preserve">more targeted MTSS process of </w:t>
      </w:r>
      <w:r w:rsidR="00A70321" w:rsidRPr="008C1E5F">
        <w:rPr>
          <w:rFonts w:cs="Segoe UI"/>
          <w:color w:val="242424"/>
        </w:rPr>
        <w:t>connecting</w:t>
      </w:r>
      <w:r w:rsidR="00E973A5" w:rsidRPr="008C1E5F">
        <w:rPr>
          <w:rFonts w:cs="Segoe UI"/>
          <w:color w:val="242424"/>
        </w:rPr>
        <w:t xml:space="preserve"> students </w:t>
      </w:r>
      <w:r w:rsidR="00A70321" w:rsidRPr="008C1E5F">
        <w:rPr>
          <w:rFonts w:cs="Segoe UI"/>
          <w:color w:val="242424"/>
        </w:rPr>
        <w:t>with</w:t>
      </w:r>
      <w:r w:rsidR="00E973A5" w:rsidRPr="008C1E5F">
        <w:rPr>
          <w:rFonts w:cs="Segoe UI"/>
          <w:color w:val="242424"/>
        </w:rPr>
        <w:t xml:space="preserve"> the academic support that aligns best with their needs. </w:t>
      </w:r>
      <w:r w:rsidRPr="008C1E5F">
        <w:rPr>
          <w:rFonts w:cs="Segoe UI"/>
          <w:color w:val="242424"/>
        </w:rPr>
        <w:t>One</w:t>
      </w:r>
      <w:r w:rsidR="00E973A5" w:rsidRPr="008C1E5F">
        <w:rPr>
          <w:rFonts w:cs="Segoe UI"/>
          <w:color w:val="242424"/>
        </w:rPr>
        <w:t xml:space="preserve"> district leader</w:t>
      </w:r>
      <w:r w:rsidR="00265D23" w:rsidRPr="008C1E5F">
        <w:rPr>
          <w:rFonts w:cs="Segoe UI"/>
          <w:color w:val="242424"/>
        </w:rPr>
        <w:t xml:space="preserve"> describe</w:t>
      </w:r>
      <w:r w:rsidR="009F26AB" w:rsidRPr="008C1E5F">
        <w:rPr>
          <w:rFonts w:cs="Segoe UI"/>
          <w:color w:val="242424"/>
        </w:rPr>
        <w:t>d</w:t>
      </w:r>
      <w:r w:rsidR="005A3CD9" w:rsidRPr="008C1E5F">
        <w:rPr>
          <w:rFonts w:cs="Segoe UI"/>
          <w:color w:val="242424"/>
        </w:rPr>
        <w:t xml:space="preserve"> this process</w:t>
      </w:r>
      <w:r w:rsidR="00627780" w:rsidRPr="008C1E5F">
        <w:rPr>
          <w:rFonts w:cs="Segoe UI"/>
          <w:color w:val="242424"/>
        </w:rPr>
        <w:t xml:space="preserve"> at the elementary level</w:t>
      </w:r>
      <w:r w:rsidR="005A3CD9" w:rsidRPr="008C1E5F">
        <w:rPr>
          <w:rFonts w:cs="Segoe UI"/>
          <w:color w:val="242424"/>
        </w:rPr>
        <w:t xml:space="preserve">: </w:t>
      </w:r>
    </w:p>
    <w:p w14:paraId="57D72894" w14:textId="44F62F8F" w:rsidR="00554719" w:rsidRPr="008C1E5F" w:rsidRDefault="00DB2903" w:rsidP="004320EF">
      <w:pPr>
        <w:pStyle w:val="BlockQuote"/>
      </w:pPr>
      <w:r w:rsidRPr="008C1E5F">
        <w:t xml:space="preserve">We </w:t>
      </w:r>
      <w:r w:rsidR="009377CF" w:rsidRPr="008C1E5F">
        <w:t>started</w:t>
      </w:r>
      <w:r w:rsidRPr="008C1E5F">
        <w:t xml:space="preserve"> with a universal screener for all kids</w:t>
      </w:r>
      <w:r w:rsidR="009F26AB" w:rsidRPr="008C1E5F">
        <w:t>;</w:t>
      </w:r>
      <w:r w:rsidR="00D953BA" w:rsidRPr="008C1E5F">
        <w:t xml:space="preserve"> we were administering MAZE to students. From there, </w:t>
      </w:r>
      <w:r w:rsidR="009F26AB" w:rsidRPr="008C1E5F">
        <w:t xml:space="preserve">… </w:t>
      </w:r>
      <w:r w:rsidR="00D953BA" w:rsidRPr="008C1E5F">
        <w:t>we were determining who was high risk and needed additional screening, so we were administering DIBLES to kids</w:t>
      </w:r>
      <w:r w:rsidR="009F26AB" w:rsidRPr="008C1E5F">
        <w:t>.</w:t>
      </w:r>
      <w:r w:rsidR="009A5758" w:rsidRPr="008C1E5F">
        <w:t>…</w:t>
      </w:r>
      <w:r w:rsidR="00695EBA" w:rsidRPr="008C1E5F">
        <w:t xml:space="preserve"> [</w:t>
      </w:r>
      <w:r w:rsidR="009F26AB" w:rsidRPr="008C1E5F">
        <w:t>W</w:t>
      </w:r>
      <w:r w:rsidR="00695EBA" w:rsidRPr="008C1E5F">
        <w:t>e] also administer a quick phonics screener</w:t>
      </w:r>
      <w:r w:rsidR="000F38DD" w:rsidRPr="008C1E5F">
        <w:t xml:space="preserve">, so we have a few tiers of screening. </w:t>
      </w:r>
      <w:r w:rsidR="009A6717" w:rsidRPr="008C1E5F">
        <w:t xml:space="preserve">Then based on where those kids landed, they would have a menu of interventions </w:t>
      </w:r>
      <w:r w:rsidR="009377CF" w:rsidRPr="008C1E5F">
        <w:t>available</w:t>
      </w:r>
      <w:r w:rsidR="009A6717" w:rsidRPr="008C1E5F">
        <w:t xml:space="preserve"> for them</w:t>
      </w:r>
      <w:r w:rsidR="009F26AB" w:rsidRPr="008C1E5F">
        <w:t>.</w:t>
      </w:r>
    </w:p>
    <w:p w14:paraId="7C0BD982" w14:textId="6A020F3D" w:rsidR="009376AB" w:rsidRPr="008C1E5F" w:rsidRDefault="00A46414" w:rsidP="004320EF">
      <w:pPr>
        <w:pStyle w:val="BodyText"/>
        <w:rPr>
          <w:rFonts w:cs="Segoe UI"/>
          <w:color w:val="242424"/>
        </w:rPr>
      </w:pPr>
      <w:r w:rsidRPr="008C1E5F">
        <w:rPr>
          <w:rFonts w:cs="Segoe UI"/>
          <w:color w:val="242424"/>
        </w:rPr>
        <w:t>This same leader explain</w:t>
      </w:r>
      <w:r w:rsidR="009F26AB" w:rsidRPr="008C1E5F">
        <w:rPr>
          <w:rFonts w:cs="Segoe UI"/>
          <w:color w:val="242424"/>
        </w:rPr>
        <w:t>ed</w:t>
      </w:r>
      <w:r w:rsidRPr="008C1E5F">
        <w:rPr>
          <w:rFonts w:cs="Segoe UI"/>
          <w:color w:val="242424"/>
        </w:rPr>
        <w:t xml:space="preserve"> that</w:t>
      </w:r>
      <w:r w:rsidR="0029705F" w:rsidRPr="008C1E5F">
        <w:rPr>
          <w:rFonts w:cs="Segoe UI"/>
          <w:color w:val="242424"/>
        </w:rPr>
        <w:t xml:space="preserve"> </w:t>
      </w:r>
      <w:r w:rsidR="009377CF" w:rsidRPr="008C1E5F">
        <w:rPr>
          <w:rFonts w:cs="Segoe UI"/>
          <w:color w:val="242424"/>
        </w:rPr>
        <w:t>students</w:t>
      </w:r>
      <w:r w:rsidR="0029705F" w:rsidRPr="008C1E5F">
        <w:rPr>
          <w:rFonts w:cs="Segoe UI"/>
          <w:color w:val="242424"/>
        </w:rPr>
        <w:t xml:space="preserve"> receive 30 or 60 minutes</w:t>
      </w:r>
      <w:r w:rsidR="00101104" w:rsidRPr="008C1E5F">
        <w:rPr>
          <w:rFonts w:cs="Segoe UI"/>
          <w:color w:val="242424"/>
        </w:rPr>
        <w:t xml:space="preserve"> of intervention</w:t>
      </w:r>
      <w:r w:rsidR="009F26AB" w:rsidRPr="008C1E5F">
        <w:rPr>
          <w:rFonts w:cs="Segoe UI"/>
          <w:color w:val="242424"/>
        </w:rPr>
        <w:t xml:space="preserve"> three to four</w:t>
      </w:r>
      <w:r w:rsidR="008115A8" w:rsidRPr="008C1E5F">
        <w:rPr>
          <w:rFonts w:cs="Segoe UI"/>
          <w:color w:val="242424"/>
        </w:rPr>
        <w:t xml:space="preserve"> times a week</w:t>
      </w:r>
      <w:r w:rsidR="009377CF" w:rsidRPr="008C1E5F">
        <w:rPr>
          <w:rFonts w:cs="Segoe UI"/>
          <w:color w:val="242424"/>
        </w:rPr>
        <w:t xml:space="preserve">. </w:t>
      </w:r>
      <w:r w:rsidR="00A72994" w:rsidRPr="008C1E5F">
        <w:rPr>
          <w:rFonts w:cs="Segoe UI"/>
          <w:color w:val="242424"/>
        </w:rPr>
        <w:t>Systems for monitoring student academic and nonacademic progress also exist at the high school level through pod meetings, where teachers and support staff come together to identify, assign to interventions, and monitor students who have been identified as needing extra support.</w:t>
      </w:r>
    </w:p>
    <w:p w14:paraId="17F432F6" w14:textId="23643028" w:rsidR="00C854EF" w:rsidRPr="008C1E5F" w:rsidRDefault="002F14DD" w:rsidP="004320EF">
      <w:pPr>
        <w:pStyle w:val="BodyText"/>
      </w:pPr>
      <w:r w:rsidRPr="008C1E5F">
        <w:t>According to school leaders and teachers, the district</w:t>
      </w:r>
      <w:r w:rsidRPr="008C1E5F">
        <w:rPr>
          <w:b/>
          <w:bCs/>
        </w:rPr>
        <w:t xml:space="preserve"> </w:t>
      </w:r>
      <w:r w:rsidRPr="008C1E5F">
        <w:t>provides</w:t>
      </w:r>
      <w:r w:rsidR="00327A0E" w:rsidRPr="008C1E5F">
        <w:t xml:space="preserve"> </w:t>
      </w:r>
      <w:r w:rsidRPr="008C1E5F">
        <w:t xml:space="preserve">educators with access to relevant resources necessary to understand and analyze </w:t>
      </w:r>
      <w:r w:rsidR="00C91DF1" w:rsidRPr="008C1E5F">
        <w:t>data</w:t>
      </w:r>
      <w:r w:rsidRPr="008C1E5F">
        <w:t xml:space="preserve">. </w:t>
      </w:r>
      <w:r w:rsidR="0016774A" w:rsidRPr="008C1E5F">
        <w:t>One district leader</w:t>
      </w:r>
      <w:r w:rsidRPr="008C1E5F">
        <w:rPr>
          <w:b/>
          <w:bCs/>
        </w:rPr>
        <w:t xml:space="preserve"> </w:t>
      </w:r>
      <w:r w:rsidRPr="008C1E5F">
        <w:t>explain</w:t>
      </w:r>
      <w:r w:rsidR="009F26AB" w:rsidRPr="008C1E5F">
        <w:t>ed</w:t>
      </w:r>
      <w:r w:rsidRPr="008C1E5F">
        <w:t xml:space="preserve"> that the district</w:t>
      </w:r>
      <w:r w:rsidRPr="008C1E5F">
        <w:rPr>
          <w:b/>
          <w:bCs/>
        </w:rPr>
        <w:t xml:space="preserve"> </w:t>
      </w:r>
      <w:r w:rsidRPr="008C1E5F">
        <w:t>supports teacher understanding and use of data through</w:t>
      </w:r>
      <w:r w:rsidRPr="008C1E5F">
        <w:rPr>
          <w:b/>
          <w:bCs/>
        </w:rPr>
        <w:t xml:space="preserve"> </w:t>
      </w:r>
      <w:r w:rsidRPr="008C1E5F">
        <w:t>professional development</w:t>
      </w:r>
      <w:r w:rsidR="00CC181E" w:rsidRPr="008C1E5F">
        <w:t xml:space="preserve">, </w:t>
      </w:r>
      <w:r w:rsidRPr="008C1E5F">
        <w:t>access to data analysis tools, planning and collaborative time, and access to data dashboards</w:t>
      </w:r>
      <w:r w:rsidR="00CC181E" w:rsidRPr="008C1E5F">
        <w:t>.</w:t>
      </w:r>
      <w:r w:rsidR="00C17349" w:rsidRPr="008C1E5F">
        <w:t xml:space="preserve"> </w:t>
      </w:r>
      <w:r w:rsidR="00D239FE" w:rsidRPr="008C1E5F">
        <w:t>School and district leaders describe</w:t>
      </w:r>
      <w:r w:rsidR="009F26AB" w:rsidRPr="008C1E5F">
        <w:t>d</w:t>
      </w:r>
      <w:r w:rsidR="00D239FE" w:rsidRPr="008C1E5F">
        <w:t xml:space="preserve"> that professional learning </w:t>
      </w:r>
      <w:r w:rsidR="00BE158D">
        <w:t>focused on</w:t>
      </w:r>
      <w:r w:rsidR="009A4315" w:rsidRPr="008C1E5F">
        <w:t xml:space="preserve"> how to use student data is </w:t>
      </w:r>
      <w:r w:rsidR="001B4F3D" w:rsidRPr="008C1E5F">
        <w:t xml:space="preserve">typically </w:t>
      </w:r>
      <w:r w:rsidR="009A4315" w:rsidRPr="008C1E5F">
        <w:t xml:space="preserve">done in PLCs, where district leaders </w:t>
      </w:r>
      <w:r w:rsidR="002C16B1" w:rsidRPr="008C1E5F">
        <w:t xml:space="preserve">come in to work with </w:t>
      </w:r>
      <w:r w:rsidR="001B4F3D" w:rsidRPr="008C1E5F">
        <w:t>teacher groups or individuals</w:t>
      </w:r>
      <w:r w:rsidR="002C16B1" w:rsidRPr="008C1E5F">
        <w:t xml:space="preserve"> upon request. Using these</w:t>
      </w:r>
      <w:r w:rsidR="00E1334A" w:rsidRPr="008C1E5F">
        <w:t xml:space="preserve"> specific situations</w:t>
      </w:r>
      <w:r w:rsidR="002C16B1" w:rsidRPr="008C1E5F">
        <w:t xml:space="preserve">, district staff guide teachers </w:t>
      </w:r>
      <w:r w:rsidR="00511057" w:rsidRPr="008C1E5F">
        <w:t xml:space="preserve">on how to best leverage the data they have </w:t>
      </w:r>
      <w:proofErr w:type="gramStart"/>
      <w:r w:rsidR="00C42ACC" w:rsidRPr="008C1E5F">
        <w:t>in order to</w:t>
      </w:r>
      <w:proofErr w:type="gramEnd"/>
      <w:r w:rsidR="00C42ACC" w:rsidRPr="008C1E5F">
        <w:t xml:space="preserve"> </w:t>
      </w:r>
      <w:r w:rsidR="00BB5541" w:rsidRPr="008C1E5F">
        <w:t>build their capacity to analyze student data</w:t>
      </w:r>
      <w:r w:rsidR="00511057" w:rsidRPr="008C1E5F">
        <w:t xml:space="preserve">. </w:t>
      </w:r>
      <w:r w:rsidR="00E865D2" w:rsidRPr="008C1E5F">
        <w:t xml:space="preserve">One district staff </w:t>
      </w:r>
      <w:r w:rsidR="009F26AB" w:rsidRPr="008C1E5F">
        <w:t xml:space="preserve">member </w:t>
      </w:r>
      <w:r w:rsidR="00C42ACC" w:rsidRPr="008C1E5F">
        <w:t>explain</w:t>
      </w:r>
      <w:r w:rsidR="009F26AB" w:rsidRPr="008C1E5F">
        <w:t>ed</w:t>
      </w:r>
      <w:r w:rsidR="00C42ACC" w:rsidRPr="008C1E5F">
        <w:t>,</w:t>
      </w:r>
      <w:r w:rsidR="00E865D2" w:rsidRPr="008C1E5F">
        <w:t xml:space="preserve"> “I feel like the just-in-time stuff works so much better, because it</w:t>
      </w:r>
      <w:r w:rsidR="009F26AB" w:rsidRPr="008C1E5F">
        <w:t>’</w:t>
      </w:r>
      <w:r w:rsidR="00E865D2" w:rsidRPr="008C1E5F">
        <w:t>s so overwhelming if you</w:t>
      </w:r>
      <w:r w:rsidR="009F26AB" w:rsidRPr="008C1E5F">
        <w:t>’</w:t>
      </w:r>
      <w:r w:rsidR="00E865D2" w:rsidRPr="008C1E5F">
        <w:t>re just sort of sitting there and trying to take it in if you don</w:t>
      </w:r>
      <w:r w:rsidR="009F26AB" w:rsidRPr="008C1E5F">
        <w:t>’</w:t>
      </w:r>
      <w:r w:rsidR="00E865D2" w:rsidRPr="008C1E5F">
        <w:t>t have a purpose.</w:t>
      </w:r>
      <w:r w:rsidR="00DB4E1C" w:rsidRPr="008C1E5F">
        <w:t>”</w:t>
      </w:r>
      <w:r w:rsidR="00C42ACC" w:rsidRPr="008C1E5F">
        <w:t xml:space="preserve"> Overall, this approach to supporting teacher</w:t>
      </w:r>
      <w:r w:rsidR="00E61642" w:rsidRPr="008C1E5F">
        <w:t>s</w:t>
      </w:r>
      <w:r w:rsidR="00C42ACC" w:rsidRPr="008C1E5F">
        <w:t xml:space="preserve"> in </w:t>
      </w:r>
      <w:r w:rsidR="00BA75BE" w:rsidRPr="008C1E5F">
        <w:t xml:space="preserve">understanding student data appears to be </w:t>
      </w:r>
      <w:r w:rsidR="004D4B9E" w:rsidRPr="008C1E5F">
        <w:t>a</w:t>
      </w:r>
      <w:r w:rsidR="00BA75BE" w:rsidRPr="008C1E5F">
        <w:t xml:space="preserve"> </w:t>
      </w:r>
      <w:r w:rsidR="007304FE" w:rsidRPr="008C1E5F">
        <w:t xml:space="preserve">productive use of time during PLCs. </w:t>
      </w:r>
    </w:p>
    <w:p w14:paraId="17F53D04" w14:textId="0DDA16F2" w:rsidR="00116A32" w:rsidRPr="001B5900" w:rsidRDefault="00412E50" w:rsidP="004320EF">
      <w:pPr>
        <w:pStyle w:val="BodyText"/>
      </w:pPr>
      <w:r w:rsidRPr="008C1E5F">
        <w:rPr>
          <w:rFonts w:cs="Segoe UI"/>
          <w:color w:val="242424"/>
        </w:rPr>
        <w:t xml:space="preserve">In addition to using data to support individual students, </w:t>
      </w:r>
      <w:r w:rsidR="003A07FC">
        <w:rPr>
          <w:rFonts w:cs="Segoe UI"/>
          <w:color w:val="242424"/>
        </w:rPr>
        <w:t>Fall River</w:t>
      </w:r>
      <w:r w:rsidR="00116A32" w:rsidRPr="008C1E5F">
        <w:rPr>
          <w:rFonts w:cs="Segoe UI"/>
          <w:color w:val="242424"/>
        </w:rPr>
        <w:t xml:space="preserve"> </w:t>
      </w:r>
      <w:r w:rsidR="005C34CF" w:rsidRPr="008C1E5F">
        <w:rPr>
          <w:rFonts w:cs="Segoe UI"/>
          <w:color w:val="242424"/>
        </w:rPr>
        <w:t>utilizes</w:t>
      </w:r>
      <w:r w:rsidR="00116A32" w:rsidRPr="008C1E5F">
        <w:rPr>
          <w:rFonts w:cs="Segoe UI"/>
          <w:color w:val="242424"/>
        </w:rPr>
        <w:t xml:space="preserve"> a variety of data sources to examine s</w:t>
      </w:r>
      <w:r w:rsidR="00DB4D0D" w:rsidRPr="008C1E5F">
        <w:rPr>
          <w:rFonts w:cs="Segoe UI"/>
          <w:color w:val="242424"/>
        </w:rPr>
        <w:t xml:space="preserve">tudent performance across the district. According to district leaders, they regularly use multiple and varied data points to evaluate students’ academic, social-emotional, and behavioral needs. Most data, including grades, attendance, student support team reports, </w:t>
      </w:r>
      <w:r w:rsidR="009F26AB" w:rsidRPr="008C1E5F">
        <w:rPr>
          <w:rFonts w:cs="Segoe UI"/>
          <w:color w:val="242424"/>
        </w:rPr>
        <w:t>individualized education programs (</w:t>
      </w:r>
      <w:r w:rsidR="00DB4D0D" w:rsidRPr="008C1E5F">
        <w:rPr>
          <w:rFonts w:cs="Segoe UI"/>
          <w:color w:val="242424"/>
        </w:rPr>
        <w:t>IEPs</w:t>
      </w:r>
      <w:r w:rsidR="009F26AB" w:rsidRPr="008C1E5F">
        <w:rPr>
          <w:rFonts w:cs="Segoe UI"/>
          <w:color w:val="242424"/>
        </w:rPr>
        <w:t>)</w:t>
      </w:r>
      <w:r w:rsidR="00DB4D0D" w:rsidRPr="008C1E5F">
        <w:rPr>
          <w:rFonts w:cs="Segoe UI"/>
          <w:color w:val="242424"/>
        </w:rPr>
        <w:t xml:space="preserve">, behavioral evaluations, office referrals, suspensions, MCAS, ACCESS, AP </w:t>
      </w:r>
      <w:r w:rsidR="00DB4D0D" w:rsidRPr="008C1E5F">
        <w:rPr>
          <w:rFonts w:cs="Segoe UI"/>
          <w:color w:val="242424"/>
        </w:rPr>
        <w:lastRenderedPageBreak/>
        <w:t>scores, and ACT/SAT scores</w:t>
      </w:r>
      <w:r w:rsidR="009F26AB" w:rsidRPr="008C1E5F">
        <w:rPr>
          <w:rFonts w:cs="Segoe UI"/>
          <w:color w:val="242424"/>
        </w:rPr>
        <w:t>,</w:t>
      </w:r>
      <w:r w:rsidR="00DB4D0D" w:rsidRPr="008C1E5F">
        <w:rPr>
          <w:rFonts w:cs="Segoe UI"/>
          <w:color w:val="242424"/>
        </w:rPr>
        <w:t xml:space="preserve"> are disaggregated by specific categories.</w:t>
      </w:r>
      <w:r w:rsidR="005C34CF" w:rsidRPr="008C1E5F">
        <w:rPr>
          <w:rFonts w:cs="Segoe UI"/>
          <w:color w:val="242424"/>
        </w:rPr>
        <w:t xml:space="preserve"> These categories include race and/or ethnicity, gender, E</w:t>
      </w:r>
      <w:r w:rsidR="001C32CE">
        <w:rPr>
          <w:rFonts w:cs="Segoe UI"/>
          <w:color w:val="242424"/>
        </w:rPr>
        <w:t xml:space="preserve">nglish </w:t>
      </w:r>
      <w:r w:rsidR="005C34CF" w:rsidRPr="008C1E5F">
        <w:rPr>
          <w:rFonts w:cs="Segoe UI"/>
          <w:color w:val="242424"/>
        </w:rPr>
        <w:t>L</w:t>
      </w:r>
      <w:r w:rsidR="001C32CE">
        <w:rPr>
          <w:rFonts w:cs="Segoe UI"/>
          <w:color w:val="242424"/>
        </w:rPr>
        <w:t>earner</w:t>
      </w:r>
      <w:r w:rsidR="005C34CF" w:rsidRPr="008C1E5F">
        <w:rPr>
          <w:rFonts w:cs="Segoe UI"/>
          <w:color w:val="242424"/>
        </w:rPr>
        <w:t xml:space="preserve"> status for current </w:t>
      </w:r>
      <w:r w:rsidR="009F26AB" w:rsidRPr="008C1E5F">
        <w:rPr>
          <w:rFonts w:cs="Segoe UI"/>
          <w:color w:val="242424"/>
        </w:rPr>
        <w:t>E</w:t>
      </w:r>
      <w:r w:rsidR="001C32CE">
        <w:rPr>
          <w:rFonts w:cs="Segoe UI"/>
          <w:color w:val="242424"/>
        </w:rPr>
        <w:t xml:space="preserve">nglish </w:t>
      </w:r>
      <w:r w:rsidR="009F26AB" w:rsidRPr="008C1E5F">
        <w:rPr>
          <w:rFonts w:cs="Segoe UI"/>
          <w:color w:val="242424"/>
        </w:rPr>
        <w:t>L</w:t>
      </w:r>
      <w:r w:rsidR="001C32CE">
        <w:rPr>
          <w:rFonts w:cs="Segoe UI"/>
          <w:color w:val="242424"/>
        </w:rPr>
        <w:t>earner</w:t>
      </w:r>
      <w:r w:rsidR="009F26AB" w:rsidRPr="008C1E5F">
        <w:rPr>
          <w:rFonts w:cs="Segoe UI"/>
          <w:color w:val="242424"/>
        </w:rPr>
        <w:t>s</w:t>
      </w:r>
      <w:r w:rsidR="005C34CF" w:rsidRPr="008C1E5F">
        <w:rPr>
          <w:rFonts w:cs="Segoe UI"/>
          <w:color w:val="242424"/>
        </w:rPr>
        <w:t xml:space="preserve">, and disability status for students </w:t>
      </w:r>
      <w:r w:rsidR="009F26AB" w:rsidRPr="008C1E5F">
        <w:rPr>
          <w:rFonts w:cs="Segoe UI"/>
          <w:color w:val="242424"/>
        </w:rPr>
        <w:t xml:space="preserve">with </w:t>
      </w:r>
      <w:r w:rsidR="005C34CF" w:rsidRPr="008C1E5F">
        <w:rPr>
          <w:rFonts w:cs="Segoe UI"/>
          <w:color w:val="242424"/>
        </w:rPr>
        <w:t xml:space="preserve">an IEP. Additionally, MCAS data </w:t>
      </w:r>
      <w:r w:rsidR="009F26AB" w:rsidRPr="008C1E5F">
        <w:rPr>
          <w:rFonts w:cs="Segoe UI"/>
          <w:color w:val="242424"/>
        </w:rPr>
        <w:t xml:space="preserve">are </w:t>
      </w:r>
      <w:r w:rsidR="005C34CF" w:rsidRPr="008C1E5F">
        <w:rPr>
          <w:rFonts w:cs="Segoe UI"/>
          <w:color w:val="242424"/>
        </w:rPr>
        <w:t xml:space="preserve">disaggregated by </w:t>
      </w:r>
      <w:r w:rsidR="001C32CE">
        <w:rPr>
          <w:rFonts w:cs="Segoe UI"/>
          <w:color w:val="242424"/>
        </w:rPr>
        <w:t>H</w:t>
      </w:r>
      <w:r w:rsidR="005C34CF" w:rsidRPr="008C1E5F">
        <w:rPr>
          <w:rFonts w:cs="Segoe UI"/>
          <w:color w:val="242424"/>
        </w:rPr>
        <w:t xml:space="preserve">igh </w:t>
      </w:r>
      <w:r w:rsidR="001C32CE">
        <w:rPr>
          <w:rFonts w:cs="Segoe UI"/>
          <w:color w:val="242424"/>
        </w:rPr>
        <w:t>Ne</w:t>
      </w:r>
      <w:r w:rsidR="005C34CF" w:rsidRPr="008C1E5F">
        <w:rPr>
          <w:rFonts w:cs="Segoe UI"/>
          <w:color w:val="242424"/>
        </w:rPr>
        <w:t>eds status.</w:t>
      </w:r>
      <w:r w:rsidR="001028C7">
        <w:rPr>
          <w:rFonts w:cs="Segoe UI"/>
          <w:color w:val="242424"/>
        </w:rPr>
        <w:t xml:space="preserve"> </w:t>
      </w:r>
      <w:r w:rsidR="001B5900">
        <w:t xml:space="preserve">The district’s utilization of </w:t>
      </w:r>
      <w:r w:rsidR="001B5900" w:rsidRPr="008C1E5F">
        <w:rPr>
          <w:rFonts w:cs="Segoe UI"/>
          <w:color w:val="242424"/>
        </w:rPr>
        <w:t>a variety of data sources to examine student performance</w:t>
      </w:r>
      <w:r w:rsidR="001B5900">
        <w:rPr>
          <w:rFonts w:cs="Segoe UI"/>
          <w:color w:val="242424"/>
        </w:rPr>
        <w:t xml:space="preserve"> is a strength</w:t>
      </w:r>
      <w:r w:rsidR="001B5900">
        <w:t>.</w:t>
      </w:r>
    </w:p>
    <w:p w14:paraId="1136DCC5" w14:textId="4541D009" w:rsidR="00473308" w:rsidRPr="008C1E5F" w:rsidRDefault="00473308" w:rsidP="00473308">
      <w:pPr>
        <w:pStyle w:val="Heading3"/>
      </w:pPr>
      <w:bookmarkStart w:id="79" w:name="_Sharing_Data"/>
      <w:bookmarkStart w:id="80" w:name="_Toc195024224"/>
      <w:bookmarkEnd w:id="79"/>
      <w:r w:rsidRPr="008C1E5F">
        <w:t xml:space="preserve">Sharing </w:t>
      </w:r>
      <w:r w:rsidR="008E0EE8" w:rsidRPr="008C1E5F">
        <w:t>Data</w:t>
      </w:r>
      <w:bookmarkEnd w:id="80"/>
    </w:p>
    <w:p w14:paraId="1564D443" w14:textId="6F665570" w:rsidR="00911D45" w:rsidRPr="008C1E5F" w:rsidRDefault="00307D8A" w:rsidP="00292C19">
      <w:pPr>
        <w:pStyle w:val="BodyTextposthead"/>
      </w:pPr>
      <w:r w:rsidRPr="008C1E5F">
        <w:t xml:space="preserve">Teacher focus group participants reported that the district </w:t>
      </w:r>
      <w:r w:rsidR="001743CA" w:rsidRPr="008C1E5F">
        <w:t>has</w:t>
      </w:r>
      <w:r w:rsidRPr="008C1E5F">
        <w:t xml:space="preserve"> expectations for teachers to engage students in goal setting and data review in developmentally appropriate ways to promote student agency, </w:t>
      </w:r>
      <w:r w:rsidR="001743CA" w:rsidRPr="008C1E5F">
        <w:t>which is a</w:t>
      </w:r>
      <w:r w:rsidRPr="008C1E5F">
        <w:t xml:space="preserve"> strength </w:t>
      </w:r>
      <w:r w:rsidR="001743CA" w:rsidRPr="008C1E5F">
        <w:t xml:space="preserve">of </w:t>
      </w:r>
      <w:r w:rsidRPr="008C1E5F">
        <w:t>the district.</w:t>
      </w:r>
      <w:r w:rsidR="00C6349B" w:rsidRPr="008C1E5F">
        <w:t xml:space="preserve"> </w:t>
      </w:r>
      <w:r w:rsidR="00573797" w:rsidRPr="008C1E5F">
        <w:t xml:space="preserve">One </w:t>
      </w:r>
      <w:r w:rsidR="00FB177F" w:rsidRPr="008C1E5F">
        <w:t xml:space="preserve">elementary </w:t>
      </w:r>
      <w:r w:rsidR="00573797" w:rsidRPr="008C1E5F">
        <w:t xml:space="preserve">teacher described these </w:t>
      </w:r>
      <w:r w:rsidR="00D50725">
        <w:t>goal-setting</w:t>
      </w:r>
      <w:r w:rsidR="00573797" w:rsidRPr="008C1E5F">
        <w:t xml:space="preserve"> sessions in detail</w:t>
      </w:r>
      <w:r w:rsidR="001743CA" w:rsidRPr="008C1E5F">
        <w:t>:</w:t>
      </w:r>
      <w:r w:rsidR="00573797" w:rsidRPr="008C1E5F">
        <w:t xml:space="preserve"> “</w:t>
      </w:r>
      <w:r w:rsidR="00355367" w:rsidRPr="008C1E5F">
        <w:t>So every child is setting their own goal</w:t>
      </w:r>
      <w:r w:rsidR="001743CA" w:rsidRPr="008C1E5F">
        <w:t>.</w:t>
      </w:r>
      <w:r w:rsidR="00C55D85" w:rsidRPr="008C1E5F">
        <w:t xml:space="preserve">… </w:t>
      </w:r>
      <w:r w:rsidR="001743CA" w:rsidRPr="008C1E5F">
        <w:t>Y</w:t>
      </w:r>
      <w:r w:rsidR="00355367" w:rsidRPr="008C1E5F">
        <w:t>ou take a standard and then break it apart into four steps, or five steps, depending on what the standard is</w:t>
      </w:r>
      <w:r w:rsidR="00154CAF" w:rsidRPr="008C1E5F">
        <w:t xml:space="preserve">.” Teachers are then expected to check in with students about their progress toward these goals throughout the year. </w:t>
      </w:r>
      <w:r w:rsidR="0014322C" w:rsidRPr="008C1E5F">
        <w:t xml:space="preserve">The district primarily uses </w:t>
      </w:r>
      <w:r w:rsidR="002B0000" w:rsidRPr="008C1E5F">
        <w:t>Aspen</w:t>
      </w:r>
      <w:r w:rsidR="0014322C" w:rsidRPr="008C1E5F">
        <w:t xml:space="preserve"> to share data with</w:t>
      </w:r>
      <w:r w:rsidR="006342F3" w:rsidRPr="008C1E5F">
        <w:t xml:space="preserve"> middle and high school</w:t>
      </w:r>
      <w:r w:rsidR="0014322C" w:rsidRPr="008C1E5F">
        <w:t xml:space="preserve"> students and families. </w:t>
      </w:r>
      <w:r w:rsidR="0050744A" w:rsidRPr="008C1E5F">
        <w:t>High school students</w:t>
      </w:r>
      <w:r w:rsidR="00E074D9" w:rsidRPr="008C1E5F">
        <w:t xml:space="preserve"> confirm that they receive a </w:t>
      </w:r>
      <w:r w:rsidR="00A62D0D" w:rsidRPr="008C1E5F">
        <w:t>progress report</w:t>
      </w:r>
      <w:r w:rsidR="001E28C0" w:rsidRPr="008C1E5F">
        <w:t xml:space="preserve"> halfway through the trimester to </w:t>
      </w:r>
      <w:r w:rsidR="00F20BC2" w:rsidRPr="008C1E5F">
        <w:t>show how they are doing</w:t>
      </w:r>
      <w:r w:rsidR="00D50725">
        <w:t>,</w:t>
      </w:r>
      <w:r w:rsidR="004D2A26" w:rsidRPr="008C1E5F">
        <w:t xml:space="preserve"> so that they </w:t>
      </w:r>
      <w:r w:rsidR="0014322C" w:rsidRPr="008C1E5F">
        <w:t>can</w:t>
      </w:r>
      <w:r w:rsidR="004D2A26" w:rsidRPr="008C1E5F">
        <w:t xml:space="preserve"> see how they can improve before their final report card comes out at the end of the trimester. </w:t>
      </w:r>
      <w:r w:rsidR="00AE5C77" w:rsidRPr="008C1E5F">
        <w:t xml:space="preserve">Some teachers also use Google </w:t>
      </w:r>
      <w:r w:rsidR="001743CA" w:rsidRPr="008C1E5F">
        <w:t>C</w:t>
      </w:r>
      <w:r w:rsidR="00AE5C77" w:rsidRPr="008C1E5F">
        <w:t>lassroom</w:t>
      </w:r>
      <w:r w:rsidR="001222AC" w:rsidRPr="008C1E5F">
        <w:t xml:space="preserve"> and </w:t>
      </w:r>
      <w:r w:rsidR="001743CA" w:rsidRPr="008C1E5F">
        <w:t xml:space="preserve">use it to </w:t>
      </w:r>
      <w:r w:rsidR="0050744A" w:rsidRPr="008C1E5F">
        <w:t xml:space="preserve">communicate progress. </w:t>
      </w:r>
    </w:p>
    <w:p w14:paraId="0B32D20D" w14:textId="25304745" w:rsidR="0042316E" w:rsidRPr="008C1E5F" w:rsidRDefault="00E12D35" w:rsidP="004320EF">
      <w:pPr>
        <w:pStyle w:val="BodyText"/>
      </w:pPr>
      <w:r w:rsidRPr="008C1E5F">
        <w:t>Responses from d</w:t>
      </w:r>
      <w:r w:rsidR="00D03B0C" w:rsidRPr="008C1E5F">
        <w:t>istrict</w:t>
      </w:r>
      <w:r w:rsidRPr="008C1E5F">
        <w:t xml:space="preserve"> and school staff confirm that</w:t>
      </w:r>
      <w:r w:rsidR="00D03B0C" w:rsidRPr="008C1E5F">
        <w:t xml:space="preserve"> leaders expect teachers to communicate with families about student performance</w:t>
      </w:r>
      <w:r w:rsidRPr="008C1E5F">
        <w:t xml:space="preserve">. </w:t>
      </w:r>
      <w:r w:rsidR="00D03B0C" w:rsidRPr="008C1E5F">
        <w:t>To this point, teachers and families noted that the district regularly communicates</w:t>
      </w:r>
      <w:r w:rsidRPr="008C1E5F">
        <w:rPr>
          <w:b/>
          <w:bCs/>
          <w:i/>
          <w:iCs/>
        </w:rPr>
        <w:t xml:space="preserve"> </w:t>
      </w:r>
      <w:r w:rsidR="00D03B0C" w:rsidRPr="008C1E5F">
        <w:t xml:space="preserve">evidence of student, school, and district performance. The </w:t>
      </w:r>
      <w:r w:rsidRPr="008C1E5F">
        <w:t>district</w:t>
      </w:r>
      <w:r w:rsidR="00D03B0C" w:rsidRPr="008C1E5F">
        <w:t xml:space="preserve"> </w:t>
      </w:r>
      <w:r w:rsidRPr="008C1E5F">
        <w:t>has</w:t>
      </w:r>
      <w:r w:rsidRPr="008C1E5F">
        <w:rPr>
          <w:b/>
          <w:bCs/>
          <w:i/>
          <w:iCs/>
        </w:rPr>
        <w:t xml:space="preserve"> </w:t>
      </w:r>
      <w:r w:rsidR="00D03B0C" w:rsidRPr="008C1E5F">
        <w:t>a transparent system</w:t>
      </w:r>
      <w:r w:rsidRPr="008C1E5F">
        <w:t xml:space="preserve"> (</w:t>
      </w:r>
      <w:r w:rsidR="003D7DC7" w:rsidRPr="008C1E5F">
        <w:t>Aspen</w:t>
      </w:r>
      <w:r w:rsidRPr="008C1E5F">
        <w:t>)</w:t>
      </w:r>
      <w:r w:rsidR="00D03B0C" w:rsidRPr="008C1E5F">
        <w:t xml:space="preserve"> that enables families to monitor student academic data, including grades on assignments, overall course grades, assessment scores, and other data</w:t>
      </w:r>
      <w:r w:rsidRPr="008C1E5F">
        <w:t>.</w:t>
      </w:r>
      <w:r w:rsidR="00674921" w:rsidRPr="008C1E5F">
        <w:t xml:space="preserve"> </w:t>
      </w:r>
      <w:r w:rsidR="00A6339F" w:rsidRPr="008C1E5F">
        <w:t>For</w:t>
      </w:r>
      <w:r w:rsidR="00BE1C1D" w:rsidRPr="008C1E5F">
        <w:t xml:space="preserve"> all</w:t>
      </w:r>
      <w:r w:rsidR="00A6339F" w:rsidRPr="008C1E5F">
        <w:t xml:space="preserve"> other communications</w:t>
      </w:r>
      <w:r w:rsidR="00AD0A72" w:rsidRPr="008C1E5F">
        <w:t xml:space="preserve"> with their child’s school(s)</w:t>
      </w:r>
      <w:r w:rsidR="00A6339F" w:rsidRPr="008C1E5F">
        <w:t xml:space="preserve">, the district uses </w:t>
      </w:r>
      <w:proofErr w:type="spellStart"/>
      <w:r w:rsidR="00BE1C1D" w:rsidRPr="008C1E5F">
        <w:t>ParentSquare</w:t>
      </w:r>
      <w:proofErr w:type="spellEnd"/>
      <w:r w:rsidR="003B294B" w:rsidRPr="008C1E5F">
        <w:t xml:space="preserve">, where all messages can be automatically translated into </w:t>
      </w:r>
      <w:r w:rsidR="005514A9" w:rsidRPr="008C1E5F">
        <w:t>parents’</w:t>
      </w:r>
      <w:r w:rsidR="003B294B" w:rsidRPr="008C1E5F">
        <w:t xml:space="preserve"> preferred language.</w:t>
      </w:r>
      <w:r w:rsidR="00B67CEE" w:rsidRPr="008C1E5F">
        <w:t xml:space="preserve"> </w:t>
      </w:r>
      <w:r w:rsidR="001743CA" w:rsidRPr="008C1E5F">
        <w:t xml:space="preserve">Because </w:t>
      </w:r>
      <w:r w:rsidR="00B67CEE" w:rsidRPr="008C1E5F">
        <w:t xml:space="preserve">elementary parents do not have access to </w:t>
      </w:r>
      <w:r w:rsidR="003D7DC7" w:rsidRPr="008C1E5F">
        <w:t>Aspen</w:t>
      </w:r>
      <w:r w:rsidR="00B67CEE" w:rsidRPr="008C1E5F">
        <w:t>,</w:t>
      </w:r>
      <w:r w:rsidR="003D7DC7" w:rsidRPr="008C1E5F">
        <w:t xml:space="preserve"> parents in focus groups reported being kept up</w:t>
      </w:r>
      <w:r w:rsidR="001743CA" w:rsidRPr="008C1E5F">
        <w:t xml:space="preserve"> </w:t>
      </w:r>
      <w:r w:rsidR="003D7DC7" w:rsidRPr="008C1E5F">
        <w:t>to</w:t>
      </w:r>
      <w:r w:rsidR="001743CA" w:rsidRPr="008C1E5F">
        <w:t xml:space="preserve"> </w:t>
      </w:r>
      <w:r w:rsidR="003D7DC7" w:rsidRPr="008C1E5F">
        <w:t xml:space="preserve">date on their child’s performance by teachers through </w:t>
      </w:r>
      <w:proofErr w:type="spellStart"/>
      <w:r w:rsidR="003D7DC7" w:rsidRPr="008C1E5F">
        <w:t>ParentSquare</w:t>
      </w:r>
      <w:proofErr w:type="spellEnd"/>
      <w:r w:rsidR="003D7DC7" w:rsidRPr="008C1E5F">
        <w:t xml:space="preserve">. </w:t>
      </w:r>
      <w:r w:rsidR="00131EEB" w:rsidRPr="008C1E5F">
        <w:t xml:space="preserve">Illuminate </w:t>
      </w:r>
      <w:proofErr w:type="spellStart"/>
      <w:r w:rsidR="00131EEB" w:rsidRPr="008C1E5F">
        <w:t>DnA</w:t>
      </w:r>
      <w:proofErr w:type="spellEnd"/>
      <w:r w:rsidR="00131EEB" w:rsidRPr="008C1E5F">
        <w:t xml:space="preserve"> has the capacity to create </w:t>
      </w:r>
      <w:r w:rsidR="006A09FF" w:rsidRPr="008C1E5F">
        <w:t>various</w:t>
      </w:r>
      <w:r w:rsidR="00131EEB" w:rsidRPr="008C1E5F">
        <w:t xml:space="preserve"> letters that can be autogenerated and are geared toward families. One teacher described how after every district benchmark, they send home a letter with details about a student’s results and what they mean in terms of progress toward achieving grade-level standards. T</w:t>
      </w:r>
      <w:r w:rsidR="00A20973" w:rsidRPr="008C1E5F">
        <w:t>eachers also describe</w:t>
      </w:r>
      <w:r w:rsidR="001743CA" w:rsidRPr="008C1E5F">
        <w:t>d</w:t>
      </w:r>
      <w:r w:rsidR="00A20973" w:rsidRPr="008C1E5F">
        <w:t xml:space="preserve"> how they </w:t>
      </w:r>
      <w:r w:rsidR="003172ED" w:rsidRPr="008C1E5F">
        <w:t xml:space="preserve">try their best </w:t>
      </w:r>
      <w:r w:rsidR="00C15289" w:rsidRPr="008C1E5F">
        <w:t xml:space="preserve">to explain </w:t>
      </w:r>
      <w:r w:rsidR="00F62FDB">
        <w:t>DIBELS</w:t>
      </w:r>
      <w:r w:rsidR="00C15289" w:rsidRPr="008C1E5F">
        <w:t xml:space="preserve"> and other screener results to parents during parent-teacher conferences</w:t>
      </w:r>
      <w:r w:rsidR="001743CA" w:rsidRPr="008C1E5F">
        <w:t>;</w:t>
      </w:r>
      <w:r w:rsidR="00C15289" w:rsidRPr="008C1E5F">
        <w:t xml:space="preserve"> </w:t>
      </w:r>
      <w:r w:rsidR="00554719" w:rsidRPr="008C1E5F">
        <w:t>however</w:t>
      </w:r>
      <w:r w:rsidR="001743CA" w:rsidRPr="008C1E5F">
        <w:t>,</w:t>
      </w:r>
      <w:r w:rsidR="00554719" w:rsidRPr="008C1E5F">
        <w:t xml:space="preserve"> time constraints can often make this discussion difficult </w:t>
      </w:r>
      <w:r w:rsidR="007E1069" w:rsidRPr="008C1E5F">
        <w:t xml:space="preserve">because </w:t>
      </w:r>
      <w:r w:rsidR="00554719" w:rsidRPr="008C1E5F">
        <w:t xml:space="preserve">conferences are almost always about five minutes long. </w:t>
      </w:r>
      <w:r w:rsidR="007149A9" w:rsidRPr="008C1E5F">
        <w:t xml:space="preserve">Teachers’ use of a variety of methods to communicate student progress toward grade-level standards is a strength of the district. </w:t>
      </w:r>
    </w:p>
    <w:p w14:paraId="34AF41ED" w14:textId="0AAFC7CE" w:rsidR="00F66F8A" w:rsidRPr="008C1E5F" w:rsidRDefault="000040E3" w:rsidP="004320EF">
      <w:pPr>
        <w:pStyle w:val="BodyText"/>
      </w:pPr>
      <w:r w:rsidRPr="008C1E5F">
        <w:t xml:space="preserve">Parents </w:t>
      </w:r>
      <w:r w:rsidR="008A0014" w:rsidRPr="008C1E5F">
        <w:t>agree</w:t>
      </w:r>
      <w:r w:rsidR="007E1069" w:rsidRPr="008C1E5F">
        <w:t>d</w:t>
      </w:r>
      <w:r w:rsidRPr="008C1E5F">
        <w:t xml:space="preserve"> that the level of communication they receive is transparent</w:t>
      </w:r>
      <w:r w:rsidR="00E97BAB" w:rsidRPr="008C1E5F">
        <w:t xml:space="preserve"> enough for them to understand their </w:t>
      </w:r>
      <w:r w:rsidR="00F11E15" w:rsidRPr="008C1E5F">
        <w:t>students’</w:t>
      </w:r>
      <w:r w:rsidR="00E97BAB" w:rsidRPr="008C1E5F">
        <w:t xml:space="preserve"> progress in academics. </w:t>
      </w:r>
      <w:r w:rsidR="00501406" w:rsidRPr="008C1E5F">
        <w:t>Teachers at the</w:t>
      </w:r>
      <w:r w:rsidR="00C9600D" w:rsidRPr="008C1E5F">
        <w:t xml:space="preserve"> </w:t>
      </w:r>
      <w:r w:rsidR="00501406" w:rsidRPr="008C1E5F">
        <w:t>s</w:t>
      </w:r>
      <w:r w:rsidR="00C9600D" w:rsidRPr="008C1E5F">
        <w:t>econdary level</w:t>
      </w:r>
      <w:r w:rsidR="00501406" w:rsidRPr="008C1E5F">
        <w:t xml:space="preserve"> are also expected to communicate through </w:t>
      </w:r>
      <w:proofErr w:type="spellStart"/>
      <w:r w:rsidR="00501406" w:rsidRPr="008C1E5F">
        <w:t>ParentSquare</w:t>
      </w:r>
      <w:proofErr w:type="spellEnd"/>
      <w:r w:rsidR="0078755A" w:rsidRPr="008C1E5F">
        <w:t>,</w:t>
      </w:r>
      <w:r w:rsidR="00E21C19" w:rsidRPr="008C1E5F">
        <w:t xml:space="preserve"> although there is some disagreement </w:t>
      </w:r>
      <w:r w:rsidR="007E1069" w:rsidRPr="008C1E5F">
        <w:t xml:space="preserve">about </w:t>
      </w:r>
      <w:r w:rsidR="00E45CD6" w:rsidRPr="008C1E5F">
        <w:t>the frequency and accessibility of the information that is shared. One teacher explain</w:t>
      </w:r>
      <w:r w:rsidR="007E1069" w:rsidRPr="008C1E5F">
        <w:t>ed</w:t>
      </w:r>
      <w:r w:rsidR="00E45CD6" w:rsidRPr="008C1E5F">
        <w:t xml:space="preserve"> that they often use </w:t>
      </w:r>
      <w:proofErr w:type="spellStart"/>
      <w:r w:rsidR="00E45CD6" w:rsidRPr="008C1E5F">
        <w:t>ParentSquare</w:t>
      </w:r>
      <w:proofErr w:type="spellEnd"/>
      <w:r w:rsidR="00E45CD6" w:rsidRPr="008C1E5F">
        <w:t xml:space="preserve"> but </w:t>
      </w:r>
      <w:r w:rsidR="007E1069" w:rsidRPr="008C1E5F">
        <w:t xml:space="preserve">has found that </w:t>
      </w:r>
      <w:r w:rsidR="00E45CD6" w:rsidRPr="008C1E5F">
        <w:t>some parents are not responsive on there, so they have moved to calls and emails as alternative methods</w:t>
      </w:r>
      <w:r w:rsidR="007D03AD" w:rsidRPr="008C1E5F">
        <w:t xml:space="preserve">. In focus groups, </w:t>
      </w:r>
      <w:r w:rsidR="00F62739" w:rsidRPr="008C1E5F">
        <w:t>some parents agree</w:t>
      </w:r>
      <w:r w:rsidR="007D03AD" w:rsidRPr="008C1E5F">
        <w:t>d</w:t>
      </w:r>
      <w:r w:rsidR="00F62739" w:rsidRPr="008C1E5F">
        <w:t xml:space="preserve"> that communication at the high school level is not </w:t>
      </w:r>
      <w:r w:rsidR="007D03AD" w:rsidRPr="008C1E5F">
        <w:t xml:space="preserve">as </w:t>
      </w:r>
      <w:r w:rsidR="00F62739" w:rsidRPr="008C1E5F">
        <w:t>consistent</w:t>
      </w:r>
      <w:r w:rsidR="007D03AD" w:rsidRPr="008C1E5F">
        <w:t xml:space="preserve"> as </w:t>
      </w:r>
      <w:r w:rsidR="007E1069" w:rsidRPr="008C1E5F">
        <w:t xml:space="preserve">at </w:t>
      </w:r>
      <w:r w:rsidR="007D03AD" w:rsidRPr="008C1E5F">
        <w:t>other grade levels</w:t>
      </w:r>
      <w:r w:rsidR="00E45CD6" w:rsidRPr="008C1E5F">
        <w:t xml:space="preserve">. </w:t>
      </w:r>
    </w:p>
    <w:p w14:paraId="684E90E6" w14:textId="176B5533" w:rsidR="0042316E" w:rsidRPr="008C1E5F" w:rsidRDefault="006E56DE" w:rsidP="004320EF">
      <w:pPr>
        <w:pStyle w:val="BodyText"/>
        <w:rPr>
          <w:spacing w:val="-2"/>
        </w:rPr>
      </w:pPr>
      <w:r w:rsidRPr="008C1E5F">
        <w:rPr>
          <w:spacing w:val="-2"/>
        </w:rPr>
        <w:t>According to teachers, school leaders, and district staff, the district implements</w:t>
      </w:r>
      <w:r w:rsidRPr="008C1E5F">
        <w:rPr>
          <w:b/>
          <w:bCs/>
          <w:i/>
          <w:iCs/>
          <w:spacing w:val="-2"/>
        </w:rPr>
        <w:t xml:space="preserve"> </w:t>
      </w:r>
      <w:r w:rsidRPr="008C1E5F">
        <w:rPr>
          <w:spacing w:val="-2"/>
        </w:rPr>
        <w:t>a transparent and accessible grading system that is calibrated across schools and communicates</w:t>
      </w:r>
      <w:r w:rsidR="00870EA0" w:rsidRPr="008C1E5F">
        <w:rPr>
          <w:b/>
          <w:bCs/>
          <w:i/>
          <w:iCs/>
          <w:spacing w:val="-2"/>
        </w:rPr>
        <w:t xml:space="preserve"> </w:t>
      </w:r>
      <w:r w:rsidRPr="008C1E5F">
        <w:rPr>
          <w:spacing w:val="-2"/>
        </w:rPr>
        <w:t xml:space="preserve">students’ progress and performance. </w:t>
      </w:r>
      <w:r w:rsidR="004735D6" w:rsidRPr="008C1E5F">
        <w:rPr>
          <w:spacing w:val="-2"/>
        </w:rPr>
        <w:t xml:space="preserve">According to </w:t>
      </w:r>
      <w:r w:rsidR="00E560BE" w:rsidRPr="008C1E5F">
        <w:rPr>
          <w:spacing w:val="-2"/>
        </w:rPr>
        <w:t>the</w:t>
      </w:r>
      <w:r w:rsidR="00C931BF" w:rsidRPr="008C1E5F">
        <w:rPr>
          <w:spacing w:val="-2"/>
        </w:rPr>
        <w:t xml:space="preserve"> district</w:t>
      </w:r>
      <w:r w:rsidR="007E1069" w:rsidRPr="008C1E5F">
        <w:rPr>
          <w:spacing w:val="-2"/>
        </w:rPr>
        <w:t>’</w:t>
      </w:r>
      <w:r w:rsidR="00C931BF" w:rsidRPr="008C1E5F">
        <w:rPr>
          <w:spacing w:val="-2"/>
        </w:rPr>
        <w:t>s</w:t>
      </w:r>
      <w:r w:rsidR="00E560BE" w:rsidRPr="008C1E5F">
        <w:rPr>
          <w:spacing w:val="-2"/>
        </w:rPr>
        <w:t xml:space="preserve"> </w:t>
      </w:r>
      <w:r w:rsidR="00F807DD">
        <w:rPr>
          <w:spacing w:val="-2"/>
        </w:rPr>
        <w:t>Grading</w:t>
      </w:r>
      <w:r w:rsidR="00F807DD" w:rsidRPr="008C1E5F">
        <w:rPr>
          <w:spacing w:val="-2"/>
        </w:rPr>
        <w:t xml:space="preserve"> </w:t>
      </w:r>
      <w:r w:rsidR="00E560BE" w:rsidRPr="008C1E5F">
        <w:rPr>
          <w:spacing w:val="-2"/>
        </w:rPr>
        <w:t xml:space="preserve">Policy </w:t>
      </w:r>
      <w:r w:rsidR="00C931BF" w:rsidRPr="008C1E5F">
        <w:rPr>
          <w:spacing w:val="-2"/>
        </w:rPr>
        <w:t>d</w:t>
      </w:r>
      <w:r w:rsidR="00E560BE" w:rsidRPr="008C1E5F">
        <w:rPr>
          <w:spacing w:val="-2"/>
        </w:rPr>
        <w:t>ocument</w:t>
      </w:r>
      <w:r w:rsidR="00C931BF" w:rsidRPr="008C1E5F">
        <w:rPr>
          <w:spacing w:val="-2"/>
        </w:rPr>
        <w:t>,</w:t>
      </w:r>
      <w:r w:rsidR="00FF1CB6" w:rsidRPr="008C1E5F">
        <w:rPr>
          <w:spacing w:val="-2"/>
        </w:rPr>
        <w:t xml:space="preserve"> the school committee requires </w:t>
      </w:r>
      <w:proofErr w:type="gramStart"/>
      <w:r w:rsidR="00FF1CB6" w:rsidRPr="008C1E5F">
        <w:rPr>
          <w:spacing w:val="-2"/>
        </w:rPr>
        <w:t xml:space="preserve">a </w:t>
      </w:r>
      <w:r w:rsidR="00FF1CB6" w:rsidRPr="008C1E5F">
        <w:rPr>
          <w:spacing w:val="-2"/>
        </w:rPr>
        <w:lastRenderedPageBreak/>
        <w:t>number of</w:t>
      </w:r>
      <w:proofErr w:type="gramEnd"/>
      <w:r w:rsidR="00FF1CB6" w:rsidRPr="008C1E5F">
        <w:rPr>
          <w:spacing w:val="-2"/>
        </w:rPr>
        <w:t xml:space="preserve"> </w:t>
      </w:r>
      <w:r w:rsidR="00E90A20" w:rsidRPr="008C1E5F">
        <w:rPr>
          <w:spacing w:val="-2"/>
        </w:rPr>
        <w:t>efforts to measure and report student academic progress</w:t>
      </w:r>
      <w:r w:rsidR="00FF2B2F" w:rsidRPr="008C1E5F">
        <w:rPr>
          <w:spacing w:val="-2"/>
        </w:rPr>
        <w:t>. These efforts include</w:t>
      </w:r>
      <w:r w:rsidR="00306829" w:rsidRPr="008C1E5F">
        <w:rPr>
          <w:spacing w:val="-2"/>
        </w:rPr>
        <w:t xml:space="preserve"> requirements for parents/guardians to be regularly informed</w:t>
      </w:r>
      <w:r w:rsidR="00CB76C8" w:rsidRPr="008C1E5F">
        <w:rPr>
          <w:spacing w:val="-2"/>
        </w:rPr>
        <w:t xml:space="preserve"> four times </w:t>
      </w:r>
      <w:r w:rsidR="000D28CF" w:rsidRPr="008C1E5F">
        <w:rPr>
          <w:spacing w:val="-2"/>
        </w:rPr>
        <w:t>a year</w:t>
      </w:r>
      <w:r w:rsidR="00CB76C8" w:rsidRPr="008C1E5F">
        <w:rPr>
          <w:spacing w:val="-2"/>
        </w:rPr>
        <w:t xml:space="preserve"> </w:t>
      </w:r>
      <w:r w:rsidR="00FC4FD8" w:rsidRPr="008C1E5F">
        <w:rPr>
          <w:spacing w:val="-2"/>
        </w:rPr>
        <w:t>about</w:t>
      </w:r>
      <w:r w:rsidR="00CB76C8" w:rsidRPr="008C1E5F">
        <w:rPr>
          <w:spacing w:val="-2"/>
        </w:rPr>
        <w:t xml:space="preserve"> their </w:t>
      </w:r>
      <w:r w:rsidR="00FC4FD8" w:rsidRPr="008C1E5F">
        <w:rPr>
          <w:spacing w:val="-2"/>
        </w:rPr>
        <w:t>child’s</w:t>
      </w:r>
      <w:r w:rsidR="00CB76C8" w:rsidRPr="008C1E5F">
        <w:rPr>
          <w:spacing w:val="-2"/>
        </w:rPr>
        <w:t xml:space="preserve"> progress</w:t>
      </w:r>
      <w:r w:rsidR="00357E75">
        <w:rPr>
          <w:spacing w:val="-2"/>
        </w:rPr>
        <w:t>,</w:t>
      </w:r>
      <w:r w:rsidR="00CB76C8" w:rsidRPr="008C1E5F">
        <w:rPr>
          <w:spacing w:val="-2"/>
        </w:rPr>
        <w:t xml:space="preserve"> as well as </w:t>
      </w:r>
      <w:r w:rsidR="000C2127" w:rsidRPr="008C1E5F">
        <w:rPr>
          <w:spacing w:val="-2"/>
        </w:rPr>
        <w:t xml:space="preserve">school staff </w:t>
      </w:r>
      <w:r w:rsidR="0098561F" w:rsidRPr="008C1E5F">
        <w:rPr>
          <w:spacing w:val="-2"/>
        </w:rPr>
        <w:t>explaining the meaning of</w:t>
      </w:r>
      <w:r w:rsidR="00FC4FD8" w:rsidRPr="008C1E5F">
        <w:rPr>
          <w:spacing w:val="-2"/>
        </w:rPr>
        <w:t xml:space="preserve"> grades and outcomes to parents.</w:t>
      </w:r>
      <w:r w:rsidR="00C931BF" w:rsidRPr="008C1E5F">
        <w:rPr>
          <w:spacing w:val="-2"/>
        </w:rPr>
        <w:t xml:space="preserve"> </w:t>
      </w:r>
      <w:r w:rsidR="00830C72" w:rsidRPr="008C1E5F">
        <w:rPr>
          <w:spacing w:val="-2"/>
        </w:rPr>
        <w:t xml:space="preserve">At the elementary level, students receive </w:t>
      </w:r>
      <w:r w:rsidR="00595FF1" w:rsidRPr="008C1E5F">
        <w:rPr>
          <w:spacing w:val="-2"/>
        </w:rPr>
        <w:t xml:space="preserve">competency-based report cards, </w:t>
      </w:r>
      <w:r w:rsidR="007E1069" w:rsidRPr="008C1E5F">
        <w:rPr>
          <w:spacing w:val="-2"/>
        </w:rPr>
        <w:t xml:space="preserve">whereas </w:t>
      </w:r>
      <w:r w:rsidR="00595FF1" w:rsidRPr="008C1E5F">
        <w:rPr>
          <w:spacing w:val="-2"/>
        </w:rPr>
        <w:t xml:space="preserve">at the middle and high school levels, students receive traditional report cards to </w:t>
      </w:r>
      <w:r w:rsidR="00830C72" w:rsidRPr="008C1E5F">
        <w:rPr>
          <w:spacing w:val="-2"/>
        </w:rPr>
        <w:t xml:space="preserve">communicate </w:t>
      </w:r>
      <w:r w:rsidR="00870EA0" w:rsidRPr="008C1E5F">
        <w:rPr>
          <w:spacing w:val="-2"/>
        </w:rPr>
        <w:t>student performance</w:t>
      </w:r>
      <w:r w:rsidR="003A271F" w:rsidRPr="008C1E5F">
        <w:rPr>
          <w:spacing w:val="-2"/>
        </w:rPr>
        <w:t>.</w:t>
      </w:r>
      <w:r w:rsidR="000C0127" w:rsidRPr="008C1E5F">
        <w:rPr>
          <w:spacing w:val="-2"/>
        </w:rPr>
        <w:t xml:space="preserve"> A</w:t>
      </w:r>
      <w:r w:rsidR="00902B25" w:rsidRPr="008C1E5F">
        <w:rPr>
          <w:spacing w:val="-2"/>
        </w:rPr>
        <w:t>dditionally, a</w:t>
      </w:r>
      <w:r w:rsidR="000C0127" w:rsidRPr="008C1E5F">
        <w:rPr>
          <w:spacing w:val="-2"/>
        </w:rPr>
        <w:t>t the high school level, teachers talked specifically about ways that they</w:t>
      </w:r>
      <w:r w:rsidR="00883AD0" w:rsidRPr="008C1E5F">
        <w:rPr>
          <w:spacing w:val="-2"/>
        </w:rPr>
        <w:t xml:space="preserve"> are making sure grading practices are consistent across classrooms</w:t>
      </w:r>
      <w:r w:rsidR="00902B25" w:rsidRPr="008C1E5F">
        <w:rPr>
          <w:spacing w:val="-2"/>
        </w:rPr>
        <w:t>. Examples include</w:t>
      </w:r>
      <w:r w:rsidR="00CB6FAE" w:rsidRPr="008C1E5F">
        <w:rPr>
          <w:spacing w:val="-2"/>
        </w:rPr>
        <w:t xml:space="preserve"> using rubrics</w:t>
      </w:r>
      <w:r w:rsidR="0096617B" w:rsidRPr="008C1E5F">
        <w:rPr>
          <w:spacing w:val="-2"/>
        </w:rPr>
        <w:t xml:space="preserve"> from </w:t>
      </w:r>
      <w:r w:rsidR="00EB3D55" w:rsidRPr="008C1E5F">
        <w:rPr>
          <w:spacing w:val="-2"/>
        </w:rPr>
        <w:t>College Board</w:t>
      </w:r>
      <w:r w:rsidR="0024455A" w:rsidRPr="008C1E5F">
        <w:rPr>
          <w:spacing w:val="-2"/>
        </w:rPr>
        <w:t xml:space="preserve"> for AP classes</w:t>
      </w:r>
      <w:r w:rsidR="00EB3D55" w:rsidRPr="008C1E5F">
        <w:rPr>
          <w:spacing w:val="-2"/>
        </w:rPr>
        <w:t xml:space="preserve"> and MCAS</w:t>
      </w:r>
      <w:r w:rsidR="00CB6FAE" w:rsidRPr="008C1E5F">
        <w:rPr>
          <w:spacing w:val="-2"/>
        </w:rPr>
        <w:t xml:space="preserve"> </w:t>
      </w:r>
      <w:r w:rsidR="0024455A" w:rsidRPr="008C1E5F">
        <w:rPr>
          <w:spacing w:val="-2"/>
        </w:rPr>
        <w:t xml:space="preserve">for college prep classes </w:t>
      </w:r>
      <w:r w:rsidR="00CB6FAE" w:rsidRPr="008C1E5F">
        <w:rPr>
          <w:spacing w:val="-2"/>
        </w:rPr>
        <w:t xml:space="preserve">to systematize the way </w:t>
      </w:r>
      <w:r w:rsidR="002D071A" w:rsidRPr="008C1E5F">
        <w:rPr>
          <w:spacing w:val="-2"/>
        </w:rPr>
        <w:t xml:space="preserve">teachers score assignments. </w:t>
      </w:r>
    </w:p>
    <w:p w14:paraId="30CFBFA0" w14:textId="119863B4" w:rsidR="00743F16" w:rsidRPr="008C1E5F" w:rsidRDefault="00DB3D86" w:rsidP="004320EF">
      <w:pPr>
        <w:pStyle w:val="BodyText"/>
        <w:rPr>
          <w:spacing w:val="-2"/>
        </w:rPr>
      </w:pPr>
      <w:r w:rsidRPr="008C1E5F">
        <w:rPr>
          <w:spacing w:val="-2"/>
        </w:rPr>
        <w:t xml:space="preserve">According to district leaders, </w:t>
      </w:r>
      <w:r w:rsidR="001252B9" w:rsidRPr="008C1E5F">
        <w:rPr>
          <w:spacing w:val="-2"/>
        </w:rPr>
        <w:t>digital platforms that collect, store, and share student data are reviewed and monitored regularly to ensure ongoing compliance with student data privacy laws and regulations.</w:t>
      </w:r>
      <w:r w:rsidR="00B06E77" w:rsidRPr="008C1E5F">
        <w:rPr>
          <w:spacing w:val="-2"/>
        </w:rPr>
        <w:t xml:space="preserve"> </w:t>
      </w:r>
      <w:r w:rsidRPr="008C1E5F">
        <w:rPr>
          <w:spacing w:val="-2"/>
        </w:rPr>
        <w:t>In addition, district staff reported that the district offer</w:t>
      </w:r>
      <w:r w:rsidR="007E1069" w:rsidRPr="008C1E5F">
        <w:rPr>
          <w:spacing w:val="-2"/>
        </w:rPr>
        <w:t>s</w:t>
      </w:r>
      <w:r w:rsidRPr="008C1E5F">
        <w:rPr>
          <w:spacing w:val="-2"/>
        </w:rPr>
        <w:t xml:space="preserve"> </w:t>
      </w:r>
      <w:r w:rsidR="009D3C8C" w:rsidRPr="008C1E5F">
        <w:rPr>
          <w:spacing w:val="-2"/>
        </w:rPr>
        <w:t xml:space="preserve">annual </w:t>
      </w:r>
      <w:r w:rsidRPr="008C1E5F">
        <w:rPr>
          <w:spacing w:val="-2"/>
        </w:rPr>
        <w:t xml:space="preserve">professional learning for staff </w:t>
      </w:r>
      <w:r w:rsidR="007E1069" w:rsidRPr="008C1E5F">
        <w:rPr>
          <w:spacing w:val="-2"/>
        </w:rPr>
        <w:t xml:space="preserve">on </w:t>
      </w:r>
      <w:r w:rsidRPr="008C1E5F">
        <w:rPr>
          <w:spacing w:val="-2"/>
        </w:rPr>
        <w:t xml:space="preserve">student data privacy law, policies, and best practices for safeguarding student information. </w:t>
      </w:r>
      <w:r w:rsidR="00A14E7A" w:rsidRPr="008C1E5F">
        <w:rPr>
          <w:spacing w:val="-2"/>
        </w:rPr>
        <w:t>T</w:t>
      </w:r>
      <w:r w:rsidR="00F4364E" w:rsidRPr="008C1E5F">
        <w:rPr>
          <w:spacing w:val="-2"/>
        </w:rPr>
        <w:t>he district maintains</w:t>
      </w:r>
      <w:r w:rsidR="00F4364E" w:rsidRPr="008C1E5F">
        <w:rPr>
          <w:b/>
          <w:bCs/>
          <w:i/>
          <w:iCs/>
          <w:spacing w:val="-2"/>
        </w:rPr>
        <w:t xml:space="preserve"> </w:t>
      </w:r>
      <w:r w:rsidR="00F4364E" w:rsidRPr="008C1E5F">
        <w:rPr>
          <w:spacing w:val="-2"/>
        </w:rPr>
        <w:t xml:space="preserve">a detailed technology policy </w:t>
      </w:r>
      <w:r w:rsidR="007E1069" w:rsidRPr="008C1E5F">
        <w:rPr>
          <w:spacing w:val="-2"/>
        </w:rPr>
        <w:t xml:space="preserve">that </w:t>
      </w:r>
      <w:r w:rsidR="00A14E7A" w:rsidRPr="008C1E5F">
        <w:rPr>
          <w:spacing w:val="-2"/>
        </w:rPr>
        <w:t xml:space="preserve">specifies that </w:t>
      </w:r>
      <w:r w:rsidR="00F4364E" w:rsidRPr="008C1E5F">
        <w:rPr>
          <w:spacing w:val="-2"/>
        </w:rPr>
        <w:t xml:space="preserve">student data </w:t>
      </w:r>
      <w:r w:rsidR="00235B21" w:rsidRPr="008C1E5F">
        <w:rPr>
          <w:spacing w:val="-2"/>
        </w:rPr>
        <w:t>is</w:t>
      </w:r>
      <w:r w:rsidR="007E1069" w:rsidRPr="008C1E5F">
        <w:rPr>
          <w:spacing w:val="-2"/>
        </w:rPr>
        <w:t xml:space="preserve"> </w:t>
      </w:r>
      <w:r w:rsidR="00F4364E" w:rsidRPr="008C1E5F">
        <w:rPr>
          <w:spacing w:val="-2"/>
        </w:rPr>
        <w:t>protected by permissions. A district leader explain</w:t>
      </w:r>
      <w:r w:rsidR="007E1069" w:rsidRPr="008C1E5F">
        <w:rPr>
          <w:spacing w:val="-2"/>
        </w:rPr>
        <w:t>ed</w:t>
      </w:r>
      <w:r w:rsidR="00F4364E" w:rsidRPr="008C1E5F">
        <w:rPr>
          <w:spacing w:val="-2"/>
        </w:rPr>
        <w:t xml:space="preserve"> that teachers have access </w:t>
      </w:r>
      <w:r w:rsidR="00235B21">
        <w:rPr>
          <w:spacing w:val="-2"/>
        </w:rPr>
        <w:t xml:space="preserve">to </w:t>
      </w:r>
      <w:r w:rsidR="00235B21" w:rsidRPr="008C1E5F">
        <w:rPr>
          <w:spacing w:val="-2"/>
        </w:rPr>
        <w:t>only</w:t>
      </w:r>
      <w:r w:rsidR="00F4364E" w:rsidRPr="008C1E5F">
        <w:rPr>
          <w:spacing w:val="-2"/>
        </w:rPr>
        <w:t xml:space="preserve"> their classroom</w:t>
      </w:r>
      <w:r w:rsidR="007E1069" w:rsidRPr="008C1E5F">
        <w:rPr>
          <w:spacing w:val="-2"/>
        </w:rPr>
        <w:t>-</w:t>
      </w:r>
      <w:r w:rsidR="00F4364E" w:rsidRPr="008C1E5F">
        <w:rPr>
          <w:spacing w:val="-2"/>
        </w:rPr>
        <w:t xml:space="preserve">level data and principals have access </w:t>
      </w:r>
      <w:r w:rsidR="007E1069" w:rsidRPr="008C1E5F">
        <w:rPr>
          <w:spacing w:val="-2"/>
        </w:rPr>
        <w:t xml:space="preserve">only </w:t>
      </w:r>
      <w:r w:rsidR="00F4364E" w:rsidRPr="008C1E5F">
        <w:rPr>
          <w:spacing w:val="-2"/>
        </w:rPr>
        <w:t xml:space="preserve">to data about their buildings, </w:t>
      </w:r>
      <w:r w:rsidR="007E1069" w:rsidRPr="008C1E5F">
        <w:rPr>
          <w:spacing w:val="-2"/>
        </w:rPr>
        <w:t xml:space="preserve">whereas </w:t>
      </w:r>
      <w:r w:rsidR="00F4364E" w:rsidRPr="008C1E5F">
        <w:rPr>
          <w:spacing w:val="-2"/>
        </w:rPr>
        <w:t xml:space="preserve">the district </w:t>
      </w:r>
      <w:proofErr w:type="gramStart"/>
      <w:r w:rsidR="00F4364E" w:rsidRPr="008C1E5F">
        <w:rPr>
          <w:spacing w:val="-2"/>
        </w:rPr>
        <w:t>is able to</w:t>
      </w:r>
      <w:proofErr w:type="gramEnd"/>
      <w:r w:rsidR="00F4364E" w:rsidRPr="008C1E5F">
        <w:rPr>
          <w:spacing w:val="-2"/>
        </w:rPr>
        <w:t xml:space="preserve"> review data at all levels.</w:t>
      </w:r>
      <w:r w:rsidR="00F43486" w:rsidRPr="008C1E5F">
        <w:rPr>
          <w:spacing w:val="-2"/>
        </w:rPr>
        <w:t xml:space="preserve"> </w:t>
      </w:r>
    </w:p>
    <w:p w14:paraId="18115117" w14:textId="2C7178A0" w:rsidR="002B4CEF" w:rsidRPr="008C1E5F" w:rsidRDefault="002B4CEF" w:rsidP="002B4CEF">
      <w:pPr>
        <w:pStyle w:val="Heading3"/>
      </w:pPr>
      <w:bookmarkStart w:id="81" w:name="_Toc195024225"/>
      <w:r w:rsidRPr="008C1E5F">
        <w:t>Recommendations</w:t>
      </w:r>
      <w:bookmarkEnd w:id="81"/>
    </w:p>
    <w:p w14:paraId="6B609048" w14:textId="684C798E" w:rsidR="002B4CEF" w:rsidRPr="008C1E5F" w:rsidRDefault="007043C3" w:rsidP="002B4CEF">
      <w:pPr>
        <w:pStyle w:val="Bullet1"/>
        <w:rPr>
          <w:bCs/>
        </w:rPr>
      </w:pPr>
      <w:r>
        <w:rPr>
          <w:i/>
          <w:iCs/>
        </w:rPr>
        <w:t>The district should critically examine</w:t>
      </w:r>
      <w:r w:rsidR="00AA1E62">
        <w:rPr>
          <w:i/>
          <w:iCs/>
        </w:rPr>
        <w:t xml:space="preserve"> its </w:t>
      </w:r>
      <w:r w:rsidR="00756BCC">
        <w:rPr>
          <w:i/>
          <w:iCs/>
        </w:rPr>
        <w:t>benchmark</w:t>
      </w:r>
      <w:r w:rsidR="00AA1E62">
        <w:rPr>
          <w:i/>
          <w:iCs/>
        </w:rPr>
        <w:t xml:space="preserve"> assessment system and engage teachers in the process</w:t>
      </w:r>
      <w:r w:rsidR="00357E75">
        <w:rPr>
          <w:i/>
          <w:iCs/>
        </w:rPr>
        <w:t>,</w:t>
      </w:r>
      <w:r w:rsidR="00AA1E62">
        <w:rPr>
          <w:i/>
          <w:iCs/>
        </w:rPr>
        <w:t xml:space="preserve"> </w:t>
      </w:r>
      <w:r w:rsidR="000E6F65">
        <w:rPr>
          <w:i/>
          <w:iCs/>
        </w:rPr>
        <w:t>aligning</w:t>
      </w:r>
      <w:r w:rsidR="006E2AA5">
        <w:rPr>
          <w:i/>
          <w:iCs/>
        </w:rPr>
        <w:t xml:space="preserve"> the pacing calendar, school schedules, an</w:t>
      </w:r>
      <w:r w:rsidR="00EF7E2D">
        <w:rPr>
          <w:i/>
          <w:iCs/>
        </w:rPr>
        <w:t xml:space="preserve">d district-wide </w:t>
      </w:r>
      <w:r w:rsidR="00134DDC">
        <w:rPr>
          <w:i/>
          <w:iCs/>
        </w:rPr>
        <w:t xml:space="preserve">benchmark assessments </w:t>
      </w:r>
      <w:r w:rsidR="00EF7E2D">
        <w:rPr>
          <w:i/>
          <w:iCs/>
        </w:rPr>
        <w:t>to increase the</w:t>
      </w:r>
      <w:r w:rsidR="004465D0">
        <w:rPr>
          <w:i/>
          <w:iCs/>
        </w:rPr>
        <w:t xml:space="preserve"> usefulness of benchmark data for teachers and district leaders.</w:t>
      </w:r>
      <w:r w:rsidR="006E2AA5">
        <w:rPr>
          <w:i/>
          <w:iCs/>
        </w:rPr>
        <w:t xml:space="preserve"> </w:t>
      </w:r>
    </w:p>
    <w:p w14:paraId="28D1950D" w14:textId="48E9ED86" w:rsidR="008D6102" w:rsidRPr="008C1E5F" w:rsidRDefault="008D6102" w:rsidP="008D6102">
      <w:pPr>
        <w:spacing w:line="240" w:lineRule="auto"/>
        <w:rPr>
          <w:bCs/>
        </w:rPr>
      </w:pPr>
    </w:p>
    <w:p w14:paraId="0B4FDEA8" w14:textId="77777777" w:rsidR="008D6102" w:rsidRPr="008C1E5F" w:rsidRDefault="008D6102" w:rsidP="008D6102">
      <w:pPr>
        <w:pStyle w:val="Heading2"/>
      </w:pPr>
      <w:bookmarkStart w:id="82" w:name="_Human_Resources_and"/>
      <w:bookmarkStart w:id="83" w:name="_Toc101446230"/>
      <w:bookmarkStart w:id="84" w:name="_Toc190886739"/>
      <w:bookmarkStart w:id="85" w:name="_Toc195024226"/>
      <w:bookmarkEnd w:id="82"/>
      <w:r w:rsidRPr="008C1E5F">
        <w:lastRenderedPageBreak/>
        <w:t>Human Resources and Professional Development</w:t>
      </w:r>
      <w:bookmarkEnd w:id="83"/>
      <w:bookmarkEnd w:id="84"/>
      <w:bookmarkEnd w:id="85"/>
    </w:p>
    <w:p w14:paraId="4B6AABB6" w14:textId="6F21480B" w:rsidR="00F751ED" w:rsidRPr="008C1E5F" w:rsidRDefault="00F751ED" w:rsidP="004320EF">
      <w:pPr>
        <w:pStyle w:val="BodyText"/>
      </w:pPr>
      <w:r w:rsidRPr="008C1E5F">
        <w:t xml:space="preserve">This section examines the extent to which the district has established systems, policies, and practices that allow administrators to effectively recruit, hire, onboard, and support a highly effective, diverse, and culturally responsive workforce. It also focuses on the systems and structures that </w:t>
      </w:r>
      <w:r w:rsidR="00697125" w:rsidRPr="008C1E5F">
        <w:t xml:space="preserve">the district </w:t>
      </w:r>
      <w:r w:rsidR="002A2B60" w:rsidRPr="008C1E5F">
        <w:t xml:space="preserve">uses to </w:t>
      </w:r>
      <w:r w:rsidRPr="008C1E5F">
        <w:t>provide all educators with ongoing access to high-quality professional learning and actionable feedback and establishes a culture that fosters collaboration, retention, recognition, and advancement.</w:t>
      </w:r>
    </w:p>
    <w:p w14:paraId="7136409B" w14:textId="6AD5CF8B" w:rsidR="002C6E1C" w:rsidRPr="008C1E5F" w:rsidRDefault="002C6E1C" w:rsidP="004320EF">
      <w:pPr>
        <w:pStyle w:val="BodyText"/>
        <w:rPr>
          <w:highlight w:val="green"/>
        </w:rPr>
      </w:pPr>
      <w:r w:rsidRPr="008C1E5F">
        <w:t xml:space="preserve">Table </w:t>
      </w:r>
      <w:r w:rsidR="008A4888" w:rsidRPr="008C1E5F">
        <w:t>6</w:t>
      </w:r>
      <w:r w:rsidR="00163C7A" w:rsidRPr="008C1E5F">
        <w:t xml:space="preserve"> </w:t>
      </w:r>
      <w:r w:rsidRPr="008C1E5F">
        <w:t>summarizes key strengths and areas for growth in human resources and professional development</w:t>
      </w:r>
      <w:r w:rsidR="424D3F94" w:rsidRPr="008C1E5F">
        <w:t xml:space="preserve"> in Fall River</w:t>
      </w:r>
      <w:r w:rsidRPr="008C1E5F">
        <w:t>.</w:t>
      </w:r>
    </w:p>
    <w:p w14:paraId="66CEE916" w14:textId="278809F3" w:rsidR="00B827DE" w:rsidRPr="008C1E5F" w:rsidRDefault="00B827DE" w:rsidP="00B827DE">
      <w:pPr>
        <w:pStyle w:val="TableTitle0"/>
      </w:pPr>
      <w:r w:rsidRPr="008C1E5F">
        <w:t xml:space="preserve">Table </w:t>
      </w:r>
      <w:r w:rsidR="008A4888" w:rsidRPr="008C1E5F">
        <w:t>6</w:t>
      </w:r>
      <w:r w:rsidRPr="008C1E5F">
        <w:t xml:space="preserve">. Summary of </w:t>
      </w:r>
      <w:r w:rsidR="002C6E1C" w:rsidRPr="008C1E5F">
        <w:t xml:space="preserve">Key Strengths </w:t>
      </w:r>
      <w:r w:rsidRPr="008C1E5F">
        <w:t xml:space="preserve">and </w:t>
      </w:r>
      <w:r w:rsidR="002C6E1C" w:rsidRPr="008C1E5F">
        <w:t xml:space="preserve">Areas </w:t>
      </w:r>
      <w:r w:rsidRPr="008C1E5F">
        <w:t xml:space="preserve">for </w:t>
      </w:r>
      <w:r w:rsidR="002C6E1C" w:rsidRPr="008C1E5F">
        <w:t>Growth:</w:t>
      </w:r>
      <w:r w:rsidRPr="008C1E5F">
        <w:t xml:space="preserve"> Human Resources and Professional Development</w:t>
      </w:r>
      <w:r w:rsidR="002C6E1C" w:rsidRPr="008C1E5F">
        <w:t xml:space="preserve"> Standard</w:t>
      </w:r>
    </w:p>
    <w:tbl>
      <w:tblPr>
        <w:tblStyle w:val="MSVTable1"/>
        <w:tblW w:w="5000" w:type="pct"/>
        <w:tblLook w:val="04A0" w:firstRow="1" w:lastRow="0" w:firstColumn="1" w:lastColumn="0" w:noHBand="0" w:noVBand="1"/>
      </w:tblPr>
      <w:tblGrid>
        <w:gridCol w:w="2426"/>
        <w:gridCol w:w="3459"/>
        <w:gridCol w:w="3459"/>
      </w:tblGrid>
      <w:tr w:rsidR="00B827DE" w:rsidRPr="008C1E5F" w14:paraId="5AF94F4A" w14:textId="77777777" w:rsidTr="00444346">
        <w:trPr>
          <w:cnfStyle w:val="100000000000" w:firstRow="1" w:lastRow="0" w:firstColumn="0" w:lastColumn="0" w:oddVBand="0" w:evenVBand="0" w:oddHBand="0" w:evenHBand="0" w:firstRowFirstColumn="0" w:firstRowLastColumn="0" w:lastRowFirstColumn="0" w:lastRowLastColumn="0"/>
        </w:trPr>
        <w:tc>
          <w:tcPr>
            <w:tcW w:w="1298" w:type="pct"/>
          </w:tcPr>
          <w:p w14:paraId="2AD0DE9D" w14:textId="77777777" w:rsidR="00B827DE" w:rsidRPr="008C1E5F" w:rsidRDefault="00B827DE" w:rsidP="00B827DE">
            <w:pPr>
              <w:pStyle w:val="TableColHeadingCenter"/>
            </w:pPr>
            <w:r w:rsidRPr="008C1E5F">
              <w:t>Indicator</w:t>
            </w:r>
          </w:p>
        </w:tc>
        <w:tc>
          <w:tcPr>
            <w:tcW w:w="1851" w:type="pct"/>
          </w:tcPr>
          <w:p w14:paraId="29F8FCE9" w14:textId="77777777" w:rsidR="00B827DE" w:rsidRPr="008C1E5F" w:rsidRDefault="00B827DE" w:rsidP="00B827DE">
            <w:pPr>
              <w:pStyle w:val="TableColHeadingCenter"/>
            </w:pPr>
            <w:r w:rsidRPr="008C1E5F">
              <w:t>Strengths</w:t>
            </w:r>
          </w:p>
        </w:tc>
        <w:tc>
          <w:tcPr>
            <w:tcW w:w="1851" w:type="pct"/>
          </w:tcPr>
          <w:p w14:paraId="500B423F" w14:textId="6D40DEB3" w:rsidR="00B827DE" w:rsidRPr="008C1E5F" w:rsidRDefault="00B827DE" w:rsidP="00B827DE">
            <w:pPr>
              <w:pStyle w:val="TableColHeadingCenter"/>
            </w:pPr>
            <w:r w:rsidRPr="008C1E5F">
              <w:t xml:space="preserve">Areas for </w:t>
            </w:r>
            <w:r w:rsidR="002C6E1C" w:rsidRPr="008C1E5F">
              <w:t>growth</w:t>
            </w:r>
          </w:p>
        </w:tc>
      </w:tr>
      <w:tr w:rsidR="00B827DE" w:rsidRPr="008C1E5F" w14:paraId="3B52DFA7" w14:textId="77777777">
        <w:trPr>
          <w:cnfStyle w:val="000000100000" w:firstRow="0" w:lastRow="0" w:firstColumn="0" w:lastColumn="0" w:oddVBand="0" w:evenVBand="0" w:oddHBand="1" w:evenHBand="0" w:firstRowFirstColumn="0" w:firstRowLastColumn="0" w:lastRowFirstColumn="0" w:lastRowLastColumn="0"/>
          <w:trHeight w:val="874"/>
        </w:trPr>
        <w:tc>
          <w:tcPr>
            <w:tcW w:w="1298" w:type="pct"/>
          </w:tcPr>
          <w:p w14:paraId="2963B302" w14:textId="670DBA10" w:rsidR="00B827DE" w:rsidRPr="008C1E5F" w:rsidRDefault="00444346" w:rsidP="005D13E7">
            <w:pPr>
              <w:pStyle w:val="TableSubheading"/>
              <w:rPr>
                <w:bdr w:val="none" w:sz="0" w:space="0" w:color="auto" w:frame="1"/>
              </w:rPr>
            </w:pPr>
            <w:hyperlink w:anchor="_Human_Resources_Infrastructure," w:history="1">
              <w:r w:rsidRPr="008C1E5F">
                <w:rPr>
                  <w:rStyle w:val="Hyperlink"/>
                  <w:bdr w:val="none" w:sz="0" w:space="0" w:color="auto" w:frame="1"/>
                </w:rPr>
                <w:t>Human Resources I</w:t>
              </w:r>
              <w:r w:rsidR="00B827DE" w:rsidRPr="008C1E5F">
                <w:rPr>
                  <w:rStyle w:val="Hyperlink"/>
                  <w:bdr w:val="none" w:sz="0" w:space="0" w:color="auto" w:frame="1"/>
                </w:rPr>
                <w:t>nfrastructure</w:t>
              </w:r>
              <w:r w:rsidRPr="008C1E5F">
                <w:rPr>
                  <w:rStyle w:val="Hyperlink"/>
                  <w:bdr w:val="none" w:sz="0" w:space="0" w:color="auto" w:frame="1"/>
                </w:rPr>
                <w:t>, Policies, and Practices</w:t>
              </w:r>
            </w:hyperlink>
          </w:p>
        </w:tc>
        <w:tc>
          <w:tcPr>
            <w:tcW w:w="1851" w:type="pct"/>
          </w:tcPr>
          <w:p w14:paraId="70D7277E" w14:textId="1F85E082" w:rsidR="00B827DE" w:rsidRPr="008C1E5F" w:rsidRDefault="00B827DE" w:rsidP="006C14CC">
            <w:pPr>
              <w:pStyle w:val="TableBullet1"/>
              <w:numPr>
                <w:ilvl w:val="0"/>
                <w:numId w:val="0"/>
              </w:numPr>
              <w:ind w:left="360"/>
              <w:rPr>
                <w:bdr w:val="none" w:sz="0" w:space="0" w:color="auto" w:frame="1"/>
              </w:rPr>
            </w:pPr>
          </w:p>
        </w:tc>
        <w:tc>
          <w:tcPr>
            <w:tcW w:w="1851" w:type="pct"/>
          </w:tcPr>
          <w:p w14:paraId="09130FD4" w14:textId="3FA2967E" w:rsidR="00B827DE" w:rsidRPr="008C1E5F" w:rsidRDefault="00134B9F" w:rsidP="007D69BA">
            <w:pPr>
              <w:pStyle w:val="TableBullet1"/>
              <w:rPr>
                <w:bdr w:val="none" w:sz="0" w:space="0" w:color="auto" w:frame="1"/>
              </w:rPr>
            </w:pPr>
            <w:r>
              <w:t>Developing</w:t>
            </w:r>
            <w:r w:rsidRPr="008C1E5F">
              <w:t xml:space="preserve"> and maintain</w:t>
            </w:r>
            <w:r>
              <w:t>ing</w:t>
            </w:r>
            <w:r w:rsidRPr="008C1E5F">
              <w:t xml:space="preserve"> </w:t>
            </w:r>
            <w:r>
              <w:t>standard operating procedures</w:t>
            </w:r>
            <w:r w:rsidRPr="008C1E5F">
              <w:t xml:space="preserve"> documentation</w:t>
            </w:r>
          </w:p>
        </w:tc>
      </w:tr>
      <w:tr w:rsidR="00B827DE" w:rsidRPr="008C1E5F" w14:paraId="53443622" w14:textId="77777777" w:rsidTr="00444346">
        <w:tc>
          <w:tcPr>
            <w:tcW w:w="1298" w:type="pct"/>
          </w:tcPr>
          <w:p w14:paraId="755AE6E0" w14:textId="48E186E1" w:rsidR="00B827DE" w:rsidRPr="008C1E5F" w:rsidRDefault="00444346" w:rsidP="005D13E7">
            <w:pPr>
              <w:pStyle w:val="TableSubheading"/>
              <w:rPr>
                <w:bdr w:val="none" w:sz="0" w:space="0" w:color="auto" w:frame="1"/>
              </w:rPr>
            </w:pPr>
            <w:hyperlink w:anchor="_Staffing_1" w:history="1">
              <w:r w:rsidRPr="008C1E5F">
                <w:rPr>
                  <w:rStyle w:val="Hyperlink"/>
                  <w:bdr w:val="none" w:sz="0" w:space="0" w:color="auto" w:frame="1"/>
                </w:rPr>
                <w:t>Staffing</w:t>
              </w:r>
            </w:hyperlink>
          </w:p>
        </w:tc>
        <w:tc>
          <w:tcPr>
            <w:tcW w:w="1851" w:type="pct"/>
          </w:tcPr>
          <w:p w14:paraId="3B581E14" w14:textId="02202C02" w:rsidR="00B827DE" w:rsidRPr="008C1E5F" w:rsidRDefault="00711816" w:rsidP="00731DDA">
            <w:pPr>
              <w:pStyle w:val="TableBullet1"/>
              <w:rPr>
                <w:bdr w:val="none" w:sz="0" w:space="0" w:color="auto" w:frame="1"/>
              </w:rPr>
            </w:pPr>
            <w:r w:rsidRPr="008C1E5F">
              <w:rPr>
                <w:bdr w:val="none" w:sz="0" w:space="0" w:color="auto" w:frame="1"/>
              </w:rPr>
              <w:t>Teacher e</w:t>
            </w:r>
            <w:r w:rsidR="00520180" w:rsidRPr="008C1E5F">
              <w:rPr>
                <w:bdr w:val="none" w:sz="0" w:space="0" w:color="auto" w:frame="1"/>
              </w:rPr>
              <w:t xml:space="preserve">valuation records </w:t>
            </w:r>
            <w:r w:rsidR="0043356C" w:rsidRPr="008C1E5F">
              <w:rPr>
                <w:bdr w:val="none" w:sz="0" w:space="0" w:color="auto" w:frame="1"/>
              </w:rPr>
              <w:t>show consistency</w:t>
            </w:r>
            <w:r w:rsidR="00520180" w:rsidRPr="008C1E5F">
              <w:rPr>
                <w:bdr w:val="none" w:sz="0" w:space="0" w:color="auto" w:frame="1"/>
              </w:rPr>
              <w:t xml:space="preserve"> in</w:t>
            </w:r>
            <w:r w:rsidR="002715E0" w:rsidRPr="008C1E5F">
              <w:rPr>
                <w:bdr w:val="none" w:sz="0" w:space="0" w:color="auto" w:frame="1"/>
              </w:rPr>
              <w:t xml:space="preserve"> having SMART goals, </w:t>
            </w:r>
            <w:r w:rsidR="00AD5A1E" w:rsidRPr="008C1E5F">
              <w:t xml:space="preserve">multiple sources of evidence, </w:t>
            </w:r>
            <w:r w:rsidR="00B22DB8" w:rsidRPr="008C1E5F">
              <w:t>and feedback for each standard</w:t>
            </w:r>
            <w:r w:rsidR="007E1069" w:rsidRPr="008C1E5F">
              <w:t>,</w:t>
            </w:r>
            <w:r w:rsidR="00B22DB8" w:rsidRPr="008C1E5F">
              <w:t xml:space="preserve"> which included strengths and areas of growth. </w:t>
            </w:r>
          </w:p>
        </w:tc>
        <w:tc>
          <w:tcPr>
            <w:tcW w:w="1851" w:type="pct"/>
          </w:tcPr>
          <w:p w14:paraId="4094F5E1" w14:textId="728780C9" w:rsidR="00D722AD" w:rsidRPr="008C1E5F" w:rsidRDefault="2B89773A" w:rsidP="007D69BA">
            <w:pPr>
              <w:pStyle w:val="TableBullet1"/>
              <w:rPr>
                <w:bdr w:val="none" w:sz="0" w:space="0" w:color="auto" w:frame="1"/>
              </w:rPr>
            </w:pPr>
            <w:r w:rsidRPr="008C1E5F">
              <w:t>Developing effective policies and processes to recruit and hire new staff</w:t>
            </w:r>
          </w:p>
          <w:p w14:paraId="4458E441" w14:textId="29BF4F8B" w:rsidR="00471203" w:rsidRPr="00572562" w:rsidRDefault="00471203" w:rsidP="007D69BA">
            <w:pPr>
              <w:pStyle w:val="TableBullet1"/>
              <w:rPr>
                <w:bdr w:val="none" w:sz="0" w:space="0" w:color="auto" w:frame="1"/>
              </w:rPr>
            </w:pPr>
            <w:r>
              <w:rPr>
                <w:spacing w:val="-2"/>
              </w:rPr>
              <w:t>Supporting staff and new hires in attaining</w:t>
            </w:r>
            <w:r w:rsidRPr="008C1E5F">
              <w:rPr>
                <w:spacing w:val="-2"/>
              </w:rPr>
              <w:t xml:space="preserve"> appropriate credentials</w:t>
            </w:r>
          </w:p>
          <w:p w14:paraId="11AC55AC" w14:textId="1F016C35" w:rsidR="00572562" w:rsidRPr="008C1E5F" w:rsidRDefault="00572562" w:rsidP="007D69BA">
            <w:pPr>
              <w:pStyle w:val="TableBullet1"/>
              <w:rPr>
                <w:bdr w:val="none" w:sz="0" w:space="0" w:color="auto" w:frame="1"/>
              </w:rPr>
            </w:pPr>
            <w:r>
              <w:t>Decreasing</w:t>
            </w:r>
            <w:r w:rsidRPr="008C1E5F">
              <w:t xml:space="preserve"> the </w:t>
            </w:r>
            <w:proofErr w:type="gramStart"/>
            <w:r w:rsidRPr="008C1E5F">
              <w:t>wait</w:t>
            </w:r>
            <w:proofErr w:type="gramEnd"/>
            <w:r w:rsidRPr="008C1E5F">
              <w:t xml:space="preserve"> time for onboarding new </w:t>
            </w:r>
            <w:r>
              <w:t xml:space="preserve">staff members </w:t>
            </w:r>
          </w:p>
          <w:p w14:paraId="5CE41698" w14:textId="77777777" w:rsidR="00EE7DC9" w:rsidRPr="008C1E5F" w:rsidRDefault="00EE7DC9" w:rsidP="007D69BA">
            <w:pPr>
              <w:pStyle w:val="TableBullet1"/>
              <w:rPr>
                <w:bdr w:val="none" w:sz="0" w:space="0" w:color="auto" w:frame="1"/>
              </w:rPr>
            </w:pPr>
            <w:r w:rsidRPr="008C1E5F">
              <w:rPr>
                <w:bdr w:val="none" w:sz="0" w:space="0" w:color="auto" w:frame="1"/>
              </w:rPr>
              <w:t>Articulating areas for improvement more consistently in the</w:t>
            </w:r>
            <w:r w:rsidR="00D4682C" w:rsidRPr="008C1E5F">
              <w:rPr>
                <w:bdr w:val="none" w:sz="0" w:space="0" w:color="auto" w:frame="1"/>
              </w:rPr>
              <w:t xml:space="preserve"> administrator</w:t>
            </w:r>
            <w:r w:rsidRPr="008C1E5F">
              <w:rPr>
                <w:bdr w:val="none" w:sz="0" w:space="0" w:color="auto" w:frame="1"/>
              </w:rPr>
              <w:t xml:space="preserve"> evaluation process to support</w:t>
            </w:r>
            <w:r w:rsidR="00D74759" w:rsidRPr="008C1E5F">
              <w:rPr>
                <w:bdr w:val="none" w:sz="0" w:space="0" w:color="auto" w:frame="1"/>
              </w:rPr>
              <w:t xml:space="preserve"> </w:t>
            </w:r>
            <w:r w:rsidR="00D74759" w:rsidRPr="008C1E5F">
              <w:t>school improvement</w:t>
            </w:r>
          </w:p>
          <w:p w14:paraId="3E86C519" w14:textId="0A4D8471" w:rsidR="00EE7DC9" w:rsidRPr="008C1E5F" w:rsidRDefault="007C51C9" w:rsidP="007D69BA">
            <w:pPr>
              <w:pStyle w:val="TableBullet1"/>
              <w:rPr>
                <w:bdr w:val="none" w:sz="0" w:space="0" w:color="auto" w:frame="1"/>
              </w:rPr>
            </w:pPr>
            <w:r w:rsidRPr="008C1E5F">
              <w:rPr>
                <w:bdr w:val="none" w:sz="0" w:space="0" w:color="auto" w:frame="1"/>
              </w:rPr>
              <w:t xml:space="preserve">Developing teacher and school leader retention </w:t>
            </w:r>
            <w:r w:rsidR="00B15675">
              <w:rPr>
                <w:bdr w:val="none" w:sz="0" w:space="0" w:color="auto" w:frame="1"/>
              </w:rPr>
              <w:t>strategies</w:t>
            </w:r>
          </w:p>
        </w:tc>
      </w:tr>
      <w:tr w:rsidR="00B827DE" w:rsidRPr="008C1E5F" w14:paraId="05C4AE65" w14:textId="77777777" w:rsidTr="00444346">
        <w:trPr>
          <w:cnfStyle w:val="000000100000" w:firstRow="0" w:lastRow="0" w:firstColumn="0" w:lastColumn="0" w:oddVBand="0" w:evenVBand="0" w:oddHBand="1" w:evenHBand="0" w:firstRowFirstColumn="0" w:firstRowLastColumn="0" w:lastRowFirstColumn="0" w:lastRowLastColumn="0"/>
        </w:trPr>
        <w:tc>
          <w:tcPr>
            <w:tcW w:w="1298" w:type="pct"/>
          </w:tcPr>
          <w:p w14:paraId="7ADD9F53" w14:textId="19981094" w:rsidR="00B827DE" w:rsidRPr="008C1E5F" w:rsidRDefault="00444346" w:rsidP="005D13E7">
            <w:pPr>
              <w:pStyle w:val="TableSubheading"/>
              <w:rPr>
                <w:bdr w:val="none" w:sz="0" w:space="0" w:color="auto" w:frame="1"/>
              </w:rPr>
            </w:pPr>
            <w:hyperlink w:anchor="_Professional_Learning_1" w:history="1">
              <w:r w:rsidRPr="008C1E5F">
                <w:rPr>
                  <w:rStyle w:val="Hyperlink"/>
                  <w:bdr w:val="none" w:sz="0" w:space="0" w:color="auto" w:frame="1"/>
                </w:rPr>
                <w:t>Professional Learning</w:t>
              </w:r>
            </w:hyperlink>
          </w:p>
        </w:tc>
        <w:tc>
          <w:tcPr>
            <w:tcW w:w="1851" w:type="pct"/>
          </w:tcPr>
          <w:p w14:paraId="6C2618E7" w14:textId="77220801" w:rsidR="006D1CC4" w:rsidRPr="008C1E5F" w:rsidRDefault="00FE57D9" w:rsidP="007D69BA">
            <w:pPr>
              <w:pStyle w:val="TableBullet1"/>
              <w:rPr>
                <w:bdr w:val="none" w:sz="0" w:space="0" w:color="auto" w:frame="1"/>
              </w:rPr>
            </w:pPr>
            <w:r w:rsidRPr="008C1E5F">
              <w:rPr>
                <w:bdr w:val="none" w:sz="0" w:space="0" w:color="auto" w:frame="1"/>
              </w:rPr>
              <w:t xml:space="preserve">Fall River </w:t>
            </w:r>
            <w:r w:rsidR="00DA0739" w:rsidRPr="008C1E5F">
              <w:rPr>
                <w:bdr w:val="none" w:sz="0" w:space="0" w:color="auto" w:frame="1"/>
              </w:rPr>
              <w:t>provides a variety of professional learning opportunities to staff on general topi</w:t>
            </w:r>
            <w:r w:rsidR="0026492C" w:rsidRPr="008C1E5F">
              <w:rPr>
                <w:bdr w:val="none" w:sz="0" w:space="0" w:color="auto" w:frame="1"/>
              </w:rPr>
              <w:t>cs and differentiated to various staff roles.</w:t>
            </w:r>
          </w:p>
          <w:p w14:paraId="6E5D7E42" w14:textId="65B69E48" w:rsidR="00B827DE" w:rsidRPr="008C1E5F" w:rsidRDefault="006D1CC4" w:rsidP="007D69BA">
            <w:pPr>
              <w:pStyle w:val="TableBullet1"/>
              <w:rPr>
                <w:bdr w:val="none" w:sz="0" w:space="0" w:color="auto" w:frame="1"/>
              </w:rPr>
            </w:pPr>
            <w:r w:rsidRPr="008C1E5F">
              <w:rPr>
                <w:bdr w:val="none" w:sz="0" w:space="0" w:color="auto" w:frame="1"/>
              </w:rPr>
              <w:t>The district expanded the new staff mentoring program to include support for staff who start midyear.</w:t>
            </w:r>
            <w:r w:rsidR="000C09EB" w:rsidRPr="008C1E5F">
              <w:rPr>
                <w:bdr w:val="none" w:sz="0" w:space="0" w:color="auto" w:frame="1"/>
              </w:rPr>
              <w:t xml:space="preserve"> </w:t>
            </w:r>
          </w:p>
        </w:tc>
        <w:tc>
          <w:tcPr>
            <w:tcW w:w="1851" w:type="pct"/>
          </w:tcPr>
          <w:p w14:paraId="13C19D85" w14:textId="7873B360" w:rsidR="00B827DE" w:rsidRPr="008C1E5F" w:rsidRDefault="00CA44BB" w:rsidP="00CA44BB">
            <w:pPr>
              <w:pStyle w:val="TableBullet1"/>
              <w:rPr>
                <w:bdr w:val="none" w:sz="0" w:space="0" w:color="auto" w:frame="1"/>
              </w:rPr>
            </w:pPr>
            <w:r w:rsidRPr="00CA44BB">
              <w:rPr>
                <w:bdr w:val="none" w:sz="0" w:space="0" w:color="auto" w:frame="1"/>
              </w:rPr>
              <w:t>Providing professional development that addresses the specific needs of experienced teachers so they can continue refining their instructional practices</w:t>
            </w:r>
          </w:p>
        </w:tc>
      </w:tr>
    </w:tbl>
    <w:p w14:paraId="5601B273" w14:textId="696F5379" w:rsidR="00B827DE" w:rsidRPr="008C1E5F" w:rsidRDefault="00444346" w:rsidP="00A36E2F">
      <w:pPr>
        <w:pStyle w:val="Heading3"/>
        <w:tabs>
          <w:tab w:val="left" w:pos="2393"/>
        </w:tabs>
      </w:pPr>
      <w:bookmarkStart w:id="86" w:name="_Infrastructure"/>
      <w:bookmarkStart w:id="87" w:name="_Human_Resources_Infrastructure,"/>
      <w:bookmarkStart w:id="88" w:name="_Toc195024227"/>
      <w:bookmarkEnd w:id="86"/>
      <w:bookmarkEnd w:id="87"/>
      <w:r w:rsidRPr="008C1E5F">
        <w:t xml:space="preserve">Human Resources </w:t>
      </w:r>
      <w:r w:rsidR="00B827DE" w:rsidRPr="008C1E5F">
        <w:t>Infrastructure</w:t>
      </w:r>
      <w:r w:rsidRPr="008C1E5F">
        <w:t>, Policies, and Practices</w:t>
      </w:r>
      <w:bookmarkEnd w:id="88"/>
      <w:r w:rsidR="00A36E2F" w:rsidRPr="008C1E5F">
        <w:tab/>
      </w:r>
    </w:p>
    <w:p w14:paraId="04CD66B8" w14:textId="5B4CAEA3" w:rsidR="00526C43" w:rsidRPr="008C1E5F" w:rsidRDefault="00B235AD" w:rsidP="004320EF">
      <w:pPr>
        <w:pStyle w:val="BodyTextposthead"/>
      </w:pPr>
      <w:bookmarkStart w:id="89" w:name="_Staffing"/>
      <w:bookmarkEnd w:id="89"/>
      <w:r w:rsidRPr="008C1E5F">
        <w:t xml:space="preserve">As detailed in </w:t>
      </w:r>
      <w:r w:rsidR="00F807DD">
        <w:t>district documents</w:t>
      </w:r>
      <w:r w:rsidRPr="008C1E5F">
        <w:t>, t</w:t>
      </w:r>
      <w:r w:rsidR="00DB41BC" w:rsidRPr="008C1E5F">
        <w:t xml:space="preserve">he </w:t>
      </w:r>
      <w:r w:rsidR="005517FA" w:rsidRPr="008C1E5F">
        <w:t xml:space="preserve">human resources department consists of the </w:t>
      </w:r>
      <w:r w:rsidR="00A25EF6" w:rsidRPr="008C1E5F">
        <w:t xml:space="preserve">executive </w:t>
      </w:r>
      <w:r w:rsidR="005517FA" w:rsidRPr="008C1E5F">
        <w:t>director of human resources</w:t>
      </w:r>
      <w:r w:rsidR="00AE5E9A" w:rsidRPr="008C1E5F">
        <w:t xml:space="preserve"> (new </w:t>
      </w:r>
      <w:r w:rsidR="004C52AA" w:rsidRPr="008C1E5F">
        <w:t xml:space="preserve">as of </w:t>
      </w:r>
      <w:r w:rsidR="003573B8" w:rsidRPr="008C1E5F">
        <w:t>July 2024)</w:t>
      </w:r>
      <w:r w:rsidR="00DB41BC" w:rsidRPr="008C1E5F">
        <w:t>,</w:t>
      </w:r>
      <w:r w:rsidR="005517FA" w:rsidRPr="008C1E5F">
        <w:t xml:space="preserve"> the human resource manager, two </w:t>
      </w:r>
      <w:r w:rsidR="00481929" w:rsidRPr="008C1E5F">
        <w:t>executive</w:t>
      </w:r>
      <w:r w:rsidR="005517FA" w:rsidRPr="008C1E5F">
        <w:t xml:space="preserve"> assistants, a human resources coordinator, and a human resources clerk. According to district</w:t>
      </w:r>
      <w:r w:rsidR="00E66388" w:rsidRPr="008C1E5F">
        <w:t xml:space="preserve"> </w:t>
      </w:r>
      <w:r w:rsidR="00E66388" w:rsidRPr="008C1E5F">
        <w:lastRenderedPageBreak/>
        <w:t>leaders</w:t>
      </w:r>
      <w:r w:rsidR="005517FA" w:rsidRPr="008C1E5F">
        <w:t xml:space="preserve">, the district has the necessary staff and systems to post vacancies and maintain employee records in collaboration with the district’s payroll and finance department. </w:t>
      </w:r>
    </w:p>
    <w:p w14:paraId="3CC5B08A" w14:textId="43E8A279" w:rsidR="0039422E" w:rsidRPr="008C1E5F" w:rsidRDefault="005517FA" w:rsidP="004320EF">
      <w:pPr>
        <w:pStyle w:val="BodyText"/>
      </w:pPr>
      <w:r w:rsidRPr="008C1E5F">
        <w:t xml:space="preserve">In interviews, district leaders reported that the district uses both </w:t>
      </w:r>
      <w:r w:rsidR="00526C43" w:rsidRPr="008C1E5F">
        <w:t>MUNIS</w:t>
      </w:r>
      <w:r w:rsidRPr="008C1E5F">
        <w:t xml:space="preserve"> and Aspen to house individual employee information, such as payroll records, tax records, and personal information</w:t>
      </w:r>
      <w:r w:rsidR="007E1069" w:rsidRPr="008C1E5F">
        <w:t>,</w:t>
      </w:r>
      <w:r w:rsidRPr="008C1E5F">
        <w:t xml:space="preserve"> as well as physical files to house other human resources data. However, human resources staff noted that they </w:t>
      </w:r>
      <w:r w:rsidR="00EB5D88" w:rsidRPr="008C1E5F">
        <w:t>have</w:t>
      </w:r>
      <w:r w:rsidRPr="008C1E5F">
        <w:t xml:space="preserve"> difficulties </w:t>
      </w:r>
      <w:r w:rsidR="00EB5D88" w:rsidRPr="008C1E5F">
        <w:t xml:space="preserve">accessing </w:t>
      </w:r>
      <w:r w:rsidR="00F343B2" w:rsidRPr="008C1E5F">
        <w:t xml:space="preserve">and transferring </w:t>
      </w:r>
      <w:r w:rsidR="00EB5D88" w:rsidRPr="008C1E5F">
        <w:t>information across</w:t>
      </w:r>
      <w:r w:rsidRPr="008C1E5F">
        <w:t xml:space="preserve"> platforms and that </w:t>
      </w:r>
      <w:r w:rsidR="00EB5D88" w:rsidRPr="008C1E5F">
        <w:t xml:space="preserve">this makes </w:t>
      </w:r>
      <w:r w:rsidRPr="008C1E5F">
        <w:t xml:space="preserve">it </w:t>
      </w:r>
      <w:r w:rsidR="00D03736" w:rsidRPr="008C1E5F">
        <w:t>challenging</w:t>
      </w:r>
      <w:r w:rsidRPr="008C1E5F">
        <w:t xml:space="preserve"> to efficiently complet</w:t>
      </w:r>
      <w:r w:rsidR="00EB5D88" w:rsidRPr="008C1E5F">
        <w:t>e</w:t>
      </w:r>
      <w:r w:rsidRPr="008C1E5F">
        <w:t xml:space="preserve"> human resources processes and procedures. For maintaining employee records, </w:t>
      </w:r>
      <w:r w:rsidR="00815899" w:rsidRPr="008C1E5F">
        <w:t xml:space="preserve">district leaders reported that the </w:t>
      </w:r>
      <w:r w:rsidRPr="008C1E5F">
        <w:t xml:space="preserve">human resources </w:t>
      </w:r>
      <w:r w:rsidR="00815899" w:rsidRPr="008C1E5F">
        <w:t>department works</w:t>
      </w:r>
      <w:r w:rsidRPr="008C1E5F">
        <w:t xml:space="preserve"> closely with</w:t>
      </w:r>
      <w:r w:rsidR="001938BD">
        <w:t xml:space="preserve"> the</w:t>
      </w:r>
      <w:r w:rsidRPr="008C1E5F">
        <w:t xml:space="preserve"> payroll</w:t>
      </w:r>
      <w:r w:rsidR="00631F04">
        <w:t xml:space="preserve"> department</w:t>
      </w:r>
      <w:r w:rsidRPr="008C1E5F">
        <w:t xml:space="preserve">, </w:t>
      </w:r>
      <w:r w:rsidR="007E1069" w:rsidRPr="008C1E5F">
        <w:t>which</w:t>
      </w:r>
      <w:r w:rsidR="00AA5773">
        <w:t xml:space="preserve"> sits within the district finance office and</w:t>
      </w:r>
      <w:r w:rsidR="007E1069" w:rsidRPr="008C1E5F">
        <w:t xml:space="preserve"> </w:t>
      </w:r>
      <w:r w:rsidR="00BE158D" w:rsidRPr="008C1E5F">
        <w:t>provides</w:t>
      </w:r>
      <w:r w:rsidRPr="008C1E5F">
        <w:t xml:space="preserve"> employees with important employee documents, such as </w:t>
      </w:r>
      <w:r w:rsidR="00225A31">
        <w:t>W-2s</w:t>
      </w:r>
      <w:r w:rsidRPr="008C1E5F">
        <w:t xml:space="preserve">. </w:t>
      </w:r>
    </w:p>
    <w:p w14:paraId="3A849FCC" w14:textId="6FA0A94D" w:rsidR="0042316E" w:rsidRPr="008C1E5F" w:rsidRDefault="002E289D" w:rsidP="004320EF">
      <w:pPr>
        <w:pStyle w:val="BodyText"/>
      </w:pPr>
      <w:r w:rsidRPr="008C1E5F">
        <w:t xml:space="preserve">Though many human resources processes were discussed in interviews, </w:t>
      </w:r>
      <w:r w:rsidR="00825036" w:rsidRPr="008C1E5F">
        <w:t xml:space="preserve">district leaders identified developing </w:t>
      </w:r>
      <w:r w:rsidR="00B57B17" w:rsidRPr="008C1E5F">
        <w:t xml:space="preserve">standardized documentation of </w:t>
      </w:r>
      <w:r w:rsidR="00825036" w:rsidRPr="008C1E5F">
        <w:t xml:space="preserve">human resources </w:t>
      </w:r>
      <w:r w:rsidR="00B57B17" w:rsidRPr="008C1E5F">
        <w:t xml:space="preserve">processes </w:t>
      </w:r>
      <w:r w:rsidR="00D443CE" w:rsidRPr="008C1E5F">
        <w:t>as</w:t>
      </w:r>
      <w:r w:rsidR="00B57B17" w:rsidRPr="008C1E5F">
        <w:t xml:space="preserve"> </w:t>
      </w:r>
      <w:r w:rsidR="00B01F11" w:rsidRPr="008C1E5F">
        <w:t>a need</w:t>
      </w:r>
      <w:r w:rsidR="00B57B17" w:rsidRPr="008C1E5F">
        <w:t xml:space="preserve">. </w:t>
      </w:r>
      <w:r w:rsidR="007E1069" w:rsidRPr="008C1E5F">
        <w:t>D</w:t>
      </w:r>
      <w:r w:rsidR="00901B41" w:rsidRPr="008C1E5F">
        <w:t>istrict leaders</w:t>
      </w:r>
      <w:r w:rsidR="007E1069" w:rsidRPr="008C1E5F">
        <w:t xml:space="preserve"> described that</w:t>
      </w:r>
      <w:r w:rsidR="00901B41" w:rsidRPr="008C1E5F">
        <w:t xml:space="preserve"> </w:t>
      </w:r>
      <w:r w:rsidR="00541F5E" w:rsidRPr="008C1E5F">
        <w:t>there was a limited organizational system for standardized procedure documents</w:t>
      </w:r>
      <w:r w:rsidR="008870C6" w:rsidRPr="008C1E5F">
        <w:t xml:space="preserve"> after the previous director of human services retired last year</w:t>
      </w:r>
      <w:r w:rsidR="00541F5E" w:rsidRPr="008C1E5F">
        <w:t xml:space="preserve">. </w:t>
      </w:r>
      <w:r w:rsidR="007D156B" w:rsidRPr="008C1E5F">
        <w:t>Th</w:t>
      </w:r>
      <w:r w:rsidR="00963BD0" w:rsidRPr="008C1E5F">
        <w:t>e lack of a comprehensive document organizational system led to challenges</w:t>
      </w:r>
      <w:r w:rsidR="00914507" w:rsidRPr="008C1E5F">
        <w:t xml:space="preserve"> when the new director of human resources transferred into the district</w:t>
      </w:r>
      <w:r w:rsidR="00364725">
        <w:t xml:space="preserve">, and </w:t>
      </w:r>
      <w:r w:rsidR="009B738B" w:rsidRPr="008C1E5F">
        <w:t xml:space="preserve">made it difficult </w:t>
      </w:r>
      <w:r w:rsidR="003941DE" w:rsidRPr="008C1E5F">
        <w:t xml:space="preserve">for the human resources department to identify </w:t>
      </w:r>
      <w:r w:rsidR="00105ACB" w:rsidRPr="008C1E5F">
        <w:t xml:space="preserve">in interviews </w:t>
      </w:r>
      <w:r w:rsidR="003941DE" w:rsidRPr="008C1E5F">
        <w:t xml:space="preserve">which, if any, process documents needed to be updated or created to reflect human resources policies and procedures. </w:t>
      </w:r>
      <w:r w:rsidR="00EB4983" w:rsidRPr="008C1E5F">
        <w:t>In interviews, district leaders mentioned that the district has “contracted with the Collins Center [at the same time as this district review] to do a review of human resources and facilities and operations” and that they hop</w:t>
      </w:r>
      <w:r w:rsidR="007E1069" w:rsidRPr="008C1E5F">
        <w:t>e</w:t>
      </w:r>
      <w:r w:rsidR="00EB4983" w:rsidRPr="008C1E5F">
        <w:t xml:space="preserve"> this review can help establish “processes for monitoring work, process for setting goals and monitoring those goals and things like that</w:t>
      </w:r>
      <w:r w:rsidR="007E1069" w:rsidRPr="008C1E5F">
        <w:t>,</w:t>
      </w:r>
      <w:r w:rsidR="00EB4983" w:rsidRPr="008C1E5F">
        <w:t xml:space="preserve">” which </w:t>
      </w:r>
      <w:r w:rsidR="007E1069" w:rsidRPr="008C1E5F">
        <w:t xml:space="preserve">were </w:t>
      </w:r>
      <w:r w:rsidR="00EB4983" w:rsidRPr="008C1E5F">
        <w:t xml:space="preserve">previously not maximized in the district. </w:t>
      </w:r>
      <w:r w:rsidR="00AF6254">
        <w:t>Developing</w:t>
      </w:r>
      <w:r w:rsidR="00353C98" w:rsidRPr="008C1E5F">
        <w:t xml:space="preserve"> and </w:t>
      </w:r>
      <w:r w:rsidR="00D613C8" w:rsidRPr="008C1E5F">
        <w:t>maintain</w:t>
      </w:r>
      <w:r w:rsidR="00AF6254">
        <w:t>ing</w:t>
      </w:r>
      <w:r w:rsidR="00353C98" w:rsidRPr="008C1E5F">
        <w:t xml:space="preserve"> </w:t>
      </w:r>
      <w:r w:rsidR="00867DF9">
        <w:t>standard operating procedures</w:t>
      </w:r>
      <w:r w:rsidR="00353C98" w:rsidRPr="008C1E5F">
        <w:t xml:space="preserve"> documentation </w:t>
      </w:r>
      <w:r w:rsidR="00736671">
        <w:t xml:space="preserve">(e.g., </w:t>
      </w:r>
      <w:r w:rsidR="00FA71DD">
        <w:t xml:space="preserve">timelines, </w:t>
      </w:r>
      <w:r w:rsidR="00E70BFC">
        <w:t>onboarding processes)</w:t>
      </w:r>
      <w:r w:rsidR="00843781">
        <w:t xml:space="preserve"> </w:t>
      </w:r>
      <w:r w:rsidR="00353C98" w:rsidRPr="008C1E5F">
        <w:t xml:space="preserve">is an area for growth in Fall River. </w:t>
      </w:r>
    </w:p>
    <w:p w14:paraId="177B35CF" w14:textId="57D8B1DF" w:rsidR="00916FA1" w:rsidRPr="008C1E5F" w:rsidRDefault="00916FA1" w:rsidP="004320EF">
      <w:pPr>
        <w:pStyle w:val="BodyText"/>
      </w:pPr>
      <w:r w:rsidRPr="008C1E5F">
        <w:t xml:space="preserve">As described in various interviews and focus groups with school and district leaders, </w:t>
      </w:r>
      <w:r w:rsidR="00240B84" w:rsidRPr="008C1E5F">
        <w:t xml:space="preserve">the human resources department has been heavily involved in managing allegations </w:t>
      </w:r>
      <w:r w:rsidR="00492C2E">
        <w:t xml:space="preserve">and launching investigations </w:t>
      </w:r>
      <w:r w:rsidR="00240B84" w:rsidRPr="008C1E5F">
        <w:t xml:space="preserve">against </w:t>
      </w:r>
      <w:r w:rsidR="00E21366" w:rsidRPr="008C1E5F">
        <w:t xml:space="preserve">teachers and </w:t>
      </w:r>
      <w:r w:rsidR="00240B84" w:rsidRPr="008C1E5F">
        <w:t xml:space="preserve">staff at schools </w:t>
      </w:r>
      <w:r w:rsidR="009D610F">
        <w:t>from other staff members, parents, or students</w:t>
      </w:r>
      <w:r w:rsidR="00492C2E">
        <w:t>.</w:t>
      </w:r>
      <w:r w:rsidR="00240B84" w:rsidRPr="008C1E5F">
        <w:t xml:space="preserve"> According to various sources, several </w:t>
      </w:r>
      <w:r w:rsidR="00E21366" w:rsidRPr="008C1E5F">
        <w:t>allegations</w:t>
      </w:r>
      <w:r w:rsidR="00240B84" w:rsidRPr="008C1E5F">
        <w:t xml:space="preserve"> against staff have been filed </w:t>
      </w:r>
      <w:r w:rsidR="007273E1">
        <w:t>during the 2024-25 school year</w:t>
      </w:r>
      <w:r w:rsidR="00225A31">
        <w:t>,</w:t>
      </w:r>
      <w:r w:rsidR="007273E1" w:rsidRPr="008C1E5F">
        <w:t xml:space="preserve"> </w:t>
      </w:r>
      <w:r w:rsidR="00255D65" w:rsidRPr="008C1E5F">
        <w:t xml:space="preserve">and </w:t>
      </w:r>
      <w:r w:rsidR="00E21366" w:rsidRPr="008C1E5F">
        <w:t xml:space="preserve">the associated teacher or staff members </w:t>
      </w:r>
      <w:r w:rsidR="00FD2FEE" w:rsidRPr="008C1E5F">
        <w:t>have been “</w:t>
      </w:r>
      <w:r w:rsidR="00255D65" w:rsidRPr="008C1E5F">
        <w:t>put on administrative leave for months at a time</w:t>
      </w:r>
      <w:r w:rsidR="00E21366" w:rsidRPr="008C1E5F">
        <w:t xml:space="preserve">” following these allegations. </w:t>
      </w:r>
      <w:r w:rsidR="00B84603">
        <w:t>T</w:t>
      </w:r>
      <w:r w:rsidR="00E21366" w:rsidRPr="008C1E5F">
        <w:t xml:space="preserve">eachers in focus groups reported that this has decreased morale in the schools </w:t>
      </w:r>
      <w:r w:rsidR="008A6E3A" w:rsidRPr="008C1E5F">
        <w:t xml:space="preserve">for teachers and staff. </w:t>
      </w:r>
    </w:p>
    <w:p w14:paraId="486FA845" w14:textId="55A26910" w:rsidR="00B827DE" w:rsidRPr="008C1E5F" w:rsidRDefault="00444346" w:rsidP="00B827DE">
      <w:pPr>
        <w:pStyle w:val="Heading3"/>
      </w:pPr>
      <w:bookmarkStart w:id="90" w:name="_Staffing_1"/>
      <w:bookmarkStart w:id="91" w:name="_Toc195024228"/>
      <w:bookmarkEnd w:id="90"/>
      <w:r w:rsidRPr="008C1E5F">
        <w:t>Staffing</w:t>
      </w:r>
      <w:bookmarkEnd w:id="91"/>
    </w:p>
    <w:p w14:paraId="3394E157" w14:textId="4EADCE4D" w:rsidR="000A0B16" w:rsidRPr="008C1E5F" w:rsidRDefault="000C25E9" w:rsidP="004320EF">
      <w:pPr>
        <w:pStyle w:val="BodyTextposthead"/>
      </w:pPr>
      <w:r w:rsidRPr="008C1E5F">
        <w:t xml:space="preserve">District and school leaders generally agreed that </w:t>
      </w:r>
      <w:r w:rsidR="007E1069" w:rsidRPr="008C1E5F">
        <w:t>Fall River</w:t>
      </w:r>
      <w:r w:rsidRPr="008C1E5F">
        <w:t xml:space="preserve"> does not currently have effective policies and processes to recruit and hire new staff</w:t>
      </w:r>
      <w:r w:rsidR="00D47662" w:rsidRPr="008C1E5F">
        <w:t xml:space="preserve">, </w:t>
      </w:r>
      <w:r w:rsidR="007E1069" w:rsidRPr="008C1E5F">
        <w:t xml:space="preserve">which is </w:t>
      </w:r>
      <w:r w:rsidR="00D47662" w:rsidRPr="008C1E5F">
        <w:t xml:space="preserve">an area </w:t>
      </w:r>
      <w:r w:rsidR="00BD62F1" w:rsidRPr="008C1E5F">
        <w:t xml:space="preserve">for </w:t>
      </w:r>
      <w:r w:rsidR="00D47662" w:rsidRPr="008C1E5F">
        <w:t>growth for the district</w:t>
      </w:r>
      <w:r w:rsidRPr="008C1E5F">
        <w:t>.</w:t>
      </w:r>
      <w:r w:rsidR="00D35A2E" w:rsidRPr="008C1E5F">
        <w:t xml:space="preserve"> </w:t>
      </w:r>
      <w:r w:rsidR="006B6314" w:rsidRPr="008C1E5F">
        <w:t>Currently, the district</w:t>
      </w:r>
      <w:r w:rsidR="002A4943" w:rsidRPr="008C1E5F">
        <w:t xml:space="preserve">’s primary strategy for </w:t>
      </w:r>
      <w:r w:rsidR="00770933" w:rsidRPr="008C1E5F">
        <w:t xml:space="preserve">hiring </w:t>
      </w:r>
      <w:r w:rsidR="004D2A71" w:rsidRPr="008C1E5F">
        <w:t>is</w:t>
      </w:r>
      <w:r w:rsidR="006B6314" w:rsidRPr="008C1E5F">
        <w:t xml:space="preserve"> </w:t>
      </w:r>
      <w:r w:rsidR="00086D51" w:rsidRPr="008C1E5F">
        <w:t>advertis</w:t>
      </w:r>
      <w:r w:rsidR="004D2A71" w:rsidRPr="008C1E5F">
        <w:t xml:space="preserve">ing </w:t>
      </w:r>
      <w:r w:rsidR="00086D51" w:rsidRPr="008C1E5F">
        <w:t>all open positions on</w:t>
      </w:r>
      <w:r w:rsidR="006B6314" w:rsidRPr="008C1E5F">
        <w:t xml:space="preserve"> </w:t>
      </w:r>
      <w:proofErr w:type="spellStart"/>
      <w:r w:rsidR="006B6314" w:rsidRPr="008C1E5F">
        <w:t>TalentEd</w:t>
      </w:r>
      <w:proofErr w:type="spellEnd"/>
      <w:r w:rsidR="006B6314" w:rsidRPr="008C1E5F">
        <w:t xml:space="preserve"> and School Spring to recruit staff</w:t>
      </w:r>
      <w:r w:rsidR="009905B6" w:rsidRPr="008C1E5F">
        <w:t>.</w:t>
      </w:r>
      <w:r w:rsidR="006B6314" w:rsidRPr="008C1E5F">
        <w:t xml:space="preserve"> </w:t>
      </w:r>
      <w:r w:rsidR="00683AB2" w:rsidRPr="008C1E5F">
        <w:t xml:space="preserve">However, </w:t>
      </w:r>
      <w:r w:rsidR="00A161A0" w:rsidRPr="008C1E5F">
        <w:t>as described by district and school leaders</w:t>
      </w:r>
      <w:r w:rsidR="006B6314" w:rsidRPr="008C1E5F">
        <w:t xml:space="preserve"> </w:t>
      </w:r>
      <w:r w:rsidR="007E1069" w:rsidRPr="008C1E5F">
        <w:t>and</w:t>
      </w:r>
      <w:r w:rsidR="006B6314" w:rsidRPr="008C1E5F">
        <w:t xml:space="preserve"> </w:t>
      </w:r>
      <w:r w:rsidR="00A161A0" w:rsidRPr="008C1E5F">
        <w:t>indicated by the number of vacant positions across the district, this strategy is insufficient.</w:t>
      </w:r>
      <w:r w:rsidR="006B6314" w:rsidRPr="008C1E5F">
        <w:t xml:space="preserve"> </w:t>
      </w:r>
      <w:r w:rsidR="00A161A0" w:rsidRPr="008C1E5F">
        <w:t>S</w:t>
      </w:r>
      <w:r w:rsidR="0072344B" w:rsidRPr="008C1E5F">
        <w:t xml:space="preserve">chool leaders noted that the district does not have adequate infrastructure to </w:t>
      </w:r>
      <w:r w:rsidR="00332ADA" w:rsidRPr="008C1E5F">
        <w:t xml:space="preserve">intentionally focus on </w:t>
      </w:r>
      <w:r w:rsidR="00AC5A74" w:rsidRPr="008C1E5F">
        <w:t xml:space="preserve">actively </w:t>
      </w:r>
      <w:r w:rsidR="0072344B" w:rsidRPr="008C1E5F">
        <w:t>recruit</w:t>
      </w:r>
      <w:r w:rsidR="00332ADA" w:rsidRPr="008C1E5F">
        <w:t>ing</w:t>
      </w:r>
      <w:r w:rsidR="0072344B" w:rsidRPr="008C1E5F">
        <w:t xml:space="preserve"> staff into the district. As one school leader </w:t>
      </w:r>
      <w:r w:rsidR="00D82D6B" w:rsidRPr="008C1E5F">
        <w:t>explained</w:t>
      </w:r>
      <w:r w:rsidR="0072344B" w:rsidRPr="008C1E5F">
        <w:t xml:space="preserve">: </w:t>
      </w:r>
    </w:p>
    <w:p w14:paraId="6B16E6BC" w14:textId="378CAF6B" w:rsidR="00704E5E" w:rsidRPr="008C1E5F" w:rsidRDefault="00704E5E" w:rsidP="004320EF">
      <w:pPr>
        <w:pStyle w:val="BlockQuote"/>
      </w:pPr>
      <w:r w:rsidRPr="008C1E5F">
        <w:lastRenderedPageBreak/>
        <w:t>I will say I feel like we really need a lot more support and we just don</w:t>
      </w:r>
      <w:r w:rsidR="007E1069" w:rsidRPr="008C1E5F">
        <w:t>’</w:t>
      </w:r>
      <w:r w:rsidRPr="008C1E5F">
        <w:t>t have it, not for anyone</w:t>
      </w:r>
      <w:r w:rsidR="007E1069" w:rsidRPr="008C1E5F">
        <w:t>’</w:t>
      </w:r>
      <w:r w:rsidRPr="008C1E5F">
        <w:t>s fault, simply because we don</w:t>
      </w:r>
      <w:r w:rsidR="007E1069" w:rsidRPr="008C1E5F">
        <w:t>’</w:t>
      </w:r>
      <w:r w:rsidRPr="008C1E5F">
        <w:t xml:space="preserve">t have the HR department size that we </w:t>
      </w:r>
      <w:r w:rsidR="00217500" w:rsidRPr="008C1E5F">
        <w:t>need</w:t>
      </w:r>
      <w:r w:rsidR="00217500">
        <w:t xml:space="preserve">. </w:t>
      </w:r>
      <w:r w:rsidR="00217500" w:rsidRPr="008C1E5F">
        <w:t>There</w:t>
      </w:r>
      <w:r w:rsidRPr="008C1E5F">
        <w:t xml:space="preserve"> really isn</w:t>
      </w:r>
      <w:r w:rsidR="007E1069" w:rsidRPr="008C1E5F">
        <w:t>’</w:t>
      </w:r>
      <w:r w:rsidRPr="008C1E5F">
        <w:t>t much in terms of recruitment. I</w:t>
      </w:r>
      <w:r w:rsidR="007E1069" w:rsidRPr="008C1E5F">
        <w:t>’</w:t>
      </w:r>
      <w:r w:rsidRPr="008C1E5F">
        <w:t>m not aware, and I</w:t>
      </w:r>
      <w:r w:rsidR="007E1069" w:rsidRPr="008C1E5F">
        <w:t>’</w:t>
      </w:r>
      <w:r w:rsidRPr="008C1E5F">
        <w:t xml:space="preserve">ve now been in Fall River </w:t>
      </w:r>
      <w:r w:rsidR="000A0B16" w:rsidRPr="008C1E5F">
        <w:t xml:space="preserve">[for a </w:t>
      </w:r>
      <w:r w:rsidR="00E4740A" w:rsidRPr="008C1E5F">
        <w:t>long time</w:t>
      </w:r>
      <w:r w:rsidR="000A0B16" w:rsidRPr="008C1E5F">
        <w:t>]</w:t>
      </w:r>
      <w:r w:rsidRPr="008C1E5F">
        <w:t xml:space="preserve">, of a </w:t>
      </w:r>
      <w:proofErr w:type="gramStart"/>
      <w:r w:rsidRPr="008C1E5F">
        <w:t>really clear</w:t>
      </w:r>
      <w:proofErr w:type="gramEnd"/>
      <w:r w:rsidRPr="008C1E5F">
        <w:t xml:space="preserve">, comprehensive recruitment strategy on the ground, kind of pounding the pavement. And I think </w:t>
      </w:r>
      <w:proofErr w:type="gramStart"/>
      <w:r w:rsidRPr="008C1E5F">
        <w:t>that</w:t>
      </w:r>
      <w:r w:rsidR="007E1069" w:rsidRPr="008C1E5F">
        <w:t>’</w:t>
      </w:r>
      <w:r w:rsidRPr="008C1E5F">
        <w:t>s</w:t>
      </w:r>
      <w:proofErr w:type="gramEnd"/>
      <w:r w:rsidRPr="008C1E5F">
        <w:t xml:space="preserve"> simply for the sake of there isn</w:t>
      </w:r>
      <w:r w:rsidR="007E1069" w:rsidRPr="008C1E5F">
        <w:t>’</w:t>
      </w:r>
      <w:r w:rsidRPr="008C1E5F">
        <w:t>t the staff to do that. So really, we rely on postings on School Spring.</w:t>
      </w:r>
    </w:p>
    <w:p w14:paraId="7F4C23F0" w14:textId="47BB7530" w:rsidR="00DF1466" w:rsidRPr="008C1E5F" w:rsidRDefault="0072344B" w:rsidP="004320EF">
      <w:pPr>
        <w:pStyle w:val="BodyText"/>
      </w:pPr>
      <w:r w:rsidRPr="008C1E5F">
        <w:t>D</w:t>
      </w:r>
      <w:r w:rsidR="006B6314" w:rsidRPr="008C1E5F">
        <w:t xml:space="preserve">istrict leaders </w:t>
      </w:r>
      <w:r w:rsidR="001263C7" w:rsidRPr="008C1E5F">
        <w:t>also</w:t>
      </w:r>
      <w:r w:rsidR="006B6314" w:rsidRPr="008C1E5F">
        <w:t xml:space="preserve"> noted that </w:t>
      </w:r>
      <w:r w:rsidR="001263C7" w:rsidRPr="008C1E5F">
        <w:t xml:space="preserve">Fall River’s </w:t>
      </w:r>
      <w:r w:rsidR="00332ADA" w:rsidRPr="008C1E5F">
        <w:t xml:space="preserve">recruitment strategies were not sufficient to address the staffing needs in the district. As one district leader noted, </w:t>
      </w:r>
      <w:r w:rsidR="006B6314" w:rsidRPr="008C1E5F">
        <w:t>“</w:t>
      </w:r>
      <w:r w:rsidR="00FA4F03" w:rsidRPr="008C1E5F">
        <w:t>I</w:t>
      </w:r>
      <w:r w:rsidR="006B6314" w:rsidRPr="008C1E5F">
        <w:t xml:space="preserve">t has become very apparent to me that…we need to look at our systems and…go beyond more traditional recruitment efforts.” </w:t>
      </w:r>
      <w:r w:rsidR="00B7773E" w:rsidRPr="008C1E5F">
        <w:t xml:space="preserve">At the time of the district review, district leaders were in the early stages of planning to attend regional </w:t>
      </w:r>
      <w:r w:rsidR="004B08A2" w:rsidRPr="008C1E5F">
        <w:t>job</w:t>
      </w:r>
      <w:r w:rsidR="00B7773E" w:rsidRPr="008C1E5F">
        <w:t xml:space="preserve"> fairs </w:t>
      </w:r>
      <w:r w:rsidR="00902F2B" w:rsidRPr="008C1E5F">
        <w:t>in the spring</w:t>
      </w:r>
      <w:r w:rsidR="009A3C00" w:rsidRPr="008C1E5F">
        <w:t xml:space="preserve"> </w:t>
      </w:r>
      <w:r w:rsidR="00A347BA" w:rsidRPr="008C1E5F">
        <w:t>and</w:t>
      </w:r>
      <w:r w:rsidR="009A3C00" w:rsidRPr="008C1E5F">
        <w:t xml:space="preserve"> planning to </w:t>
      </w:r>
      <w:r w:rsidR="00387BB5" w:rsidRPr="008C1E5F">
        <w:t>partner with local universit</w:t>
      </w:r>
      <w:r w:rsidR="00DD5E14" w:rsidRPr="008C1E5F">
        <w:t>ies</w:t>
      </w:r>
      <w:r w:rsidR="003E4E41" w:rsidRPr="008C1E5F">
        <w:t>’</w:t>
      </w:r>
      <w:r w:rsidR="00387BB5" w:rsidRPr="008C1E5F">
        <w:t xml:space="preserve"> </w:t>
      </w:r>
      <w:r w:rsidR="00DD5E14" w:rsidRPr="008C1E5F">
        <w:t>educational programs</w:t>
      </w:r>
      <w:r w:rsidR="001C47A5" w:rsidRPr="008C1E5F">
        <w:t xml:space="preserve"> to</w:t>
      </w:r>
      <w:r w:rsidR="00F00DB7" w:rsidRPr="008C1E5F">
        <w:t xml:space="preserve"> </w:t>
      </w:r>
      <w:r w:rsidR="00714D4A" w:rsidRPr="008C1E5F">
        <w:t xml:space="preserve">advertise for Fall River. </w:t>
      </w:r>
    </w:p>
    <w:p w14:paraId="69ECE302" w14:textId="4C1A7664" w:rsidR="008B6603" w:rsidRPr="008C1E5F" w:rsidRDefault="00DF1466" w:rsidP="004320EF">
      <w:pPr>
        <w:pStyle w:val="BodyText"/>
      </w:pPr>
      <w:r w:rsidRPr="008C1E5F">
        <w:t>Despite these challenges, s</w:t>
      </w:r>
      <w:r w:rsidR="006B6314" w:rsidRPr="008C1E5F">
        <w:t xml:space="preserve">chool leaders agreed that </w:t>
      </w:r>
      <w:r w:rsidRPr="008C1E5F">
        <w:t>they felt</w:t>
      </w:r>
      <w:r w:rsidR="00E4740A" w:rsidRPr="008C1E5F">
        <w:t xml:space="preserve"> </w:t>
      </w:r>
      <w:r w:rsidR="006B6314" w:rsidRPr="008C1E5F">
        <w:t>supported by district leaders</w:t>
      </w:r>
      <w:r w:rsidR="00715196" w:rsidRPr="008C1E5F">
        <w:t xml:space="preserve"> as they navigated difficulties in hiring staff</w:t>
      </w:r>
      <w:r w:rsidR="006B6314" w:rsidRPr="008C1E5F">
        <w:t>. As one school leader</w:t>
      </w:r>
      <w:r w:rsidR="00811408">
        <w:t xml:space="preserve"> </w:t>
      </w:r>
      <w:r w:rsidR="006B6314" w:rsidRPr="008C1E5F">
        <w:t xml:space="preserve">summarized: </w:t>
      </w:r>
    </w:p>
    <w:p w14:paraId="4D87642E" w14:textId="50EBE800" w:rsidR="008B6603" w:rsidRPr="008C1E5F" w:rsidRDefault="006B6314" w:rsidP="004320EF">
      <w:pPr>
        <w:pStyle w:val="BlockQuote"/>
      </w:pPr>
      <w:r w:rsidRPr="008C1E5F">
        <w:t>I think that we have a very collaborative working relationship with the district leadership [in hiring] so whether it</w:t>
      </w:r>
      <w:r w:rsidR="00A347BA" w:rsidRPr="008C1E5F">
        <w:t>’</w:t>
      </w:r>
      <w:r w:rsidRPr="008C1E5F">
        <w:t>s principals bouncing off ideas with staff members or with central office them giving perspectives or ideas. When at all possible, I think that central office will also say</w:t>
      </w:r>
      <w:r w:rsidR="00A347BA" w:rsidRPr="008C1E5F">
        <w:t>,</w:t>
      </w:r>
      <w:r w:rsidRPr="008C1E5F">
        <w:t xml:space="preserve"> “</w:t>
      </w:r>
      <w:r w:rsidR="00A347BA" w:rsidRPr="008C1E5F">
        <w:t>H</w:t>
      </w:r>
      <w:r w:rsidRPr="008C1E5F">
        <w:t>ey</w:t>
      </w:r>
      <w:r w:rsidR="00A347BA" w:rsidRPr="008C1E5F">
        <w:t>,</w:t>
      </w:r>
      <w:r w:rsidR="006377FE">
        <w:t xml:space="preserve"> </w:t>
      </w:r>
      <w:r w:rsidRPr="008C1E5F">
        <w:t>there</w:t>
      </w:r>
      <w:r w:rsidR="00A347BA" w:rsidRPr="008C1E5F">
        <w:t>’</w:t>
      </w:r>
      <w:r w:rsidRPr="008C1E5F">
        <w:t>s a candidate you might want to look at because we are all limited in staffing, and we all are understaffed with open position</w:t>
      </w:r>
      <w:r w:rsidR="006377FE">
        <w:t>s</w:t>
      </w:r>
      <w:r w:rsidRPr="008C1E5F">
        <w:t>.” So, I think that the district is really trying to support us [as principals] to make sure all positions are staffed and staffed with quality professionals. I think that that</w:t>
      </w:r>
      <w:r w:rsidR="00A347BA" w:rsidRPr="008C1E5F">
        <w:t>’</w:t>
      </w:r>
      <w:r w:rsidRPr="008C1E5F">
        <w:t xml:space="preserve">s been a big push. </w:t>
      </w:r>
    </w:p>
    <w:p w14:paraId="127EECF2" w14:textId="62AA2575" w:rsidR="009A1EC0" w:rsidRPr="008C1E5F" w:rsidRDefault="002944F8" w:rsidP="004320EF">
      <w:pPr>
        <w:pStyle w:val="BodyText"/>
      </w:pPr>
      <w:r w:rsidRPr="008C1E5F">
        <w:t xml:space="preserve">However, Fall River still has many vacant positions that </w:t>
      </w:r>
      <w:r w:rsidR="00A347BA" w:rsidRPr="008C1E5F">
        <w:t>it is</w:t>
      </w:r>
      <w:r w:rsidRPr="008C1E5F">
        <w:t xml:space="preserve"> working to fill. </w:t>
      </w:r>
      <w:r w:rsidR="006B6314" w:rsidRPr="008C1E5F">
        <w:t xml:space="preserve">Because recruitment is an ongoing area of focus for the district, the superintendent makes a </w:t>
      </w:r>
      <w:r w:rsidR="00A347BA" w:rsidRPr="008C1E5F">
        <w:t xml:space="preserve">monthly </w:t>
      </w:r>
      <w:r w:rsidR="006B6314" w:rsidRPr="008C1E5F">
        <w:t>report to the school committee on the district’s progress in filling vacant positions.</w:t>
      </w:r>
      <w:r w:rsidR="00436F8C" w:rsidRPr="008C1E5F">
        <w:t xml:space="preserve"> </w:t>
      </w:r>
      <w:r w:rsidR="005F0277" w:rsidRPr="008C1E5F">
        <w:t xml:space="preserve">According to the </w:t>
      </w:r>
      <w:r w:rsidR="00C75105" w:rsidRPr="008C1E5F">
        <w:t xml:space="preserve">current job openings on the district website, </w:t>
      </w:r>
      <w:r w:rsidR="002D4577" w:rsidRPr="008C1E5F">
        <w:t>at</w:t>
      </w:r>
      <w:r w:rsidR="00C75105" w:rsidRPr="008C1E5F">
        <w:t xml:space="preserve"> the </w:t>
      </w:r>
      <w:r w:rsidR="002D4577" w:rsidRPr="008C1E5F">
        <w:t>time</w:t>
      </w:r>
      <w:r w:rsidR="00C75105" w:rsidRPr="008C1E5F">
        <w:t xml:space="preserve"> of </w:t>
      </w:r>
      <w:r w:rsidR="002D4577" w:rsidRPr="008C1E5F">
        <w:t xml:space="preserve">the district review, there were over 100 vacancies for </w:t>
      </w:r>
      <w:r w:rsidR="006F5E74" w:rsidRPr="008C1E5F">
        <w:t xml:space="preserve">a variety of </w:t>
      </w:r>
      <w:r w:rsidR="00482F31" w:rsidRPr="008C1E5F">
        <w:t>positions</w:t>
      </w:r>
      <w:r w:rsidR="00062D9F">
        <w:t>,</w:t>
      </w:r>
      <w:r w:rsidR="006F5E74" w:rsidRPr="008C1E5F">
        <w:t xml:space="preserve"> including content teachers, special educators, interventionists/coaches, </w:t>
      </w:r>
      <w:r w:rsidR="006B622D" w:rsidRPr="008C1E5F">
        <w:t xml:space="preserve">team chairs, </w:t>
      </w:r>
      <w:r w:rsidR="006F5E74" w:rsidRPr="008C1E5F">
        <w:t xml:space="preserve">paraprofessionals, long-term substitutes, </w:t>
      </w:r>
      <w:r w:rsidR="006B622D" w:rsidRPr="008C1E5F">
        <w:t xml:space="preserve">and more. </w:t>
      </w:r>
    </w:p>
    <w:p w14:paraId="656408A5" w14:textId="47CDF241" w:rsidR="007F2340" w:rsidRPr="008C1E5F" w:rsidRDefault="007F2340" w:rsidP="004320EF">
      <w:pPr>
        <w:pStyle w:val="BodyText"/>
        <w:rPr>
          <w:spacing w:val="-2"/>
        </w:rPr>
      </w:pPr>
      <w:r w:rsidRPr="008C1E5F">
        <w:rPr>
          <w:spacing w:val="-2"/>
        </w:rPr>
        <w:t>Due to the difficulty in recruiting new staff to fill vacant positions within the district</w:t>
      </w:r>
      <w:r w:rsidR="00754555" w:rsidRPr="008C1E5F">
        <w:rPr>
          <w:spacing w:val="-2"/>
        </w:rPr>
        <w:t xml:space="preserve"> generally,</w:t>
      </w:r>
      <w:r w:rsidRPr="008C1E5F">
        <w:rPr>
          <w:spacing w:val="-2"/>
        </w:rPr>
        <w:t xml:space="preserve"> the human resources department has developed a process for hiring and onboarding job candidates without proper credentials and “requesting a waiver or an emergency license from DESE.” According to </w:t>
      </w:r>
      <w:r w:rsidR="00A347BA" w:rsidRPr="008C1E5F">
        <w:rPr>
          <w:spacing w:val="-2"/>
        </w:rPr>
        <w:t xml:space="preserve">one </w:t>
      </w:r>
      <w:r w:rsidRPr="008C1E5F">
        <w:rPr>
          <w:spacing w:val="-2"/>
        </w:rPr>
        <w:t>district leader, “</w:t>
      </w:r>
      <w:r w:rsidR="00A347BA" w:rsidRPr="008C1E5F">
        <w:rPr>
          <w:spacing w:val="-2"/>
        </w:rPr>
        <w:t>I</w:t>
      </w:r>
      <w:r w:rsidRPr="008C1E5F">
        <w:rPr>
          <w:spacing w:val="-2"/>
        </w:rPr>
        <w:t>f somebody doesn</w:t>
      </w:r>
      <w:r w:rsidR="00A347BA" w:rsidRPr="008C1E5F">
        <w:rPr>
          <w:spacing w:val="-2"/>
        </w:rPr>
        <w:t>’</w:t>
      </w:r>
      <w:r w:rsidRPr="008C1E5F">
        <w:rPr>
          <w:spacing w:val="-2"/>
        </w:rPr>
        <w:t>t have the proper credentials, but they</w:t>
      </w:r>
      <w:r w:rsidR="00A347BA" w:rsidRPr="008C1E5F">
        <w:rPr>
          <w:spacing w:val="-2"/>
        </w:rPr>
        <w:t>’</w:t>
      </w:r>
      <w:r w:rsidRPr="008C1E5F">
        <w:rPr>
          <w:spacing w:val="-2"/>
        </w:rPr>
        <w:t xml:space="preserve">re a really viable candidate, the administrative assistants will either request a waiver or an emergency license from DESE.” This leads to Fall River hiring </w:t>
      </w:r>
      <w:proofErr w:type="gramStart"/>
      <w:r w:rsidRPr="008C1E5F">
        <w:rPr>
          <w:spacing w:val="-2"/>
        </w:rPr>
        <w:t>a large number of</w:t>
      </w:r>
      <w:proofErr w:type="gramEnd"/>
      <w:r w:rsidRPr="008C1E5F">
        <w:rPr>
          <w:spacing w:val="-2"/>
        </w:rPr>
        <w:t xml:space="preserve"> new educators with a waiver or emergency license. </w:t>
      </w:r>
      <w:r w:rsidR="004D5623" w:rsidRPr="008C1E5F">
        <w:rPr>
          <w:spacing w:val="-2"/>
        </w:rPr>
        <w:t xml:space="preserve">According to data from DESE, </w:t>
      </w:r>
      <w:r w:rsidR="00082C22">
        <w:rPr>
          <w:spacing w:val="-2"/>
        </w:rPr>
        <w:t>19</w:t>
      </w:r>
      <w:r w:rsidR="00E13B56" w:rsidRPr="008C1E5F">
        <w:rPr>
          <w:spacing w:val="-2"/>
        </w:rPr>
        <w:t xml:space="preserve"> percent of </w:t>
      </w:r>
      <w:r w:rsidR="00230113" w:rsidRPr="008C1E5F">
        <w:rPr>
          <w:spacing w:val="-2"/>
        </w:rPr>
        <w:t>Fall River</w:t>
      </w:r>
      <w:r w:rsidR="00E13B56" w:rsidRPr="008C1E5F">
        <w:rPr>
          <w:spacing w:val="-2"/>
        </w:rPr>
        <w:t xml:space="preserve"> teachers </w:t>
      </w:r>
      <w:r w:rsidR="00C421D4" w:rsidRPr="008C1E5F">
        <w:rPr>
          <w:spacing w:val="-2"/>
        </w:rPr>
        <w:t>have</w:t>
      </w:r>
      <w:r w:rsidR="00C421D4" w:rsidRPr="008C1E5F">
        <w:rPr>
          <w:i/>
          <w:iCs/>
          <w:spacing w:val="-2"/>
        </w:rPr>
        <w:t xml:space="preserve"> </w:t>
      </w:r>
      <w:r w:rsidR="00C421D4" w:rsidRPr="008C1E5F">
        <w:rPr>
          <w:spacing w:val="-2"/>
        </w:rPr>
        <w:t>a waiver or provisional license</w:t>
      </w:r>
      <w:r w:rsidR="00A347BA" w:rsidRPr="008C1E5F">
        <w:rPr>
          <w:spacing w:val="-2"/>
        </w:rPr>
        <w:t>,</w:t>
      </w:r>
      <w:r w:rsidR="00C421D4" w:rsidRPr="008C1E5F">
        <w:rPr>
          <w:spacing w:val="-2"/>
        </w:rPr>
        <w:t xml:space="preserve"> compared to </w:t>
      </w:r>
      <w:r w:rsidR="005E3549" w:rsidRPr="008C1E5F">
        <w:rPr>
          <w:spacing w:val="-2"/>
        </w:rPr>
        <w:t xml:space="preserve">7 percent statewide. </w:t>
      </w:r>
      <w:r w:rsidR="00635231">
        <w:rPr>
          <w:spacing w:val="-2"/>
        </w:rPr>
        <w:t xml:space="preserve">To support staff in attaining proper credentials, the district does offer educators $1,000 per semester to continue their education. </w:t>
      </w:r>
      <w:r w:rsidR="00635231" w:rsidRPr="008C1E5F">
        <w:t xml:space="preserve">At the time of district review, the district was in early stages of looking into purchasing Massachusetts Tests for Educator Licensure (MTEL) preparation courses from the University of Massachusetts Dartmouth or Bridgewater State to provide support to paraprofessionals interested in becoming teachers or teachers on emergency waivers. </w:t>
      </w:r>
      <w:r w:rsidR="00103710">
        <w:rPr>
          <w:spacing w:val="-2"/>
        </w:rPr>
        <w:t xml:space="preserve">Supporting </w:t>
      </w:r>
      <w:r w:rsidR="00471203">
        <w:rPr>
          <w:spacing w:val="-2"/>
        </w:rPr>
        <w:t>staff and new hires in attaining</w:t>
      </w:r>
      <w:r w:rsidRPr="008C1E5F">
        <w:rPr>
          <w:spacing w:val="-2"/>
        </w:rPr>
        <w:t xml:space="preserve"> appropriate credentials is an area for growth in Fall River. </w:t>
      </w:r>
    </w:p>
    <w:p w14:paraId="554CBA1D" w14:textId="7FB4829E" w:rsidR="00DE4AEB" w:rsidRPr="008C1E5F" w:rsidRDefault="00DE4AEB" w:rsidP="004320EF">
      <w:pPr>
        <w:pStyle w:val="BodyText"/>
      </w:pPr>
      <w:r w:rsidRPr="008C1E5F">
        <w:lastRenderedPageBreak/>
        <w:t>In terms of the timeline for the hiring process, according to district leaders, the school principals, directors, and/or supervisors are responsible for identifying hiring needs in their schools or areas of responsibility. Once they identify a need, the principal, director, or supervisor submit</w:t>
      </w:r>
      <w:r w:rsidR="00A347BA" w:rsidRPr="008C1E5F">
        <w:t>s</w:t>
      </w:r>
      <w:r w:rsidRPr="008C1E5F">
        <w:t xml:space="preserve"> a form to request that the human resources department posts the position. From there, the human resources administrative assistants will confirm the vacancy in the position and confirm that there is an up-to-date job description for the role</w:t>
      </w:r>
      <w:r w:rsidR="00062D9F">
        <w:t>,</w:t>
      </w:r>
      <w:r w:rsidRPr="008C1E5F">
        <w:t xml:space="preserve"> and then post the position to </w:t>
      </w:r>
      <w:proofErr w:type="spellStart"/>
      <w:r w:rsidRPr="008C1E5F">
        <w:t>SchoolSpring</w:t>
      </w:r>
      <w:proofErr w:type="spellEnd"/>
      <w:r w:rsidRPr="008C1E5F">
        <w:t xml:space="preserve"> or </w:t>
      </w:r>
      <w:proofErr w:type="spellStart"/>
      <w:r w:rsidRPr="008C1E5F">
        <w:t>TalentEd</w:t>
      </w:r>
      <w:proofErr w:type="spellEnd"/>
      <w:r w:rsidRPr="008C1E5F">
        <w:t xml:space="preserve">. Once a candidate is identified, the hiring manager is responsible for confirming that they have the appropriate credentials. Then, the administrative assistants in the human resources department set up an initial meeting with the prospective candidate and begin the process of onboarding new staff into the district. During these onboarding meetings, the administrative assistants receive licensure data and credentials. </w:t>
      </w:r>
    </w:p>
    <w:p w14:paraId="537CC07B" w14:textId="56974A28" w:rsidR="00E852D8" w:rsidRPr="008C1E5F" w:rsidRDefault="00F60921" w:rsidP="004320EF">
      <w:pPr>
        <w:pStyle w:val="BodyText"/>
      </w:pPr>
      <w:r w:rsidRPr="008C1E5F">
        <w:t xml:space="preserve">According to interviews with </w:t>
      </w:r>
      <w:r w:rsidR="00D046BD">
        <w:t>city</w:t>
      </w:r>
      <w:r w:rsidR="00D0080A" w:rsidRPr="008C1E5F">
        <w:t xml:space="preserve"> and district leaders, o</w:t>
      </w:r>
      <w:r w:rsidRPr="008C1E5F">
        <w:t>ne of the main issues in hiring and retaining quality staff</w:t>
      </w:r>
      <w:r w:rsidR="00D0080A" w:rsidRPr="008C1E5F">
        <w:t xml:space="preserve"> throughout the district</w:t>
      </w:r>
      <w:r w:rsidRPr="008C1E5F">
        <w:t xml:space="preserve"> is the pay scale, which is lower than neighboring communities, making it difficult to attract and retain quality educators. </w:t>
      </w:r>
      <w:r w:rsidR="00E70E25" w:rsidRPr="008C1E5F">
        <w:t xml:space="preserve">According to data from DESE, </w:t>
      </w:r>
      <w:r w:rsidR="008270B9" w:rsidRPr="008C1E5F">
        <w:t xml:space="preserve">the average teacher salary in </w:t>
      </w:r>
      <w:r w:rsidR="003E2A6F">
        <w:t xml:space="preserve">2021 </w:t>
      </w:r>
      <w:r w:rsidR="008270B9" w:rsidRPr="008C1E5F">
        <w:t>in Fall River was $12,00</w:t>
      </w:r>
      <w:r w:rsidR="000B4FFD">
        <w:t>1</w:t>
      </w:r>
      <w:r w:rsidR="008270B9" w:rsidRPr="008C1E5F">
        <w:t xml:space="preserve"> less than the state average</w:t>
      </w:r>
      <w:r w:rsidR="002C01B2" w:rsidRPr="008C1E5F">
        <w:t xml:space="preserve"> ($</w:t>
      </w:r>
      <w:r w:rsidR="0059461B" w:rsidRPr="008C1E5F">
        <w:t>74,117 for the district versus $86,118 statewide)</w:t>
      </w:r>
      <w:r w:rsidR="002372A2">
        <w:t xml:space="preserve">, though leaders reported this disparity was somewhat lessened </w:t>
      </w:r>
      <w:r w:rsidR="0085779C">
        <w:t xml:space="preserve">more recently </w:t>
      </w:r>
      <w:r w:rsidR="002372A2">
        <w:t>with the new contract</w:t>
      </w:r>
      <w:r w:rsidR="008270B9" w:rsidRPr="008C1E5F">
        <w:t>.</w:t>
      </w:r>
      <w:r w:rsidR="0059461B" w:rsidRPr="008C1E5F">
        <w:t xml:space="preserve"> </w:t>
      </w:r>
      <w:r w:rsidR="006B6314" w:rsidRPr="008C1E5F">
        <w:t xml:space="preserve">An additional recruitment challenge reported by district and school leaders is that prospective job candidates </w:t>
      </w:r>
      <w:r w:rsidR="00A347BA" w:rsidRPr="008C1E5F">
        <w:t xml:space="preserve">sometimes </w:t>
      </w:r>
      <w:r w:rsidR="006B6314" w:rsidRPr="008C1E5F">
        <w:t xml:space="preserve">receive their offer letter, accept the position, but then </w:t>
      </w:r>
      <w:r w:rsidR="00A347BA" w:rsidRPr="008C1E5F">
        <w:t xml:space="preserve">do </w:t>
      </w:r>
      <w:r w:rsidR="006B6314" w:rsidRPr="008C1E5F">
        <w:t>not officially start their roles in Fall River. School leaders in focus groups reported several potential reasons for this</w:t>
      </w:r>
      <w:r w:rsidR="00B51023">
        <w:t>.</w:t>
      </w:r>
      <w:r w:rsidR="006B6314" w:rsidRPr="008C1E5F">
        <w:t xml:space="preserve"> </w:t>
      </w:r>
      <w:r w:rsidR="00A347BA" w:rsidRPr="008C1E5F">
        <w:t>F</w:t>
      </w:r>
      <w:r w:rsidR="006B6314" w:rsidRPr="008C1E5F">
        <w:t>irst, school leaders and teachers acknowledged in focus groups that prospective candidates sometimes “shop” for jobs in Fall River, receive their offer letter, and then move on to search for jobs in another school district</w:t>
      </w:r>
      <w:r w:rsidR="00D0080A" w:rsidRPr="008C1E5F">
        <w:t xml:space="preserve"> due to pay or other reasons</w:t>
      </w:r>
      <w:r w:rsidR="006B6314" w:rsidRPr="008C1E5F">
        <w:t xml:space="preserve">. Second, school leaders identified that they lost potential new hires due to a </w:t>
      </w:r>
      <w:r w:rsidR="00957E1C" w:rsidRPr="008C1E5F">
        <w:t>lengthy</w:t>
      </w:r>
      <w:r w:rsidR="006B6314" w:rsidRPr="008C1E5F">
        <w:t xml:space="preserve"> wait time between submitting their letter for recommendation and onboarding the new staff into the district. As </w:t>
      </w:r>
      <w:r w:rsidR="00A347BA" w:rsidRPr="008C1E5F">
        <w:t xml:space="preserve">one </w:t>
      </w:r>
      <w:r w:rsidR="006B6314" w:rsidRPr="008C1E5F">
        <w:t xml:space="preserve">school leader in </w:t>
      </w:r>
      <w:r w:rsidR="00A347BA" w:rsidRPr="008C1E5F">
        <w:t xml:space="preserve">a </w:t>
      </w:r>
      <w:r w:rsidR="006B6314" w:rsidRPr="008C1E5F">
        <w:t xml:space="preserve">focus group summarized: </w:t>
      </w:r>
    </w:p>
    <w:p w14:paraId="76062A01" w14:textId="6F4A9A67" w:rsidR="00E852D8" w:rsidRPr="008C1E5F" w:rsidRDefault="006B6314" w:rsidP="004320EF">
      <w:pPr>
        <w:pStyle w:val="BlockQuote"/>
      </w:pPr>
      <w:r w:rsidRPr="008C1E5F">
        <w:t xml:space="preserve">To be honest, I think there is a little bit of a disconnect that once </w:t>
      </w:r>
      <w:proofErr w:type="gramStart"/>
      <w:r w:rsidRPr="008C1E5F">
        <w:t>you</w:t>
      </w:r>
      <w:proofErr w:type="gramEnd"/>
      <w:r w:rsidRPr="008C1E5F">
        <w:t xml:space="preserve"> onboard someone, you submit the paperwork for recommendation, that turnaround time can be very different depending on the person. So, for example, if I hire someone today, once they make the appointment and meet with HR and then follow through fingerprints and paperwork and then give their notice and they find out what the salary range is and benefits, sometimes that could be a month to </w:t>
      </w:r>
      <w:proofErr w:type="gramStart"/>
      <w:r w:rsidRPr="008C1E5F">
        <w:t>a month and a</w:t>
      </w:r>
      <w:proofErr w:type="gramEnd"/>
      <w:r w:rsidRPr="008C1E5F">
        <w:t xml:space="preserve"> half later. And then many times what we have found, unfortunately, and this is no fault of anyone, is that someone will be very interested in the position, follow through paperwork, get everything done, and then they</w:t>
      </w:r>
      <w:r w:rsidR="00A347BA" w:rsidRPr="008C1E5F">
        <w:t>’</w:t>
      </w:r>
      <w:r w:rsidRPr="008C1E5F">
        <w:t>ll give an anticipated start date and then the day before, they</w:t>
      </w:r>
      <w:r w:rsidR="00A347BA" w:rsidRPr="008C1E5F">
        <w:t>’</w:t>
      </w:r>
      <w:r w:rsidRPr="008C1E5F">
        <w:t>ve decided to part ways. So, we</w:t>
      </w:r>
      <w:r w:rsidR="00A347BA" w:rsidRPr="008C1E5F">
        <w:t>’</w:t>
      </w:r>
      <w:r w:rsidRPr="008C1E5F">
        <w:t>ve held that position. We haven</w:t>
      </w:r>
      <w:r w:rsidR="00A347BA" w:rsidRPr="008C1E5F">
        <w:t>’</w:t>
      </w:r>
      <w:r w:rsidRPr="008C1E5F">
        <w:t>t interviewed for it for a month and a half, two months. And then the day before, we</w:t>
      </w:r>
      <w:r w:rsidR="00A347BA" w:rsidRPr="008C1E5F">
        <w:t>’</w:t>
      </w:r>
      <w:r w:rsidRPr="008C1E5F">
        <w:t>re expecting that person to start. And that</w:t>
      </w:r>
      <w:r w:rsidR="00A347BA" w:rsidRPr="008C1E5F">
        <w:t>’</w:t>
      </w:r>
      <w:r w:rsidRPr="008C1E5F">
        <w:t>s happened many times this year. Not just the day before, but that turnaround has been challenging.</w:t>
      </w:r>
    </w:p>
    <w:p w14:paraId="462EEF2D" w14:textId="79446A97" w:rsidR="006B6314" w:rsidRPr="008C1E5F" w:rsidRDefault="00986198" w:rsidP="004320EF">
      <w:pPr>
        <w:pStyle w:val="BodyText"/>
      </w:pPr>
      <w:r>
        <w:t>T</w:t>
      </w:r>
      <w:r w:rsidR="006B6314" w:rsidRPr="008C1E5F">
        <w:t xml:space="preserve">aking steps to decrease the </w:t>
      </w:r>
      <w:proofErr w:type="gramStart"/>
      <w:r w:rsidR="006B6314" w:rsidRPr="008C1E5F">
        <w:t>wait</w:t>
      </w:r>
      <w:proofErr w:type="gramEnd"/>
      <w:r w:rsidR="006B6314" w:rsidRPr="008C1E5F">
        <w:t xml:space="preserve"> time for onboarding new hires </w:t>
      </w:r>
      <w:r>
        <w:t>is an area of growth for the district.</w:t>
      </w:r>
      <w:r w:rsidR="006B6314" w:rsidRPr="008C1E5F">
        <w:t xml:space="preserve"> </w:t>
      </w:r>
    </w:p>
    <w:p w14:paraId="6E6CFDBA" w14:textId="650F541B" w:rsidR="680DE6E2" w:rsidRPr="008C1E5F" w:rsidRDefault="00A347BA" w:rsidP="004320EF">
      <w:pPr>
        <w:pStyle w:val="BodyText"/>
      </w:pPr>
      <w:r w:rsidRPr="008C1E5F">
        <w:t>D</w:t>
      </w:r>
      <w:r w:rsidR="680DE6E2" w:rsidRPr="008C1E5F">
        <w:t>istrict records suggest that teacher evaluations are consistently completed using Vector Solutions. AIR used simple random sampling to select the sample of 10 percent of 533 teachers (54 teachers) due for summative evaluations for the 2023-2024 school year. Nearly all teacher evaluations selected for review (</w:t>
      </w:r>
      <w:r w:rsidRPr="008C1E5F">
        <w:t xml:space="preserve">52 of 54; </w:t>
      </w:r>
      <w:r w:rsidR="680DE6E2" w:rsidRPr="008C1E5F">
        <w:t xml:space="preserve">96 percent) had a summative evaluation available for review. </w:t>
      </w:r>
      <w:proofErr w:type="gramStart"/>
      <w:r w:rsidR="680DE6E2" w:rsidRPr="008C1E5F">
        <w:t>All of</w:t>
      </w:r>
      <w:proofErr w:type="gramEnd"/>
      <w:r w:rsidR="680DE6E2" w:rsidRPr="008C1E5F">
        <w:t xml:space="preserve"> the </w:t>
      </w:r>
      <w:r w:rsidR="680DE6E2" w:rsidRPr="008C1E5F">
        <w:lastRenderedPageBreak/>
        <w:t xml:space="preserve">teacher evaluations available for review </w:t>
      </w:r>
      <w:r w:rsidRPr="008C1E5F">
        <w:t xml:space="preserve">(52) </w:t>
      </w:r>
      <w:r w:rsidR="680DE6E2" w:rsidRPr="008C1E5F">
        <w:t>were complete and did not omit required components, including a rating for each standard or an overall rating. All evaluation documents reviewed included a student learning SMART (specific, measurable, achievable, realistic, and timely) goal and a professional practice SMART goal. However, progress reported toward the student learning and professional practice SMART goals are not consistently included in the summative evaluation report. All the teachers’ progress toward their student learning and professional goals were evaluated. Nearly all evaluations reviewed (96 percent) included multiple sources of evidence, such as observations, student work samples, or other evidence to support progress toward student learning goals, professional learning goals, standards, and indicators. All but one of the summative evaluations (51) included feedback for each standard and overall feedback related to the teacher’s overall rating. Of those evaluations that included feedback</w:t>
      </w:r>
      <w:r w:rsidRPr="008C1E5F">
        <w:t xml:space="preserve"> (51 of 52)</w:t>
      </w:r>
      <w:r w:rsidR="680DE6E2" w:rsidRPr="008C1E5F">
        <w:t>, all named strengths or practices the teacher should continue</w:t>
      </w:r>
      <w:r w:rsidR="008B428A">
        <w:t>,</w:t>
      </w:r>
      <w:r w:rsidR="680DE6E2" w:rsidRPr="008C1E5F">
        <w:t xml:space="preserve"> and 47 </w:t>
      </w:r>
      <w:r w:rsidRPr="008C1E5F">
        <w:t xml:space="preserve">evaluations </w:t>
      </w:r>
      <w:r w:rsidR="680DE6E2" w:rsidRPr="008C1E5F">
        <w:t>(92 percent) included feedback indicating areas of improvement.</w:t>
      </w:r>
      <w:r w:rsidR="00F8035B" w:rsidRPr="008C1E5F">
        <w:t xml:space="preserve"> </w:t>
      </w:r>
      <w:r w:rsidR="00F8035B" w:rsidRPr="008C1E5F">
        <w:rPr>
          <w:bdr w:val="none" w:sz="0" w:space="0" w:color="auto" w:frame="1"/>
        </w:rPr>
        <w:t xml:space="preserve">Teacher evaluation records show consistency in having SMART goals, </w:t>
      </w:r>
      <w:r w:rsidR="00F8035B" w:rsidRPr="008C1E5F">
        <w:t>multiple sources of evidence, and feedback for each standard</w:t>
      </w:r>
      <w:r w:rsidR="005B40AF" w:rsidRPr="008C1E5F">
        <w:t xml:space="preserve">, </w:t>
      </w:r>
      <w:r w:rsidRPr="008C1E5F">
        <w:t xml:space="preserve">which is </w:t>
      </w:r>
      <w:r w:rsidR="005B40AF" w:rsidRPr="008C1E5F">
        <w:t xml:space="preserve">a strength of the district. </w:t>
      </w:r>
    </w:p>
    <w:p w14:paraId="144AFFD7" w14:textId="5298D39D" w:rsidR="680DE6E2" w:rsidRPr="008C1E5F" w:rsidRDefault="00A347BA" w:rsidP="004320EF">
      <w:pPr>
        <w:pStyle w:val="BodyText"/>
      </w:pPr>
      <w:r w:rsidRPr="008C1E5F">
        <w:t>D</w:t>
      </w:r>
      <w:r w:rsidR="680DE6E2" w:rsidRPr="008C1E5F">
        <w:t xml:space="preserve">istrict records suggest that administration evaluations are also completed using Vector Solutions. Of the 120 administrative district staff who were due for a summative evaluation for the 2023-2024 school year, 87 </w:t>
      </w:r>
      <w:r w:rsidRPr="008C1E5F">
        <w:t xml:space="preserve">evaluations </w:t>
      </w:r>
      <w:r w:rsidR="680DE6E2" w:rsidRPr="008C1E5F">
        <w:t xml:space="preserve">(73 percent) were available for review, and nearly all </w:t>
      </w:r>
      <w:r w:rsidRPr="008C1E5F">
        <w:t xml:space="preserve">evaluations </w:t>
      </w:r>
      <w:r w:rsidR="680DE6E2" w:rsidRPr="008C1E5F">
        <w:t>(86 of 87) were complete with performance ratings and assessment of progress toward goals. Of the 87 summative evaluations reviewed, all included student learning and professional practice SMART goals</w:t>
      </w:r>
      <w:r w:rsidRPr="008C1E5F">
        <w:t>;</w:t>
      </w:r>
      <w:r w:rsidR="680DE6E2" w:rsidRPr="008C1E5F">
        <w:t xml:space="preserve"> however</w:t>
      </w:r>
      <w:r w:rsidRPr="008C1E5F">
        <w:t>,</w:t>
      </w:r>
      <w:r w:rsidR="680DE6E2" w:rsidRPr="008C1E5F">
        <w:t xml:space="preserve"> only 93 evaluations (78 percent) included a school improvement goal. Nearly all the evaluations reviewed (93) included multiple sources of evidence to assess performance on summative evaluation standards</w:t>
      </w:r>
      <w:r w:rsidRPr="008C1E5F">
        <w:t>,</w:t>
      </w:r>
      <w:r w:rsidR="680DE6E2" w:rsidRPr="008C1E5F">
        <w:t xml:space="preserve"> and </w:t>
      </w:r>
      <w:proofErr w:type="gramStart"/>
      <w:r w:rsidR="680DE6E2" w:rsidRPr="008C1E5F">
        <w:t>the majority of</w:t>
      </w:r>
      <w:proofErr w:type="gramEnd"/>
      <w:r w:rsidR="680DE6E2" w:rsidRPr="008C1E5F">
        <w:t xml:space="preserve"> the summative evaluations reviewed (68</w:t>
      </w:r>
      <w:r w:rsidRPr="008C1E5F">
        <w:t>; 78 percent</w:t>
      </w:r>
      <w:r w:rsidR="680DE6E2" w:rsidRPr="008C1E5F">
        <w:t>) included feedback for each standard. All evaluations with feedback included evaluator comments with specific, actionable feedback naming each administrator’s strengths</w:t>
      </w:r>
      <w:r w:rsidRPr="008C1E5F">
        <w:t>;</w:t>
      </w:r>
      <w:r w:rsidR="680DE6E2" w:rsidRPr="008C1E5F">
        <w:t xml:space="preserve"> however</w:t>
      </w:r>
      <w:r w:rsidRPr="008C1E5F">
        <w:t>,</w:t>
      </w:r>
      <w:r w:rsidR="680DE6E2" w:rsidRPr="008C1E5F">
        <w:t xml:space="preserve"> less than </w:t>
      </w:r>
      <w:r w:rsidRPr="008C1E5F">
        <w:t>half</w:t>
      </w:r>
      <w:r w:rsidR="680DE6E2" w:rsidRPr="008C1E5F">
        <w:t xml:space="preserve"> of the evaluations reviewed</w:t>
      </w:r>
      <w:r w:rsidRPr="008C1E5F">
        <w:t xml:space="preserve"> (43)</w:t>
      </w:r>
      <w:r w:rsidR="680DE6E2" w:rsidRPr="008C1E5F">
        <w:t xml:space="preserve"> identified areas of improvement for administrative district staff.</w:t>
      </w:r>
      <w:r w:rsidR="0046640C" w:rsidRPr="008C1E5F">
        <w:t xml:space="preserve"> Consistently a</w:t>
      </w:r>
      <w:r w:rsidR="005B40AF" w:rsidRPr="008C1E5F">
        <w:t>rticulating areas for improvement for administrators to foster continuous growth</w:t>
      </w:r>
      <w:r w:rsidR="0046640C" w:rsidRPr="008C1E5F">
        <w:t xml:space="preserve"> and enhance </w:t>
      </w:r>
      <w:r w:rsidR="005B40AF" w:rsidRPr="008C1E5F">
        <w:t>their leadership effectiveness</w:t>
      </w:r>
      <w:r w:rsidR="0046640C" w:rsidRPr="008C1E5F">
        <w:t xml:space="preserve"> is an area </w:t>
      </w:r>
      <w:r w:rsidR="00BD62F1" w:rsidRPr="008C1E5F">
        <w:t xml:space="preserve">for </w:t>
      </w:r>
      <w:r w:rsidR="0046640C" w:rsidRPr="008C1E5F">
        <w:t>growth for the district</w:t>
      </w:r>
      <w:r w:rsidR="005B40AF" w:rsidRPr="008C1E5F">
        <w:t>.</w:t>
      </w:r>
    </w:p>
    <w:p w14:paraId="193DD261" w14:textId="0C39924E" w:rsidR="001E21F2" w:rsidRPr="008C1E5F" w:rsidRDefault="0090180A" w:rsidP="004320EF">
      <w:pPr>
        <w:pStyle w:val="BodyText"/>
      </w:pPr>
      <w:bookmarkStart w:id="92" w:name="_Professional_Learning"/>
      <w:bookmarkEnd w:id="92"/>
      <w:r w:rsidRPr="008C1E5F">
        <w:t xml:space="preserve">District staff reported that the district’s approach to educator evaluation set high expectations for teachers and promoted growth. School leaders and teachers agreed that the district’s evaluation systems reflect a culture of high expectations for most educators. School leaders in focus groups reported that they were currently making efforts to incorporate Google Docs into their walkthrough evaluation process “so that when we go into the classroom, that’s instant feedback to that teacher.” However, some teachers felt the formal evaluation process was highly variable based on the evaluator, </w:t>
      </w:r>
      <w:r w:rsidR="00A347BA" w:rsidRPr="008C1E5F">
        <w:t xml:space="preserve">with one teacher </w:t>
      </w:r>
      <w:r w:rsidRPr="008C1E5F">
        <w:t>commenting</w:t>
      </w:r>
      <w:r w:rsidR="00A347BA" w:rsidRPr="008C1E5F">
        <w:t>,</w:t>
      </w:r>
      <w:r w:rsidRPr="008C1E5F">
        <w:t xml:space="preserve"> “I’ve had evaluators in the system that I felt like it was a mutual process, and I felt like I was being grown as a teacher. It’s not always that</w:t>
      </w:r>
      <w:r w:rsidR="00993AD9">
        <w:t>.</w:t>
      </w:r>
      <w:r w:rsidRPr="008C1E5F">
        <w:t xml:space="preserve">” According to </w:t>
      </w:r>
      <w:r w:rsidR="000429AC" w:rsidRPr="008C1E5F">
        <w:t>school leaders</w:t>
      </w:r>
      <w:r w:rsidRPr="008C1E5F">
        <w:t>, the district provides training that supports effective, equitable evaluation practices.</w:t>
      </w:r>
    </w:p>
    <w:p w14:paraId="4183BF34" w14:textId="2AED58C1" w:rsidR="003C306C" w:rsidRPr="008C1E5F" w:rsidRDefault="001E21F2" w:rsidP="004320EF">
      <w:pPr>
        <w:pStyle w:val="BodyText"/>
      </w:pPr>
      <w:r w:rsidRPr="008C1E5F">
        <w:t xml:space="preserve">In terms of recognition and advancement, district leaders noted that there are limited districtwide processes for recognizing exceptional staff in Fall River. For example, district leaders reported that the superintendent recognizes exceptional staff and students in the district during meetings with the school committee </w:t>
      </w:r>
      <w:proofErr w:type="gramStart"/>
      <w:r w:rsidRPr="008C1E5F">
        <w:t>and also</w:t>
      </w:r>
      <w:proofErr w:type="gramEnd"/>
      <w:r w:rsidRPr="008C1E5F">
        <w:t xml:space="preserve"> through social media posts. However, </w:t>
      </w:r>
      <w:r w:rsidR="0038338C">
        <w:t xml:space="preserve">teachers and school leaders did not mention </w:t>
      </w:r>
      <w:r w:rsidRPr="008C1E5F">
        <w:t>other methods of exceptional staff recognition</w:t>
      </w:r>
      <w:r w:rsidR="0038338C">
        <w:t>, though district leaders cited the Crystal Apple awards in a subsequent conversation.</w:t>
      </w:r>
      <w:r w:rsidRPr="008C1E5F">
        <w:t xml:space="preserve"> Additionally, when it comes to advancement in their </w:t>
      </w:r>
      <w:r w:rsidRPr="008C1E5F">
        <w:lastRenderedPageBreak/>
        <w:t>careers, teachers felt that the district has limited resources to support their professional learning or pathways to advancement.</w:t>
      </w:r>
    </w:p>
    <w:p w14:paraId="0C6C05D2" w14:textId="20F20903" w:rsidR="00D751B0" w:rsidRPr="008C1E5F" w:rsidRDefault="003C306C" w:rsidP="004320EF">
      <w:pPr>
        <w:pStyle w:val="BodyText"/>
        <w:rPr>
          <w:spacing w:val="-2"/>
        </w:rPr>
      </w:pPr>
      <w:r w:rsidRPr="008C1E5F">
        <w:rPr>
          <w:spacing w:val="-2"/>
        </w:rPr>
        <w:t xml:space="preserve">District </w:t>
      </w:r>
      <w:r w:rsidR="00B65433" w:rsidRPr="008C1E5F">
        <w:rPr>
          <w:spacing w:val="-2"/>
        </w:rPr>
        <w:t>and school</w:t>
      </w:r>
      <w:r w:rsidRPr="008C1E5F">
        <w:rPr>
          <w:spacing w:val="-2"/>
        </w:rPr>
        <w:t xml:space="preserve"> leaders did not </w:t>
      </w:r>
      <w:r w:rsidR="00C53D84" w:rsidRPr="008C1E5F">
        <w:rPr>
          <w:spacing w:val="-2"/>
        </w:rPr>
        <w:t xml:space="preserve">list </w:t>
      </w:r>
      <w:r w:rsidRPr="008C1E5F">
        <w:rPr>
          <w:spacing w:val="-2"/>
        </w:rPr>
        <w:t>any specific strategies for retention in the district</w:t>
      </w:r>
      <w:r w:rsidR="000657FF" w:rsidRPr="008C1E5F">
        <w:rPr>
          <w:spacing w:val="-2"/>
        </w:rPr>
        <w:t xml:space="preserve">, identifying staff retention as an area </w:t>
      </w:r>
      <w:r w:rsidR="00BD62F1" w:rsidRPr="008C1E5F">
        <w:rPr>
          <w:spacing w:val="-2"/>
        </w:rPr>
        <w:t xml:space="preserve">for </w:t>
      </w:r>
      <w:r w:rsidR="000657FF" w:rsidRPr="008C1E5F">
        <w:rPr>
          <w:spacing w:val="-2"/>
        </w:rPr>
        <w:t>growth</w:t>
      </w:r>
      <w:r w:rsidRPr="008C1E5F">
        <w:rPr>
          <w:spacing w:val="-2"/>
        </w:rPr>
        <w:t xml:space="preserve">. Teachers and school leaders </w:t>
      </w:r>
      <w:r w:rsidR="000657FF" w:rsidRPr="008C1E5F">
        <w:rPr>
          <w:spacing w:val="-2"/>
        </w:rPr>
        <w:t>reported</w:t>
      </w:r>
      <w:r w:rsidRPr="008C1E5F">
        <w:rPr>
          <w:spacing w:val="-2"/>
        </w:rPr>
        <w:t xml:space="preserve"> </w:t>
      </w:r>
      <w:r w:rsidR="008B428A">
        <w:rPr>
          <w:spacing w:val="-2"/>
        </w:rPr>
        <w:t xml:space="preserve">that </w:t>
      </w:r>
      <w:r w:rsidRPr="008C1E5F">
        <w:rPr>
          <w:spacing w:val="-2"/>
        </w:rPr>
        <w:t>staff frequently leav</w:t>
      </w:r>
      <w:r w:rsidR="00113309">
        <w:rPr>
          <w:spacing w:val="-2"/>
        </w:rPr>
        <w:t>e</w:t>
      </w:r>
      <w:r w:rsidRPr="008C1E5F">
        <w:rPr>
          <w:spacing w:val="-2"/>
        </w:rPr>
        <w:t xml:space="preserve"> the district after a short </w:t>
      </w:r>
      <w:r w:rsidR="00953936" w:rsidRPr="008C1E5F">
        <w:rPr>
          <w:spacing w:val="-2"/>
        </w:rPr>
        <w:t>employment period</w:t>
      </w:r>
      <w:r w:rsidR="004C11BE" w:rsidRPr="008C1E5F">
        <w:rPr>
          <w:spacing w:val="-2"/>
        </w:rPr>
        <w:t xml:space="preserve"> and that staff resign from their positions throughout the </w:t>
      </w:r>
      <w:r w:rsidR="003B459B" w:rsidRPr="008C1E5F">
        <w:rPr>
          <w:spacing w:val="-2"/>
        </w:rPr>
        <w:t>school year.</w:t>
      </w:r>
      <w:r w:rsidRPr="008C1E5F">
        <w:rPr>
          <w:spacing w:val="-2"/>
        </w:rPr>
        <w:t xml:space="preserve"> According to </w:t>
      </w:r>
      <w:r w:rsidR="00C53D84" w:rsidRPr="008C1E5F">
        <w:rPr>
          <w:spacing w:val="-2"/>
        </w:rPr>
        <w:t>the district’s</w:t>
      </w:r>
      <w:r w:rsidRPr="008C1E5F">
        <w:rPr>
          <w:spacing w:val="-2"/>
        </w:rPr>
        <w:t xml:space="preserve"> profile on the state’s website, the teacher retention rate for </w:t>
      </w:r>
      <w:r w:rsidR="0093261E" w:rsidRPr="008C1E5F">
        <w:rPr>
          <w:spacing w:val="-2"/>
        </w:rPr>
        <w:t>Fall River</w:t>
      </w:r>
      <w:r w:rsidRPr="008C1E5F">
        <w:rPr>
          <w:spacing w:val="-2"/>
        </w:rPr>
        <w:t xml:space="preserve"> is 75.8</w:t>
      </w:r>
      <w:r w:rsidR="00C53D84" w:rsidRPr="008C1E5F">
        <w:rPr>
          <w:spacing w:val="-2"/>
        </w:rPr>
        <w:t xml:space="preserve"> percent</w:t>
      </w:r>
      <w:r w:rsidRPr="008C1E5F">
        <w:rPr>
          <w:spacing w:val="-2"/>
        </w:rPr>
        <w:t>, which is lower than the state average of 85.8</w:t>
      </w:r>
      <w:r w:rsidR="00C53D84" w:rsidRPr="008C1E5F">
        <w:rPr>
          <w:spacing w:val="-2"/>
        </w:rPr>
        <w:t xml:space="preserve"> percent</w:t>
      </w:r>
      <w:r w:rsidRPr="008C1E5F">
        <w:rPr>
          <w:spacing w:val="-2"/>
        </w:rPr>
        <w:t>. Additionally, for principals</w:t>
      </w:r>
      <w:r w:rsidR="003B459B" w:rsidRPr="008C1E5F">
        <w:rPr>
          <w:spacing w:val="-2"/>
        </w:rPr>
        <w:t>,</w:t>
      </w:r>
      <w:r w:rsidRPr="008C1E5F">
        <w:rPr>
          <w:spacing w:val="-2"/>
        </w:rPr>
        <w:t xml:space="preserve"> this rate is 70.6</w:t>
      </w:r>
      <w:r w:rsidR="00C53D84" w:rsidRPr="008C1E5F">
        <w:rPr>
          <w:spacing w:val="-2"/>
        </w:rPr>
        <w:t xml:space="preserve"> percent</w:t>
      </w:r>
      <w:r w:rsidRPr="008C1E5F">
        <w:rPr>
          <w:spacing w:val="-2"/>
        </w:rPr>
        <w:t>, which is lower than the state at 81.7</w:t>
      </w:r>
      <w:r w:rsidR="00C53D84" w:rsidRPr="008C1E5F">
        <w:rPr>
          <w:spacing w:val="-2"/>
        </w:rPr>
        <w:t xml:space="preserve"> percent</w:t>
      </w:r>
      <w:r w:rsidRPr="008C1E5F">
        <w:rPr>
          <w:spacing w:val="-2"/>
        </w:rPr>
        <w:t>. Overall, teacher retention is a</w:t>
      </w:r>
      <w:r w:rsidR="00804A91" w:rsidRPr="008C1E5F">
        <w:rPr>
          <w:spacing w:val="-2"/>
        </w:rPr>
        <w:t xml:space="preserve"> challenge</w:t>
      </w:r>
      <w:r w:rsidRPr="008C1E5F">
        <w:rPr>
          <w:spacing w:val="-2"/>
        </w:rPr>
        <w:t xml:space="preserve"> in </w:t>
      </w:r>
      <w:r w:rsidR="004F4E2A" w:rsidRPr="008C1E5F">
        <w:rPr>
          <w:spacing w:val="-2"/>
        </w:rPr>
        <w:t>the district</w:t>
      </w:r>
      <w:r w:rsidR="008B428A">
        <w:rPr>
          <w:spacing w:val="-2"/>
        </w:rPr>
        <w:t>,</w:t>
      </w:r>
      <w:r w:rsidRPr="008C1E5F">
        <w:rPr>
          <w:spacing w:val="-2"/>
        </w:rPr>
        <w:t xml:space="preserve"> and </w:t>
      </w:r>
      <w:r w:rsidR="002E4683" w:rsidRPr="008C1E5F">
        <w:rPr>
          <w:spacing w:val="-2"/>
        </w:rPr>
        <w:t xml:space="preserve">the development of </w:t>
      </w:r>
      <w:r w:rsidRPr="008C1E5F">
        <w:rPr>
          <w:spacing w:val="-2"/>
        </w:rPr>
        <w:t xml:space="preserve">explicit retention strategies </w:t>
      </w:r>
      <w:r w:rsidR="00804A91" w:rsidRPr="008C1E5F">
        <w:rPr>
          <w:spacing w:val="-2"/>
        </w:rPr>
        <w:t>is an area for growth.</w:t>
      </w:r>
    </w:p>
    <w:p w14:paraId="0186D653" w14:textId="5F16ABA8" w:rsidR="00ED2699" w:rsidRPr="008C1E5F" w:rsidRDefault="00B96C33" w:rsidP="004320EF">
      <w:pPr>
        <w:pStyle w:val="BodyText"/>
      </w:pPr>
      <w:r w:rsidRPr="008C1E5F">
        <w:t>School leaders</w:t>
      </w:r>
      <w:r w:rsidR="00D751B0" w:rsidRPr="008C1E5F">
        <w:t xml:space="preserve"> generally agreed that the district fosters a positive, productive, and inclusive work environment for some staff through various activities designed to benefit teachers. Teachers agreed, mentioning specific school-level activities they participated in that increased teacher camaraderie and positivity. For example, some teachers participated in relaxing activities organized by their principal or participating in weekend outings</w:t>
      </w:r>
      <w:r w:rsidR="00C53D84" w:rsidRPr="008C1E5F">
        <w:t xml:space="preserve"> that</w:t>
      </w:r>
      <w:r w:rsidR="00D751B0" w:rsidRPr="008C1E5F">
        <w:t xml:space="preserve"> were organized by other teachers. Additionally, many teachers across focus groups reported that their principals “pulled out all the stops” for teacher appreciation week, such as giving them ice cream or other tokens of appreciation. However, these </w:t>
      </w:r>
      <w:proofErr w:type="gramStart"/>
      <w:r w:rsidR="00D751B0" w:rsidRPr="008C1E5F">
        <w:t>aforementioned positive</w:t>
      </w:r>
      <w:proofErr w:type="gramEnd"/>
      <w:r w:rsidR="00D751B0" w:rsidRPr="008C1E5F">
        <w:t xml:space="preserve"> activities were not representative of all teacher</w:t>
      </w:r>
      <w:r w:rsidR="00C53D84" w:rsidRPr="008C1E5F">
        <w:t>s</w:t>
      </w:r>
      <w:r w:rsidR="00D751B0" w:rsidRPr="008C1E5F">
        <w:t>’ experience in Fall River, and opportunit</w:t>
      </w:r>
      <w:r w:rsidR="004E7003" w:rsidRPr="008C1E5F">
        <w:t>ies</w:t>
      </w:r>
      <w:r w:rsidR="00D751B0" w:rsidRPr="008C1E5F">
        <w:t xml:space="preserve"> to experience these activities appeared to be building</w:t>
      </w:r>
      <w:r w:rsidR="007E0170">
        <w:t>-</w:t>
      </w:r>
      <w:r w:rsidR="00D751B0" w:rsidRPr="008C1E5F">
        <w:t xml:space="preserve">specific and not districtwide, according to teacher focus groups. </w:t>
      </w:r>
    </w:p>
    <w:p w14:paraId="509EA466" w14:textId="671CC23E" w:rsidR="00D751B0" w:rsidRPr="008C1E5F" w:rsidRDefault="00D751B0" w:rsidP="004320EF">
      <w:pPr>
        <w:pStyle w:val="BodyText"/>
      </w:pPr>
      <w:r w:rsidRPr="008C1E5F">
        <w:t>District leaders also indicated that the district typically provides some mental health and wellness support to teachers. For example, district leaders mentioned that they had a partnership with telehealth providers to allow staff access to mental health counseling and support</w:t>
      </w:r>
      <w:r w:rsidR="00902F7F">
        <w:t>, as well as an Employee Assistance Program (EAP)</w:t>
      </w:r>
      <w:r w:rsidRPr="008C1E5F">
        <w:t xml:space="preserve">. However, </w:t>
      </w:r>
      <w:r w:rsidR="002B0737">
        <w:t>according to district and school leaders</w:t>
      </w:r>
      <w:r w:rsidR="00993AD9">
        <w:t>,</w:t>
      </w:r>
      <w:r w:rsidR="002B0737" w:rsidRPr="008C1E5F">
        <w:t xml:space="preserve"> </w:t>
      </w:r>
      <w:r w:rsidRPr="008C1E5F">
        <w:t xml:space="preserve">more mental health support would be beneficial to </w:t>
      </w:r>
      <w:r w:rsidR="007E0170" w:rsidRPr="008C1E5F">
        <w:t>staff,</w:t>
      </w:r>
      <w:r w:rsidRPr="008C1E5F">
        <w:t xml:space="preserve"> </w:t>
      </w:r>
      <w:r w:rsidR="00E774FF">
        <w:t xml:space="preserve">especially given </w:t>
      </w:r>
      <w:r w:rsidR="00AD3BE6">
        <w:t>that</w:t>
      </w:r>
      <w:r w:rsidRPr="008C1E5F">
        <w:t xml:space="preserve"> a common reason for leaving the district is </w:t>
      </w:r>
      <w:r w:rsidR="002B0737">
        <w:t>due to</w:t>
      </w:r>
      <w:r w:rsidRPr="008C1E5F">
        <w:t xml:space="preserve"> mental health concerns. As one district leader noted, when</w:t>
      </w:r>
      <w:r w:rsidR="00AD2687" w:rsidRPr="008C1E5F">
        <w:t xml:space="preserve"> they</w:t>
      </w:r>
      <w:r w:rsidRPr="008C1E5F">
        <w:t xml:space="preserve"> asked </w:t>
      </w:r>
      <w:r w:rsidR="00AD2687" w:rsidRPr="008C1E5F">
        <w:t>teachers why</w:t>
      </w:r>
      <w:r w:rsidRPr="008C1E5F">
        <w:t xml:space="preserve"> </w:t>
      </w:r>
      <w:r w:rsidR="00AD2687" w:rsidRPr="008C1E5F">
        <w:t>they</w:t>
      </w:r>
      <w:r w:rsidRPr="008C1E5F">
        <w:t xml:space="preserve"> were leaving the district</w:t>
      </w:r>
      <w:r w:rsidR="00C53D84" w:rsidRPr="008C1E5F">
        <w:t>,</w:t>
      </w:r>
      <w:r w:rsidRPr="008C1E5F">
        <w:t xml:space="preserve"> </w:t>
      </w:r>
      <w:r w:rsidR="00AD2687" w:rsidRPr="008C1E5F">
        <w:t>a common response was that</w:t>
      </w:r>
      <w:r w:rsidRPr="008C1E5F">
        <w:t xml:space="preserve"> “they left the district because they were taking time off for mental health every week and the stress of the job was just too much, and they just wanted to get out of it.” </w:t>
      </w:r>
      <w:r w:rsidR="00DD0A2C" w:rsidRPr="00DD0A2C">
        <w:t xml:space="preserve">From exit interviews, district leaders noted that staff frequently identified student behavior </w:t>
      </w:r>
      <w:r w:rsidR="00BB3D2E">
        <w:t xml:space="preserve">and low pay </w:t>
      </w:r>
      <w:r w:rsidR="00DD0A2C" w:rsidRPr="00DD0A2C">
        <w:t>as</w:t>
      </w:r>
      <w:r w:rsidR="005545B7">
        <w:t xml:space="preserve"> contributing to </w:t>
      </w:r>
      <w:r w:rsidR="0064407E">
        <w:t>challenging work environment</w:t>
      </w:r>
      <w:r w:rsidR="00FB1A4C">
        <w:t>s</w:t>
      </w:r>
      <w:r w:rsidR="000D026A">
        <w:t xml:space="preserve"> in Fall River</w:t>
      </w:r>
      <w:r w:rsidR="00DD0A2C" w:rsidRPr="00DD0A2C">
        <w:t>.</w:t>
      </w:r>
    </w:p>
    <w:p w14:paraId="33F03CA2" w14:textId="185F0C71" w:rsidR="00444346" w:rsidRPr="008C1E5F" w:rsidRDefault="00444346" w:rsidP="00444346">
      <w:pPr>
        <w:pStyle w:val="Heading3"/>
      </w:pPr>
      <w:bookmarkStart w:id="93" w:name="_Professional_Learning_1"/>
      <w:bookmarkStart w:id="94" w:name="_Toc195024229"/>
      <w:bookmarkEnd w:id="93"/>
      <w:r w:rsidRPr="008C1E5F">
        <w:t>Professional Learning</w:t>
      </w:r>
      <w:bookmarkEnd w:id="94"/>
      <w:r w:rsidRPr="008C1E5F">
        <w:t xml:space="preserve"> </w:t>
      </w:r>
    </w:p>
    <w:p w14:paraId="47932127" w14:textId="02E36CF3" w:rsidR="008062E2" w:rsidRPr="008C1E5F" w:rsidRDefault="008062E2" w:rsidP="004320EF">
      <w:pPr>
        <w:pStyle w:val="BodyTextposthead"/>
      </w:pPr>
      <w:r w:rsidRPr="008C1E5F">
        <w:t xml:space="preserve">Fall River offers many options for professional learning, consisting of </w:t>
      </w:r>
      <w:r w:rsidR="004E750B" w:rsidRPr="008C1E5F">
        <w:t>teacher observations and feedback, a variety of professional development offerings</w:t>
      </w:r>
      <w:r w:rsidR="00C139D1" w:rsidRPr="008C1E5F">
        <w:t xml:space="preserve">, </w:t>
      </w:r>
      <w:r w:rsidR="00791B02" w:rsidRPr="008C1E5F">
        <w:t>PLCs, and a growing mentorship program. Overall, teachers and district leaders reported positive perceptions of the district’s various opportunities for professional learning, with some identified areas for continued growth and improvement</w:t>
      </w:r>
      <w:r w:rsidR="004E750B" w:rsidRPr="008C1E5F">
        <w:t>.</w:t>
      </w:r>
    </w:p>
    <w:p w14:paraId="6E232392" w14:textId="79D5D634" w:rsidR="4F412B69" w:rsidRPr="008C1E5F" w:rsidRDefault="00791B02" w:rsidP="004320EF">
      <w:pPr>
        <w:pStyle w:val="BodyText"/>
      </w:pPr>
      <w:r w:rsidRPr="008C1E5F">
        <w:t>In terms of classroom observations, d</w:t>
      </w:r>
      <w:r w:rsidR="0079044B" w:rsidRPr="008C1E5F">
        <w:t xml:space="preserve">istrict leaders, school leaders, and teachers describe frequent observations of classrooms across the district. </w:t>
      </w:r>
      <w:r w:rsidR="004C2FBD" w:rsidRPr="008C1E5F">
        <w:t xml:space="preserve">A district-provided rubric and evaluation handbook provides school </w:t>
      </w:r>
      <w:r w:rsidR="45FC6AA4" w:rsidRPr="008C1E5F">
        <w:t xml:space="preserve">and district </w:t>
      </w:r>
      <w:r w:rsidR="004C2FBD" w:rsidRPr="008C1E5F">
        <w:t xml:space="preserve">leaders with guidelines for observation and feedback cycles. According to the evaluation handbook, Fall River follows </w:t>
      </w:r>
      <w:r w:rsidR="007F614D" w:rsidRPr="008C1E5F">
        <w:t>D</w:t>
      </w:r>
      <w:r w:rsidR="004C2FBD" w:rsidRPr="008C1E5F">
        <w:t xml:space="preserve">ESE’s model system for educator evaluation and </w:t>
      </w:r>
      <w:r w:rsidR="00AF7127" w:rsidRPr="008C1E5F">
        <w:t xml:space="preserve">uses </w:t>
      </w:r>
      <w:r w:rsidR="004C2FBD" w:rsidRPr="008C1E5F">
        <w:t xml:space="preserve">the DESE walkthrough tool for evaluation. </w:t>
      </w:r>
      <w:r w:rsidR="29936108" w:rsidRPr="008C1E5F">
        <w:t xml:space="preserve">District and school leaders conduct these </w:t>
      </w:r>
      <w:r w:rsidR="29936108" w:rsidRPr="008C1E5F">
        <w:lastRenderedPageBreak/>
        <w:t>walkthroughs using DESE’s diagnostic tool to support high-quality learning as their rubric and look-fors. District leaders, school leaders, and teachers all cited these walkthroughs as helpful for improving instructional practices.</w:t>
      </w:r>
      <w:r w:rsidR="334E3790" w:rsidRPr="008C1E5F">
        <w:t xml:space="preserve"> </w:t>
      </w:r>
    </w:p>
    <w:p w14:paraId="7B12796B" w14:textId="00DA83C6" w:rsidR="0815CA79" w:rsidRPr="008C1E5F" w:rsidRDefault="00AF7127" w:rsidP="004320EF">
      <w:pPr>
        <w:pStyle w:val="BodyText"/>
      </w:pPr>
      <w:r w:rsidRPr="008C1E5F">
        <w:t>P</w:t>
      </w:r>
      <w:r w:rsidR="004C2FBD" w:rsidRPr="008C1E5F">
        <w:t>rincipals agreed that the district provides guidance for observation and feedback, which supports administrators and coaches in providing support to educators. Teachers also agreed that they were observed regularly</w:t>
      </w:r>
      <w:r w:rsidR="00EF1250" w:rsidRPr="008C1E5F">
        <w:t>, although the quality of feedback varied</w:t>
      </w:r>
      <w:r w:rsidR="004C2FBD" w:rsidRPr="008C1E5F">
        <w:t xml:space="preserve">. Some teachers found the observations and feedback to be collaborative and helpful, </w:t>
      </w:r>
      <w:r w:rsidRPr="008C1E5F">
        <w:t xml:space="preserve">but </w:t>
      </w:r>
      <w:r w:rsidR="004C2FBD" w:rsidRPr="008C1E5F">
        <w:t xml:space="preserve">others reported that the quality feedback from observations varied depending on the evaluator. School leaders and evaluators </w:t>
      </w:r>
      <w:r w:rsidRPr="008C1E5F">
        <w:t xml:space="preserve">described </w:t>
      </w:r>
      <w:r w:rsidR="004C2FBD" w:rsidRPr="008C1E5F">
        <w:t xml:space="preserve">the district’s recent efforts to move observational feedback to Google </w:t>
      </w:r>
      <w:r w:rsidRPr="008C1E5F">
        <w:t>D</w:t>
      </w:r>
      <w:r w:rsidR="004C2FBD" w:rsidRPr="008C1E5F">
        <w:t xml:space="preserve">ocs so that teachers could receive immediate, actionable feedback after a walkthrough. </w:t>
      </w:r>
    </w:p>
    <w:p w14:paraId="58F3B840" w14:textId="5EDBA8FA" w:rsidR="00C25BC5" w:rsidRPr="008C1E5F" w:rsidRDefault="032EC842" w:rsidP="004320EF">
      <w:pPr>
        <w:pStyle w:val="BodyText"/>
      </w:pPr>
      <w:r w:rsidRPr="008C1E5F">
        <w:t>In focus groups, teachers and instructional leaders described a coaching process in Fall River, though many admitted that the process has “faded out” over the past few years throughout their schools. Historically, this coaching process consisted of “eight-week coaching cycles” where “strong teachers in the building were paired up with other teachers” formally throughout the district. Currently, this process is not widespread across the district, but some targeted schools receive coaching feedback from their department heads and instructional coaches for six-week cycles. Specifically, these coaching sessions were targeted toward the lowest performing 10 percent of schools according to state accountability data: Fonseca Elementary School, Greene Elementary School, Kuss Middle School, Morton Middle School, Talbot Innovation School, and Durfee High School. According to school leaders, during these six-week cycles, the first week consists of observation, the second week consists of modeling, and then, depending on need, the remaining weeks consist of co-teaching and feedback. These coaching models</w:t>
      </w:r>
      <w:r w:rsidR="100C2CB5" w:rsidRPr="008C1E5F">
        <w:t xml:space="preserve"> were reportedly robust and highly targeted. Teachers in targeted schools were paired one</w:t>
      </w:r>
      <w:r w:rsidR="008B428A">
        <w:t>-</w:t>
      </w:r>
      <w:r w:rsidR="100C2CB5" w:rsidRPr="008C1E5F">
        <w:t>on</w:t>
      </w:r>
      <w:r w:rsidR="008B428A">
        <w:t>-</w:t>
      </w:r>
      <w:r w:rsidR="100C2CB5" w:rsidRPr="008C1E5F">
        <w:t>one with district, school, or instructional leaders to r</w:t>
      </w:r>
      <w:r w:rsidR="4D71027C" w:rsidRPr="008C1E5F">
        <w:t xml:space="preserve">eceive customized support. Due to the </w:t>
      </w:r>
      <w:r w:rsidRPr="008C1E5F">
        <w:t xml:space="preserve">time-intensive </w:t>
      </w:r>
      <w:r w:rsidR="3963EFC2" w:rsidRPr="008C1E5F">
        <w:t xml:space="preserve">nature of these six-week coaching cycles, not all teachers were given the same chance to participate in coaching across the district. </w:t>
      </w:r>
    </w:p>
    <w:p w14:paraId="55ECF248" w14:textId="501142BC" w:rsidR="00411F5E" w:rsidRPr="008C1E5F" w:rsidRDefault="006F5C91" w:rsidP="004320EF">
      <w:pPr>
        <w:pStyle w:val="BodyText"/>
      </w:pPr>
      <w:r w:rsidRPr="008C1E5F">
        <w:t xml:space="preserve">In terms of professional development, </w:t>
      </w:r>
      <w:r w:rsidR="00B2627A">
        <w:t>district leaders reported offering</w:t>
      </w:r>
      <w:r w:rsidRPr="008C1E5F">
        <w:t xml:space="preserve"> many opportunities that are ongoing</w:t>
      </w:r>
      <w:r w:rsidR="00FF5B79" w:rsidRPr="008C1E5F">
        <w:t>,</w:t>
      </w:r>
      <w:r w:rsidRPr="008C1E5F">
        <w:t xml:space="preserve"> </w:t>
      </w:r>
      <w:r w:rsidR="008B428A">
        <w:t>evidence-based</w:t>
      </w:r>
      <w:r w:rsidRPr="008C1E5F">
        <w:t xml:space="preserve">, </w:t>
      </w:r>
      <w:r w:rsidR="008B428A">
        <w:t>data-informed</w:t>
      </w:r>
      <w:r w:rsidRPr="008C1E5F">
        <w:t>, relevant</w:t>
      </w:r>
      <w:r w:rsidR="002A0A8B" w:rsidRPr="008C1E5F">
        <w:t>,</w:t>
      </w:r>
      <w:r w:rsidRPr="008C1E5F">
        <w:t xml:space="preserve"> </w:t>
      </w:r>
      <w:r w:rsidR="00D26CBD">
        <w:t xml:space="preserve">and </w:t>
      </w:r>
      <w:r w:rsidRPr="008C1E5F">
        <w:t xml:space="preserve">aligned with the Massachusetts </w:t>
      </w:r>
      <w:r w:rsidR="00115805">
        <w:t xml:space="preserve">Standards for </w:t>
      </w:r>
      <w:r w:rsidRPr="008C1E5F">
        <w:t>Professional Development</w:t>
      </w:r>
      <w:r w:rsidR="00623C7B" w:rsidRPr="008C1E5F">
        <w:t xml:space="preserve">, </w:t>
      </w:r>
      <w:r w:rsidR="0042225A" w:rsidRPr="008C1E5F">
        <w:t xml:space="preserve">which is </w:t>
      </w:r>
      <w:r w:rsidR="00623C7B" w:rsidRPr="008C1E5F">
        <w:t xml:space="preserve">a strength of the district. Every year, the district </w:t>
      </w:r>
      <w:r w:rsidR="0042225A" w:rsidRPr="008C1E5F">
        <w:t xml:space="preserve">dedicates </w:t>
      </w:r>
      <w:r w:rsidR="00623C7B" w:rsidRPr="008C1E5F">
        <w:t>several full days to educator professional development. The first full day of professional development is at the beginning of the school year and is</w:t>
      </w:r>
      <w:r w:rsidR="003630B7" w:rsidRPr="008C1E5F">
        <w:t xml:space="preserve"> mandated for new teachers but</w:t>
      </w:r>
      <w:r w:rsidR="00623C7B" w:rsidRPr="008C1E5F">
        <w:t xml:space="preserve"> optional for returning teachers; however, returning teachers receive a stipend for attending. In addition, the district has two other full professional development days</w:t>
      </w:r>
      <w:r w:rsidR="006D4603" w:rsidRPr="008C1E5F">
        <w:t xml:space="preserve"> in November and February. </w:t>
      </w:r>
      <w:r w:rsidR="006E214C" w:rsidRPr="008C1E5F">
        <w:t xml:space="preserve">According to district leaders, </w:t>
      </w:r>
      <w:r w:rsidR="00131D97" w:rsidRPr="008C1E5F">
        <w:t xml:space="preserve">at the time of this district review, </w:t>
      </w:r>
      <w:r w:rsidR="00CC04C4" w:rsidRPr="008C1E5F">
        <w:t xml:space="preserve">Fall River offered </w:t>
      </w:r>
      <w:r w:rsidR="00131D97" w:rsidRPr="008C1E5F">
        <w:t>“</w:t>
      </w:r>
      <w:r w:rsidR="00CC04C4" w:rsidRPr="008C1E5F">
        <w:t xml:space="preserve">close to 120 professional development </w:t>
      </w:r>
      <w:r w:rsidR="00131D97" w:rsidRPr="008C1E5F">
        <w:t>offerings</w:t>
      </w:r>
      <w:r w:rsidR="0042225A" w:rsidRPr="008C1E5F">
        <w:t>”</w:t>
      </w:r>
      <w:r w:rsidR="00131D97" w:rsidRPr="008C1E5F">
        <w:t xml:space="preserve"> for teachers to choose from during their professional development time this year. </w:t>
      </w:r>
      <w:r w:rsidR="0091079A" w:rsidRPr="008C1E5F">
        <w:t xml:space="preserve">During the November professional development day, offerings </w:t>
      </w:r>
      <w:r w:rsidR="005F7177" w:rsidRPr="008C1E5F">
        <w:t>addressed content areas (ELA, math</w:t>
      </w:r>
      <w:r w:rsidR="0042225A" w:rsidRPr="008C1E5F">
        <w:t>ematics</w:t>
      </w:r>
      <w:r w:rsidR="005F7177" w:rsidRPr="008C1E5F">
        <w:t xml:space="preserve">, </w:t>
      </w:r>
      <w:r w:rsidR="005E77B5" w:rsidRPr="008C1E5F">
        <w:t xml:space="preserve">unified arts, science, social studies, special education, and early childhood) as well as specific roles (school counselors, technology teachers). Examples of topics included </w:t>
      </w:r>
      <w:r w:rsidR="00B62A9F" w:rsidRPr="008C1E5F">
        <w:t xml:space="preserve">working with </w:t>
      </w:r>
      <w:r w:rsidR="00CB16AA">
        <w:t>English Learners</w:t>
      </w:r>
      <w:r w:rsidR="00B62A9F" w:rsidRPr="008C1E5F">
        <w:t xml:space="preserve"> in ELA classrooms</w:t>
      </w:r>
      <w:r w:rsidR="0013668A" w:rsidRPr="008C1E5F">
        <w:t xml:space="preserve">, </w:t>
      </w:r>
      <w:r w:rsidR="00F167A5" w:rsidRPr="008C1E5F">
        <w:t xml:space="preserve">integrating behavioral supports into the classroom, </w:t>
      </w:r>
      <w:r w:rsidR="005B047B" w:rsidRPr="008C1E5F">
        <w:t xml:space="preserve">using the Illuminate assessment platform, </w:t>
      </w:r>
      <w:r w:rsidR="006B660B" w:rsidRPr="008C1E5F">
        <w:t xml:space="preserve">helping students with </w:t>
      </w:r>
      <w:r w:rsidR="00A23283" w:rsidRPr="008C1E5F">
        <w:t xml:space="preserve">ST Math for paraprofessionals, </w:t>
      </w:r>
      <w:r w:rsidR="0042225A" w:rsidRPr="008C1E5F">
        <w:t xml:space="preserve">fostering </w:t>
      </w:r>
      <w:r w:rsidR="005C08D8" w:rsidRPr="008C1E5F">
        <w:t xml:space="preserve">student discourse in science classrooms, </w:t>
      </w:r>
      <w:r w:rsidR="00C455FE" w:rsidRPr="008C1E5F">
        <w:t xml:space="preserve">unpacking disability definitions and eligibility, and more. </w:t>
      </w:r>
      <w:r w:rsidRPr="008C1E5F">
        <w:t>Most of the district’s professional development opportunities are specifically tailored to educator</w:t>
      </w:r>
      <w:r w:rsidR="0042225A" w:rsidRPr="008C1E5F">
        <w:t>s</w:t>
      </w:r>
      <w:r w:rsidRPr="008C1E5F">
        <w:t xml:space="preserve">’ roles and </w:t>
      </w:r>
      <w:r w:rsidRPr="008C1E5F">
        <w:lastRenderedPageBreak/>
        <w:t>responsibilities</w:t>
      </w:r>
      <w:r w:rsidR="0091079A" w:rsidRPr="008C1E5F">
        <w:t xml:space="preserve">, although </w:t>
      </w:r>
      <w:r w:rsidRPr="008C1E5F">
        <w:t>school leaders and teachers agreed that teachers ha</w:t>
      </w:r>
      <w:r w:rsidR="0019200C" w:rsidRPr="008C1E5F">
        <w:t>d</w:t>
      </w:r>
      <w:r w:rsidR="0024175C" w:rsidRPr="008C1E5F">
        <w:t xml:space="preserve"> some</w:t>
      </w:r>
      <w:r w:rsidRPr="008C1E5F">
        <w:t xml:space="preserve"> agency in selecting the offerings that best suit their needs as educator</w:t>
      </w:r>
      <w:r w:rsidR="0042225A" w:rsidRPr="008C1E5F">
        <w:t>s</w:t>
      </w:r>
      <w:r w:rsidRPr="008C1E5F">
        <w:t xml:space="preserve">. </w:t>
      </w:r>
      <w:r w:rsidR="00776A52" w:rsidRPr="008C1E5F">
        <w:t>For the upcoming February professional development, the district plans to provide more opportunities for teachers to lead sessions for other teachers</w:t>
      </w:r>
      <w:r w:rsidR="00505B54">
        <w:t>,</w:t>
      </w:r>
      <w:r w:rsidR="00776A52" w:rsidRPr="008C1E5F">
        <w:t xml:space="preserve"> as well as hav</w:t>
      </w:r>
      <w:r w:rsidR="0042225A" w:rsidRPr="008C1E5F">
        <w:t>e</w:t>
      </w:r>
      <w:r w:rsidR="00776A52" w:rsidRPr="008C1E5F">
        <w:t xml:space="preserve"> general education and ESL teachers present together. After each professional development session, teachers </w:t>
      </w:r>
      <w:proofErr w:type="gramStart"/>
      <w:r w:rsidR="00776A52" w:rsidRPr="008C1E5F">
        <w:t>have the opportunity to</w:t>
      </w:r>
      <w:proofErr w:type="gramEnd"/>
      <w:r w:rsidR="00776A52" w:rsidRPr="008C1E5F">
        <w:t xml:space="preserve"> provide feedback.</w:t>
      </w:r>
    </w:p>
    <w:p w14:paraId="20D7BE9B" w14:textId="413A0A1A" w:rsidR="00C363D8" w:rsidRPr="008C1E5F" w:rsidRDefault="006F5C91" w:rsidP="004320EF">
      <w:pPr>
        <w:pStyle w:val="BodyText"/>
      </w:pPr>
      <w:r w:rsidRPr="008C1E5F">
        <w:t xml:space="preserve">However, teachers in focus groups reported </w:t>
      </w:r>
      <w:r w:rsidR="00411F5E" w:rsidRPr="008C1E5F">
        <w:t xml:space="preserve">a few challenges with the current offerings. First, some teachers reported </w:t>
      </w:r>
      <w:r w:rsidRPr="008C1E5F">
        <w:t xml:space="preserve">that they could not choose their professional development opportunities and were </w:t>
      </w:r>
      <w:r w:rsidR="003804C8" w:rsidRPr="008C1E5F">
        <w:t>pre-enrolled</w:t>
      </w:r>
      <w:r w:rsidRPr="008C1E5F">
        <w:t xml:space="preserve"> to take specific options. As one teacher in a focus group recount</w:t>
      </w:r>
      <w:r w:rsidR="0042225A" w:rsidRPr="008C1E5F">
        <w:t>ed,</w:t>
      </w:r>
      <w:r w:rsidRPr="008C1E5F">
        <w:t xml:space="preserve"> “I think last year I remember signing up to one of them and then being kicked out of that one and placed in one because that</w:t>
      </w:r>
      <w:r w:rsidR="0042225A" w:rsidRPr="008C1E5F">
        <w:t>’</w:t>
      </w:r>
      <w:r w:rsidRPr="008C1E5F">
        <w:t>s what they wanted us there.” Another teacher reported that teachers “don</w:t>
      </w:r>
      <w:r w:rsidR="0042225A" w:rsidRPr="008C1E5F">
        <w:t>’</w:t>
      </w:r>
      <w:r w:rsidRPr="008C1E5F">
        <w:t>t have a say in what type of professional development is offered</w:t>
      </w:r>
      <w:r w:rsidR="00970E29" w:rsidRPr="008C1E5F">
        <w:t>.</w:t>
      </w:r>
      <w:r w:rsidRPr="008C1E5F">
        <w:t xml:space="preserve">” </w:t>
      </w:r>
      <w:r w:rsidR="00970E29" w:rsidRPr="008C1E5F">
        <w:t>Second,</w:t>
      </w:r>
      <w:r w:rsidR="003968BD" w:rsidRPr="008C1E5F">
        <w:t xml:space="preserve"> in focus groups,</w:t>
      </w:r>
      <w:r w:rsidR="00970E29" w:rsidRPr="008C1E5F">
        <w:t xml:space="preserve"> experienced teachers </w:t>
      </w:r>
      <w:r w:rsidR="003968BD" w:rsidRPr="008C1E5F">
        <w:t xml:space="preserve">reported </w:t>
      </w:r>
      <w:r w:rsidR="00970E29" w:rsidRPr="008C1E5F">
        <w:t>that there were limited useful professional development options available to them at their instructional level</w:t>
      </w:r>
      <w:r w:rsidR="003968BD" w:rsidRPr="008C1E5F">
        <w:t xml:space="preserve">, with most of the professional development oriented toward new teachers or those early in their </w:t>
      </w:r>
      <w:r w:rsidR="00505B54">
        <w:t>careers</w:t>
      </w:r>
      <w:r w:rsidR="003968BD" w:rsidRPr="008C1E5F">
        <w:t xml:space="preserve">. </w:t>
      </w:r>
      <w:r w:rsidR="00225088" w:rsidRPr="008C1E5F">
        <w:t xml:space="preserve">As a result, </w:t>
      </w:r>
      <w:r w:rsidR="00A00804" w:rsidRPr="008C1E5F">
        <w:t xml:space="preserve">experienced teachers described </w:t>
      </w:r>
      <w:r w:rsidR="001D4DD3" w:rsidRPr="008C1E5F">
        <w:t xml:space="preserve">much of the professional development </w:t>
      </w:r>
      <w:r w:rsidR="0042225A" w:rsidRPr="008C1E5F">
        <w:t xml:space="preserve">as </w:t>
      </w:r>
      <w:r w:rsidR="001D4DD3" w:rsidRPr="008C1E5F">
        <w:t>repetitive and not relevant.</w:t>
      </w:r>
      <w:r w:rsidR="005949BE">
        <w:t xml:space="preserve"> </w:t>
      </w:r>
      <w:r w:rsidR="00041EA9">
        <w:t>Providing</w:t>
      </w:r>
      <w:r w:rsidR="00A47D4E">
        <w:t xml:space="preserve"> professional development that </w:t>
      </w:r>
      <w:r w:rsidR="00CA44BB">
        <w:t>addresses the specific needs of experienced teachers so they can continue refining their instructional practices is an area of growth for the district.</w:t>
      </w:r>
    </w:p>
    <w:p w14:paraId="03711C40" w14:textId="2DF3A24C" w:rsidR="00C25BC5" w:rsidRPr="008C1E5F" w:rsidRDefault="00865120" w:rsidP="004320EF">
      <w:pPr>
        <w:pStyle w:val="BodyText"/>
      </w:pPr>
      <w:r w:rsidRPr="008C1E5F">
        <w:t>School leaders</w:t>
      </w:r>
      <w:r w:rsidR="009C6CA1" w:rsidRPr="008C1E5F">
        <w:t xml:space="preserve"> agreed that their district provides them with protocols for</w:t>
      </w:r>
      <w:r w:rsidR="005E041F" w:rsidRPr="008C1E5F">
        <w:t xml:space="preserve"> how to</w:t>
      </w:r>
      <w:r w:rsidR="009C6CA1" w:rsidRPr="008C1E5F">
        <w:t xml:space="preserve"> </w:t>
      </w:r>
      <w:r w:rsidR="005E041F" w:rsidRPr="008C1E5F">
        <w:t>effectively facilitate</w:t>
      </w:r>
      <w:r w:rsidR="009C6CA1" w:rsidRPr="008C1E5F">
        <w:t xml:space="preserve"> staff collaboration across subject areas and grade levels. These protocols include guidelines for </w:t>
      </w:r>
      <w:r w:rsidRPr="008C1E5F">
        <w:t>weekly</w:t>
      </w:r>
      <w:r w:rsidR="009C6CA1" w:rsidRPr="008C1E5F">
        <w:t xml:space="preserve"> PLCs. During these PLCs, district leaders push into the schools</w:t>
      </w:r>
      <w:r w:rsidR="000368B6" w:rsidRPr="008C1E5F">
        <w:t xml:space="preserve"> and review data with teachers and school leaders, looking f</w:t>
      </w:r>
      <w:r w:rsidR="00447CC2" w:rsidRPr="008C1E5F">
        <w:t>or instances where instruction needs to be supplemented to achieve higher student outcomes. During PLCs,</w:t>
      </w:r>
      <w:r w:rsidR="009C6CA1" w:rsidRPr="008C1E5F">
        <w:t xml:space="preserve"> teachers reported that they looked at data to see how well students were doing in the classroom across subject areas</w:t>
      </w:r>
      <w:r w:rsidR="00505B54">
        <w:t>,</w:t>
      </w:r>
      <w:r w:rsidR="009C6CA1" w:rsidRPr="008C1E5F">
        <w:t xml:space="preserve"> as well as examples of student work. Teachers specified that PLCs were </w:t>
      </w:r>
      <w:r w:rsidR="00505B54">
        <w:t>subject-specific</w:t>
      </w:r>
      <w:r w:rsidR="009C6CA1" w:rsidRPr="008C1E5F">
        <w:t xml:space="preserve"> and that most teachers participated in multiple PLCs, both covering their subject area as well as other target areas, such as </w:t>
      </w:r>
      <w:r w:rsidR="0042225A" w:rsidRPr="008C1E5F">
        <w:t>SEL</w:t>
      </w:r>
      <w:r w:rsidR="009C6CA1" w:rsidRPr="008C1E5F">
        <w:t xml:space="preserve">. Teachers also reported that instructional goals set in PLCs had a large impact on how they taught material to students in the classroom. Overall, there were mixed reports on PLC time across schools and subject areas, with </w:t>
      </w:r>
      <w:r w:rsidR="00DE02B0" w:rsidRPr="008C1E5F">
        <w:t>most</w:t>
      </w:r>
      <w:r w:rsidR="009C6CA1" w:rsidRPr="008C1E5F">
        <w:t xml:space="preserve"> teacher</w:t>
      </w:r>
      <w:r w:rsidR="00DE02B0" w:rsidRPr="008C1E5F">
        <w:t>s</w:t>
      </w:r>
      <w:r w:rsidR="009C6CA1" w:rsidRPr="008C1E5F">
        <w:t xml:space="preserve"> reporting that PLC time was helpful to their instruction, </w:t>
      </w:r>
      <w:r w:rsidR="0042225A" w:rsidRPr="008C1E5F">
        <w:t xml:space="preserve">although </w:t>
      </w:r>
      <w:r w:rsidR="00D30A6D" w:rsidRPr="008C1E5F">
        <w:t xml:space="preserve">teachers in </w:t>
      </w:r>
      <w:r w:rsidR="00EB168C" w:rsidRPr="008C1E5F">
        <w:t xml:space="preserve">two separate focus groups reported that they experienced a negative climate during PLC time due to the disrespectful tone of a specific department leader. </w:t>
      </w:r>
      <w:r w:rsidR="00C93818">
        <w:t>In addition to</w:t>
      </w:r>
      <w:r w:rsidR="00CA12D4" w:rsidRPr="008C1E5F">
        <w:t xml:space="preserve"> </w:t>
      </w:r>
      <w:r w:rsidR="009C6CA1" w:rsidRPr="008C1E5F">
        <w:t xml:space="preserve">PLC meetings, teachers </w:t>
      </w:r>
      <w:r w:rsidR="0055410D">
        <w:t xml:space="preserve">get </w:t>
      </w:r>
      <w:r w:rsidR="009C6CA1" w:rsidRPr="008C1E5F">
        <w:t xml:space="preserve">preparation time outside of PLCs to plan for their lessons and collaborate with other teachers. </w:t>
      </w:r>
    </w:p>
    <w:p w14:paraId="1AE0879D" w14:textId="0AF2C607" w:rsidR="00FD4CDF" w:rsidRPr="008C1E5F" w:rsidRDefault="000F10DB" w:rsidP="004320EF">
      <w:pPr>
        <w:pStyle w:val="BodyText"/>
      </w:pPr>
      <w:r w:rsidRPr="008C1E5F">
        <w:t xml:space="preserve">When novice educators start in the district, teacher focus group participants indicated that the district provides these educators with the resources to be successful, such as partnering them with a mentor. Additionally, district leadership reported that some schools with higher staff </w:t>
      </w:r>
      <w:r w:rsidR="00CA12D4" w:rsidRPr="008C1E5F">
        <w:t xml:space="preserve">turnover </w:t>
      </w:r>
      <w:r w:rsidRPr="008C1E5F">
        <w:t>also developed “pretty structured models for new teacher support,” including hosting monthly meetings for new educators on relevant topics, such as curriculum, classroom management, or other instructional tips. School leaders in focus groups described that the district had a robust, systematized mentorship program, which has “really helped with fidelity across the district.” However, school leaders also noted that many staff are hired midyear to fill vacant positions</w:t>
      </w:r>
      <w:r w:rsidR="00B37D17" w:rsidRPr="008C1E5F">
        <w:t xml:space="preserve"> but there is currently no system for these staff members to receive a mentor midyear</w:t>
      </w:r>
      <w:r w:rsidRPr="008C1E5F">
        <w:t xml:space="preserve">. As one school leader summarized: </w:t>
      </w:r>
    </w:p>
    <w:p w14:paraId="734CD10C" w14:textId="5242A0D1" w:rsidR="00FD4CDF" w:rsidRPr="008C1E5F" w:rsidRDefault="000F10DB" w:rsidP="004320EF">
      <w:pPr>
        <w:pStyle w:val="BlockQuote"/>
      </w:pPr>
      <w:r w:rsidRPr="008C1E5F">
        <w:lastRenderedPageBreak/>
        <w:t xml:space="preserve">If you are hired after [the first day of school], then it is fully reliant on the school to develop whatever they want to develop for an onboarding plan for the teachers. I think that is an area that could </w:t>
      </w:r>
      <w:proofErr w:type="gramStart"/>
      <w:r w:rsidRPr="008C1E5F">
        <w:t>definitely be</w:t>
      </w:r>
      <w:proofErr w:type="gramEnd"/>
      <w:r w:rsidRPr="008C1E5F">
        <w:t xml:space="preserve"> supported and systematized from the district level, because we [as principals] are just kind of coming up with what</w:t>
      </w:r>
      <w:r w:rsidR="00CA12D4" w:rsidRPr="008C1E5F">
        <w:t>’</w:t>
      </w:r>
      <w:r w:rsidRPr="008C1E5F">
        <w:t>s that onboarding process. And as new people get hired all the time throughout the year, we</w:t>
      </w:r>
      <w:r w:rsidR="00CA12D4" w:rsidRPr="008C1E5F">
        <w:t>’</w:t>
      </w:r>
      <w:r w:rsidRPr="008C1E5F">
        <w:t>re taking them through that process at the school level.</w:t>
      </w:r>
    </w:p>
    <w:p w14:paraId="62F7C2FC" w14:textId="527D204B" w:rsidR="000F10DB" w:rsidRPr="008C1E5F" w:rsidRDefault="000F10DB" w:rsidP="004320EF">
      <w:pPr>
        <w:pStyle w:val="BodyText"/>
      </w:pPr>
      <w:r w:rsidRPr="008C1E5F">
        <w:t xml:space="preserve">In response to this feedback, district leaders noted that this year, Fall River has expanded its established mentorship program, which included a three-day training program for new staff, to occur both at the beginning of the school year </w:t>
      </w:r>
      <w:r w:rsidR="00CA12D4" w:rsidRPr="008C1E5F">
        <w:t>and</w:t>
      </w:r>
      <w:r w:rsidRPr="008C1E5F">
        <w:t xml:space="preserve"> in the middle of the school year to accommodate staff who join the district midyear. District leadership also emphasized that the mentorship program has expanded in recent years to intentionally include a larger number of </w:t>
      </w:r>
      <w:r w:rsidR="008D460E" w:rsidRPr="008C1E5F">
        <w:t>ESL</w:t>
      </w:r>
      <w:r w:rsidRPr="008C1E5F">
        <w:t xml:space="preserve"> and special education teachers</w:t>
      </w:r>
      <w:r w:rsidR="008D460E" w:rsidRPr="008C1E5F">
        <w:t xml:space="preserve"> as mentors</w:t>
      </w:r>
      <w:r w:rsidRPr="008C1E5F">
        <w:t>.</w:t>
      </w:r>
      <w:r w:rsidR="00CF33D8" w:rsidRPr="008C1E5F">
        <w:t xml:space="preserve"> The expansion of this mentoring program to include support for staff who start midyear </w:t>
      </w:r>
      <w:r w:rsidR="006D1CC4" w:rsidRPr="008C1E5F">
        <w:t>is a strength of the district.</w:t>
      </w:r>
    </w:p>
    <w:p w14:paraId="010626EC" w14:textId="5F2D787C" w:rsidR="002B4CEF" w:rsidRPr="008C1E5F" w:rsidRDefault="002B4CEF" w:rsidP="002B4CEF">
      <w:pPr>
        <w:pStyle w:val="Heading3"/>
      </w:pPr>
      <w:bookmarkStart w:id="95" w:name="_Toc195024230"/>
      <w:r w:rsidRPr="008C1E5F">
        <w:t>Recommendations</w:t>
      </w:r>
      <w:bookmarkEnd w:id="95"/>
    </w:p>
    <w:p w14:paraId="640FE2CE" w14:textId="424B35D9" w:rsidR="002B4CEF" w:rsidRPr="00C6450A" w:rsidRDefault="00BE1974" w:rsidP="002B4CEF">
      <w:pPr>
        <w:pStyle w:val="Bullet1"/>
        <w:rPr>
          <w:bCs/>
        </w:rPr>
      </w:pPr>
      <w:r>
        <w:rPr>
          <w:i/>
          <w:iCs/>
        </w:rPr>
        <w:t>The district should establi</w:t>
      </w:r>
      <w:r w:rsidR="00C6450A">
        <w:rPr>
          <w:i/>
          <w:iCs/>
        </w:rPr>
        <w:t xml:space="preserve">sh and document all standard operating procedures and core human resources functions/processes. </w:t>
      </w:r>
    </w:p>
    <w:p w14:paraId="3762F4FD" w14:textId="261F331F" w:rsidR="00C6450A" w:rsidRPr="00C173E5" w:rsidRDefault="00C6450A" w:rsidP="002B4CEF">
      <w:pPr>
        <w:pStyle w:val="Bullet1"/>
        <w:rPr>
          <w:bCs/>
        </w:rPr>
      </w:pPr>
      <w:r>
        <w:rPr>
          <w:i/>
          <w:iCs/>
        </w:rPr>
        <w:t xml:space="preserve">The district should develop </w:t>
      </w:r>
      <w:r w:rsidR="009C32C1">
        <w:rPr>
          <w:i/>
          <w:iCs/>
        </w:rPr>
        <w:t xml:space="preserve">staff recruitment strategies that prioritize </w:t>
      </w:r>
      <w:r w:rsidR="00C173E5">
        <w:rPr>
          <w:i/>
          <w:iCs/>
        </w:rPr>
        <w:t>hiring diverse and effective staff.</w:t>
      </w:r>
    </w:p>
    <w:p w14:paraId="571F2151" w14:textId="1A9D8563" w:rsidR="00C173E5" w:rsidRPr="004A3E9C" w:rsidRDefault="000B42D8" w:rsidP="002B4CEF">
      <w:pPr>
        <w:pStyle w:val="Bullet1"/>
        <w:rPr>
          <w:bCs/>
        </w:rPr>
      </w:pPr>
      <w:r>
        <w:rPr>
          <w:i/>
          <w:iCs/>
        </w:rPr>
        <w:t xml:space="preserve">The district should </w:t>
      </w:r>
      <w:r w:rsidR="00CE0509">
        <w:rPr>
          <w:i/>
          <w:iCs/>
        </w:rPr>
        <w:t>continue exploring</w:t>
      </w:r>
      <w:r w:rsidR="003E3955">
        <w:rPr>
          <w:i/>
          <w:iCs/>
        </w:rPr>
        <w:t xml:space="preserve"> and implementing resources to support staff </w:t>
      </w:r>
      <w:r w:rsidR="00B965C1">
        <w:rPr>
          <w:i/>
          <w:iCs/>
        </w:rPr>
        <w:t>in attaining the appropriate credentials</w:t>
      </w:r>
      <w:r w:rsidR="003E3955">
        <w:rPr>
          <w:i/>
          <w:iCs/>
        </w:rPr>
        <w:t xml:space="preserve"> for their position</w:t>
      </w:r>
      <w:r w:rsidR="00B965C1">
        <w:rPr>
          <w:i/>
          <w:iCs/>
        </w:rPr>
        <w:t>.</w:t>
      </w:r>
    </w:p>
    <w:p w14:paraId="0A31BD5D" w14:textId="1DC50853" w:rsidR="004A3E9C" w:rsidRPr="00C173E5" w:rsidRDefault="004A3E9C" w:rsidP="002B4CEF">
      <w:pPr>
        <w:pStyle w:val="Bullet1"/>
        <w:rPr>
          <w:bCs/>
        </w:rPr>
      </w:pPr>
      <w:r>
        <w:rPr>
          <w:i/>
          <w:iCs/>
        </w:rPr>
        <w:t xml:space="preserve">The district should identify opportunities to shorten </w:t>
      </w:r>
      <w:r w:rsidR="000B382B">
        <w:rPr>
          <w:i/>
          <w:iCs/>
        </w:rPr>
        <w:t xml:space="preserve">the onboarding process for new staff in the district. </w:t>
      </w:r>
      <w:r w:rsidR="00095096">
        <w:rPr>
          <w:i/>
          <w:iCs/>
        </w:rPr>
        <w:t xml:space="preserve"> </w:t>
      </w:r>
    </w:p>
    <w:p w14:paraId="26EEFF90" w14:textId="138D3D85" w:rsidR="00C173E5" w:rsidRPr="00104968" w:rsidRDefault="00C173E5" w:rsidP="002B4CEF">
      <w:pPr>
        <w:pStyle w:val="Bullet1"/>
        <w:rPr>
          <w:bCs/>
        </w:rPr>
      </w:pPr>
      <w:r>
        <w:rPr>
          <w:i/>
          <w:iCs/>
        </w:rPr>
        <w:t xml:space="preserve">The district should </w:t>
      </w:r>
      <w:r w:rsidR="00B3289F">
        <w:rPr>
          <w:i/>
          <w:iCs/>
        </w:rPr>
        <w:t>issue guidance and provide</w:t>
      </w:r>
      <w:r w:rsidR="00104968">
        <w:rPr>
          <w:i/>
          <w:iCs/>
        </w:rPr>
        <w:t xml:space="preserve"> additional</w:t>
      </w:r>
      <w:r w:rsidR="00B3289F">
        <w:rPr>
          <w:i/>
          <w:iCs/>
        </w:rPr>
        <w:t xml:space="preserve"> oversight around administrator evaluation</w:t>
      </w:r>
      <w:r w:rsidR="00E614A4">
        <w:rPr>
          <w:i/>
          <w:iCs/>
        </w:rPr>
        <w:t>s</w:t>
      </w:r>
      <w:r w:rsidR="00B3289F">
        <w:rPr>
          <w:i/>
          <w:iCs/>
        </w:rPr>
        <w:t xml:space="preserve"> to increase the</w:t>
      </w:r>
      <w:r w:rsidR="00104968">
        <w:rPr>
          <w:i/>
          <w:iCs/>
        </w:rPr>
        <w:t xml:space="preserve"> percentage of administrators receiving constructive feedback in their evaluations.</w:t>
      </w:r>
    </w:p>
    <w:p w14:paraId="503657A1" w14:textId="430EDA50" w:rsidR="00104968" w:rsidRDefault="006740FB" w:rsidP="002B4CEF">
      <w:pPr>
        <w:pStyle w:val="Bullet1"/>
        <w:rPr>
          <w:bCs/>
          <w:i/>
          <w:iCs/>
        </w:rPr>
      </w:pPr>
      <w:r w:rsidRPr="00EF4DA8">
        <w:rPr>
          <w:bCs/>
          <w:i/>
          <w:iCs/>
        </w:rPr>
        <w:t xml:space="preserve">The district should </w:t>
      </w:r>
      <w:r w:rsidR="00523E7C">
        <w:rPr>
          <w:bCs/>
          <w:i/>
          <w:iCs/>
        </w:rPr>
        <w:t>develop a comprehensive</w:t>
      </w:r>
      <w:r w:rsidRPr="00EF4DA8">
        <w:rPr>
          <w:bCs/>
          <w:i/>
          <w:iCs/>
        </w:rPr>
        <w:t xml:space="preserve"> strategy for retaining diverse and effective teachers and school leaders. </w:t>
      </w:r>
    </w:p>
    <w:p w14:paraId="698835A0" w14:textId="59EAE3FA" w:rsidR="002F275D" w:rsidRPr="00EF4DA8" w:rsidRDefault="002F275D" w:rsidP="002B4CEF">
      <w:pPr>
        <w:pStyle w:val="Bullet1"/>
        <w:rPr>
          <w:bCs/>
          <w:i/>
          <w:iCs/>
        </w:rPr>
      </w:pPr>
      <w:r>
        <w:rPr>
          <w:bCs/>
          <w:i/>
          <w:iCs/>
        </w:rPr>
        <w:t>The district should</w:t>
      </w:r>
      <w:r w:rsidR="0017097D">
        <w:rPr>
          <w:bCs/>
          <w:i/>
          <w:iCs/>
        </w:rPr>
        <w:t xml:space="preserve"> develop and implement a professional development plan that offers differentiated professional development opportunities and </w:t>
      </w:r>
      <w:r w:rsidR="0022051D">
        <w:rPr>
          <w:bCs/>
          <w:i/>
          <w:iCs/>
        </w:rPr>
        <w:t xml:space="preserve">better supports experienced teachers in growing their practices. </w:t>
      </w:r>
    </w:p>
    <w:p w14:paraId="77600101" w14:textId="77777777" w:rsidR="008D6102" w:rsidRPr="008C1E5F" w:rsidRDefault="008D6102" w:rsidP="008D6102">
      <w:pPr>
        <w:spacing w:line="240" w:lineRule="auto"/>
        <w:rPr>
          <w:bCs/>
        </w:rPr>
      </w:pPr>
      <w:r w:rsidRPr="008C1E5F">
        <w:rPr>
          <w:bCs/>
        </w:rPr>
        <w:br w:type="page"/>
      </w:r>
    </w:p>
    <w:p w14:paraId="3913897C" w14:textId="77777777" w:rsidR="008D6102" w:rsidRPr="008C1E5F" w:rsidRDefault="008D6102" w:rsidP="008D6102">
      <w:pPr>
        <w:pStyle w:val="Heading2"/>
      </w:pPr>
      <w:bookmarkStart w:id="96" w:name="_Student_Support"/>
      <w:bookmarkStart w:id="97" w:name="_Toc101446231"/>
      <w:bookmarkStart w:id="98" w:name="_Toc190886740"/>
      <w:bookmarkStart w:id="99" w:name="_Toc195024231"/>
      <w:bookmarkEnd w:id="96"/>
      <w:r w:rsidRPr="008C1E5F">
        <w:lastRenderedPageBreak/>
        <w:t>Student Support</w:t>
      </w:r>
      <w:bookmarkEnd w:id="97"/>
      <w:bookmarkEnd w:id="98"/>
      <w:bookmarkEnd w:id="99"/>
    </w:p>
    <w:p w14:paraId="4675061C" w14:textId="776967DA" w:rsidR="00E341DA" w:rsidRPr="008C1E5F" w:rsidRDefault="00E341DA" w:rsidP="004320EF">
      <w:pPr>
        <w:pStyle w:val="BodyText"/>
      </w:pPr>
      <w:bookmarkStart w:id="100" w:name="_Toc101446232"/>
      <w:bookmarkEnd w:id="36"/>
      <w:r w:rsidRPr="008C1E5F">
        <w:t>This section focuses on the extent to which the district supports the whole student by creating safe and supportive environments, meeting students’ health and well</w:t>
      </w:r>
      <w:r w:rsidR="003E1C9D" w:rsidRPr="008C1E5F">
        <w:t>-</w:t>
      </w:r>
      <w:r w:rsidRPr="008C1E5F">
        <w:t>being needs, and engaging all families. It also focuses on the extent to which these supports are built on a robust MTSS that flexibly assesses and addresses each student’s academic, social</w:t>
      </w:r>
      <w:r w:rsidR="003E1C9D" w:rsidRPr="008C1E5F">
        <w:t>-</w:t>
      </w:r>
      <w:r w:rsidRPr="008C1E5F">
        <w:t>emotional, and behavioral strengths and needs.</w:t>
      </w:r>
    </w:p>
    <w:p w14:paraId="7355BFE9" w14:textId="21C1FC06" w:rsidR="002C6E1C" w:rsidRPr="008C1E5F" w:rsidRDefault="002C6E1C" w:rsidP="004320EF">
      <w:pPr>
        <w:pStyle w:val="BodyText"/>
      </w:pPr>
      <w:r w:rsidRPr="008C1E5F">
        <w:t xml:space="preserve">Table </w:t>
      </w:r>
      <w:r w:rsidR="008A4888" w:rsidRPr="008C1E5F">
        <w:t>7</w:t>
      </w:r>
      <w:r w:rsidR="009D3EFF" w:rsidRPr="008C1E5F">
        <w:t xml:space="preserve"> </w:t>
      </w:r>
      <w:r w:rsidRPr="008C1E5F">
        <w:t>summarizes key strengths and areas for growth in student support</w:t>
      </w:r>
      <w:r w:rsidR="2A7661CE" w:rsidRPr="008C1E5F">
        <w:t xml:space="preserve"> in Fall River</w:t>
      </w:r>
      <w:r w:rsidRPr="008C1E5F">
        <w:t>.</w:t>
      </w:r>
    </w:p>
    <w:p w14:paraId="0EB4E056" w14:textId="29EE4653" w:rsidR="00B827DE" w:rsidRPr="008C1E5F" w:rsidRDefault="00B827DE" w:rsidP="00B827DE">
      <w:pPr>
        <w:pStyle w:val="TableTitle0"/>
      </w:pPr>
      <w:r w:rsidRPr="008C1E5F">
        <w:t xml:space="preserve">Table </w:t>
      </w:r>
      <w:r w:rsidR="008A4888" w:rsidRPr="008C1E5F">
        <w:t>7</w:t>
      </w:r>
      <w:r w:rsidRPr="008C1E5F">
        <w:t xml:space="preserve">. Summary of </w:t>
      </w:r>
      <w:r w:rsidR="002C6E1C" w:rsidRPr="008C1E5F">
        <w:t xml:space="preserve">Key Strengths </w:t>
      </w:r>
      <w:r w:rsidRPr="008C1E5F">
        <w:t xml:space="preserve">and </w:t>
      </w:r>
      <w:r w:rsidR="002C6E1C" w:rsidRPr="008C1E5F">
        <w:t xml:space="preserve">Areas </w:t>
      </w:r>
      <w:r w:rsidRPr="008C1E5F">
        <w:t xml:space="preserve">for </w:t>
      </w:r>
      <w:r w:rsidR="002C6E1C" w:rsidRPr="008C1E5F">
        <w:t>Growth:</w:t>
      </w:r>
      <w:r w:rsidRPr="008C1E5F">
        <w:t xml:space="preserve"> Student Support</w:t>
      </w:r>
      <w:r w:rsidR="002C6E1C" w:rsidRPr="008C1E5F">
        <w:t xml:space="preserve"> Standard</w:t>
      </w:r>
    </w:p>
    <w:tbl>
      <w:tblPr>
        <w:tblStyle w:val="MSVTable1"/>
        <w:tblW w:w="5000" w:type="pct"/>
        <w:tblLook w:val="04A0" w:firstRow="1" w:lastRow="0" w:firstColumn="1" w:lastColumn="0" w:noHBand="0" w:noVBand="1"/>
      </w:tblPr>
      <w:tblGrid>
        <w:gridCol w:w="1705"/>
        <w:gridCol w:w="3956"/>
        <w:gridCol w:w="3683"/>
      </w:tblGrid>
      <w:tr w:rsidR="00B827DE" w:rsidRPr="008C1E5F" w14:paraId="29A087A1" w14:textId="77777777" w:rsidTr="00B827DE">
        <w:trPr>
          <w:cnfStyle w:val="100000000000" w:firstRow="1" w:lastRow="0" w:firstColumn="0" w:lastColumn="0" w:oddVBand="0" w:evenVBand="0" w:oddHBand="0" w:evenHBand="0" w:firstRowFirstColumn="0" w:firstRowLastColumn="0" w:lastRowFirstColumn="0" w:lastRowLastColumn="0"/>
        </w:trPr>
        <w:tc>
          <w:tcPr>
            <w:tcW w:w="912" w:type="pct"/>
          </w:tcPr>
          <w:p w14:paraId="4C0F0075" w14:textId="77777777" w:rsidR="00B827DE" w:rsidRPr="008C1E5F" w:rsidRDefault="00B827DE" w:rsidP="00B827DE">
            <w:pPr>
              <w:pStyle w:val="TableColHeadingCenter"/>
              <w:rPr>
                <w:bdr w:val="none" w:sz="0" w:space="0" w:color="auto" w:frame="1"/>
              </w:rPr>
            </w:pPr>
            <w:r w:rsidRPr="008C1E5F">
              <w:rPr>
                <w:bdr w:val="none" w:sz="0" w:space="0" w:color="auto" w:frame="1"/>
              </w:rPr>
              <w:t>Indicator</w:t>
            </w:r>
          </w:p>
        </w:tc>
        <w:tc>
          <w:tcPr>
            <w:tcW w:w="2117" w:type="pct"/>
          </w:tcPr>
          <w:p w14:paraId="769171B3" w14:textId="77777777" w:rsidR="00B827DE" w:rsidRPr="008C1E5F" w:rsidRDefault="00B827DE" w:rsidP="00B827DE">
            <w:pPr>
              <w:pStyle w:val="TableColHeadingCenter"/>
              <w:rPr>
                <w:bdr w:val="none" w:sz="0" w:space="0" w:color="auto" w:frame="1"/>
              </w:rPr>
            </w:pPr>
            <w:r w:rsidRPr="008C1E5F">
              <w:rPr>
                <w:bdr w:val="none" w:sz="0" w:space="0" w:color="auto" w:frame="1"/>
              </w:rPr>
              <w:t>Strengths</w:t>
            </w:r>
          </w:p>
        </w:tc>
        <w:tc>
          <w:tcPr>
            <w:tcW w:w="1971" w:type="pct"/>
          </w:tcPr>
          <w:p w14:paraId="44C3E121" w14:textId="17C71646" w:rsidR="00B827DE" w:rsidRPr="008C1E5F" w:rsidRDefault="00B827DE" w:rsidP="00B827DE">
            <w:pPr>
              <w:pStyle w:val="TableColHeadingCenter"/>
              <w:rPr>
                <w:bdr w:val="none" w:sz="0" w:space="0" w:color="auto" w:frame="1"/>
              </w:rPr>
            </w:pPr>
            <w:r w:rsidRPr="008C1E5F">
              <w:rPr>
                <w:bdr w:val="none" w:sz="0" w:space="0" w:color="auto" w:frame="1"/>
              </w:rPr>
              <w:t xml:space="preserve">Areas for </w:t>
            </w:r>
            <w:r w:rsidR="002C6E1C" w:rsidRPr="008C1E5F">
              <w:rPr>
                <w:bdr w:val="none" w:sz="0" w:space="0" w:color="auto" w:frame="1"/>
              </w:rPr>
              <w:t>growth</w:t>
            </w:r>
          </w:p>
        </w:tc>
      </w:tr>
      <w:tr w:rsidR="00B827DE" w:rsidRPr="008C1E5F" w14:paraId="192A22C5" w14:textId="77777777" w:rsidTr="00B827DE">
        <w:trPr>
          <w:cnfStyle w:val="000000100000" w:firstRow="0" w:lastRow="0" w:firstColumn="0" w:lastColumn="0" w:oddVBand="0" w:evenVBand="0" w:oddHBand="1" w:evenHBand="0" w:firstRowFirstColumn="0" w:firstRowLastColumn="0" w:lastRowFirstColumn="0" w:lastRowLastColumn="0"/>
        </w:trPr>
        <w:tc>
          <w:tcPr>
            <w:tcW w:w="912" w:type="pct"/>
          </w:tcPr>
          <w:p w14:paraId="0E8000C3" w14:textId="45AC57BD" w:rsidR="00B827DE" w:rsidRPr="008C1E5F" w:rsidRDefault="00B827DE" w:rsidP="005D13E7">
            <w:pPr>
              <w:pStyle w:val="TableSubheading"/>
              <w:rPr>
                <w:bdr w:val="none" w:sz="0" w:space="0" w:color="auto" w:frame="1"/>
              </w:rPr>
            </w:pPr>
            <w:hyperlink w:anchor="_Safe_and_Supportive" w:history="1">
              <w:r w:rsidRPr="008C1E5F">
                <w:rPr>
                  <w:rStyle w:val="Hyperlink"/>
                  <w:bdr w:val="none" w:sz="0" w:space="0" w:color="auto" w:frame="1"/>
                </w:rPr>
                <w:t xml:space="preserve">Safe and </w:t>
              </w:r>
              <w:r w:rsidR="008E78FB" w:rsidRPr="008C1E5F">
                <w:rPr>
                  <w:rStyle w:val="Hyperlink"/>
                  <w:bdr w:val="none" w:sz="0" w:space="0" w:color="auto" w:frame="1"/>
                </w:rPr>
                <w:t>S</w:t>
              </w:r>
              <w:r w:rsidRPr="008C1E5F">
                <w:rPr>
                  <w:rStyle w:val="Hyperlink"/>
                  <w:bdr w:val="none" w:sz="0" w:space="0" w:color="auto" w:frame="1"/>
                </w:rPr>
                <w:t xml:space="preserve">upportive </w:t>
              </w:r>
              <w:r w:rsidR="008E78FB" w:rsidRPr="008C1E5F">
                <w:rPr>
                  <w:rStyle w:val="Hyperlink"/>
                  <w:bdr w:val="none" w:sz="0" w:space="0" w:color="auto" w:frame="1"/>
                </w:rPr>
                <w:t>S</w:t>
              </w:r>
              <w:r w:rsidRPr="008C1E5F">
                <w:rPr>
                  <w:rStyle w:val="Hyperlink"/>
                  <w:bdr w:val="none" w:sz="0" w:space="0" w:color="auto" w:frame="1"/>
                </w:rPr>
                <w:t xml:space="preserve">chool </w:t>
              </w:r>
              <w:r w:rsidR="008E78FB" w:rsidRPr="008C1E5F">
                <w:rPr>
                  <w:rStyle w:val="Hyperlink"/>
                  <w:bdr w:val="none" w:sz="0" w:space="0" w:color="auto" w:frame="1"/>
                </w:rPr>
                <w:t>C</w:t>
              </w:r>
              <w:r w:rsidRPr="008C1E5F">
                <w:rPr>
                  <w:rStyle w:val="Hyperlink"/>
                  <w:bdr w:val="none" w:sz="0" w:space="0" w:color="auto" w:frame="1"/>
                </w:rPr>
                <w:t xml:space="preserve">limate and </w:t>
              </w:r>
              <w:r w:rsidR="008E78FB" w:rsidRPr="008C1E5F">
                <w:rPr>
                  <w:rStyle w:val="Hyperlink"/>
                  <w:bdr w:val="none" w:sz="0" w:space="0" w:color="auto" w:frame="1"/>
                </w:rPr>
                <w:t>C</w:t>
              </w:r>
              <w:r w:rsidRPr="008C1E5F">
                <w:rPr>
                  <w:rStyle w:val="Hyperlink"/>
                  <w:bdr w:val="none" w:sz="0" w:space="0" w:color="auto" w:frame="1"/>
                </w:rPr>
                <w:t>ulture</w:t>
              </w:r>
            </w:hyperlink>
          </w:p>
        </w:tc>
        <w:tc>
          <w:tcPr>
            <w:tcW w:w="2117" w:type="pct"/>
          </w:tcPr>
          <w:p w14:paraId="3201F345" w14:textId="77777777" w:rsidR="00E7426C" w:rsidRPr="008C1E5F" w:rsidRDefault="00501F05" w:rsidP="007D69BA">
            <w:pPr>
              <w:pStyle w:val="TableBullet1"/>
              <w:rPr>
                <w:bdr w:val="none" w:sz="0" w:space="0" w:color="auto" w:frame="1"/>
              </w:rPr>
            </w:pPr>
            <w:r w:rsidRPr="008C1E5F">
              <w:rPr>
                <w:bdr w:val="none" w:sz="0" w:space="0" w:color="auto" w:frame="1"/>
              </w:rPr>
              <w:t>At the high school level, supports are available for students struggling with substance abuse.</w:t>
            </w:r>
          </w:p>
          <w:p w14:paraId="132C8480" w14:textId="68A37404" w:rsidR="00B827DE" w:rsidRPr="008C1E5F" w:rsidRDefault="000C09EB" w:rsidP="007D69BA">
            <w:pPr>
              <w:pStyle w:val="TableBullet1"/>
              <w:rPr>
                <w:bdr w:val="none" w:sz="0" w:space="0" w:color="auto" w:frame="1"/>
              </w:rPr>
            </w:pPr>
            <w:r w:rsidRPr="008C1E5F">
              <w:rPr>
                <w:bdr w:val="none" w:sz="0" w:space="0" w:color="auto" w:frame="1"/>
              </w:rPr>
              <w:t>The district has a robust approach to address</w:t>
            </w:r>
            <w:r w:rsidR="00FE67E4" w:rsidRPr="008C1E5F">
              <w:rPr>
                <w:bdr w:val="none" w:sz="0" w:space="0" w:color="auto" w:frame="1"/>
              </w:rPr>
              <w:t>ing</w:t>
            </w:r>
            <w:r w:rsidRPr="008C1E5F">
              <w:rPr>
                <w:bdr w:val="none" w:sz="0" w:space="0" w:color="auto" w:frame="1"/>
              </w:rPr>
              <w:t xml:space="preserve"> student absenteeism</w:t>
            </w:r>
            <w:r w:rsidR="00ED00EE" w:rsidRPr="008C1E5F">
              <w:rPr>
                <w:bdr w:val="none" w:sz="0" w:space="0" w:color="auto" w:frame="1"/>
              </w:rPr>
              <w:t>.</w:t>
            </w:r>
            <w:r w:rsidRPr="008C1E5F">
              <w:rPr>
                <w:bdr w:val="none" w:sz="0" w:space="0" w:color="auto" w:frame="1"/>
              </w:rPr>
              <w:t xml:space="preserve"> </w:t>
            </w:r>
          </w:p>
        </w:tc>
        <w:tc>
          <w:tcPr>
            <w:tcW w:w="1971" w:type="pct"/>
          </w:tcPr>
          <w:p w14:paraId="2DE3D9E0" w14:textId="0B22B792" w:rsidR="00B827DE" w:rsidRPr="008C1E5F" w:rsidRDefault="000C09EB" w:rsidP="007D69BA">
            <w:pPr>
              <w:pStyle w:val="TableBullet1"/>
              <w:rPr>
                <w:bCs/>
                <w:bdr w:val="none" w:sz="0" w:space="0" w:color="auto" w:frame="1"/>
              </w:rPr>
            </w:pPr>
            <w:r w:rsidRPr="008C1E5F">
              <w:rPr>
                <w:bCs/>
                <w:bdr w:val="none" w:sz="0" w:space="0" w:color="auto" w:frame="1"/>
              </w:rPr>
              <w:t xml:space="preserve">Creating opportunities for </w:t>
            </w:r>
            <w:r w:rsidR="009D7F91">
              <w:rPr>
                <w:bCs/>
                <w:bdr w:val="none" w:sz="0" w:space="0" w:color="auto" w:frame="1"/>
              </w:rPr>
              <w:t xml:space="preserve">the </w:t>
            </w:r>
            <w:r w:rsidRPr="008C1E5F">
              <w:rPr>
                <w:bCs/>
                <w:bdr w:val="none" w:sz="0" w:space="0" w:color="auto" w:frame="1"/>
              </w:rPr>
              <w:t>student</w:t>
            </w:r>
            <w:r w:rsidR="00D255EB" w:rsidRPr="008C1E5F">
              <w:rPr>
                <w:bCs/>
                <w:bdr w:val="none" w:sz="0" w:space="0" w:color="auto" w:frame="1"/>
              </w:rPr>
              <w:t xml:space="preserve"> representative</w:t>
            </w:r>
            <w:r w:rsidRPr="008C1E5F">
              <w:rPr>
                <w:bCs/>
                <w:bdr w:val="none" w:sz="0" w:space="0" w:color="auto" w:frame="1"/>
              </w:rPr>
              <w:t xml:space="preserve"> to exercise voice and leadership </w:t>
            </w:r>
            <w:r w:rsidR="00D255EB" w:rsidRPr="008C1E5F">
              <w:rPr>
                <w:bCs/>
                <w:bdr w:val="none" w:sz="0" w:space="0" w:color="auto" w:frame="1"/>
              </w:rPr>
              <w:t xml:space="preserve">on the school committee </w:t>
            </w:r>
          </w:p>
        </w:tc>
      </w:tr>
      <w:tr w:rsidR="008E78FB" w:rsidRPr="008C1E5F" w14:paraId="1CE8C21F" w14:textId="77777777" w:rsidTr="00B827DE">
        <w:tc>
          <w:tcPr>
            <w:tcW w:w="912" w:type="pct"/>
          </w:tcPr>
          <w:p w14:paraId="2F6553E8" w14:textId="53DB2194" w:rsidR="008E78FB" w:rsidRPr="008C1E5F" w:rsidRDefault="008E78FB" w:rsidP="005D13E7">
            <w:pPr>
              <w:pStyle w:val="TableSubheading"/>
            </w:pPr>
            <w:hyperlink w:anchor="_Tiered_Systems_of" w:history="1">
              <w:r w:rsidRPr="008C1E5F">
                <w:rPr>
                  <w:rStyle w:val="Hyperlink"/>
                </w:rPr>
                <w:t>Health and Well</w:t>
              </w:r>
              <w:r w:rsidR="003E1C9D" w:rsidRPr="008C1E5F">
                <w:rPr>
                  <w:rStyle w:val="Hyperlink"/>
                </w:rPr>
                <w:t>-</w:t>
              </w:r>
              <w:r w:rsidRPr="008C1E5F">
                <w:rPr>
                  <w:rStyle w:val="Hyperlink"/>
                </w:rPr>
                <w:t>being</w:t>
              </w:r>
            </w:hyperlink>
          </w:p>
        </w:tc>
        <w:tc>
          <w:tcPr>
            <w:tcW w:w="2117" w:type="pct"/>
          </w:tcPr>
          <w:p w14:paraId="7C3A52AD" w14:textId="68272DF9" w:rsidR="004B4F33" w:rsidRPr="008C1E5F" w:rsidRDefault="004B4F33" w:rsidP="007D69BA">
            <w:pPr>
              <w:pStyle w:val="TableBullet1"/>
              <w:rPr>
                <w:bdr w:val="none" w:sz="0" w:space="0" w:color="auto" w:frame="1"/>
              </w:rPr>
            </w:pPr>
            <w:r w:rsidRPr="008C1E5F">
              <w:rPr>
                <w:bdr w:val="none" w:sz="0" w:space="0" w:color="auto" w:frame="1"/>
              </w:rPr>
              <w:t xml:space="preserve">The district offers </w:t>
            </w:r>
            <w:r w:rsidR="003E1C9D" w:rsidRPr="008C1E5F">
              <w:rPr>
                <w:bdr w:val="none" w:sz="0" w:space="0" w:color="auto" w:frame="1"/>
              </w:rPr>
              <w:t xml:space="preserve">all students </w:t>
            </w:r>
            <w:r w:rsidR="0083682D" w:rsidRPr="008C1E5F">
              <w:rPr>
                <w:bdr w:val="none" w:sz="0" w:space="0" w:color="auto" w:frame="1"/>
              </w:rPr>
              <w:t xml:space="preserve">a variety of </w:t>
            </w:r>
            <w:r w:rsidRPr="008C1E5F">
              <w:rPr>
                <w:bdr w:val="none" w:sz="0" w:space="0" w:color="auto" w:frame="1"/>
              </w:rPr>
              <w:t>health and physical education, aligned with the Massachusetts Comprehensive Health and Physical Education Frameworks.</w:t>
            </w:r>
          </w:p>
          <w:p w14:paraId="5D50A4F9" w14:textId="421B89E4" w:rsidR="000C09EB" w:rsidRPr="008C1E5F" w:rsidRDefault="00E166DA" w:rsidP="00E166DA">
            <w:pPr>
              <w:pStyle w:val="TableBullet1"/>
              <w:rPr>
                <w:bdr w:val="none" w:sz="0" w:space="0" w:color="auto" w:frame="1"/>
              </w:rPr>
            </w:pPr>
            <w:r w:rsidRPr="008C1E5F">
              <w:rPr>
                <w:bdr w:val="none" w:sz="0" w:space="0" w:color="auto" w:frame="1"/>
              </w:rPr>
              <w:t xml:space="preserve">The district </w:t>
            </w:r>
            <w:r w:rsidRPr="008C1E5F">
              <w:t xml:space="preserve">uses a variety of tools and screeners to identify students </w:t>
            </w:r>
            <w:r w:rsidR="003E1C9D" w:rsidRPr="008C1E5F">
              <w:t>who have</w:t>
            </w:r>
            <w:r w:rsidRPr="008C1E5F">
              <w:t xml:space="preserve"> behavioral and mental health concerns. </w:t>
            </w:r>
          </w:p>
        </w:tc>
        <w:tc>
          <w:tcPr>
            <w:tcW w:w="1971" w:type="pct"/>
          </w:tcPr>
          <w:p w14:paraId="79D5DF69" w14:textId="4BA40F29" w:rsidR="008E78FB" w:rsidRPr="008C1E5F" w:rsidRDefault="008E78FB" w:rsidP="0055634C">
            <w:pPr>
              <w:pStyle w:val="TableBullet1"/>
              <w:numPr>
                <w:ilvl w:val="0"/>
                <w:numId w:val="0"/>
              </w:numPr>
              <w:ind w:left="360"/>
              <w:rPr>
                <w:bCs/>
                <w:bdr w:val="none" w:sz="0" w:space="0" w:color="auto" w:frame="1"/>
              </w:rPr>
            </w:pPr>
          </w:p>
        </w:tc>
      </w:tr>
      <w:tr w:rsidR="000B782E" w:rsidRPr="008C1E5F" w14:paraId="56DC2E99" w14:textId="77777777">
        <w:trPr>
          <w:cnfStyle w:val="000000100000" w:firstRow="0" w:lastRow="0" w:firstColumn="0" w:lastColumn="0" w:oddVBand="0" w:evenVBand="0" w:oddHBand="1" w:evenHBand="0" w:firstRowFirstColumn="0" w:firstRowLastColumn="0" w:lastRowFirstColumn="0" w:lastRowLastColumn="0"/>
        </w:trPr>
        <w:tc>
          <w:tcPr>
            <w:tcW w:w="912" w:type="pct"/>
          </w:tcPr>
          <w:p w14:paraId="3DCA32C2" w14:textId="54CAAD15" w:rsidR="000B782E" w:rsidRPr="008C1E5F" w:rsidRDefault="000B782E">
            <w:pPr>
              <w:pStyle w:val="TableSubheading"/>
              <w:rPr>
                <w:bdr w:val="none" w:sz="0" w:space="0" w:color="auto" w:frame="1"/>
              </w:rPr>
            </w:pPr>
            <w:hyperlink w:anchor="_Family_and_Community" w:history="1">
              <w:r w:rsidRPr="008C1E5F">
                <w:rPr>
                  <w:rStyle w:val="Hyperlink"/>
                  <w:bdr w:val="none" w:sz="0" w:space="0" w:color="auto" w:frame="1"/>
                </w:rPr>
                <w:t>Family and Community Partnerships</w:t>
              </w:r>
            </w:hyperlink>
          </w:p>
        </w:tc>
        <w:tc>
          <w:tcPr>
            <w:tcW w:w="2117" w:type="pct"/>
          </w:tcPr>
          <w:p w14:paraId="5C0AC3AC" w14:textId="564738E4" w:rsidR="00AC6547" w:rsidRDefault="000C09EB" w:rsidP="00AC6547">
            <w:pPr>
              <w:pStyle w:val="TableBullet1"/>
              <w:rPr>
                <w:bdr w:val="none" w:sz="0" w:space="0" w:color="auto" w:frame="1"/>
              </w:rPr>
            </w:pPr>
            <w:r w:rsidRPr="008C1E5F">
              <w:rPr>
                <w:bdr w:val="none" w:sz="0" w:space="0" w:color="auto" w:frame="1"/>
              </w:rPr>
              <w:t>Each school has a community liaison</w:t>
            </w:r>
            <w:r w:rsidR="009C360B" w:rsidRPr="008C1E5F">
              <w:rPr>
                <w:bdr w:val="none" w:sz="0" w:space="0" w:color="auto" w:frame="1"/>
              </w:rPr>
              <w:t xml:space="preserve"> who </w:t>
            </w:r>
            <w:r w:rsidR="005E213A" w:rsidRPr="008C1E5F">
              <w:rPr>
                <w:bdr w:val="none" w:sz="0" w:space="0" w:color="auto" w:frame="1"/>
              </w:rPr>
              <w:t xml:space="preserve">is responsible for </w:t>
            </w:r>
            <w:r w:rsidR="00AC6547" w:rsidRPr="008C1E5F">
              <w:rPr>
                <w:bdr w:val="none" w:sz="0" w:space="0" w:color="auto" w:frame="1"/>
              </w:rPr>
              <w:t>maintaining community partnerships and assisting families in accessing resources</w:t>
            </w:r>
            <w:r w:rsidR="007E0170">
              <w:rPr>
                <w:bdr w:val="none" w:sz="0" w:space="0" w:color="auto" w:frame="1"/>
              </w:rPr>
              <w:t>.</w:t>
            </w:r>
          </w:p>
          <w:p w14:paraId="110A16EB" w14:textId="3AC58EC3" w:rsidR="00AC6547" w:rsidRPr="008C1E5F" w:rsidRDefault="00C32331" w:rsidP="00AC6547">
            <w:pPr>
              <w:pStyle w:val="TableBullet1"/>
              <w:rPr>
                <w:bdr w:val="none" w:sz="0" w:space="0" w:color="auto" w:frame="1"/>
              </w:rPr>
            </w:pPr>
            <w:r w:rsidRPr="008C1E5F">
              <w:t>The district</w:t>
            </w:r>
            <w:r>
              <w:t xml:space="preserve"> partners </w:t>
            </w:r>
            <w:r w:rsidRPr="008C1E5F">
              <w:t xml:space="preserve">with </w:t>
            </w:r>
            <w:r>
              <w:t xml:space="preserve">various </w:t>
            </w:r>
            <w:r w:rsidRPr="008C1E5F">
              <w:t xml:space="preserve">community </w:t>
            </w:r>
            <w:proofErr w:type="gramStart"/>
            <w:r w:rsidRPr="008C1E5F">
              <w:t>organizations,</w:t>
            </w:r>
            <w:proofErr w:type="gramEnd"/>
            <w:r w:rsidRPr="008C1E5F">
              <w:t xml:space="preserve"> proactive</w:t>
            </w:r>
            <w:r>
              <w:t xml:space="preserve">ly connects families with these </w:t>
            </w:r>
            <w:r w:rsidRPr="008C1E5F">
              <w:t>support</w:t>
            </w:r>
            <w:r>
              <w:t>s</w:t>
            </w:r>
            <w:r w:rsidRPr="008C1E5F">
              <w:t>, and annual</w:t>
            </w:r>
            <w:r>
              <w:t>ly</w:t>
            </w:r>
            <w:r w:rsidRPr="008C1E5F">
              <w:t xml:space="preserve"> review</w:t>
            </w:r>
            <w:r>
              <w:t>s</w:t>
            </w:r>
            <w:r w:rsidRPr="008C1E5F">
              <w:t xml:space="preserve"> </w:t>
            </w:r>
            <w:r>
              <w:t>each</w:t>
            </w:r>
            <w:r w:rsidRPr="008C1E5F">
              <w:t xml:space="preserve"> partnership </w:t>
            </w:r>
            <w:r>
              <w:t xml:space="preserve">to ensure </w:t>
            </w:r>
            <w:r w:rsidR="00C67245">
              <w:t>meeting needs</w:t>
            </w:r>
            <w:r w:rsidRPr="008C1E5F">
              <w:t xml:space="preserve"> as intended</w:t>
            </w:r>
            <w:r>
              <w:t xml:space="preserve">. </w:t>
            </w:r>
          </w:p>
        </w:tc>
        <w:tc>
          <w:tcPr>
            <w:tcW w:w="1971" w:type="pct"/>
          </w:tcPr>
          <w:p w14:paraId="4B1DF210" w14:textId="1A007F36" w:rsidR="000B782E" w:rsidRPr="008C1E5F" w:rsidRDefault="00B82DD5" w:rsidP="008C26EB">
            <w:pPr>
              <w:pStyle w:val="TableBullet1"/>
              <w:rPr>
                <w:bCs/>
                <w:bdr w:val="none" w:sz="0" w:space="0" w:color="auto" w:frame="1"/>
              </w:rPr>
            </w:pPr>
            <w:r w:rsidRPr="008C1E5F">
              <w:rPr>
                <w:bCs/>
                <w:bdr w:val="none" w:sz="0" w:space="0" w:color="auto" w:frame="1"/>
              </w:rPr>
              <w:t>Building the S</w:t>
            </w:r>
            <w:r w:rsidR="00BD3A78">
              <w:rPr>
                <w:bCs/>
                <w:bdr w:val="none" w:sz="0" w:space="0" w:color="auto" w:frame="1"/>
              </w:rPr>
              <w:t xml:space="preserve">pecial </w:t>
            </w:r>
            <w:r w:rsidRPr="008C1E5F">
              <w:rPr>
                <w:bCs/>
                <w:bdr w:val="none" w:sz="0" w:space="0" w:color="auto" w:frame="1"/>
              </w:rPr>
              <w:t>E</w:t>
            </w:r>
            <w:r w:rsidR="00BD3A78">
              <w:rPr>
                <w:bCs/>
                <w:bdr w:val="none" w:sz="0" w:space="0" w:color="auto" w:frame="1"/>
              </w:rPr>
              <w:t xml:space="preserve">ducation </w:t>
            </w:r>
            <w:r w:rsidRPr="008C1E5F">
              <w:rPr>
                <w:bCs/>
                <w:bdr w:val="none" w:sz="0" w:space="0" w:color="auto" w:frame="1"/>
              </w:rPr>
              <w:t>P</w:t>
            </w:r>
            <w:r w:rsidR="00BD3A78">
              <w:rPr>
                <w:bCs/>
                <w:bdr w:val="none" w:sz="0" w:space="0" w:color="auto" w:frame="1"/>
              </w:rPr>
              <w:t xml:space="preserve">arent </w:t>
            </w:r>
            <w:r w:rsidRPr="008C1E5F">
              <w:rPr>
                <w:bCs/>
                <w:bdr w:val="none" w:sz="0" w:space="0" w:color="auto" w:frame="1"/>
              </w:rPr>
              <w:t>A</w:t>
            </w:r>
            <w:r w:rsidR="00BD3A78">
              <w:rPr>
                <w:bCs/>
                <w:bdr w:val="none" w:sz="0" w:space="0" w:color="auto" w:frame="1"/>
              </w:rPr>
              <w:t xml:space="preserve">dvisory </w:t>
            </w:r>
            <w:r w:rsidRPr="008C1E5F">
              <w:rPr>
                <w:bCs/>
                <w:bdr w:val="none" w:sz="0" w:space="0" w:color="auto" w:frame="1"/>
              </w:rPr>
              <w:t>C</w:t>
            </w:r>
            <w:r w:rsidR="00BD3A78">
              <w:rPr>
                <w:bCs/>
                <w:bdr w:val="none" w:sz="0" w:space="0" w:color="auto" w:frame="1"/>
              </w:rPr>
              <w:t>ouncil (SEPAC)</w:t>
            </w:r>
            <w:r w:rsidRPr="008C1E5F">
              <w:rPr>
                <w:bCs/>
                <w:bdr w:val="none" w:sz="0" w:space="0" w:color="auto" w:frame="1"/>
              </w:rPr>
              <w:t xml:space="preserve"> and </w:t>
            </w:r>
            <w:r w:rsidR="00BD3A78">
              <w:rPr>
                <w:bCs/>
                <w:bdr w:val="none" w:sz="0" w:space="0" w:color="auto" w:frame="1"/>
              </w:rPr>
              <w:t xml:space="preserve">English Learner </w:t>
            </w:r>
            <w:r w:rsidR="00BD3A78" w:rsidRPr="008C1E5F">
              <w:rPr>
                <w:bCs/>
                <w:bdr w:val="none" w:sz="0" w:space="0" w:color="auto" w:frame="1"/>
              </w:rPr>
              <w:t>P</w:t>
            </w:r>
            <w:r w:rsidR="00BD3A78">
              <w:rPr>
                <w:bCs/>
                <w:bdr w:val="none" w:sz="0" w:space="0" w:color="auto" w:frame="1"/>
              </w:rPr>
              <w:t xml:space="preserve">arent </w:t>
            </w:r>
            <w:r w:rsidR="00BD3A78" w:rsidRPr="008C1E5F">
              <w:rPr>
                <w:bCs/>
                <w:bdr w:val="none" w:sz="0" w:space="0" w:color="auto" w:frame="1"/>
              </w:rPr>
              <w:t>A</w:t>
            </w:r>
            <w:r w:rsidR="00BD3A78">
              <w:rPr>
                <w:bCs/>
                <w:bdr w:val="none" w:sz="0" w:space="0" w:color="auto" w:frame="1"/>
              </w:rPr>
              <w:t xml:space="preserve">dvisory </w:t>
            </w:r>
            <w:r w:rsidR="00BD3A78" w:rsidRPr="008C1E5F">
              <w:rPr>
                <w:bCs/>
                <w:bdr w:val="none" w:sz="0" w:space="0" w:color="auto" w:frame="1"/>
              </w:rPr>
              <w:t>C</w:t>
            </w:r>
            <w:r w:rsidR="00BD3A78">
              <w:rPr>
                <w:bCs/>
                <w:bdr w:val="none" w:sz="0" w:space="0" w:color="auto" w:frame="1"/>
              </w:rPr>
              <w:t>ouncil (</w:t>
            </w:r>
            <w:r w:rsidRPr="008C1E5F">
              <w:rPr>
                <w:bCs/>
                <w:bdr w:val="none" w:sz="0" w:space="0" w:color="auto" w:frame="1"/>
              </w:rPr>
              <w:t>ELPAC</w:t>
            </w:r>
            <w:r w:rsidR="00BD3A78">
              <w:rPr>
                <w:bCs/>
                <w:bdr w:val="none" w:sz="0" w:space="0" w:color="auto" w:frame="1"/>
              </w:rPr>
              <w:t>)</w:t>
            </w:r>
            <w:r w:rsidRPr="008C1E5F">
              <w:rPr>
                <w:bCs/>
                <w:bdr w:val="none" w:sz="0" w:space="0" w:color="auto" w:frame="1"/>
              </w:rPr>
              <w:t xml:space="preserve"> to be </w:t>
            </w:r>
            <w:r w:rsidR="00570BA2" w:rsidRPr="008C1E5F">
              <w:rPr>
                <w:bCs/>
                <w:bdr w:val="none" w:sz="0" w:space="0" w:color="auto" w:frame="1"/>
              </w:rPr>
              <w:t xml:space="preserve">useful </w:t>
            </w:r>
            <w:r w:rsidR="004B3469">
              <w:rPr>
                <w:bCs/>
                <w:bdr w:val="none" w:sz="0" w:space="0" w:color="auto" w:frame="1"/>
              </w:rPr>
              <w:t>district</w:t>
            </w:r>
            <w:r w:rsidR="00570BA2" w:rsidRPr="008C1E5F">
              <w:rPr>
                <w:bCs/>
                <w:bdr w:val="none" w:sz="0" w:space="0" w:color="auto" w:frame="1"/>
              </w:rPr>
              <w:t xml:space="preserve"> supports for </w:t>
            </w:r>
            <w:r w:rsidR="008C26EB" w:rsidRPr="008C1E5F">
              <w:rPr>
                <w:bCs/>
                <w:bdr w:val="none" w:sz="0" w:space="0" w:color="auto" w:frame="1"/>
              </w:rPr>
              <w:t>parents</w:t>
            </w:r>
          </w:p>
        </w:tc>
      </w:tr>
      <w:tr w:rsidR="00B827DE" w:rsidRPr="008C1E5F" w14:paraId="491E4833" w14:textId="77777777" w:rsidTr="00B827DE">
        <w:tc>
          <w:tcPr>
            <w:tcW w:w="912" w:type="pct"/>
          </w:tcPr>
          <w:p w14:paraId="0084A27B" w14:textId="3585C0E7" w:rsidR="00B827DE" w:rsidRPr="008C1E5F" w:rsidRDefault="000B782E" w:rsidP="005D13E7">
            <w:pPr>
              <w:pStyle w:val="TableSubheading"/>
              <w:rPr>
                <w:bdr w:val="none" w:sz="0" w:space="0" w:color="auto" w:frame="1"/>
              </w:rPr>
            </w:pPr>
            <w:hyperlink w:anchor="_Multi-Tiered_Systems_of" w:history="1">
              <w:r w:rsidRPr="008C1E5F">
                <w:rPr>
                  <w:rStyle w:val="Hyperlink"/>
                  <w:bdr w:val="none" w:sz="0" w:space="0" w:color="auto" w:frame="1"/>
                </w:rPr>
                <w:t>Multi</w:t>
              </w:r>
              <w:r w:rsidR="00D3572F" w:rsidRPr="008C1E5F">
                <w:rPr>
                  <w:rStyle w:val="Hyperlink"/>
                  <w:bdr w:val="none" w:sz="0" w:space="0" w:color="auto" w:frame="1"/>
                </w:rPr>
                <w:t>t</w:t>
              </w:r>
              <w:r w:rsidR="00B827DE" w:rsidRPr="008C1E5F">
                <w:rPr>
                  <w:rStyle w:val="Hyperlink"/>
                  <w:bdr w:val="none" w:sz="0" w:space="0" w:color="auto" w:frame="1"/>
                </w:rPr>
                <w:t xml:space="preserve">iered </w:t>
              </w:r>
              <w:r w:rsidR="006F4231" w:rsidRPr="008C1E5F">
                <w:rPr>
                  <w:rStyle w:val="Hyperlink"/>
                  <w:bdr w:val="none" w:sz="0" w:space="0" w:color="auto" w:frame="1"/>
                </w:rPr>
                <w:t>S</w:t>
              </w:r>
              <w:r w:rsidR="00B827DE" w:rsidRPr="008C1E5F">
                <w:rPr>
                  <w:rStyle w:val="Hyperlink"/>
                  <w:bdr w:val="none" w:sz="0" w:space="0" w:color="auto" w:frame="1"/>
                </w:rPr>
                <w:t xml:space="preserve">ystems of </w:t>
              </w:r>
              <w:r w:rsidR="006F4231" w:rsidRPr="008C1E5F">
                <w:rPr>
                  <w:rStyle w:val="Hyperlink"/>
                  <w:bdr w:val="none" w:sz="0" w:space="0" w:color="auto" w:frame="1"/>
                </w:rPr>
                <w:t>S</w:t>
              </w:r>
              <w:r w:rsidR="00B827DE" w:rsidRPr="008C1E5F">
                <w:rPr>
                  <w:rStyle w:val="Hyperlink"/>
                  <w:bdr w:val="none" w:sz="0" w:space="0" w:color="auto" w:frame="1"/>
                </w:rPr>
                <w:t>upport</w:t>
              </w:r>
              <w:r w:rsidR="006F4231" w:rsidRPr="008C1E5F">
                <w:rPr>
                  <w:rStyle w:val="Hyperlink"/>
                  <w:bdr w:val="none" w:sz="0" w:space="0" w:color="auto" w:frame="1"/>
                </w:rPr>
                <w:t xml:space="preserve"> (MTSS)</w:t>
              </w:r>
            </w:hyperlink>
          </w:p>
        </w:tc>
        <w:tc>
          <w:tcPr>
            <w:tcW w:w="2117" w:type="pct"/>
          </w:tcPr>
          <w:p w14:paraId="16CFD9B2" w14:textId="13FE30CA" w:rsidR="00B827DE" w:rsidRPr="008C1E5F" w:rsidRDefault="005B4F99" w:rsidP="007D69BA">
            <w:pPr>
              <w:pStyle w:val="TableBullet1"/>
              <w:rPr>
                <w:bdr w:val="none" w:sz="0" w:space="0" w:color="auto" w:frame="1"/>
              </w:rPr>
            </w:pPr>
            <w:r w:rsidRPr="008C1E5F">
              <w:t xml:space="preserve">The strategic utilization of grants to improve MTSS processes at schools </w:t>
            </w:r>
            <w:r w:rsidR="00E5038E" w:rsidRPr="008C1E5F">
              <w:rPr>
                <w:bdr w:val="none" w:sz="0" w:space="0" w:color="auto" w:frame="1"/>
              </w:rPr>
              <w:t>across the district.</w:t>
            </w:r>
          </w:p>
          <w:p w14:paraId="7B5A0406" w14:textId="10977EB5" w:rsidR="00F77150" w:rsidRPr="008C1E5F" w:rsidRDefault="000C09EB" w:rsidP="007E0170">
            <w:pPr>
              <w:pStyle w:val="TableBullet1"/>
              <w:rPr>
                <w:bdr w:val="none" w:sz="0" w:space="0" w:color="auto" w:frame="1"/>
              </w:rPr>
            </w:pPr>
            <w:r w:rsidRPr="008C1E5F">
              <w:rPr>
                <w:bdr w:val="none" w:sz="0" w:space="0" w:color="auto" w:frame="1"/>
              </w:rPr>
              <w:t xml:space="preserve">Each school has collaborative teaming structures to connect students with academic and </w:t>
            </w:r>
            <w:r w:rsidR="00AD3BE6" w:rsidRPr="008C1E5F">
              <w:rPr>
                <w:bdr w:val="none" w:sz="0" w:space="0" w:color="auto" w:frame="1"/>
              </w:rPr>
              <w:t>non-academic</w:t>
            </w:r>
            <w:r w:rsidRPr="008C1E5F">
              <w:rPr>
                <w:bdr w:val="none" w:sz="0" w:space="0" w:color="auto" w:frame="1"/>
              </w:rPr>
              <w:t xml:space="preserve"> supports</w:t>
            </w:r>
            <w:r w:rsidR="003237C0" w:rsidRPr="008C1E5F">
              <w:rPr>
                <w:bdr w:val="none" w:sz="0" w:space="0" w:color="auto" w:frame="1"/>
              </w:rPr>
              <w:t>.</w:t>
            </w:r>
          </w:p>
        </w:tc>
        <w:tc>
          <w:tcPr>
            <w:tcW w:w="1971" w:type="pct"/>
          </w:tcPr>
          <w:p w14:paraId="475954FD" w14:textId="5B0F79D8" w:rsidR="00C10B4D" w:rsidRPr="008C1E5F" w:rsidRDefault="00C10B4D" w:rsidP="00A87D0B">
            <w:pPr>
              <w:pStyle w:val="TableBullet1"/>
              <w:numPr>
                <w:ilvl w:val="0"/>
                <w:numId w:val="0"/>
              </w:numPr>
              <w:rPr>
                <w:bCs/>
                <w:bdr w:val="none" w:sz="0" w:space="0" w:color="auto" w:frame="1"/>
              </w:rPr>
            </w:pPr>
          </w:p>
        </w:tc>
      </w:tr>
    </w:tbl>
    <w:p w14:paraId="6FDD5EB4" w14:textId="3A48E896" w:rsidR="00B827DE" w:rsidRPr="008C1E5F" w:rsidRDefault="00B827DE" w:rsidP="00B827DE">
      <w:pPr>
        <w:pStyle w:val="Heading3"/>
      </w:pPr>
      <w:bookmarkStart w:id="101" w:name="_Safe_and_Supportive"/>
      <w:bookmarkStart w:id="102" w:name="_Toc195024232"/>
      <w:bookmarkEnd w:id="101"/>
      <w:r w:rsidRPr="008C1E5F">
        <w:t>Safe and Supportive School Climate and Culture</w:t>
      </w:r>
      <w:bookmarkEnd w:id="102"/>
    </w:p>
    <w:p w14:paraId="02CF506A" w14:textId="00D6BA1A" w:rsidR="00AC66E7" w:rsidRPr="008C1E5F" w:rsidRDefault="00176C00" w:rsidP="004320EF">
      <w:pPr>
        <w:pStyle w:val="BodyTextposthead"/>
      </w:pPr>
      <w:r w:rsidRPr="008C1E5F">
        <w:t xml:space="preserve">Fall River prioritizes </w:t>
      </w:r>
      <w:r w:rsidR="005C787B" w:rsidRPr="008C1E5F">
        <w:t xml:space="preserve">providing </w:t>
      </w:r>
      <w:r w:rsidR="00314127" w:rsidRPr="008C1E5F">
        <w:t xml:space="preserve">a safe and supportive school environment for its students and staff, with </w:t>
      </w:r>
      <w:r w:rsidR="0014228B">
        <w:t xml:space="preserve">a </w:t>
      </w:r>
      <w:r w:rsidR="00314127" w:rsidRPr="008C1E5F">
        <w:t xml:space="preserve">particular </w:t>
      </w:r>
      <w:r w:rsidR="0014228B">
        <w:t>emphasis</w:t>
      </w:r>
      <w:r w:rsidR="0014228B" w:rsidRPr="008C1E5F">
        <w:t xml:space="preserve"> </w:t>
      </w:r>
      <w:r w:rsidR="00314127" w:rsidRPr="008C1E5F">
        <w:t xml:space="preserve">on </w:t>
      </w:r>
      <w:r w:rsidR="00AD51FC" w:rsidRPr="008C1E5F">
        <w:t xml:space="preserve">improving </w:t>
      </w:r>
      <w:r w:rsidR="00CC03EC" w:rsidRPr="008C1E5F">
        <w:t xml:space="preserve">student attendance and </w:t>
      </w:r>
      <w:r w:rsidR="005C787B" w:rsidRPr="008C1E5F">
        <w:t xml:space="preserve">promoting positive behavior </w:t>
      </w:r>
      <w:r w:rsidR="005C787B" w:rsidRPr="008C1E5F">
        <w:lastRenderedPageBreak/>
        <w:t>approaches in all schools. Overall, teachers, parents, and students recognized the district</w:t>
      </w:r>
      <w:r w:rsidR="00304692" w:rsidRPr="008C1E5F">
        <w:t>’</w:t>
      </w:r>
      <w:r w:rsidR="005C787B" w:rsidRPr="008C1E5F">
        <w:t>s efforts in this area while also identifying some areas for continued growth</w:t>
      </w:r>
      <w:r w:rsidR="00C71CE2" w:rsidRPr="008C1E5F">
        <w:t xml:space="preserve"> </w:t>
      </w:r>
      <w:r w:rsidR="00954916" w:rsidRPr="008C1E5F">
        <w:t>in services and supports.</w:t>
      </w:r>
    </w:p>
    <w:p w14:paraId="6DB3CE09" w14:textId="64CBC147" w:rsidR="006F005C" w:rsidRPr="008C1E5F" w:rsidRDefault="005832EC" w:rsidP="00DF08BB">
      <w:pPr>
        <w:pStyle w:val="BodyText"/>
      </w:pPr>
      <w:r w:rsidRPr="008C1E5F">
        <w:t>According to district leader</w:t>
      </w:r>
      <w:r w:rsidR="00275A0B">
        <w:t>s</w:t>
      </w:r>
      <w:r w:rsidRPr="008C1E5F">
        <w:t>, the district has a multihazard evacuation plan, an emergency response plan, and a bullying prevention plan, each of which is reviewed and updated annually.</w:t>
      </w:r>
      <w:r w:rsidRPr="008C1E5F">
        <w:rPr>
          <w:b/>
          <w:bCs/>
          <w:i/>
          <w:iCs/>
        </w:rPr>
        <w:t xml:space="preserve"> </w:t>
      </w:r>
      <w:r w:rsidR="00893DE4" w:rsidRPr="008C1E5F">
        <w:t>The most recent publicly posted</w:t>
      </w:r>
      <w:r w:rsidRPr="008C1E5F">
        <w:t xml:space="preserve"> bullying prevention plan </w:t>
      </w:r>
      <w:r w:rsidR="00893DE4" w:rsidRPr="008C1E5F">
        <w:t>on the district website</w:t>
      </w:r>
      <w:r w:rsidRPr="008C1E5F">
        <w:t xml:space="preserve"> was approved in the 2021-</w:t>
      </w:r>
      <w:r w:rsidR="003E1C9D" w:rsidRPr="008C1E5F">
        <w:t>20</w:t>
      </w:r>
      <w:r w:rsidRPr="008C1E5F">
        <w:t xml:space="preserve">22 school year; other plans </w:t>
      </w:r>
      <w:r w:rsidR="00224B97" w:rsidRPr="008C1E5F">
        <w:t>are not publicly available</w:t>
      </w:r>
      <w:r w:rsidRPr="008C1E5F">
        <w:t>. District staff reported using data from their bullying needs assessment to update the bullying policy</w:t>
      </w:r>
      <w:r w:rsidR="00477E07">
        <w:t xml:space="preserve"> annually</w:t>
      </w:r>
      <w:r w:rsidRPr="008C1E5F">
        <w:t xml:space="preserve">. </w:t>
      </w:r>
    </w:p>
    <w:p w14:paraId="1D5782B5" w14:textId="3AEB10D0" w:rsidR="00C02DFF" w:rsidRPr="008C1E5F" w:rsidRDefault="00DF08BB" w:rsidP="004320EF">
      <w:pPr>
        <w:pStyle w:val="BodyText"/>
      </w:pPr>
      <w:r w:rsidRPr="008C1E5F">
        <w:t>The district also collect</w:t>
      </w:r>
      <w:r w:rsidR="00FB7F7B" w:rsidRPr="008C1E5F">
        <w:t>s</w:t>
      </w:r>
      <w:r w:rsidRPr="008C1E5F">
        <w:t xml:space="preserve"> and uses </w:t>
      </w:r>
      <w:r w:rsidR="004160D5" w:rsidRPr="008C1E5F">
        <w:t xml:space="preserve">data from the Conditions for Learning </w:t>
      </w:r>
      <w:r w:rsidR="00066ADA" w:rsidRPr="008C1E5F">
        <w:t xml:space="preserve">(CFL) </w:t>
      </w:r>
      <w:r w:rsidR="003E1C9D" w:rsidRPr="008C1E5F">
        <w:t>s</w:t>
      </w:r>
      <w:r w:rsidR="004160D5" w:rsidRPr="008C1E5F">
        <w:t xml:space="preserve">urvey </w:t>
      </w:r>
      <w:r w:rsidR="00066ADA" w:rsidRPr="008C1E5F">
        <w:t xml:space="preserve">and </w:t>
      </w:r>
      <w:r w:rsidR="00902897" w:rsidRPr="008C1E5F">
        <w:t xml:space="preserve">the Views of Climate and Learning (VOCAL) </w:t>
      </w:r>
      <w:r w:rsidR="003E1C9D" w:rsidRPr="008C1E5F">
        <w:t>s</w:t>
      </w:r>
      <w:r w:rsidR="00066ADA" w:rsidRPr="008C1E5F">
        <w:t xml:space="preserve">urvey </w:t>
      </w:r>
      <w:r w:rsidR="004160D5" w:rsidRPr="008C1E5F">
        <w:t xml:space="preserve">to monitor school and district culture. </w:t>
      </w:r>
      <w:r w:rsidR="00066ADA" w:rsidRPr="008C1E5F">
        <w:t>The CFL</w:t>
      </w:r>
      <w:r w:rsidR="004160D5" w:rsidRPr="008C1E5F">
        <w:t xml:space="preserve"> survey is given to students and parents twice each year</w:t>
      </w:r>
      <w:r w:rsidR="00066ADA" w:rsidRPr="008C1E5F">
        <w:t xml:space="preserve">, and </w:t>
      </w:r>
      <w:r w:rsidR="00902897" w:rsidRPr="008C1E5F">
        <w:t>d</w:t>
      </w:r>
      <w:r w:rsidR="000431C1" w:rsidRPr="008C1E5F">
        <w:t xml:space="preserve">istrict officials </w:t>
      </w:r>
      <w:r w:rsidR="008E164F" w:rsidRPr="008C1E5F">
        <w:t>reported reviewing data from the VOCAL survey</w:t>
      </w:r>
      <w:r w:rsidR="00902897" w:rsidRPr="008C1E5F">
        <w:t xml:space="preserve"> annually</w:t>
      </w:r>
      <w:r w:rsidR="008E164F" w:rsidRPr="008C1E5F">
        <w:t xml:space="preserve">. </w:t>
      </w:r>
      <w:r w:rsidR="00095658" w:rsidRPr="008C1E5F">
        <w:t>According to students and their families</w:t>
      </w:r>
      <w:r w:rsidR="00F236E3" w:rsidRPr="008C1E5F">
        <w:t xml:space="preserve"> in focus groups</w:t>
      </w:r>
      <w:r w:rsidR="00095658" w:rsidRPr="008C1E5F">
        <w:t>, students generally feel respected</w:t>
      </w:r>
      <w:r w:rsidR="003B09F5" w:rsidRPr="008C1E5F">
        <w:t xml:space="preserve"> and supported by their teachers and school staff, but</w:t>
      </w:r>
      <w:r w:rsidR="007A2F0E" w:rsidRPr="008C1E5F">
        <w:t xml:space="preserve"> high school students</w:t>
      </w:r>
      <w:r w:rsidR="003B09F5" w:rsidRPr="008C1E5F">
        <w:t xml:space="preserve"> noted that </w:t>
      </w:r>
      <w:r w:rsidR="00897EC3" w:rsidRPr="008C1E5F">
        <w:t xml:space="preserve">behavior issues from other students </w:t>
      </w:r>
      <w:r w:rsidR="00266D5C" w:rsidRPr="008C1E5F">
        <w:t>can make them feel unsafe.</w:t>
      </w:r>
    </w:p>
    <w:p w14:paraId="6DF803E7" w14:textId="3E9949EE" w:rsidR="0065361C" w:rsidRPr="008C1E5F" w:rsidRDefault="0065361C" w:rsidP="004320EF">
      <w:pPr>
        <w:pStyle w:val="BodyText"/>
      </w:pPr>
      <w:r w:rsidRPr="008C1E5F">
        <w:t xml:space="preserve">School leaders discussed some meaningful ways that students give feedback in their schools, such as through the </w:t>
      </w:r>
      <w:r w:rsidR="003E1C9D" w:rsidRPr="008C1E5F">
        <w:t>CFL</w:t>
      </w:r>
      <w:r w:rsidRPr="008C1E5F">
        <w:t xml:space="preserve"> survey. For example, one school leader </w:t>
      </w:r>
      <w:r w:rsidR="00E65AED" w:rsidRPr="008C1E5F">
        <w:t>described how</w:t>
      </w:r>
      <w:r w:rsidRPr="008C1E5F">
        <w:t xml:space="preserve"> students </w:t>
      </w:r>
      <w:r w:rsidR="00E65AED" w:rsidRPr="008C1E5F">
        <w:t>reported</w:t>
      </w:r>
      <w:r w:rsidRPr="008C1E5F">
        <w:t xml:space="preserve"> being bored in class as an area for growth in the </w:t>
      </w:r>
      <w:r w:rsidR="003E1C9D" w:rsidRPr="008C1E5F">
        <w:t>CFL</w:t>
      </w:r>
      <w:r w:rsidRPr="008C1E5F">
        <w:t xml:space="preserve"> survey last year. As a result, </w:t>
      </w:r>
      <w:r w:rsidR="009A280B" w:rsidRPr="008C1E5F">
        <w:t xml:space="preserve">school leaders provided professional development to teachers on increasing student engagement, </w:t>
      </w:r>
      <w:r w:rsidRPr="008C1E5F">
        <w:t xml:space="preserve">specifically encouraging teachers to talk less and let students talk more. School leaders also mentioned gathering student input before implementing a </w:t>
      </w:r>
      <w:r w:rsidR="00B360DB">
        <w:t>“</w:t>
      </w:r>
      <w:r w:rsidRPr="008C1E5F">
        <w:t>no</w:t>
      </w:r>
      <w:r w:rsidR="00B360DB">
        <w:t xml:space="preserve"> </w:t>
      </w:r>
      <w:r w:rsidRPr="008C1E5F">
        <w:t>cel</w:t>
      </w:r>
      <w:r w:rsidR="00B360DB">
        <w:t xml:space="preserve">l </w:t>
      </w:r>
      <w:r w:rsidRPr="008C1E5F">
        <w:t>phones</w:t>
      </w:r>
      <w:r w:rsidR="00B360DB">
        <w:t>”</w:t>
      </w:r>
      <w:r w:rsidRPr="008C1E5F">
        <w:t xml:space="preserve"> policy.</w:t>
      </w:r>
    </w:p>
    <w:p w14:paraId="380E1CB8" w14:textId="379CAF10" w:rsidR="00FE0867" w:rsidRPr="008C1E5F" w:rsidRDefault="0065361C" w:rsidP="004320EF">
      <w:pPr>
        <w:pStyle w:val="BodyText"/>
      </w:pPr>
      <w:r w:rsidRPr="008C1E5F">
        <w:t>School committee members confirmed that three</w:t>
      </w:r>
      <w:r w:rsidR="00025CBC" w:rsidRPr="008C1E5F">
        <w:t xml:space="preserve"> high school</w:t>
      </w:r>
      <w:r w:rsidRPr="008C1E5F">
        <w:t xml:space="preserve"> student representatives attend committee meetings but noted these representatives don’t actively participate in discussions. As one member said</w:t>
      </w:r>
      <w:r w:rsidR="00FE0867" w:rsidRPr="008C1E5F">
        <w:t>:</w:t>
      </w:r>
    </w:p>
    <w:p w14:paraId="5EBD411C" w14:textId="1AC4E049" w:rsidR="00FE0867" w:rsidRPr="008C1E5F" w:rsidRDefault="0065361C" w:rsidP="004320EF">
      <w:pPr>
        <w:pStyle w:val="BlockQuote"/>
        <w:rPr>
          <w:spacing w:val="-2"/>
        </w:rPr>
      </w:pPr>
      <w:r w:rsidRPr="008C1E5F">
        <w:rPr>
          <w:spacing w:val="-2"/>
        </w:rPr>
        <w:t>[</w:t>
      </w:r>
      <w:r w:rsidR="00FE0867" w:rsidRPr="008C1E5F">
        <w:rPr>
          <w:spacing w:val="-2"/>
        </w:rPr>
        <w:t>T</w:t>
      </w:r>
      <w:r w:rsidRPr="008C1E5F">
        <w:rPr>
          <w:spacing w:val="-2"/>
        </w:rPr>
        <w:t>he role of] student representative on the school committee is not to sit there, read off a piece of paper</w:t>
      </w:r>
      <w:r w:rsidR="004F2AFB" w:rsidRPr="008C1E5F">
        <w:rPr>
          <w:spacing w:val="-2"/>
        </w:rPr>
        <w:t xml:space="preserve"> [about]</w:t>
      </w:r>
      <w:r w:rsidRPr="008C1E5F">
        <w:rPr>
          <w:spacing w:val="-2"/>
        </w:rPr>
        <w:t xml:space="preserve"> the three events that have happened over the last month, say that</w:t>
      </w:r>
      <w:r w:rsidR="003E1C9D" w:rsidRPr="008C1E5F">
        <w:rPr>
          <w:spacing w:val="-2"/>
        </w:rPr>
        <w:t>’</w:t>
      </w:r>
      <w:r w:rsidRPr="008C1E5F">
        <w:rPr>
          <w:spacing w:val="-2"/>
        </w:rPr>
        <w:t>s an update, and then get up and leave.... It</w:t>
      </w:r>
      <w:r w:rsidR="003E1C9D" w:rsidRPr="008C1E5F">
        <w:rPr>
          <w:spacing w:val="-2"/>
        </w:rPr>
        <w:t>’</w:t>
      </w:r>
      <w:r w:rsidRPr="008C1E5F">
        <w:rPr>
          <w:spacing w:val="-2"/>
        </w:rPr>
        <w:t>s all for show. It</w:t>
      </w:r>
      <w:r w:rsidR="003E1C9D" w:rsidRPr="008C1E5F">
        <w:rPr>
          <w:spacing w:val="-2"/>
        </w:rPr>
        <w:t>’</w:t>
      </w:r>
      <w:r w:rsidRPr="008C1E5F">
        <w:rPr>
          <w:spacing w:val="-2"/>
        </w:rPr>
        <w:t>s all to check a box and say we have a student representative. It</w:t>
      </w:r>
      <w:r w:rsidR="003E1C9D" w:rsidRPr="008C1E5F">
        <w:rPr>
          <w:spacing w:val="-2"/>
        </w:rPr>
        <w:t>’</w:t>
      </w:r>
      <w:r w:rsidRPr="008C1E5F">
        <w:rPr>
          <w:spacing w:val="-2"/>
        </w:rPr>
        <w:t>s not for [embedding them] into the discussions that we have.</w:t>
      </w:r>
    </w:p>
    <w:p w14:paraId="5EBA94D3" w14:textId="0DDD184E" w:rsidR="0065361C" w:rsidRPr="008C1E5F" w:rsidRDefault="0065361C" w:rsidP="004320EF">
      <w:pPr>
        <w:pStyle w:val="BodyText"/>
      </w:pPr>
      <w:r w:rsidRPr="008C1E5F">
        <w:t>Committee members agreed that district leadership should make these roles more meaningful for both the students’ personal growth and the inclusion of student voice in school committee decisions</w:t>
      </w:r>
      <w:r w:rsidR="00115C77" w:rsidRPr="008C1E5F">
        <w:t xml:space="preserve">, </w:t>
      </w:r>
      <w:r w:rsidR="003E1C9D" w:rsidRPr="008C1E5F">
        <w:t xml:space="preserve">which is </w:t>
      </w:r>
      <w:r w:rsidR="00115C77" w:rsidRPr="008C1E5F">
        <w:t xml:space="preserve">an area </w:t>
      </w:r>
      <w:r w:rsidR="00BD62F1" w:rsidRPr="008C1E5F">
        <w:t xml:space="preserve">for </w:t>
      </w:r>
      <w:r w:rsidR="00115C77" w:rsidRPr="008C1E5F">
        <w:t xml:space="preserve">growth for the district. </w:t>
      </w:r>
    </w:p>
    <w:p w14:paraId="2BC18748" w14:textId="77777777" w:rsidR="003813CA" w:rsidRDefault="00C134DA" w:rsidP="004320EF">
      <w:pPr>
        <w:pStyle w:val="BodyText"/>
      </w:pPr>
      <w:r w:rsidRPr="008C1E5F">
        <w:t>School leaders agree</w:t>
      </w:r>
      <w:r w:rsidR="003A6933" w:rsidRPr="008C1E5F">
        <w:t>d</w:t>
      </w:r>
      <w:r w:rsidRPr="008C1E5F">
        <w:t xml:space="preserve"> that </w:t>
      </w:r>
      <w:r w:rsidR="00AD1587" w:rsidRPr="008C1E5F">
        <w:t>most</w:t>
      </w:r>
      <w:r w:rsidR="00F56112" w:rsidRPr="008C1E5F">
        <w:t xml:space="preserve"> </w:t>
      </w:r>
      <w:r w:rsidRPr="008C1E5F">
        <w:t xml:space="preserve">Fall River </w:t>
      </w:r>
      <w:r w:rsidR="00F56112" w:rsidRPr="008C1E5F">
        <w:t xml:space="preserve">elementary </w:t>
      </w:r>
      <w:r w:rsidRPr="008C1E5F">
        <w:t>schools</w:t>
      </w:r>
      <w:r w:rsidR="00D16949" w:rsidRPr="008C1E5F">
        <w:t xml:space="preserve"> and some </w:t>
      </w:r>
      <w:r w:rsidR="009A1009" w:rsidRPr="008C1E5F">
        <w:t>middle schools</w:t>
      </w:r>
      <w:r w:rsidR="00F56112" w:rsidRPr="008C1E5F">
        <w:t xml:space="preserve"> </w:t>
      </w:r>
      <w:r w:rsidRPr="008C1E5F">
        <w:t xml:space="preserve">implement some type of </w:t>
      </w:r>
      <w:r w:rsidR="00D56D72" w:rsidRPr="008C1E5F">
        <w:t>positive behavioral interventions and supports</w:t>
      </w:r>
      <w:r w:rsidRPr="008C1E5F">
        <w:t xml:space="preserve"> system</w:t>
      </w:r>
      <w:r w:rsidR="00C2642E" w:rsidRPr="008C1E5F">
        <w:t xml:space="preserve">, in which students earn points </w:t>
      </w:r>
      <w:r w:rsidR="005A16AC" w:rsidRPr="008C1E5F">
        <w:t>to reinforce positive behavior</w:t>
      </w:r>
      <w:r w:rsidRPr="008C1E5F">
        <w:t>.</w:t>
      </w:r>
      <w:r w:rsidR="000B28F6" w:rsidRPr="008C1E5F">
        <w:t xml:space="preserve"> Additionally, multiple elementary staff members, including school leaders, teachers, and support staff,</w:t>
      </w:r>
      <w:r w:rsidR="00B1720C" w:rsidRPr="008C1E5F">
        <w:t xml:space="preserve"> mentioned</w:t>
      </w:r>
      <w:r w:rsidR="00B94716" w:rsidRPr="008C1E5F">
        <w:t xml:space="preserve"> </w:t>
      </w:r>
      <w:r w:rsidR="000B28F6" w:rsidRPr="008C1E5F">
        <w:t xml:space="preserve">implementing </w:t>
      </w:r>
      <w:r w:rsidR="00B94716" w:rsidRPr="008C1E5F">
        <w:t>Responsive Classroom</w:t>
      </w:r>
      <w:r w:rsidR="002957A6" w:rsidRPr="008C1E5F">
        <w:t xml:space="preserve">, a system in which all classrooms start with a morning meeting </w:t>
      </w:r>
      <w:r w:rsidR="002E2CC7" w:rsidRPr="008C1E5F">
        <w:t>with the</w:t>
      </w:r>
      <w:r w:rsidR="002957A6" w:rsidRPr="008C1E5F">
        <w:t xml:space="preserve"> expectations </w:t>
      </w:r>
      <w:r w:rsidR="002E2CC7" w:rsidRPr="008C1E5F">
        <w:t xml:space="preserve">carried </w:t>
      </w:r>
      <w:r w:rsidR="002957A6" w:rsidRPr="008C1E5F">
        <w:t>through the day</w:t>
      </w:r>
      <w:r w:rsidR="00B94716" w:rsidRPr="008C1E5F">
        <w:t xml:space="preserve">. </w:t>
      </w:r>
      <w:r w:rsidR="00C1155B" w:rsidRPr="008C1E5F">
        <w:t xml:space="preserve">Elementary staff </w:t>
      </w:r>
      <w:r w:rsidR="009F55EB" w:rsidRPr="008C1E5F">
        <w:t xml:space="preserve">spoke </w:t>
      </w:r>
      <w:r w:rsidR="00C1155B" w:rsidRPr="008C1E5F">
        <w:t xml:space="preserve">highly of this </w:t>
      </w:r>
      <w:r w:rsidR="005C3AB2" w:rsidRPr="008C1E5F">
        <w:t xml:space="preserve">program and </w:t>
      </w:r>
      <w:r w:rsidR="00B1720C" w:rsidRPr="008C1E5F">
        <w:t xml:space="preserve">suggested </w:t>
      </w:r>
      <w:r w:rsidR="005C3AB2" w:rsidRPr="008C1E5F">
        <w:t xml:space="preserve">it </w:t>
      </w:r>
      <w:r w:rsidR="00B1720C" w:rsidRPr="008C1E5F">
        <w:t xml:space="preserve">should </w:t>
      </w:r>
      <w:r w:rsidR="005C3AB2" w:rsidRPr="008C1E5F">
        <w:t>be implemented across the district</w:t>
      </w:r>
      <w:r w:rsidR="006756DC" w:rsidRPr="008C1E5F">
        <w:t xml:space="preserve">; </w:t>
      </w:r>
      <w:r w:rsidR="00991572" w:rsidRPr="008C1E5F">
        <w:t xml:space="preserve">according to school staff, it is currently an optional summer </w:t>
      </w:r>
      <w:r w:rsidR="009634A8" w:rsidRPr="008C1E5F">
        <w:t>professional development</w:t>
      </w:r>
      <w:r w:rsidR="00991572" w:rsidRPr="008C1E5F">
        <w:t xml:space="preserve"> that teachers can elect to be trained on. </w:t>
      </w:r>
    </w:p>
    <w:p w14:paraId="35A6693D" w14:textId="396CCEEF" w:rsidR="008F231A" w:rsidRPr="008C1E5F" w:rsidRDefault="009634A8" w:rsidP="004320EF">
      <w:pPr>
        <w:pStyle w:val="BodyText"/>
      </w:pPr>
      <w:r w:rsidRPr="008C1E5F">
        <w:t xml:space="preserve">At the </w:t>
      </w:r>
      <w:r w:rsidR="00C007A0" w:rsidRPr="008C1E5F">
        <w:t>middle and high school</w:t>
      </w:r>
      <w:r w:rsidRPr="008C1E5F">
        <w:t xml:space="preserve"> level</w:t>
      </w:r>
      <w:r w:rsidR="00C007A0" w:rsidRPr="008C1E5F">
        <w:t>s</w:t>
      </w:r>
      <w:r w:rsidRPr="008C1E5F">
        <w:t xml:space="preserve">, </w:t>
      </w:r>
      <w:r w:rsidR="0091182B" w:rsidRPr="008C1E5F">
        <w:t xml:space="preserve">schools are implementing restorative justice practices. </w:t>
      </w:r>
      <w:r w:rsidR="002F2EF5" w:rsidRPr="008C1E5F">
        <w:t xml:space="preserve">For example, secondary support staff mentioned </w:t>
      </w:r>
      <w:r w:rsidR="0033521B" w:rsidRPr="008C1E5F">
        <w:t>referring students who are caught vaping</w:t>
      </w:r>
      <w:r w:rsidR="00B64455" w:rsidRPr="008C1E5F">
        <w:t xml:space="preserve"> nicotine</w:t>
      </w:r>
      <w:r w:rsidR="0033521B" w:rsidRPr="008C1E5F">
        <w:t xml:space="preserve"> to </w:t>
      </w:r>
      <w:r w:rsidR="000B50D0" w:rsidRPr="008C1E5F">
        <w:t>a</w:t>
      </w:r>
      <w:r w:rsidR="003368AB" w:rsidRPr="008C1E5F">
        <w:t xml:space="preserve">n </w:t>
      </w:r>
      <w:r w:rsidR="003368AB" w:rsidRPr="008C1E5F">
        <w:lastRenderedPageBreak/>
        <w:t>afterschool</w:t>
      </w:r>
      <w:r w:rsidR="00B30B30" w:rsidRPr="008C1E5F">
        <w:t xml:space="preserve"> smoking cessation</w:t>
      </w:r>
      <w:r w:rsidR="000B50D0" w:rsidRPr="008C1E5F">
        <w:t xml:space="preserve"> </w:t>
      </w:r>
      <w:r w:rsidR="00B30B30" w:rsidRPr="008C1E5F">
        <w:t>program</w:t>
      </w:r>
      <w:r w:rsidR="003A22B9" w:rsidRPr="008C1E5F">
        <w:t xml:space="preserve"> called I Decide</w:t>
      </w:r>
      <w:r w:rsidR="00B30B30" w:rsidRPr="008C1E5F">
        <w:t xml:space="preserve"> rather than suspending them. </w:t>
      </w:r>
      <w:r w:rsidR="005A1367" w:rsidRPr="008C1E5F">
        <w:t xml:space="preserve">For students who are caught vaping marijuana, they are suspended and then referred to the I Decide program when they return. </w:t>
      </w:r>
      <w:r w:rsidR="00872422" w:rsidRPr="008C1E5F">
        <w:t>As a support staff member summarized, “</w:t>
      </w:r>
      <w:r w:rsidR="003E1C9D" w:rsidRPr="008C1E5F">
        <w:t>W</w:t>
      </w:r>
      <w:r w:rsidR="00397399" w:rsidRPr="008C1E5F">
        <w:t xml:space="preserve">e avoid suspending as much as possible.” </w:t>
      </w:r>
      <w:r w:rsidR="005D53DE">
        <w:t>DESE data</w:t>
      </w:r>
      <w:r w:rsidR="00F24448">
        <w:t xml:space="preserve"> supports this</w:t>
      </w:r>
      <w:r w:rsidR="005A7D2F">
        <w:t>; in 2024</w:t>
      </w:r>
      <w:r w:rsidR="00057ACB">
        <w:t>,</w:t>
      </w:r>
      <w:r w:rsidR="005D53DE">
        <w:t xml:space="preserve"> </w:t>
      </w:r>
      <w:r w:rsidR="00057ACB">
        <w:t>1.6 percent of all students received an in-school suspension and 2.9 percent received an out-of-school suspension (</w:t>
      </w:r>
      <w:r w:rsidR="003C63F1">
        <w:t xml:space="preserve">compared to 1.4 and 2.4 percent statewide, respectively). </w:t>
      </w:r>
      <w:r w:rsidR="00B931A0" w:rsidRPr="008C1E5F">
        <w:t xml:space="preserve">At the time of the district review, the district was planning to </w:t>
      </w:r>
      <w:r w:rsidR="00D80600" w:rsidRPr="008C1E5F">
        <w:t xml:space="preserve">begin a PASS Program </w:t>
      </w:r>
      <w:r w:rsidR="00C36619" w:rsidRPr="008C1E5F">
        <w:t xml:space="preserve">in January 2025 for students who had been suspended for drug use, possession, or selling in school. The program </w:t>
      </w:r>
      <w:r w:rsidR="00CC4D9E" w:rsidRPr="008C1E5F">
        <w:t xml:space="preserve">will be housed at the Boys and Girls Club in partnership with </w:t>
      </w:r>
      <w:r w:rsidR="006C648D" w:rsidRPr="008C1E5F">
        <w:t>Star</w:t>
      </w:r>
      <w:r w:rsidR="0081026B" w:rsidRPr="008C1E5F">
        <w:t xml:space="preserve">, a local recovery </w:t>
      </w:r>
      <w:r w:rsidR="0007073B" w:rsidRPr="008C1E5F">
        <w:t xml:space="preserve">and therapeutic treatment center. </w:t>
      </w:r>
      <w:r w:rsidR="00442274" w:rsidRPr="008C1E5F">
        <w:t>District staff were excited about this progra</w:t>
      </w:r>
      <w:r w:rsidR="00E77E3B" w:rsidRPr="008C1E5F">
        <w:t>m, as one explained, “</w:t>
      </w:r>
      <w:r w:rsidR="006C648D" w:rsidRPr="008C1E5F">
        <w:t xml:space="preserve">Fall River has zero resources for youth when it comes to </w:t>
      </w:r>
      <w:r w:rsidR="00FF223A" w:rsidRPr="008C1E5F">
        <w:t>o</w:t>
      </w:r>
      <w:r w:rsidR="006C648D" w:rsidRPr="008C1E5F">
        <w:t xml:space="preserve">pioids, </w:t>
      </w:r>
      <w:r w:rsidR="00960E20" w:rsidRPr="008C1E5F">
        <w:t>addiction</w:t>
      </w:r>
      <w:r w:rsidR="006C648D" w:rsidRPr="008C1E5F">
        <w:t>, and recovery resources</w:t>
      </w:r>
      <w:r w:rsidR="00FF223A" w:rsidRPr="008C1E5F">
        <w:t xml:space="preserve"> so</w:t>
      </w:r>
      <w:r w:rsidR="006C648D" w:rsidRPr="008C1E5F">
        <w:t xml:space="preserve"> our ability to bring Star </w:t>
      </w:r>
      <w:r w:rsidR="008C726A" w:rsidRPr="008C1E5F">
        <w:t xml:space="preserve">in as a pilot and co-facilitator for this group with us, is a big, big deal.” </w:t>
      </w:r>
      <w:r w:rsidR="00AB0060" w:rsidRPr="008C1E5F">
        <w:t xml:space="preserve">Providing these supports for students </w:t>
      </w:r>
      <w:r w:rsidR="00625193" w:rsidRPr="008C1E5F">
        <w:t>struggling</w:t>
      </w:r>
      <w:r w:rsidR="00AB0060" w:rsidRPr="008C1E5F">
        <w:t xml:space="preserve"> </w:t>
      </w:r>
      <w:r w:rsidR="00625193" w:rsidRPr="008C1E5F">
        <w:t xml:space="preserve">with </w:t>
      </w:r>
      <w:r w:rsidR="00AB0060" w:rsidRPr="008C1E5F">
        <w:t xml:space="preserve">substance abuse </w:t>
      </w:r>
      <w:r w:rsidR="00625193" w:rsidRPr="008C1E5F">
        <w:t xml:space="preserve">is a strength of the district. </w:t>
      </w:r>
    </w:p>
    <w:p w14:paraId="1C96B7FA" w14:textId="6D656094" w:rsidR="00707099" w:rsidRPr="008C1E5F" w:rsidRDefault="002031B2" w:rsidP="004320EF">
      <w:pPr>
        <w:pStyle w:val="BodyText"/>
      </w:pPr>
      <w:r w:rsidRPr="008C1E5F">
        <w:t>School and district leaders agree</w:t>
      </w:r>
      <w:r w:rsidR="007F1129" w:rsidRPr="008C1E5F">
        <w:t>d</w:t>
      </w:r>
      <w:r w:rsidRPr="008C1E5F">
        <w:t xml:space="preserve"> that </w:t>
      </w:r>
      <w:r w:rsidR="00790F25" w:rsidRPr="008C1E5F">
        <w:t>reducing student absenteeism</w:t>
      </w:r>
      <w:r w:rsidR="00FD3C7B" w:rsidRPr="008C1E5F">
        <w:t xml:space="preserve"> and</w:t>
      </w:r>
      <w:r w:rsidR="00790F25" w:rsidRPr="008C1E5F">
        <w:t xml:space="preserve"> </w:t>
      </w:r>
      <w:r w:rsidRPr="008C1E5F">
        <w:t xml:space="preserve">implementing </w:t>
      </w:r>
      <w:r w:rsidR="00790F25" w:rsidRPr="008C1E5F">
        <w:t xml:space="preserve">attendance </w:t>
      </w:r>
      <w:r w:rsidRPr="008C1E5F">
        <w:t>tracking systems</w:t>
      </w:r>
      <w:r w:rsidR="00FD3C7B" w:rsidRPr="008C1E5F">
        <w:t xml:space="preserve"> </w:t>
      </w:r>
      <w:r w:rsidR="00BC1F51" w:rsidRPr="008C1E5F">
        <w:t>has been a priority at the district and school level</w:t>
      </w:r>
      <w:r w:rsidR="0014228B">
        <w:t>s</w:t>
      </w:r>
      <w:r w:rsidR="00BC1F51" w:rsidRPr="008C1E5F">
        <w:t xml:space="preserve"> for </w:t>
      </w:r>
      <w:r w:rsidR="0048527A" w:rsidRPr="008C1E5F">
        <w:t>some years.</w:t>
      </w:r>
      <w:r w:rsidRPr="008C1E5F">
        <w:t xml:space="preserve"> </w:t>
      </w:r>
      <w:r w:rsidR="00DC6821">
        <w:t>In the 2023-24 school year</w:t>
      </w:r>
      <w:r w:rsidR="00A51D7C" w:rsidRPr="008C1E5F">
        <w:t xml:space="preserve">, the chronic absenteeism rate is </w:t>
      </w:r>
      <w:r w:rsidR="00A133D4" w:rsidRPr="008C1E5F">
        <w:t>10</w:t>
      </w:r>
      <w:r w:rsidR="00A51D7C" w:rsidRPr="008C1E5F">
        <w:t>.</w:t>
      </w:r>
      <w:r w:rsidR="00A133D4" w:rsidRPr="008C1E5F">
        <w:t>7</w:t>
      </w:r>
      <w:r w:rsidR="00A51D7C" w:rsidRPr="008C1E5F">
        <w:t xml:space="preserve"> points higher than the state rate </w:t>
      </w:r>
      <w:r w:rsidR="002D1CC8" w:rsidRPr="008C1E5F">
        <w:t>and higher for each student group except EL</w:t>
      </w:r>
      <w:r w:rsidR="00902071" w:rsidRPr="008C1E5F">
        <w:t>s</w:t>
      </w:r>
      <w:r w:rsidR="002D1CC8" w:rsidRPr="008C1E5F">
        <w:t xml:space="preserve">, </w:t>
      </w:r>
      <w:r w:rsidR="00A51D7C" w:rsidRPr="008C1E5F">
        <w:t xml:space="preserve">according </w:t>
      </w:r>
      <w:r w:rsidR="002D1CC8" w:rsidRPr="008C1E5F">
        <w:t>to</w:t>
      </w:r>
      <w:r w:rsidR="00A51D7C" w:rsidRPr="008C1E5F">
        <w:t xml:space="preserve"> DESE data.</w:t>
      </w:r>
      <w:r w:rsidR="002D1CC8" w:rsidRPr="008C1E5F">
        <w:t xml:space="preserve"> </w:t>
      </w:r>
      <w:r w:rsidR="004C6C93" w:rsidRPr="008C1E5F">
        <w:t xml:space="preserve">At the center of </w:t>
      </w:r>
      <w:r w:rsidR="002D1CC8" w:rsidRPr="008C1E5F">
        <w:t>the district’s</w:t>
      </w:r>
      <w:r w:rsidR="004C6C93" w:rsidRPr="008C1E5F">
        <w:t xml:space="preserve"> efforts </w:t>
      </w:r>
      <w:r w:rsidR="00106DC7" w:rsidRPr="008C1E5F">
        <w:t xml:space="preserve">is building relationships </w:t>
      </w:r>
      <w:r w:rsidR="00BA5CCD" w:rsidRPr="008C1E5F">
        <w:t>with families to learn the</w:t>
      </w:r>
      <w:r w:rsidR="00DA0072" w:rsidRPr="008C1E5F">
        <w:t xml:space="preserve"> underlying</w:t>
      </w:r>
      <w:r w:rsidR="00BA5CCD" w:rsidRPr="008C1E5F">
        <w:t xml:space="preserve"> reasons for absenteeism and providing </w:t>
      </w:r>
      <w:r w:rsidR="001F72FF" w:rsidRPr="008C1E5F">
        <w:t xml:space="preserve">support </w:t>
      </w:r>
      <w:r w:rsidR="00484B26" w:rsidRPr="008C1E5F">
        <w:t xml:space="preserve">to </w:t>
      </w:r>
      <w:r w:rsidR="001B50ED" w:rsidRPr="008C1E5F">
        <w:t>remove barriers.</w:t>
      </w:r>
      <w:r w:rsidR="00707099" w:rsidRPr="008C1E5F">
        <w:t xml:space="preserve"> A wide variety of </w:t>
      </w:r>
      <w:r w:rsidR="00A70F72" w:rsidRPr="008C1E5F">
        <w:t xml:space="preserve">support </w:t>
      </w:r>
      <w:r w:rsidR="00707099" w:rsidRPr="008C1E5F">
        <w:t xml:space="preserve">staff, including school adjustment counselors, </w:t>
      </w:r>
      <w:r w:rsidR="00911CFD" w:rsidRPr="008C1E5F">
        <w:t xml:space="preserve">guidance counselors, </w:t>
      </w:r>
      <w:r w:rsidR="00A70F72" w:rsidRPr="008C1E5F">
        <w:t>and behavior therapists, are all responsible for student attendance</w:t>
      </w:r>
      <w:r w:rsidR="00607014" w:rsidRPr="008C1E5F">
        <w:t xml:space="preserve">, </w:t>
      </w:r>
      <w:r w:rsidR="000913D0" w:rsidRPr="008C1E5F">
        <w:t>as one explained:</w:t>
      </w:r>
    </w:p>
    <w:p w14:paraId="52F8729D" w14:textId="0EEABD29" w:rsidR="000913D0" w:rsidRPr="008C1E5F" w:rsidRDefault="000913D0" w:rsidP="004320EF">
      <w:pPr>
        <w:pStyle w:val="BlockQuote"/>
      </w:pPr>
      <w:r w:rsidRPr="008C1E5F">
        <w:t xml:space="preserve">We </w:t>
      </w:r>
      <w:r w:rsidR="00C75686" w:rsidRPr="008C1E5F">
        <w:t>are all</w:t>
      </w:r>
      <w:r w:rsidRPr="008C1E5F">
        <w:t xml:space="preserve"> attendance monitors, so </w:t>
      </w:r>
      <w:proofErr w:type="gramStart"/>
      <w:r w:rsidRPr="008C1E5F">
        <w:t>on a daily basis</w:t>
      </w:r>
      <w:proofErr w:type="gramEnd"/>
      <w:r w:rsidRPr="008C1E5F">
        <w:t xml:space="preserve"> we </w:t>
      </w:r>
      <w:proofErr w:type="gramStart"/>
      <w:r w:rsidRPr="008C1E5F">
        <w:t>have to</w:t>
      </w:r>
      <w:proofErr w:type="gramEnd"/>
      <w:r w:rsidRPr="008C1E5F">
        <w:t xml:space="preserve"> check students</w:t>
      </w:r>
      <w:r w:rsidR="00902071" w:rsidRPr="008C1E5F">
        <w:t>’</w:t>
      </w:r>
      <w:r w:rsidRPr="008C1E5F">
        <w:t xml:space="preserve"> attendance. If they</w:t>
      </w:r>
      <w:r w:rsidR="00902071" w:rsidRPr="008C1E5F">
        <w:t>’</w:t>
      </w:r>
      <w:r w:rsidRPr="008C1E5F">
        <w:t xml:space="preserve">re not here, we </w:t>
      </w:r>
      <w:proofErr w:type="gramStart"/>
      <w:r w:rsidRPr="008C1E5F">
        <w:t>have to</w:t>
      </w:r>
      <w:proofErr w:type="gramEnd"/>
      <w:r w:rsidRPr="008C1E5F">
        <w:t xml:space="preserve"> make daily calls</w:t>
      </w:r>
      <w:r w:rsidR="00444B9B" w:rsidRPr="008C1E5F">
        <w:t xml:space="preserve"> [home]</w:t>
      </w:r>
      <w:r w:rsidRPr="008C1E5F">
        <w:t>, document reasons for their absences, have meetings with families if students are not coming to school and then proceed with whatever it is that</w:t>
      </w:r>
      <w:r w:rsidR="00902071" w:rsidRPr="008C1E5F">
        <w:t>’</w:t>
      </w:r>
      <w:r w:rsidRPr="008C1E5F">
        <w:t>s needed to ensure that the kids are here at school.</w:t>
      </w:r>
    </w:p>
    <w:p w14:paraId="130F5392" w14:textId="6D00C464" w:rsidR="00EA5BE2" w:rsidRPr="008C1E5F" w:rsidRDefault="00694CB1" w:rsidP="004320EF">
      <w:pPr>
        <w:pStyle w:val="BodyText"/>
      </w:pPr>
      <w:r w:rsidRPr="008C1E5F">
        <w:t>After multiple</w:t>
      </w:r>
      <w:r w:rsidR="002A4ED6" w:rsidRPr="008C1E5F">
        <w:t xml:space="preserve"> absences from school, these support staff </w:t>
      </w:r>
      <w:r w:rsidR="001D6746" w:rsidRPr="008C1E5F">
        <w:t>conduct home visits</w:t>
      </w:r>
      <w:r w:rsidR="00C61344" w:rsidRPr="008C1E5F">
        <w:t xml:space="preserve"> to speak directly with students and their families. </w:t>
      </w:r>
      <w:r w:rsidR="002E5CE4" w:rsidRPr="008C1E5F">
        <w:t>To address</w:t>
      </w:r>
      <w:r w:rsidR="005D2602" w:rsidRPr="008C1E5F">
        <w:t xml:space="preserve"> students’</w:t>
      </w:r>
      <w:r w:rsidR="002E5CE4" w:rsidRPr="008C1E5F">
        <w:t xml:space="preserve"> </w:t>
      </w:r>
      <w:r w:rsidR="00F3386C" w:rsidRPr="008C1E5F">
        <w:t>transportation challenges getting to school,</w:t>
      </w:r>
      <w:r w:rsidR="005D2602" w:rsidRPr="008C1E5F">
        <w:t xml:space="preserve"> the district purchased </w:t>
      </w:r>
      <w:r w:rsidR="007A0E44" w:rsidRPr="008C1E5F">
        <w:t xml:space="preserve">six cars </w:t>
      </w:r>
      <w:r w:rsidR="00BA5CCC" w:rsidRPr="008C1E5F">
        <w:t xml:space="preserve">that </w:t>
      </w:r>
      <w:r w:rsidR="005D2602" w:rsidRPr="008C1E5F">
        <w:t>support staff</w:t>
      </w:r>
      <w:r w:rsidR="00BA5CCC" w:rsidRPr="008C1E5F">
        <w:t xml:space="preserve"> use to provide rides </w:t>
      </w:r>
      <w:r w:rsidR="005D2602" w:rsidRPr="008C1E5F">
        <w:t>to</w:t>
      </w:r>
      <w:r w:rsidR="00BA5CCC" w:rsidRPr="008C1E5F">
        <w:t xml:space="preserve"> </w:t>
      </w:r>
      <w:r w:rsidR="00B01916" w:rsidRPr="008C1E5F">
        <w:t>students</w:t>
      </w:r>
      <w:r w:rsidR="00BA5CCC" w:rsidRPr="008C1E5F">
        <w:t xml:space="preserve"> </w:t>
      </w:r>
      <w:r w:rsidR="005D2602" w:rsidRPr="008C1E5F">
        <w:t>when needed</w:t>
      </w:r>
      <w:r w:rsidR="00B01916" w:rsidRPr="008C1E5F">
        <w:t>.</w:t>
      </w:r>
      <w:r w:rsidR="00320743" w:rsidRPr="008C1E5F">
        <w:t xml:space="preserve"> </w:t>
      </w:r>
      <w:r w:rsidR="0070365D" w:rsidRPr="008C1E5F">
        <w:t xml:space="preserve">Teachers </w:t>
      </w:r>
      <w:r w:rsidR="002328A0" w:rsidRPr="008C1E5F">
        <w:t xml:space="preserve">and school leaders </w:t>
      </w:r>
      <w:r w:rsidR="0070365D" w:rsidRPr="008C1E5F">
        <w:t>reported</w:t>
      </w:r>
      <w:r w:rsidR="005D2602" w:rsidRPr="008C1E5F">
        <w:t xml:space="preserve"> using individual</w:t>
      </w:r>
      <w:r w:rsidR="00FF07F8">
        <w:t>ized</w:t>
      </w:r>
      <w:r w:rsidR="005D2602" w:rsidRPr="008C1E5F">
        <w:t xml:space="preserve"> </w:t>
      </w:r>
      <w:r w:rsidR="006F4519">
        <w:t xml:space="preserve">attendance </w:t>
      </w:r>
      <w:r w:rsidR="00FF07F8">
        <w:t>plans</w:t>
      </w:r>
      <w:r w:rsidR="005D2602" w:rsidRPr="008C1E5F">
        <w:t xml:space="preserve"> </w:t>
      </w:r>
      <w:r w:rsidR="00CA133C" w:rsidRPr="008C1E5F">
        <w:t xml:space="preserve">to </w:t>
      </w:r>
      <w:r w:rsidR="00FA53A0" w:rsidRPr="008C1E5F">
        <w:t xml:space="preserve">encourage </w:t>
      </w:r>
      <w:r w:rsidR="00D01BD7">
        <w:t>students</w:t>
      </w:r>
      <w:r w:rsidR="009F5927">
        <w:t xml:space="preserve"> to</w:t>
      </w:r>
      <w:r w:rsidR="00D01BD7">
        <w:t xml:space="preserve"> come to</w:t>
      </w:r>
      <w:r w:rsidR="009F5927">
        <w:t xml:space="preserve"> school</w:t>
      </w:r>
      <w:r w:rsidR="00FA53A0" w:rsidRPr="008C1E5F">
        <w:t xml:space="preserve">, </w:t>
      </w:r>
      <w:r w:rsidR="009B518C" w:rsidRPr="008C1E5F">
        <w:t xml:space="preserve">conducting </w:t>
      </w:r>
      <w:r w:rsidR="009F3D72" w:rsidRPr="008C1E5F">
        <w:t>small</w:t>
      </w:r>
      <w:r w:rsidR="00902071" w:rsidRPr="008C1E5F">
        <w:t>-</w:t>
      </w:r>
      <w:r w:rsidR="009F3D72" w:rsidRPr="008C1E5F">
        <w:t xml:space="preserve">group counseling sessions to address chronic absenteeism, and </w:t>
      </w:r>
      <w:r w:rsidR="009B518C" w:rsidRPr="008C1E5F">
        <w:t xml:space="preserve">providing </w:t>
      </w:r>
      <w:r w:rsidR="00FA53A0" w:rsidRPr="008C1E5F">
        <w:t xml:space="preserve">incentives such as </w:t>
      </w:r>
      <w:r w:rsidR="00CF77BA" w:rsidRPr="008C1E5F">
        <w:t>raffles for students who are in school</w:t>
      </w:r>
      <w:r w:rsidR="00B86643" w:rsidRPr="008C1E5F">
        <w:t xml:space="preserve"> </w:t>
      </w:r>
      <w:r w:rsidR="004F714E" w:rsidRPr="008C1E5F">
        <w:t>and</w:t>
      </w:r>
      <w:r w:rsidR="00BD036D" w:rsidRPr="008C1E5F">
        <w:t xml:space="preserve"> </w:t>
      </w:r>
      <w:r w:rsidR="002E6322" w:rsidRPr="008C1E5F">
        <w:t>special events for students with perfect attendance</w:t>
      </w:r>
      <w:r w:rsidR="00E53683" w:rsidRPr="008C1E5F">
        <w:t xml:space="preserve"> for several days in a row</w:t>
      </w:r>
      <w:r w:rsidR="002E6322" w:rsidRPr="008C1E5F">
        <w:t xml:space="preserve">. </w:t>
      </w:r>
      <w:r w:rsidR="009F3D72" w:rsidRPr="008C1E5F">
        <w:t xml:space="preserve">Parents also described an attendance “buy-back” program, in which secondary students can make up </w:t>
      </w:r>
      <w:r w:rsidR="00EA5BE2" w:rsidRPr="008C1E5F">
        <w:t xml:space="preserve">time </w:t>
      </w:r>
      <w:r w:rsidR="009F3D72" w:rsidRPr="008C1E5F">
        <w:t>that they miss</w:t>
      </w:r>
      <w:r w:rsidR="00EA5BE2" w:rsidRPr="008C1E5F">
        <w:t>ed</w:t>
      </w:r>
      <w:r w:rsidR="009F3D72" w:rsidRPr="008C1E5F">
        <w:t xml:space="preserve"> by arriving </w:t>
      </w:r>
      <w:r w:rsidR="00EA5BE2" w:rsidRPr="008C1E5F">
        <w:t>to</w:t>
      </w:r>
      <w:r w:rsidR="009F3D72" w:rsidRPr="008C1E5F">
        <w:t xml:space="preserve"> class on time five days in a row. School leaders agreed that this practice exists, along with makeup classes on Saturdays and during school holidays.</w:t>
      </w:r>
      <w:r w:rsidR="00EA5BE2" w:rsidRPr="008C1E5F">
        <w:t xml:space="preserve"> School leaders and support staff report reviewing attendance data often, as frequently as daily, and district and school staff agreed that attendance data </w:t>
      </w:r>
      <w:r w:rsidR="00704C36" w:rsidRPr="008C1E5F">
        <w:t xml:space="preserve">are </w:t>
      </w:r>
      <w:r w:rsidR="00EA5BE2" w:rsidRPr="008C1E5F">
        <w:t xml:space="preserve">reviewed in student support team meetings. Although attendance is still below state averages, the existence of robust systems and attention to root causes </w:t>
      </w:r>
      <w:r w:rsidR="00B40826">
        <w:t xml:space="preserve">of chronic absenteeism </w:t>
      </w:r>
      <w:r w:rsidR="00EA5BE2" w:rsidRPr="008C1E5F">
        <w:t>is a strength of the district.</w:t>
      </w:r>
    </w:p>
    <w:p w14:paraId="2B4225B9" w14:textId="2F425284" w:rsidR="00890B24" w:rsidRPr="008C1E5F" w:rsidRDefault="00890B24" w:rsidP="00B827DE">
      <w:pPr>
        <w:pStyle w:val="Heading3"/>
      </w:pPr>
      <w:bookmarkStart w:id="103" w:name="_Tiered_Systems_of"/>
      <w:bookmarkStart w:id="104" w:name="_Health_and_Wellbeing"/>
      <w:bookmarkStart w:id="105" w:name="_Toc195024233"/>
      <w:bookmarkEnd w:id="103"/>
      <w:bookmarkEnd w:id="104"/>
      <w:r w:rsidRPr="008C1E5F">
        <w:t>Health and Well</w:t>
      </w:r>
      <w:r w:rsidR="003E1C9D" w:rsidRPr="008C1E5F">
        <w:t>-</w:t>
      </w:r>
      <w:r w:rsidRPr="008C1E5F">
        <w:t>being</w:t>
      </w:r>
      <w:bookmarkEnd w:id="105"/>
    </w:p>
    <w:p w14:paraId="181F562A" w14:textId="2DC00435" w:rsidR="00E66651" w:rsidRPr="008C1E5F" w:rsidRDefault="00AA49FF" w:rsidP="004320EF">
      <w:pPr>
        <w:pStyle w:val="BodyTextposthead"/>
      </w:pPr>
      <w:r w:rsidRPr="008C1E5F">
        <w:t xml:space="preserve">At the time of the district review, the district and school committee had </w:t>
      </w:r>
      <w:r w:rsidR="00A06FB5" w:rsidRPr="008C1E5F">
        <w:t>just</w:t>
      </w:r>
      <w:r w:rsidRPr="008C1E5F">
        <w:t xml:space="preserve"> approved a new wellness policy</w:t>
      </w:r>
      <w:r w:rsidR="00A06FB5" w:rsidRPr="008C1E5F">
        <w:t xml:space="preserve"> as of October 21, 2024. This new policy</w:t>
      </w:r>
      <w:r w:rsidR="00704C36" w:rsidRPr="008C1E5F">
        <w:t>, which</w:t>
      </w:r>
      <w:r w:rsidR="00A06FB5" w:rsidRPr="008C1E5F">
        <w:t xml:space="preserve"> is publicly posted on the district’s website</w:t>
      </w:r>
      <w:r w:rsidR="00704C36" w:rsidRPr="008C1E5F">
        <w:t>,</w:t>
      </w:r>
      <w:r w:rsidR="00544FD2" w:rsidRPr="008C1E5F">
        <w:t xml:space="preserve"> </w:t>
      </w:r>
      <w:r w:rsidR="00544FD2" w:rsidRPr="008C1E5F">
        <w:lastRenderedPageBreak/>
        <w:t>“promotes comprehensive physical and nutritional as well as social and emotional wellness initiatives a</w:t>
      </w:r>
      <w:r w:rsidR="0075218C" w:rsidRPr="008C1E5F">
        <w:t>s</w:t>
      </w:r>
      <w:r w:rsidR="00544FD2" w:rsidRPr="008C1E5F">
        <w:t xml:space="preserve"> an integral part of the learning environment.” </w:t>
      </w:r>
    </w:p>
    <w:p w14:paraId="7378FDB3" w14:textId="50D27593" w:rsidR="00DD3653" w:rsidRPr="008C1E5F" w:rsidRDefault="00E12E2D" w:rsidP="004320EF">
      <w:pPr>
        <w:pStyle w:val="BodyText"/>
        <w:rPr>
          <w:b/>
          <w:bCs/>
        </w:rPr>
      </w:pPr>
      <w:r w:rsidRPr="008C1E5F">
        <w:t>The district offers</w:t>
      </w:r>
      <w:r w:rsidR="00833348" w:rsidRPr="008C1E5F">
        <w:t xml:space="preserve"> a variety of</w:t>
      </w:r>
      <w:r w:rsidRPr="008C1E5F">
        <w:t xml:space="preserve"> health and physical education</w:t>
      </w:r>
      <w:r w:rsidR="00EB0492" w:rsidRPr="008C1E5F">
        <w:t xml:space="preserve"> (PE)</w:t>
      </w:r>
      <w:r w:rsidR="00833348" w:rsidRPr="008C1E5F">
        <w:t xml:space="preserve"> options</w:t>
      </w:r>
      <w:r w:rsidRPr="008C1E5F">
        <w:t>, aligned with the Massachusetts Comprehensive Health and Physical Education Frameworks, to all students, which is a strength of the district.</w:t>
      </w:r>
      <w:r w:rsidR="00862EB6" w:rsidRPr="008C1E5F">
        <w:t xml:space="preserve"> </w:t>
      </w:r>
      <w:r w:rsidR="00DD3653" w:rsidRPr="008C1E5F">
        <w:t>A review of school schedules</w:t>
      </w:r>
      <w:r w:rsidR="00DD3653" w:rsidRPr="008C1E5F">
        <w:rPr>
          <w:b/>
          <w:bCs/>
        </w:rPr>
        <w:t xml:space="preserve"> </w:t>
      </w:r>
      <w:r w:rsidR="00DD3653" w:rsidRPr="008C1E5F">
        <w:t xml:space="preserve">indicated that the district provides students at all schools and grade levels with opportunities to </w:t>
      </w:r>
      <w:r w:rsidR="0006470F" w:rsidRPr="008C1E5F">
        <w:t xml:space="preserve">learn about healthful practices. </w:t>
      </w:r>
      <w:r w:rsidR="0061713E" w:rsidRPr="008C1E5F">
        <w:t>At the elementary school level, leaders reported that students received a full year of PE</w:t>
      </w:r>
      <w:r w:rsidR="00BF4748" w:rsidRPr="008C1E5F">
        <w:t xml:space="preserve"> although teac</w:t>
      </w:r>
      <w:r w:rsidR="0092160B" w:rsidRPr="008C1E5F">
        <w:t>hers reported that the frequency varied (</w:t>
      </w:r>
      <w:r w:rsidR="009E2FF3" w:rsidRPr="008C1E5F">
        <w:t xml:space="preserve">weekly for the </w:t>
      </w:r>
      <w:r w:rsidR="00B37593" w:rsidRPr="008C1E5F">
        <w:t xml:space="preserve">lower elementary grades and </w:t>
      </w:r>
      <w:r w:rsidR="009E2FF3" w:rsidRPr="008C1E5F">
        <w:t xml:space="preserve">every other week </w:t>
      </w:r>
      <w:r w:rsidR="00B37593" w:rsidRPr="008C1E5F">
        <w:t>for the upper elementary grades)</w:t>
      </w:r>
      <w:r w:rsidR="0061713E" w:rsidRPr="008C1E5F">
        <w:t xml:space="preserve">. </w:t>
      </w:r>
      <w:r w:rsidR="00637311" w:rsidRPr="008C1E5F">
        <w:t xml:space="preserve">At the middle school level, </w:t>
      </w:r>
      <w:r w:rsidR="008161C7" w:rsidRPr="008C1E5F">
        <w:t xml:space="preserve">each grade level has </w:t>
      </w:r>
      <w:r w:rsidR="00637311" w:rsidRPr="008C1E5F">
        <w:t xml:space="preserve">access to </w:t>
      </w:r>
      <w:r w:rsidR="008161C7" w:rsidRPr="008C1E5F">
        <w:t xml:space="preserve">a </w:t>
      </w:r>
      <w:r w:rsidR="00637311" w:rsidRPr="008C1E5F">
        <w:t xml:space="preserve">PE and </w:t>
      </w:r>
      <w:r w:rsidR="008161C7" w:rsidRPr="008C1E5F">
        <w:t xml:space="preserve">health class, although the length of this class was unclear from scheduling documents (i.e., if the course was for one term or </w:t>
      </w:r>
      <w:r w:rsidR="00704C36" w:rsidRPr="008C1E5F">
        <w:t xml:space="preserve">for </w:t>
      </w:r>
      <w:r w:rsidR="008161C7" w:rsidRPr="008C1E5F">
        <w:t xml:space="preserve">the </w:t>
      </w:r>
      <w:r w:rsidR="00074D39" w:rsidRPr="008C1E5F">
        <w:t xml:space="preserve">school year). </w:t>
      </w:r>
      <w:r w:rsidR="0061713E" w:rsidRPr="008C1E5F">
        <w:t xml:space="preserve">At the </w:t>
      </w:r>
      <w:r w:rsidR="00B37593" w:rsidRPr="008C1E5F">
        <w:t>high</w:t>
      </w:r>
      <w:r w:rsidR="0061713E" w:rsidRPr="008C1E5F">
        <w:t xml:space="preserve"> school level, </w:t>
      </w:r>
      <w:r w:rsidR="007820F6" w:rsidRPr="008C1E5F">
        <w:t xml:space="preserve">students have several courses they can take for one term, including fitness concepts, </w:t>
      </w:r>
      <w:r w:rsidR="00704C36" w:rsidRPr="008C1E5F">
        <w:t>PE</w:t>
      </w:r>
      <w:r w:rsidR="007820F6" w:rsidRPr="008C1E5F">
        <w:t>, yoga and stress management,</w:t>
      </w:r>
      <w:r w:rsidR="00B8434F" w:rsidRPr="008C1E5F">
        <w:t xml:space="preserve"> PE buddies </w:t>
      </w:r>
      <w:r w:rsidR="005367F8" w:rsidRPr="008C1E5F">
        <w:t xml:space="preserve">through </w:t>
      </w:r>
      <w:r w:rsidR="00F23430" w:rsidRPr="008C1E5F">
        <w:t>L</w:t>
      </w:r>
      <w:r w:rsidR="005367F8" w:rsidRPr="008C1E5F">
        <w:t xml:space="preserve">earn to </w:t>
      </w:r>
      <w:r w:rsidR="00F23430" w:rsidRPr="008C1E5F">
        <w:t>S</w:t>
      </w:r>
      <w:r w:rsidR="005367F8" w:rsidRPr="008C1E5F">
        <w:t xml:space="preserve">erve (where </w:t>
      </w:r>
      <w:r w:rsidR="00C650FC" w:rsidRPr="008C1E5F">
        <w:t xml:space="preserve">students have an opportunity to work with high school students with physical needs in </w:t>
      </w:r>
      <w:r w:rsidR="00BB7ED1" w:rsidRPr="008C1E5F">
        <w:t>PE</w:t>
      </w:r>
      <w:r w:rsidR="00C650FC" w:rsidRPr="008C1E5F">
        <w:t xml:space="preserve"> or adapted </w:t>
      </w:r>
      <w:r w:rsidR="00BB7ED1" w:rsidRPr="008C1E5F">
        <w:t>PE</w:t>
      </w:r>
      <w:r w:rsidR="00C650FC" w:rsidRPr="008C1E5F">
        <w:t xml:space="preserve"> classes), </w:t>
      </w:r>
      <w:r w:rsidR="00C76352" w:rsidRPr="008C1E5F">
        <w:t xml:space="preserve">swimming for fitness, </w:t>
      </w:r>
      <w:r w:rsidR="00B35BF8" w:rsidRPr="008C1E5F">
        <w:t xml:space="preserve">and CPR/first aid/lifeguard training. </w:t>
      </w:r>
    </w:p>
    <w:p w14:paraId="7DE88D43" w14:textId="34F56756" w:rsidR="00132711" w:rsidRPr="008C1E5F" w:rsidRDefault="003269C2" w:rsidP="004320EF">
      <w:pPr>
        <w:pStyle w:val="BodyText"/>
      </w:pPr>
      <w:r w:rsidRPr="008C1E5F">
        <w:t>A review of the district</w:t>
      </w:r>
      <w:r w:rsidR="00493015" w:rsidRPr="008C1E5F">
        <w:t xml:space="preserve"> website </w:t>
      </w:r>
      <w:r w:rsidR="00303D95" w:rsidRPr="008C1E5F">
        <w:t xml:space="preserve">showed </w:t>
      </w:r>
      <w:r w:rsidR="00FD01AB" w:rsidRPr="008C1E5F">
        <w:t>that</w:t>
      </w:r>
      <w:r w:rsidR="00303D95" w:rsidRPr="008C1E5F">
        <w:t xml:space="preserve"> the district provides</w:t>
      </w:r>
      <w:r w:rsidRPr="008C1E5F">
        <w:t xml:space="preserve"> students with multiple opportunities to engage in physical activity and strengthen their bodies while attending school.</w:t>
      </w:r>
      <w:r w:rsidR="00303D95" w:rsidRPr="008C1E5F">
        <w:t xml:space="preserve"> </w:t>
      </w:r>
      <w:r w:rsidR="00932E2A" w:rsidRPr="008C1E5F">
        <w:t xml:space="preserve">At the elementary level, all schools have a daily scheduled recess period. According to the district’s new wellness policy, </w:t>
      </w:r>
      <w:r w:rsidR="00656399" w:rsidRPr="008C1E5F">
        <w:t>recess is not to be withheld from students for classroom misbehavior</w:t>
      </w:r>
      <w:r w:rsidR="00656F47" w:rsidRPr="008C1E5F">
        <w:t xml:space="preserve"> or remedial work such as interventions, tutoring</w:t>
      </w:r>
      <w:r w:rsidR="0038753B" w:rsidRPr="008C1E5F">
        <w:t xml:space="preserve"> or other academic work, or music lessons. </w:t>
      </w:r>
      <w:r w:rsidR="00C34D2A" w:rsidRPr="008C1E5F">
        <w:t xml:space="preserve">At the high school level, sports are available </w:t>
      </w:r>
      <w:r w:rsidR="00AA39DB" w:rsidRPr="008C1E5F">
        <w:t xml:space="preserve">in the fall (e.g., field hockey, soccer, volleyball, cross country, golf), winter (e.g., basketball, ice hockey, wrestling, </w:t>
      </w:r>
      <w:r w:rsidR="00E7064C" w:rsidRPr="008C1E5F">
        <w:t>swimming/diving)</w:t>
      </w:r>
      <w:r w:rsidR="00AA39DB" w:rsidRPr="008C1E5F">
        <w:t>, and spring</w:t>
      </w:r>
      <w:r w:rsidR="00E7064C" w:rsidRPr="008C1E5F">
        <w:t xml:space="preserve"> (e.g., softball, baseball, </w:t>
      </w:r>
      <w:r w:rsidR="00D72D7A" w:rsidRPr="008C1E5F">
        <w:t>tennis, outdoor track and fi</w:t>
      </w:r>
      <w:r w:rsidR="00A42869" w:rsidRPr="008C1E5F">
        <w:t>eld)</w:t>
      </w:r>
      <w:r w:rsidR="00AA39DB" w:rsidRPr="008C1E5F">
        <w:t xml:space="preserve">. </w:t>
      </w:r>
      <w:r w:rsidR="00A42869" w:rsidRPr="008C1E5F">
        <w:t xml:space="preserve">At the middle school level, sports are available, but the </w:t>
      </w:r>
      <w:r w:rsidR="00143AA4" w:rsidRPr="008C1E5F">
        <w:t xml:space="preserve">district’s </w:t>
      </w:r>
      <w:r w:rsidR="007A67F0" w:rsidRPr="008C1E5F">
        <w:t>online athletics page was not available</w:t>
      </w:r>
      <w:r w:rsidR="004112B8" w:rsidRPr="008C1E5F">
        <w:t xml:space="preserve"> for review</w:t>
      </w:r>
      <w:r w:rsidR="007A67F0" w:rsidRPr="008C1E5F">
        <w:t xml:space="preserve">. </w:t>
      </w:r>
      <w:r w:rsidR="00932E2A" w:rsidRPr="008C1E5F">
        <w:t>Teachers, school leaders, and students all agree</w:t>
      </w:r>
      <w:r w:rsidR="00704C36" w:rsidRPr="008C1E5F">
        <w:t>d</w:t>
      </w:r>
      <w:r w:rsidR="00932E2A" w:rsidRPr="008C1E5F">
        <w:t xml:space="preserve"> that sports and other activities are provided at all grade levels and schools</w:t>
      </w:r>
      <w:r w:rsidR="002759E2" w:rsidRPr="008C1E5F">
        <w:t xml:space="preserve">. </w:t>
      </w:r>
    </w:p>
    <w:p w14:paraId="402269E3" w14:textId="62E28404" w:rsidR="00614CDA" w:rsidRPr="008C1E5F" w:rsidRDefault="003269C2" w:rsidP="004320EF">
      <w:pPr>
        <w:pStyle w:val="BodyText"/>
      </w:pPr>
      <w:r w:rsidRPr="008C1E5F">
        <w:t>According to school leaders and support staff, the district supports students and their families and caregivers by providing information on and referrals to health providers when requested or needed.</w:t>
      </w:r>
      <w:r w:rsidR="00C137C1" w:rsidRPr="008C1E5F">
        <w:t xml:space="preserve"> The district has a partnership with South Coast Hospitals</w:t>
      </w:r>
      <w:r w:rsidR="00112DC9" w:rsidRPr="008C1E5F">
        <w:t xml:space="preserve">; </w:t>
      </w:r>
      <w:r w:rsidR="00C137C1" w:rsidRPr="008C1E5F">
        <w:t>Cartwheel, a telehealth provider</w:t>
      </w:r>
      <w:r w:rsidR="00112DC9" w:rsidRPr="008C1E5F">
        <w:t>;</w:t>
      </w:r>
      <w:r w:rsidR="00222AF3" w:rsidRPr="008C1E5F">
        <w:t xml:space="preserve"> and district staff </w:t>
      </w:r>
      <w:r w:rsidR="008A5AB8" w:rsidRPr="008C1E5F">
        <w:t xml:space="preserve">reported a “direct </w:t>
      </w:r>
      <w:r w:rsidR="00454C20" w:rsidRPr="008C1E5F">
        <w:t xml:space="preserve">connection” </w:t>
      </w:r>
      <w:r w:rsidR="00CB11DD" w:rsidRPr="008C1E5F">
        <w:t xml:space="preserve">with the mobile crises center </w:t>
      </w:r>
      <w:r w:rsidR="00E6606E" w:rsidRPr="008C1E5F">
        <w:t>for emergency mental health referrals</w:t>
      </w:r>
      <w:r w:rsidR="00C137C1" w:rsidRPr="008C1E5F">
        <w:t xml:space="preserve">. Staff are eligible for these services as well </w:t>
      </w:r>
      <w:r w:rsidR="00112DC9" w:rsidRPr="008C1E5F">
        <w:t>through</w:t>
      </w:r>
      <w:r w:rsidR="00C137C1" w:rsidRPr="008C1E5F">
        <w:t xml:space="preserve"> the Employee Assistance Program.</w:t>
      </w:r>
      <w:r w:rsidRPr="008C1E5F">
        <w:t xml:space="preserve"> </w:t>
      </w:r>
    </w:p>
    <w:p w14:paraId="01D4E1A2" w14:textId="10A9AA69" w:rsidR="00FB6F4F" w:rsidRPr="008C1E5F" w:rsidRDefault="00F65F95" w:rsidP="004320EF">
      <w:pPr>
        <w:pStyle w:val="BodyText"/>
      </w:pPr>
      <w:r w:rsidRPr="008C1E5F">
        <w:t xml:space="preserve">District officials </w:t>
      </w:r>
      <w:r w:rsidR="003269C2" w:rsidRPr="008C1E5F">
        <w:t xml:space="preserve">indicated that the district </w:t>
      </w:r>
      <w:r w:rsidR="000D485C" w:rsidRPr="008C1E5F">
        <w:t xml:space="preserve">has an </w:t>
      </w:r>
      <w:r w:rsidR="003269C2" w:rsidRPr="008C1E5F">
        <w:t>allergy collection and verification protocol in place</w:t>
      </w:r>
      <w:r w:rsidR="000D485C" w:rsidRPr="008C1E5F">
        <w:t xml:space="preserve"> that </w:t>
      </w:r>
      <w:r w:rsidR="00FB6F4F" w:rsidRPr="008C1E5F">
        <w:t xml:space="preserve">was reviewed and updated in the last three years. Families </w:t>
      </w:r>
      <w:r w:rsidR="00437BD6" w:rsidRPr="008C1E5F">
        <w:t xml:space="preserve">agreed that the district has these </w:t>
      </w:r>
      <w:r w:rsidR="00E305C1" w:rsidRPr="008C1E5F">
        <w:t>policies</w:t>
      </w:r>
      <w:r w:rsidR="00437BD6" w:rsidRPr="008C1E5F">
        <w:t xml:space="preserve"> in place. One parent whose child has a severe </w:t>
      </w:r>
      <w:r w:rsidR="00FB7B4F" w:rsidRPr="008C1E5F">
        <w:t xml:space="preserve">airborne </w:t>
      </w:r>
      <w:r w:rsidR="00FB6F4F" w:rsidRPr="008C1E5F">
        <w:t xml:space="preserve">allergy </w:t>
      </w:r>
      <w:r w:rsidR="008A3D6E" w:rsidRPr="008C1E5F">
        <w:t xml:space="preserve">spoke </w:t>
      </w:r>
      <w:r w:rsidR="00DA047C" w:rsidRPr="008C1E5F">
        <w:t xml:space="preserve">highly of the support they received from the school </w:t>
      </w:r>
      <w:r w:rsidR="00FB7B4F" w:rsidRPr="008C1E5F">
        <w:t>in communicating the need for caution to teachers</w:t>
      </w:r>
      <w:r w:rsidR="0041323A" w:rsidRPr="008C1E5F">
        <w:t xml:space="preserve">, </w:t>
      </w:r>
      <w:r w:rsidR="00FB7B4F" w:rsidRPr="008C1E5F">
        <w:t>other parents</w:t>
      </w:r>
      <w:r w:rsidR="0041323A" w:rsidRPr="008C1E5F">
        <w:t>, and other students</w:t>
      </w:r>
      <w:r w:rsidR="00704C36" w:rsidRPr="008C1E5F">
        <w:t>:</w:t>
      </w:r>
      <w:r w:rsidR="00F82D0B" w:rsidRPr="008C1E5F">
        <w:t xml:space="preserve"> “[</w:t>
      </w:r>
      <w:r w:rsidR="00704C36" w:rsidRPr="008C1E5F">
        <w:t>M</w:t>
      </w:r>
      <w:r w:rsidR="00F82D0B" w:rsidRPr="008C1E5F">
        <w:t>y child’s] school allowed me to go into the school and read books to the parents and the children so that they understood</w:t>
      </w:r>
      <w:r w:rsidR="00704C36" w:rsidRPr="008C1E5F">
        <w:t>,</w:t>
      </w:r>
      <w:r w:rsidR="00F82D0B" w:rsidRPr="008C1E5F">
        <w:t xml:space="preserve"> like, this is our lifestyle</w:t>
      </w:r>
      <w:r w:rsidR="00936EDF" w:rsidRPr="008C1E5F">
        <w:t xml:space="preserve"> </w:t>
      </w:r>
      <w:r w:rsidR="00F82D0B" w:rsidRPr="008C1E5F">
        <w:t>because he is airborne.</w:t>
      </w:r>
      <w:r w:rsidR="00936EDF" w:rsidRPr="008C1E5F">
        <w:t xml:space="preserve"> H</w:t>
      </w:r>
      <w:r w:rsidR="00F82D0B" w:rsidRPr="008C1E5F">
        <w:t>is school went above and beyond.</w:t>
      </w:r>
      <w:r w:rsidR="00936EDF" w:rsidRPr="008C1E5F">
        <w:t xml:space="preserve">” </w:t>
      </w:r>
    </w:p>
    <w:p w14:paraId="1A3F0A05" w14:textId="53363EDB" w:rsidR="003A7DF0" w:rsidRPr="008C1E5F" w:rsidRDefault="00D677B0" w:rsidP="004320EF">
      <w:pPr>
        <w:pStyle w:val="BodyText"/>
      </w:pPr>
      <w:r w:rsidRPr="008C1E5F">
        <w:t>Fall River uses a</w:t>
      </w:r>
      <w:r w:rsidR="008D5252" w:rsidRPr="008C1E5F">
        <w:t xml:space="preserve"> variety of tools and screeners to identify students in need of behavioral and mental health </w:t>
      </w:r>
      <w:r w:rsidR="00704C36" w:rsidRPr="008C1E5F">
        <w:t>services</w:t>
      </w:r>
      <w:r w:rsidR="00077480" w:rsidRPr="008C1E5F">
        <w:t xml:space="preserve">, </w:t>
      </w:r>
      <w:r w:rsidR="00704C36" w:rsidRPr="008C1E5F">
        <w:t xml:space="preserve">which is </w:t>
      </w:r>
      <w:r w:rsidR="00077480" w:rsidRPr="008C1E5F">
        <w:t>a strength of the district</w:t>
      </w:r>
      <w:r w:rsidR="008D5252" w:rsidRPr="008C1E5F">
        <w:t xml:space="preserve">. </w:t>
      </w:r>
      <w:r w:rsidR="00F83C2D" w:rsidRPr="008C1E5F">
        <w:t xml:space="preserve">The </w:t>
      </w:r>
      <w:r w:rsidR="00667169" w:rsidRPr="008C1E5F">
        <w:t>district administers Satchel Pulse, a universal screener, to all students in K</w:t>
      </w:r>
      <w:r w:rsidR="007805C3" w:rsidRPr="008C1E5F">
        <w:t>indergarten through Grade 12</w:t>
      </w:r>
      <w:r w:rsidR="00AD27B7" w:rsidRPr="008C1E5F">
        <w:t xml:space="preserve"> to identify student</w:t>
      </w:r>
      <w:r w:rsidR="00C90D48" w:rsidRPr="008C1E5F">
        <w:t>s in need of Tier 2 or</w:t>
      </w:r>
      <w:r w:rsidR="00704C36" w:rsidRPr="008C1E5F">
        <w:t xml:space="preserve"> </w:t>
      </w:r>
      <w:r w:rsidR="00704C36" w:rsidRPr="008C1E5F">
        <w:lastRenderedPageBreak/>
        <w:t>Tier</w:t>
      </w:r>
      <w:r w:rsidR="00C90D48" w:rsidRPr="008C1E5F">
        <w:t xml:space="preserve"> 3 </w:t>
      </w:r>
      <w:r w:rsidR="00E7479A" w:rsidRPr="008C1E5F">
        <w:t>behavioral or SEL/</w:t>
      </w:r>
      <w:r w:rsidRPr="008C1E5F">
        <w:t xml:space="preserve">mental health supports. </w:t>
      </w:r>
      <w:r w:rsidR="00E7479A" w:rsidRPr="008C1E5F">
        <w:t>Additionally, the</w:t>
      </w:r>
      <w:r w:rsidR="00BA7534" w:rsidRPr="008C1E5F">
        <w:t xml:space="preserve"> </w:t>
      </w:r>
      <w:r w:rsidR="00704C36" w:rsidRPr="008C1E5F">
        <w:t>CFL survey</w:t>
      </w:r>
      <w:r w:rsidR="00BA7534" w:rsidRPr="008C1E5F">
        <w:t xml:space="preserve"> touches on related issues</w:t>
      </w:r>
      <w:r w:rsidR="00F64DB3" w:rsidRPr="008C1E5F">
        <w:t xml:space="preserve">. </w:t>
      </w:r>
      <w:r w:rsidR="00D356A1" w:rsidRPr="008C1E5F">
        <w:t xml:space="preserve">For students in </w:t>
      </w:r>
      <w:r w:rsidR="00704C36" w:rsidRPr="008C1E5F">
        <w:t>G</w:t>
      </w:r>
      <w:r w:rsidR="00D356A1" w:rsidRPr="008C1E5F">
        <w:t>rades 6, 8, and 10, t</w:t>
      </w:r>
      <w:r w:rsidR="00CB30EA" w:rsidRPr="008C1E5F">
        <w:t>he district</w:t>
      </w:r>
      <w:r w:rsidR="00026AE0" w:rsidRPr="008C1E5F">
        <w:t xml:space="preserve"> </w:t>
      </w:r>
      <w:r w:rsidR="00CB30EA" w:rsidRPr="008C1E5F">
        <w:t>administers</w:t>
      </w:r>
      <w:r w:rsidR="00026AE0" w:rsidRPr="008C1E5F">
        <w:t xml:space="preserve"> the Signs of Suicide screener </w:t>
      </w:r>
      <w:r w:rsidR="00063AD9" w:rsidRPr="008C1E5F">
        <w:t xml:space="preserve">and received a grant </w:t>
      </w:r>
      <w:r w:rsidR="00026AE0" w:rsidRPr="008C1E5F">
        <w:t xml:space="preserve">to roll </w:t>
      </w:r>
      <w:r w:rsidR="00063AD9" w:rsidRPr="008C1E5F">
        <w:t>it out to other grades this year</w:t>
      </w:r>
      <w:r w:rsidR="00C137C1" w:rsidRPr="008C1E5F">
        <w:t>.</w:t>
      </w:r>
      <w:r w:rsidR="00063AD9" w:rsidRPr="008C1E5F">
        <w:t xml:space="preserve"> </w:t>
      </w:r>
      <w:r w:rsidR="005961B6" w:rsidRPr="008C1E5F">
        <w:t>Lastly, district leaders</w:t>
      </w:r>
      <w:r w:rsidR="00793436" w:rsidRPr="008C1E5F">
        <w:t xml:space="preserve"> </w:t>
      </w:r>
      <w:r w:rsidR="0030746B" w:rsidRPr="008C1E5F">
        <w:t xml:space="preserve">mentioned </w:t>
      </w:r>
      <w:r w:rsidR="00571EB0" w:rsidRPr="008C1E5F">
        <w:t>monitor</w:t>
      </w:r>
      <w:r w:rsidR="0030746B" w:rsidRPr="008C1E5F">
        <w:t>ing</w:t>
      </w:r>
      <w:r w:rsidR="00571EB0" w:rsidRPr="008C1E5F">
        <w:t xml:space="preserve"> student</w:t>
      </w:r>
      <w:r w:rsidR="00E341D6" w:rsidRPr="008C1E5F">
        <w:t>s’</w:t>
      </w:r>
      <w:r w:rsidR="00571EB0" w:rsidRPr="008C1E5F">
        <w:t xml:space="preserve"> use </w:t>
      </w:r>
      <w:r w:rsidR="00E341D6" w:rsidRPr="008C1E5F">
        <w:t xml:space="preserve">of district </w:t>
      </w:r>
      <w:r w:rsidR="00571EB0" w:rsidRPr="008C1E5F">
        <w:t>computer</w:t>
      </w:r>
      <w:r w:rsidR="00E341D6" w:rsidRPr="008C1E5F">
        <w:t>s</w:t>
      </w:r>
      <w:r w:rsidR="00967CF6" w:rsidRPr="008C1E5F">
        <w:t xml:space="preserve"> </w:t>
      </w:r>
      <w:r w:rsidR="00571EB0" w:rsidRPr="008C1E5F">
        <w:t>and receiv</w:t>
      </w:r>
      <w:r w:rsidR="0030746B" w:rsidRPr="008C1E5F">
        <w:t>ing</w:t>
      </w:r>
      <w:r w:rsidR="00571EB0" w:rsidRPr="008C1E5F">
        <w:t xml:space="preserve"> </w:t>
      </w:r>
      <w:r w:rsidR="00900E21" w:rsidRPr="008C1E5F">
        <w:t xml:space="preserve">Light Speed </w:t>
      </w:r>
      <w:r w:rsidR="00571EB0" w:rsidRPr="008C1E5F">
        <w:t xml:space="preserve">alerts if students are </w:t>
      </w:r>
      <w:r w:rsidR="00A8795A" w:rsidRPr="008C1E5F">
        <w:t xml:space="preserve">searching </w:t>
      </w:r>
      <w:r w:rsidR="00E341D6" w:rsidRPr="008C1E5F">
        <w:t>for</w:t>
      </w:r>
      <w:r w:rsidR="00A8795A" w:rsidRPr="008C1E5F">
        <w:t xml:space="preserve"> terms</w:t>
      </w:r>
      <w:r w:rsidR="00571EB0" w:rsidRPr="008C1E5F">
        <w:t xml:space="preserve"> that indicate they may </w:t>
      </w:r>
      <w:r w:rsidR="00A8795A" w:rsidRPr="008C1E5F">
        <w:t>self-</w:t>
      </w:r>
      <w:r w:rsidR="00571EB0" w:rsidRPr="008C1E5F">
        <w:t xml:space="preserve">harm or </w:t>
      </w:r>
      <w:r w:rsidR="00A8795A" w:rsidRPr="008C1E5F">
        <w:t xml:space="preserve">harm </w:t>
      </w:r>
      <w:r w:rsidR="00571EB0" w:rsidRPr="008C1E5F">
        <w:t>others.</w:t>
      </w:r>
    </w:p>
    <w:p w14:paraId="1611D082" w14:textId="7EA41771" w:rsidR="00D677B0" w:rsidRPr="008C1E5F" w:rsidRDefault="00C40A34" w:rsidP="004320EF">
      <w:pPr>
        <w:pStyle w:val="BodyText"/>
      </w:pPr>
      <w:r w:rsidRPr="008C1E5F">
        <w:t xml:space="preserve">Regarding services provided, </w:t>
      </w:r>
      <w:r w:rsidR="00595953" w:rsidRPr="008C1E5F">
        <w:t>most school</w:t>
      </w:r>
      <w:r w:rsidR="003E25C5" w:rsidRPr="008C1E5F">
        <w:t xml:space="preserve">s have interventions based on </w:t>
      </w:r>
      <w:r w:rsidR="00E341D6" w:rsidRPr="008C1E5F">
        <w:t xml:space="preserve">the </w:t>
      </w:r>
      <w:r w:rsidR="003E25C5" w:rsidRPr="008C1E5F">
        <w:t xml:space="preserve">Satchel </w:t>
      </w:r>
      <w:r w:rsidR="00E341D6" w:rsidRPr="008C1E5F">
        <w:t>screener</w:t>
      </w:r>
      <w:r w:rsidR="003E25C5" w:rsidRPr="008C1E5F">
        <w:t xml:space="preserve"> </w:t>
      </w:r>
      <w:r w:rsidR="00C5523F" w:rsidRPr="008C1E5F">
        <w:t xml:space="preserve">that can be delivered at Tier 2 </w:t>
      </w:r>
      <w:r w:rsidR="00BF3E68" w:rsidRPr="008C1E5F">
        <w:t xml:space="preserve">and Tier 3 levels. </w:t>
      </w:r>
      <w:r w:rsidR="003A7DF0" w:rsidRPr="008C1E5F">
        <w:t xml:space="preserve">School leaders and staff </w:t>
      </w:r>
      <w:r w:rsidRPr="008C1E5F">
        <w:t xml:space="preserve">noted that </w:t>
      </w:r>
      <w:r w:rsidR="00623681" w:rsidRPr="008C1E5F">
        <w:t>school</w:t>
      </w:r>
      <w:r w:rsidR="00EB15F7" w:rsidRPr="008C1E5F">
        <w:t xml:space="preserve"> adjustment counselors</w:t>
      </w:r>
      <w:r w:rsidRPr="008C1E5F">
        <w:t xml:space="preserve"> have </w:t>
      </w:r>
      <w:r w:rsidR="00BF3E68" w:rsidRPr="008C1E5F">
        <w:t xml:space="preserve">relationships with local mental health providers and Family Services, so they can </w:t>
      </w:r>
      <w:r w:rsidR="00E61E40" w:rsidRPr="008C1E5F">
        <w:t>provide referrals</w:t>
      </w:r>
      <w:r w:rsidR="00BF3E68" w:rsidRPr="008C1E5F">
        <w:t xml:space="preserve"> as necessary. </w:t>
      </w:r>
      <w:r w:rsidR="00623681" w:rsidRPr="008C1E5F">
        <w:t>School adjustment counselors</w:t>
      </w:r>
      <w:r w:rsidR="00780DA5" w:rsidRPr="008C1E5F">
        <w:t xml:space="preserve"> </w:t>
      </w:r>
      <w:r w:rsidR="00CD3945" w:rsidRPr="008C1E5F">
        <w:t xml:space="preserve">mentioned developing </w:t>
      </w:r>
      <w:r w:rsidR="00B20194" w:rsidRPr="008C1E5F">
        <w:t xml:space="preserve">trackers for individual students </w:t>
      </w:r>
      <w:r w:rsidR="006E6EE7" w:rsidRPr="008C1E5F">
        <w:t>to set academic and behavioral goals as needed</w:t>
      </w:r>
      <w:r w:rsidR="00E61E40" w:rsidRPr="008C1E5F">
        <w:t xml:space="preserve"> as well as running small groups</w:t>
      </w:r>
      <w:r w:rsidR="002B2867" w:rsidRPr="008C1E5F">
        <w:t xml:space="preserve">, such as mindfulness groups, </w:t>
      </w:r>
      <w:r w:rsidR="00182B68" w:rsidRPr="008C1E5F">
        <w:t>bilingual groups to help newcomers transition</w:t>
      </w:r>
      <w:r w:rsidR="00244C41" w:rsidRPr="008C1E5F">
        <w:t xml:space="preserve"> to the country</w:t>
      </w:r>
      <w:r w:rsidR="00182B68" w:rsidRPr="008C1E5F">
        <w:t xml:space="preserve">, </w:t>
      </w:r>
      <w:r w:rsidR="00362A3F" w:rsidRPr="008C1E5F">
        <w:t xml:space="preserve">and a support group for boys. </w:t>
      </w:r>
      <w:r w:rsidR="00403906" w:rsidRPr="008C1E5F">
        <w:t xml:space="preserve">Along with interventionists, </w:t>
      </w:r>
      <w:r w:rsidR="00224831" w:rsidRPr="008C1E5F">
        <w:t>some</w:t>
      </w:r>
      <w:r w:rsidR="00403906" w:rsidRPr="008C1E5F">
        <w:t xml:space="preserve"> t</w:t>
      </w:r>
      <w:r w:rsidR="001D1671" w:rsidRPr="008C1E5F">
        <w:t xml:space="preserve">eachers reported having SEL liaisons </w:t>
      </w:r>
      <w:r w:rsidR="00224831" w:rsidRPr="008C1E5F">
        <w:t xml:space="preserve">available, although these positions are not currently at all schools. These positions are intended to </w:t>
      </w:r>
      <w:r w:rsidR="00632C37" w:rsidRPr="008C1E5F">
        <w:t xml:space="preserve">help address students’ needs, such as by facilitating </w:t>
      </w:r>
      <w:r w:rsidR="00AD3BE6" w:rsidRPr="008C1E5F">
        <w:t>small group</w:t>
      </w:r>
      <w:r w:rsidR="00632C37" w:rsidRPr="008C1E5F">
        <w:t xml:space="preserve"> counseling sessions</w:t>
      </w:r>
      <w:r w:rsidR="00A57BDE" w:rsidRPr="008C1E5F">
        <w:t xml:space="preserve"> and helping with attendance monitoring</w:t>
      </w:r>
      <w:r w:rsidR="00632C37" w:rsidRPr="008C1E5F">
        <w:t xml:space="preserve">, although </w:t>
      </w:r>
      <w:r w:rsidR="008E743F" w:rsidRPr="008C1E5F">
        <w:t>staff report</w:t>
      </w:r>
      <w:r w:rsidR="00704C36" w:rsidRPr="008C1E5F">
        <w:t>ed</w:t>
      </w:r>
      <w:r w:rsidR="008E743F" w:rsidRPr="008C1E5F">
        <w:t xml:space="preserve"> that the responsibilities of </w:t>
      </w:r>
      <w:r w:rsidR="009904C2" w:rsidRPr="008C1E5F">
        <w:t>these</w:t>
      </w:r>
      <w:r w:rsidR="008E743F" w:rsidRPr="008C1E5F">
        <w:t xml:space="preserve"> position</w:t>
      </w:r>
      <w:r w:rsidR="00757176" w:rsidRPr="008C1E5F">
        <w:t>s</w:t>
      </w:r>
      <w:r w:rsidR="008E743F" w:rsidRPr="008C1E5F">
        <w:t xml:space="preserve"> </w:t>
      </w:r>
      <w:r w:rsidR="00757176" w:rsidRPr="008C1E5F">
        <w:t>vary</w:t>
      </w:r>
      <w:r w:rsidR="008E743F" w:rsidRPr="008C1E5F">
        <w:t xml:space="preserve"> widely. </w:t>
      </w:r>
      <w:r w:rsidR="00A57BDE" w:rsidRPr="008C1E5F">
        <w:t xml:space="preserve">In some schools, </w:t>
      </w:r>
      <w:r w:rsidR="00F56209" w:rsidRPr="008C1E5F">
        <w:t xml:space="preserve">SEL liaisons reportedly </w:t>
      </w:r>
      <w:r w:rsidR="007201C1" w:rsidRPr="008C1E5F">
        <w:t>are responsible for administrative duties (e.g., lunch and recess monitoring)</w:t>
      </w:r>
      <w:r w:rsidR="00897E74" w:rsidRPr="008C1E5F">
        <w:t xml:space="preserve"> or fill-in as </w:t>
      </w:r>
      <w:r w:rsidR="00704C36" w:rsidRPr="008C1E5F">
        <w:t>one-on-one</w:t>
      </w:r>
      <w:r w:rsidR="00897E74" w:rsidRPr="008C1E5F">
        <w:t xml:space="preserve"> </w:t>
      </w:r>
      <w:r w:rsidR="00340B45" w:rsidRPr="008C1E5F">
        <w:t>paraprofessionals</w:t>
      </w:r>
      <w:r w:rsidR="000C026F" w:rsidRPr="008C1E5F">
        <w:t>, which is not the intention of this role</w:t>
      </w:r>
      <w:r w:rsidR="00340B45" w:rsidRPr="008C1E5F">
        <w:t xml:space="preserve">. Yet </w:t>
      </w:r>
      <w:r w:rsidR="00352615" w:rsidRPr="008C1E5F">
        <w:t>school leaders and school staff had positive impressions of these positions</w:t>
      </w:r>
      <w:r w:rsidR="007F5273" w:rsidRPr="008C1E5F">
        <w:t>.</w:t>
      </w:r>
      <w:r w:rsidR="00EE7280" w:rsidRPr="008C1E5F">
        <w:t xml:space="preserve"> </w:t>
      </w:r>
      <w:r w:rsidR="007F5273" w:rsidRPr="008C1E5F">
        <w:t>A</w:t>
      </w:r>
      <w:r w:rsidR="00250153" w:rsidRPr="008C1E5F">
        <w:t>s a testament to the need for these positions, a</w:t>
      </w:r>
      <w:r w:rsidR="007F5273" w:rsidRPr="008C1E5F">
        <w:t xml:space="preserve"> district leader reported</w:t>
      </w:r>
      <w:r w:rsidR="00417DF2" w:rsidRPr="008C1E5F">
        <w:t xml:space="preserve"> that </w:t>
      </w:r>
      <w:r w:rsidR="004C1478" w:rsidRPr="008C1E5F">
        <w:t xml:space="preserve">when principals were asked to make staff cuts in response to a budget shortfall, </w:t>
      </w:r>
      <w:r w:rsidR="00AD3BE6" w:rsidRPr="008C1E5F">
        <w:t>no one</w:t>
      </w:r>
      <w:r w:rsidR="004C1478" w:rsidRPr="008C1E5F">
        <w:t xml:space="preserve"> </w:t>
      </w:r>
      <w:r w:rsidR="000E0690" w:rsidRPr="008C1E5F">
        <w:t xml:space="preserve">identified the SEL liaison as a position to eliminate. </w:t>
      </w:r>
    </w:p>
    <w:p w14:paraId="59695C6E" w14:textId="3B0EE62A" w:rsidR="00B827DE" w:rsidRPr="008C1E5F" w:rsidRDefault="00B827DE" w:rsidP="00B827DE">
      <w:pPr>
        <w:pStyle w:val="Heading3"/>
      </w:pPr>
      <w:bookmarkStart w:id="106" w:name="_Family_and_Community"/>
      <w:bookmarkStart w:id="107" w:name="_Toc195024234"/>
      <w:bookmarkEnd w:id="106"/>
      <w:r w:rsidRPr="008C1E5F">
        <w:t>Family and Community Partnerships</w:t>
      </w:r>
      <w:bookmarkEnd w:id="107"/>
    </w:p>
    <w:p w14:paraId="5C0F7C92" w14:textId="6317174E" w:rsidR="00E968C2" w:rsidRPr="008C1E5F" w:rsidRDefault="00347D9D" w:rsidP="004320EF">
      <w:pPr>
        <w:pStyle w:val="BodyTextposthead"/>
      </w:pPr>
      <w:r w:rsidRPr="008C1E5F">
        <w:t>School</w:t>
      </w:r>
      <w:r w:rsidR="00E968C2" w:rsidRPr="008C1E5F">
        <w:t xml:space="preserve"> leaders </w:t>
      </w:r>
      <w:r w:rsidRPr="008C1E5F">
        <w:t xml:space="preserve">and teachers agreed that the district sets expectations </w:t>
      </w:r>
      <w:r w:rsidR="00161DA0" w:rsidRPr="008C1E5F">
        <w:t xml:space="preserve">for </w:t>
      </w:r>
      <w:r w:rsidRPr="008C1E5F">
        <w:t xml:space="preserve">teachers </w:t>
      </w:r>
      <w:r w:rsidR="00161DA0" w:rsidRPr="008C1E5F">
        <w:t xml:space="preserve">to </w:t>
      </w:r>
      <w:r w:rsidRPr="008C1E5F">
        <w:t xml:space="preserve">regularly </w:t>
      </w:r>
      <w:r w:rsidR="00E968C2" w:rsidRPr="008C1E5F">
        <w:t xml:space="preserve">communicate with </w:t>
      </w:r>
      <w:r w:rsidRPr="008C1E5F">
        <w:t xml:space="preserve">parents and that this communication takes place </w:t>
      </w:r>
      <w:r w:rsidR="00161DA0" w:rsidRPr="008C1E5F">
        <w:t xml:space="preserve">primarily </w:t>
      </w:r>
      <w:r w:rsidRPr="008C1E5F">
        <w:t xml:space="preserve">using </w:t>
      </w:r>
      <w:proofErr w:type="spellStart"/>
      <w:r w:rsidRPr="008C1E5F">
        <w:t>ParentSquare</w:t>
      </w:r>
      <w:proofErr w:type="spellEnd"/>
      <w:r w:rsidRPr="008C1E5F">
        <w:t>.</w:t>
      </w:r>
      <w:r w:rsidR="003F7DC1" w:rsidRPr="008C1E5F">
        <w:t xml:space="preserve"> Staff, </w:t>
      </w:r>
      <w:r w:rsidR="00350014" w:rsidRPr="008C1E5F">
        <w:t xml:space="preserve">school leaders, </w:t>
      </w:r>
      <w:r w:rsidR="003F7DC1" w:rsidRPr="008C1E5F">
        <w:t>teachers, and parents agree</w:t>
      </w:r>
      <w:r w:rsidR="00973510" w:rsidRPr="008C1E5F">
        <w:t>d</w:t>
      </w:r>
      <w:r w:rsidR="003F7DC1" w:rsidRPr="008C1E5F">
        <w:t xml:space="preserve"> that </w:t>
      </w:r>
      <w:proofErr w:type="spellStart"/>
      <w:r w:rsidR="003F7DC1" w:rsidRPr="008C1E5F">
        <w:t>ParentSquare</w:t>
      </w:r>
      <w:proofErr w:type="spellEnd"/>
      <w:r w:rsidR="003F7DC1" w:rsidRPr="008C1E5F">
        <w:t xml:space="preserve"> </w:t>
      </w:r>
      <w:r w:rsidR="00B070DB" w:rsidRPr="008C1E5F">
        <w:t xml:space="preserve">is </w:t>
      </w:r>
      <w:r w:rsidR="003F7DC1" w:rsidRPr="008C1E5F">
        <w:t xml:space="preserve">a </w:t>
      </w:r>
      <w:r w:rsidR="001B634E" w:rsidRPr="008C1E5F">
        <w:t xml:space="preserve">helpful tool for </w:t>
      </w:r>
      <w:r w:rsidR="00350014" w:rsidRPr="008C1E5F">
        <w:t>sharing information among families, schools, and the district</w:t>
      </w:r>
      <w:r w:rsidR="00C11C4E" w:rsidRPr="008C1E5F">
        <w:t>.</w:t>
      </w:r>
      <w:r w:rsidR="00B73B41" w:rsidRPr="008C1E5F">
        <w:t xml:space="preserve"> </w:t>
      </w:r>
      <w:r w:rsidRPr="008C1E5F">
        <w:t xml:space="preserve">Teachers noted that </w:t>
      </w:r>
      <w:proofErr w:type="spellStart"/>
      <w:r w:rsidRPr="008C1E5F">
        <w:t>ParentSquare</w:t>
      </w:r>
      <w:proofErr w:type="spellEnd"/>
      <w:r w:rsidRPr="008C1E5F">
        <w:t xml:space="preserve"> provides </w:t>
      </w:r>
      <w:proofErr w:type="gramStart"/>
      <w:r w:rsidRPr="008C1E5F">
        <w:t>a number of</w:t>
      </w:r>
      <w:proofErr w:type="gramEnd"/>
      <w:r w:rsidRPr="008C1E5F">
        <w:t xml:space="preserve"> options, such as text messaging or phone calls, which allows them to tailor communication to parent needs and preferences. </w:t>
      </w:r>
      <w:proofErr w:type="spellStart"/>
      <w:r w:rsidR="002601CA" w:rsidRPr="008C1E5F">
        <w:t>ParentSquare</w:t>
      </w:r>
      <w:proofErr w:type="spellEnd"/>
      <w:r w:rsidR="002601CA" w:rsidRPr="008C1E5F">
        <w:t xml:space="preserve"> </w:t>
      </w:r>
      <w:r w:rsidRPr="008C1E5F">
        <w:t>also</w:t>
      </w:r>
      <w:r w:rsidR="002601CA" w:rsidRPr="008C1E5F">
        <w:t xml:space="preserve"> includes automatic translation capabilities, and parents agreed that the district has lately improved its efforts to provide official communications and documents in the family’s home language. </w:t>
      </w:r>
      <w:r w:rsidR="007B5986" w:rsidRPr="008C1E5F">
        <w:t xml:space="preserve">One school leader stated that they monitor communications on </w:t>
      </w:r>
      <w:proofErr w:type="spellStart"/>
      <w:r w:rsidR="007B5986" w:rsidRPr="008C1E5F">
        <w:t>ParentSquare</w:t>
      </w:r>
      <w:proofErr w:type="spellEnd"/>
      <w:r w:rsidR="007B5986" w:rsidRPr="008C1E5F">
        <w:t xml:space="preserve"> to ensure that teachers are sharing information </w:t>
      </w:r>
      <w:r w:rsidR="00161DA0" w:rsidRPr="008C1E5F">
        <w:t xml:space="preserve">such </w:t>
      </w:r>
      <w:r w:rsidR="007B5986" w:rsidRPr="008C1E5F">
        <w:t xml:space="preserve">as DIBELS scores and progress on other benchmarks. District support staff noted that much of their communication with families is related to student attendance issues. </w:t>
      </w:r>
      <w:r w:rsidR="001B7D9B" w:rsidRPr="008C1E5F">
        <w:t xml:space="preserve">Parents also mentioned </w:t>
      </w:r>
      <w:r w:rsidR="00161DA0" w:rsidRPr="008C1E5F">
        <w:t>X</w:t>
      </w:r>
      <w:r w:rsidR="001B7D9B" w:rsidRPr="008C1E5F">
        <w:t xml:space="preserve">, Facebook, and </w:t>
      </w:r>
      <w:r w:rsidR="008B4C77" w:rsidRPr="008C1E5F">
        <w:t xml:space="preserve">email as avenues of communication from the district and schools. </w:t>
      </w:r>
      <w:r w:rsidR="00161DA0" w:rsidRPr="008C1E5F">
        <w:t xml:space="preserve">Although </w:t>
      </w:r>
      <w:r w:rsidR="00F82C38" w:rsidRPr="008C1E5F">
        <w:t xml:space="preserve">parents generally felt that the district </w:t>
      </w:r>
      <w:r w:rsidR="008B4C77" w:rsidRPr="008C1E5F">
        <w:t xml:space="preserve">does </w:t>
      </w:r>
      <w:r w:rsidR="00254FB5" w:rsidRPr="008C1E5F">
        <w:t xml:space="preserve">a good job of </w:t>
      </w:r>
      <w:r w:rsidR="000A4297" w:rsidRPr="008C1E5F">
        <w:t>providing general updates</w:t>
      </w:r>
      <w:r w:rsidR="00A80D40" w:rsidRPr="008C1E5F">
        <w:t xml:space="preserve">, some expressed a desire for more </w:t>
      </w:r>
      <w:r w:rsidR="00C64A0D" w:rsidRPr="008C1E5F">
        <w:t xml:space="preserve">frequent and </w:t>
      </w:r>
      <w:r w:rsidR="00A80D40" w:rsidRPr="008C1E5F">
        <w:t>specific information about their child</w:t>
      </w:r>
      <w:r w:rsidR="00C64A0D" w:rsidRPr="008C1E5F">
        <w:t>’s performance</w:t>
      </w:r>
      <w:r w:rsidR="00A80D40" w:rsidRPr="008C1E5F">
        <w:t>.</w:t>
      </w:r>
      <w:r w:rsidR="00C64A0D" w:rsidRPr="008C1E5F">
        <w:t xml:space="preserve"> </w:t>
      </w:r>
      <w:r w:rsidR="00FA1B6B" w:rsidRPr="008C1E5F">
        <w:t>Additionally</w:t>
      </w:r>
      <w:r w:rsidR="00431BA7" w:rsidRPr="008C1E5F">
        <w:t xml:space="preserve">, </w:t>
      </w:r>
      <w:r w:rsidR="00FA1B6B" w:rsidRPr="008C1E5F">
        <w:t>parents reported</w:t>
      </w:r>
      <w:r w:rsidR="00431BA7" w:rsidRPr="008C1E5F">
        <w:t xml:space="preserve"> that </w:t>
      </w:r>
      <w:r w:rsidR="00E15C76" w:rsidRPr="008C1E5F">
        <w:t>translators are not always provided for in-person events</w:t>
      </w:r>
      <w:r w:rsidR="003B240F" w:rsidRPr="008C1E5F">
        <w:t xml:space="preserve">. </w:t>
      </w:r>
    </w:p>
    <w:p w14:paraId="2BAC75B8" w14:textId="389A0BDE" w:rsidR="00DA1EDD" w:rsidRPr="008C1E5F" w:rsidRDefault="007C2EE4" w:rsidP="004320EF">
      <w:pPr>
        <w:pStyle w:val="BodyText"/>
      </w:pPr>
      <w:r w:rsidRPr="008C1E5F">
        <w:t xml:space="preserve">In terms of </w:t>
      </w:r>
      <w:r w:rsidR="007C68FE" w:rsidRPr="008C1E5F">
        <w:t xml:space="preserve">gathering feedback from </w:t>
      </w:r>
      <w:r w:rsidR="005D3941" w:rsidRPr="008C1E5F">
        <w:t>families, parents agree</w:t>
      </w:r>
      <w:r w:rsidR="00161DA0" w:rsidRPr="008C1E5F">
        <w:t>d</w:t>
      </w:r>
      <w:r w:rsidR="005D3941" w:rsidRPr="008C1E5F">
        <w:t xml:space="preserve"> that they receive </w:t>
      </w:r>
      <w:r w:rsidR="00EF1DAC" w:rsidRPr="008C1E5F">
        <w:t xml:space="preserve">the </w:t>
      </w:r>
      <w:r w:rsidR="00161DA0" w:rsidRPr="008C1E5F">
        <w:t>CFL</w:t>
      </w:r>
      <w:r w:rsidR="001B40EA" w:rsidRPr="008C1E5F">
        <w:t xml:space="preserve"> survey on a regular basis. </w:t>
      </w:r>
      <w:r w:rsidR="003A17C8">
        <w:t xml:space="preserve">The district has an active SEPAC, although </w:t>
      </w:r>
      <w:r w:rsidR="007A7394">
        <w:t xml:space="preserve">there were conflicting reports about the </w:t>
      </w:r>
      <w:r w:rsidR="00AC6258">
        <w:t>presence</w:t>
      </w:r>
      <w:r w:rsidR="00290E4D">
        <w:t xml:space="preserve"> of an ELPAC</w:t>
      </w:r>
      <w:r w:rsidR="00AC6258">
        <w:t>. The SEPAC</w:t>
      </w:r>
      <w:r w:rsidR="008C59ED">
        <w:t xml:space="preserve"> is advertised on the district’s website, </w:t>
      </w:r>
      <w:r w:rsidR="00334ABD" w:rsidRPr="008C1E5F">
        <w:t xml:space="preserve">meets monthly, </w:t>
      </w:r>
      <w:r w:rsidR="008C59ED">
        <w:t>and invites</w:t>
      </w:r>
      <w:r w:rsidR="008C59ED" w:rsidRPr="008C1E5F">
        <w:t xml:space="preserve"> </w:t>
      </w:r>
      <w:r w:rsidR="00334ABD" w:rsidRPr="008C1E5F">
        <w:t>d</w:t>
      </w:r>
      <w:r w:rsidR="00ED6052" w:rsidRPr="008C1E5F">
        <w:t>ifferent speakers to present at events</w:t>
      </w:r>
      <w:r w:rsidR="00334ABD" w:rsidRPr="008C1E5F">
        <w:t>. Additionally,</w:t>
      </w:r>
      <w:r w:rsidR="00ED6052" w:rsidRPr="008C1E5F">
        <w:t xml:space="preserve"> the district administers surveys to better encourage parent engagement</w:t>
      </w:r>
      <w:r w:rsidR="003F0C21">
        <w:t xml:space="preserve"> in the SEPAC</w:t>
      </w:r>
      <w:r w:rsidR="00ED6052" w:rsidRPr="008C1E5F">
        <w:t xml:space="preserve">. </w:t>
      </w:r>
      <w:r w:rsidR="00334ABD" w:rsidRPr="008C1E5F">
        <w:t>However, according to a district leader, “[</w:t>
      </w:r>
      <w:r w:rsidR="00161DA0" w:rsidRPr="008C1E5F">
        <w:t>A</w:t>
      </w:r>
      <w:r w:rsidR="00334ABD" w:rsidRPr="008C1E5F">
        <w:t xml:space="preserve">ttendance] </w:t>
      </w:r>
      <w:r w:rsidR="00334ABD" w:rsidRPr="008C1E5F">
        <w:lastRenderedPageBreak/>
        <w:t>really ebbs and flows</w:t>
      </w:r>
      <w:r w:rsidR="00480185" w:rsidRPr="008C1E5F">
        <w:t>,” and district leaders are trying to encourage more virtual options for families during the winter months when</w:t>
      </w:r>
      <w:r w:rsidR="00F77976" w:rsidRPr="008C1E5F">
        <w:t xml:space="preserve"> attendance </w:t>
      </w:r>
      <w:r w:rsidR="00480185" w:rsidRPr="008C1E5F">
        <w:t xml:space="preserve">is especially poor. </w:t>
      </w:r>
      <w:r w:rsidR="004411EA">
        <w:t xml:space="preserve">The </w:t>
      </w:r>
      <w:r w:rsidR="00533AA8">
        <w:t xml:space="preserve">ELPAC is reportedly very limited, </w:t>
      </w:r>
      <w:r w:rsidR="000969EA">
        <w:t>is not advertised or promoted on the district’s website</w:t>
      </w:r>
      <w:r w:rsidR="00FE6ACE">
        <w:t>, and does not represent the large number of English Learners in the district. Consistently e</w:t>
      </w:r>
      <w:r w:rsidR="00480185" w:rsidRPr="008C1E5F">
        <w:t>stablishing</w:t>
      </w:r>
      <w:r w:rsidR="00F13EE1" w:rsidRPr="008C1E5F">
        <w:t xml:space="preserve"> an </w:t>
      </w:r>
      <w:r w:rsidR="00846B96" w:rsidRPr="008C1E5F">
        <w:t xml:space="preserve">ELPAC and </w:t>
      </w:r>
      <w:r w:rsidR="00AE5C0D" w:rsidRPr="008C1E5F">
        <w:t xml:space="preserve">increasing SEPAC participation is an area </w:t>
      </w:r>
      <w:r w:rsidR="00BD62F1" w:rsidRPr="008C1E5F">
        <w:t xml:space="preserve">for </w:t>
      </w:r>
      <w:r w:rsidR="00AE5C0D" w:rsidRPr="008C1E5F">
        <w:t>growth for the district.</w:t>
      </w:r>
    </w:p>
    <w:p w14:paraId="07D41BB2" w14:textId="47270824" w:rsidR="00AC6547" w:rsidRPr="008C1E5F" w:rsidRDefault="0051726E" w:rsidP="004320EF">
      <w:pPr>
        <w:pStyle w:val="BodyText"/>
      </w:pPr>
      <w:r w:rsidRPr="008C1E5F">
        <w:t xml:space="preserve">Regarding community partnerships, </w:t>
      </w:r>
      <w:r w:rsidR="004C4B73" w:rsidRPr="008C1E5F">
        <w:t>d</w:t>
      </w:r>
      <w:r w:rsidR="00E968C2" w:rsidRPr="008C1E5F">
        <w:t>istrict staff</w:t>
      </w:r>
      <w:r w:rsidR="007A5260" w:rsidRPr="008C1E5F">
        <w:t>,</w:t>
      </w:r>
      <w:r w:rsidR="00E968C2" w:rsidRPr="008C1E5F">
        <w:t xml:space="preserve"> school leaders</w:t>
      </w:r>
      <w:r w:rsidR="007A5260" w:rsidRPr="008C1E5F">
        <w:t>, staff</w:t>
      </w:r>
      <w:r w:rsidR="00D402A3" w:rsidRPr="008C1E5F">
        <w:t>,</w:t>
      </w:r>
      <w:r w:rsidR="007A5260" w:rsidRPr="008C1E5F">
        <w:t xml:space="preserve"> and parents</w:t>
      </w:r>
      <w:r w:rsidR="00E968C2" w:rsidRPr="008C1E5F">
        <w:t xml:space="preserve"> reported that the district maintains relationships with organizations in </w:t>
      </w:r>
      <w:r w:rsidRPr="008C1E5F">
        <w:t>the</w:t>
      </w:r>
      <w:r w:rsidR="00E968C2" w:rsidRPr="008C1E5F">
        <w:t xml:space="preserve"> community to provide services and enriching experiences to students and families during and outside of the school day.</w:t>
      </w:r>
      <w:r w:rsidR="00991973" w:rsidRPr="008C1E5F">
        <w:t xml:space="preserve"> </w:t>
      </w:r>
      <w:r w:rsidR="005C5EA3" w:rsidRPr="008C1E5F">
        <w:t xml:space="preserve">In addition to the health and wellness programs </w:t>
      </w:r>
      <w:r w:rsidR="00547513" w:rsidRPr="008C1E5F">
        <w:t>discussed</w:t>
      </w:r>
      <w:r w:rsidR="005C5EA3" w:rsidRPr="008C1E5F">
        <w:t xml:space="preserve"> above</w:t>
      </w:r>
      <w:r w:rsidR="00ED68C6" w:rsidRPr="008C1E5F">
        <w:t xml:space="preserve"> (see </w:t>
      </w:r>
      <w:r w:rsidR="009F0852" w:rsidRPr="008C1E5F">
        <w:t>Health and Well</w:t>
      </w:r>
      <w:r w:rsidR="00D402A3" w:rsidRPr="008C1E5F">
        <w:t>-</w:t>
      </w:r>
      <w:r w:rsidR="009F0852" w:rsidRPr="008C1E5F">
        <w:t>being)</w:t>
      </w:r>
      <w:r w:rsidR="005C5EA3" w:rsidRPr="008C1E5F">
        <w:t xml:space="preserve">, </w:t>
      </w:r>
      <w:r w:rsidR="00547513" w:rsidRPr="008C1E5F">
        <w:t xml:space="preserve">district staff mentioned </w:t>
      </w:r>
      <w:r w:rsidR="005C5EA3" w:rsidRPr="008C1E5F">
        <w:t>community p</w:t>
      </w:r>
      <w:r w:rsidR="004F524E" w:rsidRPr="008C1E5F">
        <w:t xml:space="preserve">artnerships </w:t>
      </w:r>
      <w:r w:rsidR="00547513" w:rsidRPr="008C1E5F">
        <w:t xml:space="preserve">with </w:t>
      </w:r>
      <w:r w:rsidR="008B79A5" w:rsidRPr="008C1E5F">
        <w:t>the Children’s Advocacy Center</w:t>
      </w:r>
      <w:r w:rsidR="00F34136" w:rsidRPr="008C1E5F">
        <w:t>, which works with students experiencing abuse or neglect</w:t>
      </w:r>
      <w:r w:rsidR="00634E07" w:rsidRPr="008C1E5F">
        <w:t xml:space="preserve">; Youth Court, which is </w:t>
      </w:r>
      <w:r w:rsidR="004F2025" w:rsidRPr="008C1E5F">
        <w:t>a</w:t>
      </w:r>
      <w:r w:rsidR="00634E07" w:rsidRPr="008C1E5F">
        <w:t xml:space="preserve"> school suspension alternative program;</w:t>
      </w:r>
      <w:r w:rsidR="00547513" w:rsidRPr="008C1E5F">
        <w:t xml:space="preserve"> and the </w:t>
      </w:r>
      <w:r w:rsidR="004536C7" w:rsidRPr="008C1E5F">
        <w:t>local police department</w:t>
      </w:r>
      <w:r w:rsidR="00547513" w:rsidRPr="008C1E5F">
        <w:t>.</w:t>
      </w:r>
      <w:r w:rsidR="00B276C5" w:rsidRPr="008C1E5F">
        <w:t xml:space="preserve"> </w:t>
      </w:r>
      <w:r w:rsidR="00D16D76" w:rsidRPr="008C1E5F">
        <w:t xml:space="preserve">School leaders </w:t>
      </w:r>
      <w:r w:rsidR="00634E07" w:rsidRPr="008C1E5F">
        <w:t>also</w:t>
      </w:r>
      <w:r w:rsidR="00D16D76" w:rsidRPr="008C1E5F">
        <w:t xml:space="preserve"> mentioned partnerships with Full Plate Project </w:t>
      </w:r>
      <w:r w:rsidR="009D6A3C" w:rsidRPr="008C1E5F">
        <w:t xml:space="preserve">and </w:t>
      </w:r>
      <w:r w:rsidR="002D2FE3" w:rsidRPr="008C1E5F">
        <w:t>Stop</w:t>
      </w:r>
      <w:r w:rsidR="009D6A3C" w:rsidRPr="008C1E5F">
        <w:t xml:space="preserve"> and Shop for food support </w:t>
      </w:r>
      <w:r w:rsidR="009D3A2D" w:rsidRPr="008C1E5F">
        <w:t xml:space="preserve">as well as </w:t>
      </w:r>
      <w:r w:rsidR="001B5DE4" w:rsidRPr="008C1E5F">
        <w:t>the YMCA and Boys and Girls Club for</w:t>
      </w:r>
      <w:r w:rsidR="009D3A2D" w:rsidRPr="008C1E5F">
        <w:t xml:space="preserve"> </w:t>
      </w:r>
      <w:r w:rsidR="009D6A3C" w:rsidRPr="008C1E5F">
        <w:t>before</w:t>
      </w:r>
      <w:r w:rsidR="00D402A3" w:rsidRPr="008C1E5F">
        <w:t>-</w:t>
      </w:r>
      <w:r w:rsidR="009D6A3C" w:rsidRPr="008C1E5F">
        <w:t xml:space="preserve"> and </w:t>
      </w:r>
      <w:proofErr w:type="gramStart"/>
      <w:r w:rsidR="009D6A3C" w:rsidRPr="008C1E5F">
        <w:t>afterschool</w:t>
      </w:r>
      <w:proofErr w:type="gramEnd"/>
      <w:r w:rsidR="009D6A3C" w:rsidRPr="008C1E5F">
        <w:t xml:space="preserve"> programs. </w:t>
      </w:r>
      <w:r w:rsidR="00991973" w:rsidRPr="008C1E5F">
        <w:t xml:space="preserve">Every school has at least </w:t>
      </w:r>
      <w:r w:rsidR="0020171C" w:rsidRPr="008C1E5F">
        <w:t xml:space="preserve">one community facilitator who maintains these partnerships and </w:t>
      </w:r>
      <w:r w:rsidR="006129B2" w:rsidRPr="008C1E5F">
        <w:t>help</w:t>
      </w:r>
      <w:r w:rsidR="00D402A3" w:rsidRPr="008C1E5F">
        <w:t>s</w:t>
      </w:r>
      <w:r w:rsidR="006129B2" w:rsidRPr="008C1E5F">
        <w:t xml:space="preserve"> students and parents access </w:t>
      </w:r>
      <w:r w:rsidR="00001B15" w:rsidRPr="008C1E5F">
        <w:t xml:space="preserve">the </w:t>
      </w:r>
      <w:r w:rsidR="006129B2" w:rsidRPr="008C1E5F">
        <w:t xml:space="preserve">resources </w:t>
      </w:r>
      <w:r w:rsidR="00001B15" w:rsidRPr="008C1E5F">
        <w:t>they</w:t>
      </w:r>
      <w:r w:rsidR="006129B2" w:rsidRPr="008C1E5F">
        <w:t xml:space="preserve"> need</w:t>
      </w:r>
      <w:r w:rsidR="00935ADC" w:rsidRPr="008C1E5F">
        <w:t>,</w:t>
      </w:r>
      <w:r w:rsidR="00405208" w:rsidRPr="008C1E5F">
        <w:t xml:space="preserve"> </w:t>
      </w:r>
      <w:r w:rsidR="00D402A3" w:rsidRPr="008C1E5F">
        <w:t xml:space="preserve">which is </w:t>
      </w:r>
      <w:r w:rsidR="00405208" w:rsidRPr="008C1E5F">
        <w:t>a strength of the district. S</w:t>
      </w:r>
      <w:r w:rsidR="00935ADC" w:rsidRPr="008C1E5F">
        <w:t xml:space="preserve">chool leaders </w:t>
      </w:r>
      <w:r w:rsidR="00405208" w:rsidRPr="008C1E5F">
        <w:t xml:space="preserve">also </w:t>
      </w:r>
      <w:r w:rsidR="00935ADC" w:rsidRPr="008C1E5F">
        <w:t xml:space="preserve">reported that </w:t>
      </w:r>
      <w:r w:rsidR="00405208" w:rsidRPr="008C1E5F">
        <w:t xml:space="preserve">many of the </w:t>
      </w:r>
      <w:r w:rsidR="00935ADC" w:rsidRPr="008C1E5F">
        <w:t>community facilitators are bilingual in Spanish and/or Portuguese</w:t>
      </w:r>
      <w:r w:rsidR="00B276C5" w:rsidRPr="008C1E5F">
        <w:t>.</w:t>
      </w:r>
      <w:r w:rsidR="00A446CF" w:rsidRPr="008C1E5F">
        <w:t xml:space="preserve"> </w:t>
      </w:r>
    </w:p>
    <w:p w14:paraId="73D35C5F" w14:textId="15E07FA0" w:rsidR="00E968C2" w:rsidRPr="008C1E5F" w:rsidRDefault="00170218" w:rsidP="004320EF">
      <w:pPr>
        <w:pStyle w:val="BodyText"/>
      </w:pPr>
      <w:r w:rsidRPr="008C1E5F">
        <w:t xml:space="preserve">According to the district website, </w:t>
      </w:r>
      <w:r w:rsidR="00BA43E9" w:rsidRPr="008C1E5F">
        <w:t xml:space="preserve">the Parent and Community Engagement Center </w:t>
      </w:r>
      <w:r w:rsidR="00382587" w:rsidRPr="008C1E5F">
        <w:t xml:space="preserve">serves as a central </w:t>
      </w:r>
      <w:r w:rsidR="00DB2061" w:rsidRPr="008C1E5F">
        <w:t xml:space="preserve">clearinghouse </w:t>
      </w:r>
      <w:r w:rsidR="004F524E" w:rsidRPr="008C1E5F">
        <w:t>for information on community supports.</w:t>
      </w:r>
      <w:r w:rsidR="004E2918" w:rsidRPr="008C1E5F">
        <w:t xml:space="preserve"> </w:t>
      </w:r>
      <w:r w:rsidR="00474CBF" w:rsidRPr="008C1E5F">
        <w:t>The district</w:t>
      </w:r>
      <w:r w:rsidR="004E2918" w:rsidRPr="008C1E5F">
        <w:t xml:space="preserve"> run</w:t>
      </w:r>
      <w:r w:rsidR="00474CBF" w:rsidRPr="008C1E5F">
        <w:t>s</w:t>
      </w:r>
      <w:r w:rsidR="004E2918" w:rsidRPr="008C1E5F">
        <w:t xml:space="preserve"> the Family and Community Engagement program, </w:t>
      </w:r>
      <w:r w:rsidR="00F41992" w:rsidRPr="008C1E5F">
        <w:t xml:space="preserve">which offers </w:t>
      </w:r>
      <w:r w:rsidR="00826EFC" w:rsidRPr="008C1E5F">
        <w:t xml:space="preserve">wellness </w:t>
      </w:r>
      <w:r w:rsidR="00F41992" w:rsidRPr="008C1E5F">
        <w:t>workshops</w:t>
      </w:r>
      <w:r w:rsidR="00826EFC" w:rsidRPr="008C1E5F">
        <w:t xml:space="preserve">, </w:t>
      </w:r>
      <w:r w:rsidR="00976E3E" w:rsidRPr="008C1E5F">
        <w:t xml:space="preserve">adult </w:t>
      </w:r>
      <w:r w:rsidR="00826EFC" w:rsidRPr="008C1E5F">
        <w:t xml:space="preserve">English </w:t>
      </w:r>
      <w:r w:rsidR="00292C00" w:rsidRPr="008C1E5F">
        <w:t xml:space="preserve">classes, </w:t>
      </w:r>
      <w:r w:rsidR="008A2022" w:rsidRPr="008C1E5F">
        <w:t xml:space="preserve">and </w:t>
      </w:r>
      <w:r w:rsidR="00C84346" w:rsidRPr="008C1E5F">
        <w:t xml:space="preserve">assistance with </w:t>
      </w:r>
      <w:r w:rsidR="00306423" w:rsidRPr="008C1E5F">
        <w:t>state and federal benefit applications</w:t>
      </w:r>
      <w:r w:rsidR="008A2022" w:rsidRPr="008C1E5F">
        <w:t>.</w:t>
      </w:r>
      <w:r w:rsidR="00F41992" w:rsidRPr="008C1E5F">
        <w:t xml:space="preserve"> </w:t>
      </w:r>
      <w:r w:rsidR="00286C20" w:rsidRPr="008C1E5F">
        <w:t xml:space="preserve">The district invites these community partners to attend schools’ open houses to increase parental awareness of the support available. </w:t>
      </w:r>
      <w:r w:rsidR="00A303A6" w:rsidRPr="008C1E5F">
        <w:t xml:space="preserve">Parents </w:t>
      </w:r>
      <w:r w:rsidR="0063521A" w:rsidRPr="008C1E5F">
        <w:t xml:space="preserve">agreed that </w:t>
      </w:r>
      <w:r w:rsidR="00286C20" w:rsidRPr="008C1E5F">
        <w:t>they were knowledgeable of the</w:t>
      </w:r>
      <w:r w:rsidR="0063521A" w:rsidRPr="008C1E5F">
        <w:t xml:space="preserve"> services available and </w:t>
      </w:r>
      <w:r w:rsidR="00A303A6" w:rsidRPr="008C1E5F">
        <w:t xml:space="preserve">that they felt generally supported by district and school staff when they </w:t>
      </w:r>
      <w:r w:rsidR="00070BE1" w:rsidRPr="008C1E5F">
        <w:t>needed</w:t>
      </w:r>
      <w:r w:rsidR="0063521A" w:rsidRPr="008C1E5F">
        <w:t xml:space="preserve"> help</w:t>
      </w:r>
      <w:r w:rsidR="00530EB8" w:rsidRPr="008C1E5F">
        <w:t>. One</w:t>
      </w:r>
      <w:r w:rsidR="0063521A" w:rsidRPr="008C1E5F">
        <w:t xml:space="preserve"> parent new to the district mentioned that they were asked </w:t>
      </w:r>
      <w:r w:rsidR="00432ADB" w:rsidRPr="008C1E5F">
        <w:t xml:space="preserve">whether they needed assistance </w:t>
      </w:r>
      <w:r w:rsidR="00070BE1" w:rsidRPr="008C1E5F">
        <w:t>when they signed their child up for school</w:t>
      </w:r>
      <w:r w:rsidR="00DD0577" w:rsidRPr="008C1E5F">
        <w:t xml:space="preserve">. Others noted that </w:t>
      </w:r>
      <w:r w:rsidR="008F514F" w:rsidRPr="008C1E5F">
        <w:t xml:space="preserve">the </w:t>
      </w:r>
      <w:r w:rsidR="00D402A3" w:rsidRPr="008C1E5F">
        <w:t>CFL</w:t>
      </w:r>
      <w:r w:rsidR="008F514F" w:rsidRPr="008C1E5F">
        <w:t xml:space="preserve"> survey includes questions about </w:t>
      </w:r>
      <w:r w:rsidR="000B7EE0" w:rsidRPr="008C1E5F">
        <w:t xml:space="preserve">needing help, and the adjustment </w:t>
      </w:r>
      <w:r w:rsidR="00A652EA" w:rsidRPr="008C1E5F">
        <w:t>counselors</w:t>
      </w:r>
      <w:r w:rsidR="00833EB0" w:rsidRPr="008C1E5F">
        <w:t xml:space="preserve"> or parent center</w:t>
      </w:r>
      <w:r w:rsidR="00A652EA" w:rsidRPr="008C1E5F">
        <w:t xml:space="preserve"> reach</w:t>
      </w:r>
      <w:r w:rsidR="00D402A3" w:rsidRPr="008C1E5F">
        <w:t>es</w:t>
      </w:r>
      <w:r w:rsidR="00A652EA" w:rsidRPr="008C1E5F">
        <w:t xml:space="preserve"> out in </w:t>
      </w:r>
      <w:r w:rsidR="00C106FA" w:rsidRPr="008C1E5F">
        <w:t>response.</w:t>
      </w:r>
      <w:r w:rsidR="00A652EA" w:rsidRPr="008C1E5F">
        <w:t xml:space="preserve"> </w:t>
      </w:r>
    </w:p>
    <w:p w14:paraId="4142D4E9" w14:textId="570E0646" w:rsidR="005F7A41" w:rsidRPr="008C1E5F" w:rsidRDefault="00E968C2" w:rsidP="004320EF">
      <w:pPr>
        <w:pStyle w:val="BodyText"/>
      </w:pPr>
      <w:r w:rsidRPr="008C1E5F">
        <w:t>According to schools’ student services leads, the</w:t>
      </w:r>
      <w:r w:rsidR="00447B8D" w:rsidRPr="008C1E5F">
        <w:t xml:space="preserve"> district reviews their community partnerships annually</w:t>
      </w:r>
      <w:r w:rsidR="00CE50BF" w:rsidRPr="008C1E5F">
        <w:t xml:space="preserve"> </w:t>
      </w:r>
      <w:r w:rsidR="00905CD9" w:rsidRPr="008C1E5F">
        <w:t>pertaining to</w:t>
      </w:r>
      <w:r w:rsidR="0055594C" w:rsidRPr="008C1E5F">
        <w:t xml:space="preserve"> “their outcomes as it relates to the contract we signed with them</w:t>
      </w:r>
      <w:r w:rsidR="00447B8D" w:rsidRPr="008C1E5F">
        <w:t>.</w:t>
      </w:r>
      <w:r w:rsidR="0055594C" w:rsidRPr="008C1E5F">
        <w:t>”</w:t>
      </w:r>
      <w:r w:rsidR="00447B8D" w:rsidRPr="008C1E5F">
        <w:t xml:space="preserve"> </w:t>
      </w:r>
      <w:r w:rsidR="00150E3F" w:rsidRPr="008C1E5F">
        <w:t>As one district leader described</w:t>
      </w:r>
      <w:r w:rsidR="00EE0374" w:rsidRPr="008C1E5F">
        <w:t xml:space="preserve"> the process, “</w:t>
      </w:r>
      <w:r w:rsidR="00D402A3" w:rsidRPr="008C1E5F">
        <w:t>W</w:t>
      </w:r>
      <w:r w:rsidR="00150E3F" w:rsidRPr="008C1E5F">
        <w:t>e do become a bit reliant on some of the data [the community partners] provide because it’s not da</w:t>
      </w:r>
      <w:r w:rsidR="00EE0374" w:rsidRPr="008C1E5F">
        <w:t>t</w:t>
      </w:r>
      <w:r w:rsidR="00150E3F" w:rsidRPr="008C1E5F">
        <w:t>a that we see in our student information system</w:t>
      </w:r>
      <w:r w:rsidR="00EE0374" w:rsidRPr="008C1E5F">
        <w:t>, but we can see the correlation of the outcomes of their services to the needs of our students.”</w:t>
      </w:r>
      <w:r w:rsidR="004C4B73" w:rsidRPr="008C1E5F">
        <w:t xml:space="preserve"> The district’s partnerships with community organizations, proactive outreach to families to connect them with </w:t>
      </w:r>
      <w:r w:rsidR="00537CE6" w:rsidRPr="008C1E5F">
        <w:t>support</w:t>
      </w:r>
      <w:r w:rsidR="004C4B73" w:rsidRPr="008C1E5F">
        <w:t xml:space="preserve">, and </w:t>
      </w:r>
      <w:r w:rsidR="009E32B1" w:rsidRPr="008C1E5F">
        <w:t xml:space="preserve">annual review </w:t>
      </w:r>
      <w:r w:rsidR="00537CE6" w:rsidRPr="008C1E5F">
        <w:t xml:space="preserve">to ensure the partnership is working as intended </w:t>
      </w:r>
      <w:r w:rsidR="00D402A3" w:rsidRPr="008C1E5F">
        <w:t>are</w:t>
      </w:r>
      <w:r w:rsidR="004C4B73" w:rsidRPr="008C1E5F">
        <w:t xml:space="preserve"> strength</w:t>
      </w:r>
      <w:r w:rsidR="00D402A3" w:rsidRPr="008C1E5F">
        <w:t>s</w:t>
      </w:r>
      <w:r w:rsidR="004C4B73" w:rsidRPr="008C1E5F">
        <w:t xml:space="preserve"> of the district.</w:t>
      </w:r>
    </w:p>
    <w:p w14:paraId="5D523900" w14:textId="42EF5AED" w:rsidR="005F7A41" w:rsidRPr="008C1E5F" w:rsidRDefault="005F7A41" w:rsidP="005F7A41">
      <w:pPr>
        <w:pStyle w:val="Heading3"/>
      </w:pPr>
      <w:bookmarkStart w:id="108" w:name="_Multi-Tiered_Systems_of"/>
      <w:bookmarkStart w:id="109" w:name="_Toc195024235"/>
      <w:bookmarkEnd w:id="108"/>
      <w:r w:rsidRPr="008C1E5F">
        <w:t>Multi</w:t>
      </w:r>
      <w:r w:rsidR="00D3572F" w:rsidRPr="008C1E5F">
        <w:t>t</w:t>
      </w:r>
      <w:r w:rsidRPr="008C1E5F">
        <w:t>iered Systems of Support</w:t>
      </w:r>
      <w:bookmarkEnd w:id="109"/>
    </w:p>
    <w:p w14:paraId="1762E646" w14:textId="3A08A4A6" w:rsidR="008F30EB" w:rsidRPr="008C1E5F" w:rsidRDefault="0052783C" w:rsidP="004320EF">
      <w:pPr>
        <w:pStyle w:val="BodyTextposthead"/>
      </w:pPr>
      <w:r w:rsidRPr="008C1E5F">
        <w:t>The district is working to</w:t>
      </w:r>
      <w:r w:rsidR="00667C94" w:rsidRPr="008C1E5F">
        <w:t xml:space="preserve"> improve </w:t>
      </w:r>
      <w:r w:rsidR="00D402A3" w:rsidRPr="008C1E5F">
        <w:t xml:space="preserve">its </w:t>
      </w:r>
      <w:r w:rsidR="00667C94" w:rsidRPr="008C1E5F">
        <w:t>MTSS framework across schools</w:t>
      </w:r>
      <w:r w:rsidR="00EC651B" w:rsidRPr="008C1E5F">
        <w:t>. The district provides</w:t>
      </w:r>
      <w:r w:rsidR="00EC651B" w:rsidRPr="008C1E5F">
        <w:rPr>
          <w:b/>
          <w:i/>
        </w:rPr>
        <w:t xml:space="preserve"> </w:t>
      </w:r>
      <w:r w:rsidR="00EC651B" w:rsidRPr="008C1E5F">
        <w:t xml:space="preserve">guidance for school leaders </w:t>
      </w:r>
      <w:r w:rsidR="00D402A3" w:rsidRPr="008C1E5F">
        <w:t xml:space="preserve">on </w:t>
      </w:r>
      <w:r w:rsidR="00EC651B" w:rsidRPr="008C1E5F">
        <w:t xml:space="preserve">how to implement each component of MTSS via the </w:t>
      </w:r>
      <w:r w:rsidR="00D634E9" w:rsidRPr="008C1E5F">
        <w:t>DCAP</w:t>
      </w:r>
      <w:r w:rsidR="00917610" w:rsidRPr="008C1E5F">
        <w:t xml:space="preserve">, </w:t>
      </w:r>
      <w:r w:rsidR="00D634E9" w:rsidRPr="008C1E5F">
        <w:t>although</w:t>
      </w:r>
      <w:r w:rsidR="00917610" w:rsidRPr="008C1E5F">
        <w:t xml:space="preserve"> thi</w:t>
      </w:r>
      <w:r w:rsidR="002275EB" w:rsidRPr="008C1E5F">
        <w:t xml:space="preserve">s document was not referenced in interviews or focus groups. Teachers, leaders, and support staff </w:t>
      </w:r>
      <w:r w:rsidR="00F85A77" w:rsidRPr="008C1E5F">
        <w:t>described</w:t>
      </w:r>
      <w:r w:rsidR="00C37535" w:rsidRPr="008C1E5F">
        <w:t xml:space="preserve"> </w:t>
      </w:r>
      <w:r w:rsidR="00BB3907" w:rsidRPr="008C1E5F">
        <w:t>tiered</w:t>
      </w:r>
      <w:r w:rsidR="00F14FAA" w:rsidRPr="008C1E5F">
        <w:t xml:space="preserve"> interventions</w:t>
      </w:r>
      <w:r w:rsidR="00BB3907" w:rsidRPr="008C1E5F">
        <w:t xml:space="preserve"> </w:t>
      </w:r>
      <w:r w:rsidR="0087664F" w:rsidRPr="008C1E5F">
        <w:t xml:space="preserve">and the processes to identify students who need further support. </w:t>
      </w:r>
      <w:r w:rsidR="00911D7D" w:rsidRPr="008C1E5F">
        <w:t xml:space="preserve">As discussed </w:t>
      </w:r>
      <w:r w:rsidR="00D402A3" w:rsidRPr="008C1E5F">
        <w:t xml:space="preserve">earlier </w:t>
      </w:r>
      <w:r w:rsidR="00911D7D" w:rsidRPr="008C1E5F">
        <w:t>in Curriculum</w:t>
      </w:r>
      <w:r w:rsidR="00626401" w:rsidRPr="008C1E5F">
        <w:t xml:space="preserve"> and Instruction</w:t>
      </w:r>
      <w:r w:rsidR="00F34DF4" w:rsidRPr="008C1E5F">
        <w:t>,</w:t>
      </w:r>
      <w:r w:rsidR="006D37D9" w:rsidRPr="008C1E5F">
        <w:t xml:space="preserve"> the current MTSS model was first </w:t>
      </w:r>
      <w:r w:rsidR="00F67819" w:rsidRPr="008C1E5F">
        <w:t>refined</w:t>
      </w:r>
      <w:r w:rsidR="006D37D9" w:rsidRPr="008C1E5F">
        <w:t xml:space="preserve"> at Talbot </w:t>
      </w:r>
      <w:r w:rsidR="006D37D9" w:rsidRPr="008C1E5F">
        <w:lastRenderedPageBreak/>
        <w:t xml:space="preserve">Middle School using </w:t>
      </w:r>
      <w:r w:rsidR="00F67819" w:rsidRPr="008C1E5F">
        <w:t xml:space="preserve">the </w:t>
      </w:r>
      <w:r w:rsidR="006D37D9" w:rsidRPr="008C1E5F">
        <w:t>GLEAM grant</w:t>
      </w:r>
      <w:r w:rsidR="00EC2A6A" w:rsidRPr="008C1E5F">
        <w:t xml:space="preserve"> and </w:t>
      </w:r>
      <w:r w:rsidR="00D402A3" w:rsidRPr="008C1E5F">
        <w:t xml:space="preserve">the </w:t>
      </w:r>
      <w:r w:rsidR="00EC2A6A" w:rsidRPr="008C1E5F">
        <w:t>Intensive Assistance Grant</w:t>
      </w:r>
      <w:r w:rsidR="006D37D9" w:rsidRPr="008C1E5F">
        <w:t xml:space="preserve">, </w:t>
      </w:r>
      <w:r w:rsidR="00F34DF4" w:rsidRPr="008C1E5F">
        <w:t>starting with universal</w:t>
      </w:r>
      <w:r w:rsidR="006D37D9" w:rsidRPr="008C1E5F">
        <w:t xml:space="preserve"> screening </w:t>
      </w:r>
      <w:r w:rsidR="00F34DF4" w:rsidRPr="008C1E5F">
        <w:t xml:space="preserve">using MAZE </w:t>
      </w:r>
      <w:r w:rsidR="008F1144" w:rsidRPr="008C1E5F">
        <w:t>and moving to more targeted screeners as necessary.</w:t>
      </w:r>
      <w:r w:rsidR="006D37D9" w:rsidRPr="008C1E5F">
        <w:t xml:space="preserve"> </w:t>
      </w:r>
      <w:r w:rsidR="002C5E32" w:rsidRPr="008C1E5F">
        <w:t xml:space="preserve">According to district leaders, the </w:t>
      </w:r>
      <w:r w:rsidR="00C947C9" w:rsidRPr="008C1E5F">
        <w:t>pilot has now expanded to other middle schools</w:t>
      </w:r>
      <w:r w:rsidR="007A412B">
        <w:t xml:space="preserve">, with </w:t>
      </w:r>
      <w:proofErr w:type="gramStart"/>
      <w:r w:rsidR="007A412B">
        <w:t>future plans</w:t>
      </w:r>
      <w:proofErr w:type="gramEnd"/>
      <w:r w:rsidR="007A412B">
        <w:t xml:space="preserve"> to expand further to other grade levels</w:t>
      </w:r>
      <w:r w:rsidR="001918E2" w:rsidRPr="008C1E5F">
        <w:t xml:space="preserve">. </w:t>
      </w:r>
      <w:r w:rsidR="00D34E12" w:rsidRPr="008C1E5F">
        <w:t xml:space="preserve">The </w:t>
      </w:r>
      <w:r w:rsidR="008F30EB" w:rsidRPr="008C1E5F">
        <w:t xml:space="preserve">strategic utilization of grants to improve MTSS processes at other schools in the district is a strength. </w:t>
      </w:r>
    </w:p>
    <w:p w14:paraId="283EE73A" w14:textId="6624B224" w:rsidR="00E05888" w:rsidRPr="008C1E5F" w:rsidRDefault="00E0636E" w:rsidP="00E05888">
      <w:pPr>
        <w:pStyle w:val="BodyText"/>
      </w:pPr>
      <w:r w:rsidRPr="008C1E5F">
        <w:t xml:space="preserve">According to the DCAP, the district’s tiered system of support includes support for academic and social-emotional needs. Teachers and school staff </w:t>
      </w:r>
      <w:r w:rsidR="00BB5F56">
        <w:t xml:space="preserve">report </w:t>
      </w:r>
      <w:r w:rsidR="00B360DB">
        <w:t xml:space="preserve">that they </w:t>
      </w:r>
      <w:r w:rsidRPr="008C1E5F">
        <w:t>monitor the effectiveness of this system by meeting to review student data. In the elementary schools, these are called MTSS meetings or teacher assistant team meetings, where they create six</w:t>
      </w:r>
      <w:r w:rsidR="00D402A3" w:rsidRPr="008C1E5F">
        <w:t>-</w:t>
      </w:r>
      <w:r w:rsidRPr="008C1E5F">
        <w:t>week learning plans for students who need them, based on data from screeners such as DIBELS, i</w:t>
      </w:r>
      <w:r w:rsidR="00BD62F1" w:rsidRPr="008C1E5F">
        <w:t>-</w:t>
      </w:r>
      <w:r w:rsidRPr="008C1E5F">
        <w:t xml:space="preserve">Ready, and Satchel. In secondary schools, counselors have pod meetings that involve individual students, in which they develop individualized success plans that can cover both academic and </w:t>
      </w:r>
      <w:proofErr w:type="gramStart"/>
      <w:r w:rsidRPr="008C1E5F">
        <w:t>nonacademic</w:t>
      </w:r>
      <w:proofErr w:type="gramEnd"/>
      <w:r w:rsidRPr="008C1E5F">
        <w:t xml:space="preserve"> areas. The</w:t>
      </w:r>
      <w:r w:rsidR="00A53809" w:rsidRPr="008C1E5F">
        <w:t xml:space="preserve">se </w:t>
      </w:r>
      <w:r w:rsidR="00A53809" w:rsidRPr="00E05888">
        <w:t xml:space="preserve">collaborative teaming structures to connect students with academic and nonacademic supports is a strength of the district. </w:t>
      </w:r>
      <w:r w:rsidR="00F67FBF" w:rsidRPr="00E05888">
        <w:t xml:space="preserve">Schools then have time built into their schedules </w:t>
      </w:r>
      <w:r w:rsidR="00BC7132" w:rsidRPr="00E05888">
        <w:t xml:space="preserve">through WIN </w:t>
      </w:r>
      <w:r w:rsidR="00E05888">
        <w:t>or Strategies Block</w:t>
      </w:r>
      <w:r w:rsidR="00CA3F02">
        <w:t>s (the name varies by school)</w:t>
      </w:r>
      <w:r w:rsidR="00E05888">
        <w:t xml:space="preserve"> and other times during the day</w:t>
      </w:r>
      <w:r w:rsidR="00CA3F02">
        <w:t xml:space="preserve"> (e.g., advisory)</w:t>
      </w:r>
      <w:r w:rsidR="00BC7132" w:rsidRPr="00E05888">
        <w:t xml:space="preserve"> </w:t>
      </w:r>
      <w:r w:rsidR="00113CD2" w:rsidRPr="00E05888">
        <w:t xml:space="preserve">to implement assigned interventions for students (see </w:t>
      </w:r>
      <w:r w:rsidR="00E05888" w:rsidRPr="008C1E5F">
        <w:t>Equitable Practices and Access</w:t>
      </w:r>
      <w:r w:rsidR="00E05888">
        <w:t xml:space="preserve"> for more information). </w:t>
      </w:r>
    </w:p>
    <w:p w14:paraId="6F5D797E" w14:textId="735039D5" w:rsidR="002B4CEF" w:rsidRPr="008C1E5F" w:rsidRDefault="002B4CEF" w:rsidP="002B4CEF">
      <w:pPr>
        <w:pStyle w:val="Heading3"/>
      </w:pPr>
      <w:bookmarkStart w:id="110" w:name="_Toc195024236"/>
      <w:r w:rsidRPr="008C1E5F">
        <w:t>Recommendations</w:t>
      </w:r>
      <w:bookmarkEnd w:id="110"/>
    </w:p>
    <w:p w14:paraId="700AD2ED" w14:textId="7FC82F1D" w:rsidR="002B4CEF" w:rsidRPr="00D616F3" w:rsidRDefault="007348A3" w:rsidP="002B4CEF">
      <w:pPr>
        <w:pStyle w:val="Bullet1"/>
        <w:rPr>
          <w:bCs/>
        </w:rPr>
      </w:pPr>
      <w:r>
        <w:rPr>
          <w:i/>
          <w:iCs/>
        </w:rPr>
        <w:t xml:space="preserve">The school committee should </w:t>
      </w:r>
      <w:r w:rsidR="004B6612">
        <w:rPr>
          <w:i/>
          <w:iCs/>
        </w:rPr>
        <w:t xml:space="preserve">work with its student representatives to increase student voice, agency, and participation in school committee meetings. </w:t>
      </w:r>
    </w:p>
    <w:p w14:paraId="2E3F6D8A" w14:textId="4B4FA328" w:rsidR="00D616F3" w:rsidRPr="004B6612" w:rsidRDefault="00D616F3" w:rsidP="002B4CEF">
      <w:pPr>
        <w:pStyle w:val="Bullet1"/>
        <w:rPr>
          <w:bCs/>
        </w:rPr>
      </w:pPr>
      <w:r>
        <w:rPr>
          <w:i/>
          <w:iCs/>
        </w:rPr>
        <w:t>The district should</w:t>
      </w:r>
      <w:r w:rsidR="00837359">
        <w:rPr>
          <w:i/>
          <w:iCs/>
        </w:rPr>
        <w:t xml:space="preserve"> </w:t>
      </w:r>
      <w:r w:rsidR="004461BB">
        <w:rPr>
          <w:i/>
          <w:iCs/>
        </w:rPr>
        <w:t xml:space="preserve">apply </w:t>
      </w:r>
      <w:r w:rsidR="00837359">
        <w:rPr>
          <w:i/>
          <w:iCs/>
        </w:rPr>
        <w:t xml:space="preserve">the strategies it uses </w:t>
      </w:r>
      <w:r w:rsidR="004461BB">
        <w:rPr>
          <w:i/>
          <w:iCs/>
        </w:rPr>
        <w:t xml:space="preserve">for </w:t>
      </w:r>
      <w:r w:rsidR="00837359">
        <w:rPr>
          <w:i/>
          <w:iCs/>
        </w:rPr>
        <w:t>its SEPAC</w:t>
      </w:r>
      <w:r w:rsidR="004D6814">
        <w:rPr>
          <w:i/>
          <w:iCs/>
        </w:rPr>
        <w:t xml:space="preserve"> </w:t>
      </w:r>
      <w:r w:rsidR="00E7291E">
        <w:rPr>
          <w:i/>
          <w:iCs/>
        </w:rPr>
        <w:t>to</w:t>
      </w:r>
      <w:r>
        <w:rPr>
          <w:i/>
          <w:iCs/>
        </w:rPr>
        <w:t xml:space="preserve"> </w:t>
      </w:r>
      <w:r w:rsidR="004949EA">
        <w:rPr>
          <w:i/>
          <w:iCs/>
        </w:rPr>
        <w:t xml:space="preserve">establish </w:t>
      </w:r>
      <w:r w:rsidR="00667636">
        <w:rPr>
          <w:i/>
          <w:iCs/>
        </w:rPr>
        <w:t>an active</w:t>
      </w:r>
      <w:r w:rsidR="004949EA">
        <w:rPr>
          <w:i/>
          <w:iCs/>
        </w:rPr>
        <w:t xml:space="preserve"> </w:t>
      </w:r>
      <w:r w:rsidR="00667636">
        <w:rPr>
          <w:i/>
          <w:iCs/>
        </w:rPr>
        <w:t xml:space="preserve">and effective </w:t>
      </w:r>
      <w:r w:rsidR="004949EA">
        <w:rPr>
          <w:i/>
          <w:iCs/>
        </w:rPr>
        <w:t>ELPAC</w:t>
      </w:r>
      <w:r w:rsidR="00667636">
        <w:rPr>
          <w:i/>
          <w:iCs/>
        </w:rPr>
        <w:t xml:space="preserve"> through which families can participate in district decision</w:t>
      </w:r>
      <w:r w:rsidR="004D6814">
        <w:rPr>
          <w:i/>
          <w:iCs/>
        </w:rPr>
        <w:t>-</w:t>
      </w:r>
      <w:r w:rsidR="00667636">
        <w:rPr>
          <w:i/>
          <w:iCs/>
        </w:rPr>
        <w:t>making regarding En</w:t>
      </w:r>
      <w:r w:rsidR="00BB53E0">
        <w:rPr>
          <w:i/>
          <w:iCs/>
        </w:rPr>
        <w:t xml:space="preserve">glish Learners. </w:t>
      </w:r>
      <w:r w:rsidR="00BD13AF">
        <w:rPr>
          <w:i/>
          <w:iCs/>
        </w:rPr>
        <w:t xml:space="preserve">Once established, the district should </w:t>
      </w:r>
      <w:r w:rsidR="002C33B0">
        <w:rPr>
          <w:i/>
          <w:iCs/>
        </w:rPr>
        <w:t xml:space="preserve">focus on increasing </w:t>
      </w:r>
      <w:r w:rsidR="00E7291E">
        <w:rPr>
          <w:i/>
          <w:iCs/>
        </w:rPr>
        <w:t>family</w:t>
      </w:r>
      <w:r w:rsidR="002C33B0">
        <w:rPr>
          <w:i/>
          <w:iCs/>
        </w:rPr>
        <w:t xml:space="preserve"> involvement in these bodies. </w:t>
      </w:r>
    </w:p>
    <w:p w14:paraId="2075BC88" w14:textId="05C75B45" w:rsidR="002B4CEF" w:rsidRPr="008C1E5F" w:rsidRDefault="002B4CEF" w:rsidP="00B827DE">
      <w:pPr>
        <w:pStyle w:val="BodyText"/>
      </w:pPr>
    </w:p>
    <w:p w14:paraId="4A6A5268" w14:textId="77777777" w:rsidR="008D6102" w:rsidRPr="008C1E5F" w:rsidRDefault="008D6102" w:rsidP="008D6102">
      <w:pPr>
        <w:pStyle w:val="Heading2"/>
      </w:pPr>
      <w:bookmarkStart w:id="111" w:name="_Financial_and_Asset"/>
      <w:bookmarkStart w:id="112" w:name="_Toc190886741"/>
      <w:bookmarkStart w:id="113" w:name="_Toc195024237"/>
      <w:bookmarkEnd w:id="111"/>
      <w:r w:rsidRPr="008C1E5F">
        <w:lastRenderedPageBreak/>
        <w:t>Financial and Asset Management</w:t>
      </w:r>
      <w:bookmarkEnd w:id="100"/>
      <w:bookmarkEnd w:id="112"/>
      <w:bookmarkEnd w:id="113"/>
    </w:p>
    <w:p w14:paraId="188CF4B7" w14:textId="77777777" w:rsidR="003B2ED7" w:rsidRPr="008C1E5F" w:rsidRDefault="003B2ED7" w:rsidP="004320EF">
      <w:pPr>
        <w:pStyle w:val="BodyText"/>
      </w:pPr>
      <w:r w:rsidRPr="008C1E5F">
        <w:t>This section focuses on the extent to which, through its policies, systems, and procedures, the district strategically allocates and utilizes funding and other resources in alignment with applicable laws to improve all students’ performance, opportunities, and outcomes. It also focuses on the ways in which the district collaborates with its partners to run daily operations, manage its assets, and develop long-term plans for sustainability.</w:t>
      </w:r>
    </w:p>
    <w:p w14:paraId="542F10D1" w14:textId="2643BCAE" w:rsidR="00494638" w:rsidRPr="008C1E5F" w:rsidRDefault="00494638" w:rsidP="004320EF">
      <w:pPr>
        <w:pStyle w:val="BodyText"/>
        <w:rPr>
          <w:spacing w:val="-4"/>
        </w:rPr>
      </w:pPr>
      <w:r w:rsidRPr="008C1E5F">
        <w:rPr>
          <w:spacing w:val="-4"/>
        </w:rPr>
        <w:t xml:space="preserve">Table </w:t>
      </w:r>
      <w:r w:rsidR="008A4888" w:rsidRPr="008C1E5F">
        <w:rPr>
          <w:spacing w:val="-4"/>
        </w:rPr>
        <w:t>8</w:t>
      </w:r>
      <w:r w:rsidR="008C36C6" w:rsidRPr="008C1E5F">
        <w:rPr>
          <w:spacing w:val="-4"/>
        </w:rPr>
        <w:t xml:space="preserve"> </w:t>
      </w:r>
      <w:r w:rsidRPr="008C1E5F">
        <w:rPr>
          <w:spacing w:val="-4"/>
        </w:rPr>
        <w:t>summarizes key strengths and areas for growth in financial and asset management</w:t>
      </w:r>
      <w:r w:rsidR="0F4937A5" w:rsidRPr="008C1E5F">
        <w:rPr>
          <w:spacing w:val="-4"/>
        </w:rPr>
        <w:t xml:space="preserve"> in Fall River</w:t>
      </w:r>
      <w:r w:rsidRPr="008C1E5F">
        <w:rPr>
          <w:spacing w:val="-4"/>
        </w:rPr>
        <w:t>.</w:t>
      </w:r>
    </w:p>
    <w:p w14:paraId="127D9DF7" w14:textId="0FAA3622" w:rsidR="00B827DE" w:rsidRPr="008C1E5F" w:rsidRDefault="00B827DE" w:rsidP="00B827DE">
      <w:pPr>
        <w:pStyle w:val="TableTitle0"/>
      </w:pPr>
      <w:r w:rsidRPr="008C1E5F">
        <w:t xml:space="preserve">Table </w:t>
      </w:r>
      <w:r w:rsidR="008A4888" w:rsidRPr="008C1E5F">
        <w:t>8</w:t>
      </w:r>
      <w:r w:rsidRPr="008C1E5F">
        <w:t xml:space="preserve">. Summary of </w:t>
      </w:r>
      <w:r w:rsidR="00494638" w:rsidRPr="008C1E5F">
        <w:t xml:space="preserve">Key Strengths </w:t>
      </w:r>
      <w:r w:rsidRPr="008C1E5F">
        <w:t xml:space="preserve">and </w:t>
      </w:r>
      <w:r w:rsidR="00494638" w:rsidRPr="008C1E5F">
        <w:t xml:space="preserve">Areas </w:t>
      </w:r>
      <w:r w:rsidRPr="008C1E5F">
        <w:t xml:space="preserve">for </w:t>
      </w:r>
      <w:r w:rsidR="00494638" w:rsidRPr="008C1E5F">
        <w:t>Growth:</w:t>
      </w:r>
      <w:r w:rsidRPr="008C1E5F">
        <w:t xml:space="preserve"> Financial and Asset Management</w:t>
      </w:r>
      <w:r w:rsidR="00494638" w:rsidRPr="008C1E5F">
        <w:t xml:space="preserve"> Standard</w:t>
      </w:r>
    </w:p>
    <w:tbl>
      <w:tblPr>
        <w:tblStyle w:val="MSVTable1"/>
        <w:tblW w:w="5000" w:type="pct"/>
        <w:tblLook w:val="04A0" w:firstRow="1" w:lastRow="0" w:firstColumn="1" w:lastColumn="0" w:noHBand="0" w:noVBand="1"/>
      </w:tblPr>
      <w:tblGrid>
        <w:gridCol w:w="2152"/>
        <w:gridCol w:w="3781"/>
        <w:gridCol w:w="3411"/>
      </w:tblGrid>
      <w:tr w:rsidR="00B827DE" w:rsidRPr="008C1E5F" w14:paraId="32BDE053" w14:textId="77777777" w:rsidTr="006F7059">
        <w:trPr>
          <w:cnfStyle w:val="100000000000" w:firstRow="1" w:lastRow="0" w:firstColumn="0" w:lastColumn="0" w:oddVBand="0" w:evenVBand="0" w:oddHBand="0" w:evenHBand="0" w:firstRowFirstColumn="0" w:firstRowLastColumn="0" w:lastRowFirstColumn="0" w:lastRowLastColumn="0"/>
        </w:trPr>
        <w:tc>
          <w:tcPr>
            <w:tcW w:w="1152" w:type="pct"/>
          </w:tcPr>
          <w:p w14:paraId="7821BEB4" w14:textId="77777777" w:rsidR="00B827DE" w:rsidRPr="008C1E5F" w:rsidRDefault="00B827DE" w:rsidP="00B827DE">
            <w:pPr>
              <w:pStyle w:val="TableColHeadingCenter"/>
              <w:rPr>
                <w:bdr w:val="none" w:sz="0" w:space="0" w:color="auto" w:frame="1"/>
              </w:rPr>
            </w:pPr>
            <w:r w:rsidRPr="008C1E5F">
              <w:rPr>
                <w:bdr w:val="none" w:sz="0" w:space="0" w:color="auto" w:frame="1"/>
              </w:rPr>
              <w:t>Indicator</w:t>
            </w:r>
          </w:p>
        </w:tc>
        <w:tc>
          <w:tcPr>
            <w:tcW w:w="2023" w:type="pct"/>
          </w:tcPr>
          <w:p w14:paraId="419E0583" w14:textId="77777777" w:rsidR="00B827DE" w:rsidRPr="008C1E5F" w:rsidRDefault="00B827DE" w:rsidP="00B827DE">
            <w:pPr>
              <w:pStyle w:val="TableColHeadingCenter"/>
              <w:rPr>
                <w:bdr w:val="none" w:sz="0" w:space="0" w:color="auto" w:frame="1"/>
              </w:rPr>
            </w:pPr>
            <w:r w:rsidRPr="008C1E5F">
              <w:rPr>
                <w:bdr w:val="none" w:sz="0" w:space="0" w:color="auto" w:frame="1"/>
              </w:rPr>
              <w:t>Strengths</w:t>
            </w:r>
          </w:p>
        </w:tc>
        <w:tc>
          <w:tcPr>
            <w:tcW w:w="1826" w:type="pct"/>
          </w:tcPr>
          <w:p w14:paraId="664651D2" w14:textId="0C40A2BC" w:rsidR="00B827DE" w:rsidRPr="008C1E5F" w:rsidRDefault="00B827DE" w:rsidP="00B827DE">
            <w:pPr>
              <w:pStyle w:val="TableColHeadingCenter"/>
              <w:rPr>
                <w:bdr w:val="none" w:sz="0" w:space="0" w:color="auto" w:frame="1"/>
              </w:rPr>
            </w:pPr>
            <w:r w:rsidRPr="008C1E5F">
              <w:rPr>
                <w:bdr w:val="none" w:sz="0" w:space="0" w:color="auto" w:frame="1"/>
              </w:rPr>
              <w:t xml:space="preserve">Areas for </w:t>
            </w:r>
            <w:r w:rsidR="00494638" w:rsidRPr="008C1E5F">
              <w:rPr>
                <w:bdr w:val="none" w:sz="0" w:space="0" w:color="auto" w:frame="1"/>
              </w:rPr>
              <w:t>growth</w:t>
            </w:r>
          </w:p>
        </w:tc>
      </w:tr>
      <w:tr w:rsidR="00B827DE" w:rsidRPr="008C1E5F" w14:paraId="6A18501A" w14:textId="77777777" w:rsidTr="006F7059">
        <w:trPr>
          <w:cnfStyle w:val="000000100000" w:firstRow="0" w:lastRow="0" w:firstColumn="0" w:lastColumn="0" w:oddVBand="0" w:evenVBand="0" w:oddHBand="1" w:evenHBand="0" w:firstRowFirstColumn="0" w:firstRowLastColumn="0" w:lastRowFirstColumn="0" w:lastRowLastColumn="0"/>
        </w:trPr>
        <w:tc>
          <w:tcPr>
            <w:tcW w:w="1152" w:type="pct"/>
          </w:tcPr>
          <w:p w14:paraId="39538D5F" w14:textId="755DC606" w:rsidR="00B827DE" w:rsidRPr="008C1E5F" w:rsidRDefault="00B827DE" w:rsidP="005D13E7">
            <w:pPr>
              <w:pStyle w:val="TableSubheading"/>
              <w:rPr>
                <w:bdr w:val="none" w:sz="0" w:space="0" w:color="auto" w:frame="1"/>
              </w:rPr>
            </w:pPr>
            <w:hyperlink w:anchor="_Business_Office_Staffing" w:history="1">
              <w:r w:rsidRPr="008C1E5F">
                <w:rPr>
                  <w:rStyle w:val="Hyperlink"/>
                  <w:bdr w:val="none" w:sz="0" w:space="0" w:color="auto" w:frame="1"/>
                </w:rPr>
                <w:t>Bu</w:t>
              </w:r>
              <w:r w:rsidR="00041E9B" w:rsidRPr="008C1E5F">
                <w:rPr>
                  <w:rStyle w:val="Hyperlink"/>
                  <w:bdr w:val="none" w:sz="0" w:space="0" w:color="auto" w:frame="1"/>
                </w:rPr>
                <w:t>siness Office Staffing and Infrastructure</w:t>
              </w:r>
            </w:hyperlink>
          </w:p>
        </w:tc>
        <w:tc>
          <w:tcPr>
            <w:tcW w:w="2023" w:type="pct"/>
          </w:tcPr>
          <w:p w14:paraId="55633859" w14:textId="42A48B51" w:rsidR="00B827DE" w:rsidRPr="008C1E5F" w:rsidRDefault="00B71560" w:rsidP="00274F08">
            <w:pPr>
              <w:pStyle w:val="TableBullet1"/>
              <w:ind w:left="311" w:hanging="311"/>
              <w:rPr>
                <w:rFonts w:ascii="Aptos" w:hAnsi="Aptos"/>
                <w:sz w:val="18"/>
                <w:szCs w:val="18"/>
                <w:bdr w:val="none" w:sz="0" w:space="0" w:color="auto" w:frame="1"/>
              </w:rPr>
            </w:pPr>
            <w:r w:rsidRPr="008C1E5F">
              <w:rPr>
                <w:rFonts w:cs="Segoe UI"/>
                <w:color w:val="242424"/>
                <w:szCs w:val="20"/>
              </w:rPr>
              <w:t>The district uses MUNIS and has a fully electronic system to manage financial records, procurement records, invoices, and purchase orders.</w:t>
            </w:r>
          </w:p>
        </w:tc>
        <w:tc>
          <w:tcPr>
            <w:tcW w:w="1826" w:type="pct"/>
          </w:tcPr>
          <w:p w14:paraId="5A758912" w14:textId="1CE43E32" w:rsidR="00B827DE" w:rsidRPr="008C1E5F" w:rsidRDefault="00181CDD" w:rsidP="007D69BA">
            <w:pPr>
              <w:pStyle w:val="TableBullet1"/>
              <w:rPr>
                <w:bdr w:val="none" w:sz="0" w:space="0" w:color="auto" w:frame="1"/>
              </w:rPr>
            </w:pPr>
            <w:r w:rsidRPr="008C1E5F">
              <w:rPr>
                <w:bdr w:val="none" w:sz="0" w:space="0" w:color="auto" w:frame="1"/>
              </w:rPr>
              <w:t xml:space="preserve">Attracting and hiring </w:t>
            </w:r>
            <w:r w:rsidR="00C47F59" w:rsidRPr="008C1E5F">
              <w:rPr>
                <w:bdr w:val="none" w:sz="0" w:space="0" w:color="auto" w:frame="1"/>
              </w:rPr>
              <w:t xml:space="preserve">qualified staff to enhance expertise in the </w:t>
            </w:r>
            <w:r w:rsidR="00EF1941" w:rsidRPr="008C1E5F">
              <w:rPr>
                <w:bdr w:val="none" w:sz="0" w:space="0" w:color="auto" w:frame="1"/>
              </w:rPr>
              <w:t>finance office</w:t>
            </w:r>
          </w:p>
        </w:tc>
      </w:tr>
      <w:tr w:rsidR="00B827DE" w:rsidRPr="008C1E5F" w14:paraId="0ADE789F" w14:textId="77777777" w:rsidTr="006F7059">
        <w:tc>
          <w:tcPr>
            <w:tcW w:w="1152" w:type="pct"/>
          </w:tcPr>
          <w:p w14:paraId="41C5EA1C" w14:textId="62C88CA3" w:rsidR="00B827DE" w:rsidRPr="008C1E5F" w:rsidRDefault="00041E9B" w:rsidP="005D13E7">
            <w:pPr>
              <w:pStyle w:val="TableSubheading"/>
              <w:rPr>
                <w:bdr w:val="none" w:sz="0" w:space="0" w:color="auto" w:frame="1"/>
              </w:rPr>
            </w:pPr>
            <w:hyperlink w:anchor="_Budgeting_and_Budget_1" w:history="1">
              <w:r w:rsidRPr="008C1E5F">
                <w:rPr>
                  <w:rStyle w:val="Hyperlink"/>
                  <w:bdr w:val="none" w:sz="0" w:space="0" w:color="auto" w:frame="1"/>
                </w:rPr>
                <w:t>Budgeting and Budget Process</w:t>
              </w:r>
            </w:hyperlink>
          </w:p>
        </w:tc>
        <w:tc>
          <w:tcPr>
            <w:tcW w:w="2023" w:type="pct"/>
          </w:tcPr>
          <w:p w14:paraId="78682125" w14:textId="77777777" w:rsidR="00483371" w:rsidRPr="008C1E5F" w:rsidRDefault="00483371" w:rsidP="00483371">
            <w:pPr>
              <w:pStyle w:val="TableBullet1"/>
              <w:ind w:left="288" w:hanging="288"/>
              <w:rPr>
                <w:bdr w:val="none" w:sz="0" w:space="0" w:color="auto" w:frame="1"/>
              </w:rPr>
            </w:pPr>
            <w:r w:rsidRPr="008C1E5F">
              <w:t>The district maintains</w:t>
            </w:r>
            <w:r w:rsidRPr="008C1E5F">
              <w:rPr>
                <w:bdr w:val="none" w:sz="0" w:space="0" w:color="auto" w:frame="1"/>
              </w:rPr>
              <w:t xml:space="preserve"> a transparent budgeting process with community involvement, detailed timelines, and public notices of meetings.</w:t>
            </w:r>
          </w:p>
          <w:p w14:paraId="0CDED910" w14:textId="15C15DCD" w:rsidR="00B827DE" w:rsidRPr="008C1E5F" w:rsidRDefault="00483371" w:rsidP="004F030D">
            <w:pPr>
              <w:pStyle w:val="TableBullet1"/>
              <w:ind w:left="288" w:hanging="288"/>
            </w:pPr>
            <w:r w:rsidRPr="008C1E5F">
              <w:t xml:space="preserve">The district makes effective use of state and federal grants, with a </w:t>
            </w:r>
            <w:r w:rsidR="00237B71" w:rsidRPr="008C1E5F">
              <w:t>director of grants</w:t>
            </w:r>
            <w:r w:rsidRPr="008C1E5F">
              <w:t xml:space="preserve"> ensuring compliance.</w:t>
            </w:r>
          </w:p>
          <w:p w14:paraId="60B306E4" w14:textId="195AF5E2" w:rsidR="00B827DE" w:rsidRPr="008C1E5F" w:rsidRDefault="007F0F1F" w:rsidP="004F030D">
            <w:pPr>
              <w:pStyle w:val="TableBullet1"/>
              <w:ind w:left="288" w:hanging="288"/>
              <w:rPr>
                <w:bdr w:val="none" w:sz="0" w:space="0" w:color="auto" w:frame="1"/>
              </w:rPr>
            </w:pPr>
            <w:r w:rsidRPr="008C1E5F">
              <w:t xml:space="preserve">District leaders regularly communicate the status of the budget to </w:t>
            </w:r>
            <w:r w:rsidR="00FD0942" w:rsidRPr="008C1E5F">
              <w:t xml:space="preserve">the </w:t>
            </w:r>
            <w:r w:rsidRPr="008C1E5F">
              <w:t>school committee</w:t>
            </w:r>
            <w:r w:rsidR="00E733E9" w:rsidRPr="008C1E5F">
              <w:t>.</w:t>
            </w:r>
          </w:p>
        </w:tc>
        <w:tc>
          <w:tcPr>
            <w:tcW w:w="1826" w:type="pct"/>
          </w:tcPr>
          <w:p w14:paraId="06C02F36" w14:textId="3761E687" w:rsidR="00AE6FCC" w:rsidRPr="008C1E5F" w:rsidRDefault="00AE6FCC" w:rsidP="007D69BA">
            <w:pPr>
              <w:pStyle w:val="TableBullet1"/>
              <w:rPr>
                <w:bdr w:val="none" w:sz="0" w:space="0" w:color="auto" w:frame="1"/>
              </w:rPr>
            </w:pPr>
            <w:r w:rsidRPr="008C1E5F">
              <w:rPr>
                <w:rFonts w:cs="Helvetica"/>
                <w:color w:val="000000"/>
              </w:rPr>
              <w:t>Engaging families more purposefully in the budget process</w:t>
            </w:r>
          </w:p>
          <w:p w14:paraId="64911755" w14:textId="4D13AC27" w:rsidR="00507A76" w:rsidRPr="008C1E5F" w:rsidRDefault="004B3836" w:rsidP="007D69BA">
            <w:pPr>
              <w:pStyle w:val="TableBullet1"/>
              <w:rPr>
                <w:bdr w:val="none" w:sz="0" w:space="0" w:color="auto" w:frame="1"/>
              </w:rPr>
            </w:pPr>
            <w:r w:rsidRPr="008C1E5F">
              <w:rPr>
                <w:bdr w:val="none" w:sz="0" w:space="0" w:color="auto" w:frame="1"/>
              </w:rPr>
              <w:t xml:space="preserve">Making the budget book more user friendly (e.g., additional narrative, more visuals) </w:t>
            </w:r>
          </w:p>
          <w:p w14:paraId="4F1C470C" w14:textId="1B0D457A" w:rsidR="00B827DE" w:rsidRPr="008C1E5F" w:rsidRDefault="00B827DE" w:rsidP="0056074A">
            <w:pPr>
              <w:pStyle w:val="TableBullet1"/>
              <w:numPr>
                <w:ilvl w:val="0"/>
                <w:numId w:val="0"/>
              </w:numPr>
              <w:ind w:left="360"/>
              <w:rPr>
                <w:bdr w:val="none" w:sz="0" w:space="0" w:color="auto" w:frame="1"/>
              </w:rPr>
            </w:pPr>
          </w:p>
        </w:tc>
      </w:tr>
      <w:tr w:rsidR="00B827DE" w:rsidRPr="008C1E5F" w14:paraId="178D87DE" w14:textId="77777777" w:rsidTr="006F7059">
        <w:trPr>
          <w:cnfStyle w:val="000000100000" w:firstRow="0" w:lastRow="0" w:firstColumn="0" w:lastColumn="0" w:oddVBand="0" w:evenVBand="0" w:oddHBand="1" w:evenHBand="0" w:firstRowFirstColumn="0" w:firstRowLastColumn="0" w:lastRowFirstColumn="0" w:lastRowLastColumn="0"/>
        </w:trPr>
        <w:tc>
          <w:tcPr>
            <w:tcW w:w="1152" w:type="pct"/>
          </w:tcPr>
          <w:p w14:paraId="13C61666" w14:textId="68DF1303" w:rsidR="00B827DE" w:rsidRPr="008C1E5F" w:rsidRDefault="00041E9B" w:rsidP="005D13E7">
            <w:pPr>
              <w:pStyle w:val="TableSubheading"/>
              <w:rPr>
                <w:bdr w:val="none" w:sz="0" w:space="0" w:color="auto" w:frame="1"/>
              </w:rPr>
            </w:pPr>
            <w:hyperlink w:anchor="_Operations_1" w:history="1">
              <w:r w:rsidRPr="008C1E5F">
                <w:rPr>
                  <w:rStyle w:val="Hyperlink"/>
                  <w:bdr w:val="none" w:sz="0" w:space="0" w:color="auto" w:frame="1"/>
                </w:rPr>
                <w:t>Operations</w:t>
              </w:r>
            </w:hyperlink>
          </w:p>
        </w:tc>
        <w:tc>
          <w:tcPr>
            <w:tcW w:w="2023" w:type="pct"/>
          </w:tcPr>
          <w:p w14:paraId="31560818" w14:textId="501CD8A3" w:rsidR="00B827DE" w:rsidRPr="008C1E5F" w:rsidRDefault="002F0FAE" w:rsidP="005C36E7">
            <w:pPr>
              <w:pStyle w:val="TableBullet1"/>
              <w:rPr>
                <w:bdr w:val="none" w:sz="0" w:space="0" w:color="auto" w:frame="1"/>
              </w:rPr>
            </w:pPr>
            <w:r w:rsidRPr="005C36E7">
              <w:rPr>
                <w:bdr w:val="none" w:sz="0" w:space="0" w:color="auto" w:frame="1"/>
              </w:rPr>
              <w:t>The district</w:t>
            </w:r>
            <w:r w:rsidR="00192102" w:rsidRPr="005C36E7">
              <w:rPr>
                <w:bdr w:val="none" w:sz="0" w:space="0" w:color="auto" w:frame="1"/>
              </w:rPr>
              <w:t xml:space="preserve"> support</w:t>
            </w:r>
            <w:r w:rsidR="00A53BA9" w:rsidRPr="005C36E7">
              <w:rPr>
                <w:bdr w:val="none" w:sz="0" w:space="0" w:color="auto" w:frame="1"/>
              </w:rPr>
              <w:t>s</w:t>
            </w:r>
            <w:r w:rsidR="00192102" w:rsidRPr="005C36E7">
              <w:rPr>
                <w:bdr w:val="none" w:sz="0" w:space="0" w:color="auto" w:frame="1"/>
              </w:rPr>
              <w:t xml:space="preserve"> technology</w:t>
            </w:r>
            <w:r w:rsidR="00A53BA9" w:rsidRPr="005C36E7">
              <w:rPr>
                <w:bdr w:val="none" w:sz="0" w:space="0" w:color="auto" w:frame="1"/>
              </w:rPr>
              <w:t xml:space="preserve"> use</w:t>
            </w:r>
            <w:r w:rsidR="00192102" w:rsidRPr="005C36E7">
              <w:rPr>
                <w:bdr w:val="none" w:sz="0" w:space="0" w:color="auto" w:frame="1"/>
              </w:rPr>
              <w:t xml:space="preserve"> </w:t>
            </w:r>
            <w:r w:rsidR="005C36E7">
              <w:rPr>
                <w:bdr w:val="none" w:sz="0" w:space="0" w:color="auto" w:frame="1"/>
              </w:rPr>
              <w:t>among</w:t>
            </w:r>
            <w:r w:rsidR="00192102" w:rsidRPr="005C36E7">
              <w:rPr>
                <w:bdr w:val="none" w:sz="0" w:space="0" w:color="auto" w:frame="1"/>
              </w:rPr>
              <w:t xml:space="preserve"> staff and students</w:t>
            </w:r>
            <w:r w:rsidR="00033417">
              <w:rPr>
                <w:bdr w:val="none" w:sz="0" w:space="0" w:color="auto" w:frame="1"/>
              </w:rPr>
              <w:t xml:space="preserve">. </w:t>
            </w:r>
          </w:p>
        </w:tc>
        <w:tc>
          <w:tcPr>
            <w:tcW w:w="1826" w:type="pct"/>
          </w:tcPr>
          <w:p w14:paraId="0184E711" w14:textId="62A1155F" w:rsidR="00CE35F5" w:rsidRPr="008C1E5F" w:rsidRDefault="00CE35F5" w:rsidP="007D69BA">
            <w:pPr>
              <w:pStyle w:val="TableBullet1"/>
              <w:rPr>
                <w:bdr w:val="none" w:sz="0" w:space="0" w:color="auto" w:frame="1"/>
              </w:rPr>
            </w:pPr>
            <w:r w:rsidRPr="008C1E5F">
              <w:rPr>
                <w:bdr w:val="none" w:sz="0" w:space="0" w:color="auto" w:frame="1"/>
              </w:rPr>
              <w:t>Establishing a preventative maintenance plan</w:t>
            </w:r>
          </w:p>
          <w:p w14:paraId="4C814DAB" w14:textId="30861EC8" w:rsidR="00B827DE" w:rsidRPr="008C1E5F" w:rsidRDefault="004D385F" w:rsidP="007D69BA">
            <w:pPr>
              <w:pStyle w:val="TableBullet1"/>
              <w:rPr>
                <w:szCs w:val="20"/>
                <w:bdr w:val="none" w:sz="0" w:space="0" w:color="auto" w:frame="1"/>
              </w:rPr>
            </w:pPr>
            <w:r w:rsidRPr="008C1E5F">
              <w:rPr>
                <w:rFonts w:cs="Segoe UI"/>
                <w:color w:val="242424"/>
                <w:szCs w:val="20"/>
              </w:rPr>
              <w:t xml:space="preserve">Updating the </w:t>
            </w:r>
            <w:r w:rsidR="00DC0961">
              <w:rPr>
                <w:rFonts w:cs="Segoe UI"/>
                <w:color w:val="242424"/>
                <w:szCs w:val="20"/>
              </w:rPr>
              <w:t>accounts payable</w:t>
            </w:r>
            <w:r w:rsidR="00DC0961" w:rsidRPr="008C1E5F">
              <w:rPr>
                <w:rFonts w:cs="Segoe UI"/>
                <w:color w:val="242424"/>
                <w:szCs w:val="20"/>
              </w:rPr>
              <w:t xml:space="preserve"> </w:t>
            </w:r>
            <w:r w:rsidRPr="008C1E5F">
              <w:rPr>
                <w:rFonts w:cs="Segoe UI"/>
                <w:color w:val="242424"/>
                <w:szCs w:val="20"/>
              </w:rPr>
              <w:t>process on both the city and district sides to ensure timely vendor payments</w:t>
            </w:r>
          </w:p>
        </w:tc>
      </w:tr>
      <w:tr w:rsidR="00B827DE" w:rsidRPr="008C1E5F" w14:paraId="671ADB7B" w14:textId="77777777" w:rsidTr="006F7059">
        <w:tc>
          <w:tcPr>
            <w:tcW w:w="1152" w:type="pct"/>
          </w:tcPr>
          <w:p w14:paraId="2BA214F5" w14:textId="238D855A" w:rsidR="00B827DE" w:rsidRPr="008C1E5F" w:rsidRDefault="00041E9B" w:rsidP="005D13E7">
            <w:pPr>
              <w:pStyle w:val="TableSubheading"/>
              <w:rPr>
                <w:bdr w:val="none" w:sz="0" w:space="0" w:color="auto" w:frame="1"/>
              </w:rPr>
            </w:pPr>
            <w:hyperlink w:anchor="_Managing_Capital_Assets" w:history="1">
              <w:r w:rsidRPr="008C1E5F">
                <w:rPr>
                  <w:rStyle w:val="Hyperlink"/>
                  <w:bdr w:val="none" w:sz="0" w:space="0" w:color="auto" w:frame="1"/>
                </w:rPr>
                <w:t>Managing C</w:t>
              </w:r>
              <w:r w:rsidR="00B827DE" w:rsidRPr="008C1E5F">
                <w:rPr>
                  <w:rStyle w:val="Hyperlink"/>
                  <w:bdr w:val="none" w:sz="0" w:space="0" w:color="auto" w:frame="1"/>
                </w:rPr>
                <w:t xml:space="preserve">apital </w:t>
              </w:r>
              <w:r w:rsidRPr="008C1E5F">
                <w:rPr>
                  <w:rStyle w:val="Hyperlink"/>
                  <w:bdr w:val="none" w:sz="0" w:space="0" w:color="auto" w:frame="1"/>
                </w:rPr>
                <w:t>Assets and Capital P</w:t>
              </w:r>
              <w:r w:rsidR="00B827DE" w:rsidRPr="008C1E5F">
                <w:rPr>
                  <w:rStyle w:val="Hyperlink"/>
                  <w:bdr w:val="none" w:sz="0" w:space="0" w:color="auto" w:frame="1"/>
                </w:rPr>
                <w:t>lanning</w:t>
              </w:r>
            </w:hyperlink>
          </w:p>
        </w:tc>
        <w:tc>
          <w:tcPr>
            <w:tcW w:w="2023" w:type="pct"/>
          </w:tcPr>
          <w:p w14:paraId="0F757513" w14:textId="39C9D9AD" w:rsidR="00606F76" w:rsidRPr="008C1E5F" w:rsidRDefault="00606F76" w:rsidP="007D69BA">
            <w:pPr>
              <w:pStyle w:val="TableBullet1"/>
              <w:rPr>
                <w:bdr w:val="none" w:sz="0" w:space="0" w:color="auto" w:frame="1"/>
              </w:rPr>
            </w:pPr>
            <w:r w:rsidRPr="008C1E5F">
              <w:rPr>
                <w:bdr w:val="none" w:sz="0" w:space="0" w:color="auto" w:frame="1"/>
              </w:rPr>
              <w:t xml:space="preserve">The district has a </w:t>
            </w:r>
            <w:r w:rsidR="00234755" w:rsidRPr="008C1E5F">
              <w:rPr>
                <w:bdr w:val="none" w:sz="0" w:space="0" w:color="auto" w:frame="1"/>
              </w:rPr>
              <w:t xml:space="preserve">newly adopted </w:t>
            </w:r>
            <w:r w:rsidRPr="008C1E5F">
              <w:rPr>
                <w:bdr w:val="none" w:sz="0" w:space="0" w:color="auto" w:frame="1"/>
              </w:rPr>
              <w:t xml:space="preserve">five-year capital improvement plan </w:t>
            </w:r>
            <w:r w:rsidR="00234755" w:rsidRPr="008C1E5F">
              <w:rPr>
                <w:bdr w:val="none" w:sz="0" w:space="0" w:color="auto" w:frame="1"/>
              </w:rPr>
              <w:t xml:space="preserve">for 2025-2029. </w:t>
            </w:r>
          </w:p>
          <w:p w14:paraId="040AD585" w14:textId="0D2973A6" w:rsidR="00B827DE" w:rsidRPr="008C1E5F" w:rsidRDefault="007F0F1F" w:rsidP="007D69BA">
            <w:pPr>
              <w:pStyle w:val="TableBullet1"/>
              <w:rPr>
                <w:bdr w:val="none" w:sz="0" w:space="0" w:color="auto" w:frame="1"/>
              </w:rPr>
            </w:pPr>
            <w:r w:rsidRPr="008C1E5F">
              <w:rPr>
                <w:bdr w:val="none" w:sz="0" w:space="0" w:color="auto" w:frame="1"/>
              </w:rPr>
              <w:t xml:space="preserve">The district has prioritized several </w:t>
            </w:r>
            <w:r w:rsidR="00A97651" w:rsidRPr="008C1E5F">
              <w:rPr>
                <w:bdr w:val="none" w:sz="0" w:space="0" w:color="auto" w:frame="1"/>
              </w:rPr>
              <w:t xml:space="preserve">larger capital improvement </w:t>
            </w:r>
            <w:r w:rsidR="00E733E9" w:rsidRPr="008C1E5F">
              <w:rPr>
                <w:bdr w:val="none" w:sz="0" w:space="0" w:color="auto" w:frame="1"/>
              </w:rPr>
              <w:t xml:space="preserve">investments including the creation of a new elementary school. </w:t>
            </w:r>
          </w:p>
        </w:tc>
        <w:tc>
          <w:tcPr>
            <w:tcW w:w="1826" w:type="pct"/>
          </w:tcPr>
          <w:p w14:paraId="2EAE12FA" w14:textId="0ED9C72E" w:rsidR="00B827DE" w:rsidRPr="008C1E5F" w:rsidRDefault="00B827DE" w:rsidP="0087343A">
            <w:pPr>
              <w:pStyle w:val="TableBullet1"/>
              <w:numPr>
                <w:ilvl w:val="0"/>
                <w:numId w:val="0"/>
              </w:numPr>
              <w:ind w:left="360"/>
              <w:rPr>
                <w:bdr w:val="none" w:sz="0" w:space="0" w:color="auto" w:frame="1"/>
              </w:rPr>
            </w:pPr>
          </w:p>
        </w:tc>
      </w:tr>
    </w:tbl>
    <w:p w14:paraId="0C62F5A6" w14:textId="4945FE1A" w:rsidR="00B827DE" w:rsidRPr="008C1E5F" w:rsidRDefault="00041E9B" w:rsidP="00B827DE">
      <w:pPr>
        <w:pStyle w:val="Heading3"/>
      </w:pPr>
      <w:bookmarkStart w:id="114" w:name="_Budget_Documentation_and"/>
      <w:bookmarkStart w:id="115" w:name="_Business_Office_Staffing"/>
      <w:bookmarkStart w:id="116" w:name="_Toc195024238"/>
      <w:bookmarkEnd w:id="114"/>
      <w:bookmarkEnd w:id="115"/>
      <w:r w:rsidRPr="008C1E5F">
        <w:t>Business Office Staffing and Infrastructure</w:t>
      </w:r>
      <w:bookmarkEnd w:id="116"/>
    </w:p>
    <w:p w14:paraId="32A7C0CA" w14:textId="790A44D1" w:rsidR="00E9102B" w:rsidRPr="008C1E5F" w:rsidRDefault="00173696" w:rsidP="006F7059">
      <w:pPr>
        <w:pStyle w:val="BodyTextposthead"/>
      </w:pPr>
      <w:bookmarkStart w:id="117" w:name="_Adequate_Budget"/>
      <w:bookmarkStart w:id="118" w:name="_Budgeting_and_Budget"/>
      <w:bookmarkEnd w:id="117"/>
      <w:bookmarkEnd w:id="118"/>
      <w:r w:rsidRPr="008C1E5F">
        <w:t>The</w:t>
      </w:r>
      <w:r w:rsidR="007D7A56" w:rsidRPr="008C1E5F">
        <w:t xml:space="preserve"> </w:t>
      </w:r>
      <w:r w:rsidR="00EE3DF0" w:rsidRPr="008C1E5F">
        <w:t>f</w:t>
      </w:r>
      <w:r w:rsidR="007D7A56" w:rsidRPr="008C1E5F">
        <w:t xml:space="preserve">inance </w:t>
      </w:r>
      <w:r w:rsidR="00EE3DF0" w:rsidRPr="008C1E5F">
        <w:t>d</w:t>
      </w:r>
      <w:r w:rsidR="007D7A56" w:rsidRPr="008C1E5F">
        <w:t xml:space="preserve">epartment </w:t>
      </w:r>
      <w:r w:rsidR="0024373C" w:rsidRPr="008C1E5F">
        <w:t>provides oversight and management of school district finances, budget, payroll,</w:t>
      </w:r>
      <w:r w:rsidR="004B5468" w:rsidRPr="008C1E5F">
        <w:t xml:space="preserve"> grants management, </w:t>
      </w:r>
      <w:r w:rsidR="0024373C" w:rsidRPr="008C1E5F">
        <w:t>purchasing, vendor payments</w:t>
      </w:r>
      <w:r w:rsidR="00F96EDE" w:rsidRPr="008C1E5F">
        <w:t xml:space="preserve">, </w:t>
      </w:r>
      <w:r w:rsidR="0024373C" w:rsidRPr="008C1E5F">
        <w:t>financial reporting</w:t>
      </w:r>
      <w:r w:rsidR="00F96EDE" w:rsidRPr="008C1E5F">
        <w:t xml:space="preserve">, and monitoring all </w:t>
      </w:r>
      <w:r w:rsidR="00F96EDE" w:rsidRPr="008C1E5F">
        <w:lastRenderedPageBreak/>
        <w:t>district spending</w:t>
      </w:r>
      <w:r w:rsidR="0024373C" w:rsidRPr="008C1E5F">
        <w:t>.</w:t>
      </w:r>
      <w:r w:rsidR="00680ED5" w:rsidRPr="008C1E5F">
        <w:t xml:space="preserve"> This office includes the </w:t>
      </w:r>
      <w:r w:rsidR="00193F1E" w:rsidRPr="008C1E5F">
        <w:t>c</w:t>
      </w:r>
      <w:r w:rsidR="00680ED5" w:rsidRPr="008C1E5F">
        <w:t xml:space="preserve">hief </w:t>
      </w:r>
      <w:r w:rsidR="00193F1E" w:rsidRPr="008C1E5F">
        <w:t>f</w:t>
      </w:r>
      <w:r w:rsidR="00680ED5" w:rsidRPr="008C1E5F">
        <w:t xml:space="preserve">inancial </w:t>
      </w:r>
      <w:r w:rsidR="00193F1E" w:rsidRPr="008C1E5F">
        <w:t>o</w:t>
      </w:r>
      <w:r w:rsidR="00680ED5" w:rsidRPr="008C1E5F">
        <w:t xml:space="preserve">fficer, </w:t>
      </w:r>
      <w:r w:rsidR="00757B1B" w:rsidRPr="008C1E5F">
        <w:t xml:space="preserve">director of grants, </w:t>
      </w:r>
      <w:r w:rsidR="00193F1E" w:rsidRPr="008C1E5F">
        <w:t xml:space="preserve">finance manager, procurement specialist, </w:t>
      </w:r>
      <w:r w:rsidR="0045400D" w:rsidRPr="008C1E5F">
        <w:t xml:space="preserve">five bookkeeping clerks, payroll manager, and three payroll clerks. Additionally, the </w:t>
      </w:r>
      <w:r w:rsidRPr="008C1E5F">
        <w:t xml:space="preserve">Facilities and </w:t>
      </w:r>
      <w:r w:rsidR="00E825AC" w:rsidRPr="008C1E5F">
        <w:t xml:space="preserve">Operations Office </w:t>
      </w:r>
      <w:r w:rsidR="00B644B4" w:rsidRPr="008C1E5F">
        <w:t xml:space="preserve">is responsible for building and ground maintenance (including security), transportation, food services, and custodial services. </w:t>
      </w:r>
      <w:r w:rsidR="00F573E9" w:rsidRPr="008C1E5F">
        <w:t xml:space="preserve">The number of individual staff </w:t>
      </w:r>
      <w:r w:rsidR="00AE13D6">
        <w:t>who</w:t>
      </w:r>
      <w:r w:rsidR="00AE13D6" w:rsidRPr="008C1E5F">
        <w:t xml:space="preserve"> </w:t>
      </w:r>
      <w:r w:rsidR="00F573E9" w:rsidRPr="008C1E5F">
        <w:t xml:space="preserve">fall under Facilities and Operations is approximately </w:t>
      </w:r>
      <w:r w:rsidR="003E7404" w:rsidRPr="008C1E5F">
        <w:t>200</w:t>
      </w:r>
      <w:r w:rsidR="00A231CB" w:rsidRPr="008C1E5F">
        <w:t>.</w:t>
      </w:r>
      <w:r w:rsidR="005B1446" w:rsidRPr="008C1E5F">
        <w:t xml:space="preserve"> </w:t>
      </w:r>
    </w:p>
    <w:p w14:paraId="38519171" w14:textId="15817ECA" w:rsidR="007C376E" w:rsidRPr="008C1E5F" w:rsidRDefault="54F892CF" w:rsidP="006F7059">
      <w:pPr>
        <w:pStyle w:val="BodyText"/>
      </w:pPr>
      <w:r w:rsidRPr="008C1E5F">
        <w:t>O</w:t>
      </w:r>
      <w:r w:rsidR="6F698DAC" w:rsidRPr="008C1E5F">
        <w:t xml:space="preserve">ne area that </w:t>
      </w:r>
      <w:r w:rsidR="02797152" w:rsidRPr="008C1E5F">
        <w:t>district leaders</w:t>
      </w:r>
      <w:r w:rsidR="6F698DAC" w:rsidRPr="008C1E5F">
        <w:t xml:space="preserve"> </w:t>
      </w:r>
      <w:r w:rsidR="004E5430">
        <w:t xml:space="preserve">hope to improve is the level of </w:t>
      </w:r>
      <w:r w:rsidR="6F698DAC" w:rsidRPr="008C1E5F">
        <w:t xml:space="preserve">expertise in the accounting department. </w:t>
      </w:r>
      <w:r w:rsidR="006B48BA">
        <w:t>Due to low salary scales, t</w:t>
      </w:r>
      <w:r w:rsidR="6F698DAC" w:rsidRPr="008C1E5F">
        <w:t xml:space="preserve">he district </w:t>
      </w:r>
      <w:r w:rsidR="006B48BA">
        <w:t xml:space="preserve">has </w:t>
      </w:r>
      <w:r w:rsidR="02797152" w:rsidRPr="008C1E5F">
        <w:t>reportedly</w:t>
      </w:r>
      <w:r w:rsidR="6F698DAC" w:rsidRPr="008C1E5F">
        <w:t xml:space="preserve"> </w:t>
      </w:r>
      <w:r w:rsidR="006B48BA">
        <w:t xml:space="preserve">had difficulty </w:t>
      </w:r>
      <w:r w:rsidR="6F698DAC" w:rsidRPr="008C1E5F">
        <w:t>attract</w:t>
      </w:r>
      <w:r w:rsidR="006B48BA">
        <w:t>ing</w:t>
      </w:r>
      <w:r w:rsidR="6F698DAC" w:rsidRPr="008C1E5F">
        <w:t xml:space="preserve"> highly qualified bookkeepers and payroll staff</w:t>
      </w:r>
      <w:r w:rsidR="006B48BA">
        <w:t xml:space="preserve"> in the past</w:t>
      </w:r>
      <w:r w:rsidR="6F698DAC" w:rsidRPr="008C1E5F">
        <w:t>.</w:t>
      </w:r>
      <w:r w:rsidR="02797152" w:rsidRPr="008C1E5F">
        <w:t xml:space="preserve"> </w:t>
      </w:r>
      <w:r w:rsidR="00F6415C" w:rsidRPr="008C1E5F">
        <w:t>Although</w:t>
      </w:r>
      <w:r w:rsidR="02797152" w:rsidRPr="008C1E5F">
        <w:t xml:space="preserve"> some processes </w:t>
      </w:r>
      <w:r w:rsidR="00F6415C" w:rsidRPr="008C1E5F">
        <w:t xml:space="preserve">are currently </w:t>
      </w:r>
      <w:r w:rsidR="02797152" w:rsidRPr="008C1E5F">
        <w:t xml:space="preserve">in place to support the onboarding of new staff members to help them develop the </w:t>
      </w:r>
      <w:r w:rsidR="00574D33" w:rsidRPr="008C1E5F">
        <w:t>expertise needed</w:t>
      </w:r>
      <w:r w:rsidR="02797152" w:rsidRPr="008C1E5F">
        <w:t xml:space="preserve">, </w:t>
      </w:r>
      <w:r w:rsidR="1B4CE581" w:rsidRPr="008C1E5F">
        <w:t xml:space="preserve">district leaders identified </w:t>
      </w:r>
      <w:r w:rsidR="6F698DAC" w:rsidRPr="008C1E5F">
        <w:t xml:space="preserve">being able to attract and hire more qualified </w:t>
      </w:r>
      <w:r w:rsidR="13F3CFA1">
        <w:t>bookkeeping</w:t>
      </w:r>
      <w:r w:rsidR="6DF3E6DE">
        <w:t xml:space="preserve"> and payroll</w:t>
      </w:r>
      <w:r w:rsidR="13F3CFA1">
        <w:t xml:space="preserve"> </w:t>
      </w:r>
      <w:r w:rsidR="6F698DAC" w:rsidRPr="008C1E5F">
        <w:t>staff</w:t>
      </w:r>
      <w:r w:rsidR="1B4CE581" w:rsidRPr="008C1E5F">
        <w:t xml:space="preserve"> as an area </w:t>
      </w:r>
      <w:r w:rsidR="126FFB9C" w:rsidRPr="37602FD5">
        <w:rPr>
          <w:bdr w:val="none" w:sz="0" w:space="0" w:color="auto" w:frame="1"/>
        </w:rPr>
        <w:t xml:space="preserve">for </w:t>
      </w:r>
      <w:r w:rsidR="1B4CE581" w:rsidRPr="008C1E5F">
        <w:t>growth</w:t>
      </w:r>
      <w:r w:rsidR="6F698DAC" w:rsidRPr="008C1E5F">
        <w:t>.</w:t>
      </w:r>
      <w:r w:rsidR="6F698DAC" w:rsidRPr="008C1E5F">
        <w:rPr>
          <w:color w:val="C00000"/>
        </w:rPr>
        <w:t xml:space="preserve"> </w:t>
      </w:r>
    </w:p>
    <w:p w14:paraId="40FBD1A8" w14:textId="5E82E264" w:rsidR="00AE3322" w:rsidRPr="008C1E5F" w:rsidRDefault="005E1E9C" w:rsidP="006F7059">
      <w:pPr>
        <w:pStyle w:val="BodyText"/>
      </w:pPr>
      <w:r>
        <w:t xml:space="preserve">The finance department has documentation to support district infrastructure. </w:t>
      </w:r>
      <w:r w:rsidR="00452A0B" w:rsidRPr="008C1E5F">
        <w:t>In July 2024</w:t>
      </w:r>
      <w:r w:rsidR="006A1A95" w:rsidRPr="008C1E5F">
        <w:t>, the district approved a</w:t>
      </w:r>
      <w:r w:rsidR="00452A0B" w:rsidRPr="008C1E5F">
        <w:t xml:space="preserve">n updated </w:t>
      </w:r>
      <w:r w:rsidR="007F181C" w:rsidRPr="008C1E5F">
        <w:t>Policy Manual</w:t>
      </w:r>
      <w:r w:rsidR="00EE3DF0" w:rsidRPr="008C1E5F">
        <w:t>,</w:t>
      </w:r>
      <w:r w:rsidR="00E51A1F" w:rsidRPr="008C1E5F">
        <w:t xml:space="preserve"> whi</w:t>
      </w:r>
      <w:r w:rsidR="000130D7" w:rsidRPr="008C1E5F">
        <w:t>ch is</w:t>
      </w:r>
      <w:r w:rsidR="007F181C" w:rsidRPr="008C1E5F">
        <w:t xml:space="preserve"> posted publicly on the district website. </w:t>
      </w:r>
      <w:r w:rsidR="007C376E" w:rsidRPr="008C1E5F">
        <w:rPr>
          <w:color w:val="000000" w:themeColor="text1"/>
        </w:rPr>
        <w:t xml:space="preserve">Section D of the manual addresses </w:t>
      </w:r>
      <w:r w:rsidR="00EE3DF0" w:rsidRPr="008C1E5F">
        <w:rPr>
          <w:color w:val="000000" w:themeColor="text1"/>
        </w:rPr>
        <w:t>f</w:t>
      </w:r>
      <w:r w:rsidR="007C376E" w:rsidRPr="008C1E5F">
        <w:rPr>
          <w:color w:val="000000" w:themeColor="text1"/>
        </w:rPr>
        <w:t xml:space="preserve">iscal </w:t>
      </w:r>
      <w:r w:rsidR="00EE3DF0" w:rsidRPr="008C1E5F">
        <w:rPr>
          <w:color w:val="000000" w:themeColor="text1"/>
        </w:rPr>
        <w:t>m</w:t>
      </w:r>
      <w:r w:rsidR="007C376E" w:rsidRPr="008C1E5F">
        <w:rPr>
          <w:color w:val="000000" w:themeColor="text1"/>
        </w:rPr>
        <w:t xml:space="preserve">anagement and includes comprehensive </w:t>
      </w:r>
      <w:r w:rsidR="007C376E" w:rsidRPr="008C1E5F">
        <w:t>written policies and procedures that are designed to ensure compliance with state and federal requirements, establish an internal system of checks and balances, and provide a roadmap to operations when staffing disruptions arise.</w:t>
      </w:r>
    </w:p>
    <w:p w14:paraId="54CF7699" w14:textId="6AB8A925" w:rsidR="007C376E" w:rsidRPr="008C1E5F" w:rsidRDefault="001C3D7B" w:rsidP="006F7059">
      <w:pPr>
        <w:pStyle w:val="BodyText"/>
      </w:pPr>
      <w:r w:rsidRPr="008C1E5F">
        <w:t xml:space="preserve">The district uses MUNIS cash management to monitor and control resources, as does the </w:t>
      </w:r>
      <w:r w:rsidR="0016726B" w:rsidRPr="008C1E5F">
        <w:t>city of Fall River</w:t>
      </w:r>
      <w:r w:rsidRPr="008C1E5F">
        <w:t>.</w:t>
      </w:r>
      <w:r w:rsidR="007C376E" w:rsidRPr="008C1E5F">
        <w:t xml:space="preserve"> District staff agreed that the system </w:t>
      </w:r>
      <w:r w:rsidR="007C376E" w:rsidRPr="008C1E5F">
        <w:rPr>
          <w:rFonts w:cs="Menlo"/>
          <w:color w:val="000000"/>
        </w:rPr>
        <w:t xml:space="preserve">is aligned with the </w:t>
      </w:r>
      <w:r w:rsidR="00814247">
        <w:rPr>
          <w:rFonts w:cs="Menlo"/>
          <w:color w:val="000000"/>
        </w:rPr>
        <w:t>U</w:t>
      </w:r>
      <w:r w:rsidR="007C376E" w:rsidRPr="008C1E5F">
        <w:rPr>
          <w:rFonts w:cs="Menlo"/>
          <w:color w:val="000000"/>
        </w:rPr>
        <w:t xml:space="preserve">niform Massachusetts </w:t>
      </w:r>
      <w:r w:rsidR="00814247">
        <w:rPr>
          <w:rFonts w:cs="Menlo"/>
          <w:color w:val="000000"/>
        </w:rPr>
        <w:t>A</w:t>
      </w:r>
      <w:r w:rsidR="007C376E" w:rsidRPr="008C1E5F">
        <w:rPr>
          <w:rFonts w:cs="Menlo"/>
          <w:color w:val="000000"/>
        </w:rPr>
        <w:t xml:space="preserve">ccounting </w:t>
      </w:r>
      <w:r w:rsidR="00814247">
        <w:rPr>
          <w:rFonts w:cs="Menlo"/>
          <w:color w:val="000000"/>
        </w:rPr>
        <w:t>S</w:t>
      </w:r>
      <w:r w:rsidR="007C376E" w:rsidRPr="008C1E5F">
        <w:rPr>
          <w:rFonts w:cs="Menlo"/>
          <w:color w:val="000000"/>
        </w:rPr>
        <w:t>ystem</w:t>
      </w:r>
      <w:r w:rsidR="007C376E" w:rsidRPr="008C1E5F">
        <w:t>.</w:t>
      </w:r>
      <w:r w:rsidR="002C500D" w:rsidRPr="008C1E5F">
        <w:t xml:space="preserve"> </w:t>
      </w:r>
      <w:r w:rsidR="007C376E" w:rsidRPr="008C1E5F">
        <w:t xml:space="preserve">District </w:t>
      </w:r>
      <w:r w:rsidR="002C500D" w:rsidRPr="008C1E5F">
        <w:t>leaders</w:t>
      </w:r>
      <w:r w:rsidR="007C376E" w:rsidRPr="008C1E5F">
        <w:t xml:space="preserve"> explained that they have a fully electronic system to manage financial records, procurement records, invoices, and purchase orders</w:t>
      </w:r>
      <w:r w:rsidR="00AE13D6">
        <w:t>,</w:t>
      </w:r>
      <w:r w:rsidR="0081513F" w:rsidRPr="008C1E5F">
        <w:t xml:space="preserve"> and that a</w:t>
      </w:r>
      <w:r w:rsidR="007C376E" w:rsidRPr="008C1E5F">
        <w:t xml:space="preserve">ll documentation associated with purchases is attached to the record. </w:t>
      </w:r>
      <w:r w:rsidR="00180E85" w:rsidRPr="008C1E5F">
        <w:rPr>
          <w:rFonts w:cs="Segoe UI"/>
          <w:color w:val="242424"/>
          <w:szCs w:val="20"/>
        </w:rPr>
        <w:t>Having MUNIS and a fully electronic system to manage records is a strength of the district.</w:t>
      </w:r>
    </w:p>
    <w:p w14:paraId="09A25E68" w14:textId="724885E3" w:rsidR="007C376E" w:rsidRPr="008C1E5F" w:rsidRDefault="00570E26" w:rsidP="006F7059">
      <w:pPr>
        <w:pStyle w:val="BodyText"/>
      </w:pPr>
      <w:r w:rsidRPr="008C1E5F">
        <w:t xml:space="preserve">Interview and focus group participants from both the district and the </w:t>
      </w:r>
      <w:r w:rsidR="00EE3DF0" w:rsidRPr="008C1E5F">
        <w:t>c</w:t>
      </w:r>
      <w:r w:rsidRPr="008C1E5F">
        <w:t xml:space="preserve">ity characterized the two entities as having a good working relationship over the last several years. </w:t>
      </w:r>
      <w:r w:rsidRPr="008C1E5F">
        <w:rPr>
          <w:color w:val="000000" w:themeColor="text1"/>
        </w:rPr>
        <w:t xml:space="preserve">According to district staff and city officials, the district and the city of Fall River have a formal written agreement in place that describes the relationship between the city and the school district. </w:t>
      </w:r>
      <w:r w:rsidRPr="008C1E5F">
        <w:t xml:space="preserve">This </w:t>
      </w:r>
      <w:r w:rsidR="007C376E" w:rsidRPr="008C1E5F">
        <w:t xml:space="preserve">written agreement describes the roles, responsibilities, and costs assumed by each party. The city </w:t>
      </w:r>
      <w:r w:rsidR="00B84D67" w:rsidRPr="008C1E5F">
        <w:t>is responsible for</w:t>
      </w:r>
      <w:r w:rsidR="007C376E" w:rsidRPr="008C1E5F">
        <w:t xml:space="preserve"> transportation costs</w:t>
      </w:r>
      <w:r w:rsidR="002A4D43" w:rsidRPr="008C1E5F">
        <w:t xml:space="preserve"> and crossing guards</w:t>
      </w:r>
      <w:r w:rsidR="007C376E" w:rsidRPr="008C1E5F">
        <w:t>. Occasionally</w:t>
      </w:r>
      <w:r w:rsidR="00EE3DF0" w:rsidRPr="008C1E5F">
        <w:t>,</w:t>
      </w:r>
      <w:r w:rsidR="007C376E" w:rsidRPr="008C1E5F">
        <w:t xml:space="preserve"> the city also </w:t>
      </w:r>
      <w:r w:rsidR="00466B73" w:rsidRPr="008C1E5F">
        <w:t>helps with</w:t>
      </w:r>
      <w:r w:rsidR="007C376E" w:rsidRPr="008C1E5F">
        <w:t xml:space="preserve"> plowing parking lots and ground maintenance</w:t>
      </w:r>
      <w:r w:rsidR="00A5215A" w:rsidRPr="008C1E5F">
        <w:t>, although these costs are typically covered by the district</w:t>
      </w:r>
      <w:r w:rsidR="007C376E" w:rsidRPr="008C1E5F">
        <w:t>.</w:t>
      </w:r>
    </w:p>
    <w:p w14:paraId="1ECCF473" w14:textId="0EF97DD1" w:rsidR="00B827DE" w:rsidRPr="008C1E5F" w:rsidRDefault="00041E9B" w:rsidP="00B827DE">
      <w:pPr>
        <w:pStyle w:val="Heading3"/>
      </w:pPr>
      <w:bookmarkStart w:id="119" w:name="_Budgeting_and_Budget_1"/>
      <w:bookmarkStart w:id="120" w:name="_Toc195024239"/>
      <w:bookmarkEnd w:id="119"/>
      <w:r w:rsidRPr="008C1E5F">
        <w:t>Budgeting and Budget Process</w:t>
      </w:r>
      <w:bookmarkEnd w:id="120"/>
    </w:p>
    <w:p w14:paraId="7FC2FC28" w14:textId="36784FCE" w:rsidR="003C735D" w:rsidRPr="008C1E5F" w:rsidRDefault="007B32B0" w:rsidP="006F7059">
      <w:pPr>
        <w:pStyle w:val="BodyTextposthead"/>
        <w:rPr>
          <w:color w:val="000000" w:themeColor="text1"/>
        </w:rPr>
      </w:pPr>
      <w:bookmarkStart w:id="121" w:name="_Operations"/>
      <w:bookmarkEnd w:id="121"/>
      <w:r w:rsidRPr="008C1E5F">
        <w:t>Fall River’s budget process is transparent</w:t>
      </w:r>
      <w:r w:rsidR="00367091" w:rsidRPr="008C1E5F">
        <w:t xml:space="preserve">, </w:t>
      </w:r>
      <w:r w:rsidR="00AF7540" w:rsidRPr="008C1E5F">
        <w:t xml:space="preserve">includes community involvement, and </w:t>
      </w:r>
      <w:r w:rsidRPr="008C1E5F">
        <w:t>follows an established schedule</w:t>
      </w:r>
      <w:r w:rsidR="00AF7540" w:rsidRPr="008C1E5F">
        <w:t xml:space="preserve">, </w:t>
      </w:r>
      <w:r w:rsidR="00EE3DF0" w:rsidRPr="008C1E5F">
        <w:t xml:space="preserve">which is </w:t>
      </w:r>
      <w:r w:rsidR="00AF7540" w:rsidRPr="008C1E5F">
        <w:t xml:space="preserve">a strength of the district. </w:t>
      </w:r>
      <w:r w:rsidR="00A16D3B" w:rsidRPr="008C1E5F">
        <w:t xml:space="preserve">District leaders and city officials </w:t>
      </w:r>
      <w:r w:rsidR="00585D94" w:rsidRPr="008C1E5F">
        <w:t>confirmed that the</w:t>
      </w:r>
      <w:r w:rsidR="00A16D3B" w:rsidRPr="008C1E5F">
        <w:t xml:space="preserve"> district’s budgeting process </w:t>
      </w:r>
      <w:r w:rsidR="00585D94" w:rsidRPr="008C1E5F">
        <w:t>follows</w:t>
      </w:r>
      <w:r w:rsidR="00A16D3B" w:rsidRPr="008C1E5F">
        <w:t xml:space="preserve"> district charter rules on the annual budget calenda</w:t>
      </w:r>
      <w:r w:rsidR="004053A7" w:rsidRPr="008C1E5F">
        <w:t xml:space="preserve">r. </w:t>
      </w:r>
      <w:r w:rsidR="00A16D3B" w:rsidRPr="008C1E5F">
        <w:rPr>
          <w:color w:val="000000" w:themeColor="text1"/>
        </w:rPr>
        <w:t>The budget process begins in the fall when the finance office sends a survey to principals and department heads</w:t>
      </w:r>
      <w:r w:rsidR="00DE32EB" w:rsidRPr="008C1E5F">
        <w:rPr>
          <w:color w:val="000000" w:themeColor="text1"/>
        </w:rPr>
        <w:t xml:space="preserve"> about their needs</w:t>
      </w:r>
      <w:r w:rsidR="00A16D3B" w:rsidRPr="008C1E5F">
        <w:rPr>
          <w:color w:val="000000" w:themeColor="text1"/>
        </w:rPr>
        <w:t xml:space="preserve">. </w:t>
      </w:r>
      <w:r w:rsidR="00807B55" w:rsidRPr="008C1E5F">
        <w:rPr>
          <w:color w:val="000000" w:themeColor="text1"/>
        </w:rPr>
        <w:t xml:space="preserve">Following the survey, </w:t>
      </w:r>
      <w:r w:rsidR="007A6441" w:rsidRPr="008C1E5F">
        <w:rPr>
          <w:color w:val="000000" w:themeColor="text1"/>
        </w:rPr>
        <w:t xml:space="preserve">district financial leaders meet with all principals and department heads </w:t>
      </w:r>
      <w:r w:rsidR="004A3F22" w:rsidRPr="008C1E5F">
        <w:rPr>
          <w:color w:val="000000" w:themeColor="text1"/>
        </w:rPr>
        <w:t>“</w:t>
      </w:r>
      <w:r w:rsidR="001F6356" w:rsidRPr="008C1E5F">
        <w:rPr>
          <w:color w:val="000000" w:themeColor="text1"/>
        </w:rPr>
        <w:t xml:space="preserve">to give everybody </w:t>
      </w:r>
      <w:r w:rsidR="00E53C6F" w:rsidRPr="008C1E5F">
        <w:rPr>
          <w:color w:val="000000" w:themeColor="text1"/>
        </w:rPr>
        <w:t xml:space="preserve">a turn </w:t>
      </w:r>
      <w:r w:rsidR="006E4C5C" w:rsidRPr="008C1E5F">
        <w:rPr>
          <w:color w:val="000000" w:themeColor="text1"/>
        </w:rPr>
        <w:t>to tell us about what</w:t>
      </w:r>
      <w:r w:rsidR="00EE3DF0" w:rsidRPr="008C1E5F">
        <w:rPr>
          <w:color w:val="000000" w:themeColor="text1"/>
        </w:rPr>
        <w:t>’</w:t>
      </w:r>
      <w:r w:rsidR="006E4C5C" w:rsidRPr="008C1E5F">
        <w:rPr>
          <w:color w:val="000000" w:themeColor="text1"/>
        </w:rPr>
        <w:t xml:space="preserve">s going on, what their priorities are, what their needs are.” </w:t>
      </w:r>
      <w:r w:rsidR="00591F6B" w:rsidRPr="008C1E5F">
        <w:rPr>
          <w:color w:val="000000" w:themeColor="text1"/>
        </w:rPr>
        <w:t xml:space="preserve">School leaders also write </w:t>
      </w:r>
      <w:r w:rsidR="00573E8B" w:rsidRPr="008C1E5F">
        <w:rPr>
          <w:color w:val="000000" w:themeColor="text1"/>
        </w:rPr>
        <w:t xml:space="preserve">a narrative </w:t>
      </w:r>
      <w:r w:rsidR="005F2357" w:rsidRPr="008C1E5F">
        <w:rPr>
          <w:color w:val="000000" w:themeColor="text1"/>
        </w:rPr>
        <w:t>justifying</w:t>
      </w:r>
      <w:r w:rsidR="00573E8B" w:rsidRPr="008C1E5F">
        <w:rPr>
          <w:color w:val="000000" w:themeColor="text1"/>
        </w:rPr>
        <w:t xml:space="preserve"> their requests</w:t>
      </w:r>
      <w:r w:rsidR="005F2357" w:rsidRPr="008C1E5F">
        <w:rPr>
          <w:color w:val="000000" w:themeColor="text1"/>
        </w:rPr>
        <w:t xml:space="preserve">, </w:t>
      </w:r>
      <w:proofErr w:type="gramStart"/>
      <w:r w:rsidR="00573E8B" w:rsidRPr="008C1E5F">
        <w:rPr>
          <w:color w:val="000000" w:themeColor="text1"/>
        </w:rPr>
        <w:t>tak</w:t>
      </w:r>
      <w:r w:rsidR="005F2357" w:rsidRPr="008C1E5F">
        <w:rPr>
          <w:color w:val="000000" w:themeColor="text1"/>
        </w:rPr>
        <w:t>ing</w:t>
      </w:r>
      <w:r w:rsidR="00573E8B" w:rsidRPr="008C1E5F">
        <w:rPr>
          <w:color w:val="000000" w:themeColor="text1"/>
        </w:rPr>
        <w:t xml:space="preserve"> into account</w:t>
      </w:r>
      <w:proofErr w:type="gramEnd"/>
      <w:r w:rsidR="00573E8B" w:rsidRPr="008C1E5F">
        <w:rPr>
          <w:color w:val="000000" w:themeColor="text1"/>
        </w:rPr>
        <w:t xml:space="preserve"> </w:t>
      </w:r>
      <w:r w:rsidR="00C0228B" w:rsidRPr="008C1E5F">
        <w:rPr>
          <w:color w:val="000000" w:themeColor="text1"/>
        </w:rPr>
        <w:t xml:space="preserve">student </w:t>
      </w:r>
      <w:r w:rsidR="00573E8B" w:rsidRPr="008C1E5F">
        <w:rPr>
          <w:color w:val="000000" w:themeColor="text1"/>
        </w:rPr>
        <w:t>enrollment numbers.</w:t>
      </w:r>
      <w:r w:rsidR="005F2357" w:rsidRPr="008C1E5F">
        <w:rPr>
          <w:color w:val="000000" w:themeColor="text1"/>
        </w:rPr>
        <w:t xml:space="preserve"> </w:t>
      </w:r>
      <w:r w:rsidR="00A16D3B" w:rsidRPr="008C1E5F">
        <w:t xml:space="preserve">School leaders agreed that they have opportunities to request positions and supplies or to solicit other budgetary adjustments. </w:t>
      </w:r>
      <w:r w:rsidR="00792082" w:rsidRPr="008C1E5F">
        <w:rPr>
          <w:color w:val="000000" w:themeColor="text1"/>
        </w:rPr>
        <w:t xml:space="preserve">District </w:t>
      </w:r>
      <w:r w:rsidR="00792082" w:rsidRPr="008C1E5F">
        <w:rPr>
          <w:color w:val="000000" w:themeColor="text1"/>
        </w:rPr>
        <w:lastRenderedPageBreak/>
        <w:t xml:space="preserve">leaders </w:t>
      </w:r>
      <w:r w:rsidR="003B4FC7" w:rsidRPr="008C1E5F">
        <w:rPr>
          <w:color w:val="000000" w:themeColor="text1"/>
        </w:rPr>
        <w:t xml:space="preserve">also </w:t>
      </w:r>
      <w:r w:rsidR="00792082" w:rsidRPr="008C1E5F">
        <w:rPr>
          <w:color w:val="000000" w:themeColor="text1"/>
        </w:rPr>
        <w:t xml:space="preserve">examine a variety of data, including </w:t>
      </w:r>
      <w:r w:rsidR="00792082" w:rsidRPr="008C1E5F">
        <w:rPr>
          <w:rFonts w:cs="Helvetica Neue"/>
          <w:color w:val="000000" w:themeColor="text1"/>
        </w:rPr>
        <w:t xml:space="preserve">information from school leaders, academic and SEL data, enrollment data, and actual salaries to determine how to fund schools. </w:t>
      </w:r>
      <w:r w:rsidR="00792082" w:rsidRPr="008C1E5F">
        <w:rPr>
          <w:color w:val="000000" w:themeColor="text1"/>
        </w:rPr>
        <w:t xml:space="preserve">District leaders put together all the information, including survey results, </w:t>
      </w:r>
      <w:r w:rsidR="003B4FC7" w:rsidRPr="008C1E5F">
        <w:rPr>
          <w:color w:val="000000" w:themeColor="text1"/>
        </w:rPr>
        <w:t>to</w:t>
      </w:r>
      <w:r w:rsidR="00792082" w:rsidRPr="008C1E5F">
        <w:rPr>
          <w:color w:val="000000" w:themeColor="text1"/>
        </w:rPr>
        <w:t xml:space="preserve"> determine budget priorities.</w:t>
      </w:r>
    </w:p>
    <w:p w14:paraId="2468074D" w14:textId="19FF0B27" w:rsidR="007A55D8" w:rsidRPr="008C1E5F" w:rsidRDefault="007A55D8" w:rsidP="006F7059">
      <w:pPr>
        <w:pStyle w:val="BodyText"/>
      </w:pPr>
      <w:r w:rsidRPr="008C1E5F">
        <w:t>Parents are surveyed to identify budget priorities but according to a district official, the information “isn’t always the best</w:t>
      </w:r>
      <w:r w:rsidR="00EE3DF0" w:rsidRPr="008C1E5F">
        <w:t>.</w:t>
      </w:r>
      <w:r w:rsidRPr="008C1E5F">
        <w:t>” A district leader expanded on this:</w:t>
      </w:r>
    </w:p>
    <w:p w14:paraId="45ECD5DC" w14:textId="45A75D13" w:rsidR="007A55D8" w:rsidRPr="008C1E5F" w:rsidRDefault="007A55D8" w:rsidP="006F7059">
      <w:pPr>
        <w:pStyle w:val="BlockQuote"/>
      </w:pPr>
      <w:r w:rsidRPr="008C1E5F">
        <w:t>Where we don</w:t>
      </w:r>
      <w:r w:rsidR="00EE3DF0" w:rsidRPr="008C1E5F">
        <w:t>’</w:t>
      </w:r>
      <w:r w:rsidRPr="008C1E5F">
        <w:t xml:space="preserve">t get a lot of good information [from the family financial surveys] is </w:t>
      </w:r>
      <w:proofErr w:type="gramStart"/>
      <w:r w:rsidRPr="008C1E5F">
        <w:t>really around</w:t>
      </w:r>
      <w:proofErr w:type="gramEnd"/>
      <w:r w:rsidRPr="008C1E5F">
        <w:t xml:space="preserve"> the </w:t>
      </w:r>
      <w:r w:rsidRPr="008C1E5F">
        <w:rPr>
          <w:i/>
        </w:rPr>
        <w:t>how</w:t>
      </w:r>
      <w:r w:rsidRPr="008C1E5F">
        <w:t>. I would attribute that to the fact that we don</w:t>
      </w:r>
      <w:r w:rsidR="00EE3DF0" w:rsidRPr="008C1E5F">
        <w:t>’</w:t>
      </w:r>
      <w:r w:rsidRPr="008C1E5F">
        <w:t>t engage people on a regular basis so folks don</w:t>
      </w:r>
      <w:r w:rsidR="00EE3DF0" w:rsidRPr="008C1E5F">
        <w:t>’</w:t>
      </w:r>
      <w:r w:rsidRPr="008C1E5F">
        <w:t>t necessarily know how that could really happen. That</w:t>
      </w:r>
      <w:r w:rsidR="00EE3DF0" w:rsidRPr="008C1E5F">
        <w:t>’</w:t>
      </w:r>
      <w:r w:rsidRPr="008C1E5F">
        <w:t>s not to say people in our community don</w:t>
      </w:r>
      <w:r w:rsidR="00EE3DF0" w:rsidRPr="008C1E5F">
        <w:t>’</w:t>
      </w:r>
      <w:r w:rsidRPr="008C1E5F">
        <w:t>t have good ideas, but I think that sometimes, you know, any ideas that are generated are kind of far removed or they</w:t>
      </w:r>
      <w:r w:rsidR="00EE3DF0" w:rsidRPr="008C1E5F">
        <w:t>’</w:t>
      </w:r>
      <w:r w:rsidRPr="008C1E5F">
        <w:t xml:space="preserve">re too general. You </w:t>
      </w:r>
      <w:proofErr w:type="gramStart"/>
      <w:r w:rsidRPr="008C1E5F">
        <w:t>have to</w:t>
      </w:r>
      <w:proofErr w:type="gramEnd"/>
      <w:r w:rsidRPr="008C1E5F">
        <w:t xml:space="preserve"> get families more involved.</w:t>
      </w:r>
    </w:p>
    <w:p w14:paraId="29D53E4D" w14:textId="140E9669" w:rsidR="007A55D8" w:rsidRPr="008C1E5F" w:rsidRDefault="00477C3E" w:rsidP="006F7059">
      <w:pPr>
        <w:pStyle w:val="BodyText"/>
      </w:pPr>
      <w:r>
        <w:t>Parents in focus groups agreed that they do receive surveys asking for their input on district prioriti</w:t>
      </w:r>
      <w:r w:rsidR="0050442F">
        <w:t>es</w:t>
      </w:r>
      <w:r w:rsidR="00AE13D6">
        <w:t>,</w:t>
      </w:r>
      <w:r w:rsidR="0050442F">
        <w:t xml:space="preserve"> </w:t>
      </w:r>
      <w:r w:rsidR="00E32C59">
        <w:t xml:space="preserve">but are unsure how that data is used. </w:t>
      </w:r>
      <w:r w:rsidR="007A55D8" w:rsidRPr="008C1E5F">
        <w:t xml:space="preserve">Engaging families more purposefully in the budget process is an area </w:t>
      </w:r>
      <w:r w:rsidR="00BD62F1" w:rsidRPr="008C1E5F">
        <w:rPr>
          <w:bCs/>
          <w:bdr w:val="none" w:sz="0" w:space="0" w:color="auto" w:frame="1"/>
        </w:rPr>
        <w:t xml:space="preserve">for </w:t>
      </w:r>
      <w:r w:rsidR="007A55D8" w:rsidRPr="008C1E5F">
        <w:t xml:space="preserve">growth for the district. </w:t>
      </w:r>
    </w:p>
    <w:p w14:paraId="147E9577" w14:textId="4FC1CF0A" w:rsidR="00A16D3B" w:rsidRPr="008C1E5F" w:rsidRDefault="00E25185" w:rsidP="006F7059">
      <w:pPr>
        <w:pStyle w:val="BodyText"/>
        <w:rPr>
          <w:b/>
          <w:bCs/>
          <w:color w:val="000000" w:themeColor="text1"/>
        </w:rPr>
      </w:pPr>
      <w:r w:rsidRPr="008C1E5F">
        <w:t>Each year in December, the school committee adopts an annual budget calendar that lays out critical meeting dates and milestones for the budget approval process.</w:t>
      </w:r>
      <w:r w:rsidR="00792082" w:rsidRPr="008C1E5F">
        <w:rPr>
          <w:color w:val="000000" w:themeColor="text1"/>
        </w:rPr>
        <w:t xml:space="preserve"> District priorities are </w:t>
      </w:r>
      <w:r w:rsidR="000E67FE" w:rsidRPr="008C1E5F">
        <w:rPr>
          <w:color w:val="000000" w:themeColor="text1"/>
        </w:rPr>
        <w:t xml:space="preserve">also </w:t>
      </w:r>
      <w:r w:rsidR="00792082" w:rsidRPr="008C1E5F">
        <w:rPr>
          <w:color w:val="000000" w:themeColor="text1"/>
        </w:rPr>
        <w:t>presented to the school committee in December and are adopted in January.</w:t>
      </w:r>
      <w:r w:rsidR="008A14EF" w:rsidRPr="008C1E5F">
        <w:rPr>
          <w:color w:val="000000" w:themeColor="text1"/>
        </w:rPr>
        <w:t xml:space="preserve"> Once</w:t>
      </w:r>
      <w:r w:rsidR="00792082" w:rsidRPr="008C1E5F">
        <w:rPr>
          <w:color w:val="000000" w:themeColor="text1"/>
        </w:rPr>
        <w:t xml:space="preserve"> the governor’s budget is finalized, </w:t>
      </w:r>
      <w:r w:rsidR="008A14EF" w:rsidRPr="008C1E5F">
        <w:rPr>
          <w:color w:val="000000" w:themeColor="text1"/>
        </w:rPr>
        <w:t>district leaders reported having</w:t>
      </w:r>
      <w:r w:rsidR="00792082" w:rsidRPr="008C1E5F">
        <w:rPr>
          <w:color w:val="000000" w:themeColor="text1"/>
        </w:rPr>
        <w:t xml:space="preserve"> two weeks to finalize the budget a</w:t>
      </w:r>
      <w:r w:rsidR="004A144E" w:rsidRPr="008C1E5F">
        <w:rPr>
          <w:color w:val="000000" w:themeColor="text1"/>
        </w:rPr>
        <w:t>nd</w:t>
      </w:r>
      <w:r w:rsidR="00792082" w:rsidRPr="008C1E5F">
        <w:rPr>
          <w:color w:val="000000" w:themeColor="text1"/>
        </w:rPr>
        <w:t xml:space="preserve"> get it to the school committee before February vacation.</w:t>
      </w:r>
      <w:r w:rsidR="00AC56C2" w:rsidRPr="008C1E5F">
        <w:t xml:space="preserve"> </w:t>
      </w:r>
      <w:r w:rsidR="00271E85" w:rsidRPr="008C1E5F">
        <w:t>Throughout this process, t</w:t>
      </w:r>
      <w:r w:rsidR="00A16D3B" w:rsidRPr="008C1E5F">
        <w:rPr>
          <w:color w:val="000000" w:themeColor="text1"/>
        </w:rPr>
        <w:t xml:space="preserve">he school committee has multiple finance meetings with </w:t>
      </w:r>
      <w:r w:rsidR="004D4C49" w:rsidRPr="008C1E5F">
        <w:rPr>
          <w:color w:val="000000" w:themeColor="text1"/>
        </w:rPr>
        <w:t xml:space="preserve">district and school leaders </w:t>
      </w:r>
      <w:r w:rsidR="00A16D3B" w:rsidRPr="008C1E5F">
        <w:rPr>
          <w:color w:val="000000" w:themeColor="text1"/>
        </w:rPr>
        <w:t xml:space="preserve">to ask questions before providing feedback </w:t>
      </w:r>
      <w:r w:rsidR="004D4C49" w:rsidRPr="008C1E5F">
        <w:rPr>
          <w:color w:val="000000" w:themeColor="text1"/>
        </w:rPr>
        <w:t>on the budget</w:t>
      </w:r>
      <w:r w:rsidR="00A16D3B" w:rsidRPr="008C1E5F">
        <w:rPr>
          <w:color w:val="000000" w:themeColor="text1"/>
        </w:rPr>
        <w:t xml:space="preserve">. The budget is released to the public and the school committee hosts a public hearing in April. By charter, the school committee must pass the budget by April 15. This gives the city enough time to build the district budget into the overall city budget. District leaders meet with the city council in early June. </w:t>
      </w:r>
      <w:r w:rsidR="00295881" w:rsidRPr="008C1E5F">
        <w:rPr>
          <w:color w:val="000000" w:themeColor="text1"/>
        </w:rPr>
        <w:t xml:space="preserve">District leaders, school committee members, and the city </w:t>
      </w:r>
      <w:r w:rsidR="00D7523C" w:rsidRPr="008C1E5F">
        <w:rPr>
          <w:color w:val="000000" w:themeColor="text1"/>
        </w:rPr>
        <w:t>mayor</w:t>
      </w:r>
      <w:r w:rsidR="00295881" w:rsidRPr="008C1E5F">
        <w:rPr>
          <w:color w:val="000000" w:themeColor="text1"/>
        </w:rPr>
        <w:t xml:space="preserve"> all described the budget process as an involved process that relie</w:t>
      </w:r>
      <w:r w:rsidR="00EE3DF0" w:rsidRPr="008C1E5F">
        <w:rPr>
          <w:color w:val="000000" w:themeColor="text1"/>
        </w:rPr>
        <w:t>s on</w:t>
      </w:r>
      <w:r w:rsidR="00295881" w:rsidRPr="008C1E5F">
        <w:rPr>
          <w:color w:val="000000" w:themeColor="text1"/>
        </w:rPr>
        <w:t xml:space="preserve"> </w:t>
      </w:r>
      <w:r w:rsidR="00D7523C" w:rsidRPr="008C1E5F">
        <w:rPr>
          <w:color w:val="000000" w:themeColor="text1"/>
        </w:rPr>
        <w:t>close collaboration</w:t>
      </w:r>
      <w:r w:rsidR="00295881" w:rsidRPr="008C1E5F">
        <w:rPr>
          <w:b/>
          <w:bCs/>
          <w:color w:val="000000" w:themeColor="text1"/>
        </w:rPr>
        <w:t>.</w:t>
      </w:r>
    </w:p>
    <w:p w14:paraId="66D7288F" w14:textId="3B2DE3F9" w:rsidR="002106EE" w:rsidRPr="008C1E5F" w:rsidRDefault="002106EE" w:rsidP="006F7059">
      <w:pPr>
        <w:pStyle w:val="BodyText"/>
        <w:rPr>
          <w:color w:val="000000" w:themeColor="text1"/>
        </w:rPr>
      </w:pPr>
      <w:r w:rsidRPr="008C1E5F">
        <w:t xml:space="preserve">The district’s financial plan covers the next fiscal year. </w:t>
      </w:r>
      <w:r w:rsidR="003022B7">
        <w:t>Each year, t</w:t>
      </w:r>
      <w:r w:rsidRPr="008C1E5F">
        <w:t xml:space="preserve">he city </w:t>
      </w:r>
      <w:r w:rsidR="003022B7">
        <w:t xml:space="preserve">budgets </w:t>
      </w:r>
      <w:proofErr w:type="gramStart"/>
      <w:r w:rsidRPr="008C1E5F">
        <w:t>meet</w:t>
      </w:r>
      <w:r w:rsidR="00EE3DF0" w:rsidRPr="008C1E5F">
        <w:t>ing</w:t>
      </w:r>
      <w:proofErr w:type="gramEnd"/>
      <w:r w:rsidRPr="008C1E5F">
        <w:t xml:space="preserve"> 100</w:t>
      </w:r>
      <w:r w:rsidR="00EE3DF0" w:rsidRPr="008C1E5F">
        <w:t xml:space="preserve"> percent</w:t>
      </w:r>
      <w:r w:rsidRPr="008C1E5F">
        <w:t xml:space="preserve"> of the Net School Spending </w:t>
      </w:r>
      <w:r w:rsidR="00EE3DF0" w:rsidRPr="008C1E5F">
        <w:t xml:space="preserve">(NSS) </w:t>
      </w:r>
      <w:r w:rsidRPr="008C1E5F">
        <w:t xml:space="preserve">requirement of the state. However, according to </w:t>
      </w:r>
      <w:r w:rsidR="000E5998">
        <w:t>DESE data</w:t>
      </w:r>
      <w:r w:rsidRPr="008C1E5F">
        <w:t xml:space="preserve">, the district </w:t>
      </w:r>
      <w:r w:rsidRPr="008C1E5F">
        <w:rPr>
          <w:i/>
          <w:iCs/>
        </w:rPr>
        <w:t>did not meet</w:t>
      </w:r>
      <w:r w:rsidRPr="008C1E5F">
        <w:t xml:space="preserve"> net school spending requirements (</w:t>
      </w:r>
      <w:r w:rsidR="00EE3DF0" w:rsidRPr="008C1E5F">
        <w:t>–</w:t>
      </w:r>
      <w:r w:rsidR="00807F15">
        <w:t>0</w:t>
      </w:r>
      <w:r w:rsidRPr="008C1E5F">
        <w:t>.5</w:t>
      </w:r>
      <w:r w:rsidR="00EE3DF0" w:rsidRPr="008C1E5F">
        <w:t xml:space="preserve"> percent</w:t>
      </w:r>
      <w:r w:rsidRPr="008C1E5F">
        <w:t xml:space="preserve"> below required NSS) for FY24</w:t>
      </w:r>
      <w:r w:rsidR="00C4699B">
        <w:t xml:space="preserve">, nor did it meet the requirement in </w:t>
      </w:r>
      <w:r w:rsidRPr="008C1E5F">
        <w:t>FY23 (</w:t>
      </w:r>
      <w:r w:rsidR="00EE3DF0" w:rsidRPr="008C1E5F">
        <w:t>–</w:t>
      </w:r>
      <w:r w:rsidRPr="008C1E5F">
        <w:t>2.9</w:t>
      </w:r>
      <w:r w:rsidR="00EE3DF0" w:rsidRPr="008C1E5F">
        <w:t xml:space="preserve"> percent</w:t>
      </w:r>
      <w:r w:rsidRPr="008C1E5F">
        <w:t xml:space="preserve"> below required NSS)</w:t>
      </w:r>
      <w:r w:rsidR="00C4699B">
        <w:t xml:space="preserve"> or FY21</w:t>
      </w:r>
      <w:r w:rsidRPr="008C1E5F">
        <w:t xml:space="preserve">. </w:t>
      </w:r>
      <w:r w:rsidR="003022B7">
        <w:t>At the time of the review, t</w:t>
      </w:r>
      <w:r w:rsidRPr="008C1E5F">
        <w:rPr>
          <w:color w:val="000000" w:themeColor="text1"/>
        </w:rPr>
        <w:t xml:space="preserve">he FY25 budget projected </w:t>
      </w:r>
      <w:r w:rsidR="003022B7">
        <w:rPr>
          <w:color w:val="000000" w:themeColor="text1"/>
        </w:rPr>
        <w:t xml:space="preserve">meeting </w:t>
      </w:r>
      <w:r w:rsidRPr="008C1E5F">
        <w:rPr>
          <w:color w:val="000000" w:themeColor="text1"/>
        </w:rPr>
        <w:t xml:space="preserve">the </w:t>
      </w:r>
      <w:r w:rsidR="00EE3DF0" w:rsidRPr="008C1E5F">
        <w:rPr>
          <w:color w:val="000000" w:themeColor="text1"/>
        </w:rPr>
        <w:t>NSS</w:t>
      </w:r>
      <w:r w:rsidRPr="008C1E5F">
        <w:rPr>
          <w:color w:val="000000" w:themeColor="text1"/>
        </w:rPr>
        <w:t xml:space="preserve"> </w:t>
      </w:r>
      <w:r w:rsidR="003022B7">
        <w:rPr>
          <w:color w:val="000000" w:themeColor="text1"/>
        </w:rPr>
        <w:t>requirement</w:t>
      </w:r>
      <w:r w:rsidRPr="008C1E5F">
        <w:rPr>
          <w:color w:val="000000" w:themeColor="text1"/>
        </w:rPr>
        <w:t xml:space="preserve">. </w:t>
      </w:r>
    </w:p>
    <w:p w14:paraId="29981139" w14:textId="1AA93034" w:rsidR="0059050B" w:rsidRPr="008C1E5F" w:rsidRDefault="00EE3DF0" w:rsidP="006F7059">
      <w:pPr>
        <w:pStyle w:val="BodyText"/>
      </w:pPr>
      <w:r w:rsidRPr="008C1E5F">
        <w:t xml:space="preserve">Although </w:t>
      </w:r>
      <w:r w:rsidR="0059050B" w:rsidRPr="008C1E5F">
        <w:t xml:space="preserve">budget documents are publicly available, they are not currently </w:t>
      </w:r>
      <w:r w:rsidR="00245FE9">
        <w:t xml:space="preserve">easily understood by </w:t>
      </w:r>
      <w:r w:rsidR="00C7366F">
        <w:t xml:space="preserve">the </w:t>
      </w:r>
      <w:proofErr w:type="gramStart"/>
      <w:r w:rsidR="00C7366F">
        <w:t>general public</w:t>
      </w:r>
      <w:proofErr w:type="gramEnd"/>
      <w:r w:rsidR="0059050B" w:rsidRPr="008C1E5F">
        <w:t>. Currently, the budget is</w:t>
      </w:r>
      <w:r w:rsidR="00BC2E34" w:rsidRPr="008C1E5F">
        <w:t xml:space="preserve"> structured</w:t>
      </w:r>
      <w:r w:rsidR="0059050B" w:rsidRPr="008C1E5F">
        <w:t xml:space="preserve"> in difficult</w:t>
      </w:r>
      <w:r w:rsidRPr="008C1E5F">
        <w:t>-</w:t>
      </w:r>
      <w:r w:rsidR="0059050B" w:rsidRPr="008C1E5F">
        <w:t>to</w:t>
      </w:r>
      <w:r w:rsidRPr="008C1E5F">
        <w:t>-</w:t>
      </w:r>
      <w:r w:rsidR="0059050B" w:rsidRPr="008C1E5F">
        <w:t xml:space="preserve">read spreadsheets, including the proposed budget by cost center, unfunded positions, analysis of </w:t>
      </w:r>
      <w:r w:rsidR="00647F0C">
        <w:t>city-side</w:t>
      </w:r>
      <w:r w:rsidR="0059050B" w:rsidRPr="008C1E5F">
        <w:t xml:space="preserve"> costs, breakdowns of budget by school and departments (37 in total), and more.</w:t>
      </w:r>
      <w:r w:rsidR="00411332" w:rsidRPr="008C1E5F">
        <w:t xml:space="preserve"> T</w:t>
      </w:r>
      <w:r w:rsidR="0059050B" w:rsidRPr="008C1E5F">
        <w:t>hese budgets include line items with limited narrative text to describe the content of the spreadsheets. Making the budget book more user</w:t>
      </w:r>
      <w:r w:rsidRPr="008C1E5F">
        <w:t>-</w:t>
      </w:r>
      <w:r w:rsidR="0059050B" w:rsidRPr="008C1E5F">
        <w:t xml:space="preserve">friendly is an area </w:t>
      </w:r>
      <w:r w:rsidR="00BD62F1" w:rsidRPr="008C1E5F">
        <w:rPr>
          <w:bCs/>
          <w:bdr w:val="none" w:sz="0" w:space="0" w:color="auto" w:frame="1"/>
        </w:rPr>
        <w:t xml:space="preserve">for </w:t>
      </w:r>
      <w:r w:rsidR="0059050B" w:rsidRPr="008C1E5F">
        <w:t xml:space="preserve">growth for the district. </w:t>
      </w:r>
    </w:p>
    <w:p w14:paraId="54DBB713" w14:textId="34EFC7F5" w:rsidR="0062387B" w:rsidRPr="008C1E5F" w:rsidRDefault="0062387B" w:rsidP="006F7059">
      <w:pPr>
        <w:pStyle w:val="BodyText"/>
        <w:rPr>
          <w:b/>
          <w:bCs/>
        </w:rPr>
      </w:pPr>
      <w:r w:rsidRPr="008C1E5F">
        <w:t xml:space="preserve">Budget documents also indicate that the district applies for state and federal grants that are aligned with the district’s </w:t>
      </w:r>
      <w:r w:rsidR="009E4104" w:rsidRPr="008C1E5F">
        <w:t>priorities</w:t>
      </w:r>
      <w:r w:rsidRPr="008C1E5F">
        <w:t xml:space="preserve"> and that systems </w:t>
      </w:r>
      <w:r w:rsidR="00EE3DF0" w:rsidRPr="008C1E5F">
        <w:t xml:space="preserve">are </w:t>
      </w:r>
      <w:r w:rsidRPr="008C1E5F">
        <w:t>in place to ensure that grant terms and requirements are followed in a timely manner</w:t>
      </w:r>
      <w:r w:rsidR="005541D6" w:rsidRPr="008C1E5F">
        <w:t xml:space="preserve">, </w:t>
      </w:r>
      <w:r w:rsidR="00EE3DF0" w:rsidRPr="008C1E5F">
        <w:t xml:space="preserve">which is </w:t>
      </w:r>
      <w:r w:rsidR="005541D6" w:rsidRPr="008C1E5F">
        <w:t>a strength of the district</w:t>
      </w:r>
      <w:r w:rsidRPr="008C1E5F">
        <w:t xml:space="preserve">. District leaders </w:t>
      </w:r>
      <w:r w:rsidRPr="008C1E5F">
        <w:lastRenderedPageBreak/>
        <w:t xml:space="preserve">shared that they “review the DESE website grants page pretty consistently to vet the grants.” District leaders also addressed the need to plan for funding programs or staff when grant funding runs out. They described their “sustainability plans” as seeking supplemental grants from DESE or support from community partners to continue grant-funded programming even after grants end. </w:t>
      </w:r>
      <w:r w:rsidR="00387AEA" w:rsidRPr="008C1E5F">
        <w:t>District leaders</w:t>
      </w:r>
      <w:r w:rsidRPr="008C1E5F">
        <w:t xml:space="preserve"> did not mention </w:t>
      </w:r>
      <w:r w:rsidR="00EE3DF0" w:rsidRPr="008C1E5F">
        <w:t xml:space="preserve">whether </w:t>
      </w:r>
      <w:r w:rsidR="00387AEA" w:rsidRPr="008C1E5F">
        <w:t>sustainability plans are documented</w:t>
      </w:r>
      <w:r w:rsidRPr="008C1E5F">
        <w:t>.</w:t>
      </w:r>
    </w:p>
    <w:p w14:paraId="673BE657" w14:textId="2016FA40" w:rsidR="002106EE" w:rsidRPr="008C1E5F" w:rsidRDefault="00EE3DF0" w:rsidP="006F7059">
      <w:pPr>
        <w:pStyle w:val="BodyText"/>
      </w:pPr>
      <w:r w:rsidRPr="008C1E5F">
        <w:t>I</w:t>
      </w:r>
      <w:r w:rsidR="00CF27AE" w:rsidRPr="008C1E5F">
        <w:t>n the budget presentation for FY25, d</w:t>
      </w:r>
      <w:r w:rsidR="002106EE" w:rsidRPr="008C1E5F">
        <w:t xml:space="preserve">istrict leaders </w:t>
      </w:r>
      <w:r w:rsidR="00CF27AE" w:rsidRPr="008C1E5F">
        <w:t>identified budgetary</w:t>
      </w:r>
      <w:r w:rsidR="002106EE" w:rsidRPr="008C1E5F">
        <w:t xml:space="preserve"> concerns</w:t>
      </w:r>
      <w:r w:rsidR="00647F0C">
        <w:t>,</w:t>
      </w:r>
      <w:r w:rsidR="002106EE" w:rsidRPr="008C1E5F">
        <w:t xml:space="preserve"> </w:t>
      </w:r>
      <w:r w:rsidR="00CF27AE" w:rsidRPr="008C1E5F">
        <w:t>including</w:t>
      </w:r>
      <w:r w:rsidR="002106EE" w:rsidRPr="008C1E5F">
        <w:t xml:space="preserve"> transportation, charter school/school choice expenses, out</w:t>
      </w:r>
      <w:r w:rsidRPr="008C1E5F">
        <w:t>-</w:t>
      </w:r>
      <w:r w:rsidR="002106EE" w:rsidRPr="008C1E5F">
        <w:t>of</w:t>
      </w:r>
      <w:r w:rsidRPr="008C1E5F">
        <w:t>-</w:t>
      </w:r>
      <w:r w:rsidR="002106EE" w:rsidRPr="008C1E5F">
        <w:t xml:space="preserve">district </w:t>
      </w:r>
      <w:r w:rsidR="00552DA7" w:rsidRPr="008C1E5F">
        <w:t>special education</w:t>
      </w:r>
      <w:r w:rsidR="002106EE" w:rsidRPr="008C1E5F">
        <w:t xml:space="preserve"> tuition, utilities, capital infrastructure, health insurance, and contract negotiations. </w:t>
      </w:r>
      <w:r w:rsidR="002106EE" w:rsidRPr="008C1E5F">
        <w:rPr>
          <w:rFonts w:cs="Menlo"/>
          <w:color w:val="000000"/>
        </w:rPr>
        <w:t xml:space="preserve">The district uses the state’s Circuit Breaker to </w:t>
      </w:r>
      <w:r w:rsidR="002106EE" w:rsidRPr="008C1E5F">
        <w:rPr>
          <w:rFonts w:cs="Menlo"/>
          <w:color w:val="000000" w:themeColor="text1"/>
        </w:rPr>
        <w:t xml:space="preserve">fund a portion of the </w:t>
      </w:r>
      <w:r w:rsidR="002E599A" w:rsidRPr="008C1E5F">
        <w:rPr>
          <w:rFonts w:cs="Menlo"/>
          <w:color w:val="000000" w:themeColor="text1"/>
        </w:rPr>
        <w:t>out</w:t>
      </w:r>
      <w:r w:rsidRPr="008C1E5F">
        <w:rPr>
          <w:rFonts w:cs="Menlo"/>
          <w:color w:val="000000" w:themeColor="text1"/>
        </w:rPr>
        <w:t>-</w:t>
      </w:r>
      <w:r w:rsidR="002E599A" w:rsidRPr="008C1E5F">
        <w:rPr>
          <w:rFonts w:cs="Menlo"/>
          <w:color w:val="000000" w:themeColor="text1"/>
        </w:rPr>
        <w:t>of</w:t>
      </w:r>
      <w:r w:rsidRPr="008C1E5F">
        <w:rPr>
          <w:rFonts w:cs="Menlo"/>
          <w:color w:val="000000" w:themeColor="text1"/>
        </w:rPr>
        <w:t>-</w:t>
      </w:r>
      <w:r w:rsidR="002E599A" w:rsidRPr="008C1E5F">
        <w:rPr>
          <w:rFonts w:cs="Menlo"/>
          <w:color w:val="000000" w:themeColor="text1"/>
        </w:rPr>
        <w:t xml:space="preserve">district </w:t>
      </w:r>
      <w:r w:rsidR="00102045" w:rsidRPr="008C1E5F">
        <w:rPr>
          <w:rFonts w:cs="Menlo"/>
          <w:color w:val="000000" w:themeColor="text1"/>
        </w:rPr>
        <w:t>s</w:t>
      </w:r>
      <w:r w:rsidR="002106EE" w:rsidRPr="008C1E5F">
        <w:rPr>
          <w:rFonts w:cs="Menlo"/>
          <w:color w:val="000000" w:themeColor="text1"/>
        </w:rPr>
        <w:t xml:space="preserve">pecial </w:t>
      </w:r>
      <w:r w:rsidR="002E599A" w:rsidRPr="008C1E5F">
        <w:rPr>
          <w:rFonts w:cs="Menlo"/>
          <w:color w:val="000000" w:themeColor="text1"/>
        </w:rPr>
        <w:t>e</w:t>
      </w:r>
      <w:r w:rsidR="002106EE" w:rsidRPr="008C1E5F">
        <w:rPr>
          <w:rFonts w:cs="Menlo"/>
          <w:color w:val="000000" w:themeColor="text1"/>
        </w:rPr>
        <w:t>ducation tuition and transportation</w:t>
      </w:r>
      <w:r w:rsidR="00346B15" w:rsidRPr="008C1E5F">
        <w:rPr>
          <w:rFonts w:cs="Menlo"/>
          <w:color w:val="000000" w:themeColor="text1"/>
        </w:rPr>
        <w:t xml:space="preserve">, although it is a </w:t>
      </w:r>
      <w:r w:rsidR="002106EE" w:rsidRPr="008C1E5F">
        <w:rPr>
          <w:rFonts w:cs="Menlo"/>
          <w:color w:val="000000" w:themeColor="text1"/>
        </w:rPr>
        <w:t>struggle for the</w:t>
      </w:r>
      <w:r w:rsidR="002106EE" w:rsidRPr="008C1E5F">
        <w:rPr>
          <w:color w:val="000000" w:themeColor="text1"/>
        </w:rPr>
        <w:t xml:space="preserve"> district to cover unexpected increases. A district leader </w:t>
      </w:r>
      <w:r w:rsidR="002106EE" w:rsidRPr="008C1E5F">
        <w:t xml:space="preserve">shared their concern: </w:t>
      </w:r>
    </w:p>
    <w:p w14:paraId="00008322" w14:textId="642F56FD" w:rsidR="002106EE" w:rsidRPr="008C1E5F" w:rsidRDefault="002106EE" w:rsidP="006F7059">
      <w:pPr>
        <w:pStyle w:val="BlockQuote"/>
      </w:pPr>
      <w:r w:rsidRPr="008C1E5F">
        <w:t xml:space="preserve">We need better systems in terms of our financial management because we have said yes so much in the past three years, and we have been able to fund things through state grants around curriculum or the ESSER </w:t>
      </w:r>
      <w:r w:rsidR="00EE3DF0" w:rsidRPr="008C1E5F">
        <w:t xml:space="preserve">[Elementary and Secondary School Emergency Relief] </w:t>
      </w:r>
      <w:r w:rsidRPr="008C1E5F">
        <w:t>money</w:t>
      </w:r>
      <w:r w:rsidR="00EE3DF0" w:rsidRPr="008C1E5F">
        <w:t>.</w:t>
      </w:r>
      <w:r w:rsidRPr="008C1E5F">
        <w:t xml:space="preserve">… And now we need a real system because we operate in a way that all year long people go, </w:t>
      </w:r>
      <w:r w:rsidR="00EE3DF0" w:rsidRPr="008C1E5F">
        <w:t>“</w:t>
      </w:r>
      <w:r w:rsidRPr="008C1E5F">
        <w:t>I have this great idea.</w:t>
      </w:r>
      <w:r w:rsidR="00EE3DF0" w:rsidRPr="008C1E5F">
        <w:t>”</w:t>
      </w:r>
    </w:p>
    <w:p w14:paraId="2EB35591" w14:textId="1C086049" w:rsidR="002106EE" w:rsidRPr="008C1E5F" w:rsidRDefault="002106EE" w:rsidP="006F7059">
      <w:pPr>
        <w:pStyle w:val="BodyText"/>
      </w:pPr>
      <w:r w:rsidRPr="008C1E5F">
        <w:t>City officials expressed concern that reductions in federal funds may lead to difficulties with the budget in a few years.</w:t>
      </w:r>
      <w:r w:rsidR="00A03668" w:rsidRPr="008C1E5F">
        <w:t xml:space="preserve"> </w:t>
      </w:r>
    </w:p>
    <w:p w14:paraId="20F51EE0" w14:textId="6401ABC2" w:rsidR="00A16D3B" w:rsidRPr="008C1E5F" w:rsidRDefault="00134FCB" w:rsidP="006F7059">
      <w:pPr>
        <w:pStyle w:val="BodyText"/>
      </w:pPr>
      <w:r w:rsidRPr="008C1E5F">
        <w:t xml:space="preserve">Regarding regular budget updates to the school committee, district leaders and school committee members agreed that </w:t>
      </w:r>
      <w:r w:rsidR="00A16D3B" w:rsidRPr="008C1E5F">
        <w:t xml:space="preserve">budget updates </w:t>
      </w:r>
      <w:r w:rsidR="00D019C3" w:rsidRPr="008C1E5F">
        <w:t>are provided</w:t>
      </w:r>
      <w:r w:rsidR="00A16D3B" w:rsidRPr="008C1E5F">
        <w:t xml:space="preserve"> on a regular basis</w:t>
      </w:r>
      <w:r w:rsidR="00794F11" w:rsidRPr="008C1E5F">
        <w:t xml:space="preserve">. </w:t>
      </w:r>
      <w:r w:rsidR="00A16D3B" w:rsidRPr="008C1E5F">
        <w:t xml:space="preserve">In addition to gathering budget information at school committee meetings, </w:t>
      </w:r>
      <w:r w:rsidR="003D439A" w:rsidRPr="008C1E5F">
        <w:t>s</w:t>
      </w:r>
      <w:r w:rsidR="00A16D3B" w:rsidRPr="008C1E5F">
        <w:t xml:space="preserve">chool </w:t>
      </w:r>
      <w:r w:rsidR="003D439A" w:rsidRPr="008C1E5F">
        <w:t>c</w:t>
      </w:r>
      <w:r w:rsidR="00A16D3B" w:rsidRPr="008C1E5F">
        <w:t>ommittee members often request information from the district. A school committee member explained their role:</w:t>
      </w:r>
    </w:p>
    <w:p w14:paraId="168012E6" w14:textId="18E3F0C3" w:rsidR="00A16D3B" w:rsidRPr="008C1E5F" w:rsidRDefault="00A16D3B" w:rsidP="006F7059">
      <w:pPr>
        <w:pStyle w:val="BlockQuote"/>
      </w:pPr>
      <w:r w:rsidRPr="008C1E5F">
        <w:t>I would say that we have</w:t>
      </w:r>
      <w:r w:rsidR="00EE3DF0" w:rsidRPr="008C1E5F">
        <w:t>,</w:t>
      </w:r>
      <w:r w:rsidRPr="008C1E5F">
        <w:t xml:space="preserve"> over the years</w:t>
      </w:r>
      <w:proofErr w:type="gramStart"/>
      <w:r w:rsidRPr="008C1E5F">
        <w:t>, we</w:t>
      </w:r>
      <w:r w:rsidR="00EE3DF0" w:rsidRPr="008C1E5F">
        <w:t>’</w:t>
      </w:r>
      <w:r w:rsidRPr="008C1E5F">
        <w:t>ve</w:t>
      </w:r>
      <w:proofErr w:type="gramEnd"/>
      <w:r w:rsidRPr="008C1E5F">
        <w:t xml:space="preserve"> created policies where the superintendent doesn</w:t>
      </w:r>
      <w:r w:rsidR="00EE3DF0" w:rsidRPr="008C1E5F">
        <w:t>’</w:t>
      </w:r>
      <w:r w:rsidRPr="008C1E5F">
        <w:t xml:space="preserve">t have the authority to spend money wherever. So, we have organizationally put in place checks and balances to make sure that we </w:t>
      </w:r>
      <w:proofErr w:type="gramStart"/>
      <w:r w:rsidRPr="008C1E5F">
        <w:t>have to</w:t>
      </w:r>
      <w:proofErr w:type="gramEnd"/>
      <w:r w:rsidRPr="008C1E5F">
        <w:t xml:space="preserve"> approve transfers from one area to another so that we have our input. When they </w:t>
      </w:r>
      <w:proofErr w:type="gramStart"/>
      <w:r w:rsidRPr="008C1E5F">
        <w:t>do</w:t>
      </w:r>
      <w:proofErr w:type="gramEnd"/>
      <w:r w:rsidRPr="008C1E5F">
        <w:t xml:space="preserve"> a budget, they just can</w:t>
      </w:r>
      <w:r w:rsidR="00EE3DF0" w:rsidRPr="008C1E5F">
        <w:t>’</w:t>
      </w:r>
      <w:r w:rsidRPr="008C1E5F">
        <w:t xml:space="preserve">t do whatever they want. We </w:t>
      </w:r>
      <w:proofErr w:type="gramStart"/>
      <w:r w:rsidRPr="008C1E5F">
        <w:t>have to</w:t>
      </w:r>
      <w:proofErr w:type="gramEnd"/>
      <w:r w:rsidRPr="008C1E5F">
        <w:t xml:space="preserve"> approve it.</w:t>
      </w:r>
    </w:p>
    <w:p w14:paraId="64CB0E51" w14:textId="46C187EC" w:rsidR="000E4688" w:rsidRPr="008C1E5F" w:rsidRDefault="000E4688" w:rsidP="006F7059">
      <w:pPr>
        <w:pStyle w:val="BodyText"/>
      </w:pPr>
      <w:r w:rsidRPr="008C1E5F">
        <w:t xml:space="preserve">The regular communication between the district and school committee on the status of the budget is a strength of the district. </w:t>
      </w:r>
    </w:p>
    <w:p w14:paraId="5300EB25" w14:textId="44B5E431" w:rsidR="0099161F" w:rsidRPr="008C1E5F" w:rsidRDefault="0099161F" w:rsidP="006F7059">
      <w:pPr>
        <w:pStyle w:val="BodyText"/>
      </w:pPr>
      <w:r w:rsidRPr="008C1E5F">
        <w:t xml:space="preserve">District budget documents clearly identify funds associated with grants, student activities and organizations, fees, and revolving funds. According to school leaders and teachers, the district’s budget </w:t>
      </w:r>
      <w:r w:rsidR="00216566" w:rsidRPr="008C1E5F">
        <w:t>does not</w:t>
      </w:r>
      <w:r w:rsidR="005F4898" w:rsidRPr="008C1E5F">
        <w:t xml:space="preserve"> </w:t>
      </w:r>
      <w:r w:rsidR="00D372C3">
        <w:t>include an appropriate and competitive pay scale for teachers</w:t>
      </w:r>
      <w:r w:rsidRPr="008C1E5F">
        <w:t xml:space="preserve">. </w:t>
      </w:r>
      <w:r w:rsidR="002627DF" w:rsidRPr="008C1E5F">
        <w:t>Across all levels (district leaders, school leaders, and school staff)</w:t>
      </w:r>
      <w:r w:rsidR="00EE3DF0" w:rsidRPr="008C1E5F">
        <w:t>,</w:t>
      </w:r>
      <w:r w:rsidR="002627DF" w:rsidRPr="008C1E5F">
        <w:t xml:space="preserve"> many staff respondents identified competitive teacher compensation as a key issue. </w:t>
      </w:r>
      <w:r w:rsidR="00760291" w:rsidRPr="008C1E5F">
        <w:t xml:space="preserve">As a result, </w:t>
      </w:r>
      <w:r w:rsidR="00017452" w:rsidRPr="008C1E5F">
        <w:t>the district has funded</w:t>
      </w:r>
      <w:r w:rsidR="00017452" w:rsidRPr="008C1E5F">
        <w:rPr>
          <w:color w:val="000000" w:themeColor="text1"/>
        </w:rPr>
        <w:t xml:space="preserve"> positions but is unable to hire and retain staff to fill these positions, particularly EL teachers. </w:t>
      </w:r>
      <w:r w:rsidRPr="008C1E5F">
        <w:t>The average teacher salary is $</w:t>
      </w:r>
      <w:r w:rsidR="00DE1086">
        <w:t>79</w:t>
      </w:r>
      <w:r w:rsidRPr="008C1E5F">
        <w:t>,</w:t>
      </w:r>
      <w:r w:rsidR="00DE1086">
        <w:t>846</w:t>
      </w:r>
      <w:r w:rsidR="00DE1086" w:rsidRPr="008C1E5F">
        <w:t xml:space="preserve"> </w:t>
      </w:r>
      <w:r w:rsidRPr="008C1E5F">
        <w:t xml:space="preserve">as of FY2023, </w:t>
      </w:r>
      <w:r w:rsidR="00F7035D" w:rsidRPr="008C1E5F">
        <w:t xml:space="preserve">which is </w:t>
      </w:r>
      <w:r w:rsidRPr="008C1E5F">
        <w:t>$</w:t>
      </w:r>
      <w:r w:rsidR="00F972A7">
        <w:t>9</w:t>
      </w:r>
      <w:r w:rsidRPr="008C1E5F">
        <w:t>,</w:t>
      </w:r>
      <w:r w:rsidR="00F972A7">
        <w:t>730</w:t>
      </w:r>
      <w:r w:rsidRPr="008C1E5F">
        <w:t xml:space="preserve"> lower than the state average of $89,576. </w:t>
      </w:r>
      <w:r w:rsidR="00F12B70">
        <w:t>In the time since the district review, the district has finalized a new three-year teacher contract with the teachers’ association</w:t>
      </w:r>
      <w:r w:rsidR="007F0056">
        <w:t xml:space="preserve">, which includes </w:t>
      </w:r>
      <w:r w:rsidR="00B36191">
        <w:t>wage increases between 18 and 21 percent over the life of the deal</w:t>
      </w:r>
      <w:r w:rsidR="00F12B70">
        <w:t xml:space="preserve">. </w:t>
      </w:r>
    </w:p>
    <w:p w14:paraId="73AB2726" w14:textId="01184A14" w:rsidR="00B827DE" w:rsidRPr="008C1E5F" w:rsidRDefault="00041E9B" w:rsidP="00B827DE">
      <w:pPr>
        <w:pStyle w:val="Heading3"/>
      </w:pPr>
      <w:bookmarkStart w:id="122" w:name="_Operations_1"/>
      <w:bookmarkStart w:id="123" w:name="_Toc195024240"/>
      <w:bookmarkEnd w:id="122"/>
      <w:r w:rsidRPr="008C1E5F">
        <w:lastRenderedPageBreak/>
        <w:t>Operations</w:t>
      </w:r>
      <w:bookmarkEnd w:id="123"/>
    </w:p>
    <w:p w14:paraId="021875FD" w14:textId="05CD8F17" w:rsidR="004A233A" w:rsidRPr="008C1E5F" w:rsidRDefault="004A233A" w:rsidP="006F7059">
      <w:pPr>
        <w:pStyle w:val="BodyTextposthead"/>
      </w:pPr>
      <w:r w:rsidRPr="008C1E5F">
        <w:t xml:space="preserve">The district has several operational elements that are all managed under the Facilities and Operations Office, allowing for </w:t>
      </w:r>
      <w:r w:rsidR="00555330" w:rsidRPr="008C1E5F">
        <w:t xml:space="preserve">generally </w:t>
      </w:r>
      <w:r w:rsidRPr="008C1E5F">
        <w:t xml:space="preserve">effective coordination of these operations. </w:t>
      </w:r>
    </w:p>
    <w:p w14:paraId="12C65856" w14:textId="0213BA96" w:rsidR="00D21657" w:rsidRDefault="00C85900" w:rsidP="006F7059">
      <w:pPr>
        <w:pStyle w:val="BodyText"/>
      </w:pPr>
      <w:r w:rsidRPr="008C1E5F">
        <w:t>Maintenance is overseen by the district’s director of maintenance</w:t>
      </w:r>
      <w:r w:rsidR="00FF294A" w:rsidRPr="008C1E5F">
        <w:t xml:space="preserve">, who then manages </w:t>
      </w:r>
      <w:r w:rsidR="002463D6" w:rsidRPr="008C1E5F">
        <w:t>the various disciplines</w:t>
      </w:r>
      <w:r w:rsidR="00774119" w:rsidRPr="008C1E5F">
        <w:t xml:space="preserve"> (e.g., carpenters, painters, electricians, </w:t>
      </w:r>
      <w:r w:rsidR="00656D43" w:rsidRPr="008C1E5F">
        <w:t xml:space="preserve">HVAC technicians, </w:t>
      </w:r>
      <w:r w:rsidR="00586FE3" w:rsidRPr="008C1E5F">
        <w:t>plumbers)</w:t>
      </w:r>
      <w:r w:rsidR="003F21F7" w:rsidRPr="008C1E5F">
        <w:t xml:space="preserve">. </w:t>
      </w:r>
      <w:r w:rsidR="003B71D7" w:rsidRPr="008C1E5F">
        <w:t xml:space="preserve">The district is responsible for all maintenance of </w:t>
      </w:r>
      <w:r w:rsidR="00400DC3" w:rsidRPr="008C1E5F">
        <w:t xml:space="preserve">its </w:t>
      </w:r>
      <w:r w:rsidR="003B71D7" w:rsidRPr="008C1E5F">
        <w:t xml:space="preserve">buildings. </w:t>
      </w:r>
      <w:r w:rsidR="00312451" w:rsidRPr="008C1E5F">
        <w:t xml:space="preserve">According to district leaders, </w:t>
      </w:r>
      <w:r w:rsidR="003F2E90" w:rsidRPr="008C1E5F">
        <w:t xml:space="preserve">an established process </w:t>
      </w:r>
      <w:r w:rsidR="00400DC3" w:rsidRPr="008C1E5F">
        <w:t xml:space="preserve">is </w:t>
      </w:r>
      <w:r w:rsidR="003F2E90" w:rsidRPr="008C1E5F">
        <w:t xml:space="preserve">in place for schools to </w:t>
      </w:r>
      <w:r w:rsidR="005C0EB3" w:rsidRPr="008C1E5F">
        <w:t>make</w:t>
      </w:r>
      <w:r w:rsidR="003F2E90" w:rsidRPr="008C1E5F">
        <w:t xml:space="preserve"> </w:t>
      </w:r>
      <w:r w:rsidR="003D20AD" w:rsidRPr="008C1E5F">
        <w:t>maintenance</w:t>
      </w:r>
      <w:r w:rsidR="003F2E90" w:rsidRPr="008C1E5F">
        <w:t xml:space="preserve"> requests where</w:t>
      </w:r>
      <w:r w:rsidR="00400DC3" w:rsidRPr="008C1E5F">
        <w:t>by</w:t>
      </w:r>
      <w:r w:rsidR="003F2E90" w:rsidRPr="008C1E5F">
        <w:t xml:space="preserve"> </w:t>
      </w:r>
      <w:r w:rsidR="00096830" w:rsidRPr="008C1E5F">
        <w:t>custodians</w:t>
      </w:r>
      <w:r w:rsidR="00312451" w:rsidRPr="008C1E5F">
        <w:t xml:space="preserve"> </w:t>
      </w:r>
      <w:r w:rsidR="003D20AD" w:rsidRPr="008C1E5F">
        <w:t xml:space="preserve">submit </w:t>
      </w:r>
      <w:r w:rsidR="00DE0D09" w:rsidRPr="008C1E5F">
        <w:t xml:space="preserve">a work order </w:t>
      </w:r>
      <w:r w:rsidR="00B73F69" w:rsidRPr="008C1E5F">
        <w:t xml:space="preserve">to the district. The work orders are then </w:t>
      </w:r>
      <w:r w:rsidR="004A7A12" w:rsidRPr="008C1E5F">
        <w:t xml:space="preserve">tracked in a system and prioritized by the </w:t>
      </w:r>
      <w:r w:rsidR="003F2E90" w:rsidRPr="008C1E5F">
        <w:t>district</w:t>
      </w:r>
      <w:r w:rsidR="003D20AD" w:rsidRPr="008C1E5F">
        <w:t xml:space="preserve"> for completion. </w:t>
      </w:r>
      <w:r w:rsidR="001F0DEF" w:rsidRPr="008C1E5F">
        <w:t>However</w:t>
      </w:r>
      <w:r w:rsidR="003B71D7" w:rsidRPr="008C1E5F">
        <w:t xml:space="preserve">, </w:t>
      </w:r>
      <w:r w:rsidR="00CE35F5" w:rsidRPr="008C1E5F">
        <w:t xml:space="preserve">there is currently no preventative maintenance plan. According to a school committee member, the committee has been “pressuring [facilities] to have a preventive maintenance plan.” </w:t>
      </w:r>
      <w:r w:rsidR="0084603D" w:rsidRPr="008C1E5F">
        <w:t xml:space="preserve">Establishing a preventative maintenance plan is an area </w:t>
      </w:r>
      <w:r w:rsidR="0084603D">
        <w:t xml:space="preserve">for </w:t>
      </w:r>
      <w:r w:rsidR="0084603D" w:rsidRPr="008C1E5F">
        <w:t>growth for the district.</w:t>
      </w:r>
    </w:p>
    <w:p w14:paraId="23DE59B6" w14:textId="161E08FF" w:rsidR="003003FE" w:rsidRPr="008C1E5F" w:rsidRDefault="00265DAB" w:rsidP="006F7059">
      <w:pPr>
        <w:pStyle w:val="BodyText"/>
      </w:pPr>
      <w:r w:rsidRPr="008C1E5F">
        <w:t xml:space="preserve">One </w:t>
      </w:r>
      <w:r w:rsidR="009A13B6">
        <w:t>maintenance</w:t>
      </w:r>
      <w:r w:rsidRPr="008C1E5F">
        <w:t xml:space="preserve"> challenge that was identified in several interviews and focus groups </w:t>
      </w:r>
      <w:r w:rsidR="00400DC3" w:rsidRPr="008C1E5F">
        <w:t xml:space="preserve">is </w:t>
      </w:r>
      <w:r w:rsidRPr="008C1E5F">
        <w:t>an issue with mold at one of the buildings</w:t>
      </w:r>
      <w:r w:rsidR="00CE3345">
        <w:t>, w</w:t>
      </w:r>
      <w:r w:rsidR="00D96554">
        <w:t>h</w:t>
      </w:r>
      <w:r w:rsidR="00CE3345">
        <w:t>ere mold was present in several classrooms</w:t>
      </w:r>
      <w:r w:rsidRPr="008C1E5F">
        <w:t xml:space="preserve">. </w:t>
      </w:r>
      <w:r w:rsidR="00AE797F" w:rsidRPr="008C1E5F">
        <w:t xml:space="preserve">At the time of the district review, </w:t>
      </w:r>
      <w:r w:rsidR="00036FCF" w:rsidRPr="008C1E5F">
        <w:t xml:space="preserve">the mold issue had been </w:t>
      </w:r>
      <w:r w:rsidR="00CE3345">
        <w:t xml:space="preserve">reportedly </w:t>
      </w:r>
      <w:r w:rsidR="00036FCF" w:rsidRPr="008C1E5F">
        <w:t xml:space="preserve">rectified, although </w:t>
      </w:r>
      <w:r w:rsidR="00DA5566" w:rsidRPr="008C1E5F">
        <w:t xml:space="preserve">school staff described the district as </w:t>
      </w:r>
      <w:r w:rsidR="00555330" w:rsidRPr="008C1E5F">
        <w:t>taking too much time to</w:t>
      </w:r>
      <w:r w:rsidR="00DA5566" w:rsidRPr="008C1E5F">
        <w:t xml:space="preserve"> address this </w:t>
      </w:r>
      <w:proofErr w:type="gramStart"/>
      <w:r w:rsidR="00090AFF">
        <w:t>particular</w:t>
      </w:r>
      <w:r w:rsidR="0084603D">
        <w:t xml:space="preserve"> </w:t>
      </w:r>
      <w:r w:rsidR="00DA5566" w:rsidRPr="008C1E5F">
        <w:t>challenge</w:t>
      </w:r>
      <w:proofErr w:type="gramEnd"/>
      <w:r w:rsidR="00DA5566" w:rsidRPr="008C1E5F">
        <w:t>.</w:t>
      </w:r>
    </w:p>
    <w:p w14:paraId="6772764F" w14:textId="27D304A7" w:rsidR="00F2352A" w:rsidRPr="008C1E5F" w:rsidRDefault="00180291" w:rsidP="006F7059">
      <w:pPr>
        <w:pStyle w:val="BodyText"/>
        <w:rPr>
          <w:b/>
          <w:bCs/>
        </w:rPr>
      </w:pPr>
      <w:r w:rsidRPr="008C1E5F">
        <w:t xml:space="preserve">Operational needs are guided, in part, by student enrollment. </w:t>
      </w:r>
      <w:r w:rsidR="00F435CA" w:rsidRPr="008C1E5F">
        <w:t xml:space="preserve">Over the last decade, enrollment in Fall River has </w:t>
      </w:r>
      <w:r w:rsidR="00A8523B" w:rsidRPr="008C1E5F">
        <w:t xml:space="preserve">steadily increased. As of </w:t>
      </w:r>
      <w:r w:rsidR="00F435CA" w:rsidRPr="008C1E5F">
        <w:t xml:space="preserve">October 2024, the total enrollment for </w:t>
      </w:r>
      <w:r w:rsidR="00400DC3" w:rsidRPr="008C1E5F">
        <w:t>the district</w:t>
      </w:r>
      <w:r w:rsidR="00F435CA" w:rsidRPr="008C1E5F">
        <w:t xml:space="preserve"> was </w:t>
      </w:r>
      <w:r w:rsidR="00A8523B" w:rsidRPr="008C1E5F">
        <w:t>11</w:t>
      </w:r>
      <w:r w:rsidR="00F435CA" w:rsidRPr="008C1E5F">
        <w:t>,</w:t>
      </w:r>
      <w:r w:rsidR="00A8523B" w:rsidRPr="008C1E5F">
        <w:t>089</w:t>
      </w:r>
      <w:r w:rsidR="00F435CA" w:rsidRPr="008C1E5F">
        <w:t>. This include</w:t>
      </w:r>
      <w:r w:rsidR="00593084" w:rsidRPr="008C1E5F">
        <w:t>d</w:t>
      </w:r>
      <w:r w:rsidR="00F435CA" w:rsidRPr="008C1E5F">
        <w:t xml:space="preserve"> a</w:t>
      </w:r>
      <w:r w:rsidR="00955F95">
        <w:t>n</w:t>
      </w:r>
      <w:r w:rsidR="00F435CA" w:rsidRPr="008C1E5F">
        <w:t xml:space="preserve"> increase </w:t>
      </w:r>
      <w:r w:rsidR="007B4A05" w:rsidRPr="008C1E5F">
        <w:t xml:space="preserve">of approximately 400 students compared to the prior school year. Additionally, Fall River </w:t>
      </w:r>
      <w:r w:rsidR="00B04611" w:rsidRPr="008C1E5F">
        <w:t xml:space="preserve">continuously receives </w:t>
      </w:r>
      <w:r w:rsidR="00C2644F" w:rsidRPr="008C1E5F">
        <w:t xml:space="preserve">new student enrollments throughout the school year. </w:t>
      </w:r>
      <w:r w:rsidR="0025167E" w:rsidRPr="008C1E5F">
        <w:t xml:space="preserve">Across the district, student assignment to schools is </w:t>
      </w:r>
      <w:r w:rsidR="00E5712B" w:rsidRPr="008C1E5F">
        <w:t>neighborhood</w:t>
      </w:r>
      <w:r w:rsidR="00B360DB">
        <w:t>-</w:t>
      </w:r>
      <w:r w:rsidR="00E5712B" w:rsidRPr="008C1E5F">
        <w:t xml:space="preserve">based, space permitting. </w:t>
      </w:r>
      <w:r w:rsidR="00297B13" w:rsidRPr="008C1E5F">
        <w:t>According to the district’s parent information center, e</w:t>
      </w:r>
      <w:r w:rsidR="006E0EEF" w:rsidRPr="008C1E5F">
        <w:t xml:space="preserve">lementary and </w:t>
      </w:r>
      <w:r w:rsidR="00297B13" w:rsidRPr="008C1E5F">
        <w:t>m</w:t>
      </w:r>
      <w:r w:rsidR="006E0EEF" w:rsidRPr="008C1E5F">
        <w:t xml:space="preserve">iddle </w:t>
      </w:r>
      <w:r w:rsidR="00297B13" w:rsidRPr="008C1E5F">
        <w:t>s</w:t>
      </w:r>
      <w:r w:rsidR="006E0EEF" w:rsidRPr="008C1E5F">
        <w:t xml:space="preserve">chool </w:t>
      </w:r>
      <w:r w:rsidR="00297B13" w:rsidRPr="008C1E5F">
        <w:t>s</w:t>
      </w:r>
      <w:r w:rsidR="006E0EEF" w:rsidRPr="008C1E5F">
        <w:t xml:space="preserve">tudents </w:t>
      </w:r>
      <w:r w:rsidR="00297B13" w:rsidRPr="008C1E5F">
        <w:t xml:space="preserve">are </w:t>
      </w:r>
      <w:r w:rsidR="006E0EEF" w:rsidRPr="008C1E5F">
        <w:t xml:space="preserve">assigned to </w:t>
      </w:r>
      <w:r w:rsidR="00297B13" w:rsidRPr="008C1E5F">
        <w:t>a</w:t>
      </w:r>
      <w:r w:rsidR="006E0EEF" w:rsidRPr="008C1E5F">
        <w:t xml:space="preserve"> school based on their address. </w:t>
      </w:r>
      <w:r w:rsidR="00297B13" w:rsidRPr="008C1E5F">
        <w:t xml:space="preserve">Parents can </w:t>
      </w:r>
      <w:r w:rsidR="006E0EEF" w:rsidRPr="008C1E5F">
        <w:t xml:space="preserve">look up the school zone </w:t>
      </w:r>
      <w:r w:rsidR="00297B13" w:rsidRPr="008C1E5F">
        <w:t>they</w:t>
      </w:r>
      <w:r w:rsidR="006E0EEF" w:rsidRPr="008C1E5F">
        <w:t xml:space="preserve"> reside in </w:t>
      </w:r>
      <w:r w:rsidR="00400DC3" w:rsidRPr="008C1E5F">
        <w:t xml:space="preserve">on </w:t>
      </w:r>
      <w:r w:rsidR="00297B13" w:rsidRPr="008C1E5F">
        <w:t>the center website</w:t>
      </w:r>
      <w:r w:rsidR="006E0EEF" w:rsidRPr="008C1E5F">
        <w:t xml:space="preserve">. If </w:t>
      </w:r>
      <w:r w:rsidR="00E95AA1" w:rsidRPr="008C1E5F">
        <w:t>the</w:t>
      </w:r>
      <w:r w:rsidR="006E0EEF" w:rsidRPr="008C1E5F">
        <w:t xml:space="preserve"> neighborhood school is full, the </w:t>
      </w:r>
      <w:r w:rsidR="0005789D" w:rsidRPr="008C1E5F">
        <w:t>center</w:t>
      </w:r>
      <w:r w:rsidR="006E0EEF" w:rsidRPr="008C1E5F">
        <w:t xml:space="preserve"> assist</w:t>
      </w:r>
      <w:r w:rsidR="0005789D" w:rsidRPr="008C1E5F">
        <w:t>s</w:t>
      </w:r>
      <w:r w:rsidR="006E0EEF" w:rsidRPr="008C1E5F">
        <w:t xml:space="preserve"> in student placemen</w:t>
      </w:r>
      <w:r w:rsidR="00E7671B" w:rsidRPr="008C1E5F">
        <w:t>t</w:t>
      </w:r>
      <w:r w:rsidR="006E0EEF" w:rsidRPr="008C1E5F">
        <w:t>. </w:t>
      </w:r>
      <w:r w:rsidR="00D0580E" w:rsidRPr="008C1E5F">
        <w:t xml:space="preserve">Other factors for school assignment include requirements due to an IEP or 504 </w:t>
      </w:r>
      <w:r w:rsidR="00400DC3" w:rsidRPr="008C1E5F">
        <w:t>p</w:t>
      </w:r>
      <w:r w:rsidR="00D0580E" w:rsidRPr="008C1E5F">
        <w:t xml:space="preserve">lan for placements in </w:t>
      </w:r>
      <w:r w:rsidR="00400DC3" w:rsidRPr="008C1E5F">
        <w:t>s</w:t>
      </w:r>
      <w:r w:rsidR="00D0580E" w:rsidRPr="008C1E5F">
        <w:t xml:space="preserve">pecial </w:t>
      </w:r>
      <w:r w:rsidR="00400DC3" w:rsidRPr="008C1E5F">
        <w:t>p</w:t>
      </w:r>
      <w:r w:rsidR="00D0580E" w:rsidRPr="008C1E5F">
        <w:t>rograms</w:t>
      </w:r>
      <w:r w:rsidR="00003B62" w:rsidRPr="008C1E5F">
        <w:t xml:space="preserve"> or</w:t>
      </w:r>
      <w:r w:rsidR="00056538" w:rsidRPr="008C1E5F">
        <w:t xml:space="preserve"> placemen</w:t>
      </w:r>
      <w:r w:rsidR="00C34D3C" w:rsidRPr="008C1E5F">
        <w:t xml:space="preserve">ts for </w:t>
      </w:r>
      <w:r w:rsidR="00CB16AA">
        <w:t>English Learners</w:t>
      </w:r>
      <w:r w:rsidR="00C34D3C" w:rsidRPr="008C1E5F">
        <w:t xml:space="preserve">. </w:t>
      </w:r>
    </w:p>
    <w:p w14:paraId="1A047078" w14:textId="5C9D36D5" w:rsidR="00517305" w:rsidRPr="008C1E5F" w:rsidRDefault="007926BB" w:rsidP="006F7059">
      <w:pPr>
        <w:pStyle w:val="BodyText"/>
      </w:pPr>
      <w:r w:rsidRPr="008C1E5F">
        <w:t xml:space="preserve">District leaders reported that the </w:t>
      </w:r>
      <w:r w:rsidR="00030CBA" w:rsidRPr="008C1E5F">
        <w:t>city</w:t>
      </w:r>
      <w:r w:rsidRPr="008C1E5F">
        <w:t xml:space="preserve"> provides reliable transportation services so that students can safely get to and from school on time. </w:t>
      </w:r>
      <w:r w:rsidR="009D5D56" w:rsidRPr="008C1E5F">
        <w:t>Seven schools do not have regular transportation</w:t>
      </w:r>
      <w:r w:rsidR="000F24AE" w:rsidRPr="008C1E5F">
        <w:t xml:space="preserve">: Doran, Greene, Letourneau, Tansey, Viveiros, Watson, and </w:t>
      </w:r>
      <w:proofErr w:type="spellStart"/>
      <w:r w:rsidR="000F24AE" w:rsidRPr="008C1E5F">
        <w:t>Westall</w:t>
      </w:r>
      <w:proofErr w:type="spellEnd"/>
      <w:r w:rsidR="000F24AE" w:rsidRPr="008C1E5F">
        <w:t xml:space="preserve">. </w:t>
      </w:r>
      <w:r w:rsidR="006C30C9">
        <w:t xml:space="preserve">For others, </w:t>
      </w:r>
      <w:r w:rsidR="00AF78D8" w:rsidRPr="008C1E5F">
        <w:t xml:space="preserve">the district oversees </w:t>
      </w:r>
      <w:r w:rsidR="00C97008" w:rsidRPr="008C1E5F">
        <w:t>33 bus routes</w:t>
      </w:r>
      <w:r w:rsidR="00B011EC" w:rsidRPr="008C1E5F">
        <w:t xml:space="preserve"> through Amaral Bus Co</w:t>
      </w:r>
      <w:r w:rsidR="00AF5838" w:rsidRPr="008C1E5F">
        <w:t>mpany</w:t>
      </w:r>
      <w:r w:rsidR="00A529F8" w:rsidRPr="008C1E5F">
        <w:t xml:space="preserve">. </w:t>
      </w:r>
      <w:proofErr w:type="gramStart"/>
      <w:r w:rsidR="00374E8F" w:rsidRPr="008C1E5F">
        <w:t>In order to</w:t>
      </w:r>
      <w:proofErr w:type="gramEnd"/>
      <w:r w:rsidR="00374E8F" w:rsidRPr="008C1E5F">
        <w:t xml:space="preserve"> ride on a bus, students </w:t>
      </w:r>
      <w:r w:rsidR="00B011EC" w:rsidRPr="008C1E5F">
        <w:t>mu</w:t>
      </w:r>
      <w:r w:rsidR="00D96584" w:rsidRPr="008C1E5F">
        <w:t>st have a current bus ID tag</w:t>
      </w:r>
      <w:r w:rsidR="00B30FAE" w:rsidRPr="008C1E5F">
        <w:t xml:space="preserve">, </w:t>
      </w:r>
      <w:r w:rsidR="0016609B" w:rsidRPr="008C1E5F">
        <w:t xml:space="preserve">which helps enforce safety </w:t>
      </w:r>
      <w:r w:rsidR="001807B0" w:rsidRPr="008C1E5F">
        <w:t xml:space="preserve">standards (e.g., if needed, a parent is </w:t>
      </w:r>
      <w:r w:rsidR="009D354C" w:rsidRPr="008C1E5F">
        <w:t xml:space="preserve">present to get the student on and off the bus, </w:t>
      </w:r>
      <w:r w:rsidR="00006078" w:rsidRPr="008C1E5F">
        <w:t xml:space="preserve">compliance with space limitations, </w:t>
      </w:r>
      <w:r w:rsidR="00517305" w:rsidRPr="008C1E5F">
        <w:t xml:space="preserve">assigning bus monitors). </w:t>
      </w:r>
      <w:r w:rsidR="00A529F8" w:rsidRPr="008C1E5F">
        <w:t>The department also schedules and supervises</w:t>
      </w:r>
      <w:r w:rsidR="008612B5" w:rsidRPr="008C1E5F">
        <w:t xml:space="preserve"> </w:t>
      </w:r>
      <w:r w:rsidR="004425BE" w:rsidRPr="008C1E5F">
        <w:t>transportation</w:t>
      </w:r>
      <w:r w:rsidR="008612B5" w:rsidRPr="008C1E5F">
        <w:t xml:space="preserve"> </w:t>
      </w:r>
      <w:r w:rsidR="004425BE" w:rsidRPr="008C1E5F">
        <w:t>for students in</w:t>
      </w:r>
      <w:r w:rsidR="008612B5" w:rsidRPr="008C1E5F">
        <w:t xml:space="preserve"> special programs</w:t>
      </w:r>
      <w:r w:rsidR="00793E93" w:rsidRPr="008C1E5F">
        <w:t xml:space="preserve"> if the student’s program is outside of their </w:t>
      </w:r>
      <w:r w:rsidR="00574D33" w:rsidRPr="008C1E5F">
        <w:t>residential</w:t>
      </w:r>
      <w:r w:rsidR="00793E93" w:rsidRPr="008C1E5F">
        <w:t xml:space="preserve"> area. </w:t>
      </w:r>
    </w:p>
    <w:p w14:paraId="28EEAE43" w14:textId="67AAF39C" w:rsidR="002A0A33" w:rsidRPr="008C1E5F" w:rsidRDefault="000E6F15" w:rsidP="006F7059">
      <w:pPr>
        <w:pStyle w:val="BodyText"/>
      </w:pPr>
      <w:r w:rsidRPr="008C1E5F">
        <w:t xml:space="preserve">However, according to </w:t>
      </w:r>
      <w:r w:rsidR="00AB03E2" w:rsidRPr="008C1E5F">
        <w:t>school staff, afterschool transportation is not consistently provided. E</w:t>
      </w:r>
      <w:r w:rsidR="007926BB" w:rsidRPr="008C1E5F">
        <w:t>lementary school teachers reported that transportation is not offered for afterschool programs or summer school</w:t>
      </w:r>
      <w:r w:rsidR="00725AA1">
        <w:t>–</w:t>
      </w:r>
      <w:r w:rsidR="007926BB" w:rsidRPr="008C1E5F">
        <w:t>based programs</w:t>
      </w:r>
      <w:r w:rsidR="00E216AA">
        <w:t>;</w:t>
      </w:r>
      <w:r w:rsidR="00E216AA" w:rsidRPr="008C1E5F">
        <w:t xml:space="preserve"> </w:t>
      </w:r>
      <w:r w:rsidR="001843D5" w:rsidRPr="008C1E5F">
        <w:t xml:space="preserve">instead, parents are responsible for picking up their child. </w:t>
      </w:r>
      <w:r w:rsidR="002A0A33" w:rsidRPr="008C1E5F">
        <w:t xml:space="preserve">As a result, not all students can access </w:t>
      </w:r>
      <w:proofErr w:type="gramStart"/>
      <w:r w:rsidR="00574D33" w:rsidRPr="008C1E5F">
        <w:t>afterschool</w:t>
      </w:r>
      <w:proofErr w:type="gramEnd"/>
      <w:r w:rsidR="002A0A33" w:rsidRPr="008C1E5F">
        <w:t xml:space="preserve"> opportunities. </w:t>
      </w:r>
      <w:r w:rsidR="007926BB" w:rsidRPr="008C1E5F">
        <w:t xml:space="preserve">According to parents, high school students must rely on city buses to get to school, but there are late buses that </w:t>
      </w:r>
      <w:proofErr w:type="gramStart"/>
      <w:r w:rsidR="007926BB" w:rsidRPr="008C1E5F">
        <w:t>pick</w:t>
      </w:r>
      <w:r w:rsidR="00400DC3" w:rsidRPr="008C1E5F">
        <w:t xml:space="preserve"> </w:t>
      </w:r>
      <w:r w:rsidR="007926BB" w:rsidRPr="008C1E5F">
        <w:t>up</w:t>
      </w:r>
      <w:proofErr w:type="gramEnd"/>
      <w:r w:rsidR="007926BB" w:rsidRPr="008C1E5F">
        <w:t xml:space="preserve"> students just outside of school property.</w:t>
      </w:r>
      <w:r w:rsidR="002A0A33" w:rsidRPr="008C1E5F">
        <w:t xml:space="preserve"> </w:t>
      </w:r>
    </w:p>
    <w:p w14:paraId="631AE2E5" w14:textId="1D2E4A9B" w:rsidR="00B06CAE" w:rsidRPr="008C1E5F" w:rsidRDefault="007F629F" w:rsidP="006F7059">
      <w:pPr>
        <w:pStyle w:val="BodyText"/>
      </w:pPr>
      <w:r w:rsidRPr="008C1E5F">
        <w:lastRenderedPageBreak/>
        <w:t xml:space="preserve">Nutrition </w:t>
      </w:r>
      <w:r w:rsidR="00B06CAE" w:rsidRPr="008C1E5F">
        <w:t xml:space="preserve">also falls under the Facilities and Operations Office. District leaders reported that </w:t>
      </w:r>
      <w:r w:rsidR="00352582" w:rsidRPr="008C1E5F">
        <w:t>food services</w:t>
      </w:r>
      <w:r w:rsidR="00B06CAE" w:rsidRPr="008C1E5F">
        <w:t xml:space="preserve"> has a five-year contract with an outside operator</w:t>
      </w:r>
      <w:r w:rsidR="00024663" w:rsidRPr="008C1E5F">
        <w:t xml:space="preserve">, </w:t>
      </w:r>
      <w:proofErr w:type="spellStart"/>
      <w:r w:rsidR="00024663" w:rsidRPr="008C1E5F">
        <w:t>Whitsons</w:t>
      </w:r>
      <w:proofErr w:type="spellEnd"/>
      <w:r w:rsidR="00024663" w:rsidRPr="008C1E5F">
        <w:t xml:space="preserve"> Culinary Group, to provide meals to students and staff</w:t>
      </w:r>
      <w:r w:rsidR="00B06CAE" w:rsidRPr="008C1E5F">
        <w:t xml:space="preserve">. </w:t>
      </w:r>
      <w:r w:rsidR="00CF3CCC" w:rsidRPr="008C1E5F">
        <w:rPr>
          <w:rFonts w:cs="Times New Roman"/>
          <w:color w:val="000000" w:themeColor="text1"/>
        </w:rPr>
        <w:t xml:space="preserve">Fall River serves </w:t>
      </w:r>
      <w:r w:rsidR="00A87FD8" w:rsidRPr="008C1E5F">
        <w:rPr>
          <w:rFonts w:cs="Times New Roman"/>
          <w:color w:val="000000" w:themeColor="text1"/>
        </w:rPr>
        <w:t xml:space="preserve">daily </w:t>
      </w:r>
      <w:r w:rsidR="00CF3CCC" w:rsidRPr="008C1E5F">
        <w:rPr>
          <w:rFonts w:cs="Times New Roman"/>
          <w:color w:val="000000" w:themeColor="text1"/>
        </w:rPr>
        <w:t>breakfast and lunch meals free of charge for all students.</w:t>
      </w:r>
      <w:r w:rsidR="00155549" w:rsidRPr="008C1E5F">
        <w:rPr>
          <w:rFonts w:cs="Times New Roman"/>
          <w:color w:val="000000" w:themeColor="text1"/>
        </w:rPr>
        <w:t xml:space="preserve"> Meals consist of healthy whole grains, fruit</w:t>
      </w:r>
      <w:r w:rsidR="00400DC3" w:rsidRPr="008C1E5F">
        <w:rPr>
          <w:rFonts w:cs="Times New Roman"/>
          <w:color w:val="000000" w:themeColor="text1"/>
        </w:rPr>
        <w:t>,</w:t>
      </w:r>
      <w:r w:rsidR="00155549" w:rsidRPr="008C1E5F">
        <w:rPr>
          <w:rFonts w:cs="Times New Roman"/>
          <w:color w:val="000000" w:themeColor="text1"/>
        </w:rPr>
        <w:t xml:space="preserve"> and vegetables</w:t>
      </w:r>
      <w:r w:rsidR="00980893" w:rsidRPr="008C1E5F">
        <w:rPr>
          <w:rFonts w:cs="Times New Roman"/>
          <w:color w:val="000000" w:themeColor="text1"/>
        </w:rPr>
        <w:t>, with milk available</w:t>
      </w:r>
      <w:r w:rsidR="003A0FFF">
        <w:rPr>
          <w:rFonts w:cs="Times New Roman"/>
          <w:color w:val="000000" w:themeColor="text1"/>
        </w:rPr>
        <w:t>.</w:t>
      </w:r>
      <w:r w:rsidR="00980893" w:rsidRPr="008C1E5F">
        <w:rPr>
          <w:rFonts w:cs="Times New Roman"/>
          <w:color w:val="000000" w:themeColor="text1"/>
        </w:rPr>
        <w:t xml:space="preserve"> </w:t>
      </w:r>
      <w:r w:rsidR="00155549" w:rsidRPr="008C1E5F">
        <w:rPr>
          <w:rFonts w:cs="Times New Roman"/>
          <w:color w:val="000000" w:themeColor="text1"/>
        </w:rPr>
        <w:t xml:space="preserve">The district also offers a summer food program. </w:t>
      </w:r>
      <w:r w:rsidR="000E0DF8" w:rsidRPr="008C1E5F">
        <w:rPr>
          <w:rFonts w:cs="Times New Roman"/>
          <w:color w:val="000000" w:themeColor="text1"/>
        </w:rPr>
        <w:t>At the high school level,</w:t>
      </w:r>
      <w:r w:rsidR="00C8228A" w:rsidRPr="008C1E5F">
        <w:rPr>
          <w:rFonts w:cs="Times New Roman"/>
          <w:color w:val="000000" w:themeColor="text1"/>
        </w:rPr>
        <w:t xml:space="preserve"> Durfee’s culinary </w:t>
      </w:r>
      <w:r w:rsidR="00934239" w:rsidRPr="008C1E5F">
        <w:rPr>
          <w:rFonts w:cs="Times New Roman"/>
          <w:color w:val="000000" w:themeColor="text1"/>
        </w:rPr>
        <w:t>arts program also ru</w:t>
      </w:r>
      <w:r w:rsidR="00400DC3" w:rsidRPr="008C1E5F">
        <w:rPr>
          <w:rFonts w:cs="Times New Roman"/>
          <w:color w:val="000000" w:themeColor="text1"/>
        </w:rPr>
        <w:t>n</w:t>
      </w:r>
      <w:r w:rsidR="00934239" w:rsidRPr="008C1E5F">
        <w:rPr>
          <w:rFonts w:cs="Times New Roman"/>
          <w:color w:val="000000" w:themeColor="text1"/>
        </w:rPr>
        <w:t xml:space="preserve">s Granite Grill, the on-site restaurant where community members can engage with students. </w:t>
      </w:r>
      <w:r w:rsidR="00AB60A0" w:rsidRPr="008C1E5F">
        <w:rPr>
          <w:rFonts w:cs="Times New Roman"/>
          <w:color w:val="000000" w:themeColor="text1"/>
        </w:rPr>
        <w:t xml:space="preserve">High school </w:t>
      </w:r>
      <w:r w:rsidR="00B06CAE" w:rsidRPr="008C1E5F">
        <w:t>students discussed their disappointment with the school food</w:t>
      </w:r>
      <w:r w:rsidR="000E0DF8" w:rsidRPr="008C1E5F">
        <w:t xml:space="preserve"> and </w:t>
      </w:r>
      <w:r w:rsidR="00B06CAE" w:rsidRPr="008C1E5F">
        <w:t>did not mention being asked to provide input on the menus.</w:t>
      </w:r>
    </w:p>
    <w:p w14:paraId="25CE13F1" w14:textId="13F0D1A9" w:rsidR="007F629F" w:rsidRPr="008C1E5F" w:rsidRDefault="00617A03" w:rsidP="006F7059">
      <w:pPr>
        <w:pStyle w:val="BodyText"/>
      </w:pPr>
      <w:r w:rsidRPr="008C1E5F">
        <w:t>All technology needs fall under the Technology Services Office. All students in Fall River get a Chromebook laptop to support their learning.</w:t>
      </w:r>
      <w:r w:rsidR="00CF203F" w:rsidRPr="008C1E5F">
        <w:t xml:space="preserve"> The district website provides information on </w:t>
      </w:r>
      <w:r w:rsidR="00046DED" w:rsidRPr="008C1E5F">
        <w:t xml:space="preserve">how to </w:t>
      </w:r>
      <w:r w:rsidR="00CF203F" w:rsidRPr="008C1E5F">
        <w:t>access technical supports for students, parents, and staff.</w:t>
      </w:r>
      <w:r w:rsidR="000D3FF8" w:rsidRPr="008C1E5F">
        <w:t xml:space="preserve"> Additionally, the district has several technology facilitators to </w:t>
      </w:r>
      <w:r w:rsidR="002276BE" w:rsidRPr="008C1E5F">
        <w:t>support the integration of technology into classrooms.</w:t>
      </w:r>
      <w:r w:rsidR="00192102">
        <w:t xml:space="preserve"> Fall River’s support of technology for staff and students is a strength of the district.</w:t>
      </w:r>
      <w:r w:rsidR="002276BE" w:rsidRPr="008C1E5F">
        <w:t xml:space="preserve"> </w:t>
      </w:r>
    </w:p>
    <w:p w14:paraId="65EA1E40" w14:textId="48A151C9" w:rsidR="00D8194A" w:rsidRDefault="00F2352A" w:rsidP="006F7059">
      <w:pPr>
        <w:pStyle w:val="BodyText"/>
      </w:pPr>
      <w:r w:rsidRPr="008C1E5F">
        <w:t xml:space="preserve">District staff explained that the district has an established process for purchasing supplies and services in alignment with state laws and effectively manages those contracts with vendors. A “procurement specialist oversees all the contracting that goes on in the district.” District staff and </w:t>
      </w:r>
      <w:r w:rsidR="008C1E5F" w:rsidRPr="008C1E5F">
        <w:t>c</w:t>
      </w:r>
      <w:r w:rsidRPr="008C1E5F">
        <w:t>ity officials explained that managing contracts with vendors, such</w:t>
      </w:r>
      <w:r w:rsidR="001868A3" w:rsidRPr="008C1E5F">
        <w:t xml:space="preserve"> </w:t>
      </w:r>
      <w:r w:rsidR="008C1E5F" w:rsidRPr="008C1E5F">
        <w:t xml:space="preserve">as for </w:t>
      </w:r>
      <w:r w:rsidRPr="008C1E5F">
        <w:t>food services, is a joint operation</w:t>
      </w:r>
      <w:r w:rsidR="001868A3" w:rsidRPr="008C1E5F">
        <w:t xml:space="preserve"> between the two</w:t>
      </w:r>
      <w:r w:rsidRPr="008C1E5F">
        <w:t xml:space="preserve">. However, because of city and district requirements, vendors often </w:t>
      </w:r>
      <w:proofErr w:type="gramStart"/>
      <w:r w:rsidRPr="008C1E5F">
        <w:t>have to</w:t>
      </w:r>
      <w:proofErr w:type="gramEnd"/>
      <w:r w:rsidRPr="008C1E5F">
        <w:t xml:space="preserve"> wait for payment. </w:t>
      </w:r>
      <w:r w:rsidR="00027E02">
        <w:t>A district leader described this</w:t>
      </w:r>
      <w:r w:rsidR="007E16F3">
        <w:t xml:space="preserve"> challenge as longstanding: </w:t>
      </w:r>
    </w:p>
    <w:p w14:paraId="58FEAEE4" w14:textId="2C506EFD" w:rsidR="00027E02" w:rsidRDefault="00D8194A" w:rsidP="00D8194A">
      <w:pPr>
        <w:pStyle w:val="BodyText"/>
        <w:ind w:left="720"/>
      </w:pPr>
      <w:r>
        <w:t>The</w:t>
      </w:r>
      <w:r w:rsidR="00027E02" w:rsidRPr="00027E02">
        <w:t xml:space="preserve"> slow churn of trying to get things done has been always there</w:t>
      </w:r>
      <w:r>
        <w:t xml:space="preserve">. </w:t>
      </w:r>
      <w:r w:rsidR="00747C0C">
        <w:t>Y</w:t>
      </w:r>
      <w:r w:rsidR="00027E02" w:rsidRPr="00027E02">
        <w:t>ou double it</w:t>
      </w:r>
      <w:r w:rsidR="00716A39">
        <w:t>,</w:t>
      </w:r>
      <w:r w:rsidR="00027E02" w:rsidRPr="00027E02">
        <w:t xml:space="preserve"> having </w:t>
      </w:r>
      <w:r>
        <w:t>to get</w:t>
      </w:r>
      <w:r w:rsidR="00027E02" w:rsidRPr="00027E02">
        <w:t xml:space="preserve"> approved on this side</w:t>
      </w:r>
      <w:r>
        <w:t xml:space="preserve"> [</w:t>
      </w:r>
      <w:r w:rsidR="00747C0C">
        <w:t>by</w:t>
      </w:r>
      <w:r w:rsidR="00FF2E7E">
        <w:t xml:space="preserve"> the </w:t>
      </w:r>
      <w:r>
        <w:t>district]</w:t>
      </w:r>
      <w:r w:rsidR="00027E02" w:rsidRPr="00027E02">
        <w:t xml:space="preserve"> and then everything going to be approved on the other side</w:t>
      </w:r>
      <w:r>
        <w:t xml:space="preserve"> [</w:t>
      </w:r>
      <w:r w:rsidR="00747C0C">
        <w:t xml:space="preserve">by </w:t>
      </w:r>
      <w:r>
        <w:t>the city]</w:t>
      </w:r>
      <w:r w:rsidR="00747C0C">
        <w:t xml:space="preserve">. </w:t>
      </w:r>
      <w:r w:rsidR="00027E02" w:rsidRPr="00027E02">
        <w:t>I think it's difficult on us, but I think it's much more difficult on our vendors who are waiting longer than they used to</w:t>
      </w:r>
      <w:r w:rsidR="00C21AC8">
        <w:t>.</w:t>
      </w:r>
    </w:p>
    <w:p w14:paraId="38FAFD2A" w14:textId="58ED15D8" w:rsidR="00F2352A" w:rsidRPr="008C1E5F" w:rsidRDefault="00FF2E7E" w:rsidP="006F7059">
      <w:pPr>
        <w:pStyle w:val="BodyText"/>
      </w:pPr>
      <w:r w:rsidRPr="008C1E5F">
        <w:rPr>
          <w:rFonts w:cs="Segoe UI"/>
          <w:color w:val="242424"/>
          <w:szCs w:val="20"/>
        </w:rPr>
        <w:t xml:space="preserve">Updating the </w:t>
      </w:r>
      <w:r w:rsidR="00F0241B">
        <w:rPr>
          <w:rFonts w:cs="Segoe UI"/>
          <w:color w:val="242424"/>
          <w:szCs w:val="20"/>
        </w:rPr>
        <w:t>accounts payable</w:t>
      </w:r>
      <w:r w:rsidRPr="008C1E5F">
        <w:rPr>
          <w:rFonts w:cs="Segoe UI"/>
          <w:color w:val="242424"/>
          <w:szCs w:val="20"/>
        </w:rPr>
        <w:t xml:space="preserve"> process on both the city and district sides to ensure timely vendor payments is an area </w:t>
      </w:r>
      <w:r w:rsidR="00BD62F1" w:rsidRPr="008C1E5F">
        <w:rPr>
          <w:bCs/>
          <w:bdr w:val="none" w:sz="0" w:space="0" w:color="auto" w:frame="1"/>
        </w:rPr>
        <w:t xml:space="preserve">for </w:t>
      </w:r>
      <w:r w:rsidRPr="008C1E5F">
        <w:rPr>
          <w:rFonts w:cs="Segoe UI"/>
          <w:color w:val="242424"/>
          <w:szCs w:val="20"/>
        </w:rPr>
        <w:t xml:space="preserve">growth. </w:t>
      </w:r>
    </w:p>
    <w:p w14:paraId="22E56B0C" w14:textId="79B53EB9" w:rsidR="00B827DE" w:rsidRPr="008C1E5F" w:rsidRDefault="00041E9B" w:rsidP="00B827DE">
      <w:pPr>
        <w:pStyle w:val="Heading3"/>
      </w:pPr>
      <w:bookmarkStart w:id="124" w:name="_Capital_Planning_and"/>
      <w:bookmarkStart w:id="125" w:name="_Managing_Capital_Assets"/>
      <w:bookmarkStart w:id="126" w:name="_Toc195024241"/>
      <w:bookmarkEnd w:id="124"/>
      <w:bookmarkEnd w:id="125"/>
      <w:r w:rsidRPr="008C1E5F">
        <w:t xml:space="preserve">Managing </w:t>
      </w:r>
      <w:r w:rsidR="00B827DE" w:rsidRPr="008C1E5F">
        <w:t xml:space="preserve">Capital </w:t>
      </w:r>
      <w:r w:rsidRPr="008C1E5F">
        <w:t xml:space="preserve">Assets and Capital </w:t>
      </w:r>
      <w:r w:rsidR="00B827DE" w:rsidRPr="008C1E5F">
        <w:t>Planning</w:t>
      </w:r>
      <w:bookmarkEnd w:id="126"/>
    </w:p>
    <w:p w14:paraId="0528B554" w14:textId="7EC3875C" w:rsidR="002E5D5A" w:rsidRPr="008C1E5F" w:rsidRDefault="008748DB" w:rsidP="006F7059">
      <w:pPr>
        <w:pStyle w:val="BodyTextposthead"/>
      </w:pPr>
      <w:r w:rsidRPr="008C1E5F">
        <w:t xml:space="preserve">District facilities staff </w:t>
      </w:r>
      <w:r w:rsidR="00C726D2" w:rsidRPr="008C1E5F">
        <w:t>reported</w:t>
      </w:r>
      <w:r w:rsidRPr="008C1E5F">
        <w:t xml:space="preserve"> that the district has a system to manage and track its inventory of capital assets and critical supplies. A district official explained that </w:t>
      </w:r>
      <w:r w:rsidR="002E5D5A" w:rsidRPr="008C1E5F">
        <w:t xml:space="preserve">individual directors are responsible for reviewing and maintaining inventory: </w:t>
      </w:r>
    </w:p>
    <w:p w14:paraId="1EE2C06C" w14:textId="2E2CDE25" w:rsidR="008748DB" w:rsidRPr="008C1E5F" w:rsidRDefault="008748DB" w:rsidP="006F7059">
      <w:pPr>
        <w:pStyle w:val="BlockQuote"/>
      </w:pPr>
      <w:r w:rsidRPr="008C1E5F">
        <w:t xml:space="preserve">For instance, the custodial director would </w:t>
      </w:r>
      <w:proofErr w:type="gramStart"/>
      <w:r w:rsidRPr="008C1E5F">
        <w:t>be in charge of</w:t>
      </w:r>
      <w:proofErr w:type="gramEnd"/>
      <w:r w:rsidRPr="008C1E5F">
        <w:t xml:space="preserve"> </w:t>
      </w:r>
      <w:proofErr w:type="gramStart"/>
      <w:r w:rsidRPr="008C1E5F">
        <w:t>all of</w:t>
      </w:r>
      <w:proofErr w:type="gramEnd"/>
      <w:r w:rsidRPr="008C1E5F">
        <w:t xml:space="preserve"> the equipment, not the consumables, but </w:t>
      </w:r>
      <w:proofErr w:type="gramStart"/>
      <w:r w:rsidRPr="008C1E5F">
        <w:t>all of</w:t>
      </w:r>
      <w:proofErr w:type="gramEnd"/>
      <w:r w:rsidRPr="008C1E5F">
        <w:t xml:space="preserve"> the equipment that would probably be anything over $1,500 on today</w:t>
      </w:r>
      <w:r w:rsidR="008C1E5F" w:rsidRPr="008C1E5F">
        <w:t>’</w:t>
      </w:r>
      <w:r w:rsidRPr="008C1E5F">
        <w:t>s pricing. So, $1,500 and above, they would be responsible for any maintenance on the vehicle, but also any forecasting for renewals.</w:t>
      </w:r>
    </w:p>
    <w:p w14:paraId="2C6C9DCF" w14:textId="2E031B56" w:rsidR="005C7DD5" w:rsidRPr="008C1E5F" w:rsidRDefault="008748DB" w:rsidP="006F7059">
      <w:pPr>
        <w:pStyle w:val="BodyText"/>
      </w:pPr>
      <w:r w:rsidRPr="008C1E5F">
        <w:t xml:space="preserve">The city has a </w:t>
      </w:r>
      <w:r w:rsidR="00507D57" w:rsidRPr="008C1E5F">
        <w:t xml:space="preserve">current </w:t>
      </w:r>
      <w:r w:rsidRPr="008C1E5F">
        <w:t>capital plan</w:t>
      </w:r>
      <w:r w:rsidR="004C4BF6" w:rsidRPr="008C1E5F">
        <w:t>, approved by the city council on March 12, 2024</w:t>
      </w:r>
      <w:r w:rsidR="009170AF" w:rsidRPr="008C1E5F">
        <w:t xml:space="preserve">. </w:t>
      </w:r>
      <w:r w:rsidR="004C4BF6" w:rsidRPr="008C1E5F">
        <w:t xml:space="preserve">This plan </w:t>
      </w:r>
      <w:r w:rsidRPr="008C1E5F">
        <w:t xml:space="preserve">describes future </w:t>
      </w:r>
      <w:r w:rsidR="009170AF" w:rsidRPr="008C1E5F">
        <w:t>district capital</w:t>
      </w:r>
      <w:r w:rsidRPr="008C1E5F">
        <w:t xml:space="preserve"> needs, based on future enrollment projections and facility assessments, and incorporates input from district and community stakeholders. </w:t>
      </w:r>
      <w:r w:rsidR="00384EB1" w:rsidRPr="008C1E5F">
        <w:t xml:space="preserve">Examples of planned needs </w:t>
      </w:r>
      <w:r w:rsidR="003E38C7" w:rsidRPr="008C1E5F">
        <w:t xml:space="preserve">include </w:t>
      </w:r>
      <w:r w:rsidR="0004453B" w:rsidRPr="008C1E5F">
        <w:t xml:space="preserve">replacing existing windows </w:t>
      </w:r>
      <w:r w:rsidR="00756DF9" w:rsidRPr="008C1E5F">
        <w:t xml:space="preserve">and upgrading the electrical system </w:t>
      </w:r>
      <w:r w:rsidR="005210F3" w:rsidRPr="008C1E5F">
        <w:t xml:space="preserve">at Talbot Middle School, </w:t>
      </w:r>
      <w:r w:rsidR="002D3351" w:rsidRPr="008C1E5F">
        <w:t>a roof replacement</w:t>
      </w:r>
      <w:r w:rsidR="00F34D98" w:rsidRPr="008C1E5F">
        <w:t xml:space="preserve"> on one of the auditorium buildings</w:t>
      </w:r>
      <w:r w:rsidR="007C299B" w:rsidRPr="008C1E5F">
        <w:t xml:space="preserve"> and at Let</w:t>
      </w:r>
      <w:r w:rsidR="001B71E9" w:rsidRPr="008C1E5F">
        <w:t>ourneau School</w:t>
      </w:r>
      <w:r w:rsidR="00F34D98" w:rsidRPr="008C1E5F">
        <w:t>,</w:t>
      </w:r>
      <w:r w:rsidR="00C308B3" w:rsidRPr="008C1E5F">
        <w:t xml:space="preserve"> </w:t>
      </w:r>
      <w:r w:rsidR="00C308B3" w:rsidRPr="008C1E5F">
        <w:lastRenderedPageBreak/>
        <w:t>playground improvements at Letourneau</w:t>
      </w:r>
      <w:r w:rsidR="00E71658" w:rsidRPr="008C1E5F">
        <w:t xml:space="preserve"> and Viveiros Schools, and more. </w:t>
      </w:r>
      <w:r w:rsidR="005928BE" w:rsidRPr="008C1E5F">
        <w:t xml:space="preserve">This current capital </w:t>
      </w:r>
      <w:r w:rsidR="00E3699A">
        <w:t xml:space="preserve">improvement </w:t>
      </w:r>
      <w:r w:rsidR="005928BE" w:rsidRPr="008C1E5F">
        <w:t xml:space="preserve">plan is a strength of the district. </w:t>
      </w:r>
    </w:p>
    <w:p w14:paraId="32C46BA6" w14:textId="7C41DFA3" w:rsidR="00DF5004" w:rsidRPr="008C1E5F" w:rsidRDefault="005C7DD5" w:rsidP="006F7059">
      <w:pPr>
        <w:pStyle w:val="BodyText"/>
      </w:pPr>
      <w:r w:rsidRPr="008C1E5F">
        <w:t xml:space="preserve">Two major capital assets for this school year </w:t>
      </w:r>
      <w:r w:rsidR="00D44689" w:rsidRPr="008C1E5F">
        <w:t>were</w:t>
      </w:r>
      <w:r w:rsidRPr="008C1E5F">
        <w:t xml:space="preserve"> the opening</w:t>
      </w:r>
      <w:r w:rsidR="00BC5C84" w:rsidRPr="008C1E5F">
        <w:t xml:space="preserve"> of </w:t>
      </w:r>
      <w:r w:rsidR="00DB585A" w:rsidRPr="008C1E5F">
        <w:t xml:space="preserve">an early education school for three- and four-year olds </w:t>
      </w:r>
      <w:r w:rsidR="00881DCD" w:rsidRPr="008C1E5F">
        <w:t xml:space="preserve">and </w:t>
      </w:r>
      <w:proofErr w:type="spellStart"/>
      <w:r w:rsidR="001905C2" w:rsidRPr="008C1E5F">
        <w:t>Westall</w:t>
      </w:r>
      <w:proofErr w:type="spellEnd"/>
      <w:r w:rsidR="001905C2" w:rsidRPr="008C1E5F">
        <w:t xml:space="preserve"> Elementary School, a neighborhood school serving </w:t>
      </w:r>
      <w:r w:rsidR="00881DCD" w:rsidRPr="008C1E5F">
        <w:t>approximately</w:t>
      </w:r>
      <w:r w:rsidR="00D44689" w:rsidRPr="008C1E5F">
        <w:t xml:space="preserve"> </w:t>
      </w:r>
      <w:r w:rsidR="008C1E5F" w:rsidRPr="008C1E5F">
        <w:t>300</w:t>
      </w:r>
      <w:r w:rsidR="00D44689" w:rsidRPr="008C1E5F">
        <w:t xml:space="preserve"> students. </w:t>
      </w:r>
      <w:proofErr w:type="spellStart"/>
      <w:r w:rsidR="00D44689" w:rsidRPr="008C1E5F">
        <w:t>Westall</w:t>
      </w:r>
      <w:proofErr w:type="spellEnd"/>
      <w:r w:rsidR="00D44689" w:rsidRPr="008C1E5F">
        <w:t xml:space="preserve"> Elementary </w:t>
      </w:r>
      <w:r w:rsidR="007000EF" w:rsidRPr="008C1E5F">
        <w:t xml:space="preserve">took over the building from Stone </w:t>
      </w:r>
      <w:r w:rsidR="00256080" w:rsidRPr="008C1E5F">
        <w:t xml:space="preserve">K-12 Day School, </w:t>
      </w:r>
      <w:r w:rsidR="00063694" w:rsidRPr="008C1E5F">
        <w:t>which</w:t>
      </w:r>
      <w:r w:rsidR="008B3631" w:rsidRPr="008C1E5F">
        <w:t xml:space="preserve"> </w:t>
      </w:r>
      <w:r w:rsidR="00F558DE" w:rsidRPr="008C1E5F">
        <w:t>relocated to a new</w:t>
      </w:r>
      <w:r w:rsidR="00D66E9E" w:rsidRPr="008C1E5F">
        <w:t>, much larger</w:t>
      </w:r>
      <w:r w:rsidR="00F558DE" w:rsidRPr="008C1E5F">
        <w:t xml:space="preserve"> building. </w:t>
      </w:r>
      <w:r w:rsidR="00E33150" w:rsidRPr="008C1E5F">
        <w:t>According to a district leader, the</w:t>
      </w:r>
      <w:r w:rsidR="00D66E9E" w:rsidRPr="008C1E5F">
        <w:t xml:space="preserve"> creation of </w:t>
      </w:r>
      <w:proofErr w:type="spellStart"/>
      <w:r w:rsidR="00D66E9E" w:rsidRPr="008C1E5F">
        <w:t>Westall</w:t>
      </w:r>
      <w:proofErr w:type="spellEnd"/>
      <w:r w:rsidR="00D66E9E" w:rsidRPr="008C1E5F">
        <w:t xml:space="preserve"> Elementary </w:t>
      </w:r>
      <w:r w:rsidR="00E33150" w:rsidRPr="008C1E5F">
        <w:t>“took a lot of work, a lot of meetings, a lot of time to gather all the information, a lot of money to make it happen</w:t>
      </w:r>
      <w:r w:rsidR="008C1E5F" w:rsidRPr="008C1E5F">
        <w:t>,</w:t>
      </w:r>
      <w:r w:rsidR="00C47C9C" w:rsidRPr="008C1E5F">
        <w:t xml:space="preserve"> b</w:t>
      </w:r>
      <w:r w:rsidR="00E33150" w:rsidRPr="008C1E5F">
        <w:t xml:space="preserve">ut it was all in an effort to try to help </w:t>
      </w:r>
      <w:r w:rsidR="00C47C9C" w:rsidRPr="008C1E5F">
        <w:t xml:space="preserve">with </w:t>
      </w:r>
      <w:r w:rsidR="00E33150" w:rsidRPr="008C1E5F">
        <w:t>the</w:t>
      </w:r>
      <w:r w:rsidR="00C47C9C" w:rsidRPr="008C1E5F">
        <w:t xml:space="preserve"> [student]</w:t>
      </w:r>
      <w:r w:rsidR="00E33150" w:rsidRPr="008C1E5F">
        <w:t xml:space="preserve"> enrollment</w:t>
      </w:r>
      <w:r w:rsidR="00C47C9C" w:rsidRPr="008C1E5F">
        <w:t xml:space="preserve">.” </w:t>
      </w:r>
      <w:r w:rsidR="003D3091" w:rsidRPr="008C1E5F">
        <w:t xml:space="preserve">The </w:t>
      </w:r>
      <w:r w:rsidR="003D3091" w:rsidRPr="008C1E5F">
        <w:rPr>
          <w:bdr w:val="none" w:sz="0" w:space="0" w:color="auto" w:frame="1"/>
        </w:rPr>
        <w:t xml:space="preserve">prioritization of these larger capital improvement investments to address increases in student enrollment and declines in available spacing is a strength of the district. </w:t>
      </w:r>
    </w:p>
    <w:p w14:paraId="6A8BD12D" w14:textId="2AB3B53E" w:rsidR="002B4CEF" w:rsidRPr="008C1E5F" w:rsidRDefault="002B4CEF" w:rsidP="002B4CEF">
      <w:pPr>
        <w:pStyle w:val="Heading3"/>
      </w:pPr>
      <w:bookmarkStart w:id="127" w:name="_Toc195024242"/>
      <w:r w:rsidRPr="008C1E5F">
        <w:t>Recommendations</w:t>
      </w:r>
      <w:bookmarkEnd w:id="127"/>
    </w:p>
    <w:p w14:paraId="10E4978C" w14:textId="7D41F56E" w:rsidR="002B4CEF" w:rsidRPr="004F0771" w:rsidRDefault="004F0771" w:rsidP="002B4CEF">
      <w:pPr>
        <w:pStyle w:val="Bullet1"/>
        <w:rPr>
          <w:bCs/>
        </w:rPr>
      </w:pPr>
      <w:r>
        <w:rPr>
          <w:i/>
          <w:iCs/>
        </w:rPr>
        <w:t>The district should continue its efforts to train current business office staff and develop a strategy for recruiting qualified staff</w:t>
      </w:r>
      <w:r w:rsidR="00E62FAE">
        <w:rPr>
          <w:i/>
          <w:iCs/>
        </w:rPr>
        <w:t xml:space="preserve"> to support district </w:t>
      </w:r>
      <w:r w:rsidR="00F86FFE">
        <w:rPr>
          <w:i/>
          <w:iCs/>
        </w:rPr>
        <w:t>financial management</w:t>
      </w:r>
      <w:r>
        <w:rPr>
          <w:i/>
          <w:iCs/>
        </w:rPr>
        <w:t xml:space="preserve">. </w:t>
      </w:r>
    </w:p>
    <w:p w14:paraId="55A368DD" w14:textId="42680F06" w:rsidR="004F0771" w:rsidRPr="00001094" w:rsidRDefault="004F0771" w:rsidP="002B4CEF">
      <w:pPr>
        <w:pStyle w:val="Bullet1"/>
        <w:rPr>
          <w:bCs/>
        </w:rPr>
      </w:pPr>
      <w:r>
        <w:rPr>
          <w:i/>
          <w:iCs/>
        </w:rPr>
        <w:t xml:space="preserve">The district should increase the frequency </w:t>
      </w:r>
      <w:r w:rsidR="009D2F3C">
        <w:rPr>
          <w:i/>
          <w:iCs/>
        </w:rPr>
        <w:t xml:space="preserve">with </w:t>
      </w:r>
      <w:r>
        <w:rPr>
          <w:i/>
          <w:iCs/>
        </w:rPr>
        <w:t xml:space="preserve">which families are engaged in budgeting and </w:t>
      </w:r>
      <w:r w:rsidR="00CF770C">
        <w:rPr>
          <w:i/>
          <w:iCs/>
        </w:rPr>
        <w:t xml:space="preserve">work toward facilitating </w:t>
      </w:r>
      <w:r w:rsidR="00001094">
        <w:rPr>
          <w:i/>
          <w:iCs/>
        </w:rPr>
        <w:t xml:space="preserve">purposeful and specific conversations around allocating district funds. </w:t>
      </w:r>
    </w:p>
    <w:p w14:paraId="2B305DA5" w14:textId="655F8B0F" w:rsidR="00001094" w:rsidRPr="009D2385" w:rsidRDefault="00001094" w:rsidP="002B4CEF">
      <w:pPr>
        <w:pStyle w:val="Bullet1"/>
        <w:rPr>
          <w:bCs/>
          <w:i/>
          <w:iCs/>
        </w:rPr>
      </w:pPr>
      <w:r w:rsidRPr="009D2385">
        <w:rPr>
          <w:bCs/>
          <w:i/>
          <w:iCs/>
        </w:rPr>
        <w:t>The district should develop a new budget book template that includes more narrative explanations, graphics, and</w:t>
      </w:r>
      <w:r w:rsidR="009B5B96">
        <w:rPr>
          <w:bCs/>
          <w:i/>
          <w:iCs/>
        </w:rPr>
        <w:t xml:space="preserve"> </w:t>
      </w:r>
      <w:r w:rsidRPr="009D2385">
        <w:rPr>
          <w:bCs/>
          <w:i/>
          <w:iCs/>
        </w:rPr>
        <w:t xml:space="preserve">other elements that will make it more accessible to a general audience. </w:t>
      </w:r>
    </w:p>
    <w:p w14:paraId="06F4A56A" w14:textId="2E0C8781" w:rsidR="00001094" w:rsidRPr="009D2385" w:rsidRDefault="00001094" w:rsidP="002B4CEF">
      <w:pPr>
        <w:pStyle w:val="Bullet1"/>
        <w:rPr>
          <w:bCs/>
          <w:i/>
          <w:iCs/>
        </w:rPr>
      </w:pPr>
      <w:r w:rsidRPr="009D2385">
        <w:rPr>
          <w:bCs/>
          <w:i/>
          <w:iCs/>
        </w:rPr>
        <w:t xml:space="preserve">The district should establish a preventative maintenance plan and a system for quickly addressing maintenance issues as they arise. </w:t>
      </w:r>
    </w:p>
    <w:p w14:paraId="59CBF475" w14:textId="0EB08284" w:rsidR="00C649AA" w:rsidRPr="009D2385" w:rsidRDefault="00CF5112" w:rsidP="002B4CEF">
      <w:pPr>
        <w:pStyle w:val="Bullet1"/>
        <w:rPr>
          <w:bCs/>
          <w:i/>
          <w:iCs/>
        </w:rPr>
      </w:pPr>
      <w:r w:rsidRPr="009D2385">
        <w:rPr>
          <w:bCs/>
          <w:i/>
          <w:iCs/>
        </w:rPr>
        <w:t xml:space="preserve">The district should work </w:t>
      </w:r>
      <w:r w:rsidR="009B5B96">
        <w:rPr>
          <w:bCs/>
          <w:i/>
          <w:iCs/>
        </w:rPr>
        <w:t xml:space="preserve">with </w:t>
      </w:r>
      <w:r w:rsidRPr="009D2385">
        <w:rPr>
          <w:bCs/>
          <w:i/>
          <w:iCs/>
        </w:rPr>
        <w:t xml:space="preserve">the city to update </w:t>
      </w:r>
      <w:r w:rsidR="009D2385" w:rsidRPr="009D2385">
        <w:rPr>
          <w:bCs/>
          <w:i/>
          <w:iCs/>
        </w:rPr>
        <w:t xml:space="preserve">its </w:t>
      </w:r>
      <w:proofErr w:type="gramStart"/>
      <w:r w:rsidR="00964368">
        <w:rPr>
          <w:bCs/>
          <w:i/>
          <w:iCs/>
        </w:rPr>
        <w:t>accounts payable</w:t>
      </w:r>
      <w:proofErr w:type="gramEnd"/>
      <w:r w:rsidR="00964368">
        <w:rPr>
          <w:bCs/>
          <w:i/>
          <w:iCs/>
        </w:rPr>
        <w:t xml:space="preserve"> </w:t>
      </w:r>
      <w:r w:rsidR="00467323">
        <w:rPr>
          <w:bCs/>
          <w:i/>
          <w:iCs/>
        </w:rPr>
        <w:t xml:space="preserve">process </w:t>
      </w:r>
      <w:r w:rsidR="009D2385" w:rsidRPr="009D2385">
        <w:rPr>
          <w:bCs/>
          <w:i/>
          <w:iCs/>
        </w:rPr>
        <w:t xml:space="preserve">to </w:t>
      </w:r>
      <w:r w:rsidR="00467323">
        <w:rPr>
          <w:bCs/>
          <w:i/>
          <w:iCs/>
        </w:rPr>
        <w:t>ensure vendors get paid in a timely manner</w:t>
      </w:r>
      <w:r w:rsidR="009D2385" w:rsidRPr="009D2385">
        <w:rPr>
          <w:bCs/>
          <w:i/>
          <w:iCs/>
        </w:rPr>
        <w:t xml:space="preserve">. </w:t>
      </w:r>
    </w:p>
    <w:p w14:paraId="26CC0050" w14:textId="23F54D24" w:rsidR="002B4CEF" w:rsidRPr="008C1E5F" w:rsidRDefault="002B4CEF" w:rsidP="00001094">
      <w:pPr>
        <w:pStyle w:val="Bullet1"/>
        <w:numPr>
          <w:ilvl w:val="0"/>
          <w:numId w:val="0"/>
        </w:numPr>
        <w:ind w:left="720" w:hanging="360"/>
        <w:sectPr w:rsidR="002B4CEF" w:rsidRPr="008C1E5F" w:rsidSect="00D67AD2">
          <w:headerReference w:type="default" r:id="rId27"/>
          <w:footerReference w:type="default" r:id="rId28"/>
          <w:headerReference w:type="first" r:id="rId29"/>
          <w:footerReference w:type="first" r:id="rId30"/>
          <w:pgSz w:w="12240" w:h="15840" w:code="1"/>
          <w:pgMar w:top="1440" w:right="1440" w:bottom="1440" w:left="1440" w:header="720" w:footer="720" w:gutter="0"/>
          <w:pgNumType w:start="1"/>
          <w:cols w:space="720"/>
          <w:docGrid w:linePitch="360"/>
        </w:sectPr>
      </w:pPr>
    </w:p>
    <w:p w14:paraId="3086BDED" w14:textId="6668ACD0" w:rsidR="008E314D" w:rsidRPr="008C1E5F" w:rsidRDefault="008E314D" w:rsidP="009E578A">
      <w:pPr>
        <w:pStyle w:val="Heading2"/>
      </w:pPr>
      <w:bookmarkStart w:id="128" w:name="_Toc190886742"/>
      <w:bookmarkStart w:id="129" w:name="_Toc195024243"/>
      <w:r w:rsidRPr="008C1E5F">
        <w:lastRenderedPageBreak/>
        <w:t>Appendix A</w:t>
      </w:r>
      <w:r w:rsidR="006A3A0E" w:rsidRPr="008C1E5F">
        <w:t>.</w:t>
      </w:r>
      <w:r w:rsidRPr="008C1E5F">
        <w:t xml:space="preserve"> </w:t>
      </w:r>
      <w:bookmarkEnd w:id="6"/>
      <w:bookmarkEnd w:id="7"/>
      <w:bookmarkEnd w:id="8"/>
      <w:r w:rsidR="00E475E7" w:rsidRPr="008C1E5F">
        <w:t>Summary of Site Visit Activities</w:t>
      </w:r>
      <w:bookmarkEnd w:id="9"/>
      <w:bookmarkEnd w:id="128"/>
      <w:bookmarkEnd w:id="129"/>
    </w:p>
    <w:p w14:paraId="5CB5BDC4" w14:textId="2BDB02AE" w:rsidR="00B827DE" w:rsidRPr="008C1E5F" w:rsidRDefault="00B827DE" w:rsidP="00EE251D">
      <w:pPr>
        <w:pStyle w:val="BodyText"/>
      </w:pPr>
      <w:r w:rsidRPr="008C1E5F">
        <w:t xml:space="preserve">The </w:t>
      </w:r>
      <w:r w:rsidR="00494638" w:rsidRPr="008C1E5F">
        <w:t>AIR</w:t>
      </w:r>
      <w:r w:rsidRPr="008C1E5F">
        <w:t xml:space="preserve"> team completed the following activities as part of the district review activities in </w:t>
      </w:r>
      <w:r w:rsidR="00384414" w:rsidRPr="008C1E5F">
        <w:t>DISTRICT</w:t>
      </w:r>
      <w:r w:rsidRPr="008C1E5F">
        <w:t>. The team conducted</w:t>
      </w:r>
      <w:r w:rsidR="003D7937" w:rsidRPr="008C1E5F">
        <w:t xml:space="preserve"> 192 observations of classroom instruction across 16 schools during the weeks of November 18 and November 25</w:t>
      </w:r>
      <w:r w:rsidR="00EE251D" w:rsidRPr="008C1E5F">
        <w:t xml:space="preserve"> and </w:t>
      </w:r>
      <w:r w:rsidRPr="008C1E5F">
        <w:t xml:space="preserve">held interviews and focus groups between </w:t>
      </w:r>
      <w:r w:rsidR="00EE251D" w:rsidRPr="008C1E5F">
        <w:t>November 18 and 21</w:t>
      </w:r>
      <w:r w:rsidRPr="008C1E5F">
        <w:t>. The site visit team conducted interviews and focus groups with the following representatives from the school and the district: </w:t>
      </w:r>
    </w:p>
    <w:p w14:paraId="433DFA3E" w14:textId="77777777" w:rsidR="00B827DE" w:rsidRPr="008C1E5F" w:rsidRDefault="00B827DE" w:rsidP="00B827DE">
      <w:pPr>
        <w:pStyle w:val="Bullet1"/>
      </w:pPr>
      <w:r w:rsidRPr="008C1E5F">
        <w:t xml:space="preserve">Superintendent </w:t>
      </w:r>
    </w:p>
    <w:p w14:paraId="3BB607E5" w14:textId="77777777" w:rsidR="00B827DE" w:rsidRPr="008C1E5F" w:rsidRDefault="00B827DE" w:rsidP="00B827DE">
      <w:pPr>
        <w:pStyle w:val="Bullet1"/>
      </w:pPr>
      <w:r w:rsidRPr="008C1E5F">
        <w:t xml:space="preserve">Other district leaders </w:t>
      </w:r>
    </w:p>
    <w:p w14:paraId="5159C132" w14:textId="77777777" w:rsidR="00B827DE" w:rsidRPr="008C1E5F" w:rsidRDefault="00B827DE" w:rsidP="00B827DE">
      <w:pPr>
        <w:pStyle w:val="Bullet1"/>
      </w:pPr>
      <w:r w:rsidRPr="008C1E5F">
        <w:t xml:space="preserve">School committee members </w:t>
      </w:r>
    </w:p>
    <w:p w14:paraId="7B556F4E" w14:textId="77777777" w:rsidR="00B827DE" w:rsidRPr="008C1E5F" w:rsidRDefault="00B827DE" w:rsidP="00B827DE">
      <w:pPr>
        <w:pStyle w:val="Bullet1"/>
      </w:pPr>
      <w:r w:rsidRPr="008C1E5F">
        <w:t xml:space="preserve">Teachers’ association members </w:t>
      </w:r>
    </w:p>
    <w:p w14:paraId="179C02DE" w14:textId="77777777" w:rsidR="00B827DE" w:rsidRPr="008C1E5F" w:rsidRDefault="00B827DE" w:rsidP="00B827DE">
      <w:pPr>
        <w:pStyle w:val="Bullet1"/>
      </w:pPr>
      <w:r w:rsidRPr="008C1E5F">
        <w:t xml:space="preserve">Principals </w:t>
      </w:r>
    </w:p>
    <w:p w14:paraId="5726B81E" w14:textId="77777777" w:rsidR="00B827DE" w:rsidRPr="008C1E5F" w:rsidRDefault="00B827DE" w:rsidP="00B827DE">
      <w:pPr>
        <w:pStyle w:val="Bullet1"/>
      </w:pPr>
      <w:r w:rsidRPr="008C1E5F">
        <w:t xml:space="preserve">Teachers </w:t>
      </w:r>
    </w:p>
    <w:p w14:paraId="03723CF4" w14:textId="77777777" w:rsidR="00B827DE" w:rsidRPr="008C1E5F" w:rsidRDefault="00B827DE" w:rsidP="00B827DE">
      <w:pPr>
        <w:pStyle w:val="Bullet1"/>
      </w:pPr>
      <w:r w:rsidRPr="008C1E5F">
        <w:t xml:space="preserve">Support specialists </w:t>
      </w:r>
    </w:p>
    <w:p w14:paraId="50991F40" w14:textId="77777777" w:rsidR="00B827DE" w:rsidRPr="008C1E5F" w:rsidRDefault="00B827DE" w:rsidP="00B827DE">
      <w:pPr>
        <w:pStyle w:val="Bullet1"/>
      </w:pPr>
      <w:r w:rsidRPr="008C1E5F">
        <w:t xml:space="preserve">Parents </w:t>
      </w:r>
    </w:p>
    <w:p w14:paraId="1D50C673" w14:textId="77777777" w:rsidR="00B827DE" w:rsidRPr="008C1E5F" w:rsidRDefault="00B827DE" w:rsidP="00B827DE">
      <w:pPr>
        <w:pStyle w:val="Bullet1"/>
      </w:pPr>
      <w:r w:rsidRPr="008C1E5F">
        <w:t xml:space="preserve">Students </w:t>
      </w:r>
    </w:p>
    <w:p w14:paraId="3ED9E858" w14:textId="77777777" w:rsidR="00B827DE" w:rsidRPr="008C1E5F" w:rsidRDefault="00B827DE" w:rsidP="00B827DE">
      <w:pPr>
        <w:pStyle w:val="Bullet1"/>
      </w:pPr>
      <w:r w:rsidRPr="008C1E5F">
        <w:t xml:space="preserve">Town representative </w:t>
      </w:r>
    </w:p>
    <w:p w14:paraId="48B34525" w14:textId="24EFC9BA" w:rsidR="00B827DE" w:rsidRPr="008C1E5F" w:rsidRDefault="00B827DE" w:rsidP="00B827DE">
      <w:pPr>
        <w:pStyle w:val="BodyText"/>
      </w:pPr>
      <w:r w:rsidRPr="008C1E5F">
        <w:t>The review team analyzed multiple datasets and reviewed numerous documents before and during the site visit, including</w:t>
      </w:r>
      <w:r w:rsidR="00494638" w:rsidRPr="008C1E5F">
        <w:t xml:space="preserve"> the following</w:t>
      </w:r>
      <w:r w:rsidRPr="008C1E5F">
        <w:t xml:space="preserve">: </w:t>
      </w:r>
    </w:p>
    <w:p w14:paraId="207079BB" w14:textId="1E1AA310" w:rsidR="00B827DE" w:rsidRPr="008C1E5F" w:rsidRDefault="00B827DE" w:rsidP="00B827DE">
      <w:pPr>
        <w:pStyle w:val="Bullet1"/>
      </w:pPr>
      <w:r w:rsidRPr="008C1E5F">
        <w:t>Student and school performance data, including achievement and growth, enrollment, graduation, dropout, retention, suspension, and attendance rates</w:t>
      </w:r>
    </w:p>
    <w:p w14:paraId="15FAB3E2" w14:textId="7EEE6304" w:rsidR="00B827DE" w:rsidRPr="008C1E5F" w:rsidRDefault="00B827DE" w:rsidP="00B827DE">
      <w:pPr>
        <w:pStyle w:val="Bullet1"/>
      </w:pPr>
      <w:r w:rsidRPr="008C1E5F">
        <w:t xml:space="preserve">Data on the district’s staffing and finances </w:t>
      </w:r>
    </w:p>
    <w:p w14:paraId="4DD39A60" w14:textId="7A31A1A3" w:rsidR="00B827DE" w:rsidRPr="008C1E5F" w:rsidRDefault="0054101D" w:rsidP="00B827DE">
      <w:pPr>
        <w:pStyle w:val="Bullet1"/>
      </w:pPr>
      <w:r w:rsidRPr="008C1E5F">
        <w:t xml:space="preserve">Curricular </w:t>
      </w:r>
      <w:r w:rsidR="00B827DE" w:rsidRPr="008C1E5F">
        <w:t>review process and timeline</w:t>
      </w:r>
    </w:p>
    <w:p w14:paraId="39A28A74" w14:textId="212B18BC" w:rsidR="00B827DE" w:rsidRPr="008C1E5F" w:rsidRDefault="00B827DE" w:rsidP="00B827DE">
      <w:pPr>
        <w:pStyle w:val="Bullet1"/>
      </w:pPr>
      <w:r w:rsidRPr="008C1E5F">
        <w:t>Published educational reports on the district by DESE, the New England Association of Schools and Colleges, and the former Office of Educational Quality and Accountability</w:t>
      </w:r>
    </w:p>
    <w:p w14:paraId="2BA65B5C" w14:textId="64699D20" w:rsidR="00B827DE" w:rsidRPr="008C1E5F" w:rsidRDefault="00B827DE" w:rsidP="00B827DE">
      <w:pPr>
        <w:pStyle w:val="Bullet1"/>
      </w:pPr>
      <w:r w:rsidRPr="008C1E5F">
        <w:t xml:space="preserve">District documents such as district and </w:t>
      </w:r>
      <w:r w:rsidR="00494638" w:rsidRPr="008C1E5F">
        <w:t xml:space="preserve">school </w:t>
      </w:r>
      <w:r w:rsidRPr="008C1E5F">
        <w:t>improvement plans, school committee policies, curriculum documents, summaries of student assessments, job descriptions, collective bargaining agreements, evaluation tools for staff, handbooks, school schedules, and the district’s end-of-year financial reports</w:t>
      </w:r>
    </w:p>
    <w:p w14:paraId="645B15D9" w14:textId="0319EE8D" w:rsidR="00D60F09" w:rsidRPr="008C1E5F" w:rsidRDefault="00B827DE" w:rsidP="00B827DE">
      <w:pPr>
        <w:pStyle w:val="Bullet1"/>
      </w:pPr>
      <w:r w:rsidRPr="008C1E5F">
        <w:t>All completed program and administrator evaluations and a random selection of completed teacher evaluations</w:t>
      </w:r>
    </w:p>
    <w:p w14:paraId="463A5006" w14:textId="131068F2" w:rsidR="008D6102" w:rsidRPr="008C1E5F" w:rsidRDefault="008D6102" w:rsidP="00DA6C44">
      <w:pPr>
        <w:pStyle w:val="Bullet1"/>
        <w:numPr>
          <w:ilvl w:val="0"/>
          <w:numId w:val="0"/>
        </w:numPr>
        <w:ind w:left="720" w:hanging="360"/>
      </w:pPr>
    </w:p>
    <w:p w14:paraId="6A7B59BA" w14:textId="77777777" w:rsidR="006D0B48" w:rsidRPr="008C1E5F" w:rsidRDefault="006D0B48" w:rsidP="006A3A0E">
      <w:pPr>
        <w:numPr>
          <w:ilvl w:val="1"/>
          <w:numId w:val="1"/>
        </w:numPr>
        <w:tabs>
          <w:tab w:val="left" w:pos="360"/>
          <w:tab w:val="left" w:pos="720"/>
          <w:tab w:val="left" w:pos="1080"/>
          <w:tab w:val="left" w:pos="1440"/>
          <w:tab w:val="left" w:pos="1800"/>
          <w:tab w:val="left" w:pos="2160"/>
          <w:tab w:val="left" w:pos="2520"/>
          <w:tab w:val="left" w:pos="2880"/>
        </w:tabs>
        <w:ind w:left="360"/>
        <w:sectPr w:rsidR="006D0B48" w:rsidRPr="008C1E5F" w:rsidSect="00D67AD2">
          <w:footerReference w:type="default" r:id="rId31"/>
          <w:headerReference w:type="first" r:id="rId32"/>
          <w:pgSz w:w="12240" w:h="15840" w:code="1"/>
          <w:pgMar w:top="1440" w:right="1440" w:bottom="1440" w:left="1440" w:header="720" w:footer="720" w:gutter="0"/>
          <w:pgNumType w:start="1"/>
          <w:cols w:space="720"/>
          <w:docGrid w:linePitch="360"/>
        </w:sectPr>
      </w:pPr>
    </w:p>
    <w:p w14:paraId="2A2032DD" w14:textId="77777777" w:rsidR="00486B55" w:rsidRPr="008C1E5F" w:rsidRDefault="00486B55" w:rsidP="00486B55">
      <w:pPr>
        <w:pStyle w:val="Heading2"/>
        <w:pageBreakBefore w:val="0"/>
      </w:pPr>
      <w:bookmarkStart w:id="130" w:name="_Toc101878651"/>
      <w:bookmarkStart w:id="131" w:name="_Toc195024244"/>
      <w:bookmarkStart w:id="132" w:name="_Toc190886743"/>
      <w:bookmarkStart w:id="133" w:name="_Hlk100740908"/>
      <w:bookmarkStart w:id="134" w:name="_Toc101878652"/>
      <w:bookmarkStart w:id="135" w:name="_Toc101878650"/>
      <w:r w:rsidRPr="008C1E5F">
        <w:lastRenderedPageBreak/>
        <w:t>Appendix B. Districtwide Instructional Observation Report</w:t>
      </w:r>
      <w:bookmarkEnd w:id="130"/>
      <w:bookmarkEnd w:id="131"/>
      <w:r w:rsidRPr="008C1E5F">
        <w:t xml:space="preserve"> </w:t>
      </w:r>
      <w:bookmarkEnd w:id="132"/>
    </w:p>
    <w:p w14:paraId="7C68EB9D" w14:textId="77777777" w:rsidR="00900CF1" w:rsidRPr="008C1E5F" w:rsidRDefault="00900CF1" w:rsidP="00486B55">
      <w:pPr>
        <w:spacing w:line="240" w:lineRule="auto"/>
        <w:sectPr w:rsidR="00900CF1" w:rsidRPr="008C1E5F" w:rsidSect="00D67AD2">
          <w:footerReference w:type="default" r:id="rId33"/>
          <w:headerReference w:type="first" r:id="rId34"/>
          <w:pgSz w:w="12240" w:h="15840" w:code="1"/>
          <w:pgMar w:top="1440" w:right="1440" w:bottom="1440" w:left="1440" w:header="720" w:footer="720" w:gutter="0"/>
          <w:pgNumType w:start="1"/>
          <w:cols w:space="720"/>
          <w:docGrid w:linePitch="360"/>
        </w:sectPr>
      </w:pPr>
    </w:p>
    <w:p w14:paraId="4A869421" w14:textId="77777777" w:rsidR="00900CF1" w:rsidRPr="008C1E5F" w:rsidRDefault="00900CF1">
      <w:pPr>
        <w:pStyle w:val="CoverTopLogo"/>
      </w:pPr>
      <w:r w:rsidRPr="008C1E5F">
        <w:rPr>
          <w:rFonts w:ascii="Times New Roman" w:eastAsia="Calibri" w:hAnsi="Times New Roman" w:cs="Times New Roman"/>
          <w:noProof/>
          <w:sz w:val="20"/>
        </w:rPr>
        <w:lastRenderedPageBreak/>
        <w:drawing>
          <wp:inline distT="0" distB="0" distL="0" distR="0" wp14:anchorId="1B4C930A" wp14:editId="63B19636">
            <wp:extent cx="2404872" cy="685800"/>
            <wp:effectExtent l="0" t="0" r="0" b="0"/>
            <wp:docPr id="30" name="Picture 30" descr="Logo for DESE; Massachusetts Department of Elementary and Secondary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for DESE; Massachusetts Department of Elementary and Secondary Education. "/>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404872" cy="685800"/>
                    </a:xfrm>
                    <a:prstGeom prst="rect">
                      <a:avLst/>
                    </a:prstGeom>
                  </pic:spPr>
                </pic:pic>
              </a:graphicData>
            </a:graphic>
          </wp:inline>
        </w:drawing>
      </w:r>
      <w:r w:rsidRPr="008C1E5F">
        <w:rPr>
          <w:noProof/>
        </w:rPr>
        <w:drawing>
          <wp:anchor distT="0" distB="0" distL="114300" distR="114300" simplePos="0" relativeHeight="251658240" behindDoc="1" locked="1" layoutInCell="1" allowOverlap="1" wp14:anchorId="2EDC7C92" wp14:editId="7FE0BAFA">
            <wp:simplePos x="0" y="0"/>
            <wp:positionH relativeFrom="column">
              <wp:align>center</wp:align>
            </wp:positionH>
            <wp:positionV relativeFrom="margin">
              <wp:align>top</wp:align>
            </wp:positionV>
            <wp:extent cx="6665976" cy="9134856"/>
            <wp:effectExtent l="0" t="0" r="1905" b="0"/>
            <wp:wrapNone/>
            <wp:docPr id="1653281218" name="Picture 1653281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65976" cy="9134856"/>
                    </a:xfrm>
                    <a:prstGeom prst="rect">
                      <a:avLst/>
                    </a:prstGeom>
                    <a:noFill/>
                  </pic:spPr>
                </pic:pic>
              </a:graphicData>
            </a:graphic>
            <wp14:sizeRelH relativeFrom="margin">
              <wp14:pctWidth>0</wp14:pctWidth>
            </wp14:sizeRelH>
            <wp14:sizeRelV relativeFrom="margin">
              <wp14:pctHeight>0</wp14:pctHeight>
            </wp14:sizeRelV>
          </wp:anchor>
        </w:drawing>
      </w:r>
    </w:p>
    <w:p w14:paraId="27ED8903" w14:textId="77777777" w:rsidR="00900CF1" w:rsidRPr="008C1E5F" w:rsidRDefault="00900CF1">
      <w:pPr>
        <w:pStyle w:val="CoverDistrictName"/>
        <w:ind w:left="4032"/>
      </w:pPr>
      <w:bookmarkStart w:id="136" w:name="District1"/>
      <w:r w:rsidRPr="008C1E5F">
        <w:t>Fall River</w:t>
      </w:r>
      <w:bookmarkEnd w:id="136"/>
      <w:r w:rsidRPr="008C1E5F">
        <w:t xml:space="preserve"> Public Schools</w:t>
      </w:r>
    </w:p>
    <w:p w14:paraId="5EADF574" w14:textId="77777777" w:rsidR="00900CF1" w:rsidRPr="008C1E5F" w:rsidRDefault="00900CF1" w:rsidP="00900CF1">
      <w:pPr>
        <w:pStyle w:val="CoverSubtitle3"/>
        <w:ind w:left="4032"/>
      </w:pPr>
      <w:r w:rsidRPr="008C1E5F">
        <w:t>Classroom Visits: Summary of Findings</w:t>
      </w:r>
    </w:p>
    <w:p w14:paraId="52AE5A47" w14:textId="77777777" w:rsidR="00900CF1" w:rsidRPr="008C1E5F" w:rsidRDefault="00900CF1" w:rsidP="00900CF1">
      <w:pPr>
        <w:pStyle w:val="CoverSubtitle2-SIOR"/>
        <w:shd w:val="clear" w:color="auto" w:fill="2F5597"/>
        <w:spacing w:before="720"/>
        <w:ind w:left="4032"/>
      </w:pPr>
      <w:r w:rsidRPr="008C1E5F">
        <w:t>Districtwide Instructional Observation Report</w:t>
      </w:r>
    </w:p>
    <w:p w14:paraId="05CA284B" w14:textId="77777777" w:rsidR="00900CF1" w:rsidRPr="008C1E5F" w:rsidRDefault="00900CF1" w:rsidP="00900CF1">
      <w:pPr>
        <w:pStyle w:val="CoverDate"/>
        <w:ind w:left="4032"/>
      </w:pPr>
      <w:bookmarkStart w:id="137" w:name="MonthName1"/>
      <w:r w:rsidRPr="008C1E5F">
        <w:t>November</w:t>
      </w:r>
      <w:bookmarkEnd w:id="137"/>
      <w:r w:rsidRPr="008C1E5F">
        <w:t xml:space="preserve"> 2024</w:t>
      </w:r>
    </w:p>
    <w:p w14:paraId="37787833" w14:textId="77777777" w:rsidR="00900CF1" w:rsidRPr="008C1E5F" w:rsidRDefault="00900CF1">
      <w:pPr>
        <w:pStyle w:val="CoverBottomLogo"/>
        <w:spacing w:before="6200"/>
        <w:ind w:left="450"/>
        <w:sectPr w:rsidR="00900CF1" w:rsidRPr="008C1E5F" w:rsidSect="001E1795">
          <w:footerReference w:type="default" r:id="rId37"/>
          <w:pgSz w:w="12240" w:h="15840" w:code="1"/>
          <w:pgMar w:top="720" w:right="1008" w:bottom="720" w:left="1008" w:header="720" w:footer="720" w:gutter="0"/>
          <w:cols w:space="720"/>
          <w:docGrid w:linePitch="360"/>
        </w:sectPr>
      </w:pPr>
    </w:p>
    <w:p w14:paraId="23A803C9" w14:textId="77777777" w:rsidR="00900CF1" w:rsidRPr="008C1E5F" w:rsidRDefault="00900CF1">
      <w:pPr>
        <w:pStyle w:val="CoverBottomLogo"/>
        <w:spacing w:before="6200"/>
        <w:ind w:left="450"/>
      </w:pPr>
      <w:r w:rsidRPr="008C1E5F">
        <w:rPr>
          <w:noProof/>
        </w:rPr>
        <w:drawing>
          <wp:inline distT="0" distB="0" distL="0" distR="0" wp14:anchorId="329ED39B" wp14:editId="632BEFC8">
            <wp:extent cx="1655064" cy="484632"/>
            <wp:effectExtent l="0" t="0" r="2540" b="0"/>
            <wp:docPr id="29" name="Picture 29" descr="Logo for AIR; American Institutes for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for AIR; American Institutes for Research. "/>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655064" cy="484632"/>
                    </a:xfrm>
                    <a:prstGeom prst="rect">
                      <a:avLst/>
                    </a:prstGeom>
                    <a:ln>
                      <a:noFill/>
                    </a:ln>
                    <a:extLst>
                      <a:ext uri="{53640926-AAD7-44D8-BBD7-CCE9431645EC}">
                        <a14:shadowObscured xmlns:a14="http://schemas.microsoft.com/office/drawing/2010/main"/>
                      </a:ext>
                    </a:extLst>
                  </pic:spPr>
                </pic:pic>
              </a:graphicData>
            </a:graphic>
          </wp:inline>
        </w:drawing>
      </w:r>
    </w:p>
    <w:p w14:paraId="7FA605E4" w14:textId="77777777" w:rsidR="00900CF1" w:rsidRPr="008C1E5F" w:rsidRDefault="00900CF1" w:rsidP="00900CF1">
      <w:pPr>
        <w:pStyle w:val="Cover-AIRaddress"/>
        <w:spacing w:before="6120"/>
        <w:ind w:left="0"/>
      </w:pPr>
      <w:r w:rsidRPr="008C1E5F">
        <w:br w:type="column"/>
      </w:r>
      <w:r w:rsidRPr="008C1E5F">
        <w:t>201 Jones Road</w:t>
      </w:r>
      <w:r w:rsidRPr="008C1E5F">
        <w:br/>
        <w:t>Waltham, Massachusetts</w:t>
      </w:r>
      <w:r w:rsidRPr="008C1E5F">
        <w:br/>
        <w:t>781-373-7000 | TTY 877.334.3499</w:t>
      </w:r>
    </w:p>
    <w:p w14:paraId="1F3CEDCC" w14:textId="77777777" w:rsidR="00900CF1" w:rsidRPr="008C1E5F" w:rsidRDefault="00900CF1" w:rsidP="00900CF1">
      <w:pPr>
        <w:pStyle w:val="Cover-AIRaddress"/>
        <w:spacing w:before="6000"/>
        <w:ind w:left="0"/>
        <w:rPr>
          <w:sz w:val="18"/>
        </w:rPr>
      </w:pPr>
      <w:hyperlink r:id="rId39" w:history="1">
        <w:r w:rsidRPr="008C1E5F">
          <w:rPr>
            <w:rStyle w:val="FranklinGothicDemi"/>
            <w:u w:val="single"/>
          </w:rPr>
          <w:t>www.air.org</w:t>
        </w:r>
      </w:hyperlink>
    </w:p>
    <w:p w14:paraId="3C809FCD" w14:textId="77777777" w:rsidR="00900CF1" w:rsidRPr="008C1E5F" w:rsidRDefault="00900CF1">
      <w:pPr>
        <w:pStyle w:val="Cover-AIRaddress"/>
        <w:sectPr w:rsidR="00900CF1" w:rsidRPr="008C1E5F" w:rsidSect="00900CF1">
          <w:type w:val="continuous"/>
          <w:pgSz w:w="12240" w:h="15840" w:code="1"/>
          <w:pgMar w:top="720" w:right="1008" w:bottom="720" w:left="1008" w:header="720" w:footer="720" w:gutter="0"/>
          <w:pgNumType w:fmt="lowerRoman" w:start="1"/>
          <w:cols w:num="2" w:space="0" w:equalWidth="0">
            <w:col w:w="4032" w:space="0"/>
            <w:col w:w="6192"/>
          </w:cols>
          <w:docGrid w:linePitch="360"/>
        </w:sectPr>
      </w:pPr>
    </w:p>
    <w:p w14:paraId="0771C154" w14:textId="77777777" w:rsidR="00900CF1" w:rsidRPr="008C1E5F" w:rsidRDefault="00900CF1">
      <w:pPr>
        <w:pStyle w:val="TOCHeading"/>
      </w:pPr>
      <w:r w:rsidRPr="008C1E5F">
        <w:lastRenderedPageBreak/>
        <w:t>Contents</w:t>
      </w:r>
    </w:p>
    <w:p w14:paraId="3212578F" w14:textId="77777777" w:rsidR="00900CF1" w:rsidRPr="008C1E5F" w:rsidRDefault="00900CF1">
      <w:pPr>
        <w:spacing w:after="120"/>
        <w:jc w:val="right"/>
        <w:rPr>
          <w:rFonts w:ascii="Calibri" w:eastAsia="Times New Roman" w:hAnsi="Calibri" w:cs="Calibri"/>
          <w:b/>
          <w:bCs/>
          <w:szCs w:val="20"/>
        </w:rPr>
      </w:pPr>
      <w:r w:rsidRPr="008C1E5F">
        <w:rPr>
          <w:rFonts w:ascii="Calibri" w:eastAsia="Times New Roman" w:hAnsi="Calibri" w:cs="Calibri"/>
          <w:b/>
          <w:bCs/>
          <w:szCs w:val="20"/>
        </w:rPr>
        <w:t>Page</w:t>
      </w:r>
    </w:p>
    <w:p w14:paraId="04B5CA97" w14:textId="3F12D46B" w:rsidR="00900CF1" w:rsidRPr="008C1E5F" w:rsidRDefault="00900CF1">
      <w:pPr>
        <w:pStyle w:val="TOC1"/>
        <w:tabs>
          <w:tab w:val="right" w:leader="dot" w:pos="9350"/>
        </w:tabs>
        <w:rPr>
          <w:rFonts w:eastAsiaTheme="minorEastAsia"/>
          <w:noProof/>
        </w:rPr>
      </w:pPr>
      <w:r w:rsidRPr="008C1E5F">
        <w:rPr>
          <w:rFonts w:ascii="Calibri" w:eastAsia="Times New Roman" w:hAnsi="Calibri" w:cs="Calibri"/>
          <w:b/>
          <w:bCs/>
          <w:szCs w:val="20"/>
        </w:rPr>
        <w:fldChar w:fldCharType="begin"/>
      </w:r>
      <w:r w:rsidRPr="008C1E5F">
        <w:rPr>
          <w:rFonts w:ascii="Calibri" w:eastAsia="Times New Roman" w:hAnsi="Calibri" w:cs="Calibri"/>
          <w:b/>
          <w:bCs/>
          <w:szCs w:val="20"/>
        </w:rPr>
        <w:instrText xml:space="preserve"> TOC \h \z \t "Heading 2 - SIOR,1" </w:instrText>
      </w:r>
      <w:r w:rsidRPr="008C1E5F">
        <w:rPr>
          <w:rFonts w:ascii="Calibri" w:eastAsia="Times New Roman" w:hAnsi="Calibri" w:cs="Calibri"/>
          <w:b/>
          <w:bCs/>
          <w:szCs w:val="20"/>
        </w:rPr>
        <w:fldChar w:fldCharType="separate"/>
      </w:r>
      <w:hyperlink w:anchor="_Toc92194253" w:history="1">
        <w:r w:rsidRPr="008C1E5F">
          <w:rPr>
            <w:rStyle w:val="Hyperlink"/>
            <w:noProof/>
          </w:rPr>
          <w:t>Introduction</w:t>
        </w:r>
        <w:r w:rsidRPr="008C1E5F">
          <w:rPr>
            <w:noProof/>
            <w:webHidden/>
          </w:rPr>
          <w:tab/>
        </w:r>
        <w:r w:rsidR="00992453" w:rsidRPr="008C1E5F">
          <w:rPr>
            <w:noProof/>
            <w:webHidden/>
          </w:rPr>
          <w:t>B-</w:t>
        </w:r>
        <w:r w:rsidRPr="008C1E5F">
          <w:rPr>
            <w:noProof/>
            <w:webHidden/>
          </w:rPr>
          <w:fldChar w:fldCharType="begin"/>
        </w:r>
        <w:r w:rsidRPr="008C1E5F">
          <w:rPr>
            <w:noProof/>
            <w:webHidden/>
          </w:rPr>
          <w:instrText xml:space="preserve"> PAGEREF _Toc92194253 \h </w:instrText>
        </w:r>
        <w:r w:rsidRPr="008C1E5F">
          <w:rPr>
            <w:noProof/>
            <w:webHidden/>
          </w:rPr>
        </w:r>
        <w:r w:rsidRPr="008C1E5F">
          <w:rPr>
            <w:noProof/>
            <w:webHidden/>
          </w:rPr>
          <w:fldChar w:fldCharType="separate"/>
        </w:r>
        <w:r w:rsidR="00992453" w:rsidRPr="008C1E5F">
          <w:rPr>
            <w:noProof/>
            <w:webHidden/>
          </w:rPr>
          <w:t>4</w:t>
        </w:r>
        <w:r w:rsidRPr="008C1E5F">
          <w:rPr>
            <w:noProof/>
            <w:webHidden/>
          </w:rPr>
          <w:fldChar w:fldCharType="end"/>
        </w:r>
      </w:hyperlink>
    </w:p>
    <w:p w14:paraId="4D29BAD4" w14:textId="3E790AE5" w:rsidR="00900CF1" w:rsidRPr="008C1E5F" w:rsidRDefault="00900CF1">
      <w:pPr>
        <w:pStyle w:val="TOC1"/>
        <w:tabs>
          <w:tab w:val="right" w:leader="dot" w:pos="9350"/>
        </w:tabs>
        <w:rPr>
          <w:rFonts w:eastAsiaTheme="minorEastAsia"/>
          <w:noProof/>
        </w:rPr>
      </w:pPr>
      <w:hyperlink w:anchor="_Toc92194254" w:history="1">
        <w:r w:rsidRPr="008C1E5F">
          <w:rPr>
            <w:rStyle w:val="Hyperlink"/>
            <w:noProof/>
          </w:rPr>
          <w:t>Positive Climate</w:t>
        </w:r>
        <w:r w:rsidRPr="008C1E5F">
          <w:rPr>
            <w:noProof/>
            <w:webHidden/>
          </w:rPr>
          <w:tab/>
        </w:r>
        <w:r w:rsidR="00992453" w:rsidRPr="008C1E5F">
          <w:rPr>
            <w:noProof/>
            <w:webHidden/>
          </w:rPr>
          <w:t>B-</w:t>
        </w:r>
        <w:r w:rsidRPr="008C1E5F">
          <w:rPr>
            <w:noProof/>
            <w:webHidden/>
          </w:rPr>
          <w:fldChar w:fldCharType="begin"/>
        </w:r>
        <w:r w:rsidRPr="008C1E5F">
          <w:rPr>
            <w:noProof/>
            <w:webHidden/>
          </w:rPr>
          <w:instrText xml:space="preserve"> PAGEREF _Toc92194254 \h </w:instrText>
        </w:r>
        <w:r w:rsidRPr="008C1E5F">
          <w:rPr>
            <w:noProof/>
            <w:webHidden/>
          </w:rPr>
        </w:r>
        <w:r w:rsidRPr="008C1E5F">
          <w:rPr>
            <w:noProof/>
            <w:webHidden/>
          </w:rPr>
          <w:fldChar w:fldCharType="separate"/>
        </w:r>
        <w:r w:rsidR="00992453" w:rsidRPr="008C1E5F">
          <w:rPr>
            <w:noProof/>
            <w:webHidden/>
          </w:rPr>
          <w:t>6</w:t>
        </w:r>
        <w:r w:rsidRPr="008C1E5F">
          <w:rPr>
            <w:noProof/>
            <w:webHidden/>
          </w:rPr>
          <w:fldChar w:fldCharType="end"/>
        </w:r>
      </w:hyperlink>
    </w:p>
    <w:p w14:paraId="54F124CA" w14:textId="60818DB0" w:rsidR="00900CF1" w:rsidRPr="008C1E5F" w:rsidRDefault="00900CF1">
      <w:pPr>
        <w:pStyle w:val="TOC1"/>
        <w:tabs>
          <w:tab w:val="right" w:leader="dot" w:pos="9350"/>
        </w:tabs>
        <w:rPr>
          <w:rFonts w:eastAsiaTheme="minorEastAsia"/>
          <w:noProof/>
        </w:rPr>
      </w:pPr>
      <w:hyperlink w:anchor="_Toc92194255" w:history="1">
        <w:r w:rsidRPr="008C1E5F">
          <w:rPr>
            <w:rStyle w:val="Hyperlink"/>
            <w:noProof/>
          </w:rPr>
          <w:t>Teacher Sensitivity</w:t>
        </w:r>
        <w:r w:rsidRPr="008C1E5F">
          <w:rPr>
            <w:noProof/>
            <w:webHidden/>
          </w:rPr>
          <w:tab/>
        </w:r>
        <w:r w:rsidR="00992453" w:rsidRPr="008C1E5F">
          <w:rPr>
            <w:noProof/>
            <w:webHidden/>
          </w:rPr>
          <w:t>B-</w:t>
        </w:r>
        <w:r w:rsidRPr="008C1E5F">
          <w:rPr>
            <w:noProof/>
            <w:webHidden/>
          </w:rPr>
          <w:fldChar w:fldCharType="begin"/>
        </w:r>
        <w:r w:rsidRPr="008C1E5F">
          <w:rPr>
            <w:noProof/>
            <w:webHidden/>
          </w:rPr>
          <w:instrText xml:space="preserve"> PAGEREF _Toc92194255 \h </w:instrText>
        </w:r>
        <w:r w:rsidRPr="008C1E5F">
          <w:rPr>
            <w:noProof/>
            <w:webHidden/>
          </w:rPr>
        </w:r>
        <w:r w:rsidRPr="008C1E5F">
          <w:rPr>
            <w:noProof/>
            <w:webHidden/>
          </w:rPr>
          <w:fldChar w:fldCharType="separate"/>
        </w:r>
        <w:r w:rsidR="00992453" w:rsidRPr="008C1E5F">
          <w:rPr>
            <w:noProof/>
            <w:webHidden/>
          </w:rPr>
          <w:t>7</w:t>
        </w:r>
        <w:r w:rsidRPr="008C1E5F">
          <w:rPr>
            <w:noProof/>
            <w:webHidden/>
          </w:rPr>
          <w:fldChar w:fldCharType="end"/>
        </w:r>
      </w:hyperlink>
    </w:p>
    <w:p w14:paraId="421D480D" w14:textId="5C0A4475" w:rsidR="00900CF1" w:rsidRPr="008C1E5F" w:rsidRDefault="00900CF1">
      <w:pPr>
        <w:pStyle w:val="TOC1"/>
        <w:tabs>
          <w:tab w:val="right" w:leader="dot" w:pos="9350"/>
        </w:tabs>
        <w:rPr>
          <w:rFonts w:eastAsiaTheme="minorEastAsia"/>
          <w:noProof/>
        </w:rPr>
      </w:pPr>
      <w:hyperlink w:anchor="_Toc92194256" w:history="1">
        <w:r w:rsidRPr="008C1E5F">
          <w:rPr>
            <w:rStyle w:val="Hyperlink"/>
            <w:noProof/>
          </w:rPr>
          <w:t>Regard for Student Perspectives</w:t>
        </w:r>
        <w:r w:rsidRPr="008C1E5F">
          <w:rPr>
            <w:noProof/>
            <w:webHidden/>
          </w:rPr>
          <w:tab/>
        </w:r>
        <w:r w:rsidR="00992453" w:rsidRPr="008C1E5F">
          <w:rPr>
            <w:noProof/>
            <w:webHidden/>
          </w:rPr>
          <w:t>B-</w:t>
        </w:r>
        <w:r w:rsidRPr="008C1E5F">
          <w:rPr>
            <w:noProof/>
            <w:webHidden/>
          </w:rPr>
          <w:fldChar w:fldCharType="begin"/>
        </w:r>
        <w:r w:rsidRPr="008C1E5F">
          <w:rPr>
            <w:noProof/>
            <w:webHidden/>
          </w:rPr>
          <w:instrText xml:space="preserve"> PAGEREF _Toc92194256 \h </w:instrText>
        </w:r>
        <w:r w:rsidRPr="008C1E5F">
          <w:rPr>
            <w:noProof/>
            <w:webHidden/>
          </w:rPr>
        </w:r>
        <w:r w:rsidRPr="008C1E5F">
          <w:rPr>
            <w:noProof/>
            <w:webHidden/>
          </w:rPr>
          <w:fldChar w:fldCharType="separate"/>
        </w:r>
        <w:r w:rsidR="00992453" w:rsidRPr="008C1E5F">
          <w:rPr>
            <w:noProof/>
            <w:webHidden/>
          </w:rPr>
          <w:t>8</w:t>
        </w:r>
        <w:r w:rsidRPr="008C1E5F">
          <w:rPr>
            <w:noProof/>
            <w:webHidden/>
          </w:rPr>
          <w:fldChar w:fldCharType="end"/>
        </w:r>
      </w:hyperlink>
    </w:p>
    <w:p w14:paraId="7861FF6C" w14:textId="4FFDA418" w:rsidR="00900CF1" w:rsidRPr="008C1E5F" w:rsidRDefault="00900CF1">
      <w:pPr>
        <w:pStyle w:val="TOC1"/>
        <w:tabs>
          <w:tab w:val="right" w:leader="dot" w:pos="9350"/>
        </w:tabs>
        <w:rPr>
          <w:rFonts w:eastAsiaTheme="minorEastAsia"/>
          <w:noProof/>
        </w:rPr>
      </w:pPr>
      <w:hyperlink w:anchor="_Toc92194257" w:history="1">
        <w:r w:rsidRPr="008C1E5F">
          <w:rPr>
            <w:rStyle w:val="Hyperlink"/>
            <w:noProof/>
          </w:rPr>
          <w:t>Negative Climate</w:t>
        </w:r>
        <w:r w:rsidRPr="008C1E5F">
          <w:rPr>
            <w:noProof/>
            <w:webHidden/>
          </w:rPr>
          <w:tab/>
        </w:r>
        <w:r w:rsidR="00992453" w:rsidRPr="008C1E5F">
          <w:rPr>
            <w:noProof/>
            <w:webHidden/>
          </w:rPr>
          <w:t>B-</w:t>
        </w:r>
        <w:r w:rsidRPr="008C1E5F">
          <w:rPr>
            <w:noProof/>
            <w:webHidden/>
          </w:rPr>
          <w:fldChar w:fldCharType="begin"/>
        </w:r>
        <w:r w:rsidRPr="008C1E5F">
          <w:rPr>
            <w:noProof/>
            <w:webHidden/>
          </w:rPr>
          <w:instrText xml:space="preserve"> PAGEREF _Toc92194257 \h </w:instrText>
        </w:r>
        <w:r w:rsidRPr="008C1E5F">
          <w:rPr>
            <w:noProof/>
            <w:webHidden/>
          </w:rPr>
        </w:r>
        <w:r w:rsidRPr="008C1E5F">
          <w:rPr>
            <w:noProof/>
            <w:webHidden/>
          </w:rPr>
          <w:fldChar w:fldCharType="separate"/>
        </w:r>
        <w:r w:rsidR="00992453" w:rsidRPr="008C1E5F">
          <w:rPr>
            <w:noProof/>
            <w:webHidden/>
          </w:rPr>
          <w:t>9</w:t>
        </w:r>
        <w:r w:rsidRPr="008C1E5F">
          <w:rPr>
            <w:noProof/>
            <w:webHidden/>
          </w:rPr>
          <w:fldChar w:fldCharType="end"/>
        </w:r>
      </w:hyperlink>
    </w:p>
    <w:p w14:paraId="6290D73B" w14:textId="371AFA7C" w:rsidR="00900CF1" w:rsidRPr="008C1E5F" w:rsidRDefault="00900CF1">
      <w:pPr>
        <w:pStyle w:val="TOC1"/>
        <w:tabs>
          <w:tab w:val="right" w:leader="dot" w:pos="9350"/>
        </w:tabs>
        <w:rPr>
          <w:rFonts w:eastAsiaTheme="minorEastAsia"/>
          <w:noProof/>
        </w:rPr>
      </w:pPr>
      <w:hyperlink w:anchor="_Toc92194258" w:history="1">
        <w:r w:rsidRPr="008C1E5F">
          <w:rPr>
            <w:rStyle w:val="Hyperlink"/>
            <w:noProof/>
          </w:rPr>
          <w:t>Behavior Management</w:t>
        </w:r>
        <w:r w:rsidRPr="008C1E5F">
          <w:rPr>
            <w:noProof/>
            <w:webHidden/>
          </w:rPr>
          <w:tab/>
        </w:r>
        <w:r w:rsidR="00992453" w:rsidRPr="008C1E5F">
          <w:rPr>
            <w:noProof/>
            <w:webHidden/>
          </w:rPr>
          <w:t>B-</w:t>
        </w:r>
        <w:r w:rsidRPr="008C1E5F">
          <w:rPr>
            <w:noProof/>
            <w:webHidden/>
          </w:rPr>
          <w:fldChar w:fldCharType="begin"/>
        </w:r>
        <w:r w:rsidRPr="008C1E5F">
          <w:rPr>
            <w:noProof/>
            <w:webHidden/>
          </w:rPr>
          <w:instrText xml:space="preserve"> PAGEREF _Toc92194258 \h </w:instrText>
        </w:r>
        <w:r w:rsidRPr="008C1E5F">
          <w:rPr>
            <w:noProof/>
            <w:webHidden/>
          </w:rPr>
        </w:r>
        <w:r w:rsidRPr="008C1E5F">
          <w:rPr>
            <w:noProof/>
            <w:webHidden/>
          </w:rPr>
          <w:fldChar w:fldCharType="separate"/>
        </w:r>
        <w:r w:rsidR="00992453" w:rsidRPr="008C1E5F">
          <w:rPr>
            <w:noProof/>
            <w:webHidden/>
          </w:rPr>
          <w:t>10</w:t>
        </w:r>
        <w:r w:rsidRPr="008C1E5F">
          <w:rPr>
            <w:noProof/>
            <w:webHidden/>
          </w:rPr>
          <w:fldChar w:fldCharType="end"/>
        </w:r>
      </w:hyperlink>
    </w:p>
    <w:p w14:paraId="699DDC28" w14:textId="2F26869D" w:rsidR="00900CF1" w:rsidRPr="008C1E5F" w:rsidRDefault="00900CF1">
      <w:pPr>
        <w:pStyle w:val="TOC1"/>
        <w:tabs>
          <w:tab w:val="right" w:leader="dot" w:pos="9350"/>
        </w:tabs>
        <w:rPr>
          <w:rFonts w:eastAsiaTheme="minorEastAsia"/>
          <w:noProof/>
        </w:rPr>
      </w:pPr>
      <w:hyperlink w:anchor="_Toc92194259" w:history="1">
        <w:r w:rsidRPr="008C1E5F">
          <w:rPr>
            <w:rStyle w:val="Hyperlink"/>
            <w:noProof/>
          </w:rPr>
          <w:t>Productivity</w:t>
        </w:r>
        <w:r w:rsidRPr="008C1E5F">
          <w:rPr>
            <w:noProof/>
            <w:webHidden/>
          </w:rPr>
          <w:tab/>
        </w:r>
        <w:r w:rsidR="00992453" w:rsidRPr="008C1E5F">
          <w:rPr>
            <w:noProof/>
            <w:webHidden/>
          </w:rPr>
          <w:t>B-</w:t>
        </w:r>
        <w:r w:rsidRPr="008C1E5F">
          <w:rPr>
            <w:noProof/>
            <w:webHidden/>
          </w:rPr>
          <w:fldChar w:fldCharType="begin"/>
        </w:r>
        <w:r w:rsidRPr="008C1E5F">
          <w:rPr>
            <w:noProof/>
            <w:webHidden/>
          </w:rPr>
          <w:instrText xml:space="preserve"> PAGEREF _Toc92194259 \h </w:instrText>
        </w:r>
        <w:r w:rsidRPr="008C1E5F">
          <w:rPr>
            <w:noProof/>
            <w:webHidden/>
          </w:rPr>
        </w:r>
        <w:r w:rsidRPr="008C1E5F">
          <w:rPr>
            <w:noProof/>
            <w:webHidden/>
          </w:rPr>
          <w:fldChar w:fldCharType="separate"/>
        </w:r>
        <w:r w:rsidR="00992453" w:rsidRPr="008C1E5F">
          <w:rPr>
            <w:noProof/>
            <w:webHidden/>
          </w:rPr>
          <w:t>11</w:t>
        </w:r>
        <w:r w:rsidRPr="008C1E5F">
          <w:rPr>
            <w:noProof/>
            <w:webHidden/>
          </w:rPr>
          <w:fldChar w:fldCharType="end"/>
        </w:r>
      </w:hyperlink>
    </w:p>
    <w:p w14:paraId="6813CFAF" w14:textId="63D36816" w:rsidR="00900CF1" w:rsidRPr="008C1E5F" w:rsidRDefault="00900CF1">
      <w:pPr>
        <w:pStyle w:val="TOC1"/>
        <w:tabs>
          <w:tab w:val="right" w:leader="dot" w:pos="9350"/>
        </w:tabs>
        <w:rPr>
          <w:rFonts w:eastAsiaTheme="minorEastAsia"/>
          <w:noProof/>
        </w:rPr>
      </w:pPr>
      <w:hyperlink w:anchor="_Toc92194260" w:history="1">
        <w:r w:rsidRPr="008C1E5F">
          <w:rPr>
            <w:rStyle w:val="Hyperlink"/>
            <w:noProof/>
          </w:rPr>
          <w:t>Instructional Learning Formats</w:t>
        </w:r>
        <w:r w:rsidRPr="008C1E5F">
          <w:rPr>
            <w:noProof/>
            <w:webHidden/>
          </w:rPr>
          <w:tab/>
        </w:r>
        <w:r w:rsidR="00992453" w:rsidRPr="008C1E5F">
          <w:rPr>
            <w:noProof/>
            <w:webHidden/>
          </w:rPr>
          <w:t>B-</w:t>
        </w:r>
        <w:r w:rsidRPr="008C1E5F">
          <w:rPr>
            <w:noProof/>
            <w:webHidden/>
          </w:rPr>
          <w:fldChar w:fldCharType="begin"/>
        </w:r>
        <w:r w:rsidRPr="008C1E5F">
          <w:rPr>
            <w:noProof/>
            <w:webHidden/>
          </w:rPr>
          <w:instrText xml:space="preserve"> PAGEREF _Toc92194260 \h </w:instrText>
        </w:r>
        <w:r w:rsidRPr="008C1E5F">
          <w:rPr>
            <w:noProof/>
            <w:webHidden/>
          </w:rPr>
        </w:r>
        <w:r w:rsidRPr="008C1E5F">
          <w:rPr>
            <w:noProof/>
            <w:webHidden/>
          </w:rPr>
          <w:fldChar w:fldCharType="separate"/>
        </w:r>
        <w:r w:rsidR="00992453" w:rsidRPr="008C1E5F">
          <w:rPr>
            <w:noProof/>
            <w:webHidden/>
          </w:rPr>
          <w:t>12</w:t>
        </w:r>
        <w:r w:rsidRPr="008C1E5F">
          <w:rPr>
            <w:noProof/>
            <w:webHidden/>
          </w:rPr>
          <w:fldChar w:fldCharType="end"/>
        </w:r>
      </w:hyperlink>
    </w:p>
    <w:p w14:paraId="5B134EA7" w14:textId="4AB7E9D5" w:rsidR="00900CF1" w:rsidRPr="008C1E5F" w:rsidRDefault="00900CF1">
      <w:pPr>
        <w:pStyle w:val="TOC1"/>
        <w:tabs>
          <w:tab w:val="right" w:leader="dot" w:pos="9350"/>
        </w:tabs>
        <w:rPr>
          <w:rFonts w:eastAsiaTheme="minorEastAsia"/>
          <w:noProof/>
        </w:rPr>
      </w:pPr>
      <w:hyperlink w:anchor="_Toc92194261" w:history="1">
        <w:r w:rsidRPr="008C1E5F">
          <w:rPr>
            <w:rStyle w:val="Hyperlink"/>
            <w:noProof/>
          </w:rPr>
          <w:t>Concept Development</w:t>
        </w:r>
        <w:r w:rsidRPr="008C1E5F">
          <w:rPr>
            <w:noProof/>
            <w:webHidden/>
          </w:rPr>
          <w:tab/>
        </w:r>
        <w:r w:rsidR="00992453" w:rsidRPr="008C1E5F">
          <w:rPr>
            <w:noProof/>
            <w:webHidden/>
          </w:rPr>
          <w:t>B-</w:t>
        </w:r>
        <w:r w:rsidRPr="008C1E5F">
          <w:rPr>
            <w:noProof/>
            <w:webHidden/>
          </w:rPr>
          <w:fldChar w:fldCharType="begin"/>
        </w:r>
        <w:r w:rsidRPr="008C1E5F">
          <w:rPr>
            <w:noProof/>
            <w:webHidden/>
          </w:rPr>
          <w:instrText xml:space="preserve"> PAGEREF _Toc92194261 \h </w:instrText>
        </w:r>
        <w:r w:rsidRPr="008C1E5F">
          <w:rPr>
            <w:noProof/>
            <w:webHidden/>
          </w:rPr>
        </w:r>
        <w:r w:rsidRPr="008C1E5F">
          <w:rPr>
            <w:noProof/>
            <w:webHidden/>
          </w:rPr>
          <w:fldChar w:fldCharType="separate"/>
        </w:r>
        <w:r w:rsidR="00992453" w:rsidRPr="008C1E5F">
          <w:rPr>
            <w:noProof/>
            <w:webHidden/>
          </w:rPr>
          <w:t>13</w:t>
        </w:r>
        <w:r w:rsidRPr="008C1E5F">
          <w:rPr>
            <w:noProof/>
            <w:webHidden/>
          </w:rPr>
          <w:fldChar w:fldCharType="end"/>
        </w:r>
      </w:hyperlink>
    </w:p>
    <w:p w14:paraId="0EBD53F5" w14:textId="6BE535C4" w:rsidR="00900CF1" w:rsidRPr="008C1E5F" w:rsidRDefault="00900CF1">
      <w:pPr>
        <w:pStyle w:val="TOC1"/>
        <w:tabs>
          <w:tab w:val="right" w:leader="dot" w:pos="9350"/>
        </w:tabs>
        <w:rPr>
          <w:rFonts w:eastAsiaTheme="minorEastAsia"/>
          <w:noProof/>
        </w:rPr>
      </w:pPr>
      <w:hyperlink w:anchor="_Toc92194262" w:history="1">
        <w:r w:rsidRPr="008C1E5F">
          <w:rPr>
            <w:rStyle w:val="Hyperlink"/>
            <w:noProof/>
          </w:rPr>
          <w:t>Content Understanding</w:t>
        </w:r>
        <w:r w:rsidRPr="008C1E5F">
          <w:rPr>
            <w:noProof/>
            <w:webHidden/>
          </w:rPr>
          <w:tab/>
        </w:r>
        <w:r w:rsidR="00992453" w:rsidRPr="008C1E5F">
          <w:rPr>
            <w:noProof/>
            <w:webHidden/>
          </w:rPr>
          <w:t>B-</w:t>
        </w:r>
        <w:r w:rsidRPr="008C1E5F">
          <w:rPr>
            <w:noProof/>
            <w:webHidden/>
          </w:rPr>
          <w:fldChar w:fldCharType="begin"/>
        </w:r>
        <w:r w:rsidRPr="008C1E5F">
          <w:rPr>
            <w:noProof/>
            <w:webHidden/>
          </w:rPr>
          <w:instrText xml:space="preserve"> PAGEREF _Toc92194262 \h </w:instrText>
        </w:r>
        <w:r w:rsidRPr="008C1E5F">
          <w:rPr>
            <w:noProof/>
            <w:webHidden/>
          </w:rPr>
        </w:r>
        <w:r w:rsidRPr="008C1E5F">
          <w:rPr>
            <w:noProof/>
            <w:webHidden/>
          </w:rPr>
          <w:fldChar w:fldCharType="separate"/>
        </w:r>
        <w:r w:rsidR="00992453" w:rsidRPr="008C1E5F">
          <w:rPr>
            <w:noProof/>
            <w:webHidden/>
          </w:rPr>
          <w:t>14</w:t>
        </w:r>
        <w:r w:rsidRPr="008C1E5F">
          <w:rPr>
            <w:noProof/>
            <w:webHidden/>
          </w:rPr>
          <w:fldChar w:fldCharType="end"/>
        </w:r>
      </w:hyperlink>
    </w:p>
    <w:p w14:paraId="104A9814" w14:textId="22F57CB9" w:rsidR="00900CF1" w:rsidRPr="008C1E5F" w:rsidRDefault="00900CF1">
      <w:pPr>
        <w:pStyle w:val="TOC1"/>
        <w:tabs>
          <w:tab w:val="right" w:leader="dot" w:pos="9350"/>
        </w:tabs>
        <w:rPr>
          <w:rFonts w:eastAsiaTheme="minorEastAsia"/>
          <w:noProof/>
        </w:rPr>
      </w:pPr>
      <w:hyperlink w:anchor="_Toc92194263" w:history="1">
        <w:r w:rsidRPr="008C1E5F">
          <w:rPr>
            <w:rStyle w:val="Hyperlink"/>
            <w:noProof/>
          </w:rPr>
          <w:t>Analysis and Inquiry</w:t>
        </w:r>
        <w:r w:rsidRPr="008C1E5F">
          <w:rPr>
            <w:noProof/>
            <w:webHidden/>
          </w:rPr>
          <w:tab/>
        </w:r>
        <w:r w:rsidR="00992453" w:rsidRPr="008C1E5F">
          <w:rPr>
            <w:noProof/>
            <w:webHidden/>
          </w:rPr>
          <w:t>B-</w:t>
        </w:r>
        <w:r w:rsidRPr="008C1E5F">
          <w:rPr>
            <w:noProof/>
            <w:webHidden/>
          </w:rPr>
          <w:fldChar w:fldCharType="begin"/>
        </w:r>
        <w:r w:rsidRPr="008C1E5F">
          <w:rPr>
            <w:noProof/>
            <w:webHidden/>
          </w:rPr>
          <w:instrText xml:space="preserve"> PAGEREF _Toc92194263 \h </w:instrText>
        </w:r>
        <w:r w:rsidRPr="008C1E5F">
          <w:rPr>
            <w:noProof/>
            <w:webHidden/>
          </w:rPr>
        </w:r>
        <w:r w:rsidRPr="008C1E5F">
          <w:rPr>
            <w:noProof/>
            <w:webHidden/>
          </w:rPr>
          <w:fldChar w:fldCharType="separate"/>
        </w:r>
        <w:r w:rsidR="00992453" w:rsidRPr="008C1E5F">
          <w:rPr>
            <w:noProof/>
            <w:webHidden/>
          </w:rPr>
          <w:t>15</w:t>
        </w:r>
        <w:r w:rsidRPr="008C1E5F">
          <w:rPr>
            <w:noProof/>
            <w:webHidden/>
          </w:rPr>
          <w:fldChar w:fldCharType="end"/>
        </w:r>
      </w:hyperlink>
    </w:p>
    <w:p w14:paraId="18B8E1FA" w14:textId="0FDFC6D8" w:rsidR="00900CF1" w:rsidRPr="008C1E5F" w:rsidRDefault="00900CF1">
      <w:pPr>
        <w:pStyle w:val="TOC1"/>
        <w:tabs>
          <w:tab w:val="right" w:leader="dot" w:pos="9350"/>
        </w:tabs>
        <w:rPr>
          <w:rFonts w:eastAsiaTheme="minorEastAsia"/>
          <w:noProof/>
        </w:rPr>
      </w:pPr>
      <w:hyperlink w:anchor="_Toc92194264" w:history="1">
        <w:r w:rsidRPr="008C1E5F">
          <w:rPr>
            <w:rStyle w:val="Hyperlink"/>
            <w:noProof/>
          </w:rPr>
          <w:t>Quality of Feedback</w:t>
        </w:r>
        <w:r w:rsidRPr="008C1E5F">
          <w:rPr>
            <w:noProof/>
            <w:webHidden/>
          </w:rPr>
          <w:tab/>
        </w:r>
        <w:r w:rsidR="00992453" w:rsidRPr="008C1E5F">
          <w:rPr>
            <w:noProof/>
            <w:webHidden/>
          </w:rPr>
          <w:t>B-</w:t>
        </w:r>
        <w:r w:rsidRPr="008C1E5F">
          <w:rPr>
            <w:noProof/>
            <w:webHidden/>
          </w:rPr>
          <w:fldChar w:fldCharType="begin"/>
        </w:r>
        <w:r w:rsidRPr="008C1E5F">
          <w:rPr>
            <w:noProof/>
            <w:webHidden/>
          </w:rPr>
          <w:instrText xml:space="preserve"> PAGEREF _Toc92194264 \h </w:instrText>
        </w:r>
        <w:r w:rsidRPr="008C1E5F">
          <w:rPr>
            <w:noProof/>
            <w:webHidden/>
          </w:rPr>
        </w:r>
        <w:r w:rsidRPr="008C1E5F">
          <w:rPr>
            <w:noProof/>
            <w:webHidden/>
          </w:rPr>
          <w:fldChar w:fldCharType="separate"/>
        </w:r>
        <w:r w:rsidR="00992453" w:rsidRPr="008C1E5F">
          <w:rPr>
            <w:noProof/>
            <w:webHidden/>
          </w:rPr>
          <w:t>16</w:t>
        </w:r>
        <w:r w:rsidRPr="008C1E5F">
          <w:rPr>
            <w:noProof/>
            <w:webHidden/>
          </w:rPr>
          <w:fldChar w:fldCharType="end"/>
        </w:r>
      </w:hyperlink>
    </w:p>
    <w:p w14:paraId="07C1FBD5" w14:textId="5634000E" w:rsidR="00900CF1" w:rsidRPr="008C1E5F" w:rsidRDefault="00900CF1">
      <w:pPr>
        <w:pStyle w:val="TOC1"/>
        <w:tabs>
          <w:tab w:val="right" w:leader="dot" w:pos="9350"/>
        </w:tabs>
        <w:rPr>
          <w:rFonts w:eastAsiaTheme="minorEastAsia"/>
          <w:noProof/>
        </w:rPr>
      </w:pPr>
      <w:hyperlink w:anchor="_Toc92194265" w:history="1">
        <w:r w:rsidRPr="008C1E5F">
          <w:rPr>
            <w:rStyle w:val="Hyperlink"/>
            <w:noProof/>
          </w:rPr>
          <w:t>Language Modeling</w:t>
        </w:r>
        <w:r w:rsidRPr="008C1E5F">
          <w:rPr>
            <w:noProof/>
            <w:webHidden/>
          </w:rPr>
          <w:tab/>
        </w:r>
        <w:r w:rsidR="00992453" w:rsidRPr="008C1E5F">
          <w:rPr>
            <w:noProof/>
            <w:webHidden/>
          </w:rPr>
          <w:t>B-</w:t>
        </w:r>
        <w:r w:rsidRPr="008C1E5F">
          <w:rPr>
            <w:noProof/>
            <w:webHidden/>
          </w:rPr>
          <w:fldChar w:fldCharType="begin"/>
        </w:r>
        <w:r w:rsidRPr="008C1E5F">
          <w:rPr>
            <w:noProof/>
            <w:webHidden/>
          </w:rPr>
          <w:instrText xml:space="preserve"> PAGEREF _Toc92194265 \h </w:instrText>
        </w:r>
        <w:r w:rsidRPr="008C1E5F">
          <w:rPr>
            <w:noProof/>
            <w:webHidden/>
          </w:rPr>
        </w:r>
        <w:r w:rsidRPr="008C1E5F">
          <w:rPr>
            <w:noProof/>
            <w:webHidden/>
          </w:rPr>
          <w:fldChar w:fldCharType="separate"/>
        </w:r>
        <w:r w:rsidR="00992453" w:rsidRPr="008C1E5F">
          <w:rPr>
            <w:noProof/>
            <w:webHidden/>
          </w:rPr>
          <w:t>17</w:t>
        </w:r>
        <w:r w:rsidRPr="008C1E5F">
          <w:rPr>
            <w:noProof/>
            <w:webHidden/>
          </w:rPr>
          <w:fldChar w:fldCharType="end"/>
        </w:r>
      </w:hyperlink>
    </w:p>
    <w:p w14:paraId="37E6BCD9" w14:textId="2F0334F8" w:rsidR="00900CF1" w:rsidRPr="008C1E5F" w:rsidRDefault="00900CF1">
      <w:pPr>
        <w:pStyle w:val="TOC1"/>
        <w:tabs>
          <w:tab w:val="right" w:leader="dot" w:pos="9350"/>
        </w:tabs>
        <w:rPr>
          <w:rFonts w:eastAsiaTheme="minorEastAsia"/>
          <w:noProof/>
        </w:rPr>
      </w:pPr>
      <w:hyperlink w:anchor="_Toc92194266" w:history="1">
        <w:r w:rsidRPr="008C1E5F">
          <w:rPr>
            <w:rStyle w:val="Hyperlink"/>
            <w:noProof/>
          </w:rPr>
          <w:t>Instructional Dialogue</w:t>
        </w:r>
        <w:r w:rsidRPr="008C1E5F">
          <w:rPr>
            <w:noProof/>
            <w:webHidden/>
          </w:rPr>
          <w:tab/>
        </w:r>
        <w:r w:rsidR="00992453" w:rsidRPr="008C1E5F">
          <w:rPr>
            <w:noProof/>
            <w:webHidden/>
          </w:rPr>
          <w:t>B-</w:t>
        </w:r>
        <w:r w:rsidRPr="008C1E5F">
          <w:rPr>
            <w:noProof/>
            <w:webHidden/>
          </w:rPr>
          <w:fldChar w:fldCharType="begin"/>
        </w:r>
        <w:r w:rsidRPr="008C1E5F">
          <w:rPr>
            <w:noProof/>
            <w:webHidden/>
          </w:rPr>
          <w:instrText xml:space="preserve"> PAGEREF _Toc92194266 \h </w:instrText>
        </w:r>
        <w:r w:rsidRPr="008C1E5F">
          <w:rPr>
            <w:noProof/>
            <w:webHidden/>
          </w:rPr>
        </w:r>
        <w:r w:rsidRPr="008C1E5F">
          <w:rPr>
            <w:noProof/>
            <w:webHidden/>
          </w:rPr>
          <w:fldChar w:fldCharType="separate"/>
        </w:r>
        <w:r w:rsidR="00992453" w:rsidRPr="008C1E5F">
          <w:rPr>
            <w:noProof/>
            <w:webHidden/>
          </w:rPr>
          <w:t>18</w:t>
        </w:r>
        <w:r w:rsidRPr="008C1E5F">
          <w:rPr>
            <w:noProof/>
            <w:webHidden/>
          </w:rPr>
          <w:fldChar w:fldCharType="end"/>
        </w:r>
      </w:hyperlink>
    </w:p>
    <w:p w14:paraId="29E79997" w14:textId="64D19A17" w:rsidR="00900CF1" w:rsidRPr="008C1E5F" w:rsidRDefault="00900CF1">
      <w:pPr>
        <w:pStyle w:val="TOC1"/>
        <w:tabs>
          <w:tab w:val="right" w:leader="dot" w:pos="9350"/>
        </w:tabs>
        <w:rPr>
          <w:rFonts w:eastAsiaTheme="minorEastAsia"/>
          <w:noProof/>
        </w:rPr>
      </w:pPr>
      <w:hyperlink w:anchor="_Toc92194267" w:history="1">
        <w:r w:rsidRPr="008C1E5F">
          <w:rPr>
            <w:rStyle w:val="Hyperlink"/>
            <w:noProof/>
          </w:rPr>
          <w:t>Student Engagement</w:t>
        </w:r>
        <w:r w:rsidRPr="008C1E5F">
          <w:rPr>
            <w:noProof/>
            <w:webHidden/>
          </w:rPr>
          <w:tab/>
        </w:r>
        <w:r w:rsidR="00992453" w:rsidRPr="008C1E5F">
          <w:rPr>
            <w:noProof/>
            <w:webHidden/>
          </w:rPr>
          <w:t>B-</w:t>
        </w:r>
        <w:r w:rsidRPr="008C1E5F">
          <w:rPr>
            <w:noProof/>
            <w:webHidden/>
          </w:rPr>
          <w:fldChar w:fldCharType="begin"/>
        </w:r>
        <w:r w:rsidRPr="008C1E5F">
          <w:rPr>
            <w:noProof/>
            <w:webHidden/>
          </w:rPr>
          <w:instrText xml:space="preserve"> PAGEREF _Toc92194267 \h </w:instrText>
        </w:r>
        <w:r w:rsidRPr="008C1E5F">
          <w:rPr>
            <w:noProof/>
            <w:webHidden/>
          </w:rPr>
        </w:r>
        <w:r w:rsidRPr="008C1E5F">
          <w:rPr>
            <w:noProof/>
            <w:webHidden/>
          </w:rPr>
          <w:fldChar w:fldCharType="separate"/>
        </w:r>
        <w:r w:rsidR="00992453" w:rsidRPr="008C1E5F">
          <w:rPr>
            <w:noProof/>
            <w:webHidden/>
          </w:rPr>
          <w:t>19</w:t>
        </w:r>
        <w:r w:rsidRPr="008C1E5F">
          <w:rPr>
            <w:noProof/>
            <w:webHidden/>
          </w:rPr>
          <w:fldChar w:fldCharType="end"/>
        </w:r>
      </w:hyperlink>
    </w:p>
    <w:p w14:paraId="34FBF7A5" w14:textId="3F60B0A0" w:rsidR="00900CF1" w:rsidRPr="008C1E5F" w:rsidRDefault="00900CF1">
      <w:pPr>
        <w:pStyle w:val="TOC1"/>
        <w:tabs>
          <w:tab w:val="right" w:leader="dot" w:pos="9350"/>
        </w:tabs>
        <w:rPr>
          <w:rFonts w:eastAsiaTheme="minorEastAsia"/>
          <w:noProof/>
        </w:rPr>
      </w:pPr>
      <w:hyperlink w:anchor="_Toc92194268" w:history="1">
        <w:r w:rsidRPr="008C1E5F">
          <w:rPr>
            <w:rStyle w:val="Hyperlink"/>
            <w:noProof/>
          </w:rPr>
          <w:t>Summary of Average Ratings: Grades K-5</w:t>
        </w:r>
        <w:r w:rsidRPr="008C1E5F">
          <w:rPr>
            <w:noProof/>
            <w:webHidden/>
          </w:rPr>
          <w:tab/>
        </w:r>
        <w:r w:rsidR="00992453" w:rsidRPr="008C1E5F">
          <w:rPr>
            <w:noProof/>
            <w:webHidden/>
          </w:rPr>
          <w:t>B-</w:t>
        </w:r>
        <w:r w:rsidRPr="008C1E5F">
          <w:rPr>
            <w:noProof/>
            <w:webHidden/>
          </w:rPr>
          <w:fldChar w:fldCharType="begin"/>
        </w:r>
        <w:r w:rsidRPr="008C1E5F">
          <w:rPr>
            <w:noProof/>
            <w:webHidden/>
          </w:rPr>
          <w:instrText xml:space="preserve"> PAGEREF _Toc92194268 \h </w:instrText>
        </w:r>
        <w:r w:rsidRPr="008C1E5F">
          <w:rPr>
            <w:noProof/>
            <w:webHidden/>
          </w:rPr>
        </w:r>
        <w:r w:rsidRPr="008C1E5F">
          <w:rPr>
            <w:noProof/>
            <w:webHidden/>
          </w:rPr>
          <w:fldChar w:fldCharType="separate"/>
        </w:r>
        <w:r w:rsidR="00992453" w:rsidRPr="008C1E5F">
          <w:rPr>
            <w:noProof/>
            <w:webHidden/>
          </w:rPr>
          <w:t>20</w:t>
        </w:r>
        <w:r w:rsidRPr="008C1E5F">
          <w:rPr>
            <w:noProof/>
            <w:webHidden/>
          </w:rPr>
          <w:fldChar w:fldCharType="end"/>
        </w:r>
      </w:hyperlink>
    </w:p>
    <w:p w14:paraId="41583ADA" w14:textId="33BEABD1" w:rsidR="00900CF1" w:rsidRPr="008C1E5F" w:rsidRDefault="00900CF1">
      <w:pPr>
        <w:pStyle w:val="TOC1"/>
        <w:tabs>
          <w:tab w:val="right" w:leader="dot" w:pos="9350"/>
        </w:tabs>
        <w:rPr>
          <w:rFonts w:eastAsiaTheme="minorEastAsia"/>
          <w:noProof/>
        </w:rPr>
      </w:pPr>
      <w:hyperlink w:anchor="_Toc92194269" w:history="1">
        <w:r w:rsidRPr="008C1E5F">
          <w:rPr>
            <w:rStyle w:val="Hyperlink"/>
            <w:noProof/>
          </w:rPr>
          <w:t>Summary of Average Ratings: Grades 6-8</w:t>
        </w:r>
        <w:r w:rsidRPr="008C1E5F">
          <w:rPr>
            <w:noProof/>
            <w:webHidden/>
          </w:rPr>
          <w:tab/>
        </w:r>
        <w:r w:rsidR="00992453" w:rsidRPr="008C1E5F">
          <w:rPr>
            <w:noProof/>
            <w:webHidden/>
          </w:rPr>
          <w:t>B-</w:t>
        </w:r>
        <w:r w:rsidRPr="008C1E5F">
          <w:rPr>
            <w:noProof/>
            <w:webHidden/>
          </w:rPr>
          <w:fldChar w:fldCharType="begin"/>
        </w:r>
        <w:r w:rsidRPr="008C1E5F">
          <w:rPr>
            <w:noProof/>
            <w:webHidden/>
          </w:rPr>
          <w:instrText xml:space="preserve"> PAGEREF _Toc92194269 \h </w:instrText>
        </w:r>
        <w:r w:rsidRPr="008C1E5F">
          <w:rPr>
            <w:noProof/>
            <w:webHidden/>
          </w:rPr>
        </w:r>
        <w:r w:rsidRPr="008C1E5F">
          <w:rPr>
            <w:noProof/>
            <w:webHidden/>
          </w:rPr>
          <w:fldChar w:fldCharType="separate"/>
        </w:r>
        <w:r w:rsidR="00992453" w:rsidRPr="008C1E5F">
          <w:rPr>
            <w:noProof/>
            <w:webHidden/>
          </w:rPr>
          <w:t>21</w:t>
        </w:r>
        <w:r w:rsidRPr="008C1E5F">
          <w:rPr>
            <w:noProof/>
            <w:webHidden/>
          </w:rPr>
          <w:fldChar w:fldCharType="end"/>
        </w:r>
      </w:hyperlink>
    </w:p>
    <w:p w14:paraId="70D682BA" w14:textId="0B7D9830" w:rsidR="00900CF1" w:rsidRPr="008C1E5F" w:rsidRDefault="00900CF1">
      <w:pPr>
        <w:pStyle w:val="TOC1"/>
        <w:tabs>
          <w:tab w:val="right" w:leader="dot" w:pos="9350"/>
        </w:tabs>
        <w:rPr>
          <w:rFonts w:eastAsiaTheme="minorEastAsia"/>
          <w:noProof/>
        </w:rPr>
      </w:pPr>
      <w:hyperlink w:anchor="_Toc92194270" w:history="1">
        <w:r w:rsidRPr="008C1E5F">
          <w:rPr>
            <w:rStyle w:val="Hyperlink"/>
            <w:noProof/>
          </w:rPr>
          <w:t>Summary of Average Ratings: Grades 9-12</w:t>
        </w:r>
        <w:r w:rsidRPr="008C1E5F">
          <w:rPr>
            <w:noProof/>
            <w:webHidden/>
          </w:rPr>
          <w:tab/>
        </w:r>
        <w:r w:rsidR="00992453" w:rsidRPr="008C1E5F">
          <w:rPr>
            <w:noProof/>
            <w:webHidden/>
          </w:rPr>
          <w:t>B-</w:t>
        </w:r>
        <w:r w:rsidRPr="008C1E5F">
          <w:rPr>
            <w:noProof/>
            <w:webHidden/>
          </w:rPr>
          <w:fldChar w:fldCharType="begin"/>
        </w:r>
        <w:r w:rsidRPr="008C1E5F">
          <w:rPr>
            <w:noProof/>
            <w:webHidden/>
          </w:rPr>
          <w:instrText xml:space="preserve"> PAGEREF _Toc92194270 \h </w:instrText>
        </w:r>
        <w:r w:rsidRPr="008C1E5F">
          <w:rPr>
            <w:noProof/>
            <w:webHidden/>
          </w:rPr>
        </w:r>
        <w:r w:rsidRPr="008C1E5F">
          <w:rPr>
            <w:noProof/>
            <w:webHidden/>
          </w:rPr>
          <w:fldChar w:fldCharType="separate"/>
        </w:r>
        <w:r w:rsidR="00992453" w:rsidRPr="008C1E5F">
          <w:rPr>
            <w:noProof/>
            <w:webHidden/>
          </w:rPr>
          <w:t>22</w:t>
        </w:r>
        <w:r w:rsidRPr="008C1E5F">
          <w:rPr>
            <w:noProof/>
            <w:webHidden/>
          </w:rPr>
          <w:fldChar w:fldCharType="end"/>
        </w:r>
      </w:hyperlink>
    </w:p>
    <w:p w14:paraId="706208FC" w14:textId="1D9782D3" w:rsidR="00900CF1" w:rsidRPr="008C1E5F" w:rsidRDefault="00900CF1">
      <w:pPr>
        <w:pStyle w:val="TOC1"/>
        <w:tabs>
          <w:tab w:val="right" w:leader="dot" w:pos="9350"/>
        </w:tabs>
        <w:rPr>
          <w:rFonts w:eastAsiaTheme="minorEastAsia"/>
          <w:noProof/>
        </w:rPr>
      </w:pPr>
      <w:hyperlink w:anchor="_Toc92194271" w:history="1">
        <w:r w:rsidRPr="008C1E5F">
          <w:rPr>
            <w:rStyle w:val="Hyperlink"/>
            <w:noProof/>
          </w:rPr>
          <w:t>References</w:t>
        </w:r>
        <w:r w:rsidRPr="008C1E5F">
          <w:rPr>
            <w:noProof/>
            <w:webHidden/>
          </w:rPr>
          <w:tab/>
        </w:r>
        <w:r w:rsidR="00992453" w:rsidRPr="008C1E5F">
          <w:rPr>
            <w:noProof/>
            <w:webHidden/>
          </w:rPr>
          <w:t>B-</w:t>
        </w:r>
        <w:r w:rsidRPr="008C1E5F">
          <w:rPr>
            <w:noProof/>
            <w:webHidden/>
          </w:rPr>
          <w:fldChar w:fldCharType="begin"/>
        </w:r>
        <w:r w:rsidRPr="008C1E5F">
          <w:rPr>
            <w:noProof/>
            <w:webHidden/>
          </w:rPr>
          <w:instrText xml:space="preserve"> PAGEREF _Toc92194271 \h </w:instrText>
        </w:r>
        <w:r w:rsidRPr="008C1E5F">
          <w:rPr>
            <w:noProof/>
            <w:webHidden/>
          </w:rPr>
        </w:r>
        <w:r w:rsidRPr="008C1E5F">
          <w:rPr>
            <w:noProof/>
            <w:webHidden/>
          </w:rPr>
          <w:fldChar w:fldCharType="separate"/>
        </w:r>
        <w:r w:rsidR="00992453" w:rsidRPr="008C1E5F">
          <w:rPr>
            <w:noProof/>
            <w:webHidden/>
          </w:rPr>
          <w:t>23</w:t>
        </w:r>
        <w:r w:rsidRPr="008C1E5F">
          <w:rPr>
            <w:noProof/>
            <w:webHidden/>
          </w:rPr>
          <w:fldChar w:fldCharType="end"/>
        </w:r>
      </w:hyperlink>
    </w:p>
    <w:p w14:paraId="7BFFAFA4" w14:textId="77777777" w:rsidR="00900CF1" w:rsidRPr="008C1E5F" w:rsidRDefault="00900CF1">
      <w:pPr>
        <w:spacing w:after="120"/>
        <w:rPr>
          <w:rFonts w:ascii="Calibri" w:eastAsia="Times New Roman" w:hAnsi="Calibri" w:cs="Calibri"/>
          <w:b/>
          <w:bCs/>
          <w:szCs w:val="20"/>
        </w:rPr>
      </w:pPr>
      <w:r w:rsidRPr="008C1E5F">
        <w:rPr>
          <w:rFonts w:ascii="Calibri" w:eastAsia="Times New Roman" w:hAnsi="Calibri" w:cs="Calibri"/>
          <w:b/>
          <w:bCs/>
          <w:szCs w:val="20"/>
        </w:rPr>
        <w:fldChar w:fldCharType="end"/>
      </w:r>
    </w:p>
    <w:p w14:paraId="1B022FC6" w14:textId="0AA63FF0" w:rsidR="00900CF1" w:rsidRPr="008C1E5F" w:rsidRDefault="00900CF1">
      <w:pPr>
        <w:spacing w:after="160" w:line="259" w:lineRule="auto"/>
        <w:rPr>
          <w:rFonts w:ascii="Calibri" w:eastAsia="Times New Roman" w:hAnsi="Calibri" w:cs="Calibri"/>
          <w:b/>
          <w:bCs/>
          <w:szCs w:val="20"/>
        </w:rPr>
      </w:pPr>
    </w:p>
    <w:p w14:paraId="3DEF88E2" w14:textId="77777777" w:rsidR="00900CF1" w:rsidRPr="008C1E5F" w:rsidRDefault="00900CF1">
      <w:pPr>
        <w:spacing w:after="120"/>
        <w:rPr>
          <w:rFonts w:ascii="Calibri" w:eastAsia="Times New Roman" w:hAnsi="Calibri" w:cs="Calibri"/>
          <w:b/>
          <w:bCs/>
          <w:szCs w:val="20"/>
        </w:rPr>
      </w:pPr>
    </w:p>
    <w:p w14:paraId="29632AA8" w14:textId="77777777" w:rsidR="00900CF1" w:rsidRPr="008C1E5F" w:rsidRDefault="00900CF1">
      <w:pPr>
        <w:spacing w:after="120"/>
        <w:jc w:val="right"/>
        <w:rPr>
          <w:rFonts w:ascii="Calibri" w:eastAsia="Times New Roman" w:hAnsi="Calibri" w:cs="Calibri"/>
          <w:b/>
          <w:bCs/>
          <w:szCs w:val="20"/>
        </w:rPr>
        <w:sectPr w:rsidR="00900CF1" w:rsidRPr="008C1E5F" w:rsidSect="001E1795">
          <w:headerReference w:type="default" r:id="rId40"/>
          <w:footerReference w:type="default" r:id="rId41"/>
          <w:footnotePr>
            <w:numRestart w:val="eachSect"/>
          </w:footnotePr>
          <w:pgSz w:w="12240" w:h="15840"/>
          <w:pgMar w:top="1080" w:right="1440" w:bottom="1080" w:left="1440" w:header="720" w:footer="720" w:gutter="0"/>
          <w:cols w:space="720"/>
          <w:docGrid w:linePitch="360"/>
        </w:sectPr>
      </w:pPr>
    </w:p>
    <w:p w14:paraId="5C683FBA" w14:textId="77777777" w:rsidR="00900CF1" w:rsidRPr="008C1E5F" w:rsidRDefault="00900CF1">
      <w:pPr>
        <w:pStyle w:val="Heading2-SIOR"/>
        <w:pageBreakBefore w:val="0"/>
      </w:pPr>
      <w:bookmarkStart w:id="138" w:name="_Toc411329825"/>
      <w:bookmarkStart w:id="139" w:name="_Toc430114874"/>
      <w:bookmarkStart w:id="140" w:name="_Toc496109989"/>
      <w:bookmarkStart w:id="141" w:name="_Toc92194253"/>
      <w:bookmarkStart w:id="142" w:name="_Toc195024245"/>
      <w:r w:rsidRPr="008C1E5F">
        <w:lastRenderedPageBreak/>
        <w:t>Introduction</w:t>
      </w:r>
      <w:bookmarkEnd w:id="138"/>
      <w:bookmarkEnd w:id="139"/>
      <w:bookmarkEnd w:id="140"/>
      <w:bookmarkEnd w:id="141"/>
      <w:bookmarkEnd w:id="142"/>
    </w:p>
    <w:p w14:paraId="2661B477" w14:textId="77777777" w:rsidR="00900CF1" w:rsidRPr="008C1E5F" w:rsidRDefault="00900CF1">
      <w:pPr>
        <w:pStyle w:val="BodyText"/>
      </w:pPr>
      <w:r w:rsidRPr="008C1E5F">
        <w:t xml:space="preserve">The </w:t>
      </w:r>
      <w:r w:rsidRPr="008C1E5F">
        <w:rPr>
          <w:i/>
        </w:rPr>
        <w:t xml:space="preserve">Districtwide Instructional Observation Report </w:t>
      </w:r>
      <w:r w:rsidRPr="008C1E5F">
        <w:t xml:space="preserve">presents ratings for the classroom observations that were conducted by certified observers at American Institutes for Research (AIR) as part of the Massachusetts District Reviews. </w:t>
      </w:r>
    </w:p>
    <w:p w14:paraId="0D54F04E" w14:textId="77777777" w:rsidR="00900CF1" w:rsidRPr="008C1E5F" w:rsidRDefault="00900CF1">
      <w:pPr>
        <w:pStyle w:val="BodyText"/>
      </w:pPr>
      <w:bookmarkStart w:id="143" w:name="N_Observers1"/>
      <w:r w:rsidRPr="008C1E5F">
        <w:t>Eight</w:t>
      </w:r>
      <w:bookmarkEnd w:id="143"/>
      <w:r w:rsidRPr="008C1E5F">
        <w:t xml:space="preserve"> observers visited </w:t>
      </w:r>
      <w:bookmarkStart w:id="144" w:name="District2"/>
      <w:r w:rsidRPr="008C1E5F">
        <w:t>Fall River</w:t>
      </w:r>
      <w:bookmarkEnd w:id="144"/>
      <w:r w:rsidRPr="008C1E5F">
        <w:t xml:space="preserve"> Public Schools during the week of </w:t>
      </w:r>
      <w:bookmarkStart w:id="145" w:name="Obs_Dates1"/>
      <w:r w:rsidRPr="008C1E5F">
        <w:t>November 18 and November 25, 2024</w:t>
      </w:r>
      <w:bookmarkEnd w:id="145"/>
      <w:r w:rsidRPr="008C1E5F">
        <w:t xml:space="preserve">. Observers conducted </w:t>
      </w:r>
      <w:bookmarkStart w:id="146" w:name="N_Observations1"/>
      <w:r w:rsidRPr="008C1E5F">
        <w:t>192</w:t>
      </w:r>
      <w:bookmarkEnd w:id="146"/>
      <w:r w:rsidRPr="008C1E5F">
        <w:t xml:space="preserve"> observations in a sample of classrooms across </w:t>
      </w:r>
      <w:bookmarkStart w:id="147" w:name="N_SchoolsObserved1"/>
      <w:r w:rsidRPr="008C1E5F">
        <w:t>sixteen</w:t>
      </w:r>
      <w:bookmarkEnd w:id="147"/>
      <w:r w:rsidRPr="008C1E5F">
        <w:t xml:space="preserve"> schools. Observations were conducted in grades K-12 and focused primarily on English language arts and mathematics instruction. </w:t>
      </w:r>
    </w:p>
    <w:p w14:paraId="0E93A739" w14:textId="77777777" w:rsidR="00900CF1" w:rsidRPr="008C1E5F" w:rsidRDefault="00900CF1">
      <w:pPr>
        <w:pStyle w:val="BodyText"/>
      </w:pPr>
      <w:r w:rsidRPr="008C1E5F">
        <w:t>The classroom observations were guided by the Classroom Assessment Scoring System (CLASS), developed by the Center for Advanced Study of Teaching and Learning (CASTL) at the University of Virginia. Three levels of CLASS Manuals were used: K–3, Upper Elementary, and Secondary. The K–3 tool was used to observe grades K–3, the Upper Elementary tool was used to observe grades 4–5, and the Secondary tool was used to observe grades 6–12.</w:t>
      </w:r>
    </w:p>
    <w:p w14:paraId="5182E2BD" w14:textId="77777777" w:rsidR="00900CF1" w:rsidRPr="008C1E5F" w:rsidRDefault="00900CF1">
      <w:pPr>
        <w:pStyle w:val="BodyText"/>
      </w:pPr>
      <w:r w:rsidRPr="008C1E5F">
        <w:t>The K–3 protocol includes 10 classroom dimensions related to three domains: Emotional Support, Classroom Organization, and Instructional Support (listed in Table 1).</w:t>
      </w:r>
    </w:p>
    <w:p w14:paraId="25414CDF" w14:textId="77777777" w:rsidR="00900CF1" w:rsidRPr="008C1E5F" w:rsidRDefault="00900CF1">
      <w:pPr>
        <w:pStyle w:val="TableTitle0"/>
      </w:pPr>
      <w:r w:rsidRPr="008C1E5F">
        <w:t>Table 1. CLASS K–3 Domains and Dimensions</w:t>
      </w:r>
    </w:p>
    <w:tbl>
      <w:tblPr>
        <w:tblStyle w:val="MSVTable1"/>
        <w:tblW w:w="5000" w:type="pct"/>
        <w:jc w:val="center"/>
        <w:tblLook w:val="06A0" w:firstRow="1" w:lastRow="0" w:firstColumn="1" w:lastColumn="0" w:noHBand="1" w:noVBand="1"/>
      </w:tblPr>
      <w:tblGrid>
        <w:gridCol w:w="3114"/>
        <w:gridCol w:w="3115"/>
        <w:gridCol w:w="3115"/>
      </w:tblGrid>
      <w:tr w:rsidR="00900CF1" w:rsidRPr="008C1E5F" w14:paraId="1163DFA4" w14:textId="77777777" w:rsidTr="00992453">
        <w:trPr>
          <w:cnfStyle w:val="100000000000" w:firstRow="1" w:lastRow="0" w:firstColumn="0" w:lastColumn="0" w:oddVBand="0" w:evenVBand="0" w:oddHBand="0" w:evenHBand="0" w:firstRowFirstColumn="0" w:firstRowLastColumn="0" w:lastRowFirstColumn="0" w:lastRowLastColumn="0"/>
          <w:trHeight w:val="278"/>
          <w:jc w:val="center"/>
        </w:trPr>
        <w:tc>
          <w:tcPr>
            <w:tcW w:w="3192" w:type="dxa"/>
          </w:tcPr>
          <w:p w14:paraId="552EC32E" w14:textId="77777777" w:rsidR="00900CF1" w:rsidRPr="008C1E5F" w:rsidRDefault="00900CF1">
            <w:pPr>
              <w:pStyle w:val="TableColHeadingCenter"/>
              <w:rPr>
                <w:rFonts w:eastAsia="MS Mincho"/>
              </w:rPr>
            </w:pPr>
            <w:r w:rsidRPr="008C1E5F">
              <w:rPr>
                <w:rFonts w:eastAsia="MS Mincho"/>
              </w:rPr>
              <w:t>Emotional Support</w:t>
            </w:r>
          </w:p>
        </w:tc>
        <w:tc>
          <w:tcPr>
            <w:tcW w:w="3192" w:type="dxa"/>
          </w:tcPr>
          <w:p w14:paraId="7E029014" w14:textId="77777777" w:rsidR="00900CF1" w:rsidRPr="008C1E5F" w:rsidRDefault="00900CF1">
            <w:pPr>
              <w:pStyle w:val="TableColHeadingCenter"/>
              <w:rPr>
                <w:rFonts w:eastAsia="MS Mincho"/>
              </w:rPr>
            </w:pPr>
            <w:r w:rsidRPr="008C1E5F">
              <w:rPr>
                <w:rFonts w:eastAsia="MS Mincho"/>
              </w:rPr>
              <w:t>Classroom Organization</w:t>
            </w:r>
          </w:p>
        </w:tc>
        <w:tc>
          <w:tcPr>
            <w:tcW w:w="3192" w:type="dxa"/>
          </w:tcPr>
          <w:p w14:paraId="435E3D56" w14:textId="77777777" w:rsidR="00900CF1" w:rsidRPr="008C1E5F" w:rsidRDefault="00900CF1">
            <w:pPr>
              <w:pStyle w:val="TableColHeadingCenter"/>
              <w:rPr>
                <w:rFonts w:eastAsia="MS Mincho"/>
              </w:rPr>
            </w:pPr>
            <w:r w:rsidRPr="008C1E5F">
              <w:rPr>
                <w:rFonts w:eastAsia="MS Mincho"/>
              </w:rPr>
              <w:t>Instructional Support</w:t>
            </w:r>
          </w:p>
        </w:tc>
      </w:tr>
      <w:tr w:rsidR="00900CF1" w:rsidRPr="008C1E5F" w14:paraId="5B612E02" w14:textId="77777777" w:rsidTr="00992453">
        <w:trPr>
          <w:jc w:val="center"/>
        </w:trPr>
        <w:tc>
          <w:tcPr>
            <w:tcW w:w="3192" w:type="dxa"/>
          </w:tcPr>
          <w:p w14:paraId="3F87506C" w14:textId="77777777" w:rsidR="00900CF1" w:rsidRPr="008C1E5F" w:rsidRDefault="00900CF1" w:rsidP="00900CF1">
            <w:pPr>
              <w:pStyle w:val="TableBullet1"/>
              <w:numPr>
                <w:ilvl w:val="0"/>
                <w:numId w:val="7"/>
              </w:numPr>
            </w:pPr>
            <w:r w:rsidRPr="008C1E5F">
              <w:t>Positive Climate</w:t>
            </w:r>
          </w:p>
          <w:p w14:paraId="452521C4" w14:textId="77777777" w:rsidR="00900CF1" w:rsidRPr="008C1E5F" w:rsidRDefault="00900CF1" w:rsidP="00900CF1">
            <w:pPr>
              <w:pStyle w:val="TableBullet1"/>
              <w:numPr>
                <w:ilvl w:val="0"/>
                <w:numId w:val="7"/>
              </w:numPr>
            </w:pPr>
            <w:r w:rsidRPr="008C1E5F">
              <w:t>Negative Climate</w:t>
            </w:r>
          </w:p>
          <w:p w14:paraId="3C8D3093" w14:textId="77777777" w:rsidR="00900CF1" w:rsidRPr="008C1E5F" w:rsidRDefault="00900CF1" w:rsidP="00900CF1">
            <w:pPr>
              <w:pStyle w:val="TableBullet1"/>
              <w:numPr>
                <w:ilvl w:val="0"/>
                <w:numId w:val="7"/>
              </w:numPr>
            </w:pPr>
            <w:r w:rsidRPr="008C1E5F">
              <w:t>Teacher Sensitivity</w:t>
            </w:r>
          </w:p>
          <w:p w14:paraId="0F8D3F1D" w14:textId="77777777" w:rsidR="00900CF1" w:rsidRPr="008C1E5F" w:rsidRDefault="00900CF1" w:rsidP="00900CF1">
            <w:pPr>
              <w:pStyle w:val="TableBullet1"/>
              <w:numPr>
                <w:ilvl w:val="0"/>
                <w:numId w:val="7"/>
              </w:numPr>
            </w:pPr>
            <w:r w:rsidRPr="008C1E5F">
              <w:t>Regard for Student Perspectives</w:t>
            </w:r>
          </w:p>
        </w:tc>
        <w:tc>
          <w:tcPr>
            <w:tcW w:w="3192" w:type="dxa"/>
          </w:tcPr>
          <w:p w14:paraId="38BAE87E" w14:textId="77777777" w:rsidR="00900CF1" w:rsidRPr="008C1E5F" w:rsidRDefault="00900CF1" w:rsidP="00900CF1">
            <w:pPr>
              <w:pStyle w:val="TableBullet1"/>
              <w:numPr>
                <w:ilvl w:val="0"/>
                <w:numId w:val="7"/>
              </w:numPr>
            </w:pPr>
            <w:r w:rsidRPr="008C1E5F">
              <w:t>Behavior Management</w:t>
            </w:r>
          </w:p>
          <w:p w14:paraId="75760303" w14:textId="77777777" w:rsidR="00900CF1" w:rsidRPr="008C1E5F" w:rsidRDefault="00900CF1" w:rsidP="00900CF1">
            <w:pPr>
              <w:pStyle w:val="TableBullet1"/>
              <w:numPr>
                <w:ilvl w:val="0"/>
                <w:numId w:val="7"/>
              </w:numPr>
            </w:pPr>
            <w:r w:rsidRPr="008C1E5F">
              <w:t>Productivity</w:t>
            </w:r>
          </w:p>
          <w:p w14:paraId="4B5E70BE" w14:textId="77777777" w:rsidR="00900CF1" w:rsidRPr="008C1E5F" w:rsidRDefault="00900CF1" w:rsidP="00900CF1">
            <w:pPr>
              <w:pStyle w:val="TableBullet1"/>
              <w:numPr>
                <w:ilvl w:val="0"/>
                <w:numId w:val="7"/>
              </w:numPr>
            </w:pPr>
            <w:r w:rsidRPr="008C1E5F">
              <w:t>Instructional Learning Formats</w:t>
            </w:r>
          </w:p>
        </w:tc>
        <w:tc>
          <w:tcPr>
            <w:tcW w:w="3192" w:type="dxa"/>
          </w:tcPr>
          <w:p w14:paraId="0117FD2C" w14:textId="77777777" w:rsidR="00900CF1" w:rsidRPr="008C1E5F" w:rsidRDefault="00900CF1" w:rsidP="00900CF1">
            <w:pPr>
              <w:pStyle w:val="TableBullet1"/>
              <w:numPr>
                <w:ilvl w:val="0"/>
                <w:numId w:val="7"/>
              </w:numPr>
            </w:pPr>
            <w:r w:rsidRPr="008C1E5F">
              <w:t>Concept Development</w:t>
            </w:r>
          </w:p>
          <w:p w14:paraId="105833CA" w14:textId="77777777" w:rsidR="00900CF1" w:rsidRPr="008C1E5F" w:rsidRDefault="00900CF1" w:rsidP="00900CF1">
            <w:pPr>
              <w:pStyle w:val="TableBullet1"/>
              <w:numPr>
                <w:ilvl w:val="0"/>
                <w:numId w:val="7"/>
              </w:numPr>
            </w:pPr>
            <w:r w:rsidRPr="008C1E5F">
              <w:t>Quality of Feedback</w:t>
            </w:r>
          </w:p>
          <w:p w14:paraId="22C785B5" w14:textId="77777777" w:rsidR="00900CF1" w:rsidRPr="008C1E5F" w:rsidRDefault="00900CF1" w:rsidP="00900CF1">
            <w:pPr>
              <w:pStyle w:val="TableBullet1"/>
              <w:numPr>
                <w:ilvl w:val="0"/>
                <w:numId w:val="7"/>
              </w:numPr>
            </w:pPr>
            <w:r w:rsidRPr="008C1E5F">
              <w:t>Language Modeling</w:t>
            </w:r>
          </w:p>
        </w:tc>
      </w:tr>
    </w:tbl>
    <w:p w14:paraId="3A2EDC3B" w14:textId="77777777" w:rsidR="00900CF1" w:rsidRPr="008C1E5F" w:rsidRDefault="00900CF1">
      <w:pPr>
        <w:pStyle w:val="BodyText"/>
      </w:pPr>
      <w:r w:rsidRPr="008C1E5F">
        <w:t xml:space="preserve">The Upper Elementary and Secondary protocols include 11 classroom dimensions related to three domains: Emotional Support, Classroom Organization, and Instructional Support (listed in Table 2), in addition to Student Engagement. </w:t>
      </w:r>
    </w:p>
    <w:p w14:paraId="32C388F8" w14:textId="77777777" w:rsidR="00900CF1" w:rsidRPr="008C1E5F" w:rsidRDefault="00900CF1">
      <w:pPr>
        <w:pStyle w:val="TableTitle0"/>
      </w:pPr>
      <w:r w:rsidRPr="008C1E5F">
        <w:t>Table 2. CLASS Upper Elementary and Secondary Domains and Dimensions</w:t>
      </w:r>
    </w:p>
    <w:tbl>
      <w:tblPr>
        <w:tblStyle w:val="MSVTable1"/>
        <w:tblW w:w="5000" w:type="pct"/>
        <w:jc w:val="center"/>
        <w:tblLook w:val="06A0" w:firstRow="1" w:lastRow="0" w:firstColumn="1" w:lastColumn="0" w:noHBand="1" w:noVBand="1"/>
      </w:tblPr>
      <w:tblGrid>
        <w:gridCol w:w="3112"/>
        <w:gridCol w:w="3114"/>
        <w:gridCol w:w="3118"/>
      </w:tblGrid>
      <w:tr w:rsidR="00900CF1" w:rsidRPr="008C1E5F" w14:paraId="1DCAE1DA" w14:textId="77777777" w:rsidTr="002B1726">
        <w:trPr>
          <w:cnfStyle w:val="100000000000" w:firstRow="1" w:lastRow="0" w:firstColumn="0" w:lastColumn="0" w:oddVBand="0" w:evenVBand="0" w:oddHBand="0" w:evenHBand="0" w:firstRowFirstColumn="0" w:firstRowLastColumn="0" w:lastRowFirstColumn="0" w:lastRowLastColumn="0"/>
          <w:jc w:val="center"/>
        </w:trPr>
        <w:tc>
          <w:tcPr>
            <w:tcW w:w="3112" w:type="dxa"/>
          </w:tcPr>
          <w:p w14:paraId="126A5B27" w14:textId="77777777" w:rsidR="00900CF1" w:rsidRPr="008C1E5F" w:rsidRDefault="00900CF1">
            <w:pPr>
              <w:pStyle w:val="TableColHeadingCenter"/>
              <w:rPr>
                <w:rFonts w:eastAsia="MS Mincho"/>
              </w:rPr>
            </w:pPr>
            <w:r w:rsidRPr="008C1E5F">
              <w:rPr>
                <w:rFonts w:eastAsia="MS Mincho"/>
              </w:rPr>
              <w:t>Emotional Support</w:t>
            </w:r>
          </w:p>
        </w:tc>
        <w:tc>
          <w:tcPr>
            <w:tcW w:w="3114" w:type="dxa"/>
          </w:tcPr>
          <w:p w14:paraId="15379E78" w14:textId="77777777" w:rsidR="00900CF1" w:rsidRPr="008C1E5F" w:rsidRDefault="00900CF1">
            <w:pPr>
              <w:pStyle w:val="TableColHeadingCenter"/>
              <w:rPr>
                <w:rFonts w:eastAsia="MS Mincho"/>
              </w:rPr>
            </w:pPr>
            <w:r w:rsidRPr="008C1E5F">
              <w:rPr>
                <w:rFonts w:eastAsia="MS Mincho"/>
              </w:rPr>
              <w:t>Classroom Organization</w:t>
            </w:r>
          </w:p>
        </w:tc>
        <w:tc>
          <w:tcPr>
            <w:tcW w:w="3118" w:type="dxa"/>
          </w:tcPr>
          <w:p w14:paraId="11C71705" w14:textId="77777777" w:rsidR="00900CF1" w:rsidRPr="008C1E5F" w:rsidRDefault="00900CF1">
            <w:pPr>
              <w:pStyle w:val="TableColHeadingCenter"/>
              <w:rPr>
                <w:rFonts w:eastAsia="MS Mincho"/>
              </w:rPr>
            </w:pPr>
            <w:r w:rsidRPr="008C1E5F">
              <w:rPr>
                <w:rFonts w:eastAsia="MS Mincho"/>
              </w:rPr>
              <w:t>Instructional Support</w:t>
            </w:r>
          </w:p>
        </w:tc>
      </w:tr>
      <w:tr w:rsidR="00900CF1" w:rsidRPr="008C1E5F" w14:paraId="014C8AA5" w14:textId="77777777" w:rsidTr="002B1726">
        <w:trPr>
          <w:jc w:val="center"/>
        </w:trPr>
        <w:tc>
          <w:tcPr>
            <w:tcW w:w="3112" w:type="dxa"/>
          </w:tcPr>
          <w:p w14:paraId="0B47232B" w14:textId="77777777" w:rsidR="00900CF1" w:rsidRPr="008C1E5F" w:rsidRDefault="00900CF1" w:rsidP="00900CF1">
            <w:pPr>
              <w:pStyle w:val="TableBullet1"/>
              <w:numPr>
                <w:ilvl w:val="0"/>
                <w:numId w:val="7"/>
              </w:numPr>
            </w:pPr>
            <w:r w:rsidRPr="008C1E5F">
              <w:t>Positive Climate</w:t>
            </w:r>
          </w:p>
          <w:p w14:paraId="431CDA39" w14:textId="77777777" w:rsidR="00900CF1" w:rsidRPr="008C1E5F" w:rsidRDefault="00900CF1" w:rsidP="00900CF1">
            <w:pPr>
              <w:pStyle w:val="TableBullet1"/>
              <w:numPr>
                <w:ilvl w:val="0"/>
                <w:numId w:val="7"/>
              </w:numPr>
            </w:pPr>
            <w:r w:rsidRPr="008C1E5F">
              <w:t>Teacher Sensitivity</w:t>
            </w:r>
          </w:p>
          <w:p w14:paraId="44EC9FFD" w14:textId="77777777" w:rsidR="00900CF1" w:rsidRPr="008C1E5F" w:rsidRDefault="00900CF1" w:rsidP="00900CF1">
            <w:pPr>
              <w:pStyle w:val="TableBullet1"/>
              <w:numPr>
                <w:ilvl w:val="0"/>
                <w:numId w:val="7"/>
              </w:numPr>
            </w:pPr>
            <w:r w:rsidRPr="008C1E5F">
              <w:t>Regard for Student Perspectives</w:t>
            </w:r>
          </w:p>
        </w:tc>
        <w:tc>
          <w:tcPr>
            <w:tcW w:w="3114" w:type="dxa"/>
            <w:tcBorders>
              <w:bottom w:val="single" w:sz="6" w:space="0" w:color="2F5496" w:themeColor="accent5" w:themeShade="BF"/>
            </w:tcBorders>
          </w:tcPr>
          <w:p w14:paraId="44C27A3C" w14:textId="77777777" w:rsidR="00900CF1" w:rsidRPr="008C1E5F" w:rsidRDefault="00900CF1" w:rsidP="00900CF1">
            <w:pPr>
              <w:pStyle w:val="TableBullet1"/>
              <w:numPr>
                <w:ilvl w:val="0"/>
                <w:numId w:val="7"/>
              </w:numPr>
              <w:rPr>
                <w:b/>
                <w:bCs/>
                <w:szCs w:val="20"/>
              </w:rPr>
            </w:pPr>
            <w:r w:rsidRPr="008C1E5F">
              <w:t>Behavior Management</w:t>
            </w:r>
          </w:p>
          <w:p w14:paraId="73D83B04" w14:textId="77777777" w:rsidR="00900CF1" w:rsidRPr="008C1E5F" w:rsidRDefault="00900CF1" w:rsidP="00900CF1">
            <w:pPr>
              <w:pStyle w:val="TableBullet1"/>
              <w:numPr>
                <w:ilvl w:val="0"/>
                <w:numId w:val="7"/>
              </w:numPr>
              <w:rPr>
                <w:b/>
                <w:bCs/>
                <w:szCs w:val="20"/>
              </w:rPr>
            </w:pPr>
            <w:r w:rsidRPr="008C1E5F">
              <w:t>Productivity</w:t>
            </w:r>
          </w:p>
          <w:p w14:paraId="495D05E2" w14:textId="77777777" w:rsidR="00900CF1" w:rsidRPr="008C1E5F" w:rsidRDefault="00900CF1" w:rsidP="00900CF1">
            <w:pPr>
              <w:pStyle w:val="TableBullet1"/>
              <w:numPr>
                <w:ilvl w:val="0"/>
                <w:numId w:val="7"/>
              </w:numPr>
            </w:pPr>
            <w:r w:rsidRPr="008C1E5F">
              <w:t>Negative Climate</w:t>
            </w:r>
          </w:p>
        </w:tc>
        <w:tc>
          <w:tcPr>
            <w:tcW w:w="3118" w:type="dxa"/>
          </w:tcPr>
          <w:p w14:paraId="10B78BA4" w14:textId="77777777" w:rsidR="00900CF1" w:rsidRPr="008C1E5F" w:rsidRDefault="00900CF1" w:rsidP="00900CF1">
            <w:pPr>
              <w:pStyle w:val="TableBullet1"/>
              <w:numPr>
                <w:ilvl w:val="0"/>
                <w:numId w:val="7"/>
              </w:numPr>
              <w:rPr>
                <w:b/>
                <w:bCs/>
                <w:szCs w:val="20"/>
              </w:rPr>
            </w:pPr>
            <w:r w:rsidRPr="008C1E5F">
              <w:t xml:space="preserve">Instructional Learning Formats </w:t>
            </w:r>
          </w:p>
          <w:p w14:paraId="6C74D291" w14:textId="77777777" w:rsidR="00900CF1" w:rsidRPr="008C1E5F" w:rsidRDefault="00900CF1" w:rsidP="00900CF1">
            <w:pPr>
              <w:pStyle w:val="TableBullet1"/>
              <w:numPr>
                <w:ilvl w:val="0"/>
                <w:numId w:val="7"/>
              </w:numPr>
              <w:rPr>
                <w:b/>
                <w:bCs/>
                <w:szCs w:val="20"/>
              </w:rPr>
            </w:pPr>
            <w:r w:rsidRPr="008C1E5F">
              <w:t>Content Understanding</w:t>
            </w:r>
          </w:p>
          <w:p w14:paraId="58BEE329" w14:textId="77777777" w:rsidR="00900CF1" w:rsidRPr="008C1E5F" w:rsidRDefault="00900CF1" w:rsidP="00900CF1">
            <w:pPr>
              <w:pStyle w:val="TableBullet1"/>
              <w:numPr>
                <w:ilvl w:val="0"/>
                <w:numId w:val="7"/>
              </w:numPr>
              <w:rPr>
                <w:b/>
                <w:bCs/>
                <w:szCs w:val="20"/>
              </w:rPr>
            </w:pPr>
            <w:r w:rsidRPr="008C1E5F">
              <w:t>Analysis and Inquiry</w:t>
            </w:r>
          </w:p>
          <w:p w14:paraId="2E1D77AF" w14:textId="77777777" w:rsidR="00900CF1" w:rsidRPr="008C1E5F" w:rsidRDefault="00900CF1" w:rsidP="00900CF1">
            <w:pPr>
              <w:pStyle w:val="TableBullet1"/>
              <w:numPr>
                <w:ilvl w:val="0"/>
                <w:numId w:val="7"/>
              </w:numPr>
              <w:rPr>
                <w:b/>
                <w:bCs/>
                <w:szCs w:val="20"/>
              </w:rPr>
            </w:pPr>
            <w:r w:rsidRPr="008C1E5F">
              <w:t>Quality of Feedback</w:t>
            </w:r>
          </w:p>
          <w:p w14:paraId="3B853B9B" w14:textId="77777777" w:rsidR="00900CF1" w:rsidRPr="008C1E5F" w:rsidRDefault="00900CF1" w:rsidP="00900CF1">
            <w:pPr>
              <w:pStyle w:val="TableBullet1"/>
              <w:numPr>
                <w:ilvl w:val="0"/>
                <w:numId w:val="7"/>
              </w:numPr>
              <w:rPr>
                <w:b/>
                <w:bCs/>
                <w:szCs w:val="20"/>
              </w:rPr>
            </w:pPr>
            <w:r w:rsidRPr="008C1E5F">
              <w:t>Instructional Dialogue</w:t>
            </w:r>
          </w:p>
        </w:tc>
      </w:tr>
      <w:tr w:rsidR="002B1726" w:rsidRPr="008C1E5F" w14:paraId="0295F0C8" w14:textId="77777777" w:rsidTr="002B1726">
        <w:trPr>
          <w:jc w:val="center"/>
        </w:trPr>
        <w:tc>
          <w:tcPr>
            <w:tcW w:w="3112" w:type="dxa"/>
            <w:tcBorders>
              <w:right w:val="nil"/>
            </w:tcBorders>
            <w:shd w:val="clear" w:color="auto" w:fill="D9E2F3" w:themeFill="accent5" w:themeFillTint="33"/>
          </w:tcPr>
          <w:p w14:paraId="48A5BB9B" w14:textId="2D9A151A" w:rsidR="002B1726" w:rsidRPr="008C1E5F" w:rsidRDefault="002B1726" w:rsidP="002B1726">
            <w:pPr>
              <w:pStyle w:val="TableSubheadingCentered"/>
            </w:pPr>
          </w:p>
        </w:tc>
        <w:tc>
          <w:tcPr>
            <w:tcW w:w="3114" w:type="dxa"/>
            <w:tcBorders>
              <w:left w:val="nil"/>
              <w:right w:val="nil"/>
            </w:tcBorders>
            <w:shd w:val="clear" w:color="auto" w:fill="D9E2F3" w:themeFill="accent5" w:themeFillTint="33"/>
          </w:tcPr>
          <w:p w14:paraId="191AF24B" w14:textId="0709A141" w:rsidR="002B1726" w:rsidRPr="008C1E5F" w:rsidRDefault="002B1726" w:rsidP="002B1726">
            <w:pPr>
              <w:pStyle w:val="TableSubheadingCentered"/>
            </w:pPr>
            <w:r w:rsidRPr="008C1E5F">
              <w:t>Student Engagement</w:t>
            </w:r>
          </w:p>
        </w:tc>
        <w:tc>
          <w:tcPr>
            <w:tcW w:w="3118" w:type="dxa"/>
            <w:tcBorders>
              <w:left w:val="nil"/>
            </w:tcBorders>
            <w:shd w:val="clear" w:color="auto" w:fill="D9E2F3" w:themeFill="accent5" w:themeFillTint="33"/>
          </w:tcPr>
          <w:p w14:paraId="706F8D8B" w14:textId="2879184B" w:rsidR="002B1726" w:rsidRPr="008C1E5F" w:rsidRDefault="002B1726" w:rsidP="002B1726">
            <w:pPr>
              <w:pStyle w:val="TableSubheadingCentered"/>
            </w:pPr>
          </w:p>
        </w:tc>
      </w:tr>
    </w:tbl>
    <w:p w14:paraId="4D42DB3B" w14:textId="77777777" w:rsidR="00900CF1" w:rsidRPr="008C1E5F" w:rsidRDefault="00900CF1">
      <w:pPr>
        <w:pStyle w:val="BodyText"/>
      </w:pPr>
      <w:bookmarkStart w:id="148" w:name="_Toc411329826"/>
      <w:bookmarkStart w:id="149" w:name="_Toc430114875"/>
      <w:bookmarkStart w:id="150" w:name="_Toc496109990"/>
      <w:r w:rsidRPr="008C1E5F">
        <w:t xml:space="preserve">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w:t>
      </w:r>
      <w:r w:rsidRPr="008C1E5F">
        <w:lastRenderedPageBreak/>
        <w:t xml:space="preserve">unresponsive to or dismissive of students, or was ineffective at addressing students’ problems; as a 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18E15795" w14:textId="77777777" w:rsidR="00900CF1" w:rsidRPr="008C1E5F" w:rsidRDefault="00900CF1">
      <w:pPr>
        <w:pStyle w:val="BodyText"/>
      </w:pPr>
      <w:r w:rsidRPr="008C1E5F">
        <w:t>Members of the observation team who visited the classrooms all received training on the CLASS protocol and then passed a rigorous certification exam for each CLASS protocol to ensure that they were able to accurately rate the dimensions. All observers must pass an exam annually to maintain their certification.</w:t>
      </w:r>
    </w:p>
    <w:p w14:paraId="17E99DE3" w14:textId="77777777" w:rsidR="00900CF1" w:rsidRPr="008C1E5F" w:rsidRDefault="00900CF1">
      <w:pPr>
        <w:pStyle w:val="BodyText"/>
        <w:rPr>
          <w:spacing w:val="-2"/>
        </w:rPr>
      </w:pPr>
      <w:r w:rsidRPr="008C1E5F">
        <w:rPr>
          <w:spacing w:val="-2"/>
        </w:rPr>
        <w:t>Research on CLASS protocol shows that students in classrooms that rated high using this observation tool have greater gains in social skills and academic success than students in classrooms with lower ratings (MET Project, 2010; CASTL, n.d.). Furthermore, small improvements on these domains can affect student outcomes: “The ability to demonstrate even small changes in effective interactions has practical implications—differences in just over 1 point on the CLASS 7-point scale translate into improved achievement and social skill development for students” (CASTL, n.d., p. 3).</w:t>
      </w:r>
    </w:p>
    <w:p w14:paraId="785ACE20" w14:textId="77777777" w:rsidR="00900CF1" w:rsidRPr="008C1E5F" w:rsidRDefault="00900CF1">
      <w:pPr>
        <w:pStyle w:val="BodyText"/>
      </w:pPr>
      <w:r w:rsidRPr="008C1E5F">
        <w:t xml:space="preserve">In this report, each CLASS dimension is defined, and descriptions of the dimensions at the high (6 or 7), middle (3, 4, or 5), and low levels (1 or 2) are presented </w:t>
      </w:r>
      <w:r w:rsidRPr="008C1E5F">
        <w:rPr>
          <w:i/>
        </w:rPr>
        <w:t>(definitions and rating descriptions are derived from the CLASS K–3</w:t>
      </w:r>
      <w:r w:rsidRPr="008C1E5F">
        <w:t>,</w:t>
      </w:r>
      <w:r w:rsidRPr="008C1E5F">
        <w:rPr>
          <w:i/>
        </w:rPr>
        <w:t xml:space="preserve"> Upper Elementary, and Secondary Manuals).</w:t>
      </w:r>
      <w:r w:rsidRPr="008C1E5F">
        <w:t xml:space="preserve"> For each dimension we indicate the frequency of classroom observations across the ratings and provide a districtwide average of the observed classrooms. In cases where a dimension is included in more than one CLASS manual level, those results are combined on the dimension-specific pages. In the summary of ratings table following the dimension-specific pages the averages for every dimension are presented by grade band (K-5, 6-8, and 9-12). For each dimension, we indicate the grade levels for which this dimension is included.</w:t>
      </w:r>
    </w:p>
    <w:p w14:paraId="4EA29876" w14:textId="77777777" w:rsidR="00900CF1" w:rsidRPr="008C1E5F" w:rsidRDefault="00900CF1">
      <w:pPr>
        <w:pStyle w:val="Heading2-SIOR"/>
      </w:pPr>
      <w:bookmarkStart w:id="151" w:name="_Toc92194254"/>
      <w:bookmarkStart w:id="152" w:name="_Toc195024246"/>
      <w:bookmarkStart w:id="153" w:name="_Hlk92190807"/>
      <w:r w:rsidRPr="008C1E5F">
        <w:lastRenderedPageBreak/>
        <w:t>Positive Climate</w:t>
      </w:r>
      <w:bookmarkEnd w:id="148"/>
      <w:bookmarkEnd w:id="149"/>
      <w:bookmarkEnd w:id="150"/>
      <w:bookmarkEnd w:id="151"/>
      <w:bookmarkEnd w:id="152"/>
    </w:p>
    <w:p w14:paraId="4EBFC401" w14:textId="77777777" w:rsidR="00900CF1" w:rsidRPr="008C1E5F" w:rsidRDefault="00900CF1">
      <w:pPr>
        <w:pStyle w:val="BodyTextDomain"/>
      </w:pPr>
      <w:r w:rsidRPr="008C1E5F">
        <w:t>Emotional Support domain, Grades K−12</w:t>
      </w:r>
    </w:p>
    <w:p w14:paraId="2DCF2BBD" w14:textId="77777777" w:rsidR="00900CF1" w:rsidRPr="008C1E5F" w:rsidRDefault="00900CF1">
      <w:pPr>
        <w:pStyle w:val="BodyText"/>
      </w:pPr>
      <w:r w:rsidRPr="008C1E5F">
        <w:t>Positive Climate reflects the emotional connection between the teacher and students and among students and the warmth, respect, and enjoyment communicated by verbal and nonverbal interactions (</w:t>
      </w:r>
      <w:r w:rsidRPr="008C1E5F">
        <w:rPr>
          <w:i/>
        </w:rPr>
        <w:t>CLASS K–3 Manual</w:t>
      </w:r>
      <w:r w:rsidRPr="008C1E5F">
        <w:t xml:space="preserve">, p. 23, </w:t>
      </w:r>
      <w:r w:rsidRPr="008C1E5F">
        <w:rPr>
          <w:i/>
        </w:rPr>
        <w:t xml:space="preserve">CLASS Upper Elementary Manual, </w:t>
      </w:r>
      <w:r w:rsidRPr="008C1E5F">
        <w:t xml:space="preserve">p. 21, </w:t>
      </w:r>
      <w:r w:rsidRPr="008C1E5F">
        <w:rPr>
          <w:i/>
        </w:rPr>
        <w:t>CLASS Secondary Manual</w:t>
      </w:r>
      <w:r w:rsidRPr="008C1E5F">
        <w:t>, p. 21). Table 3 (as well as tables for the remaining dimensions) includes the number of classrooms for each rating on each dimension and the district average for that dimension.</w:t>
      </w:r>
    </w:p>
    <w:p w14:paraId="7FCDAF2C" w14:textId="77777777" w:rsidR="00900CF1" w:rsidRPr="008C1E5F" w:rsidRDefault="00900CF1">
      <w:pPr>
        <w:pStyle w:val="TableTitle0"/>
      </w:pPr>
      <w:r w:rsidRPr="008C1E5F">
        <w:t>Table 3. Positive Climate: Number of Classrooms for Each Rating and District Average</w:t>
      </w:r>
    </w:p>
    <w:p w14:paraId="10C6300F" w14:textId="77777777" w:rsidR="00900CF1" w:rsidRPr="008C1E5F" w:rsidRDefault="00900CF1">
      <w:pPr>
        <w:pStyle w:val="BodyTextDemi"/>
      </w:pPr>
      <w:r w:rsidRPr="008C1E5F">
        <w:t xml:space="preserve">Positive Climate District Average*: </w:t>
      </w:r>
      <w:bookmarkStart w:id="154" w:name="Dist_PC_Avg"/>
      <w:r w:rsidRPr="008C1E5F">
        <w:t>4.7</w:t>
      </w:r>
      <w:bookmarkEnd w:id="154"/>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63774E" w:rsidRPr="008C1E5F" w14:paraId="3BCCC08C" w14:textId="77777777">
        <w:trPr>
          <w:cnfStyle w:val="100000000000" w:firstRow="1" w:lastRow="0" w:firstColumn="0" w:lastColumn="0" w:oddVBand="0" w:evenVBand="0" w:oddHBand="0" w:evenHBand="0" w:firstRowFirstColumn="0" w:firstRowLastColumn="0" w:lastRowFirstColumn="0" w:lastRowLastColumn="0"/>
          <w:jc w:val="center"/>
        </w:trPr>
        <w:tc>
          <w:tcPr>
            <w:tcW w:w="1431" w:type="dxa"/>
          </w:tcPr>
          <w:p w14:paraId="1E2E79B5" w14:textId="6924F00F" w:rsidR="0063774E" w:rsidRPr="008C1E5F" w:rsidRDefault="0063774E" w:rsidP="0063774E">
            <w:pPr>
              <w:pStyle w:val="TableColHeadingCenter"/>
              <w:rPr>
                <w:rFonts w:eastAsia="MS Mincho"/>
              </w:rPr>
            </w:pPr>
            <w:bookmarkStart w:id="155" w:name="Tbl_PC"/>
            <w:r w:rsidRPr="008C1E5F">
              <w:rPr>
                <w:rFonts w:eastAsia="MS Mincho"/>
              </w:rPr>
              <w:t>Grade Band</w:t>
            </w:r>
          </w:p>
        </w:tc>
        <w:tc>
          <w:tcPr>
            <w:tcW w:w="874" w:type="dxa"/>
          </w:tcPr>
          <w:p w14:paraId="4E99A491" w14:textId="77777777" w:rsidR="0063774E" w:rsidRPr="008C1E5F" w:rsidRDefault="0063774E" w:rsidP="0063774E">
            <w:pPr>
              <w:pStyle w:val="TableColHeadingCenter"/>
              <w:rPr>
                <w:rFonts w:eastAsia="MS Mincho"/>
              </w:rPr>
            </w:pPr>
            <w:r w:rsidRPr="008C1E5F">
              <w:rPr>
                <w:rFonts w:eastAsia="MS Mincho"/>
              </w:rPr>
              <w:t>Low Range</w:t>
            </w:r>
          </w:p>
        </w:tc>
        <w:tc>
          <w:tcPr>
            <w:tcW w:w="874" w:type="dxa"/>
          </w:tcPr>
          <w:p w14:paraId="77FFC874" w14:textId="0937AEC8" w:rsidR="0063774E" w:rsidRPr="008C1E5F" w:rsidRDefault="0063774E" w:rsidP="0063774E">
            <w:pPr>
              <w:pStyle w:val="TableColHeadingCenter"/>
              <w:rPr>
                <w:rFonts w:eastAsia="MS Mincho"/>
              </w:rPr>
            </w:pPr>
            <w:r w:rsidRPr="008C1E5F">
              <w:rPr>
                <w:rFonts w:eastAsia="MS Mincho"/>
              </w:rPr>
              <w:t>Low Range</w:t>
            </w:r>
          </w:p>
        </w:tc>
        <w:tc>
          <w:tcPr>
            <w:tcW w:w="874" w:type="dxa"/>
          </w:tcPr>
          <w:p w14:paraId="60C966DB" w14:textId="77777777" w:rsidR="0063774E" w:rsidRPr="008C1E5F" w:rsidRDefault="0063774E" w:rsidP="0063774E">
            <w:pPr>
              <w:pStyle w:val="TableColHeadingCenter"/>
              <w:rPr>
                <w:rFonts w:eastAsia="MS Mincho"/>
              </w:rPr>
            </w:pPr>
            <w:r w:rsidRPr="008C1E5F">
              <w:rPr>
                <w:rFonts w:eastAsia="MS Mincho"/>
              </w:rPr>
              <w:t>Middle Range</w:t>
            </w:r>
          </w:p>
        </w:tc>
        <w:tc>
          <w:tcPr>
            <w:tcW w:w="875" w:type="dxa"/>
          </w:tcPr>
          <w:p w14:paraId="297BCCCE" w14:textId="07A75994" w:rsidR="0063774E" w:rsidRPr="008C1E5F" w:rsidRDefault="0063774E" w:rsidP="0063774E">
            <w:pPr>
              <w:pStyle w:val="TableColHeadingCenter"/>
              <w:rPr>
                <w:rFonts w:eastAsia="MS Mincho"/>
              </w:rPr>
            </w:pPr>
            <w:r w:rsidRPr="008C1E5F">
              <w:rPr>
                <w:rFonts w:eastAsia="MS Mincho"/>
              </w:rPr>
              <w:t>Middle Range</w:t>
            </w:r>
          </w:p>
        </w:tc>
        <w:tc>
          <w:tcPr>
            <w:tcW w:w="875" w:type="dxa"/>
          </w:tcPr>
          <w:p w14:paraId="2AB9F0B8" w14:textId="218BCF6A" w:rsidR="0063774E" w:rsidRPr="008C1E5F" w:rsidRDefault="0063774E" w:rsidP="0063774E">
            <w:pPr>
              <w:pStyle w:val="TableColHeadingCenter"/>
              <w:rPr>
                <w:rFonts w:eastAsia="MS Mincho"/>
              </w:rPr>
            </w:pPr>
            <w:r w:rsidRPr="008C1E5F">
              <w:rPr>
                <w:rFonts w:eastAsia="MS Mincho"/>
              </w:rPr>
              <w:t>Middle Range</w:t>
            </w:r>
          </w:p>
        </w:tc>
        <w:tc>
          <w:tcPr>
            <w:tcW w:w="874" w:type="dxa"/>
          </w:tcPr>
          <w:p w14:paraId="6420DA47" w14:textId="77777777" w:rsidR="0063774E" w:rsidRPr="008C1E5F" w:rsidRDefault="0063774E" w:rsidP="0063774E">
            <w:pPr>
              <w:pStyle w:val="TableColHeadingCenter"/>
              <w:rPr>
                <w:rFonts w:eastAsia="MS Mincho"/>
              </w:rPr>
            </w:pPr>
            <w:r w:rsidRPr="008C1E5F">
              <w:rPr>
                <w:rFonts w:eastAsia="MS Mincho"/>
              </w:rPr>
              <w:t>High Range</w:t>
            </w:r>
          </w:p>
        </w:tc>
        <w:tc>
          <w:tcPr>
            <w:tcW w:w="875" w:type="dxa"/>
          </w:tcPr>
          <w:p w14:paraId="3A548FF2" w14:textId="4CFF6977" w:rsidR="0063774E" w:rsidRPr="008C1E5F" w:rsidRDefault="0063774E" w:rsidP="0063774E">
            <w:pPr>
              <w:pStyle w:val="TableColHeadingCenter"/>
              <w:rPr>
                <w:rFonts w:eastAsia="MS Mincho"/>
              </w:rPr>
            </w:pPr>
            <w:r w:rsidRPr="008C1E5F">
              <w:rPr>
                <w:rFonts w:eastAsia="MS Mincho"/>
              </w:rPr>
              <w:t>High Range</w:t>
            </w:r>
          </w:p>
        </w:tc>
        <w:tc>
          <w:tcPr>
            <w:tcW w:w="900" w:type="dxa"/>
          </w:tcPr>
          <w:p w14:paraId="59230D3B" w14:textId="77777777" w:rsidR="0063774E" w:rsidRPr="008C1E5F" w:rsidRDefault="0063774E" w:rsidP="0063774E">
            <w:pPr>
              <w:pStyle w:val="TableColHeadingCenter"/>
              <w:rPr>
                <w:rFonts w:eastAsia="MS Mincho"/>
                <w:i/>
                <w:iCs/>
              </w:rPr>
            </w:pPr>
            <w:r w:rsidRPr="008C1E5F">
              <w:rPr>
                <w:rFonts w:eastAsia="MS Mincho"/>
                <w:i/>
                <w:iCs/>
              </w:rPr>
              <w:t>n</w:t>
            </w:r>
          </w:p>
        </w:tc>
        <w:tc>
          <w:tcPr>
            <w:tcW w:w="892" w:type="dxa"/>
          </w:tcPr>
          <w:p w14:paraId="30BF73DD" w14:textId="77777777" w:rsidR="0063774E" w:rsidRPr="008C1E5F" w:rsidRDefault="0063774E" w:rsidP="0063774E">
            <w:pPr>
              <w:pStyle w:val="TableColHeadingCenter"/>
              <w:rPr>
                <w:rFonts w:eastAsia="MS Mincho"/>
              </w:rPr>
            </w:pPr>
            <w:r w:rsidRPr="008C1E5F">
              <w:rPr>
                <w:rFonts w:eastAsia="MS Mincho"/>
              </w:rPr>
              <w:t>Average</w:t>
            </w:r>
          </w:p>
        </w:tc>
      </w:tr>
      <w:tr w:rsidR="0063774E" w:rsidRPr="008C1E5F" w14:paraId="13047BE1" w14:textId="77777777" w:rsidTr="0063774E">
        <w:trPr>
          <w:jc w:val="center"/>
        </w:trPr>
        <w:tc>
          <w:tcPr>
            <w:tcW w:w="1431" w:type="dxa"/>
            <w:shd w:val="clear" w:color="auto" w:fill="D9E2F3" w:themeFill="accent5" w:themeFillTint="33"/>
          </w:tcPr>
          <w:p w14:paraId="39039DD7" w14:textId="77777777" w:rsidR="0063774E" w:rsidRPr="008C1E5F" w:rsidRDefault="0063774E" w:rsidP="0063774E">
            <w:pPr>
              <w:pStyle w:val="TableSubheadingCentered"/>
            </w:pPr>
          </w:p>
        </w:tc>
        <w:tc>
          <w:tcPr>
            <w:tcW w:w="874" w:type="dxa"/>
            <w:shd w:val="clear" w:color="auto" w:fill="D9E2F3" w:themeFill="accent5" w:themeFillTint="33"/>
          </w:tcPr>
          <w:p w14:paraId="5ACB18EC" w14:textId="77777777" w:rsidR="0063774E" w:rsidRPr="008C1E5F" w:rsidRDefault="0063774E" w:rsidP="0063774E">
            <w:pPr>
              <w:pStyle w:val="TableSubheadingCentered"/>
            </w:pPr>
            <w:r w:rsidRPr="008C1E5F">
              <w:t>1</w:t>
            </w:r>
          </w:p>
        </w:tc>
        <w:tc>
          <w:tcPr>
            <w:tcW w:w="874" w:type="dxa"/>
            <w:shd w:val="clear" w:color="auto" w:fill="D9E2F3" w:themeFill="accent5" w:themeFillTint="33"/>
          </w:tcPr>
          <w:p w14:paraId="3C87EB14" w14:textId="77777777" w:rsidR="0063774E" w:rsidRPr="008C1E5F" w:rsidRDefault="0063774E" w:rsidP="0063774E">
            <w:pPr>
              <w:pStyle w:val="TableSubheadingCentered"/>
            </w:pPr>
            <w:r w:rsidRPr="008C1E5F">
              <w:t>2</w:t>
            </w:r>
          </w:p>
        </w:tc>
        <w:tc>
          <w:tcPr>
            <w:tcW w:w="874" w:type="dxa"/>
            <w:shd w:val="clear" w:color="auto" w:fill="D9E2F3" w:themeFill="accent5" w:themeFillTint="33"/>
          </w:tcPr>
          <w:p w14:paraId="455233D5" w14:textId="77777777" w:rsidR="0063774E" w:rsidRPr="008C1E5F" w:rsidRDefault="0063774E" w:rsidP="0063774E">
            <w:pPr>
              <w:pStyle w:val="TableSubheadingCentered"/>
            </w:pPr>
            <w:r w:rsidRPr="008C1E5F">
              <w:t>3</w:t>
            </w:r>
          </w:p>
        </w:tc>
        <w:tc>
          <w:tcPr>
            <w:tcW w:w="875" w:type="dxa"/>
            <w:shd w:val="clear" w:color="auto" w:fill="D9E2F3" w:themeFill="accent5" w:themeFillTint="33"/>
          </w:tcPr>
          <w:p w14:paraId="7D9B5CD9" w14:textId="77777777" w:rsidR="0063774E" w:rsidRPr="008C1E5F" w:rsidRDefault="0063774E" w:rsidP="0063774E">
            <w:pPr>
              <w:pStyle w:val="TableSubheadingCentered"/>
            </w:pPr>
            <w:r w:rsidRPr="008C1E5F">
              <w:t>4</w:t>
            </w:r>
          </w:p>
        </w:tc>
        <w:tc>
          <w:tcPr>
            <w:tcW w:w="875" w:type="dxa"/>
            <w:shd w:val="clear" w:color="auto" w:fill="D9E2F3" w:themeFill="accent5" w:themeFillTint="33"/>
          </w:tcPr>
          <w:p w14:paraId="4C45F54E" w14:textId="77777777" w:rsidR="0063774E" w:rsidRPr="008C1E5F" w:rsidRDefault="0063774E" w:rsidP="0063774E">
            <w:pPr>
              <w:pStyle w:val="TableSubheadingCentered"/>
            </w:pPr>
            <w:r w:rsidRPr="008C1E5F">
              <w:t>5</w:t>
            </w:r>
          </w:p>
        </w:tc>
        <w:tc>
          <w:tcPr>
            <w:tcW w:w="874" w:type="dxa"/>
            <w:shd w:val="clear" w:color="auto" w:fill="D9E2F3" w:themeFill="accent5" w:themeFillTint="33"/>
          </w:tcPr>
          <w:p w14:paraId="32E09092" w14:textId="77777777" w:rsidR="0063774E" w:rsidRPr="008C1E5F" w:rsidRDefault="0063774E" w:rsidP="0063774E">
            <w:pPr>
              <w:pStyle w:val="TableSubheadingCentered"/>
            </w:pPr>
            <w:r w:rsidRPr="008C1E5F">
              <w:t>6</w:t>
            </w:r>
          </w:p>
        </w:tc>
        <w:tc>
          <w:tcPr>
            <w:tcW w:w="875" w:type="dxa"/>
            <w:shd w:val="clear" w:color="auto" w:fill="D9E2F3" w:themeFill="accent5" w:themeFillTint="33"/>
          </w:tcPr>
          <w:p w14:paraId="6C1705B5" w14:textId="77777777" w:rsidR="0063774E" w:rsidRPr="008C1E5F" w:rsidRDefault="0063774E" w:rsidP="0063774E">
            <w:pPr>
              <w:pStyle w:val="TableSubheadingCentered"/>
            </w:pPr>
            <w:r w:rsidRPr="008C1E5F">
              <w:t>7</w:t>
            </w:r>
          </w:p>
        </w:tc>
        <w:tc>
          <w:tcPr>
            <w:tcW w:w="900" w:type="dxa"/>
            <w:shd w:val="clear" w:color="auto" w:fill="D9E2F3" w:themeFill="accent5" w:themeFillTint="33"/>
          </w:tcPr>
          <w:p w14:paraId="4A42D455" w14:textId="77777777" w:rsidR="0063774E" w:rsidRPr="008C1E5F" w:rsidRDefault="0063774E" w:rsidP="0063774E">
            <w:pPr>
              <w:pStyle w:val="TableSubheadingCentered"/>
            </w:pPr>
            <w:r w:rsidRPr="008C1E5F">
              <w:t>190</w:t>
            </w:r>
          </w:p>
        </w:tc>
        <w:tc>
          <w:tcPr>
            <w:tcW w:w="892" w:type="dxa"/>
            <w:shd w:val="clear" w:color="auto" w:fill="D9E2F3" w:themeFill="accent5" w:themeFillTint="33"/>
          </w:tcPr>
          <w:p w14:paraId="00D8AA28" w14:textId="77777777" w:rsidR="0063774E" w:rsidRPr="008C1E5F" w:rsidRDefault="0063774E" w:rsidP="0063774E">
            <w:pPr>
              <w:pStyle w:val="TableSubheadingCentered"/>
            </w:pPr>
            <w:r w:rsidRPr="008C1E5F">
              <w:t>4.7</w:t>
            </w:r>
          </w:p>
        </w:tc>
      </w:tr>
      <w:tr w:rsidR="0063774E" w:rsidRPr="008C1E5F" w14:paraId="46FF2C0A" w14:textId="77777777" w:rsidTr="0063774E">
        <w:trPr>
          <w:jc w:val="center"/>
        </w:trPr>
        <w:tc>
          <w:tcPr>
            <w:tcW w:w="1431" w:type="dxa"/>
          </w:tcPr>
          <w:p w14:paraId="2E1114D2" w14:textId="77777777" w:rsidR="0063774E" w:rsidRPr="008C1E5F" w:rsidRDefault="0063774E" w:rsidP="0063774E">
            <w:pPr>
              <w:pStyle w:val="TableText"/>
            </w:pPr>
            <w:r w:rsidRPr="008C1E5F">
              <w:t>Grades K-5</w:t>
            </w:r>
          </w:p>
        </w:tc>
        <w:tc>
          <w:tcPr>
            <w:tcW w:w="874" w:type="dxa"/>
          </w:tcPr>
          <w:p w14:paraId="60589677" w14:textId="77777777" w:rsidR="0063774E" w:rsidRPr="008C1E5F" w:rsidRDefault="0063774E" w:rsidP="0063774E">
            <w:pPr>
              <w:pStyle w:val="TableTextCentered"/>
              <w:rPr>
                <w:rFonts w:eastAsia="Times New Roman"/>
              </w:rPr>
            </w:pPr>
            <w:r w:rsidRPr="008C1E5F">
              <w:rPr>
                <w:rFonts w:eastAsia="Times New Roman"/>
              </w:rPr>
              <w:t>0</w:t>
            </w:r>
          </w:p>
        </w:tc>
        <w:tc>
          <w:tcPr>
            <w:tcW w:w="874" w:type="dxa"/>
          </w:tcPr>
          <w:p w14:paraId="41913114" w14:textId="77777777" w:rsidR="0063774E" w:rsidRPr="008C1E5F" w:rsidRDefault="0063774E" w:rsidP="0063774E">
            <w:pPr>
              <w:pStyle w:val="TableTextCentered"/>
              <w:rPr>
                <w:rFonts w:eastAsia="Times New Roman"/>
              </w:rPr>
            </w:pPr>
            <w:r w:rsidRPr="008C1E5F">
              <w:rPr>
                <w:rFonts w:eastAsia="Times New Roman"/>
              </w:rPr>
              <w:t>1</w:t>
            </w:r>
          </w:p>
        </w:tc>
        <w:tc>
          <w:tcPr>
            <w:tcW w:w="874" w:type="dxa"/>
          </w:tcPr>
          <w:p w14:paraId="7A14A654" w14:textId="77777777" w:rsidR="0063774E" w:rsidRPr="008C1E5F" w:rsidRDefault="0063774E" w:rsidP="0063774E">
            <w:pPr>
              <w:pStyle w:val="TableTextCentered"/>
              <w:rPr>
                <w:rFonts w:eastAsia="Times New Roman"/>
              </w:rPr>
            </w:pPr>
            <w:r w:rsidRPr="008C1E5F">
              <w:rPr>
                <w:rFonts w:eastAsia="Times New Roman"/>
              </w:rPr>
              <w:t>7</w:t>
            </w:r>
          </w:p>
        </w:tc>
        <w:tc>
          <w:tcPr>
            <w:tcW w:w="875" w:type="dxa"/>
          </w:tcPr>
          <w:p w14:paraId="053DCB19" w14:textId="77777777" w:rsidR="0063774E" w:rsidRPr="008C1E5F" w:rsidRDefault="0063774E" w:rsidP="0063774E">
            <w:pPr>
              <w:pStyle w:val="TableTextCentered"/>
              <w:rPr>
                <w:rFonts w:eastAsia="Times New Roman"/>
              </w:rPr>
            </w:pPr>
            <w:r w:rsidRPr="008C1E5F">
              <w:rPr>
                <w:rFonts w:eastAsia="Times New Roman"/>
              </w:rPr>
              <w:t>11</w:t>
            </w:r>
          </w:p>
        </w:tc>
        <w:tc>
          <w:tcPr>
            <w:tcW w:w="875" w:type="dxa"/>
          </w:tcPr>
          <w:p w14:paraId="2EA524D2" w14:textId="77777777" w:rsidR="0063774E" w:rsidRPr="008C1E5F" w:rsidRDefault="0063774E" w:rsidP="0063774E">
            <w:pPr>
              <w:pStyle w:val="TableTextCentered"/>
              <w:rPr>
                <w:rFonts w:eastAsia="Times New Roman"/>
              </w:rPr>
            </w:pPr>
            <w:r w:rsidRPr="008C1E5F">
              <w:rPr>
                <w:rFonts w:eastAsia="Times New Roman"/>
              </w:rPr>
              <w:t>40</w:t>
            </w:r>
          </w:p>
        </w:tc>
        <w:tc>
          <w:tcPr>
            <w:tcW w:w="874" w:type="dxa"/>
          </w:tcPr>
          <w:p w14:paraId="1082629C" w14:textId="77777777" w:rsidR="0063774E" w:rsidRPr="008C1E5F" w:rsidRDefault="0063774E" w:rsidP="0063774E">
            <w:pPr>
              <w:pStyle w:val="TableTextCentered"/>
              <w:rPr>
                <w:rFonts w:eastAsia="Times New Roman"/>
              </w:rPr>
            </w:pPr>
            <w:r w:rsidRPr="008C1E5F">
              <w:rPr>
                <w:rFonts w:eastAsia="Times New Roman"/>
              </w:rPr>
              <w:t>15</w:t>
            </w:r>
          </w:p>
        </w:tc>
        <w:tc>
          <w:tcPr>
            <w:tcW w:w="875" w:type="dxa"/>
          </w:tcPr>
          <w:p w14:paraId="750DB7BC" w14:textId="77777777" w:rsidR="0063774E" w:rsidRPr="008C1E5F" w:rsidRDefault="0063774E" w:rsidP="0063774E">
            <w:pPr>
              <w:pStyle w:val="TableTextCentered"/>
              <w:rPr>
                <w:rFonts w:eastAsia="Times New Roman"/>
              </w:rPr>
            </w:pPr>
            <w:r w:rsidRPr="008C1E5F">
              <w:rPr>
                <w:rFonts w:eastAsia="Times New Roman"/>
              </w:rPr>
              <w:t>10</w:t>
            </w:r>
          </w:p>
        </w:tc>
        <w:tc>
          <w:tcPr>
            <w:tcW w:w="900" w:type="dxa"/>
          </w:tcPr>
          <w:p w14:paraId="2A4EA8ED" w14:textId="77777777" w:rsidR="0063774E" w:rsidRPr="008C1E5F" w:rsidRDefault="0063774E" w:rsidP="0063774E">
            <w:pPr>
              <w:pStyle w:val="TableTextCentered"/>
              <w:rPr>
                <w:rFonts w:eastAsia="Times New Roman"/>
              </w:rPr>
            </w:pPr>
            <w:r w:rsidRPr="008C1E5F">
              <w:rPr>
                <w:rFonts w:eastAsia="Times New Roman"/>
              </w:rPr>
              <w:t>84</w:t>
            </w:r>
          </w:p>
        </w:tc>
        <w:tc>
          <w:tcPr>
            <w:tcW w:w="892" w:type="dxa"/>
          </w:tcPr>
          <w:p w14:paraId="26B348DE" w14:textId="77777777" w:rsidR="0063774E" w:rsidRPr="008C1E5F" w:rsidRDefault="0063774E" w:rsidP="0063774E">
            <w:pPr>
              <w:pStyle w:val="TableTextCentered"/>
              <w:rPr>
                <w:rFonts w:eastAsia="Times New Roman"/>
              </w:rPr>
            </w:pPr>
            <w:r w:rsidRPr="008C1E5F">
              <w:rPr>
                <w:rFonts w:eastAsia="Times New Roman"/>
              </w:rPr>
              <w:t>5.1</w:t>
            </w:r>
          </w:p>
        </w:tc>
      </w:tr>
      <w:tr w:rsidR="0063774E" w:rsidRPr="008C1E5F" w14:paraId="4C041C12" w14:textId="77777777" w:rsidTr="0063774E">
        <w:trPr>
          <w:jc w:val="center"/>
        </w:trPr>
        <w:tc>
          <w:tcPr>
            <w:tcW w:w="1431" w:type="dxa"/>
          </w:tcPr>
          <w:p w14:paraId="464948BC" w14:textId="77777777" w:rsidR="0063774E" w:rsidRPr="008C1E5F" w:rsidRDefault="0063774E" w:rsidP="0063774E">
            <w:pPr>
              <w:pStyle w:val="TableText"/>
            </w:pPr>
            <w:r w:rsidRPr="008C1E5F">
              <w:t>Grades 6-8</w:t>
            </w:r>
          </w:p>
        </w:tc>
        <w:tc>
          <w:tcPr>
            <w:tcW w:w="874" w:type="dxa"/>
          </w:tcPr>
          <w:p w14:paraId="04782A9E" w14:textId="77777777" w:rsidR="0063774E" w:rsidRPr="008C1E5F" w:rsidRDefault="0063774E" w:rsidP="0063774E">
            <w:pPr>
              <w:pStyle w:val="TableTextCentered"/>
              <w:rPr>
                <w:rFonts w:eastAsia="Times New Roman"/>
              </w:rPr>
            </w:pPr>
            <w:r w:rsidRPr="008C1E5F">
              <w:rPr>
                <w:rFonts w:eastAsia="Times New Roman"/>
              </w:rPr>
              <w:t>1</w:t>
            </w:r>
          </w:p>
        </w:tc>
        <w:tc>
          <w:tcPr>
            <w:tcW w:w="874" w:type="dxa"/>
          </w:tcPr>
          <w:p w14:paraId="1107AC78" w14:textId="77777777" w:rsidR="0063774E" w:rsidRPr="008C1E5F" w:rsidRDefault="0063774E" w:rsidP="0063774E">
            <w:pPr>
              <w:pStyle w:val="TableTextCentered"/>
              <w:rPr>
                <w:rFonts w:eastAsia="Times New Roman"/>
              </w:rPr>
            </w:pPr>
            <w:r w:rsidRPr="008C1E5F">
              <w:rPr>
                <w:rFonts w:eastAsia="Times New Roman"/>
              </w:rPr>
              <w:t>4</w:t>
            </w:r>
          </w:p>
        </w:tc>
        <w:tc>
          <w:tcPr>
            <w:tcW w:w="874" w:type="dxa"/>
          </w:tcPr>
          <w:p w14:paraId="6E702C7E" w14:textId="77777777" w:rsidR="0063774E" w:rsidRPr="008C1E5F" w:rsidRDefault="0063774E" w:rsidP="0063774E">
            <w:pPr>
              <w:pStyle w:val="TableTextCentered"/>
              <w:rPr>
                <w:rFonts w:eastAsia="Times New Roman"/>
              </w:rPr>
            </w:pPr>
            <w:r w:rsidRPr="008C1E5F">
              <w:rPr>
                <w:rFonts w:eastAsia="Times New Roman"/>
              </w:rPr>
              <w:t>20</w:t>
            </w:r>
          </w:p>
        </w:tc>
        <w:tc>
          <w:tcPr>
            <w:tcW w:w="875" w:type="dxa"/>
          </w:tcPr>
          <w:p w14:paraId="6067C0C1" w14:textId="77777777" w:rsidR="0063774E" w:rsidRPr="008C1E5F" w:rsidRDefault="0063774E" w:rsidP="0063774E">
            <w:pPr>
              <w:pStyle w:val="TableTextCentered"/>
              <w:rPr>
                <w:rFonts w:eastAsia="Times New Roman"/>
              </w:rPr>
            </w:pPr>
            <w:r w:rsidRPr="008C1E5F">
              <w:rPr>
                <w:rFonts w:eastAsia="Times New Roman"/>
              </w:rPr>
              <w:t>14</w:t>
            </w:r>
          </w:p>
        </w:tc>
        <w:tc>
          <w:tcPr>
            <w:tcW w:w="875" w:type="dxa"/>
          </w:tcPr>
          <w:p w14:paraId="075A8402" w14:textId="77777777" w:rsidR="0063774E" w:rsidRPr="008C1E5F" w:rsidRDefault="0063774E" w:rsidP="0063774E">
            <w:pPr>
              <w:pStyle w:val="TableTextCentered"/>
              <w:rPr>
                <w:rFonts w:eastAsia="Times New Roman"/>
              </w:rPr>
            </w:pPr>
            <w:r w:rsidRPr="008C1E5F">
              <w:rPr>
                <w:rFonts w:eastAsia="Times New Roman"/>
              </w:rPr>
              <w:t>18</w:t>
            </w:r>
          </w:p>
        </w:tc>
        <w:tc>
          <w:tcPr>
            <w:tcW w:w="874" w:type="dxa"/>
          </w:tcPr>
          <w:p w14:paraId="3686F6AD" w14:textId="77777777" w:rsidR="0063774E" w:rsidRPr="008C1E5F" w:rsidRDefault="0063774E" w:rsidP="0063774E">
            <w:pPr>
              <w:pStyle w:val="TableTextCentered"/>
              <w:rPr>
                <w:rFonts w:eastAsia="Times New Roman"/>
              </w:rPr>
            </w:pPr>
            <w:r w:rsidRPr="008C1E5F">
              <w:rPr>
                <w:rFonts w:eastAsia="Times New Roman"/>
              </w:rPr>
              <w:t>9</w:t>
            </w:r>
          </w:p>
        </w:tc>
        <w:tc>
          <w:tcPr>
            <w:tcW w:w="875" w:type="dxa"/>
          </w:tcPr>
          <w:p w14:paraId="72B21C4B" w14:textId="77777777" w:rsidR="0063774E" w:rsidRPr="008C1E5F" w:rsidRDefault="0063774E" w:rsidP="0063774E">
            <w:pPr>
              <w:pStyle w:val="TableTextCentered"/>
              <w:rPr>
                <w:rFonts w:eastAsia="Times New Roman"/>
              </w:rPr>
            </w:pPr>
            <w:r w:rsidRPr="008C1E5F">
              <w:rPr>
                <w:rFonts w:eastAsia="Times New Roman"/>
              </w:rPr>
              <w:t>5</w:t>
            </w:r>
          </w:p>
        </w:tc>
        <w:tc>
          <w:tcPr>
            <w:tcW w:w="900" w:type="dxa"/>
          </w:tcPr>
          <w:p w14:paraId="35F45418" w14:textId="77777777" w:rsidR="0063774E" w:rsidRPr="008C1E5F" w:rsidRDefault="0063774E" w:rsidP="0063774E">
            <w:pPr>
              <w:pStyle w:val="TableTextCentered"/>
              <w:rPr>
                <w:rFonts w:eastAsia="Times New Roman"/>
              </w:rPr>
            </w:pPr>
            <w:r w:rsidRPr="008C1E5F">
              <w:rPr>
                <w:rFonts w:eastAsia="Times New Roman"/>
              </w:rPr>
              <w:t>71</w:t>
            </w:r>
          </w:p>
        </w:tc>
        <w:tc>
          <w:tcPr>
            <w:tcW w:w="892" w:type="dxa"/>
          </w:tcPr>
          <w:p w14:paraId="794AF774" w14:textId="77777777" w:rsidR="0063774E" w:rsidRPr="008C1E5F" w:rsidRDefault="0063774E" w:rsidP="0063774E">
            <w:pPr>
              <w:pStyle w:val="TableTextCentered"/>
              <w:rPr>
                <w:rFonts w:eastAsia="Times New Roman"/>
              </w:rPr>
            </w:pPr>
            <w:r w:rsidRPr="008C1E5F">
              <w:rPr>
                <w:rFonts w:eastAsia="Times New Roman"/>
              </w:rPr>
              <w:t>4.3</w:t>
            </w:r>
          </w:p>
        </w:tc>
      </w:tr>
      <w:tr w:rsidR="0063774E" w:rsidRPr="008C1E5F" w14:paraId="234B24B1" w14:textId="77777777" w:rsidTr="0063774E">
        <w:trPr>
          <w:jc w:val="center"/>
        </w:trPr>
        <w:tc>
          <w:tcPr>
            <w:tcW w:w="1431" w:type="dxa"/>
          </w:tcPr>
          <w:p w14:paraId="54B5ACFD" w14:textId="77777777" w:rsidR="0063774E" w:rsidRPr="008C1E5F" w:rsidRDefault="0063774E" w:rsidP="0063774E">
            <w:pPr>
              <w:pStyle w:val="TableText"/>
            </w:pPr>
            <w:r w:rsidRPr="008C1E5F">
              <w:t>Grades 9-12</w:t>
            </w:r>
          </w:p>
        </w:tc>
        <w:tc>
          <w:tcPr>
            <w:tcW w:w="874" w:type="dxa"/>
          </w:tcPr>
          <w:p w14:paraId="58BA4691" w14:textId="77777777" w:rsidR="0063774E" w:rsidRPr="008C1E5F" w:rsidRDefault="0063774E" w:rsidP="0063774E">
            <w:pPr>
              <w:pStyle w:val="TableTextCentered"/>
              <w:rPr>
                <w:rFonts w:eastAsia="Times New Roman"/>
              </w:rPr>
            </w:pPr>
            <w:r w:rsidRPr="008C1E5F">
              <w:rPr>
                <w:rFonts w:eastAsia="Times New Roman"/>
              </w:rPr>
              <w:t>0</w:t>
            </w:r>
          </w:p>
        </w:tc>
        <w:tc>
          <w:tcPr>
            <w:tcW w:w="874" w:type="dxa"/>
          </w:tcPr>
          <w:p w14:paraId="7D320EA6" w14:textId="77777777" w:rsidR="0063774E" w:rsidRPr="008C1E5F" w:rsidRDefault="0063774E" w:rsidP="0063774E">
            <w:pPr>
              <w:pStyle w:val="TableTextCentered"/>
              <w:rPr>
                <w:rFonts w:eastAsia="Times New Roman"/>
              </w:rPr>
            </w:pPr>
            <w:r w:rsidRPr="008C1E5F">
              <w:rPr>
                <w:rFonts w:eastAsia="Times New Roman"/>
              </w:rPr>
              <w:t>0</w:t>
            </w:r>
          </w:p>
        </w:tc>
        <w:tc>
          <w:tcPr>
            <w:tcW w:w="874" w:type="dxa"/>
          </w:tcPr>
          <w:p w14:paraId="0468FEAE" w14:textId="77777777" w:rsidR="0063774E" w:rsidRPr="008C1E5F" w:rsidRDefault="0063774E" w:rsidP="0063774E">
            <w:pPr>
              <w:pStyle w:val="TableTextCentered"/>
              <w:rPr>
                <w:rFonts w:eastAsia="Times New Roman"/>
              </w:rPr>
            </w:pPr>
            <w:r w:rsidRPr="008C1E5F">
              <w:rPr>
                <w:rFonts w:eastAsia="Times New Roman"/>
              </w:rPr>
              <w:t>8</w:t>
            </w:r>
          </w:p>
        </w:tc>
        <w:tc>
          <w:tcPr>
            <w:tcW w:w="875" w:type="dxa"/>
          </w:tcPr>
          <w:p w14:paraId="4AFEFCCD" w14:textId="77777777" w:rsidR="0063774E" w:rsidRPr="008C1E5F" w:rsidRDefault="0063774E" w:rsidP="0063774E">
            <w:pPr>
              <w:pStyle w:val="TableTextCentered"/>
              <w:rPr>
                <w:rFonts w:eastAsia="Times New Roman"/>
              </w:rPr>
            </w:pPr>
            <w:r w:rsidRPr="008C1E5F">
              <w:rPr>
                <w:rFonts w:eastAsia="Times New Roman"/>
              </w:rPr>
              <w:t>7</w:t>
            </w:r>
          </w:p>
        </w:tc>
        <w:tc>
          <w:tcPr>
            <w:tcW w:w="875" w:type="dxa"/>
          </w:tcPr>
          <w:p w14:paraId="33352907" w14:textId="77777777" w:rsidR="0063774E" w:rsidRPr="008C1E5F" w:rsidRDefault="0063774E" w:rsidP="0063774E">
            <w:pPr>
              <w:pStyle w:val="TableTextCentered"/>
              <w:rPr>
                <w:rFonts w:eastAsia="Times New Roman"/>
              </w:rPr>
            </w:pPr>
            <w:r w:rsidRPr="008C1E5F">
              <w:rPr>
                <w:rFonts w:eastAsia="Times New Roman"/>
              </w:rPr>
              <w:t>14</w:t>
            </w:r>
          </w:p>
        </w:tc>
        <w:tc>
          <w:tcPr>
            <w:tcW w:w="874" w:type="dxa"/>
          </w:tcPr>
          <w:p w14:paraId="1973C23E" w14:textId="77777777" w:rsidR="0063774E" w:rsidRPr="008C1E5F" w:rsidRDefault="0063774E" w:rsidP="0063774E">
            <w:pPr>
              <w:pStyle w:val="TableTextCentered"/>
              <w:rPr>
                <w:rFonts w:eastAsia="Times New Roman"/>
              </w:rPr>
            </w:pPr>
            <w:r w:rsidRPr="008C1E5F">
              <w:rPr>
                <w:rFonts w:eastAsia="Times New Roman"/>
              </w:rPr>
              <w:t>6</w:t>
            </w:r>
          </w:p>
        </w:tc>
        <w:tc>
          <w:tcPr>
            <w:tcW w:w="875" w:type="dxa"/>
          </w:tcPr>
          <w:p w14:paraId="08EF900E" w14:textId="77777777" w:rsidR="0063774E" w:rsidRPr="008C1E5F" w:rsidRDefault="0063774E" w:rsidP="0063774E">
            <w:pPr>
              <w:pStyle w:val="TableTextCentered"/>
              <w:rPr>
                <w:rFonts w:eastAsia="Times New Roman"/>
              </w:rPr>
            </w:pPr>
            <w:r w:rsidRPr="008C1E5F">
              <w:rPr>
                <w:rFonts w:eastAsia="Times New Roman"/>
              </w:rPr>
              <w:t>0</w:t>
            </w:r>
          </w:p>
        </w:tc>
        <w:tc>
          <w:tcPr>
            <w:tcW w:w="900" w:type="dxa"/>
          </w:tcPr>
          <w:p w14:paraId="69762028" w14:textId="77777777" w:rsidR="0063774E" w:rsidRPr="008C1E5F" w:rsidRDefault="0063774E" w:rsidP="0063774E">
            <w:pPr>
              <w:pStyle w:val="TableTextCentered"/>
              <w:rPr>
                <w:rFonts w:eastAsia="Times New Roman"/>
              </w:rPr>
            </w:pPr>
            <w:r w:rsidRPr="008C1E5F">
              <w:rPr>
                <w:rFonts w:eastAsia="Times New Roman"/>
              </w:rPr>
              <w:t>35</w:t>
            </w:r>
          </w:p>
        </w:tc>
        <w:tc>
          <w:tcPr>
            <w:tcW w:w="892" w:type="dxa"/>
          </w:tcPr>
          <w:p w14:paraId="73BC8BC6" w14:textId="77777777" w:rsidR="0063774E" w:rsidRPr="008C1E5F" w:rsidRDefault="0063774E" w:rsidP="0063774E">
            <w:pPr>
              <w:pStyle w:val="TableTextCentered"/>
              <w:rPr>
                <w:rFonts w:eastAsia="Times New Roman"/>
              </w:rPr>
            </w:pPr>
            <w:r w:rsidRPr="008C1E5F">
              <w:rPr>
                <w:rFonts w:eastAsia="Times New Roman"/>
              </w:rPr>
              <w:t>4.5</w:t>
            </w:r>
          </w:p>
        </w:tc>
      </w:tr>
    </w:tbl>
    <w:bookmarkEnd w:id="155"/>
    <w:p w14:paraId="14CB5439" w14:textId="77777777" w:rsidR="00900CF1" w:rsidRPr="008C1E5F" w:rsidRDefault="00900CF1">
      <w:pPr>
        <w:pStyle w:val="TableNote"/>
      </w:pPr>
      <w:r w:rsidRPr="008C1E5F">
        <w:rPr>
          <w:szCs w:val="20"/>
        </w:rPr>
        <w:t>*</w:t>
      </w:r>
      <w:r w:rsidRPr="008C1E5F">
        <w:t xml:space="preserve">The district average is an average of the observation scores. In Table 3, the district average is computed as: </w:t>
      </w:r>
      <w:r w:rsidRPr="008C1E5F">
        <w:br/>
      </w:r>
      <w:bookmarkStart w:id="156" w:name="Dist_PC_Calc"/>
      <w:r w:rsidRPr="008C1E5F">
        <w:t>([1 x 1] + [2 x 5] + [3 x 35] + [4 x 32] + [5 x 72] + [6 x 30] + [7 x 15]) ÷ 190 observations = 4.7</w:t>
      </w:r>
      <w:bookmarkEnd w:id="156"/>
    </w:p>
    <w:p w14:paraId="576AD1D7" w14:textId="77777777" w:rsidR="00900CF1" w:rsidRPr="008C1E5F" w:rsidRDefault="00900CF1">
      <w:pPr>
        <w:pStyle w:val="BodyText"/>
      </w:pPr>
      <w:r w:rsidRPr="008C1E5F">
        <w:rPr>
          <w:rStyle w:val="BodyTextDemiChar"/>
        </w:rPr>
        <w:t>Ratings in the Low Range</w:t>
      </w:r>
      <w:r w:rsidRPr="008C1E5F">
        <w:t>. 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38011BB8" w14:textId="77777777" w:rsidR="00900CF1" w:rsidRPr="008C1E5F" w:rsidRDefault="00900CF1">
      <w:pPr>
        <w:pStyle w:val="BodyText"/>
      </w:pPr>
      <w:r w:rsidRPr="008C1E5F">
        <w:rPr>
          <w:rStyle w:val="BodyTextDemiChar"/>
        </w:rPr>
        <w:t>Ratings in the Middle Range.</w:t>
      </w:r>
      <w:r w:rsidRPr="008C1E5F">
        <w:t xml:space="preserve"> 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1D9129ED" w14:textId="77777777" w:rsidR="00900CF1" w:rsidRPr="008C1E5F" w:rsidRDefault="00900CF1">
      <w:pPr>
        <w:pStyle w:val="BodyText"/>
      </w:pPr>
      <w:r w:rsidRPr="008C1E5F">
        <w:rPr>
          <w:rStyle w:val="BodyTextDemiChar"/>
        </w:rPr>
        <w:t xml:space="preserve">Ratings in the High Range. </w:t>
      </w:r>
      <w:r w:rsidRPr="008C1E5F">
        <w:t xml:space="preserve">There are many indications that the relationship among students and the teacher is positive and warm. The teacher is typically </w:t>
      </w:r>
      <w:proofErr w:type="gramStart"/>
      <w:r w:rsidRPr="008C1E5F">
        <w:t>in close proximity to</w:t>
      </w:r>
      <w:proofErr w:type="gramEnd"/>
      <w:r w:rsidRPr="008C1E5F">
        <w:t xml:space="preserve">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153"/>
    <w:p w14:paraId="650238E5" w14:textId="77777777" w:rsidR="00900CF1" w:rsidRPr="008C1E5F" w:rsidRDefault="00900CF1">
      <w:pPr>
        <w:spacing w:after="160" w:line="259" w:lineRule="auto"/>
      </w:pPr>
      <w:r w:rsidRPr="008C1E5F">
        <w:br w:type="page"/>
      </w:r>
    </w:p>
    <w:p w14:paraId="214D9431" w14:textId="77777777" w:rsidR="00900CF1" w:rsidRPr="008C1E5F" w:rsidRDefault="00900CF1">
      <w:pPr>
        <w:pStyle w:val="Heading2-SIOR"/>
      </w:pPr>
      <w:bookmarkStart w:id="157" w:name="_Toc411329828"/>
      <w:bookmarkStart w:id="158" w:name="_Toc430114876"/>
      <w:bookmarkStart w:id="159" w:name="_Toc92194255"/>
      <w:bookmarkStart w:id="160" w:name="_Toc195024247"/>
      <w:r w:rsidRPr="008C1E5F">
        <w:lastRenderedPageBreak/>
        <w:t>Teacher Sensitivity</w:t>
      </w:r>
      <w:bookmarkEnd w:id="157"/>
      <w:bookmarkEnd w:id="158"/>
      <w:bookmarkEnd w:id="159"/>
      <w:bookmarkEnd w:id="160"/>
    </w:p>
    <w:p w14:paraId="383ADDF7" w14:textId="77777777" w:rsidR="00900CF1" w:rsidRPr="008C1E5F" w:rsidRDefault="00900CF1">
      <w:pPr>
        <w:pStyle w:val="BodyTextDomain"/>
      </w:pPr>
      <w:r w:rsidRPr="008C1E5F">
        <w:t>Emotional Support domain, Grades K−12</w:t>
      </w:r>
    </w:p>
    <w:p w14:paraId="45620F1E" w14:textId="77777777" w:rsidR="00900CF1" w:rsidRPr="008C1E5F" w:rsidRDefault="00900CF1">
      <w:pPr>
        <w:pStyle w:val="BodyText"/>
      </w:pPr>
      <w:r w:rsidRPr="008C1E5F">
        <w:t>Teacher Sensitivity encompasses the teacher’s awareness of and responsiveness to students’ academic and emotional needs. High levels of sensitivity facilitate students’ abilities to actively explore and learn because the teacher consistently provides comfort, reassurance, and encouragement (</w:t>
      </w:r>
      <w:r w:rsidRPr="008C1E5F">
        <w:rPr>
          <w:i/>
        </w:rPr>
        <w:t>CLASS K–3 Manual,</w:t>
      </w:r>
      <w:r w:rsidRPr="008C1E5F">
        <w:t xml:space="preserve"> p. 32, </w:t>
      </w:r>
      <w:r w:rsidRPr="008C1E5F">
        <w:rPr>
          <w:i/>
        </w:rPr>
        <w:t xml:space="preserve">CLASS Upper Elementary Manual, </w:t>
      </w:r>
      <w:r w:rsidRPr="008C1E5F">
        <w:t xml:space="preserve">p. 27, </w:t>
      </w:r>
      <w:r w:rsidRPr="008C1E5F">
        <w:rPr>
          <w:i/>
        </w:rPr>
        <w:t>CLASS Secondary Manual,</w:t>
      </w:r>
      <w:r w:rsidRPr="008C1E5F">
        <w:t xml:space="preserve"> p. 27). </w:t>
      </w:r>
    </w:p>
    <w:p w14:paraId="5DEAC930" w14:textId="77777777" w:rsidR="00900CF1" w:rsidRPr="008C1E5F" w:rsidRDefault="00900CF1">
      <w:pPr>
        <w:pStyle w:val="TableTitle0"/>
      </w:pPr>
      <w:r w:rsidRPr="008C1E5F">
        <w:t>Table 4. Teacher Sensitivity: Number of Classrooms for Each Rating and District Average</w:t>
      </w:r>
    </w:p>
    <w:p w14:paraId="133527BB" w14:textId="77777777" w:rsidR="00900CF1" w:rsidRPr="008C1E5F" w:rsidRDefault="00900CF1">
      <w:pPr>
        <w:pStyle w:val="BodyTextDemi"/>
      </w:pPr>
      <w:r w:rsidRPr="008C1E5F">
        <w:t xml:space="preserve">Teacher Sensitivity District Average*: </w:t>
      </w:r>
      <w:bookmarkStart w:id="161" w:name="Dist_TS_Avg"/>
      <w:r w:rsidRPr="008C1E5F">
        <w:t>5.5</w:t>
      </w:r>
      <w:bookmarkEnd w:id="161"/>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63774E" w:rsidRPr="008C1E5F" w14:paraId="14CF41FF" w14:textId="77777777" w:rsidTr="0063774E">
        <w:trPr>
          <w:cnfStyle w:val="100000000000" w:firstRow="1" w:lastRow="0" w:firstColumn="0" w:lastColumn="0" w:oddVBand="0" w:evenVBand="0" w:oddHBand="0" w:evenHBand="0" w:firstRowFirstColumn="0" w:firstRowLastColumn="0" w:lastRowFirstColumn="0" w:lastRowLastColumn="0"/>
          <w:jc w:val="center"/>
        </w:trPr>
        <w:tc>
          <w:tcPr>
            <w:tcW w:w="1431" w:type="dxa"/>
          </w:tcPr>
          <w:p w14:paraId="7941FCFC" w14:textId="0DF37EEE" w:rsidR="0063774E" w:rsidRPr="008C1E5F" w:rsidRDefault="0063774E" w:rsidP="0063774E">
            <w:pPr>
              <w:pStyle w:val="TableColHeadingCenter"/>
              <w:rPr>
                <w:rFonts w:eastAsia="MS Mincho"/>
              </w:rPr>
            </w:pPr>
            <w:bookmarkStart w:id="162" w:name="Tbl_TS"/>
            <w:r w:rsidRPr="008C1E5F">
              <w:rPr>
                <w:rFonts w:eastAsia="MS Mincho"/>
              </w:rPr>
              <w:t>Grade Band</w:t>
            </w:r>
          </w:p>
        </w:tc>
        <w:tc>
          <w:tcPr>
            <w:tcW w:w="874" w:type="dxa"/>
          </w:tcPr>
          <w:p w14:paraId="0AF9464B" w14:textId="77777777" w:rsidR="0063774E" w:rsidRPr="008C1E5F" w:rsidRDefault="0063774E" w:rsidP="0063774E">
            <w:pPr>
              <w:pStyle w:val="TableColHeadingCenter"/>
              <w:rPr>
                <w:rFonts w:eastAsia="MS Mincho"/>
              </w:rPr>
            </w:pPr>
            <w:r w:rsidRPr="008C1E5F">
              <w:rPr>
                <w:rFonts w:eastAsia="MS Mincho"/>
              </w:rPr>
              <w:t>Low Range</w:t>
            </w:r>
          </w:p>
        </w:tc>
        <w:tc>
          <w:tcPr>
            <w:tcW w:w="874" w:type="dxa"/>
          </w:tcPr>
          <w:p w14:paraId="73933765" w14:textId="3A3C081D" w:rsidR="0063774E" w:rsidRPr="008C1E5F" w:rsidRDefault="0063774E" w:rsidP="0063774E">
            <w:pPr>
              <w:pStyle w:val="TableColHeadingCenter"/>
              <w:rPr>
                <w:rFonts w:eastAsia="MS Mincho"/>
              </w:rPr>
            </w:pPr>
            <w:r w:rsidRPr="008C1E5F">
              <w:rPr>
                <w:rFonts w:eastAsia="MS Mincho"/>
              </w:rPr>
              <w:t>Low Range</w:t>
            </w:r>
          </w:p>
        </w:tc>
        <w:tc>
          <w:tcPr>
            <w:tcW w:w="874" w:type="dxa"/>
          </w:tcPr>
          <w:p w14:paraId="0973AA9E" w14:textId="77777777" w:rsidR="0063774E" w:rsidRPr="008C1E5F" w:rsidRDefault="0063774E" w:rsidP="0063774E">
            <w:pPr>
              <w:pStyle w:val="TableColHeadingCenter"/>
              <w:rPr>
                <w:rFonts w:eastAsia="MS Mincho"/>
              </w:rPr>
            </w:pPr>
            <w:r w:rsidRPr="008C1E5F">
              <w:rPr>
                <w:rFonts w:eastAsia="MS Mincho"/>
              </w:rPr>
              <w:t>Middle Range</w:t>
            </w:r>
          </w:p>
        </w:tc>
        <w:tc>
          <w:tcPr>
            <w:tcW w:w="875" w:type="dxa"/>
          </w:tcPr>
          <w:p w14:paraId="356531B6" w14:textId="05B3E5FA" w:rsidR="0063774E" w:rsidRPr="008C1E5F" w:rsidRDefault="0063774E" w:rsidP="0063774E">
            <w:pPr>
              <w:pStyle w:val="TableColHeadingCenter"/>
              <w:rPr>
                <w:rFonts w:eastAsia="MS Mincho"/>
              </w:rPr>
            </w:pPr>
            <w:r w:rsidRPr="008C1E5F">
              <w:rPr>
                <w:rFonts w:eastAsia="MS Mincho"/>
              </w:rPr>
              <w:t>Middle Range</w:t>
            </w:r>
          </w:p>
        </w:tc>
        <w:tc>
          <w:tcPr>
            <w:tcW w:w="875" w:type="dxa"/>
          </w:tcPr>
          <w:p w14:paraId="71C1149A" w14:textId="7C946365" w:rsidR="0063774E" w:rsidRPr="008C1E5F" w:rsidRDefault="0063774E" w:rsidP="0063774E">
            <w:pPr>
              <w:pStyle w:val="TableColHeadingCenter"/>
              <w:rPr>
                <w:rFonts w:eastAsia="MS Mincho"/>
              </w:rPr>
            </w:pPr>
            <w:r w:rsidRPr="008C1E5F">
              <w:rPr>
                <w:rFonts w:eastAsia="MS Mincho"/>
              </w:rPr>
              <w:t>Middle Range</w:t>
            </w:r>
          </w:p>
        </w:tc>
        <w:tc>
          <w:tcPr>
            <w:tcW w:w="874" w:type="dxa"/>
          </w:tcPr>
          <w:p w14:paraId="2AEA9792" w14:textId="77777777" w:rsidR="0063774E" w:rsidRPr="008C1E5F" w:rsidRDefault="0063774E" w:rsidP="0063774E">
            <w:pPr>
              <w:pStyle w:val="TableColHeadingCenter"/>
              <w:rPr>
                <w:rFonts w:eastAsia="MS Mincho"/>
              </w:rPr>
            </w:pPr>
            <w:r w:rsidRPr="008C1E5F">
              <w:rPr>
                <w:rFonts w:eastAsia="MS Mincho"/>
              </w:rPr>
              <w:t>High Range</w:t>
            </w:r>
          </w:p>
        </w:tc>
        <w:tc>
          <w:tcPr>
            <w:tcW w:w="875" w:type="dxa"/>
          </w:tcPr>
          <w:p w14:paraId="17403BFA" w14:textId="5F43FD9E" w:rsidR="0063774E" w:rsidRPr="008C1E5F" w:rsidRDefault="0063774E" w:rsidP="0063774E">
            <w:pPr>
              <w:pStyle w:val="TableColHeadingCenter"/>
              <w:rPr>
                <w:rFonts w:eastAsia="MS Mincho"/>
              </w:rPr>
            </w:pPr>
            <w:r w:rsidRPr="008C1E5F">
              <w:rPr>
                <w:rFonts w:eastAsia="MS Mincho"/>
              </w:rPr>
              <w:t>High Range</w:t>
            </w:r>
          </w:p>
        </w:tc>
        <w:tc>
          <w:tcPr>
            <w:tcW w:w="900" w:type="dxa"/>
          </w:tcPr>
          <w:p w14:paraId="1649AC2E" w14:textId="660C223B" w:rsidR="0063774E" w:rsidRPr="008C1E5F" w:rsidRDefault="0063774E" w:rsidP="0063774E">
            <w:pPr>
              <w:pStyle w:val="TableColHeadingCenter"/>
              <w:rPr>
                <w:rFonts w:eastAsia="MS Mincho"/>
              </w:rPr>
            </w:pPr>
            <w:r w:rsidRPr="008C1E5F">
              <w:rPr>
                <w:rFonts w:eastAsia="MS Mincho"/>
                <w:i/>
                <w:iCs/>
              </w:rPr>
              <w:t>n</w:t>
            </w:r>
          </w:p>
        </w:tc>
        <w:tc>
          <w:tcPr>
            <w:tcW w:w="892" w:type="dxa"/>
          </w:tcPr>
          <w:p w14:paraId="235F29B1" w14:textId="1F045567" w:rsidR="0063774E" w:rsidRPr="008C1E5F" w:rsidRDefault="0063774E" w:rsidP="0063774E">
            <w:pPr>
              <w:pStyle w:val="TableColHeadingCenter"/>
              <w:rPr>
                <w:rFonts w:eastAsia="MS Mincho"/>
              </w:rPr>
            </w:pPr>
            <w:r w:rsidRPr="008C1E5F">
              <w:rPr>
                <w:rFonts w:eastAsia="MS Mincho"/>
              </w:rPr>
              <w:t>Average</w:t>
            </w:r>
          </w:p>
        </w:tc>
      </w:tr>
      <w:tr w:rsidR="0063774E" w:rsidRPr="008C1E5F" w14:paraId="5621449F" w14:textId="77777777" w:rsidTr="0063774E">
        <w:trPr>
          <w:jc w:val="center"/>
        </w:trPr>
        <w:tc>
          <w:tcPr>
            <w:tcW w:w="1431" w:type="dxa"/>
            <w:shd w:val="clear" w:color="auto" w:fill="D9E2F3" w:themeFill="accent5" w:themeFillTint="33"/>
          </w:tcPr>
          <w:p w14:paraId="6E238D2E" w14:textId="77777777" w:rsidR="0063774E" w:rsidRPr="008C1E5F" w:rsidRDefault="0063774E" w:rsidP="0063774E">
            <w:pPr>
              <w:pStyle w:val="TableSubheadingCentered"/>
            </w:pPr>
          </w:p>
        </w:tc>
        <w:tc>
          <w:tcPr>
            <w:tcW w:w="874" w:type="dxa"/>
            <w:shd w:val="clear" w:color="auto" w:fill="D9E2F3" w:themeFill="accent5" w:themeFillTint="33"/>
          </w:tcPr>
          <w:p w14:paraId="64EC0ABB" w14:textId="77777777" w:rsidR="0063774E" w:rsidRPr="008C1E5F" w:rsidRDefault="0063774E" w:rsidP="0063774E">
            <w:pPr>
              <w:pStyle w:val="TableSubheadingCentered"/>
            </w:pPr>
            <w:r w:rsidRPr="008C1E5F">
              <w:t>1</w:t>
            </w:r>
          </w:p>
        </w:tc>
        <w:tc>
          <w:tcPr>
            <w:tcW w:w="874" w:type="dxa"/>
            <w:shd w:val="clear" w:color="auto" w:fill="D9E2F3" w:themeFill="accent5" w:themeFillTint="33"/>
          </w:tcPr>
          <w:p w14:paraId="4E648CDD" w14:textId="77777777" w:rsidR="0063774E" w:rsidRPr="008C1E5F" w:rsidRDefault="0063774E" w:rsidP="0063774E">
            <w:pPr>
              <w:pStyle w:val="TableSubheadingCentered"/>
            </w:pPr>
            <w:r w:rsidRPr="008C1E5F">
              <w:t>2</w:t>
            </w:r>
          </w:p>
        </w:tc>
        <w:tc>
          <w:tcPr>
            <w:tcW w:w="874" w:type="dxa"/>
            <w:shd w:val="clear" w:color="auto" w:fill="D9E2F3" w:themeFill="accent5" w:themeFillTint="33"/>
          </w:tcPr>
          <w:p w14:paraId="027CC777" w14:textId="77777777" w:rsidR="0063774E" w:rsidRPr="008C1E5F" w:rsidRDefault="0063774E" w:rsidP="0063774E">
            <w:pPr>
              <w:pStyle w:val="TableSubheadingCentered"/>
            </w:pPr>
            <w:r w:rsidRPr="008C1E5F">
              <w:t>3</w:t>
            </w:r>
          </w:p>
        </w:tc>
        <w:tc>
          <w:tcPr>
            <w:tcW w:w="875" w:type="dxa"/>
            <w:shd w:val="clear" w:color="auto" w:fill="D9E2F3" w:themeFill="accent5" w:themeFillTint="33"/>
          </w:tcPr>
          <w:p w14:paraId="07FCD728" w14:textId="77777777" w:rsidR="0063774E" w:rsidRPr="008C1E5F" w:rsidRDefault="0063774E" w:rsidP="0063774E">
            <w:pPr>
              <w:pStyle w:val="TableSubheadingCentered"/>
            </w:pPr>
            <w:r w:rsidRPr="008C1E5F">
              <w:t>4</w:t>
            </w:r>
          </w:p>
        </w:tc>
        <w:tc>
          <w:tcPr>
            <w:tcW w:w="875" w:type="dxa"/>
            <w:shd w:val="clear" w:color="auto" w:fill="D9E2F3" w:themeFill="accent5" w:themeFillTint="33"/>
          </w:tcPr>
          <w:p w14:paraId="09D6D27C" w14:textId="77777777" w:rsidR="0063774E" w:rsidRPr="008C1E5F" w:rsidRDefault="0063774E" w:rsidP="0063774E">
            <w:pPr>
              <w:pStyle w:val="TableSubheadingCentered"/>
            </w:pPr>
            <w:r w:rsidRPr="008C1E5F">
              <w:t>5</w:t>
            </w:r>
          </w:p>
        </w:tc>
        <w:tc>
          <w:tcPr>
            <w:tcW w:w="874" w:type="dxa"/>
            <w:shd w:val="clear" w:color="auto" w:fill="D9E2F3" w:themeFill="accent5" w:themeFillTint="33"/>
          </w:tcPr>
          <w:p w14:paraId="115584F4" w14:textId="77777777" w:rsidR="0063774E" w:rsidRPr="008C1E5F" w:rsidRDefault="0063774E" w:rsidP="0063774E">
            <w:pPr>
              <w:pStyle w:val="TableSubheadingCentered"/>
            </w:pPr>
            <w:r w:rsidRPr="008C1E5F">
              <w:t>6</w:t>
            </w:r>
          </w:p>
        </w:tc>
        <w:tc>
          <w:tcPr>
            <w:tcW w:w="875" w:type="dxa"/>
            <w:shd w:val="clear" w:color="auto" w:fill="D9E2F3" w:themeFill="accent5" w:themeFillTint="33"/>
          </w:tcPr>
          <w:p w14:paraId="18DA4BC7" w14:textId="77777777" w:rsidR="0063774E" w:rsidRPr="008C1E5F" w:rsidRDefault="0063774E" w:rsidP="0063774E">
            <w:pPr>
              <w:pStyle w:val="TableSubheadingCentered"/>
            </w:pPr>
            <w:r w:rsidRPr="008C1E5F">
              <w:t>7</w:t>
            </w:r>
          </w:p>
        </w:tc>
        <w:tc>
          <w:tcPr>
            <w:tcW w:w="900" w:type="dxa"/>
            <w:shd w:val="clear" w:color="auto" w:fill="D9E2F3" w:themeFill="accent5" w:themeFillTint="33"/>
          </w:tcPr>
          <w:p w14:paraId="0999DAA7" w14:textId="77777777" w:rsidR="0063774E" w:rsidRPr="008C1E5F" w:rsidRDefault="0063774E" w:rsidP="0063774E">
            <w:pPr>
              <w:pStyle w:val="TableSubheadingCentered"/>
            </w:pPr>
            <w:r w:rsidRPr="008C1E5F">
              <w:t>190</w:t>
            </w:r>
          </w:p>
        </w:tc>
        <w:tc>
          <w:tcPr>
            <w:tcW w:w="892" w:type="dxa"/>
            <w:shd w:val="clear" w:color="auto" w:fill="D9E2F3" w:themeFill="accent5" w:themeFillTint="33"/>
          </w:tcPr>
          <w:p w14:paraId="6E65E579" w14:textId="77777777" w:rsidR="0063774E" w:rsidRPr="008C1E5F" w:rsidRDefault="0063774E" w:rsidP="0063774E">
            <w:pPr>
              <w:pStyle w:val="TableSubheadingCentered"/>
            </w:pPr>
            <w:r w:rsidRPr="008C1E5F">
              <w:t>5.5</w:t>
            </w:r>
          </w:p>
        </w:tc>
      </w:tr>
      <w:tr w:rsidR="0063774E" w:rsidRPr="008C1E5F" w14:paraId="3C3EECEA" w14:textId="77777777" w:rsidTr="0063774E">
        <w:trPr>
          <w:jc w:val="center"/>
        </w:trPr>
        <w:tc>
          <w:tcPr>
            <w:tcW w:w="1431" w:type="dxa"/>
          </w:tcPr>
          <w:p w14:paraId="555276BB" w14:textId="77777777" w:rsidR="0063774E" w:rsidRPr="008C1E5F" w:rsidRDefault="0063774E" w:rsidP="0063774E">
            <w:pPr>
              <w:pStyle w:val="TableText"/>
            </w:pPr>
            <w:r w:rsidRPr="008C1E5F">
              <w:t>Grades K-5</w:t>
            </w:r>
          </w:p>
        </w:tc>
        <w:tc>
          <w:tcPr>
            <w:tcW w:w="874" w:type="dxa"/>
          </w:tcPr>
          <w:p w14:paraId="57A1BE25" w14:textId="77777777" w:rsidR="0063774E" w:rsidRPr="008C1E5F" w:rsidRDefault="0063774E" w:rsidP="0063774E">
            <w:pPr>
              <w:pStyle w:val="TableTextCentered"/>
              <w:rPr>
                <w:rFonts w:eastAsia="Times New Roman"/>
              </w:rPr>
            </w:pPr>
            <w:r w:rsidRPr="008C1E5F">
              <w:rPr>
                <w:rFonts w:eastAsia="Times New Roman"/>
              </w:rPr>
              <w:t>0</w:t>
            </w:r>
          </w:p>
        </w:tc>
        <w:tc>
          <w:tcPr>
            <w:tcW w:w="874" w:type="dxa"/>
          </w:tcPr>
          <w:p w14:paraId="730885F4" w14:textId="77777777" w:rsidR="0063774E" w:rsidRPr="008C1E5F" w:rsidRDefault="0063774E" w:rsidP="0063774E">
            <w:pPr>
              <w:pStyle w:val="TableTextCentered"/>
              <w:rPr>
                <w:rFonts w:eastAsia="Times New Roman"/>
              </w:rPr>
            </w:pPr>
            <w:r w:rsidRPr="008C1E5F">
              <w:rPr>
                <w:rFonts w:eastAsia="Times New Roman"/>
              </w:rPr>
              <w:t>0</w:t>
            </w:r>
          </w:p>
        </w:tc>
        <w:tc>
          <w:tcPr>
            <w:tcW w:w="874" w:type="dxa"/>
          </w:tcPr>
          <w:p w14:paraId="2907CCCA" w14:textId="77777777" w:rsidR="0063774E" w:rsidRPr="008C1E5F" w:rsidRDefault="0063774E" w:rsidP="0063774E">
            <w:pPr>
              <w:pStyle w:val="TableTextCentered"/>
              <w:rPr>
                <w:rFonts w:eastAsia="Times New Roman"/>
              </w:rPr>
            </w:pPr>
            <w:r w:rsidRPr="008C1E5F">
              <w:rPr>
                <w:rFonts w:eastAsia="Times New Roman"/>
              </w:rPr>
              <w:t>2</w:t>
            </w:r>
          </w:p>
        </w:tc>
        <w:tc>
          <w:tcPr>
            <w:tcW w:w="875" w:type="dxa"/>
          </w:tcPr>
          <w:p w14:paraId="2B4831A2" w14:textId="77777777" w:rsidR="0063774E" w:rsidRPr="008C1E5F" w:rsidRDefault="0063774E" w:rsidP="0063774E">
            <w:pPr>
              <w:pStyle w:val="TableTextCentered"/>
              <w:rPr>
                <w:rFonts w:eastAsia="Times New Roman"/>
              </w:rPr>
            </w:pPr>
            <w:r w:rsidRPr="008C1E5F">
              <w:rPr>
                <w:rFonts w:eastAsia="Times New Roman"/>
              </w:rPr>
              <w:t>7</w:t>
            </w:r>
          </w:p>
        </w:tc>
        <w:tc>
          <w:tcPr>
            <w:tcW w:w="875" w:type="dxa"/>
          </w:tcPr>
          <w:p w14:paraId="0BA4DBF0" w14:textId="77777777" w:rsidR="0063774E" w:rsidRPr="008C1E5F" w:rsidRDefault="0063774E" w:rsidP="0063774E">
            <w:pPr>
              <w:pStyle w:val="TableTextCentered"/>
              <w:rPr>
                <w:rFonts w:eastAsia="Times New Roman"/>
              </w:rPr>
            </w:pPr>
            <w:r w:rsidRPr="008C1E5F">
              <w:rPr>
                <w:rFonts w:eastAsia="Times New Roman"/>
              </w:rPr>
              <w:t>29</w:t>
            </w:r>
          </w:p>
        </w:tc>
        <w:tc>
          <w:tcPr>
            <w:tcW w:w="874" w:type="dxa"/>
          </w:tcPr>
          <w:p w14:paraId="4E962F9F" w14:textId="77777777" w:rsidR="0063774E" w:rsidRPr="008C1E5F" w:rsidRDefault="0063774E" w:rsidP="0063774E">
            <w:pPr>
              <w:pStyle w:val="TableTextCentered"/>
              <w:rPr>
                <w:rFonts w:eastAsia="Times New Roman"/>
              </w:rPr>
            </w:pPr>
            <w:r w:rsidRPr="008C1E5F">
              <w:rPr>
                <w:rFonts w:eastAsia="Times New Roman"/>
              </w:rPr>
              <w:t>20</w:t>
            </w:r>
          </w:p>
        </w:tc>
        <w:tc>
          <w:tcPr>
            <w:tcW w:w="875" w:type="dxa"/>
          </w:tcPr>
          <w:p w14:paraId="72ADD1C2" w14:textId="77777777" w:rsidR="0063774E" w:rsidRPr="008C1E5F" w:rsidRDefault="0063774E" w:rsidP="0063774E">
            <w:pPr>
              <w:pStyle w:val="TableTextCentered"/>
              <w:rPr>
                <w:rFonts w:eastAsia="Times New Roman"/>
              </w:rPr>
            </w:pPr>
            <w:r w:rsidRPr="008C1E5F">
              <w:rPr>
                <w:rFonts w:eastAsia="Times New Roman"/>
              </w:rPr>
              <w:t>26</w:t>
            </w:r>
          </w:p>
        </w:tc>
        <w:tc>
          <w:tcPr>
            <w:tcW w:w="900" w:type="dxa"/>
          </w:tcPr>
          <w:p w14:paraId="1154E801" w14:textId="77777777" w:rsidR="0063774E" w:rsidRPr="008C1E5F" w:rsidRDefault="0063774E" w:rsidP="0063774E">
            <w:pPr>
              <w:pStyle w:val="TableTextCentered"/>
              <w:rPr>
                <w:rFonts w:eastAsia="Times New Roman"/>
              </w:rPr>
            </w:pPr>
            <w:r w:rsidRPr="008C1E5F">
              <w:rPr>
                <w:rFonts w:eastAsia="Times New Roman"/>
              </w:rPr>
              <w:t>84</w:t>
            </w:r>
          </w:p>
        </w:tc>
        <w:tc>
          <w:tcPr>
            <w:tcW w:w="892" w:type="dxa"/>
          </w:tcPr>
          <w:p w14:paraId="015530D4" w14:textId="77777777" w:rsidR="0063774E" w:rsidRPr="008C1E5F" w:rsidRDefault="0063774E" w:rsidP="0063774E">
            <w:pPr>
              <w:pStyle w:val="TableTextCentered"/>
              <w:rPr>
                <w:rFonts w:eastAsia="Times New Roman"/>
              </w:rPr>
            </w:pPr>
            <w:r w:rsidRPr="008C1E5F">
              <w:rPr>
                <w:rFonts w:eastAsia="Times New Roman"/>
              </w:rPr>
              <w:t>5.7</w:t>
            </w:r>
          </w:p>
        </w:tc>
      </w:tr>
      <w:tr w:rsidR="0063774E" w:rsidRPr="008C1E5F" w14:paraId="11EE886D" w14:textId="77777777" w:rsidTr="0063774E">
        <w:trPr>
          <w:jc w:val="center"/>
        </w:trPr>
        <w:tc>
          <w:tcPr>
            <w:tcW w:w="1431" w:type="dxa"/>
          </w:tcPr>
          <w:p w14:paraId="551393D1" w14:textId="77777777" w:rsidR="0063774E" w:rsidRPr="008C1E5F" w:rsidRDefault="0063774E" w:rsidP="0063774E">
            <w:pPr>
              <w:pStyle w:val="TableText"/>
            </w:pPr>
            <w:r w:rsidRPr="008C1E5F">
              <w:t>Grades 6-8</w:t>
            </w:r>
          </w:p>
        </w:tc>
        <w:tc>
          <w:tcPr>
            <w:tcW w:w="874" w:type="dxa"/>
          </w:tcPr>
          <w:p w14:paraId="6B1A90D0" w14:textId="77777777" w:rsidR="0063774E" w:rsidRPr="008C1E5F" w:rsidRDefault="0063774E" w:rsidP="0063774E">
            <w:pPr>
              <w:pStyle w:val="TableTextCentered"/>
              <w:rPr>
                <w:rFonts w:eastAsia="Times New Roman"/>
              </w:rPr>
            </w:pPr>
            <w:r w:rsidRPr="008C1E5F">
              <w:rPr>
                <w:rFonts w:eastAsia="Times New Roman"/>
              </w:rPr>
              <w:t>0</w:t>
            </w:r>
          </w:p>
        </w:tc>
        <w:tc>
          <w:tcPr>
            <w:tcW w:w="874" w:type="dxa"/>
          </w:tcPr>
          <w:p w14:paraId="75327E3C" w14:textId="77777777" w:rsidR="0063774E" w:rsidRPr="008C1E5F" w:rsidRDefault="0063774E" w:rsidP="0063774E">
            <w:pPr>
              <w:pStyle w:val="TableTextCentered"/>
              <w:rPr>
                <w:rFonts w:eastAsia="Times New Roman"/>
              </w:rPr>
            </w:pPr>
            <w:r w:rsidRPr="008C1E5F">
              <w:rPr>
                <w:rFonts w:eastAsia="Times New Roman"/>
              </w:rPr>
              <w:t>1</w:t>
            </w:r>
          </w:p>
        </w:tc>
        <w:tc>
          <w:tcPr>
            <w:tcW w:w="874" w:type="dxa"/>
          </w:tcPr>
          <w:p w14:paraId="2D21BB9C" w14:textId="77777777" w:rsidR="0063774E" w:rsidRPr="008C1E5F" w:rsidRDefault="0063774E" w:rsidP="0063774E">
            <w:pPr>
              <w:pStyle w:val="TableTextCentered"/>
              <w:rPr>
                <w:rFonts w:eastAsia="Times New Roman"/>
              </w:rPr>
            </w:pPr>
            <w:r w:rsidRPr="008C1E5F">
              <w:rPr>
                <w:rFonts w:eastAsia="Times New Roman"/>
              </w:rPr>
              <w:t>2</w:t>
            </w:r>
          </w:p>
        </w:tc>
        <w:tc>
          <w:tcPr>
            <w:tcW w:w="875" w:type="dxa"/>
          </w:tcPr>
          <w:p w14:paraId="0227143C" w14:textId="77777777" w:rsidR="0063774E" w:rsidRPr="008C1E5F" w:rsidRDefault="0063774E" w:rsidP="0063774E">
            <w:pPr>
              <w:pStyle w:val="TableTextCentered"/>
              <w:rPr>
                <w:rFonts w:eastAsia="Times New Roman"/>
              </w:rPr>
            </w:pPr>
            <w:r w:rsidRPr="008C1E5F">
              <w:rPr>
                <w:rFonts w:eastAsia="Times New Roman"/>
              </w:rPr>
              <w:t>14</w:t>
            </w:r>
          </w:p>
        </w:tc>
        <w:tc>
          <w:tcPr>
            <w:tcW w:w="875" w:type="dxa"/>
          </w:tcPr>
          <w:p w14:paraId="303FFCFE" w14:textId="77777777" w:rsidR="0063774E" w:rsidRPr="008C1E5F" w:rsidRDefault="0063774E" w:rsidP="0063774E">
            <w:pPr>
              <w:pStyle w:val="TableTextCentered"/>
              <w:rPr>
                <w:rFonts w:eastAsia="Times New Roman"/>
              </w:rPr>
            </w:pPr>
            <w:r w:rsidRPr="008C1E5F">
              <w:rPr>
                <w:rFonts w:eastAsia="Times New Roman"/>
              </w:rPr>
              <w:t>26</w:t>
            </w:r>
          </w:p>
        </w:tc>
        <w:tc>
          <w:tcPr>
            <w:tcW w:w="874" w:type="dxa"/>
          </w:tcPr>
          <w:p w14:paraId="21D962C9" w14:textId="77777777" w:rsidR="0063774E" w:rsidRPr="008C1E5F" w:rsidRDefault="0063774E" w:rsidP="0063774E">
            <w:pPr>
              <w:pStyle w:val="TableTextCentered"/>
              <w:rPr>
                <w:rFonts w:eastAsia="Times New Roman"/>
              </w:rPr>
            </w:pPr>
            <w:r w:rsidRPr="008C1E5F">
              <w:rPr>
                <w:rFonts w:eastAsia="Times New Roman"/>
              </w:rPr>
              <w:t>13</w:t>
            </w:r>
          </w:p>
        </w:tc>
        <w:tc>
          <w:tcPr>
            <w:tcW w:w="875" w:type="dxa"/>
          </w:tcPr>
          <w:p w14:paraId="2BAF8094" w14:textId="77777777" w:rsidR="0063774E" w:rsidRPr="008C1E5F" w:rsidRDefault="0063774E" w:rsidP="0063774E">
            <w:pPr>
              <w:pStyle w:val="TableTextCentered"/>
              <w:rPr>
                <w:rFonts w:eastAsia="Times New Roman"/>
              </w:rPr>
            </w:pPr>
            <w:r w:rsidRPr="008C1E5F">
              <w:rPr>
                <w:rFonts w:eastAsia="Times New Roman"/>
              </w:rPr>
              <w:t>15</w:t>
            </w:r>
          </w:p>
        </w:tc>
        <w:tc>
          <w:tcPr>
            <w:tcW w:w="900" w:type="dxa"/>
          </w:tcPr>
          <w:p w14:paraId="06E47327" w14:textId="77777777" w:rsidR="0063774E" w:rsidRPr="008C1E5F" w:rsidRDefault="0063774E" w:rsidP="0063774E">
            <w:pPr>
              <w:pStyle w:val="TableTextCentered"/>
              <w:rPr>
                <w:rFonts w:eastAsia="Times New Roman"/>
              </w:rPr>
            </w:pPr>
            <w:r w:rsidRPr="008C1E5F">
              <w:rPr>
                <w:rFonts w:eastAsia="Times New Roman"/>
              </w:rPr>
              <w:t>71</w:t>
            </w:r>
          </w:p>
        </w:tc>
        <w:tc>
          <w:tcPr>
            <w:tcW w:w="892" w:type="dxa"/>
          </w:tcPr>
          <w:p w14:paraId="05225A4A" w14:textId="77777777" w:rsidR="0063774E" w:rsidRPr="008C1E5F" w:rsidRDefault="0063774E" w:rsidP="0063774E">
            <w:pPr>
              <w:pStyle w:val="TableTextCentered"/>
              <w:rPr>
                <w:rFonts w:eastAsia="Times New Roman"/>
              </w:rPr>
            </w:pPr>
            <w:r w:rsidRPr="008C1E5F">
              <w:rPr>
                <w:rFonts w:eastAsia="Times New Roman"/>
              </w:rPr>
              <w:t>5.3</w:t>
            </w:r>
          </w:p>
        </w:tc>
      </w:tr>
      <w:tr w:rsidR="0063774E" w:rsidRPr="008C1E5F" w14:paraId="3B609222" w14:textId="77777777" w:rsidTr="0063774E">
        <w:trPr>
          <w:jc w:val="center"/>
        </w:trPr>
        <w:tc>
          <w:tcPr>
            <w:tcW w:w="1431" w:type="dxa"/>
          </w:tcPr>
          <w:p w14:paraId="06F47247" w14:textId="77777777" w:rsidR="0063774E" w:rsidRPr="008C1E5F" w:rsidRDefault="0063774E" w:rsidP="0063774E">
            <w:pPr>
              <w:pStyle w:val="TableText"/>
            </w:pPr>
            <w:r w:rsidRPr="008C1E5F">
              <w:t>Grades 9-12</w:t>
            </w:r>
          </w:p>
        </w:tc>
        <w:tc>
          <w:tcPr>
            <w:tcW w:w="874" w:type="dxa"/>
          </w:tcPr>
          <w:p w14:paraId="6AD0B581" w14:textId="77777777" w:rsidR="0063774E" w:rsidRPr="008C1E5F" w:rsidRDefault="0063774E" w:rsidP="0063774E">
            <w:pPr>
              <w:pStyle w:val="TableTextCentered"/>
              <w:rPr>
                <w:rFonts w:eastAsia="Times New Roman"/>
              </w:rPr>
            </w:pPr>
            <w:r w:rsidRPr="008C1E5F">
              <w:rPr>
                <w:rFonts w:eastAsia="Times New Roman"/>
              </w:rPr>
              <w:t>0</w:t>
            </w:r>
          </w:p>
        </w:tc>
        <w:tc>
          <w:tcPr>
            <w:tcW w:w="874" w:type="dxa"/>
          </w:tcPr>
          <w:p w14:paraId="63CFFA0A" w14:textId="77777777" w:rsidR="0063774E" w:rsidRPr="008C1E5F" w:rsidRDefault="0063774E" w:rsidP="0063774E">
            <w:pPr>
              <w:pStyle w:val="TableTextCentered"/>
              <w:rPr>
                <w:rFonts w:eastAsia="Times New Roman"/>
              </w:rPr>
            </w:pPr>
            <w:r w:rsidRPr="008C1E5F">
              <w:rPr>
                <w:rFonts w:eastAsia="Times New Roman"/>
              </w:rPr>
              <w:t>0</w:t>
            </w:r>
          </w:p>
        </w:tc>
        <w:tc>
          <w:tcPr>
            <w:tcW w:w="874" w:type="dxa"/>
          </w:tcPr>
          <w:p w14:paraId="3CB84C4A" w14:textId="77777777" w:rsidR="0063774E" w:rsidRPr="008C1E5F" w:rsidRDefault="0063774E" w:rsidP="0063774E">
            <w:pPr>
              <w:pStyle w:val="TableTextCentered"/>
              <w:rPr>
                <w:rFonts w:eastAsia="Times New Roman"/>
              </w:rPr>
            </w:pPr>
            <w:r w:rsidRPr="008C1E5F">
              <w:rPr>
                <w:rFonts w:eastAsia="Times New Roman"/>
              </w:rPr>
              <w:t>4</w:t>
            </w:r>
          </w:p>
        </w:tc>
        <w:tc>
          <w:tcPr>
            <w:tcW w:w="875" w:type="dxa"/>
          </w:tcPr>
          <w:p w14:paraId="055399FD" w14:textId="77777777" w:rsidR="0063774E" w:rsidRPr="008C1E5F" w:rsidRDefault="0063774E" w:rsidP="0063774E">
            <w:pPr>
              <w:pStyle w:val="TableTextCentered"/>
              <w:rPr>
                <w:rFonts w:eastAsia="Times New Roman"/>
              </w:rPr>
            </w:pPr>
            <w:r w:rsidRPr="008C1E5F">
              <w:rPr>
                <w:rFonts w:eastAsia="Times New Roman"/>
              </w:rPr>
              <w:t>3</w:t>
            </w:r>
          </w:p>
        </w:tc>
        <w:tc>
          <w:tcPr>
            <w:tcW w:w="875" w:type="dxa"/>
          </w:tcPr>
          <w:p w14:paraId="73472FFC" w14:textId="77777777" w:rsidR="0063774E" w:rsidRPr="008C1E5F" w:rsidRDefault="0063774E" w:rsidP="0063774E">
            <w:pPr>
              <w:pStyle w:val="TableTextCentered"/>
              <w:rPr>
                <w:rFonts w:eastAsia="Times New Roman"/>
              </w:rPr>
            </w:pPr>
            <w:r w:rsidRPr="008C1E5F">
              <w:rPr>
                <w:rFonts w:eastAsia="Times New Roman"/>
              </w:rPr>
              <w:t>13</w:t>
            </w:r>
          </w:p>
        </w:tc>
        <w:tc>
          <w:tcPr>
            <w:tcW w:w="874" w:type="dxa"/>
          </w:tcPr>
          <w:p w14:paraId="0D08D5C7" w14:textId="77777777" w:rsidR="0063774E" w:rsidRPr="008C1E5F" w:rsidRDefault="0063774E" w:rsidP="0063774E">
            <w:pPr>
              <w:pStyle w:val="TableTextCentered"/>
              <w:rPr>
                <w:rFonts w:eastAsia="Times New Roman"/>
              </w:rPr>
            </w:pPr>
            <w:r w:rsidRPr="008C1E5F">
              <w:rPr>
                <w:rFonts w:eastAsia="Times New Roman"/>
              </w:rPr>
              <w:t>9</w:t>
            </w:r>
          </w:p>
        </w:tc>
        <w:tc>
          <w:tcPr>
            <w:tcW w:w="875" w:type="dxa"/>
          </w:tcPr>
          <w:p w14:paraId="26FDF741" w14:textId="77777777" w:rsidR="0063774E" w:rsidRPr="008C1E5F" w:rsidRDefault="0063774E" w:rsidP="0063774E">
            <w:pPr>
              <w:pStyle w:val="TableTextCentered"/>
              <w:rPr>
                <w:rFonts w:eastAsia="Times New Roman"/>
              </w:rPr>
            </w:pPr>
            <w:r w:rsidRPr="008C1E5F">
              <w:rPr>
                <w:rFonts w:eastAsia="Times New Roman"/>
              </w:rPr>
              <w:t>6</w:t>
            </w:r>
          </w:p>
        </w:tc>
        <w:tc>
          <w:tcPr>
            <w:tcW w:w="900" w:type="dxa"/>
          </w:tcPr>
          <w:p w14:paraId="780348C9" w14:textId="77777777" w:rsidR="0063774E" w:rsidRPr="008C1E5F" w:rsidRDefault="0063774E" w:rsidP="0063774E">
            <w:pPr>
              <w:pStyle w:val="TableTextCentered"/>
              <w:rPr>
                <w:rFonts w:eastAsia="Times New Roman"/>
              </w:rPr>
            </w:pPr>
            <w:r w:rsidRPr="008C1E5F">
              <w:rPr>
                <w:rFonts w:eastAsia="Times New Roman"/>
              </w:rPr>
              <w:t>35</w:t>
            </w:r>
          </w:p>
        </w:tc>
        <w:tc>
          <w:tcPr>
            <w:tcW w:w="892" w:type="dxa"/>
          </w:tcPr>
          <w:p w14:paraId="310C2E7F" w14:textId="77777777" w:rsidR="0063774E" w:rsidRPr="008C1E5F" w:rsidRDefault="0063774E" w:rsidP="0063774E">
            <w:pPr>
              <w:pStyle w:val="TableTextCentered"/>
              <w:rPr>
                <w:rFonts w:eastAsia="Times New Roman"/>
              </w:rPr>
            </w:pPr>
            <w:r w:rsidRPr="008C1E5F">
              <w:rPr>
                <w:rFonts w:eastAsia="Times New Roman"/>
              </w:rPr>
              <w:t>5.3</w:t>
            </w:r>
          </w:p>
        </w:tc>
      </w:tr>
    </w:tbl>
    <w:bookmarkEnd w:id="162"/>
    <w:p w14:paraId="02D2ED95" w14:textId="77777777" w:rsidR="00900CF1" w:rsidRPr="008C1E5F" w:rsidRDefault="00900CF1">
      <w:pPr>
        <w:pStyle w:val="TableNote"/>
      </w:pPr>
      <w:r w:rsidRPr="008C1E5F">
        <w:t xml:space="preserve">*The district average is an average of the observation scores. In Table 4, the district average is computed as: </w:t>
      </w:r>
      <w:r w:rsidRPr="008C1E5F">
        <w:br/>
      </w:r>
      <w:bookmarkStart w:id="163" w:name="Dist_TS_Calc"/>
      <w:r w:rsidRPr="008C1E5F">
        <w:t>([2 x 1] + [3 x 8] + [4 x 24] + [5 x 68] + [6 x 42] + [7 x 47]) ÷ 190 observations = 5.5</w:t>
      </w:r>
      <w:bookmarkEnd w:id="163"/>
    </w:p>
    <w:p w14:paraId="70F12EB0" w14:textId="77777777" w:rsidR="00900CF1" w:rsidRPr="008C1E5F" w:rsidRDefault="00900CF1">
      <w:pPr>
        <w:pStyle w:val="BodyText"/>
      </w:pPr>
      <w:r w:rsidRPr="008C1E5F">
        <w:rPr>
          <w:rStyle w:val="BodyTextDemiChar"/>
        </w:rPr>
        <w:t>Ratings in the Low Range.</w:t>
      </w:r>
      <w:r w:rsidRPr="008C1E5F">
        <w:t xml:space="preserve"> In these sessions, the teacher has not been aware of students who </w:t>
      </w:r>
      <w:r w:rsidRPr="008C1E5F">
        <w:rPr>
          <w:spacing w:val="-4"/>
        </w:rPr>
        <w:t>need extra support and pays little attention to students’ needs. As a result, students are frustrated</w:t>
      </w:r>
      <w:r w:rsidRPr="008C1E5F">
        <w:t xml:space="preserve">, confused, and disengaged. The teacher is unresponsive to and dismissive of students and may ignore students, squash their enthusiasm, and not allow them to share their moods or feelings. </w:t>
      </w:r>
      <w:r w:rsidRPr="008C1E5F">
        <w:rPr>
          <w:spacing w:val="-4"/>
        </w:rPr>
        <w:t>The teacher is not effective in addressing students’ needs and does not appropriately acknowledge situations that may be upsetting to students. Students rarely seek support from the teacher</w:t>
      </w:r>
      <w:r w:rsidRPr="008C1E5F">
        <w:t xml:space="preserve"> and minimize conversations with the teacher, not sharing ideas or responding to questions.</w:t>
      </w:r>
    </w:p>
    <w:p w14:paraId="6F9913AB" w14:textId="77777777" w:rsidR="00900CF1" w:rsidRPr="008C1E5F" w:rsidRDefault="00900CF1">
      <w:pPr>
        <w:pStyle w:val="BodyText"/>
      </w:pPr>
      <w:r w:rsidRPr="008C1E5F">
        <w:rPr>
          <w:rStyle w:val="BodyTextDemiChar"/>
        </w:rPr>
        <w:t>Ratings in the Middle Range.</w:t>
      </w:r>
      <w:r w:rsidRPr="008C1E5F">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 concerns or problems, but not always. </w:t>
      </w:r>
    </w:p>
    <w:p w14:paraId="5E947018" w14:textId="77777777" w:rsidR="00900CF1" w:rsidRPr="008C1E5F" w:rsidRDefault="00900CF1">
      <w:pPr>
        <w:pStyle w:val="BodyText"/>
      </w:pPr>
      <w:r w:rsidRPr="008C1E5F">
        <w:rPr>
          <w:rStyle w:val="BodyTextDemiChar"/>
        </w:rPr>
        <w:t>Ratings in the High Range.</w:t>
      </w:r>
      <w:r w:rsidRPr="008C1E5F">
        <w:t xml:space="preserve"> The teacher’s awareness of students and their needs is consistent </w:t>
      </w:r>
      <w:r w:rsidRPr="008C1E5F">
        <w:rPr>
          <w:spacing w:val="-4"/>
        </w:rPr>
        <w:t>and accurate. The teacher may predict how difficult a new task is for a student and acknowledge</w:t>
      </w:r>
      <w:r w:rsidRPr="008C1E5F">
        <w:t xml:space="preserve"> this difficulty. The teacher is responsive to students’ comments and behaviors, whether positive or negative. The teacher consistently addresses students’ problems and concerns and is effective in doing so. Students are obviously comfortable with the teacher and share ideas, work comfortably together, and ask and respond to questions, even difficult questions. </w:t>
      </w:r>
    </w:p>
    <w:p w14:paraId="7F9D34FD" w14:textId="77777777" w:rsidR="00900CF1" w:rsidRPr="008C1E5F" w:rsidRDefault="00900CF1">
      <w:pPr>
        <w:spacing w:after="160" w:line="259" w:lineRule="auto"/>
      </w:pPr>
      <w:r w:rsidRPr="008C1E5F">
        <w:br w:type="page"/>
      </w:r>
    </w:p>
    <w:p w14:paraId="4D06B9CE" w14:textId="77777777" w:rsidR="00900CF1" w:rsidRPr="008C1E5F" w:rsidRDefault="00900CF1">
      <w:pPr>
        <w:pStyle w:val="Heading2-SIOR"/>
      </w:pPr>
      <w:bookmarkStart w:id="164" w:name="_Toc411329829"/>
      <w:bookmarkStart w:id="165" w:name="_Toc430114877"/>
      <w:bookmarkStart w:id="166" w:name="_Toc92194256"/>
      <w:bookmarkStart w:id="167" w:name="_Toc195024248"/>
      <w:r w:rsidRPr="008C1E5F">
        <w:lastRenderedPageBreak/>
        <w:t>Regard for Student Perspectives</w:t>
      </w:r>
      <w:bookmarkEnd w:id="164"/>
      <w:bookmarkEnd w:id="165"/>
      <w:bookmarkEnd w:id="166"/>
      <w:bookmarkEnd w:id="167"/>
    </w:p>
    <w:p w14:paraId="16130342" w14:textId="77777777" w:rsidR="00900CF1" w:rsidRPr="008C1E5F" w:rsidRDefault="00900CF1">
      <w:pPr>
        <w:pStyle w:val="BodyTextDomain"/>
      </w:pPr>
      <w:r w:rsidRPr="008C1E5F">
        <w:t>Emotional Support domain, Grades K−12</w:t>
      </w:r>
    </w:p>
    <w:p w14:paraId="7270B245" w14:textId="77777777" w:rsidR="00900CF1" w:rsidRPr="008C1E5F" w:rsidRDefault="00900CF1">
      <w:pPr>
        <w:pStyle w:val="BodyText"/>
      </w:pPr>
      <w:r w:rsidRPr="008C1E5F">
        <w:t>Regard for Student Perspectives captures the degree to which the teacher’s interactions with students and classroom activities place an emphasis on students’ interests, motivations, and points of view and encourage student responsibility and autonomy (</w:t>
      </w:r>
      <w:r w:rsidRPr="008C1E5F">
        <w:rPr>
          <w:i/>
        </w:rPr>
        <w:t>CLASS K–3 Manual,</w:t>
      </w:r>
      <w:r w:rsidRPr="008C1E5F">
        <w:t xml:space="preserve"> p. 38, </w:t>
      </w:r>
      <w:r w:rsidRPr="008C1E5F">
        <w:rPr>
          <w:i/>
        </w:rPr>
        <w:t xml:space="preserve">CLASS Upper Elementary Manual, </w:t>
      </w:r>
      <w:r w:rsidRPr="008C1E5F">
        <w:t xml:space="preserve">p. 35, </w:t>
      </w:r>
      <w:r w:rsidRPr="008C1E5F">
        <w:rPr>
          <w:i/>
          <w:spacing w:val="-4"/>
        </w:rPr>
        <w:t>CLASS Secondary Manual</w:t>
      </w:r>
      <w:r w:rsidRPr="008C1E5F">
        <w:rPr>
          <w:spacing w:val="-4"/>
        </w:rPr>
        <w:t>, p. 35</w:t>
      </w:r>
      <w:r w:rsidRPr="008C1E5F">
        <w:t xml:space="preserve">). </w:t>
      </w:r>
    </w:p>
    <w:p w14:paraId="68740337" w14:textId="77777777" w:rsidR="00900CF1" w:rsidRPr="008C1E5F" w:rsidRDefault="00900CF1">
      <w:pPr>
        <w:pStyle w:val="TableTitle0"/>
      </w:pPr>
      <w:r w:rsidRPr="008C1E5F">
        <w:t>Table 5. Regard for Student Perspectives: Number of Classrooms for Each Rating and District Average</w:t>
      </w:r>
    </w:p>
    <w:p w14:paraId="45AC4273" w14:textId="77777777" w:rsidR="00900CF1" w:rsidRPr="008C1E5F" w:rsidRDefault="00900CF1">
      <w:pPr>
        <w:pStyle w:val="BodyTextDemi"/>
      </w:pPr>
      <w:r w:rsidRPr="008C1E5F">
        <w:t xml:space="preserve">Regard for Student Perspectives District Average*: </w:t>
      </w:r>
      <w:bookmarkStart w:id="168" w:name="Dist_RSP_Avg"/>
      <w:r w:rsidRPr="008C1E5F">
        <w:t>2.8</w:t>
      </w:r>
      <w:bookmarkEnd w:id="168"/>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63774E" w:rsidRPr="008C1E5F" w14:paraId="172EA3DB" w14:textId="77777777">
        <w:trPr>
          <w:cnfStyle w:val="100000000000" w:firstRow="1" w:lastRow="0" w:firstColumn="0" w:lastColumn="0" w:oddVBand="0" w:evenVBand="0" w:oddHBand="0" w:evenHBand="0" w:firstRowFirstColumn="0" w:firstRowLastColumn="0" w:lastRowFirstColumn="0" w:lastRowLastColumn="0"/>
          <w:jc w:val="center"/>
        </w:trPr>
        <w:tc>
          <w:tcPr>
            <w:tcW w:w="1431" w:type="dxa"/>
          </w:tcPr>
          <w:p w14:paraId="7C7E1E13" w14:textId="2D9F712A" w:rsidR="0063774E" w:rsidRPr="008C1E5F" w:rsidRDefault="0063774E" w:rsidP="0063774E">
            <w:pPr>
              <w:pStyle w:val="TableColHeadingCenter"/>
              <w:rPr>
                <w:rFonts w:eastAsia="MS Mincho"/>
              </w:rPr>
            </w:pPr>
            <w:bookmarkStart w:id="169" w:name="Tbl_RSP"/>
            <w:r w:rsidRPr="008C1E5F">
              <w:rPr>
                <w:rFonts w:eastAsia="MS Mincho"/>
              </w:rPr>
              <w:t>Grade Band</w:t>
            </w:r>
          </w:p>
        </w:tc>
        <w:tc>
          <w:tcPr>
            <w:tcW w:w="874" w:type="dxa"/>
          </w:tcPr>
          <w:p w14:paraId="5993F1B0" w14:textId="77777777" w:rsidR="0063774E" w:rsidRPr="008C1E5F" w:rsidRDefault="0063774E" w:rsidP="0063774E">
            <w:pPr>
              <w:pStyle w:val="TableColHeadingCenter"/>
              <w:rPr>
                <w:rFonts w:eastAsia="MS Mincho"/>
              </w:rPr>
            </w:pPr>
            <w:r w:rsidRPr="008C1E5F">
              <w:rPr>
                <w:rFonts w:eastAsia="MS Mincho"/>
              </w:rPr>
              <w:t>Low Range</w:t>
            </w:r>
          </w:p>
        </w:tc>
        <w:tc>
          <w:tcPr>
            <w:tcW w:w="874" w:type="dxa"/>
          </w:tcPr>
          <w:p w14:paraId="0D54B91D" w14:textId="29344CEC" w:rsidR="0063774E" w:rsidRPr="008C1E5F" w:rsidRDefault="0063774E" w:rsidP="0063774E">
            <w:pPr>
              <w:pStyle w:val="TableColHeadingCenter"/>
              <w:rPr>
                <w:rFonts w:eastAsia="MS Mincho"/>
              </w:rPr>
            </w:pPr>
            <w:r w:rsidRPr="008C1E5F">
              <w:rPr>
                <w:rFonts w:eastAsia="MS Mincho"/>
              </w:rPr>
              <w:t>Low Range</w:t>
            </w:r>
          </w:p>
        </w:tc>
        <w:tc>
          <w:tcPr>
            <w:tcW w:w="874" w:type="dxa"/>
          </w:tcPr>
          <w:p w14:paraId="223B3581" w14:textId="77777777" w:rsidR="0063774E" w:rsidRPr="008C1E5F" w:rsidRDefault="0063774E" w:rsidP="0063774E">
            <w:pPr>
              <w:pStyle w:val="TableColHeadingCenter"/>
              <w:rPr>
                <w:rFonts w:eastAsia="MS Mincho"/>
              </w:rPr>
            </w:pPr>
            <w:r w:rsidRPr="008C1E5F">
              <w:rPr>
                <w:rFonts w:eastAsia="MS Mincho"/>
              </w:rPr>
              <w:t>Middle Range</w:t>
            </w:r>
          </w:p>
        </w:tc>
        <w:tc>
          <w:tcPr>
            <w:tcW w:w="875" w:type="dxa"/>
          </w:tcPr>
          <w:p w14:paraId="54805241" w14:textId="16183353" w:rsidR="0063774E" w:rsidRPr="008C1E5F" w:rsidRDefault="0063774E" w:rsidP="0063774E">
            <w:pPr>
              <w:pStyle w:val="TableColHeadingCenter"/>
              <w:rPr>
                <w:rFonts w:eastAsia="MS Mincho"/>
              </w:rPr>
            </w:pPr>
            <w:r w:rsidRPr="008C1E5F">
              <w:rPr>
                <w:rFonts w:eastAsia="MS Mincho"/>
              </w:rPr>
              <w:t>Middle Range</w:t>
            </w:r>
          </w:p>
        </w:tc>
        <w:tc>
          <w:tcPr>
            <w:tcW w:w="875" w:type="dxa"/>
          </w:tcPr>
          <w:p w14:paraId="064E4AE8" w14:textId="4FDF98D1" w:rsidR="0063774E" w:rsidRPr="008C1E5F" w:rsidRDefault="0063774E" w:rsidP="0063774E">
            <w:pPr>
              <w:pStyle w:val="TableColHeadingCenter"/>
              <w:rPr>
                <w:rFonts w:eastAsia="MS Mincho"/>
              </w:rPr>
            </w:pPr>
            <w:r w:rsidRPr="008C1E5F">
              <w:rPr>
                <w:rFonts w:eastAsia="MS Mincho"/>
              </w:rPr>
              <w:t>Middle Range</w:t>
            </w:r>
          </w:p>
        </w:tc>
        <w:tc>
          <w:tcPr>
            <w:tcW w:w="874" w:type="dxa"/>
          </w:tcPr>
          <w:p w14:paraId="2ABEB0EA" w14:textId="77777777" w:rsidR="0063774E" w:rsidRPr="008C1E5F" w:rsidRDefault="0063774E" w:rsidP="0063774E">
            <w:pPr>
              <w:pStyle w:val="TableColHeadingCenter"/>
              <w:rPr>
                <w:rFonts w:eastAsia="MS Mincho"/>
              </w:rPr>
            </w:pPr>
            <w:r w:rsidRPr="008C1E5F">
              <w:rPr>
                <w:rFonts w:eastAsia="MS Mincho"/>
              </w:rPr>
              <w:t>High Range</w:t>
            </w:r>
          </w:p>
        </w:tc>
        <w:tc>
          <w:tcPr>
            <w:tcW w:w="875" w:type="dxa"/>
          </w:tcPr>
          <w:p w14:paraId="049C50B2" w14:textId="2EB67B36" w:rsidR="0063774E" w:rsidRPr="008C1E5F" w:rsidRDefault="0063774E" w:rsidP="0063774E">
            <w:pPr>
              <w:pStyle w:val="TableColHeadingCenter"/>
              <w:rPr>
                <w:rFonts w:eastAsia="MS Mincho"/>
              </w:rPr>
            </w:pPr>
            <w:r w:rsidRPr="008C1E5F">
              <w:rPr>
                <w:rFonts w:eastAsia="MS Mincho"/>
              </w:rPr>
              <w:t>High Range</w:t>
            </w:r>
          </w:p>
        </w:tc>
        <w:tc>
          <w:tcPr>
            <w:tcW w:w="900" w:type="dxa"/>
          </w:tcPr>
          <w:p w14:paraId="7BD068CB" w14:textId="0A62D329" w:rsidR="0063774E" w:rsidRPr="008C1E5F" w:rsidRDefault="0063774E" w:rsidP="0063774E">
            <w:pPr>
              <w:pStyle w:val="TableColHeadingCenter"/>
              <w:rPr>
                <w:rFonts w:eastAsia="MS Mincho"/>
              </w:rPr>
            </w:pPr>
            <w:r w:rsidRPr="008C1E5F">
              <w:rPr>
                <w:rFonts w:eastAsia="MS Mincho"/>
                <w:i/>
                <w:iCs/>
              </w:rPr>
              <w:t>n</w:t>
            </w:r>
          </w:p>
        </w:tc>
        <w:tc>
          <w:tcPr>
            <w:tcW w:w="892" w:type="dxa"/>
          </w:tcPr>
          <w:p w14:paraId="0551336E" w14:textId="472B93A4" w:rsidR="0063774E" w:rsidRPr="008C1E5F" w:rsidRDefault="0063774E" w:rsidP="0063774E">
            <w:pPr>
              <w:pStyle w:val="TableColHeadingCenter"/>
              <w:rPr>
                <w:rFonts w:eastAsia="MS Mincho"/>
              </w:rPr>
            </w:pPr>
            <w:r w:rsidRPr="008C1E5F">
              <w:rPr>
                <w:rFonts w:eastAsia="MS Mincho"/>
              </w:rPr>
              <w:t>Average</w:t>
            </w:r>
          </w:p>
        </w:tc>
      </w:tr>
      <w:tr w:rsidR="0063774E" w:rsidRPr="008C1E5F" w14:paraId="4C064D93" w14:textId="77777777" w:rsidTr="0063774E">
        <w:trPr>
          <w:jc w:val="center"/>
        </w:trPr>
        <w:tc>
          <w:tcPr>
            <w:tcW w:w="1431" w:type="dxa"/>
            <w:shd w:val="clear" w:color="auto" w:fill="D9E2F3" w:themeFill="accent5" w:themeFillTint="33"/>
          </w:tcPr>
          <w:p w14:paraId="7350D86E" w14:textId="77777777" w:rsidR="0063774E" w:rsidRPr="008C1E5F" w:rsidRDefault="0063774E" w:rsidP="0063774E">
            <w:pPr>
              <w:pStyle w:val="TableSubheadingCentered"/>
            </w:pPr>
          </w:p>
        </w:tc>
        <w:tc>
          <w:tcPr>
            <w:tcW w:w="874" w:type="dxa"/>
            <w:shd w:val="clear" w:color="auto" w:fill="D9E2F3" w:themeFill="accent5" w:themeFillTint="33"/>
          </w:tcPr>
          <w:p w14:paraId="7F8BE5EC" w14:textId="77777777" w:rsidR="0063774E" w:rsidRPr="008C1E5F" w:rsidRDefault="0063774E" w:rsidP="0063774E">
            <w:pPr>
              <w:pStyle w:val="TableSubheadingCentered"/>
            </w:pPr>
            <w:r w:rsidRPr="008C1E5F">
              <w:t>1</w:t>
            </w:r>
          </w:p>
        </w:tc>
        <w:tc>
          <w:tcPr>
            <w:tcW w:w="874" w:type="dxa"/>
            <w:shd w:val="clear" w:color="auto" w:fill="D9E2F3" w:themeFill="accent5" w:themeFillTint="33"/>
          </w:tcPr>
          <w:p w14:paraId="35009994" w14:textId="77777777" w:rsidR="0063774E" w:rsidRPr="008C1E5F" w:rsidRDefault="0063774E" w:rsidP="0063774E">
            <w:pPr>
              <w:pStyle w:val="TableSubheadingCentered"/>
            </w:pPr>
            <w:r w:rsidRPr="008C1E5F">
              <w:t>2</w:t>
            </w:r>
          </w:p>
        </w:tc>
        <w:tc>
          <w:tcPr>
            <w:tcW w:w="874" w:type="dxa"/>
            <w:shd w:val="clear" w:color="auto" w:fill="D9E2F3" w:themeFill="accent5" w:themeFillTint="33"/>
          </w:tcPr>
          <w:p w14:paraId="73108C91" w14:textId="77777777" w:rsidR="0063774E" w:rsidRPr="008C1E5F" w:rsidRDefault="0063774E" w:rsidP="0063774E">
            <w:pPr>
              <w:pStyle w:val="TableSubheadingCentered"/>
            </w:pPr>
            <w:r w:rsidRPr="008C1E5F">
              <w:t>3</w:t>
            </w:r>
          </w:p>
        </w:tc>
        <w:tc>
          <w:tcPr>
            <w:tcW w:w="875" w:type="dxa"/>
            <w:shd w:val="clear" w:color="auto" w:fill="D9E2F3" w:themeFill="accent5" w:themeFillTint="33"/>
          </w:tcPr>
          <w:p w14:paraId="5CED93A8" w14:textId="77777777" w:rsidR="0063774E" w:rsidRPr="008C1E5F" w:rsidRDefault="0063774E" w:rsidP="0063774E">
            <w:pPr>
              <w:pStyle w:val="TableSubheadingCentered"/>
            </w:pPr>
            <w:r w:rsidRPr="008C1E5F">
              <w:t>4</w:t>
            </w:r>
          </w:p>
        </w:tc>
        <w:tc>
          <w:tcPr>
            <w:tcW w:w="875" w:type="dxa"/>
            <w:shd w:val="clear" w:color="auto" w:fill="D9E2F3" w:themeFill="accent5" w:themeFillTint="33"/>
          </w:tcPr>
          <w:p w14:paraId="21466CF9" w14:textId="77777777" w:rsidR="0063774E" w:rsidRPr="008C1E5F" w:rsidRDefault="0063774E" w:rsidP="0063774E">
            <w:pPr>
              <w:pStyle w:val="TableSubheadingCentered"/>
            </w:pPr>
            <w:r w:rsidRPr="008C1E5F">
              <w:t>5</w:t>
            </w:r>
          </w:p>
        </w:tc>
        <w:tc>
          <w:tcPr>
            <w:tcW w:w="874" w:type="dxa"/>
            <w:shd w:val="clear" w:color="auto" w:fill="D9E2F3" w:themeFill="accent5" w:themeFillTint="33"/>
          </w:tcPr>
          <w:p w14:paraId="25CF573D" w14:textId="77777777" w:rsidR="0063774E" w:rsidRPr="008C1E5F" w:rsidRDefault="0063774E" w:rsidP="0063774E">
            <w:pPr>
              <w:pStyle w:val="TableSubheadingCentered"/>
            </w:pPr>
            <w:r w:rsidRPr="008C1E5F">
              <w:t>6</w:t>
            </w:r>
          </w:p>
        </w:tc>
        <w:tc>
          <w:tcPr>
            <w:tcW w:w="875" w:type="dxa"/>
            <w:shd w:val="clear" w:color="auto" w:fill="D9E2F3" w:themeFill="accent5" w:themeFillTint="33"/>
          </w:tcPr>
          <w:p w14:paraId="1E527D47" w14:textId="77777777" w:rsidR="0063774E" w:rsidRPr="008C1E5F" w:rsidRDefault="0063774E" w:rsidP="0063774E">
            <w:pPr>
              <w:pStyle w:val="TableSubheadingCentered"/>
            </w:pPr>
            <w:r w:rsidRPr="008C1E5F">
              <w:t>7</w:t>
            </w:r>
          </w:p>
        </w:tc>
        <w:tc>
          <w:tcPr>
            <w:tcW w:w="900" w:type="dxa"/>
            <w:shd w:val="clear" w:color="auto" w:fill="D9E2F3" w:themeFill="accent5" w:themeFillTint="33"/>
          </w:tcPr>
          <w:p w14:paraId="5D9CD685" w14:textId="77777777" w:rsidR="0063774E" w:rsidRPr="008C1E5F" w:rsidRDefault="0063774E" w:rsidP="0063774E">
            <w:pPr>
              <w:pStyle w:val="TableSubheadingCentered"/>
            </w:pPr>
            <w:r w:rsidRPr="008C1E5F">
              <w:t>190</w:t>
            </w:r>
          </w:p>
        </w:tc>
        <w:tc>
          <w:tcPr>
            <w:tcW w:w="892" w:type="dxa"/>
            <w:shd w:val="clear" w:color="auto" w:fill="D9E2F3" w:themeFill="accent5" w:themeFillTint="33"/>
          </w:tcPr>
          <w:p w14:paraId="64DEA254" w14:textId="77777777" w:rsidR="0063774E" w:rsidRPr="008C1E5F" w:rsidRDefault="0063774E" w:rsidP="0063774E">
            <w:pPr>
              <w:pStyle w:val="TableSubheadingCentered"/>
            </w:pPr>
            <w:r w:rsidRPr="008C1E5F">
              <w:t>2.8</w:t>
            </w:r>
          </w:p>
        </w:tc>
      </w:tr>
      <w:tr w:rsidR="0063774E" w:rsidRPr="008C1E5F" w14:paraId="68CFB911" w14:textId="77777777" w:rsidTr="0063774E">
        <w:trPr>
          <w:jc w:val="center"/>
        </w:trPr>
        <w:tc>
          <w:tcPr>
            <w:tcW w:w="1431" w:type="dxa"/>
          </w:tcPr>
          <w:p w14:paraId="28DAF12C" w14:textId="77777777" w:rsidR="0063774E" w:rsidRPr="008C1E5F" w:rsidRDefault="0063774E" w:rsidP="0063774E">
            <w:pPr>
              <w:pStyle w:val="TableText"/>
            </w:pPr>
            <w:r w:rsidRPr="008C1E5F">
              <w:t>Grades K-5</w:t>
            </w:r>
          </w:p>
        </w:tc>
        <w:tc>
          <w:tcPr>
            <w:tcW w:w="874" w:type="dxa"/>
          </w:tcPr>
          <w:p w14:paraId="7262E69E" w14:textId="77777777" w:rsidR="0063774E" w:rsidRPr="008C1E5F" w:rsidRDefault="0063774E" w:rsidP="0063774E">
            <w:pPr>
              <w:pStyle w:val="TableTextCentered"/>
              <w:rPr>
                <w:rFonts w:eastAsia="Times New Roman"/>
              </w:rPr>
            </w:pPr>
            <w:r w:rsidRPr="008C1E5F">
              <w:rPr>
                <w:rFonts w:eastAsia="Times New Roman"/>
              </w:rPr>
              <w:t>6</w:t>
            </w:r>
          </w:p>
        </w:tc>
        <w:tc>
          <w:tcPr>
            <w:tcW w:w="874" w:type="dxa"/>
          </w:tcPr>
          <w:p w14:paraId="57364018" w14:textId="77777777" w:rsidR="0063774E" w:rsidRPr="008C1E5F" w:rsidRDefault="0063774E" w:rsidP="0063774E">
            <w:pPr>
              <w:pStyle w:val="TableTextCentered"/>
              <w:rPr>
                <w:rFonts w:eastAsia="Times New Roman"/>
              </w:rPr>
            </w:pPr>
            <w:r w:rsidRPr="008C1E5F">
              <w:rPr>
                <w:rFonts w:eastAsia="Times New Roman"/>
              </w:rPr>
              <w:t>25</w:t>
            </w:r>
          </w:p>
        </w:tc>
        <w:tc>
          <w:tcPr>
            <w:tcW w:w="874" w:type="dxa"/>
          </w:tcPr>
          <w:p w14:paraId="5745CCEE" w14:textId="77777777" w:rsidR="0063774E" w:rsidRPr="008C1E5F" w:rsidRDefault="0063774E" w:rsidP="0063774E">
            <w:pPr>
              <w:pStyle w:val="TableTextCentered"/>
              <w:rPr>
                <w:rFonts w:eastAsia="Times New Roman"/>
              </w:rPr>
            </w:pPr>
            <w:r w:rsidRPr="008C1E5F">
              <w:rPr>
                <w:rFonts w:eastAsia="Times New Roman"/>
              </w:rPr>
              <w:t>20</w:t>
            </w:r>
          </w:p>
        </w:tc>
        <w:tc>
          <w:tcPr>
            <w:tcW w:w="875" w:type="dxa"/>
          </w:tcPr>
          <w:p w14:paraId="2BD3BC1A" w14:textId="77777777" w:rsidR="0063774E" w:rsidRPr="008C1E5F" w:rsidRDefault="0063774E" w:rsidP="0063774E">
            <w:pPr>
              <w:pStyle w:val="TableTextCentered"/>
              <w:rPr>
                <w:rFonts w:eastAsia="Times New Roman"/>
              </w:rPr>
            </w:pPr>
            <w:r w:rsidRPr="008C1E5F">
              <w:rPr>
                <w:rFonts w:eastAsia="Times New Roman"/>
              </w:rPr>
              <w:t>21</w:t>
            </w:r>
          </w:p>
        </w:tc>
        <w:tc>
          <w:tcPr>
            <w:tcW w:w="875" w:type="dxa"/>
          </w:tcPr>
          <w:p w14:paraId="74E3EBA9" w14:textId="77777777" w:rsidR="0063774E" w:rsidRPr="008C1E5F" w:rsidRDefault="0063774E" w:rsidP="0063774E">
            <w:pPr>
              <w:pStyle w:val="TableTextCentered"/>
              <w:rPr>
                <w:rFonts w:eastAsia="Times New Roman"/>
              </w:rPr>
            </w:pPr>
            <w:r w:rsidRPr="008C1E5F">
              <w:rPr>
                <w:rFonts w:eastAsia="Times New Roman"/>
              </w:rPr>
              <w:t>11</w:t>
            </w:r>
          </w:p>
        </w:tc>
        <w:tc>
          <w:tcPr>
            <w:tcW w:w="874" w:type="dxa"/>
          </w:tcPr>
          <w:p w14:paraId="66D4B7C4" w14:textId="77777777" w:rsidR="0063774E" w:rsidRPr="008C1E5F" w:rsidRDefault="0063774E" w:rsidP="0063774E">
            <w:pPr>
              <w:pStyle w:val="TableTextCentered"/>
              <w:rPr>
                <w:rFonts w:eastAsia="Times New Roman"/>
              </w:rPr>
            </w:pPr>
            <w:r w:rsidRPr="008C1E5F">
              <w:rPr>
                <w:rFonts w:eastAsia="Times New Roman"/>
              </w:rPr>
              <w:t>1</w:t>
            </w:r>
          </w:p>
        </w:tc>
        <w:tc>
          <w:tcPr>
            <w:tcW w:w="875" w:type="dxa"/>
          </w:tcPr>
          <w:p w14:paraId="099AC056" w14:textId="77777777" w:rsidR="0063774E" w:rsidRPr="008C1E5F" w:rsidRDefault="0063774E" w:rsidP="0063774E">
            <w:pPr>
              <w:pStyle w:val="TableTextCentered"/>
              <w:rPr>
                <w:rFonts w:eastAsia="Times New Roman"/>
              </w:rPr>
            </w:pPr>
            <w:r w:rsidRPr="008C1E5F">
              <w:rPr>
                <w:rFonts w:eastAsia="Times New Roman"/>
              </w:rPr>
              <w:t>0</w:t>
            </w:r>
          </w:p>
        </w:tc>
        <w:tc>
          <w:tcPr>
            <w:tcW w:w="900" w:type="dxa"/>
          </w:tcPr>
          <w:p w14:paraId="10D14676" w14:textId="77777777" w:rsidR="0063774E" w:rsidRPr="008C1E5F" w:rsidRDefault="0063774E" w:rsidP="0063774E">
            <w:pPr>
              <w:pStyle w:val="TableTextCentered"/>
              <w:rPr>
                <w:rFonts w:eastAsia="Times New Roman"/>
              </w:rPr>
            </w:pPr>
            <w:r w:rsidRPr="008C1E5F">
              <w:rPr>
                <w:rFonts w:eastAsia="Times New Roman"/>
              </w:rPr>
              <w:t>84</w:t>
            </w:r>
          </w:p>
        </w:tc>
        <w:tc>
          <w:tcPr>
            <w:tcW w:w="892" w:type="dxa"/>
          </w:tcPr>
          <w:p w14:paraId="4788DE94" w14:textId="77777777" w:rsidR="0063774E" w:rsidRPr="008C1E5F" w:rsidRDefault="0063774E" w:rsidP="0063774E">
            <w:pPr>
              <w:pStyle w:val="TableTextCentered"/>
              <w:rPr>
                <w:rFonts w:eastAsia="Times New Roman"/>
              </w:rPr>
            </w:pPr>
            <w:r w:rsidRPr="008C1E5F">
              <w:rPr>
                <w:rFonts w:eastAsia="Times New Roman"/>
              </w:rPr>
              <w:t>3.1</w:t>
            </w:r>
          </w:p>
        </w:tc>
      </w:tr>
      <w:tr w:rsidR="0063774E" w:rsidRPr="008C1E5F" w14:paraId="0CB9954C" w14:textId="77777777" w:rsidTr="0063774E">
        <w:trPr>
          <w:jc w:val="center"/>
        </w:trPr>
        <w:tc>
          <w:tcPr>
            <w:tcW w:w="1431" w:type="dxa"/>
          </w:tcPr>
          <w:p w14:paraId="03FBB133" w14:textId="77777777" w:rsidR="0063774E" w:rsidRPr="008C1E5F" w:rsidRDefault="0063774E" w:rsidP="0063774E">
            <w:pPr>
              <w:pStyle w:val="TableText"/>
            </w:pPr>
            <w:r w:rsidRPr="008C1E5F">
              <w:t>Grades 6-8</w:t>
            </w:r>
          </w:p>
        </w:tc>
        <w:tc>
          <w:tcPr>
            <w:tcW w:w="874" w:type="dxa"/>
          </w:tcPr>
          <w:p w14:paraId="69C993D8" w14:textId="77777777" w:rsidR="0063774E" w:rsidRPr="008C1E5F" w:rsidRDefault="0063774E" w:rsidP="0063774E">
            <w:pPr>
              <w:pStyle w:val="TableTextCentered"/>
              <w:rPr>
                <w:rFonts w:eastAsia="Times New Roman"/>
              </w:rPr>
            </w:pPr>
            <w:r w:rsidRPr="008C1E5F">
              <w:rPr>
                <w:rFonts w:eastAsia="Times New Roman"/>
              </w:rPr>
              <w:t>17</w:t>
            </w:r>
          </w:p>
        </w:tc>
        <w:tc>
          <w:tcPr>
            <w:tcW w:w="874" w:type="dxa"/>
          </w:tcPr>
          <w:p w14:paraId="7539A6A6" w14:textId="77777777" w:rsidR="0063774E" w:rsidRPr="008C1E5F" w:rsidRDefault="0063774E" w:rsidP="0063774E">
            <w:pPr>
              <w:pStyle w:val="TableTextCentered"/>
              <w:rPr>
                <w:rFonts w:eastAsia="Times New Roman"/>
              </w:rPr>
            </w:pPr>
            <w:r w:rsidRPr="008C1E5F">
              <w:rPr>
                <w:rFonts w:eastAsia="Times New Roman"/>
              </w:rPr>
              <w:t>24</w:t>
            </w:r>
          </w:p>
        </w:tc>
        <w:tc>
          <w:tcPr>
            <w:tcW w:w="874" w:type="dxa"/>
          </w:tcPr>
          <w:p w14:paraId="3FBB1EB3" w14:textId="77777777" w:rsidR="0063774E" w:rsidRPr="008C1E5F" w:rsidRDefault="0063774E" w:rsidP="0063774E">
            <w:pPr>
              <w:pStyle w:val="TableTextCentered"/>
              <w:rPr>
                <w:rFonts w:eastAsia="Times New Roman"/>
              </w:rPr>
            </w:pPr>
            <w:r w:rsidRPr="008C1E5F">
              <w:rPr>
                <w:rFonts w:eastAsia="Times New Roman"/>
              </w:rPr>
              <w:t>18</w:t>
            </w:r>
          </w:p>
        </w:tc>
        <w:tc>
          <w:tcPr>
            <w:tcW w:w="875" w:type="dxa"/>
          </w:tcPr>
          <w:p w14:paraId="08957E31" w14:textId="77777777" w:rsidR="0063774E" w:rsidRPr="008C1E5F" w:rsidRDefault="0063774E" w:rsidP="0063774E">
            <w:pPr>
              <w:pStyle w:val="TableTextCentered"/>
              <w:rPr>
                <w:rFonts w:eastAsia="Times New Roman"/>
              </w:rPr>
            </w:pPr>
            <w:r w:rsidRPr="008C1E5F">
              <w:rPr>
                <w:rFonts w:eastAsia="Times New Roman"/>
              </w:rPr>
              <w:t>5</w:t>
            </w:r>
          </w:p>
        </w:tc>
        <w:tc>
          <w:tcPr>
            <w:tcW w:w="875" w:type="dxa"/>
          </w:tcPr>
          <w:p w14:paraId="6A16C403" w14:textId="77777777" w:rsidR="0063774E" w:rsidRPr="008C1E5F" w:rsidRDefault="0063774E" w:rsidP="0063774E">
            <w:pPr>
              <w:pStyle w:val="TableTextCentered"/>
              <w:rPr>
                <w:rFonts w:eastAsia="Times New Roman"/>
              </w:rPr>
            </w:pPr>
            <w:r w:rsidRPr="008C1E5F">
              <w:rPr>
                <w:rFonts w:eastAsia="Times New Roman"/>
              </w:rPr>
              <w:t>6</w:t>
            </w:r>
          </w:p>
        </w:tc>
        <w:tc>
          <w:tcPr>
            <w:tcW w:w="874" w:type="dxa"/>
          </w:tcPr>
          <w:p w14:paraId="066A995C" w14:textId="77777777" w:rsidR="0063774E" w:rsidRPr="008C1E5F" w:rsidRDefault="0063774E" w:rsidP="0063774E">
            <w:pPr>
              <w:pStyle w:val="TableTextCentered"/>
              <w:rPr>
                <w:rFonts w:eastAsia="Times New Roman"/>
              </w:rPr>
            </w:pPr>
            <w:r w:rsidRPr="008C1E5F">
              <w:rPr>
                <w:rFonts w:eastAsia="Times New Roman"/>
              </w:rPr>
              <w:t>0</w:t>
            </w:r>
          </w:p>
        </w:tc>
        <w:tc>
          <w:tcPr>
            <w:tcW w:w="875" w:type="dxa"/>
          </w:tcPr>
          <w:p w14:paraId="428A11F9" w14:textId="77777777" w:rsidR="0063774E" w:rsidRPr="008C1E5F" w:rsidRDefault="0063774E" w:rsidP="0063774E">
            <w:pPr>
              <w:pStyle w:val="TableTextCentered"/>
              <w:rPr>
                <w:rFonts w:eastAsia="Times New Roman"/>
              </w:rPr>
            </w:pPr>
            <w:r w:rsidRPr="008C1E5F">
              <w:rPr>
                <w:rFonts w:eastAsia="Times New Roman"/>
              </w:rPr>
              <w:t>1</w:t>
            </w:r>
          </w:p>
        </w:tc>
        <w:tc>
          <w:tcPr>
            <w:tcW w:w="900" w:type="dxa"/>
          </w:tcPr>
          <w:p w14:paraId="45E05619" w14:textId="77777777" w:rsidR="0063774E" w:rsidRPr="008C1E5F" w:rsidRDefault="0063774E" w:rsidP="0063774E">
            <w:pPr>
              <w:pStyle w:val="TableTextCentered"/>
              <w:rPr>
                <w:rFonts w:eastAsia="Times New Roman"/>
              </w:rPr>
            </w:pPr>
            <w:r w:rsidRPr="008C1E5F">
              <w:rPr>
                <w:rFonts w:eastAsia="Times New Roman"/>
              </w:rPr>
              <w:t>71</w:t>
            </w:r>
          </w:p>
        </w:tc>
        <w:tc>
          <w:tcPr>
            <w:tcW w:w="892" w:type="dxa"/>
          </w:tcPr>
          <w:p w14:paraId="4A53D25A" w14:textId="77777777" w:rsidR="0063774E" w:rsidRPr="008C1E5F" w:rsidRDefault="0063774E" w:rsidP="0063774E">
            <w:pPr>
              <w:pStyle w:val="TableTextCentered"/>
              <w:rPr>
                <w:rFonts w:eastAsia="Times New Roman"/>
              </w:rPr>
            </w:pPr>
            <w:r w:rsidRPr="008C1E5F">
              <w:rPr>
                <w:rFonts w:eastAsia="Times New Roman"/>
              </w:rPr>
              <w:t>2.5</w:t>
            </w:r>
          </w:p>
        </w:tc>
      </w:tr>
      <w:tr w:rsidR="0063774E" w:rsidRPr="008C1E5F" w14:paraId="554053EE" w14:textId="77777777" w:rsidTr="0063774E">
        <w:trPr>
          <w:jc w:val="center"/>
        </w:trPr>
        <w:tc>
          <w:tcPr>
            <w:tcW w:w="1431" w:type="dxa"/>
          </w:tcPr>
          <w:p w14:paraId="46A14CD7" w14:textId="77777777" w:rsidR="0063774E" w:rsidRPr="008C1E5F" w:rsidRDefault="0063774E" w:rsidP="0063774E">
            <w:pPr>
              <w:pStyle w:val="TableText"/>
            </w:pPr>
            <w:r w:rsidRPr="008C1E5F">
              <w:t>Grades 9-12</w:t>
            </w:r>
          </w:p>
        </w:tc>
        <w:tc>
          <w:tcPr>
            <w:tcW w:w="874" w:type="dxa"/>
          </w:tcPr>
          <w:p w14:paraId="350DB1D7" w14:textId="77777777" w:rsidR="0063774E" w:rsidRPr="008C1E5F" w:rsidRDefault="0063774E" w:rsidP="0063774E">
            <w:pPr>
              <w:pStyle w:val="TableTextCentered"/>
              <w:rPr>
                <w:rFonts w:eastAsia="Times New Roman"/>
              </w:rPr>
            </w:pPr>
            <w:r w:rsidRPr="008C1E5F">
              <w:rPr>
                <w:rFonts w:eastAsia="Times New Roman"/>
              </w:rPr>
              <w:t>5</w:t>
            </w:r>
          </w:p>
        </w:tc>
        <w:tc>
          <w:tcPr>
            <w:tcW w:w="874" w:type="dxa"/>
          </w:tcPr>
          <w:p w14:paraId="696C67DC" w14:textId="77777777" w:rsidR="0063774E" w:rsidRPr="008C1E5F" w:rsidRDefault="0063774E" w:rsidP="0063774E">
            <w:pPr>
              <w:pStyle w:val="TableTextCentered"/>
              <w:rPr>
                <w:rFonts w:eastAsia="Times New Roman"/>
              </w:rPr>
            </w:pPr>
            <w:r w:rsidRPr="008C1E5F">
              <w:rPr>
                <w:rFonts w:eastAsia="Times New Roman"/>
              </w:rPr>
              <w:t>8</w:t>
            </w:r>
          </w:p>
        </w:tc>
        <w:tc>
          <w:tcPr>
            <w:tcW w:w="874" w:type="dxa"/>
          </w:tcPr>
          <w:p w14:paraId="7ED94C31" w14:textId="77777777" w:rsidR="0063774E" w:rsidRPr="008C1E5F" w:rsidRDefault="0063774E" w:rsidP="0063774E">
            <w:pPr>
              <w:pStyle w:val="TableTextCentered"/>
              <w:rPr>
                <w:rFonts w:eastAsia="Times New Roman"/>
              </w:rPr>
            </w:pPr>
            <w:r w:rsidRPr="008C1E5F">
              <w:rPr>
                <w:rFonts w:eastAsia="Times New Roman"/>
              </w:rPr>
              <w:t>14</w:t>
            </w:r>
          </w:p>
        </w:tc>
        <w:tc>
          <w:tcPr>
            <w:tcW w:w="875" w:type="dxa"/>
          </w:tcPr>
          <w:p w14:paraId="714CFBDE" w14:textId="77777777" w:rsidR="0063774E" w:rsidRPr="008C1E5F" w:rsidRDefault="0063774E" w:rsidP="0063774E">
            <w:pPr>
              <w:pStyle w:val="TableTextCentered"/>
              <w:rPr>
                <w:rFonts w:eastAsia="Times New Roman"/>
              </w:rPr>
            </w:pPr>
            <w:r w:rsidRPr="008C1E5F">
              <w:rPr>
                <w:rFonts w:eastAsia="Times New Roman"/>
              </w:rPr>
              <w:t>3</w:t>
            </w:r>
          </w:p>
        </w:tc>
        <w:tc>
          <w:tcPr>
            <w:tcW w:w="875" w:type="dxa"/>
          </w:tcPr>
          <w:p w14:paraId="31676E75" w14:textId="77777777" w:rsidR="0063774E" w:rsidRPr="008C1E5F" w:rsidRDefault="0063774E" w:rsidP="0063774E">
            <w:pPr>
              <w:pStyle w:val="TableTextCentered"/>
              <w:rPr>
                <w:rFonts w:eastAsia="Times New Roman"/>
              </w:rPr>
            </w:pPr>
            <w:r w:rsidRPr="008C1E5F">
              <w:rPr>
                <w:rFonts w:eastAsia="Times New Roman"/>
              </w:rPr>
              <w:t>3</w:t>
            </w:r>
          </w:p>
        </w:tc>
        <w:tc>
          <w:tcPr>
            <w:tcW w:w="874" w:type="dxa"/>
          </w:tcPr>
          <w:p w14:paraId="68054D40" w14:textId="77777777" w:rsidR="0063774E" w:rsidRPr="008C1E5F" w:rsidRDefault="0063774E" w:rsidP="0063774E">
            <w:pPr>
              <w:pStyle w:val="TableTextCentered"/>
              <w:rPr>
                <w:rFonts w:eastAsia="Times New Roman"/>
              </w:rPr>
            </w:pPr>
            <w:r w:rsidRPr="008C1E5F">
              <w:rPr>
                <w:rFonts w:eastAsia="Times New Roman"/>
              </w:rPr>
              <w:t>1</w:t>
            </w:r>
          </w:p>
        </w:tc>
        <w:tc>
          <w:tcPr>
            <w:tcW w:w="875" w:type="dxa"/>
          </w:tcPr>
          <w:p w14:paraId="2E718CC8" w14:textId="77777777" w:rsidR="0063774E" w:rsidRPr="008C1E5F" w:rsidRDefault="0063774E" w:rsidP="0063774E">
            <w:pPr>
              <w:pStyle w:val="TableTextCentered"/>
              <w:rPr>
                <w:rFonts w:eastAsia="Times New Roman"/>
              </w:rPr>
            </w:pPr>
            <w:r w:rsidRPr="008C1E5F">
              <w:rPr>
                <w:rFonts w:eastAsia="Times New Roman"/>
              </w:rPr>
              <w:t>1</w:t>
            </w:r>
          </w:p>
        </w:tc>
        <w:tc>
          <w:tcPr>
            <w:tcW w:w="900" w:type="dxa"/>
          </w:tcPr>
          <w:p w14:paraId="5532AA26" w14:textId="77777777" w:rsidR="0063774E" w:rsidRPr="008C1E5F" w:rsidRDefault="0063774E" w:rsidP="0063774E">
            <w:pPr>
              <w:pStyle w:val="TableTextCentered"/>
              <w:rPr>
                <w:rFonts w:eastAsia="Times New Roman"/>
              </w:rPr>
            </w:pPr>
            <w:r w:rsidRPr="008C1E5F">
              <w:rPr>
                <w:rFonts w:eastAsia="Times New Roman"/>
              </w:rPr>
              <w:t>35</w:t>
            </w:r>
          </w:p>
        </w:tc>
        <w:tc>
          <w:tcPr>
            <w:tcW w:w="892" w:type="dxa"/>
          </w:tcPr>
          <w:p w14:paraId="13B65750" w14:textId="77777777" w:rsidR="0063774E" w:rsidRPr="008C1E5F" w:rsidRDefault="0063774E" w:rsidP="0063774E">
            <w:pPr>
              <w:pStyle w:val="TableTextCentered"/>
              <w:rPr>
                <w:rFonts w:eastAsia="Times New Roman"/>
              </w:rPr>
            </w:pPr>
            <w:r w:rsidRPr="008C1E5F">
              <w:rPr>
                <w:rFonts w:eastAsia="Times New Roman"/>
              </w:rPr>
              <w:t>2.9</w:t>
            </w:r>
          </w:p>
        </w:tc>
      </w:tr>
    </w:tbl>
    <w:bookmarkEnd w:id="169"/>
    <w:p w14:paraId="1FE0B053" w14:textId="77777777" w:rsidR="00900CF1" w:rsidRPr="008C1E5F" w:rsidRDefault="00900CF1">
      <w:pPr>
        <w:pStyle w:val="TableNote"/>
      </w:pPr>
      <w:r w:rsidRPr="008C1E5F">
        <w:t xml:space="preserve">*The district average is an average of the observation scores. In Table 5, the district average is computed as: </w:t>
      </w:r>
      <w:r w:rsidRPr="008C1E5F">
        <w:br/>
      </w:r>
      <w:bookmarkStart w:id="170" w:name="Dist_RSP_Calc"/>
      <w:r w:rsidRPr="008C1E5F">
        <w:t>([1 x 28] + [2 x 57] + [3 x 52] + [4 x 29] + [5 x 20] + [6 x 2] + [7 x 2]) ÷ 190 observations = 2.8</w:t>
      </w:r>
      <w:bookmarkEnd w:id="170"/>
    </w:p>
    <w:p w14:paraId="09D911FC" w14:textId="77777777" w:rsidR="00900CF1" w:rsidRPr="008C1E5F" w:rsidRDefault="00900CF1">
      <w:pPr>
        <w:pStyle w:val="BodyText"/>
      </w:pPr>
      <w:r w:rsidRPr="008C1E5F">
        <w:rPr>
          <w:rStyle w:val="BodyTextDemiChar"/>
        </w:rPr>
        <w:t>Ratings in the Low Range.</w:t>
      </w:r>
      <w:r w:rsidRPr="008C1E5F">
        <w:t xml:space="preserve"> At the low range, the teacher exhibits an inflexible, rigid adherence to his or her plan, without considering student ideas or allowing students to make contributions.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w:t>
      </w:r>
      <w:proofErr w:type="gramStart"/>
      <w:r w:rsidRPr="008C1E5F">
        <w:t>help out</w:t>
      </w:r>
      <w:proofErr w:type="gramEnd"/>
      <w:r w:rsidRPr="008C1E5F">
        <w:t xml:space="preserve"> with classroom responsibilities. There are few opportunities for students to talk and express themselves. </w:t>
      </w:r>
    </w:p>
    <w:p w14:paraId="67939C01" w14:textId="77777777" w:rsidR="00900CF1" w:rsidRPr="008C1E5F" w:rsidRDefault="00900CF1">
      <w:pPr>
        <w:pStyle w:val="BodyText"/>
      </w:pPr>
      <w:r w:rsidRPr="008C1E5F">
        <w:rPr>
          <w:rStyle w:val="BodyTextDemiChar"/>
        </w:rPr>
        <w:t>Ratings in the Middle Range.</w:t>
      </w:r>
      <w:r w:rsidRPr="008C1E5F">
        <w:t xml:space="preserve"> The teacher exhibits control at times and at other times follows the students’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24D4B9B1" w14:textId="77777777" w:rsidR="00900CF1" w:rsidRPr="008C1E5F" w:rsidRDefault="00900CF1">
      <w:pPr>
        <w:pStyle w:val="BodyText"/>
      </w:pPr>
      <w:r w:rsidRPr="008C1E5F">
        <w:rPr>
          <w:rStyle w:val="BodyTextDemiChar"/>
        </w:rPr>
        <w:t xml:space="preserve">Ratings in the High Range. </w:t>
      </w:r>
      <w:r w:rsidRPr="008C1E5F">
        <w:rPr>
          <w:spacing w:val="-2"/>
        </w:rPr>
        <w:t xml:space="preserve">The teacher is flexible in following student leads, interests, and ideas and looks for ways to meaningfully engage students. Although the teacher has a lesson plan, students’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0FE48149" w14:textId="77777777" w:rsidR="00900CF1" w:rsidRPr="008C1E5F" w:rsidRDefault="00900CF1">
      <w:pPr>
        <w:spacing w:after="160" w:line="259" w:lineRule="auto"/>
        <w:rPr>
          <w:rFonts w:eastAsiaTheme="majorEastAsia"/>
        </w:rPr>
      </w:pPr>
      <w:r w:rsidRPr="008C1E5F">
        <w:rPr>
          <w:rFonts w:eastAsiaTheme="majorEastAsia"/>
        </w:rPr>
        <w:br w:type="page"/>
      </w:r>
    </w:p>
    <w:p w14:paraId="4C409A05" w14:textId="77777777" w:rsidR="00900CF1" w:rsidRPr="008C1E5F" w:rsidRDefault="00900CF1">
      <w:pPr>
        <w:pStyle w:val="Heading2-SIOR"/>
      </w:pPr>
      <w:bookmarkStart w:id="171" w:name="_Toc430114878"/>
      <w:bookmarkStart w:id="172" w:name="_Toc92194257"/>
      <w:bookmarkStart w:id="173" w:name="_Toc195024249"/>
      <w:r w:rsidRPr="008C1E5F">
        <w:lastRenderedPageBreak/>
        <w:t>Negative Climate</w:t>
      </w:r>
      <w:bookmarkEnd w:id="171"/>
      <w:bookmarkEnd w:id="172"/>
      <w:bookmarkEnd w:id="173"/>
    </w:p>
    <w:p w14:paraId="65619D1D" w14:textId="77777777" w:rsidR="00900CF1" w:rsidRPr="008C1E5F" w:rsidRDefault="00900CF1">
      <w:pPr>
        <w:pStyle w:val="BodyTextDomain"/>
      </w:pPr>
      <w:r w:rsidRPr="008C1E5F">
        <w:t>Emotional Support domain, Grades K</w:t>
      </w:r>
      <w:r w:rsidRPr="008C1E5F">
        <w:rPr>
          <w:rFonts w:ascii="Vijaya" w:hAnsi="Vijaya" w:cs="Vijaya"/>
        </w:rPr>
        <w:t xml:space="preserve">− </w:t>
      </w:r>
      <w:r w:rsidRPr="008C1E5F">
        <w:t>3</w:t>
      </w:r>
      <w:r w:rsidRPr="008C1E5F">
        <w:br/>
        <w:t>Classroom Organization domain, Grades 4</w:t>
      </w:r>
      <w:r w:rsidRPr="008C1E5F">
        <w:rPr>
          <w:rFonts w:ascii="Vijaya" w:hAnsi="Vijaya" w:cs="Vijaya"/>
        </w:rPr>
        <w:t xml:space="preserve">− </w:t>
      </w:r>
      <w:r w:rsidRPr="008C1E5F">
        <w:t>12</w:t>
      </w:r>
    </w:p>
    <w:p w14:paraId="6CD53F91" w14:textId="2C2494D1" w:rsidR="00900CF1" w:rsidRPr="008C1E5F" w:rsidRDefault="00900CF1">
      <w:pPr>
        <w:pStyle w:val="BodyText"/>
      </w:pPr>
      <w:r w:rsidRPr="008C1E5F">
        <w:t>Negative Climate reflects the overall level of expressed negativity in the classroom. The frequency, quality, and intensity of teacher and student negativity are key to this dimension (</w:t>
      </w:r>
      <w:r w:rsidRPr="008C1E5F">
        <w:rPr>
          <w:i/>
        </w:rPr>
        <w:t>CLASS K–3 Manual</w:t>
      </w:r>
      <w:r w:rsidRPr="008C1E5F">
        <w:t xml:space="preserve">, p. 28, </w:t>
      </w:r>
      <w:r w:rsidRPr="008C1E5F">
        <w:rPr>
          <w:i/>
        </w:rPr>
        <w:t xml:space="preserve">CLASS Upper Elementary Manual, </w:t>
      </w:r>
      <w:r w:rsidRPr="008C1E5F">
        <w:t xml:space="preserve">p. 55, </w:t>
      </w:r>
      <w:r w:rsidRPr="008C1E5F">
        <w:rPr>
          <w:i/>
        </w:rPr>
        <w:t>CLASS Secondary Manual,</w:t>
      </w:r>
      <w:r w:rsidRPr="008C1E5F">
        <w:t xml:space="preserve"> p. 55). For the purposes of this report, we have </w:t>
      </w:r>
      <w:proofErr w:type="gramStart"/>
      <w:r w:rsidRPr="008C1E5F">
        <w:t>inversed</w:t>
      </w:r>
      <w:proofErr w:type="gramEnd"/>
      <w:r w:rsidRPr="008C1E5F">
        <w:t xml:space="preserve"> the </w:t>
      </w:r>
      <w:proofErr w:type="gramStart"/>
      <w:r w:rsidRPr="008C1E5F">
        <w:t>observers</w:t>
      </w:r>
      <w:proofErr w:type="gramEnd"/>
      <w:r w:rsidRPr="008C1E5F">
        <w:t xml:space="preserve"> scores, to be consistent with the range scores across all dimensions. Therefore, a high range score in this dimension indicates an absence of negative climate, and a low range score indicates the presence of negative climate.</w:t>
      </w:r>
      <w:r w:rsidRPr="008C1E5F">
        <w:rPr>
          <w:rStyle w:val="FootnoteReference"/>
        </w:rPr>
        <w:footnoteReference w:id="6"/>
      </w:r>
      <w:r w:rsidRPr="008C1E5F">
        <w:t xml:space="preserve"> </w:t>
      </w:r>
    </w:p>
    <w:p w14:paraId="4BF49C4E" w14:textId="77777777" w:rsidR="00900CF1" w:rsidRPr="008C1E5F" w:rsidRDefault="00900CF1">
      <w:pPr>
        <w:pStyle w:val="TableTitle0"/>
      </w:pPr>
      <w:r w:rsidRPr="008C1E5F">
        <w:t>Table 6. Negative Climate: Number of Classrooms for Each Rating and District Average</w:t>
      </w:r>
    </w:p>
    <w:p w14:paraId="021D3548" w14:textId="77777777" w:rsidR="00900CF1" w:rsidRPr="008C1E5F" w:rsidRDefault="00900CF1">
      <w:pPr>
        <w:pStyle w:val="BodyTextDemi"/>
      </w:pPr>
      <w:r w:rsidRPr="008C1E5F">
        <w:t xml:space="preserve">Negative Climate District Average*: </w:t>
      </w:r>
      <w:bookmarkStart w:id="174" w:name="Dist_NC_Avg"/>
      <w:r w:rsidRPr="008C1E5F">
        <w:t>6.7</w:t>
      </w:r>
      <w:bookmarkEnd w:id="174"/>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63774E" w:rsidRPr="008C1E5F" w14:paraId="43B3AD4D" w14:textId="77777777" w:rsidTr="0063774E">
        <w:trPr>
          <w:cnfStyle w:val="100000000000" w:firstRow="1" w:lastRow="0" w:firstColumn="0" w:lastColumn="0" w:oddVBand="0" w:evenVBand="0" w:oddHBand="0" w:evenHBand="0" w:firstRowFirstColumn="0" w:firstRowLastColumn="0" w:lastRowFirstColumn="0" w:lastRowLastColumn="0"/>
          <w:jc w:val="center"/>
        </w:trPr>
        <w:tc>
          <w:tcPr>
            <w:tcW w:w="1431" w:type="dxa"/>
          </w:tcPr>
          <w:p w14:paraId="3591AF93" w14:textId="7ADAF9DB" w:rsidR="0063774E" w:rsidRPr="008C1E5F" w:rsidRDefault="0063774E" w:rsidP="0063774E">
            <w:pPr>
              <w:pStyle w:val="TableColHeadingCenter"/>
              <w:rPr>
                <w:rFonts w:eastAsia="MS Mincho"/>
              </w:rPr>
            </w:pPr>
            <w:bookmarkStart w:id="175" w:name="Tbl_NC"/>
            <w:r w:rsidRPr="008C1E5F">
              <w:rPr>
                <w:rFonts w:eastAsia="MS Mincho"/>
              </w:rPr>
              <w:t>Grade Band</w:t>
            </w:r>
          </w:p>
        </w:tc>
        <w:tc>
          <w:tcPr>
            <w:tcW w:w="874" w:type="dxa"/>
          </w:tcPr>
          <w:p w14:paraId="4A01281D" w14:textId="77777777" w:rsidR="0063774E" w:rsidRPr="008C1E5F" w:rsidRDefault="0063774E" w:rsidP="0063774E">
            <w:pPr>
              <w:pStyle w:val="TableColHeadingCenter"/>
              <w:rPr>
                <w:rFonts w:eastAsia="MS Mincho"/>
              </w:rPr>
            </w:pPr>
            <w:r w:rsidRPr="008C1E5F">
              <w:rPr>
                <w:rFonts w:eastAsia="MS Mincho"/>
              </w:rPr>
              <w:t>Low Range</w:t>
            </w:r>
          </w:p>
        </w:tc>
        <w:tc>
          <w:tcPr>
            <w:tcW w:w="874" w:type="dxa"/>
          </w:tcPr>
          <w:p w14:paraId="31095885" w14:textId="4168550A" w:rsidR="0063774E" w:rsidRPr="008C1E5F" w:rsidRDefault="0063774E" w:rsidP="0063774E">
            <w:pPr>
              <w:pStyle w:val="TableColHeadingCenter"/>
              <w:rPr>
                <w:rFonts w:eastAsia="MS Mincho"/>
              </w:rPr>
            </w:pPr>
            <w:r w:rsidRPr="008C1E5F">
              <w:rPr>
                <w:rFonts w:eastAsia="MS Mincho"/>
              </w:rPr>
              <w:t>Low Range</w:t>
            </w:r>
          </w:p>
        </w:tc>
        <w:tc>
          <w:tcPr>
            <w:tcW w:w="874" w:type="dxa"/>
          </w:tcPr>
          <w:p w14:paraId="3E35FD67" w14:textId="77777777" w:rsidR="0063774E" w:rsidRPr="008C1E5F" w:rsidRDefault="0063774E" w:rsidP="0063774E">
            <w:pPr>
              <w:pStyle w:val="TableColHeadingCenter"/>
              <w:rPr>
                <w:rFonts w:eastAsia="MS Mincho"/>
              </w:rPr>
            </w:pPr>
            <w:r w:rsidRPr="008C1E5F">
              <w:rPr>
                <w:rFonts w:eastAsia="MS Mincho"/>
              </w:rPr>
              <w:t>Middle Range</w:t>
            </w:r>
          </w:p>
        </w:tc>
        <w:tc>
          <w:tcPr>
            <w:tcW w:w="875" w:type="dxa"/>
          </w:tcPr>
          <w:p w14:paraId="38471B54" w14:textId="5D12BCC1" w:rsidR="0063774E" w:rsidRPr="008C1E5F" w:rsidRDefault="0063774E" w:rsidP="0063774E">
            <w:pPr>
              <w:pStyle w:val="TableColHeadingCenter"/>
              <w:rPr>
                <w:rFonts w:eastAsia="MS Mincho"/>
              </w:rPr>
            </w:pPr>
            <w:r w:rsidRPr="008C1E5F">
              <w:rPr>
                <w:rFonts w:eastAsia="MS Mincho"/>
              </w:rPr>
              <w:t>Middle Range</w:t>
            </w:r>
          </w:p>
        </w:tc>
        <w:tc>
          <w:tcPr>
            <w:tcW w:w="875" w:type="dxa"/>
          </w:tcPr>
          <w:p w14:paraId="4E95C70C" w14:textId="510EBE64" w:rsidR="0063774E" w:rsidRPr="008C1E5F" w:rsidRDefault="0063774E" w:rsidP="0063774E">
            <w:pPr>
              <w:pStyle w:val="TableColHeadingCenter"/>
              <w:rPr>
                <w:rFonts w:eastAsia="MS Mincho"/>
              </w:rPr>
            </w:pPr>
            <w:r w:rsidRPr="008C1E5F">
              <w:rPr>
                <w:rFonts w:eastAsia="MS Mincho"/>
              </w:rPr>
              <w:t>Middle Range</w:t>
            </w:r>
          </w:p>
        </w:tc>
        <w:tc>
          <w:tcPr>
            <w:tcW w:w="874" w:type="dxa"/>
          </w:tcPr>
          <w:p w14:paraId="7E691223" w14:textId="77777777" w:rsidR="0063774E" w:rsidRPr="008C1E5F" w:rsidRDefault="0063774E" w:rsidP="0063774E">
            <w:pPr>
              <w:pStyle w:val="TableColHeadingCenter"/>
              <w:rPr>
                <w:rFonts w:eastAsia="MS Mincho"/>
              </w:rPr>
            </w:pPr>
            <w:r w:rsidRPr="008C1E5F">
              <w:rPr>
                <w:rFonts w:eastAsia="MS Mincho"/>
              </w:rPr>
              <w:t>High Range</w:t>
            </w:r>
          </w:p>
        </w:tc>
        <w:tc>
          <w:tcPr>
            <w:tcW w:w="875" w:type="dxa"/>
          </w:tcPr>
          <w:p w14:paraId="6302044E" w14:textId="7859022F" w:rsidR="0063774E" w:rsidRPr="008C1E5F" w:rsidRDefault="0063774E" w:rsidP="0063774E">
            <w:pPr>
              <w:pStyle w:val="TableColHeadingCenter"/>
              <w:rPr>
                <w:rFonts w:eastAsia="MS Mincho"/>
              </w:rPr>
            </w:pPr>
            <w:r w:rsidRPr="008C1E5F">
              <w:rPr>
                <w:rFonts w:eastAsia="MS Mincho"/>
              </w:rPr>
              <w:t>High Range</w:t>
            </w:r>
          </w:p>
        </w:tc>
        <w:tc>
          <w:tcPr>
            <w:tcW w:w="900" w:type="dxa"/>
          </w:tcPr>
          <w:p w14:paraId="5F6C0238" w14:textId="6B661ED7" w:rsidR="0063774E" w:rsidRPr="008C1E5F" w:rsidRDefault="0063774E" w:rsidP="0063774E">
            <w:pPr>
              <w:pStyle w:val="TableColHeadingCenter"/>
              <w:rPr>
                <w:rFonts w:eastAsia="MS Mincho"/>
              </w:rPr>
            </w:pPr>
            <w:r w:rsidRPr="008C1E5F">
              <w:rPr>
                <w:rFonts w:eastAsia="MS Mincho"/>
                <w:i/>
                <w:iCs/>
              </w:rPr>
              <w:t>n</w:t>
            </w:r>
          </w:p>
        </w:tc>
        <w:tc>
          <w:tcPr>
            <w:tcW w:w="892" w:type="dxa"/>
          </w:tcPr>
          <w:p w14:paraId="4D9E0F09" w14:textId="45C5A0F0" w:rsidR="0063774E" w:rsidRPr="008C1E5F" w:rsidRDefault="0063774E" w:rsidP="0063774E">
            <w:pPr>
              <w:pStyle w:val="TableColHeadingCenter"/>
              <w:rPr>
                <w:rFonts w:eastAsia="MS Mincho"/>
              </w:rPr>
            </w:pPr>
            <w:r w:rsidRPr="008C1E5F">
              <w:rPr>
                <w:rFonts w:eastAsia="MS Mincho"/>
              </w:rPr>
              <w:t>Average</w:t>
            </w:r>
          </w:p>
        </w:tc>
      </w:tr>
      <w:tr w:rsidR="0063774E" w:rsidRPr="008C1E5F" w14:paraId="59076802" w14:textId="77777777" w:rsidTr="0063774E">
        <w:trPr>
          <w:jc w:val="center"/>
        </w:trPr>
        <w:tc>
          <w:tcPr>
            <w:tcW w:w="1431" w:type="dxa"/>
            <w:shd w:val="clear" w:color="auto" w:fill="D9E2F3" w:themeFill="accent5" w:themeFillTint="33"/>
          </w:tcPr>
          <w:p w14:paraId="5F0C456D" w14:textId="77777777" w:rsidR="0063774E" w:rsidRPr="008C1E5F" w:rsidRDefault="0063774E" w:rsidP="0063774E">
            <w:pPr>
              <w:pStyle w:val="TableSubheadingCentered"/>
            </w:pPr>
          </w:p>
        </w:tc>
        <w:tc>
          <w:tcPr>
            <w:tcW w:w="874" w:type="dxa"/>
            <w:shd w:val="clear" w:color="auto" w:fill="D9E2F3" w:themeFill="accent5" w:themeFillTint="33"/>
          </w:tcPr>
          <w:p w14:paraId="74D05A5C" w14:textId="77777777" w:rsidR="0063774E" w:rsidRPr="008C1E5F" w:rsidRDefault="0063774E" w:rsidP="0063774E">
            <w:pPr>
              <w:pStyle w:val="TableSubheadingCentered"/>
            </w:pPr>
            <w:r w:rsidRPr="008C1E5F">
              <w:t>1</w:t>
            </w:r>
          </w:p>
        </w:tc>
        <w:tc>
          <w:tcPr>
            <w:tcW w:w="874" w:type="dxa"/>
            <w:shd w:val="clear" w:color="auto" w:fill="D9E2F3" w:themeFill="accent5" w:themeFillTint="33"/>
          </w:tcPr>
          <w:p w14:paraId="78276D9C" w14:textId="77777777" w:rsidR="0063774E" w:rsidRPr="008C1E5F" w:rsidRDefault="0063774E" w:rsidP="0063774E">
            <w:pPr>
              <w:pStyle w:val="TableSubheadingCentered"/>
            </w:pPr>
            <w:r w:rsidRPr="008C1E5F">
              <w:t>2</w:t>
            </w:r>
          </w:p>
        </w:tc>
        <w:tc>
          <w:tcPr>
            <w:tcW w:w="874" w:type="dxa"/>
            <w:shd w:val="clear" w:color="auto" w:fill="D9E2F3" w:themeFill="accent5" w:themeFillTint="33"/>
          </w:tcPr>
          <w:p w14:paraId="1BA4F2FC" w14:textId="77777777" w:rsidR="0063774E" w:rsidRPr="008C1E5F" w:rsidRDefault="0063774E" w:rsidP="0063774E">
            <w:pPr>
              <w:pStyle w:val="TableSubheadingCentered"/>
            </w:pPr>
            <w:r w:rsidRPr="008C1E5F">
              <w:t>3</w:t>
            </w:r>
          </w:p>
        </w:tc>
        <w:tc>
          <w:tcPr>
            <w:tcW w:w="875" w:type="dxa"/>
            <w:shd w:val="clear" w:color="auto" w:fill="D9E2F3" w:themeFill="accent5" w:themeFillTint="33"/>
          </w:tcPr>
          <w:p w14:paraId="220A6406" w14:textId="77777777" w:rsidR="0063774E" w:rsidRPr="008C1E5F" w:rsidRDefault="0063774E" w:rsidP="0063774E">
            <w:pPr>
              <w:pStyle w:val="TableSubheadingCentered"/>
            </w:pPr>
            <w:r w:rsidRPr="008C1E5F">
              <w:t>4</w:t>
            </w:r>
          </w:p>
        </w:tc>
        <w:tc>
          <w:tcPr>
            <w:tcW w:w="875" w:type="dxa"/>
            <w:shd w:val="clear" w:color="auto" w:fill="D9E2F3" w:themeFill="accent5" w:themeFillTint="33"/>
          </w:tcPr>
          <w:p w14:paraId="03ABEFAF" w14:textId="77777777" w:rsidR="0063774E" w:rsidRPr="008C1E5F" w:rsidRDefault="0063774E" w:rsidP="0063774E">
            <w:pPr>
              <w:pStyle w:val="TableSubheadingCentered"/>
            </w:pPr>
            <w:r w:rsidRPr="008C1E5F">
              <w:t>5</w:t>
            </w:r>
          </w:p>
        </w:tc>
        <w:tc>
          <w:tcPr>
            <w:tcW w:w="874" w:type="dxa"/>
            <w:shd w:val="clear" w:color="auto" w:fill="D9E2F3" w:themeFill="accent5" w:themeFillTint="33"/>
          </w:tcPr>
          <w:p w14:paraId="7616B435" w14:textId="77777777" w:rsidR="0063774E" w:rsidRPr="008C1E5F" w:rsidRDefault="0063774E" w:rsidP="0063774E">
            <w:pPr>
              <w:pStyle w:val="TableSubheadingCentered"/>
            </w:pPr>
            <w:r w:rsidRPr="008C1E5F">
              <w:t>6</w:t>
            </w:r>
          </w:p>
        </w:tc>
        <w:tc>
          <w:tcPr>
            <w:tcW w:w="875" w:type="dxa"/>
            <w:shd w:val="clear" w:color="auto" w:fill="D9E2F3" w:themeFill="accent5" w:themeFillTint="33"/>
          </w:tcPr>
          <w:p w14:paraId="600C58D4" w14:textId="77777777" w:rsidR="0063774E" w:rsidRPr="008C1E5F" w:rsidRDefault="0063774E" w:rsidP="0063774E">
            <w:pPr>
              <w:pStyle w:val="TableSubheadingCentered"/>
            </w:pPr>
            <w:r w:rsidRPr="008C1E5F">
              <w:t>7</w:t>
            </w:r>
          </w:p>
        </w:tc>
        <w:tc>
          <w:tcPr>
            <w:tcW w:w="900" w:type="dxa"/>
            <w:shd w:val="clear" w:color="auto" w:fill="D9E2F3" w:themeFill="accent5" w:themeFillTint="33"/>
          </w:tcPr>
          <w:p w14:paraId="54B8955B" w14:textId="77777777" w:rsidR="0063774E" w:rsidRPr="008C1E5F" w:rsidRDefault="0063774E" w:rsidP="0063774E">
            <w:pPr>
              <w:pStyle w:val="TableSubheadingCentered"/>
            </w:pPr>
            <w:r w:rsidRPr="008C1E5F">
              <w:t>190</w:t>
            </w:r>
          </w:p>
        </w:tc>
        <w:tc>
          <w:tcPr>
            <w:tcW w:w="892" w:type="dxa"/>
            <w:shd w:val="clear" w:color="auto" w:fill="D9E2F3" w:themeFill="accent5" w:themeFillTint="33"/>
          </w:tcPr>
          <w:p w14:paraId="4846A3D1" w14:textId="77777777" w:rsidR="0063774E" w:rsidRPr="008C1E5F" w:rsidRDefault="0063774E" w:rsidP="0063774E">
            <w:pPr>
              <w:pStyle w:val="TableSubheadingCentered"/>
            </w:pPr>
            <w:r w:rsidRPr="008C1E5F">
              <w:t>6.7</w:t>
            </w:r>
          </w:p>
        </w:tc>
      </w:tr>
      <w:tr w:rsidR="0063774E" w:rsidRPr="008C1E5F" w14:paraId="1C9221E4" w14:textId="77777777" w:rsidTr="0063774E">
        <w:trPr>
          <w:jc w:val="center"/>
        </w:trPr>
        <w:tc>
          <w:tcPr>
            <w:tcW w:w="1431" w:type="dxa"/>
          </w:tcPr>
          <w:p w14:paraId="0C2E01D3" w14:textId="77777777" w:rsidR="0063774E" w:rsidRPr="008C1E5F" w:rsidRDefault="0063774E" w:rsidP="0063774E">
            <w:pPr>
              <w:pStyle w:val="TableText"/>
            </w:pPr>
            <w:r w:rsidRPr="008C1E5F">
              <w:t>Grades K-5</w:t>
            </w:r>
          </w:p>
        </w:tc>
        <w:tc>
          <w:tcPr>
            <w:tcW w:w="874" w:type="dxa"/>
          </w:tcPr>
          <w:p w14:paraId="5C08C11C" w14:textId="77777777" w:rsidR="0063774E" w:rsidRPr="008C1E5F" w:rsidRDefault="0063774E" w:rsidP="0063774E">
            <w:pPr>
              <w:pStyle w:val="TableTextCentered"/>
              <w:rPr>
                <w:rFonts w:eastAsia="Times New Roman"/>
              </w:rPr>
            </w:pPr>
            <w:r w:rsidRPr="008C1E5F">
              <w:rPr>
                <w:rFonts w:eastAsia="Times New Roman"/>
              </w:rPr>
              <w:t>0</w:t>
            </w:r>
          </w:p>
        </w:tc>
        <w:tc>
          <w:tcPr>
            <w:tcW w:w="874" w:type="dxa"/>
          </w:tcPr>
          <w:p w14:paraId="56E5379F" w14:textId="77777777" w:rsidR="0063774E" w:rsidRPr="008C1E5F" w:rsidRDefault="0063774E" w:rsidP="0063774E">
            <w:pPr>
              <w:pStyle w:val="TableTextCentered"/>
              <w:rPr>
                <w:rFonts w:eastAsia="Times New Roman"/>
              </w:rPr>
            </w:pPr>
            <w:r w:rsidRPr="008C1E5F">
              <w:rPr>
                <w:rFonts w:eastAsia="Times New Roman"/>
              </w:rPr>
              <w:t>0</w:t>
            </w:r>
          </w:p>
        </w:tc>
        <w:tc>
          <w:tcPr>
            <w:tcW w:w="874" w:type="dxa"/>
          </w:tcPr>
          <w:p w14:paraId="3293B08B" w14:textId="77777777" w:rsidR="0063774E" w:rsidRPr="008C1E5F" w:rsidRDefault="0063774E" w:rsidP="0063774E">
            <w:pPr>
              <w:pStyle w:val="TableTextCentered"/>
              <w:rPr>
                <w:rFonts w:eastAsia="Times New Roman"/>
              </w:rPr>
            </w:pPr>
            <w:r w:rsidRPr="008C1E5F">
              <w:rPr>
                <w:rFonts w:eastAsia="Times New Roman"/>
              </w:rPr>
              <w:t>0</w:t>
            </w:r>
          </w:p>
        </w:tc>
        <w:tc>
          <w:tcPr>
            <w:tcW w:w="875" w:type="dxa"/>
          </w:tcPr>
          <w:p w14:paraId="66E89FE8" w14:textId="77777777" w:rsidR="0063774E" w:rsidRPr="008C1E5F" w:rsidRDefault="0063774E" w:rsidP="0063774E">
            <w:pPr>
              <w:pStyle w:val="TableTextCentered"/>
              <w:rPr>
                <w:rFonts w:eastAsia="Times New Roman"/>
              </w:rPr>
            </w:pPr>
            <w:r w:rsidRPr="008C1E5F">
              <w:rPr>
                <w:rFonts w:eastAsia="Times New Roman"/>
              </w:rPr>
              <w:t>0</w:t>
            </w:r>
          </w:p>
        </w:tc>
        <w:tc>
          <w:tcPr>
            <w:tcW w:w="875" w:type="dxa"/>
          </w:tcPr>
          <w:p w14:paraId="054B7834" w14:textId="77777777" w:rsidR="0063774E" w:rsidRPr="008C1E5F" w:rsidRDefault="0063774E" w:rsidP="0063774E">
            <w:pPr>
              <w:pStyle w:val="TableTextCentered"/>
              <w:rPr>
                <w:rFonts w:eastAsia="Times New Roman"/>
              </w:rPr>
            </w:pPr>
            <w:r w:rsidRPr="008C1E5F">
              <w:rPr>
                <w:rFonts w:eastAsia="Times New Roman"/>
              </w:rPr>
              <w:t>1</w:t>
            </w:r>
          </w:p>
        </w:tc>
        <w:tc>
          <w:tcPr>
            <w:tcW w:w="874" w:type="dxa"/>
          </w:tcPr>
          <w:p w14:paraId="3B4F0C1A" w14:textId="77777777" w:rsidR="0063774E" w:rsidRPr="008C1E5F" w:rsidRDefault="0063774E" w:rsidP="0063774E">
            <w:pPr>
              <w:pStyle w:val="TableTextCentered"/>
              <w:rPr>
                <w:rFonts w:eastAsia="Times New Roman"/>
              </w:rPr>
            </w:pPr>
            <w:r w:rsidRPr="008C1E5F">
              <w:rPr>
                <w:rFonts w:eastAsia="Times New Roman"/>
              </w:rPr>
              <w:t>11</w:t>
            </w:r>
          </w:p>
        </w:tc>
        <w:tc>
          <w:tcPr>
            <w:tcW w:w="875" w:type="dxa"/>
          </w:tcPr>
          <w:p w14:paraId="62901789" w14:textId="77777777" w:rsidR="0063774E" w:rsidRPr="008C1E5F" w:rsidRDefault="0063774E" w:rsidP="0063774E">
            <w:pPr>
              <w:pStyle w:val="TableTextCentered"/>
              <w:rPr>
                <w:rFonts w:eastAsia="Times New Roman"/>
              </w:rPr>
            </w:pPr>
            <w:r w:rsidRPr="008C1E5F">
              <w:rPr>
                <w:rFonts w:eastAsia="Times New Roman"/>
              </w:rPr>
              <w:t>72</w:t>
            </w:r>
          </w:p>
        </w:tc>
        <w:tc>
          <w:tcPr>
            <w:tcW w:w="900" w:type="dxa"/>
          </w:tcPr>
          <w:p w14:paraId="4CE3D7A8" w14:textId="77777777" w:rsidR="0063774E" w:rsidRPr="008C1E5F" w:rsidRDefault="0063774E" w:rsidP="0063774E">
            <w:pPr>
              <w:pStyle w:val="TableTextCentered"/>
              <w:rPr>
                <w:rFonts w:eastAsia="Times New Roman"/>
              </w:rPr>
            </w:pPr>
            <w:r w:rsidRPr="008C1E5F">
              <w:rPr>
                <w:rFonts w:eastAsia="Times New Roman"/>
              </w:rPr>
              <w:t>84</w:t>
            </w:r>
          </w:p>
        </w:tc>
        <w:tc>
          <w:tcPr>
            <w:tcW w:w="892" w:type="dxa"/>
          </w:tcPr>
          <w:p w14:paraId="5BD52FA8" w14:textId="77777777" w:rsidR="0063774E" w:rsidRPr="008C1E5F" w:rsidRDefault="0063774E" w:rsidP="0063774E">
            <w:pPr>
              <w:pStyle w:val="TableTextCentered"/>
              <w:rPr>
                <w:rFonts w:eastAsia="Times New Roman"/>
              </w:rPr>
            </w:pPr>
            <w:r w:rsidRPr="008C1E5F">
              <w:rPr>
                <w:rFonts w:eastAsia="Times New Roman"/>
              </w:rPr>
              <w:t>6.8</w:t>
            </w:r>
          </w:p>
        </w:tc>
      </w:tr>
      <w:tr w:rsidR="0063774E" w:rsidRPr="008C1E5F" w14:paraId="7E8FEA86" w14:textId="77777777" w:rsidTr="0063774E">
        <w:trPr>
          <w:jc w:val="center"/>
        </w:trPr>
        <w:tc>
          <w:tcPr>
            <w:tcW w:w="1431" w:type="dxa"/>
          </w:tcPr>
          <w:p w14:paraId="2D2AE3D9" w14:textId="77777777" w:rsidR="0063774E" w:rsidRPr="008C1E5F" w:rsidRDefault="0063774E" w:rsidP="0063774E">
            <w:pPr>
              <w:pStyle w:val="TableText"/>
            </w:pPr>
            <w:r w:rsidRPr="008C1E5F">
              <w:t>Grades 6-8</w:t>
            </w:r>
          </w:p>
        </w:tc>
        <w:tc>
          <w:tcPr>
            <w:tcW w:w="874" w:type="dxa"/>
          </w:tcPr>
          <w:p w14:paraId="6173C243" w14:textId="77777777" w:rsidR="0063774E" w:rsidRPr="008C1E5F" w:rsidRDefault="0063774E" w:rsidP="0063774E">
            <w:pPr>
              <w:pStyle w:val="TableTextCentered"/>
              <w:rPr>
                <w:rFonts w:eastAsia="Times New Roman"/>
              </w:rPr>
            </w:pPr>
            <w:r w:rsidRPr="008C1E5F">
              <w:rPr>
                <w:rFonts w:eastAsia="Times New Roman"/>
              </w:rPr>
              <w:t>0</w:t>
            </w:r>
          </w:p>
        </w:tc>
        <w:tc>
          <w:tcPr>
            <w:tcW w:w="874" w:type="dxa"/>
          </w:tcPr>
          <w:p w14:paraId="30F07AA7" w14:textId="77777777" w:rsidR="0063774E" w:rsidRPr="008C1E5F" w:rsidRDefault="0063774E" w:rsidP="0063774E">
            <w:pPr>
              <w:pStyle w:val="TableTextCentered"/>
              <w:rPr>
                <w:rFonts w:eastAsia="Times New Roman"/>
              </w:rPr>
            </w:pPr>
            <w:r w:rsidRPr="008C1E5F">
              <w:rPr>
                <w:rFonts w:eastAsia="Times New Roman"/>
              </w:rPr>
              <w:t>1</w:t>
            </w:r>
          </w:p>
        </w:tc>
        <w:tc>
          <w:tcPr>
            <w:tcW w:w="874" w:type="dxa"/>
          </w:tcPr>
          <w:p w14:paraId="149E2B3E" w14:textId="77777777" w:rsidR="0063774E" w:rsidRPr="008C1E5F" w:rsidRDefault="0063774E" w:rsidP="0063774E">
            <w:pPr>
              <w:pStyle w:val="TableTextCentered"/>
              <w:rPr>
                <w:rFonts w:eastAsia="Times New Roman"/>
              </w:rPr>
            </w:pPr>
            <w:r w:rsidRPr="008C1E5F">
              <w:rPr>
                <w:rFonts w:eastAsia="Times New Roman"/>
              </w:rPr>
              <w:t>1</w:t>
            </w:r>
          </w:p>
        </w:tc>
        <w:tc>
          <w:tcPr>
            <w:tcW w:w="875" w:type="dxa"/>
          </w:tcPr>
          <w:p w14:paraId="12EDA372" w14:textId="77777777" w:rsidR="0063774E" w:rsidRPr="008C1E5F" w:rsidRDefault="0063774E" w:rsidP="0063774E">
            <w:pPr>
              <w:pStyle w:val="TableTextCentered"/>
              <w:rPr>
                <w:rFonts w:eastAsia="Times New Roman"/>
              </w:rPr>
            </w:pPr>
            <w:r w:rsidRPr="008C1E5F">
              <w:rPr>
                <w:rFonts w:eastAsia="Times New Roman"/>
              </w:rPr>
              <w:t>3</w:t>
            </w:r>
          </w:p>
        </w:tc>
        <w:tc>
          <w:tcPr>
            <w:tcW w:w="875" w:type="dxa"/>
          </w:tcPr>
          <w:p w14:paraId="41A40F8D" w14:textId="77777777" w:rsidR="0063774E" w:rsidRPr="008C1E5F" w:rsidRDefault="0063774E" w:rsidP="0063774E">
            <w:pPr>
              <w:pStyle w:val="TableTextCentered"/>
              <w:rPr>
                <w:rFonts w:eastAsia="Times New Roman"/>
              </w:rPr>
            </w:pPr>
            <w:r w:rsidRPr="008C1E5F">
              <w:rPr>
                <w:rFonts w:eastAsia="Times New Roman"/>
              </w:rPr>
              <w:t>3</w:t>
            </w:r>
          </w:p>
        </w:tc>
        <w:tc>
          <w:tcPr>
            <w:tcW w:w="874" w:type="dxa"/>
          </w:tcPr>
          <w:p w14:paraId="4DF56478" w14:textId="77777777" w:rsidR="0063774E" w:rsidRPr="008C1E5F" w:rsidRDefault="0063774E" w:rsidP="0063774E">
            <w:pPr>
              <w:pStyle w:val="TableTextCentered"/>
              <w:rPr>
                <w:rFonts w:eastAsia="Times New Roman"/>
              </w:rPr>
            </w:pPr>
            <w:r w:rsidRPr="008C1E5F">
              <w:rPr>
                <w:rFonts w:eastAsia="Times New Roman"/>
              </w:rPr>
              <w:t>17</w:t>
            </w:r>
          </w:p>
        </w:tc>
        <w:tc>
          <w:tcPr>
            <w:tcW w:w="875" w:type="dxa"/>
          </w:tcPr>
          <w:p w14:paraId="5A1C3E09" w14:textId="77777777" w:rsidR="0063774E" w:rsidRPr="008C1E5F" w:rsidRDefault="0063774E" w:rsidP="0063774E">
            <w:pPr>
              <w:pStyle w:val="TableTextCentered"/>
              <w:rPr>
                <w:rFonts w:eastAsia="Times New Roman"/>
              </w:rPr>
            </w:pPr>
            <w:r w:rsidRPr="008C1E5F">
              <w:rPr>
                <w:rFonts w:eastAsia="Times New Roman"/>
              </w:rPr>
              <w:t>46</w:t>
            </w:r>
          </w:p>
        </w:tc>
        <w:tc>
          <w:tcPr>
            <w:tcW w:w="900" w:type="dxa"/>
          </w:tcPr>
          <w:p w14:paraId="0884D56F" w14:textId="77777777" w:rsidR="0063774E" w:rsidRPr="008C1E5F" w:rsidRDefault="0063774E" w:rsidP="0063774E">
            <w:pPr>
              <w:pStyle w:val="TableTextCentered"/>
              <w:rPr>
                <w:rFonts w:eastAsia="Times New Roman"/>
              </w:rPr>
            </w:pPr>
            <w:r w:rsidRPr="008C1E5F">
              <w:rPr>
                <w:rFonts w:eastAsia="Times New Roman"/>
              </w:rPr>
              <w:t>71</w:t>
            </w:r>
          </w:p>
        </w:tc>
        <w:tc>
          <w:tcPr>
            <w:tcW w:w="892" w:type="dxa"/>
          </w:tcPr>
          <w:p w14:paraId="6AFCC7F5" w14:textId="77777777" w:rsidR="0063774E" w:rsidRPr="008C1E5F" w:rsidRDefault="0063774E" w:rsidP="0063774E">
            <w:pPr>
              <w:pStyle w:val="TableTextCentered"/>
              <w:rPr>
                <w:rFonts w:eastAsia="Times New Roman"/>
              </w:rPr>
            </w:pPr>
            <w:r w:rsidRPr="008C1E5F">
              <w:rPr>
                <w:rFonts w:eastAsia="Times New Roman"/>
              </w:rPr>
              <w:t>6.4</w:t>
            </w:r>
          </w:p>
        </w:tc>
      </w:tr>
      <w:tr w:rsidR="0063774E" w:rsidRPr="008C1E5F" w14:paraId="4F62A6CC" w14:textId="77777777" w:rsidTr="0063774E">
        <w:trPr>
          <w:jc w:val="center"/>
        </w:trPr>
        <w:tc>
          <w:tcPr>
            <w:tcW w:w="1431" w:type="dxa"/>
          </w:tcPr>
          <w:p w14:paraId="722525DD" w14:textId="77777777" w:rsidR="0063774E" w:rsidRPr="008C1E5F" w:rsidRDefault="0063774E" w:rsidP="0063774E">
            <w:pPr>
              <w:pStyle w:val="TableText"/>
            </w:pPr>
            <w:r w:rsidRPr="008C1E5F">
              <w:t>Grades 9-12</w:t>
            </w:r>
          </w:p>
        </w:tc>
        <w:tc>
          <w:tcPr>
            <w:tcW w:w="874" w:type="dxa"/>
          </w:tcPr>
          <w:p w14:paraId="162A93FC" w14:textId="77777777" w:rsidR="0063774E" w:rsidRPr="008C1E5F" w:rsidRDefault="0063774E" w:rsidP="0063774E">
            <w:pPr>
              <w:pStyle w:val="TableTextCentered"/>
              <w:rPr>
                <w:rFonts w:eastAsia="Times New Roman"/>
              </w:rPr>
            </w:pPr>
            <w:r w:rsidRPr="008C1E5F">
              <w:rPr>
                <w:rFonts w:eastAsia="Times New Roman"/>
              </w:rPr>
              <w:t>0</w:t>
            </w:r>
          </w:p>
        </w:tc>
        <w:tc>
          <w:tcPr>
            <w:tcW w:w="874" w:type="dxa"/>
          </w:tcPr>
          <w:p w14:paraId="7A7BF865" w14:textId="77777777" w:rsidR="0063774E" w:rsidRPr="008C1E5F" w:rsidRDefault="0063774E" w:rsidP="0063774E">
            <w:pPr>
              <w:pStyle w:val="TableTextCentered"/>
              <w:rPr>
                <w:rFonts w:eastAsia="Times New Roman"/>
              </w:rPr>
            </w:pPr>
            <w:r w:rsidRPr="008C1E5F">
              <w:rPr>
                <w:rFonts w:eastAsia="Times New Roman"/>
              </w:rPr>
              <w:t>0</w:t>
            </w:r>
          </w:p>
        </w:tc>
        <w:tc>
          <w:tcPr>
            <w:tcW w:w="874" w:type="dxa"/>
          </w:tcPr>
          <w:p w14:paraId="00F53055" w14:textId="77777777" w:rsidR="0063774E" w:rsidRPr="008C1E5F" w:rsidRDefault="0063774E" w:rsidP="0063774E">
            <w:pPr>
              <w:pStyle w:val="TableTextCentered"/>
              <w:rPr>
                <w:rFonts w:eastAsia="Times New Roman"/>
              </w:rPr>
            </w:pPr>
            <w:r w:rsidRPr="008C1E5F">
              <w:rPr>
                <w:rFonts w:eastAsia="Times New Roman"/>
              </w:rPr>
              <w:t>0</w:t>
            </w:r>
          </w:p>
        </w:tc>
        <w:tc>
          <w:tcPr>
            <w:tcW w:w="875" w:type="dxa"/>
          </w:tcPr>
          <w:p w14:paraId="594BE73F" w14:textId="77777777" w:rsidR="0063774E" w:rsidRPr="008C1E5F" w:rsidRDefault="0063774E" w:rsidP="0063774E">
            <w:pPr>
              <w:pStyle w:val="TableTextCentered"/>
              <w:rPr>
                <w:rFonts w:eastAsia="Times New Roman"/>
              </w:rPr>
            </w:pPr>
            <w:r w:rsidRPr="008C1E5F">
              <w:rPr>
                <w:rFonts w:eastAsia="Times New Roman"/>
              </w:rPr>
              <w:t>0</w:t>
            </w:r>
          </w:p>
        </w:tc>
        <w:tc>
          <w:tcPr>
            <w:tcW w:w="875" w:type="dxa"/>
          </w:tcPr>
          <w:p w14:paraId="4FF348D5" w14:textId="77777777" w:rsidR="0063774E" w:rsidRPr="008C1E5F" w:rsidRDefault="0063774E" w:rsidP="0063774E">
            <w:pPr>
              <w:pStyle w:val="TableTextCentered"/>
              <w:rPr>
                <w:rFonts w:eastAsia="Times New Roman"/>
              </w:rPr>
            </w:pPr>
            <w:r w:rsidRPr="008C1E5F">
              <w:rPr>
                <w:rFonts w:eastAsia="Times New Roman"/>
              </w:rPr>
              <w:t>0</w:t>
            </w:r>
          </w:p>
        </w:tc>
        <w:tc>
          <w:tcPr>
            <w:tcW w:w="874" w:type="dxa"/>
          </w:tcPr>
          <w:p w14:paraId="433DFCBA" w14:textId="77777777" w:rsidR="0063774E" w:rsidRPr="008C1E5F" w:rsidRDefault="0063774E" w:rsidP="0063774E">
            <w:pPr>
              <w:pStyle w:val="TableTextCentered"/>
              <w:rPr>
                <w:rFonts w:eastAsia="Times New Roman"/>
              </w:rPr>
            </w:pPr>
            <w:r w:rsidRPr="008C1E5F">
              <w:rPr>
                <w:rFonts w:eastAsia="Times New Roman"/>
              </w:rPr>
              <w:t>5</w:t>
            </w:r>
          </w:p>
        </w:tc>
        <w:tc>
          <w:tcPr>
            <w:tcW w:w="875" w:type="dxa"/>
          </w:tcPr>
          <w:p w14:paraId="3C15543F" w14:textId="77777777" w:rsidR="0063774E" w:rsidRPr="008C1E5F" w:rsidRDefault="0063774E" w:rsidP="0063774E">
            <w:pPr>
              <w:pStyle w:val="TableTextCentered"/>
              <w:rPr>
                <w:rFonts w:eastAsia="Times New Roman"/>
              </w:rPr>
            </w:pPr>
            <w:r w:rsidRPr="008C1E5F">
              <w:rPr>
                <w:rFonts w:eastAsia="Times New Roman"/>
              </w:rPr>
              <w:t>30</w:t>
            </w:r>
          </w:p>
        </w:tc>
        <w:tc>
          <w:tcPr>
            <w:tcW w:w="900" w:type="dxa"/>
          </w:tcPr>
          <w:p w14:paraId="194DC536" w14:textId="77777777" w:rsidR="0063774E" w:rsidRPr="008C1E5F" w:rsidRDefault="0063774E" w:rsidP="0063774E">
            <w:pPr>
              <w:pStyle w:val="TableTextCentered"/>
              <w:rPr>
                <w:rFonts w:eastAsia="Times New Roman"/>
              </w:rPr>
            </w:pPr>
            <w:r w:rsidRPr="008C1E5F">
              <w:rPr>
                <w:rFonts w:eastAsia="Times New Roman"/>
              </w:rPr>
              <w:t>35</w:t>
            </w:r>
          </w:p>
        </w:tc>
        <w:tc>
          <w:tcPr>
            <w:tcW w:w="892" w:type="dxa"/>
          </w:tcPr>
          <w:p w14:paraId="579377AA" w14:textId="77777777" w:rsidR="0063774E" w:rsidRPr="008C1E5F" w:rsidRDefault="0063774E" w:rsidP="0063774E">
            <w:pPr>
              <w:pStyle w:val="TableTextCentered"/>
              <w:rPr>
                <w:rFonts w:eastAsia="Times New Roman"/>
              </w:rPr>
            </w:pPr>
            <w:r w:rsidRPr="008C1E5F">
              <w:rPr>
                <w:rFonts w:eastAsia="Times New Roman"/>
              </w:rPr>
              <w:t>6.9</w:t>
            </w:r>
          </w:p>
        </w:tc>
      </w:tr>
    </w:tbl>
    <w:bookmarkEnd w:id="175"/>
    <w:p w14:paraId="16A5CB7C" w14:textId="77777777" w:rsidR="00900CF1" w:rsidRPr="008C1E5F" w:rsidRDefault="00900CF1">
      <w:pPr>
        <w:pStyle w:val="TableNote"/>
      </w:pPr>
      <w:r w:rsidRPr="008C1E5F">
        <w:t xml:space="preserve">*The district average is an average of the observation scores. In Table 6, the district average is computed as: </w:t>
      </w:r>
      <w:r w:rsidRPr="008C1E5F">
        <w:br/>
      </w:r>
      <w:bookmarkStart w:id="176" w:name="Dist_NC_Calc"/>
      <w:r w:rsidRPr="008C1E5F">
        <w:t>([2 x 1] + [3 x 1] + [4 x 3] + [5 x 4] + [6 x 33] + [7 x 148]) ÷ 190 observations = 6.7</w:t>
      </w:r>
      <w:bookmarkEnd w:id="176"/>
    </w:p>
    <w:p w14:paraId="717C12AF" w14:textId="77777777" w:rsidR="00900CF1" w:rsidRPr="008C1E5F" w:rsidRDefault="00900CF1">
      <w:pPr>
        <w:pStyle w:val="BodyText"/>
      </w:pPr>
      <w:r w:rsidRPr="008C1E5F">
        <w:rPr>
          <w:rStyle w:val="BodyTextDemiChar"/>
        </w:rPr>
        <w:t>Ratings in the Low Range.</w:t>
      </w:r>
      <w:r w:rsidRPr="008C1E5F">
        <w:rPr>
          <w:b/>
        </w:rPr>
        <w:t xml:space="preserve"> </w:t>
      </w:r>
      <w:r w:rsidRPr="008C1E5F">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3FE5BE15" w14:textId="77777777" w:rsidR="00900CF1" w:rsidRPr="008C1E5F" w:rsidRDefault="00900CF1">
      <w:pPr>
        <w:pStyle w:val="BodyText"/>
      </w:pPr>
      <w:r w:rsidRPr="008C1E5F">
        <w:rPr>
          <w:rStyle w:val="BodyTextDemiChar"/>
        </w:rPr>
        <w:t>Ratings in the Middle Range.</w:t>
      </w:r>
      <w:r w:rsidRPr="008C1E5F">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6BBA04DE" w14:textId="77777777" w:rsidR="00900CF1" w:rsidRPr="008C1E5F" w:rsidRDefault="00900CF1">
      <w:pPr>
        <w:pStyle w:val="BodyText"/>
        <w:rPr>
          <w:rFonts w:eastAsiaTheme="majorEastAsia"/>
        </w:rPr>
      </w:pPr>
      <w:r w:rsidRPr="008C1E5F">
        <w:rPr>
          <w:rStyle w:val="BodyTextDemiChar"/>
        </w:rPr>
        <w:t>Ratings in the High Range.</w:t>
      </w:r>
      <w:r w:rsidRPr="008C1E5F">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p>
    <w:p w14:paraId="5A599F4D" w14:textId="77777777" w:rsidR="00900CF1" w:rsidRPr="008C1E5F" w:rsidRDefault="00900CF1">
      <w:pPr>
        <w:spacing w:after="160" w:line="259" w:lineRule="auto"/>
      </w:pPr>
      <w:r w:rsidRPr="008C1E5F">
        <w:br w:type="page"/>
      </w:r>
    </w:p>
    <w:p w14:paraId="3B41211E" w14:textId="77777777" w:rsidR="00900CF1" w:rsidRPr="008C1E5F" w:rsidRDefault="00900CF1">
      <w:pPr>
        <w:pStyle w:val="Heading2-SIOR"/>
      </w:pPr>
      <w:bookmarkStart w:id="177" w:name="_Toc430114879"/>
      <w:bookmarkStart w:id="178" w:name="_Toc92194258"/>
      <w:bookmarkStart w:id="179" w:name="_Toc195024250"/>
      <w:r w:rsidRPr="008C1E5F">
        <w:lastRenderedPageBreak/>
        <w:t>Behavior Management</w:t>
      </w:r>
      <w:bookmarkEnd w:id="177"/>
      <w:bookmarkEnd w:id="178"/>
      <w:bookmarkEnd w:id="179"/>
    </w:p>
    <w:p w14:paraId="4CA05510" w14:textId="77777777" w:rsidR="00900CF1" w:rsidRPr="008C1E5F" w:rsidRDefault="00900CF1">
      <w:pPr>
        <w:pStyle w:val="BodyTextDomain"/>
      </w:pPr>
      <w:r w:rsidRPr="008C1E5F">
        <w:t>Classroom Organization domain, Grades K−12</w:t>
      </w:r>
    </w:p>
    <w:p w14:paraId="3DEC267F" w14:textId="77777777" w:rsidR="00900CF1" w:rsidRPr="008C1E5F" w:rsidRDefault="00900CF1">
      <w:pPr>
        <w:pStyle w:val="BodyText"/>
      </w:pPr>
      <w:r w:rsidRPr="008C1E5F">
        <w:t>Behavior Management refers to the teacher’s ability to provide clear behavioral expectations and use effective methods to prevent and redirect misbehavior (</w:t>
      </w:r>
      <w:r w:rsidRPr="008C1E5F">
        <w:rPr>
          <w:i/>
        </w:rPr>
        <w:t>CLASS K–3 Manual</w:t>
      </w:r>
      <w:r w:rsidRPr="008C1E5F">
        <w:t xml:space="preserve">, p. 45, </w:t>
      </w:r>
      <w:r w:rsidRPr="008C1E5F">
        <w:rPr>
          <w:i/>
        </w:rPr>
        <w:t xml:space="preserve">CLASS Upper Elementary Manual, </w:t>
      </w:r>
      <w:r w:rsidRPr="008C1E5F">
        <w:t xml:space="preserve">p. 41, </w:t>
      </w:r>
      <w:r w:rsidRPr="008C1E5F">
        <w:rPr>
          <w:i/>
        </w:rPr>
        <w:t>CLASS Secondary Manual</w:t>
      </w:r>
      <w:r w:rsidRPr="008C1E5F">
        <w:t>, p. 41).</w:t>
      </w:r>
    </w:p>
    <w:p w14:paraId="278DAE41" w14:textId="77777777" w:rsidR="00900CF1" w:rsidRPr="008C1E5F" w:rsidRDefault="00900CF1">
      <w:pPr>
        <w:pStyle w:val="TableTitle0"/>
      </w:pPr>
      <w:r w:rsidRPr="008C1E5F">
        <w:t>Table 7. Behavior Management: Number of Classrooms for Each Rating and District Average</w:t>
      </w:r>
    </w:p>
    <w:p w14:paraId="0162BE79" w14:textId="77777777" w:rsidR="00900CF1" w:rsidRPr="008C1E5F" w:rsidRDefault="00900CF1">
      <w:pPr>
        <w:pStyle w:val="BodyTextDemi"/>
      </w:pPr>
      <w:r w:rsidRPr="008C1E5F">
        <w:t xml:space="preserve">Behavior Management District Average*: </w:t>
      </w:r>
      <w:bookmarkStart w:id="180" w:name="Dist_BM_Avg"/>
      <w:r w:rsidRPr="008C1E5F">
        <w:t>5.7</w:t>
      </w:r>
      <w:bookmarkEnd w:id="180"/>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63774E" w:rsidRPr="008C1E5F" w14:paraId="145372C3" w14:textId="77777777">
        <w:trPr>
          <w:cnfStyle w:val="100000000000" w:firstRow="1" w:lastRow="0" w:firstColumn="0" w:lastColumn="0" w:oddVBand="0" w:evenVBand="0" w:oddHBand="0" w:evenHBand="0" w:firstRowFirstColumn="0" w:firstRowLastColumn="0" w:lastRowFirstColumn="0" w:lastRowLastColumn="0"/>
          <w:jc w:val="center"/>
        </w:trPr>
        <w:tc>
          <w:tcPr>
            <w:tcW w:w="1431" w:type="dxa"/>
          </w:tcPr>
          <w:p w14:paraId="4431C6AD" w14:textId="066C6AAD" w:rsidR="0063774E" w:rsidRPr="008C1E5F" w:rsidRDefault="0063774E" w:rsidP="0063774E">
            <w:pPr>
              <w:pStyle w:val="TableColHeadingCenter"/>
              <w:rPr>
                <w:rFonts w:eastAsia="MS Mincho"/>
              </w:rPr>
            </w:pPr>
            <w:bookmarkStart w:id="181" w:name="Tbl_BM"/>
            <w:r w:rsidRPr="008C1E5F">
              <w:rPr>
                <w:rFonts w:eastAsia="MS Mincho"/>
              </w:rPr>
              <w:t>Grade Band</w:t>
            </w:r>
          </w:p>
        </w:tc>
        <w:tc>
          <w:tcPr>
            <w:tcW w:w="874" w:type="dxa"/>
          </w:tcPr>
          <w:p w14:paraId="100DB0EB" w14:textId="77777777" w:rsidR="0063774E" w:rsidRPr="008C1E5F" w:rsidRDefault="0063774E" w:rsidP="0063774E">
            <w:pPr>
              <w:pStyle w:val="TableColHeadingCenter"/>
              <w:rPr>
                <w:rFonts w:eastAsia="MS Mincho"/>
              </w:rPr>
            </w:pPr>
            <w:r w:rsidRPr="008C1E5F">
              <w:rPr>
                <w:rFonts w:eastAsia="MS Mincho"/>
              </w:rPr>
              <w:t>Low Range</w:t>
            </w:r>
          </w:p>
        </w:tc>
        <w:tc>
          <w:tcPr>
            <w:tcW w:w="874" w:type="dxa"/>
          </w:tcPr>
          <w:p w14:paraId="449FC6D2" w14:textId="7259D3DD" w:rsidR="0063774E" w:rsidRPr="008C1E5F" w:rsidRDefault="0063774E" w:rsidP="0063774E">
            <w:pPr>
              <w:pStyle w:val="TableColHeadingCenter"/>
              <w:rPr>
                <w:rFonts w:eastAsia="MS Mincho"/>
              </w:rPr>
            </w:pPr>
            <w:r w:rsidRPr="008C1E5F">
              <w:rPr>
                <w:rFonts w:eastAsia="MS Mincho"/>
              </w:rPr>
              <w:t>Low Range</w:t>
            </w:r>
          </w:p>
        </w:tc>
        <w:tc>
          <w:tcPr>
            <w:tcW w:w="874" w:type="dxa"/>
          </w:tcPr>
          <w:p w14:paraId="71315E04" w14:textId="77777777" w:rsidR="0063774E" w:rsidRPr="008C1E5F" w:rsidRDefault="0063774E" w:rsidP="0063774E">
            <w:pPr>
              <w:pStyle w:val="TableColHeadingCenter"/>
              <w:rPr>
                <w:rFonts w:eastAsia="MS Mincho"/>
              </w:rPr>
            </w:pPr>
            <w:r w:rsidRPr="008C1E5F">
              <w:rPr>
                <w:rFonts w:eastAsia="MS Mincho"/>
              </w:rPr>
              <w:t>Middle Range</w:t>
            </w:r>
          </w:p>
        </w:tc>
        <w:tc>
          <w:tcPr>
            <w:tcW w:w="875" w:type="dxa"/>
          </w:tcPr>
          <w:p w14:paraId="0DF0C38E" w14:textId="41CD7907" w:rsidR="0063774E" w:rsidRPr="008C1E5F" w:rsidRDefault="0063774E" w:rsidP="0063774E">
            <w:pPr>
              <w:pStyle w:val="TableColHeadingCenter"/>
              <w:rPr>
                <w:rFonts w:eastAsia="MS Mincho"/>
              </w:rPr>
            </w:pPr>
            <w:r w:rsidRPr="008C1E5F">
              <w:rPr>
                <w:rFonts w:eastAsia="MS Mincho"/>
              </w:rPr>
              <w:t>Middle Range</w:t>
            </w:r>
          </w:p>
        </w:tc>
        <w:tc>
          <w:tcPr>
            <w:tcW w:w="875" w:type="dxa"/>
          </w:tcPr>
          <w:p w14:paraId="409B41C7" w14:textId="2D3F3D57" w:rsidR="0063774E" w:rsidRPr="008C1E5F" w:rsidRDefault="0063774E" w:rsidP="0063774E">
            <w:pPr>
              <w:pStyle w:val="TableColHeadingCenter"/>
              <w:rPr>
                <w:rFonts w:eastAsia="MS Mincho"/>
              </w:rPr>
            </w:pPr>
            <w:r w:rsidRPr="008C1E5F">
              <w:rPr>
                <w:rFonts w:eastAsia="MS Mincho"/>
              </w:rPr>
              <w:t>Middle Range</w:t>
            </w:r>
          </w:p>
        </w:tc>
        <w:tc>
          <w:tcPr>
            <w:tcW w:w="874" w:type="dxa"/>
          </w:tcPr>
          <w:p w14:paraId="1F5AE3FB" w14:textId="77777777" w:rsidR="0063774E" w:rsidRPr="008C1E5F" w:rsidRDefault="0063774E" w:rsidP="0063774E">
            <w:pPr>
              <w:pStyle w:val="TableColHeadingCenter"/>
              <w:rPr>
                <w:rFonts w:eastAsia="MS Mincho"/>
              </w:rPr>
            </w:pPr>
            <w:r w:rsidRPr="008C1E5F">
              <w:rPr>
                <w:rFonts w:eastAsia="MS Mincho"/>
              </w:rPr>
              <w:t>High Range</w:t>
            </w:r>
          </w:p>
        </w:tc>
        <w:tc>
          <w:tcPr>
            <w:tcW w:w="875" w:type="dxa"/>
          </w:tcPr>
          <w:p w14:paraId="1F3740D1" w14:textId="139391AA" w:rsidR="0063774E" w:rsidRPr="008C1E5F" w:rsidRDefault="0063774E" w:rsidP="0063774E">
            <w:pPr>
              <w:pStyle w:val="TableColHeadingCenter"/>
              <w:rPr>
                <w:rFonts w:eastAsia="MS Mincho"/>
              </w:rPr>
            </w:pPr>
            <w:r w:rsidRPr="008C1E5F">
              <w:rPr>
                <w:rFonts w:eastAsia="MS Mincho"/>
              </w:rPr>
              <w:t>High Range</w:t>
            </w:r>
          </w:p>
        </w:tc>
        <w:tc>
          <w:tcPr>
            <w:tcW w:w="900" w:type="dxa"/>
          </w:tcPr>
          <w:p w14:paraId="25BE5D61" w14:textId="2F9A91CB" w:rsidR="0063774E" w:rsidRPr="008C1E5F" w:rsidRDefault="0063774E" w:rsidP="0063774E">
            <w:pPr>
              <w:pStyle w:val="TableColHeadingCenter"/>
              <w:rPr>
                <w:rFonts w:eastAsia="MS Mincho"/>
              </w:rPr>
            </w:pPr>
            <w:r w:rsidRPr="008C1E5F">
              <w:rPr>
                <w:rFonts w:eastAsia="MS Mincho"/>
                <w:i/>
                <w:iCs/>
              </w:rPr>
              <w:t>n</w:t>
            </w:r>
          </w:p>
        </w:tc>
        <w:tc>
          <w:tcPr>
            <w:tcW w:w="892" w:type="dxa"/>
          </w:tcPr>
          <w:p w14:paraId="131128B5" w14:textId="12B5F3D7" w:rsidR="0063774E" w:rsidRPr="008C1E5F" w:rsidRDefault="0063774E" w:rsidP="0063774E">
            <w:pPr>
              <w:pStyle w:val="TableColHeadingCenter"/>
              <w:rPr>
                <w:rFonts w:eastAsia="MS Mincho"/>
              </w:rPr>
            </w:pPr>
            <w:r w:rsidRPr="008C1E5F">
              <w:rPr>
                <w:rFonts w:eastAsia="MS Mincho"/>
              </w:rPr>
              <w:t>Average</w:t>
            </w:r>
          </w:p>
        </w:tc>
      </w:tr>
      <w:tr w:rsidR="0063774E" w:rsidRPr="008C1E5F" w14:paraId="4262F180" w14:textId="77777777" w:rsidTr="0063774E">
        <w:trPr>
          <w:jc w:val="center"/>
        </w:trPr>
        <w:tc>
          <w:tcPr>
            <w:tcW w:w="1431" w:type="dxa"/>
            <w:shd w:val="clear" w:color="auto" w:fill="D9E2F3" w:themeFill="accent5" w:themeFillTint="33"/>
          </w:tcPr>
          <w:p w14:paraId="60664F7F" w14:textId="77777777" w:rsidR="0063774E" w:rsidRPr="008C1E5F" w:rsidRDefault="0063774E" w:rsidP="0063774E">
            <w:pPr>
              <w:pStyle w:val="TableSubheadingCentered"/>
            </w:pPr>
          </w:p>
        </w:tc>
        <w:tc>
          <w:tcPr>
            <w:tcW w:w="874" w:type="dxa"/>
            <w:shd w:val="clear" w:color="auto" w:fill="D9E2F3" w:themeFill="accent5" w:themeFillTint="33"/>
          </w:tcPr>
          <w:p w14:paraId="50049EDE" w14:textId="77777777" w:rsidR="0063774E" w:rsidRPr="008C1E5F" w:rsidRDefault="0063774E" w:rsidP="0063774E">
            <w:pPr>
              <w:pStyle w:val="TableSubheadingCentered"/>
            </w:pPr>
            <w:r w:rsidRPr="008C1E5F">
              <w:t>1</w:t>
            </w:r>
          </w:p>
        </w:tc>
        <w:tc>
          <w:tcPr>
            <w:tcW w:w="874" w:type="dxa"/>
            <w:shd w:val="clear" w:color="auto" w:fill="D9E2F3" w:themeFill="accent5" w:themeFillTint="33"/>
          </w:tcPr>
          <w:p w14:paraId="5C4F7B6B" w14:textId="77777777" w:rsidR="0063774E" w:rsidRPr="008C1E5F" w:rsidRDefault="0063774E" w:rsidP="0063774E">
            <w:pPr>
              <w:pStyle w:val="TableSubheadingCentered"/>
            </w:pPr>
            <w:r w:rsidRPr="008C1E5F">
              <w:t>2</w:t>
            </w:r>
          </w:p>
        </w:tc>
        <w:tc>
          <w:tcPr>
            <w:tcW w:w="874" w:type="dxa"/>
            <w:shd w:val="clear" w:color="auto" w:fill="D9E2F3" w:themeFill="accent5" w:themeFillTint="33"/>
          </w:tcPr>
          <w:p w14:paraId="703EB0BA" w14:textId="77777777" w:rsidR="0063774E" w:rsidRPr="008C1E5F" w:rsidRDefault="0063774E" w:rsidP="0063774E">
            <w:pPr>
              <w:pStyle w:val="TableSubheadingCentered"/>
            </w:pPr>
            <w:r w:rsidRPr="008C1E5F">
              <w:t>3</w:t>
            </w:r>
          </w:p>
        </w:tc>
        <w:tc>
          <w:tcPr>
            <w:tcW w:w="875" w:type="dxa"/>
            <w:shd w:val="clear" w:color="auto" w:fill="D9E2F3" w:themeFill="accent5" w:themeFillTint="33"/>
          </w:tcPr>
          <w:p w14:paraId="300ECF40" w14:textId="77777777" w:rsidR="0063774E" w:rsidRPr="008C1E5F" w:rsidRDefault="0063774E" w:rsidP="0063774E">
            <w:pPr>
              <w:pStyle w:val="TableSubheadingCentered"/>
            </w:pPr>
            <w:r w:rsidRPr="008C1E5F">
              <w:t>4</w:t>
            </w:r>
          </w:p>
        </w:tc>
        <w:tc>
          <w:tcPr>
            <w:tcW w:w="875" w:type="dxa"/>
            <w:shd w:val="clear" w:color="auto" w:fill="D9E2F3" w:themeFill="accent5" w:themeFillTint="33"/>
          </w:tcPr>
          <w:p w14:paraId="43319182" w14:textId="77777777" w:rsidR="0063774E" w:rsidRPr="008C1E5F" w:rsidRDefault="0063774E" w:rsidP="0063774E">
            <w:pPr>
              <w:pStyle w:val="TableSubheadingCentered"/>
            </w:pPr>
            <w:r w:rsidRPr="008C1E5F">
              <w:t>5</w:t>
            </w:r>
          </w:p>
        </w:tc>
        <w:tc>
          <w:tcPr>
            <w:tcW w:w="874" w:type="dxa"/>
            <w:shd w:val="clear" w:color="auto" w:fill="D9E2F3" w:themeFill="accent5" w:themeFillTint="33"/>
          </w:tcPr>
          <w:p w14:paraId="5FA7F819" w14:textId="77777777" w:rsidR="0063774E" w:rsidRPr="008C1E5F" w:rsidRDefault="0063774E" w:rsidP="0063774E">
            <w:pPr>
              <w:pStyle w:val="TableSubheadingCentered"/>
            </w:pPr>
            <w:r w:rsidRPr="008C1E5F">
              <w:t>6</w:t>
            </w:r>
          </w:p>
        </w:tc>
        <w:tc>
          <w:tcPr>
            <w:tcW w:w="875" w:type="dxa"/>
            <w:shd w:val="clear" w:color="auto" w:fill="D9E2F3" w:themeFill="accent5" w:themeFillTint="33"/>
          </w:tcPr>
          <w:p w14:paraId="49E5C90C" w14:textId="77777777" w:rsidR="0063774E" w:rsidRPr="008C1E5F" w:rsidRDefault="0063774E" w:rsidP="0063774E">
            <w:pPr>
              <w:pStyle w:val="TableSubheadingCentered"/>
            </w:pPr>
            <w:r w:rsidRPr="008C1E5F">
              <w:t>7</w:t>
            </w:r>
          </w:p>
        </w:tc>
        <w:tc>
          <w:tcPr>
            <w:tcW w:w="900" w:type="dxa"/>
            <w:shd w:val="clear" w:color="auto" w:fill="D9E2F3" w:themeFill="accent5" w:themeFillTint="33"/>
          </w:tcPr>
          <w:p w14:paraId="0F5EB5C4" w14:textId="77777777" w:rsidR="0063774E" w:rsidRPr="008C1E5F" w:rsidRDefault="0063774E" w:rsidP="0063774E">
            <w:pPr>
              <w:pStyle w:val="TableSubheadingCentered"/>
            </w:pPr>
            <w:r w:rsidRPr="008C1E5F">
              <w:t>190</w:t>
            </w:r>
          </w:p>
        </w:tc>
        <w:tc>
          <w:tcPr>
            <w:tcW w:w="892" w:type="dxa"/>
            <w:shd w:val="clear" w:color="auto" w:fill="D9E2F3" w:themeFill="accent5" w:themeFillTint="33"/>
          </w:tcPr>
          <w:p w14:paraId="3F6FE2F7" w14:textId="77777777" w:rsidR="0063774E" w:rsidRPr="008C1E5F" w:rsidRDefault="0063774E" w:rsidP="0063774E">
            <w:pPr>
              <w:pStyle w:val="TableSubheadingCentered"/>
            </w:pPr>
            <w:r w:rsidRPr="008C1E5F">
              <w:t>5.7</w:t>
            </w:r>
          </w:p>
        </w:tc>
      </w:tr>
      <w:tr w:rsidR="0063774E" w:rsidRPr="008C1E5F" w14:paraId="7D1F7107" w14:textId="77777777" w:rsidTr="0063774E">
        <w:trPr>
          <w:jc w:val="center"/>
        </w:trPr>
        <w:tc>
          <w:tcPr>
            <w:tcW w:w="1431" w:type="dxa"/>
          </w:tcPr>
          <w:p w14:paraId="68D7982F" w14:textId="77777777" w:rsidR="0063774E" w:rsidRPr="008C1E5F" w:rsidRDefault="0063774E" w:rsidP="0063774E">
            <w:pPr>
              <w:pStyle w:val="TableText"/>
            </w:pPr>
            <w:r w:rsidRPr="008C1E5F">
              <w:t>Grades K-5</w:t>
            </w:r>
          </w:p>
        </w:tc>
        <w:tc>
          <w:tcPr>
            <w:tcW w:w="874" w:type="dxa"/>
          </w:tcPr>
          <w:p w14:paraId="31F6375D" w14:textId="77777777" w:rsidR="0063774E" w:rsidRPr="008C1E5F" w:rsidRDefault="0063774E" w:rsidP="0063774E">
            <w:pPr>
              <w:pStyle w:val="TableTextCentered"/>
              <w:rPr>
                <w:rFonts w:eastAsia="Times New Roman"/>
              </w:rPr>
            </w:pPr>
            <w:r w:rsidRPr="008C1E5F">
              <w:rPr>
                <w:rFonts w:eastAsia="Times New Roman"/>
              </w:rPr>
              <w:t>1</w:t>
            </w:r>
          </w:p>
        </w:tc>
        <w:tc>
          <w:tcPr>
            <w:tcW w:w="874" w:type="dxa"/>
          </w:tcPr>
          <w:p w14:paraId="4DB6C107" w14:textId="77777777" w:rsidR="0063774E" w:rsidRPr="008C1E5F" w:rsidRDefault="0063774E" w:rsidP="0063774E">
            <w:pPr>
              <w:pStyle w:val="TableTextCentered"/>
              <w:rPr>
                <w:rFonts w:eastAsia="Times New Roman"/>
              </w:rPr>
            </w:pPr>
            <w:r w:rsidRPr="008C1E5F">
              <w:rPr>
                <w:rFonts w:eastAsia="Times New Roman"/>
              </w:rPr>
              <w:t>1</w:t>
            </w:r>
          </w:p>
        </w:tc>
        <w:tc>
          <w:tcPr>
            <w:tcW w:w="874" w:type="dxa"/>
          </w:tcPr>
          <w:p w14:paraId="77180600" w14:textId="77777777" w:rsidR="0063774E" w:rsidRPr="008C1E5F" w:rsidRDefault="0063774E" w:rsidP="0063774E">
            <w:pPr>
              <w:pStyle w:val="TableTextCentered"/>
              <w:rPr>
                <w:rFonts w:eastAsia="Times New Roman"/>
              </w:rPr>
            </w:pPr>
            <w:r w:rsidRPr="008C1E5F">
              <w:rPr>
                <w:rFonts w:eastAsia="Times New Roman"/>
              </w:rPr>
              <w:t>3</w:t>
            </w:r>
          </w:p>
        </w:tc>
        <w:tc>
          <w:tcPr>
            <w:tcW w:w="875" w:type="dxa"/>
          </w:tcPr>
          <w:p w14:paraId="6FAB33BF" w14:textId="77777777" w:rsidR="0063774E" w:rsidRPr="008C1E5F" w:rsidRDefault="0063774E" w:rsidP="0063774E">
            <w:pPr>
              <w:pStyle w:val="TableTextCentered"/>
              <w:rPr>
                <w:rFonts w:eastAsia="Times New Roman"/>
              </w:rPr>
            </w:pPr>
            <w:r w:rsidRPr="008C1E5F">
              <w:rPr>
                <w:rFonts w:eastAsia="Times New Roman"/>
              </w:rPr>
              <w:t>10</w:t>
            </w:r>
          </w:p>
        </w:tc>
        <w:tc>
          <w:tcPr>
            <w:tcW w:w="875" w:type="dxa"/>
          </w:tcPr>
          <w:p w14:paraId="15ED0912" w14:textId="77777777" w:rsidR="0063774E" w:rsidRPr="008C1E5F" w:rsidRDefault="0063774E" w:rsidP="0063774E">
            <w:pPr>
              <w:pStyle w:val="TableTextCentered"/>
              <w:rPr>
                <w:rFonts w:eastAsia="Times New Roman"/>
              </w:rPr>
            </w:pPr>
            <w:r w:rsidRPr="008C1E5F">
              <w:rPr>
                <w:rFonts w:eastAsia="Times New Roman"/>
              </w:rPr>
              <w:t>12</w:t>
            </w:r>
          </w:p>
        </w:tc>
        <w:tc>
          <w:tcPr>
            <w:tcW w:w="874" w:type="dxa"/>
          </w:tcPr>
          <w:p w14:paraId="4181B38F" w14:textId="77777777" w:rsidR="0063774E" w:rsidRPr="008C1E5F" w:rsidRDefault="0063774E" w:rsidP="0063774E">
            <w:pPr>
              <w:pStyle w:val="TableTextCentered"/>
              <w:rPr>
                <w:rFonts w:eastAsia="Times New Roman"/>
              </w:rPr>
            </w:pPr>
            <w:r w:rsidRPr="008C1E5F">
              <w:rPr>
                <w:rFonts w:eastAsia="Times New Roman"/>
              </w:rPr>
              <w:t>25</w:t>
            </w:r>
          </w:p>
        </w:tc>
        <w:tc>
          <w:tcPr>
            <w:tcW w:w="875" w:type="dxa"/>
          </w:tcPr>
          <w:p w14:paraId="27D23B62" w14:textId="77777777" w:rsidR="0063774E" w:rsidRPr="008C1E5F" w:rsidRDefault="0063774E" w:rsidP="0063774E">
            <w:pPr>
              <w:pStyle w:val="TableTextCentered"/>
              <w:rPr>
                <w:rFonts w:eastAsia="Times New Roman"/>
              </w:rPr>
            </w:pPr>
            <w:r w:rsidRPr="008C1E5F">
              <w:rPr>
                <w:rFonts w:eastAsia="Times New Roman"/>
              </w:rPr>
              <w:t>32</w:t>
            </w:r>
          </w:p>
        </w:tc>
        <w:tc>
          <w:tcPr>
            <w:tcW w:w="900" w:type="dxa"/>
          </w:tcPr>
          <w:p w14:paraId="473CEE8D" w14:textId="77777777" w:rsidR="0063774E" w:rsidRPr="008C1E5F" w:rsidRDefault="0063774E" w:rsidP="0063774E">
            <w:pPr>
              <w:pStyle w:val="TableTextCentered"/>
              <w:rPr>
                <w:rFonts w:eastAsia="Times New Roman"/>
              </w:rPr>
            </w:pPr>
            <w:r w:rsidRPr="008C1E5F">
              <w:rPr>
                <w:rFonts w:eastAsia="Times New Roman"/>
              </w:rPr>
              <w:t>84</w:t>
            </w:r>
          </w:p>
        </w:tc>
        <w:tc>
          <w:tcPr>
            <w:tcW w:w="892" w:type="dxa"/>
          </w:tcPr>
          <w:p w14:paraId="079869CC" w14:textId="77777777" w:rsidR="0063774E" w:rsidRPr="008C1E5F" w:rsidRDefault="0063774E" w:rsidP="0063774E">
            <w:pPr>
              <w:pStyle w:val="TableTextCentered"/>
              <w:rPr>
                <w:rFonts w:eastAsia="Times New Roman"/>
              </w:rPr>
            </w:pPr>
            <w:r w:rsidRPr="008C1E5F">
              <w:rPr>
                <w:rFonts w:eastAsia="Times New Roman"/>
              </w:rPr>
              <w:t>5.8</w:t>
            </w:r>
          </w:p>
        </w:tc>
      </w:tr>
      <w:tr w:rsidR="0063774E" w:rsidRPr="008C1E5F" w14:paraId="05FFCE52" w14:textId="77777777" w:rsidTr="0063774E">
        <w:trPr>
          <w:jc w:val="center"/>
        </w:trPr>
        <w:tc>
          <w:tcPr>
            <w:tcW w:w="1431" w:type="dxa"/>
          </w:tcPr>
          <w:p w14:paraId="3A40030B" w14:textId="77777777" w:rsidR="0063774E" w:rsidRPr="008C1E5F" w:rsidRDefault="0063774E" w:rsidP="0063774E">
            <w:pPr>
              <w:pStyle w:val="TableText"/>
            </w:pPr>
            <w:r w:rsidRPr="008C1E5F">
              <w:t>Grades 6-8</w:t>
            </w:r>
          </w:p>
        </w:tc>
        <w:tc>
          <w:tcPr>
            <w:tcW w:w="874" w:type="dxa"/>
          </w:tcPr>
          <w:p w14:paraId="44C18D3F" w14:textId="77777777" w:rsidR="0063774E" w:rsidRPr="008C1E5F" w:rsidRDefault="0063774E" w:rsidP="0063774E">
            <w:pPr>
              <w:pStyle w:val="TableTextCentered"/>
              <w:rPr>
                <w:rFonts w:eastAsia="Times New Roman"/>
              </w:rPr>
            </w:pPr>
            <w:r w:rsidRPr="008C1E5F">
              <w:rPr>
                <w:rFonts w:eastAsia="Times New Roman"/>
              </w:rPr>
              <w:t>0</w:t>
            </w:r>
          </w:p>
        </w:tc>
        <w:tc>
          <w:tcPr>
            <w:tcW w:w="874" w:type="dxa"/>
          </w:tcPr>
          <w:p w14:paraId="505471F8" w14:textId="77777777" w:rsidR="0063774E" w:rsidRPr="008C1E5F" w:rsidRDefault="0063774E" w:rsidP="0063774E">
            <w:pPr>
              <w:pStyle w:val="TableTextCentered"/>
              <w:rPr>
                <w:rFonts w:eastAsia="Times New Roman"/>
              </w:rPr>
            </w:pPr>
            <w:r w:rsidRPr="008C1E5F">
              <w:rPr>
                <w:rFonts w:eastAsia="Times New Roman"/>
              </w:rPr>
              <w:t>3</w:t>
            </w:r>
          </w:p>
        </w:tc>
        <w:tc>
          <w:tcPr>
            <w:tcW w:w="874" w:type="dxa"/>
          </w:tcPr>
          <w:p w14:paraId="52A506E4" w14:textId="77777777" w:rsidR="0063774E" w:rsidRPr="008C1E5F" w:rsidRDefault="0063774E" w:rsidP="0063774E">
            <w:pPr>
              <w:pStyle w:val="TableTextCentered"/>
              <w:rPr>
                <w:rFonts w:eastAsia="Times New Roman"/>
              </w:rPr>
            </w:pPr>
            <w:r w:rsidRPr="008C1E5F">
              <w:rPr>
                <w:rFonts w:eastAsia="Times New Roman"/>
              </w:rPr>
              <w:t>7</w:t>
            </w:r>
          </w:p>
        </w:tc>
        <w:tc>
          <w:tcPr>
            <w:tcW w:w="875" w:type="dxa"/>
          </w:tcPr>
          <w:p w14:paraId="200643D4" w14:textId="77777777" w:rsidR="0063774E" w:rsidRPr="008C1E5F" w:rsidRDefault="0063774E" w:rsidP="0063774E">
            <w:pPr>
              <w:pStyle w:val="TableTextCentered"/>
              <w:rPr>
                <w:rFonts w:eastAsia="Times New Roman"/>
              </w:rPr>
            </w:pPr>
            <w:r w:rsidRPr="008C1E5F">
              <w:rPr>
                <w:rFonts w:eastAsia="Times New Roman"/>
              </w:rPr>
              <w:t>5</w:t>
            </w:r>
          </w:p>
        </w:tc>
        <w:tc>
          <w:tcPr>
            <w:tcW w:w="875" w:type="dxa"/>
          </w:tcPr>
          <w:p w14:paraId="2B64DE2E" w14:textId="77777777" w:rsidR="0063774E" w:rsidRPr="008C1E5F" w:rsidRDefault="0063774E" w:rsidP="0063774E">
            <w:pPr>
              <w:pStyle w:val="TableTextCentered"/>
              <w:rPr>
                <w:rFonts w:eastAsia="Times New Roman"/>
              </w:rPr>
            </w:pPr>
            <w:r w:rsidRPr="008C1E5F">
              <w:rPr>
                <w:rFonts w:eastAsia="Times New Roman"/>
              </w:rPr>
              <w:t>15</w:t>
            </w:r>
          </w:p>
        </w:tc>
        <w:tc>
          <w:tcPr>
            <w:tcW w:w="874" w:type="dxa"/>
          </w:tcPr>
          <w:p w14:paraId="57AC4D19" w14:textId="77777777" w:rsidR="0063774E" w:rsidRPr="008C1E5F" w:rsidRDefault="0063774E" w:rsidP="0063774E">
            <w:pPr>
              <w:pStyle w:val="TableTextCentered"/>
              <w:rPr>
                <w:rFonts w:eastAsia="Times New Roman"/>
              </w:rPr>
            </w:pPr>
            <w:r w:rsidRPr="008C1E5F">
              <w:rPr>
                <w:rFonts w:eastAsia="Times New Roman"/>
              </w:rPr>
              <w:t>20</w:t>
            </w:r>
          </w:p>
        </w:tc>
        <w:tc>
          <w:tcPr>
            <w:tcW w:w="875" w:type="dxa"/>
          </w:tcPr>
          <w:p w14:paraId="08168F61" w14:textId="77777777" w:rsidR="0063774E" w:rsidRPr="008C1E5F" w:rsidRDefault="0063774E" w:rsidP="0063774E">
            <w:pPr>
              <w:pStyle w:val="TableTextCentered"/>
              <w:rPr>
                <w:rFonts w:eastAsia="Times New Roman"/>
              </w:rPr>
            </w:pPr>
            <w:r w:rsidRPr="008C1E5F">
              <w:rPr>
                <w:rFonts w:eastAsia="Times New Roman"/>
              </w:rPr>
              <w:t>21</w:t>
            </w:r>
          </w:p>
        </w:tc>
        <w:tc>
          <w:tcPr>
            <w:tcW w:w="900" w:type="dxa"/>
          </w:tcPr>
          <w:p w14:paraId="648720CD" w14:textId="77777777" w:rsidR="0063774E" w:rsidRPr="008C1E5F" w:rsidRDefault="0063774E" w:rsidP="0063774E">
            <w:pPr>
              <w:pStyle w:val="TableTextCentered"/>
              <w:rPr>
                <w:rFonts w:eastAsia="Times New Roman"/>
              </w:rPr>
            </w:pPr>
            <w:r w:rsidRPr="008C1E5F">
              <w:rPr>
                <w:rFonts w:eastAsia="Times New Roman"/>
              </w:rPr>
              <w:t>71</w:t>
            </w:r>
          </w:p>
        </w:tc>
        <w:tc>
          <w:tcPr>
            <w:tcW w:w="892" w:type="dxa"/>
          </w:tcPr>
          <w:p w14:paraId="2F024AE4" w14:textId="77777777" w:rsidR="0063774E" w:rsidRPr="008C1E5F" w:rsidRDefault="0063774E" w:rsidP="0063774E">
            <w:pPr>
              <w:pStyle w:val="TableTextCentered"/>
              <w:rPr>
                <w:rFonts w:eastAsia="Times New Roman"/>
              </w:rPr>
            </w:pPr>
            <w:r w:rsidRPr="008C1E5F">
              <w:rPr>
                <w:rFonts w:eastAsia="Times New Roman"/>
              </w:rPr>
              <w:t>5.5</w:t>
            </w:r>
          </w:p>
        </w:tc>
      </w:tr>
      <w:tr w:rsidR="0063774E" w:rsidRPr="008C1E5F" w14:paraId="7CC7AEF3" w14:textId="77777777" w:rsidTr="0063774E">
        <w:trPr>
          <w:jc w:val="center"/>
        </w:trPr>
        <w:tc>
          <w:tcPr>
            <w:tcW w:w="1431" w:type="dxa"/>
          </w:tcPr>
          <w:p w14:paraId="419AC9D3" w14:textId="77777777" w:rsidR="0063774E" w:rsidRPr="008C1E5F" w:rsidRDefault="0063774E" w:rsidP="0063774E">
            <w:pPr>
              <w:pStyle w:val="TableText"/>
            </w:pPr>
            <w:r w:rsidRPr="008C1E5F">
              <w:t>Grades 9-12</w:t>
            </w:r>
          </w:p>
        </w:tc>
        <w:tc>
          <w:tcPr>
            <w:tcW w:w="874" w:type="dxa"/>
          </w:tcPr>
          <w:p w14:paraId="6A3D79AB" w14:textId="77777777" w:rsidR="0063774E" w:rsidRPr="008C1E5F" w:rsidRDefault="0063774E" w:rsidP="0063774E">
            <w:pPr>
              <w:pStyle w:val="TableTextCentered"/>
              <w:rPr>
                <w:rFonts w:eastAsia="Times New Roman"/>
              </w:rPr>
            </w:pPr>
            <w:r w:rsidRPr="008C1E5F">
              <w:rPr>
                <w:rFonts w:eastAsia="Times New Roman"/>
              </w:rPr>
              <w:t>0</w:t>
            </w:r>
          </w:p>
        </w:tc>
        <w:tc>
          <w:tcPr>
            <w:tcW w:w="874" w:type="dxa"/>
          </w:tcPr>
          <w:p w14:paraId="5371830A" w14:textId="77777777" w:rsidR="0063774E" w:rsidRPr="008C1E5F" w:rsidRDefault="0063774E" w:rsidP="0063774E">
            <w:pPr>
              <w:pStyle w:val="TableTextCentered"/>
              <w:rPr>
                <w:rFonts w:eastAsia="Times New Roman"/>
              </w:rPr>
            </w:pPr>
            <w:r w:rsidRPr="008C1E5F">
              <w:rPr>
                <w:rFonts w:eastAsia="Times New Roman"/>
              </w:rPr>
              <w:t>0</w:t>
            </w:r>
          </w:p>
        </w:tc>
        <w:tc>
          <w:tcPr>
            <w:tcW w:w="874" w:type="dxa"/>
          </w:tcPr>
          <w:p w14:paraId="44BD0261" w14:textId="77777777" w:rsidR="0063774E" w:rsidRPr="008C1E5F" w:rsidRDefault="0063774E" w:rsidP="0063774E">
            <w:pPr>
              <w:pStyle w:val="TableTextCentered"/>
              <w:rPr>
                <w:rFonts w:eastAsia="Times New Roman"/>
              </w:rPr>
            </w:pPr>
            <w:r w:rsidRPr="008C1E5F">
              <w:rPr>
                <w:rFonts w:eastAsia="Times New Roman"/>
              </w:rPr>
              <w:t>0</w:t>
            </w:r>
          </w:p>
        </w:tc>
        <w:tc>
          <w:tcPr>
            <w:tcW w:w="875" w:type="dxa"/>
          </w:tcPr>
          <w:p w14:paraId="221124B9" w14:textId="77777777" w:rsidR="0063774E" w:rsidRPr="008C1E5F" w:rsidRDefault="0063774E" w:rsidP="0063774E">
            <w:pPr>
              <w:pStyle w:val="TableTextCentered"/>
              <w:rPr>
                <w:rFonts w:eastAsia="Times New Roman"/>
              </w:rPr>
            </w:pPr>
            <w:r w:rsidRPr="008C1E5F">
              <w:rPr>
                <w:rFonts w:eastAsia="Times New Roman"/>
              </w:rPr>
              <w:t>5</w:t>
            </w:r>
          </w:p>
        </w:tc>
        <w:tc>
          <w:tcPr>
            <w:tcW w:w="875" w:type="dxa"/>
          </w:tcPr>
          <w:p w14:paraId="06BA8CC0" w14:textId="77777777" w:rsidR="0063774E" w:rsidRPr="008C1E5F" w:rsidRDefault="0063774E" w:rsidP="0063774E">
            <w:pPr>
              <w:pStyle w:val="TableTextCentered"/>
              <w:rPr>
                <w:rFonts w:eastAsia="Times New Roman"/>
              </w:rPr>
            </w:pPr>
            <w:r w:rsidRPr="008C1E5F">
              <w:rPr>
                <w:rFonts w:eastAsia="Times New Roman"/>
              </w:rPr>
              <w:t>6</w:t>
            </w:r>
          </w:p>
        </w:tc>
        <w:tc>
          <w:tcPr>
            <w:tcW w:w="874" w:type="dxa"/>
          </w:tcPr>
          <w:p w14:paraId="3DB6566D" w14:textId="77777777" w:rsidR="0063774E" w:rsidRPr="008C1E5F" w:rsidRDefault="0063774E" w:rsidP="0063774E">
            <w:pPr>
              <w:pStyle w:val="TableTextCentered"/>
              <w:rPr>
                <w:rFonts w:eastAsia="Times New Roman"/>
              </w:rPr>
            </w:pPr>
            <w:r w:rsidRPr="008C1E5F">
              <w:rPr>
                <w:rFonts w:eastAsia="Times New Roman"/>
              </w:rPr>
              <w:t>9</w:t>
            </w:r>
          </w:p>
        </w:tc>
        <w:tc>
          <w:tcPr>
            <w:tcW w:w="875" w:type="dxa"/>
          </w:tcPr>
          <w:p w14:paraId="171E61AD" w14:textId="77777777" w:rsidR="0063774E" w:rsidRPr="008C1E5F" w:rsidRDefault="0063774E" w:rsidP="0063774E">
            <w:pPr>
              <w:pStyle w:val="TableTextCentered"/>
              <w:rPr>
                <w:rFonts w:eastAsia="Times New Roman"/>
              </w:rPr>
            </w:pPr>
            <w:r w:rsidRPr="008C1E5F">
              <w:rPr>
                <w:rFonts w:eastAsia="Times New Roman"/>
              </w:rPr>
              <w:t>15</w:t>
            </w:r>
          </w:p>
        </w:tc>
        <w:tc>
          <w:tcPr>
            <w:tcW w:w="900" w:type="dxa"/>
          </w:tcPr>
          <w:p w14:paraId="0395E7AB" w14:textId="77777777" w:rsidR="0063774E" w:rsidRPr="008C1E5F" w:rsidRDefault="0063774E" w:rsidP="0063774E">
            <w:pPr>
              <w:pStyle w:val="TableTextCentered"/>
              <w:rPr>
                <w:rFonts w:eastAsia="Times New Roman"/>
              </w:rPr>
            </w:pPr>
            <w:r w:rsidRPr="008C1E5F">
              <w:rPr>
                <w:rFonts w:eastAsia="Times New Roman"/>
              </w:rPr>
              <w:t>35</w:t>
            </w:r>
          </w:p>
        </w:tc>
        <w:tc>
          <w:tcPr>
            <w:tcW w:w="892" w:type="dxa"/>
          </w:tcPr>
          <w:p w14:paraId="28E538FB" w14:textId="77777777" w:rsidR="0063774E" w:rsidRPr="008C1E5F" w:rsidRDefault="0063774E" w:rsidP="0063774E">
            <w:pPr>
              <w:pStyle w:val="TableTextCentered"/>
              <w:rPr>
                <w:rFonts w:eastAsia="Times New Roman"/>
              </w:rPr>
            </w:pPr>
            <w:r w:rsidRPr="008C1E5F">
              <w:rPr>
                <w:rFonts w:eastAsia="Times New Roman"/>
              </w:rPr>
              <w:t>6.0</w:t>
            </w:r>
          </w:p>
        </w:tc>
      </w:tr>
    </w:tbl>
    <w:bookmarkEnd w:id="181"/>
    <w:p w14:paraId="138FA235" w14:textId="77777777" w:rsidR="00900CF1" w:rsidRPr="008C1E5F" w:rsidRDefault="00900CF1">
      <w:pPr>
        <w:pStyle w:val="TableNote"/>
      </w:pPr>
      <w:r w:rsidRPr="008C1E5F">
        <w:t xml:space="preserve">*The district average is an average of the observation scores. In Table 7, the district average is computed as: </w:t>
      </w:r>
      <w:r w:rsidRPr="008C1E5F">
        <w:br/>
      </w:r>
      <w:bookmarkStart w:id="182" w:name="Dist_BM_Calc"/>
      <w:r w:rsidRPr="008C1E5F">
        <w:t>([1 x 1] + [2 x 4] + [3 x 10] + [4 x 20] + [5 x 33] + [6 x 54] + [7 x 68]) ÷ 190 observations = 5.7</w:t>
      </w:r>
      <w:bookmarkEnd w:id="182"/>
    </w:p>
    <w:p w14:paraId="084E7D89" w14:textId="77777777" w:rsidR="00900CF1" w:rsidRPr="008C1E5F" w:rsidRDefault="00900CF1">
      <w:pPr>
        <w:pStyle w:val="BodyText"/>
      </w:pPr>
      <w:r w:rsidRPr="008C1E5F">
        <w:rPr>
          <w:rStyle w:val="BodyTextDemiChar"/>
        </w:rPr>
        <w:t>Ratings in the Low Range.</w:t>
      </w:r>
      <w:r w:rsidRPr="008C1E5F">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teacher’s attempts to redirect misbehavior are ineffective. The teacher does not use cues, such as eye contact, slight touches, gestures, or physical proximity, to respond to and redirect negative behavior. </w:t>
      </w:r>
    </w:p>
    <w:p w14:paraId="46329FAD" w14:textId="77777777" w:rsidR="00900CF1" w:rsidRPr="008C1E5F" w:rsidRDefault="00900CF1">
      <w:pPr>
        <w:pStyle w:val="BodyText"/>
      </w:pPr>
      <w:r w:rsidRPr="008C1E5F">
        <w:rPr>
          <w:rStyle w:val="BodyTextDemiChar"/>
        </w:rPr>
        <w:t>Ratings in the Middle Range.</w:t>
      </w:r>
      <w:r w:rsidRPr="008C1E5F">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1F247E73" w14:textId="77777777" w:rsidR="00900CF1" w:rsidRPr="008C1E5F" w:rsidRDefault="00900CF1">
      <w:pPr>
        <w:pStyle w:val="BodyText"/>
      </w:pPr>
      <w:r w:rsidRPr="008C1E5F">
        <w:rPr>
          <w:rStyle w:val="BodyTextDemiChar"/>
        </w:rPr>
        <w:t>Ratings in the High Range.</w:t>
      </w:r>
      <w:r w:rsidRPr="008C1E5F">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 desirable behaviors. The teacher effectively uses cues to redirect behavior. There are no, or very few, instances of student misbehavior or disruptions.</w:t>
      </w:r>
    </w:p>
    <w:p w14:paraId="5613CA02" w14:textId="77777777" w:rsidR="00900CF1" w:rsidRPr="008C1E5F" w:rsidRDefault="00900CF1">
      <w:pPr>
        <w:spacing w:after="160" w:line="259" w:lineRule="auto"/>
      </w:pPr>
      <w:r w:rsidRPr="008C1E5F">
        <w:br w:type="page"/>
      </w:r>
    </w:p>
    <w:p w14:paraId="50398C76" w14:textId="77777777" w:rsidR="00900CF1" w:rsidRPr="008C1E5F" w:rsidRDefault="00900CF1">
      <w:pPr>
        <w:pStyle w:val="Heading2-SIOR"/>
      </w:pPr>
      <w:bookmarkStart w:id="183" w:name="_Toc411329831"/>
      <w:bookmarkStart w:id="184" w:name="_Toc430114880"/>
      <w:bookmarkStart w:id="185" w:name="_Toc92194259"/>
      <w:bookmarkStart w:id="186" w:name="_Toc195024251"/>
      <w:r w:rsidRPr="008C1E5F">
        <w:lastRenderedPageBreak/>
        <w:t>Productivity</w:t>
      </w:r>
      <w:bookmarkEnd w:id="183"/>
      <w:bookmarkEnd w:id="184"/>
      <w:bookmarkEnd w:id="185"/>
      <w:bookmarkEnd w:id="186"/>
    </w:p>
    <w:p w14:paraId="4ACE6D9F" w14:textId="77777777" w:rsidR="00900CF1" w:rsidRPr="008C1E5F" w:rsidRDefault="00900CF1">
      <w:pPr>
        <w:pStyle w:val="BodyTextDomain"/>
      </w:pPr>
      <w:r w:rsidRPr="008C1E5F">
        <w:t>Classroom Organization domain, Grades K−12</w:t>
      </w:r>
    </w:p>
    <w:p w14:paraId="6C505609" w14:textId="77777777" w:rsidR="00900CF1" w:rsidRPr="008C1E5F" w:rsidRDefault="00900CF1">
      <w:pPr>
        <w:pStyle w:val="BodyText"/>
      </w:pPr>
      <w:r w:rsidRPr="008C1E5F">
        <w:t xml:space="preserve">Productivity considers how well the teacher manages instructional time and routines and provides activities for students so that they </w:t>
      </w:r>
      <w:proofErr w:type="gramStart"/>
      <w:r w:rsidRPr="008C1E5F">
        <w:t>have the opportunity to</w:t>
      </w:r>
      <w:proofErr w:type="gramEnd"/>
      <w:r w:rsidRPr="008C1E5F">
        <w:t xml:space="preserve"> be involved in learning activities (</w:t>
      </w:r>
      <w:r w:rsidRPr="008C1E5F">
        <w:rPr>
          <w:i/>
        </w:rPr>
        <w:t>CLASS K–3 Manual,</w:t>
      </w:r>
      <w:r w:rsidRPr="008C1E5F">
        <w:t xml:space="preserve"> p. 51, </w:t>
      </w:r>
      <w:r w:rsidRPr="008C1E5F">
        <w:rPr>
          <w:i/>
        </w:rPr>
        <w:t xml:space="preserve">CLASS Upper Elementary Manual, </w:t>
      </w:r>
      <w:r w:rsidRPr="008C1E5F">
        <w:t xml:space="preserve">p. 49, </w:t>
      </w:r>
      <w:r w:rsidRPr="008C1E5F">
        <w:rPr>
          <w:i/>
        </w:rPr>
        <w:t>CLASS Secondary Manual</w:t>
      </w:r>
      <w:r w:rsidRPr="008C1E5F">
        <w:t xml:space="preserve">, p. 49). </w:t>
      </w:r>
    </w:p>
    <w:p w14:paraId="610178F9" w14:textId="77777777" w:rsidR="00900CF1" w:rsidRPr="008C1E5F" w:rsidRDefault="00900CF1">
      <w:pPr>
        <w:pStyle w:val="TableTitle0"/>
      </w:pPr>
      <w:r w:rsidRPr="008C1E5F">
        <w:t>Table 8. Productivity: Number of Classrooms for Each Rating and District Average</w:t>
      </w:r>
    </w:p>
    <w:p w14:paraId="108AE345" w14:textId="77777777" w:rsidR="00900CF1" w:rsidRPr="008C1E5F" w:rsidRDefault="00900CF1">
      <w:pPr>
        <w:pStyle w:val="BodyTextDemi"/>
      </w:pPr>
      <w:r w:rsidRPr="008C1E5F">
        <w:t xml:space="preserve">Productivity District Average*: </w:t>
      </w:r>
      <w:bookmarkStart w:id="187" w:name="Dist_PD_Avg"/>
      <w:r w:rsidRPr="008C1E5F">
        <w:t>6.3</w:t>
      </w:r>
      <w:bookmarkEnd w:id="187"/>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63774E" w:rsidRPr="008C1E5F" w14:paraId="4A7F31B2" w14:textId="77777777">
        <w:trPr>
          <w:cnfStyle w:val="100000000000" w:firstRow="1" w:lastRow="0" w:firstColumn="0" w:lastColumn="0" w:oddVBand="0" w:evenVBand="0" w:oddHBand="0" w:evenHBand="0" w:firstRowFirstColumn="0" w:firstRowLastColumn="0" w:lastRowFirstColumn="0" w:lastRowLastColumn="0"/>
          <w:jc w:val="center"/>
        </w:trPr>
        <w:tc>
          <w:tcPr>
            <w:tcW w:w="1431" w:type="dxa"/>
          </w:tcPr>
          <w:p w14:paraId="3B3D7661" w14:textId="401FF33B" w:rsidR="0063774E" w:rsidRPr="008C1E5F" w:rsidRDefault="0063774E" w:rsidP="0063774E">
            <w:pPr>
              <w:pStyle w:val="TableColHeadingCenter"/>
              <w:rPr>
                <w:rFonts w:eastAsia="MS Mincho"/>
              </w:rPr>
            </w:pPr>
            <w:bookmarkStart w:id="188" w:name="Tbl_PD"/>
            <w:r w:rsidRPr="008C1E5F">
              <w:rPr>
                <w:rFonts w:eastAsia="MS Mincho"/>
              </w:rPr>
              <w:t>Grade Band</w:t>
            </w:r>
          </w:p>
        </w:tc>
        <w:tc>
          <w:tcPr>
            <w:tcW w:w="874" w:type="dxa"/>
          </w:tcPr>
          <w:p w14:paraId="20587816" w14:textId="77777777" w:rsidR="0063774E" w:rsidRPr="008C1E5F" w:rsidRDefault="0063774E" w:rsidP="0063774E">
            <w:pPr>
              <w:pStyle w:val="TableColHeadingCenter"/>
              <w:rPr>
                <w:rFonts w:eastAsia="MS Mincho"/>
              </w:rPr>
            </w:pPr>
            <w:r w:rsidRPr="008C1E5F">
              <w:rPr>
                <w:rFonts w:eastAsia="MS Mincho"/>
              </w:rPr>
              <w:t>Low Range</w:t>
            </w:r>
          </w:p>
        </w:tc>
        <w:tc>
          <w:tcPr>
            <w:tcW w:w="874" w:type="dxa"/>
          </w:tcPr>
          <w:p w14:paraId="3FF33670" w14:textId="28C810C3" w:rsidR="0063774E" w:rsidRPr="008C1E5F" w:rsidRDefault="0063774E" w:rsidP="0063774E">
            <w:pPr>
              <w:pStyle w:val="TableColHeadingCenter"/>
              <w:rPr>
                <w:rFonts w:eastAsia="MS Mincho"/>
              </w:rPr>
            </w:pPr>
            <w:r w:rsidRPr="008C1E5F">
              <w:rPr>
                <w:rFonts w:eastAsia="MS Mincho"/>
              </w:rPr>
              <w:t>Low Range</w:t>
            </w:r>
          </w:p>
        </w:tc>
        <w:tc>
          <w:tcPr>
            <w:tcW w:w="874" w:type="dxa"/>
          </w:tcPr>
          <w:p w14:paraId="39A6FD44" w14:textId="77777777" w:rsidR="0063774E" w:rsidRPr="008C1E5F" w:rsidRDefault="0063774E" w:rsidP="0063774E">
            <w:pPr>
              <w:pStyle w:val="TableColHeadingCenter"/>
              <w:rPr>
                <w:rFonts w:eastAsia="MS Mincho"/>
              </w:rPr>
            </w:pPr>
            <w:r w:rsidRPr="008C1E5F">
              <w:rPr>
                <w:rFonts w:eastAsia="MS Mincho"/>
              </w:rPr>
              <w:t>Middle Range</w:t>
            </w:r>
          </w:p>
        </w:tc>
        <w:tc>
          <w:tcPr>
            <w:tcW w:w="875" w:type="dxa"/>
          </w:tcPr>
          <w:p w14:paraId="564EF93C" w14:textId="464A4C36" w:rsidR="0063774E" w:rsidRPr="008C1E5F" w:rsidRDefault="0063774E" w:rsidP="0063774E">
            <w:pPr>
              <w:pStyle w:val="TableColHeadingCenter"/>
              <w:rPr>
                <w:rFonts w:eastAsia="MS Mincho"/>
              </w:rPr>
            </w:pPr>
            <w:r w:rsidRPr="008C1E5F">
              <w:rPr>
                <w:rFonts w:eastAsia="MS Mincho"/>
              </w:rPr>
              <w:t>Middle Range</w:t>
            </w:r>
          </w:p>
        </w:tc>
        <w:tc>
          <w:tcPr>
            <w:tcW w:w="875" w:type="dxa"/>
          </w:tcPr>
          <w:p w14:paraId="707C404D" w14:textId="231E1ED0" w:rsidR="0063774E" w:rsidRPr="008C1E5F" w:rsidRDefault="0063774E" w:rsidP="0063774E">
            <w:pPr>
              <w:pStyle w:val="TableColHeadingCenter"/>
              <w:rPr>
                <w:rFonts w:eastAsia="MS Mincho"/>
              </w:rPr>
            </w:pPr>
            <w:r w:rsidRPr="008C1E5F">
              <w:rPr>
                <w:rFonts w:eastAsia="MS Mincho"/>
              </w:rPr>
              <w:t>Middle Range</w:t>
            </w:r>
          </w:p>
        </w:tc>
        <w:tc>
          <w:tcPr>
            <w:tcW w:w="874" w:type="dxa"/>
          </w:tcPr>
          <w:p w14:paraId="6407728B" w14:textId="77777777" w:rsidR="0063774E" w:rsidRPr="008C1E5F" w:rsidRDefault="0063774E" w:rsidP="0063774E">
            <w:pPr>
              <w:pStyle w:val="TableColHeadingCenter"/>
              <w:rPr>
                <w:rFonts w:eastAsia="MS Mincho"/>
              </w:rPr>
            </w:pPr>
            <w:r w:rsidRPr="008C1E5F">
              <w:rPr>
                <w:rFonts w:eastAsia="MS Mincho"/>
              </w:rPr>
              <w:t>High Range</w:t>
            </w:r>
          </w:p>
        </w:tc>
        <w:tc>
          <w:tcPr>
            <w:tcW w:w="875" w:type="dxa"/>
          </w:tcPr>
          <w:p w14:paraId="69BBAD1A" w14:textId="0286EC94" w:rsidR="0063774E" w:rsidRPr="008C1E5F" w:rsidRDefault="0063774E" w:rsidP="0063774E">
            <w:pPr>
              <w:pStyle w:val="TableColHeadingCenter"/>
              <w:rPr>
                <w:rFonts w:eastAsia="MS Mincho"/>
              </w:rPr>
            </w:pPr>
            <w:r w:rsidRPr="008C1E5F">
              <w:rPr>
                <w:rFonts w:eastAsia="MS Mincho"/>
              </w:rPr>
              <w:t>High Range</w:t>
            </w:r>
          </w:p>
        </w:tc>
        <w:tc>
          <w:tcPr>
            <w:tcW w:w="900" w:type="dxa"/>
          </w:tcPr>
          <w:p w14:paraId="5FECA445" w14:textId="7DD9A8BA" w:rsidR="0063774E" w:rsidRPr="008C1E5F" w:rsidRDefault="0063774E" w:rsidP="0063774E">
            <w:pPr>
              <w:pStyle w:val="TableColHeadingCenter"/>
              <w:rPr>
                <w:rFonts w:eastAsia="MS Mincho"/>
              </w:rPr>
            </w:pPr>
            <w:r w:rsidRPr="008C1E5F">
              <w:rPr>
                <w:rFonts w:eastAsia="MS Mincho"/>
                <w:i/>
                <w:iCs/>
              </w:rPr>
              <w:t>n</w:t>
            </w:r>
          </w:p>
        </w:tc>
        <w:tc>
          <w:tcPr>
            <w:tcW w:w="892" w:type="dxa"/>
          </w:tcPr>
          <w:p w14:paraId="1466E581" w14:textId="6377A3C3" w:rsidR="0063774E" w:rsidRPr="008C1E5F" w:rsidRDefault="0063774E" w:rsidP="0063774E">
            <w:pPr>
              <w:pStyle w:val="TableColHeadingCenter"/>
              <w:rPr>
                <w:rFonts w:eastAsia="MS Mincho"/>
              </w:rPr>
            </w:pPr>
            <w:r w:rsidRPr="008C1E5F">
              <w:rPr>
                <w:rFonts w:eastAsia="MS Mincho"/>
              </w:rPr>
              <w:t>Average</w:t>
            </w:r>
          </w:p>
        </w:tc>
      </w:tr>
      <w:tr w:rsidR="0063774E" w:rsidRPr="008C1E5F" w14:paraId="2CEDE6B7" w14:textId="77777777" w:rsidTr="0063774E">
        <w:trPr>
          <w:jc w:val="center"/>
        </w:trPr>
        <w:tc>
          <w:tcPr>
            <w:tcW w:w="1431" w:type="dxa"/>
            <w:shd w:val="clear" w:color="auto" w:fill="D9E2F3" w:themeFill="accent5" w:themeFillTint="33"/>
          </w:tcPr>
          <w:p w14:paraId="0CA25D79" w14:textId="77777777" w:rsidR="0063774E" w:rsidRPr="008C1E5F" w:rsidRDefault="0063774E" w:rsidP="0063774E">
            <w:pPr>
              <w:pStyle w:val="TableSubheadingCentered"/>
            </w:pPr>
          </w:p>
        </w:tc>
        <w:tc>
          <w:tcPr>
            <w:tcW w:w="874" w:type="dxa"/>
            <w:shd w:val="clear" w:color="auto" w:fill="D9E2F3" w:themeFill="accent5" w:themeFillTint="33"/>
          </w:tcPr>
          <w:p w14:paraId="4BE89C56" w14:textId="77777777" w:rsidR="0063774E" w:rsidRPr="008C1E5F" w:rsidRDefault="0063774E" w:rsidP="0063774E">
            <w:pPr>
              <w:pStyle w:val="TableSubheadingCentered"/>
            </w:pPr>
            <w:r w:rsidRPr="008C1E5F">
              <w:t>1</w:t>
            </w:r>
          </w:p>
        </w:tc>
        <w:tc>
          <w:tcPr>
            <w:tcW w:w="874" w:type="dxa"/>
            <w:shd w:val="clear" w:color="auto" w:fill="D9E2F3" w:themeFill="accent5" w:themeFillTint="33"/>
          </w:tcPr>
          <w:p w14:paraId="35C25D9E" w14:textId="77777777" w:rsidR="0063774E" w:rsidRPr="008C1E5F" w:rsidRDefault="0063774E" w:rsidP="0063774E">
            <w:pPr>
              <w:pStyle w:val="TableSubheadingCentered"/>
            </w:pPr>
            <w:r w:rsidRPr="008C1E5F">
              <w:t>2</w:t>
            </w:r>
          </w:p>
        </w:tc>
        <w:tc>
          <w:tcPr>
            <w:tcW w:w="874" w:type="dxa"/>
            <w:shd w:val="clear" w:color="auto" w:fill="D9E2F3" w:themeFill="accent5" w:themeFillTint="33"/>
          </w:tcPr>
          <w:p w14:paraId="7C8E5016" w14:textId="77777777" w:rsidR="0063774E" w:rsidRPr="008C1E5F" w:rsidRDefault="0063774E" w:rsidP="0063774E">
            <w:pPr>
              <w:pStyle w:val="TableSubheadingCentered"/>
            </w:pPr>
            <w:r w:rsidRPr="008C1E5F">
              <w:t>3</w:t>
            </w:r>
          </w:p>
        </w:tc>
        <w:tc>
          <w:tcPr>
            <w:tcW w:w="875" w:type="dxa"/>
            <w:shd w:val="clear" w:color="auto" w:fill="D9E2F3" w:themeFill="accent5" w:themeFillTint="33"/>
          </w:tcPr>
          <w:p w14:paraId="7AA34616" w14:textId="77777777" w:rsidR="0063774E" w:rsidRPr="008C1E5F" w:rsidRDefault="0063774E" w:rsidP="0063774E">
            <w:pPr>
              <w:pStyle w:val="TableSubheadingCentered"/>
            </w:pPr>
            <w:r w:rsidRPr="008C1E5F">
              <w:t>4</w:t>
            </w:r>
          </w:p>
        </w:tc>
        <w:tc>
          <w:tcPr>
            <w:tcW w:w="875" w:type="dxa"/>
            <w:shd w:val="clear" w:color="auto" w:fill="D9E2F3" w:themeFill="accent5" w:themeFillTint="33"/>
          </w:tcPr>
          <w:p w14:paraId="64C4C1FC" w14:textId="77777777" w:rsidR="0063774E" w:rsidRPr="008C1E5F" w:rsidRDefault="0063774E" w:rsidP="0063774E">
            <w:pPr>
              <w:pStyle w:val="TableSubheadingCentered"/>
            </w:pPr>
            <w:r w:rsidRPr="008C1E5F">
              <w:t>5</w:t>
            </w:r>
          </w:p>
        </w:tc>
        <w:tc>
          <w:tcPr>
            <w:tcW w:w="874" w:type="dxa"/>
            <w:shd w:val="clear" w:color="auto" w:fill="D9E2F3" w:themeFill="accent5" w:themeFillTint="33"/>
          </w:tcPr>
          <w:p w14:paraId="6B52D475" w14:textId="77777777" w:rsidR="0063774E" w:rsidRPr="008C1E5F" w:rsidRDefault="0063774E" w:rsidP="0063774E">
            <w:pPr>
              <w:pStyle w:val="TableSubheadingCentered"/>
            </w:pPr>
            <w:r w:rsidRPr="008C1E5F">
              <w:t>6</w:t>
            </w:r>
          </w:p>
        </w:tc>
        <w:tc>
          <w:tcPr>
            <w:tcW w:w="875" w:type="dxa"/>
            <w:shd w:val="clear" w:color="auto" w:fill="D9E2F3" w:themeFill="accent5" w:themeFillTint="33"/>
          </w:tcPr>
          <w:p w14:paraId="63AD8CA1" w14:textId="77777777" w:rsidR="0063774E" w:rsidRPr="008C1E5F" w:rsidRDefault="0063774E" w:rsidP="0063774E">
            <w:pPr>
              <w:pStyle w:val="TableSubheadingCentered"/>
            </w:pPr>
            <w:r w:rsidRPr="008C1E5F">
              <w:t>7</w:t>
            </w:r>
          </w:p>
        </w:tc>
        <w:tc>
          <w:tcPr>
            <w:tcW w:w="900" w:type="dxa"/>
            <w:shd w:val="clear" w:color="auto" w:fill="D9E2F3" w:themeFill="accent5" w:themeFillTint="33"/>
          </w:tcPr>
          <w:p w14:paraId="13F8EDB5" w14:textId="77777777" w:rsidR="0063774E" w:rsidRPr="008C1E5F" w:rsidRDefault="0063774E" w:rsidP="0063774E">
            <w:pPr>
              <w:pStyle w:val="TableSubheadingCentered"/>
            </w:pPr>
            <w:r w:rsidRPr="008C1E5F">
              <w:t>190</w:t>
            </w:r>
          </w:p>
        </w:tc>
        <w:tc>
          <w:tcPr>
            <w:tcW w:w="892" w:type="dxa"/>
            <w:shd w:val="clear" w:color="auto" w:fill="D9E2F3" w:themeFill="accent5" w:themeFillTint="33"/>
          </w:tcPr>
          <w:p w14:paraId="4FC3FDD6" w14:textId="77777777" w:rsidR="0063774E" w:rsidRPr="008C1E5F" w:rsidRDefault="0063774E" w:rsidP="0063774E">
            <w:pPr>
              <w:pStyle w:val="TableSubheadingCentered"/>
            </w:pPr>
            <w:r w:rsidRPr="008C1E5F">
              <w:t>6.3</w:t>
            </w:r>
          </w:p>
        </w:tc>
      </w:tr>
      <w:tr w:rsidR="0063774E" w:rsidRPr="008C1E5F" w14:paraId="54850483" w14:textId="77777777" w:rsidTr="0063774E">
        <w:trPr>
          <w:jc w:val="center"/>
        </w:trPr>
        <w:tc>
          <w:tcPr>
            <w:tcW w:w="1431" w:type="dxa"/>
          </w:tcPr>
          <w:p w14:paraId="3DB8CA81" w14:textId="77777777" w:rsidR="0063774E" w:rsidRPr="008C1E5F" w:rsidRDefault="0063774E" w:rsidP="0063774E">
            <w:pPr>
              <w:pStyle w:val="TableText"/>
            </w:pPr>
            <w:r w:rsidRPr="008C1E5F">
              <w:t>Grades K-5</w:t>
            </w:r>
          </w:p>
        </w:tc>
        <w:tc>
          <w:tcPr>
            <w:tcW w:w="874" w:type="dxa"/>
          </w:tcPr>
          <w:p w14:paraId="753D9066" w14:textId="77777777" w:rsidR="0063774E" w:rsidRPr="008C1E5F" w:rsidRDefault="0063774E" w:rsidP="0063774E">
            <w:pPr>
              <w:pStyle w:val="TableTextCentered"/>
              <w:rPr>
                <w:rFonts w:eastAsia="Times New Roman"/>
              </w:rPr>
            </w:pPr>
            <w:r w:rsidRPr="008C1E5F">
              <w:rPr>
                <w:rFonts w:eastAsia="Times New Roman"/>
              </w:rPr>
              <w:t>1</w:t>
            </w:r>
          </w:p>
        </w:tc>
        <w:tc>
          <w:tcPr>
            <w:tcW w:w="874" w:type="dxa"/>
          </w:tcPr>
          <w:p w14:paraId="55D99B94" w14:textId="77777777" w:rsidR="0063774E" w:rsidRPr="008C1E5F" w:rsidRDefault="0063774E" w:rsidP="0063774E">
            <w:pPr>
              <w:pStyle w:val="TableTextCentered"/>
              <w:rPr>
                <w:rFonts w:eastAsia="Times New Roman"/>
              </w:rPr>
            </w:pPr>
            <w:r w:rsidRPr="008C1E5F">
              <w:rPr>
                <w:rFonts w:eastAsia="Times New Roman"/>
              </w:rPr>
              <w:t>0</w:t>
            </w:r>
          </w:p>
        </w:tc>
        <w:tc>
          <w:tcPr>
            <w:tcW w:w="874" w:type="dxa"/>
          </w:tcPr>
          <w:p w14:paraId="183266CB" w14:textId="77777777" w:rsidR="0063774E" w:rsidRPr="008C1E5F" w:rsidRDefault="0063774E" w:rsidP="0063774E">
            <w:pPr>
              <w:pStyle w:val="TableTextCentered"/>
              <w:rPr>
                <w:rFonts w:eastAsia="Times New Roman"/>
              </w:rPr>
            </w:pPr>
            <w:r w:rsidRPr="008C1E5F">
              <w:rPr>
                <w:rFonts w:eastAsia="Times New Roman"/>
              </w:rPr>
              <w:t>3</w:t>
            </w:r>
          </w:p>
        </w:tc>
        <w:tc>
          <w:tcPr>
            <w:tcW w:w="875" w:type="dxa"/>
          </w:tcPr>
          <w:p w14:paraId="609E2E0B" w14:textId="77777777" w:rsidR="0063774E" w:rsidRPr="008C1E5F" w:rsidRDefault="0063774E" w:rsidP="0063774E">
            <w:pPr>
              <w:pStyle w:val="TableTextCentered"/>
              <w:rPr>
                <w:rFonts w:eastAsia="Times New Roman"/>
              </w:rPr>
            </w:pPr>
            <w:r w:rsidRPr="008C1E5F">
              <w:rPr>
                <w:rFonts w:eastAsia="Times New Roman"/>
              </w:rPr>
              <w:t>8</w:t>
            </w:r>
          </w:p>
        </w:tc>
        <w:tc>
          <w:tcPr>
            <w:tcW w:w="875" w:type="dxa"/>
          </w:tcPr>
          <w:p w14:paraId="2F5953F5" w14:textId="77777777" w:rsidR="0063774E" w:rsidRPr="008C1E5F" w:rsidRDefault="0063774E" w:rsidP="0063774E">
            <w:pPr>
              <w:pStyle w:val="TableTextCentered"/>
              <w:rPr>
                <w:rFonts w:eastAsia="Times New Roman"/>
              </w:rPr>
            </w:pPr>
            <w:r w:rsidRPr="008C1E5F">
              <w:rPr>
                <w:rFonts w:eastAsia="Times New Roman"/>
              </w:rPr>
              <w:t>9</w:t>
            </w:r>
          </w:p>
        </w:tc>
        <w:tc>
          <w:tcPr>
            <w:tcW w:w="874" w:type="dxa"/>
          </w:tcPr>
          <w:p w14:paraId="10F6B06E" w14:textId="77777777" w:rsidR="0063774E" w:rsidRPr="008C1E5F" w:rsidRDefault="0063774E" w:rsidP="0063774E">
            <w:pPr>
              <w:pStyle w:val="TableTextCentered"/>
              <w:rPr>
                <w:rFonts w:eastAsia="Times New Roman"/>
              </w:rPr>
            </w:pPr>
            <w:r w:rsidRPr="008C1E5F">
              <w:rPr>
                <w:rFonts w:eastAsia="Times New Roman"/>
              </w:rPr>
              <w:t>15</w:t>
            </w:r>
          </w:p>
        </w:tc>
        <w:tc>
          <w:tcPr>
            <w:tcW w:w="875" w:type="dxa"/>
          </w:tcPr>
          <w:p w14:paraId="62DB17F1" w14:textId="77777777" w:rsidR="0063774E" w:rsidRPr="008C1E5F" w:rsidRDefault="0063774E" w:rsidP="0063774E">
            <w:pPr>
              <w:pStyle w:val="TableTextCentered"/>
              <w:rPr>
                <w:rFonts w:eastAsia="Times New Roman"/>
              </w:rPr>
            </w:pPr>
            <w:r w:rsidRPr="008C1E5F">
              <w:rPr>
                <w:rFonts w:eastAsia="Times New Roman"/>
              </w:rPr>
              <w:t>48</w:t>
            </w:r>
          </w:p>
        </w:tc>
        <w:tc>
          <w:tcPr>
            <w:tcW w:w="900" w:type="dxa"/>
          </w:tcPr>
          <w:p w14:paraId="0A326A4C" w14:textId="77777777" w:rsidR="0063774E" w:rsidRPr="008C1E5F" w:rsidRDefault="0063774E" w:rsidP="0063774E">
            <w:pPr>
              <w:pStyle w:val="TableTextCentered"/>
              <w:rPr>
                <w:rFonts w:eastAsia="Times New Roman"/>
              </w:rPr>
            </w:pPr>
            <w:r w:rsidRPr="008C1E5F">
              <w:rPr>
                <w:rFonts w:eastAsia="Times New Roman"/>
              </w:rPr>
              <w:t>84</w:t>
            </w:r>
          </w:p>
        </w:tc>
        <w:tc>
          <w:tcPr>
            <w:tcW w:w="892" w:type="dxa"/>
          </w:tcPr>
          <w:p w14:paraId="4B248EBF" w14:textId="77777777" w:rsidR="0063774E" w:rsidRPr="008C1E5F" w:rsidRDefault="0063774E" w:rsidP="0063774E">
            <w:pPr>
              <w:pStyle w:val="TableTextCentered"/>
              <w:rPr>
                <w:rFonts w:eastAsia="Times New Roman"/>
              </w:rPr>
            </w:pPr>
            <w:r w:rsidRPr="008C1E5F">
              <w:rPr>
                <w:rFonts w:eastAsia="Times New Roman"/>
              </w:rPr>
              <w:t>6.1</w:t>
            </w:r>
          </w:p>
        </w:tc>
      </w:tr>
      <w:tr w:rsidR="0063774E" w:rsidRPr="008C1E5F" w14:paraId="25B5371B" w14:textId="77777777" w:rsidTr="0063774E">
        <w:trPr>
          <w:jc w:val="center"/>
        </w:trPr>
        <w:tc>
          <w:tcPr>
            <w:tcW w:w="1431" w:type="dxa"/>
          </w:tcPr>
          <w:p w14:paraId="0E0AE83D" w14:textId="77777777" w:rsidR="0063774E" w:rsidRPr="008C1E5F" w:rsidRDefault="0063774E" w:rsidP="0063774E">
            <w:pPr>
              <w:pStyle w:val="TableText"/>
            </w:pPr>
            <w:r w:rsidRPr="008C1E5F">
              <w:t>Grades 6-8</w:t>
            </w:r>
          </w:p>
        </w:tc>
        <w:tc>
          <w:tcPr>
            <w:tcW w:w="874" w:type="dxa"/>
          </w:tcPr>
          <w:p w14:paraId="537C2D0C" w14:textId="77777777" w:rsidR="0063774E" w:rsidRPr="008C1E5F" w:rsidRDefault="0063774E" w:rsidP="0063774E">
            <w:pPr>
              <w:pStyle w:val="TableTextCentered"/>
              <w:rPr>
                <w:rFonts w:eastAsia="Times New Roman"/>
              </w:rPr>
            </w:pPr>
            <w:r w:rsidRPr="008C1E5F">
              <w:rPr>
                <w:rFonts w:eastAsia="Times New Roman"/>
              </w:rPr>
              <w:t>0</w:t>
            </w:r>
          </w:p>
        </w:tc>
        <w:tc>
          <w:tcPr>
            <w:tcW w:w="874" w:type="dxa"/>
          </w:tcPr>
          <w:p w14:paraId="5DD90ABC" w14:textId="77777777" w:rsidR="0063774E" w:rsidRPr="008C1E5F" w:rsidRDefault="0063774E" w:rsidP="0063774E">
            <w:pPr>
              <w:pStyle w:val="TableTextCentered"/>
              <w:rPr>
                <w:rFonts w:eastAsia="Times New Roman"/>
              </w:rPr>
            </w:pPr>
            <w:r w:rsidRPr="008C1E5F">
              <w:rPr>
                <w:rFonts w:eastAsia="Times New Roman"/>
              </w:rPr>
              <w:t>0</w:t>
            </w:r>
          </w:p>
        </w:tc>
        <w:tc>
          <w:tcPr>
            <w:tcW w:w="874" w:type="dxa"/>
          </w:tcPr>
          <w:p w14:paraId="6A7DC548" w14:textId="77777777" w:rsidR="0063774E" w:rsidRPr="008C1E5F" w:rsidRDefault="0063774E" w:rsidP="0063774E">
            <w:pPr>
              <w:pStyle w:val="TableTextCentered"/>
              <w:rPr>
                <w:rFonts w:eastAsia="Times New Roman"/>
              </w:rPr>
            </w:pPr>
            <w:r w:rsidRPr="008C1E5F">
              <w:rPr>
                <w:rFonts w:eastAsia="Times New Roman"/>
              </w:rPr>
              <w:t>0</w:t>
            </w:r>
          </w:p>
        </w:tc>
        <w:tc>
          <w:tcPr>
            <w:tcW w:w="875" w:type="dxa"/>
          </w:tcPr>
          <w:p w14:paraId="76064613" w14:textId="77777777" w:rsidR="0063774E" w:rsidRPr="008C1E5F" w:rsidRDefault="0063774E" w:rsidP="0063774E">
            <w:pPr>
              <w:pStyle w:val="TableTextCentered"/>
              <w:rPr>
                <w:rFonts w:eastAsia="Times New Roman"/>
              </w:rPr>
            </w:pPr>
            <w:r w:rsidRPr="008C1E5F">
              <w:rPr>
                <w:rFonts w:eastAsia="Times New Roman"/>
              </w:rPr>
              <w:t>4</w:t>
            </w:r>
          </w:p>
        </w:tc>
        <w:tc>
          <w:tcPr>
            <w:tcW w:w="875" w:type="dxa"/>
          </w:tcPr>
          <w:p w14:paraId="69BB4ED2" w14:textId="77777777" w:rsidR="0063774E" w:rsidRPr="008C1E5F" w:rsidRDefault="0063774E" w:rsidP="0063774E">
            <w:pPr>
              <w:pStyle w:val="TableTextCentered"/>
              <w:rPr>
                <w:rFonts w:eastAsia="Times New Roman"/>
              </w:rPr>
            </w:pPr>
            <w:r w:rsidRPr="008C1E5F">
              <w:rPr>
                <w:rFonts w:eastAsia="Times New Roman"/>
              </w:rPr>
              <w:t>6</w:t>
            </w:r>
          </w:p>
        </w:tc>
        <w:tc>
          <w:tcPr>
            <w:tcW w:w="874" w:type="dxa"/>
          </w:tcPr>
          <w:p w14:paraId="51CBBB4F" w14:textId="77777777" w:rsidR="0063774E" w:rsidRPr="008C1E5F" w:rsidRDefault="0063774E" w:rsidP="0063774E">
            <w:pPr>
              <w:pStyle w:val="TableTextCentered"/>
              <w:rPr>
                <w:rFonts w:eastAsia="Times New Roman"/>
              </w:rPr>
            </w:pPr>
            <w:r w:rsidRPr="008C1E5F">
              <w:rPr>
                <w:rFonts w:eastAsia="Times New Roman"/>
              </w:rPr>
              <w:t>11</w:t>
            </w:r>
          </w:p>
        </w:tc>
        <w:tc>
          <w:tcPr>
            <w:tcW w:w="875" w:type="dxa"/>
          </w:tcPr>
          <w:p w14:paraId="0FDDAA8E" w14:textId="77777777" w:rsidR="0063774E" w:rsidRPr="008C1E5F" w:rsidRDefault="0063774E" w:rsidP="0063774E">
            <w:pPr>
              <w:pStyle w:val="TableTextCentered"/>
              <w:rPr>
                <w:rFonts w:eastAsia="Times New Roman"/>
              </w:rPr>
            </w:pPr>
            <w:r w:rsidRPr="008C1E5F">
              <w:rPr>
                <w:rFonts w:eastAsia="Times New Roman"/>
              </w:rPr>
              <w:t>50</w:t>
            </w:r>
          </w:p>
        </w:tc>
        <w:tc>
          <w:tcPr>
            <w:tcW w:w="900" w:type="dxa"/>
          </w:tcPr>
          <w:p w14:paraId="45E4CFCB" w14:textId="77777777" w:rsidR="0063774E" w:rsidRPr="008C1E5F" w:rsidRDefault="0063774E" w:rsidP="0063774E">
            <w:pPr>
              <w:pStyle w:val="TableTextCentered"/>
              <w:rPr>
                <w:rFonts w:eastAsia="Times New Roman"/>
              </w:rPr>
            </w:pPr>
            <w:r w:rsidRPr="008C1E5F">
              <w:rPr>
                <w:rFonts w:eastAsia="Times New Roman"/>
              </w:rPr>
              <w:t>71</w:t>
            </w:r>
          </w:p>
        </w:tc>
        <w:tc>
          <w:tcPr>
            <w:tcW w:w="892" w:type="dxa"/>
          </w:tcPr>
          <w:p w14:paraId="76048026" w14:textId="77777777" w:rsidR="0063774E" w:rsidRPr="008C1E5F" w:rsidRDefault="0063774E" w:rsidP="0063774E">
            <w:pPr>
              <w:pStyle w:val="TableTextCentered"/>
              <w:rPr>
                <w:rFonts w:eastAsia="Times New Roman"/>
              </w:rPr>
            </w:pPr>
            <w:r w:rsidRPr="008C1E5F">
              <w:rPr>
                <w:rFonts w:eastAsia="Times New Roman"/>
              </w:rPr>
              <w:t>6.5</w:t>
            </w:r>
          </w:p>
        </w:tc>
      </w:tr>
      <w:tr w:rsidR="0063774E" w:rsidRPr="008C1E5F" w14:paraId="75B5E616" w14:textId="77777777" w:rsidTr="0063774E">
        <w:trPr>
          <w:jc w:val="center"/>
        </w:trPr>
        <w:tc>
          <w:tcPr>
            <w:tcW w:w="1431" w:type="dxa"/>
          </w:tcPr>
          <w:p w14:paraId="340FBFAE" w14:textId="77777777" w:rsidR="0063774E" w:rsidRPr="008C1E5F" w:rsidRDefault="0063774E" w:rsidP="0063774E">
            <w:pPr>
              <w:pStyle w:val="TableText"/>
            </w:pPr>
            <w:r w:rsidRPr="008C1E5F">
              <w:t>Grades 9-12</w:t>
            </w:r>
          </w:p>
        </w:tc>
        <w:tc>
          <w:tcPr>
            <w:tcW w:w="874" w:type="dxa"/>
          </w:tcPr>
          <w:p w14:paraId="5B394AE1" w14:textId="77777777" w:rsidR="0063774E" w:rsidRPr="008C1E5F" w:rsidRDefault="0063774E" w:rsidP="0063774E">
            <w:pPr>
              <w:pStyle w:val="TableTextCentered"/>
              <w:rPr>
                <w:rFonts w:eastAsia="Times New Roman"/>
              </w:rPr>
            </w:pPr>
            <w:r w:rsidRPr="008C1E5F">
              <w:rPr>
                <w:rFonts w:eastAsia="Times New Roman"/>
              </w:rPr>
              <w:t>0</w:t>
            </w:r>
          </w:p>
        </w:tc>
        <w:tc>
          <w:tcPr>
            <w:tcW w:w="874" w:type="dxa"/>
          </w:tcPr>
          <w:p w14:paraId="3FFA7D51" w14:textId="77777777" w:rsidR="0063774E" w:rsidRPr="008C1E5F" w:rsidRDefault="0063774E" w:rsidP="0063774E">
            <w:pPr>
              <w:pStyle w:val="TableTextCentered"/>
              <w:rPr>
                <w:rFonts w:eastAsia="Times New Roman"/>
              </w:rPr>
            </w:pPr>
            <w:r w:rsidRPr="008C1E5F">
              <w:rPr>
                <w:rFonts w:eastAsia="Times New Roman"/>
              </w:rPr>
              <w:t>0</w:t>
            </w:r>
          </w:p>
        </w:tc>
        <w:tc>
          <w:tcPr>
            <w:tcW w:w="874" w:type="dxa"/>
          </w:tcPr>
          <w:p w14:paraId="07A675A1" w14:textId="77777777" w:rsidR="0063774E" w:rsidRPr="008C1E5F" w:rsidRDefault="0063774E" w:rsidP="0063774E">
            <w:pPr>
              <w:pStyle w:val="TableTextCentered"/>
              <w:rPr>
                <w:rFonts w:eastAsia="Times New Roman"/>
              </w:rPr>
            </w:pPr>
            <w:r w:rsidRPr="008C1E5F">
              <w:rPr>
                <w:rFonts w:eastAsia="Times New Roman"/>
              </w:rPr>
              <w:t>1</w:t>
            </w:r>
          </w:p>
        </w:tc>
        <w:tc>
          <w:tcPr>
            <w:tcW w:w="875" w:type="dxa"/>
          </w:tcPr>
          <w:p w14:paraId="17FB55DE" w14:textId="77777777" w:rsidR="0063774E" w:rsidRPr="008C1E5F" w:rsidRDefault="0063774E" w:rsidP="0063774E">
            <w:pPr>
              <w:pStyle w:val="TableTextCentered"/>
              <w:rPr>
                <w:rFonts w:eastAsia="Times New Roman"/>
              </w:rPr>
            </w:pPr>
            <w:r w:rsidRPr="008C1E5F">
              <w:rPr>
                <w:rFonts w:eastAsia="Times New Roman"/>
              </w:rPr>
              <w:t>3</w:t>
            </w:r>
          </w:p>
        </w:tc>
        <w:tc>
          <w:tcPr>
            <w:tcW w:w="875" w:type="dxa"/>
          </w:tcPr>
          <w:p w14:paraId="2019D7DA" w14:textId="77777777" w:rsidR="0063774E" w:rsidRPr="008C1E5F" w:rsidRDefault="0063774E" w:rsidP="0063774E">
            <w:pPr>
              <w:pStyle w:val="TableTextCentered"/>
              <w:rPr>
                <w:rFonts w:eastAsia="Times New Roman"/>
              </w:rPr>
            </w:pPr>
            <w:r w:rsidRPr="008C1E5F">
              <w:rPr>
                <w:rFonts w:eastAsia="Times New Roman"/>
              </w:rPr>
              <w:t>4</w:t>
            </w:r>
          </w:p>
        </w:tc>
        <w:tc>
          <w:tcPr>
            <w:tcW w:w="874" w:type="dxa"/>
          </w:tcPr>
          <w:p w14:paraId="1A7A947F" w14:textId="77777777" w:rsidR="0063774E" w:rsidRPr="008C1E5F" w:rsidRDefault="0063774E" w:rsidP="0063774E">
            <w:pPr>
              <w:pStyle w:val="TableTextCentered"/>
              <w:rPr>
                <w:rFonts w:eastAsia="Times New Roman"/>
              </w:rPr>
            </w:pPr>
            <w:r w:rsidRPr="008C1E5F">
              <w:rPr>
                <w:rFonts w:eastAsia="Times New Roman"/>
              </w:rPr>
              <w:t>9</w:t>
            </w:r>
          </w:p>
        </w:tc>
        <w:tc>
          <w:tcPr>
            <w:tcW w:w="875" w:type="dxa"/>
          </w:tcPr>
          <w:p w14:paraId="6B9F9EDB" w14:textId="77777777" w:rsidR="0063774E" w:rsidRPr="008C1E5F" w:rsidRDefault="0063774E" w:rsidP="0063774E">
            <w:pPr>
              <w:pStyle w:val="TableTextCentered"/>
              <w:rPr>
                <w:rFonts w:eastAsia="Times New Roman"/>
              </w:rPr>
            </w:pPr>
            <w:r w:rsidRPr="008C1E5F">
              <w:rPr>
                <w:rFonts w:eastAsia="Times New Roman"/>
              </w:rPr>
              <w:t>18</w:t>
            </w:r>
          </w:p>
        </w:tc>
        <w:tc>
          <w:tcPr>
            <w:tcW w:w="900" w:type="dxa"/>
          </w:tcPr>
          <w:p w14:paraId="659E25C7" w14:textId="77777777" w:rsidR="0063774E" w:rsidRPr="008C1E5F" w:rsidRDefault="0063774E" w:rsidP="0063774E">
            <w:pPr>
              <w:pStyle w:val="TableTextCentered"/>
              <w:rPr>
                <w:rFonts w:eastAsia="Times New Roman"/>
              </w:rPr>
            </w:pPr>
            <w:r w:rsidRPr="008C1E5F">
              <w:rPr>
                <w:rFonts w:eastAsia="Times New Roman"/>
              </w:rPr>
              <w:t>35</w:t>
            </w:r>
          </w:p>
        </w:tc>
        <w:tc>
          <w:tcPr>
            <w:tcW w:w="892" w:type="dxa"/>
          </w:tcPr>
          <w:p w14:paraId="7F1C249F" w14:textId="77777777" w:rsidR="0063774E" w:rsidRPr="008C1E5F" w:rsidRDefault="0063774E" w:rsidP="0063774E">
            <w:pPr>
              <w:pStyle w:val="TableTextCentered"/>
              <w:rPr>
                <w:rFonts w:eastAsia="Times New Roman"/>
              </w:rPr>
            </w:pPr>
            <w:r w:rsidRPr="008C1E5F">
              <w:rPr>
                <w:rFonts w:eastAsia="Times New Roman"/>
              </w:rPr>
              <w:t>6.1</w:t>
            </w:r>
          </w:p>
        </w:tc>
      </w:tr>
    </w:tbl>
    <w:bookmarkEnd w:id="188"/>
    <w:p w14:paraId="5E48E3C9" w14:textId="77777777" w:rsidR="00900CF1" w:rsidRPr="008C1E5F" w:rsidRDefault="00900CF1">
      <w:pPr>
        <w:pStyle w:val="TableNote"/>
        <w:rPr>
          <w:rFonts w:ascii="Franklin Gothic Book" w:hAnsi="Franklin Gothic Book"/>
        </w:rPr>
      </w:pPr>
      <w:r w:rsidRPr="008C1E5F">
        <w:rPr>
          <w:rFonts w:ascii="Franklin Gothic Book" w:hAnsi="Franklin Gothic Book"/>
        </w:rPr>
        <w:t xml:space="preserve">*The district average is an average of the observation scores. In Table 8, the district average is computed as: </w:t>
      </w:r>
      <w:r w:rsidRPr="008C1E5F">
        <w:rPr>
          <w:rFonts w:ascii="Franklin Gothic Book" w:hAnsi="Franklin Gothic Book"/>
        </w:rPr>
        <w:br/>
      </w:r>
      <w:bookmarkStart w:id="189" w:name="Dist_PD_Calc"/>
      <w:r w:rsidRPr="008C1E5F">
        <w:rPr>
          <w:rFonts w:ascii="Franklin Gothic Book" w:hAnsi="Franklin Gothic Book"/>
        </w:rPr>
        <w:t>([1 x 1] + [3 x 4] + [4 x 15] + [5 x 19] + [6 x 35] + [7 x 116]) ÷ 190 observations = 6.3</w:t>
      </w:r>
      <w:bookmarkEnd w:id="189"/>
    </w:p>
    <w:p w14:paraId="2D57715C" w14:textId="77777777" w:rsidR="00900CF1" w:rsidRPr="008C1E5F" w:rsidRDefault="00900CF1">
      <w:pPr>
        <w:pStyle w:val="BodyText"/>
      </w:pPr>
      <w:r w:rsidRPr="008C1E5F">
        <w:rPr>
          <w:rStyle w:val="BodyTextDemiChar"/>
        </w:rPr>
        <w:t xml:space="preserve">Ratings in the Low Range. </w:t>
      </w:r>
      <w:r w:rsidRPr="008C1E5F">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0EA49A03" w14:textId="77777777" w:rsidR="00900CF1" w:rsidRPr="008C1E5F" w:rsidRDefault="00900CF1">
      <w:pPr>
        <w:pStyle w:val="BodyText"/>
      </w:pPr>
      <w:r w:rsidRPr="008C1E5F">
        <w:rPr>
          <w:rStyle w:val="BodyTextDemiChar"/>
        </w:rPr>
        <w:t xml:space="preserve">Ratings in the Middle Range. </w:t>
      </w:r>
      <w:r w:rsidRPr="008C1E5F">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5BB5126C" w14:textId="77777777" w:rsidR="00900CF1" w:rsidRPr="008C1E5F" w:rsidRDefault="00900CF1">
      <w:pPr>
        <w:pStyle w:val="BodyText"/>
      </w:pPr>
      <w:r w:rsidRPr="008C1E5F">
        <w:rPr>
          <w:rStyle w:val="BodyTextDemiChar"/>
        </w:rPr>
        <w:t xml:space="preserve">Ratings in the High Range. </w:t>
      </w:r>
      <w:r w:rsidRPr="008C1E5F">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teacher’s instructions and directions. Transitions are quick, and there are not too many of them. The teacher is fully prepared for the lesson.</w:t>
      </w:r>
    </w:p>
    <w:p w14:paraId="4C908EF4" w14:textId="77777777" w:rsidR="00900CF1" w:rsidRPr="008C1E5F" w:rsidRDefault="00900CF1">
      <w:pPr>
        <w:spacing w:after="160" w:line="259" w:lineRule="auto"/>
      </w:pPr>
      <w:r w:rsidRPr="008C1E5F">
        <w:br w:type="page"/>
      </w:r>
    </w:p>
    <w:p w14:paraId="60C8F8AF" w14:textId="77777777" w:rsidR="00900CF1" w:rsidRPr="008C1E5F" w:rsidRDefault="00900CF1">
      <w:pPr>
        <w:pStyle w:val="Heading2-SIOR"/>
      </w:pPr>
      <w:bookmarkStart w:id="190" w:name="_Toc411329832"/>
      <w:bookmarkStart w:id="191" w:name="_Toc430114881"/>
      <w:bookmarkStart w:id="192" w:name="_Toc92194260"/>
      <w:bookmarkStart w:id="193" w:name="_Toc195024252"/>
      <w:r w:rsidRPr="008C1E5F">
        <w:lastRenderedPageBreak/>
        <w:t>Instructional Learning Formats</w:t>
      </w:r>
      <w:bookmarkEnd w:id="190"/>
      <w:bookmarkEnd w:id="191"/>
      <w:bookmarkEnd w:id="192"/>
      <w:bookmarkEnd w:id="193"/>
    </w:p>
    <w:p w14:paraId="18F94DCF" w14:textId="77777777" w:rsidR="00900CF1" w:rsidRPr="008C1E5F" w:rsidRDefault="00900CF1">
      <w:pPr>
        <w:pStyle w:val="BodyTextDomain"/>
        <w:spacing w:after="0"/>
      </w:pPr>
      <w:r w:rsidRPr="008C1E5F">
        <w:t>Classroom Organization domain, Grades K</w:t>
      </w:r>
      <w:r w:rsidRPr="008C1E5F">
        <w:rPr>
          <w:rFonts w:ascii="Vijaya" w:hAnsi="Vijaya" w:cs="Vijaya"/>
        </w:rPr>
        <w:t>−</w:t>
      </w:r>
      <w:r w:rsidRPr="008C1E5F">
        <w:t xml:space="preserve">3 </w:t>
      </w:r>
    </w:p>
    <w:p w14:paraId="2F2AB7D2" w14:textId="77777777" w:rsidR="00900CF1" w:rsidRPr="008C1E5F" w:rsidRDefault="00900CF1">
      <w:pPr>
        <w:pStyle w:val="BodyTextDomain"/>
        <w:spacing w:after="0"/>
      </w:pPr>
      <w:r w:rsidRPr="008C1E5F">
        <w:t>Instructional Support domain, Grades 4</w:t>
      </w:r>
      <w:r w:rsidRPr="008C1E5F">
        <w:rPr>
          <w:rFonts w:ascii="Vijaya" w:hAnsi="Vijaya" w:cs="Vijaya"/>
        </w:rPr>
        <w:t>−</w:t>
      </w:r>
      <w:r w:rsidRPr="008C1E5F">
        <w:t xml:space="preserve"> 12</w:t>
      </w:r>
    </w:p>
    <w:p w14:paraId="14DAC0EB" w14:textId="77777777" w:rsidR="00900CF1" w:rsidRPr="008C1E5F" w:rsidRDefault="00900CF1">
      <w:pPr>
        <w:pStyle w:val="BodyText"/>
      </w:pPr>
      <w:r w:rsidRPr="008C1E5F">
        <w:t>Instructional Learning Formats refer to the ways in which the teacher maximizes students’ interest, engagement, and abilities to learn from the lesson and activities (</w:t>
      </w:r>
      <w:r w:rsidRPr="008C1E5F">
        <w:rPr>
          <w:i/>
        </w:rPr>
        <w:t>CLASS K–3 Manual</w:t>
      </w:r>
      <w:r w:rsidRPr="008C1E5F">
        <w:t xml:space="preserve">, p. 57; </w:t>
      </w:r>
      <w:r w:rsidRPr="008C1E5F">
        <w:rPr>
          <w:i/>
        </w:rPr>
        <w:t>CLASS Upper Elementary Manual</w:t>
      </w:r>
      <w:r w:rsidRPr="008C1E5F">
        <w:t xml:space="preserve">, p. 63, </w:t>
      </w:r>
      <w:r w:rsidRPr="008C1E5F">
        <w:rPr>
          <w:i/>
        </w:rPr>
        <w:t>CLASS Secondary Manual,</w:t>
      </w:r>
      <w:r w:rsidRPr="008C1E5F">
        <w:t xml:space="preserve"> p. 61). </w:t>
      </w:r>
    </w:p>
    <w:p w14:paraId="2727B1BE" w14:textId="77777777" w:rsidR="00900CF1" w:rsidRPr="008C1E5F" w:rsidRDefault="00900CF1" w:rsidP="00F04F8C">
      <w:pPr>
        <w:pStyle w:val="TableTitle0"/>
        <w:spacing w:before="120"/>
      </w:pPr>
      <w:r w:rsidRPr="008C1E5F">
        <w:t>Table 9. Instructional Learning Formats: Number of Classrooms for Each Rating and District Average</w:t>
      </w:r>
    </w:p>
    <w:p w14:paraId="38DA8C9B" w14:textId="77777777" w:rsidR="00900CF1" w:rsidRPr="008C1E5F" w:rsidRDefault="00900CF1" w:rsidP="00F04F8C">
      <w:pPr>
        <w:pStyle w:val="BodyTextDemi"/>
        <w:spacing w:before="120"/>
      </w:pPr>
      <w:r w:rsidRPr="008C1E5F">
        <w:t xml:space="preserve">Instructional Learning Formats District Average*: </w:t>
      </w:r>
      <w:bookmarkStart w:id="194" w:name="Dist_ILF_Avg"/>
      <w:r w:rsidRPr="008C1E5F">
        <w:t>4.9</w:t>
      </w:r>
      <w:bookmarkEnd w:id="194"/>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F04F8C" w:rsidRPr="008C1E5F" w14:paraId="73FAC42A" w14:textId="77777777" w:rsidTr="00F04F8C">
        <w:trPr>
          <w:cnfStyle w:val="100000000000" w:firstRow="1" w:lastRow="0" w:firstColumn="0" w:lastColumn="0" w:oddVBand="0" w:evenVBand="0" w:oddHBand="0" w:evenHBand="0" w:firstRowFirstColumn="0" w:firstRowLastColumn="0" w:lastRowFirstColumn="0" w:lastRowLastColumn="0"/>
          <w:jc w:val="center"/>
        </w:trPr>
        <w:tc>
          <w:tcPr>
            <w:tcW w:w="1431" w:type="dxa"/>
          </w:tcPr>
          <w:p w14:paraId="3350F432" w14:textId="5B36B526" w:rsidR="00F04F8C" w:rsidRPr="008C1E5F" w:rsidRDefault="00F04F8C" w:rsidP="00F04F8C">
            <w:pPr>
              <w:pStyle w:val="TableColHeadingCenter"/>
              <w:rPr>
                <w:rFonts w:eastAsia="MS Mincho"/>
              </w:rPr>
            </w:pPr>
            <w:bookmarkStart w:id="195" w:name="Tbl_ILF"/>
            <w:r w:rsidRPr="008C1E5F">
              <w:rPr>
                <w:rFonts w:eastAsia="MS Mincho"/>
              </w:rPr>
              <w:t>Grade Band</w:t>
            </w:r>
          </w:p>
        </w:tc>
        <w:tc>
          <w:tcPr>
            <w:tcW w:w="874" w:type="dxa"/>
          </w:tcPr>
          <w:p w14:paraId="4F052686" w14:textId="77777777" w:rsidR="00F04F8C" w:rsidRPr="008C1E5F" w:rsidRDefault="00F04F8C" w:rsidP="00F04F8C">
            <w:pPr>
              <w:pStyle w:val="TableColHeadingCenter"/>
              <w:rPr>
                <w:rFonts w:eastAsia="MS Mincho"/>
              </w:rPr>
            </w:pPr>
            <w:r w:rsidRPr="008C1E5F">
              <w:rPr>
                <w:rFonts w:eastAsia="MS Mincho"/>
              </w:rPr>
              <w:t>Low Range</w:t>
            </w:r>
          </w:p>
        </w:tc>
        <w:tc>
          <w:tcPr>
            <w:tcW w:w="874" w:type="dxa"/>
          </w:tcPr>
          <w:p w14:paraId="43B4EC7E" w14:textId="3D5FE0CD" w:rsidR="00F04F8C" w:rsidRPr="008C1E5F" w:rsidRDefault="00F04F8C" w:rsidP="00F04F8C">
            <w:pPr>
              <w:pStyle w:val="TableColHeadingCenter"/>
              <w:rPr>
                <w:rFonts w:eastAsia="MS Mincho"/>
              </w:rPr>
            </w:pPr>
            <w:r w:rsidRPr="008C1E5F">
              <w:rPr>
                <w:rFonts w:eastAsia="MS Mincho"/>
              </w:rPr>
              <w:t>Low Range</w:t>
            </w:r>
          </w:p>
        </w:tc>
        <w:tc>
          <w:tcPr>
            <w:tcW w:w="874" w:type="dxa"/>
          </w:tcPr>
          <w:p w14:paraId="4F56FF57" w14:textId="77777777" w:rsidR="00F04F8C" w:rsidRPr="008C1E5F" w:rsidRDefault="00F04F8C" w:rsidP="00F04F8C">
            <w:pPr>
              <w:pStyle w:val="TableColHeadingCenter"/>
              <w:rPr>
                <w:rFonts w:eastAsia="MS Mincho"/>
              </w:rPr>
            </w:pPr>
            <w:r w:rsidRPr="008C1E5F">
              <w:rPr>
                <w:rFonts w:eastAsia="MS Mincho"/>
              </w:rPr>
              <w:t>Middle Range</w:t>
            </w:r>
          </w:p>
        </w:tc>
        <w:tc>
          <w:tcPr>
            <w:tcW w:w="875" w:type="dxa"/>
          </w:tcPr>
          <w:p w14:paraId="578E9BA6" w14:textId="24DB540B" w:rsidR="00F04F8C" w:rsidRPr="008C1E5F" w:rsidRDefault="00F04F8C" w:rsidP="00F04F8C">
            <w:pPr>
              <w:pStyle w:val="TableColHeadingCenter"/>
              <w:rPr>
                <w:rFonts w:eastAsia="MS Mincho"/>
              </w:rPr>
            </w:pPr>
            <w:r w:rsidRPr="008C1E5F">
              <w:rPr>
                <w:rFonts w:eastAsia="MS Mincho"/>
              </w:rPr>
              <w:t>Middle Range</w:t>
            </w:r>
          </w:p>
        </w:tc>
        <w:tc>
          <w:tcPr>
            <w:tcW w:w="875" w:type="dxa"/>
          </w:tcPr>
          <w:p w14:paraId="0EE17ECF" w14:textId="162C0E2C" w:rsidR="00F04F8C" w:rsidRPr="008C1E5F" w:rsidRDefault="00F04F8C" w:rsidP="00F04F8C">
            <w:pPr>
              <w:pStyle w:val="TableColHeadingCenter"/>
              <w:rPr>
                <w:rFonts w:eastAsia="MS Mincho"/>
              </w:rPr>
            </w:pPr>
            <w:r w:rsidRPr="008C1E5F">
              <w:rPr>
                <w:rFonts w:eastAsia="MS Mincho"/>
              </w:rPr>
              <w:t>Middle Range</w:t>
            </w:r>
          </w:p>
        </w:tc>
        <w:tc>
          <w:tcPr>
            <w:tcW w:w="874" w:type="dxa"/>
          </w:tcPr>
          <w:p w14:paraId="03E20958" w14:textId="77777777" w:rsidR="00F04F8C" w:rsidRPr="008C1E5F" w:rsidRDefault="00F04F8C" w:rsidP="00F04F8C">
            <w:pPr>
              <w:pStyle w:val="TableColHeadingCenter"/>
              <w:rPr>
                <w:rFonts w:eastAsia="MS Mincho"/>
              </w:rPr>
            </w:pPr>
            <w:r w:rsidRPr="008C1E5F">
              <w:rPr>
                <w:rFonts w:eastAsia="MS Mincho"/>
              </w:rPr>
              <w:t>High Range</w:t>
            </w:r>
          </w:p>
        </w:tc>
        <w:tc>
          <w:tcPr>
            <w:tcW w:w="875" w:type="dxa"/>
          </w:tcPr>
          <w:p w14:paraId="7BCA874A" w14:textId="6B789D6B" w:rsidR="00F04F8C" w:rsidRPr="008C1E5F" w:rsidRDefault="00F04F8C" w:rsidP="00F04F8C">
            <w:pPr>
              <w:pStyle w:val="TableColHeadingCenter"/>
              <w:rPr>
                <w:rFonts w:eastAsia="MS Mincho"/>
              </w:rPr>
            </w:pPr>
            <w:r w:rsidRPr="008C1E5F">
              <w:rPr>
                <w:rFonts w:eastAsia="MS Mincho"/>
              </w:rPr>
              <w:t>High Range</w:t>
            </w:r>
          </w:p>
        </w:tc>
        <w:tc>
          <w:tcPr>
            <w:tcW w:w="900" w:type="dxa"/>
          </w:tcPr>
          <w:p w14:paraId="23B515A6" w14:textId="54359FCB" w:rsidR="00F04F8C" w:rsidRPr="008C1E5F" w:rsidRDefault="00F04F8C" w:rsidP="00F04F8C">
            <w:pPr>
              <w:pStyle w:val="TableColHeadingCenter"/>
              <w:rPr>
                <w:rFonts w:eastAsia="MS Mincho"/>
              </w:rPr>
            </w:pPr>
            <w:r w:rsidRPr="008C1E5F">
              <w:rPr>
                <w:rFonts w:eastAsia="MS Mincho"/>
                <w:i/>
                <w:iCs/>
              </w:rPr>
              <w:t>n</w:t>
            </w:r>
          </w:p>
        </w:tc>
        <w:tc>
          <w:tcPr>
            <w:tcW w:w="892" w:type="dxa"/>
          </w:tcPr>
          <w:p w14:paraId="750C4D34" w14:textId="3C178E58" w:rsidR="00F04F8C" w:rsidRPr="008C1E5F" w:rsidRDefault="00F04F8C" w:rsidP="00F04F8C">
            <w:pPr>
              <w:pStyle w:val="TableColHeadingCenter"/>
              <w:rPr>
                <w:rFonts w:eastAsia="MS Mincho"/>
              </w:rPr>
            </w:pPr>
            <w:r w:rsidRPr="008C1E5F">
              <w:rPr>
                <w:rFonts w:eastAsia="MS Mincho"/>
              </w:rPr>
              <w:t>Average</w:t>
            </w:r>
          </w:p>
        </w:tc>
      </w:tr>
      <w:tr w:rsidR="00F04F8C" w:rsidRPr="008C1E5F" w14:paraId="03D2D0B0" w14:textId="77777777" w:rsidTr="00F04F8C">
        <w:trPr>
          <w:jc w:val="center"/>
        </w:trPr>
        <w:tc>
          <w:tcPr>
            <w:tcW w:w="1431" w:type="dxa"/>
            <w:shd w:val="clear" w:color="auto" w:fill="D9E2F3" w:themeFill="accent5" w:themeFillTint="33"/>
          </w:tcPr>
          <w:p w14:paraId="76447E42" w14:textId="77777777" w:rsidR="00F04F8C" w:rsidRPr="008C1E5F" w:rsidRDefault="00F04F8C" w:rsidP="00F04F8C">
            <w:pPr>
              <w:pStyle w:val="TableSubheadingCentered"/>
            </w:pPr>
          </w:p>
        </w:tc>
        <w:tc>
          <w:tcPr>
            <w:tcW w:w="874" w:type="dxa"/>
            <w:shd w:val="clear" w:color="auto" w:fill="D9E2F3" w:themeFill="accent5" w:themeFillTint="33"/>
          </w:tcPr>
          <w:p w14:paraId="3CACA5AF" w14:textId="77777777" w:rsidR="00F04F8C" w:rsidRPr="008C1E5F" w:rsidRDefault="00F04F8C" w:rsidP="00F04F8C">
            <w:pPr>
              <w:pStyle w:val="TableSubheadingCentered"/>
            </w:pPr>
            <w:r w:rsidRPr="008C1E5F">
              <w:t>1</w:t>
            </w:r>
          </w:p>
        </w:tc>
        <w:tc>
          <w:tcPr>
            <w:tcW w:w="874" w:type="dxa"/>
            <w:shd w:val="clear" w:color="auto" w:fill="D9E2F3" w:themeFill="accent5" w:themeFillTint="33"/>
          </w:tcPr>
          <w:p w14:paraId="465D0038" w14:textId="77777777" w:rsidR="00F04F8C" w:rsidRPr="008C1E5F" w:rsidRDefault="00F04F8C" w:rsidP="00F04F8C">
            <w:pPr>
              <w:pStyle w:val="TableSubheadingCentered"/>
            </w:pPr>
            <w:r w:rsidRPr="008C1E5F">
              <w:t>2</w:t>
            </w:r>
          </w:p>
        </w:tc>
        <w:tc>
          <w:tcPr>
            <w:tcW w:w="874" w:type="dxa"/>
            <w:shd w:val="clear" w:color="auto" w:fill="D9E2F3" w:themeFill="accent5" w:themeFillTint="33"/>
          </w:tcPr>
          <w:p w14:paraId="78DE2F6B" w14:textId="77777777" w:rsidR="00F04F8C" w:rsidRPr="008C1E5F" w:rsidRDefault="00F04F8C" w:rsidP="00F04F8C">
            <w:pPr>
              <w:pStyle w:val="TableSubheadingCentered"/>
            </w:pPr>
            <w:r w:rsidRPr="008C1E5F">
              <w:t>3</w:t>
            </w:r>
          </w:p>
        </w:tc>
        <w:tc>
          <w:tcPr>
            <w:tcW w:w="875" w:type="dxa"/>
            <w:shd w:val="clear" w:color="auto" w:fill="D9E2F3" w:themeFill="accent5" w:themeFillTint="33"/>
          </w:tcPr>
          <w:p w14:paraId="7ECE1C38" w14:textId="77777777" w:rsidR="00F04F8C" w:rsidRPr="008C1E5F" w:rsidRDefault="00F04F8C" w:rsidP="00F04F8C">
            <w:pPr>
              <w:pStyle w:val="TableSubheadingCentered"/>
            </w:pPr>
            <w:r w:rsidRPr="008C1E5F">
              <w:t>4</w:t>
            </w:r>
          </w:p>
        </w:tc>
        <w:tc>
          <w:tcPr>
            <w:tcW w:w="875" w:type="dxa"/>
            <w:shd w:val="clear" w:color="auto" w:fill="D9E2F3" w:themeFill="accent5" w:themeFillTint="33"/>
          </w:tcPr>
          <w:p w14:paraId="441D9664" w14:textId="77777777" w:rsidR="00F04F8C" w:rsidRPr="008C1E5F" w:rsidRDefault="00F04F8C" w:rsidP="00F04F8C">
            <w:pPr>
              <w:pStyle w:val="TableSubheadingCentered"/>
            </w:pPr>
            <w:r w:rsidRPr="008C1E5F">
              <w:t>5</w:t>
            </w:r>
          </w:p>
        </w:tc>
        <w:tc>
          <w:tcPr>
            <w:tcW w:w="874" w:type="dxa"/>
            <w:shd w:val="clear" w:color="auto" w:fill="D9E2F3" w:themeFill="accent5" w:themeFillTint="33"/>
          </w:tcPr>
          <w:p w14:paraId="3E1F5285" w14:textId="77777777" w:rsidR="00F04F8C" w:rsidRPr="008C1E5F" w:rsidRDefault="00F04F8C" w:rsidP="00F04F8C">
            <w:pPr>
              <w:pStyle w:val="TableSubheadingCentered"/>
            </w:pPr>
            <w:r w:rsidRPr="008C1E5F">
              <w:t>6</w:t>
            </w:r>
          </w:p>
        </w:tc>
        <w:tc>
          <w:tcPr>
            <w:tcW w:w="875" w:type="dxa"/>
            <w:shd w:val="clear" w:color="auto" w:fill="D9E2F3" w:themeFill="accent5" w:themeFillTint="33"/>
          </w:tcPr>
          <w:p w14:paraId="52AD8A23" w14:textId="77777777" w:rsidR="00F04F8C" w:rsidRPr="008C1E5F" w:rsidRDefault="00F04F8C" w:rsidP="00F04F8C">
            <w:pPr>
              <w:pStyle w:val="TableSubheadingCentered"/>
            </w:pPr>
            <w:r w:rsidRPr="008C1E5F">
              <w:t>7</w:t>
            </w:r>
          </w:p>
        </w:tc>
        <w:tc>
          <w:tcPr>
            <w:tcW w:w="900" w:type="dxa"/>
            <w:shd w:val="clear" w:color="auto" w:fill="D9E2F3" w:themeFill="accent5" w:themeFillTint="33"/>
          </w:tcPr>
          <w:p w14:paraId="6699480A" w14:textId="77777777" w:rsidR="00F04F8C" w:rsidRPr="008C1E5F" w:rsidRDefault="00F04F8C" w:rsidP="00F04F8C">
            <w:pPr>
              <w:pStyle w:val="TableSubheadingCentered"/>
            </w:pPr>
            <w:r w:rsidRPr="008C1E5F">
              <w:t>190</w:t>
            </w:r>
          </w:p>
        </w:tc>
        <w:tc>
          <w:tcPr>
            <w:tcW w:w="892" w:type="dxa"/>
            <w:shd w:val="clear" w:color="auto" w:fill="D9E2F3" w:themeFill="accent5" w:themeFillTint="33"/>
          </w:tcPr>
          <w:p w14:paraId="216D93FB" w14:textId="77777777" w:rsidR="00F04F8C" w:rsidRPr="008C1E5F" w:rsidRDefault="00F04F8C" w:rsidP="00F04F8C">
            <w:pPr>
              <w:pStyle w:val="TableSubheadingCentered"/>
            </w:pPr>
            <w:r w:rsidRPr="008C1E5F">
              <w:t>4.9</w:t>
            </w:r>
          </w:p>
        </w:tc>
      </w:tr>
      <w:tr w:rsidR="00F04F8C" w:rsidRPr="008C1E5F" w14:paraId="3E449226" w14:textId="77777777" w:rsidTr="00F04F8C">
        <w:trPr>
          <w:jc w:val="center"/>
        </w:trPr>
        <w:tc>
          <w:tcPr>
            <w:tcW w:w="1431" w:type="dxa"/>
          </w:tcPr>
          <w:p w14:paraId="499CB4DF" w14:textId="77777777" w:rsidR="00F04F8C" w:rsidRPr="008C1E5F" w:rsidRDefault="00F04F8C" w:rsidP="00F04F8C">
            <w:pPr>
              <w:pStyle w:val="TableText"/>
            </w:pPr>
            <w:r w:rsidRPr="008C1E5F">
              <w:t>Grades K-5</w:t>
            </w:r>
          </w:p>
        </w:tc>
        <w:tc>
          <w:tcPr>
            <w:tcW w:w="874" w:type="dxa"/>
          </w:tcPr>
          <w:p w14:paraId="1BD3AD0D" w14:textId="77777777" w:rsidR="00F04F8C" w:rsidRPr="008C1E5F" w:rsidRDefault="00F04F8C" w:rsidP="00F04F8C">
            <w:pPr>
              <w:pStyle w:val="TableTextCentered"/>
              <w:rPr>
                <w:rFonts w:eastAsia="Times New Roman"/>
              </w:rPr>
            </w:pPr>
            <w:r w:rsidRPr="008C1E5F">
              <w:rPr>
                <w:rFonts w:eastAsia="Times New Roman"/>
              </w:rPr>
              <w:t>0</w:t>
            </w:r>
          </w:p>
        </w:tc>
        <w:tc>
          <w:tcPr>
            <w:tcW w:w="874" w:type="dxa"/>
          </w:tcPr>
          <w:p w14:paraId="22A27DA1" w14:textId="77777777" w:rsidR="00F04F8C" w:rsidRPr="008C1E5F" w:rsidRDefault="00F04F8C" w:rsidP="00F04F8C">
            <w:pPr>
              <w:pStyle w:val="TableTextCentered"/>
              <w:rPr>
                <w:rFonts w:eastAsia="Times New Roman"/>
              </w:rPr>
            </w:pPr>
            <w:r w:rsidRPr="008C1E5F">
              <w:rPr>
                <w:rFonts w:eastAsia="Times New Roman"/>
              </w:rPr>
              <w:t>0</w:t>
            </w:r>
          </w:p>
        </w:tc>
        <w:tc>
          <w:tcPr>
            <w:tcW w:w="874" w:type="dxa"/>
          </w:tcPr>
          <w:p w14:paraId="4EBA3BEA" w14:textId="77777777" w:rsidR="00F04F8C" w:rsidRPr="008C1E5F" w:rsidRDefault="00F04F8C" w:rsidP="00F04F8C">
            <w:pPr>
              <w:pStyle w:val="TableTextCentered"/>
              <w:rPr>
                <w:rFonts w:eastAsia="Times New Roman"/>
              </w:rPr>
            </w:pPr>
            <w:r w:rsidRPr="008C1E5F">
              <w:rPr>
                <w:rFonts w:eastAsia="Times New Roman"/>
              </w:rPr>
              <w:t>6</w:t>
            </w:r>
          </w:p>
        </w:tc>
        <w:tc>
          <w:tcPr>
            <w:tcW w:w="875" w:type="dxa"/>
          </w:tcPr>
          <w:p w14:paraId="59996336" w14:textId="77777777" w:rsidR="00F04F8C" w:rsidRPr="008C1E5F" w:rsidRDefault="00F04F8C" w:rsidP="00F04F8C">
            <w:pPr>
              <w:pStyle w:val="TableTextCentered"/>
              <w:rPr>
                <w:rFonts w:eastAsia="Times New Roman"/>
              </w:rPr>
            </w:pPr>
            <w:r w:rsidRPr="008C1E5F">
              <w:rPr>
                <w:rFonts w:eastAsia="Times New Roman"/>
              </w:rPr>
              <w:t>13</w:t>
            </w:r>
          </w:p>
        </w:tc>
        <w:tc>
          <w:tcPr>
            <w:tcW w:w="875" w:type="dxa"/>
          </w:tcPr>
          <w:p w14:paraId="6C7FFB56" w14:textId="77777777" w:rsidR="00F04F8C" w:rsidRPr="008C1E5F" w:rsidRDefault="00F04F8C" w:rsidP="00F04F8C">
            <w:pPr>
              <w:pStyle w:val="TableTextCentered"/>
              <w:rPr>
                <w:rFonts w:eastAsia="Times New Roman"/>
              </w:rPr>
            </w:pPr>
            <w:r w:rsidRPr="008C1E5F">
              <w:rPr>
                <w:rFonts w:eastAsia="Times New Roman"/>
              </w:rPr>
              <w:t>30</w:t>
            </w:r>
          </w:p>
        </w:tc>
        <w:tc>
          <w:tcPr>
            <w:tcW w:w="874" w:type="dxa"/>
          </w:tcPr>
          <w:p w14:paraId="04DA0197" w14:textId="77777777" w:rsidR="00F04F8C" w:rsidRPr="008C1E5F" w:rsidRDefault="00F04F8C" w:rsidP="00F04F8C">
            <w:pPr>
              <w:pStyle w:val="TableTextCentered"/>
              <w:rPr>
                <w:rFonts w:eastAsia="Times New Roman"/>
              </w:rPr>
            </w:pPr>
            <w:r w:rsidRPr="008C1E5F">
              <w:rPr>
                <w:rFonts w:eastAsia="Times New Roman"/>
              </w:rPr>
              <w:t>23</w:t>
            </w:r>
          </w:p>
        </w:tc>
        <w:tc>
          <w:tcPr>
            <w:tcW w:w="875" w:type="dxa"/>
          </w:tcPr>
          <w:p w14:paraId="3A7BAE56" w14:textId="77777777" w:rsidR="00F04F8C" w:rsidRPr="008C1E5F" w:rsidRDefault="00F04F8C" w:rsidP="00F04F8C">
            <w:pPr>
              <w:pStyle w:val="TableTextCentered"/>
              <w:rPr>
                <w:rFonts w:eastAsia="Times New Roman"/>
              </w:rPr>
            </w:pPr>
            <w:r w:rsidRPr="008C1E5F">
              <w:rPr>
                <w:rFonts w:eastAsia="Times New Roman"/>
              </w:rPr>
              <w:t>12</w:t>
            </w:r>
          </w:p>
        </w:tc>
        <w:tc>
          <w:tcPr>
            <w:tcW w:w="900" w:type="dxa"/>
          </w:tcPr>
          <w:p w14:paraId="35DBE0BA" w14:textId="77777777" w:rsidR="00F04F8C" w:rsidRPr="008C1E5F" w:rsidRDefault="00F04F8C" w:rsidP="00F04F8C">
            <w:pPr>
              <w:pStyle w:val="TableTextCentered"/>
              <w:rPr>
                <w:rFonts w:eastAsia="Times New Roman"/>
              </w:rPr>
            </w:pPr>
            <w:r w:rsidRPr="008C1E5F">
              <w:rPr>
                <w:rFonts w:eastAsia="Times New Roman"/>
              </w:rPr>
              <w:t>84</w:t>
            </w:r>
          </w:p>
        </w:tc>
        <w:tc>
          <w:tcPr>
            <w:tcW w:w="892" w:type="dxa"/>
          </w:tcPr>
          <w:p w14:paraId="4F48FDFC" w14:textId="77777777" w:rsidR="00F04F8C" w:rsidRPr="008C1E5F" w:rsidRDefault="00F04F8C" w:rsidP="00F04F8C">
            <w:pPr>
              <w:pStyle w:val="TableTextCentered"/>
              <w:rPr>
                <w:rFonts w:eastAsia="Times New Roman"/>
              </w:rPr>
            </w:pPr>
            <w:r w:rsidRPr="008C1E5F">
              <w:rPr>
                <w:rFonts w:eastAsia="Times New Roman"/>
              </w:rPr>
              <w:t>5.3</w:t>
            </w:r>
          </w:p>
        </w:tc>
      </w:tr>
      <w:tr w:rsidR="00F04F8C" w:rsidRPr="008C1E5F" w14:paraId="23AD8779" w14:textId="77777777" w:rsidTr="00F04F8C">
        <w:trPr>
          <w:jc w:val="center"/>
        </w:trPr>
        <w:tc>
          <w:tcPr>
            <w:tcW w:w="1431" w:type="dxa"/>
          </w:tcPr>
          <w:p w14:paraId="67A7A155" w14:textId="77777777" w:rsidR="00F04F8C" w:rsidRPr="008C1E5F" w:rsidRDefault="00F04F8C" w:rsidP="00F04F8C">
            <w:pPr>
              <w:pStyle w:val="TableText"/>
            </w:pPr>
            <w:r w:rsidRPr="008C1E5F">
              <w:t>Grades 6-8</w:t>
            </w:r>
          </w:p>
        </w:tc>
        <w:tc>
          <w:tcPr>
            <w:tcW w:w="874" w:type="dxa"/>
          </w:tcPr>
          <w:p w14:paraId="24E51871" w14:textId="77777777" w:rsidR="00F04F8C" w:rsidRPr="008C1E5F" w:rsidRDefault="00F04F8C" w:rsidP="00F04F8C">
            <w:pPr>
              <w:pStyle w:val="TableTextCentered"/>
              <w:rPr>
                <w:rFonts w:eastAsia="Times New Roman"/>
              </w:rPr>
            </w:pPr>
            <w:r w:rsidRPr="008C1E5F">
              <w:rPr>
                <w:rFonts w:eastAsia="Times New Roman"/>
              </w:rPr>
              <w:t>0</w:t>
            </w:r>
          </w:p>
        </w:tc>
        <w:tc>
          <w:tcPr>
            <w:tcW w:w="874" w:type="dxa"/>
          </w:tcPr>
          <w:p w14:paraId="03E7635F" w14:textId="77777777" w:rsidR="00F04F8C" w:rsidRPr="008C1E5F" w:rsidRDefault="00F04F8C" w:rsidP="00F04F8C">
            <w:pPr>
              <w:pStyle w:val="TableTextCentered"/>
              <w:rPr>
                <w:rFonts w:eastAsia="Times New Roman"/>
              </w:rPr>
            </w:pPr>
            <w:r w:rsidRPr="008C1E5F">
              <w:rPr>
                <w:rFonts w:eastAsia="Times New Roman"/>
              </w:rPr>
              <w:t>3</w:t>
            </w:r>
          </w:p>
        </w:tc>
        <w:tc>
          <w:tcPr>
            <w:tcW w:w="874" w:type="dxa"/>
          </w:tcPr>
          <w:p w14:paraId="5EDBEF74" w14:textId="77777777" w:rsidR="00F04F8C" w:rsidRPr="008C1E5F" w:rsidRDefault="00F04F8C" w:rsidP="00F04F8C">
            <w:pPr>
              <w:pStyle w:val="TableTextCentered"/>
              <w:rPr>
                <w:rFonts w:eastAsia="Times New Roman"/>
              </w:rPr>
            </w:pPr>
            <w:r w:rsidRPr="008C1E5F">
              <w:rPr>
                <w:rFonts w:eastAsia="Times New Roman"/>
              </w:rPr>
              <w:t>8</w:t>
            </w:r>
          </w:p>
        </w:tc>
        <w:tc>
          <w:tcPr>
            <w:tcW w:w="875" w:type="dxa"/>
          </w:tcPr>
          <w:p w14:paraId="367E1AF8" w14:textId="77777777" w:rsidR="00F04F8C" w:rsidRPr="008C1E5F" w:rsidRDefault="00F04F8C" w:rsidP="00F04F8C">
            <w:pPr>
              <w:pStyle w:val="TableTextCentered"/>
              <w:rPr>
                <w:rFonts w:eastAsia="Times New Roman"/>
              </w:rPr>
            </w:pPr>
            <w:r w:rsidRPr="008C1E5F">
              <w:rPr>
                <w:rFonts w:eastAsia="Times New Roman"/>
              </w:rPr>
              <w:t>17</w:t>
            </w:r>
          </w:p>
        </w:tc>
        <w:tc>
          <w:tcPr>
            <w:tcW w:w="875" w:type="dxa"/>
          </w:tcPr>
          <w:p w14:paraId="1EDD702A" w14:textId="77777777" w:rsidR="00F04F8C" w:rsidRPr="008C1E5F" w:rsidRDefault="00F04F8C" w:rsidP="00F04F8C">
            <w:pPr>
              <w:pStyle w:val="TableTextCentered"/>
              <w:rPr>
                <w:rFonts w:eastAsia="Times New Roman"/>
              </w:rPr>
            </w:pPr>
            <w:r w:rsidRPr="008C1E5F">
              <w:rPr>
                <w:rFonts w:eastAsia="Times New Roman"/>
              </w:rPr>
              <w:t>30</w:t>
            </w:r>
          </w:p>
        </w:tc>
        <w:tc>
          <w:tcPr>
            <w:tcW w:w="874" w:type="dxa"/>
          </w:tcPr>
          <w:p w14:paraId="3024CD75" w14:textId="77777777" w:rsidR="00F04F8C" w:rsidRPr="008C1E5F" w:rsidRDefault="00F04F8C" w:rsidP="00F04F8C">
            <w:pPr>
              <w:pStyle w:val="TableTextCentered"/>
              <w:rPr>
                <w:rFonts w:eastAsia="Times New Roman"/>
              </w:rPr>
            </w:pPr>
            <w:r w:rsidRPr="008C1E5F">
              <w:rPr>
                <w:rFonts w:eastAsia="Times New Roman"/>
              </w:rPr>
              <w:t>11</w:t>
            </w:r>
          </w:p>
        </w:tc>
        <w:tc>
          <w:tcPr>
            <w:tcW w:w="875" w:type="dxa"/>
          </w:tcPr>
          <w:p w14:paraId="0EEABEF3" w14:textId="77777777" w:rsidR="00F04F8C" w:rsidRPr="008C1E5F" w:rsidRDefault="00F04F8C" w:rsidP="00F04F8C">
            <w:pPr>
              <w:pStyle w:val="TableTextCentered"/>
              <w:rPr>
                <w:rFonts w:eastAsia="Times New Roman"/>
              </w:rPr>
            </w:pPr>
            <w:r w:rsidRPr="008C1E5F">
              <w:rPr>
                <w:rFonts w:eastAsia="Times New Roman"/>
              </w:rPr>
              <w:t>2</w:t>
            </w:r>
          </w:p>
        </w:tc>
        <w:tc>
          <w:tcPr>
            <w:tcW w:w="900" w:type="dxa"/>
          </w:tcPr>
          <w:p w14:paraId="5EAC21A7" w14:textId="77777777" w:rsidR="00F04F8C" w:rsidRPr="008C1E5F" w:rsidRDefault="00F04F8C" w:rsidP="00F04F8C">
            <w:pPr>
              <w:pStyle w:val="TableTextCentered"/>
              <w:rPr>
                <w:rFonts w:eastAsia="Times New Roman"/>
              </w:rPr>
            </w:pPr>
            <w:r w:rsidRPr="008C1E5F">
              <w:rPr>
                <w:rFonts w:eastAsia="Times New Roman"/>
              </w:rPr>
              <w:t>71</w:t>
            </w:r>
          </w:p>
        </w:tc>
        <w:tc>
          <w:tcPr>
            <w:tcW w:w="892" w:type="dxa"/>
          </w:tcPr>
          <w:p w14:paraId="0C93F869" w14:textId="77777777" w:rsidR="00F04F8C" w:rsidRPr="008C1E5F" w:rsidRDefault="00F04F8C" w:rsidP="00F04F8C">
            <w:pPr>
              <w:pStyle w:val="TableTextCentered"/>
              <w:rPr>
                <w:rFonts w:eastAsia="Times New Roman"/>
              </w:rPr>
            </w:pPr>
            <w:r w:rsidRPr="008C1E5F">
              <w:rPr>
                <w:rFonts w:eastAsia="Times New Roman"/>
              </w:rPr>
              <w:t>4.6</w:t>
            </w:r>
          </w:p>
        </w:tc>
      </w:tr>
      <w:tr w:rsidR="00F04F8C" w:rsidRPr="008C1E5F" w14:paraId="1CF927B3" w14:textId="77777777" w:rsidTr="00F04F8C">
        <w:trPr>
          <w:jc w:val="center"/>
        </w:trPr>
        <w:tc>
          <w:tcPr>
            <w:tcW w:w="1431" w:type="dxa"/>
          </w:tcPr>
          <w:p w14:paraId="5332F0B1" w14:textId="77777777" w:rsidR="00F04F8C" w:rsidRPr="008C1E5F" w:rsidRDefault="00F04F8C" w:rsidP="00F04F8C">
            <w:pPr>
              <w:pStyle w:val="TableText"/>
            </w:pPr>
            <w:r w:rsidRPr="008C1E5F">
              <w:t>Grades 9-12</w:t>
            </w:r>
          </w:p>
        </w:tc>
        <w:tc>
          <w:tcPr>
            <w:tcW w:w="874" w:type="dxa"/>
          </w:tcPr>
          <w:p w14:paraId="644897EE" w14:textId="77777777" w:rsidR="00F04F8C" w:rsidRPr="008C1E5F" w:rsidRDefault="00F04F8C" w:rsidP="00F04F8C">
            <w:pPr>
              <w:pStyle w:val="TableTextCentered"/>
              <w:rPr>
                <w:rFonts w:eastAsia="Times New Roman"/>
              </w:rPr>
            </w:pPr>
            <w:r w:rsidRPr="008C1E5F">
              <w:rPr>
                <w:rFonts w:eastAsia="Times New Roman"/>
              </w:rPr>
              <w:t>0</w:t>
            </w:r>
          </w:p>
        </w:tc>
        <w:tc>
          <w:tcPr>
            <w:tcW w:w="874" w:type="dxa"/>
          </w:tcPr>
          <w:p w14:paraId="4FF9794D" w14:textId="77777777" w:rsidR="00F04F8C" w:rsidRPr="008C1E5F" w:rsidRDefault="00F04F8C" w:rsidP="00F04F8C">
            <w:pPr>
              <w:pStyle w:val="TableTextCentered"/>
              <w:rPr>
                <w:rFonts w:eastAsia="Times New Roman"/>
              </w:rPr>
            </w:pPr>
            <w:r w:rsidRPr="008C1E5F">
              <w:rPr>
                <w:rFonts w:eastAsia="Times New Roman"/>
              </w:rPr>
              <w:t>1</w:t>
            </w:r>
          </w:p>
        </w:tc>
        <w:tc>
          <w:tcPr>
            <w:tcW w:w="874" w:type="dxa"/>
          </w:tcPr>
          <w:p w14:paraId="30AF51C5" w14:textId="77777777" w:rsidR="00F04F8C" w:rsidRPr="008C1E5F" w:rsidRDefault="00F04F8C" w:rsidP="00F04F8C">
            <w:pPr>
              <w:pStyle w:val="TableTextCentered"/>
              <w:rPr>
                <w:rFonts w:eastAsia="Times New Roman"/>
              </w:rPr>
            </w:pPr>
            <w:r w:rsidRPr="008C1E5F">
              <w:rPr>
                <w:rFonts w:eastAsia="Times New Roman"/>
              </w:rPr>
              <w:t>7</w:t>
            </w:r>
          </w:p>
        </w:tc>
        <w:tc>
          <w:tcPr>
            <w:tcW w:w="875" w:type="dxa"/>
          </w:tcPr>
          <w:p w14:paraId="50E0C164" w14:textId="77777777" w:rsidR="00F04F8C" w:rsidRPr="008C1E5F" w:rsidRDefault="00F04F8C" w:rsidP="00F04F8C">
            <w:pPr>
              <w:pStyle w:val="TableTextCentered"/>
              <w:rPr>
                <w:rFonts w:eastAsia="Times New Roman"/>
              </w:rPr>
            </w:pPr>
            <w:r w:rsidRPr="008C1E5F">
              <w:rPr>
                <w:rFonts w:eastAsia="Times New Roman"/>
              </w:rPr>
              <w:t>5</w:t>
            </w:r>
          </w:p>
        </w:tc>
        <w:tc>
          <w:tcPr>
            <w:tcW w:w="875" w:type="dxa"/>
          </w:tcPr>
          <w:p w14:paraId="5967F676" w14:textId="77777777" w:rsidR="00F04F8C" w:rsidRPr="008C1E5F" w:rsidRDefault="00F04F8C" w:rsidP="00F04F8C">
            <w:pPr>
              <w:pStyle w:val="TableTextCentered"/>
              <w:rPr>
                <w:rFonts w:eastAsia="Times New Roman"/>
              </w:rPr>
            </w:pPr>
            <w:r w:rsidRPr="008C1E5F">
              <w:rPr>
                <w:rFonts w:eastAsia="Times New Roman"/>
              </w:rPr>
              <w:t>17</w:t>
            </w:r>
          </w:p>
        </w:tc>
        <w:tc>
          <w:tcPr>
            <w:tcW w:w="874" w:type="dxa"/>
          </w:tcPr>
          <w:p w14:paraId="0467049B" w14:textId="77777777" w:rsidR="00F04F8C" w:rsidRPr="008C1E5F" w:rsidRDefault="00F04F8C" w:rsidP="00F04F8C">
            <w:pPr>
              <w:pStyle w:val="TableTextCentered"/>
              <w:rPr>
                <w:rFonts w:eastAsia="Times New Roman"/>
              </w:rPr>
            </w:pPr>
            <w:r w:rsidRPr="008C1E5F">
              <w:rPr>
                <w:rFonts w:eastAsia="Times New Roman"/>
              </w:rPr>
              <w:t>3</w:t>
            </w:r>
          </w:p>
        </w:tc>
        <w:tc>
          <w:tcPr>
            <w:tcW w:w="875" w:type="dxa"/>
          </w:tcPr>
          <w:p w14:paraId="7F286BD2" w14:textId="77777777" w:rsidR="00F04F8C" w:rsidRPr="008C1E5F" w:rsidRDefault="00F04F8C" w:rsidP="00F04F8C">
            <w:pPr>
              <w:pStyle w:val="TableTextCentered"/>
              <w:rPr>
                <w:rFonts w:eastAsia="Times New Roman"/>
              </w:rPr>
            </w:pPr>
            <w:r w:rsidRPr="008C1E5F">
              <w:rPr>
                <w:rFonts w:eastAsia="Times New Roman"/>
              </w:rPr>
              <w:t>2</w:t>
            </w:r>
          </w:p>
        </w:tc>
        <w:tc>
          <w:tcPr>
            <w:tcW w:w="900" w:type="dxa"/>
          </w:tcPr>
          <w:p w14:paraId="4CBD5C5C" w14:textId="77777777" w:rsidR="00F04F8C" w:rsidRPr="008C1E5F" w:rsidRDefault="00F04F8C" w:rsidP="00F04F8C">
            <w:pPr>
              <w:pStyle w:val="TableTextCentered"/>
              <w:rPr>
                <w:rFonts w:eastAsia="Times New Roman"/>
              </w:rPr>
            </w:pPr>
            <w:r w:rsidRPr="008C1E5F">
              <w:rPr>
                <w:rFonts w:eastAsia="Times New Roman"/>
              </w:rPr>
              <w:t>35</w:t>
            </w:r>
          </w:p>
        </w:tc>
        <w:tc>
          <w:tcPr>
            <w:tcW w:w="892" w:type="dxa"/>
          </w:tcPr>
          <w:p w14:paraId="178D260B" w14:textId="77777777" w:rsidR="00F04F8C" w:rsidRPr="008C1E5F" w:rsidRDefault="00F04F8C" w:rsidP="00F04F8C">
            <w:pPr>
              <w:pStyle w:val="TableTextCentered"/>
              <w:rPr>
                <w:rFonts w:eastAsia="Times New Roman"/>
              </w:rPr>
            </w:pPr>
            <w:r w:rsidRPr="008C1E5F">
              <w:rPr>
                <w:rFonts w:eastAsia="Times New Roman"/>
              </w:rPr>
              <w:t>4.6</w:t>
            </w:r>
          </w:p>
        </w:tc>
      </w:tr>
    </w:tbl>
    <w:bookmarkEnd w:id="195"/>
    <w:p w14:paraId="1D74BE3E" w14:textId="77777777" w:rsidR="00900CF1" w:rsidRPr="008C1E5F" w:rsidRDefault="00900CF1">
      <w:pPr>
        <w:pStyle w:val="TableNote"/>
      </w:pPr>
      <w:r w:rsidRPr="008C1E5F">
        <w:t xml:space="preserve">*The district average is an average of the observation scores. In Table 9, the district average is computed as: </w:t>
      </w:r>
      <w:r w:rsidRPr="008C1E5F">
        <w:br/>
      </w:r>
      <w:bookmarkStart w:id="196" w:name="Dist_ILF_Calc"/>
      <w:r w:rsidRPr="008C1E5F">
        <w:t>([2 x 4] + [3 x 21] + [4 x 35] + [5 x 77] + [6 x 37] + [7 x 16]) ÷ 190 observations = 4.9</w:t>
      </w:r>
      <w:bookmarkEnd w:id="196"/>
    </w:p>
    <w:p w14:paraId="22B31D8D" w14:textId="77777777" w:rsidR="00900CF1" w:rsidRPr="008C1E5F" w:rsidRDefault="00900CF1">
      <w:pPr>
        <w:pStyle w:val="BodyText"/>
      </w:pPr>
      <w:r w:rsidRPr="008C1E5F">
        <w:rPr>
          <w:rStyle w:val="BodyTextDemiChar"/>
        </w:rPr>
        <w:t>Ratings in the Low Range.</w:t>
      </w:r>
      <w:r w:rsidRPr="008C1E5F">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4C817992" w14:textId="77777777" w:rsidR="00900CF1" w:rsidRPr="008C1E5F" w:rsidRDefault="00900CF1">
      <w:pPr>
        <w:pStyle w:val="BodyText"/>
      </w:pPr>
      <w:r w:rsidRPr="008C1E5F">
        <w:rPr>
          <w:rStyle w:val="BodyTextDemiChar"/>
        </w:rPr>
        <w:t>Ratings in the Middle Range.</w:t>
      </w:r>
      <w:r w:rsidRPr="008C1E5F">
        <w:rPr>
          <w:spacing w:val="-4"/>
        </w:rPr>
        <w:t xml:space="preserve"> At the middle range, the teacher sometimes facilitates engagement</w:t>
      </w:r>
      <w:r w:rsidRPr="008C1E5F">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1E21BD98" w14:textId="77777777" w:rsidR="00900CF1" w:rsidRPr="008C1E5F" w:rsidRDefault="00900CF1">
      <w:pPr>
        <w:pStyle w:val="BodyText"/>
      </w:pPr>
      <w:r w:rsidRPr="008C1E5F">
        <w:rPr>
          <w:rStyle w:val="BodyTextDemiChar"/>
        </w:rPr>
        <w:t>Ratings in the High Range.</w:t>
      </w:r>
      <w:r w:rsidRPr="008C1E5F">
        <w:rPr>
          <w:b/>
        </w:rPr>
        <w:t xml:space="preserve"> </w:t>
      </w:r>
      <w:r w:rsidRPr="008C1E5F">
        <w:t xml:space="preserve">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w:t>
      </w:r>
      <w:proofErr w:type="gramStart"/>
      <w:r w:rsidRPr="008C1E5F">
        <w:t>focuses students</w:t>
      </w:r>
      <w:proofErr w:type="gramEnd"/>
      <w:r w:rsidRPr="008C1E5F">
        <w:t xml:space="preserve"> on the learning objectives, which students understand. The teacher uses advanced organizers to prepare students for an activity, as well as reorientation strategies that help students regain focus.</w:t>
      </w:r>
    </w:p>
    <w:p w14:paraId="0F7324BF" w14:textId="77777777" w:rsidR="00900CF1" w:rsidRPr="008C1E5F" w:rsidRDefault="00900CF1">
      <w:pPr>
        <w:pStyle w:val="Heading2-SIOR"/>
      </w:pPr>
      <w:bookmarkStart w:id="197" w:name="_Toc411329833"/>
      <w:bookmarkStart w:id="198" w:name="_Toc430114882"/>
      <w:bookmarkStart w:id="199" w:name="_Toc92194261"/>
      <w:bookmarkStart w:id="200" w:name="_Toc195024253"/>
      <w:r w:rsidRPr="008C1E5F">
        <w:lastRenderedPageBreak/>
        <w:t>Concept Development</w:t>
      </w:r>
      <w:bookmarkEnd w:id="197"/>
      <w:bookmarkEnd w:id="198"/>
      <w:bookmarkEnd w:id="199"/>
      <w:bookmarkEnd w:id="200"/>
    </w:p>
    <w:p w14:paraId="4F557386" w14:textId="77777777" w:rsidR="00900CF1" w:rsidRPr="008C1E5F" w:rsidRDefault="00900CF1">
      <w:pPr>
        <w:pStyle w:val="BodyTextDomain"/>
      </w:pPr>
      <w:r w:rsidRPr="008C1E5F">
        <w:t>Instructional Support domain, Grades K</w:t>
      </w:r>
      <w:r w:rsidRPr="008C1E5F">
        <w:rPr>
          <w:rFonts w:ascii="Vijaya" w:hAnsi="Vijaya" w:cs="Vijaya"/>
        </w:rPr>
        <w:t>−</w:t>
      </w:r>
      <w:r w:rsidRPr="008C1E5F">
        <w:t xml:space="preserve">3 </w:t>
      </w:r>
    </w:p>
    <w:p w14:paraId="1C3DC81A" w14:textId="77777777" w:rsidR="00900CF1" w:rsidRPr="008C1E5F" w:rsidRDefault="00900CF1">
      <w:pPr>
        <w:pStyle w:val="BodyText"/>
        <w:rPr>
          <w:spacing w:val="-2"/>
        </w:rPr>
      </w:pPr>
      <w:r w:rsidRPr="008C1E5F">
        <w:rPr>
          <w:spacing w:val="-2"/>
        </w:rPr>
        <w:t>Concept Development refers to the teacher’s use of instructional discussions and activities to promote students’ higher order thinking skills and cognition and the teacher’s focus on understanding rather than on rote instruction (</w:t>
      </w:r>
      <w:r w:rsidRPr="008C1E5F">
        <w:rPr>
          <w:i/>
          <w:spacing w:val="-2"/>
        </w:rPr>
        <w:t>CLASS K–3 Manual</w:t>
      </w:r>
      <w:r w:rsidRPr="008C1E5F">
        <w:rPr>
          <w:spacing w:val="-2"/>
        </w:rPr>
        <w:t>, p. 64).</w:t>
      </w:r>
    </w:p>
    <w:p w14:paraId="093260EB" w14:textId="77777777" w:rsidR="00900CF1" w:rsidRPr="008C1E5F" w:rsidRDefault="00900CF1">
      <w:pPr>
        <w:pStyle w:val="TableTitle0"/>
      </w:pPr>
      <w:r w:rsidRPr="008C1E5F">
        <w:t>Table 10. Concept Development: Number of Classrooms for Each Rating and District Average</w:t>
      </w:r>
    </w:p>
    <w:p w14:paraId="6CBCD82F" w14:textId="77777777" w:rsidR="00900CF1" w:rsidRPr="008C1E5F" w:rsidRDefault="00900CF1">
      <w:pPr>
        <w:pStyle w:val="BodyTextDemi"/>
      </w:pPr>
      <w:r w:rsidRPr="008C1E5F">
        <w:t xml:space="preserve">Concept Development District Average*: </w:t>
      </w:r>
      <w:bookmarkStart w:id="201" w:name="Dist_CD_Avg"/>
      <w:r w:rsidRPr="008C1E5F">
        <w:t>2.9</w:t>
      </w:r>
      <w:bookmarkEnd w:id="201"/>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0C15EB" w:rsidRPr="008C1E5F" w14:paraId="666C0498" w14:textId="77777777" w:rsidTr="000C15EB">
        <w:trPr>
          <w:cnfStyle w:val="100000000000" w:firstRow="1" w:lastRow="0" w:firstColumn="0" w:lastColumn="0" w:oddVBand="0" w:evenVBand="0" w:oddHBand="0" w:evenHBand="0" w:firstRowFirstColumn="0" w:firstRowLastColumn="0" w:lastRowFirstColumn="0" w:lastRowLastColumn="0"/>
          <w:jc w:val="center"/>
        </w:trPr>
        <w:tc>
          <w:tcPr>
            <w:tcW w:w="1431" w:type="dxa"/>
          </w:tcPr>
          <w:p w14:paraId="23BE617C" w14:textId="304AFDD4" w:rsidR="000C15EB" w:rsidRPr="008C1E5F" w:rsidRDefault="000C15EB" w:rsidP="000C15EB">
            <w:pPr>
              <w:pStyle w:val="TableColHeadingCenter"/>
              <w:rPr>
                <w:rFonts w:eastAsia="MS Mincho"/>
              </w:rPr>
            </w:pPr>
            <w:bookmarkStart w:id="202" w:name="Tbl_CD"/>
            <w:r w:rsidRPr="008C1E5F">
              <w:rPr>
                <w:rFonts w:eastAsia="MS Mincho"/>
              </w:rPr>
              <w:t>Grade Band</w:t>
            </w:r>
          </w:p>
        </w:tc>
        <w:tc>
          <w:tcPr>
            <w:tcW w:w="874" w:type="dxa"/>
          </w:tcPr>
          <w:p w14:paraId="4C4D5E67" w14:textId="77777777" w:rsidR="000C15EB" w:rsidRPr="008C1E5F" w:rsidRDefault="000C15EB" w:rsidP="000C15EB">
            <w:pPr>
              <w:pStyle w:val="TableColHeadingCenter"/>
              <w:rPr>
                <w:rFonts w:eastAsia="MS Mincho"/>
              </w:rPr>
            </w:pPr>
            <w:r w:rsidRPr="008C1E5F">
              <w:rPr>
                <w:rFonts w:eastAsia="MS Mincho"/>
              </w:rPr>
              <w:t>Low Range</w:t>
            </w:r>
          </w:p>
        </w:tc>
        <w:tc>
          <w:tcPr>
            <w:tcW w:w="874" w:type="dxa"/>
          </w:tcPr>
          <w:p w14:paraId="59AEA6CA" w14:textId="1B32BD3B" w:rsidR="000C15EB" w:rsidRPr="008C1E5F" w:rsidRDefault="000C15EB" w:rsidP="000C15EB">
            <w:pPr>
              <w:pStyle w:val="TableColHeadingCenter"/>
              <w:rPr>
                <w:rFonts w:eastAsia="MS Mincho"/>
              </w:rPr>
            </w:pPr>
            <w:r w:rsidRPr="008C1E5F">
              <w:rPr>
                <w:rFonts w:eastAsia="MS Mincho"/>
              </w:rPr>
              <w:t>Low Range</w:t>
            </w:r>
          </w:p>
        </w:tc>
        <w:tc>
          <w:tcPr>
            <w:tcW w:w="874" w:type="dxa"/>
          </w:tcPr>
          <w:p w14:paraId="53636F4F" w14:textId="77777777" w:rsidR="000C15EB" w:rsidRPr="008C1E5F" w:rsidRDefault="000C15EB" w:rsidP="000C15EB">
            <w:pPr>
              <w:pStyle w:val="TableColHeadingCenter"/>
              <w:rPr>
                <w:rFonts w:eastAsia="MS Mincho"/>
              </w:rPr>
            </w:pPr>
            <w:r w:rsidRPr="008C1E5F">
              <w:rPr>
                <w:rFonts w:eastAsia="MS Mincho"/>
              </w:rPr>
              <w:t>Middle Range</w:t>
            </w:r>
          </w:p>
        </w:tc>
        <w:tc>
          <w:tcPr>
            <w:tcW w:w="875" w:type="dxa"/>
          </w:tcPr>
          <w:p w14:paraId="28B1FCDF" w14:textId="49D5675D" w:rsidR="000C15EB" w:rsidRPr="008C1E5F" w:rsidRDefault="000C15EB" w:rsidP="000C15EB">
            <w:pPr>
              <w:pStyle w:val="TableColHeadingCenter"/>
              <w:rPr>
                <w:rFonts w:eastAsia="MS Mincho"/>
              </w:rPr>
            </w:pPr>
            <w:r w:rsidRPr="008C1E5F">
              <w:rPr>
                <w:rFonts w:eastAsia="MS Mincho"/>
              </w:rPr>
              <w:t>Middle Range</w:t>
            </w:r>
          </w:p>
        </w:tc>
        <w:tc>
          <w:tcPr>
            <w:tcW w:w="875" w:type="dxa"/>
          </w:tcPr>
          <w:p w14:paraId="1C417DEF" w14:textId="78DA0C64" w:rsidR="000C15EB" w:rsidRPr="008C1E5F" w:rsidRDefault="000C15EB" w:rsidP="000C15EB">
            <w:pPr>
              <w:pStyle w:val="TableColHeadingCenter"/>
              <w:rPr>
                <w:rFonts w:eastAsia="MS Mincho"/>
              </w:rPr>
            </w:pPr>
            <w:r w:rsidRPr="008C1E5F">
              <w:rPr>
                <w:rFonts w:eastAsia="MS Mincho"/>
              </w:rPr>
              <w:t>Middle Range</w:t>
            </w:r>
          </w:p>
        </w:tc>
        <w:tc>
          <w:tcPr>
            <w:tcW w:w="874" w:type="dxa"/>
          </w:tcPr>
          <w:p w14:paraId="286DF70D" w14:textId="77777777" w:rsidR="000C15EB" w:rsidRPr="008C1E5F" w:rsidRDefault="000C15EB" w:rsidP="000C15EB">
            <w:pPr>
              <w:pStyle w:val="TableColHeadingCenter"/>
              <w:rPr>
                <w:rFonts w:eastAsia="MS Mincho"/>
              </w:rPr>
            </w:pPr>
            <w:r w:rsidRPr="008C1E5F">
              <w:rPr>
                <w:rFonts w:eastAsia="MS Mincho"/>
              </w:rPr>
              <w:t>High Range</w:t>
            </w:r>
          </w:p>
        </w:tc>
        <w:tc>
          <w:tcPr>
            <w:tcW w:w="875" w:type="dxa"/>
          </w:tcPr>
          <w:p w14:paraId="1788F88B" w14:textId="6AC6D977" w:rsidR="000C15EB" w:rsidRPr="008C1E5F" w:rsidRDefault="000C15EB" w:rsidP="000C15EB">
            <w:pPr>
              <w:pStyle w:val="TableColHeadingCenter"/>
              <w:rPr>
                <w:rFonts w:eastAsia="MS Mincho"/>
              </w:rPr>
            </w:pPr>
            <w:r w:rsidRPr="008C1E5F">
              <w:rPr>
                <w:rFonts w:eastAsia="MS Mincho"/>
              </w:rPr>
              <w:t>High Range</w:t>
            </w:r>
          </w:p>
        </w:tc>
        <w:tc>
          <w:tcPr>
            <w:tcW w:w="900" w:type="dxa"/>
          </w:tcPr>
          <w:p w14:paraId="7CB3A13E" w14:textId="1420D97A" w:rsidR="000C15EB" w:rsidRPr="008C1E5F" w:rsidRDefault="000C15EB" w:rsidP="000C15EB">
            <w:pPr>
              <w:pStyle w:val="TableColHeadingCenter"/>
              <w:rPr>
                <w:rFonts w:eastAsia="MS Mincho"/>
              </w:rPr>
            </w:pPr>
            <w:r w:rsidRPr="008C1E5F">
              <w:rPr>
                <w:rFonts w:eastAsia="MS Mincho"/>
                <w:i/>
                <w:iCs/>
              </w:rPr>
              <w:t>n</w:t>
            </w:r>
          </w:p>
        </w:tc>
        <w:tc>
          <w:tcPr>
            <w:tcW w:w="892" w:type="dxa"/>
          </w:tcPr>
          <w:p w14:paraId="123DC2EF" w14:textId="05A7DD06" w:rsidR="000C15EB" w:rsidRPr="008C1E5F" w:rsidRDefault="000C15EB" w:rsidP="000C15EB">
            <w:pPr>
              <w:pStyle w:val="TableColHeadingCenter"/>
              <w:rPr>
                <w:rFonts w:eastAsia="MS Mincho"/>
              </w:rPr>
            </w:pPr>
            <w:r w:rsidRPr="008C1E5F">
              <w:rPr>
                <w:rFonts w:eastAsia="MS Mincho"/>
              </w:rPr>
              <w:t>Average</w:t>
            </w:r>
          </w:p>
        </w:tc>
      </w:tr>
      <w:tr w:rsidR="000C15EB" w:rsidRPr="008C1E5F" w14:paraId="0463EA4A" w14:textId="77777777" w:rsidTr="000C15EB">
        <w:trPr>
          <w:jc w:val="center"/>
        </w:trPr>
        <w:tc>
          <w:tcPr>
            <w:tcW w:w="1431" w:type="dxa"/>
            <w:shd w:val="clear" w:color="auto" w:fill="D9E2F3" w:themeFill="accent5" w:themeFillTint="33"/>
          </w:tcPr>
          <w:p w14:paraId="58F916C8" w14:textId="77777777" w:rsidR="000C15EB" w:rsidRPr="008C1E5F" w:rsidRDefault="000C15EB" w:rsidP="000C15EB">
            <w:pPr>
              <w:pStyle w:val="TableSubheadingCentered"/>
            </w:pPr>
          </w:p>
        </w:tc>
        <w:tc>
          <w:tcPr>
            <w:tcW w:w="874" w:type="dxa"/>
            <w:shd w:val="clear" w:color="auto" w:fill="D9E2F3" w:themeFill="accent5" w:themeFillTint="33"/>
          </w:tcPr>
          <w:p w14:paraId="66EBCF25" w14:textId="77777777" w:rsidR="000C15EB" w:rsidRPr="008C1E5F" w:rsidRDefault="000C15EB" w:rsidP="000C15EB">
            <w:pPr>
              <w:pStyle w:val="TableSubheadingCentered"/>
            </w:pPr>
            <w:r w:rsidRPr="008C1E5F">
              <w:t>1</w:t>
            </w:r>
          </w:p>
        </w:tc>
        <w:tc>
          <w:tcPr>
            <w:tcW w:w="874" w:type="dxa"/>
            <w:shd w:val="clear" w:color="auto" w:fill="D9E2F3" w:themeFill="accent5" w:themeFillTint="33"/>
          </w:tcPr>
          <w:p w14:paraId="7F76AC22" w14:textId="77777777" w:rsidR="000C15EB" w:rsidRPr="008C1E5F" w:rsidRDefault="000C15EB" w:rsidP="000C15EB">
            <w:pPr>
              <w:pStyle w:val="TableSubheadingCentered"/>
            </w:pPr>
            <w:r w:rsidRPr="008C1E5F">
              <w:t>2</w:t>
            </w:r>
          </w:p>
        </w:tc>
        <w:tc>
          <w:tcPr>
            <w:tcW w:w="874" w:type="dxa"/>
            <w:shd w:val="clear" w:color="auto" w:fill="D9E2F3" w:themeFill="accent5" w:themeFillTint="33"/>
          </w:tcPr>
          <w:p w14:paraId="06B69190" w14:textId="77777777" w:rsidR="000C15EB" w:rsidRPr="008C1E5F" w:rsidRDefault="000C15EB" w:rsidP="000C15EB">
            <w:pPr>
              <w:pStyle w:val="TableSubheadingCentered"/>
            </w:pPr>
            <w:r w:rsidRPr="008C1E5F">
              <w:t>3</w:t>
            </w:r>
          </w:p>
        </w:tc>
        <w:tc>
          <w:tcPr>
            <w:tcW w:w="875" w:type="dxa"/>
            <w:shd w:val="clear" w:color="auto" w:fill="D9E2F3" w:themeFill="accent5" w:themeFillTint="33"/>
          </w:tcPr>
          <w:p w14:paraId="24FAE282" w14:textId="77777777" w:rsidR="000C15EB" w:rsidRPr="008C1E5F" w:rsidRDefault="000C15EB" w:rsidP="000C15EB">
            <w:pPr>
              <w:pStyle w:val="TableSubheadingCentered"/>
            </w:pPr>
            <w:r w:rsidRPr="008C1E5F">
              <w:t>4</w:t>
            </w:r>
          </w:p>
        </w:tc>
        <w:tc>
          <w:tcPr>
            <w:tcW w:w="875" w:type="dxa"/>
            <w:shd w:val="clear" w:color="auto" w:fill="D9E2F3" w:themeFill="accent5" w:themeFillTint="33"/>
          </w:tcPr>
          <w:p w14:paraId="47D05A9C" w14:textId="77777777" w:rsidR="000C15EB" w:rsidRPr="008C1E5F" w:rsidRDefault="000C15EB" w:rsidP="000C15EB">
            <w:pPr>
              <w:pStyle w:val="TableSubheadingCentered"/>
            </w:pPr>
            <w:r w:rsidRPr="008C1E5F">
              <w:t>5</w:t>
            </w:r>
          </w:p>
        </w:tc>
        <w:tc>
          <w:tcPr>
            <w:tcW w:w="874" w:type="dxa"/>
            <w:shd w:val="clear" w:color="auto" w:fill="D9E2F3" w:themeFill="accent5" w:themeFillTint="33"/>
          </w:tcPr>
          <w:p w14:paraId="1F30F428" w14:textId="77777777" w:rsidR="000C15EB" w:rsidRPr="008C1E5F" w:rsidRDefault="000C15EB" w:rsidP="000C15EB">
            <w:pPr>
              <w:pStyle w:val="TableSubheadingCentered"/>
            </w:pPr>
            <w:r w:rsidRPr="008C1E5F">
              <w:t>6</w:t>
            </w:r>
          </w:p>
        </w:tc>
        <w:tc>
          <w:tcPr>
            <w:tcW w:w="875" w:type="dxa"/>
            <w:shd w:val="clear" w:color="auto" w:fill="D9E2F3" w:themeFill="accent5" w:themeFillTint="33"/>
          </w:tcPr>
          <w:p w14:paraId="34136212" w14:textId="77777777" w:rsidR="000C15EB" w:rsidRPr="008C1E5F" w:rsidRDefault="000C15EB" w:rsidP="000C15EB">
            <w:pPr>
              <w:pStyle w:val="TableSubheadingCentered"/>
            </w:pPr>
            <w:r w:rsidRPr="008C1E5F">
              <w:t>7</w:t>
            </w:r>
          </w:p>
        </w:tc>
        <w:tc>
          <w:tcPr>
            <w:tcW w:w="900" w:type="dxa"/>
            <w:shd w:val="clear" w:color="auto" w:fill="D9E2F3" w:themeFill="accent5" w:themeFillTint="33"/>
          </w:tcPr>
          <w:p w14:paraId="66A62793" w14:textId="77777777" w:rsidR="000C15EB" w:rsidRPr="008C1E5F" w:rsidRDefault="000C15EB" w:rsidP="000C15EB">
            <w:pPr>
              <w:pStyle w:val="TableSubheadingCentered"/>
            </w:pPr>
            <w:r w:rsidRPr="008C1E5F">
              <w:t>54</w:t>
            </w:r>
          </w:p>
        </w:tc>
        <w:tc>
          <w:tcPr>
            <w:tcW w:w="892" w:type="dxa"/>
            <w:shd w:val="clear" w:color="auto" w:fill="D9E2F3" w:themeFill="accent5" w:themeFillTint="33"/>
          </w:tcPr>
          <w:p w14:paraId="0F4926D8" w14:textId="77777777" w:rsidR="000C15EB" w:rsidRPr="008C1E5F" w:rsidRDefault="000C15EB" w:rsidP="000C15EB">
            <w:pPr>
              <w:pStyle w:val="TableSubheadingCentered"/>
            </w:pPr>
            <w:r w:rsidRPr="008C1E5F">
              <w:t>2.9</w:t>
            </w:r>
          </w:p>
        </w:tc>
      </w:tr>
      <w:tr w:rsidR="000C15EB" w:rsidRPr="008C1E5F" w14:paraId="05DF347C" w14:textId="77777777" w:rsidTr="000C15EB">
        <w:trPr>
          <w:jc w:val="center"/>
        </w:trPr>
        <w:tc>
          <w:tcPr>
            <w:tcW w:w="1431" w:type="dxa"/>
          </w:tcPr>
          <w:p w14:paraId="081FC6BE" w14:textId="77777777" w:rsidR="000C15EB" w:rsidRPr="008C1E5F" w:rsidRDefault="000C15EB" w:rsidP="000C15EB">
            <w:pPr>
              <w:pStyle w:val="TableText"/>
            </w:pPr>
            <w:r w:rsidRPr="008C1E5F">
              <w:t>Grades K-3**</w:t>
            </w:r>
          </w:p>
        </w:tc>
        <w:tc>
          <w:tcPr>
            <w:tcW w:w="874" w:type="dxa"/>
          </w:tcPr>
          <w:p w14:paraId="461820CB" w14:textId="77777777" w:rsidR="000C15EB" w:rsidRPr="008C1E5F" w:rsidRDefault="000C15EB" w:rsidP="000C15EB">
            <w:pPr>
              <w:pStyle w:val="TableTextCentered"/>
              <w:rPr>
                <w:rFonts w:eastAsia="Times New Roman"/>
              </w:rPr>
            </w:pPr>
            <w:r w:rsidRPr="008C1E5F">
              <w:rPr>
                <w:rFonts w:eastAsia="Times New Roman"/>
              </w:rPr>
              <w:t>2</w:t>
            </w:r>
          </w:p>
        </w:tc>
        <w:tc>
          <w:tcPr>
            <w:tcW w:w="874" w:type="dxa"/>
          </w:tcPr>
          <w:p w14:paraId="26AEE74F" w14:textId="77777777" w:rsidR="000C15EB" w:rsidRPr="008C1E5F" w:rsidRDefault="000C15EB" w:rsidP="000C15EB">
            <w:pPr>
              <w:pStyle w:val="TableTextCentered"/>
              <w:rPr>
                <w:rFonts w:eastAsia="Times New Roman"/>
              </w:rPr>
            </w:pPr>
            <w:r w:rsidRPr="008C1E5F">
              <w:rPr>
                <w:rFonts w:eastAsia="Times New Roman"/>
              </w:rPr>
              <w:t>19</w:t>
            </w:r>
          </w:p>
        </w:tc>
        <w:tc>
          <w:tcPr>
            <w:tcW w:w="874" w:type="dxa"/>
          </w:tcPr>
          <w:p w14:paraId="1EEC9A31" w14:textId="77777777" w:rsidR="000C15EB" w:rsidRPr="008C1E5F" w:rsidRDefault="000C15EB" w:rsidP="000C15EB">
            <w:pPr>
              <w:pStyle w:val="TableTextCentered"/>
              <w:rPr>
                <w:rFonts w:eastAsia="Times New Roman"/>
              </w:rPr>
            </w:pPr>
            <w:r w:rsidRPr="008C1E5F">
              <w:rPr>
                <w:rFonts w:eastAsia="Times New Roman"/>
              </w:rPr>
              <w:t>22</w:t>
            </w:r>
          </w:p>
        </w:tc>
        <w:tc>
          <w:tcPr>
            <w:tcW w:w="875" w:type="dxa"/>
          </w:tcPr>
          <w:p w14:paraId="75E41121" w14:textId="77777777" w:rsidR="000C15EB" w:rsidRPr="008C1E5F" w:rsidRDefault="000C15EB" w:rsidP="000C15EB">
            <w:pPr>
              <w:pStyle w:val="TableTextCentered"/>
              <w:rPr>
                <w:rFonts w:eastAsia="Times New Roman"/>
              </w:rPr>
            </w:pPr>
            <w:r w:rsidRPr="008C1E5F">
              <w:rPr>
                <w:rFonts w:eastAsia="Times New Roman"/>
              </w:rPr>
              <w:t>7</w:t>
            </w:r>
          </w:p>
        </w:tc>
        <w:tc>
          <w:tcPr>
            <w:tcW w:w="875" w:type="dxa"/>
          </w:tcPr>
          <w:p w14:paraId="49721C31" w14:textId="77777777" w:rsidR="000C15EB" w:rsidRPr="008C1E5F" w:rsidRDefault="000C15EB" w:rsidP="000C15EB">
            <w:pPr>
              <w:pStyle w:val="TableTextCentered"/>
              <w:rPr>
                <w:rFonts w:eastAsia="Times New Roman"/>
              </w:rPr>
            </w:pPr>
            <w:r w:rsidRPr="008C1E5F">
              <w:rPr>
                <w:rFonts w:eastAsia="Times New Roman"/>
              </w:rPr>
              <w:t>3</w:t>
            </w:r>
          </w:p>
        </w:tc>
        <w:tc>
          <w:tcPr>
            <w:tcW w:w="874" w:type="dxa"/>
          </w:tcPr>
          <w:p w14:paraId="39B071B9" w14:textId="77777777" w:rsidR="000C15EB" w:rsidRPr="008C1E5F" w:rsidRDefault="000C15EB" w:rsidP="000C15EB">
            <w:pPr>
              <w:pStyle w:val="TableTextCentered"/>
              <w:rPr>
                <w:rFonts w:eastAsia="Times New Roman"/>
              </w:rPr>
            </w:pPr>
            <w:r w:rsidRPr="008C1E5F">
              <w:rPr>
                <w:rFonts w:eastAsia="Times New Roman"/>
              </w:rPr>
              <w:t>1</w:t>
            </w:r>
          </w:p>
        </w:tc>
        <w:tc>
          <w:tcPr>
            <w:tcW w:w="875" w:type="dxa"/>
          </w:tcPr>
          <w:p w14:paraId="41078B97" w14:textId="77777777" w:rsidR="000C15EB" w:rsidRPr="008C1E5F" w:rsidRDefault="000C15EB" w:rsidP="000C15EB">
            <w:pPr>
              <w:pStyle w:val="TableTextCentered"/>
              <w:rPr>
                <w:rFonts w:eastAsia="Times New Roman"/>
              </w:rPr>
            </w:pPr>
            <w:r w:rsidRPr="008C1E5F">
              <w:rPr>
                <w:rFonts w:eastAsia="Times New Roman"/>
              </w:rPr>
              <w:t>0</w:t>
            </w:r>
          </w:p>
        </w:tc>
        <w:tc>
          <w:tcPr>
            <w:tcW w:w="900" w:type="dxa"/>
          </w:tcPr>
          <w:p w14:paraId="59830156" w14:textId="77777777" w:rsidR="000C15EB" w:rsidRPr="008C1E5F" w:rsidRDefault="000C15EB" w:rsidP="000C15EB">
            <w:pPr>
              <w:pStyle w:val="TableTextCentered"/>
              <w:rPr>
                <w:rFonts w:eastAsia="Times New Roman"/>
              </w:rPr>
            </w:pPr>
            <w:r w:rsidRPr="008C1E5F">
              <w:rPr>
                <w:rFonts w:eastAsia="Times New Roman"/>
              </w:rPr>
              <w:t>54</w:t>
            </w:r>
          </w:p>
        </w:tc>
        <w:tc>
          <w:tcPr>
            <w:tcW w:w="892" w:type="dxa"/>
          </w:tcPr>
          <w:p w14:paraId="11D72626" w14:textId="77777777" w:rsidR="000C15EB" w:rsidRPr="008C1E5F" w:rsidRDefault="000C15EB" w:rsidP="000C15EB">
            <w:pPr>
              <w:pStyle w:val="TableTextCentered"/>
              <w:rPr>
                <w:rFonts w:eastAsia="Times New Roman"/>
              </w:rPr>
            </w:pPr>
            <w:r w:rsidRPr="008C1E5F">
              <w:rPr>
                <w:rFonts w:eastAsia="Times New Roman"/>
              </w:rPr>
              <w:t>2.9</w:t>
            </w:r>
          </w:p>
        </w:tc>
      </w:tr>
    </w:tbl>
    <w:bookmarkEnd w:id="202"/>
    <w:p w14:paraId="5EED20C2" w14:textId="77777777" w:rsidR="00900CF1" w:rsidRPr="008C1E5F" w:rsidRDefault="00900CF1">
      <w:pPr>
        <w:pStyle w:val="TableNote"/>
      </w:pPr>
      <w:r w:rsidRPr="008C1E5F">
        <w:t xml:space="preserve">*The district average is an average of the observation scores. In Table 10, the district average is computed as: </w:t>
      </w:r>
      <w:r w:rsidRPr="008C1E5F">
        <w:br/>
      </w:r>
      <w:bookmarkStart w:id="203" w:name="Dist_CD_Calc"/>
      <w:r w:rsidRPr="008C1E5F">
        <w:t>([1 x 2] + [2 x 19] + [3 x 22] + [4 x 7] + [5 x 3] + [6 x 1]) ÷ 54 observations = 2.9</w:t>
      </w:r>
      <w:bookmarkEnd w:id="203"/>
    </w:p>
    <w:p w14:paraId="4A0E96A8" w14:textId="77777777" w:rsidR="00900CF1" w:rsidRPr="008C1E5F" w:rsidRDefault="00900CF1">
      <w:pPr>
        <w:pStyle w:val="TableNote"/>
      </w:pPr>
      <w:r w:rsidRPr="008C1E5F">
        <w:t>**Concept Development does not appear in the CLASS Upper Elementary Manual, therefore scores for the Elementary School Level represent grades K-3 only.</w:t>
      </w:r>
    </w:p>
    <w:p w14:paraId="2CB67F41" w14:textId="77777777" w:rsidR="00900CF1" w:rsidRPr="008C1E5F" w:rsidRDefault="00900CF1">
      <w:pPr>
        <w:pStyle w:val="BodyText"/>
      </w:pPr>
      <w:r w:rsidRPr="008C1E5F">
        <w:rPr>
          <w:rStyle w:val="BodyTextDemiChar"/>
        </w:rPr>
        <w:t>Ratings in the Low Range.</w:t>
      </w:r>
      <w:r w:rsidRPr="008C1E5F">
        <w:t xml:space="preserve"> At the low range, the teacher does not attempt to develop students’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 lives and from their prior knowledge.</w:t>
      </w:r>
    </w:p>
    <w:p w14:paraId="703C9A61" w14:textId="77777777" w:rsidR="00900CF1" w:rsidRPr="008C1E5F" w:rsidRDefault="00900CF1">
      <w:pPr>
        <w:pStyle w:val="BodyText"/>
      </w:pPr>
      <w:r w:rsidRPr="008C1E5F">
        <w:rPr>
          <w:rStyle w:val="BodyTextDemiChar"/>
        </w:rPr>
        <w:t xml:space="preserve">Ratings in the Middle Range. </w:t>
      </w:r>
      <w:r w:rsidRPr="008C1E5F">
        <w:t xml:space="preserve">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w:t>
      </w:r>
      <w:proofErr w:type="gramStart"/>
      <w:r w:rsidRPr="008C1E5F">
        <w:t>and also</w:t>
      </w:r>
      <w:proofErr w:type="gramEnd"/>
      <w:r w:rsidRPr="008C1E5F">
        <w:t xml:space="preserve"> related to students’ previous learning, such efforts are brief. The teacher makes some effort to relate concepts to students’ lives but does not elaborate enough to make the relationship meaningful to students.</w:t>
      </w:r>
    </w:p>
    <w:p w14:paraId="5FFB7D2A" w14:textId="77777777" w:rsidR="00900CF1" w:rsidRPr="008C1E5F" w:rsidRDefault="00900CF1">
      <w:pPr>
        <w:pStyle w:val="BodyText"/>
      </w:pPr>
      <w:r w:rsidRPr="008C1E5F">
        <w:rPr>
          <w:rStyle w:val="BodyTextDemiChar"/>
        </w:rPr>
        <w:t>Ratings in the High Range.</w:t>
      </w:r>
      <w:r w:rsidRPr="008C1E5F">
        <w:t xml:space="preserve"> At the high range, the teacher frequently guides students to analyze and reason during discussions and activities. Most of the questions are </w:t>
      </w:r>
      <w:proofErr w:type="gramStart"/>
      <w:r w:rsidRPr="008C1E5F">
        <w:t>open ended</w:t>
      </w:r>
      <w:proofErr w:type="gramEnd"/>
      <w:r w:rsidRPr="008C1E5F">
        <w:t xml:space="preserve">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 lives.</w:t>
      </w:r>
    </w:p>
    <w:p w14:paraId="4DFD8CE6" w14:textId="77777777" w:rsidR="00900CF1" w:rsidRPr="008C1E5F" w:rsidRDefault="00900CF1">
      <w:pPr>
        <w:spacing w:after="160" w:line="259" w:lineRule="auto"/>
      </w:pPr>
      <w:r w:rsidRPr="008C1E5F">
        <w:br w:type="page"/>
      </w:r>
    </w:p>
    <w:p w14:paraId="131328D3" w14:textId="77777777" w:rsidR="00900CF1" w:rsidRPr="008C1E5F" w:rsidRDefault="00900CF1">
      <w:pPr>
        <w:pStyle w:val="Heading2-SIOR"/>
      </w:pPr>
      <w:bookmarkStart w:id="204" w:name="_Toc379881742"/>
      <w:bookmarkStart w:id="205" w:name="_Toc411329834"/>
      <w:bookmarkStart w:id="206" w:name="_Toc430114883"/>
      <w:bookmarkStart w:id="207" w:name="_Toc92194262"/>
      <w:bookmarkStart w:id="208" w:name="_Toc195024254"/>
      <w:r w:rsidRPr="008C1E5F">
        <w:lastRenderedPageBreak/>
        <w:t>Content Understanding</w:t>
      </w:r>
      <w:bookmarkEnd w:id="204"/>
      <w:bookmarkEnd w:id="205"/>
      <w:bookmarkEnd w:id="206"/>
      <w:bookmarkEnd w:id="207"/>
      <w:bookmarkEnd w:id="208"/>
    </w:p>
    <w:p w14:paraId="6111F540" w14:textId="77777777" w:rsidR="00900CF1" w:rsidRPr="008C1E5F" w:rsidRDefault="00900CF1">
      <w:pPr>
        <w:pStyle w:val="BodyTextDomain"/>
      </w:pPr>
      <w:r w:rsidRPr="008C1E5F">
        <w:t>Instructional Support domain, Grades 4</w:t>
      </w:r>
      <w:r w:rsidRPr="008C1E5F">
        <w:rPr>
          <w:rFonts w:ascii="Vijaya" w:hAnsi="Vijaya" w:cs="Vijaya"/>
        </w:rPr>
        <w:t>−</w:t>
      </w:r>
      <w:r w:rsidRPr="008C1E5F">
        <w:t xml:space="preserve"> 12</w:t>
      </w:r>
    </w:p>
    <w:p w14:paraId="08FA86D9" w14:textId="77777777" w:rsidR="00900CF1" w:rsidRPr="008C1E5F" w:rsidRDefault="00900CF1">
      <w:pPr>
        <w:pStyle w:val="BodyText"/>
        <w:rPr>
          <w:spacing w:val="-2"/>
        </w:rPr>
      </w:pPr>
      <w:r w:rsidRPr="008C1E5F">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8C1E5F">
        <w:rPr>
          <w:i/>
          <w:spacing w:val="-2"/>
        </w:rPr>
        <w:t>CLASS Upper Elementary Manual</w:t>
      </w:r>
      <w:r w:rsidRPr="008C1E5F">
        <w:rPr>
          <w:spacing w:val="-2"/>
        </w:rPr>
        <w:t xml:space="preserve">, p. 70, </w:t>
      </w:r>
      <w:r w:rsidRPr="008C1E5F">
        <w:rPr>
          <w:i/>
        </w:rPr>
        <w:t>CLASS Secondary Manual,</w:t>
      </w:r>
      <w:r w:rsidRPr="008C1E5F">
        <w:t xml:space="preserve"> p. 68</w:t>
      </w:r>
      <w:r w:rsidRPr="008C1E5F">
        <w:rPr>
          <w:spacing w:val="-2"/>
        </w:rPr>
        <w:t>).</w:t>
      </w:r>
    </w:p>
    <w:p w14:paraId="0E13EA35" w14:textId="77777777" w:rsidR="00900CF1" w:rsidRPr="008C1E5F" w:rsidRDefault="00900CF1">
      <w:pPr>
        <w:pStyle w:val="TableTitle0"/>
      </w:pPr>
      <w:r w:rsidRPr="008C1E5F">
        <w:t>Table 11. Content Understanding: Number of Classrooms for Each Rating and District Average</w:t>
      </w:r>
    </w:p>
    <w:p w14:paraId="2D0CAFA6" w14:textId="77777777" w:rsidR="00900CF1" w:rsidRPr="008C1E5F" w:rsidRDefault="00900CF1">
      <w:pPr>
        <w:pStyle w:val="BodyTextDemi"/>
      </w:pPr>
      <w:r w:rsidRPr="008C1E5F">
        <w:t xml:space="preserve">Content Understanding District Average*: </w:t>
      </w:r>
      <w:bookmarkStart w:id="209" w:name="Dist_CU_Avg"/>
      <w:r w:rsidRPr="008C1E5F">
        <w:t>4.4</w:t>
      </w:r>
      <w:bookmarkEnd w:id="209"/>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9572CE" w:rsidRPr="008C1E5F" w14:paraId="2836F199" w14:textId="77777777">
        <w:trPr>
          <w:cnfStyle w:val="100000000000" w:firstRow="1" w:lastRow="0" w:firstColumn="0" w:lastColumn="0" w:oddVBand="0" w:evenVBand="0" w:oddHBand="0" w:evenHBand="0" w:firstRowFirstColumn="0" w:firstRowLastColumn="0" w:lastRowFirstColumn="0" w:lastRowLastColumn="0"/>
          <w:jc w:val="center"/>
        </w:trPr>
        <w:tc>
          <w:tcPr>
            <w:tcW w:w="1431" w:type="dxa"/>
          </w:tcPr>
          <w:p w14:paraId="5ABB3637" w14:textId="021AAAFB" w:rsidR="009572CE" w:rsidRPr="008C1E5F" w:rsidRDefault="009572CE" w:rsidP="009572CE">
            <w:pPr>
              <w:pStyle w:val="TableColHeadingCenter"/>
              <w:rPr>
                <w:rFonts w:eastAsia="MS Mincho"/>
              </w:rPr>
            </w:pPr>
            <w:bookmarkStart w:id="210" w:name="Tbl_CU"/>
            <w:r w:rsidRPr="008C1E5F">
              <w:rPr>
                <w:rFonts w:eastAsia="MS Mincho"/>
              </w:rPr>
              <w:t>Grade Band</w:t>
            </w:r>
          </w:p>
        </w:tc>
        <w:tc>
          <w:tcPr>
            <w:tcW w:w="874" w:type="dxa"/>
          </w:tcPr>
          <w:p w14:paraId="1E3A3176" w14:textId="77777777" w:rsidR="009572CE" w:rsidRPr="008C1E5F" w:rsidRDefault="009572CE" w:rsidP="009572CE">
            <w:pPr>
              <w:pStyle w:val="TableColHeadingCenter"/>
              <w:rPr>
                <w:rFonts w:eastAsia="MS Mincho"/>
              </w:rPr>
            </w:pPr>
            <w:r w:rsidRPr="008C1E5F">
              <w:rPr>
                <w:rFonts w:eastAsia="MS Mincho"/>
              </w:rPr>
              <w:t>Low Range</w:t>
            </w:r>
          </w:p>
        </w:tc>
        <w:tc>
          <w:tcPr>
            <w:tcW w:w="874" w:type="dxa"/>
          </w:tcPr>
          <w:p w14:paraId="5B1BBDB0" w14:textId="3F9C7B42" w:rsidR="009572CE" w:rsidRPr="008C1E5F" w:rsidRDefault="009572CE" w:rsidP="009572CE">
            <w:pPr>
              <w:pStyle w:val="TableColHeadingCenter"/>
              <w:rPr>
                <w:rFonts w:eastAsia="MS Mincho"/>
              </w:rPr>
            </w:pPr>
            <w:r w:rsidRPr="008C1E5F">
              <w:rPr>
                <w:rFonts w:eastAsia="MS Mincho"/>
              </w:rPr>
              <w:t>Low Range</w:t>
            </w:r>
          </w:p>
        </w:tc>
        <w:tc>
          <w:tcPr>
            <w:tcW w:w="874" w:type="dxa"/>
          </w:tcPr>
          <w:p w14:paraId="3C1E0BE7" w14:textId="77777777" w:rsidR="009572CE" w:rsidRPr="008C1E5F" w:rsidRDefault="009572CE" w:rsidP="009572CE">
            <w:pPr>
              <w:pStyle w:val="TableColHeadingCenter"/>
              <w:rPr>
                <w:rFonts w:eastAsia="MS Mincho"/>
              </w:rPr>
            </w:pPr>
            <w:r w:rsidRPr="008C1E5F">
              <w:rPr>
                <w:rFonts w:eastAsia="MS Mincho"/>
              </w:rPr>
              <w:t>Middle Range</w:t>
            </w:r>
          </w:p>
        </w:tc>
        <w:tc>
          <w:tcPr>
            <w:tcW w:w="875" w:type="dxa"/>
          </w:tcPr>
          <w:p w14:paraId="67BB61C6" w14:textId="776815C4" w:rsidR="009572CE" w:rsidRPr="008C1E5F" w:rsidRDefault="009572CE" w:rsidP="009572CE">
            <w:pPr>
              <w:pStyle w:val="TableColHeadingCenter"/>
              <w:rPr>
                <w:rFonts w:eastAsia="MS Mincho"/>
              </w:rPr>
            </w:pPr>
            <w:r w:rsidRPr="008C1E5F">
              <w:rPr>
                <w:rFonts w:eastAsia="MS Mincho"/>
              </w:rPr>
              <w:t>Middle Range</w:t>
            </w:r>
          </w:p>
        </w:tc>
        <w:tc>
          <w:tcPr>
            <w:tcW w:w="875" w:type="dxa"/>
          </w:tcPr>
          <w:p w14:paraId="5248DD62" w14:textId="49D9D790" w:rsidR="009572CE" w:rsidRPr="008C1E5F" w:rsidRDefault="009572CE" w:rsidP="009572CE">
            <w:pPr>
              <w:pStyle w:val="TableColHeadingCenter"/>
              <w:rPr>
                <w:rFonts w:eastAsia="MS Mincho"/>
              </w:rPr>
            </w:pPr>
            <w:r w:rsidRPr="008C1E5F">
              <w:rPr>
                <w:rFonts w:eastAsia="MS Mincho"/>
              </w:rPr>
              <w:t>Middle Range</w:t>
            </w:r>
          </w:p>
        </w:tc>
        <w:tc>
          <w:tcPr>
            <w:tcW w:w="874" w:type="dxa"/>
          </w:tcPr>
          <w:p w14:paraId="5A60C0B5" w14:textId="77777777" w:rsidR="009572CE" w:rsidRPr="008C1E5F" w:rsidRDefault="009572CE" w:rsidP="009572CE">
            <w:pPr>
              <w:pStyle w:val="TableColHeadingCenter"/>
              <w:rPr>
                <w:rFonts w:eastAsia="MS Mincho"/>
              </w:rPr>
            </w:pPr>
            <w:r w:rsidRPr="008C1E5F">
              <w:rPr>
                <w:rFonts w:eastAsia="MS Mincho"/>
              </w:rPr>
              <w:t>High Range</w:t>
            </w:r>
          </w:p>
        </w:tc>
        <w:tc>
          <w:tcPr>
            <w:tcW w:w="875" w:type="dxa"/>
          </w:tcPr>
          <w:p w14:paraId="5061C747" w14:textId="78A55719" w:rsidR="009572CE" w:rsidRPr="008C1E5F" w:rsidRDefault="009572CE" w:rsidP="009572CE">
            <w:pPr>
              <w:pStyle w:val="TableColHeadingCenter"/>
              <w:rPr>
                <w:rFonts w:eastAsia="MS Mincho"/>
              </w:rPr>
            </w:pPr>
            <w:r w:rsidRPr="008C1E5F">
              <w:rPr>
                <w:rFonts w:eastAsia="MS Mincho"/>
              </w:rPr>
              <w:t>High Range</w:t>
            </w:r>
          </w:p>
        </w:tc>
        <w:tc>
          <w:tcPr>
            <w:tcW w:w="900" w:type="dxa"/>
          </w:tcPr>
          <w:p w14:paraId="5226BDFE" w14:textId="6590A14E" w:rsidR="009572CE" w:rsidRPr="008C1E5F" w:rsidRDefault="009572CE" w:rsidP="009572CE">
            <w:pPr>
              <w:pStyle w:val="TableColHeadingCenter"/>
              <w:rPr>
                <w:rFonts w:eastAsia="MS Mincho"/>
              </w:rPr>
            </w:pPr>
            <w:r w:rsidRPr="008C1E5F">
              <w:rPr>
                <w:rFonts w:eastAsia="MS Mincho"/>
                <w:i/>
                <w:iCs/>
              </w:rPr>
              <w:t>n</w:t>
            </w:r>
          </w:p>
        </w:tc>
        <w:tc>
          <w:tcPr>
            <w:tcW w:w="892" w:type="dxa"/>
          </w:tcPr>
          <w:p w14:paraId="335392E4" w14:textId="3F15764B" w:rsidR="009572CE" w:rsidRPr="008C1E5F" w:rsidRDefault="009572CE" w:rsidP="009572CE">
            <w:pPr>
              <w:pStyle w:val="TableColHeadingCenter"/>
              <w:rPr>
                <w:rFonts w:eastAsia="MS Mincho"/>
              </w:rPr>
            </w:pPr>
            <w:r w:rsidRPr="008C1E5F">
              <w:rPr>
                <w:rFonts w:eastAsia="MS Mincho"/>
              </w:rPr>
              <w:t>Average</w:t>
            </w:r>
          </w:p>
        </w:tc>
      </w:tr>
      <w:tr w:rsidR="009572CE" w:rsidRPr="008C1E5F" w14:paraId="09B1B3F8" w14:textId="77777777" w:rsidTr="000C15EB">
        <w:trPr>
          <w:jc w:val="center"/>
        </w:trPr>
        <w:tc>
          <w:tcPr>
            <w:tcW w:w="1431" w:type="dxa"/>
            <w:shd w:val="clear" w:color="auto" w:fill="D9E2F3" w:themeFill="accent5" w:themeFillTint="33"/>
          </w:tcPr>
          <w:p w14:paraId="5EDF39F8" w14:textId="77777777" w:rsidR="009572CE" w:rsidRPr="008C1E5F" w:rsidRDefault="009572CE" w:rsidP="009572CE">
            <w:pPr>
              <w:pStyle w:val="TableSubheadingCentered"/>
            </w:pPr>
          </w:p>
        </w:tc>
        <w:tc>
          <w:tcPr>
            <w:tcW w:w="874" w:type="dxa"/>
            <w:shd w:val="clear" w:color="auto" w:fill="D9E2F3" w:themeFill="accent5" w:themeFillTint="33"/>
          </w:tcPr>
          <w:p w14:paraId="34BFD28F" w14:textId="77777777" w:rsidR="009572CE" w:rsidRPr="008C1E5F" w:rsidRDefault="009572CE" w:rsidP="009572CE">
            <w:pPr>
              <w:pStyle w:val="TableSubheadingCentered"/>
            </w:pPr>
            <w:r w:rsidRPr="008C1E5F">
              <w:t>1</w:t>
            </w:r>
          </w:p>
        </w:tc>
        <w:tc>
          <w:tcPr>
            <w:tcW w:w="874" w:type="dxa"/>
            <w:shd w:val="clear" w:color="auto" w:fill="D9E2F3" w:themeFill="accent5" w:themeFillTint="33"/>
          </w:tcPr>
          <w:p w14:paraId="3DFD8E44" w14:textId="77777777" w:rsidR="009572CE" w:rsidRPr="008C1E5F" w:rsidRDefault="009572CE" w:rsidP="009572CE">
            <w:pPr>
              <w:pStyle w:val="TableSubheadingCentered"/>
            </w:pPr>
            <w:r w:rsidRPr="008C1E5F">
              <w:t>2</w:t>
            </w:r>
          </w:p>
        </w:tc>
        <w:tc>
          <w:tcPr>
            <w:tcW w:w="874" w:type="dxa"/>
            <w:shd w:val="clear" w:color="auto" w:fill="D9E2F3" w:themeFill="accent5" w:themeFillTint="33"/>
          </w:tcPr>
          <w:p w14:paraId="4347AA22" w14:textId="77777777" w:rsidR="009572CE" w:rsidRPr="008C1E5F" w:rsidRDefault="009572CE" w:rsidP="009572CE">
            <w:pPr>
              <w:pStyle w:val="TableSubheadingCentered"/>
            </w:pPr>
            <w:r w:rsidRPr="008C1E5F">
              <w:t>3</w:t>
            </w:r>
          </w:p>
        </w:tc>
        <w:tc>
          <w:tcPr>
            <w:tcW w:w="875" w:type="dxa"/>
            <w:shd w:val="clear" w:color="auto" w:fill="D9E2F3" w:themeFill="accent5" w:themeFillTint="33"/>
          </w:tcPr>
          <w:p w14:paraId="2F56B59E" w14:textId="77777777" w:rsidR="009572CE" w:rsidRPr="008C1E5F" w:rsidRDefault="009572CE" w:rsidP="009572CE">
            <w:pPr>
              <w:pStyle w:val="TableSubheadingCentered"/>
            </w:pPr>
            <w:r w:rsidRPr="008C1E5F">
              <w:t>4</w:t>
            </w:r>
          </w:p>
        </w:tc>
        <w:tc>
          <w:tcPr>
            <w:tcW w:w="875" w:type="dxa"/>
            <w:shd w:val="clear" w:color="auto" w:fill="D9E2F3" w:themeFill="accent5" w:themeFillTint="33"/>
          </w:tcPr>
          <w:p w14:paraId="2C822B04" w14:textId="77777777" w:rsidR="009572CE" w:rsidRPr="008C1E5F" w:rsidRDefault="009572CE" w:rsidP="009572CE">
            <w:pPr>
              <w:pStyle w:val="TableSubheadingCentered"/>
            </w:pPr>
            <w:r w:rsidRPr="008C1E5F">
              <w:t>5</w:t>
            </w:r>
          </w:p>
        </w:tc>
        <w:tc>
          <w:tcPr>
            <w:tcW w:w="874" w:type="dxa"/>
            <w:shd w:val="clear" w:color="auto" w:fill="D9E2F3" w:themeFill="accent5" w:themeFillTint="33"/>
          </w:tcPr>
          <w:p w14:paraId="18B91046" w14:textId="77777777" w:rsidR="009572CE" w:rsidRPr="008C1E5F" w:rsidRDefault="009572CE" w:rsidP="009572CE">
            <w:pPr>
              <w:pStyle w:val="TableSubheadingCentered"/>
            </w:pPr>
            <w:r w:rsidRPr="008C1E5F">
              <w:t>6</w:t>
            </w:r>
          </w:p>
        </w:tc>
        <w:tc>
          <w:tcPr>
            <w:tcW w:w="875" w:type="dxa"/>
            <w:shd w:val="clear" w:color="auto" w:fill="D9E2F3" w:themeFill="accent5" w:themeFillTint="33"/>
          </w:tcPr>
          <w:p w14:paraId="0EB1FC6A" w14:textId="77777777" w:rsidR="009572CE" w:rsidRPr="008C1E5F" w:rsidRDefault="009572CE" w:rsidP="009572CE">
            <w:pPr>
              <w:pStyle w:val="TableSubheadingCentered"/>
            </w:pPr>
            <w:r w:rsidRPr="008C1E5F">
              <w:t>7</w:t>
            </w:r>
          </w:p>
        </w:tc>
        <w:tc>
          <w:tcPr>
            <w:tcW w:w="900" w:type="dxa"/>
            <w:shd w:val="clear" w:color="auto" w:fill="D9E2F3" w:themeFill="accent5" w:themeFillTint="33"/>
          </w:tcPr>
          <w:p w14:paraId="5D2D1DB6" w14:textId="77777777" w:rsidR="009572CE" w:rsidRPr="008C1E5F" w:rsidRDefault="009572CE" w:rsidP="009572CE">
            <w:pPr>
              <w:pStyle w:val="TableSubheadingCentered"/>
            </w:pPr>
            <w:r w:rsidRPr="008C1E5F">
              <w:t>136</w:t>
            </w:r>
          </w:p>
        </w:tc>
        <w:tc>
          <w:tcPr>
            <w:tcW w:w="892" w:type="dxa"/>
            <w:shd w:val="clear" w:color="auto" w:fill="D9E2F3" w:themeFill="accent5" w:themeFillTint="33"/>
          </w:tcPr>
          <w:p w14:paraId="26D9B998" w14:textId="77777777" w:rsidR="009572CE" w:rsidRPr="008C1E5F" w:rsidRDefault="009572CE" w:rsidP="009572CE">
            <w:pPr>
              <w:pStyle w:val="TableSubheadingCentered"/>
            </w:pPr>
            <w:r w:rsidRPr="008C1E5F">
              <w:t>4.4</w:t>
            </w:r>
          </w:p>
        </w:tc>
      </w:tr>
      <w:tr w:rsidR="009572CE" w:rsidRPr="008C1E5F" w14:paraId="55C74DA3" w14:textId="77777777" w:rsidTr="000C15EB">
        <w:trPr>
          <w:jc w:val="center"/>
        </w:trPr>
        <w:tc>
          <w:tcPr>
            <w:tcW w:w="1431" w:type="dxa"/>
          </w:tcPr>
          <w:p w14:paraId="0151E9F8" w14:textId="77777777" w:rsidR="009572CE" w:rsidRPr="008C1E5F" w:rsidRDefault="009572CE" w:rsidP="009572CE">
            <w:pPr>
              <w:pStyle w:val="TableText"/>
            </w:pPr>
            <w:r w:rsidRPr="008C1E5F">
              <w:t>Grades 4-5**</w:t>
            </w:r>
          </w:p>
        </w:tc>
        <w:tc>
          <w:tcPr>
            <w:tcW w:w="874" w:type="dxa"/>
          </w:tcPr>
          <w:p w14:paraId="3E897D66" w14:textId="77777777" w:rsidR="009572CE" w:rsidRPr="008C1E5F" w:rsidRDefault="009572CE" w:rsidP="009572CE">
            <w:pPr>
              <w:pStyle w:val="TableTextCentered"/>
              <w:rPr>
                <w:rFonts w:eastAsia="Times New Roman"/>
              </w:rPr>
            </w:pPr>
            <w:r w:rsidRPr="008C1E5F">
              <w:rPr>
                <w:rFonts w:eastAsia="Times New Roman"/>
              </w:rPr>
              <w:t>2</w:t>
            </w:r>
          </w:p>
        </w:tc>
        <w:tc>
          <w:tcPr>
            <w:tcW w:w="874" w:type="dxa"/>
          </w:tcPr>
          <w:p w14:paraId="3B9C95A3" w14:textId="77777777" w:rsidR="009572CE" w:rsidRPr="008C1E5F" w:rsidRDefault="009572CE" w:rsidP="009572CE">
            <w:pPr>
              <w:pStyle w:val="TableTextCentered"/>
              <w:rPr>
                <w:rFonts w:eastAsia="Times New Roman"/>
              </w:rPr>
            </w:pPr>
            <w:r w:rsidRPr="008C1E5F">
              <w:rPr>
                <w:rFonts w:eastAsia="Times New Roman"/>
              </w:rPr>
              <w:t>5</w:t>
            </w:r>
          </w:p>
        </w:tc>
        <w:tc>
          <w:tcPr>
            <w:tcW w:w="874" w:type="dxa"/>
          </w:tcPr>
          <w:p w14:paraId="01255C85" w14:textId="77777777" w:rsidR="009572CE" w:rsidRPr="008C1E5F" w:rsidRDefault="009572CE" w:rsidP="009572CE">
            <w:pPr>
              <w:pStyle w:val="TableTextCentered"/>
              <w:rPr>
                <w:rFonts w:eastAsia="Times New Roman"/>
              </w:rPr>
            </w:pPr>
            <w:r w:rsidRPr="008C1E5F">
              <w:rPr>
                <w:rFonts w:eastAsia="Times New Roman"/>
              </w:rPr>
              <w:t>3</w:t>
            </w:r>
          </w:p>
        </w:tc>
        <w:tc>
          <w:tcPr>
            <w:tcW w:w="875" w:type="dxa"/>
          </w:tcPr>
          <w:p w14:paraId="115B06AD" w14:textId="77777777" w:rsidR="009572CE" w:rsidRPr="008C1E5F" w:rsidRDefault="009572CE" w:rsidP="009572CE">
            <w:pPr>
              <w:pStyle w:val="TableTextCentered"/>
              <w:rPr>
                <w:rFonts w:eastAsia="Times New Roman"/>
              </w:rPr>
            </w:pPr>
            <w:r w:rsidRPr="008C1E5F">
              <w:rPr>
                <w:rFonts w:eastAsia="Times New Roman"/>
              </w:rPr>
              <w:t>8</w:t>
            </w:r>
          </w:p>
        </w:tc>
        <w:tc>
          <w:tcPr>
            <w:tcW w:w="875" w:type="dxa"/>
          </w:tcPr>
          <w:p w14:paraId="6C1BE2B4" w14:textId="77777777" w:rsidR="009572CE" w:rsidRPr="008C1E5F" w:rsidRDefault="009572CE" w:rsidP="009572CE">
            <w:pPr>
              <w:pStyle w:val="TableTextCentered"/>
              <w:rPr>
                <w:rFonts w:eastAsia="Times New Roman"/>
              </w:rPr>
            </w:pPr>
            <w:r w:rsidRPr="008C1E5F">
              <w:rPr>
                <w:rFonts w:eastAsia="Times New Roman"/>
              </w:rPr>
              <w:t>7</w:t>
            </w:r>
          </w:p>
        </w:tc>
        <w:tc>
          <w:tcPr>
            <w:tcW w:w="874" w:type="dxa"/>
          </w:tcPr>
          <w:p w14:paraId="04D50027" w14:textId="77777777" w:rsidR="009572CE" w:rsidRPr="008C1E5F" w:rsidRDefault="009572CE" w:rsidP="009572CE">
            <w:pPr>
              <w:pStyle w:val="TableTextCentered"/>
              <w:rPr>
                <w:rFonts w:eastAsia="Times New Roman"/>
              </w:rPr>
            </w:pPr>
            <w:r w:rsidRPr="008C1E5F">
              <w:rPr>
                <w:rFonts w:eastAsia="Times New Roman"/>
              </w:rPr>
              <w:t>5</w:t>
            </w:r>
          </w:p>
        </w:tc>
        <w:tc>
          <w:tcPr>
            <w:tcW w:w="875" w:type="dxa"/>
          </w:tcPr>
          <w:p w14:paraId="7A73917C" w14:textId="77777777" w:rsidR="009572CE" w:rsidRPr="008C1E5F" w:rsidRDefault="009572CE" w:rsidP="009572CE">
            <w:pPr>
              <w:pStyle w:val="TableTextCentered"/>
              <w:rPr>
                <w:rFonts w:eastAsia="Times New Roman"/>
              </w:rPr>
            </w:pPr>
            <w:r w:rsidRPr="008C1E5F">
              <w:rPr>
                <w:rFonts w:eastAsia="Times New Roman"/>
              </w:rPr>
              <w:t>0</w:t>
            </w:r>
          </w:p>
        </w:tc>
        <w:tc>
          <w:tcPr>
            <w:tcW w:w="900" w:type="dxa"/>
          </w:tcPr>
          <w:p w14:paraId="3EA14087" w14:textId="77777777" w:rsidR="009572CE" w:rsidRPr="008C1E5F" w:rsidRDefault="009572CE" w:rsidP="009572CE">
            <w:pPr>
              <w:pStyle w:val="TableTextCentered"/>
              <w:rPr>
                <w:rFonts w:eastAsia="Times New Roman"/>
              </w:rPr>
            </w:pPr>
            <w:r w:rsidRPr="008C1E5F">
              <w:rPr>
                <w:rFonts w:eastAsia="Times New Roman"/>
              </w:rPr>
              <w:t>30</w:t>
            </w:r>
          </w:p>
        </w:tc>
        <w:tc>
          <w:tcPr>
            <w:tcW w:w="892" w:type="dxa"/>
          </w:tcPr>
          <w:p w14:paraId="4B3545E5" w14:textId="77777777" w:rsidR="009572CE" w:rsidRPr="008C1E5F" w:rsidRDefault="009572CE" w:rsidP="009572CE">
            <w:pPr>
              <w:pStyle w:val="TableTextCentered"/>
              <w:rPr>
                <w:rFonts w:eastAsia="Times New Roman"/>
              </w:rPr>
            </w:pPr>
            <w:r w:rsidRPr="008C1E5F">
              <w:rPr>
                <w:rFonts w:eastAsia="Times New Roman"/>
              </w:rPr>
              <w:t>3.9</w:t>
            </w:r>
          </w:p>
        </w:tc>
      </w:tr>
      <w:tr w:rsidR="009572CE" w:rsidRPr="008C1E5F" w14:paraId="32FEAB10" w14:textId="77777777" w:rsidTr="000C15EB">
        <w:trPr>
          <w:jc w:val="center"/>
        </w:trPr>
        <w:tc>
          <w:tcPr>
            <w:tcW w:w="1431" w:type="dxa"/>
          </w:tcPr>
          <w:p w14:paraId="59FA522F" w14:textId="77777777" w:rsidR="009572CE" w:rsidRPr="008C1E5F" w:rsidRDefault="009572CE" w:rsidP="009572CE">
            <w:pPr>
              <w:pStyle w:val="TableText"/>
            </w:pPr>
            <w:r w:rsidRPr="008C1E5F">
              <w:t>Grades 6-8</w:t>
            </w:r>
          </w:p>
        </w:tc>
        <w:tc>
          <w:tcPr>
            <w:tcW w:w="874" w:type="dxa"/>
          </w:tcPr>
          <w:p w14:paraId="732FCB75" w14:textId="77777777" w:rsidR="009572CE" w:rsidRPr="008C1E5F" w:rsidRDefault="009572CE" w:rsidP="009572CE">
            <w:pPr>
              <w:pStyle w:val="TableTextCentered"/>
              <w:rPr>
                <w:rFonts w:eastAsia="Times New Roman"/>
              </w:rPr>
            </w:pPr>
            <w:r w:rsidRPr="008C1E5F">
              <w:rPr>
                <w:rFonts w:eastAsia="Times New Roman"/>
              </w:rPr>
              <w:t>1</w:t>
            </w:r>
          </w:p>
        </w:tc>
        <w:tc>
          <w:tcPr>
            <w:tcW w:w="874" w:type="dxa"/>
          </w:tcPr>
          <w:p w14:paraId="0B9D4769" w14:textId="77777777" w:rsidR="009572CE" w:rsidRPr="008C1E5F" w:rsidRDefault="009572CE" w:rsidP="009572CE">
            <w:pPr>
              <w:pStyle w:val="TableTextCentered"/>
              <w:rPr>
                <w:rFonts w:eastAsia="Times New Roman"/>
              </w:rPr>
            </w:pPr>
            <w:r w:rsidRPr="008C1E5F">
              <w:rPr>
                <w:rFonts w:eastAsia="Times New Roman"/>
              </w:rPr>
              <w:t>3</w:t>
            </w:r>
          </w:p>
        </w:tc>
        <w:tc>
          <w:tcPr>
            <w:tcW w:w="874" w:type="dxa"/>
          </w:tcPr>
          <w:p w14:paraId="2BC93D05" w14:textId="77777777" w:rsidR="009572CE" w:rsidRPr="008C1E5F" w:rsidRDefault="009572CE" w:rsidP="009572CE">
            <w:pPr>
              <w:pStyle w:val="TableTextCentered"/>
              <w:rPr>
                <w:rFonts w:eastAsia="Times New Roman"/>
              </w:rPr>
            </w:pPr>
            <w:r w:rsidRPr="008C1E5F">
              <w:rPr>
                <w:rFonts w:eastAsia="Times New Roman"/>
              </w:rPr>
              <w:t>13</w:t>
            </w:r>
          </w:p>
        </w:tc>
        <w:tc>
          <w:tcPr>
            <w:tcW w:w="875" w:type="dxa"/>
          </w:tcPr>
          <w:p w14:paraId="6236B34B" w14:textId="77777777" w:rsidR="009572CE" w:rsidRPr="008C1E5F" w:rsidRDefault="009572CE" w:rsidP="009572CE">
            <w:pPr>
              <w:pStyle w:val="TableTextCentered"/>
              <w:rPr>
                <w:rFonts w:eastAsia="Times New Roman"/>
              </w:rPr>
            </w:pPr>
            <w:r w:rsidRPr="008C1E5F">
              <w:rPr>
                <w:rFonts w:eastAsia="Times New Roman"/>
              </w:rPr>
              <w:t>13</w:t>
            </w:r>
          </w:p>
        </w:tc>
        <w:tc>
          <w:tcPr>
            <w:tcW w:w="875" w:type="dxa"/>
          </w:tcPr>
          <w:p w14:paraId="67893336" w14:textId="77777777" w:rsidR="009572CE" w:rsidRPr="008C1E5F" w:rsidRDefault="009572CE" w:rsidP="009572CE">
            <w:pPr>
              <w:pStyle w:val="TableTextCentered"/>
              <w:rPr>
                <w:rFonts w:eastAsia="Times New Roman"/>
              </w:rPr>
            </w:pPr>
            <w:r w:rsidRPr="008C1E5F">
              <w:rPr>
                <w:rFonts w:eastAsia="Times New Roman"/>
              </w:rPr>
              <w:t>23</w:t>
            </w:r>
          </w:p>
        </w:tc>
        <w:tc>
          <w:tcPr>
            <w:tcW w:w="874" w:type="dxa"/>
          </w:tcPr>
          <w:p w14:paraId="157E9F32" w14:textId="77777777" w:rsidR="009572CE" w:rsidRPr="008C1E5F" w:rsidRDefault="009572CE" w:rsidP="009572CE">
            <w:pPr>
              <w:pStyle w:val="TableTextCentered"/>
              <w:rPr>
                <w:rFonts w:eastAsia="Times New Roman"/>
              </w:rPr>
            </w:pPr>
            <w:r w:rsidRPr="008C1E5F">
              <w:rPr>
                <w:rFonts w:eastAsia="Times New Roman"/>
              </w:rPr>
              <w:t>13</w:t>
            </w:r>
          </w:p>
        </w:tc>
        <w:tc>
          <w:tcPr>
            <w:tcW w:w="875" w:type="dxa"/>
          </w:tcPr>
          <w:p w14:paraId="35AE0F51" w14:textId="77777777" w:rsidR="009572CE" w:rsidRPr="008C1E5F" w:rsidRDefault="009572CE" w:rsidP="009572CE">
            <w:pPr>
              <w:pStyle w:val="TableTextCentered"/>
              <w:rPr>
                <w:rFonts w:eastAsia="Times New Roman"/>
              </w:rPr>
            </w:pPr>
            <w:r w:rsidRPr="008C1E5F">
              <w:rPr>
                <w:rFonts w:eastAsia="Times New Roman"/>
              </w:rPr>
              <w:t>5</w:t>
            </w:r>
          </w:p>
        </w:tc>
        <w:tc>
          <w:tcPr>
            <w:tcW w:w="900" w:type="dxa"/>
          </w:tcPr>
          <w:p w14:paraId="718E5B35" w14:textId="77777777" w:rsidR="009572CE" w:rsidRPr="008C1E5F" w:rsidRDefault="009572CE" w:rsidP="009572CE">
            <w:pPr>
              <w:pStyle w:val="TableTextCentered"/>
              <w:rPr>
                <w:rFonts w:eastAsia="Times New Roman"/>
              </w:rPr>
            </w:pPr>
            <w:r w:rsidRPr="008C1E5F">
              <w:rPr>
                <w:rFonts w:eastAsia="Times New Roman"/>
              </w:rPr>
              <w:t>71</w:t>
            </w:r>
          </w:p>
        </w:tc>
        <w:tc>
          <w:tcPr>
            <w:tcW w:w="892" w:type="dxa"/>
          </w:tcPr>
          <w:p w14:paraId="7D4DF6B6" w14:textId="77777777" w:rsidR="009572CE" w:rsidRPr="008C1E5F" w:rsidRDefault="009572CE" w:rsidP="009572CE">
            <w:pPr>
              <w:pStyle w:val="TableTextCentered"/>
              <w:rPr>
                <w:rFonts w:eastAsia="Times New Roman"/>
              </w:rPr>
            </w:pPr>
            <w:r w:rsidRPr="008C1E5F">
              <w:rPr>
                <w:rFonts w:eastAsia="Times New Roman"/>
              </w:rPr>
              <w:t>4.6</w:t>
            </w:r>
          </w:p>
        </w:tc>
      </w:tr>
      <w:tr w:rsidR="009572CE" w:rsidRPr="008C1E5F" w14:paraId="5CB83BAB" w14:textId="77777777" w:rsidTr="000C15EB">
        <w:trPr>
          <w:jc w:val="center"/>
        </w:trPr>
        <w:tc>
          <w:tcPr>
            <w:tcW w:w="1431" w:type="dxa"/>
          </w:tcPr>
          <w:p w14:paraId="6EF563E5" w14:textId="77777777" w:rsidR="009572CE" w:rsidRPr="008C1E5F" w:rsidRDefault="009572CE" w:rsidP="009572CE">
            <w:pPr>
              <w:pStyle w:val="TableText"/>
            </w:pPr>
            <w:r w:rsidRPr="008C1E5F">
              <w:t>Grades 9-12</w:t>
            </w:r>
          </w:p>
        </w:tc>
        <w:tc>
          <w:tcPr>
            <w:tcW w:w="874" w:type="dxa"/>
          </w:tcPr>
          <w:p w14:paraId="57063549" w14:textId="77777777" w:rsidR="009572CE" w:rsidRPr="008C1E5F" w:rsidRDefault="009572CE" w:rsidP="009572CE">
            <w:pPr>
              <w:pStyle w:val="TableTextCentered"/>
              <w:rPr>
                <w:rFonts w:eastAsia="Times New Roman"/>
              </w:rPr>
            </w:pPr>
            <w:r w:rsidRPr="008C1E5F">
              <w:rPr>
                <w:rFonts w:eastAsia="Times New Roman"/>
              </w:rPr>
              <w:t>0</w:t>
            </w:r>
          </w:p>
        </w:tc>
        <w:tc>
          <w:tcPr>
            <w:tcW w:w="874" w:type="dxa"/>
          </w:tcPr>
          <w:p w14:paraId="24371D58" w14:textId="77777777" w:rsidR="009572CE" w:rsidRPr="008C1E5F" w:rsidRDefault="009572CE" w:rsidP="009572CE">
            <w:pPr>
              <w:pStyle w:val="TableTextCentered"/>
              <w:rPr>
                <w:rFonts w:eastAsia="Times New Roman"/>
              </w:rPr>
            </w:pPr>
            <w:r w:rsidRPr="008C1E5F">
              <w:rPr>
                <w:rFonts w:eastAsia="Times New Roman"/>
              </w:rPr>
              <w:t>3</w:t>
            </w:r>
          </w:p>
        </w:tc>
        <w:tc>
          <w:tcPr>
            <w:tcW w:w="874" w:type="dxa"/>
          </w:tcPr>
          <w:p w14:paraId="716D7B0E" w14:textId="77777777" w:rsidR="009572CE" w:rsidRPr="008C1E5F" w:rsidRDefault="009572CE" w:rsidP="009572CE">
            <w:pPr>
              <w:pStyle w:val="TableTextCentered"/>
              <w:rPr>
                <w:rFonts w:eastAsia="Times New Roman"/>
              </w:rPr>
            </w:pPr>
            <w:r w:rsidRPr="008C1E5F">
              <w:rPr>
                <w:rFonts w:eastAsia="Times New Roman"/>
              </w:rPr>
              <w:t>7</w:t>
            </w:r>
          </w:p>
        </w:tc>
        <w:tc>
          <w:tcPr>
            <w:tcW w:w="875" w:type="dxa"/>
          </w:tcPr>
          <w:p w14:paraId="1016A9DF" w14:textId="77777777" w:rsidR="009572CE" w:rsidRPr="008C1E5F" w:rsidRDefault="009572CE" w:rsidP="009572CE">
            <w:pPr>
              <w:pStyle w:val="TableTextCentered"/>
              <w:rPr>
                <w:rFonts w:eastAsia="Times New Roman"/>
              </w:rPr>
            </w:pPr>
            <w:r w:rsidRPr="008C1E5F">
              <w:rPr>
                <w:rFonts w:eastAsia="Times New Roman"/>
              </w:rPr>
              <w:t>5</w:t>
            </w:r>
          </w:p>
        </w:tc>
        <w:tc>
          <w:tcPr>
            <w:tcW w:w="875" w:type="dxa"/>
          </w:tcPr>
          <w:p w14:paraId="507F8523" w14:textId="77777777" w:rsidR="009572CE" w:rsidRPr="008C1E5F" w:rsidRDefault="009572CE" w:rsidP="009572CE">
            <w:pPr>
              <w:pStyle w:val="TableTextCentered"/>
              <w:rPr>
                <w:rFonts w:eastAsia="Times New Roman"/>
              </w:rPr>
            </w:pPr>
            <w:r w:rsidRPr="008C1E5F">
              <w:rPr>
                <w:rFonts w:eastAsia="Times New Roman"/>
              </w:rPr>
              <w:t>13</w:t>
            </w:r>
          </w:p>
        </w:tc>
        <w:tc>
          <w:tcPr>
            <w:tcW w:w="874" w:type="dxa"/>
          </w:tcPr>
          <w:p w14:paraId="4723613D" w14:textId="77777777" w:rsidR="009572CE" w:rsidRPr="008C1E5F" w:rsidRDefault="009572CE" w:rsidP="009572CE">
            <w:pPr>
              <w:pStyle w:val="TableTextCentered"/>
              <w:rPr>
                <w:rFonts w:eastAsia="Times New Roman"/>
              </w:rPr>
            </w:pPr>
            <w:r w:rsidRPr="008C1E5F">
              <w:rPr>
                <w:rFonts w:eastAsia="Times New Roman"/>
              </w:rPr>
              <w:t>4</w:t>
            </w:r>
          </w:p>
        </w:tc>
        <w:tc>
          <w:tcPr>
            <w:tcW w:w="875" w:type="dxa"/>
          </w:tcPr>
          <w:p w14:paraId="33562C9D" w14:textId="77777777" w:rsidR="009572CE" w:rsidRPr="008C1E5F" w:rsidRDefault="009572CE" w:rsidP="009572CE">
            <w:pPr>
              <w:pStyle w:val="TableTextCentered"/>
              <w:rPr>
                <w:rFonts w:eastAsia="Times New Roman"/>
              </w:rPr>
            </w:pPr>
            <w:r w:rsidRPr="008C1E5F">
              <w:rPr>
                <w:rFonts w:eastAsia="Times New Roman"/>
              </w:rPr>
              <w:t>3</w:t>
            </w:r>
          </w:p>
        </w:tc>
        <w:tc>
          <w:tcPr>
            <w:tcW w:w="900" w:type="dxa"/>
          </w:tcPr>
          <w:p w14:paraId="0BFA5982" w14:textId="77777777" w:rsidR="009572CE" w:rsidRPr="008C1E5F" w:rsidRDefault="009572CE" w:rsidP="009572CE">
            <w:pPr>
              <w:pStyle w:val="TableTextCentered"/>
              <w:rPr>
                <w:rFonts w:eastAsia="Times New Roman"/>
              </w:rPr>
            </w:pPr>
            <w:r w:rsidRPr="008C1E5F">
              <w:rPr>
                <w:rFonts w:eastAsia="Times New Roman"/>
              </w:rPr>
              <w:t>35</w:t>
            </w:r>
          </w:p>
        </w:tc>
        <w:tc>
          <w:tcPr>
            <w:tcW w:w="892" w:type="dxa"/>
          </w:tcPr>
          <w:p w14:paraId="1E4874DE" w14:textId="77777777" w:rsidR="009572CE" w:rsidRPr="008C1E5F" w:rsidRDefault="009572CE" w:rsidP="009572CE">
            <w:pPr>
              <w:pStyle w:val="TableTextCentered"/>
              <w:rPr>
                <w:rFonts w:eastAsia="Times New Roman"/>
              </w:rPr>
            </w:pPr>
            <w:r w:rsidRPr="008C1E5F">
              <w:rPr>
                <w:rFonts w:eastAsia="Times New Roman"/>
              </w:rPr>
              <w:t>4.5</w:t>
            </w:r>
          </w:p>
        </w:tc>
      </w:tr>
    </w:tbl>
    <w:bookmarkEnd w:id="210"/>
    <w:p w14:paraId="22D5F2DA" w14:textId="77777777" w:rsidR="00900CF1" w:rsidRPr="008C1E5F" w:rsidRDefault="00900CF1">
      <w:pPr>
        <w:pStyle w:val="TableNote"/>
      </w:pPr>
      <w:r w:rsidRPr="008C1E5F">
        <w:t xml:space="preserve">*The district average is an average of the observation scores. In Table 11, the district average is computed as: </w:t>
      </w:r>
      <w:r w:rsidRPr="008C1E5F">
        <w:br/>
      </w:r>
      <w:bookmarkStart w:id="211" w:name="Dist_CU_Calc"/>
      <w:r w:rsidRPr="008C1E5F">
        <w:t>([1 x 3] + [2 x 11] + [3 x 23] + [4 x 26] + [5 x 43] + [6 x 22] + [7 x 8]) ÷ 136 observations = 4.4</w:t>
      </w:r>
      <w:bookmarkEnd w:id="211"/>
    </w:p>
    <w:p w14:paraId="04D265F9" w14:textId="77777777" w:rsidR="00900CF1" w:rsidRPr="008C1E5F" w:rsidRDefault="00900CF1">
      <w:pPr>
        <w:pStyle w:val="TableNote"/>
      </w:pPr>
      <w:r w:rsidRPr="008C1E5F">
        <w:t>**Content Understanding does not appear in the CLASS K-3 Manual, therefore scores for the Elementary School Level represent grades 4-5 only.</w:t>
      </w:r>
    </w:p>
    <w:p w14:paraId="169EAD98" w14:textId="77777777" w:rsidR="00900CF1" w:rsidRPr="008C1E5F" w:rsidRDefault="00900CF1">
      <w:pPr>
        <w:pStyle w:val="BodyText"/>
      </w:pPr>
      <w:r w:rsidRPr="008C1E5F">
        <w:rPr>
          <w:rStyle w:val="BodyTextDemiChar"/>
        </w:rPr>
        <w:t>Ratings in the Low Range.</w:t>
      </w:r>
      <w:r w:rsidRPr="008C1E5F">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 background knowledge or misconceptions or to integrate previously learned material when presenting new information.</w:t>
      </w:r>
    </w:p>
    <w:p w14:paraId="6076532B" w14:textId="77777777" w:rsidR="00900CF1" w:rsidRPr="008C1E5F" w:rsidRDefault="00900CF1">
      <w:pPr>
        <w:pStyle w:val="BodyText"/>
      </w:pPr>
      <w:r w:rsidRPr="008C1E5F">
        <w:rPr>
          <w:rStyle w:val="BodyTextDemiChar"/>
        </w:rPr>
        <w:t>Ratings in the Middle Range.</w:t>
      </w:r>
      <w:r w:rsidRPr="008C1E5F">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 background knowledge or misconceptions and/or to integrate information with previously learned materials; however, these moments are limited in depth or inconsistent.</w:t>
      </w:r>
    </w:p>
    <w:p w14:paraId="3661863E" w14:textId="77777777" w:rsidR="00900CF1" w:rsidRPr="008C1E5F" w:rsidRDefault="00900CF1">
      <w:pPr>
        <w:pStyle w:val="BodyText"/>
      </w:pPr>
      <w:r w:rsidRPr="008C1E5F">
        <w:rPr>
          <w:rStyle w:val="BodyTextDemiChar"/>
        </w:rPr>
        <w:t>Ratings in the High Range.</w:t>
      </w:r>
      <w:r w:rsidRPr="008C1E5F">
        <w:t xml:space="preserve"> At the high range, the focus of the class is on encouraging deep understanding of content through the provision of meaningful, interactive discussion and explanation of broad, organizing ideas. Class discussion and materials consistently communicate the essential attributes of concepts and procedures to students. New concepts and procedures and broad ideas are consistently linked to students’ prior knowledge in ways that advance their understanding and clarify misconceptions.</w:t>
      </w:r>
    </w:p>
    <w:p w14:paraId="5667C865" w14:textId="77777777" w:rsidR="00900CF1" w:rsidRPr="008C1E5F" w:rsidRDefault="00900CF1">
      <w:pPr>
        <w:spacing w:after="160" w:line="259" w:lineRule="auto"/>
      </w:pPr>
      <w:r w:rsidRPr="008C1E5F">
        <w:br w:type="page"/>
      </w:r>
    </w:p>
    <w:p w14:paraId="667FBCA8" w14:textId="77777777" w:rsidR="00900CF1" w:rsidRPr="008C1E5F" w:rsidRDefault="00900CF1">
      <w:pPr>
        <w:pStyle w:val="Heading2-SIOR"/>
      </w:pPr>
      <w:bookmarkStart w:id="212" w:name="_Toc379881743"/>
      <w:bookmarkStart w:id="213" w:name="_Toc411329835"/>
      <w:bookmarkStart w:id="214" w:name="_Toc430114884"/>
      <w:bookmarkStart w:id="215" w:name="_Toc92194263"/>
      <w:bookmarkStart w:id="216" w:name="_Toc195024255"/>
      <w:r w:rsidRPr="008C1E5F">
        <w:lastRenderedPageBreak/>
        <w:t>Analysis and Inquiry</w:t>
      </w:r>
      <w:bookmarkEnd w:id="212"/>
      <w:bookmarkEnd w:id="213"/>
      <w:bookmarkEnd w:id="214"/>
      <w:bookmarkEnd w:id="215"/>
      <w:bookmarkEnd w:id="216"/>
    </w:p>
    <w:p w14:paraId="4D755D6F" w14:textId="77777777" w:rsidR="00900CF1" w:rsidRPr="008C1E5F" w:rsidRDefault="00900CF1">
      <w:pPr>
        <w:pStyle w:val="BodyTextDomain"/>
      </w:pPr>
      <w:r w:rsidRPr="008C1E5F">
        <w:t>Instructional Support domain, Grades 4</w:t>
      </w:r>
      <w:r w:rsidRPr="008C1E5F">
        <w:rPr>
          <w:rFonts w:ascii="Vijaya" w:hAnsi="Vijaya" w:cs="Vijaya"/>
        </w:rPr>
        <w:t>−</w:t>
      </w:r>
      <w:r w:rsidRPr="008C1E5F">
        <w:t xml:space="preserve"> 12</w:t>
      </w:r>
    </w:p>
    <w:p w14:paraId="2A8E5473" w14:textId="77777777" w:rsidR="00900CF1" w:rsidRPr="008C1E5F" w:rsidRDefault="00900CF1">
      <w:pPr>
        <w:pStyle w:val="BodyText"/>
      </w:pPr>
      <w:r w:rsidRPr="008C1E5F">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8C1E5F">
        <w:rPr>
          <w:i/>
        </w:rPr>
        <w:t>CLASS Upper Elementary Manual</w:t>
      </w:r>
      <w:r w:rsidRPr="008C1E5F">
        <w:t>, p. 81,</w:t>
      </w:r>
      <w:r w:rsidRPr="008C1E5F">
        <w:rPr>
          <w:i/>
        </w:rPr>
        <w:t xml:space="preserve"> CLASS Secondary Manual</w:t>
      </w:r>
      <w:r w:rsidRPr="008C1E5F">
        <w:t>, p. 76).</w:t>
      </w:r>
    </w:p>
    <w:p w14:paraId="314A938C" w14:textId="77777777" w:rsidR="00900CF1" w:rsidRPr="008C1E5F" w:rsidRDefault="00900CF1">
      <w:pPr>
        <w:pStyle w:val="TableTitle0"/>
      </w:pPr>
      <w:r w:rsidRPr="008C1E5F">
        <w:t>Table 12. Analysis and Inquiry: Number of Classrooms for Each Rating and District Average</w:t>
      </w:r>
    </w:p>
    <w:p w14:paraId="150B3E8C" w14:textId="77777777" w:rsidR="00900CF1" w:rsidRPr="008C1E5F" w:rsidRDefault="00900CF1">
      <w:pPr>
        <w:pStyle w:val="BodyTextDemi"/>
      </w:pPr>
      <w:r w:rsidRPr="008C1E5F">
        <w:t xml:space="preserve">Analysis and Inquiry District Average*: </w:t>
      </w:r>
      <w:bookmarkStart w:id="217" w:name="Dist_AI_Avg"/>
      <w:r w:rsidRPr="008C1E5F">
        <w:t>2.8</w:t>
      </w:r>
      <w:bookmarkEnd w:id="217"/>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D87D66" w:rsidRPr="008C1E5F" w14:paraId="3ABCD289" w14:textId="77777777" w:rsidTr="00D87D66">
        <w:trPr>
          <w:cnfStyle w:val="100000000000" w:firstRow="1" w:lastRow="0" w:firstColumn="0" w:lastColumn="0" w:oddVBand="0" w:evenVBand="0" w:oddHBand="0" w:evenHBand="0" w:firstRowFirstColumn="0" w:firstRowLastColumn="0" w:lastRowFirstColumn="0" w:lastRowLastColumn="0"/>
          <w:jc w:val="center"/>
        </w:trPr>
        <w:tc>
          <w:tcPr>
            <w:tcW w:w="1431" w:type="dxa"/>
          </w:tcPr>
          <w:p w14:paraId="6B6B4EC8" w14:textId="05053C98" w:rsidR="00D87D66" w:rsidRPr="008C1E5F" w:rsidRDefault="00D87D66" w:rsidP="00D87D66">
            <w:pPr>
              <w:pStyle w:val="TableColHeadingCenter"/>
              <w:rPr>
                <w:rFonts w:eastAsia="MS Mincho"/>
              </w:rPr>
            </w:pPr>
            <w:bookmarkStart w:id="218" w:name="Tbl_AI"/>
            <w:r w:rsidRPr="008C1E5F">
              <w:rPr>
                <w:rFonts w:eastAsia="MS Mincho"/>
              </w:rPr>
              <w:t>Grade Band</w:t>
            </w:r>
          </w:p>
        </w:tc>
        <w:tc>
          <w:tcPr>
            <w:tcW w:w="874" w:type="dxa"/>
          </w:tcPr>
          <w:p w14:paraId="6CB6D2DD" w14:textId="77777777" w:rsidR="00D87D66" w:rsidRPr="008C1E5F" w:rsidRDefault="00D87D66" w:rsidP="00D87D66">
            <w:pPr>
              <w:pStyle w:val="TableColHeadingCenter"/>
              <w:rPr>
                <w:rFonts w:eastAsia="MS Mincho"/>
              </w:rPr>
            </w:pPr>
            <w:r w:rsidRPr="008C1E5F">
              <w:rPr>
                <w:rFonts w:eastAsia="MS Mincho"/>
              </w:rPr>
              <w:t>Low Range</w:t>
            </w:r>
          </w:p>
        </w:tc>
        <w:tc>
          <w:tcPr>
            <w:tcW w:w="874" w:type="dxa"/>
          </w:tcPr>
          <w:p w14:paraId="0EBA4B44" w14:textId="41D9B370" w:rsidR="00D87D66" w:rsidRPr="008C1E5F" w:rsidRDefault="00D87D66" w:rsidP="00D87D66">
            <w:pPr>
              <w:pStyle w:val="TableColHeadingCenter"/>
              <w:rPr>
                <w:rFonts w:eastAsia="MS Mincho"/>
              </w:rPr>
            </w:pPr>
            <w:r w:rsidRPr="008C1E5F">
              <w:rPr>
                <w:rFonts w:eastAsia="MS Mincho"/>
              </w:rPr>
              <w:t>Low Range</w:t>
            </w:r>
          </w:p>
        </w:tc>
        <w:tc>
          <w:tcPr>
            <w:tcW w:w="874" w:type="dxa"/>
          </w:tcPr>
          <w:p w14:paraId="2182D4AF" w14:textId="77777777" w:rsidR="00D87D66" w:rsidRPr="008C1E5F" w:rsidRDefault="00D87D66" w:rsidP="00D87D66">
            <w:pPr>
              <w:pStyle w:val="TableColHeadingCenter"/>
              <w:rPr>
                <w:rFonts w:eastAsia="MS Mincho"/>
              </w:rPr>
            </w:pPr>
            <w:r w:rsidRPr="008C1E5F">
              <w:rPr>
                <w:rFonts w:eastAsia="MS Mincho"/>
              </w:rPr>
              <w:t>Middle Range</w:t>
            </w:r>
          </w:p>
        </w:tc>
        <w:tc>
          <w:tcPr>
            <w:tcW w:w="875" w:type="dxa"/>
          </w:tcPr>
          <w:p w14:paraId="3325F254" w14:textId="144A6A2A" w:rsidR="00D87D66" w:rsidRPr="008C1E5F" w:rsidRDefault="00D87D66" w:rsidP="00D87D66">
            <w:pPr>
              <w:pStyle w:val="TableColHeadingCenter"/>
              <w:rPr>
                <w:rFonts w:eastAsia="MS Mincho"/>
              </w:rPr>
            </w:pPr>
            <w:r w:rsidRPr="008C1E5F">
              <w:rPr>
                <w:rFonts w:eastAsia="MS Mincho"/>
              </w:rPr>
              <w:t>Middle Range</w:t>
            </w:r>
          </w:p>
        </w:tc>
        <w:tc>
          <w:tcPr>
            <w:tcW w:w="875" w:type="dxa"/>
          </w:tcPr>
          <w:p w14:paraId="1BE625E1" w14:textId="677DE7D8" w:rsidR="00D87D66" w:rsidRPr="008C1E5F" w:rsidRDefault="00D87D66" w:rsidP="00D87D66">
            <w:pPr>
              <w:pStyle w:val="TableColHeadingCenter"/>
              <w:rPr>
                <w:rFonts w:eastAsia="MS Mincho"/>
              </w:rPr>
            </w:pPr>
            <w:r w:rsidRPr="008C1E5F">
              <w:rPr>
                <w:rFonts w:eastAsia="MS Mincho"/>
              </w:rPr>
              <w:t>Middle Range</w:t>
            </w:r>
          </w:p>
        </w:tc>
        <w:tc>
          <w:tcPr>
            <w:tcW w:w="874" w:type="dxa"/>
          </w:tcPr>
          <w:p w14:paraId="18D8BE47" w14:textId="77777777" w:rsidR="00D87D66" w:rsidRPr="008C1E5F" w:rsidRDefault="00D87D66" w:rsidP="00D87D66">
            <w:pPr>
              <w:pStyle w:val="TableColHeadingCenter"/>
              <w:rPr>
                <w:rFonts w:eastAsia="MS Mincho"/>
              </w:rPr>
            </w:pPr>
            <w:r w:rsidRPr="008C1E5F">
              <w:rPr>
                <w:rFonts w:eastAsia="MS Mincho"/>
              </w:rPr>
              <w:t>High Range</w:t>
            </w:r>
          </w:p>
        </w:tc>
        <w:tc>
          <w:tcPr>
            <w:tcW w:w="875" w:type="dxa"/>
          </w:tcPr>
          <w:p w14:paraId="6747E8BA" w14:textId="36A602BE" w:rsidR="00D87D66" w:rsidRPr="008C1E5F" w:rsidRDefault="00D87D66" w:rsidP="00D87D66">
            <w:pPr>
              <w:pStyle w:val="TableColHeadingCenter"/>
              <w:rPr>
                <w:rFonts w:eastAsia="MS Mincho"/>
              </w:rPr>
            </w:pPr>
            <w:r w:rsidRPr="008C1E5F">
              <w:rPr>
                <w:rFonts w:eastAsia="MS Mincho"/>
              </w:rPr>
              <w:t>High Range</w:t>
            </w:r>
          </w:p>
        </w:tc>
        <w:tc>
          <w:tcPr>
            <w:tcW w:w="900" w:type="dxa"/>
          </w:tcPr>
          <w:p w14:paraId="4CB8060E" w14:textId="72D5A33F" w:rsidR="00D87D66" w:rsidRPr="008C1E5F" w:rsidRDefault="00D87D66" w:rsidP="00D87D66">
            <w:pPr>
              <w:pStyle w:val="TableColHeadingCenter"/>
              <w:rPr>
                <w:rFonts w:eastAsia="MS Mincho"/>
              </w:rPr>
            </w:pPr>
            <w:r w:rsidRPr="008C1E5F">
              <w:rPr>
                <w:rFonts w:eastAsia="MS Mincho"/>
                <w:i/>
                <w:iCs/>
              </w:rPr>
              <w:t>n</w:t>
            </w:r>
          </w:p>
        </w:tc>
        <w:tc>
          <w:tcPr>
            <w:tcW w:w="892" w:type="dxa"/>
          </w:tcPr>
          <w:p w14:paraId="4ACD22CC" w14:textId="433A3855" w:rsidR="00D87D66" w:rsidRPr="008C1E5F" w:rsidRDefault="00D87D66" w:rsidP="00D87D66">
            <w:pPr>
              <w:pStyle w:val="TableColHeadingCenter"/>
              <w:rPr>
                <w:rFonts w:eastAsia="MS Mincho"/>
              </w:rPr>
            </w:pPr>
            <w:r w:rsidRPr="008C1E5F">
              <w:rPr>
                <w:rFonts w:eastAsia="MS Mincho"/>
              </w:rPr>
              <w:t>Average</w:t>
            </w:r>
          </w:p>
        </w:tc>
      </w:tr>
      <w:tr w:rsidR="00D87D66" w:rsidRPr="008C1E5F" w14:paraId="31CF8B92" w14:textId="77777777" w:rsidTr="00D87D66">
        <w:trPr>
          <w:jc w:val="center"/>
        </w:trPr>
        <w:tc>
          <w:tcPr>
            <w:tcW w:w="1431" w:type="dxa"/>
            <w:shd w:val="clear" w:color="auto" w:fill="D9E2F3" w:themeFill="accent5" w:themeFillTint="33"/>
          </w:tcPr>
          <w:p w14:paraId="78E5B738" w14:textId="77777777" w:rsidR="00D87D66" w:rsidRPr="008C1E5F" w:rsidRDefault="00D87D66" w:rsidP="00D87D66">
            <w:pPr>
              <w:pStyle w:val="TableSubheadingCentered"/>
            </w:pPr>
          </w:p>
        </w:tc>
        <w:tc>
          <w:tcPr>
            <w:tcW w:w="874" w:type="dxa"/>
            <w:shd w:val="clear" w:color="auto" w:fill="D9E2F3" w:themeFill="accent5" w:themeFillTint="33"/>
          </w:tcPr>
          <w:p w14:paraId="1FB2DD4D" w14:textId="77777777" w:rsidR="00D87D66" w:rsidRPr="008C1E5F" w:rsidRDefault="00D87D66" w:rsidP="00D87D66">
            <w:pPr>
              <w:pStyle w:val="TableSubheadingCentered"/>
            </w:pPr>
            <w:r w:rsidRPr="008C1E5F">
              <w:t>1</w:t>
            </w:r>
          </w:p>
        </w:tc>
        <w:tc>
          <w:tcPr>
            <w:tcW w:w="874" w:type="dxa"/>
            <w:shd w:val="clear" w:color="auto" w:fill="D9E2F3" w:themeFill="accent5" w:themeFillTint="33"/>
          </w:tcPr>
          <w:p w14:paraId="2BE0937D" w14:textId="77777777" w:rsidR="00D87D66" w:rsidRPr="008C1E5F" w:rsidRDefault="00D87D66" w:rsidP="00D87D66">
            <w:pPr>
              <w:pStyle w:val="TableSubheadingCentered"/>
            </w:pPr>
            <w:r w:rsidRPr="008C1E5F">
              <w:t>2</w:t>
            </w:r>
          </w:p>
        </w:tc>
        <w:tc>
          <w:tcPr>
            <w:tcW w:w="874" w:type="dxa"/>
            <w:shd w:val="clear" w:color="auto" w:fill="D9E2F3" w:themeFill="accent5" w:themeFillTint="33"/>
          </w:tcPr>
          <w:p w14:paraId="6186E4F2" w14:textId="77777777" w:rsidR="00D87D66" w:rsidRPr="008C1E5F" w:rsidRDefault="00D87D66" w:rsidP="00D87D66">
            <w:pPr>
              <w:pStyle w:val="TableSubheadingCentered"/>
            </w:pPr>
            <w:r w:rsidRPr="008C1E5F">
              <w:t>3</w:t>
            </w:r>
          </w:p>
        </w:tc>
        <w:tc>
          <w:tcPr>
            <w:tcW w:w="875" w:type="dxa"/>
            <w:shd w:val="clear" w:color="auto" w:fill="D9E2F3" w:themeFill="accent5" w:themeFillTint="33"/>
          </w:tcPr>
          <w:p w14:paraId="0F09FD25" w14:textId="77777777" w:rsidR="00D87D66" w:rsidRPr="008C1E5F" w:rsidRDefault="00D87D66" w:rsidP="00D87D66">
            <w:pPr>
              <w:pStyle w:val="TableSubheadingCentered"/>
            </w:pPr>
            <w:r w:rsidRPr="008C1E5F">
              <w:t>4</w:t>
            </w:r>
          </w:p>
        </w:tc>
        <w:tc>
          <w:tcPr>
            <w:tcW w:w="875" w:type="dxa"/>
            <w:shd w:val="clear" w:color="auto" w:fill="D9E2F3" w:themeFill="accent5" w:themeFillTint="33"/>
          </w:tcPr>
          <w:p w14:paraId="0D413722" w14:textId="77777777" w:rsidR="00D87D66" w:rsidRPr="008C1E5F" w:rsidRDefault="00D87D66" w:rsidP="00D87D66">
            <w:pPr>
              <w:pStyle w:val="TableSubheadingCentered"/>
            </w:pPr>
            <w:r w:rsidRPr="008C1E5F">
              <w:t>5</w:t>
            </w:r>
          </w:p>
        </w:tc>
        <w:tc>
          <w:tcPr>
            <w:tcW w:w="874" w:type="dxa"/>
            <w:shd w:val="clear" w:color="auto" w:fill="D9E2F3" w:themeFill="accent5" w:themeFillTint="33"/>
          </w:tcPr>
          <w:p w14:paraId="19ECB9CB" w14:textId="77777777" w:rsidR="00D87D66" w:rsidRPr="008C1E5F" w:rsidRDefault="00D87D66" w:rsidP="00D87D66">
            <w:pPr>
              <w:pStyle w:val="TableSubheadingCentered"/>
            </w:pPr>
            <w:r w:rsidRPr="008C1E5F">
              <w:t>6</w:t>
            </w:r>
          </w:p>
        </w:tc>
        <w:tc>
          <w:tcPr>
            <w:tcW w:w="875" w:type="dxa"/>
            <w:shd w:val="clear" w:color="auto" w:fill="D9E2F3" w:themeFill="accent5" w:themeFillTint="33"/>
          </w:tcPr>
          <w:p w14:paraId="29A05B31" w14:textId="77777777" w:rsidR="00D87D66" w:rsidRPr="008C1E5F" w:rsidRDefault="00D87D66" w:rsidP="00D87D66">
            <w:pPr>
              <w:pStyle w:val="TableSubheadingCentered"/>
            </w:pPr>
            <w:r w:rsidRPr="008C1E5F">
              <w:t>7</w:t>
            </w:r>
          </w:p>
        </w:tc>
        <w:tc>
          <w:tcPr>
            <w:tcW w:w="900" w:type="dxa"/>
            <w:shd w:val="clear" w:color="auto" w:fill="D9E2F3" w:themeFill="accent5" w:themeFillTint="33"/>
          </w:tcPr>
          <w:p w14:paraId="07D7345B" w14:textId="77777777" w:rsidR="00D87D66" w:rsidRPr="008C1E5F" w:rsidRDefault="00D87D66" w:rsidP="00D87D66">
            <w:pPr>
              <w:pStyle w:val="TableSubheadingCentered"/>
            </w:pPr>
            <w:r w:rsidRPr="008C1E5F">
              <w:t>136</w:t>
            </w:r>
          </w:p>
        </w:tc>
        <w:tc>
          <w:tcPr>
            <w:tcW w:w="892" w:type="dxa"/>
            <w:shd w:val="clear" w:color="auto" w:fill="D9E2F3" w:themeFill="accent5" w:themeFillTint="33"/>
          </w:tcPr>
          <w:p w14:paraId="66003A75" w14:textId="77777777" w:rsidR="00D87D66" w:rsidRPr="008C1E5F" w:rsidRDefault="00D87D66" w:rsidP="00D87D66">
            <w:pPr>
              <w:pStyle w:val="TableSubheadingCentered"/>
            </w:pPr>
            <w:r w:rsidRPr="008C1E5F">
              <w:t>2.8</w:t>
            </w:r>
          </w:p>
        </w:tc>
      </w:tr>
      <w:tr w:rsidR="00D87D66" w:rsidRPr="008C1E5F" w14:paraId="1EAC02C2" w14:textId="77777777" w:rsidTr="00D87D66">
        <w:trPr>
          <w:jc w:val="center"/>
        </w:trPr>
        <w:tc>
          <w:tcPr>
            <w:tcW w:w="1431" w:type="dxa"/>
          </w:tcPr>
          <w:p w14:paraId="022A3D8E" w14:textId="77777777" w:rsidR="00D87D66" w:rsidRPr="008C1E5F" w:rsidRDefault="00D87D66" w:rsidP="00D87D66">
            <w:pPr>
              <w:pStyle w:val="TableText"/>
            </w:pPr>
            <w:r w:rsidRPr="008C1E5F">
              <w:t>Grades 4-5**</w:t>
            </w:r>
          </w:p>
        </w:tc>
        <w:tc>
          <w:tcPr>
            <w:tcW w:w="874" w:type="dxa"/>
          </w:tcPr>
          <w:p w14:paraId="29881813" w14:textId="77777777" w:rsidR="00D87D66" w:rsidRPr="008C1E5F" w:rsidRDefault="00D87D66" w:rsidP="00D87D66">
            <w:pPr>
              <w:pStyle w:val="TableTextCentered"/>
              <w:rPr>
                <w:rFonts w:eastAsia="Times New Roman"/>
              </w:rPr>
            </w:pPr>
            <w:r w:rsidRPr="008C1E5F">
              <w:rPr>
                <w:rFonts w:eastAsia="Times New Roman"/>
              </w:rPr>
              <w:t>5</w:t>
            </w:r>
          </w:p>
        </w:tc>
        <w:tc>
          <w:tcPr>
            <w:tcW w:w="874" w:type="dxa"/>
          </w:tcPr>
          <w:p w14:paraId="6510602D" w14:textId="77777777" w:rsidR="00D87D66" w:rsidRPr="008C1E5F" w:rsidRDefault="00D87D66" w:rsidP="00D87D66">
            <w:pPr>
              <w:pStyle w:val="TableTextCentered"/>
              <w:rPr>
                <w:rFonts w:eastAsia="Times New Roman"/>
              </w:rPr>
            </w:pPr>
            <w:r w:rsidRPr="008C1E5F">
              <w:rPr>
                <w:rFonts w:eastAsia="Times New Roman"/>
              </w:rPr>
              <w:t>10</w:t>
            </w:r>
          </w:p>
        </w:tc>
        <w:tc>
          <w:tcPr>
            <w:tcW w:w="874" w:type="dxa"/>
          </w:tcPr>
          <w:p w14:paraId="404695EF" w14:textId="77777777" w:rsidR="00D87D66" w:rsidRPr="008C1E5F" w:rsidRDefault="00D87D66" w:rsidP="00D87D66">
            <w:pPr>
              <w:pStyle w:val="TableTextCentered"/>
              <w:rPr>
                <w:rFonts w:eastAsia="Times New Roman"/>
              </w:rPr>
            </w:pPr>
            <w:r w:rsidRPr="008C1E5F">
              <w:rPr>
                <w:rFonts w:eastAsia="Times New Roman"/>
              </w:rPr>
              <w:t>4</w:t>
            </w:r>
          </w:p>
        </w:tc>
        <w:tc>
          <w:tcPr>
            <w:tcW w:w="875" w:type="dxa"/>
          </w:tcPr>
          <w:p w14:paraId="6EF2C7C4" w14:textId="77777777" w:rsidR="00D87D66" w:rsidRPr="008C1E5F" w:rsidRDefault="00D87D66" w:rsidP="00D87D66">
            <w:pPr>
              <w:pStyle w:val="TableTextCentered"/>
              <w:rPr>
                <w:rFonts w:eastAsia="Times New Roman"/>
              </w:rPr>
            </w:pPr>
            <w:r w:rsidRPr="008C1E5F">
              <w:rPr>
                <w:rFonts w:eastAsia="Times New Roman"/>
              </w:rPr>
              <w:t>9</w:t>
            </w:r>
          </w:p>
        </w:tc>
        <w:tc>
          <w:tcPr>
            <w:tcW w:w="875" w:type="dxa"/>
          </w:tcPr>
          <w:p w14:paraId="72E69127" w14:textId="77777777" w:rsidR="00D87D66" w:rsidRPr="008C1E5F" w:rsidRDefault="00D87D66" w:rsidP="00D87D66">
            <w:pPr>
              <w:pStyle w:val="TableTextCentered"/>
              <w:rPr>
                <w:rFonts w:eastAsia="Times New Roman"/>
              </w:rPr>
            </w:pPr>
            <w:r w:rsidRPr="008C1E5F">
              <w:rPr>
                <w:rFonts w:eastAsia="Times New Roman"/>
              </w:rPr>
              <w:t>2</w:t>
            </w:r>
          </w:p>
        </w:tc>
        <w:tc>
          <w:tcPr>
            <w:tcW w:w="874" w:type="dxa"/>
          </w:tcPr>
          <w:p w14:paraId="125B7530" w14:textId="77777777" w:rsidR="00D87D66" w:rsidRPr="008C1E5F" w:rsidRDefault="00D87D66" w:rsidP="00D87D66">
            <w:pPr>
              <w:pStyle w:val="TableTextCentered"/>
              <w:rPr>
                <w:rFonts w:eastAsia="Times New Roman"/>
              </w:rPr>
            </w:pPr>
            <w:r w:rsidRPr="008C1E5F">
              <w:rPr>
                <w:rFonts w:eastAsia="Times New Roman"/>
              </w:rPr>
              <w:t>0</w:t>
            </w:r>
          </w:p>
        </w:tc>
        <w:tc>
          <w:tcPr>
            <w:tcW w:w="875" w:type="dxa"/>
          </w:tcPr>
          <w:p w14:paraId="59AB7B31" w14:textId="77777777" w:rsidR="00D87D66" w:rsidRPr="008C1E5F" w:rsidRDefault="00D87D66" w:rsidP="00D87D66">
            <w:pPr>
              <w:pStyle w:val="TableTextCentered"/>
              <w:rPr>
                <w:rFonts w:eastAsia="Times New Roman"/>
              </w:rPr>
            </w:pPr>
            <w:r w:rsidRPr="008C1E5F">
              <w:rPr>
                <w:rFonts w:eastAsia="Times New Roman"/>
              </w:rPr>
              <w:t>0</w:t>
            </w:r>
          </w:p>
        </w:tc>
        <w:tc>
          <w:tcPr>
            <w:tcW w:w="900" w:type="dxa"/>
          </w:tcPr>
          <w:p w14:paraId="22A1EEF4" w14:textId="77777777" w:rsidR="00D87D66" w:rsidRPr="008C1E5F" w:rsidRDefault="00D87D66" w:rsidP="00D87D66">
            <w:pPr>
              <w:pStyle w:val="TableTextCentered"/>
              <w:rPr>
                <w:rFonts w:eastAsia="Times New Roman"/>
              </w:rPr>
            </w:pPr>
            <w:r w:rsidRPr="008C1E5F">
              <w:rPr>
                <w:rFonts w:eastAsia="Times New Roman"/>
              </w:rPr>
              <w:t>30</w:t>
            </w:r>
          </w:p>
        </w:tc>
        <w:tc>
          <w:tcPr>
            <w:tcW w:w="892" w:type="dxa"/>
          </w:tcPr>
          <w:p w14:paraId="3958CC8D" w14:textId="77777777" w:rsidR="00D87D66" w:rsidRPr="008C1E5F" w:rsidRDefault="00D87D66" w:rsidP="00D87D66">
            <w:pPr>
              <w:pStyle w:val="TableTextCentered"/>
              <w:rPr>
                <w:rFonts w:eastAsia="Times New Roman"/>
              </w:rPr>
            </w:pPr>
            <w:r w:rsidRPr="008C1E5F">
              <w:rPr>
                <w:rFonts w:eastAsia="Times New Roman"/>
              </w:rPr>
              <w:t>2.8</w:t>
            </w:r>
          </w:p>
        </w:tc>
      </w:tr>
      <w:tr w:rsidR="00D87D66" w:rsidRPr="008C1E5F" w14:paraId="107ED3E4" w14:textId="77777777" w:rsidTr="00D87D66">
        <w:trPr>
          <w:jc w:val="center"/>
        </w:trPr>
        <w:tc>
          <w:tcPr>
            <w:tcW w:w="1431" w:type="dxa"/>
          </w:tcPr>
          <w:p w14:paraId="47F29588" w14:textId="77777777" w:rsidR="00D87D66" w:rsidRPr="008C1E5F" w:rsidRDefault="00D87D66" w:rsidP="00D87D66">
            <w:pPr>
              <w:pStyle w:val="TableText"/>
            </w:pPr>
            <w:r w:rsidRPr="008C1E5F">
              <w:t>Grades 6-8</w:t>
            </w:r>
          </w:p>
        </w:tc>
        <w:tc>
          <w:tcPr>
            <w:tcW w:w="874" w:type="dxa"/>
          </w:tcPr>
          <w:p w14:paraId="405F6011" w14:textId="77777777" w:rsidR="00D87D66" w:rsidRPr="008C1E5F" w:rsidRDefault="00D87D66" w:rsidP="00D87D66">
            <w:pPr>
              <w:pStyle w:val="TableTextCentered"/>
              <w:rPr>
                <w:rFonts w:eastAsia="Times New Roman"/>
              </w:rPr>
            </w:pPr>
            <w:r w:rsidRPr="008C1E5F">
              <w:rPr>
                <w:rFonts w:eastAsia="Times New Roman"/>
              </w:rPr>
              <w:t>14</w:t>
            </w:r>
          </w:p>
        </w:tc>
        <w:tc>
          <w:tcPr>
            <w:tcW w:w="874" w:type="dxa"/>
          </w:tcPr>
          <w:p w14:paraId="25F547F7" w14:textId="77777777" w:rsidR="00D87D66" w:rsidRPr="008C1E5F" w:rsidRDefault="00D87D66" w:rsidP="00D87D66">
            <w:pPr>
              <w:pStyle w:val="TableTextCentered"/>
              <w:rPr>
                <w:rFonts w:eastAsia="Times New Roman"/>
              </w:rPr>
            </w:pPr>
            <w:r w:rsidRPr="008C1E5F">
              <w:rPr>
                <w:rFonts w:eastAsia="Times New Roman"/>
              </w:rPr>
              <w:t>18</w:t>
            </w:r>
          </w:p>
        </w:tc>
        <w:tc>
          <w:tcPr>
            <w:tcW w:w="874" w:type="dxa"/>
          </w:tcPr>
          <w:p w14:paraId="4DD695C3" w14:textId="77777777" w:rsidR="00D87D66" w:rsidRPr="008C1E5F" w:rsidRDefault="00D87D66" w:rsidP="00D87D66">
            <w:pPr>
              <w:pStyle w:val="TableTextCentered"/>
              <w:rPr>
                <w:rFonts w:eastAsia="Times New Roman"/>
              </w:rPr>
            </w:pPr>
            <w:r w:rsidRPr="008C1E5F">
              <w:rPr>
                <w:rFonts w:eastAsia="Times New Roman"/>
              </w:rPr>
              <w:t>21</w:t>
            </w:r>
          </w:p>
        </w:tc>
        <w:tc>
          <w:tcPr>
            <w:tcW w:w="875" w:type="dxa"/>
          </w:tcPr>
          <w:p w14:paraId="3C3C3B2C" w14:textId="77777777" w:rsidR="00D87D66" w:rsidRPr="008C1E5F" w:rsidRDefault="00D87D66" w:rsidP="00D87D66">
            <w:pPr>
              <w:pStyle w:val="TableTextCentered"/>
              <w:rPr>
                <w:rFonts w:eastAsia="Times New Roman"/>
              </w:rPr>
            </w:pPr>
            <w:r w:rsidRPr="008C1E5F">
              <w:rPr>
                <w:rFonts w:eastAsia="Times New Roman"/>
              </w:rPr>
              <w:t>10</w:t>
            </w:r>
          </w:p>
        </w:tc>
        <w:tc>
          <w:tcPr>
            <w:tcW w:w="875" w:type="dxa"/>
          </w:tcPr>
          <w:p w14:paraId="6DB6DEF3" w14:textId="77777777" w:rsidR="00D87D66" w:rsidRPr="008C1E5F" w:rsidRDefault="00D87D66" w:rsidP="00D87D66">
            <w:pPr>
              <w:pStyle w:val="TableTextCentered"/>
              <w:rPr>
                <w:rFonts w:eastAsia="Times New Roman"/>
              </w:rPr>
            </w:pPr>
            <w:r w:rsidRPr="008C1E5F">
              <w:rPr>
                <w:rFonts w:eastAsia="Times New Roman"/>
              </w:rPr>
              <w:t>3</w:t>
            </w:r>
          </w:p>
        </w:tc>
        <w:tc>
          <w:tcPr>
            <w:tcW w:w="874" w:type="dxa"/>
          </w:tcPr>
          <w:p w14:paraId="1B93F38F" w14:textId="77777777" w:rsidR="00D87D66" w:rsidRPr="008C1E5F" w:rsidRDefault="00D87D66" w:rsidP="00D87D66">
            <w:pPr>
              <w:pStyle w:val="TableTextCentered"/>
              <w:rPr>
                <w:rFonts w:eastAsia="Times New Roman"/>
              </w:rPr>
            </w:pPr>
            <w:r w:rsidRPr="008C1E5F">
              <w:rPr>
                <w:rFonts w:eastAsia="Times New Roman"/>
              </w:rPr>
              <w:t>2</w:t>
            </w:r>
          </w:p>
        </w:tc>
        <w:tc>
          <w:tcPr>
            <w:tcW w:w="875" w:type="dxa"/>
          </w:tcPr>
          <w:p w14:paraId="15F3825A" w14:textId="77777777" w:rsidR="00D87D66" w:rsidRPr="008C1E5F" w:rsidRDefault="00D87D66" w:rsidP="00D87D66">
            <w:pPr>
              <w:pStyle w:val="TableTextCentered"/>
              <w:rPr>
                <w:rFonts w:eastAsia="Times New Roman"/>
              </w:rPr>
            </w:pPr>
            <w:r w:rsidRPr="008C1E5F">
              <w:rPr>
                <w:rFonts w:eastAsia="Times New Roman"/>
              </w:rPr>
              <w:t>3</w:t>
            </w:r>
          </w:p>
        </w:tc>
        <w:tc>
          <w:tcPr>
            <w:tcW w:w="900" w:type="dxa"/>
          </w:tcPr>
          <w:p w14:paraId="39DC8286" w14:textId="77777777" w:rsidR="00D87D66" w:rsidRPr="008C1E5F" w:rsidRDefault="00D87D66" w:rsidP="00D87D66">
            <w:pPr>
              <w:pStyle w:val="TableTextCentered"/>
              <w:rPr>
                <w:rFonts w:eastAsia="Times New Roman"/>
              </w:rPr>
            </w:pPr>
            <w:r w:rsidRPr="008C1E5F">
              <w:rPr>
                <w:rFonts w:eastAsia="Times New Roman"/>
              </w:rPr>
              <w:t>71</w:t>
            </w:r>
          </w:p>
        </w:tc>
        <w:tc>
          <w:tcPr>
            <w:tcW w:w="892" w:type="dxa"/>
          </w:tcPr>
          <w:p w14:paraId="5B8821A0" w14:textId="77777777" w:rsidR="00D87D66" w:rsidRPr="008C1E5F" w:rsidRDefault="00D87D66" w:rsidP="00D87D66">
            <w:pPr>
              <w:pStyle w:val="TableTextCentered"/>
              <w:rPr>
                <w:rFonts w:eastAsia="Times New Roman"/>
              </w:rPr>
            </w:pPr>
            <w:r w:rsidRPr="008C1E5F">
              <w:rPr>
                <w:rFonts w:eastAsia="Times New Roman"/>
              </w:rPr>
              <w:t>2.8</w:t>
            </w:r>
          </w:p>
        </w:tc>
      </w:tr>
      <w:tr w:rsidR="00D87D66" w:rsidRPr="008C1E5F" w14:paraId="04D0BC6D" w14:textId="77777777" w:rsidTr="00D87D66">
        <w:trPr>
          <w:jc w:val="center"/>
        </w:trPr>
        <w:tc>
          <w:tcPr>
            <w:tcW w:w="1431" w:type="dxa"/>
          </w:tcPr>
          <w:p w14:paraId="6C93805B" w14:textId="77777777" w:rsidR="00D87D66" w:rsidRPr="008C1E5F" w:rsidRDefault="00D87D66" w:rsidP="00D87D66">
            <w:pPr>
              <w:pStyle w:val="TableText"/>
            </w:pPr>
            <w:r w:rsidRPr="008C1E5F">
              <w:t>Grades 9-12</w:t>
            </w:r>
          </w:p>
        </w:tc>
        <w:tc>
          <w:tcPr>
            <w:tcW w:w="874" w:type="dxa"/>
          </w:tcPr>
          <w:p w14:paraId="71B01B8A" w14:textId="77777777" w:rsidR="00D87D66" w:rsidRPr="008C1E5F" w:rsidRDefault="00D87D66" w:rsidP="00D87D66">
            <w:pPr>
              <w:pStyle w:val="TableTextCentered"/>
              <w:rPr>
                <w:rFonts w:eastAsia="Times New Roman"/>
              </w:rPr>
            </w:pPr>
            <w:r w:rsidRPr="008C1E5F">
              <w:rPr>
                <w:rFonts w:eastAsia="Times New Roman"/>
              </w:rPr>
              <w:t>8</w:t>
            </w:r>
          </w:p>
        </w:tc>
        <w:tc>
          <w:tcPr>
            <w:tcW w:w="874" w:type="dxa"/>
          </w:tcPr>
          <w:p w14:paraId="0C1D8056" w14:textId="77777777" w:rsidR="00D87D66" w:rsidRPr="008C1E5F" w:rsidRDefault="00D87D66" w:rsidP="00D87D66">
            <w:pPr>
              <w:pStyle w:val="TableTextCentered"/>
              <w:rPr>
                <w:rFonts w:eastAsia="Times New Roman"/>
              </w:rPr>
            </w:pPr>
            <w:r w:rsidRPr="008C1E5F">
              <w:rPr>
                <w:rFonts w:eastAsia="Times New Roman"/>
              </w:rPr>
              <w:t>11</w:t>
            </w:r>
          </w:p>
        </w:tc>
        <w:tc>
          <w:tcPr>
            <w:tcW w:w="874" w:type="dxa"/>
          </w:tcPr>
          <w:p w14:paraId="62D118D0" w14:textId="77777777" w:rsidR="00D87D66" w:rsidRPr="008C1E5F" w:rsidRDefault="00D87D66" w:rsidP="00D87D66">
            <w:pPr>
              <w:pStyle w:val="TableTextCentered"/>
              <w:rPr>
                <w:rFonts w:eastAsia="Times New Roman"/>
              </w:rPr>
            </w:pPr>
            <w:r w:rsidRPr="008C1E5F">
              <w:rPr>
                <w:rFonts w:eastAsia="Times New Roman"/>
              </w:rPr>
              <w:t>7</w:t>
            </w:r>
          </w:p>
        </w:tc>
        <w:tc>
          <w:tcPr>
            <w:tcW w:w="875" w:type="dxa"/>
          </w:tcPr>
          <w:p w14:paraId="0AB1DEE6" w14:textId="77777777" w:rsidR="00D87D66" w:rsidRPr="008C1E5F" w:rsidRDefault="00D87D66" w:rsidP="00D87D66">
            <w:pPr>
              <w:pStyle w:val="TableTextCentered"/>
              <w:rPr>
                <w:rFonts w:eastAsia="Times New Roman"/>
              </w:rPr>
            </w:pPr>
            <w:r w:rsidRPr="008C1E5F">
              <w:rPr>
                <w:rFonts w:eastAsia="Times New Roman"/>
              </w:rPr>
              <w:t>5</w:t>
            </w:r>
          </w:p>
        </w:tc>
        <w:tc>
          <w:tcPr>
            <w:tcW w:w="875" w:type="dxa"/>
          </w:tcPr>
          <w:p w14:paraId="64C0D047" w14:textId="77777777" w:rsidR="00D87D66" w:rsidRPr="008C1E5F" w:rsidRDefault="00D87D66" w:rsidP="00D87D66">
            <w:pPr>
              <w:pStyle w:val="TableTextCentered"/>
              <w:rPr>
                <w:rFonts w:eastAsia="Times New Roman"/>
              </w:rPr>
            </w:pPr>
            <w:r w:rsidRPr="008C1E5F">
              <w:rPr>
                <w:rFonts w:eastAsia="Times New Roman"/>
              </w:rPr>
              <w:t>2</w:t>
            </w:r>
          </w:p>
        </w:tc>
        <w:tc>
          <w:tcPr>
            <w:tcW w:w="874" w:type="dxa"/>
          </w:tcPr>
          <w:p w14:paraId="540332DF" w14:textId="77777777" w:rsidR="00D87D66" w:rsidRPr="008C1E5F" w:rsidRDefault="00D87D66" w:rsidP="00D87D66">
            <w:pPr>
              <w:pStyle w:val="TableTextCentered"/>
              <w:rPr>
                <w:rFonts w:eastAsia="Times New Roman"/>
              </w:rPr>
            </w:pPr>
            <w:r w:rsidRPr="008C1E5F">
              <w:rPr>
                <w:rFonts w:eastAsia="Times New Roman"/>
              </w:rPr>
              <w:t>1</w:t>
            </w:r>
          </w:p>
        </w:tc>
        <w:tc>
          <w:tcPr>
            <w:tcW w:w="875" w:type="dxa"/>
          </w:tcPr>
          <w:p w14:paraId="19C37140" w14:textId="77777777" w:rsidR="00D87D66" w:rsidRPr="008C1E5F" w:rsidRDefault="00D87D66" w:rsidP="00D87D66">
            <w:pPr>
              <w:pStyle w:val="TableTextCentered"/>
              <w:rPr>
                <w:rFonts w:eastAsia="Times New Roman"/>
              </w:rPr>
            </w:pPr>
            <w:r w:rsidRPr="008C1E5F">
              <w:rPr>
                <w:rFonts w:eastAsia="Times New Roman"/>
              </w:rPr>
              <w:t>1</w:t>
            </w:r>
          </w:p>
        </w:tc>
        <w:tc>
          <w:tcPr>
            <w:tcW w:w="900" w:type="dxa"/>
          </w:tcPr>
          <w:p w14:paraId="79DC6EBA" w14:textId="77777777" w:rsidR="00D87D66" w:rsidRPr="008C1E5F" w:rsidRDefault="00D87D66" w:rsidP="00D87D66">
            <w:pPr>
              <w:pStyle w:val="TableTextCentered"/>
              <w:rPr>
                <w:rFonts w:eastAsia="Times New Roman"/>
              </w:rPr>
            </w:pPr>
            <w:r w:rsidRPr="008C1E5F">
              <w:rPr>
                <w:rFonts w:eastAsia="Times New Roman"/>
              </w:rPr>
              <w:t>35</w:t>
            </w:r>
          </w:p>
        </w:tc>
        <w:tc>
          <w:tcPr>
            <w:tcW w:w="892" w:type="dxa"/>
          </w:tcPr>
          <w:p w14:paraId="1890C48B" w14:textId="77777777" w:rsidR="00D87D66" w:rsidRPr="008C1E5F" w:rsidRDefault="00D87D66" w:rsidP="00D87D66">
            <w:pPr>
              <w:pStyle w:val="TableTextCentered"/>
              <w:rPr>
                <w:rFonts w:eastAsia="Times New Roman"/>
              </w:rPr>
            </w:pPr>
            <w:r w:rsidRPr="008C1E5F">
              <w:rPr>
                <w:rFonts w:eastAsia="Times New Roman"/>
              </w:rPr>
              <w:t>2.7</w:t>
            </w:r>
          </w:p>
        </w:tc>
      </w:tr>
    </w:tbl>
    <w:bookmarkEnd w:id="218"/>
    <w:p w14:paraId="56D9505A" w14:textId="77777777" w:rsidR="00900CF1" w:rsidRPr="008C1E5F" w:rsidRDefault="00900CF1">
      <w:pPr>
        <w:pStyle w:val="TableNote"/>
      </w:pPr>
      <w:r w:rsidRPr="008C1E5F">
        <w:t xml:space="preserve">*The district average is an average of the observation scores. In Table 12, the district average is computed as: </w:t>
      </w:r>
      <w:r w:rsidRPr="008C1E5F">
        <w:br/>
      </w:r>
      <w:bookmarkStart w:id="219" w:name="Dist_AI_Calc"/>
      <w:r w:rsidRPr="008C1E5F">
        <w:t>([1 x 27] + [2 x 39] + [3 x 32] + [4 x 24] + [5 x 7] + [6 x 3] + [7 x 4]) ÷ 136 observations = 2.8</w:t>
      </w:r>
      <w:bookmarkEnd w:id="219"/>
    </w:p>
    <w:p w14:paraId="69EC73B8" w14:textId="77777777" w:rsidR="00900CF1" w:rsidRPr="008C1E5F" w:rsidRDefault="00900CF1">
      <w:pPr>
        <w:pStyle w:val="TableNote"/>
      </w:pPr>
      <w:r w:rsidRPr="008C1E5F">
        <w:t>**Analysis and Inquiry does not appear in the CLASS K-3 Manual, therefore scores for the Elementary School Level represent grades 4-5 only.</w:t>
      </w:r>
    </w:p>
    <w:p w14:paraId="2F2050AE" w14:textId="77777777" w:rsidR="00900CF1" w:rsidRPr="008C1E5F" w:rsidRDefault="00900CF1">
      <w:pPr>
        <w:pStyle w:val="BodyText"/>
      </w:pPr>
      <w:r w:rsidRPr="008C1E5F">
        <w:rPr>
          <w:rStyle w:val="BodyTextDemiChar"/>
        </w:rPr>
        <w:t>Ratings in the Low Range.</w:t>
      </w:r>
      <w:r w:rsidRPr="008C1E5F">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05C40033" w14:textId="77777777" w:rsidR="00900CF1" w:rsidRPr="008C1E5F" w:rsidRDefault="00900CF1">
      <w:pPr>
        <w:pStyle w:val="BodyText"/>
      </w:pPr>
      <w:r w:rsidRPr="008C1E5F">
        <w:rPr>
          <w:rStyle w:val="BodyTextDemiChar"/>
        </w:rPr>
        <w:t>Ratings in the Middle Range.</w:t>
      </w:r>
      <w:r w:rsidRPr="008C1E5F">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4B4867F6" w14:textId="77777777" w:rsidR="00900CF1" w:rsidRPr="008C1E5F" w:rsidRDefault="00900CF1">
      <w:pPr>
        <w:pStyle w:val="BodyText"/>
      </w:pPr>
      <w:r w:rsidRPr="008C1E5F">
        <w:rPr>
          <w:rStyle w:val="BodyTextDemiChar"/>
        </w:rPr>
        <w:t>Ratings in the High Range.</w:t>
      </w:r>
      <w:r w:rsidRPr="008C1E5F">
        <w:t xml:space="preserve"> </w:t>
      </w:r>
      <w:r w:rsidRPr="008C1E5F">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33C9347D" w14:textId="77777777" w:rsidR="00900CF1" w:rsidRPr="008C1E5F" w:rsidRDefault="00900CF1">
      <w:pPr>
        <w:spacing w:after="160" w:line="259" w:lineRule="auto"/>
      </w:pPr>
      <w:r w:rsidRPr="008C1E5F">
        <w:br w:type="page"/>
      </w:r>
    </w:p>
    <w:p w14:paraId="48EF7D5F" w14:textId="77777777" w:rsidR="00900CF1" w:rsidRPr="008C1E5F" w:rsidRDefault="00900CF1">
      <w:pPr>
        <w:pStyle w:val="Heading2-SIOR"/>
      </w:pPr>
      <w:bookmarkStart w:id="220" w:name="_Toc411329836"/>
      <w:bookmarkStart w:id="221" w:name="_Toc430114885"/>
      <w:bookmarkStart w:id="222" w:name="_Toc92194264"/>
      <w:bookmarkStart w:id="223" w:name="_Toc195024256"/>
      <w:r w:rsidRPr="008C1E5F">
        <w:lastRenderedPageBreak/>
        <w:t>Quality of Feedback</w:t>
      </w:r>
      <w:bookmarkEnd w:id="220"/>
      <w:bookmarkEnd w:id="221"/>
      <w:bookmarkEnd w:id="222"/>
      <w:bookmarkEnd w:id="223"/>
    </w:p>
    <w:p w14:paraId="26A976D0" w14:textId="77777777" w:rsidR="00900CF1" w:rsidRPr="008C1E5F" w:rsidRDefault="00900CF1">
      <w:pPr>
        <w:pStyle w:val="BodyTextDomain"/>
      </w:pPr>
      <w:r w:rsidRPr="008C1E5F">
        <w:t>Instructional Support domain, Grades K</w:t>
      </w:r>
      <w:r w:rsidRPr="008C1E5F">
        <w:rPr>
          <w:rFonts w:ascii="Vijaya" w:hAnsi="Vijaya" w:cs="Vijaya"/>
        </w:rPr>
        <w:t>−</w:t>
      </w:r>
      <w:r w:rsidRPr="008C1E5F">
        <w:t xml:space="preserve"> 12</w:t>
      </w:r>
    </w:p>
    <w:p w14:paraId="4E3FC01C" w14:textId="77777777" w:rsidR="00900CF1" w:rsidRPr="008C1E5F" w:rsidRDefault="00900CF1">
      <w:pPr>
        <w:pStyle w:val="BodyText"/>
      </w:pPr>
      <w:r w:rsidRPr="008C1E5F">
        <w:t>Quality of Feedback refers to the degree to which the teacher provides feedback that expands learning and understanding and encourages continued participation in the learning activity (</w:t>
      </w:r>
      <w:r w:rsidRPr="008C1E5F">
        <w:rPr>
          <w:i/>
        </w:rPr>
        <w:t>CLASS K–3 Manual</w:t>
      </w:r>
      <w:r w:rsidRPr="008C1E5F">
        <w:t>, p. 72). In the upper elementary and secondary classrooms, significant feedback also may be provided by peers (</w:t>
      </w:r>
      <w:r w:rsidRPr="008C1E5F">
        <w:rPr>
          <w:i/>
        </w:rPr>
        <w:t>CLASS Upper Elementary Manual</w:t>
      </w:r>
      <w:r w:rsidRPr="008C1E5F">
        <w:t xml:space="preserve">, p. 89, </w:t>
      </w:r>
      <w:r w:rsidRPr="008C1E5F">
        <w:rPr>
          <w:i/>
          <w:spacing w:val="-2"/>
        </w:rPr>
        <w:t>CLASS Secondary Manual</w:t>
      </w:r>
      <w:r w:rsidRPr="008C1E5F">
        <w:rPr>
          <w:spacing w:val="-2"/>
        </w:rPr>
        <w:t>, p. 93</w:t>
      </w:r>
      <w:r w:rsidRPr="008C1E5F">
        <w:t xml:space="preserve">). Regardless of the source, the focus of the feedback motivates learning. </w:t>
      </w:r>
    </w:p>
    <w:p w14:paraId="7EB9D500" w14:textId="77777777" w:rsidR="00900CF1" w:rsidRPr="008C1E5F" w:rsidRDefault="00900CF1">
      <w:pPr>
        <w:pStyle w:val="TableTitle0"/>
      </w:pPr>
      <w:r w:rsidRPr="008C1E5F">
        <w:t>Table 13. Quality of Feedback: Number of Classrooms for Each Rating and District Average</w:t>
      </w:r>
    </w:p>
    <w:p w14:paraId="3A2D513E" w14:textId="77777777" w:rsidR="00900CF1" w:rsidRPr="008C1E5F" w:rsidRDefault="00900CF1">
      <w:pPr>
        <w:pStyle w:val="BodyTextDemi"/>
      </w:pPr>
      <w:r w:rsidRPr="008C1E5F">
        <w:t xml:space="preserve">Quality of Feedback District Average*: </w:t>
      </w:r>
      <w:bookmarkStart w:id="224" w:name="Dist_QF_Avg"/>
      <w:r w:rsidRPr="008C1E5F">
        <w:t>3.2</w:t>
      </w:r>
      <w:bookmarkEnd w:id="224"/>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D87D66" w:rsidRPr="008C1E5F" w14:paraId="1E08811A" w14:textId="77777777" w:rsidTr="00D87D66">
        <w:trPr>
          <w:cnfStyle w:val="100000000000" w:firstRow="1" w:lastRow="0" w:firstColumn="0" w:lastColumn="0" w:oddVBand="0" w:evenVBand="0" w:oddHBand="0" w:evenHBand="0" w:firstRowFirstColumn="0" w:firstRowLastColumn="0" w:lastRowFirstColumn="0" w:lastRowLastColumn="0"/>
          <w:jc w:val="center"/>
        </w:trPr>
        <w:tc>
          <w:tcPr>
            <w:tcW w:w="1431" w:type="dxa"/>
          </w:tcPr>
          <w:p w14:paraId="77929541" w14:textId="4392D484" w:rsidR="00D87D66" w:rsidRPr="008C1E5F" w:rsidRDefault="00D87D66" w:rsidP="00D87D66">
            <w:pPr>
              <w:pStyle w:val="TableColHeadingCenter"/>
              <w:rPr>
                <w:rFonts w:eastAsia="MS Mincho"/>
              </w:rPr>
            </w:pPr>
            <w:bookmarkStart w:id="225" w:name="Tbl_QF"/>
            <w:r w:rsidRPr="008C1E5F">
              <w:rPr>
                <w:rFonts w:eastAsia="MS Mincho"/>
              </w:rPr>
              <w:t>Grade Band</w:t>
            </w:r>
          </w:p>
        </w:tc>
        <w:tc>
          <w:tcPr>
            <w:tcW w:w="874" w:type="dxa"/>
          </w:tcPr>
          <w:p w14:paraId="0DD4461C" w14:textId="77777777" w:rsidR="00D87D66" w:rsidRPr="008C1E5F" w:rsidRDefault="00D87D66" w:rsidP="00D87D66">
            <w:pPr>
              <w:pStyle w:val="TableColHeadingCenter"/>
              <w:rPr>
                <w:rFonts w:eastAsia="MS Mincho"/>
              </w:rPr>
            </w:pPr>
            <w:r w:rsidRPr="008C1E5F">
              <w:rPr>
                <w:rFonts w:eastAsia="MS Mincho"/>
              </w:rPr>
              <w:t>Low Range</w:t>
            </w:r>
          </w:p>
        </w:tc>
        <w:tc>
          <w:tcPr>
            <w:tcW w:w="874" w:type="dxa"/>
          </w:tcPr>
          <w:p w14:paraId="4D74E7BB" w14:textId="61B26329" w:rsidR="00D87D66" w:rsidRPr="008C1E5F" w:rsidRDefault="00D87D66" w:rsidP="00D87D66">
            <w:pPr>
              <w:pStyle w:val="TableColHeadingCenter"/>
              <w:rPr>
                <w:rFonts w:eastAsia="MS Mincho"/>
              </w:rPr>
            </w:pPr>
            <w:r w:rsidRPr="008C1E5F">
              <w:rPr>
                <w:rFonts w:eastAsia="MS Mincho"/>
              </w:rPr>
              <w:t>Low Range</w:t>
            </w:r>
          </w:p>
        </w:tc>
        <w:tc>
          <w:tcPr>
            <w:tcW w:w="874" w:type="dxa"/>
          </w:tcPr>
          <w:p w14:paraId="54CCC032" w14:textId="77777777" w:rsidR="00D87D66" w:rsidRPr="008C1E5F" w:rsidRDefault="00D87D66" w:rsidP="00D87D66">
            <w:pPr>
              <w:pStyle w:val="TableColHeadingCenter"/>
              <w:rPr>
                <w:rFonts w:eastAsia="MS Mincho"/>
              </w:rPr>
            </w:pPr>
            <w:r w:rsidRPr="008C1E5F">
              <w:rPr>
                <w:rFonts w:eastAsia="MS Mincho"/>
              </w:rPr>
              <w:t>Middle Range</w:t>
            </w:r>
          </w:p>
        </w:tc>
        <w:tc>
          <w:tcPr>
            <w:tcW w:w="875" w:type="dxa"/>
          </w:tcPr>
          <w:p w14:paraId="4DF61501" w14:textId="398A8CDF" w:rsidR="00D87D66" w:rsidRPr="008C1E5F" w:rsidRDefault="00D87D66" w:rsidP="00D87D66">
            <w:pPr>
              <w:pStyle w:val="TableColHeadingCenter"/>
              <w:rPr>
                <w:rFonts w:eastAsia="MS Mincho"/>
              </w:rPr>
            </w:pPr>
            <w:r w:rsidRPr="008C1E5F">
              <w:rPr>
                <w:rFonts w:eastAsia="MS Mincho"/>
              </w:rPr>
              <w:t>Middle Range</w:t>
            </w:r>
          </w:p>
        </w:tc>
        <w:tc>
          <w:tcPr>
            <w:tcW w:w="875" w:type="dxa"/>
          </w:tcPr>
          <w:p w14:paraId="18EADA5C" w14:textId="74DCBE38" w:rsidR="00D87D66" w:rsidRPr="008C1E5F" w:rsidRDefault="00D87D66" w:rsidP="00D87D66">
            <w:pPr>
              <w:pStyle w:val="TableColHeadingCenter"/>
              <w:rPr>
                <w:rFonts w:eastAsia="MS Mincho"/>
              </w:rPr>
            </w:pPr>
            <w:r w:rsidRPr="008C1E5F">
              <w:rPr>
                <w:rFonts w:eastAsia="MS Mincho"/>
              </w:rPr>
              <w:t>Middle Range</w:t>
            </w:r>
          </w:p>
        </w:tc>
        <w:tc>
          <w:tcPr>
            <w:tcW w:w="874" w:type="dxa"/>
          </w:tcPr>
          <w:p w14:paraId="635A6490" w14:textId="77777777" w:rsidR="00D87D66" w:rsidRPr="008C1E5F" w:rsidRDefault="00D87D66" w:rsidP="00D87D66">
            <w:pPr>
              <w:pStyle w:val="TableColHeadingCenter"/>
              <w:rPr>
                <w:rFonts w:eastAsia="MS Mincho"/>
              </w:rPr>
            </w:pPr>
            <w:r w:rsidRPr="008C1E5F">
              <w:rPr>
                <w:rFonts w:eastAsia="MS Mincho"/>
              </w:rPr>
              <w:t>High Range</w:t>
            </w:r>
          </w:p>
        </w:tc>
        <w:tc>
          <w:tcPr>
            <w:tcW w:w="875" w:type="dxa"/>
          </w:tcPr>
          <w:p w14:paraId="04C7C4B5" w14:textId="7154C7B1" w:rsidR="00D87D66" w:rsidRPr="008C1E5F" w:rsidRDefault="00D87D66" w:rsidP="00D87D66">
            <w:pPr>
              <w:pStyle w:val="TableColHeadingCenter"/>
              <w:rPr>
                <w:rFonts w:eastAsia="MS Mincho"/>
              </w:rPr>
            </w:pPr>
            <w:r w:rsidRPr="008C1E5F">
              <w:rPr>
                <w:rFonts w:eastAsia="MS Mincho"/>
              </w:rPr>
              <w:t>High Range</w:t>
            </w:r>
          </w:p>
        </w:tc>
        <w:tc>
          <w:tcPr>
            <w:tcW w:w="900" w:type="dxa"/>
          </w:tcPr>
          <w:p w14:paraId="7ED1F997" w14:textId="6A19B87A" w:rsidR="00D87D66" w:rsidRPr="008C1E5F" w:rsidRDefault="00D87D66" w:rsidP="00D87D66">
            <w:pPr>
              <w:pStyle w:val="TableColHeadingCenter"/>
              <w:rPr>
                <w:rFonts w:eastAsia="MS Mincho"/>
              </w:rPr>
            </w:pPr>
            <w:r w:rsidRPr="008C1E5F">
              <w:rPr>
                <w:rFonts w:eastAsia="MS Mincho"/>
                <w:i/>
                <w:iCs/>
              </w:rPr>
              <w:t>n</w:t>
            </w:r>
          </w:p>
        </w:tc>
        <w:tc>
          <w:tcPr>
            <w:tcW w:w="892" w:type="dxa"/>
          </w:tcPr>
          <w:p w14:paraId="58610BA4" w14:textId="2A5A8755" w:rsidR="00D87D66" w:rsidRPr="008C1E5F" w:rsidRDefault="00D87D66" w:rsidP="00D87D66">
            <w:pPr>
              <w:pStyle w:val="TableColHeadingCenter"/>
              <w:rPr>
                <w:rFonts w:eastAsia="MS Mincho"/>
              </w:rPr>
            </w:pPr>
            <w:r w:rsidRPr="008C1E5F">
              <w:rPr>
                <w:rFonts w:eastAsia="MS Mincho"/>
              </w:rPr>
              <w:t>Average</w:t>
            </w:r>
          </w:p>
        </w:tc>
      </w:tr>
      <w:tr w:rsidR="00D87D66" w:rsidRPr="008C1E5F" w14:paraId="4F7B701E" w14:textId="77777777" w:rsidTr="00D87D66">
        <w:trPr>
          <w:jc w:val="center"/>
        </w:trPr>
        <w:tc>
          <w:tcPr>
            <w:tcW w:w="1431" w:type="dxa"/>
            <w:shd w:val="clear" w:color="auto" w:fill="D9E2F3" w:themeFill="accent5" w:themeFillTint="33"/>
          </w:tcPr>
          <w:p w14:paraId="474D72D9" w14:textId="77777777" w:rsidR="00D87D66" w:rsidRPr="008C1E5F" w:rsidRDefault="00D87D66" w:rsidP="00D87D66">
            <w:pPr>
              <w:pStyle w:val="TableSubheadingCentered"/>
            </w:pPr>
          </w:p>
        </w:tc>
        <w:tc>
          <w:tcPr>
            <w:tcW w:w="874" w:type="dxa"/>
            <w:shd w:val="clear" w:color="auto" w:fill="D9E2F3" w:themeFill="accent5" w:themeFillTint="33"/>
          </w:tcPr>
          <w:p w14:paraId="013BD5B6" w14:textId="77777777" w:rsidR="00D87D66" w:rsidRPr="008C1E5F" w:rsidRDefault="00D87D66" w:rsidP="00D87D66">
            <w:pPr>
              <w:pStyle w:val="TableSubheadingCentered"/>
            </w:pPr>
            <w:r w:rsidRPr="008C1E5F">
              <w:t>1</w:t>
            </w:r>
          </w:p>
        </w:tc>
        <w:tc>
          <w:tcPr>
            <w:tcW w:w="874" w:type="dxa"/>
            <w:shd w:val="clear" w:color="auto" w:fill="D9E2F3" w:themeFill="accent5" w:themeFillTint="33"/>
          </w:tcPr>
          <w:p w14:paraId="6F8269A7" w14:textId="77777777" w:rsidR="00D87D66" w:rsidRPr="008C1E5F" w:rsidRDefault="00D87D66" w:rsidP="00D87D66">
            <w:pPr>
              <w:pStyle w:val="TableSubheadingCentered"/>
            </w:pPr>
            <w:r w:rsidRPr="008C1E5F">
              <w:t>2</w:t>
            </w:r>
          </w:p>
        </w:tc>
        <w:tc>
          <w:tcPr>
            <w:tcW w:w="874" w:type="dxa"/>
            <w:shd w:val="clear" w:color="auto" w:fill="D9E2F3" w:themeFill="accent5" w:themeFillTint="33"/>
          </w:tcPr>
          <w:p w14:paraId="791C10E5" w14:textId="77777777" w:rsidR="00D87D66" w:rsidRPr="008C1E5F" w:rsidRDefault="00D87D66" w:rsidP="00D87D66">
            <w:pPr>
              <w:pStyle w:val="TableSubheadingCentered"/>
            </w:pPr>
            <w:r w:rsidRPr="008C1E5F">
              <w:t>3</w:t>
            </w:r>
          </w:p>
        </w:tc>
        <w:tc>
          <w:tcPr>
            <w:tcW w:w="875" w:type="dxa"/>
            <w:shd w:val="clear" w:color="auto" w:fill="D9E2F3" w:themeFill="accent5" w:themeFillTint="33"/>
          </w:tcPr>
          <w:p w14:paraId="44C115DB" w14:textId="77777777" w:rsidR="00D87D66" w:rsidRPr="008C1E5F" w:rsidRDefault="00D87D66" w:rsidP="00D87D66">
            <w:pPr>
              <w:pStyle w:val="TableSubheadingCentered"/>
            </w:pPr>
            <w:r w:rsidRPr="008C1E5F">
              <w:t>4</w:t>
            </w:r>
          </w:p>
        </w:tc>
        <w:tc>
          <w:tcPr>
            <w:tcW w:w="875" w:type="dxa"/>
            <w:shd w:val="clear" w:color="auto" w:fill="D9E2F3" w:themeFill="accent5" w:themeFillTint="33"/>
          </w:tcPr>
          <w:p w14:paraId="3E70455B" w14:textId="77777777" w:rsidR="00D87D66" w:rsidRPr="008C1E5F" w:rsidRDefault="00D87D66" w:rsidP="00D87D66">
            <w:pPr>
              <w:pStyle w:val="TableSubheadingCentered"/>
            </w:pPr>
            <w:r w:rsidRPr="008C1E5F">
              <w:t>5</w:t>
            </w:r>
          </w:p>
        </w:tc>
        <w:tc>
          <w:tcPr>
            <w:tcW w:w="874" w:type="dxa"/>
            <w:shd w:val="clear" w:color="auto" w:fill="D9E2F3" w:themeFill="accent5" w:themeFillTint="33"/>
          </w:tcPr>
          <w:p w14:paraId="742182E1" w14:textId="77777777" w:rsidR="00D87D66" w:rsidRPr="008C1E5F" w:rsidRDefault="00D87D66" w:rsidP="00D87D66">
            <w:pPr>
              <w:pStyle w:val="TableSubheadingCentered"/>
            </w:pPr>
            <w:r w:rsidRPr="008C1E5F">
              <w:t>6</w:t>
            </w:r>
          </w:p>
        </w:tc>
        <w:tc>
          <w:tcPr>
            <w:tcW w:w="875" w:type="dxa"/>
            <w:shd w:val="clear" w:color="auto" w:fill="D9E2F3" w:themeFill="accent5" w:themeFillTint="33"/>
          </w:tcPr>
          <w:p w14:paraId="44A6F53D" w14:textId="77777777" w:rsidR="00D87D66" w:rsidRPr="008C1E5F" w:rsidRDefault="00D87D66" w:rsidP="00D87D66">
            <w:pPr>
              <w:pStyle w:val="TableSubheadingCentered"/>
            </w:pPr>
            <w:r w:rsidRPr="008C1E5F">
              <w:t>7</w:t>
            </w:r>
          </w:p>
        </w:tc>
        <w:tc>
          <w:tcPr>
            <w:tcW w:w="900" w:type="dxa"/>
            <w:shd w:val="clear" w:color="auto" w:fill="D9E2F3" w:themeFill="accent5" w:themeFillTint="33"/>
          </w:tcPr>
          <w:p w14:paraId="541AF69B" w14:textId="77777777" w:rsidR="00D87D66" w:rsidRPr="008C1E5F" w:rsidRDefault="00D87D66" w:rsidP="00D87D66">
            <w:pPr>
              <w:pStyle w:val="TableSubheadingCentered"/>
            </w:pPr>
            <w:r w:rsidRPr="008C1E5F">
              <w:t>190</w:t>
            </w:r>
          </w:p>
        </w:tc>
        <w:tc>
          <w:tcPr>
            <w:tcW w:w="892" w:type="dxa"/>
            <w:shd w:val="clear" w:color="auto" w:fill="D9E2F3" w:themeFill="accent5" w:themeFillTint="33"/>
          </w:tcPr>
          <w:p w14:paraId="29738328" w14:textId="77777777" w:rsidR="00D87D66" w:rsidRPr="008C1E5F" w:rsidRDefault="00D87D66" w:rsidP="00D87D66">
            <w:pPr>
              <w:pStyle w:val="TableSubheadingCentered"/>
            </w:pPr>
            <w:r w:rsidRPr="008C1E5F">
              <w:t>3.2</w:t>
            </w:r>
          </w:p>
        </w:tc>
      </w:tr>
      <w:tr w:rsidR="00D87D66" w:rsidRPr="008C1E5F" w14:paraId="5955B641" w14:textId="77777777" w:rsidTr="00D87D66">
        <w:trPr>
          <w:jc w:val="center"/>
        </w:trPr>
        <w:tc>
          <w:tcPr>
            <w:tcW w:w="1431" w:type="dxa"/>
          </w:tcPr>
          <w:p w14:paraId="4D891FE4" w14:textId="77777777" w:rsidR="00D87D66" w:rsidRPr="008C1E5F" w:rsidRDefault="00D87D66" w:rsidP="00D87D66">
            <w:pPr>
              <w:pStyle w:val="TableText"/>
            </w:pPr>
            <w:r w:rsidRPr="008C1E5F">
              <w:t>Grades K-5</w:t>
            </w:r>
          </w:p>
        </w:tc>
        <w:tc>
          <w:tcPr>
            <w:tcW w:w="874" w:type="dxa"/>
          </w:tcPr>
          <w:p w14:paraId="2099445F" w14:textId="77777777" w:rsidR="00D87D66" w:rsidRPr="008C1E5F" w:rsidRDefault="00D87D66" w:rsidP="00D87D66">
            <w:pPr>
              <w:pStyle w:val="TableTextCentered"/>
              <w:rPr>
                <w:rFonts w:eastAsia="Times New Roman"/>
              </w:rPr>
            </w:pPr>
            <w:r w:rsidRPr="008C1E5F">
              <w:rPr>
                <w:rFonts w:eastAsia="Times New Roman"/>
              </w:rPr>
              <w:t>3</w:t>
            </w:r>
          </w:p>
        </w:tc>
        <w:tc>
          <w:tcPr>
            <w:tcW w:w="874" w:type="dxa"/>
          </w:tcPr>
          <w:p w14:paraId="32E0C27C" w14:textId="77777777" w:rsidR="00D87D66" w:rsidRPr="008C1E5F" w:rsidRDefault="00D87D66" w:rsidP="00D87D66">
            <w:pPr>
              <w:pStyle w:val="TableTextCentered"/>
              <w:rPr>
                <w:rFonts w:eastAsia="Times New Roman"/>
              </w:rPr>
            </w:pPr>
            <w:r w:rsidRPr="008C1E5F">
              <w:rPr>
                <w:rFonts w:eastAsia="Times New Roman"/>
              </w:rPr>
              <w:t>21</w:t>
            </w:r>
          </w:p>
        </w:tc>
        <w:tc>
          <w:tcPr>
            <w:tcW w:w="874" w:type="dxa"/>
          </w:tcPr>
          <w:p w14:paraId="7391DDF2" w14:textId="77777777" w:rsidR="00D87D66" w:rsidRPr="008C1E5F" w:rsidRDefault="00D87D66" w:rsidP="00D87D66">
            <w:pPr>
              <w:pStyle w:val="TableTextCentered"/>
              <w:rPr>
                <w:rFonts w:eastAsia="Times New Roman"/>
              </w:rPr>
            </w:pPr>
            <w:r w:rsidRPr="008C1E5F">
              <w:rPr>
                <w:rFonts w:eastAsia="Times New Roman"/>
              </w:rPr>
              <w:t>26</w:t>
            </w:r>
          </w:p>
        </w:tc>
        <w:tc>
          <w:tcPr>
            <w:tcW w:w="875" w:type="dxa"/>
          </w:tcPr>
          <w:p w14:paraId="3DFC7105" w14:textId="77777777" w:rsidR="00D87D66" w:rsidRPr="008C1E5F" w:rsidRDefault="00D87D66" w:rsidP="00D87D66">
            <w:pPr>
              <w:pStyle w:val="TableTextCentered"/>
              <w:rPr>
                <w:rFonts w:eastAsia="Times New Roman"/>
              </w:rPr>
            </w:pPr>
            <w:r w:rsidRPr="008C1E5F">
              <w:rPr>
                <w:rFonts w:eastAsia="Times New Roman"/>
              </w:rPr>
              <w:t>14</w:t>
            </w:r>
          </w:p>
        </w:tc>
        <w:tc>
          <w:tcPr>
            <w:tcW w:w="875" w:type="dxa"/>
          </w:tcPr>
          <w:p w14:paraId="18889A12" w14:textId="77777777" w:rsidR="00D87D66" w:rsidRPr="008C1E5F" w:rsidRDefault="00D87D66" w:rsidP="00D87D66">
            <w:pPr>
              <w:pStyle w:val="TableTextCentered"/>
              <w:rPr>
                <w:rFonts w:eastAsia="Times New Roman"/>
              </w:rPr>
            </w:pPr>
            <w:r w:rsidRPr="008C1E5F">
              <w:rPr>
                <w:rFonts w:eastAsia="Times New Roman"/>
              </w:rPr>
              <w:t>14</w:t>
            </w:r>
          </w:p>
        </w:tc>
        <w:tc>
          <w:tcPr>
            <w:tcW w:w="874" w:type="dxa"/>
          </w:tcPr>
          <w:p w14:paraId="4B8B626E" w14:textId="77777777" w:rsidR="00D87D66" w:rsidRPr="008C1E5F" w:rsidRDefault="00D87D66" w:rsidP="00D87D66">
            <w:pPr>
              <w:pStyle w:val="TableTextCentered"/>
              <w:rPr>
                <w:rFonts w:eastAsia="Times New Roman"/>
              </w:rPr>
            </w:pPr>
            <w:r w:rsidRPr="008C1E5F">
              <w:rPr>
                <w:rFonts w:eastAsia="Times New Roman"/>
              </w:rPr>
              <w:t>5</w:t>
            </w:r>
          </w:p>
        </w:tc>
        <w:tc>
          <w:tcPr>
            <w:tcW w:w="875" w:type="dxa"/>
          </w:tcPr>
          <w:p w14:paraId="3D4BF126" w14:textId="77777777" w:rsidR="00D87D66" w:rsidRPr="008C1E5F" w:rsidRDefault="00D87D66" w:rsidP="00D87D66">
            <w:pPr>
              <w:pStyle w:val="TableTextCentered"/>
              <w:rPr>
                <w:rFonts w:eastAsia="Times New Roman"/>
              </w:rPr>
            </w:pPr>
            <w:r w:rsidRPr="008C1E5F">
              <w:rPr>
                <w:rFonts w:eastAsia="Times New Roman"/>
              </w:rPr>
              <w:t>1</w:t>
            </w:r>
          </w:p>
        </w:tc>
        <w:tc>
          <w:tcPr>
            <w:tcW w:w="900" w:type="dxa"/>
          </w:tcPr>
          <w:p w14:paraId="256F1AD2" w14:textId="77777777" w:rsidR="00D87D66" w:rsidRPr="008C1E5F" w:rsidRDefault="00D87D66" w:rsidP="00D87D66">
            <w:pPr>
              <w:pStyle w:val="TableTextCentered"/>
              <w:rPr>
                <w:rFonts w:eastAsia="Times New Roman"/>
              </w:rPr>
            </w:pPr>
            <w:r w:rsidRPr="008C1E5F">
              <w:rPr>
                <w:rFonts w:eastAsia="Times New Roman"/>
              </w:rPr>
              <w:t>84</w:t>
            </w:r>
          </w:p>
        </w:tc>
        <w:tc>
          <w:tcPr>
            <w:tcW w:w="892" w:type="dxa"/>
          </w:tcPr>
          <w:p w14:paraId="32649FDD" w14:textId="77777777" w:rsidR="00D87D66" w:rsidRPr="008C1E5F" w:rsidRDefault="00D87D66" w:rsidP="00D87D66">
            <w:pPr>
              <w:pStyle w:val="TableTextCentered"/>
              <w:rPr>
                <w:rFonts w:eastAsia="Times New Roman"/>
              </w:rPr>
            </w:pPr>
            <w:r w:rsidRPr="008C1E5F">
              <w:rPr>
                <w:rFonts w:eastAsia="Times New Roman"/>
              </w:rPr>
              <w:t>3.4</w:t>
            </w:r>
          </w:p>
        </w:tc>
      </w:tr>
      <w:tr w:rsidR="00D87D66" w:rsidRPr="008C1E5F" w14:paraId="23925CB6" w14:textId="77777777" w:rsidTr="00D87D66">
        <w:trPr>
          <w:jc w:val="center"/>
        </w:trPr>
        <w:tc>
          <w:tcPr>
            <w:tcW w:w="1431" w:type="dxa"/>
          </w:tcPr>
          <w:p w14:paraId="483DB4B4" w14:textId="77777777" w:rsidR="00D87D66" w:rsidRPr="008C1E5F" w:rsidRDefault="00D87D66" w:rsidP="00D87D66">
            <w:pPr>
              <w:pStyle w:val="TableText"/>
            </w:pPr>
            <w:r w:rsidRPr="008C1E5F">
              <w:t>Grades 6-8</w:t>
            </w:r>
          </w:p>
        </w:tc>
        <w:tc>
          <w:tcPr>
            <w:tcW w:w="874" w:type="dxa"/>
          </w:tcPr>
          <w:p w14:paraId="024A361C" w14:textId="77777777" w:rsidR="00D87D66" w:rsidRPr="008C1E5F" w:rsidRDefault="00D87D66" w:rsidP="00D87D66">
            <w:pPr>
              <w:pStyle w:val="TableTextCentered"/>
              <w:rPr>
                <w:rFonts w:eastAsia="Times New Roman"/>
              </w:rPr>
            </w:pPr>
            <w:r w:rsidRPr="008C1E5F">
              <w:rPr>
                <w:rFonts w:eastAsia="Times New Roman"/>
              </w:rPr>
              <w:t>9</w:t>
            </w:r>
          </w:p>
        </w:tc>
        <w:tc>
          <w:tcPr>
            <w:tcW w:w="874" w:type="dxa"/>
          </w:tcPr>
          <w:p w14:paraId="740A860B" w14:textId="77777777" w:rsidR="00D87D66" w:rsidRPr="008C1E5F" w:rsidRDefault="00D87D66" w:rsidP="00D87D66">
            <w:pPr>
              <w:pStyle w:val="TableTextCentered"/>
              <w:rPr>
                <w:rFonts w:eastAsia="Times New Roman"/>
              </w:rPr>
            </w:pPr>
            <w:r w:rsidRPr="008C1E5F">
              <w:rPr>
                <w:rFonts w:eastAsia="Times New Roman"/>
              </w:rPr>
              <w:t>20</w:t>
            </w:r>
          </w:p>
        </w:tc>
        <w:tc>
          <w:tcPr>
            <w:tcW w:w="874" w:type="dxa"/>
          </w:tcPr>
          <w:p w14:paraId="52C544D7" w14:textId="77777777" w:rsidR="00D87D66" w:rsidRPr="008C1E5F" w:rsidRDefault="00D87D66" w:rsidP="00D87D66">
            <w:pPr>
              <w:pStyle w:val="TableTextCentered"/>
              <w:rPr>
                <w:rFonts w:eastAsia="Times New Roman"/>
              </w:rPr>
            </w:pPr>
            <w:r w:rsidRPr="008C1E5F">
              <w:rPr>
                <w:rFonts w:eastAsia="Times New Roman"/>
              </w:rPr>
              <w:t>23</w:t>
            </w:r>
          </w:p>
        </w:tc>
        <w:tc>
          <w:tcPr>
            <w:tcW w:w="875" w:type="dxa"/>
          </w:tcPr>
          <w:p w14:paraId="74EECBC9" w14:textId="77777777" w:rsidR="00D87D66" w:rsidRPr="008C1E5F" w:rsidRDefault="00D87D66" w:rsidP="00D87D66">
            <w:pPr>
              <w:pStyle w:val="TableTextCentered"/>
              <w:rPr>
                <w:rFonts w:eastAsia="Times New Roman"/>
              </w:rPr>
            </w:pPr>
            <w:r w:rsidRPr="008C1E5F">
              <w:rPr>
                <w:rFonts w:eastAsia="Times New Roman"/>
              </w:rPr>
              <w:t>10</w:t>
            </w:r>
          </w:p>
        </w:tc>
        <w:tc>
          <w:tcPr>
            <w:tcW w:w="875" w:type="dxa"/>
          </w:tcPr>
          <w:p w14:paraId="080CDC81" w14:textId="77777777" w:rsidR="00D87D66" w:rsidRPr="008C1E5F" w:rsidRDefault="00D87D66" w:rsidP="00D87D66">
            <w:pPr>
              <w:pStyle w:val="TableTextCentered"/>
              <w:rPr>
                <w:rFonts w:eastAsia="Times New Roman"/>
              </w:rPr>
            </w:pPr>
            <w:r w:rsidRPr="008C1E5F">
              <w:rPr>
                <w:rFonts w:eastAsia="Times New Roman"/>
              </w:rPr>
              <w:t>9</w:t>
            </w:r>
          </w:p>
        </w:tc>
        <w:tc>
          <w:tcPr>
            <w:tcW w:w="874" w:type="dxa"/>
          </w:tcPr>
          <w:p w14:paraId="7073E55A" w14:textId="77777777" w:rsidR="00D87D66" w:rsidRPr="008C1E5F" w:rsidRDefault="00D87D66" w:rsidP="00D87D66">
            <w:pPr>
              <w:pStyle w:val="TableTextCentered"/>
              <w:rPr>
                <w:rFonts w:eastAsia="Times New Roman"/>
              </w:rPr>
            </w:pPr>
            <w:r w:rsidRPr="008C1E5F">
              <w:rPr>
                <w:rFonts w:eastAsia="Times New Roman"/>
              </w:rPr>
              <w:t>0</w:t>
            </w:r>
          </w:p>
        </w:tc>
        <w:tc>
          <w:tcPr>
            <w:tcW w:w="875" w:type="dxa"/>
          </w:tcPr>
          <w:p w14:paraId="29329925" w14:textId="77777777" w:rsidR="00D87D66" w:rsidRPr="008C1E5F" w:rsidRDefault="00D87D66" w:rsidP="00D87D66">
            <w:pPr>
              <w:pStyle w:val="TableTextCentered"/>
              <w:rPr>
                <w:rFonts w:eastAsia="Times New Roman"/>
              </w:rPr>
            </w:pPr>
            <w:r w:rsidRPr="008C1E5F">
              <w:rPr>
                <w:rFonts w:eastAsia="Times New Roman"/>
              </w:rPr>
              <w:t>0</w:t>
            </w:r>
          </w:p>
        </w:tc>
        <w:tc>
          <w:tcPr>
            <w:tcW w:w="900" w:type="dxa"/>
          </w:tcPr>
          <w:p w14:paraId="1529E634" w14:textId="77777777" w:rsidR="00D87D66" w:rsidRPr="008C1E5F" w:rsidRDefault="00D87D66" w:rsidP="00D87D66">
            <w:pPr>
              <w:pStyle w:val="TableTextCentered"/>
              <w:rPr>
                <w:rFonts w:eastAsia="Times New Roman"/>
              </w:rPr>
            </w:pPr>
            <w:r w:rsidRPr="008C1E5F">
              <w:rPr>
                <w:rFonts w:eastAsia="Times New Roman"/>
              </w:rPr>
              <w:t>71</w:t>
            </w:r>
          </w:p>
        </w:tc>
        <w:tc>
          <w:tcPr>
            <w:tcW w:w="892" w:type="dxa"/>
          </w:tcPr>
          <w:p w14:paraId="0371107E" w14:textId="77777777" w:rsidR="00D87D66" w:rsidRPr="008C1E5F" w:rsidRDefault="00D87D66" w:rsidP="00D87D66">
            <w:pPr>
              <w:pStyle w:val="TableTextCentered"/>
              <w:rPr>
                <w:rFonts w:eastAsia="Times New Roman"/>
              </w:rPr>
            </w:pPr>
            <w:r w:rsidRPr="008C1E5F">
              <w:rPr>
                <w:rFonts w:eastAsia="Times New Roman"/>
              </w:rPr>
              <w:t>2.9</w:t>
            </w:r>
          </w:p>
        </w:tc>
      </w:tr>
      <w:tr w:rsidR="00D87D66" w:rsidRPr="008C1E5F" w14:paraId="66A87F6E" w14:textId="77777777" w:rsidTr="00D87D66">
        <w:trPr>
          <w:jc w:val="center"/>
        </w:trPr>
        <w:tc>
          <w:tcPr>
            <w:tcW w:w="1431" w:type="dxa"/>
          </w:tcPr>
          <w:p w14:paraId="40FB68AA" w14:textId="77777777" w:rsidR="00D87D66" w:rsidRPr="008C1E5F" w:rsidRDefault="00D87D66" w:rsidP="00D87D66">
            <w:pPr>
              <w:pStyle w:val="TableText"/>
            </w:pPr>
            <w:r w:rsidRPr="008C1E5F">
              <w:t>Grades 9-12</w:t>
            </w:r>
          </w:p>
        </w:tc>
        <w:tc>
          <w:tcPr>
            <w:tcW w:w="874" w:type="dxa"/>
          </w:tcPr>
          <w:p w14:paraId="07EB2498" w14:textId="77777777" w:rsidR="00D87D66" w:rsidRPr="008C1E5F" w:rsidRDefault="00D87D66" w:rsidP="00D87D66">
            <w:pPr>
              <w:pStyle w:val="TableTextCentered"/>
              <w:rPr>
                <w:rFonts w:eastAsia="Times New Roman"/>
              </w:rPr>
            </w:pPr>
            <w:r w:rsidRPr="008C1E5F">
              <w:rPr>
                <w:rFonts w:eastAsia="Times New Roman"/>
              </w:rPr>
              <w:t>5</w:t>
            </w:r>
          </w:p>
        </w:tc>
        <w:tc>
          <w:tcPr>
            <w:tcW w:w="874" w:type="dxa"/>
          </w:tcPr>
          <w:p w14:paraId="62E77EBC" w14:textId="77777777" w:rsidR="00D87D66" w:rsidRPr="008C1E5F" w:rsidRDefault="00D87D66" w:rsidP="00D87D66">
            <w:pPr>
              <w:pStyle w:val="TableTextCentered"/>
              <w:rPr>
                <w:rFonts w:eastAsia="Times New Roman"/>
              </w:rPr>
            </w:pPr>
            <w:r w:rsidRPr="008C1E5F">
              <w:rPr>
                <w:rFonts w:eastAsia="Times New Roman"/>
              </w:rPr>
              <w:t>4</w:t>
            </w:r>
          </w:p>
        </w:tc>
        <w:tc>
          <w:tcPr>
            <w:tcW w:w="874" w:type="dxa"/>
          </w:tcPr>
          <w:p w14:paraId="65F5CFE1" w14:textId="77777777" w:rsidR="00D87D66" w:rsidRPr="008C1E5F" w:rsidRDefault="00D87D66" w:rsidP="00D87D66">
            <w:pPr>
              <w:pStyle w:val="TableTextCentered"/>
              <w:rPr>
                <w:rFonts w:eastAsia="Times New Roman"/>
              </w:rPr>
            </w:pPr>
            <w:r w:rsidRPr="008C1E5F">
              <w:rPr>
                <w:rFonts w:eastAsia="Times New Roman"/>
              </w:rPr>
              <w:t>11</w:t>
            </w:r>
          </w:p>
        </w:tc>
        <w:tc>
          <w:tcPr>
            <w:tcW w:w="875" w:type="dxa"/>
          </w:tcPr>
          <w:p w14:paraId="2234E5EC" w14:textId="77777777" w:rsidR="00D87D66" w:rsidRPr="008C1E5F" w:rsidRDefault="00D87D66" w:rsidP="00D87D66">
            <w:pPr>
              <w:pStyle w:val="TableTextCentered"/>
              <w:rPr>
                <w:rFonts w:eastAsia="Times New Roman"/>
              </w:rPr>
            </w:pPr>
            <w:r w:rsidRPr="008C1E5F">
              <w:rPr>
                <w:rFonts w:eastAsia="Times New Roman"/>
              </w:rPr>
              <w:t>3</w:t>
            </w:r>
          </w:p>
        </w:tc>
        <w:tc>
          <w:tcPr>
            <w:tcW w:w="875" w:type="dxa"/>
          </w:tcPr>
          <w:p w14:paraId="626559E3" w14:textId="77777777" w:rsidR="00D87D66" w:rsidRPr="008C1E5F" w:rsidRDefault="00D87D66" w:rsidP="00D87D66">
            <w:pPr>
              <w:pStyle w:val="TableTextCentered"/>
              <w:rPr>
                <w:rFonts w:eastAsia="Times New Roman"/>
              </w:rPr>
            </w:pPr>
            <w:r w:rsidRPr="008C1E5F">
              <w:rPr>
                <w:rFonts w:eastAsia="Times New Roman"/>
              </w:rPr>
              <w:t>10</w:t>
            </w:r>
          </w:p>
        </w:tc>
        <w:tc>
          <w:tcPr>
            <w:tcW w:w="874" w:type="dxa"/>
          </w:tcPr>
          <w:p w14:paraId="65363A6C" w14:textId="77777777" w:rsidR="00D87D66" w:rsidRPr="008C1E5F" w:rsidRDefault="00D87D66" w:rsidP="00D87D66">
            <w:pPr>
              <w:pStyle w:val="TableTextCentered"/>
              <w:rPr>
                <w:rFonts w:eastAsia="Times New Roman"/>
              </w:rPr>
            </w:pPr>
            <w:r w:rsidRPr="008C1E5F">
              <w:rPr>
                <w:rFonts w:eastAsia="Times New Roman"/>
              </w:rPr>
              <w:t>2</w:t>
            </w:r>
          </w:p>
        </w:tc>
        <w:tc>
          <w:tcPr>
            <w:tcW w:w="875" w:type="dxa"/>
          </w:tcPr>
          <w:p w14:paraId="6C6C1CB8" w14:textId="77777777" w:rsidR="00D87D66" w:rsidRPr="008C1E5F" w:rsidRDefault="00D87D66" w:rsidP="00D87D66">
            <w:pPr>
              <w:pStyle w:val="TableTextCentered"/>
              <w:rPr>
                <w:rFonts w:eastAsia="Times New Roman"/>
              </w:rPr>
            </w:pPr>
            <w:r w:rsidRPr="008C1E5F">
              <w:rPr>
                <w:rFonts w:eastAsia="Times New Roman"/>
              </w:rPr>
              <w:t>0</w:t>
            </w:r>
          </w:p>
        </w:tc>
        <w:tc>
          <w:tcPr>
            <w:tcW w:w="900" w:type="dxa"/>
          </w:tcPr>
          <w:p w14:paraId="0A96B6BC" w14:textId="77777777" w:rsidR="00D87D66" w:rsidRPr="008C1E5F" w:rsidRDefault="00D87D66" w:rsidP="00D87D66">
            <w:pPr>
              <w:pStyle w:val="TableTextCentered"/>
              <w:rPr>
                <w:rFonts w:eastAsia="Times New Roman"/>
              </w:rPr>
            </w:pPr>
            <w:r w:rsidRPr="008C1E5F">
              <w:rPr>
                <w:rFonts w:eastAsia="Times New Roman"/>
              </w:rPr>
              <w:t>35</w:t>
            </w:r>
          </w:p>
        </w:tc>
        <w:tc>
          <w:tcPr>
            <w:tcW w:w="892" w:type="dxa"/>
          </w:tcPr>
          <w:p w14:paraId="52ECEF63" w14:textId="77777777" w:rsidR="00D87D66" w:rsidRPr="008C1E5F" w:rsidRDefault="00D87D66" w:rsidP="00D87D66">
            <w:pPr>
              <w:pStyle w:val="TableTextCentered"/>
              <w:rPr>
                <w:rFonts w:eastAsia="Times New Roman"/>
              </w:rPr>
            </w:pPr>
            <w:r w:rsidRPr="008C1E5F">
              <w:rPr>
                <w:rFonts w:eastAsia="Times New Roman"/>
              </w:rPr>
              <w:t>3.4</w:t>
            </w:r>
          </w:p>
        </w:tc>
      </w:tr>
    </w:tbl>
    <w:bookmarkEnd w:id="225"/>
    <w:p w14:paraId="692D9053" w14:textId="77777777" w:rsidR="00900CF1" w:rsidRPr="008C1E5F" w:rsidRDefault="00900CF1">
      <w:pPr>
        <w:pStyle w:val="TableNote"/>
        <w:rPr>
          <w:rFonts w:ascii="Franklin Gothic Book" w:hAnsi="Franklin Gothic Book"/>
        </w:rPr>
      </w:pPr>
      <w:r w:rsidRPr="008C1E5F">
        <w:rPr>
          <w:rFonts w:ascii="Franklin Gothic Book" w:hAnsi="Franklin Gothic Book"/>
        </w:rPr>
        <w:t xml:space="preserve">*The district average is an average of the observation scores. In Table 13, the district average is computed as: </w:t>
      </w:r>
      <w:r w:rsidRPr="008C1E5F">
        <w:rPr>
          <w:rFonts w:ascii="Franklin Gothic Book" w:hAnsi="Franklin Gothic Book"/>
        </w:rPr>
        <w:br/>
      </w:r>
      <w:bookmarkStart w:id="226" w:name="Dist_QF_Calc"/>
      <w:r w:rsidRPr="008C1E5F">
        <w:rPr>
          <w:rFonts w:ascii="Franklin Gothic Book" w:hAnsi="Franklin Gothic Book"/>
        </w:rPr>
        <w:t>([1 x 17] + [2 x 45] + [3 x 60] + [4 x 27] + [5 x 33] + [6 x 7] + [7 x 1]) ÷ 190 observations = 3.2</w:t>
      </w:r>
      <w:bookmarkEnd w:id="226"/>
    </w:p>
    <w:p w14:paraId="1406B98A" w14:textId="77777777" w:rsidR="00900CF1" w:rsidRPr="008C1E5F" w:rsidRDefault="00900CF1">
      <w:pPr>
        <w:pStyle w:val="BodyText"/>
      </w:pPr>
      <w:r w:rsidRPr="008C1E5F">
        <w:rPr>
          <w:rStyle w:val="BodyTextDemiChar"/>
        </w:rPr>
        <w:t>Ratings in the Low Range.</w:t>
      </w:r>
      <w:r w:rsidRPr="008C1E5F">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6108A07F" w14:textId="77777777" w:rsidR="00900CF1" w:rsidRPr="008C1E5F" w:rsidRDefault="00900CF1">
      <w:pPr>
        <w:pStyle w:val="BodyText"/>
      </w:pPr>
      <w:r w:rsidRPr="008C1E5F">
        <w:rPr>
          <w:rStyle w:val="BodyTextDemiChar"/>
        </w:rPr>
        <w:t>Ratings in the Middle Range.</w:t>
      </w:r>
      <w:r w:rsidRPr="008C1E5F">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23021F46" w14:textId="77777777" w:rsidR="00900CF1" w:rsidRPr="008C1E5F" w:rsidRDefault="00900CF1">
      <w:pPr>
        <w:pStyle w:val="BodyText"/>
      </w:pPr>
      <w:r w:rsidRPr="008C1E5F">
        <w:rPr>
          <w:rStyle w:val="BodyTextDemiChar"/>
        </w:rPr>
        <w:t>Ratings in the High Range.</w:t>
      </w:r>
      <w:r w:rsidRPr="008C1E5F">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 efforts and persistence.</w:t>
      </w:r>
    </w:p>
    <w:p w14:paraId="237692EE" w14:textId="77777777" w:rsidR="00900CF1" w:rsidRPr="008C1E5F" w:rsidRDefault="00900CF1">
      <w:pPr>
        <w:spacing w:after="160" w:line="259" w:lineRule="auto"/>
      </w:pPr>
      <w:r w:rsidRPr="008C1E5F">
        <w:br w:type="page"/>
      </w:r>
    </w:p>
    <w:p w14:paraId="16EF676A" w14:textId="77777777" w:rsidR="00900CF1" w:rsidRPr="008C1E5F" w:rsidRDefault="00900CF1">
      <w:pPr>
        <w:pStyle w:val="Heading2-SIOR"/>
      </w:pPr>
      <w:bookmarkStart w:id="227" w:name="_Toc411329837"/>
      <w:bookmarkStart w:id="228" w:name="_Toc430114886"/>
      <w:bookmarkStart w:id="229" w:name="_Toc92194265"/>
      <w:bookmarkStart w:id="230" w:name="_Toc195024257"/>
      <w:r w:rsidRPr="008C1E5F">
        <w:lastRenderedPageBreak/>
        <w:t>Language Modeling</w:t>
      </w:r>
      <w:bookmarkEnd w:id="227"/>
      <w:bookmarkEnd w:id="228"/>
      <w:bookmarkEnd w:id="229"/>
      <w:bookmarkEnd w:id="230"/>
    </w:p>
    <w:p w14:paraId="795F14C3" w14:textId="77777777" w:rsidR="00900CF1" w:rsidRPr="008C1E5F" w:rsidRDefault="00900CF1">
      <w:pPr>
        <w:pStyle w:val="BodyTextDomain"/>
      </w:pPr>
      <w:r w:rsidRPr="008C1E5F">
        <w:t>Instructional Support domain, Grades K</w:t>
      </w:r>
      <w:r w:rsidRPr="008C1E5F">
        <w:rPr>
          <w:rFonts w:ascii="Vijaya" w:hAnsi="Vijaya" w:cs="Vijaya"/>
        </w:rPr>
        <w:t xml:space="preserve">− </w:t>
      </w:r>
      <w:r w:rsidRPr="008C1E5F">
        <w:t xml:space="preserve">3 </w:t>
      </w:r>
    </w:p>
    <w:p w14:paraId="4FAC7313" w14:textId="77777777" w:rsidR="00900CF1" w:rsidRPr="008C1E5F" w:rsidRDefault="00900CF1">
      <w:pPr>
        <w:pStyle w:val="BodyText"/>
      </w:pPr>
      <w:r w:rsidRPr="008C1E5F">
        <w:t>Language Modeling refers to the quality and amount of the teacher’s use of language stimulation and language facilitation techniques (</w:t>
      </w:r>
      <w:r w:rsidRPr="008C1E5F">
        <w:rPr>
          <w:i/>
        </w:rPr>
        <w:t>CLASS K–3 Manual</w:t>
      </w:r>
      <w:r w:rsidRPr="008C1E5F">
        <w:t>, p. 79).</w:t>
      </w:r>
    </w:p>
    <w:p w14:paraId="25C79205" w14:textId="77777777" w:rsidR="00900CF1" w:rsidRPr="008C1E5F" w:rsidRDefault="00900CF1">
      <w:pPr>
        <w:pStyle w:val="TableTitle0"/>
      </w:pPr>
      <w:r w:rsidRPr="008C1E5F">
        <w:t>Table 14. Language Modeling: Number of Classrooms for Each Rating and District Average</w:t>
      </w:r>
    </w:p>
    <w:p w14:paraId="743995CA" w14:textId="77777777" w:rsidR="00900CF1" w:rsidRPr="008C1E5F" w:rsidRDefault="00900CF1">
      <w:pPr>
        <w:pStyle w:val="BodyTextDemi"/>
      </w:pPr>
      <w:r w:rsidRPr="008C1E5F">
        <w:t xml:space="preserve">Language Modeling District Average*: </w:t>
      </w:r>
      <w:bookmarkStart w:id="231" w:name="Dist_LM_Avg"/>
      <w:r w:rsidRPr="008C1E5F">
        <w:t>3.2</w:t>
      </w:r>
      <w:bookmarkEnd w:id="231"/>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6D50B0" w:rsidRPr="008C1E5F" w14:paraId="723DBE51" w14:textId="77777777" w:rsidTr="006D50B0">
        <w:trPr>
          <w:cnfStyle w:val="100000000000" w:firstRow="1" w:lastRow="0" w:firstColumn="0" w:lastColumn="0" w:oddVBand="0" w:evenVBand="0" w:oddHBand="0" w:evenHBand="0" w:firstRowFirstColumn="0" w:firstRowLastColumn="0" w:lastRowFirstColumn="0" w:lastRowLastColumn="0"/>
          <w:jc w:val="center"/>
        </w:trPr>
        <w:tc>
          <w:tcPr>
            <w:tcW w:w="1431" w:type="dxa"/>
          </w:tcPr>
          <w:p w14:paraId="60346DA0" w14:textId="7B8CA2CD" w:rsidR="006D50B0" w:rsidRPr="008C1E5F" w:rsidRDefault="006D50B0" w:rsidP="006D50B0">
            <w:pPr>
              <w:pStyle w:val="TableColHeadingCenter"/>
              <w:rPr>
                <w:rFonts w:eastAsia="MS Mincho"/>
              </w:rPr>
            </w:pPr>
            <w:bookmarkStart w:id="232" w:name="Tbl_LM"/>
            <w:r w:rsidRPr="008C1E5F">
              <w:rPr>
                <w:rFonts w:eastAsia="MS Mincho"/>
              </w:rPr>
              <w:t>Grade Band</w:t>
            </w:r>
          </w:p>
        </w:tc>
        <w:tc>
          <w:tcPr>
            <w:tcW w:w="874" w:type="dxa"/>
          </w:tcPr>
          <w:p w14:paraId="3D0D549A" w14:textId="77777777" w:rsidR="006D50B0" w:rsidRPr="008C1E5F" w:rsidRDefault="006D50B0" w:rsidP="006D50B0">
            <w:pPr>
              <w:pStyle w:val="TableColHeadingCenter"/>
              <w:rPr>
                <w:rFonts w:eastAsia="MS Mincho"/>
              </w:rPr>
            </w:pPr>
            <w:r w:rsidRPr="008C1E5F">
              <w:rPr>
                <w:rFonts w:eastAsia="MS Mincho"/>
              </w:rPr>
              <w:t>Low Range</w:t>
            </w:r>
          </w:p>
        </w:tc>
        <w:tc>
          <w:tcPr>
            <w:tcW w:w="874" w:type="dxa"/>
          </w:tcPr>
          <w:p w14:paraId="565E8E15" w14:textId="7F27A709" w:rsidR="006D50B0" w:rsidRPr="008C1E5F" w:rsidRDefault="006D50B0" w:rsidP="006D50B0">
            <w:pPr>
              <w:pStyle w:val="TableColHeadingCenter"/>
              <w:rPr>
                <w:rFonts w:eastAsia="MS Mincho"/>
              </w:rPr>
            </w:pPr>
            <w:r w:rsidRPr="008C1E5F">
              <w:rPr>
                <w:rFonts w:eastAsia="MS Mincho"/>
              </w:rPr>
              <w:t>Low Range</w:t>
            </w:r>
          </w:p>
        </w:tc>
        <w:tc>
          <w:tcPr>
            <w:tcW w:w="874" w:type="dxa"/>
          </w:tcPr>
          <w:p w14:paraId="41380524" w14:textId="77777777" w:rsidR="006D50B0" w:rsidRPr="008C1E5F" w:rsidRDefault="006D50B0" w:rsidP="006D50B0">
            <w:pPr>
              <w:pStyle w:val="TableColHeadingCenter"/>
              <w:rPr>
                <w:rFonts w:eastAsia="MS Mincho"/>
              </w:rPr>
            </w:pPr>
            <w:r w:rsidRPr="008C1E5F">
              <w:rPr>
                <w:rFonts w:eastAsia="MS Mincho"/>
              </w:rPr>
              <w:t>Middle Range</w:t>
            </w:r>
          </w:p>
        </w:tc>
        <w:tc>
          <w:tcPr>
            <w:tcW w:w="875" w:type="dxa"/>
          </w:tcPr>
          <w:p w14:paraId="1D2A008F" w14:textId="1C942F64" w:rsidR="006D50B0" w:rsidRPr="008C1E5F" w:rsidRDefault="006D50B0" w:rsidP="006D50B0">
            <w:pPr>
              <w:pStyle w:val="TableColHeadingCenter"/>
              <w:rPr>
                <w:rFonts w:eastAsia="MS Mincho"/>
              </w:rPr>
            </w:pPr>
            <w:r w:rsidRPr="008C1E5F">
              <w:rPr>
                <w:rFonts w:eastAsia="MS Mincho"/>
              </w:rPr>
              <w:t>Middle Range</w:t>
            </w:r>
          </w:p>
        </w:tc>
        <w:tc>
          <w:tcPr>
            <w:tcW w:w="875" w:type="dxa"/>
          </w:tcPr>
          <w:p w14:paraId="047D983F" w14:textId="6293AB1E" w:rsidR="006D50B0" w:rsidRPr="008C1E5F" w:rsidRDefault="006D50B0" w:rsidP="006D50B0">
            <w:pPr>
              <w:pStyle w:val="TableColHeadingCenter"/>
              <w:rPr>
                <w:rFonts w:eastAsia="MS Mincho"/>
              </w:rPr>
            </w:pPr>
            <w:r w:rsidRPr="008C1E5F">
              <w:rPr>
                <w:rFonts w:eastAsia="MS Mincho"/>
              </w:rPr>
              <w:t>Middle Range</w:t>
            </w:r>
          </w:p>
        </w:tc>
        <w:tc>
          <w:tcPr>
            <w:tcW w:w="874" w:type="dxa"/>
          </w:tcPr>
          <w:p w14:paraId="3CBC036D" w14:textId="77777777" w:rsidR="006D50B0" w:rsidRPr="008C1E5F" w:rsidRDefault="006D50B0" w:rsidP="006D50B0">
            <w:pPr>
              <w:pStyle w:val="TableColHeadingCenter"/>
              <w:rPr>
                <w:rFonts w:eastAsia="MS Mincho"/>
              </w:rPr>
            </w:pPr>
            <w:r w:rsidRPr="008C1E5F">
              <w:rPr>
                <w:rFonts w:eastAsia="MS Mincho"/>
              </w:rPr>
              <w:t>High Range</w:t>
            </w:r>
          </w:p>
        </w:tc>
        <w:tc>
          <w:tcPr>
            <w:tcW w:w="875" w:type="dxa"/>
          </w:tcPr>
          <w:p w14:paraId="6146497B" w14:textId="5C118A0E" w:rsidR="006D50B0" w:rsidRPr="008C1E5F" w:rsidRDefault="006D50B0" w:rsidP="006D50B0">
            <w:pPr>
              <w:pStyle w:val="TableColHeadingCenter"/>
              <w:rPr>
                <w:rFonts w:eastAsia="MS Mincho"/>
              </w:rPr>
            </w:pPr>
            <w:r w:rsidRPr="008C1E5F">
              <w:rPr>
                <w:rFonts w:eastAsia="MS Mincho"/>
              </w:rPr>
              <w:t>High Range</w:t>
            </w:r>
          </w:p>
        </w:tc>
        <w:tc>
          <w:tcPr>
            <w:tcW w:w="900" w:type="dxa"/>
          </w:tcPr>
          <w:p w14:paraId="607DCE0C" w14:textId="2A590463" w:rsidR="006D50B0" w:rsidRPr="008C1E5F" w:rsidRDefault="006D50B0" w:rsidP="006D50B0">
            <w:pPr>
              <w:pStyle w:val="TableColHeadingCenter"/>
              <w:rPr>
                <w:rFonts w:eastAsia="MS Mincho"/>
              </w:rPr>
            </w:pPr>
            <w:r w:rsidRPr="008C1E5F">
              <w:rPr>
                <w:rFonts w:eastAsia="MS Mincho"/>
                <w:i/>
                <w:iCs/>
              </w:rPr>
              <w:t>n</w:t>
            </w:r>
          </w:p>
        </w:tc>
        <w:tc>
          <w:tcPr>
            <w:tcW w:w="892" w:type="dxa"/>
          </w:tcPr>
          <w:p w14:paraId="55567E72" w14:textId="7FDC37BE" w:rsidR="006D50B0" w:rsidRPr="008C1E5F" w:rsidRDefault="006D50B0" w:rsidP="006D50B0">
            <w:pPr>
              <w:pStyle w:val="TableColHeadingCenter"/>
              <w:rPr>
                <w:rFonts w:eastAsia="MS Mincho"/>
              </w:rPr>
            </w:pPr>
            <w:r w:rsidRPr="008C1E5F">
              <w:rPr>
                <w:rFonts w:eastAsia="MS Mincho"/>
              </w:rPr>
              <w:t>Average</w:t>
            </w:r>
          </w:p>
        </w:tc>
      </w:tr>
      <w:tr w:rsidR="006D50B0" w:rsidRPr="008C1E5F" w14:paraId="314D449C" w14:textId="77777777" w:rsidTr="006D50B0">
        <w:trPr>
          <w:jc w:val="center"/>
        </w:trPr>
        <w:tc>
          <w:tcPr>
            <w:tcW w:w="1431" w:type="dxa"/>
            <w:shd w:val="clear" w:color="auto" w:fill="D9E2F3" w:themeFill="accent5" w:themeFillTint="33"/>
          </w:tcPr>
          <w:p w14:paraId="45BB20A3" w14:textId="77777777" w:rsidR="006D50B0" w:rsidRPr="008C1E5F" w:rsidRDefault="006D50B0" w:rsidP="006D50B0">
            <w:pPr>
              <w:pStyle w:val="TableSubheadingCentered"/>
            </w:pPr>
          </w:p>
        </w:tc>
        <w:tc>
          <w:tcPr>
            <w:tcW w:w="874" w:type="dxa"/>
            <w:shd w:val="clear" w:color="auto" w:fill="D9E2F3" w:themeFill="accent5" w:themeFillTint="33"/>
          </w:tcPr>
          <w:p w14:paraId="36DFE6C1" w14:textId="77777777" w:rsidR="006D50B0" w:rsidRPr="008C1E5F" w:rsidRDefault="006D50B0" w:rsidP="006D50B0">
            <w:pPr>
              <w:pStyle w:val="TableSubheadingCentered"/>
            </w:pPr>
            <w:r w:rsidRPr="008C1E5F">
              <w:t>1</w:t>
            </w:r>
          </w:p>
        </w:tc>
        <w:tc>
          <w:tcPr>
            <w:tcW w:w="874" w:type="dxa"/>
            <w:shd w:val="clear" w:color="auto" w:fill="D9E2F3" w:themeFill="accent5" w:themeFillTint="33"/>
          </w:tcPr>
          <w:p w14:paraId="46A45646" w14:textId="77777777" w:rsidR="006D50B0" w:rsidRPr="008C1E5F" w:rsidRDefault="006D50B0" w:rsidP="006D50B0">
            <w:pPr>
              <w:pStyle w:val="TableSubheadingCentered"/>
            </w:pPr>
            <w:r w:rsidRPr="008C1E5F">
              <w:t>2</w:t>
            </w:r>
          </w:p>
        </w:tc>
        <w:tc>
          <w:tcPr>
            <w:tcW w:w="874" w:type="dxa"/>
            <w:shd w:val="clear" w:color="auto" w:fill="D9E2F3" w:themeFill="accent5" w:themeFillTint="33"/>
          </w:tcPr>
          <w:p w14:paraId="298EA54E" w14:textId="77777777" w:rsidR="006D50B0" w:rsidRPr="008C1E5F" w:rsidRDefault="006D50B0" w:rsidP="006D50B0">
            <w:pPr>
              <w:pStyle w:val="TableSubheadingCentered"/>
            </w:pPr>
            <w:r w:rsidRPr="008C1E5F">
              <w:t>3</w:t>
            </w:r>
          </w:p>
        </w:tc>
        <w:tc>
          <w:tcPr>
            <w:tcW w:w="875" w:type="dxa"/>
            <w:shd w:val="clear" w:color="auto" w:fill="D9E2F3" w:themeFill="accent5" w:themeFillTint="33"/>
          </w:tcPr>
          <w:p w14:paraId="60686E10" w14:textId="77777777" w:rsidR="006D50B0" w:rsidRPr="008C1E5F" w:rsidRDefault="006D50B0" w:rsidP="006D50B0">
            <w:pPr>
              <w:pStyle w:val="TableSubheadingCentered"/>
            </w:pPr>
            <w:r w:rsidRPr="008C1E5F">
              <w:t>4</w:t>
            </w:r>
          </w:p>
        </w:tc>
        <w:tc>
          <w:tcPr>
            <w:tcW w:w="875" w:type="dxa"/>
            <w:shd w:val="clear" w:color="auto" w:fill="D9E2F3" w:themeFill="accent5" w:themeFillTint="33"/>
          </w:tcPr>
          <w:p w14:paraId="215335A7" w14:textId="77777777" w:rsidR="006D50B0" w:rsidRPr="008C1E5F" w:rsidRDefault="006D50B0" w:rsidP="006D50B0">
            <w:pPr>
              <w:pStyle w:val="TableSubheadingCentered"/>
            </w:pPr>
            <w:r w:rsidRPr="008C1E5F">
              <w:t>5</w:t>
            </w:r>
          </w:p>
        </w:tc>
        <w:tc>
          <w:tcPr>
            <w:tcW w:w="874" w:type="dxa"/>
            <w:shd w:val="clear" w:color="auto" w:fill="D9E2F3" w:themeFill="accent5" w:themeFillTint="33"/>
          </w:tcPr>
          <w:p w14:paraId="103E1958" w14:textId="77777777" w:rsidR="006D50B0" w:rsidRPr="008C1E5F" w:rsidRDefault="006D50B0" w:rsidP="006D50B0">
            <w:pPr>
              <w:pStyle w:val="TableSubheadingCentered"/>
            </w:pPr>
            <w:r w:rsidRPr="008C1E5F">
              <w:t>6</w:t>
            </w:r>
          </w:p>
        </w:tc>
        <w:tc>
          <w:tcPr>
            <w:tcW w:w="875" w:type="dxa"/>
            <w:shd w:val="clear" w:color="auto" w:fill="D9E2F3" w:themeFill="accent5" w:themeFillTint="33"/>
          </w:tcPr>
          <w:p w14:paraId="395EF7FF" w14:textId="77777777" w:rsidR="006D50B0" w:rsidRPr="008C1E5F" w:rsidRDefault="006D50B0" w:rsidP="006D50B0">
            <w:pPr>
              <w:pStyle w:val="TableSubheadingCentered"/>
            </w:pPr>
            <w:r w:rsidRPr="008C1E5F">
              <w:t>7</w:t>
            </w:r>
          </w:p>
        </w:tc>
        <w:tc>
          <w:tcPr>
            <w:tcW w:w="900" w:type="dxa"/>
            <w:shd w:val="clear" w:color="auto" w:fill="D9E2F3" w:themeFill="accent5" w:themeFillTint="33"/>
          </w:tcPr>
          <w:p w14:paraId="0B5CBFDE" w14:textId="77777777" w:rsidR="006D50B0" w:rsidRPr="008C1E5F" w:rsidRDefault="006D50B0" w:rsidP="006D50B0">
            <w:pPr>
              <w:pStyle w:val="TableSubheadingCentered"/>
            </w:pPr>
            <w:r w:rsidRPr="008C1E5F">
              <w:t>54</w:t>
            </w:r>
          </w:p>
        </w:tc>
        <w:tc>
          <w:tcPr>
            <w:tcW w:w="892" w:type="dxa"/>
            <w:shd w:val="clear" w:color="auto" w:fill="D9E2F3" w:themeFill="accent5" w:themeFillTint="33"/>
          </w:tcPr>
          <w:p w14:paraId="00394D0B" w14:textId="77777777" w:rsidR="006D50B0" w:rsidRPr="008C1E5F" w:rsidRDefault="006D50B0" w:rsidP="006D50B0">
            <w:pPr>
              <w:pStyle w:val="TableSubheadingCentered"/>
            </w:pPr>
            <w:r w:rsidRPr="008C1E5F">
              <w:t>3.2</w:t>
            </w:r>
          </w:p>
        </w:tc>
      </w:tr>
      <w:tr w:rsidR="006D50B0" w:rsidRPr="008C1E5F" w14:paraId="54A601E2" w14:textId="77777777" w:rsidTr="006D50B0">
        <w:trPr>
          <w:jc w:val="center"/>
        </w:trPr>
        <w:tc>
          <w:tcPr>
            <w:tcW w:w="1431" w:type="dxa"/>
          </w:tcPr>
          <w:p w14:paraId="7C4DF58D" w14:textId="77777777" w:rsidR="006D50B0" w:rsidRPr="008C1E5F" w:rsidRDefault="006D50B0" w:rsidP="006D50B0">
            <w:pPr>
              <w:pStyle w:val="TableText"/>
            </w:pPr>
            <w:r w:rsidRPr="008C1E5F">
              <w:t>Grades K-3**</w:t>
            </w:r>
          </w:p>
        </w:tc>
        <w:tc>
          <w:tcPr>
            <w:tcW w:w="874" w:type="dxa"/>
          </w:tcPr>
          <w:p w14:paraId="55D22B7E" w14:textId="77777777" w:rsidR="006D50B0" w:rsidRPr="008C1E5F" w:rsidRDefault="006D50B0" w:rsidP="006D50B0">
            <w:pPr>
              <w:pStyle w:val="TableTextCentered"/>
              <w:rPr>
                <w:rFonts w:eastAsia="Times New Roman"/>
              </w:rPr>
            </w:pPr>
            <w:r w:rsidRPr="008C1E5F">
              <w:rPr>
                <w:rFonts w:eastAsia="Times New Roman"/>
              </w:rPr>
              <w:t>4</w:t>
            </w:r>
          </w:p>
        </w:tc>
        <w:tc>
          <w:tcPr>
            <w:tcW w:w="874" w:type="dxa"/>
          </w:tcPr>
          <w:p w14:paraId="7ADB519E" w14:textId="77777777" w:rsidR="006D50B0" w:rsidRPr="008C1E5F" w:rsidRDefault="006D50B0" w:rsidP="006D50B0">
            <w:pPr>
              <w:pStyle w:val="TableTextCentered"/>
              <w:rPr>
                <w:rFonts w:eastAsia="Times New Roman"/>
              </w:rPr>
            </w:pPr>
            <w:r w:rsidRPr="008C1E5F">
              <w:rPr>
                <w:rFonts w:eastAsia="Times New Roman"/>
              </w:rPr>
              <w:t>12</w:t>
            </w:r>
          </w:p>
        </w:tc>
        <w:tc>
          <w:tcPr>
            <w:tcW w:w="874" w:type="dxa"/>
          </w:tcPr>
          <w:p w14:paraId="4AD71A3A" w14:textId="77777777" w:rsidR="006D50B0" w:rsidRPr="008C1E5F" w:rsidRDefault="006D50B0" w:rsidP="006D50B0">
            <w:pPr>
              <w:pStyle w:val="TableTextCentered"/>
              <w:rPr>
                <w:rFonts w:eastAsia="Times New Roman"/>
              </w:rPr>
            </w:pPr>
            <w:r w:rsidRPr="008C1E5F">
              <w:rPr>
                <w:rFonts w:eastAsia="Times New Roman"/>
              </w:rPr>
              <w:t>16</w:t>
            </w:r>
          </w:p>
        </w:tc>
        <w:tc>
          <w:tcPr>
            <w:tcW w:w="875" w:type="dxa"/>
          </w:tcPr>
          <w:p w14:paraId="3915F86A" w14:textId="77777777" w:rsidR="006D50B0" w:rsidRPr="008C1E5F" w:rsidRDefault="006D50B0" w:rsidP="006D50B0">
            <w:pPr>
              <w:pStyle w:val="TableTextCentered"/>
              <w:rPr>
                <w:rFonts w:eastAsia="Times New Roman"/>
              </w:rPr>
            </w:pPr>
            <w:r w:rsidRPr="008C1E5F">
              <w:rPr>
                <w:rFonts w:eastAsia="Times New Roman"/>
              </w:rPr>
              <w:t>15</w:t>
            </w:r>
          </w:p>
        </w:tc>
        <w:tc>
          <w:tcPr>
            <w:tcW w:w="875" w:type="dxa"/>
          </w:tcPr>
          <w:p w14:paraId="1AE7D014" w14:textId="77777777" w:rsidR="006D50B0" w:rsidRPr="008C1E5F" w:rsidRDefault="006D50B0" w:rsidP="006D50B0">
            <w:pPr>
              <w:pStyle w:val="TableTextCentered"/>
              <w:rPr>
                <w:rFonts w:eastAsia="Times New Roman"/>
              </w:rPr>
            </w:pPr>
            <w:r w:rsidRPr="008C1E5F">
              <w:rPr>
                <w:rFonts w:eastAsia="Times New Roman"/>
              </w:rPr>
              <w:t>5</w:t>
            </w:r>
          </w:p>
        </w:tc>
        <w:tc>
          <w:tcPr>
            <w:tcW w:w="874" w:type="dxa"/>
          </w:tcPr>
          <w:p w14:paraId="4A265360" w14:textId="77777777" w:rsidR="006D50B0" w:rsidRPr="008C1E5F" w:rsidRDefault="006D50B0" w:rsidP="006D50B0">
            <w:pPr>
              <w:pStyle w:val="TableTextCentered"/>
              <w:rPr>
                <w:rFonts w:eastAsia="Times New Roman"/>
              </w:rPr>
            </w:pPr>
            <w:r w:rsidRPr="008C1E5F">
              <w:rPr>
                <w:rFonts w:eastAsia="Times New Roman"/>
              </w:rPr>
              <w:t>2</w:t>
            </w:r>
          </w:p>
        </w:tc>
        <w:tc>
          <w:tcPr>
            <w:tcW w:w="875" w:type="dxa"/>
          </w:tcPr>
          <w:p w14:paraId="3B5967FC" w14:textId="77777777" w:rsidR="006D50B0" w:rsidRPr="008C1E5F" w:rsidRDefault="006D50B0" w:rsidP="006D50B0">
            <w:pPr>
              <w:pStyle w:val="TableTextCentered"/>
              <w:rPr>
                <w:rFonts w:eastAsia="Times New Roman"/>
              </w:rPr>
            </w:pPr>
            <w:r w:rsidRPr="008C1E5F">
              <w:rPr>
                <w:rFonts w:eastAsia="Times New Roman"/>
              </w:rPr>
              <w:t>0</w:t>
            </w:r>
          </w:p>
        </w:tc>
        <w:tc>
          <w:tcPr>
            <w:tcW w:w="900" w:type="dxa"/>
          </w:tcPr>
          <w:p w14:paraId="6FF70DC7" w14:textId="77777777" w:rsidR="006D50B0" w:rsidRPr="008C1E5F" w:rsidRDefault="006D50B0" w:rsidP="006D50B0">
            <w:pPr>
              <w:pStyle w:val="TableTextCentered"/>
              <w:rPr>
                <w:rFonts w:eastAsia="Times New Roman"/>
              </w:rPr>
            </w:pPr>
            <w:r w:rsidRPr="008C1E5F">
              <w:rPr>
                <w:rFonts w:eastAsia="Times New Roman"/>
              </w:rPr>
              <w:t>54</w:t>
            </w:r>
          </w:p>
        </w:tc>
        <w:tc>
          <w:tcPr>
            <w:tcW w:w="892" w:type="dxa"/>
          </w:tcPr>
          <w:p w14:paraId="73D88653" w14:textId="77777777" w:rsidR="006D50B0" w:rsidRPr="008C1E5F" w:rsidRDefault="006D50B0" w:rsidP="006D50B0">
            <w:pPr>
              <w:pStyle w:val="TableTextCentered"/>
              <w:rPr>
                <w:rFonts w:eastAsia="Times New Roman"/>
              </w:rPr>
            </w:pPr>
            <w:r w:rsidRPr="008C1E5F">
              <w:rPr>
                <w:rFonts w:eastAsia="Times New Roman"/>
              </w:rPr>
              <w:t>3.2</w:t>
            </w:r>
          </w:p>
        </w:tc>
      </w:tr>
    </w:tbl>
    <w:bookmarkEnd w:id="232"/>
    <w:p w14:paraId="7FA30BF2" w14:textId="77777777" w:rsidR="00900CF1" w:rsidRPr="008C1E5F" w:rsidRDefault="00900CF1">
      <w:pPr>
        <w:pStyle w:val="TableNote"/>
      </w:pPr>
      <w:r w:rsidRPr="008C1E5F">
        <w:t xml:space="preserve">*The district average is an average of the observation scores. In Table 14, the district average is computed as: </w:t>
      </w:r>
      <w:r w:rsidRPr="008C1E5F">
        <w:br/>
      </w:r>
      <w:bookmarkStart w:id="233" w:name="Dist_LM_Calc"/>
      <w:r w:rsidRPr="008C1E5F">
        <w:t>([1 x 4] + [2 x 12] + [3 x 16] + [4 x 15] + [5 x 5] + [6 x 2]) ÷ 54 observations = 3.2</w:t>
      </w:r>
      <w:bookmarkEnd w:id="233"/>
    </w:p>
    <w:p w14:paraId="2D0E42BE" w14:textId="77777777" w:rsidR="00900CF1" w:rsidRPr="008C1E5F" w:rsidRDefault="00900CF1">
      <w:pPr>
        <w:pStyle w:val="TableNote"/>
      </w:pPr>
      <w:r w:rsidRPr="008C1E5F">
        <w:t>**Language Modeling does not appear in the CLASS Upper Elementary Manual, therefore scores for the Elementary School Level represent grades K-3 only.</w:t>
      </w:r>
    </w:p>
    <w:p w14:paraId="1723485F" w14:textId="77777777" w:rsidR="00900CF1" w:rsidRPr="008C1E5F" w:rsidRDefault="00900CF1">
      <w:pPr>
        <w:pStyle w:val="BodyText"/>
      </w:pPr>
      <w:r w:rsidRPr="008C1E5F">
        <w:rPr>
          <w:rStyle w:val="BodyTextDemiChar"/>
        </w:rPr>
        <w:t>Ratings in the Low Range.</w:t>
      </w:r>
      <w:r w:rsidRPr="008C1E5F">
        <w:t xml:space="preserve"> In the low range, there are few conversations in the classroom, particularly between the students and the teacher. The teacher responds to students’ initiating talk with only a few words, limits students’ use of language (in responding to questions) and asks questions that mainly elicit closed-ended responses. The teacher does not or rarely extends students’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3F9C13B8" w14:textId="77777777" w:rsidR="00900CF1" w:rsidRPr="008C1E5F" w:rsidRDefault="00900CF1">
      <w:pPr>
        <w:pStyle w:val="BodyText"/>
      </w:pPr>
      <w:r w:rsidRPr="008C1E5F">
        <w:rPr>
          <w:rStyle w:val="BodyTextDemiChar"/>
        </w:rPr>
        <w:t>Ratings in the Middle Range.</w:t>
      </w:r>
      <w:r w:rsidRPr="008C1E5F">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 responses or repeats what students say. Sometimes, the teacher maps his or her own actions and the students’ actions through language and description. The teacher sometimes uses advanced language with students. </w:t>
      </w:r>
    </w:p>
    <w:p w14:paraId="61AD3DF4" w14:textId="77777777" w:rsidR="00900CF1" w:rsidRPr="008C1E5F" w:rsidRDefault="00900CF1">
      <w:pPr>
        <w:pStyle w:val="BodyText"/>
      </w:pPr>
      <w:r w:rsidRPr="008C1E5F">
        <w:rPr>
          <w:rStyle w:val="BodyTextDemiChar"/>
        </w:rPr>
        <w:t>Ratings in the High Range.</w:t>
      </w:r>
      <w:r w:rsidRPr="008C1E5F">
        <w:rPr>
          <w:b/>
        </w:rPr>
        <w:t xml:space="preserve"> </w:t>
      </w:r>
      <w:r w:rsidRPr="008C1E5F">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4E2E97C0" w14:textId="77777777" w:rsidR="00900CF1" w:rsidRPr="00C2579D" w:rsidRDefault="00900CF1">
      <w:pPr>
        <w:pStyle w:val="Heading2-SIOR"/>
        <w:rPr>
          <w:lang w:val="fr-FR"/>
        </w:rPr>
      </w:pPr>
      <w:bookmarkStart w:id="234" w:name="_Toc379881745"/>
      <w:bookmarkStart w:id="235" w:name="_Toc411329838"/>
      <w:bookmarkStart w:id="236" w:name="_Toc430114887"/>
      <w:bookmarkStart w:id="237" w:name="_Toc92194266"/>
      <w:bookmarkStart w:id="238" w:name="_Toc195024258"/>
      <w:r w:rsidRPr="00C2579D">
        <w:rPr>
          <w:lang w:val="fr-FR"/>
        </w:rPr>
        <w:lastRenderedPageBreak/>
        <w:t>Instructional Dialogue</w:t>
      </w:r>
      <w:bookmarkEnd w:id="234"/>
      <w:bookmarkEnd w:id="235"/>
      <w:bookmarkEnd w:id="236"/>
      <w:bookmarkEnd w:id="237"/>
      <w:bookmarkEnd w:id="238"/>
      <w:r w:rsidRPr="00C2579D">
        <w:rPr>
          <w:lang w:val="fr-FR"/>
        </w:rPr>
        <w:t xml:space="preserve"> </w:t>
      </w:r>
    </w:p>
    <w:p w14:paraId="6C807FFB" w14:textId="77777777" w:rsidR="00900CF1" w:rsidRPr="00C2579D" w:rsidRDefault="00900CF1">
      <w:pPr>
        <w:pStyle w:val="BodyTextDomain"/>
        <w:rPr>
          <w:lang w:val="fr-FR"/>
        </w:rPr>
      </w:pPr>
      <w:r w:rsidRPr="00C2579D">
        <w:rPr>
          <w:lang w:val="fr-FR"/>
        </w:rPr>
        <w:t xml:space="preserve">Instructional Support </w:t>
      </w:r>
      <w:proofErr w:type="spellStart"/>
      <w:r w:rsidRPr="00C2579D">
        <w:rPr>
          <w:lang w:val="fr-FR"/>
        </w:rPr>
        <w:t>domain</w:t>
      </w:r>
      <w:proofErr w:type="spellEnd"/>
      <w:r w:rsidRPr="00C2579D">
        <w:rPr>
          <w:lang w:val="fr-FR"/>
        </w:rPr>
        <w:t>, Grades 4</w:t>
      </w:r>
      <w:r w:rsidRPr="00C2579D">
        <w:rPr>
          <w:rFonts w:ascii="Vijaya" w:hAnsi="Vijaya" w:cs="Vijaya"/>
          <w:lang w:val="fr-FR"/>
        </w:rPr>
        <w:t xml:space="preserve">− </w:t>
      </w:r>
      <w:r w:rsidRPr="00C2579D">
        <w:rPr>
          <w:lang w:val="fr-FR"/>
        </w:rPr>
        <w:t>12</w:t>
      </w:r>
    </w:p>
    <w:p w14:paraId="18BABB38" w14:textId="77777777" w:rsidR="00900CF1" w:rsidRPr="008C1E5F" w:rsidRDefault="00900CF1">
      <w:pPr>
        <w:pStyle w:val="BodyText"/>
      </w:pPr>
      <w:r w:rsidRPr="008C1E5F">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8C1E5F">
        <w:rPr>
          <w:i/>
        </w:rPr>
        <w:t>CLASS Upper Elementary Manual</w:t>
      </w:r>
      <w:r w:rsidRPr="008C1E5F">
        <w:t xml:space="preserve">, p. 97, </w:t>
      </w:r>
      <w:r w:rsidRPr="008C1E5F">
        <w:rPr>
          <w:i/>
        </w:rPr>
        <w:t>CLASS Secondary Manual</w:t>
      </w:r>
      <w:r w:rsidRPr="008C1E5F">
        <w:t>, p. 101).</w:t>
      </w:r>
    </w:p>
    <w:p w14:paraId="4EAD10B6" w14:textId="77777777" w:rsidR="00900CF1" w:rsidRPr="008C1E5F" w:rsidRDefault="00900CF1">
      <w:pPr>
        <w:pStyle w:val="TableTitle0"/>
        <w:rPr>
          <w:spacing w:val="-4"/>
        </w:rPr>
      </w:pPr>
      <w:r w:rsidRPr="008C1E5F">
        <w:rPr>
          <w:spacing w:val="-4"/>
        </w:rPr>
        <w:t>Table 15. Instructional Dialogue: Number of Classrooms for Each Rating and District Average</w:t>
      </w:r>
    </w:p>
    <w:p w14:paraId="6066E6E3" w14:textId="77777777" w:rsidR="00900CF1" w:rsidRPr="008C1E5F" w:rsidRDefault="00900CF1">
      <w:pPr>
        <w:pStyle w:val="BodyTextDemi"/>
      </w:pPr>
      <w:r w:rsidRPr="008C1E5F">
        <w:t xml:space="preserve">Instructional Dialogue District Average*: </w:t>
      </w:r>
      <w:bookmarkStart w:id="239" w:name="Dist_ID_Avg"/>
      <w:r w:rsidRPr="008C1E5F">
        <w:t>3.0</w:t>
      </w:r>
      <w:bookmarkEnd w:id="239"/>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6D50B0" w:rsidRPr="008C1E5F" w14:paraId="4385BBCF" w14:textId="77777777">
        <w:trPr>
          <w:cnfStyle w:val="100000000000" w:firstRow="1" w:lastRow="0" w:firstColumn="0" w:lastColumn="0" w:oddVBand="0" w:evenVBand="0" w:oddHBand="0" w:evenHBand="0" w:firstRowFirstColumn="0" w:firstRowLastColumn="0" w:lastRowFirstColumn="0" w:lastRowLastColumn="0"/>
          <w:jc w:val="center"/>
        </w:trPr>
        <w:tc>
          <w:tcPr>
            <w:tcW w:w="1431" w:type="dxa"/>
          </w:tcPr>
          <w:p w14:paraId="66B48B52" w14:textId="06375290" w:rsidR="006D50B0" w:rsidRPr="008C1E5F" w:rsidRDefault="006D50B0" w:rsidP="006D50B0">
            <w:pPr>
              <w:pStyle w:val="TableColHeadingCenter"/>
              <w:rPr>
                <w:rFonts w:eastAsia="MS Mincho"/>
              </w:rPr>
            </w:pPr>
            <w:bookmarkStart w:id="240" w:name="Tbl_ID"/>
            <w:r w:rsidRPr="008C1E5F">
              <w:rPr>
                <w:rFonts w:eastAsia="MS Mincho"/>
              </w:rPr>
              <w:t>Grade Band</w:t>
            </w:r>
          </w:p>
        </w:tc>
        <w:tc>
          <w:tcPr>
            <w:tcW w:w="874" w:type="dxa"/>
          </w:tcPr>
          <w:p w14:paraId="330F77BE" w14:textId="77777777" w:rsidR="006D50B0" w:rsidRPr="008C1E5F" w:rsidRDefault="006D50B0" w:rsidP="006D50B0">
            <w:pPr>
              <w:pStyle w:val="TableColHeadingCenter"/>
              <w:rPr>
                <w:rFonts w:eastAsia="MS Mincho"/>
              </w:rPr>
            </w:pPr>
            <w:r w:rsidRPr="008C1E5F">
              <w:rPr>
                <w:rFonts w:eastAsia="MS Mincho"/>
              </w:rPr>
              <w:t>Low Range</w:t>
            </w:r>
          </w:p>
        </w:tc>
        <w:tc>
          <w:tcPr>
            <w:tcW w:w="874" w:type="dxa"/>
          </w:tcPr>
          <w:p w14:paraId="3751C878" w14:textId="53B25B34" w:rsidR="006D50B0" w:rsidRPr="008C1E5F" w:rsidRDefault="006D50B0" w:rsidP="006D50B0">
            <w:pPr>
              <w:pStyle w:val="TableColHeadingCenter"/>
              <w:rPr>
                <w:rFonts w:eastAsia="MS Mincho"/>
              </w:rPr>
            </w:pPr>
            <w:r w:rsidRPr="008C1E5F">
              <w:rPr>
                <w:rFonts w:eastAsia="MS Mincho"/>
              </w:rPr>
              <w:t>Low Range</w:t>
            </w:r>
          </w:p>
        </w:tc>
        <w:tc>
          <w:tcPr>
            <w:tcW w:w="874" w:type="dxa"/>
          </w:tcPr>
          <w:p w14:paraId="66E23160" w14:textId="77777777" w:rsidR="006D50B0" w:rsidRPr="008C1E5F" w:rsidRDefault="006D50B0" w:rsidP="006D50B0">
            <w:pPr>
              <w:pStyle w:val="TableColHeadingCenter"/>
              <w:rPr>
                <w:rFonts w:eastAsia="MS Mincho"/>
              </w:rPr>
            </w:pPr>
            <w:r w:rsidRPr="008C1E5F">
              <w:rPr>
                <w:rFonts w:eastAsia="MS Mincho"/>
              </w:rPr>
              <w:t>Middle Range</w:t>
            </w:r>
          </w:p>
        </w:tc>
        <w:tc>
          <w:tcPr>
            <w:tcW w:w="875" w:type="dxa"/>
          </w:tcPr>
          <w:p w14:paraId="0E8D2B49" w14:textId="0247D133" w:rsidR="006D50B0" w:rsidRPr="008C1E5F" w:rsidRDefault="006D50B0" w:rsidP="006D50B0">
            <w:pPr>
              <w:pStyle w:val="TableColHeadingCenter"/>
              <w:rPr>
                <w:rFonts w:eastAsia="MS Mincho"/>
              </w:rPr>
            </w:pPr>
            <w:r w:rsidRPr="008C1E5F">
              <w:rPr>
                <w:rFonts w:eastAsia="MS Mincho"/>
              </w:rPr>
              <w:t>Middle Range</w:t>
            </w:r>
          </w:p>
        </w:tc>
        <w:tc>
          <w:tcPr>
            <w:tcW w:w="875" w:type="dxa"/>
          </w:tcPr>
          <w:p w14:paraId="57846AD9" w14:textId="65BA7829" w:rsidR="006D50B0" w:rsidRPr="008C1E5F" w:rsidRDefault="006D50B0" w:rsidP="006D50B0">
            <w:pPr>
              <w:pStyle w:val="TableColHeadingCenter"/>
              <w:rPr>
                <w:rFonts w:eastAsia="MS Mincho"/>
              </w:rPr>
            </w:pPr>
            <w:r w:rsidRPr="008C1E5F">
              <w:rPr>
                <w:rFonts w:eastAsia="MS Mincho"/>
              </w:rPr>
              <w:t>Middle Range</w:t>
            </w:r>
          </w:p>
        </w:tc>
        <w:tc>
          <w:tcPr>
            <w:tcW w:w="874" w:type="dxa"/>
          </w:tcPr>
          <w:p w14:paraId="20697158" w14:textId="77777777" w:rsidR="006D50B0" w:rsidRPr="008C1E5F" w:rsidRDefault="006D50B0" w:rsidP="006D50B0">
            <w:pPr>
              <w:pStyle w:val="TableColHeadingCenter"/>
              <w:rPr>
                <w:rFonts w:eastAsia="MS Mincho"/>
              </w:rPr>
            </w:pPr>
            <w:r w:rsidRPr="008C1E5F">
              <w:rPr>
                <w:rFonts w:eastAsia="MS Mincho"/>
              </w:rPr>
              <w:t>High Range</w:t>
            </w:r>
          </w:p>
        </w:tc>
        <w:tc>
          <w:tcPr>
            <w:tcW w:w="875" w:type="dxa"/>
          </w:tcPr>
          <w:p w14:paraId="0E03FD12" w14:textId="36D58747" w:rsidR="006D50B0" w:rsidRPr="008C1E5F" w:rsidRDefault="006D50B0" w:rsidP="006D50B0">
            <w:pPr>
              <w:pStyle w:val="TableColHeadingCenter"/>
              <w:rPr>
                <w:rFonts w:eastAsia="MS Mincho"/>
              </w:rPr>
            </w:pPr>
            <w:r w:rsidRPr="008C1E5F">
              <w:rPr>
                <w:rFonts w:eastAsia="MS Mincho"/>
              </w:rPr>
              <w:t>High Range</w:t>
            </w:r>
          </w:p>
        </w:tc>
        <w:tc>
          <w:tcPr>
            <w:tcW w:w="900" w:type="dxa"/>
          </w:tcPr>
          <w:p w14:paraId="4A106724" w14:textId="03A5A031" w:rsidR="006D50B0" w:rsidRPr="008C1E5F" w:rsidRDefault="006D50B0" w:rsidP="006D50B0">
            <w:pPr>
              <w:pStyle w:val="TableColHeadingCenter"/>
              <w:rPr>
                <w:rFonts w:eastAsia="MS Mincho"/>
              </w:rPr>
            </w:pPr>
            <w:r w:rsidRPr="008C1E5F">
              <w:rPr>
                <w:rFonts w:eastAsia="MS Mincho"/>
                <w:i/>
                <w:iCs/>
              </w:rPr>
              <w:t>n</w:t>
            </w:r>
          </w:p>
        </w:tc>
        <w:tc>
          <w:tcPr>
            <w:tcW w:w="892" w:type="dxa"/>
          </w:tcPr>
          <w:p w14:paraId="7251B47B" w14:textId="6FC74D7B" w:rsidR="006D50B0" w:rsidRPr="008C1E5F" w:rsidRDefault="006D50B0" w:rsidP="006D50B0">
            <w:pPr>
              <w:pStyle w:val="TableColHeadingCenter"/>
              <w:rPr>
                <w:rFonts w:eastAsia="MS Mincho"/>
              </w:rPr>
            </w:pPr>
            <w:r w:rsidRPr="008C1E5F">
              <w:rPr>
                <w:rFonts w:eastAsia="MS Mincho"/>
              </w:rPr>
              <w:t>Average</w:t>
            </w:r>
          </w:p>
        </w:tc>
      </w:tr>
      <w:tr w:rsidR="006D50B0" w:rsidRPr="008C1E5F" w14:paraId="047B460C" w14:textId="77777777" w:rsidTr="006D50B0">
        <w:trPr>
          <w:jc w:val="center"/>
        </w:trPr>
        <w:tc>
          <w:tcPr>
            <w:tcW w:w="1431" w:type="dxa"/>
            <w:shd w:val="clear" w:color="auto" w:fill="D9E2F3" w:themeFill="accent5" w:themeFillTint="33"/>
          </w:tcPr>
          <w:p w14:paraId="7C82C80A" w14:textId="77777777" w:rsidR="006D50B0" w:rsidRPr="008C1E5F" w:rsidRDefault="006D50B0" w:rsidP="006D50B0">
            <w:pPr>
              <w:pStyle w:val="TableSubheadingCentered"/>
            </w:pPr>
          </w:p>
        </w:tc>
        <w:tc>
          <w:tcPr>
            <w:tcW w:w="874" w:type="dxa"/>
            <w:shd w:val="clear" w:color="auto" w:fill="D9E2F3" w:themeFill="accent5" w:themeFillTint="33"/>
          </w:tcPr>
          <w:p w14:paraId="404131A7" w14:textId="77777777" w:rsidR="006D50B0" w:rsidRPr="008C1E5F" w:rsidRDefault="006D50B0" w:rsidP="006D50B0">
            <w:pPr>
              <w:pStyle w:val="TableSubheadingCentered"/>
            </w:pPr>
            <w:r w:rsidRPr="008C1E5F">
              <w:t>1</w:t>
            </w:r>
          </w:p>
        </w:tc>
        <w:tc>
          <w:tcPr>
            <w:tcW w:w="874" w:type="dxa"/>
            <w:shd w:val="clear" w:color="auto" w:fill="D9E2F3" w:themeFill="accent5" w:themeFillTint="33"/>
          </w:tcPr>
          <w:p w14:paraId="201A9DA0" w14:textId="77777777" w:rsidR="006D50B0" w:rsidRPr="008C1E5F" w:rsidRDefault="006D50B0" w:rsidP="006D50B0">
            <w:pPr>
              <w:pStyle w:val="TableSubheadingCentered"/>
            </w:pPr>
            <w:r w:rsidRPr="008C1E5F">
              <w:t>2</w:t>
            </w:r>
          </w:p>
        </w:tc>
        <w:tc>
          <w:tcPr>
            <w:tcW w:w="874" w:type="dxa"/>
            <w:shd w:val="clear" w:color="auto" w:fill="D9E2F3" w:themeFill="accent5" w:themeFillTint="33"/>
          </w:tcPr>
          <w:p w14:paraId="381DC151" w14:textId="77777777" w:rsidR="006D50B0" w:rsidRPr="008C1E5F" w:rsidRDefault="006D50B0" w:rsidP="006D50B0">
            <w:pPr>
              <w:pStyle w:val="TableSubheadingCentered"/>
            </w:pPr>
            <w:r w:rsidRPr="008C1E5F">
              <w:t>3</w:t>
            </w:r>
          </w:p>
        </w:tc>
        <w:tc>
          <w:tcPr>
            <w:tcW w:w="875" w:type="dxa"/>
            <w:shd w:val="clear" w:color="auto" w:fill="D9E2F3" w:themeFill="accent5" w:themeFillTint="33"/>
          </w:tcPr>
          <w:p w14:paraId="688E111F" w14:textId="77777777" w:rsidR="006D50B0" w:rsidRPr="008C1E5F" w:rsidRDefault="006D50B0" w:rsidP="006D50B0">
            <w:pPr>
              <w:pStyle w:val="TableSubheadingCentered"/>
            </w:pPr>
            <w:r w:rsidRPr="008C1E5F">
              <w:t>4</w:t>
            </w:r>
          </w:p>
        </w:tc>
        <w:tc>
          <w:tcPr>
            <w:tcW w:w="875" w:type="dxa"/>
            <w:shd w:val="clear" w:color="auto" w:fill="D9E2F3" w:themeFill="accent5" w:themeFillTint="33"/>
          </w:tcPr>
          <w:p w14:paraId="2D33C427" w14:textId="77777777" w:rsidR="006D50B0" w:rsidRPr="008C1E5F" w:rsidRDefault="006D50B0" w:rsidP="006D50B0">
            <w:pPr>
              <w:pStyle w:val="TableSubheadingCentered"/>
            </w:pPr>
            <w:r w:rsidRPr="008C1E5F">
              <w:t>5</w:t>
            </w:r>
          </w:p>
        </w:tc>
        <w:tc>
          <w:tcPr>
            <w:tcW w:w="874" w:type="dxa"/>
            <w:shd w:val="clear" w:color="auto" w:fill="D9E2F3" w:themeFill="accent5" w:themeFillTint="33"/>
          </w:tcPr>
          <w:p w14:paraId="35F8E99B" w14:textId="77777777" w:rsidR="006D50B0" w:rsidRPr="008C1E5F" w:rsidRDefault="006D50B0" w:rsidP="006D50B0">
            <w:pPr>
              <w:pStyle w:val="TableSubheadingCentered"/>
            </w:pPr>
            <w:r w:rsidRPr="008C1E5F">
              <w:t>6</w:t>
            </w:r>
          </w:p>
        </w:tc>
        <w:tc>
          <w:tcPr>
            <w:tcW w:w="875" w:type="dxa"/>
            <w:shd w:val="clear" w:color="auto" w:fill="D9E2F3" w:themeFill="accent5" w:themeFillTint="33"/>
          </w:tcPr>
          <w:p w14:paraId="2926A631" w14:textId="77777777" w:rsidR="006D50B0" w:rsidRPr="008C1E5F" w:rsidRDefault="006D50B0" w:rsidP="006D50B0">
            <w:pPr>
              <w:pStyle w:val="TableSubheadingCentered"/>
            </w:pPr>
            <w:r w:rsidRPr="008C1E5F">
              <w:t>7</w:t>
            </w:r>
          </w:p>
        </w:tc>
        <w:tc>
          <w:tcPr>
            <w:tcW w:w="900" w:type="dxa"/>
            <w:shd w:val="clear" w:color="auto" w:fill="D9E2F3" w:themeFill="accent5" w:themeFillTint="33"/>
          </w:tcPr>
          <w:p w14:paraId="4AC27932" w14:textId="77777777" w:rsidR="006D50B0" w:rsidRPr="008C1E5F" w:rsidRDefault="006D50B0" w:rsidP="006D50B0">
            <w:pPr>
              <w:pStyle w:val="TableSubheadingCentered"/>
            </w:pPr>
            <w:r w:rsidRPr="008C1E5F">
              <w:t>136</w:t>
            </w:r>
          </w:p>
        </w:tc>
        <w:tc>
          <w:tcPr>
            <w:tcW w:w="892" w:type="dxa"/>
            <w:shd w:val="clear" w:color="auto" w:fill="D9E2F3" w:themeFill="accent5" w:themeFillTint="33"/>
          </w:tcPr>
          <w:p w14:paraId="21B05360" w14:textId="77777777" w:rsidR="006D50B0" w:rsidRPr="008C1E5F" w:rsidRDefault="006D50B0" w:rsidP="006D50B0">
            <w:pPr>
              <w:pStyle w:val="TableSubheadingCentered"/>
            </w:pPr>
            <w:r w:rsidRPr="008C1E5F">
              <w:t>3.0</w:t>
            </w:r>
          </w:p>
        </w:tc>
      </w:tr>
      <w:tr w:rsidR="006D50B0" w:rsidRPr="008C1E5F" w14:paraId="2B116F51" w14:textId="77777777" w:rsidTr="006D50B0">
        <w:trPr>
          <w:jc w:val="center"/>
        </w:trPr>
        <w:tc>
          <w:tcPr>
            <w:tcW w:w="1431" w:type="dxa"/>
          </w:tcPr>
          <w:p w14:paraId="083AE85E" w14:textId="77777777" w:rsidR="006D50B0" w:rsidRPr="008C1E5F" w:rsidRDefault="006D50B0" w:rsidP="006D50B0">
            <w:pPr>
              <w:pStyle w:val="TableText"/>
            </w:pPr>
            <w:r w:rsidRPr="008C1E5F">
              <w:t>Grades 4-5**</w:t>
            </w:r>
          </w:p>
        </w:tc>
        <w:tc>
          <w:tcPr>
            <w:tcW w:w="874" w:type="dxa"/>
          </w:tcPr>
          <w:p w14:paraId="56F125DB" w14:textId="77777777" w:rsidR="006D50B0" w:rsidRPr="008C1E5F" w:rsidRDefault="006D50B0" w:rsidP="006D50B0">
            <w:pPr>
              <w:pStyle w:val="TableTextCentered"/>
              <w:rPr>
                <w:rFonts w:eastAsia="Times New Roman"/>
              </w:rPr>
            </w:pPr>
            <w:r w:rsidRPr="008C1E5F">
              <w:rPr>
                <w:rFonts w:eastAsia="Times New Roman"/>
              </w:rPr>
              <w:t>1</w:t>
            </w:r>
          </w:p>
        </w:tc>
        <w:tc>
          <w:tcPr>
            <w:tcW w:w="874" w:type="dxa"/>
          </w:tcPr>
          <w:p w14:paraId="7C4615E0" w14:textId="77777777" w:rsidR="006D50B0" w:rsidRPr="008C1E5F" w:rsidRDefault="006D50B0" w:rsidP="006D50B0">
            <w:pPr>
              <w:pStyle w:val="TableTextCentered"/>
              <w:rPr>
                <w:rFonts w:eastAsia="Times New Roman"/>
              </w:rPr>
            </w:pPr>
            <w:r w:rsidRPr="008C1E5F">
              <w:rPr>
                <w:rFonts w:eastAsia="Times New Roman"/>
              </w:rPr>
              <w:t>8</w:t>
            </w:r>
          </w:p>
        </w:tc>
        <w:tc>
          <w:tcPr>
            <w:tcW w:w="874" w:type="dxa"/>
          </w:tcPr>
          <w:p w14:paraId="27C231FB" w14:textId="77777777" w:rsidR="006D50B0" w:rsidRPr="008C1E5F" w:rsidRDefault="006D50B0" w:rsidP="006D50B0">
            <w:pPr>
              <w:pStyle w:val="TableTextCentered"/>
              <w:rPr>
                <w:rFonts w:eastAsia="Times New Roman"/>
              </w:rPr>
            </w:pPr>
            <w:r w:rsidRPr="008C1E5F">
              <w:rPr>
                <w:rFonts w:eastAsia="Times New Roman"/>
              </w:rPr>
              <w:t>4</w:t>
            </w:r>
          </w:p>
        </w:tc>
        <w:tc>
          <w:tcPr>
            <w:tcW w:w="875" w:type="dxa"/>
          </w:tcPr>
          <w:p w14:paraId="60042A8C" w14:textId="77777777" w:rsidR="006D50B0" w:rsidRPr="008C1E5F" w:rsidRDefault="006D50B0" w:rsidP="006D50B0">
            <w:pPr>
              <w:pStyle w:val="TableTextCentered"/>
              <w:rPr>
                <w:rFonts w:eastAsia="Times New Roman"/>
              </w:rPr>
            </w:pPr>
            <w:r w:rsidRPr="008C1E5F">
              <w:rPr>
                <w:rFonts w:eastAsia="Times New Roman"/>
              </w:rPr>
              <w:t>7</w:t>
            </w:r>
          </w:p>
        </w:tc>
        <w:tc>
          <w:tcPr>
            <w:tcW w:w="875" w:type="dxa"/>
          </w:tcPr>
          <w:p w14:paraId="1AE117D3" w14:textId="77777777" w:rsidR="006D50B0" w:rsidRPr="008C1E5F" w:rsidRDefault="006D50B0" w:rsidP="006D50B0">
            <w:pPr>
              <w:pStyle w:val="TableTextCentered"/>
              <w:rPr>
                <w:rFonts w:eastAsia="Times New Roman"/>
              </w:rPr>
            </w:pPr>
            <w:r w:rsidRPr="008C1E5F">
              <w:rPr>
                <w:rFonts w:eastAsia="Times New Roman"/>
              </w:rPr>
              <w:t>5</w:t>
            </w:r>
          </w:p>
        </w:tc>
        <w:tc>
          <w:tcPr>
            <w:tcW w:w="874" w:type="dxa"/>
          </w:tcPr>
          <w:p w14:paraId="485BC0C2" w14:textId="77777777" w:rsidR="006D50B0" w:rsidRPr="008C1E5F" w:rsidRDefault="006D50B0" w:rsidP="006D50B0">
            <w:pPr>
              <w:pStyle w:val="TableTextCentered"/>
              <w:rPr>
                <w:rFonts w:eastAsia="Times New Roman"/>
              </w:rPr>
            </w:pPr>
            <w:r w:rsidRPr="008C1E5F">
              <w:rPr>
                <w:rFonts w:eastAsia="Times New Roman"/>
              </w:rPr>
              <w:t>5</w:t>
            </w:r>
          </w:p>
        </w:tc>
        <w:tc>
          <w:tcPr>
            <w:tcW w:w="875" w:type="dxa"/>
          </w:tcPr>
          <w:p w14:paraId="02FEBAC8" w14:textId="77777777" w:rsidR="006D50B0" w:rsidRPr="008C1E5F" w:rsidRDefault="006D50B0" w:rsidP="006D50B0">
            <w:pPr>
              <w:pStyle w:val="TableTextCentered"/>
              <w:rPr>
                <w:rFonts w:eastAsia="Times New Roman"/>
              </w:rPr>
            </w:pPr>
            <w:r w:rsidRPr="008C1E5F">
              <w:rPr>
                <w:rFonts w:eastAsia="Times New Roman"/>
              </w:rPr>
              <w:t>0</w:t>
            </w:r>
          </w:p>
        </w:tc>
        <w:tc>
          <w:tcPr>
            <w:tcW w:w="900" w:type="dxa"/>
          </w:tcPr>
          <w:p w14:paraId="01503824" w14:textId="77777777" w:rsidR="006D50B0" w:rsidRPr="008C1E5F" w:rsidRDefault="006D50B0" w:rsidP="006D50B0">
            <w:pPr>
              <w:pStyle w:val="TableTextCentered"/>
              <w:rPr>
                <w:rFonts w:eastAsia="Times New Roman"/>
              </w:rPr>
            </w:pPr>
            <w:r w:rsidRPr="008C1E5F">
              <w:rPr>
                <w:rFonts w:eastAsia="Times New Roman"/>
              </w:rPr>
              <w:t>30</w:t>
            </w:r>
          </w:p>
        </w:tc>
        <w:tc>
          <w:tcPr>
            <w:tcW w:w="892" w:type="dxa"/>
          </w:tcPr>
          <w:p w14:paraId="7D867A5E" w14:textId="77777777" w:rsidR="006D50B0" w:rsidRPr="008C1E5F" w:rsidRDefault="006D50B0" w:rsidP="006D50B0">
            <w:pPr>
              <w:pStyle w:val="TableTextCentered"/>
              <w:rPr>
                <w:rFonts w:eastAsia="Times New Roman"/>
              </w:rPr>
            </w:pPr>
            <w:r w:rsidRPr="008C1E5F">
              <w:rPr>
                <w:rFonts w:eastAsia="Times New Roman"/>
              </w:rPr>
              <w:t>3.7</w:t>
            </w:r>
          </w:p>
        </w:tc>
      </w:tr>
      <w:tr w:rsidR="006D50B0" w:rsidRPr="008C1E5F" w14:paraId="110BB125" w14:textId="77777777" w:rsidTr="006D50B0">
        <w:trPr>
          <w:jc w:val="center"/>
        </w:trPr>
        <w:tc>
          <w:tcPr>
            <w:tcW w:w="1431" w:type="dxa"/>
          </w:tcPr>
          <w:p w14:paraId="56E830F2" w14:textId="77777777" w:rsidR="006D50B0" w:rsidRPr="008C1E5F" w:rsidRDefault="006D50B0" w:rsidP="006D50B0">
            <w:pPr>
              <w:pStyle w:val="TableText"/>
            </w:pPr>
            <w:r w:rsidRPr="008C1E5F">
              <w:t>Grades 6-8</w:t>
            </w:r>
          </w:p>
        </w:tc>
        <w:tc>
          <w:tcPr>
            <w:tcW w:w="874" w:type="dxa"/>
          </w:tcPr>
          <w:p w14:paraId="24AA886F" w14:textId="77777777" w:rsidR="006D50B0" w:rsidRPr="008C1E5F" w:rsidRDefault="006D50B0" w:rsidP="006D50B0">
            <w:pPr>
              <w:pStyle w:val="TableTextCentered"/>
              <w:rPr>
                <w:rFonts w:eastAsia="Times New Roman"/>
              </w:rPr>
            </w:pPr>
            <w:r w:rsidRPr="008C1E5F">
              <w:rPr>
                <w:rFonts w:eastAsia="Times New Roman"/>
              </w:rPr>
              <w:t>20</w:t>
            </w:r>
          </w:p>
        </w:tc>
        <w:tc>
          <w:tcPr>
            <w:tcW w:w="874" w:type="dxa"/>
          </w:tcPr>
          <w:p w14:paraId="3D40DFF8" w14:textId="77777777" w:rsidR="006D50B0" w:rsidRPr="008C1E5F" w:rsidRDefault="006D50B0" w:rsidP="006D50B0">
            <w:pPr>
              <w:pStyle w:val="TableTextCentered"/>
              <w:rPr>
                <w:rFonts w:eastAsia="Times New Roman"/>
              </w:rPr>
            </w:pPr>
            <w:r w:rsidRPr="008C1E5F">
              <w:rPr>
                <w:rFonts w:eastAsia="Times New Roman"/>
              </w:rPr>
              <w:t>14</w:t>
            </w:r>
          </w:p>
        </w:tc>
        <w:tc>
          <w:tcPr>
            <w:tcW w:w="874" w:type="dxa"/>
          </w:tcPr>
          <w:p w14:paraId="7CDCF82B" w14:textId="77777777" w:rsidR="006D50B0" w:rsidRPr="008C1E5F" w:rsidRDefault="006D50B0" w:rsidP="006D50B0">
            <w:pPr>
              <w:pStyle w:val="TableTextCentered"/>
              <w:rPr>
                <w:rFonts w:eastAsia="Times New Roman"/>
              </w:rPr>
            </w:pPr>
            <w:r w:rsidRPr="008C1E5F">
              <w:rPr>
                <w:rFonts w:eastAsia="Times New Roman"/>
              </w:rPr>
              <w:t>17</w:t>
            </w:r>
          </w:p>
        </w:tc>
        <w:tc>
          <w:tcPr>
            <w:tcW w:w="875" w:type="dxa"/>
          </w:tcPr>
          <w:p w14:paraId="442989F9" w14:textId="77777777" w:rsidR="006D50B0" w:rsidRPr="008C1E5F" w:rsidRDefault="006D50B0" w:rsidP="006D50B0">
            <w:pPr>
              <w:pStyle w:val="TableTextCentered"/>
              <w:rPr>
                <w:rFonts w:eastAsia="Times New Roman"/>
              </w:rPr>
            </w:pPr>
            <w:r w:rsidRPr="008C1E5F">
              <w:rPr>
                <w:rFonts w:eastAsia="Times New Roman"/>
              </w:rPr>
              <w:t>14</w:t>
            </w:r>
          </w:p>
        </w:tc>
        <w:tc>
          <w:tcPr>
            <w:tcW w:w="875" w:type="dxa"/>
          </w:tcPr>
          <w:p w14:paraId="089EF525" w14:textId="77777777" w:rsidR="006D50B0" w:rsidRPr="008C1E5F" w:rsidRDefault="006D50B0" w:rsidP="006D50B0">
            <w:pPr>
              <w:pStyle w:val="TableTextCentered"/>
              <w:rPr>
                <w:rFonts w:eastAsia="Times New Roman"/>
              </w:rPr>
            </w:pPr>
            <w:r w:rsidRPr="008C1E5F">
              <w:rPr>
                <w:rFonts w:eastAsia="Times New Roman"/>
              </w:rPr>
              <w:t>3</w:t>
            </w:r>
          </w:p>
        </w:tc>
        <w:tc>
          <w:tcPr>
            <w:tcW w:w="874" w:type="dxa"/>
          </w:tcPr>
          <w:p w14:paraId="552F3E31" w14:textId="77777777" w:rsidR="006D50B0" w:rsidRPr="008C1E5F" w:rsidRDefault="006D50B0" w:rsidP="006D50B0">
            <w:pPr>
              <w:pStyle w:val="TableTextCentered"/>
              <w:rPr>
                <w:rFonts w:eastAsia="Times New Roman"/>
              </w:rPr>
            </w:pPr>
            <w:r w:rsidRPr="008C1E5F">
              <w:rPr>
                <w:rFonts w:eastAsia="Times New Roman"/>
              </w:rPr>
              <w:t>2</w:t>
            </w:r>
          </w:p>
        </w:tc>
        <w:tc>
          <w:tcPr>
            <w:tcW w:w="875" w:type="dxa"/>
          </w:tcPr>
          <w:p w14:paraId="1071CF05" w14:textId="77777777" w:rsidR="006D50B0" w:rsidRPr="008C1E5F" w:rsidRDefault="006D50B0" w:rsidP="006D50B0">
            <w:pPr>
              <w:pStyle w:val="TableTextCentered"/>
              <w:rPr>
                <w:rFonts w:eastAsia="Times New Roman"/>
              </w:rPr>
            </w:pPr>
            <w:r w:rsidRPr="008C1E5F">
              <w:rPr>
                <w:rFonts w:eastAsia="Times New Roman"/>
              </w:rPr>
              <w:t>1</w:t>
            </w:r>
          </w:p>
        </w:tc>
        <w:tc>
          <w:tcPr>
            <w:tcW w:w="900" w:type="dxa"/>
          </w:tcPr>
          <w:p w14:paraId="791FB7E6" w14:textId="77777777" w:rsidR="006D50B0" w:rsidRPr="008C1E5F" w:rsidRDefault="006D50B0" w:rsidP="006D50B0">
            <w:pPr>
              <w:pStyle w:val="TableTextCentered"/>
              <w:rPr>
                <w:rFonts w:eastAsia="Times New Roman"/>
              </w:rPr>
            </w:pPr>
            <w:r w:rsidRPr="008C1E5F">
              <w:rPr>
                <w:rFonts w:eastAsia="Times New Roman"/>
              </w:rPr>
              <w:t>71</w:t>
            </w:r>
          </w:p>
        </w:tc>
        <w:tc>
          <w:tcPr>
            <w:tcW w:w="892" w:type="dxa"/>
          </w:tcPr>
          <w:p w14:paraId="50DEDE87" w14:textId="77777777" w:rsidR="006D50B0" w:rsidRPr="008C1E5F" w:rsidRDefault="006D50B0" w:rsidP="006D50B0">
            <w:pPr>
              <w:pStyle w:val="TableTextCentered"/>
              <w:rPr>
                <w:rFonts w:eastAsia="Times New Roman"/>
              </w:rPr>
            </w:pPr>
            <w:r w:rsidRPr="008C1E5F">
              <w:rPr>
                <w:rFonts w:eastAsia="Times New Roman"/>
              </w:rPr>
              <w:t>2.7</w:t>
            </w:r>
          </w:p>
        </w:tc>
      </w:tr>
      <w:tr w:rsidR="006D50B0" w:rsidRPr="008C1E5F" w14:paraId="6DFDB0C4" w14:textId="77777777" w:rsidTr="006D50B0">
        <w:trPr>
          <w:jc w:val="center"/>
        </w:trPr>
        <w:tc>
          <w:tcPr>
            <w:tcW w:w="1431" w:type="dxa"/>
          </w:tcPr>
          <w:p w14:paraId="08979297" w14:textId="77777777" w:rsidR="006D50B0" w:rsidRPr="008C1E5F" w:rsidRDefault="006D50B0" w:rsidP="006D50B0">
            <w:pPr>
              <w:pStyle w:val="TableText"/>
            </w:pPr>
            <w:r w:rsidRPr="008C1E5F">
              <w:t>Grades 9-12</w:t>
            </w:r>
          </w:p>
        </w:tc>
        <w:tc>
          <w:tcPr>
            <w:tcW w:w="874" w:type="dxa"/>
          </w:tcPr>
          <w:p w14:paraId="39DF5C89" w14:textId="77777777" w:rsidR="006D50B0" w:rsidRPr="008C1E5F" w:rsidRDefault="006D50B0" w:rsidP="006D50B0">
            <w:pPr>
              <w:pStyle w:val="TableTextCentered"/>
              <w:rPr>
                <w:rFonts w:eastAsia="Times New Roman"/>
              </w:rPr>
            </w:pPr>
            <w:r w:rsidRPr="008C1E5F">
              <w:rPr>
                <w:rFonts w:eastAsia="Times New Roman"/>
              </w:rPr>
              <w:t>11</w:t>
            </w:r>
          </w:p>
        </w:tc>
        <w:tc>
          <w:tcPr>
            <w:tcW w:w="874" w:type="dxa"/>
          </w:tcPr>
          <w:p w14:paraId="48EDB7A8" w14:textId="77777777" w:rsidR="006D50B0" w:rsidRPr="008C1E5F" w:rsidRDefault="006D50B0" w:rsidP="006D50B0">
            <w:pPr>
              <w:pStyle w:val="TableTextCentered"/>
              <w:rPr>
                <w:rFonts w:eastAsia="Times New Roman"/>
              </w:rPr>
            </w:pPr>
            <w:r w:rsidRPr="008C1E5F">
              <w:rPr>
                <w:rFonts w:eastAsia="Times New Roman"/>
              </w:rPr>
              <w:t>3</w:t>
            </w:r>
          </w:p>
        </w:tc>
        <w:tc>
          <w:tcPr>
            <w:tcW w:w="874" w:type="dxa"/>
          </w:tcPr>
          <w:p w14:paraId="62AB713C" w14:textId="77777777" w:rsidR="006D50B0" w:rsidRPr="008C1E5F" w:rsidRDefault="006D50B0" w:rsidP="006D50B0">
            <w:pPr>
              <w:pStyle w:val="TableTextCentered"/>
              <w:rPr>
                <w:rFonts w:eastAsia="Times New Roman"/>
              </w:rPr>
            </w:pPr>
            <w:r w:rsidRPr="008C1E5F">
              <w:rPr>
                <w:rFonts w:eastAsia="Times New Roman"/>
              </w:rPr>
              <w:t>4</w:t>
            </w:r>
          </w:p>
        </w:tc>
        <w:tc>
          <w:tcPr>
            <w:tcW w:w="875" w:type="dxa"/>
          </w:tcPr>
          <w:p w14:paraId="6623F664" w14:textId="77777777" w:rsidR="006D50B0" w:rsidRPr="008C1E5F" w:rsidRDefault="006D50B0" w:rsidP="006D50B0">
            <w:pPr>
              <w:pStyle w:val="TableTextCentered"/>
              <w:rPr>
                <w:rFonts w:eastAsia="Times New Roman"/>
              </w:rPr>
            </w:pPr>
            <w:r w:rsidRPr="008C1E5F">
              <w:rPr>
                <w:rFonts w:eastAsia="Times New Roman"/>
              </w:rPr>
              <w:t>11</w:t>
            </w:r>
          </w:p>
        </w:tc>
        <w:tc>
          <w:tcPr>
            <w:tcW w:w="875" w:type="dxa"/>
          </w:tcPr>
          <w:p w14:paraId="0CB0543D" w14:textId="77777777" w:rsidR="006D50B0" w:rsidRPr="008C1E5F" w:rsidRDefault="006D50B0" w:rsidP="006D50B0">
            <w:pPr>
              <w:pStyle w:val="TableTextCentered"/>
              <w:rPr>
                <w:rFonts w:eastAsia="Times New Roman"/>
              </w:rPr>
            </w:pPr>
            <w:r w:rsidRPr="008C1E5F">
              <w:rPr>
                <w:rFonts w:eastAsia="Times New Roman"/>
              </w:rPr>
              <w:t>3</w:t>
            </w:r>
          </w:p>
        </w:tc>
        <w:tc>
          <w:tcPr>
            <w:tcW w:w="874" w:type="dxa"/>
          </w:tcPr>
          <w:p w14:paraId="639C6FF1" w14:textId="77777777" w:rsidR="006D50B0" w:rsidRPr="008C1E5F" w:rsidRDefault="006D50B0" w:rsidP="006D50B0">
            <w:pPr>
              <w:pStyle w:val="TableTextCentered"/>
              <w:rPr>
                <w:rFonts w:eastAsia="Times New Roman"/>
              </w:rPr>
            </w:pPr>
            <w:r w:rsidRPr="008C1E5F">
              <w:rPr>
                <w:rFonts w:eastAsia="Times New Roman"/>
              </w:rPr>
              <w:t>2</w:t>
            </w:r>
          </w:p>
        </w:tc>
        <w:tc>
          <w:tcPr>
            <w:tcW w:w="875" w:type="dxa"/>
          </w:tcPr>
          <w:p w14:paraId="037F4AD8" w14:textId="77777777" w:rsidR="006D50B0" w:rsidRPr="008C1E5F" w:rsidRDefault="006D50B0" w:rsidP="006D50B0">
            <w:pPr>
              <w:pStyle w:val="TableTextCentered"/>
              <w:rPr>
                <w:rFonts w:eastAsia="Times New Roman"/>
              </w:rPr>
            </w:pPr>
            <w:r w:rsidRPr="008C1E5F">
              <w:rPr>
                <w:rFonts w:eastAsia="Times New Roman"/>
              </w:rPr>
              <w:t>1</w:t>
            </w:r>
          </w:p>
        </w:tc>
        <w:tc>
          <w:tcPr>
            <w:tcW w:w="900" w:type="dxa"/>
          </w:tcPr>
          <w:p w14:paraId="4566EF39" w14:textId="77777777" w:rsidR="006D50B0" w:rsidRPr="008C1E5F" w:rsidRDefault="006D50B0" w:rsidP="006D50B0">
            <w:pPr>
              <w:pStyle w:val="TableTextCentered"/>
              <w:rPr>
                <w:rFonts w:eastAsia="Times New Roman"/>
              </w:rPr>
            </w:pPr>
            <w:r w:rsidRPr="008C1E5F">
              <w:rPr>
                <w:rFonts w:eastAsia="Times New Roman"/>
              </w:rPr>
              <w:t>35</w:t>
            </w:r>
          </w:p>
        </w:tc>
        <w:tc>
          <w:tcPr>
            <w:tcW w:w="892" w:type="dxa"/>
          </w:tcPr>
          <w:p w14:paraId="18F444BC" w14:textId="77777777" w:rsidR="006D50B0" w:rsidRPr="008C1E5F" w:rsidRDefault="006D50B0" w:rsidP="006D50B0">
            <w:pPr>
              <w:pStyle w:val="TableTextCentered"/>
              <w:rPr>
                <w:rFonts w:eastAsia="Times New Roman"/>
              </w:rPr>
            </w:pPr>
            <w:r w:rsidRPr="008C1E5F">
              <w:rPr>
                <w:rFonts w:eastAsia="Times New Roman"/>
              </w:rPr>
              <w:t>3.1</w:t>
            </w:r>
          </w:p>
        </w:tc>
      </w:tr>
    </w:tbl>
    <w:bookmarkEnd w:id="240"/>
    <w:p w14:paraId="3873528E" w14:textId="77777777" w:rsidR="00900CF1" w:rsidRPr="008C1E5F" w:rsidRDefault="00900CF1">
      <w:pPr>
        <w:pStyle w:val="TableNote"/>
      </w:pPr>
      <w:r w:rsidRPr="008C1E5F">
        <w:t xml:space="preserve">*The district average is an average of the observation scores. In Table 15, the district average is computed as: </w:t>
      </w:r>
      <w:r w:rsidRPr="008C1E5F">
        <w:br/>
      </w:r>
      <w:bookmarkStart w:id="241" w:name="Dist_ID_Calc"/>
      <w:r w:rsidRPr="008C1E5F">
        <w:t>([1 x 32] + [2 x 25] + [3 x 25] + [4 x 32] + [5 x 11] + [6 x 9] + [7 x 2]) ÷ 136 observations = 3.0</w:t>
      </w:r>
      <w:bookmarkEnd w:id="241"/>
    </w:p>
    <w:p w14:paraId="3B32D519" w14:textId="77777777" w:rsidR="00900CF1" w:rsidRPr="008C1E5F" w:rsidRDefault="00900CF1">
      <w:pPr>
        <w:pStyle w:val="TableNote"/>
      </w:pPr>
      <w:r w:rsidRPr="008C1E5F">
        <w:t>**Instructional Dialogue does not appear in the CLASS K-3 Manual, therefore scores for the Elementary School Level represent grades 4-5 only.</w:t>
      </w:r>
    </w:p>
    <w:p w14:paraId="2825ECCF" w14:textId="77777777" w:rsidR="00900CF1" w:rsidRPr="008C1E5F" w:rsidRDefault="00900CF1">
      <w:pPr>
        <w:pStyle w:val="BodyText"/>
      </w:pPr>
      <w:r w:rsidRPr="008C1E5F">
        <w:rPr>
          <w:rStyle w:val="BodyTextDemiChar"/>
        </w:rPr>
        <w:t>Ratings in the Low Range.</w:t>
      </w:r>
      <w:r w:rsidRPr="008C1E5F">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 comments; and/or appear disinterested in other students’ comments, resulting in many students not being engaged in instructional dialogues.</w:t>
      </w:r>
    </w:p>
    <w:p w14:paraId="51FA9B0A" w14:textId="77777777" w:rsidR="00900CF1" w:rsidRPr="008C1E5F" w:rsidRDefault="00900CF1">
      <w:pPr>
        <w:pStyle w:val="BodyText"/>
      </w:pPr>
      <w:r w:rsidRPr="008C1E5F">
        <w:rPr>
          <w:rStyle w:val="BodyTextDemiChar"/>
        </w:rPr>
        <w:t>Ratings in the Middle Range.</w:t>
      </w:r>
      <w:r w:rsidRPr="008C1E5F">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161AA04F" w14:textId="77777777" w:rsidR="00900CF1" w:rsidRPr="008C1E5F" w:rsidRDefault="00900CF1">
      <w:pPr>
        <w:pStyle w:val="BodyText"/>
        <w:rPr>
          <w:rFonts w:cs="Times New Roman"/>
        </w:rPr>
      </w:pPr>
      <w:r w:rsidRPr="008C1E5F">
        <w:rPr>
          <w:rStyle w:val="BodyTextDemiChar"/>
        </w:rPr>
        <w:t>Ratings in the High Range.</w:t>
      </w:r>
      <w:r w:rsidRPr="008C1E5F">
        <w:rPr>
          <w:b/>
        </w:rPr>
        <w:t xml:space="preserve"> </w:t>
      </w:r>
      <w:r w:rsidRPr="008C1E5F">
        <w:t xml:space="preserve">At the high range, there are frequent, content-driven discussions in the class between teachers and students or among students. The discussions build depth of knowledge through cumulative, contingent exchanges. The class dialogues are distributed in a way that the teacher and </w:t>
      </w:r>
      <w:proofErr w:type="gramStart"/>
      <w:r w:rsidRPr="008C1E5F">
        <w:t>the majority of</w:t>
      </w:r>
      <w:proofErr w:type="gramEnd"/>
      <w:r w:rsidRPr="008C1E5F">
        <w:t xml:space="preserve"> students take an active </w:t>
      </w:r>
      <w:proofErr w:type="gramStart"/>
      <w:r w:rsidRPr="008C1E5F">
        <w:t>role</w:t>
      </w:r>
      <w:proofErr w:type="gramEnd"/>
      <w:r w:rsidRPr="008C1E5F">
        <w:t xml:space="preserv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1684A9BA" w14:textId="77777777" w:rsidR="00900CF1" w:rsidRPr="00C2579D" w:rsidRDefault="00900CF1">
      <w:pPr>
        <w:pStyle w:val="Heading2-SIOR"/>
        <w:rPr>
          <w:lang w:val="fr-FR"/>
        </w:rPr>
      </w:pPr>
      <w:bookmarkStart w:id="242" w:name="_Toc379881746"/>
      <w:bookmarkStart w:id="243" w:name="_Toc411329839"/>
      <w:bookmarkStart w:id="244" w:name="_Toc430114888"/>
      <w:bookmarkStart w:id="245" w:name="_Toc92194267"/>
      <w:bookmarkStart w:id="246" w:name="_Toc195024259"/>
      <w:r w:rsidRPr="00C2579D">
        <w:rPr>
          <w:lang w:val="fr-FR"/>
        </w:rPr>
        <w:lastRenderedPageBreak/>
        <w:t>Student Engagement</w:t>
      </w:r>
      <w:bookmarkEnd w:id="242"/>
      <w:bookmarkEnd w:id="243"/>
      <w:bookmarkEnd w:id="244"/>
      <w:bookmarkEnd w:id="245"/>
      <w:bookmarkEnd w:id="246"/>
    </w:p>
    <w:p w14:paraId="7A7012CB" w14:textId="77777777" w:rsidR="00900CF1" w:rsidRPr="00C2579D" w:rsidRDefault="00900CF1">
      <w:pPr>
        <w:pStyle w:val="BodyTextDomain"/>
        <w:rPr>
          <w:lang w:val="fr-FR"/>
        </w:rPr>
      </w:pPr>
      <w:r w:rsidRPr="00C2579D">
        <w:rPr>
          <w:lang w:val="fr-FR"/>
        </w:rPr>
        <w:t xml:space="preserve">Student Engagement </w:t>
      </w:r>
      <w:proofErr w:type="spellStart"/>
      <w:r w:rsidRPr="00C2579D">
        <w:rPr>
          <w:lang w:val="fr-FR"/>
        </w:rPr>
        <w:t>domain</w:t>
      </w:r>
      <w:proofErr w:type="spellEnd"/>
      <w:r w:rsidRPr="00C2579D">
        <w:rPr>
          <w:lang w:val="fr-FR"/>
        </w:rPr>
        <w:t>, Grades 4</w:t>
      </w:r>
      <w:r w:rsidRPr="00C2579D">
        <w:rPr>
          <w:rFonts w:ascii="Vijaya" w:hAnsi="Vijaya" w:cs="Vijaya"/>
          <w:lang w:val="fr-FR"/>
        </w:rPr>
        <w:t>−</w:t>
      </w:r>
      <w:r w:rsidRPr="00C2579D">
        <w:rPr>
          <w:lang w:val="fr-FR"/>
        </w:rPr>
        <w:t xml:space="preserve">12 </w:t>
      </w:r>
    </w:p>
    <w:p w14:paraId="388DE7DD" w14:textId="77777777" w:rsidR="00900CF1" w:rsidRPr="008C1E5F" w:rsidRDefault="00900CF1">
      <w:pPr>
        <w:pStyle w:val="BodyText"/>
      </w:pPr>
      <w:r w:rsidRPr="008C1E5F">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8C1E5F">
        <w:rPr>
          <w:i/>
        </w:rPr>
        <w:t>CLASS Upper Elementary Manual</w:t>
      </w:r>
      <w:r w:rsidRPr="008C1E5F">
        <w:t xml:space="preserve">, p. 105). </w:t>
      </w:r>
    </w:p>
    <w:p w14:paraId="3704D557" w14:textId="77777777" w:rsidR="00900CF1" w:rsidRPr="008C1E5F" w:rsidRDefault="00900CF1">
      <w:pPr>
        <w:pStyle w:val="TableTitle0"/>
        <w:rPr>
          <w:spacing w:val="-4"/>
        </w:rPr>
      </w:pPr>
      <w:r w:rsidRPr="008C1E5F">
        <w:rPr>
          <w:spacing w:val="-4"/>
        </w:rPr>
        <w:t>Table 16. Student Engagement: Number of Classrooms for Each Rating and District Average</w:t>
      </w:r>
    </w:p>
    <w:p w14:paraId="4F792C18" w14:textId="77777777" w:rsidR="00900CF1" w:rsidRPr="008C1E5F" w:rsidRDefault="00900CF1">
      <w:pPr>
        <w:pStyle w:val="BodyTextDemi"/>
      </w:pPr>
      <w:r w:rsidRPr="008C1E5F">
        <w:t xml:space="preserve">Student Engagement District Average*: </w:t>
      </w:r>
      <w:bookmarkStart w:id="247" w:name="Dist_SE_Avg"/>
      <w:r w:rsidRPr="008C1E5F">
        <w:t>4.9</w:t>
      </w:r>
      <w:bookmarkEnd w:id="247"/>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6D50B0" w:rsidRPr="008C1E5F" w14:paraId="7B1B70BF" w14:textId="77777777" w:rsidTr="006D50B0">
        <w:trPr>
          <w:cnfStyle w:val="100000000000" w:firstRow="1" w:lastRow="0" w:firstColumn="0" w:lastColumn="0" w:oddVBand="0" w:evenVBand="0" w:oddHBand="0" w:evenHBand="0" w:firstRowFirstColumn="0" w:firstRowLastColumn="0" w:lastRowFirstColumn="0" w:lastRowLastColumn="0"/>
          <w:jc w:val="center"/>
        </w:trPr>
        <w:tc>
          <w:tcPr>
            <w:tcW w:w="1431" w:type="dxa"/>
          </w:tcPr>
          <w:p w14:paraId="769D651D" w14:textId="11F67E7E" w:rsidR="006D50B0" w:rsidRPr="008C1E5F" w:rsidRDefault="006D50B0" w:rsidP="006D50B0">
            <w:pPr>
              <w:pStyle w:val="TableColHeadingCenter"/>
              <w:rPr>
                <w:rFonts w:eastAsia="MS Mincho"/>
              </w:rPr>
            </w:pPr>
            <w:bookmarkStart w:id="248" w:name="Tbl_SE"/>
            <w:r w:rsidRPr="008C1E5F">
              <w:rPr>
                <w:rFonts w:eastAsia="MS Mincho"/>
              </w:rPr>
              <w:t>Grade Band</w:t>
            </w:r>
          </w:p>
        </w:tc>
        <w:tc>
          <w:tcPr>
            <w:tcW w:w="874" w:type="dxa"/>
          </w:tcPr>
          <w:p w14:paraId="3A38CEAC" w14:textId="77777777" w:rsidR="006D50B0" w:rsidRPr="008C1E5F" w:rsidRDefault="006D50B0" w:rsidP="006D50B0">
            <w:pPr>
              <w:pStyle w:val="TableColHeadingCenter"/>
              <w:rPr>
                <w:rFonts w:eastAsia="MS Mincho"/>
              </w:rPr>
            </w:pPr>
            <w:r w:rsidRPr="008C1E5F">
              <w:rPr>
                <w:rFonts w:eastAsia="MS Mincho"/>
              </w:rPr>
              <w:t>Low Range</w:t>
            </w:r>
          </w:p>
        </w:tc>
        <w:tc>
          <w:tcPr>
            <w:tcW w:w="874" w:type="dxa"/>
          </w:tcPr>
          <w:p w14:paraId="0F3D05EB" w14:textId="0E6A34B7" w:rsidR="006D50B0" w:rsidRPr="008C1E5F" w:rsidRDefault="006D50B0" w:rsidP="006D50B0">
            <w:pPr>
              <w:pStyle w:val="TableColHeadingCenter"/>
              <w:rPr>
                <w:rFonts w:eastAsia="MS Mincho"/>
              </w:rPr>
            </w:pPr>
            <w:r w:rsidRPr="008C1E5F">
              <w:rPr>
                <w:rFonts w:eastAsia="MS Mincho"/>
              </w:rPr>
              <w:t>Low Range</w:t>
            </w:r>
          </w:p>
        </w:tc>
        <w:tc>
          <w:tcPr>
            <w:tcW w:w="874" w:type="dxa"/>
          </w:tcPr>
          <w:p w14:paraId="28EBBF23" w14:textId="77777777" w:rsidR="006D50B0" w:rsidRPr="008C1E5F" w:rsidRDefault="006D50B0" w:rsidP="006D50B0">
            <w:pPr>
              <w:pStyle w:val="TableColHeadingCenter"/>
              <w:rPr>
                <w:rFonts w:eastAsia="MS Mincho"/>
              </w:rPr>
            </w:pPr>
            <w:r w:rsidRPr="008C1E5F">
              <w:rPr>
                <w:rFonts w:eastAsia="MS Mincho"/>
              </w:rPr>
              <w:t>Middle Range</w:t>
            </w:r>
          </w:p>
        </w:tc>
        <w:tc>
          <w:tcPr>
            <w:tcW w:w="875" w:type="dxa"/>
          </w:tcPr>
          <w:p w14:paraId="77105E07" w14:textId="16A1E0C8" w:rsidR="006D50B0" w:rsidRPr="008C1E5F" w:rsidRDefault="006D50B0" w:rsidP="006D50B0">
            <w:pPr>
              <w:pStyle w:val="TableColHeadingCenter"/>
              <w:rPr>
                <w:rFonts w:eastAsia="MS Mincho"/>
              </w:rPr>
            </w:pPr>
            <w:r w:rsidRPr="008C1E5F">
              <w:rPr>
                <w:rFonts w:eastAsia="MS Mincho"/>
              </w:rPr>
              <w:t>Middle Range</w:t>
            </w:r>
          </w:p>
        </w:tc>
        <w:tc>
          <w:tcPr>
            <w:tcW w:w="875" w:type="dxa"/>
          </w:tcPr>
          <w:p w14:paraId="3318CFEE" w14:textId="1E2CFFB7" w:rsidR="006D50B0" w:rsidRPr="008C1E5F" w:rsidRDefault="006D50B0" w:rsidP="006D50B0">
            <w:pPr>
              <w:pStyle w:val="TableColHeadingCenter"/>
              <w:rPr>
                <w:rFonts w:eastAsia="MS Mincho"/>
              </w:rPr>
            </w:pPr>
            <w:r w:rsidRPr="008C1E5F">
              <w:rPr>
                <w:rFonts w:eastAsia="MS Mincho"/>
              </w:rPr>
              <w:t>Middle Range</w:t>
            </w:r>
          </w:p>
        </w:tc>
        <w:tc>
          <w:tcPr>
            <w:tcW w:w="874" w:type="dxa"/>
          </w:tcPr>
          <w:p w14:paraId="7587029D" w14:textId="77777777" w:rsidR="006D50B0" w:rsidRPr="008C1E5F" w:rsidRDefault="006D50B0" w:rsidP="006D50B0">
            <w:pPr>
              <w:pStyle w:val="TableColHeadingCenter"/>
              <w:rPr>
                <w:rFonts w:eastAsia="MS Mincho"/>
              </w:rPr>
            </w:pPr>
            <w:r w:rsidRPr="008C1E5F">
              <w:rPr>
                <w:rFonts w:eastAsia="MS Mincho"/>
              </w:rPr>
              <w:t>High Range</w:t>
            </w:r>
          </w:p>
        </w:tc>
        <w:tc>
          <w:tcPr>
            <w:tcW w:w="875" w:type="dxa"/>
          </w:tcPr>
          <w:p w14:paraId="59EDA2D8" w14:textId="46E9E03D" w:rsidR="006D50B0" w:rsidRPr="008C1E5F" w:rsidRDefault="006D50B0" w:rsidP="006D50B0">
            <w:pPr>
              <w:pStyle w:val="TableColHeadingCenter"/>
              <w:rPr>
                <w:rFonts w:eastAsia="MS Mincho"/>
              </w:rPr>
            </w:pPr>
            <w:r w:rsidRPr="008C1E5F">
              <w:rPr>
                <w:rFonts w:eastAsia="MS Mincho"/>
              </w:rPr>
              <w:t>High Range</w:t>
            </w:r>
          </w:p>
        </w:tc>
        <w:tc>
          <w:tcPr>
            <w:tcW w:w="900" w:type="dxa"/>
          </w:tcPr>
          <w:p w14:paraId="0C8D19F4" w14:textId="582715C5" w:rsidR="006D50B0" w:rsidRPr="008C1E5F" w:rsidRDefault="006D50B0" w:rsidP="006D50B0">
            <w:pPr>
              <w:pStyle w:val="TableColHeadingCenter"/>
              <w:rPr>
                <w:rFonts w:eastAsia="MS Mincho"/>
              </w:rPr>
            </w:pPr>
            <w:r w:rsidRPr="008C1E5F">
              <w:rPr>
                <w:rFonts w:eastAsia="MS Mincho"/>
                <w:i/>
                <w:iCs/>
              </w:rPr>
              <w:t>n</w:t>
            </w:r>
          </w:p>
        </w:tc>
        <w:tc>
          <w:tcPr>
            <w:tcW w:w="892" w:type="dxa"/>
          </w:tcPr>
          <w:p w14:paraId="1C29652F" w14:textId="01217811" w:rsidR="006D50B0" w:rsidRPr="008C1E5F" w:rsidRDefault="006D50B0" w:rsidP="006D50B0">
            <w:pPr>
              <w:pStyle w:val="TableColHeadingCenter"/>
              <w:rPr>
                <w:rFonts w:eastAsia="MS Mincho"/>
              </w:rPr>
            </w:pPr>
            <w:r w:rsidRPr="008C1E5F">
              <w:rPr>
                <w:rFonts w:eastAsia="MS Mincho"/>
              </w:rPr>
              <w:t>Average</w:t>
            </w:r>
          </w:p>
        </w:tc>
      </w:tr>
      <w:tr w:rsidR="006D50B0" w:rsidRPr="008C1E5F" w14:paraId="47FCDBB1" w14:textId="77777777" w:rsidTr="006D50B0">
        <w:trPr>
          <w:jc w:val="center"/>
        </w:trPr>
        <w:tc>
          <w:tcPr>
            <w:tcW w:w="1431" w:type="dxa"/>
            <w:shd w:val="clear" w:color="auto" w:fill="D9E2F3" w:themeFill="accent5" w:themeFillTint="33"/>
          </w:tcPr>
          <w:p w14:paraId="66C143D3" w14:textId="77777777" w:rsidR="006D50B0" w:rsidRPr="008C1E5F" w:rsidRDefault="006D50B0" w:rsidP="006D50B0">
            <w:pPr>
              <w:pStyle w:val="TableSubheadingCentered"/>
            </w:pPr>
          </w:p>
        </w:tc>
        <w:tc>
          <w:tcPr>
            <w:tcW w:w="874" w:type="dxa"/>
            <w:shd w:val="clear" w:color="auto" w:fill="D9E2F3" w:themeFill="accent5" w:themeFillTint="33"/>
          </w:tcPr>
          <w:p w14:paraId="1F53D9FC" w14:textId="77777777" w:rsidR="006D50B0" w:rsidRPr="008C1E5F" w:rsidRDefault="006D50B0" w:rsidP="006D50B0">
            <w:pPr>
              <w:pStyle w:val="TableSubheadingCentered"/>
            </w:pPr>
            <w:r w:rsidRPr="008C1E5F">
              <w:t>1</w:t>
            </w:r>
          </w:p>
        </w:tc>
        <w:tc>
          <w:tcPr>
            <w:tcW w:w="874" w:type="dxa"/>
            <w:shd w:val="clear" w:color="auto" w:fill="D9E2F3" w:themeFill="accent5" w:themeFillTint="33"/>
          </w:tcPr>
          <w:p w14:paraId="6EDE5456" w14:textId="77777777" w:rsidR="006D50B0" w:rsidRPr="008C1E5F" w:rsidRDefault="006D50B0" w:rsidP="006D50B0">
            <w:pPr>
              <w:pStyle w:val="TableSubheadingCentered"/>
            </w:pPr>
            <w:r w:rsidRPr="008C1E5F">
              <w:t>2</w:t>
            </w:r>
          </w:p>
        </w:tc>
        <w:tc>
          <w:tcPr>
            <w:tcW w:w="874" w:type="dxa"/>
            <w:shd w:val="clear" w:color="auto" w:fill="D9E2F3" w:themeFill="accent5" w:themeFillTint="33"/>
          </w:tcPr>
          <w:p w14:paraId="6256657F" w14:textId="77777777" w:rsidR="006D50B0" w:rsidRPr="008C1E5F" w:rsidRDefault="006D50B0" w:rsidP="006D50B0">
            <w:pPr>
              <w:pStyle w:val="TableSubheadingCentered"/>
            </w:pPr>
            <w:r w:rsidRPr="008C1E5F">
              <w:t>3</w:t>
            </w:r>
          </w:p>
        </w:tc>
        <w:tc>
          <w:tcPr>
            <w:tcW w:w="875" w:type="dxa"/>
            <w:shd w:val="clear" w:color="auto" w:fill="D9E2F3" w:themeFill="accent5" w:themeFillTint="33"/>
          </w:tcPr>
          <w:p w14:paraId="27809586" w14:textId="77777777" w:rsidR="006D50B0" w:rsidRPr="008C1E5F" w:rsidRDefault="006D50B0" w:rsidP="006D50B0">
            <w:pPr>
              <w:pStyle w:val="TableSubheadingCentered"/>
            </w:pPr>
            <w:r w:rsidRPr="008C1E5F">
              <w:t>4</w:t>
            </w:r>
          </w:p>
        </w:tc>
        <w:tc>
          <w:tcPr>
            <w:tcW w:w="875" w:type="dxa"/>
            <w:shd w:val="clear" w:color="auto" w:fill="D9E2F3" w:themeFill="accent5" w:themeFillTint="33"/>
          </w:tcPr>
          <w:p w14:paraId="0AF50E19" w14:textId="77777777" w:rsidR="006D50B0" w:rsidRPr="008C1E5F" w:rsidRDefault="006D50B0" w:rsidP="006D50B0">
            <w:pPr>
              <w:pStyle w:val="TableSubheadingCentered"/>
            </w:pPr>
            <w:r w:rsidRPr="008C1E5F">
              <w:t>5</w:t>
            </w:r>
          </w:p>
        </w:tc>
        <w:tc>
          <w:tcPr>
            <w:tcW w:w="874" w:type="dxa"/>
            <w:shd w:val="clear" w:color="auto" w:fill="D9E2F3" w:themeFill="accent5" w:themeFillTint="33"/>
          </w:tcPr>
          <w:p w14:paraId="762A9571" w14:textId="77777777" w:rsidR="006D50B0" w:rsidRPr="008C1E5F" w:rsidRDefault="006D50B0" w:rsidP="006D50B0">
            <w:pPr>
              <w:pStyle w:val="TableSubheadingCentered"/>
            </w:pPr>
            <w:r w:rsidRPr="008C1E5F">
              <w:t>6</w:t>
            </w:r>
          </w:p>
        </w:tc>
        <w:tc>
          <w:tcPr>
            <w:tcW w:w="875" w:type="dxa"/>
            <w:shd w:val="clear" w:color="auto" w:fill="D9E2F3" w:themeFill="accent5" w:themeFillTint="33"/>
          </w:tcPr>
          <w:p w14:paraId="5AB41160" w14:textId="77777777" w:rsidR="006D50B0" w:rsidRPr="008C1E5F" w:rsidRDefault="006D50B0" w:rsidP="006D50B0">
            <w:pPr>
              <w:pStyle w:val="TableSubheadingCentered"/>
            </w:pPr>
            <w:r w:rsidRPr="008C1E5F">
              <w:t>7</w:t>
            </w:r>
          </w:p>
        </w:tc>
        <w:tc>
          <w:tcPr>
            <w:tcW w:w="900" w:type="dxa"/>
            <w:shd w:val="clear" w:color="auto" w:fill="D9E2F3" w:themeFill="accent5" w:themeFillTint="33"/>
          </w:tcPr>
          <w:p w14:paraId="490B7D7F" w14:textId="77777777" w:rsidR="006D50B0" w:rsidRPr="008C1E5F" w:rsidRDefault="006D50B0" w:rsidP="006D50B0">
            <w:pPr>
              <w:pStyle w:val="TableSubheadingCentered"/>
            </w:pPr>
            <w:r w:rsidRPr="008C1E5F">
              <w:t>136</w:t>
            </w:r>
          </w:p>
        </w:tc>
        <w:tc>
          <w:tcPr>
            <w:tcW w:w="892" w:type="dxa"/>
            <w:shd w:val="clear" w:color="auto" w:fill="D9E2F3" w:themeFill="accent5" w:themeFillTint="33"/>
          </w:tcPr>
          <w:p w14:paraId="58DA4102" w14:textId="77777777" w:rsidR="006D50B0" w:rsidRPr="008C1E5F" w:rsidRDefault="006D50B0" w:rsidP="006D50B0">
            <w:pPr>
              <w:pStyle w:val="TableSubheadingCentered"/>
            </w:pPr>
            <w:r w:rsidRPr="008C1E5F">
              <w:t>4.9</w:t>
            </w:r>
          </w:p>
        </w:tc>
      </w:tr>
      <w:tr w:rsidR="006D50B0" w:rsidRPr="008C1E5F" w14:paraId="737169D6" w14:textId="77777777" w:rsidTr="006D50B0">
        <w:trPr>
          <w:jc w:val="center"/>
        </w:trPr>
        <w:tc>
          <w:tcPr>
            <w:tcW w:w="1431" w:type="dxa"/>
          </w:tcPr>
          <w:p w14:paraId="4A84F9B4" w14:textId="77777777" w:rsidR="006D50B0" w:rsidRPr="008C1E5F" w:rsidRDefault="006D50B0" w:rsidP="006D50B0">
            <w:pPr>
              <w:pStyle w:val="TableText"/>
            </w:pPr>
            <w:r w:rsidRPr="008C1E5F">
              <w:t>Grades 4-5**</w:t>
            </w:r>
          </w:p>
        </w:tc>
        <w:tc>
          <w:tcPr>
            <w:tcW w:w="874" w:type="dxa"/>
          </w:tcPr>
          <w:p w14:paraId="6A6C5783" w14:textId="77777777" w:rsidR="006D50B0" w:rsidRPr="008C1E5F" w:rsidRDefault="006D50B0" w:rsidP="006D50B0">
            <w:pPr>
              <w:pStyle w:val="TableTextCentered"/>
              <w:rPr>
                <w:rFonts w:eastAsia="Times New Roman"/>
              </w:rPr>
            </w:pPr>
            <w:r w:rsidRPr="008C1E5F">
              <w:rPr>
                <w:rFonts w:eastAsia="Times New Roman"/>
              </w:rPr>
              <w:t>0</w:t>
            </w:r>
          </w:p>
        </w:tc>
        <w:tc>
          <w:tcPr>
            <w:tcW w:w="874" w:type="dxa"/>
          </w:tcPr>
          <w:p w14:paraId="596636B9" w14:textId="77777777" w:rsidR="006D50B0" w:rsidRPr="008C1E5F" w:rsidRDefault="006D50B0" w:rsidP="006D50B0">
            <w:pPr>
              <w:pStyle w:val="TableTextCentered"/>
              <w:rPr>
                <w:rFonts w:eastAsia="Times New Roman"/>
              </w:rPr>
            </w:pPr>
            <w:r w:rsidRPr="008C1E5F">
              <w:rPr>
                <w:rFonts w:eastAsia="Times New Roman"/>
              </w:rPr>
              <w:t>1</w:t>
            </w:r>
          </w:p>
        </w:tc>
        <w:tc>
          <w:tcPr>
            <w:tcW w:w="874" w:type="dxa"/>
          </w:tcPr>
          <w:p w14:paraId="414E33E5" w14:textId="77777777" w:rsidR="006D50B0" w:rsidRPr="008C1E5F" w:rsidRDefault="006D50B0" w:rsidP="006D50B0">
            <w:pPr>
              <w:pStyle w:val="TableTextCentered"/>
              <w:rPr>
                <w:rFonts w:eastAsia="Times New Roman"/>
              </w:rPr>
            </w:pPr>
            <w:r w:rsidRPr="008C1E5F">
              <w:rPr>
                <w:rFonts w:eastAsia="Times New Roman"/>
              </w:rPr>
              <w:t>1</w:t>
            </w:r>
          </w:p>
        </w:tc>
        <w:tc>
          <w:tcPr>
            <w:tcW w:w="875" w:type="dxa"/>
          </w:tcPr>
          <w:p w14:paraId="7029A61D" w14:textId="77777777" w:rsidR="006D50B0" w:rsidRPr="008C1E5F" w:rsidRDefault="006D50B0" w:rsidP="006D50B0">
            <w:pPr>
              <w:pStyle w:val="TableTextCentered"/>
              <w:rPr>
                <w:rFonts w:eastAsia="Times New Roman"/>
              </w:rPr>
            </w:pPr>
            <w:r w:rsidRPr="008C1E5F">
              <w:rPr>
                <w:rFonts w:eastAsia="Times New Roman"/>
              </w:rPr>
              <w:t>7</w:t>
            </w:r>
          </w:p>
        </w:tc>
        <w:tc>
          <w:tcPr>
            <w:tcW w:w="875" w:type="dxa"/>
          </w:tcPr>
          <w:p w14:paraId="08D6A325" w14:textId="77777777" w:rsidR="006D50B0" w:rsidRPr="008C1E5F" w:rsidRDefault="006D50B0" w:rsidP="006D50B0">
            <w:pPr>
              <w:pStyle w:val="TableTextCentered"/>
              <w:rPr>
                <w:rFonts w:eastAsia="Times New Roman"/>
              </w:rPr>
            </w:pPr>
            <w:r w:rsidRPr="008C1E5F">
              <w:rPr>
                <w:rFonts w:eastAsia="Times New Roman"/>
              </w:rPr>
              <w:t>6</w:t>
            </w:r>
          </w:p>
        </w:tc>
        <w:tc>
          <w:tcPr>
            <w:tcW w:w="874" w:type="dxa"/>
          </w:tcPr>
          <w:p w14:paraId="2D3D789E" w14:textId="77777777" w:rsidR="006D50B0" w:rsidRPr="008C1E5F" w:rsidRDefault="006D50B0" w:rsidP="006D50B0">
            <w:pPr>
              <w:pStyle w:val="TableTextCentered"/>
              <w:rPr>
                <w:rFonts w:eastAsia="Times New Roman"/>
              </w:rPr>
            </w:pPr>
            <w:r w:rsidRPr="008C1E5F">
              <w:rPr>
                <w:rFonts w:eastAsia="Times New Roman"/>
              </w:rPr>
              <w:t>11</w:t>
            </w:r>
          </w:p>
        </w:tc>
        <w:tc>
          <w:tcPr>
            <w:tcW w:w="875" w:type="dxa"/>
          </w:tcPr>
          <w:p w14:paraId="2A490564" w14:textId="77777777" w:rsidR="006D50B0" w:rsidRPr="008C1E5F" w:rsidRDefault="006D50B0" w:rsidP="006D50B0">
            <w:pPr>
              <w:pStyle w:val="TableTextCentered"/>
              <w:rPr>
                <w:rFonts w:eastAsia="Times New Roman"/>
              </w:rPr>
            </w:pPr>
            <w:r w:rsidRPr="008C1E5F">
              <w:rPr>
                <w:rFonts w:eastAsia="Times New Roman"/>
              </w:rPr>
              <w:t>4</w:t>
            </w:r>
          </w:p>
        </w:tc>
        <w:tc>
          <w:tcPr>
            <w:tcW w:w="900" w:type="dxa"/>
          </w:tcPr>
          <w:p w14:paraId="4E608573" w14:textId="77777777" w:rsidR="006D50B0" w:rsidRPr="008C1E5F" w:rsidRDefault="006D50B0" w:rsidP="006D50B0">
            <w:pPr>
              <w:pStyle w:val="TableTextCentered"/>
              <w:rPr>
                <w:rFonts w:eastAsia="Times New Roman"/>
              </w:rPr>
            </w:pPr>
            <w:r w:rsidRPr="008C1E5F">
              <w:rPr>
                <w:rFonts w:eastAsia="Times New Roman"/>
              </w:rPr>
              <w:t>30</w:t>
            </w:r>
          </w:p>
        </w:tc>
        <w:tc>
          <w:tcPr>
            <w:tcW w:w="892" w:type="dxa"/>
          </w:tcPr>
          <w:p w14:paraId="67EC687D" w14:textId="77777777" w:rsidR="006D50B0" w:rsidRPr="008C1E5F" w:rsidRDefault="006D50B0" w:rsidP="006D50B0">
            <w:pPr>
              <w:pStyle w:val="TableTextCentered"/>
              <w:rPr>
                <w:rFonts w:eastAsia="Times New Roman"/>
              </w:rPr>
            </w:pPr>
            <w:r w:rsidRPr="008C1E5F">
              <w:rPr>
                <w:rFonts w:eastAsia="Times New Roman"/>
              </w:rPr>
              <w:t>5.2</w:t>
            </w:r>
          </w:p>
        </w:tc>
      </w:tr>
      <w:tr w:rsidR="006D50B0" w:rsidRPr="008C1E5F" w14:paraId="144BD012" w14:textId="77777777" w:rsidTr="006D50B0">
        <w:trPr>
          <w:jc w:val="center"/>
        </w:trPr>
        <w:tc>
          <w:tcPr>
            <w:tcW w:w="1431" w:type="dxa"/>
          </w:tcPr>
          <w:p w14:paraId="60F61C32" w14:textId="77777777" w:rsidR="006D50B0" w:rsidRPr="008C1E5F" w:rsidRDefault="006D50B0" w:rsidP="006D50B0">
            <w:pPr>
              <w:pStyle w:val="TableText"/>
            </w:pPr>
            <w:r w:rsidRPr="008C1E5F">
              <w:t>Grades 6-8</w:t>
            </w:r>
          </w:p>
        </w:tc>
        <w:tc>
          <w:tcPr>
            <w:tcW w:w="874" w:type="dxa"/>
          </w:tcPr>
          <w:p w14:paraId="5CA481E7" w14:textId="77777777" w:rsidR="006D50B0" w:rsidRPr="008C1E5F" w:rsidRDefault="006D50B0" w:rsidP="006D50B0">
            <w:pPr>
              <w:pStyle w:val="TableTextCentered"/>
              <w:rPr>
                <w:rFonts w:eastAsia="Times New Roman"/>
              </w:rPr>
            </w:pPr>
            <w:r w:rsidRPr="008C1E5F">
              <w:rPr>
                <w:rFonts w:eastAsia="Times New Roman"/>
              </w:rPr>
              <w:t>1</w:t>
            </w:r>
          </w:p>
        </w:tc>
        <w:tc>
          <w:tcPr>
            <w:tcW w:w="874" w:type="dxa"/>
          </w:tcPr>
          <w:p w14:paraId="2E186FA8" w14:textId="77777777" w:rsidR="006D50B0" w:rsidRPr="008C1E5F" w:rsidRDefault="006D50B0" w:rsidP="006D50B0">
            <w:pPr>
              <w:pStyle w:val="TableTextCentered"/>
              <w:rPr>
                <w:rFonts w:eastAsia="Times New Roman"/>
              </w:rPr>
            </w:pPr>
            <w:r w:rsidRPr="008C1E5F">
              <w:rPr>
                <w:rFonts w:eastAsia="Times New Roman"/>
              </w:rPr>
              <w:t>2</w:t>
            </w:r>
          </w:p>
        </w:tc>
        <w:tc>
          <w:tcPr>
            <w:tcW w:w="874" w:type="dxa"/>
          </w:tcPr>
          <w:p w14:paraId="7A8059B8" w14:textId="77777777" w:rsidR="006D50B0" w:rsidRPr="008C1E5F" w:rsidRDefault="006D50B0" w:rsidP="006D50B0">
            <w:pPr>
              <w:pStyle w:val="TableTextCentered"/>
              <w:rPr>
                <w:rFonts w:eastAsia="Times New Roman"/>
              </w:rPr>
            </w:pPr>
            <w:r w:rsidRPr="008C1E5F">
              <w:rPr>
                <w:rFonts w:eastAsia="Times New Roman"/>
              </w:rPr>
              <w:t>8</w:t>
            </w:r>
          </w:p>
        </w:tc>
        <w:tc>
          <w:tcPr>
            <w:tcW w:w="875" w:type="dxa"/>
          </w:tcPr>
          <w:p w14:paraId="28FED1F2" w14:textId="77777777" w:rsidR="006D50B0" w:rsidRPr="008C1E5F" w:rsidRDefault="006D50B0" w:rsidP="006D50B0">
            <w:pPr>
              <w:pStyle w:val="TableTextCentered"/>
              <w:rPr>
                <w:rFonts w:eastAsia="Times New Roman"/>
              </w:rPr>
            </w:pPr>
            <w:r w:rsidRPr="008C1E5F">
              <w:rPr>
                <w:rFonts w:eastAsia="Times New Roman"/>
              </w:rPr>
              <w:t>19</w:t>
            </w:r>
          </w:p>
        </w:tc>
        <w:tc>
          <w:tcPr>
            <w:tcW w:w="875" w:type="dxa"/>
          </w:tcPr>
          <w:p w14:paraId="52C8EC2E" w14:textId="77777777" w:rsidR="006D50B0" w:rsidRPr="008C1E5F" w:rsidRDefault="006D50B0" w:rsidP="006D50B0">
            <w:pPr>
              <w:pStyle w:val="TableTextCentered"/>
              <w:rPr>
                <w:rFonts w:eastAsia="Times New Roman"/>
              </w:rPr>
            </w:pPr>
            <w:r w:rsidRPr="008C1E5F">
              <w:rPr>
                <w:rFonts w:eastAsia="Times New Roman"/>
              </w:rPr>
              <w:t>19</w:t>
            </w:r>
          </w:p>
        </w:tc>
        <w:tc>
          <w:tcPr>
            <w:tcW w:w="874" w:type="dxa"/>
          </w:tcPr>
          <w:p w14:paraId="0119948E" w14:textId="77777777" w:rsidR="006D50B0" w:rsidRPr="008C1E5F" w:rsidRDefault="006D50B0" w:rsidP="006D50B0">
            <w:pPr>
              <w:pStyle w:val="TableTextCentered"/>
              <w:rPr>
                <w:rFonts w:eastAsia="Times New Roman"/>
              </w:rPr>
            </w:pPr>
            <w:r w:rsidRPr="008C1E5F">
              <w:rPr>
                <w:rFonts w:eastAsia="Times New Roman"/>
              </w:rPr>
              <w:t>17</w:t>
            </w:r>
          </w:p>
        </w:tc>
        <w:tc>
          <w:tcPr>
            <w:tcW w:w="875" w:type="dxa"/>
          </w:tcPr>
          <w:p w14:paraId="4D64B805" w14:textId="77777777" w:rsidR="006D50B0" w:rsidRPr="008C1E5F" w:rsidRDefault="006D50B0" w:rsidP="006D50B0">
            <w:pPr>
              <w:pStyle w:val="TableTextCentered"/>
              <w:rPr>
                <w:rFonts w:eastAsia="Times New Roman"/>
              </w:rPr>
            </w:pPr>
            <w:r w:rsidRPr="008C1E5F">
              <w:rPr>
                <w:rFonts w:eastAsia="Times New Roman"/>
              </w:rPr>
              <w:t>5</w:t>
            </w:r>
          </w:p>
        </w:tc>
        <w:tc>
          <w:tcPr>
            <w:tcW w:w="900" w:type="dxa"/>
          </w:tcPr>
          <w:p w14:paraId="2BF466A5" w14:textId="77777777" w:rsidR="006D50B0" w:rsidRPr="008C1E5F" w:rsidRDefault="006D50B0" w:rsidP="006D50B0">
            <w:pPr>
              <w:pStyle w:val="TableTextCentered"/>
              <w:rPr>
                <w:rFonts w:eastAsia="Times New Roman"/>
              </w:rPr>
            </w:pPr>
            <w:r w:rsidRPr="008C1E5F">
              <w:rPr>
                <w:rFonts w:eastAsia="Times New Roman"/>
              </w:rPr>
              <w:t>71</w:t>
            </w:r>
          </w:p>
        </w:tc>
        <w:tc>
          <w:tcPr>
            <w:tcW w:w="892" w:type="dxa"/>
          </w:tcPr>
          <w:p w14:paraId="5A128A2D" w14:textId="77777777" w:rsidR="006D50B0" w:rsidRPr="008C1E5F" w:rsidRDefault="006D50B0" w:rsidP="006D50B0">
            <w:pPr>
              <w:pStyle w:val="TableTextCentered"/>
              <w:rPr>
                <w:rFonts w:eastAsia="Times New Roman"/>
              </w:rPr>
            </w:pPr>
            <w:r w:rsidRPr="008C1E5F">
              <w:rPr>
                <w:rFonts w:eastAsia="Times New Roman"/>
              </w:rPr>
              <w:t>4.7</w:t>
            </w:r>
          </w:p>
        </w:tc>
      </w:tr>
      <w:tr w:rsidR="006D50B0" w:rsidRPr="008C1E5F" w14:paraId="53BACCAC" w14:textId="77777777" w:rsidTr="006D50B0">
        <w:trPr>
          <w:jc w:val="center"/>
        </w:trPr>
        <w:tc>
          <w:tcPr>
            <w:tcW w:w="1431" w:type="dxa"/>
          </w:tcPr>
          <w:p w14:paraId="3B79EF59" w14:textId="77777777" w:rsidR="006D50B0" w:rsidRPr="008C1E5F" w:rsidRDefault="006D50B0" w:rsidP="006D50B0">
            <w:pPr>
              <w:pStyle w:val="TableText"/>
            </w:pPr>
            <w:r w:rsidRPr="008C1E5F">
              <w:t>Grades 9-12</w:t>
            </w:r>
          </w:p>
        </w:tc>
        <w:tc>
          <w:tcPr>
            <w:tcW w:w="874" w:type="dxa"/>
          </w:tcPr>
          <w:p w14:paraId="4FDFF4A2" w14:textId="77777777" w:rsidR="006D50B0" w:rsidRPr="008C1E5F" w:rsidRDefault="006D50B0" w:rsidP="006D50B0">
            <w:pPr>
              <w:pStyle w:val="TableTextCentered"/>
              <w:rPr>
                <w:rFonts w:eastAsia="Times New Roman"/>
              </w:rPr>
            </w:pPr>
            <w:r w:rsidRPr="008C1E5F">
              <w:rPr>
                <w:rFonts w:eastAsia="Times New Roman"/>
              </w:rPr>
              <w:t>0</w:t>
            </w:r>
          </w:p>
        </w:tc>
        <w:tc>
          <w:tcPr>
            <w:tcW w:w="874" w:type="dxa"/>
          </w:tcPr>
          <w:p w14:paraId="5DB8D9BE" w14:textId="77777777" w:rsidR="006D50B0" w:rsidRPr="008C1E5F" w:rsidRDefault="006D50B0" w:rsidP="006D50B0">
            <w:pPr>
              <w:pStyle w:val="TableTextCentered"/>
              <w:rPr>
                <w:rFonts w:eastAsia="Times New Roman"/>
              </w:rPr>
            </w:pPr>
            <w:r w:rsidRPr="008C1E5F">
              <w:rPr>
                <w:rFonts w:eastAsia="Times New Roman"/>
              </w:rPr>
              <w:t>1</w:t>
            </w:r>
          </w:p>
        </w:tc>
        <w:tc>
          <w:tcPr>
            <w:tcW w:w="874" w:type="dxa"/>
          </w:tcPr>
          <w:p w14:paraId="178647A3" w14:textId="77777777" w:rsidR="006D50B0" w:rsidRPr="008C1E5F" w:rsidRDefault="006D50B0" w:rsidP="006D50B0">
            <w:pPr>
              <w:pStyle w:val="TableTextCentered"/>
              <w:rPr>
                <w:rFonts w:eastAsia="Times New Roman"/>
              </w:rPr>
            </w:pPr>
            <w:r w:rsidRPr="008C1E5F">
              <w:rPr>
                <w:rFonts w:eastAsia="Times New Roman"/>
              </w:rPr>
              <w:t>3</w:t>
            </w:r>
          </w:p>
        </w:tc>
        <w:tc>
          <w:tcPr>
            <w:tcW w:w="875" w:type="dxa"/>
          </w:tcPr>
          <w:p w14:paraId="1576E420" w14:textId="77777777" w:rsidR="006D50B0" w:rsidRPr="008C1E5F" w:rsidRDefault="006D50B0" w:rsidP="006D50B0">
            <w:pPr>
              <w:pStyle w:val="TableTextCentered"/>
              <w:rPr>
                <w:rFonts w:eastAsia="Times New Roman"/>
              </w:rPr>
            </w:pPr>
            <w:r w:rsidRPr="008C1E5F">
              <w:rPr>
                <w:rFonts w:eastAsia="Times New Roman"/>
              </w:rPr>
              <w:t>11</w:t>
            </w:r>
          </w:p>
        </w:tc>
        <w:tc>
          <w:tcPr>
            <w:tcW w:w="875" w:type="dxa"/>
          </w:tcPr>
          <w:p w14:paraId="0D1A640A" w14:textId="77777777" w:rsidR="006D50B0" w:rsidRPr="008C1E5F" w:rsidRDefault="006D50B0" w:rsidP="006D50B0">
            <w:pPr>
              <w:pStyle w:val="TableTextCentered"/>
              <w:rPr>
                <w:rFonts w:eastAsia="Times New Roman"/>
              </w:rPr>
            </w:pPr>
            <w:r w:rsidRPr="008C1E5F">
              <w:rPr>
                <w:rFonts w:eastAsia="Times New Roman"/>
              </w:rPr>
              <w:t>9</w:t>
            </w:r>
          </w:p>
        </w:tc>
        <w:tc>
          <w:tcPr>
            <w:tcW w:w="874" w:type="dxa"/>
          </w:tcPr>
          <w:p w14:paraId="487C80E4" w14:textId="77777777" w:rsidR="006D50B0" w:rsidRPr="008C1E5F" w:rsidRDefault="006D50B0" w:rsidP="006D50B0">
            <w:pPr>
              <w:pStyle w:val="TableTextCentered"/>
              <w:rPr>
                <w:rFonts w:eastAsia="Times New Roman"/>
              </w:rPr>
            </w:pPr>
            <w:r w:rsidRPr="008C1E5F">
              <w:rPr>
                <w:rFonts w:eastAsia="Times New Roman"/>
              </w:rPr>
              <w:t>7</w:t>
            </w:r>
          </w:p>
        </w:tc>
        <w:tc>
          <w:tcPr>
            <w:tcW w:w="875" w:type="dxa"/>
          </w:tcPr>
          <w:p w14:paraId="6B697993" w14:textId="77777777" w:rsidR="006D50B0" w:rsidRPr="008C1E5F" w:rsidRDefault="006D50B0" w:rsidP="006D50B0">
            <w:pPr>
              <w:pStyle w:val="TableTextCentered"/>
              <w:rPr>
                <w:rFonts w:eastAsia="Times New Roman"/>
              </w:rPr>
            </w:pPr>
            <w:r w:rsidRPr="008C1E5F">
              <w:rPr>
                <w:rFonts w:eastAsia="Times New Roman"/>
              </w:rPr>
              <w:t>4</w:t>
            </w:r>
          </w:p>
        </w:tc>
        <w:tc>
          <w:tcPr>
            <w:tcW w:w="900" w:type="dxa"/>
          </w:tcPr>
          <w:p w14:paraId="4869F8EF" w14:textId="77777777" w:rsidR="006D50B0" w:rsidRPr="008C1E5F" w:rsidRDefault="006D50B0" w:rsidP="006D50B0">
            <w:pPr>
              <w:pStyle w:val="TableTextCentered"/>
              <w:rPr>
                <w:rFonts w:eastAsia="Times New Roman"/>
              </w:rPr>
            </w:pPr>
            <w:r w:rsidRPr="008C1E5F">
              <w:rPr>
                <w:rFonts w:eastAsia="Times New Roman"/>
              </w:rPr>
              <w:t>35</w:t>
            </w:r>
          </w:p>
        </w:tc>
        <w:tc>
          <w:tcPr>
            <w:tcW w:w="892" w:type="dxa"/>
          </w:tcPr>
          <w:p w14:paraId="247FBE78" w14:textId="77777777" w:rsidR="006D50B0" w:rsidRPr="008C1E5F" w:rsidRDefault="006D50B0" w:rsidP="006D50B0">
            <w:pPr>
              <w:pStyle w:val="TableTextCentered"/>
              <w:rPr>
                <w:rFonts w:eastAsia="Times New Roman"/>
              </w:rPr>
            </w:pPr>
            <w:r w:rsidRPr="008C1E5F">
              <w:rPr>
                <w:rFonts w:eastAsia="Times New Roman"/>
              </w:rPr>
              <w:t>4.9</w:t>
            </w:r>
          </w:p>
        </w:tc>
      </w:tr>
    </w:tbl>
    <w:bookmarkEnd w:id="248"/>
    <w:p w14:paraId="404ABC79" w14:textId="77777777" w:rsidR="00900CF1" w:rsidRPr="008C1E5F" w:rsidRDefault="00900CF1">
      <w:pPr>
        <w:pStyle w:val="TableNote"/>
      </w:pPr>
      <w:r w:rsidRPr="008C1E5F">
        <w:t xml:space="preserve">*The district average is an average of the observation scores. In Table 16, the district average is computed as: </w:t>
      </w:r>
      <w:r w:rsidRPr="008C1E5F">
        <w:br/>
      </w:r>
      <w:bookmarkStart w:id="249" w:name="Dist_SE_Calc"/>
      <w:r w:rsidRPr="008C1E5F">
        <w:t>([1 x 1] + [2 x 4] + [3 x 12] + [4 x 37] + [5 x 34] + [6 x 35] + [7 x 13]) ÷ 136 observations = 4.9</w:t>
      </w:r>
      <w:bookmarkEnd w:id="249"/>
    </w:p>
    <w:p w14:paraId="0E2D4D92" w14:textId="77777777" w:rsidR="00900CF1" w:rsidRPr="008C1E5F" w:rsidRDefault="00900CF1">
      <w:pPr>
        <w:pStyle w:val="TableNote"/>
      </w:pPr>
      <w:r w:rsidRPr="008C1E5F">
        <w:t>**Student Engagement does not appear in the CLASS K-3 Manual, therefore scores for the Elementary School Level represent grades 4-5 only.</w:t>
      </w:r>
    </w:p>
    <w:p w14:paraId="7B0584D2" w14:textId="77777777" w:rsidR="00900CF1" w:rsidRPr="008C1E5F" w:rsidRDefault="00900CF1">
      <w:pPr>
        <w:pStyle w:val="BodyText"/>
      </w:pPr>
      <w:r w:rsidRPr="008C1E5F">
        <w:rPr>
          <w:rStyle w:val="BodyTextDemiChar"/>
        </w:rPr>
        <w:t>Ratings in the Low Range.</w:t>
      </w:r>
      <w:r w:rsidRPr="008C1E5F">
        <w:t xml:space="preserve"> In the low range, </w:t>
      </w:r>
      <w:proofErr w:type="gramStart"/>
      <w:r w:rsidRPr="008C1E5F">
        <w:t>the majority of</w:t>
      </w:r>
      <w:proofErr w:type="gramEnd"/>
      <w:r w:rsidRPr="008C1E5F">
        <w:t xml:space="preserve"> students appear distracted or disengaged.</w:t>
      </w:r>
    </w:p>
    <w:p w14:paraId="1DC561A1" w14:textId="77777777" w:rsidR="00900CF1" w:rsidRPr="008C1E5F" w:rsidRDefault="00900CF1">
      <w:pPr>
        <w:pStyle w:val="BodyText"/>
      </w:pPr>
      <w:r w:rsidRPr="008C1E5F">
        <w:rPr>
          <w:rStyle w:val="BodyTextDemiChar"/>
        </w:rPr>
        <w:t>Ratings in the Middle Range.</w:t>
      </w:r>
      <w:r w:rsidRPr="008C1E5F">
        <w:t xml:space="preserve"> In the middle range, students are passively engaged, listening to or watching the teacher; student engagement is mixed, with </w:t>
      </w:r>
      <w:proofErr w:type="gramStart"/>
      <w:r w:rsidRPr="008C1E5F">
        <w:t>the majority of</w:t>
      </w:r>
      <w:proofErr w:type="gramEnd"/>
      <w:r w:rsidRPr="008C1E5F">
        <w:t xml:space="preserve"> students actively engaged for part of the time and disengaged for the rest of the time; or there is a mix of student engagement, with some students actively engaged and some students disengaged.</w:t>
      </w:r>
    </w:p>
    <w:p w14:paraId="383F2259" w14:textId="77777777" w:rsidR="00900CF1" w:rsidRPr="008C1E5F" w:rsidRDefault="00900CF1">
      <w:pPr>
        <w:pStyle w:val="BodyText"/>
      </w:pPr>
      <w:r w:rsidRPr="008C1E5F">
        <w:rPr>
          <w:rStyle w:val="BodyTextDemiChar"/>
        </w:rPr>
        <w:t>Ratings in the High Range.</w:t>
      </w:r>
      <w:r w:rsidRPr="008C1E5F">
        <w:t xml:space="preserve"> In the high range, most students are actively engaged in the classroom discussions and activities.</w:t>
      </w:r>
    </w:p>
    <w:p w14:paraId="69158766" w14:textId="77777777" w:rsidR="00900CF1" w:rsidRPr="008C1E5F" w:rsidRDefault="00900CF1">
      <w:pPr>
        <w:pStyle w:val="Heading2-SIOR"/>
      </w:pPr>
      <w:bookmarkStart w:id="250" w:name="_Toc430114889"/>
      <w:bookmarkStart w:id="251" w:name="_Toc496109991"/>
      <w:bookmarkStart w:id="252" w:name="_Toc92194268"/>
      <w:bookmarkStart w:id="253" w:name="_Toc195024260"/>
      <w:r w:rsidRPr="008C1E5F">
        <w:lastRenderedPageBreak/>
        <w:t>Summary of Average Ratings</w:t>
      </w:r>
      <w:bookmarkEnd w:id="250"/>
      <w:bookmarkEnd w:id="251"/>
      <w:r w:rsidRPr="008C1E5F">
        <w:t xml:space="preserve">: </w:t>
      </w:r>
      <w:bookmarkEnd w:id="252"/>
      <w:r w:rsidRPr="008C1E5F">
        <w:t>Grades K–5</w:t>
      </w:r>
      <w:bookmarkEnd w:id="253"/>
    </w:p>
    <w:p w14:paraId="79F83070" w14:textId="77777777" w:rsidR="00900CF1" w:rsidRPr="008C1E5F" w:rsidRDefault="00900CF1">
      <w:pPr>
        <w:pStyle w:val="TableTitle0"/>
      </w:pPr>
      <w:r w:rsidRPr="008C1E5F">
        <w:t>Table 17. Summary Table of Average Ratings for Each Dimension in Grades K–5</w:t>
      </w:r>
    </w:p>
    <w:tbl>
      <w:tblPr>
        <w:tblStyle w:val="MSVTable1"/>
        <w:tblW w:w="9712" w:type="dxa"/>
        <w:tblLayout w:type="fixed"/>
        <w:tblLook w:val="04A0" w:firstRow="1" w:lastRow="0" w:firstColumn="1" w:lastColumn="0" w:noHBand="0" w:noVBand="1"/>
      </w:tblPr>
      <w:tblGrid>
        <w:gridCol w:w="3442"/>
        <w:gridCol w:w="690"/>
        <w:gridCol w:w="630"/>
        <w:gridCol w:w="720"/>
        <w:gridCol w:w="720"/>
        <w:gridCol w:w="720"/>
        <w:gridCol w:w="630"/>
        <w:gridCol w:w="638"/>
        <w:gridCol w:w="532"/>
        <w:gridCol w:w="990"/>
      </w:tblGrid>
      <w:tr w:rsidR="0094064B" w:rsidRPr="00E359BF" w14:paraId="5701FBD9" w14:textId="77777777" w:rsidTr="005B481A">
        <w:trPr>
          <w:cnfStyle w:val="100000000000" w:firstRow="1" w:lastRow="0" w:firstColumn="0" w:lastColumn="0" w:oddVBand="0" w:evenVBand="0" w:oddHBand="0" w:evenHBand="0" w:firstRowFirstColumn="0" w:firstRowLastColumn="0" w:lastRowFirstColumn="0" w:lastRowLastColumn="0"/>
          <w:tblHeader/>
        </w:trPr>
        <w:tc>
          <w:tcPr>
            <w:tcW w:w="3442" w:type="dxa"/>
          </w:tcPr>
          <w:p w14:paraId="4EA23187" w14:textId="77777777" w:rsidR="0094064B" w:rsidRPr="00E359BF" w:rsidRDefault="0094064B">
            <w:pPr>
              <w:pStyle w:val="TableColHeadingCenter"/>
              <w:rPr>
                <w:rFonts w:eastAsia="MS Mincho"/>
              </w:rPr>
            </w:pPr>
          </w:p>
        </w:tc>
        <w:tc>
          <w:tcPr>
            <w:tcW w:w="690" w:type="dxa"/>
            <w:vAlign w:val="center"/>
          </w:tcPr>
          <w:p w14:paraId="40C7CBDF" w14:textId="77777777" w:rsidR="0094064B" w:rsidRDefault="0094064B">
            <w:pPr>
              <w:pStyle w:val="TableColHeadingCenter"/>
              <w:rPr>
                <w:rFonts w:eastAsia="MS Mincho"/>
                <w:sz w:val="18"/>
                <w:szCs w:val="18"/>
              </w:rPr>
            </w:pPr>
            <w:r w:rsidRPr="00B56E46">
              <w:rPr>
                <w:rFonts w:eastAsia="MS Mincho"/>
                <w:sz w:val="18"/>
                <w:szCs w:val="18"/>
              </w:rPr>
              <w:t>Low Range</w:t>
            </w:r>
          </w:p>
          <w:p w14:paraId="3F52D7C4" w14:textId="4BE51216" w:rsidR="005B481A" w:rsidRPr="00B56E46" w:rsidRDefault="005B481A">
            <w:pPr>
              <w:pStyle w:val="TableColHeadingCenter"/>
              <w:rPr>
                <w:rFonts w:eastAsia="MS Mincho"/>
                <w:sz w:val="18"/>
                <w:szCs w:val="18"/>
              </w:rPr>
            </w:pPr>
            <w:r>
              <w:rPr>
                <w:rFonts w:eastAsia="MS Mincho"/>
                <w:sz w:val="18"/>
                <w:szCs w:val="18"/>
              </w:rPr>
              <w:t>1</w:t>
            </w:r>
          </w:p>
        </w:tc>
        <w:tc>
          <w:tcPr>
            <w:tcW w:w="630" w:type="dxa"/>
            <w:vAlign w:val="center"/>
          </w:tcPr>
          <w:p w14:paraId="7A651C43" w14:textId="77777777" w:rsidR="0094064B" w:rsidRDefault="0094064B">
            <w:pPr>
              <w:pStyle w:val="TableColHeadingCenter"/>
              <w:rPr>
                <w:rFonts w:eastAsia="MS Mincho"/>
                <w:sz w:val="18"/>
                <w:szCs w:val="18"/>
              </w:rPr>
            </w:pPr>
            <w:r w:rsidRPr="00B56E46">
              <w:rPr>
                <w:rFonts w:eastAsia="MS Mincho"/>
                <w:sz w:val="18"/>
                <w:szCs w:val="18"/>
              </w:rPr>
              <w:t>Low Range</w:t>
            </w:r>
          </w:p>
          <w:p w14:paraId="682C5E3B" w14:textId="13FA2563" w:rsidR="005B481A" w:rsidRPr="00B56E46" w:rsidRDefault="005B481A">
            <w:pPr>
              <w:pStyle w:val="TableColHeadingCenter"/>
              <w:rPr>
                <w:rFonts w:eastAsia="MS Mincho"/>
                <w:sz w:val="18"/>
                <w:szCs w:val="18"/>
              </w:rPr>
            </w:pPr>
            <w:r>
              <w:rPr>
                <w:rFonts w:eastAsia="MS Mincho"/>
                <w:sz w:val="18"/>
                <w:szCs w:val="18"/>
              </w:rPr>
              <w:t>2</w:t>
            </w:r>
          </w:p>
        </w:tc>
        <w:tc>
          <w:tcPr>
            <w:tcW w:w="720" w:type="dxa"/>
            <w:vAlign w:val="center"/>
          </w:tcPr>
          <w:p w14:paraId="034C05CB" w14:textId="77777777" w:rsidR="0094064B" w:rsidRDefault="0094064B">
            <w:pPr>
              <w:pStyle w:val="TableColHeadingCenter"/>
              <w:rPr>
                <w:rFonts w:eastAsia="MS Mincho"/>
                <w:sz w:val="18"/>
                <w:szCs w:val="18"/>
              </w:rPr>
            </w:pPr>
            <w:r w:rsidRPr="00B56E46">
              <w:rPr>
                <w:rFonts w:eastAsia="MS Mincho"/>
                <w:sz w:val="18"/>
                <w:szCs w:val="18"/>
              </w:rPr>
              <w:t>Middle Range</w:t>
            </w:r>
          </w:p>
          <w:p w14:paraId="0927EA15" w14:textId="1686F9D1" w:rsidR="005B481A" w:rsidRPr="00B56E46" w:rsidRDefault="005B481A">
            <w:pPr>
              <w:pStyle w:val="TableColHeadingCenter"/>
              <w:rPr>
                <w:rFonts w:eastAsia="MS Mincho"/>
                <w:sz w:val="18"/>
                <w:szCs w:val="18"/>
              </w:rPr>
            </w:pPr>
            <w:r>
              <w:rPr>
                <w:rFonts w:eastAsia="MS Mincho"/>
                <w:sz w:val="18"/>
                <w:szCs w:val="18"/>
              </w:rPr>
              <w:t>3</w:t>
            </w:r>
          </w:p>
        </w:tc>
        <w:tc>
          <w:tcPr>
            <w:tcW w:w="720" w:type="dxa"/>
            <w:vAlign w:val="center"/>
          </w:tcPr>
          <w:p w14:paraId="1FDD47A3" w14:textId="77777777" w:rsidR="0094064B" w:rsidRDefault="0094064B">
            <w:pPr>
              <w:pStyle w:val="TableColHeadingCenter"/>
              <w:rPr>
                <w:rFonts w:eastAsia="MS Mincho"/>
                <w:sz w:val="18"/>
                <w:szCs w:val="18"/>
              </w:rPr>
            </w:pPr>
            <w:r w:rsidRPr="00B56E46">
              <w:rPr>
                <w:rFonts w:eastAsia="MS Mincho"/>
                <w:sz w:val="18"/>
                <w:szCs w:val="18"/>
              </w:rPr>
              <w:t>Middle Range</w:t>
            </w:r>
          </w:p>
          <w:p w14:paraId="5B4BE9A4" w14:textId="071206F8" w:rsidR="005B481A" w:rsidRPr="00B56E46" w:rsidRDefault="005B481A">
            <w:pPr>
              <w:pStyle w:val="TableColHeadingCenter"/>
              <w:rPr>
                <w:rFonts w:eastAsia="MS Mincho"/>
                <w:sz w:val="18"/>
                <w:szCs w:val="18"/>
              </w:rPr>
            </w:pPr>
            <w:r>
              <w:rPr>
                <w:rFonts w:eastAsia="MS Mincho"/>
                <w:sz w:val="18"/>
                <w:szCs w:val="18"/>
              </w:rPr>
              <w:t>4</w:t>
            </w:r>
          </w:p>
        </w:tc>
        <w:tc>
          <w:tcPr>
            <w:tcW w:w="720" w:type="dxa"/>
            <w:vAlign w:val="center"/>
          </w:tcPr>
          <w:p w14:paraId="3815D80C" w14:textId="77777777" w:rsidR="0094064B" w:rsidRDefault="0094064B">
            <w:pPr>
              <w:pStyle w:val="TableColHeadingCenter"/>
              <w:rPr>
                <w:rFonts w:eastAsia="MS Mincho"/>
                <w:sz w:val="18"/>
                <w:szCs w:val="18"/>
              </w:rPr>
            </w:pPr>
            <w:r w:rsidRPr="00B56E46">
              <w:rPr>
                <w:rFonts w:eastAsia="MS Mincho"/>
                <w:sz w:val="18"/>
                <w:szCs w:val="18"/>
              </w:rPr>
              <w:t>Middle Range</w:t>
            </w:r>
          </w:p>
          <w:p w14:paraId="0A4F1365" w14:textId="390E27DD" w:rsidR="005B481A" w:rsidRPr="00B56E46" w:rsidRDefault="005B481A">
            <w:pPr>
              <w:pStyle w:val="TableColHeadingCenter"/>
              <w:rPr>
                <w:rFonts w:eastAsia="MS Mincho"/>
                <w:sz w:val="18"/>
                <w:szCs w:val="18"/>
              </w:rPr>
            </w:pPr>
            <w:r>
              <w:rPr>
                <w:rFonts w:eastAsia="MS Mincho"/>
                <w:sz w:val="18"/>
                <w:szCs w:val="18"/>
              </w:rPr>
              <w:t>5</w:t>
            </w:r>
          </w:p>
        </w:tc>
        <w:tc>
          <w:tcPr>
            <w:tcW w:w="630" w:type="dxa"/>
            <w:vAlign w:val="center"/>
          </w:tcPr>
          <w:p w14:paraId="26BE45D0" w14:textId="77777777" w:rsidR="0094064B" w:rsidRDefault="0094064B">
            <w:pPr>
              <w:pStyle w:val="TableColHeadingCenter"/>
              <w:rPr>
                <w:rFonts w:eastAsia="MS Mincho"/>
                <w:sz w:val="18"/>
                <w:szCs w:val="18"/>
              </w:rPr>
            </w:pPr>
            <w:r w:rsidRPr="00B56E46">
              <w:rPr>
                <w:rFonts w:eastAsia="MS Mincho"/>
                <w:sz w:val="18"/>
                <w:szCs w:val="18"/>
              </w:rPr>
              <w:t>High Range</w:t>
            </w:r>
          </w:p>
          <w:p w14:paraId="16A7C2DD" w14:textId="6C8914E7" w:rsidR="005B481A" w:rsidRPr="00B56E46" w:rsidRDefault="005B481A">
            <w:pPr>
              <w:pStyle w:val="TableColHeadingCenter"/>
              <w:rPr>
                <w:rFonts w:eastAsia="MS Mincho"/>
                <w:sz w:val="18"/>
                <w:szCs w:val="18"/>
              </w:rPr>
            </w:pPr>
            <w:r>
              <w:rPr>
                <w:rFonts w:eastAsia="MS Mincho"/>
                <w:sz w:val="18"/>
                <w:szCs w:val="18"/>
              </w:rPr>
              <w:t>6</w:t>
            </w:r>
          </w:p>
        </w:tc>
        <w:tc>
          <w:tcPr>
            <w:tcW w:w="638" w:type="dxa"/>
            <w:vAlign w:val="center"/>
          </w:tcPr>
          <w:p w14:paraId="5F59E914" w14:textId="77777777" w:rsidR="0094064B" w:rsidRDefault="0094064B">
            <w:pPr>
              <w:pStyle w:val="TableColHeadingCenter"/>
              <w:rPr>
                <w:rFonts w:eastAsia="MS Mincho"/>
                <w:sz w:val="18"/>
                <w:szCs w:val="18"/>
              </w:rPr>
            </w:pPr>
            <w:r w:rsidRPr="00B56E46">
              <w:rPr>
                <w:rFonts w:eastAsia="MS Mincho"/>
                <w:sz w:val="18"/>
                <w:szCs w:val="18"/>
              </w:rPr>
              <w:t>High Range</w:t>
            </w:r>
          </w:p>
          <w:p w14:paraId="3CEB6277" w14:textId="174F9F4D" w:rsidR="005B481A" w:rsidRPr="00B56E46" w:rsidRDefault="005B481A">
            <w:pPr>
              <w:pStyle w:val="TableColHeadingCenter"/>
              <w:rPr>
                <w:rFonts w:eastAsia="MS Mincho"/>
                <w:sz w:val="18"/>
                <w:szCs w:val="18"/>
              </w:rPr>
            </w:pPr>
            <w:r>
              <w:rPr>
                <w:rFonts w:eastAsia="MS Mincho"/>
                <w:sz w:val="18"/>
                <w:szCs w:val="18"/>
              </w:rPr>
              <w:t>7</w:t>
            </w:r>
          </w:p>
        </w:tc>
        <w:tc>
          <w:tcPr>
            <w:tcW w:w="532" w:type="dxa"/>
            <w:vAlign w:val="center"/>
          </w:tcPr>
          <w:p w14:paraId="2D2D4254" w14:textId="77777777" w:rsidR="0094064B" w:rsidRPr="00E359BF" w:rsidRDefault="0094064B">
            <w:pPr>
              <w:pStyle w:val="TableColHeadingCenter"/>
              <w:rPr>
                <w:rFonts w:eastAsia="MS Mincho"/>
              </w:rPr>
            </w:pPr>
            <w:r>
              <w:rPr>
                <w:rFonts w:eastAsia="MS Mincho"/>
              </w:rPr>
              <w:t>n</w:t>
            </w:r>
          </w:p>
        </w:tc>
        <w:tc>
          <w:tcPr>
            <w:tcW w:w="990" w:type="dxa"/>
            <w:vAlign w:val="center"/>
          </w:tcPr>
          <w:p w14:paraId="3C5654DA" w14:textId="77777777" w:rsidR="0094064B" w:rsidRPr="00E359BF" w:rsidRDefault="0094064B">
            <w:pPr>
              <w:pStyle w:val="TableColHeadingCenter"/>
              <w:rPr>
                <w:rFonts w:eastAsia="MS Mincho"/>
              </w:rPr>
            </w:pPr>
            <w:r w:rsidRPr="00E359BF">
              <w:rPr>
                <w:rFonts w:eastAsia="MS Mincho"/>
              </w:rPr>
              <w:t>Average Scores*</w:t>
            </w:r>
          </w:p>
        </w:tc>
      </w:tr>
      <w:tr w:rsidR="00BB5D39" w:rsidRPr="00E359BF" w14:paraId="7CD09243" w14:textId="77777777" w:rsidTr="005B481A">
        <w:trPr>
          <w:cnfStyle w:val="000000100000" w:firstRow="0" w:lastRow="0" w:firstColumn="0" w:lastColumn="0" w:oddVBand="0" w:evenVBand="0" w:oddHBand="1" w:evenHBand="0" w:firstRowFirstColumn="0" w:firstRowLastColumn="0" w:lastRowFirstColumn="0" w:lastRowLastColumn="0"/>
        </w:trPr>
        <w:tc>
          <w:tcPr>
            <w:tcW w:w="3442" w:type="dxa"/>
          </w:tcPr>
          <w:p w14:paraId="50F5BB1E" w14:textId="77777777" w:rsidR="00BB5D39" w:rsidRPr="00EB088B" w:rsidRDefault="00BB5D39" w:rsidP="00BB5D39">
            <w:pPr>
              <w:pStyle w:val="TableSubheading"/>
              <w:rPr>
                <w:rFonts w:ascii="Franklin Gothic Book" w:hAnsi="Franklin Gothic Book"/>
                <w:b/>
                <w:bCs/>
              </w:rPr>
            </w:pPr>
            <w:r w:rsidRPr="00EB088B">
              <w:rPr>
                <w:rFonts w:ascii="Franklin Gothic Book" w:hAnsi="Franklin Gothic Book"/>
                <w:b/>
                <w:bCs/>
              </w:rPr>
              <w:t>Emotional Support Domain</w:t>
            </w:r>
          </w:p>
        </w:tc>
        <w:tc>
          <w:tcPr>
            <w:tcW w:w="690" w:type="dxa"/>
          </w:tcPr>
          <w:p w14:paraId="7E184F60" w14:textId="119F5C79" w:rsidR="00BB5D39" w:rsidRPr="00E359BF" w:rsidRDefault="00BB5D39" w:rsidP="00BB5D39">
            <w:pPr>
              <w:pStyle w:val="TableTextCenteredDemi"/>
              <w:rPr>
                <w:rFonts w:eastAsia="Times New Roman"/>
              </w:rPr>
            </w:pPr>
            <w:r w:rsidRPr="008C1E5F">
              <w:rPr>
                <w:rFonts w:eastAsia="Times New Roman"/>
              </w:rPr>
              <w:t>6</w:t>
            </w:r>
          </w:p>
        </w:tc>
        <w:tc>
          <w:tcPr>
            <w:tcW w:w="630" w:type="dxa"/>
          </w:tcPr>
          <w:p w14:paraId="05AA2225" w14:textId="2C69D4EF" w:rsidR="00BB5D39" w:rsidRPr="00E359BF" w:rsidRDefault="00BB5D39" w:rsidP="00BB5D39">
            <w:pPr>
              <w:pStyle w:val="TableTextCenteredDemi"/>
              <w:rPr>
                <w:rFonts w:eastAsia="Times New Roman"/>
              </w:rPr>
            </w:pPr>
            <w:r w:rsidRPr="008C1E5F">
              <w:rPr>
                <w:rFonts w:eastAsia="Times New Roman"/>
              </w:rPr>
              <w:t>26</w:t>
            </w:r>
          </w:p>
        </w:tc>
        <w:tc>
          <w:tcPr>
            <w:tcW w:w="720" w:type="dxa"/>
          </w:tcPr>
          <w:p w14:paraId="6AEC9A1D" w14:textId="5FD136C4" w:rsidR="00BB5D39" w:rsidRPr="00E359BF" w:rsidRDefault="00BB5D39" w:rsidP="00BB5D39">
            <w:pPr>
              <w:pStyle w:val="TableTextCenteredDemi"/>
              <w:rPr>
                <w:rFonts w:eastAsia="Times New Roman"/>
              </w:rPr>
            </w:pPr>
            <w:r w:rsidRPr="008C1E5F">
              <w:rPr>
                <w:rFonts w:eastAsia="Times New Roman"/>
              </w:rPr>
              <w:t>29</w:t>
            </w:r>
          </w:p>
        </w:tc>
        <w:tc>
          <w:tcPr>
            <w:tcW w:w="720" w:type="dxa"/>
          </w:tcPr>
          <w:p w14:paraId="11E13EFA" w14:textId="3C18A356" w:rsidR="00BB5D39" w:rsidRPr="00E359BF" w:rsidRDefault="00BB5D39" w:rsidP="00BB5D39">
            <w:pPr>
              <w:pStyle w:val="TableTextCenteredDemi"/>
              <w:rPr>
                <w:rFonts w:eastAsia="Times New Roman"/>
              </w:rPr>
            </w:pPr>
            <w:r w:rsidRPr="008C1E5F">
              <w:rPr>
                <w:rFonts w:eastAsia="Times New Roman"/>
              </w:rPr>
              <w:t>39</w:t>
            </w:r>
          </w:p>
        </w:tc>
        <w:tc>
          <w:tcPr>
            <w:tcW w:w="720" w:type="dxa"/>
          </w:tcPr>
          <w:p w14:paraId="0939BACA" w14:textId="4043B107" w:rsidR="00BB5D39" w:rsidRPr="00E359BF" w:rsidRDefault="00BB5D39" w:rsidP="00BB5D39">
            <w:pPr>
              <w:pStyle w:val="TableTextCenteredDemi"/>
              <w:rPr>
                <w:rFonts w:eastAsia="Times New Roman"/>
              </w:rPr>
            </w:pPr>
            <w:r w:rsidRPr="008C1E5F">
              <w:rPr>
                <w:rFonts w:eastAsia="Times New Roman"/>
              </w:rPr>
              <w:t>81</w:t>
            </w:r>
          </w:p>
        </w:tc>
        <w:tc>
          <w:tcPr>
            <w:tcW w:w="630" w:type="dxa"/>
          </w:tcPr>
          <w:p w14:paraId="06BF932E" w14:textId="7D52C5F1" w:rsidR="00BB5D39" w:rsidRPr="00E359BF" w:rsidRDefault="00BB5D39" w:rsidP="00BB5D39">
            <w:pPr>
              <w:pStyle w:val="TableTextCenteredDemi"/>
              <w:rPr>
                <w:rFonts w:eastAsia="Times New Roman"/>
              </w:rPr>
            </w:pPr>
            <w:r w:rsidRPr="008C1E5F">
              <w:rPr>
                <w:rFonts w:eastAsia="Times New Roman"/>
              </w:rPr>
              <w:t>47</w:t>
            </w:r>
          </w:p>
        </w:tc>
        <w:tc>
          <w:tcPr>
            <w:tcW w:w="638" w:type="dxa"/>
          </w:tcPr>
          <w:p w14:paraId="7E7DFD3C" w14:textId="430D703D" w:rsidR="00BB5D39" w:rsidRPr="00E359BF" w:rsidRDefault="00BB5D39" w:rsidP="00BB5D39">
            <w:pPr>
              <w:pStyle w:val="TableTextCenteredDemi"/>
              <w:rPr>
                <w:rFonts w:eastAsia="Times New Roman"/>
              </w:rPr>
            </w:pPr>
            <w:r w:rsidRPr="008C1E5F">
              <w:rPr>
                <w:rFonts w:eastAsia="Times New Roman"/>
              </w:rPr>
              <w:t>108</w:t>
            </w:r>
          </w:p>
        </w:tc>
        <w:tc>
          <w:tcPr>
            <w:tcW w:w="532" w:type="dxa"/>
          </w:tcPr>
          <w:p w14:paraId="4268E979" w14:textId="57EC7CCF" w:rsidR="00BB5D39" w:rsidRPr="00E359BF" w:rsidRDefault="00BB5D39" w:rsidP="00BB5D39">
            <w:pPr>
              <w:pStyle w:val="TableTextCenteredDemi"/>
              <w:rPr>
                <w:rFonts w:eastAsia="Times New Roman"/>
              </w:rPr>
            </w:pPr>
            <w:r w:rsidRPr="008C1E5F">
              <w:rPr>
                <w:rFonts w:eastAsia="Times New Roman"/>
              </w:rPr>
              <w:t>336</w:t>
            </w:r>
          </w:p>
        </w:tc>
        <w:tc>
          <w:tcPr>
            <w:tcW w:w="990" w:type="dxa"/>
          </w:tcPr>
          <w:p w14:paraId="4DD19867" w14:textId="2123B260" w:rsidR="00BB5D39" w:rsidRPr="00E359BF" w:rsidRDefault="00BB5D39" w:rsidP="00BB5D39">
            <w:pPr>
              <w:pStyle w:val="TableTextCenteredDemi"/>
              <w:rPr>
                <w:rFonts w:eastAsia="Times New Roman"/>
              </w:rPr>
            </w:pPr>
            <w:r w:rsidRPr="008C1E5F">
              <w:rPr>
                <w:rFonts w:eastAsia="Times New Roman"/>
              </w:rPr>
              <w:t>5.2</w:t>
            </w:r>
          </w:p>
        </w:tc>
      </w:tr>
      <w:tr w:rsidR="00BB5D39" w:rsidRPr="00E359BF" w14:paraId="119F5947" w14:textId="77777777" w:rsidTr="005B481A">
        <w:tc>
          <w:tcPr>
            <w:tcW w:w="3442" w:type="dxa"/>
          </w:tcPr>
          <w:p w14:paraId="6888154A" w14:textId="77777777" w:rsidR="00BB5D39" w:rsidRPr="00EB088B" w:rsidRDefault="00BB5D39" w:rsidP="00BB5D39">
            <w:pPr>
              <w:pStyle w:val="TableText"/>
              <w:ind w:left="204"/>
              <w:rPr>
                <w:rFonts w:ascii="Franklin Gothic Book" w:hAnsi="Franklin Gothic Book"/>
                <w:b/>
                <w:bCs/>
              </w:rPr>
            </w:pPr>
            <w:r w:rsidRPr="00EB088B">
              <w:rPr>
                <w:rFonts w:ascii="Franklin Gothic Book" w:hAnsi="Franklin Gothic Book"/>
              </w:rPr>
              <w:t>Positive Climate</w:t>
            </w:r>
          </w:p>
        </w:tc>
        <w:tc>
          <w:tcPr>
            <w:tcW w:w="690" w:type="dxa"/>
          </w:tcPr>
          <w:p w14:paraId="47A5A8F3" w14:textId="2AB69F8E" w:rsidR="00BB5D39" w:rsidRPr="00E359BF" w:rsidRDefault="00BB5D39" w:rsidP="00BB5D39">
            <w:pPr>
              <w:pStyle w:val="TableTextCentered"/>
              <w:rPr>
                <w:rFonts w:eastAsia="Times New Roman"/>
              </w:rPr>
            </w:pPr>
            <w:r w:rsidRPr="008C1E5F">
              <w:rPr>
                <w:rFonts w:eastAsia="Times New Roman"/>
              </w:rPr>
              <w:t>0</w:t>
            </w:r>
          </w:p>
        </w:tc>
        <w:tc>
          <w:tcPr>
            <w:tcW w:w="630" w:type="dxa"/>
          </w:tcPr>
          <w:p w14:paraId="394F4FCA" w14:textId="0004B6C3" w:rsidR="00BB5D39" w:rsidRPr="00E359BF" w:rsidRDefault="00BB5D39" w:rsidP="00BB5D39">
            <w:pPr>
              <w:pStyle w:val="TableTextCentered"/>
              <w:rPr>
                <w:rFonts w:eastAsia="Times New Roman"/>
              </w:rPr>
            </w:pPr>
            <w:r w:rsidRPr="008C1E5F">
              <w:rPr>
                <w:rFonts w:eastAsia="Times New Roman"/>
              </w:rPr>
              <w:t>1</w:t>
            </w:r>
          </w:p>
        </w:tc>
        <w:tc>
          <w:tcPr>
            <w:tcW w:w="720" w:type="dxa"/>
          </w:tcPr>
          <w:p w14:paraId="32B4C63C" w14:textId="7CBCBC74" w:rsidR="00BB5D39" w:rsidRPr="00E359BF" w:rsidRDefault="00BB5D39" w:rsidP="00BB5D39">
            <w:pPr>
              <w:pStyle w:val="TableTextCentered"/>
              <w:rPr>
                <w:rFonts w:eastAsia="Times New Roman"/>
              </w:rPr>
            </w:pPr>
            <w:r w:rsidRPr="008C1E5F">
              <w:rPr>
                <w:rFonts w:eastAsia="Times New Roman"/>
              </w:rPr>
              <w:t>7</w:t>
            </w:r>
          </w:p>
        </w:tc>
        <w:tc>
          <w:tcPr>
            <w:tcW w:w="720" w:type="dxa"/>
          </w:tcPr>
          <w:p w14:paraId="5C25BB12" w14:textId="03F00908" w:rsidR="00BB5D39" w:rsidRPr="00E359BF" w:rsidRDefault="00BB5D39" w:rsidP="00BB5D39">
            <w:pPr>
              <w:pStyle w:val="TableTextCentered"/>
              <w:rPr>
                <w:rFonts w:eastAsia="Times New Roman"/>
              </w:rPr>
            </w:pPr>
            <w:r w:rsidRPr="008C1E5F">
              <w:rPr>
                <w:rFonts w:eastAsia="Times New Roman"/>
              </w:rPr>
              <w:t>11</w:t>
            </w:r>
          </w:p>
        </w:tc>
        <w:tc>
          <w:tcPr>
            <w:tcW w:w="720" w:type="dxa"/>
          </w:tcPr>
          <w:p w14:paraId="2E86821F" w14:textId="038DAA1B" w:rsidR="00BB5D39" w:rsidRPr="00E359BF" w:rsidRDefault="00BB5D39" w:rsidP="00BB5D39">
            <w:pPr>
              <w:pStyle w:val="TableTextCentered"/>
              <w:rPr>
                <w:rFonts w:eastAsia="Times New Roman"/>
              </w:rPr>
            </w:pPr>
            <w:r w:rsidRPr="008C1E5F">
              <w:rPr>
                <w:rFonts w:eastAsia="Times New Roman"/>
              </w:rPr>
              <w:t>40</w:t>
            </w:r>
          </w:p>
        </w:tc>
        <w:tc>
          <w:tcPr>
            <w:tcW w:w="630" w:type="dxa"/>
          </w:tcPr>
          <w:p w14:paraId="793ABE45" w14:textId="2423D51B" w:rsidR="00BB5D39" w:rsidRPr="00E359BF" w:rsidRDefault="00BB5D39" w:rsidP="00BB5D39">
            <w:pPr>
              <w:pStyle w:val="TableTextCentered"/>
              <w:rPr>
                <w:rFonts w:eastAsia="Times New Roman"/>
              </w:rPr>
            </w:pPr>
            <w:r w:rsidRPr="008C1E5F">
              <w:rPr>
                <w:rFonts w:eastAsia="Times New Roman"/>
              </w:rPr>
              <w:t>15</w:t>
            </w:r>
          </w:p>
        </w:tc>
        <w:tc>
          <w:tcPr>
            <w:tcW w:w="638" w:type="dxa"/>
          </w:tcPr>
          <w:p w14:paraId="5DA24331" w14:textId="2F6B39D8" w:rsidR="00BB5D39" w:rsidRPr="00E359BF" w:rsidRDefault="00BB5D39" w:rsidP="00BB5D39">
            <w:pPr>
              <w:pStyle w:val="TableTextCentered"/>
              <w:rPr>
                <w:rFonts w:eastAsia="Times New Roman"/>
              </w:rPr>
            </w:pPr>
            <w:r w:rsidRPr="008C1E5F">
              <w:rPr>
                <w:rFonts w:eastAsia="Times New Roman"/>
              </w:rPr>
              <w:t>10</w:t>
            </w:r>
          </w:p>
        </w:tc>
        <w:tc>
          <w:tcPr>
            <w:tcW w:w="532" w:type="dxa"/>
          </w:tcPr>
          <w:p w14:paraId="34F89ED2" w14:textId="1912A44B" w:rsidR="00BB5D39" w:rsidRPr="00E359BF" w:rsidRDefault="00BB5D39" w:rsidP="00BB5D39">
            <w:pPr>
              <w:pStyle w:val="TableTextCentered"/>
              <w:rPr>
                <w:rFonts w:eastAsia="Times New Roman"/>
              </w:rPr>
            </w:pPr>
            <w:r w:rsidRPr="008C1E5F">
              <w:rPr>
                <w:rFonts w:eastAsia="Times New Roman"/>
              </w:rPr>
              <w:t>84</w:t>
            </w:r>
          </w:p>
        </w:tc>
        <w:tc>
          <w:tcPr>
            <w:tcW w:w="990" w:type="dxa"/>
          </w:tcPr>
          <w:p w14:paraId="40F1A6F8" w14:textId="4F25FF65" w:rsidR="00BB5D39" w:rsidRPr="00E359BF" w:rsidRDefault="00BB5D39" w:rsidP="00BB5D39">
            <w:pPr>
              <w:pStyle w:val="TableTextCentered"/>
              <w:rPr>
                <w:rFonts w:eastAsia="Times New Roman"/>
              </w:rPr>
            </w:pPr>
            <w:r w:rsidRPr="008C1E5F">
              <w:rPr>
                <w:rFonts w:eastAsia="Times New Roman"/>
              </w:rPr>
              <w:t>5.1</w:t>
            </w:r>
          </w:p>
        </w:tc>
      </w:tr>
      <w:tr w:rsidR="00BB5D39" w:rsidRPr="00E359BF" w14:paraId="1D562349" w14:textId="77777777" w:rsidTr="005B481A">
        <w:trPr>
          <w:cnfStyle w:val="000000100000" w:firstRow="0" w:lastRow="0" w:firstColumn="0" w:lastColumn="0" w:oddVBand="0" w:evenVBand="0" w:oddHBand="1" w:evenHBand="0" w:firstRowFirstColumn="0" w:firstRowLastColumn="0" w:lastRowFirstColumn="0" w:lastRowLastColumn="0"/>
        </w:trPr>
        <w:tc>
          <w:tcPr>
            <w:tcW w:w="3442" w:type="dxa"/>
          </w:tcPr>
          <w:p w14:paraId="2930C2D3" w14:textId="77777777" w:rsidR="00BB5D39" w:rsidRPr="00EB088B" w:rsidRDefault="00BB5D39" w:rsidP="00BB5D39">
            <w:pPr>
              <w:pStyle w:val="TableText"/>
              <w:ind w:left="204"/>
              <w:rPr>
                <w:rFonts w:ascii="Franklin Gothic Book" w:hAnsi="Franklin Gothic Book"/>
                <w:b/>
                <w:bCs/>
              </w:rPr>
            </w:pPr>
            <w:r w:rsidRPr="00EB088B">
              <w:rPr>
                <w:rFonts w:ascii="Franklin Gothic Book" w:hAnsi="Franklin Gothic Book"/>
              </w:rPr>
              <w:t>Negative Climate**</w:t>
            </w:r>
          </w:p>
        </w:tc>
        <w:tc>
          <w:tcPr>
            <w:tcW w:w="690" w:type="dxa"/>
          </w:tcPr>
          <w:p w14:paraId="4EAEDDD0" w14:textId="1138DA26" w:rsidR="00BB5D39" w:rsidRPr="00E359BF" w:rsidRDefault="00BB5D39" w:rsidP="00BB5D39">
            <w:pPr>
              <w:pStyle w:val="TableTextCentered"/>
              <w:rPr>
                <w:rFonts w:eastAsia="Times New Roman"/>
              </w:rPr>
            </w:pPr>
            <w:r w:rsidRPr="008C1E5F">
              <w:rPr>
                <w:rFonts w:eastAsia="Times New Roman"/>
              </w:rPr>
              <w:t>0</w:t>
            </w:r>
          </w:p>
        </w:tc>
        <w:tc>
          <w:tcPr>
            <w:tcW w:w="630" w:type="dxa"/>
          </w:tcPr>
          <w:p w14:paraId="25804124" w14:textId="4F2304CB" w:rsidR="00BB5D39" w:rsidRPr="00E359BF" w:rsidRDefault="00BB5D39" w:rsidP="00BB5D39">
            <w:pPr>
              <w:pStyle w:val="TableTextCentered"/>
              <w:rPr>
                <w:rFonts w:eastAsia="Times New Roman"/>
              </w:rPr>
            </w:pPr>
            <w:r w:rsidRPr="008C1E5F">
              <w:rPr>
                <w:rFonts w:eastAsia="Times New Roman"/>
              </w:rPr>
              <w:t>0</w:t>
            </w:r>
          </w:p>
        </w:tc>
        <w:tc>
          <w:tcPr>
            <w:tcW w:w="720" w:type="dxa"/>
          </w:tcPr>
          <w:p w14:paraId="444FCDFB" w14:textId="61EF9A1B" w:rsidR="00BB5D39" w:rsidRPr="00E359BF" w:rsidRDefault="00BB5D39" w:rsidP="00BB5D39">
            <w:pPr>
              <w:pStyle w:val="TableTextCentered"/>
              <w:rPr>
                <w:rFonts w:eastAsia="Times New Roman"/>
              </w:rPr>
            </w:pPr>
            <w:r w:rsidRPr="008C1E5F">
              <w:rPr>
                <w:rFonts w:eastAsia="Times New Roman"/>
              </w:rPr>
              <w:t>0</w:t>
            </w:r>
          </w:p>
        </w:tc>
        <w:tc>
          <w:tcPr>
            <w:tcW w:w="720" w:type="dxa"/>
          </w:tcPr>
          <w:p w14:paraId="449DF019" w14:textId="253DA8C4" w:rsidR="00BB5D39" w:rsidRPr="00E359BF" w:rsidRDefault="00BB5D39" w:rsidP="00BB5D39">
            <w:pPr>
              <w:pStyle w:val="TableTextCentered"/>
              <w:rPr>
                <w:rFonts w:eastAsia="Times New Roman"/>
              </w:rPr>
            </w:pPr>
            <w:r w:rsidRPr="008C1E5F">
              <w:rPr>
                <w:rFonts w:eastAsia="Times New Roman"/>
              </w:rPr>
              <w:t>0</w:t>
            </w:r>
          </w:p>
        </w:tc>
        <w:tc>
          <w:tcPr>
            <w:tcW w:w="720" w:type="dxa"/>
          </w:tcPr>
          <w:p w14:paraId="7A10C7B8" w14:textId="57C7DA9E" w:rsidR="00BB5D39" w:rsidRPr="00E359BF" w:rsidRDefault="00BB5D39" w:rsidP="00BB5D39">
            <w:pPr>
              <w:pStyle w:val="TableTextCentered"/>
              <w:rPr>
                <w:rFonts w:eastAsia="Times New Roman"/>
              </w:rPr>
            </w:pPr>
            <w:r w:rsidRPr="008C1E5F">
              <w:rPr>
                <w:rFonts w:eastAsia="Times New Roman"/>
              </w:rPr>
              <w:t>1</w:t>
            </w:r>
          </w:p>
        </w:tc>
        <w:tc>
          <w:tcPr>
            <w:tcW w:w="630" w:type="dxa"/>
          </w:tcPr>
          <w:p w14:paraId="70CAD979" w14:textId="00D9AF7E" w:rsidR="00BB5D39" w:rsidRPr="00E359BF" w:rsidRDefault="00BB5D39" w:rsidP="00BB5D39">
            <w:pPr>
              <w:pStyle w:val="TableTextCentered"/>
              <w:rPr>
                <w:rFonts w:eastAsia="Times New Roman"/>
              </w:rPr>
            </w:pPr>
            <w:r w:rsidRPr="008C1E5F">
              <w:rPr>
                <w:rFonts w:eastAsia="Times New Roman"/>
              </w:rPr>
              <w:t>11</w:t>
            </w:r>
          </w:p>
        </w:tc>
        <w:tc>
          <w:tcPr>
            <w:tcW w:w="638" w:type="dxa"/>
          </w:tcPr>
          <w:p w14:paraId="3105EC12" w14:textId="16F63A7F" w:rsidR="00BB5D39" w:rsidRPr="00E359BF" w:rsidRDefault="00BB5D39" w:rsidP="00BB5D39">
            <w:pPr>
              <w:pStyle w:val="TableTextCentered"/>
              <w:rPr>
                <w:rFonts w:eastAsia="Times New Roman"/>
              </w:rPr>
            </w:pPr>
            <w:r w:rsidRPr="008C1E5F">
              <w:rPr>
                <w:rFonts w:eastAsia="Times New Roman"/>
              </w:rPr>
              <w:t>72</w:t>
            </w:r>
          </w:p>
        </w:tc>
        <w:tc>
          <w:tcPr>
            <w:tcW w:w="532" w:type="dxa"/>
          </w:tcPr>
          <w:p w14:paraId="4B3E44C8" w14:textId="42EEA20F" w:rsidR="00BB5D39" w:rsidRPr="00E359BF" w:rsidRDefault="00BB5D39" w:rsidP="00BB5D39">
            <w:pPr>
              <w:pStyle w:val="TableTextCentered"/>
              <w:rPr>
                <w:rFonts w:eastAsia="Times New Roman"/>
              </w:rPr>
            </w:pPr>
            <w:r w:rsidRPr="008C1E5F">
              <w:rPr>
                <w:rFonts w:eastAsia="Times New Roman"/>
              </w:rPr>
              <w:t>84</w:t>
            </w:r>
          </w:p>
        </w:tc>
        <w:tc>
          <w:tcPr>
            <w:tcW w:w="990" w:type="dxa"/>
          </w:tcPr>
          <w:p w14:paraId="2EE1891E" w14:textId="4635B012" w:rsidR="00BB5D39" w:rsidRPr="00E359BF" w:rsidRDefault="00BB5D39" w:rsidP="00BB5D39">
            <w:pPr>
              <w:pStyle w:val="TableTextCentered"/>
              <w:rPr>
                <w:rFonts w:eastAsia="Times New Roman"/>
              </w:rPr>
            </w:pPr>
            <w:r w:rsidRPr="008C1E5F">
              <w:rPr>
                <w:rFonts w:eastAsia="Times New Roman"/>
              </w:rPr>
              <w:t>6.8</w:t>
            </w:r>
          </w:p>
        </w:tc>
      </w:tr>
      <w:tr w:rsidR="00BB5D39" w:rsidRPr="00E359BF" w14:paraId="2DC4D755" w14:textId="77777777" w:rsidTr="005B481A">
        <w:tc>
          <w:tcPr>
            <w:tcW w:w="3442" w:type="dxa"/>
          </w:tcPr>
          <w:p w14:paraId="0C9463C4" w14:textId="77777777" w:rsidR="00BB5D39" w:rsidRPr="00EB088B" w:rsidRDefault="00BB5D39" w:rsidP="00BB5D39">
            <w:pPr>
              <w:pStyle w:val="TableText"/>
              <w:ind w:left="204"/>
              <w:rPr>
                <w:rFonts w:ascii="Franklin Gothic Book" w:hAnsi="Franklin Gothic Book"/>
                <w:b/>
                <w:bCs/>
              </w:rPr>
            </w:pPr>
            <w:r w:rsidRPr="00EB088B">
              <w:rPr>
                <w:rFonts w:ascii="Franklin Gothic Book" w:hAnsi="Franklin Gothic Book"/>
              </w:rPr>
              <w:t>Teacher Sensitivity</w:t>
            </w:r>
          </w:p>
        </w:tc>
        <w:tc>
          <w:tcPr>
            <w:tcW w:w="690" w:type="dxa"/>
          </w:tcPr>
          <w:p w14:paraId="33C40B2E" w14:textId="54078B3C" w:rsidR="00BB5D39" w:rsidRPr="00E359BF" w:rsidRDefault="00BB5D39" w:rsidP="00BB5D39">
            <w:pPr>
              <w:pStyle w:val="TableTextCentered"/>
              <w:rPr>
                <w:rFonts w:eastAsia="Times New Roman"/>
              </w:rPr>
            </w:pPr>
            <w:r w:rsidRPr="008C1E5F">
              <w:rPr>
                <w:rFonts w:eastAsia="Times New Roman"/>
              </w:rPr>
              <w:t>0</w:t>
            </w:r>
          </w:p>
        </w:tc>
        <w:tc>
          <w:tcPr>
            <w:tcW w:w="630" w:type="dxa"/>
          </w:tcPr>
          <w:p w14:paraId="02EDA74D" w14:textId="70897CE2" w:rsidR="00BB5D39" w:rsidRPr="00E359BF" w:rsidRDefault="00BB5D39" w:rsidP="00BB5D39">
            <w:pPr>
              <w:pStyle w:val="TableTextCentered"/>
              <w:rPr>
                <w:rFonts w:eastAsia="Times New Roman"/>
              </w:rPr>
            </w:pPr>
            <w:r w:rsidRPr="008C1E5F">
              <w:rPr>
                <w:rFonts w:eastAsia="Times New Roman"/>
              </w:rPr>
              <w:t>0</w:t>
            </w:r>
          </w:p>
        </w:tc>
        <w:tc>
          <w:tcPr>
            <w:tcW w:w="720" w:type="dxa"/>
          </w:tcPr>
          <w:p w14:paraId="7237E24D" w14:textId="508044DC" w:rsidR="00BB5D39" w:rsidRPr="00E359BF" w:rsidRDefault="00BB5D39" w:rsidP="00BB5D39">
            <w:pPr>
              <w:pStyle w:val="TableTextCentered"/>
              <w:rPr>
                <w:rFonts w:eastAsia="Times New Roman"/>
              </w:rPr>
            </w:pPr>
            <w:r w:rsidRPr="008C1E5F">
              <w:rPr>
                <w:rFonts w:eastAsia="Times New Roman"/>
              </w:rPr>
              <w:t>2</w:t>
            </w:r>
          </w:p>
        </w:tc>
        <w:tc>
          <w:tcPr>
            <w:tcW w:w="720" w:type="dxa"/>
          </w:tcPr>
          <w:p w14:paraId="64F1A00E" w14:textId="69AD47CC" w:rsidR="00BB5D39" w:rsidRPr="00E359BF" w:rsidRDefault="00BB5D39" w:rsidP="00BB5D39">
            <w:pPr>
              <w:pStyle w:val="TableTextCentered"/>
              <w:rPr>
                <w:rFonts w:eastAsia="Times New Roman"/>
              </w:rPr>
            </w:pPr>
            <w:r w:rsidRPr="008C1E5F">
              <w:rPr>
                <w:rFonts w:eastAsia="Times New Roman"/>
              </w:rPr>
              <w:t>7</w:t>
            </w:r>
          </w:p>
        </w:tc>
        <w:tc>
          <w:tcPr>
            <w:tcW w:w="720" w:type="dxa"/>
          </w:tcPr>
          <w:p w14:paraId="24962236" w14:textId="4C6D6D25" w:rsidR="00BB5D39" w:rsidRPr="00E359BF" w:rsidRDefault="00BB5D39" w:rsidP="00BB5D39">
            <w:pPr>
              <w:pStyle w:val="TableTextCentered"/>
              <w:rPr>
                <w:rFonts w:eastAsia="Times New Roman"/>
              </w:rPr>
            </w:pPr>
            <w:r w:rsidRPr="008C1E5F">
              <w:rPr>
                <w:rFonts w:eastAsia="Times New Roman"/>
              </w:rPr>
              <w:t>29</w:t>
            </w:r>
          </w:p>
        </w:tc>
        <w:tc>
          <w:tcPr>
            <w:tcW w:w="630" w:type="dxa"/>
          </w:tcPr>
          <w:p w14:paraId="2EAB4563" w14:textId="4C302A6B" w:rsidR="00BB5D39" w:rsidRPr="00E359BF" w:rsidRDefault="00BB5D39" w:rsidP="00BB5D39">
            <w:pPr>
              <w:pStyle w:val="TableTextCentered"/>
              <w:rPr>
                <w:rFonts w:eastAsia="Times New Roman"/>
              </w:rPr>
            </w:pPr>
            <w:r w:rsidRPr="008C1E5F">
              <w:rPr>
                <w:rFonts w:eastAsia="Times New Roman"/>
              </w:rPr>
              <w:t>20</w:t>
            </w:r>
          </w:p>
        </w:tc>
        <w:tc>
          <w:tcPr>
            <w:tcW w:w="638" w:type="dxa"/>
          </w:tcPr>
          <w:p w14:paraId="7B91C3A6" w14:textId="782727B4" w:rsidR="00BB5D39" w:rsidRPr="00E359BF" w:rsidRDefault="00BB5D39" w:rsidP="00BB5D39">
            <w:pPr>
              <w:pStyle w:val="TableTextCentered"/>
              <w:rPr>
                <w:rFonts w:eastAsia="Times New Roman"/>
              </w:rPr>
            </w:pPr>
            <w:r w:rsidRPr="008C1E5F">
              <w:rPr>
                <w:rFonts w:eastAsia="Times New Roman"/>
              </w:rPr>
              <w:t>26</w:t>
            </w:r>
          </w:p>
        </w:tc>
        <w:tc>
          <w:tcPr>
            <w:tcW w:w="532" w:type="dxa"/>
          </w:tcPr>
          <w:p w14:paraId="220BAB98" w14:textId="3F446BAC" w:rsidR="00BB5D39" w:rsidRPr="00E359BF" w:rsidRDefault="00BB5D39" w:rsidP="00BB5D39">
            <w:pPr>
              <w:pStyle w:val="TableTextCentered"/>
              <w:rPr>
                <w:rFonts w:eastAsia="Times New Roman"/>
              </w:rPr>
            </w:pPr>
            <w:r w:rsidRPr="008C1E5F">
              <w:rPr>
                <w:rFonts w:eastAsia="Times New Roman"/>
              </w:rPr>
              <w:t>84</w:t>
            </w:r>
          </w:p>
        </w:tc>
        <w:tc>
          <w:tcPr>
            <w:tcW w:w="990" w:type="dxa"/>
          </w:tcPr>
          <w:p w14:paraId="34C2BC76" w14:textId="39253E7D" w:rsidR="00BB5D39" w:rsidRPr="00E359BF" w:rsidRDefault="00BB5D39" w:rsidP="00BB5D39">
            <w:pPr>
              <w:pStyle w:val="TableTextCentered"/>
              <w:rPr>
                <w:rFonts w:eastAsia="Times New Roman"/>
              </w:rPr>
            </w:pPr>
            <w:r w:rsidRPr="008C1E5F">
              <w:rPr>
                <w:rFonts w:eastAsia="Times New Roman"/>
              </w:rPr>
              <w:t>5.7</w:t>
            </w:r>
          </w:p>
        </w:tc>
      </w:tr>
      <w:tr w:rsidR="00BB5D39" w:rsidRPr="00E359BF" w14:paraId="05FA8FD6" w14:textId="77777777" w:rsidTr="005B481A">
        <w:trPr>
          <w:cnfStyle w:val="000000100000" w:firstRow="0" w:lastRow="0" w:firstColumn="0" w:lastColumn="0" w:oddVBand="0" w:evenVBand="0" w:oddHBand="1" w:evenHBand="0" w:firstRowFirstColumn="0" w:firstRowLastColumn="0" w:lastRowFirstColumn="0" w:lastRowLastColumn="0"/>
        </w:trPr>
        <w:tc>
          <w:tcPr>
            <w:tcW w:w="3442" w:type="dxa"/>
          </w:tcPr>
          <w:p w14:paraId="738590E6" w14:textId="77777777" w:rsidR="00BB5D39" w:rsidRPr="00EB088B" w:rsidRDefault="00BB5D39" w:rsidP="00BB5D39">
            <w:pPr>
              <w:pStyle w:val="TableText"/>
              <w:ind w:left="204"/>
              <w:rPr>
                <w:rFonts w:ascii="Franklin Gothic Book" w:hAnsi="Franklin Gothic Book"/>
                <w:b/>
                <w:bCs/>
              </w:rPr>
            </w:pPr>
            <w:r w:rsidRPr="00EB088B">
              <w:rPr>
                <w:rFonts w:ascii="Franklin Gothic Book" w:hAnsi="Franklin Gothic Book"/>
              </w:rPr>
              <w:t>Regard for Student Perspectives</w:t>
            </w:r>
          </w:p>
        </w:tc>
        <w:tc>
          <w:tcPr>
            <w:tcW w:w="690" w:type="dxa"/>
          </w:tcPr>
          <w:p w14:paraId="6614AA29" w14:textId="431BEA28" w:rsidR="00BB5D39" w:rsidRPr="00E359BF" w:rsidRDefault="00BB5D39" w:rsidP="00BB5D39">
            <w:pPr>
              <w:pStyle w:val="TableTextCentered"/>
              <w:rPr>
                <w:rFonts w:eastAsia="Times New Roman"/>
              </w:rPr>
            </w:pPr>
            <w:r w:rsidRPr="008C1E5F">
              <w:rPr>
                <w:rFonts w:eastAsia="Times New Roman"/>
              </w:rPr>
              <w:t>6</w:t>
            </w:r>
          </w:p>
        </w:tc>
        <w:tc>
          <w:tcPr>
            <w:tcW w:w="630" w:type="dxa"/>
          </w:tcPr>
          <w:p w14:paraId="41D0C23B" w14:textId="20769743" w:rsidR="00BB5D39" w:rsidRPr="00E359BF" w:rsidRDefault="00BB5D39" w:rsidP="00BB5D39">
            <w:pPr>
              <w:pStyle w:val="TableTextCentered"/>
              <w:rPr>
                <w:rFonts w:eastAsia="Times New Roman"/>
              </w:rPr>
            </w:pPr>
            <w:r w:rsidRPr="008C1E5F">
              <w:rPr>
                <w:rFonts w:eastAsia="Times New Roman"/>
              </w:rPr>
              <w:t>25</w:t>
            </w:r>
          </w:p>
        </w:tc>
        <w:tc>
          <w:tcPr>
            <w:tcW w:w="720" w:type="dxa"/>
          </w:tcPr>
          <w:p w14:paraId="00B83B63" w14:textId="09645573" w:rsidR="00BB5D39" w:rsidRPr="00E359BF" w:rsidRDefault="00BB5D39" w:rsidP="00BB5D39">
            <w:pPr>
              <w:pStyle w:val="TableTextCentered"/>
              <w:rPr>
                <w:rFonts w:eastAsia="Times New Roman"/>
              </w:rPr>
            </w:pPr>
            <w:r w:rsidRPr="008C1E5F">
              <w:rPr>
                <w:rFonts w:eastAsia="Times New Roman"/>
              </w:rPr>
              <w:t>20</w:t>
            </w:r>
          </w:p>
        </w:tc>
        <w:tc>
          <w:tcPr>
            <w:tcW w:w="720" w:type="dxa"/>
          </w:tcPr>
          <w:p w14:paraId="36CAF24C" w14:textId="45AFF700" w:rsidR="00BB5D39" w:rsidRPr="00E359BF" w:rsidRDefault="00BB5D39" w:rsidP="00BB5D39">
            <w:pPr>
              <w:pStyle w:val="TableTextCentered"/>
              <w:rPr>
                <w:rFonts w:eastAsia="Times New Roman"/>
              </w:rPr>
            </w:pPr>
            <w:r w:rsidRPr="008C1E5F">
              <w:rPr>
                <w:rFonts w:eastAsia="Times New Roman"/>
              </w:rPr>
              <w:t>21</w:t>
            </w:r>
          </w:p>
        </w:tc>
        <w:tc>
          <w:tcPr>
            <w:tcW w:w="720" w:type="dxa"/>
          </w:tcPr>
          <w:p w14:paraId="22BE2355" w14:textId="4032F20C" w:rsidR="00BB5D39" w:rsidRPr="00E359BF" w:rsidRDefault="00BB5D39" w:rsidP="00BB5D39">
            <w:pPr>
              <w:pStyle w:val="TableTextCentered"/>
              <w:rPr>
                <w:rFonts w:eastAsia="Times New Roman"/>
              </w:rPr>
            </w:pPr>
            <w:r w:rsidRPr="008C1E5F">
              <w:rPr>
                <w:rFonts w:eastAsia="Times New Roman"/>
              </w:rPr>
              <w:t>11</w:t>
            </w:r>
          </w:p>
        </w:tc>
        <w:tc>
          <w:tcPr>
            <w:tcW w:w="630" w:type="dxa"/>
          </w:tcPr>
          <w:p w14:paraId="735E2B06" w14:textId="2C05C51C" w:rsidR="00BB5D39" w:rsidRPr="00E359BF" w:rsidRDefault="00BB5D39" w:rsidP="00BB5D39">
            <w:pPr>
              <w:pStyle w:val="TableTextCentered"/>
              <w:rPr>
                <w:rFonts w:eastAsia="Times New Roman"/>
              </w:rPr>
            </w:pPr>
            <w:r w:rsidRPr="008C1E5F">
              <w:rPr>
                <w:rFonts w:eastAsia="Times New Roman"/>
              </w:rPr>
              <w:t>1</w:t>
            </w:r>
          </w:p>
        </w:tc>
        <w:tc>
          <w:tcPr>
            <w:tcW w:w="638" w:type="dxa"/>
          </w:tcPr>
          <w:p w14:paraId="7EA57964" w14:textId="4410E401" w:rsidR="00BB5D39" w:rsidRPr="00E359BF" w:rsidRDefault="00BB5D39" w:rsidP="00BB5D39">
            <w:pPr>
              <w:pStyle w:val="TableTextCentered"/>
              <w:rPr>
                <w:rFonts w:eastAsia="Times New Roman"/>
              </w:rPr>
            </w:pPr>
            <w:r w:rsidRPr="008C1E5F">
              <w:rPr>
                <w:rFonts w:eastAsia="Times New Roman"/>
              </w:rPr>
              <w:t>0</w:t>
            </w:r>
          </w:p>
        </w:tc>
        <w:tc>
          <w:tcPr>
            <w:tcW w:w="532" w:type="dxa"/>
          </w:tcPr>
          <w:p w14:paraId="2D2EE70B" w14:textId="65168186" w:rsidR="00BB5D39" w:rsidRPr="00E359BF" w:rsidRDefault="00BB5D39" w:rsidP="00BB5D39">
            <w:pPr>
              <w:pStyle w:val="TableTextCentered"/>
              <w:rPr>
                <w:rFonts w:eastAsia="Times New Roman"/>
              </w:rPr>
            </w:pPr>
            <w:r w:rsidRPr="008C1E5F">
              <w:rPr>
                <w:rFonts w:eastAsia="Times New Roman"/>
              </w:rPr>
              <w:t>84</w:t>
            </w:r>
          </w:p>
        </w:tc>
        <w:tc>
          <w:tcPr>
            <w:tcW w:w="990" w:type="dxa"/>
          </w:tcPr>
          <w:p w14:paraId="7B625241" w14:textId="15843148" w:rsidR="00BB5D39" w:rsidRPr="00E359BF" w:rsidRDefault="00BB5D39" w:rsidP="00BB5D39">
            <w:pPr>
              <w:pStyle w:val="TableTextCentered"/>
              <w:rPr>
                <w:rFonts w:eastAsia="Times New Roman"/>
              </w:rPr>
            </w:pPr>
            <w:r w:rsidRPr="008C1E5F">
              <w:rPr>
                <w:rFonts w:eastAsia="Times New Roman"/>
              </w:rPr>
              <w:t>3.1</w:t>
            </w:r>
          </w:p>
        </w:tc>
      </w:tr>
      <w:tr w:rsidR="00BB5D39" w:rsidRPr="00E359BF" w14:paraId="2309865A" w14:textId="77777777" w:rsidTr="005B481A">
        <w:tc>
          <w:tcPr>
            <w:tcW w:w="3442" w:type="dxa"/>
            <w:shd w:val="clear" w:color="auto" w:fill="D9E2F3" w:themeFill="accent5" w:themeFillTint="33"/>
          </w:tcPr>
          <w:p w14:paraId="786CC0E8" w14:textId="77777777" w:rsidR="00BB5D39" w:rsidRPr="00EB088B" w:rsidRDefault="00BB5D39" w:rsidP="00BB5D39">
            <w:pPr>
              <w:pStyle w:val="TableSubheading"/>
              <w:rPr>
                <w:rFonts w:ascii="Franklin Gothic Book" w:hAnsi="Franklin Gothic Book"/>
                <w:b/>
                <w:bCs/>
                <w:szCs w:val="20"/>
              </w:rPr>
            </w:pPr>
            <w:r w:rsidRPr="00EB088B">
              <w:rPr>
                <w:rFonts w:ascii="Franklin Gothic Book" w:hAnsi="Franklin Gothic Book"/>
                <w:b/>
                <w:bCs/>
              </w:rPr>
              <w:t>Classroom Organization Domain</w:t>
            </w:r>
          </w:p>
        </w:tc>
        <w:tc>
          <w:tcPr>
            <w:tcW w:w="690" w:type="dxa"/>
            <w:shd w:val="clear" w:color="auto" w:fill="D9E2F3" w:themeFill="accent5" w:themeFillTint="33"/>
          </w:tcPr>
          <w:p w14:paraId="7F317F03" w14:textId="7EA852B0" w:rsidR="00BB5D39" w:rsidRPr="00E359BF" w:rsidRDefault="00BB5D39" w:rsidP="00BB5D39">
            <w:pPr>
              <w:pStyle w:val="TableTextCenteredDemi"/>
              <w:rPr>
                <w:rFonts w:eastAsia="Times New Roman"/>
              </w:rPr>
            </w:pPr>
            <w:r w:rsidRPr="008C1E5F">
              <w:rPr>
                <w:rFonts w:eastAsia="Times New Roman"/>
              </w:rPr>
              <w:t>2</w:t>
            </w:r>
          </w:p>
        </w:tc>
        <w:tc>
          <w:tcPr>
            <w:tcW w:w="630" w:type="dxa"/>
            <w:shd w:val="clear" w:color="auto" w:fill="D9E2F3" w:themeFill="accent5" w:themeFillTint="33"/>
          </w:tcPr>
          <w:p w14:paraId="28E28450" w14:textId="34C2BF4B" w:rsidR="00BB5D39" w:rsidRPr="00E359BF" w:rsidRDefault="00BB5D39" w:rsidP="00BB5D39">
            <w:pPr>
              <w:pStyle w:val="TableTextCenteredDemi"/>
              <w:rPr>
                <w:rFonts w:eastAsia="Times New Roman"/>
              </w:rPr>
            </w:pPr>
            <w:r w:rsidRPr="008C1E5F">
              <w:rPr>
                <w:rFonts w:eastAsia="Times New Roman"/>
              </w:rPr>
              <w:t>1</w:t>
            </w:r>
          </w:p>
        </w:tc>
        <w:tc>
          <w:tcPr>
            <w:tcW w:w="720" w:type="dxa"/>
            <w:shd w:val="clear" w:color="auto" w:fill="D9E2F3" w:themeFill="accent5" w:themeFillTint="33"/>
          </w:tcPr>
          <w:p w14:paraId="14FAAC09" w14:textId="3881EE0E" w:rsidR="00BB5D39" w:rsidRPr="00E359BF" w:rsidRDefault="00BB5D39" w:rsidP="00BB5D39">
            <w:pPr>
              <w:pStyle w:val="TableTextCenteredDemi"/>
              <w:rPr>
                <w:rFonts w:eastAsia="Times New Roman"/>
              </w:rPr>
            </w:pPr>
            <w:r w:rsidRPr="008C1E5F">
              <w:rPr>
                <w:rFonts w:eastAsia="Times New Roman"/>
              </w:rPr>
              <w:t>12</w:t>
            </w:r>
          </w:p>
        </w:tc>
        <w:tc>
          <w:tcPr>
            <w:tcW w:w="720" w:type="dxa"/>
            <w:shd w:val="clear" w:color="auto" w:fill="D9E2F3" w:themeFill="accent5" w:themeFillTint="33"/>
          </w:tcPr>
          <w:p w14:paraId="6FA686DF" w14:textId="059A2E62" w:rsidR="00BB5D39" w:rsidRPr="00E359BF" w:rsidRDefault="00BB5D39" w:rsidP="00BB5D39">
            <w:pPr>
              <w:pStyle w:val="TableTextCenteredDemi"/>
              <w:rPr>
                <w:rFonts w:eastAsia="Times New Roman"/>
              </w:rPr>
            </w:pPr>
            <w:r w:rsidRPr="008C1E5F">
              <w:rPr>
                <w:rFonts w:eastAsia="Times New Roman"/>
              </w:rPr>
              <w:t>31</w:t>
            </w:r>
          </w:p>
        </w:tc>
        <w:tc>
          <w:tcPr>
            <w:tcW w:w="720" w:type="dxa"/>
            <w:shd w:val="clear" w:color="auto" w:fill="D9E2F3" w:themeFill="accent5" w:themeFillTint="33"/>
          </w:tcPr>
          <w:p w14:paraId="6290FC4A" w14:textId="11E9983B" w:rsidR="00BB5D39" w:rsidRPr="00E359BF" w:rsidRDefault="00BB5D39" w:rsidP="00BB5D39">
            <w:pPr>
              <w:pStyle w:val="TableTextCenteredDemi"/>
              <w:rPr>
                <w:rFonts w:eastAsia="Times New Roman"/>
              </w:rPr>
            </w:pPr>
            <w:r w:rsidRPr="008C1E5F">
              <w:rPr>
                <w:rFonts w:eastAsia="Times New Roman"/>
              </w:rPr>
              <w:t>51</w:t>
            </w:r>
          </w:p>
        </w:tc>
        <w:tc>
          <w:tcPr>
            <w:tcW w:w="630" w:type="dxa"/>
            <w:shd w:val="clear" w:color="auto" w:fill="D9E2F3" w:themeFill="accent5" w:themeFillTint="33"/>
          </w:tcPr>
          <w:p w14:paraId="6F2B96A5" w14:textId="15948E7D" w:rsidR="00BB5D39" w:rsidRPr="00E359BF" w:rsidRDefault="00BB5D39" w:rsidP="00BB5D39">
            <w:pPr>
              <w:pStyle w:val="TableTextCenteredDemi"/>
              <w:rPr>
                <w:rFonts w:eastAsia="Times New Roman"/>
              </w:rPr>
            </w:pPr>
            <w:r w:rsidRPr="008C1E5F">
              <w:rPr>
                <w:rFonts w:eastAsia="Times New Roman"/>
              </w:rPr>
              <w:t>63</w:t>
            </w:r>
          </w:p>
        </w:tc>
        <w:tc>
          <w:tcPr>
            <w:tcW w:w="638" w:type="dxa"/>
            <w:shd w:val="clear" w:color="auto" w:fill="D9E2F3" w:themeFill="accent5" w:themeFillTint="33"/>
          </w:tcPr>
          <w:p w14:paraId="763F2A21" w14:textId="2FD7909B" w:rsidR="00BB5D39" w:rsidRPr="00E359BF" w:rsidRDefault="00BB5D39" w:rsidP="00BB5D39">
            <w:pPr>
              <w:pStyle w:val="TableTextCenteredDemi"/>
              <w:rPr>
                <w:rFonts w:eastAsia="Times New Roman"/>
              </w:rPr>
            </w:pPr>
            <w:r w:rsidRPr="008C1E5F">
              <w:rPr>
                <w:rFonts w:eastAsia="Times New Roman"/>
              </w:rPr>
              <w:t>92</w:t>
            </w:r>
          </w:p>
        </w:tc>
        <w:tc>
          <w:tcPr>
            <w:tcW w:w="532" w:type="dxa"/>
            <w:shd w:val="clear" w:color="auto" w:fill="D9E2F3" w:themeFill="accent5" w:themeFillTint="33"/>
          </w:tcPr>
          <w:p w14:paraId="70402D4B" w14:textId="740701E4" w:rsidR="00BB5D39" w:rsidRPr="00E359BF" w:rsidRDefault="00BB5D39" w:rsidP="00BB5D39">
            <w:pPr>
              <w:pStyle w:val="TableTextCenteredDemi"/>
              <w:rPr>
                <w:rFonts w:eastAsia="Times New Roman"/>
              </w:rPr>
            </w:pPr>
            <w:r w:rsidRPr="008C1E5F">
              <w:rPr>
                <w:rFonts w:eastAsia="Times New Roman"/>
              </w:rPr>
              <w:t>252</w:t>
            </w:r>
          </w:p>
        </w:tc>
        <w:tc>
          <w:tcPr>
            <w:tcW w:w="990" w:type="dxa"/>
            <w:shd w:val="clear" w:color="auto" w:fill="D9E2F3" w:themeFill="accent5" w:themeFillTint="33"/>
          </w:tcPr>
          <w:p w14:paraId="69169971" w14:textId="011CDDA8" w:rsidR="00BB5D39" w:rsidRPr="00E359BF" w:rsidRDefault="00BB5D39" w:rsidP="00BB5D39">
            <w:pPr>
              <w:pStyle w:val="TableTextCenteredDemi"/>
              <w:rPr>
                <w:rFonts w:eastAsia="Times New Roman"/>
              </w:rPr>
            </w:pPr>
            <w:r w:rsidRPr="008C1E5F">
              <w:rPr>
                <w:rFonts w:eastAsia="Times New Roman"/>
              </w:rPr>
              <w:t>5.7</w:t>
            </w:r>
          </w:p>
        </w:tc>
      </w:tr>
      <w:tr w:rsidR="00BB5D39" w:rsidRPr="00E359BF" w14:paraId="2FD5AFA2" w14:textId="77777777" w:rsidTr="005B481A">
        <w:trPr>
          <w:cnfStyle w:val="000000100000" w:firstRow="0" w:lastRow="0" w:firstColumn="0" w:lastColumn="0" w:oddVBand="0" w:evenVBand="0" w:oddHBand="1" w:evenHBand="0" w:firstRowFirstColumn="0" w:firstRowLastColumn="0" w:lastRowFirstColumn="0" w:lastRowLastColumn="0"/>
        </w:trPr>
        <w:tc>
          <w:tcPr>
            <w:tcW w:w="3442" w:type="dxa"/>
          </w:tcPr>
          <w:p w14:paraId="3F73FFAA" w14:textId="77777777" w:rsidR="00BB5D39" w:rsidRPr="00EB088B" w:rsidRDefault="00BB5D39" w:rsidP="00BB5D39">
            <w:pPr>
              <w:pStyle w:val="TableText"/>
              <w:ind w:left="204"/>
              <w:rPr>
                <w:rFonts w:ascii="Franklin Gothic Book" w:hAnsi="Franklin Gothic Book"/>
                <w:b/>
                <w:bCs/>
              </w:rPr>
            </w:pPr>
            <w:r w:rsidRPr="00EB088B">
              <w:rPr>
                <w:rFonts w:ascii="Franklin Gothic Book" w:hAnsi="Franklin Gothic Book"/>
              </w:rPr>
              <w:t>Behavior Management</w:t>
            </w:r>
          </w:p>
        </w:tc>
        <w:tc>
          <w:tcPr>
            <w:tcW w:w="690" w:type="dxa"/>
          </w:tcPr>
          <w:p w14:paraId="6023F5D9" w14:textId="2748E52C" w:rsidR="00BB5D39" w:rsidRPr="00E359BF" w:rsidRDefault="00BB5D39" w:rsidP="00BB5D39">
            <w:pPr>
              <w:pStyle w:val="TableTextCentered"/>
              <w:rPr>
                <w:rFonts w:eastAsia="Times New Roman"/>
              </w:rPr>
            </w:pPr>
            <w:r w:rsidRPr="008C1E5F">
              <w:rPr>
                <w:rFonts w:eastAsia="Times New Roman"/>
              </w:rPr>
              <w:t>1</w:t>
            </w:r>
          </w:p>
        </w:tc>
        <w:tc>
          <w:tcPr>
            <w:tcW w:w="630" w:type="dxa"/>
          </w:tcPr>
          <w:p w14:paraId="5E9B5E8C" w14:textId="543EB924" w:rsidR="00BB5D39" w:rsidRPr="00E359BF" w:rsidRDefault="00BB5D39" w:rsidP="00BB5D39">
            <w:pPr>
              <w:pStyle w:val="TableTextCentered"/>
              <w:rPr>
                <w:rFonts w:eastAsia="Times New Roman"/>
              </w:rPr>
            </w:pPr>
            <w:r w:rsidRPr="008C1E5F">
              <w:rPr>
                <w:rFonts w:eastAsia="Times New Roman"/>
              </w:rPr>
              <w:t>1</w:t>
            </w:r>
          </w:p>
        </w:tc>
        <w:tc>
          <w:tcPr>
            <w:tcW w:w="720" w:type="dxa"/>
          </w:tcPr>
          <w:p w14:paraId="0986FD1A" w14:textId="2020D852" w:rsidR="00BB5D39" w:rsidRPr="00E359BF" w:rsidRDefault="00BB5D39" w:rsidP="00BB5D39">
            <w:pPr>
              <w:pStyle w:val="TableTextCentered"/>
              <w:rPr>
                <w:rFonts w:eastAsia="Times New Roman"/>
              </w:rPr>
            </w:pPr>
            <w:r w:rsidRPr="008C1E5F">
              <w:rPr>
                <w:rFonts w:eastAsia="Times New Roman"/>
              </w:rPr>
              <w:t>3</w:t>
            </w:r>
          </w:p>
        </w:tc>
        <w:tc>
          <w:tcPr>
            <w:tcW w:w="720" w:type="dxa"/>
          </w:tcPr>
          <w:p w14:paraId="1AA87290" w14:textId="4EF10A36" w:rsidR="00BB5D39" w:rsidRPr="00E359BF" w:rsidRDefault="00BB5D39" w:rsidP="00BB5D39">
            <w:pPr>
              <w:pStyle w:val="TableTextCentered"/>
              <w:rPr>
                <w:rFonts w:eastAsia="Times New Roman"/>
              </w:rPr>
            </w:pPr>
            <w:r w:rsidRPr="008C1E5F">
              <w:rPr>
                <w:rFonts w:eastAsia="Times New Roman"/>
              </w:rPr>
              <w:t>10</w:t>
            </w:r>
          </w:p>
        </w:tc>
        <w:tc>
          <w:tcPr>
            <w:tcW w:w="720" w:type="dxa"/>
          </w:tcPr>
          <w:p w14:paraId="4B3FC6EB" w14:textId="760E1F8C" w:rsidR="00BB5D39" w:rsidRPr="00E359BF" w:rsidRDefault="00BB5D39" w:rsidP="00BB5D39">
            <w:pPr>
              <w:pStyle w:val="TableTextCentered"/>
              <w:rPr>
                <w:rFonts w:eastAsia="Times New Roman"/>
              </w:rPr>
            </w:pPr>
            <w:r w:rsidRPr="008C1E5F">
              <w:rPr>
                <w:rFonts w:eastAsia="Times New Roman"/>
              </w:rPr>
              <w:t>12</w:t>
            </w:r>
          </w:p>
        </w:tc>
        <w:tc>
          <w:tcPr>
            <w:tcW w:w="630" w:type="dxa"/>
          </w:tcPr>
          <w:p w14:paraId="68BEFF95" w14:textId="40F8F9AE" w:rsidR="00BB5D39" w:rsidRPr="00E359BF" w:rsidRDefault="00BB5D39" w:rsidP="00BB5D39">
            <w:pPr>
              <w:pStyle w:val="TableTextCentered"/>
              <w:rPr>
                <w:rFonts w:eastAsia="Times New Roman"/>
              </w:rPr>
            </w:pPr>
            <w:r w:rsidRPr="008C1E5F">
              <w:rPr>
                <w:rFonts w:eastAsia="Times New Roman"/>
              </w:rPr>
              <w:t>25</w:t>
            </w:r>
          </w:p>
        </w:tc>
        <w:tc>
          <w:tcPr>
            <w:tcW w:w="638" w:type="dxa"/>
          </w:tcPr>
          <w:p w14:paraId="025FEBA6" w14:textId="5963C1E3" w:rsidR="00BB5D39" w:rsidRPr="00E359BF" w:rsidRDefault="00BB5D39" w:rsidP="00BB5D39">
            <w:pPr>
              <w:pStyle w:val="TableTextCentered"/>
              <w:rPr>
                <w:rFonts w:eastAsia="Times New Roman"/>
              </w:rPr>
            </w:pPr>
            <w:r w:rsidRPr="008C1E5F">
              <w:rPr>
                <w:rFonts w:eastAsia="Times New Roman"/>
              </w:rPr>
              <w:t>32</w:t>
            </w:r>
          </w:p>
        </w:tc>
        <w:tc>
          <w:tcPr>
            <w:tcW w:w="532" w:type="dxa"/>
          </w:tcPr>
          <w:p w14:paraId="34DFDDBA" w14:textId="433ED861" w:rsidR="00BB5D39" w:rsidRPr="00E359BF" w:rsidRDefault="00BB5D39" w:rsidP="00BB5D39">
            <w:pPr>
              <w:pStyle w:val="TableTextCentered"/>
              <w:rPr>
                <w:rFonts w:eastAsia="Times New Roman"/>
              </w:rPr>
            </w:pPr>
            <w:r w:rsidRPr="008C1E5F">
              <w:rPr>
                <w:rFonts w:eastAsia="Times New Roman"/>
              </w:rPr>
              <w:t>84</w:t>
            </w:r>
          </w:p>
        </w:tc>
        <w:tc>
          <w:tcPr>
            <w:tcW w:w="990" w:type="dxa"/>
          </w:tcPr>
          <w:p w14:paraId="0B49F8AD" w14:textId="5F283890" w:rsidR="00BB5D39" w:rsidRPr="00E359BF" w:rsidRDefault="00BB5D39" w:rsidP="00BB5D39">
            <w:pPr>
              <w:pStyle w:val="TableTextCentered"/>
              <w:rPr>
                <w:rFonts w:eastAsia="Times New Roman"/>
              </w:rPr>
            </w:pPr>
            <w:r w:rsidRPr="008C1E5F">
              <w:rPr>
                <w:rFonts w:eastAsia="Times New Roman"/>
              </w:rPr>
              <w:t>5.8</w:t>
            </w:r>
          </w:p>
        </w:tc>
      </w:tr>
      <w:tr w:rsidR="00BB5D39" w:rsidRPr="00E359BF" w14:paraId="11DD574A" w14:textId="77777777" w:rsidTr="005B481A">
        <w:tc>
          <w:tcPr>
            <w:tcW w:w="3442" w:type="dxa"/>
          </w:tcPr>
          <w:p w14:paraId="33BFA8D4" w14:textId="77777777" w:rsidR="00BB5D39" w:rsidRPr="00EB088B" w:rsidRDefault="00BB5D39" w:rsidP="00BB5D39">
            <w:pPr>
              <w:pStyle w:val="TableText"/>
              <w:ind w:left="204"/>
              <w:rPr>
                <w:rFonts w:ascii="Franklin Gothic Book" w:hAnsi="Franklin Gothic Book"/>
                <w:b/>
                <w:bCs/>
              </w:rPr>
            </w:pPr>
            <w:r w:rsidRPr="00EB088B">
              <w:rPr>
                <w:rFonts w:ascii="Franklin Gothic Book" w:hAnsi="Franklin Gothic Book"/>
              </w:rPr>
              <w:t>Productivity</w:t>
            </w:r>
          </w:p>
        </w:tc>
        <w:tc>
          <w:tcPr>
            <w:tcW w:w="690" w:type="dxa"/>
          </w:tcPr>
          <w:p w14:paraId="5ABC91B9" w14:textId="47CDFE8C" w:rsidR="00BB5D39" w:rsidRPr="00E359BF" w:rsidRDefault="00BB5D39" w:rsidP="00BB5D39">
            <w:pPr>
              <w:pStyle w:val="TableTextCentered"/>
              <w:rPr>
                <w:rFonts w:eastAsia="Times New Roman"/>
              </w:rPr>
            </w:pPr>
            <w:r w:rsidRPr="008C1E5F">
              <w:rPr>
                <w:rFonts w:eastAsia="Times New Roman"/>
              </w:rPr>
              <w:t>1</w:t>
            </w:r>
          </w:p>
        </w:tc>
        <w:tc>
          <w:tcPr>
            <w:tcW w:w="630" w:type="dxa"/>
          </w:tcPr>
          <w:p w14:paraId="0F2F55B4" w14:textId="75795C2F" w:rsidR="00BB5D39" w:rsidRPr="00E359BF" w:rsidRDefault="00BB5D39" w:rsidP="00BB5D39">
            <w:pPr>
              <w:pStyle w:val="TableTextCentered"/>
              <w:rPr>
                <w:rFonts w:eastAsia="Times New Roman"/>
              </w:rPr>
            </w:pPr>
            <w:r w:rsidRPr="008C1E5F">
              <w:rPr>
                <w:rFonts w:eastAsia="Times New Roman"/>
              </w:rPr>
              <w:t>0</w:t>
            </w:r>
          </w:p>
        </w:tc>
        <w:tc>
          <w:tcPr>
            <w:tcW w:w="720" w:type="dxa"/>
          </w:tcPr>
          <w:p w14:paraId="25F798A8" w14:textId="6405D2D0" w:rsidR="00BB5D39" w:rsidRPr="00E359BF" w:rsidRDefault="00BB5D39" w:rsidP="00BB5D39">
            <w:pPr>
              <w:pStyle w:val="TableTextCentered"/>
              <w:rPr>
                <w:rFonts w:eastAsia="Times New Roman"/>
              </w:rPr>
            </w:pPr>
            <w:r w:rsidRPr="008C1E5F">
              <w:rPr>
                <w:rFonts w:eastAsia="Times New Roman"/>
              </w:rPr>
              <w:t>3</w:t>
            </w:r>
          </w:p>
        </w:tc>
        <w:tc>
          <w:tcPr>
            <w:tcW w:w="720" w:type="dxa"/>
          </w:tcPr>
          <w:p w14:paraId="26A83CB3" w14:textId="06798853" w:rsidR="00BB5D39" w:rsidRPr="00E359BF" w:rsidRDefault="00BB5D39" w:rsidP="00BB5D39">
            <w:pPr>
              <w:pStyle w:val="TableTextCentered"/>
              <w:rPr>
                <w:rFonts w:eastAsia="Times New Roman"/>
              </w:rPr>
            </w:pPr>
            <w:r w:rsidRPr="008C1E5F">
              <w:rPr>
                <w:rFonts w:eastAsia="Times New Roman"/>
              </w:rPr>
              <w:t>8</w:t>
            </w:r>
          </w:p>
        </w:tc>
        <w:tc>
          <w:tcPr>
            <w:tcW w:w="720" w:type="dxa"/>
          </w:tcPr>
          <w:p w14:paraId="1F2D6670" w14:textId="7685C310" w:rsidR="00BB5D39" w:rsidRPr="00E359BF" w:rsidRDefault="00BB5D39" w:rsidP="00BB5D39">
            <w:pPr>
              <w:pStyle w:val="TableTextCentered"/>
              <w:rPr>
                <w:rFonts w:eastAsia="Times New Roman"/>
              </w:rPr>
            </w:pPr>
            <w:r w:rsidRPr="008C1E5F">
              <w:rPr>
                <w:rFonts w:eastAsia="Times New Roman"/>
              </w:rPr>
              <w:t>9</w:t>
            </w:r>
          </w:p>
        </w:tc>
        <w:tc>
          <w:tcPr>
            <w:tcW w:w="630" w:type="dxa"/>
          </w:tcPr>
          <w:p w14:paraId="2BBF8E23" w14:textId="01A4C3CC" w:rsidR="00BB5D39" w:rsidRPr="00E359BF" w:rsidRDefault="00BB5D39" w:rsidP="00BB5D39">
            <w:pPr>
              <w:pStyle w:val="TableTextCentered"/>
              <w:rPr>
                <w:rFonts w:eastAsia="Times New Roman"/>
              </w:rPr>
            </w:pPr>
            <w:r w:rsidRPr="008C1E5F">
              <w:rPr>
                <w:rFonts w:eastAsia="Times New Roman"/>
              </w:rPr>
              <w:t>15</w:t>
            </w:r>
          </w:p>
        </w:tc>
        <w:tc>
          <w:tcPr>
            <w:tcW w:w="638" w:type="dxa"/>
          </w:tcPr>
          <w:p w14:paraId="6EBC9813" w14:textId="4FB5ABF4" w:rsidR="00BB5D39" w:rsidRPr="00E359BF" w:rsidRDefault="00BB5D39" w:rsidP="00BB5D39">
            <w:pPr>
              <w:pStyle w:val="TableTextCentered"/>
              <w:rPr>
                <w:rFonts w:eastAsia="Times New Roman"/>
              </w:rPr>
            </w:pPr>
            <w:r w:rsidRPr="008C1E5F">
              <w:rPr>
                <w:rFonts w:eastAsia="Times New Roman"/>
              </w:rPr>
              <w:t>48</w:t>
            </w:r>
          </w:p>
        </w:tc>
        <w:tc>
          <w:tcPr>
            <w:tcW w:w="532" w:type="dxa"/>
          </w:tcPr>
          <w:p w14:paraId="5422F60E" w14:textId="1A1A479F" w:rsidR="00BB5D39" w:rsidRPr="00E359BF" w:rsidRDefault="00BB5D39" w:rsidP="00BB5D39">
            <w:pPr>
              <w:pStyle w:val="TableTextCentered"/>
              <w:rPr>
                <w:rFonts w:eastAsia="Times New Roman"/>
              </w:rPr>
            </w:pPr>
            <w:r w:rsidRPr="008C1E5F">
              <w:rPr>
                <w:rFonts w:eastAsia="Times New Roman"/>
              </w:rPr>
              <w:t>84</w:t>
            </w:r>
          </w:p>
        </w:tc>
        <w:tc>
          <w:tcPr>
            <w:tcW w:w="990" w:type="dxa"/>
          </w:tcPr>
          <w:p w14:paraId="5C465951" w14:textId="4201795E" w:rsidR="00BB5D39" w:rsidRPr="00E359BF" w:rsidRDefault="00BB5D39" w:rsidP="00BB5D39">
            <w:pPr>
              <w:pStyle w:val="TableTextCentered"/>
              <w:rPr>
                <w:rFonts w:eastAsia="Times New Roman"/>
              </w:rPr>
            </w:pPr>
            <w:r w:rsidRPr="008C1E5F">
              <w:rPr>
                <w:rFonts w:eastAsia="Times New Roman"/>
              </w:rPr>
              <w:t>6.1</w:t>
            </w:r>
          </w:p>
        </w:tc>
      </w:tr>
      <w:tr w:rsidR="00BB5D39" w:rsidRPr="00E359BF" w14:paraId="3BDD0BBF" w14:textId="77777777" w:rsidTr="005B481A">
        <w:trPr>
          <w:cnfStyle w:val="000000100000" w:firstRow="0" w:lastRow="0" w:firstColumn="0" w:lastColumn="0" w:oddVBand="0" w:evenVBand="0" w:oddHBand="1" w:evenHBand="0" w:firstRowFirstColumn="0" w:firstRowLastColumn="0" w:lastRowFirstColumn="0" w:lastRowLastColumn="0"/>
        </w:trPr>
        <w:tc>
          <w:tcPr>
            <w:tcW w:w="3442" w:type="dxa"/>
          </w:tcPr>
          <w:p w14:paraId="736A63B5" w14:textId="77777777" w:rsidR="00BB5D39" w:rsidRPr="00EB088B" w:rsidRDefault="00BB5D39" w:rsidP="00BB5D39">
            <w:pPr>
              <w:pStyle w:val="TableText"/>
              <w:ind w:left="204"/>
              <w:rPr>
                <w:rFonts w:ascii="Franklin Gothic Book" w:hAnsi="Franklin Gothic Book"/>
                <w:b/>
                <w:bCs/>
              </w:rPr>
            </w:pPr>
            <w:r w:rsidRPr="00EB088B">
              <w:rPr>
                <w:rFonts w:ascii="Franklin Gothic Book" w:hAnsi="Franklin Gothic Book"/>
              </w:rPr>
              <w:t>Instructional Learning Formats</w:t>
            </w:r>
            <w:r>
              <w:rPr>
                <w:rFonts w:ascii="Franklin Gothic Book" w:hAnsi="Franklin Gothic Book"/>
              </w:rPr>
              <w:t>***</w:t>
            </w:r>
          </w:p>
        </w:tc>
        <w:tc>
          <w:tcPr>
            <w:tcW w:w="690" w:type="dxa"/>
          </w:tcPr>
          <w:p w14:paraId="53800EF0" w14:textId="21BF28EF" w:rsidR="00BB5D39" w:rsidRPr="00E359BF" w:rsidRDefault="00BB5D39" w:rsidP="00BB5D39">
            <w:pPr>
              <w:pStyle w:val="TableTextCentered"/>
              <w:rPr>
                <w:rFonts w:eastAsia="Times New Roman"/>
              </w:rPr>
            </w:pPr>
            <w:r w:rsidRPr="008C1E5F">
              <w:rPr>
                <w:rFonts w:eastAsia="Times New Roman"/>
              </w:rPr>
              <w:t>0</w:t>
            </w:r>
          </w:p>
        </w:tc>
        <w:tc>
          <w:tcPr>
            <w:tcW w:w="630" w:type="dxa"/>
          </w:tcPr>
          <w:p w14:paraId="72C9F483" w14:textId="272DF4CD" w:rsidR="00BB5D39" w:rsidRPr="00E359BF" w:rsidRDefault="00BB5D39" w:rsidP="00BB5D39">
            <w:pPr>
              <w:pStyle w:val="TableTextCentered"/>
              <w:rPr>
                <w:rFonts w:eastAsia="Times New Roman"/>
              </w:rPr>
            </w:pPr>
            <w:r w:rsidRPr="008C1E5F">
              <w:rPr>
                <w:rFonts w:eastAsia="Times New Roman"/>
              </w:rPr>
              <w:t>0</w:t>
            </w:r>
          </w:p>
        </w:tc>
        <w:tc>
          <w:tcPr>
            <w:tcW w:w="720" w:type="dxa"/>
          </w:tcPr>
          <w:p w14:paraId="48B631F0" w14:textId="2BA98591" w:rsidR="00BB5D39" w:rsidRPr="00E359BF" w:rsidRDefault="00BB5D39" w:rsidP="00BB5D39">
            <w:pPr>
              <w:pStyle w:val="TableTextCentered"/>
              <w:rPr>
                <w:rFonts w:eastAsia="Times New Roman"/>
              </w:rPr>
            </w:pPr>
            <w:r w:rsidRPr="008C1E5F">
              <w:rPr>
                <w:rFonts w:eastAsia="Times New Roman"/>
              </w:rPr>
              <w:t>6</w:t>
            </w:r>
          </w:p>
        </w:tc>
        <w:tc>
          <w:tcPr>
            <w:tcW w:w="720" w:type="dxa"/>
          </w:tcPr>
          <w:p w14:paraId="10A690D8" w14:textId="40B9A43B" w:rsidR="00BB5D39" w:rsidRPr="00E359BF" w:rsidRDefault="00BB5D39" w:rsidP="00BB5D39">
            <w:pPr>
              <w:pStyle w:val="TableTextCentered"/>
              <w:rPr>
                <w:rFonts w:eastAsia="Times New Roman"/>
              </w:rPr>
            </w:pPr>
            <w:r w:rsidRPr="008C1E5F">
              <w:rPr>
                <w:rFonts w:eastAsia="Times New Roman"/>
              </w:rPr>
              <w:t>13</w:t>
            </w:r>
          </w:p>
        </w:tc>
        <w:tc>
          <w:tcPr>
            <w:tcW w:w="720" w:type="dxa"/>
          </w:tcPr>
          <w:p w14:paraId="610F5AF9" w14:textId="678FCF07" w:rsidR="00BB5D39" w:rsidRPr="00E359BF" w:rsidRDefault="00BB5D39" w:rsidP="00BB5D39">
            <w:pPr>
              <w:pStyle w:val="TableTextCentered"/>
              <w:rPr>
                <w:rFonts w:eastAsia="Times New Roman"/>
              </w:rPr>
            </w:pPr>
            <w:r w:rsidRPr="008C1E5F">
              <w:rPr>
                <w:rFonts w:eastAsia="Times New Roman"/>
              </w:rPr>
              <w:t>30</w:t>
            </w:r>
          </w:p>
        </w:tc>
        <w:tc>
          <w:tcPr>
            <w:tcW w:w="630" w:type="dxa"/>
          </w:tcPr>
          <w:p w14:paraId="2521FE9D" w14:textId="70AEA0BB" w:rsidR="00BB5D39" w:rsidRPr="00E359BF" w:rsidRDefault="00BB5D39" w:rsidP="00BB5D39">
            <w:pPr>
              <w:pStyle w:val="TableTextCentered"/>
              <w:rPr>
                <w:rFonts w:eastAsia="Times New Roman"/>
              </w:rPr>
            </w:pPr>
            <w:r w:rsidRPr="008C1E5F">
              <w:rPr>
                <w:rFonts w:eastAsia="Times New Roman"/>
              </w:rPr>
              <w:t>23</w:t>
            </w:r>
          </w:p>
        </w:tc>
        <w:tc>
          <w:tcPr>
            <w:tcW w:w="638" w:type="dxa"/>
          </w:tcPr>
          <w:p w14:paraId="2431A60D" w14:textId="524FFE89" w:rsidR="00BB5D39" w:rsidRPr="00E359BF" w:rsidRDefault="00BB5D39" w:rsidP="00BB5D39">
            <w:pPr>
              <w:pStyle w:val="TableTextCentered"/>
              <w:rPr>
                <w:rFonts w:eastAsia="Times New Roman"/>
              </w:rPr>
            </w:pPr>
            <w:r w:rsidRPr="008C1E5F">
              <w:rPr>
                <w:rFonts w:eastAsia="Times New Roman"/>
              </w:rPr>
              <w:t>12</w:t>
            </w:r>
          </w:p>
        </w:tc>
        <w:tc>
          <w:tcPr>
            <w:tcW w:w="532" w:type="dxa"/>
          </w:tcPr>
          <w:p w14:paraId="1FBC1279" w14:textId="1AEAE9C3" w:rsidR="00BB5D39" w:rsidRPr="00E359BF" w:rsidRDefault="00BB5D39" w:rsidP="00BB5D39">
            <w:pPr>
              <w:pStyle w:val="TableTextCentered"/>
              <w:rPr>
                <w:rFonts w:eastAsia="Times New Roman"/>
              </w:rPr>
            </w:pPr>
            <w:r w:rsidRPr="008C1E5F">
              <w:rPr>
                <w:rFonts w:eastAsia="Times New Roman"/>
              </w:rPr>
              <w:t>84</w:t>
            </w:r>
          </w:p>
        </w:tc>
        <w:tc>
          <w:tcPr>
            <w:tcW w:w="990" w:type="dxa"/>
          </w:tcPr>
          <w:p w14:paraId="0D1D65F4" w14:textId="1B8C4E2F" w:rsidR="00BB5D39" w:rsidRPr="00E359BF" w:rsidRDefault="00BB5D39" w:rsidP="00BB5D39">
            <w:pPr>
              <w:pStyle w:val="TableTextCentered"/>
              <w:rPr>
                <w:rFonts w:eastAsia="Times New Roman"/>
              </w:rPr>
            </w:pPr>
            <w:r w:rsidRPr="008C1E5F">
              <w:rPr>
                <w:rFonts w:eastAsia="Times New Roman"/>
              </w:rPr>
              <w:t>5.3</w:t>
            </w:r>
          </w:p>
        </w:tc>
      </w:tr>
      <w:tr w:rsidR="00BB5D39" w:rsidRPr="00E359BF" w14:paraId="2BE818EF" w14:textId="77777777" w:rsidTr="005B481A">
        <w:tc>
          <w:tcPr>
            <w:tcW w:w="3442" w:type="dxa"/>
            <w:shd w:val="clear" w:color="auto" w:fill="D9E2F3" w:themeFill="accent5" w:themeFillTint="33"/>
          </w:tcPr>
          <w:p w14:paraId="2A186A84" w14:textId="77777777" w:rsidR="00BB5D39" w:rsidRPr="00EB088B" w:rsidRDefault="00BB5D39" w:rsidP="00BB5D39">
            <w:pPr>
              <w:pStyle w:val="TableSubheading"/>
              <w:rPr>
                <w:rFonts w:ascii="Franklin Gothic Book" w:hAnsi="Franklin Gothic Book"/>
                <w:b/>
                <w:bCs/>
                <w:szCs w:val="20"/>
              </w:rPr>
            </w:pPr>
            <w:r w:rsidRPr="00EB088B">
              <w:rPr>
                <w:rFonts w:ascii="Franklin Gothic Book" w:hAnsi="Franklin Gothic Book"/>
                <w:b/>
                <w:bCs/>
              </w:rPr>
              <w:t>Instructional Support Domain</w:t>
            </w:r>
          </w:p>
        </w:tc>
        <w:tc>
          <w:tcPr>
            <w:tcW w:w="690" w:type="dxa"/>
            <w:shd w:val="clear" w:color="auto" w:fill="D9E2F3" w:themeFill="accent5" w:themeFillTint="33"/>
          </w:tcPr>
          <w:p w14:paraId="05BB126A" w14:textId="4AD09968" w:rsidR="00BB5D39" w:rsidRPr="00E359BF" w:rsidRDefault="00BB5D39" w:rsidP="00BB5D39">
            <w:pPr>
              <w:pStyle w:val="TableTextCenteredDemi"/>
              <w:rPr>
                <w:rFonts w:eastAsia="Times New Roman"/>
              </w:rPr>
            </w:pPr>
            <w:r w:rsidRPr="008C1E5F">
              <w:rPr>
                <w:rFonts w:eastAsia="Times New Roman"/>
              </w:rPr>
              <w:t>17</w:t>
            </w:r>
          </w:p>
        </w:tc>
        <w:tc>
          <w:tcPr>
            <w:tcW w:w="630" w:type="dxa"/>
            <w:shd w:val="clear" w:color="auto" w:fill="D9E2F3" w:themeFill="accent5" w:themeFillTint="33"/>
          </w:tcPr>
          <w:p w14:paraId="74BE126B" w14:textId="158FF854" w:rsidR="00BB5D39" w:rsidRPr="00E359BF" w:rsidRDefault="00BB5D39" w:rsidP="00BB5D39">
            <w:pPr>
              <w:pStyle w:val="TableTextCenteredDemi"/>
              <w:rPr>
                <w:rFonts w:eastAsia="Times New Roman"/>
              </w:rPr>
            </w:pPr>
            <w:r w:rsidRPr="008C1E5F">
              <w:rPr>
                <w:rFonts w:eastAsia="Times New Roman"/>
              </w:rPr>
              <w:t>75</w:t>
            </w:r>
          </w:p>
        </w:tc>
        <w:tc>
          <w:tcPr>
            <w:tcW w:w="720" w:type="dxa"/>
            <w:shd w:val="clear" w:color="auto" w:fill="D9E2F3" w:themeFill="accent5" w:themeFillTint="33"/>
          </w:tcPr>
          <w:p w14:paraId="3AD58FA1" w14:textId="7728BE9C" w:rsidR="00BB5D39" w:rsidRPr="00E359BF" w:rsidRDefault="00BB5D39" w:rsidP="00BB5D39">
            <w:pPr>
              <w:pStyle w:val="TableTextCenteredDemi"/>
              <w:rPr>
                <w:rFonts w:eastAsia="Times New Roman"/>
              </w:rPr>
            </w:pPr>
            <w:r w:rsidRPr="008C1E5F">
              <w:rPr>
                <w:rFonts w:eastAsia="Times New Roman"/>
              </w:rPr>
              <w:t>75</w:t>
            </w:r>
          </w:p>
        </w:tc>
        <w:tc>
          <w:tcPr>
            <w:tcW w:w="720" w:type="dxa"/>
            <w:shd w:val="clear" w:color="auto" w:fill="D9E2F3" w:themeFill="accent5" w:themeFillTint="33"/>
          </w:tcPr>
          <w:p w14:paraId="2DF3D799" w14:textId="43ABE854" w:rsidR="00BB5D39" w:rsidRPr="00E359BF" w:rsidRDefault="00BB5D39" w:rsidP="00BB5D39">
            <w:pPr>
              <w:pStyle w:val="TableTextCenteredDemi"/>
              <w:rPr>
                <w:rFonts w:eastAsia="Times New Roman"/>
              </w:rPr>
            </w:pPr>
            <w:r w:rsidRPr="008C1E5F">
              <w:rPr>
                <w:rFonts w:eastAsia="Times New Roman"/>
              </w:rPr>
              <w:t>60</w:t>
            </w:r>
          </w:p>
        </w:tc>
        <w:tc>
          <w:tcPr>
            <w:tcW w:w="720" w:type="dxa"/>
            <w:shd w:val="clear" w:color="auto" w:fill="D9E2F3" w:themeFill="accent5" w:themeFillTint="33"/>
          </w:tcPr>
          <w:p w14:paraId="7EA2E6B0" w14:textId="5D75D586" w:rsidR="00BB5D39" w:rsidRPr="00E359BF" w:rsidRDefault="00BB5D39" w:rsidP="00BB5D39">
            <w:pPr>
              <w:pStyle w:val="TableTextCenteredDemi"/>
              <w:rPr>
                <w:rFonts w:eastAsia="Times New Roman"/>
              </w:rPr>
            </w:pPr>
            <w:r w:rsidRPr="008C1E5F">
              <w:rPr>
                <w:rFonts w:eastAsia="Times New Roman"/>
              </w:rPr>
              <w:t>36</w:t>
            </w:r>
          </w:p>
        </w:tc>
        <w:tc>
          <w:tcPr>
            <w:tcW w:w="630" w:type="dxa"/>
            <w:shd w:val="clear" w:color="auto" w:fill="D9E2F3" w:themeFill="accent5" w:themeFillTint="33"/>
          </w:tcPr>
          <w:p w14:paraId="4A78F389" w14:textId="25DF9F97" w:rsidR="00BB5D39" w:rsidRPr="00E359BF" w:rsidRDefault="00BB5D39" w:rsidP="00BB5D39">
            <w:pPr>
              <w:pStyle w:val="TableTextCenteredDemi"/>
              <w:rPr>
                <w:rFonts w:eastAsia="Times New Roman"/>
              </w:rPr>
            </w:pPr>
            <w:r w:rsidRPr="008C1E5F">
              <w:rPr>
                <w:rFonts w:eastAsia="Times New Roman"/>
              </w:rPr>
              <w:t>18</w:t>
            </w:r>
          </w:p>
        </w:tc>
        <w:tc>
          <w:tcPr>
            <w:tcW w:w="638" w:type="dxa"/>
            <w:shd w:val="clear" w:color="auto" w:fill="D9E2F3" w:themeFill="accent5" w:themeFillTint="33"/>
          </w:tcPr>
          <w:p w14:paraId="1D23A384" w14:textId="3065AF9D" w:rsidR="00BB5D39" w:rsidRPr="00E359BF" w:rsidRDefault="00BB5D39" w:rsidP="00BB5D39">
            <w:pPr>
              <w:pStyle w:val="TableTextCenteredDemi"/>
              <w:rPr>
                <w:rFonts w:eastAsia="Times New Roman"/>
              </w:rPr>
            </w:pPr>
            <w:r w:rsidRPr="008C1E5F">
              <w:rPr>
                <w:rFonts w:eastAsia="Times New Roman"/>
              </w:rPr>
              <w:t>1</w:t>
            </w:r>
          </w:p>
        </w:tc>
        <w:tc>
          <w:tcPr>
            <w:tcW w:w="532" w:type="dxa"/>
            <w:shd w:val="clear" w:color="auto" w:fill="D9E2F3" w:themeFill="accent5" w:themeFillTint="33"/>
          </w:tcPr>
          <w:p w14:paraId="7B44C322" w14:textId="7FE57319" w:rsidR="00BB5D39" w:rsidRPr="00E359BF" w:rsidRDefault="00BB5D39" w:rsidP="00BB5D39">
            <w:pPr>
              <w:pStyle w:val="TableTextCenteredDemi"/>
              <w:rPr>
                <w:rFonts w:eastAsia="Times New Roman"/>
              </w:rPr>
            </w:pPr>
            <w:r w:rsidRPr="008C1E5F">
              <w:rPr>
                <w:rFonts w:eastAsia="Times New Roman"/>
              </w:rPr>
              <w:t>282</w:t>
            </w:r>
          </w:p>
        </w:tc>
        <w:tc>
          <w:tcPr>
            <w:tcW w:w="990" w:type="dxa"/>
            <w:shd w:val="clear" w:color="auto" w:fill="D9E2F3" w:themeFill="accent5" w:themeFillTint="33"/>
          </w:tcPr>
          <w:p w14:paraId="17FEFACC" w14:textId="07C110DC" w:rsidR="00BB5D39" w:rsidRPr="00E359BF" w:rsidRDefault="00BB5D39" w:rsidP="00BB5D39">
            <w:pPr>
              <w:pStyle w:val="TableTextCenteredDemi"/>
              <w:rPr>
                <w:rFonts w:eastAsia="Times New Roman"/>
              </w:rPr>
            </w:pPr>
            <w:r w:rsidRPr="008C1E5F">
              <w:rPr>
                <w:rFonts w:eastAsia="Times New Roman"/>
              </w:rPr>
              <w:t>3.3</w:t>
            </w:r>
          </w:p>
        </w:tc>
      </w:tr>
      <w:tr w:rsidR="00BB5D39" w:rsidRPr="00E359BF" w14:paraId="1109420F" w14:textId="77777777" w:rsidTr="005B481A">
        <w:trPr>
          <w:cnfStyle w:val="000000100000" w:firstRow="0" w:lastRow="0" w:firstColumn="0" w:lastColumn="0" w:oddVBand="0" w:evenVBand="0" w:oddHBand="1" w:evenHBand="0" w:firstRowFirstColumn="0" w:firstRowLastColumn="0" w:lastRowFirstColumn="0" w:lastRowLastColumn="0"/>
        </w:trPr>
        <w:tc>
          <w:tcPr>
            <w:tcW w:w="3442" w:type="dxa"/>
          </w:tcPr>
          <w:p w14:paraId="021164D7" w14:textId="77777777" w:rsidR="00BB5D39" w:rsidRPr="00EB088B" w:rsidRDefault="00BB5D39" w:rsidP="00BB5D39">
            <w:pPr>
              <w:pStyle w:val="TableText"/>
              <w:ind w:left="204"/>
              <w:rPr>
                <w:rFonts w:ascii="Franklin Gothic Book" w:hAnsi="Franklin Gothic Book"/>
                <w:b/>
                <w:bCs/>
              </w:rPr>
            </w:pPr>
            <w:r w:rsidRPr="00EB088B">
              <w:rPr>
                <w:rFonts w:ascii="Franklin Gothic Book" w:hAnsi="Franklin Gothic Book"/>
              </w:rPr>
              <w:t>Concept Development (K-3 only)</w:t>
            </w:r>
          </w:p>
        </w:tc>
        <w:tc>
          <w:tcPr>
            <w:tcW w:w="690" w:type="dxa"/>
          </w:tcPr>
          <w:p w14:paraId="705641AD" w14:textId="52DC59D2" w:rsidR="00BB5D39" w:rsidRPr="00E359BF" w:rsidRDefault="00BB5D39" w:rsidP="00BB5D39">
            <w:pPr>
              <w:pStyle w:val="TableTextCentered"/>
              <w:rPr>
                <w:rFonts w:eastAsia="Times New Roman"/>
              </w:rPr>
            </w:pPr>
            <w:r w:rsidRPr="008C1E5F">
              <w:rPr>
                <w:rFonts w:eastAsia="Times New Roman"/>
              </w:rPr>
              <w:t>2</w:t>
            </w:r>
          </w:p>
        </w:tc>
        <w:tc>
          <w:tcPr>
            <w:tcW w:w="630" w:type="dxa"/>
          </w:tcPr>
          <w:p w14:paraId="3822852F" w14:textId="30C3DD89" w:rsidR="00BB5D39" w:rsidRPr="00E359BF" w:rsidRDefault="00BB5D39" w:rsidP="00BB5D39">
            <w:pPr>
              <w:pStyle w:val="TableTextCentered"/>
              <w:rPr>
                <w:rFonts w:eastAsia="Times New Roman"/>
              </w:rPr>
            </w:pPr>
            <w:r w:rsidRPr="008C1E5F">
              <w:rPr>
                <w:rFonts w:eastAsia="Times New Roman"/>
              </w:rPr>
              <w:t>19</w:t>
            </w:r>
          </w:p>
        </w:tc>
        <w:tc>
          <w:tcPr>
            <w:tcW w:w="720" w:type="dxa"/>
          </w:tcPr>
          <w:p w14:paraId="1F5C25E2" w14:textId="2DD33FEE" w:rsidR="00BB5D39" w:rsidRPr="00E359BF" w:rsidRDefault="00BB5D39" w:rsidP="00BB5D39">
            <w:pPr>
              <w:pStyle w:val="TableTextCentered"/>
              <w:rPr>
                <w:rFonts w:eastAsia="Times New Roman"/>
              </w:rPr>
            </w:pPr>
            <w:r w:rsidRPr="008C1E5F">
              <w:rPr>
                <w:rFonts w:eastAsia="Times New Roman"/>
              </w:rPr>
              <w:t>22</w:t>
            </w:r>
          </w:p>
        </w:tc>
        <w:tc>
          <w:tcPr>
            <w:tcW w:w="720" w:type="dxa"/>
          </w:tcPr>
          <w:p w14:paraId="2D25FF5B" w14:textId="1C06DC51" w:rsidR="00BB5D39" w:rsidRPr="00E359BF" w:rsidRDefault="00BB5D39" w:rsidP="00BB5D39">
            <w:pPr>
              <w:pStyle w:val="TableTextCentered"/>
              <w:rPr>
                <w:rFonts w:eastAsia="Times New Roman"/>
              </w:rPr>
            </w:pPr>
            <w:r w:rsidRPr="008C1E5F">
              <w:rPr>
                <w:rFonts w:eastAsia="Times New Roman"/>
              </w:rPr>
              <w:t>7</w:t>
            </w:r>
          </w:p>
        </w:tc>
        <w:tc>
          <w:tcPr>
            <w:tcW w:w="720" w:type="dxa"/>
          </w:tcPr>
          <w:p w14:paraId="25C21F00" w14:textId="5C0C63F4" w:rsidR="00BB5D39" w:rsidRPr="00E359BF" w:rsidRDefault="00BB5D39" w:rsidP="00BB5D39">
            <w:pPr>
              <w:pStyle w:val="TableTextCentered"/>
              <w:rPr>
                <w:rFonts w:eastAsia="Times New Roman"/>
              </w:rPr>
            </w:pPr>
            <w:r w:rsidRPr="008C1E5F">
              <w:rPr>
                <w:rFonts w:eastAsia="Times New Roman"/>
              </w:rPr>
              <w:t>3</w:t>
            </w:r>
          </w:p>
        </w:tc>
        <w:tc>
          <w:tcPr>
            <w:tcW w:w="630" w:type="dxa"/>
          </w:tcPr>
          <w:p w14:paraId="232C0DC8" w14:textId="1DCFAD1F" w:rsidR="00BB5D39" w:rsidRPr="00E359BF" w:rsidRDefault="00BB5D39" w:rsidP="00BB5D39">
            <w:pPr>
              <w:pStyle w:val="TableTextCentered"/>
              <w:rPr>
                <w:rFonts w:eastAsia="Times New Roman"/>
              </w:rPr>
            </w:pPr>
            <w:r w:rsidRPr="008C1E5F">
              <w:rPr>
                <w:rFonts w:eastAsia="Times New Roman"/>
              </w:rPr>
              <w:t>1</w:t>
            </w:r>
          </w:p>
        </w:tc>
        <w:tc>
          <w:tcPr>
            <w:tcW w:w="638" w:type="dxa"/>
          </w:tcPr>
          <w:p w14:paraId="6C196FC5" w14:textId="50D816A2" w:rsidR="00BB5D39" w:rsidRPr="00E359BF" w:rsidRDefault="00BB5D39" w:rsidP="00BB5D39">
            <w:pPr>
              <w:pStyle w:val="TableTextCentered"/>
              <w:rPr>
                <w:rFonts w:eastAsia="Times New Roman"/>
              </w:rPr>
            </w:pPr>
            <w:r w:rsidRPr="008C1E5F">
              <w:rPr>
                <w:rFonts w:eastAsia="Times New Roman"/>
              </w:rPr>
              <w:t>0</w:t>
            </w:r>
          </w:p>
        </w:tc>
        <w:tc>
          <w:tcPr>
            <w:tcW w:w="532" w:type="dxa"/>
          </w:tcPr>
          <w:p w14:paraId="26E1C8A9" w14:textId="688D03FA" w:rsidR="00BB5D39" w:rsidRPr="00E359BF" w:rsidRDefault="00BB5D39" w:rsidP="00BB5D39">
            <w:pPr>
              <w:pStyle w:val="TableTextCentered"/>
              <w:rPr>
                <w:rFonts w:eastAsia="Times New Roman"/>
              </w:rPr>
            </w:pPr>
            <w:r w:rsidRPr="008C1E5F">
              <w:rPr>
                <w:rFonts w:eastAsia="Times New Roman"/>
              </w:rPr>
              <w:t>54</w:t>
            </w:r>
          </w:p>
        </w:tc>
        <w:tc>
          <w:tcPr>
            <w:tcW w:w="990" w:type="dxa"/>
          </w:tcPr>
          <w:p w14:paraId="3EDBCB0B" w14:textId="658315D0" w:rsidR="00BB5D39" w:rsidRPr="00E359BF" w:rsidRDefault="00BB5D39" w:rsidP="00BB5D39">
            <w:pPr>
              <w:pStyle w:val="TableTextCentered"/>
              <w:rPr>
                <w:rFonts w:eastAsia="Times New Roman"/>
              </w:rPr>
            </w:pPr>
            <w:r w:rsidRPr="008C1E5F">
              <w:rPr>
                <w:rFonts w:eastAsia="Times New Roman"/>
              </w:rPr>
              <w:t>2.9</w:t>
            </w:r>
          </w:p>
        </w:tc>
      </w:tr>
      <w:tr w:rsidR="00BB5D39" w:rsidRPr="00E359BF" w14:paraId="1F90D2ED" w14:textId="77777777" w:rsidTr="005B481A">
        <w:trPr>
          <w:trHeight w:val="70"/>
        </w:trPr>
        <w:tc>
          <w:tcPr>
            <w:tcW w:w="3442" w:type="dxa"/>
            <w:vAlign w:val="center"/>
          </w:tcPr>
          <w:p w14:paraId="2B3803DB" w14:textId="77777777" w:rsidR="00BB5D39" w:rsidRPr="00EB088B" w:rsidRDefault="00BB5D39" w:rsidP="00BB5D39">
            <w:pPr>
              <w:pStyle w:val="TableText"/>
              <w:ind w:left="204"/>
              <w:rPr>
                <w:rFonts w:ascii="Franklin Gothic Book" w:hAnsi="Franklin Gothic Book"/>
              </w:rPr>
            </w:pPr>
            <w:r w:rsidRPr="00EB088B">
              <w:rPr>
                <w:rFonts w:ascii="Franklin Gothic Book" w:hAnsi="Franklin Gothic Book"/>
              </w:rPr>
              <w:t>Content Understanding (UE only)</w:t>
            </w:r>
          </w:p>
        </w:tc>
        <w:tc>
          <w:tcPr>
            <w:tcW w:w="690" w:type="dxa"/>
          </w:tcPr>
          <w:p w14:paraId="1EF8AA33" w14:textId="294FE310" w:rsidR="00BB5D39" w:rsidRPr="00E359BF" w:rsidRDefault="00BB5D39" w:rsidP="00BB5D39">
            <w:pPr>
              <w:pStyle w:val="TableTextCentered"/>
              <w:rPr>
                <w:rFonts w:eastAsia="Times New Roman"/>
              </w:rPr>
            </w:pPr>
            <w:r w:rsidRPr="008C1E5F">
              <w:rPr>
                <w:rFonts w:eastAsia="Times New Roman"/>
              </w:rPr>
              <w:t>2</w:t>
            </w:r>
          </w:p>
        </w:tc>
        <w:tc>
          <w:tcPr>
            <w:tcW w:w="630" w:type="dxa"/>
          </w:tcPr>
          <w:p w14:paraId="44A61E80" w14:textId="7A59F656" w:rsidR="00BB5D39" w:rsidRPr="00E359BF" w:rsidRDefault="00BB5D39" w:rsidP="00BB5D39">
            <w:pPr>
              <w:pStyle w:val="TableTextCentered"/>
              <w:rPr>
                <w:rFonts w:eastAsia="Times New Roman"/>
              </w:rPr>
            </w:pPr>
            <w:r w:rsidRPr="008C1E5F">
              <w:rPr>
                <w:rFonts w:eastAsia="Times New Roman"/>
              </w:rPr>
              <w:t>5</w:t>
            </w:r>
          </w:p>
        </w:tc>
        <w:tc>
          <w:tcPr>
            <w:tcW w:w="720" w:type="dxa"/>
          </w:tcPr>
          <w:p w14:paraId="33ECE247" w14:textId="506C04AD" w:rsidR="00BB5D39" w:rsidRPr="00E359BF" w:rsidRDefault="00BB5D39" w:rsidP="00BB5D39">
            <w:pPr>
              <w:pStyle w:val="TableTextCentered"/>
              <w:rPr>
                <w:rFonts w:eastAsia="Times New Roman"/>
              </w:rPr>
            </w:pPr>
            <w:r w:rsidRPr="008C1E5F">
              <w:rPr>
                <w:rFonts w:eastAsia="Times New Roman"/>
              </w:rPr>
              <w:t>3</w:t>
            </w:r>
          </w:p>
        </w:tc>
        <w:tc>
          <w:tcPr>
            <w:tcW w:w="720" w:type="dxa"/>
          </w:tcPr>
          <w:p w14:paraId="21B1861A" w14:textId="1CD6BBE9" w:rsidR="00BB5D39" w:rsidRPr="00E359BF" w:rsidRDefault="00BB5D39" w:rsidP="00BB5D39">
            <w:pPr>
              <w:pStyle w:val="TableTextCentered"/>
              <w:rPr>
                <w:rFonts w:eastAsia="Times New Roman"/>
              </w:rPr>
            </w:pPr>
            <w:r w:rsidRPr="008C1E5F">
              <w:rPr>
                <w:rFonts w:eastAsia="Times New Roman"/>
              </w:rPr>
              <w:t>8</w:t>
            </w:r>
          </w:p>
        </w:tc>
        <w:tc>
          <w:tcPr>
            <w:tcW w:w="720" w:type="dxa"/>
          </w:tcPr>
          <w:p w14:paraId="327251C9" w14:textId="3E880F4A" w:rsidR="00BB5D39" w:rsidRPr="00E359BF" w:rsidRDefault="00BB5D39" w:rsidP="00BB5D39">
            <w:pPr>
              <w:pStyle w:val="TableTextCentered"/>
              <w:rPr>
                <w:rFonts w:eastAsia="Times New Roman"/>
              </w:rPr>
            </w:pPr>
            <w:r w:rsidRPr="008C1E5F">
              <w:rPr>
                <w:rFonts w:eastAsia="Times New Roman"/>
              </w:rPr>
              <w:t>7</w:t>
            </w:r>
          </w:p>
        </w:tc>
        <w:tc>
          <w:tcPr>
            <w:tcW w:w="630" w:type="dxa"/>
          </w:tcPr>
          <w:p w14:paraId="66B86AA7" w14:textId="3A3CA617" w:rsidR="00BB5D39" w:rsidRPr="00E359BF" w:rsidRDefault="00BB5D39" w:rsidP="00BB5D39">
            <w:pPr>
              <w:pStyle w:val="TableTextCentered"/>
              <w:rPr>
                <w:rFonts w:eastAsia="Times New Roman"/>
              </w:rPr>
            </w:pPr>
            <w:r w:rsidRPr="008C1E5F">
              <w:rPr>
                <w:rFonts w:eastAsia="Times New Roman"/>
              </w:rPr>
              <w:t>5</w:t>
            </w:r>
          </w:p>
        </w:tc>
        <w:tc>
          <w:tcPr>
            <w:tcW w:w="638" w:type="dxa"/>
          </w:tcPr>
          <w:p w14:paraId="4BE07251" w14:textId="35D5FD71" w:rsidR="00BB5D39" w:rsidRPr="00E359BF" w:rsidRDefault="00BB5D39" w:rsidP="00BB5D39">
            <w:pPr>
              <w:pStyle w:val="TableTextCentered"/>
              <w:rPr>
                <w:rFonts w:eastAsia="Times New Roman"/>
              </w:rPr>
            </w:pPr>
            <w:r w:rsidRPr="008C1E5F">
              <w:rPr>
                <w:rFonts w:eastAsia="Times New Roman"/>
              </w:rPr>
              <w:t>0</w:t>
            </w:r>
          </w:p>
        </w:tc>
        <w:tc>
          <w:tcPr>
            <w:tcW w:w="532" w:type="dxa"/>
          </w:tcPr>
          <w:p w14:paraId="7C8E6B9B" w14:textId="60ABF578" w:rsidR="00BB5D39" w:rsidRPr="00E359BF" w:rsidRDefault="00BB5D39" w:rsidP="00BB5D39">
            <w:pPr>
              <w:pStyle w:val="TableTextCentered"/>
              <w:rPr>
                <w:rFonts w:eastAsia="Times New Roman"/>
              </w:rPr>
            </w:pPr>
            <w:r w:rsidRPr="008C1E5F">
              <w:rPr>
                <w:rFonts w:eastAsia="Times New Roman"/>
              </w:rPr>
              <w:t>30</w:t>
            </w:r>
          </w:p>
        </w:tc>
        <w:tc>
          <w:tcPr>
            <w:tcW w:w="990" w:type="dxa"/>
          </w:tcPr>
          <w:p w14:paraId="7EC325DF" w14:textId="31CA0FDB" w:rsidR="00BB5D39" w:rsidRPr="00E359BF" w:rsidRDefault="00BB5D39" w:rsidP="00BB5D39">
            <w:pPr>
              <w:pStyle w:val="TableTextCentered"/>
              <w:rPr>
                <w:rFonts w:eastAsia="Times New Roman"/>
              </w:rPr>
            </w:pPr>
            <w:r w:rsidRPr="008C1E5F">
              <w:rPr>
                <w:rFonts w:eastAsia="Times New Roman"/>
              </w:rPr>
              <w:t>3.9</w:t>
            </w:r>
          </w:p>
        </w:tc>
      </w:tr>
      <w:tr w:rsidR="00BB5D39" w:rsidRPr="00E359BF" w14:paraId="761E41F6" w14:textId="77777777" w:rsidTr="005B481A">
        <w:trPr>
          <w:cnfStyle w:val="000000100000" w:firstRow="0" w:lastRow="0" w:firstColumn="0" w:lastColumn="0" w:oddVBand="0" w:evenVBand="0" w:oddHBand="1" w:evenHBand="0" w:firstRowFirstColumn="0" w:firstRowLastColumn="0" w:lastRowFirstColumn="0" w:lastRowLastColumn="0"/>
          <w:trHeight w:val="70"/>
        </w:trPr>
        <w:tc>
          <w:tcPr>
            <w:tcW w:w="3442" w:type="dxa"/>
            <w:vAlign w:val="center"/>
          </w:tcPr>
          <w:p w14:paraId="11F88BC4" w14:textId="77777777" w:rsidR="00BB5D39" w:rsidRPr="00EB088B" w:rsidRDefault="00BB5D39" w:rsidP="00BB5D39">
            <w:pPr>
              <w:pStyle w:val="TableText"/>
              <w:ind w:left="204"/>
              <w:rPr>
                <w:rFonts w:ascii="Franklin Gothic Book" w:hAnsi="Franklin Gothic Book"/>
              </w:rPr>
            </w:pPr>
            <w:r w:rsidRPr="00EB088B">
              <w:rPr>
                <w:rFonts w:ascii="Franklin Gothic Book" w:hAnsi="Franklin Gothic Book"/>
              </w:rPr>
              <w:t>Analysis and Inquiry (UE only)</w:t>
            </w:r>
          </w:p>
        </w:tc>
        <w:tc>
          <w:tcPr>
            <w:tcW w:w="690" w:type="dxa"/>
          </w:tcPr>
          <w:p w14:paraId="0716A47D" w14:textId="35ABD94D" w:rsidR="00BB5D39" w:rsidRPr="00E359BF" w:rsidRDefault="00BB5D39" w:rsidP="00BB5D39">
            <w:pPr>
              <w:pStyle w:val="TableTextCentered"/>
              <w:rPr>
                <w:rFonts w:eastAsia="Times New Roman"/>
              </w:rPr>
            </w:pPr>
            <w:r w:rsidRPr="008C1E5F">
              <w:rPr>
                <w:rFonts w:eastAsia="Times New Roman"/>
              </w:rPr>
              <w:t>5</w:t>
            </w:r>
          </w:p>
        </w:tc>
        <w:tc>
          <w:tcPr>
            <w:tcW w:w="630" w:type="dxa"/>
          </w:tcPr>
          <w:p w14:paraId="0AB1116D" w14:textId="7866FD10" w:rsidR="00BB5D39" w:rsidRPr="00E359BF" w:rsidRDefault="00BB5D39" w:rsidP="00BB5D39">
            <w:pPr>
              <w:pStyle w:val="TableTextCentered"/>
              <w:rPr>
                <w:rFonts w:eastAsia="Times New Roman"/>
              </w:rPr>
            </w:pPr>
            <w:r w:rsidRPr="008C1E5F">
              <w:rPr>
                <w:rFonts w:eastAsia="Times New Roman"/>
              </w:rPr>
              <w:t>10</w:t>
            </w:r>
          </w:p>
        </w:tc>
        <w:tc>
          <w:tcPr>
            <w:tcW w:w="720" w:type="dxa"/>
          </w:tcPr>
          <w:p w14:paraId="45F6370C" w14:textId="0DDC594A" w:rsidR="00BB5D39" w:rsidRPr="00E359BF" w:rsidRDefault="00BB5D39" w:rsidP="00BB5D39">
            <w:pPr>
              <w:pStyle w:val="TableTextCentered"/>
              <w:rPr>
                <w:rFonts w:eastAsia="Times New Roman"/>
              </w:rPr>
            </w:pPr>
            <w:r w:rsidRPr="008C1E5F">
              <w:rPr>
                <w:rFonts w:eastAsia="Times New Roman"/>
              </w:rPr>
              <w:t>4</w:t>
            </w:r>
          </w:p>
        </w:tc>
        <w:tc>
          <w:tcPr>
            <w:tcW w:w="720" w:type="dxa"/>
          </w:tcPr>
          <w:p w14:paraId="11AAA6E5" w14:textId="71F33845" w:rsidR="00BB5D39" w:rsidRPr="00E359BF" w:rsidRDefault="00BB5D39" w:rsidP="00BB5D39">
            <w:pPr>
              <w:pStyle w:val="TableTextCentered"/>
              <w:rPr>
                <w:rFonts w:eastAsia="Times New Roman"/>
              </w:rPr>
            </w:pPr>
            <w:r w:rsidRPr="008C1E5F">
              <w:rPr>
                <w:rFonts w:eastAsia="Times New Roman"/>
              </w:rPr>
              <w:t>9</w:t>
            </w:r>
          </w:p>
        </w:tc>
        <w:tc>
          <w:tcPr>
            <w:tcW w:w="720" w:type="dxa"/>
          </w:tcPr>
          <w:p w14:paraId="5AD1695E" w14:textId="3AADD1AC" w:rsidR="00BB5D39" w:rsidRPr="00E359BF" w:rsidRDefault="00BB5D39" w:rsidP="00BB5D39">
            <w:pPr>
              <w:pStyle w:val="TableTextCentered"/>
              <w:rPr>
                <w:rFonts w:eastAsia="Times New Roman"/>
              </w:rPr>
            </w:pPr>
            <w:r w:rsidRPr="008C1E5F">
              <w:rPr>
                <w:rFonts w:eastAsia="Times New Roman"/>
              </w:rPr>
              <w:t>2</w:t>
            </w:r>
          </w:p>
        </w:tc>
        <w:tc>
          <w:tcPr>
            <w:tcW w:w="630" w:type="dxa"/>
          </w:tcPr>
          <w:p w14:paraId="2EC4349C" w14:textId="07E123C0" w:rsidR="00BB5D39" w:rsidRPr="00E359BF" w:rsidRDefault="00BB5D39" w:rsidP="00BB5D39">
            <w:pPr>
              <w:pStyle w:val="TableTextCentered"/>
              <w:rPr>
                <w:rFonts w:eastAsia="Times New Roman"/>
              </w:rPr>
            </w:pPr>
            <w:r w:rsidRPr="008C1E5F">
              <w:rPr>
                <w:rFonts w:eastAsia="Times New Roman"/>
              </w:rPr>
              <w:t>0</w:t>
            </w:r>
          </w:p>
        </w:tc>
        <w:tc>
          <w:tcPr>
            <w:tcW w:w="638" w:type="dxa"/>
          </w:tcPr>
          <w:p w14:paraId="38230902" w14:textId="2705383B" w:rsidR="00BB5D39" w:rsidRPr="00E359BF" w:rsidRDefault="00BB5D39" w:rsidP="00BB5D39">
            <w:pPr>
              <w:pStyle w:val="TableTextCentered"/>
              <w:rPr>
                <w:rFonts w:eastAsia="Times New Roman"/>
              </w:rPr>
            </w:pPr>
            <w:r w:rsidRPr="008C1E5F">
              <w:rPr>
                <w:rFonts w:eastAsia="Times New Roman"/>
              </w:rPr>
              <w:t>0</w:t>
            </w:r>
          </w:p>
        </w:tc>
        <w:tc>
          <w:tcPr>
            <w:tcW w:w="532" w:type="dxa"/>
          </w:tcPr>
          <w:p w14:paraId="331D5E61" w14:textId="6F7EB64C" w:rsidR="00BB5D39" w:rsidRPr="00E359BF" w:rsidRDefault="00BB5D39" w:rsidP="00BB5D39">
            <w:pPr>
              <w:pStyle w:val="TableTextCentered"/>
              <w:rPr>
                <w:rFonts w:eastAsia="Times New Roman"/>
              </w:rPr>
            </w:pPr>
            <w:r w:rsidRPr="008C1E5F">
              <w:rPr>
                <w:rFonts w:eastAsia="Times New Roman"/>
              </w:rPr>
              <w:t>30</w:t>
            </w:r>
          </w:p>
        </w:tc>
        <w:tc>
          <w:tcPr>
            <w:tcW w:w="990" w:type="dxa"/>
          </w:tcPr>
          <w:p w14:paraId="08BA821D" w14:textId="7183C685" w:rsidR="00BB5D39" w:rsidRPr="00E359BF" w:rsidRDefault="00BB5D39" w:rsidP="00BB5D39">
            <w:pPr>
              <w:pStyle w:val="TableTextCentered"/>
              <w:rPr>
                <w:rFonts w:eastAsia="Times New Roman"/>
              </w:rPr>
            </w:pPr>
            <w:r w:rsidRPr="008C1E5F">
              <w:rPr>
                <w:rFonts w:eastAsia="Times New Roman"/>
              </w:rPr>
              <w:t>2.8</w:t>
            </w:r>
          </w:p>
        </w:tc>
      </w:tr>
      <w:tr w:rsidR="00BB5D39" w:rsidRPr="00E359BF" w14:paraId="5C83F3E7" w14:textId="77777777" w:rsidTr="005B481A">
        <w:trPr>
          <w:trHeight w:val="70"/>
        </w:trPr>
        <w:tc>
          <w:tcPr>
            <w:tcW w:w="3442" w:type="dxa"/>
          </w:tcPr>
          <w:p w14:paraId="01D579C0" w14:textId="77777777" w:rsidR="00BB5D39" w:rsidRPr="00EB088B" w:rsidRDefault="00BB5D39" w:rsidP="00BB5D39">
            <w:pPr>
              <w:pStyle w:val="TableText"/>
              <w:ind w:left="204"/>
              <w:rPr>
                <w:rFonts w:ascii="Franklin Gothic Book" w:hAnsi="Franklin Gothic Book"/>
                <w:b/>
                <w:bCs/>
              </w:rPr>
            </w:pPr>
            <w:r w:rsidRPr="00EB088B">
              <w:rPr>
                <w:rFonts w:ascii="Franklin Gothic Book" w:hAnsi="Franklin Gothic Book"/>
              </w:rPr>
              <w:t>Quality of Feedback</w:t>
            </w:r>
          </w:p>
        </w:tc>
        <w:tc>
          <w:tcPr>
            <w:tcW w:w="690" w:type="dxa"/>
          </w:tcPr>
          <w:p w14:paraId="75AC6621" w14:textId="786F6158" w:rsidR="00BB5D39" w:rsidRPr="00E359BF" w:rsidRDefault="00BB5D39" w:rsidP="00BB5D39">
            <w:pPr>
              <w:pStyle w:val="TableTextCentered"/>
              <w:rPr>
                <w:rFonts w:eastAsia="Times New Roman"/>
              </w:rPr>
            </w:pPr>
            <w:r w:rsidRPr="008C1E5F">
              <w:rPr>
                <w:rFonts w:eastAsia="Times New Roman"/>
              </w:rPr>
              <w:t>3</w:t>
            </w:r>
          </w:p>
        </w:tc>
        <w:tc>
          <w:tcPr>
            <w:tcW w:w="630" w:type="dxa"/>
          </w:tcPr>
          <w:p w14:paraId="71D706B5" w14:textId="7C7CC8B2" w:rsidR="00BB5D39" w:rsidRPr="00E359BF" w:rsidRDefault="00BB5D39" w:rsidP="00BB5D39">
            <w:pPr>
              <w:pStyle w:val="TableTextCentered"/>
              <w:rPr>
                <w:rFonts w:eastAsia="Times New Roman"/>
              </w:rPr>
            </w:pPr>
            <w:r w:rsidRPr="008C1E5F">
              <w:rPr>
                <w:rFonts w:eastAsia="Times New Roman"/>
              </w:rPr>
              <w:t>21</w:t>
            </w:r>
          </w:p>
        </w:tc>
        <w:tc>
          <w:tcPr>
            <w:tcW w:w="720" w:type="dxa"/>
          </w:tcPr>
          <w:p w14:paraId="6129554C" w14:textId="70C0C5FA" w:rsidR="00BB5D39" w:rsidRPr="00E359BF" w:rsidRDefault="00BB5D39" w:rsidP="00BB5D39">
            <w:pPr>
              <w:pStyle w:val="TableTextCentered"/>
              <w:rPr>
                <w:rFonts w:eastAsia="Times New Roman"/>
              </w:rPr>
            </w:pPr>
            <w:r w:rsidRPr="008C1E5F">
              <w:rPr>
                <w:rFonts w:eastAsia="Times New Roman"/>
              </w:rPr>
              <w:t>26</w:t>
            </w:r>
          </w:p>
        </w:tc>
        <w:tc>
          <w:tcPr>
            <w:tcW w:w="720" w:type="dxa"/>
          </w:tcPr>
          <w:p w14:paraId="09BA3515" w14:textId="4D5745D2" w:rsidR="00BB5D39" w:rsidRPr="00E359BF" w:rsidRDefault="00BB5D39" w:rsidP="00BB5D39">
            <w:pPr>
              <w:pStyle w:val="TableTextCentered"/>
              <w:rPr>
                <w:rFonts w:eastAsia="Times New Roman"/>
              </w:rPr>
            </w:pPr>
            <w:r w:rsidRPr="008C1E5F">
              <w:rPr>
                <w:rFonts w:eastAsia="Times New Roman"/>
              </w:rPr>
              <w:t>14</w:t>
            </w:r>
          </w:p>
        </w:tc>
        <w:tc>
          <w:tcPr>
            <w:tcW w:w="720" w:type="dxa"/>
          </w:tcPr>
          <w:p w14:paraId="47930C65" w14:textId="31DECE60" w:rsidR="00BB5D39" w:rsidRPr="00E359BF" w:rsidRDefault="00BB5D39" w:rsidP="00BB5D39">
            <w:pPr>
              <w:pStyle w:val="TableTextCentered"/>
              <w:rPr>
                <w:rFonts w:eastAsia="Times New Roman"/>
              </w:rPr>
            </w:pPr>
            <w:r w:rsidRPr="008C1E5F">
              <w:rPr>
                <w:rFonts w:eastAsia="Times New Roman"/>
              </w:rPr>
              <w:t>14</w:t>
            </w:r>
          </w:p>
        </w:tc>
        <w:tc>
          <w:tcPr>
            <w:tcW w:w="630" w:type="dxa"/>
          </w:tcPr>
          <w:p w14:paraId="6F4F4725" w14:textId="55BBB682" w:rsidR="00BB5D39" w:rsidRPr="00E359BF" w:rsidRDefault="00BB5D39" w:rsidP="00BB5D39">
            <w:pPr>
              <w:pStyle w:val="TableTextCentered"/>
              <w:rPr>
                <w:rFonts w:eastAsia="Times New Roman"/>
              </w:rPr>
            </w:pPr>
            <w:r w:rsidRPr="008C1E5F">
              <w:rPr>
                <w:rFonts w:eastAsia="Times New Roman"/>
              </w:rPr>
              <w:t>5</w:t>
            </w:r>
          </w:p>
        </w:tc>
        <w:tc>
          <w:tcPr>
            <w:tcW w:w="638" w:type="dxa"/>
          </w:tcPr>
          <w:p w14:paraId="4F694915" w14:textId="71AACAAA" w:rsidR="00BB5D39" w:rsidRPr="00E359BF" w:rsidRDefault="00BB5D39" w:rsidP="00BB5D39">
            <w:pPr>
              <w:pStyle w:val="TableTextCentered"/>
              <w:rPr>
                <w:rFonts w:eastAsia="Times New Roman"/>
              </w:rPr>
            </w:pPr>
            <w:r w:rsidRPr="008C1E5F">
              <w:rPr>
                <w:rFonts w:eastAsia="Times New Roman"/>
              </w:rPr>
              <w:t>1</w:t>
            </w:r>
          </w:p>
        </w:tc>
        <w:tc>
          <w:tcPr>
            <w:tcW w:w="532" w:type="dxa"/>
          </w:tcPr>
          <w:p w14:paraId="1525812D" w14:textId="3956A9CF" w:rsidR="00BB5D39" w:rsidRPr="00E359BF" w:rsidRDefault="00BB5D39" w:rsidP="00BB5D39">
            <w:pPr>
              <w:pStyle w:val="TableTextCentered"/>
              <w:rPr>
                <w:rFonts w:eastAsia="Times New Roman"/>
              </w:rPr>
            </w:pPr>
            <w:r w:rsidRPr="008C1E5F">
              <w:rPr>
                <w:rFonts w:eastAsia="Times New Roman"/>
              </w:rPr>
              <w:t>84</w:t>
            </w:r>
          </w:p>
        </w:tc>
        <w:tc>
          <w:tcPr>
            <w:tcW w:w="990" w:type="dxa"/>
          </w:tcPr>
          <w:p w14:paraId="5AD946F4" w14:textId="128C34F5" w:rsidR="00BB5D39" w:rsidRPr="00E359BF" w:rsidRDefault="00BB5D39" w:rsidP="00BB5D39">
            <w:pPr>
              <w:pStyle w:val="TableTextCentered"/>
              <w:rPr>
                <w:rFonts w:eastAsia="Times New Roman"/>
              </w:rPr>
            </w:pPr>
            <w:r w:rsidRPr="008C1E5F">
              <w:rPr>
                <w:rFonts w:eastAsia="Times New Roman"/>
              </w:rPr>
              <w:t>3.4</w:t>
            </w:r>
          </w:p>
        </w:tc>
      </w:tr>
      <w:tr w:rsidR="00BB5D39" w:rsidRPr="00E359BF" w14:paraId="29409688" w14:textId="77777777" w:rsidTr="005B481A">
        <w:trPr>
          <w:cnfStyle w:val="000000100000" w:firstRow="0" w:lastRow="0" w:firstColumn="0" w:lastColumn="0" w:oddVBand="0" w:evenVBand="0" w:oddHBand="1" w:evenHBand="0" w:firstRowFirstColumn="0" w:firstRowLastColumn="0" w:lastRowFirstColumn="0" w:lastRowLastColumn="0"/>
        </w:trPr>
        <w:tc>
          <w:tcPr>
            <w:tcW w:w="3442" w:type="dxa"/>
          </w:tcPr>
          <w:p w14:paraId="4D30C906" w14:textId="77777777" w:rsidR="00BB5D39" w:rsidRPr="00EB088B" w:rsidRDefault="00BB5D39" w:rsidP="00BB5D39">
            <w:pPr>
              <w:pStyle w:val="TableText"/>
              <w:ind w:left="204"/>
              <w:rPr>
                <w:rFonts w:ascii="Franklin Gothic Book" w:hAnsi="Franklin Gothic Book"/>
                <w:b/>
                <w:bCs/>
              </w:rPr>
            </w:pPr>
            <w:r w:rsidRPr="00EB088B">
              <w:rPr>
                <w:rFonts w:ascii="Franklin Gothic Book" w:hAnsi="Franklin Gothic Book"/>
              </w:rPr>
              <w:t>Language Modeling (K-3 only)</w:t>
            </w:r>
          </w:p>
        </w:tc>
        <w:tc>
          <w:tcPr>
            <w:tcW w:w="690" w:type="dxa"/>
          </w:tcPr>
          <w:p w14:paraId="639CB86E" w14:textId="30337743" w:rsidR="00BB5D39" w:rsidRPr="00E359BF" w:rsidRDefault="00BB5D39" w:rsidP="00BB5D39">
            <w:pPr>
              <w:pStyle w:val="TableTextCentered"/>
              <w:rPr>
                <w:rFonts w:eastAsia="Times New Roman"/>
              </w:rPr>
            </w:pPr>
            <w:r w:rsidRPr="008C1E5F">
              <w:rPr>
                <w:rFonts w:eastAsia="Times New Roman"/>
              </w:rPr>
              <w:t>4</w:t>
            </w:r>
          </w:p>
        </w:tc>
        <w:tc>
          <w:tcPr>
            <w:tcW w:w="630" w:type="dxa"/>
          </w:tcPr>
          <w:p w14:paraId="0E5C3838" w14:textId="7701AA95" w:rsidR="00BB5D39" w:rsidRPr="00E359BF" w:rsidRDefault="00BB5D39" w:rsidP="00BB5D39">
            <w:pPr>
              <w:pStyle w:val="TableTextCentered"/>
              <w:rPr>
                <w:rFonts w:eastAsia="Times New Roman"/>
              </w:rPr>
            </w:pPr>
            <w:r w:rsidRPr="008C1E5F">
              <w:rPr>
                <w:rFonts w:eastAsia="Times New Roman"/>
              </w:rPr>
              <w:t>12</w:t>
            </w:r>
          </w:p>
        </w:tc>
        <w:tc>
          <w:tcPr>
            <w:tcW w:w="720" w:type="dxa"/>
          </w:tcPr>
          <w:p w14:paraId="02E5712C" w14:textId="320D1C88" w:rsidR="00BB5D39" w:rsidRPr="00E359BF" w:rsidRDefault="00BB5D39" w:rsidP="00BB5D39">
            <w:pPr>
              <w:pStyle w:val="TableTextCentered"/>
              <w:rPr>
                <w:rFonts w:eastAsia="Times New Roman"/>
              </w:rPr>
            </w:pPr>
            <w:r w:rsidRPr="008C1E5F">
              <w:rPr>
                <w:rFonts w:eastAsia="Times New Roman"/>
              </w:rPr>
              <w:t>16</w:t>
            </w:r>
          </w:p>
        </w:tc>
        <w:tc>
          <w:tcPr>
            <w:tcW w:w="720" w:type="dxa"/>
          </w:tcPr>
          <w:p w14:paraId="37335AA2" w14:textId="41F8D809" w:rsidR="00BB5D39" w:rsidRPr="00E359BF" w:rsidRDefault="00BB5D39" w:rsidP="00BB5D39">
            <w:pPr>
              <w:pStyle w:val="TableTextCentered"/>
              <w:rPr>
                <w:rFonts w:eastAsia="Times New Roman"/>
              </w:rPr>
            </w:pPr>
            <w:r w:rsidRPr="008C1E5F">
              <w:rPr>
                <w:rFonts w:eastAsia="Times New Roman"/>
              </w:rPr>
              <w:t>15</w:t>
            </w:r>
          </w:p>
        </w:tc>
        <w:tc>
          <w:tcPr>
            <w:tcW w:w="720" w:type="dxa"/>
          </w:tcPr>
          <w:p w14:paraId="4828D4CA" w14:textId="34DC1768" w:rsidR="00BB5D39" w:rsidRPr="00E359BF" w:rsidRDefault="00BB5D39" w:rsidP="00BB5D39">
            <w:pPr>
              <w:pStyle w:val="TableTextCentered"/>
              <w:rPr>
                <w:rFonts w:eastAsia="Times New Roman"/>
              </w:rPr>
            </w:pPr>
            <w:r w:rsidRPr="008C1E5F">
              <w:rPr>
                <w:rFonts w:eastAsia="Times New Roman"/>
              </w:rPr>
              <w:t>5</w:t>
            </w:r>
          </w:p>
        </w:tc>
        <w:tc>
          <w:tcPr>
            <w:tcW w:w="630" w:type="dxa"/>
          </w:tcPr>
          <w:p w14:paraId="6178355A" w14:textId="5420B9E9" w:rsidR="00BB5D39" w:rsidRPr="00E359BF" w:rsidRDefault="00BB5D39" w:rsidP="00BB5D39">
            <w:pPr>
              <w:pStyle w:val="TableTextCentered"/>
              <w:rPr>
                <w:rFonts w:eastAsia="Times New Roman"/>
              </w:rPr>
            </w:pPr>
            <w:r w:rsidRPr="008C1E5F">
              <w:rPr>
                <w:rFonts w:eastAsia="Times New Roman"/>
              </w:rPr>
              <w:t>2</w:t>
            </w:r>
          </w:p>
        </w:tc>
        <w:tc>
          <w:tcPr>
            <w:tcW w:w="638" w:type="dxa"/>
          </w:tcPr>
          <w:p w14:paraId="5BA3B415" w14:textId="4FCC5C3C" w:rsidR="00BB5D39" w:rsidRPr="00E359BF" w:rsidRDefault="00BB5D39" w:rsidP="00BB5D39">
            <w:pPr>
              <w:pStyle w:val="TableTextCentered"/>
              <w:rPr>
                <w:rFonts w:eastAsia="Times New Roman"/>
              </w:rPr>
            </w:pPr>
            <w:r w:rsidRPr="008C1E5F">
              <w:rPr>
                <w:rFonts w:eastAsia="Times New Roman"/>
              </w:rPr>
              <w:t>0</w:t>
            </w:r>
          </w:p>
        </w:tc>
        <w:tc>
          <w:tcPr>
            <w:tcW w:w="532" w:type="dxa"/>
          </w:tcPr>
          <w:p w14:paraId="3240632B" w14:textId="5DC5BA36" w:rsidR="00BB5D39" w:rsidRPr="00E359BF" w:rsidRDefault="00BB5D39" w:rsidP="00BB5D39">
            <w:pPr>
              <w:pStyle w:val="TableTextCentered"/>
              <w:rPr>
                <w:rFonts w:eastAsia="Times New Roman"/>
              </w:rPr>
            </w:pPr>
            <w:r w:rsidRPr="008C1E5F">
              <w:rPr>
                <w:rFonts w:eastAsia="Times New Roman"/>
              </w:rPr>
              <w:t>54</w:t>
            </w:r>
          </w:p>
        </w:tc>
        <w:tc>
          <w:tcPr>
            <w:tcW w:w="990" w:type="dxa"/>
          </w:tcPr>
          <w:p w14:paraId="6B2944C8" w14:textId="6E10F12C" w:rsidR="00BB5D39" w:rsidRPr="00E359BF" w:rsidRDefault="00BB5D39" w:rsidP="00BB5D39">
            <w:pPr>
              <w:pStyle w:val="TableTextCentered"/>
              <w:rPr>
                <w:rFonts w:eastAsia="Times New Roman"/>
              </w:rPr>
            </w:pPr>
            <w:r w:rsidRPr="008C1E5F">
              <w:rPr>
                <w:rFonts w:eastAsia="Times New Roman"/>
              </w:rPr>
              <w:t>3.2</w:t>
            </w:r>
          </w:p>
        </w:tc>
      </w:tr>
      <w:tr w:rsidR="00BB5D39" w:rsidRPr="00E359BF" w14:paraId="7AA76763" w14:textId="77777777" w:rsidTr="005B481A">
        <w:tc>
          <w:tcPr>
            <w:tcW w:w="3442" w:type="dxa"/>
            <w:vAlign w:val="center"/>
          </w:tcPr>
          <w:p w14:paraId="2DDBAC36" w14:textId="77777777" w:rsidR="00BB5D39" w:rsidRPr="00EB088B" w:rsidRDefault="00BB5D39" w:rsidP="00BB5D39">
            <w:pPr>
              <w:pStyle w:val="TableText"/>
              <w:ind w:left="204"/>
              <w:rPr>
                <w:rFonts w:ascii="Franklin Gothic Book" w:hAnsi="Franklin Gothic Book"/>
              </w:rPr>
            </w:pPr>
            <w:r w:rsidRPr="00EB088B">
              <w:rPr>
                <w:rFonts w:ascii="Franklin Gothic Book" w:hAnsi="Franklin Gothic Book"/>
              </w:rPr>
              <w:t>Instructional Dialogue (UE only)</w:t>
            </w:r>
          </w:p>
        </w:tc>
        <w:tc>
          <w:tcPr>
            <w:tcW w:w="690" w:type="dxa"/>
          </w:tcPr>
          <w:p w14:paraId="5F6A4E0F" w14:textId="15EB34F7" w:rsidR="00BB5D39" w:rsidRPr="00E359BF" w:rsidRDefault="00BB5D39" w:rsidP="00BB5D39">
            <w:pPr>
              <w:pStyle w:val="TableTextCentered"/>
              <w:rPr>
                <w:rFonts w:eastAsia="Times New Roman"/>
              </w:rPr>
            </w:pPr>
            <w:r w:rsidRPr="008C1E5F">
              <w:rPr>
                <w:rFonts w:eastAsia="Times New Roman"/>
              </w:rPr>
              <w:t>1</w:t>
            </w:r>
          </w:p>
        </w:tc>
        <w:tc>
          <w:tcPr>
            <w:tcW w:w="630" w:type="dxa"/>
          </w:tcPr>
          <w:p w14:paraId="0C41895E" w14:textId="034CFE37" w:rsidR="00BB5D39" w:rsidRPr="00E359BF" w:rsidRDefault="00BB5D39" w:rsidP="00BB5D39">
            <w:pPr>
              <w:pStyle w:val="TableTextCentered"/>
              <w:rPr>
                <w:rFonts w:eastAsia="Times New Roman"/>
              </w:rPr>
            </w:pPr>
            <w:r w:rsidRPr="008C1E5F">
              <w:rPr>
                <w:rFonts w:eastAsia="Times New Roman"/>
              </w:rPr>
              <w:t>8</w:t>
            </w:r>
          </w:p>
        </w:tc>
        <w:tc>
          <w:tcPr>
            <w:tcW w:w="720" w:type="dxa"/>
          </w:tcPr>
          <w:p w14:paraId="493F8E8D" w14:textId="7F98C83E" w:rsidR="00BB5D39" w:rsidRPr="00E359BF" w:rsidRDefault="00BB5D39" w:rsidP="00BB5D39">
            <w:pPr>
              <w:pStyle w:val="TableTextCentered"/>
              <w:rPr>
                <w:rFonts w:eastAsia="Times New Roman"/>
              </w:rPr>
            </w:pPr>
            <w:r w:rsidRPr="008C1E5F">
              <w:rPr>
                <w:rFonts w:eastAsia="Times New Roman"/>
              </w:rPr>
              <w:t>4</w:t>
            </w:r>
          </w:p>
        </w:tc>
        <w:tc>
          <w:tcPr>
            <w:tcW w:w="720" w:type="dxa"/>
          </w:tcPr>
          <w:p w14:paraId="264C81EE" w14:textId="72F78575" w:rsidR="00BB5D39" w:rsidRPr="00E359BF" w:rsidRDefault="00BB5D39" w:rsidP="00BB5D39">
            <w:pPr>
              <w:pStyle w:val="TableTextCentered"/>
              <w:rPr>
                <w:rFonts w:eastAsia="Times New Roman"/>
              </w:rPr>
            </w:pPr>
            <w:r w:rsidRPr="008C1E5F">
              <w:rPr>
                <w:rFonts w:eastAsia="Times New Roman"/>
              </w:rPr>
              <w:t>7</w:t>
            </w:r>
          </w:p>
        </w:tc>
        <w:tc>
          <w:tcPr>
            <w:tcW w:w="720" w:type="dxa"/>
          </w:tcPr>
          <w:p w14:paraId="60213E9B" w14:textId="36F2895D" w:rsidR="00BB5D39" w:rsidRPr="00E359BF" w:rsidRDefault="00BB5D39" w:rsidP="00BB5D39">
            <w:pPr>
              <w:pStyle w:val="TableTextCentered"/>
              <w:rPr>
                <w:rFonts w:eastAsia="Times New Roman"/>
              </w:rPr>
            </w:pPr>
            <w:r w:rsidRPr="008C1E5F">
              <w:rPr>
                <w:rFonts w:eastAsia="Times New Roman"/>
              </w:rPr>
              <w:t>5</w:t>
            </w:r>
          </w:p>
        </w:tc>
        <w:tc>
          <w:tcPr>
            <w:tcW w:w="630" w:type="dxa"/>
          </w:tcPr>
          <w:p w14:paraId="766BB485" w14:textId="59B5715F" w:rsidR="00BB5D39" w:rsidRPr="00E359BF" w:rsidRDefault="00BB5D39" w:rsidP="00BB5D39">
            <w:pPr>
              <w:pStyle w:val="TableTextCentered"/>
              <w:rPr>
                <w:rFonts w:eastAsia="Times New Roman"/>
              </w:rPr>
            </w:pPr>
            <w:r w:rsidRPr="008C1E5F">
              <w:rPr>
                <w:rFonts w:eastAsia="Times New Roman"/>
              </w:rPr>
              <w:t>5</w:t>
            </w:r>
          </w:p>
        </w:tc>
        <w:tc>
          <w:tcPr>
            <w:tcW w:w="638" w:type="dxa"/>
          </w:tcPr>
          <w:p w14:paraId="1CF947F5" w14:textId="2E14CE7A" w:rsidR="00BB5D39" w:rsidRPr="00E359BF" w:rsidRDefault="00BB5D39" w:rsidP="00BB5D39">
            <w:pPr>
              <w:pStyle w:val="TableTextCentered"/>
              <w:rPr>
                <w:rFonts w:eastAsia="Times New Roman"/>
              </w:rPr>
            </w:pPr>
            <w:r w:rsidRPr="008C1E5F">
              <w:rPr>
                <w:rFonts w:eastAsia="Times New Roman"/>
              </w:rPr>
              <w:t>0</w:t>
            </w:r>
          </w:p>
        </w:tc>
        <w:tc>
          <w:tcPr>
            <w:tcW w:w="532" w:type="dxa"/>
          </w:tcPr>
          <w:p w14:paraId="224A3C60" w14:textId="50B4B03F" w:rsidR="00BB5D39" w:rsidRPr="00E359BF" w:rsidRDefault="00BB5D39" w:rsidP="00BB5D39">
            <w:pPr>
              <w:pStyle w:val="TableTextCentered"/>
              <w:rPr>
                <w:rFonts w:eastAsia="Times New Roman"/>
              </w:rPr>
            </w:pPr>
            <w:r w:rsidRPr="008C1E5F">
              <w:rPr>
                <w:rFonts w:eastAsia="Times New Roman"/>
              </w:rPr>
              <w:t>30</w:t>
            </w:r>
          </w:p>
        </w:tc>
        <w:tc>
          <w:tcPr>
            <w:tcW w:w="990" w:type="dxa"/>
          </w:tcPr>
          <w:p w14:paraId="14FAF576" w14:textId="5744E9A2" w:rsidR="00BB5D39" w:rsidRPr="00E359BF" w:rsidRDefault="00BB5D39" w:rsidP="00BB5D39">
            <w:pPr>
              <w:pStyle w:val="TableTextCentered"/>
              <w:rPr>
                <w:rFonts w:eastAsia="Times New Roman"/>
              </w:rPr>
            </w:pPr>
            <w:r w:rsidRPr="008C1E5F">
              <w:rPr>
                <w:rFonts w:eastAsia="Times New Roman"/>
              </w:rPr>
              <w:t>3.7</w:t>
            </w:r>
          </w:p>
        </w:tc>
      </w:tr>
      <w:tr w:rsidR="00BB5D39" w:rsidRPr="008461FE" w14:paraId="7AD0EC54" w14:textId="77777777" w:rsidTr="005B481A">
        <w:trPr>
          <w:cnfStyle w:val="000000100000" w:firstRow="0" w:lastRow="0" w:firstColumn="0" w:lastColumn="0" w:oddVBand="0" w:evenVBand="0" w:oddHBand="1" w:evenHBand="0" w:firstRowFirstColumn="0" w:firstRowLastColumn="0" w:lastRowFirstColumn="0" w:lastRowLastColumn="0"/>
        </w:trPr>
        <w:tc>
          <w:tcPr>
            <w:tcW w:w="3442" w:type="dxa"/>
            <w:vAlign w:val="center"/>
          </w:tcPr>
          <w:p w14:paraId="033631A9" w14:textId="77777777" w:rsidR="00BB5D39" w:rsidRPr="008461FE" w:rsidRDefault="00BB5D39" w:rsidP="00BB5D39">
            <w:pPr>
              <w:pStyle w:val="TableText"/>
              <w:rPr>
                <w:rFonts w:ascii="Franklin Gothic Book" w:hAnsi="Franklin Gothic Book"/>
                <w:b/>
                <w:bCs/>
              </w:rPr>
            </w:pPr>
            <w:r w:rsidRPr="008461FE">
              <w:rPr>
                <w:rFonts w:ascii="Franklin Gothic Book" w:hAnsi="Franklin Gothic Book"/>
                <w:b/>
                <w:bCs/>
              </w:rPr>
              <w:t>Student Engagement (UE only)</w:t>
            </w:r>
          </w:p>
        </w:tc>
        <w:tc>
          <w:tcPr>
            <w:tcW w:w="690" w:type="dxa"/>
          </w:tcPr>
          <w:p w14:paraId="511BDB10" w14:textId="3AA5B962" w:rsidR="00BB5D39" w:rsidRPr="00BB5D39" w:rsidRDefault="00BB5D39" w:rsidP="00BB5D39">
            <w:pPr>
              <w:pStyle w:val="TableTextCentered"/>
              <w:rPr>
                <w:rFonts w:eastAsia="Times New Roman"/>
                <w:b/>
                <w:bCs/>
              </w:rPr>
            </w:pPr>
            <w:r w:rsidRPr="00BB5D39">
              <w:rPr>
                <w:b/>
                <w:bCs/>
              </w:rPr>
              <w:t>0</w:t>
            </w:r>
          </w:p>
        </w:tc>
        <w:tc>
          <w:tcPr>
            <w:tcW w:w="630" w:type="dxa"/>
          </w:tcPr>
          <w:p w14:paraId="34AFD746" w14:textId="7408AAAC" w:rsidR="00BB5D39" w:rsidRPr="00BB5D39" w:rsidRDefault="00BB5D39" w:rsidP="00BB5D39">
            <w:pPr>
              <w:pStyle w:val="TableTextCentered"/>
              <w:rPr>
                <w:rFonts w:eastAsia="Times New Roman"/>
                <w:b/>
                <w:bCs/>
              </w:rPr>
            </w:pPr>
            <w:r w:rsidRPr="00BB5D39">
              <w:rPr>
                <w:b/>
                <w:bCs/>
              </w:rPr>
              <w:t>1</w:t>
            </w:r>
          </w:p>
        </w:tc>
        <w:tc>
          <w:tcPr>
            <w:tcW w:w="720" w:type="dxa"/>
          </w:tcPr>
          <w:p w14:paraId="58E25678" w14:textId="0F163A72" w:rsidR="00BB5D39" w:rsidRPr="00BB5D39" w:rsidRDefault="00BB5D39" w:rsidP="00BB5D39">
            <w:pPr>
              <w:pStyle w:val="TableTextCentered"/>
              <w:rPr>
                <w:rFonts w:eastAsia="Times New Roman"/>
                <w:b/>
                <w:bCs/>
              </w:rPr>
            </w:pPr>
            <w:r w:rsidRPr="00BB5D39">
              <w:rPr>
                <w:b/>
                <w:bCs/>
              </w:rPr>
              <w:t>1</w:t>
            </w:r>
          </w:p>
        </w:tc>
        <w:tc>
          <w:tcPr>
            <w:tcW w:w="720" w:type="dxa"/>
          </w:tcPr>
          <w:p w14:paraId="7E1C22B7" w14:textId="677A940F" w:rsidR="00BB5D39" w:rsidRPr="00BB5D39" w:rsidRDefault="00BB5D39" w:rsidP="00BB5D39">
            <w:pPr>
              <w:pStyle w:val="TableTextCentered"/>
              <w:rPr>
                <w:rFonts w:eastAsia="Times New Roman"/>
                <w:b/>
                <w:bCs/>
              </w:rPr>
            </w:pPr>
            <w:r w:rsidRPr="00BB5D39">
              <w:rPr>
                <w:b/>
                <w:bCs/>
              </w:rPr>
              <w:t>7</w:t>
            </w:r>
          </w:p>
        </w:tc>
        <w:tc>
          <w:tcPr>
            <w:tcW w:w="720" w:type="dxa"/>
          </w:tcPr>
          <w:p w14:paraId="186CC09E" w14:textId="5B4A2955" w:rsidR="00BB5D39" w:rsidRPr="00BB5D39" w:rsidRDefault="00BB5D39" w:rsidP="00BB5D39">
            <w:pPr>
              <w:pStyle w:val="TableTextCentered"/>
              <w:rPr>
                <w:rFonts w:eastAsia="Times New Roman"/>
                <w:b/>
                <w:bCs/>
              </w:rPr>
            </w:pPr>
            <w:r w:rsidRPr="00BB5D39">
              <w:rPr>
                <w:b/>
                <w:bCs/>
              </w:rPr>
              <w:t>6</w:t>
            </w:r>
          </w:p>
        </w:tc>
        <w:tc>
          <w:tcPr>
            <w:tcW w:w="630" w:type="dxa"/>
          </w:tcPr>
          <w:p w14:paraId="1F2623E0" w14:textId="478CCD1B" w:rsidR="00BB5D39" w:rsidRPr="00BB5D39" w:rsidRDefault="00BB5D39" w:rsidP="00BB5D39">
            <w:pPr>
              <w:pStyle w:val="TableTextCentered"/>
              <w:rPr>
                <w:rFonts w:eastAsia="Times New Roman"/>
                <w:b/>
                <w:bCs/>
              </w:rPr>
            </w:pPr>
            <w:r w:rsidRPr="00BB5D39">
              <w:rPr>
                <w:b/>
                <w:bCs/>
              </w:rPr>
              <w:t>11</w:t>
            </w:r>
          </w:p>
        </w:tc>
        <w:tc>
          <w:tcPr>
            <w:tcW w:w="638" w:type="dxa"/>
          </w:tcPr>
          <w:p w14:paraId="153AFDE0" w14:textId="06A8726B" w:rsidR="00BB5D39" w:rsidRPr="00BB5D39" w:rsidRDefault="00BB5D39" w:rsidP="00BB5D39">
            <w:pPr>
              <w:pStyle w:val="TableTextCentered"/>
              <w:rPr>
                <w:rFonts w:eastAsia="Times New Roman"/>
                <w:b/>
                <w:bCs/>
              </w:rPr>
            </w:pPr>
            <w:r w:rsidRPr="00BB5D39">
              <w:rPr>
                <w:b/>
                <w:bCs/>
              </w:rPr>
              <w:t>4</w:t>
            </w:r>
          </w:p>
        </w:tc>
        <w:tc>
          <w:tcPr>
            <w:tcW w:w="532" w:type="dxa"/>
          </w:tcPr>
          <w:p w14:paraId="132A4861" w14:textId="5F001D6E" w:rsidR="00BB5D39" w:rsidRPr="00BB5D39" w:rsidRDefault="00BB5D39" w:rsidP="00BB5D39">
            <w:pPr>
              <w:pStyle w:val="TableTextCentered"/>
              <w:rPr>
                <w:rFonts w:eastAsia="Times New Roman"/>
                <w:b/>
                <w:bCs/>
              </w:rPr>
            </w:pPr>
            <w:r w:rsidRPr="00BB5D39">
              <w:rPr>
                <w:b/>
                <w:bCs/>
              </w:rPr>
              <w:t>30</w:t>
            </w:r>
          </w:p>
        </w:tc>
        <w:tc>
          <w:tcPr>
            <w:tcW w:w="990" w:type="dxa"/>
          </w:tcPr>
          <w:p w14:paraId="58276816" w14:textId="224409DE" w:rsidR="00BB5D39" w:rsidRPr="00BB5D39" w:rsidRDefault="00BB5D39" w:rsidP="00BB5D39">
            <w:pPr>
              <w:pStyle w:val="TableTextCentered"/>
              <w:rPr>
                <w:rFonts w:eastAsia="Times New Roman"/>
                <w:b/>
                <w:bCs/>
              </w:rPr>
            </w:pPr>
            <w:r w:rsidRPr="00BB5D39">
              <w:rPr>
                <w:b/>
                <w:bCs/>
              </w:rPr>
              <w:t>5.2</w:t>
            </w:r>
          </w:p>
        </w:tc>
      </w:tr>
    </w:tbl>
    <w:p w14:paraId="16A3A749" w14:textId="7B8FE33C" w:rsidR="00900CF1" w:rsidRPr="008C1E5F" w:rsidRDefault="00900CF1">
      <w:pPr>
        <w:pStyle w:val="TableNote"/>
        <w:rPr>
          <w:szCs w:val="20"/>
        </w:rPr>
      </w:pPr>
      <w:r w:rsidRPr="008C1E5F">
        <w:t xml:space="preserve">*The district average is an average of the scores. For example, for Positive Climate, the district average is computed as: </w:t>
      </w:r>
      <w:bookmarkStart w:id="254" w:name="Elem_PC_Calc"/>
      <w:r w:rsidRPr="008C1E5F">
        <w:rPr>
          <w:szCs w:val="20"/>
        </w:rPr>
        <w:t>([2 x 1] + [3 x 7] + [4 x 11] + [5 x 40] + [6 x 15] + [7 x 10]) ÷ 84 observations = 5.1</w:t>
      </w:r>
      <w:bookmarkEnd w:id="254"/>
    </w:p>
    <w:p w14:paraId="1F5560C1" w14:textId="77777777" w:rsidR="00900CF1" w:rsidRPr="008C1E5F" w:rsidRDefault="00900CF1">
      <w:pPr>
        <w:pStyle w:val="TableNote"/>
      </w:pPr>
      <w:r w:rsidRPr="008C1E5F">
        <w:t xml:space="preserve">**Negative Climate is rated on an inverse scale. An original score of 1 is given a value of 7. The scoring in the table reflects the normalized adjustment: </w:t>
      </w:r>
      <w:bookmarkStart w:id="255" w:name="Elem_NC_Calc"/>
      <w:r w:rsidRPr="008C1E5F">
        <w:t>([5 x 1] + [6 x 11] + [7 x 72]) ÷ 84 observations = 6.8</w:t>
      </w:r>
      <w:bookmarkEnd w:id="255"/>
      <w:r w:rsidRPr="008C1E5F">
        <w:t>. In addition, Negative Climate appears in the Classroom Organization Domain for the Upper Elementary Manual.</w:t>
      </w:r>
    </w:p>
    <w:p w14:paraId="296D9FA9" w14:textId="77777777" w:rsidR="00900CF1" w:rsidRPr="008C1E5F" w:rsidRDefault="00900CF1">
      <w:pPr>
        <w:pStyle w:val="TableNote"/>
      </w:pPr>
      <w:r w:rsidRPr="008C1E5F">
        <w:t>***Instructional Learning Formats appears in the Instructional Support Domain for the Upper Elementary Manual.</w:t>
      </w:r>
    </w:p>
    <w:p w14:paraId="5CE01E76" w14:textId="77777777" w:rsidR="00992453" w:rsidRPr="008C1E5F" w:rsidRDefault="00992453">
      <w:pPr>
        <w:spacing w:line="240" w:lineRule="auto"/>
        <w:rPr>
          <w:rFonts w:ascii="Times New Roman" w:eastAsia="MS Mincho" w:hAnsi="Times New Roman" w:cs="Times New Roman"/>
          <w:b/>
          <w:sz w:val="20"/>
        </w:rPr>
      </w:pPr>
      <w:bookmarkStart w:id="256" w:name="_Toc92194269"/>
      <w:r w:rsidRPr="008C1E5F">
        <w:rPr>
          <w:rFonts w:ascii="Times New Roman" w:eastAsia="MS Mincho" w:hAnsi="Times New Roman" w:cs="Times New Roman"/>
          <w:b/>
          <w:sz w:val="20"/>
        </w:rPr>
        <w:br w:type="page"/>
      </w:r>
    </w:p>
    <w:p w14:paraId="169FC061" w14:textId="25F25629" w:rsidR="00900CF1" w:rsidRPr="008C1E5F" w:rsidRDefault="00900CF1">
      <w:pPr>
        <w:pStyle w:val="Heading2-SIOR"/>
      </w:pPr>
      <w:bookmarkStart w:id="257" w:name="_Toc195024261"/>
      <w:r w:rsidRPr="008C1E5F">
        <w:lastRenderedPageBreak/>
        <w:t xml:space="preserve">Summary of Average Ratings: </w:t>
      </w:r>
      <w:bookmarkEnd w:id="256"/>
      <w:r w:rsidRPr="008C1E5F">
        <w:t>Grades 6–8</w:t>
      </w:r>
      <w:bookmarkEnd w:id="257"/>
    </w:p>
    <w:p w14:paraId="09A41020" w14:textId="77777777" w:rsidR="00900CF1" w:rsidRPr="008C1E5F" w:rsidRDefault="00900CF1">
      <w:pPr>
        <w:pStyle w:val="TableTitle0"/>
      </w:pPr>
      <w:r w:rsidRPr="008C1E5F">
        <w:t>Table 18. Summary Table of Average Ratings for Each Dimension in Grades 6–8</w:t>
      </w:r>
    </w:p>
    <w:tbl>
      <w:tblPr>
        <w:tblStyle w:val="MSVTable1"/>
        <w:tblW w:w="9712" w:type="dxa"/>
        <w:tblLayout w:type="fixed"/>
        <w:tblLook w:val="04A0" w:firstRow="1" w:lastRow="0" w:firstColumn="1" w:lastColumn="0" w:noHBand="0" w:noVBand="1"/>
      </w:tblPr>
      <w:tblGrid>
        <w:gridCol w:w="3232"/>
        <w:gridCol w:w="708"/>
        <w:gridCol w:w="708"/>
        <w:gridCol w:w="744"/>
        <w:gridCol w:w="720"/>
        <w:gridCol w:w="720"/>
        <w:gridCol w:w="720"/>
        <w:gridCol w:w="720"/>
        <w:gridCol w:w="540"/>
        <w:gridCol w:w="900"/>
      </w:tblGrid>
      <w:tr w:rsidR="005B481A" w:rsidRPr="00E359BF" w14:paraId="386B3794" w14:textId="77777777" w:rsidTr="006C30C9">
        <w:trPr>
          <w:cnfStyle w:val="100000000000" w:firstRow="1" w:lastRow="0" w:firstColumn="0" w:lastColumn="0" w:oddVBand="0" w:evenVBand="0" w:oddHBand="0" w:evenHBand="0" w:firstRowFirstColumn="0" w:firstRowLastColumn="0" w:lastRowFirstColumn="0" w:lastRowLastColumn="0"/>
          <w:tblHeader/>
        </w:trPr>
        <w:tc>
          <w:tcPr>
            <w:tcW w:w="3232" w:type="dxa"/>
          </w:tcPr>
          <w:p w14:paraId="3DC1C1FE" w14:textId="77777777" w:rsidR="005B481A" w:rsidRPr="00E359BF" w:rsidRDefault="005B481A" w:rsidP="005B481A">
            <w:pPr>
              <w:pStyle w:val="TableColHeadingCenter"/>
              <w:rPr>
                <w:rFonts w:eastAsia="MS Mincho"/>
              </w:rPr>
            </w:pPr>
          </w:p>
        </w:tc>
        <w:tc>
          <w:tcPr>
            <w:tcW w:w="708" w:type="dxa"/>
            <w:vAlign w:val="center"/>
          </w:tcPr>
          <w:p w14:paraId="26B0B3F8" w14:textId="77777777" w:rsidR="005B481A" w:rsidRDefault="005B481A" w:rsidP="005B481A">
            <w:pPr>
              <w:pStyle w:val="TableColHeadingCenter"/>
              <w:rPr>
                <w:rFonts w:eastAsia="MS Mincho"/>
                <w:sz w:val="18"/>
                <w:szCs w:val="18"/>
              </w:rPr>
            </w:pPr>
            <w:r w:rsidRPr="00B56E46">
              <w:rPr>
                <w:rFonts w:eastAsia="MS Mincho"/>
                <w:sz w:val="18"/>
                <w:szCs w:val="18"/>
              </w:rPr>
              <w:t>Low Range</w:t>
            </w:r>
          </w:p>
          <w:p w14:paraId="4D3C1041" w14:textId="63F507A2" w:rsidR="005B481A" w:rsidRPr="00E359BF" w:rsidRDefault="005B481A" w:rsidP="005B481A">
            <w:pPr>
              <w:pStyle w:val="TableColHeadingCenter"/>
              <w:rPr>
                <w:rFonts w:eastAsia="MS Mincho"/>
              </w:rPr>
            </w:pPr>
            <w:r>
              <w:rPr>
                <w:rFonts w:eastAsia="MS Mincho"/>
                <w:sz w:val="18"/>
                <w:szCs w:val="18"/>
              </w:rPr>
              <w:t>1</w:t>
            </w:r>
          </w:p>
        </w:tc>
        <w:tc>
          <w:tcPr>
            <w:tcW w:w="708" w:type="dxa"/>
            <w:vAlign w:val="center"/>
          </w:tcPr>
          <w:p w14:paraId="19836257" w14:textId="77777777" w:rsidR="005B481A" w:rsidRDefault="005B481A" w:rsidP="005B481A">
            <w:pPr>
              <w:pStyle w:val="TableColHeadingCenter"/>
              <w:rPr>
                <w:rFonts w:eastAsia="MS Mincho"/>
                <w:sz w:val="18"/>
                <w:szCs w:val="18"/>
              </w:rPr>
            </w:pPr>
            <w:r w:rsidRPr="00B56E46">
              <w:rPr>
                <w:rFonts w:eastAsia="MS Mincho"/>
                <w:sz w:val="18"/>
                <w:szCs w:val="18"/>
              </w:rPr>
              <w:t>Low Range</w:t>
            </w:r>
          </w:p>
          <w:p w14:paraId="1448656F" w14:textId="60606158" w:rsidR="005B481A" w:rsidRPr="00E359BF" w:rsidRDefault="005B481A" w:rsidP="005B481A">
            <w:pPr>
              <w:pStyle w:val="TableColHeadingCenter"/>
              <w:rPr>
                <w:rFonts w:eastAsia="MS Mincho"/>
              </w:rPr>
            </w:pPr>
            <w:r>
              <w:rPr>
                <w:rFonts w:eastAsia="MS Mincho"/>
                <w:sz w:val="18"/>
                <w:szCs w:val="18"/>
              </w:rPr>
              <w:t>2</w:t>
            </w:r>
          </w:p>
        </w:tc>
        <w:tc>
          <w:tcPr>
            <w:tcW w:w="744" w:type="dxa"/>
            <w:vAlign w:val="center"/>
          </w:tcPr>
          <w:p w14:paraId="071D1863" w14:textId="77777777" w:rsidR="005B481A" w:rsidRDefault="005B481A" w:rsidP="005B481A">
            <w:pPr>
              <w:pStyle w:val="TableColHeadingCenter"/>
              <w:rPr>
                <w:rFonts w:eastAsia="MS Mincho"/>
                <w:sz w:val="18"/>
                <w:szCs w:val="18"/>
              </w:rPr>
            </w:pPr>
            <w:r w:rsidRPr="00B56E46">
              <w:rPr>
                <w:rFonts w:eastAsia="MS Mincho"/>
                <w:sz w:val="18"/>
                <w:szCs w:val="18"/>
              </w:rPr>
              <w:t>Middle Range</w:t>
            </w:r>
          </w:p>
          <w:p w14:paraId="3868024E" w14:textId="023D42F1" w:rsidR="005B481A" w:rsidRPr="00E359BF" w:rsidRDefault="005B481A" w:rsidP="005B481A">
            <w:pPr>
              <w:pStyle w:val="TableColHeadingCenter"/>
              <w:rPr>
                <w:rFonts w:eastAsia="MS Mincho"/>
              </w:rPr>
            </w:pPr>
            <w:r>
              <w:rPr>
                <w:rFonts w:eastAsia="MS Mincho"/>
                <w:sz w:val="18"/>
                <w:szCs w:val="18"/>
              </w:rPr>
              <w:t>3</w:t>
            </w:r>
          </w:p>
        </w:tc>
        <w:tc>
          <w:tcPr>
            <w:tcW w:w="720" w:type="dxa"/>
            <w:vAlign w:val="center"/>
          </w:tcPr>
          <w:p w14:paraId="770CA169" w14:textId="77777777" w:rsidR="005B481A" w:rsidRDefault="005B481A" w:rsidP="005B481A">
            <w:pPr>
              <w:pStyle w:val="TableColHeadingCenter"/>
              <w:rPr>
                <w:rFonts w:eastAsia="MS Mincho"/>
                <w:sz w:val="18"/>
                <w:szCs w:val="18"/>
              </w:rPr>
            </w:pPr>
            <w:r w:rsidRPr="00B56E46">
              <w:rPr>
                <w:rFonts w:eastAsia="MS Mincho"/>
                <w:sz w:val="18"/>
                <w:szCs w:val="18"/>
              </w:rPr>
              <w:t>Middle Range</w:t>
            </w:r>
          </w:p>
          <w:p w14:paraId="092D3FE8" w14:textId="3A9925DD" w:rsidR="005B481A" w:rsidRPr="00E359BF" w:rsidRDefault="005B481A" w:rsidP="005B481A">
            <w:pPr>
              <w:pStyle w:val="TableColHeadingCenter"/>
              <w:rPr>
                <w:rFonts w:eastAsia="MS Mincho"/>
              </w:rPr>
            </w:pPr>
            <w:r>
              <w:rPr>
                <w:rFonts w:eastAsia="MS Mincho"/>
                <w:sz w:val="18"/>
                <w:szCs w:val="18"/>
              </w:rPr>
              <w:t>4</w:t>
            </w:r>
          </w:p>
        </w:tc>
        <w:tc>
          <w:tcPr>
            <w:tcW w:w="720" w:type="dxa"/>
            <w:vAlign w:val="center"/>
          </w:tcPr>
          <w:p w14:paraId="777AAC74" w14:textId="77777777" w:rsidR="005B481A" w:rsidRDefault="005B481A" w:rsidP="005B481A">
            <w:pPr>
              <w:pStyle w:val="TableColHeadingCenter"/>
              <w:rPr>
                <w:rFonts w:eastAsia="MS Mincho"/>
                <w:sz w:val="18"/>
                <w:szCs w:val="18"/>
              </w:rPr>
            </w:pPr>
            <w:r w:rsidRPr="00B56E46">
              <w:rPr>
                <w:rFonts w:eastAsia="MS Mincho"/>
                <w:sz w:val="18"/>
                <w:szCs w:val="18"/>
              </w:rPr>
              <w:t>Middle Range</w:t>
            </w:r>
          </w:p>
          <w:p w14:paraId="27F96B65" w14:textId="3836DEA5" w:rsidR="005B481A" w:rsidRPr="00E359BF" w:rsidRDefault="005B481A" w:rsidP="005B481A">
            <w:pPr>
              <w:pStyle w:val="TableColHeadingCenter"/>
              <w:rPr>
                <w:rFonts w:eastAsia="MS Mincho"/>
              </w:rPr>
            </w:pPr>
            <w:r>
              <w:rPr>
                <w:rFonts w:eastAsia="MS Mincho"/>
                <w:sz w:val="18"/>
                <w:szCs w:val="18"/>
              </w:rPr>
              <w:t>5</w:t>
            </w:r>
          </w:p>
        </w:tc>
        <w:tc>
          <w:tcPr>
            <w:tcW w:w="720" w:type="dxa"/>
            <w:vAlign w:val="center"/>
          </w:tcPr>
          <w:p w14:paraId="4FD49F66" w14:textId="77777777" w:rsidR="005B481A" w:rsidRDefault="005B481A" w:rsidP="005B481A">
            <w:pPr>
              <w:pStyle w:val="TableColHeadingCenter"/>
              <w:rPr>
                <w:rFonts w:eastAsia="MS Mincho"/>
                <w:sz w:val="18"/>
                <w:szCs w:val="18"/>
              </w:rPr>
            </w:pPr>
            <w:r w:rsidRPr="00B56E46">
              <w:rPr>
                <w:rFonts w:eastAsia="MS Mincho"/>
                <w:sz w:val="18"/>
                <w:szCs w:val="18"/>
              </w:rPr>
              <w:t>High Range</w:t>
            </w:r>
          </w:p>
          <w:p w14:paraId="2699B971" w14:textId="2AF3FE06" w:rsidR="005B481A" w:rsidRPr="00E359BF" w:rsidRDefault="005B481A" w:rsidP="005B481A">
            <w:pPr>
              <w:pStyle w:val="TableColHeadingCenter"/>
              <w:rPr>
                <w:rFonts w:eastAsia="MS Mincho"/>
              </w:rPr>
            </w:pPr>
            <w:r>
              <w:rPr>
                <w:rFonts w:eastAsia="MS Mincho"/>
                <w:sz w:val="18"/>
                <w:szCs w:val="18"/>
              </w:rPr>
              <w:t>6</w:t>
            </w:r>
          </w:p>
        </w:tc>
        <w:tc>
          <w:tcPr>
            <w:tcW w:w="720" w:type="dxa"/>
            <w:vAlign w:val="center"/>
          </w:tcPr>
          <w:p w14:paraId="537A4F78" w14:textId="77777777" w:rsidR="005B481A" w:rsidRDefault="005B481A" w:rsidP="005B481A">
            <w:pPr>
              <w:pStyle w:val="TableColHeadingCenter"/>
              <w:rPr>
                <w:rFonts w:eastAsia="MS Mincho"/>
                <w:sz w:val="18"/>
                <w:szCs w:val="18"/>
              </w:rPr>
            </w:pPr>
            <w:r w:rsidRPr="00B56E46">
              <w:rPr>
                <w:rFonts w:eastAsia="MS Mincho"/>
                <w:sz w:val="18"/>
                <w:szCs w:val="18"/>
              </w:rPr>
              <w:t>High Range</w:t>
            </w:r>
          </w:p>
          <w:p w14:paraId="726BDCEB" w14:textId="16478271" w:rsidR="005B481A" w:rsidRPr="00E359BF" w:rsidRDefault="005B481A" w:rsidP="005B481A">
            <w:pPr>
              <w:pStyle w:val="TableColHeadingCenter"/>
              <w:rPr>
                <w:rFonts w:eastAsia="MS Mincho"/>
              </w:rPr>
            </w:pPr>
            <w:r>
              <w:rPr>
                <w:rFonts w:eastAsia="MS Mincho"/>
                <w:sz w:val="18"/>
                <w:szCs w:val="18"/>
              </w:rPr>
              <w:t>7</w:t>
            </w:r>
          </w:p>
        </w:tc>
        <w:tc>
          <w:tcPr>
            <w:tcW w:w="540" w:type="dxa"/>
            <w:vAlign w:val="center"/>
          </w:tcPr>
          <w:p w14:paraId="2F071E68" w14:textId="5063E657" w:rsidR="005B481A" w:rsidRPr="00E359BF" w:rsidRDefault="005B481A" w:rsidP="005B481A">
            <w:pPr>
              <w:pStyle w:val="TableColHeadingCenter"/>
              <w:rPr>
                <w:rFonts w:eastAsia="MS Mincho"/>
              </w:rPr>
            </w:pPr>
            <w:r>
              <w:rPr>
                <w:rFonts w:eastAsia="MS Mincho"/>
              </w:rPr>
              <w:t>n</w:t>
            </w:r>
          </w:p>
        </w:tc>
        <w:tc>
          <w:tcPr>
            <w:tcW w:w="900" w:type="dxa"/>
            <w:vAlign w:val="center"/>
          </w:tcPr>
          <w:p w14:paraId="3F263926" w14:textId="238887C6" w:rsidR="005B481A" w:rsidRPr="00E359BF" w:rsidRDefault="005B481A" w:rsidP="005B481A">
            <w:pPr>
              <w:pStyle w:val="TableColHeadingCenter"/>
              <w:rPr>
                <w:rFonts w:eastAsia="MS Mincho"/>
              </w:rPr>
            </w:pPr>
            <w:r w:rsidRPr="00E359BF">
              <w:rPr>
                <w:rFonts w:eastAsia="MS Mincho"/>
              </w:rPr>
              <w:t>Average Scores*</w:t>
            </w:r>
          </w:p>
        </w:tc>
      </w:tr>
      <w:tr w:rsidR="00344895" w:rsidRPr="00E359BF" w14:paraId="34BD6ACF"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043FFB44" w14:textId="77777777" w:rsidR="00344895" w:rsidRPr="00E359BF" w:rsidRDefault="00344895" w:rsidP="00344895">
            <w:pPr>
              <w:pStyle w:val="TableSubheading"/>
            </w:pPr>
            <w:r w:rsidRPr="00E359BF">
              <w:t>Emotional Support Domain</w:t>
            </w:r>
          </w:p>
        </w:tc>
        <w:tc>
          <w:tcPr>
            <w:tcW w:w="708" w:type="dxa"/>
          </w:tcPr>
          <w:p w14:paraId="259712A8" w14:textId="4E61125D" w:rsidR="00344895" w:rsidRPr="00E359BF" w:rsidRDefault="00344895" w:rsidP="00344895">
            <w:pPr>
              <w:pStyle w:val="TableTextCenteredDemi"/>
              <w:rPr>
                <w:rFonts w:eastAsia="Times New Roman"/>
              </w:rPr>
            </w:pPr>
            <w:r w:rsidRPr="008C1E5F">
              <w:rPr>
                <w:rFonts w:eastAsia="Times New Roman"/>
              </w:rPr>
              <w:t>18</w:t>
            </w:r>
          </w:p>
        </w:tc>
        <w:tc>
          <w:tcPr>
            <w:tcW w:w="708" w:type="dxa"/>
          </w:tcPr>
          <w:p w14:paraId="2FB37E4A" w14:textId="7D0A4F5A" w:rsidR="00344895" w:rsidRPr="00E359BF" w:rsidRDefault="00344895" w:rsidP="00344895">
            <w:pPr>
              <w:pStyle w:val="TableTextCenteredDemi"/>
              <w:rPr>
                <w:rFonts w:eastAsia="Times New Roman"/>
              </w:rPr>
            </w:pPr>
            <w:r w:rsidRPr="008C1E5F">
              <w:rPr>
                <w:rFonts w:eastAsia="Times New Roman"/>
              </w:rPr>
              <w:t>29</w:t>
            </w:r>
          </w:p>
        </w:tc>
        <w:tc>
          <w:tcPr>
            <w:tcW w:w="744" w:type="dxa"/>
          </w:tcPr>
          <w:p w14:paraId="1400ACC2" w14:textId="0F931A2C" w:rsidR="00344895" w:rsidRPr="00E359BF" w:rsidRDefault="00344895" w:rsidP="00344895">
            <w:pPr>
              <w:pStyle w:val="TableTextCenteredDemi"/>
              <w:rPr>
                <w:rFonts w:eastAsia="Times New Roman"/>
              </w:rPr>
            </w:pPr>
            <w:r w:rsidRPr="008C1E5F">
              <w:rPr>
                <w:rFonts w:eastAsia="Times New Roman"/>
              </w:rPr>
              <w:t>40</w:t>
            </w:r>
          </w:p>
        </w:tc>
        <w:tc>
          <w:tcPr>
            <w:tcW w:w="720" w:type="dxa"/>
          </w:tcPr>
          <w:p w14:paraId="78F05A13" w14:textId="195FC1CF" w:rsidR="00344895" w:rsidRPr="00E359BF" w:rsidRDefault="00344895" w:rsidP="00344895">
            <w:pPr>
              <w:pStyle w:val="TableTextCenteredDemi"/>
              <w:rPr>
                <w:rFonts w:eastAsia="Times New Roman"/>
              </w:rPr>
            </w:pPr>
            <w:r w:rsidRPr="008C1E5F">
              <w:rPr>
                <w:rFonts w:eastAsia="Times New Roman"/>
              </w:rPr>
              <w:t>33</w:t>
            </w:r>
          </w:p>
        </w:tc>
        <w:tc>
          <w:tcPr>
            <w:tcW w:w="720" w:type="dxa"/>
          </w:tcPr>
          <w:p w14:paraId="37BC95AC" w14:textId="099AE20B" w:rsidR="00344895" w:rsidRPr="00E359BF" w:rsidRDefault="00344895" w:rsidP="00344895">
            <w:pPr>
              <w:pStyle w:val="TableTextCenteredDemi"/>
              <w:rPr>
                <w:rFonts w:eastAsia="Times New Roman"/>
              </w:rPr>
            </w:pPr>
            <w:r w:rsidRPr="008C1E5F">
              <w:rPr>
                <w:rFonts w:eastAsia="Times New Roman"/>
              </w:rPr>
              <w:t>50</w:t>
            </w:r>
          </w:p>
        </w:tc>
        <w:tc>
          <w:tcPr>
            <w:tcW w:w="720" w:type="dxa"/>
            <w:vAlign w:val="center"/>
          </w:tcPr>
          <w:p w14:paraId="58C6AA3F" w14:textId="15DE6A2F" w:rsidR="00344895" w:rsidRPr="00E359BF" w:rsidRDefault="00344895" w:rsidP="00344895">
            <w:pPr>
              <w:pStyle w:val="TableTextCenteredDemi"/>
              <w:rPr>
                <w:rFonts w:eastAsia="Times New Roman"/>
              </w:rPr>
            </w:pPr>
            <w:r w:rsidRPr="008C1E5F">
              <w:rPr>
                <w:rFonts w:eastAsia="Times New Roman"/>
              </w:rPr>
              <w:t>22</w:t>
            </w:r>
          </w:p>
        </w:tc>
        <w:tc>
          <w:tcPr>
            <w:tcW w:w="720" w:type="dxa"/>
            <w:vAlign w:val="center"/>
          </w:tcPr>
          <w:p w14:paraId="587E06A8" w14:textId="109C4AAB" w:rsidR="00344895" w:rsidRPr="00E359BF" w:rsidRDefault="00344895" w:rsidP="00344895">
            <w:pPr>
              <w:pStyle w:val="TableTextCenteredDemi"/>
              <w:rPr>
                <w:rFonts w:eastAsia="Times New Roman"/>
              </w:rPr>
            </w:pPr>
            <w:r w:rsidRPr="008C1E5F">
              <w:rPr>
                <w:rFonts w:eastAsia="Times New Roman"/>
              </w:rPr>
              <w:t>21</w:t>
            </w:r>
          </w:p>
        </w:tc>
        <w:tc>
          <w:tcPr>
            <w:tcW w:w="540" w:type="dxa"/>
          </w:tcPr>
          <w:p w14:paraId="75D237B7" w14:textId="56E9416F" w:rsidR="00344895" w:rsidRPr="00E359BF" w:rsidRDefault="00344895" w:rsidP="00344895">
            <w:pPr>
              <w:pStyle w:val="TableTextCenteredDemi"/>
              <w:rPr>
                <w:rFonts w:eastAsia="Times New Roman"/>
              </w:rPr>
            </w:pPr>
            <w:r w:rsidRPr="008C1E5F">
              <w:rPr>
                <w:rFonts w:eastAsia="Times New Roman"/>
              </w:rPr>
              <w:t>213</w:t>
            </w:r>
          </w:p>
        </w:tc>
        <w:tc>
          <w:tcPr>
            <w:tcW w:w="900" w:type="dxa"/>
          </w:tcPr>
          <w:p w14:paraId="1CB05BC6" w14:textId="4D802BD2" w:rsidR="00344895" w:rsidRPr="00E359BF" w:rsidRDefault="00344895" w:rsidP="00344895">
            <w:pPr>
              <w:pStyle w:val="TableTextCenteredDemi"/>
              <w:rPr>
                <w:rFonts w:eastAsia="Times New Roman"/>
              </w:rPr>
            </w:pPr>
            <w:r w:rsidRPr="008C1E5F">
              <w:rPr>
                <w:rFonts w:eastAsia="Times New Roman"/>
              </w:rPr>
              <w:t>4.0</w:t>
            </w:r>
          </w:p>
        </w:tc>
      </w:tr>
      <w:tr w:rsidR="00344895" w:rsidRPr="00E359BF" w14:paraId="10322B0C" w14:textId="77777777">
        <w:tc>
          <w:tcPr>
            <w:tcW w:w="3232" w:type="dxa"/>
            <w:vAlign w:val="center"/>
          </w:tcPr>
          <w:p w14:paraId="61B763A9" w14:textId="77777777" w:rsidR="00344895" w:rsidRPr="00E359BF" w:rsidRDefault="00344895" w:rsidP="00344895">
            <w:pPr>
              <w:pStyle w:val="TableText"/>
              <w:ind w:left="204"/>
              <w:rPr>
                <w:b/>
                <w:bCs/>
              </w:rPr>
            </w:pPr>
            <w:r w:rsidRPr="00E359BF">
              <w:t>Positive Climate</w:t>
            </w:r>
          </w:p>
        </w:tc>
        <w:tc>
          <w:tcPr>
            <w:tcW w:w="708" w:type="dxa"/>
          </w:tcPr>
          <w:p w14:paraId="537729C7" w14:textId="491DF1BA" w:rsidR="00344895" w:rsidRPr="00E359BF" w:rsidRDefault="00344895" w:rsidP="00344895">
            <w:pPr>
              <w:pStyle w:val="TableTextCentered"/>
              <w:rPr>
                <w:rFonts w:eastAsia="Times New Roman"/>
              </w:rPr>
            </w:pPr>
            <w:r w:rsidRPr="008C1E5F">
              <w:rPr>
                <w:rFonts w:eastAsia="Times New Roman"/>
              </w:rPr>
              <w:t>1</w:t>
            </w:r>
          </w:p>
        </w:tc>
        <w:tc>
          <w:tcPr>
            <w:tcW w:w="708" w:type="dxa"/>
          </w:tcPr>
          <w:p w14:paraId="1D8A99E7" w14:textId="1CCF4FA1" w:rsidR="00344895" w:rsidRPr="00E359BF" w:rsidRDefault="00344895" w:rsidP="00344895">
            <w:pPr>
              <w:pStyle w:val="TableTextCentered"/>
              <w:rPr>
                <w:rFonts w:eastAsia="Times New Roman"/>
              </w:rPr>
            </w:pPr>
            <w:r w:rsidRPr="008C1E5F">
              <w:rPr>
                <w:rFonts w:eastAsia="Times New Roman"/>
              </w:rPr>
              <w:t>4</w:t>
            </w:r>
          </w:p>
        </w:tc>
        <w:tc>
          <w:tcPr>
            <w:tcW w:w="744" w:type="dxa"/>
          </w:tcPr>
          <w:p w14:paraId="693EE7E4" w14:textId="582E8BE8" w:rsidR="00344895" w:rsidRPr="00E359BF" w:rsidRDefault="00344895" w:rsidP="00344895">
            <w:pPr>
              <w:pStyle w:val="TableTextCentered"/>
              <w:rPr>
                <w:rFonts w:eastAsia="Times New Roman"/>
              </w:rPr>
            </w:pPr>
            <w:r w:rsidRPr="008C1E5F">
              <w:rPr>
                <w:rFonts w:eastAsia="Times New Roman"/>
              </w:rPr>
              <w:t>20</w:t>
            </w:r>
          </w:p>
        </w:tc>
        <w:tc>
          <w:tcPr>
            <w:tcW w:w="720" w:type="dxa"/>
          </w:tcPr>
          <w:p w14:paraId="2D52FFC7" w14:textId="0CBA3ADF" w:rsidR="00344895" w:rsidRPr="00E359BF" w:rsidRDefault="00344895" w:rsidP="00344895">
            <w:pPr>
              <w:pStyle w:val="TableTextCentered"/>
              <w:rPr>
                <w:rFonts w:eastAsia="Times New Roman"/>
              </w:rPr>
            </w:pPr>
            <w:r w:rsidRPr="008C1E5F">
              <w:rPr>
                <w:rFonts w:eastAsia="Times New Roman"/>
              </w:rPr>
              <w:t>14</w:t>
            </w:r>
          </w:p>
        </w:tc>
        <w:tc>
          <w:tcPr>
            <w:tcW w:w="720" w:type="dxa"/>
          </w:tcPr>
          <w:p w14:paraId="642B48FC" w14:textId="5F712C97" w:rsidR="00344895" w:rsidRPr="00E359BF" w:rsidRDefault="00344895" w:rsidP="00344895">
            <w:pPr>
              <w:pStyle w:val="TableTextCentered"/>
              <w:rPr>
                <w:rFonts w:eastAsia="Times New Roman"/>
              </w:rPr>
            </w:pPr>
            <w:r w:rsidRPr="008C1E5F">
              <w:rPr>
                <w:rFonts w:eastAsia="Times New Roman"/>
              </w:rPr>
              <w:t>18</w:t>
            </w:r>
          </w:p>
        </w:tc>
        <w:tc>
          <w:tcPr>
            <w:tcW w:w="720" w:type="dxa"/>
            <w:vAlign w:val="center"/>
          </w:tcPr>
          <w:p w14:paraId="6B9BE7A0" w14:textId="13C883CF" w:rsidR="00344895" w:rsidRPr="00E359BF" w:rsidRDefault="00344895" w:rsidP="00344895">
            <w:pPr>
              <w:pStyle w:val="TableTextCentered"/>
              <w:rPr>
                <w:rFonts w:eastAsia="Times New Roman"/>
              </w:rPr>
            </w:pPr>
            <w:r w:rsidRPr="008C1E5F">
              <w:rPr>
                <w:rFonts w:eastAsia="Times New Roman"/>
              </w:rPr>
              <w:t>9</w:t>
            </w:r>
          </w:p>
        </w:tc>
        <w:tc>
          <w:tcPr>
            <w:tcW w:w="720" w:type="dxa"/>
            <w:vAlign w:val="center"/>
          </w:tcPr>
          <w:p w14:paraId="5711DD89" w14:textId="0E7565B5" w:rsidR="00344895" w:rsidRPr="00E359BF" w:rsidRDefault="00344895" w:rsidP="00344895">
            <w:pPr>
              <w:pStyle w:val="TableTextCentered"/>
              <w:rPr>
                <w:rFonts w:eastAsia="Times New Roman"/>
              </w:rPr>
            </w:pPr>
            <w:r w:rsidRPr="008C1E5F">
              <w:rPr>
                <w:rFonts w:eastAsia="Times New Roman"/>
              </w:rPr>
              <w:t>5</w:t>
            </w:r>
          </w:p>
        </w:tc>
        <w:tc>
          <w:tcPr>
            <w:tcW w:w="540" w:type="dxa"/>
          </w:tcPr>
          <w:p w14:paraId="636CA6B6" w14:textId="48CB8B7F" w:rsidR="00344895" w:rsidRPr="00E359BF" w:rsidRDefault="00344895" w:rsidP="00344895">
            <w:pPr>
              <w:pStyle w:val="TableTextCentered"/>
              <w:rPr>
                <w:rFonts w:eastAsia="Times New Roman"/>
              </w:rPr>
            </w:pPr>
            <w:r w:rsidRPr="008C1E5F">
              <w:rPr>
                <w:rFonts w:eastAsia="Times New Roman"/>
              </w:rPr>
              <w:t>71</w:t>
            </w:r>
          </w:p>
        </w:tc>
        <w:tc>
          <w:tcPr>
            <w:tcW w:w="900" w:type="dxa"/>
          </w:tcPr>
          <w:p w14:paraId="5A447B11" w14:textId="43B37090" w:rsidR="00344895" w:rsidRPr="00E359BF" w:rsidRDefault="00344895" w:rsidP="00344895">
            <w:pPr>
              <w:pStyle w:val="TableTextCentered"/>
              <w:rPr>
                <w:rFonts w:eastAsia="Times New Roman"/>
              </w:rPr>
            </w:pPr>
            <w:r w:rsidRPr="008C1E5F">
              <w:rPr>
                <w:rFonts w:eastAsia="Times New Roman"/>
              </w:rPr>
              <w:t>4.3</w:t>
            </w:r>
          </w:p>
        </w:tc>
      </w:tr>
      <w:tr w:rsidR="00344895" w:rsidRPr="00E359BF" w14:paraId="2BA61EAB"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6FAA261A" w14:textId="77777777" w:rsidR="00344895" w:rsidRPr="00E359BF" w:rsidRDefault="00344895" w:rsidP="00344895">
            <w:pPr>
              <w:pStyle w:val="TableText"/>
              <w:ind w:left="204"/>
              <w:rPr>
                <w:b/>
                <w:bCs/>
              </w:rPr>
            </w:pPr>
            <w:r w:rsidRPr="00E359BF">
              <w:t>Teacher Sensitivity</w:t>
            </w:r>
          </w:p>
        </w:tc>
        <w:tc>
          <w:tcPr>
            <w:tcW w:w="708" w:type="dxa"/>
          </w:tcPr>
          <w:p w14:paraId="6D849CDE" w14:textId="55F20D97" w:rsidR="00344895" w:rsidRPr="00E359BF" w:rsidRDefault="00344895" w:rsidP="00344895">
            <w:pPr>
              <w:pStyle w:val="TableTextCentered"/>
              <w:rPr>
                <w:rFonts w:eastAsia="Times New Roman"/>
              </w:rPr>
            </w:pPr>
            <w:r w:rsidRPr="008C1E5F">
              <w:rPr>
                <w:rFonts w:eastAsia="Times New Roman"/>
              </w:rPr>
              <w:t>0</w:t>
            </w:r>
          </w:p>
        </w:tc>
        <w:tc>
          <w:tcPr>
            <w:tcW w:w="708" w:type="dxa"/>
          </w:tcPr>
          <w:p w14:paraId="1382E05F" w14:textId="42004C6C" w:rsidR="00344895" w:rsidRPr="00E359BF" w:rsidRDefault="00344895" w:rsidP="00344895">
            <w:pPr>
              <w:pStyle w:val="TableTextCentered"/>
              <w:rPr>
                <w:rFonts w:eastAsia="Times New Roman"/>
              </w:rPr>
            </w:pPr>
            <w:r w:rsidRPr="008C1E5F">
              <w:rPr>
                <w:rFonts w:eastAsia="Times New Roman"/>
              </w:rPr>
              <w:t>1</w:t>
            </w:r>
          </w:p>
        </w:tc>
        <w:tc>
          <w:tcPr>
            <w:tcW w:w="744" w:type="dxa"/>
          </w:tcPr>
          <w:p w14:paraId="1EE64965" w14:textId="20809AA9" w:rsidR="00344895" w:rsidRPr="00E359BF" w:rsidRDefault="00344895" w:rsidP="00344895">
            <w:pPr>
              <w:pStyle w:val="TableTextCentered"/>
              <w:rPr>
                <w:rFonts w:eastAsia="Times New Roman"/>
              </w:rPr>
            </w:pPr>
            <w:r w:rsidRPr="008C1E5F">
              <w:rPr>
                <w:rFonts w:eastAsia="Times New Roman"/>
              </w:rPr>
              <w:t>2</w:t>
            </w:r>
          </w:p>
        </w:tc>
        <w:tc>
          <w:tcPr>
            <w:tcW w:w="720" w:type="dxa"/>
          </w:tcPr>
          <w:p w14:paraId="039A79F7" w14:textId="00BA0D8E" w:rsidR="00344895" w:rsidRPr="00E359BF" w:rsidRDefault="00344895" w:rsidP="00344895">
            <w:pPr>
              <w:pStyle w:val="TableTextCentered"/>
              <w:rPr>
                <w:rFonts w:eastAsia="Times New Roman"/>
              </w:rPr>
            </w:pPr>
            <w:r w:rsidRPr="008C1E5F">
              <w:rPr>
                <w:rFonts w:eastAsia="Times New Roman"/>
              </w:rPr>
              <w:t>14</w:t>
            </w:r>
          </w:p>
        </w:tc>
        <w:tc>
          <w:tcPr>
            <w:tcW w:w="720" w:type="dxa"/>
          </w:tcPr>
          <w:p w14:paraId="5845BD24" w14:textId="7CA6B0FC" w:rsidR="00344895" w:rsidRPr="00E359BF" w:rsidRDefault="00344895" w:rsidP="00344895">
            <w:pPr>
              <w:pStyle w:val="TableTextCentered"/>
              <w:rPr>
                <w:rFonts w:eastAsia="Times New Roman"/>
              </w:rPr>
            </w:pPr>
            <w:r w:rsidRPr="008C1E5F">
              <w:rPr>
                <w:rFonts w:eastAsia="Times New Roman"/>
              </w:rPr>
              <w:t>26</w:t>
            </w:r>
          </w:p>
        </w:tc>
        <w:tc>
          <w:tcPr>
            <w:tcW w:w="720" w:type="dxa"/>
            <w:vAlign w:val="center"/>
          </w:tcPr>
          <w:p w14:paraId="0675E1B4" w14:textId="21E0C0CA" w:rsidR="00344895" w:rsidRPr="00E359BF" w:rsidRDefault="00344895" w:rsidP="00344895">
            <w:pPr>
              <w:pStyle w:val="TableTextCentered"/>
              <w:rPr>
                <w:rFonts w:eastAsia="Times New Roman"/>
              </w:rPr>
            </w:pPr>
            <w:r w:rsidRPr="008C1E5F">
              <w:rPr>
                <w:rFonts w:eastAsia="Times New Roman"/>
              </w:rPr>
              <w:t>13</w:t>
            </w:r>
          </w:p>
        </w:tc>
        <w:tc>
          <w:tcPr>
            <w:tcW w:w="720" w:type="dxa"/>
            <w:vAlign w:val="center"/>
          </w:tcPr>
          <w:p w14:paraId="73605EC6" w14:textId="4650D388" w:rsidR="00344895" w:rsidRPr="00E359BF" w:rsidRDefault="00344895" w:rsidP="00344895">
            <w:pPr>
              <w:pStyle w:val="TableTextCentered"/>
              <w:rPr>
                <w:rFonts w:eastAsia="Times New Roman"/>
              </w:rPr>
            </w:pPr>
            <w:r w:rsidRPr="008C1E5F">
              <w:rPr>
                <w:rFonts w:eastAsia="Times New Roman"/>
              </w:rPr>
              <w:t>15</w:t>
            </w:r>
          </w:p>
        </w:tc>
        <w:tc>
          <w:tcPr>
            <w:tcW w:w="540" w:type="dxa"/>
          </w:tcPr>
          <w:p w14:paraId="5320CE76" w14:textId="25CFF38E" w:rsidR="00344895" w:rsidRPr="00E359BF" w:rsidRDefault="00344895" w:rsidP="00344895">
            <w:pPr>
              <w:pStyle w:val="TableTextCentered"/>
              <w:rPr>
                <w:rFonts w:eastAsia="Times New Roman"/>
              </w:rPr>
            </w:pPr>
            <w:r w:rsidRPr="008C1E5F">
              <w:rPr>
                <w:rFonts w:eastAsia="Times New Roman"/>
              </w:rPr>
              <w:t>71</w:t>
            </w:r>
          </w:p>
        </w:tc>
        <w:tc>
          <w:tcPr>
            <w:tcW w:w="900" w:type="dxa"/>
          </w:tcPr>
          <w:p w14:paraId="2C9D5A83" w14:textId="35BF5EAF" w:rsidR="00344895" w:rsidRPr="00E359BF" w:rsidRDefault="00344895" w:rsidP="00344895">
            <w:pPr>
              <w:pStyle w:val="TableTextCentered"/>
              <w:rPr>
                <w:rFonts w:eastAsia="Times New Roman"/>
              </w:rPr>
            </w:pPr>
            <w:r w:rsidRPr="008C1E5F">
              <w:rPr>
                <w:rFonts w:eastAsia="Times New Roman"/>
              </w:rPr>
              <w:t>5.3</w:t>
            </w:r>
          </w:p>
        </w:tc>
      </w:tr>
      <w:tr w:rsidR="00344895" w:rsidRPr="00E359BF" w14:paraId="0018476A" w14:textId="77777777">
        <w:tc>
          <w:tcPr>
            <w:tcW w:w="3232" w:type="dxa"/>
            <w:vAlign w:val="center"/>
          </w:tcPr>
          <w:p w14:paraId="1EF3601D" w14:textId="77777777" w:rsidR="00344895" w:rsidRPr="00E359BF" w:rsidRDefault="00344895" w:rsidP="00344895">
            <w:pPr>
              <w:pStyle w:val="TableText"/>
              <w:ind w:left="204"/>
              <w:rPr>
                <w:b/>
                <w:bCs/>
              </w:rPr>
            </w:pPr>
            <w:r w:rsidRPr="00E359BF">
              <w:t>Regard for Student Perspectives</w:t>
            </w:r>
          </w:p>
        </w:tc>
        <w:tc>
          <w:tcPr>
            <w:tcW w:w="708" w:type="dxa"/>
          </w:tcPr>
          <w:p w14:paraId="79BAF1C7" w14:textId="09A04016" w:rsidR="00344895" w:rsidRPr="00E359BF" w:rsidRDefault="00344895" w:rsidP="00344895">
            <w:pPr>
              <w:pStyle w:val="TableTextCentered"/>
              <w:rPr>
                <w:rFonts w:eastAsia="Times New Roman"/>
              </w:rPr>
            </w:pPr>
            <w:r w:rsidRPr="008C1E5F">
              <w:rPr>
                <w:rFonts w:eastAsia="Times New Roman"/>
              </w:rPr>
              <w:t>17</w:t>
            </w:r>
          </w:p>
        </w:tc>
        <w:tc>
          <w:tcPr>
            <w:tcW w:w="708" w:type="dxa"/>
          </w:tcPr>
          <w:p w14:paraId="13DA56CE" w14:textId="63C73DAB" w:rsidR="00344895" w:rsidRPr="00E359BF" w:rsidRDefault="00344895" w:rsidP="00344895">
            <w:pPr>
              <w:pStyle w:val="TableTextCentered"/>
              <w:rPr>
                <w:rFonts w:eastAsia="Times New Roman"/>
              </w:rPr>
            </w:pPr>
            <w:r w:rsidRPr="008C1E5F">
              <w:rPr>
                <w:rFonts w:eastAsia="Times New Roman"/>
              </w:rPr>
              <w:t>24</w:t>
            </w:r>
          </w:p>
        </w:tc>
        <w:tc>
          <w:tcPr>
            <w:tcW w:w="744" w:type="dxa"/>
          </w:tcPr>
          <w:p w14:paraId="3A40EBE3" w14:textId="6D95B35E" w:rsidR="00344895" w:rsidRPr="00E359BF" w:rsidRDefault="00344895" w:rsidP="00344895">
            <w:pPr>
              <w:pStyle w:val="TableTextCentered"/>
              <w:rPr>
                <w:rFonts w:eastAsia="Times New Roman"/>
              </w:rPr>
            </w:pPr>
            <w:r w:rsidRPr="008C1E5F">
              <w:rPr>
                <w:rFonts w:eastAsia="Times New Roman"/>
              </w:rPr>
              <w:t>18</w:t>
            </w:r>
          </w:p>
        </w:tc>
        <w:tc>
          <w:tcPr>
            <w:tcW w:w="720" w:type="dxa"/>
          </w:tcPr>
          <w:p w14:paraId="67A62F24" w14:textId="230F0CB8" w:rsidR="00344895" w:rsidRPr="00E359BF" w:rsidRDefault="00344895" w:rsidP="00344895">
            <w:pPr>
              <w:pStyle w:val="TableTextCentered"/>
              <w:rPr>
                <w:rFonts w:eastAsia="Times New Roman"/>
              </w:rPr>
            </w:pPr>
            <w:r w:rsidRPr="008C1E5F">
              <w:rPr>
                <w:rFonts w:eastAsia="Times New Roman"/>
              </w:rPr>
              <w:t>5</w:t>
            </w:r>
          </w:p>
        </w:tc>
        <w:tc>
          <w:tcPr>
            <w:tcW w:w="720" w:type="dxa"/>
          </w:tcPr>
          <w:p w14:paraId="6D6B6373" w14:textId="1367B428" w:rsidR="00344895" w:rsidRPr="00E359BF" w:rsidRDefault="00344895" w:rsidP="00344895">
            <w:pPr>
              <w:pStyle w:val="TableTextCentered"/>
              <w:rPr>
                <w:rFonts w:eastAsia="Times New Roman"/>
              </w:rPr>
            </w:pPr>
            <w:r w:rsidRPr="008C1E5F">
              <w:rPr>
                <w:rFonts w:eastAsia="Times New Roman"/>
              </w:rPr>
              <w:t>6</w:t>
            </w:r>
          </w:p>
        </w:tc>
        <w:tc>
          <w:tcPr>
            <w:tcW w:w="720" w:type="dxa"/>
            <w:vAlign w:val="center"/>
          </w:tcPr>
          <w:p w14:paraId="4BD317C8" w14:textId="0C7716AF" w:rsidR="00344895" w:rsidRPr="00E359BF" w:rsidRDefault="00344895" w:rsidP="00344895">
            <w:pPr>
              <w:pStyle w:val="TableTextCentered"/>
              <w:rPr>
                <w:rFonts w:eastAsia="Times New Roman"/>
              </w:rPr>
            </w:pPr>
            <w:r w:rsidRPr="008C1E5F">
              <w:rPr>
                <w:rFonts w:eastAsia="Times New Roman"/>
              </w:rPr>
              <w:t>0</w:t>
            </w:r>
          </w:p>
        </w:tc>
        <w:tc>
          <w:tcPr>
            <w:tcW w:w="720" w:type="dxa"/>
            <w:vAlign w:val="center"/>
          </w:tcPr>
          <w:p w14:paraId="7C4427CC" w14:textId="4FADFB3C" w:rsidR="00344895" w:rsidRPr="00E359BF" w:rsidRDefault="00344895" w:rsidP="00344895">
            <w:pPr>
              <w:pStyle w:val="TableTextCentered"/>
              <w:rPr>
                <w:rFonts w:eastAsia="Times New Roman"/>
              </w:rPr>
            </w:pPr>
            <w:r w:rsidRPr="008C1E5F">
              <w:rPr>
                <w:rFonts w:eastAsia="Times New Roman"/>
              </w:rPr>
              <w:t>1</w:t>
            </w:r>
          </w:p>
        </w:tc>
        <w:tc>
          <w:tcPr>
            <w:tcW w:w="540" w:type="dxa"/>
          </w:tcPr>
          <w:p w14:paraId="5DB7BCA3" w14:textId="608C0775" w:rsidR="00344895" w:rsidRPr="00E359BF" w:rsidRDefault="00344895" w:rsidP="00344895">
            <w:pPr>
              <w:pStyle w:val="TableTextCentered"/>
              <w:rPr>
                <w:rFonts w:eastAsia="Times New Roman"/>
              </w:rPr>
            </w:pPr>
            <w:r w:rsidRPr="008C1E5F">
              <w:rPr>
                <w:rFonts w:eastAsia="Times New Roman"/>
              </w:rPr>
              <w:t>71</w:t>
            </w:r>
          </w:p>
        </w:tc>
        <w:tc>
          <w:tcPr>
            <w:tcW w:w="900" w:type="dxa"/>
          </w:tcPr>
          <w:p w14:paraId="6CCC990C" w14:textId="77070B76" w:rsidR="00344895" w:rsidRPr="00E359BF" w:rsidRDefault="00344895" w:rsidP="00344895">
            <w:pPr>
              <w:pStyle w:val="TableTextCentered"/>
              <w:rPr>
                <w:rFonts w:eastAsia="Times New Roman"/>
              </w:rPr>
            </w:pPr>
            <w:r w:rsidRPr="008C1E5F">
              <w:rPr>
                <w:rFonts w:eastAsia="Times New Roman"/>
              </w:rPr>
              <w:t>2.5</w:t>
            </w:r>
          </w:p>
        </w:tc>
      </w:tr>
      <w:tr w:rsidR="00344895" w:rsidRPr="00E359BF" w14:paraId="57AFACEE"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3E787045" w14:textId="77777777" w:rsidR="00344895" w:rsidRPr="00E359BF" w:rsidRDefault="00344895" w:rsidP="00344895">
            <w:pPr>
              <w:pStyle w:val="TableSubheading"/>
              <w:rPr>
                <w:szCs w:val="20"/>
              </w:rPr>
            </w:pPr>
            <w:r w:rsidRPr="00E359BF">
              <w:t>Classroom Organization Domain</w:t>
            </w:r>
          </w:p>
        </w:tc>
        <w:tc>
          <w:tcPr>
            <w:tcW w:w="708" w:type="dxa"/>
          </w:tcPr>
          <w:p w14:paraId="2D77DAD7" w14:textId="644FA6A6" w:rsidR="00344895" w:rsidRPr="00E359BF" w:rsidRDefault="00344895" w:rsidP="00344895">
            <w:pPr>
              <w:pStyle w:val="TableTextCenteredDemi"/>
              <w:rPr>
                <w:rFonts w:eastAsia="Times New Roman"/>
              </w:rPr>
            </w:pPr>
            <w:r w:rsidRPr="008C1E5F">
              <w:rPr>
                <w:rFonts w:eastAsia="Times New Roman"/>
              </w:rPr>
              <w:t>0</w:t>
            </w:r>
          </w:p>
        </w:tc>
        <w:tc>
          <w:tcPr>
            <w:tcW w:w="708" w:type="dxa"/>
          </w:tcPr>
          <w:p w14:paraId="6A132E10" w14:textId="5EB92703" w:rsidR="00344895" w:rsidRPr="00E359BF" w:rsidRDefault="00344895" w:rsidP="00344895">
            <w:pPr>
              <w:pStyle w:val="TableTextCenteredDemi"/>
              <w:rPr>
                <w:rFonts w:eastAsia="Times New Roman"/>
              </w:rPr>
            </w:pPr>
            <w:r w:rsidRPr="008C1E5F">
              <w:rPr>
                <w:rFonts w:eastAsia="Times New Roman"/>
              </w:rPr>
              <w:t>4</w:t>
            </w:r>
          </w:p>
        </w:tc>
        <w:tc>
          <w:tcPr>
            <w:tcW w:w="744" w:type="dxa"/>
          </w:tcPr>
          <w:p w14:paraId="7CDB1258" w14:textId="001A8FD6" w:rsidR="00344895" w:rsidRPr="00E359BF" w:rsidRDefault="00344895" w:rsidP="00344895">
            <w:pPr>
              <w:pStyle w:val="TableTextCenteredDemi"/>
              <w:rPr>
                <w:rFonts w:eastAsia="Times New Roman"/>
              </w:rPr>
            </w:pPr>
            <w:r w:rsidRPr="008C1E5F">
              <w:rPr>
                <w:rFonts w:eastAsia="Times New Roman"/>
              </w:rPr>
              <w:t>8</w:t>
            </w:r>
          </w:p>
        </w:tc>
        <w:tc>
          <w:tcPr>
            <w:tcW w:w="720" w:type="dxa"/>
          </w:tcPr>
          <w:p w14:paraId="7B5BC7CE" w14:textId="160CADE1" w:rsidR="00344895" w:rsidRPr="00E359BF" w:rsidRDefault="00344895" w:rsidP="00344895">
            <w:pPr>
              <w:pStyle w:val="TableTextCenteredDemi"/>
              <w:rPr>
                <w:rFonts w:eastAsia="Times New Roman"/>
              </w:rPr>
            </w:pPr>
            <w:r w:rsidRPr="008C1E5F">
              <w:rPr>
                <w:rFonts w:eastAsia="Times New Roman"/>
              </w:rPr>
              <w:t>12</w:t>
            </w:r>
          </w:p>
        </w:tc>
        <w:tc>
          <w:tcPr>
            <w:tcW w:w="720" w:type="dxa"/>
          </w:tcPr>
          <w:p w14:paraId="0B0D2433" w14:textId="7F775FDC" w:rsidR="00344895" w:rsidRPr="00E359BF" w:rsidRDefault="00344895" w:rsidP="00344895">
            <w:pPr>
              <w:pStyle w:val="TableTextCenteredDemi"/>
              <w:rPr>
                <w:rFonts w:eastAsia="Times New Roman"/>
              </w:rPr>
            </w:pPr>
            <w:r w:rsidRPr="008C1E5F">
              <w:rPr>
                <w:rFonts w:eastAsia="Times New Roman"/>
              </w:rPr>
              <w:t>24</w:t>
            </w:r>
          </w:p>
        </w:tc>
        <w:tc>
          <w:tcPr>
            <w:tcW w:w="720" w:type="dxa"/>
            <w:vAlign w:val="center"/>
          </w:tcPr>
          <w:p w14:paraId="12325D78" w14:textId="21A5824D" w:rsidR="00344895" w:rsidRPr="00E359BF" w:rsidRDefault="00344895" w:rsidP="00344895">
            <w:pPr>
              <w:pStyle w:val="TableTextCenteredDemi"/>
              <w:rPr>
                <w:rFonts w:eastAsia="Times New Roman"/>
              </w:rPr>
            </w:pPr>
            <w:r w:rsidRPr="008C1E5F">
              <w:rPr>
                <w:rFonts w:eastAsia="Times New Roman"/>
              </w:rPr>
              <w:t>48</w:t>
            </w:r>
          </w:p>
        </w:tc>
        <w:tc>
          <w:tcPr>
            <w:tcW w:w="720" w:type="dxa"/>
            <w:vAlign w:val="center"/>
          </w:tcPr>
          <w:p w14:paraId="31388D20" w14:textId="658487EE" w:rsidR="00344895" w:rsidRPr="00E359BF" w:rsidRDefault="00344895" w:rsidP="00344895">
            <w:pPr>
              <w:pStyle w:val="TableTextCenteredDemi"/>
              <w:rPr>
                <w:rFonts w:eastAsia="Times New Roman"/>
              </w:rPr>
            </w:pPr>
            <w:r w:rsidRPr="008C1E5F">
              <w:rPr>
                <w:rFonts w:eastAsia="Times New Roman"/>
              </w:rPr>
              <w:t>117</w:t>
            </w:r>
          </w:p>
        </w:tc>
        <w:tc>
          <w:tcPr>
            <w:tcW w:w="540" w:type="dxa"/>
          </w:tcPr>
          <w:p w14:paraId="618AD7DE" w14:textId="285FAC00" w:rsidR="00344895" w:rsidRPr="00E359BF" w:rsidRDefault="00344895" w:rsidP="00344895">
            <w:pPr>
              <w:pStyle w:val="TableTextCenteredDemi"/>
              <w:rPr>
                <w:rFonts w:eastAsia="Times New Roman"/>
              </w:rPr>
            </w:pPr>
            <w:r w:rsidRPr="008C1E5F">
              <w:rPr>
                <w:rFonts w:eastAsia="Times New Roman"/>
              </w:rPr>
              <w:t>213</w:t>
            </w:r>
          </w:p>
        </w:tc>
        <w:tc>
          <w:tcPr>
            <w:tcW w:w="900" w:type="dxa"/>
          </w:tcPr>
          <w:p w14:paraId="26885849" w14:textId="79563D1C" w:rsidR="00344895" w:rsidRPr="00E359BF" w:rsidRDefault="00344895" w:rsidP="00344895">
            <w:pPr>
              <w:pStyle w:val="TableTextCenteredDemi"/>
              <w:rPr>
                <w:rFonts w:eastAsia="Times New Roman"/>
              </w:rPr>
            </w:pPr>
            <w:r w:rsidRPr="008C1E5F">
              <w:rPr>
                <w:rFonts w:eastAsia="Times New Roman"/>
              </w:rPr>
              <w:t>6.1</w:t>
            </w:r>
          </w:p>
        </w:tc>
      </w:tr>
      <w:tr w:rsidR="00344895" w:rsidRPr="00E359BF" w14:paraId="4798A5E9" w14:textId="77777777">
        <w:tc>
          <w:tcPr>
            <w:tcW w:w="3232" w:type="dxa"/>
            <w:vAlign w:val="center"/>
          </w:tcPr>
          <w:p w14:paraId="0989FA16" w14:textId="77777777" w:rsidR="00344895" w:rsidRPr="00E359BF" w:rsidRDefault="00344895" w:rsidP="00344895">
            <w:pPr>
              <w:pStyle w:val="TableText"/>
              <w:ind w:left="204"/>
              <w:rPr>
                <w:b/>
                <w:bCs/>
              </w:rPr>
            </w:pPr>
            <w:r w:rsidRPr="00E359BF">
              <w:t>Behavior Management</w:t>
            </w:r>
          </w:p>
        </w:tc>
        <w:tc>
          <w:tcPr>
            <w:tcW w:w="708" w:type="dxa"/>
          </w:tcPr>
          <w:p w14:paraId="0D4BC662" w14:textId="7C735574" w:rsidR="00344895" w:rsidRPr="00E359BF" w:rsidRDefault="00344895" w:rsidP="00344895">
            <w:pPr>
              <w:pStyle w:val="TableTextCentered"/>
              <w:rPr>
                <w:rFonts w:eastAsia="Times New Roman"/>
              </w:rPr>
            </w:pPr>
            <w:r w:rsidRPr="008C1E5F">
              <w:rPr>
                <w:rFonts w:eastAsia="Times New Roman"/>
              </w:rPr>
              <w:t>0</w:t>
            </w:r>
          </w:p>
        </w:tc>
        <w:tc>
          <w:tcPr>
            <w:tcW w:w="708" w:type="dxa"/>
          </w:tcPr>
          <w:p w14:paraId="2F064D68" w14:textId="6FA22DC3" w:rsidR="00344895" w:rsidRPr="00E359BF" w:rsidRDefault="00344895" w:rsidP="00344895">
            <w:pPr>
              <w:pStyle w:val="TableTextCentered"/>
              <w:rPr>
                <w:rFonts w:eastAsia="Times New Roman"/>
              </w:rPr>
            </w:pPr>
            <w:r w:rsidRPr="008C1E5F">
              <w:rPr>
                <w:rFonts w:eastAsia="Times New Roman"/>
              </w:rPr>
              <w:t>3</w:t>
            </w:r>
          </w:p>
        </w:tc>
        <w:tc>
          <w:tcPr>
            <w:tcW w:w="744" w:type="dxa"/>
          </w:tcPr>
          <w:p w14:paraId="1FD46447" w14:textId="3BC27DF6" w:rsidR="00344895" w:rsidRPr="00E359BF" w:rsidRDefault="00344895" w:rsidP="00344895">
            <w:pPr>
              <w:pStyle w:val="TableTextCentered"/>
              <w:rPr>
                <w:rFonts w:eastAsia="Times New Roman"/>
              </w:rPr>
            </w:pPr>
            <w:r w:rsidRPr="008C1E5F">
              <w:rPr>
                <w:rFonts w:eastAsia="Times New Roman"/>
              </w:rPr>
              <w:t>7</w:t>
            </w:r>
          </w:p>
        </w:tc>
        <w:tc>
          <w:tcPr>
            <w:tcW w:w="720" w:type="dxa"/>
          </w:tcPr>
          <w:p w14:paraId="3217B4F0" w14:textId="2F672467" w:rsidR="00344895" w:rsidRPr="00E359BF" w:rsidRDefault="00344895" w:rsidP="00344895">
            <w:pPr>
              <w:pStyle w:val="TableTextCentered"/>
              <w:rPr>
                <w:rFonts w:eastAsia="Times New Roman"/>
              </w:rPr>
            </w:pPr>
            <w:r w:rsidRPr="008C1E5F">
              <w:rPr>
                <w:rFonts w:eastAsia="Times New Roman"/>
              </w:rPr>
              <w:t>5</w:t>
            </w:r>
          </w:p>
        </w:tc>
        <w:tc>
          <w:tcPr>
            <w:tcW w:w="720" w:type="dxa"/>
          </w:tcPr>
          <w:p w14:paraId="5285170E" w14:textId="22EC5BB0" w:rsidR="00344895" w:rsidRPr="00E359BF" w:rsidRDefault="00344895" w:rsidP="00344895">
            <w:pPr>
              <w:pStyle w:val="TableTextCentered"/>
              <w:rPr>
                <w:rFonts w:eastAsia="Times New Roman"/>
              </w:rPr>
            </w:pPr>
            <w:r w:rsidRPr="008C1E5F">
              <w:rPr>
                <w:rFonts w:eastAsia="Times New Roman"/>
              </w:rPr>
              <w:t>15</w:t>
            </w:r>
          </w:p>
        </w:tc>
        <w:tc>
          <w:tcPr>
            <w:tcW w:w="720" w:type="dxa"/>
            <w:vAlign w:val="center"/>
          </w:tcPr>
          <w:p w14:paraId="56D252F2" w14:textId="6086215D" w:rsidR="00344895" w:rsidRPr="00E359BF" w:rsidRDefault="00344895" w:rsidP="00344895">
            <w:pPr>
              <w:pStyle w:val="TableTextCentered"/>
              <w:rPr>
                <w:rFonts w:eastAsia="Times New Roman"/>
              </w:rPr>
            </w:pPr>
            <w:r w:rsidRPr="008C1E5F">
              <w:rPr>
                <w:rFonts w:eastAsia="Times New Roman"/>
              </w:rPr>
              <w:t>20</w:t>
            </w:r>
          </w:p>
        </w:tc>
        <w:tc>
          <w:tcPr>
            <w:tcW w:w="720" w:type="dxa"/>
            <w:vAlign w:val="center"/>
          </w:tcPr>
          <w:p w14:paraId="5DC4E61A" w14:textId="14BACFFE" w:rsidR="00344895" w:rsidRPr="00E359BF" w:rsidRDefault="00344895" w:rsidP="00344895">
            <w:pPr>
              <w:pStyle w:val="TableTextCentered"/>
              <w:rPr>
                <w:rFonts w:eastAsia="Times New Roman"/>
              </w:rPr>
            </w:pPr>
            <w:r w:rsidRPr="008C1E5F">
              <w:rPr>
                <w:rFonts w:eastAsia="Times New Roman"/>
              </w:rPr>
              <w:t>21</w:t>
            </w:r>
          </w:p>
        </w:tc>
        <w:tc>
          <w:tcPr>
            <w:tcW w:w="540" w:type="dxa"/>
          </w:tcPr>
          <w:p w14:paraId="65BC6BA1" w14:textId="5DCA09A1" w:rsidR="00344895" w:rsidRPr="00E359BF" w:rsidRDefault="00344895" w:rsidP="00344895">
            <w:pPr>
              <w:pStyle w:val="TableTextCentered"/>
              <w:rPr>
                <w:rFonts w:eastAsia="Times New Roman"/>
              </w:rPr>
            </w:pPr>
            <w:r w:rsidRPr="008C1E5F">
              <w:rPr>
                <w:rFonts w:eastAsia="Times New Roman"/>
              </w:rPr>
              <w:t>71</w:t>
            </w:r>
          </w:p>
        </w:tc>
        <w:tc>
          <w:tcPr>
            <w:tcW w:w="900" w:type="dxa"/>
          </w:tcPr>
          <w:p w14:paraId="0879E6D1" w14:textId="2AE054D5" w:rsidR="00344895" w:rsidRPr="00E359BF" w:rsidRDefault="00344895" w:rsidP="00344895">
            <w:pPr>
              <w:pStyle w:val="TableTextCentered"/>
              <w:rPr>
                <w:rFonts w:eastAsia="Times New Roman"/>
              </w:rPr>
            </w:pPr>
            <w:r w:rsidRPr="008C1E5F">
              <w:rPr>
                <w:rFonts w:eastAsia="Times New Roman"/>
              </w:rPr>
              <w:t>5.5</w:t>
            </w:r>
          </w:p>
        </w:tc>
      </w:tr>
      <w:tr w:rsidR="00344895" w:rsidRPr="00E359BF" w14:paraId="39D3EBC8"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4621A825" w14:textId="77777777" w:rsidR="00344895" w:rsidRPr="00E359BF" w:rsidRDefault="00344895" w:rsidP="00344895">
            <w:pPr>
              <w:pStyle w:val="TableText"/>
              <w:ind w:left="204"/>
              <w:rPr>
                <w:b/>
                <w:bCs/>
              </w:rPr>
            </w:pPr>
            <w:r w:rsidRPr="00E359BF">
              <w:t>Productivity</w:t>
            </w:r>
          </w:p>
        </w:tc>
        <w:tc>
          <w:tcPr>
            <w:tcW w:w="708" w:type="dxa"/>
          </w:tcPr>
          <w:p w14:paraId="143C7EBE" w14:textId="7B234611" w:rsidR="00344895" w:rsidRPr="00E359BF" w:rsidRDefault="00344895" w:rsidP="00344895">
            <w:pPr>
              <w:pStyle w:val="TableTextCentered"/>
              <w:rPr>
                <w:rFonts w:eastAsia="Times New Roman"/>
              </w:rPr>
            </w:pPr>
            <w:r w:rsidRPr="008C1E5F">
              <w:rPr>
                <w:rFonts w:eastAsia="Times New Roman"/>
              </w:rPr>
              <w:t>0</w:t>
            </w:r>
          </w:p>
        </w:tc>
        <w:tc>
          <w:tcPr>
            <w:tcW w:w="708" w:type="dxa"/>
          </w:tcPr>
          <w:p w14:paraId="6FD6F6B1" w14:textId="13440073" w:rsidR="00344895" w:rsidRPr="00E359BF" w:rsidRDefault="00344895" w:rsidP="00344895">
            <w:pPr>
              <w:pStyle w:val="TableTextCentered"/>
              <w:rPr>
                <w:rFonts w:eastAsia="Times New Roman"/>
              </w:rPr>
            </w:pPr>
            <w:r w:rsidRPr="008C1E5F">
              <w:rPr>
                <w:rFonts w:eastAsia="Times New Roman"/>
              </w:rPr>
              <w:t>0</w:t>
            </w:r>
          </w:p>
        </w:tc>
        <w:tc>
          <w:tcPr>
            <w:tcW w:w="744" w:type="dxa"/>
          </w:tcPr>
          <w:p w14:paraId="24C2E2EE" w14:textId="32D20270" w:rsidR="00344895" w:rsidRPr="00E359BF" w:rsidRDefault="00344895" w:rsidP="00344895">
            <w:pPr>
              <w:pStyle w:val="TableTextCentered"/>
              <w:rPr>
                <w:rFonts w:eastAsia="Times New Roman"/>
              </w:rPr>
            </w:pPr>
            <w:r w:rsidRPr="008C1E5F">
              <w:rPr>
                <w:rFonts w:eastAsia="Times New Roman"/>
              </w:rPr>
              <w:t>0</w:t>
            </w:r>
          </w:p>
        </w:tc>
        <w:tc>
          <w:tcPr>
            <w:tcW w:w="720" w:type="dxa"/>
          </w:tcPr>
          <w:p w14:paraId="63889D66" w14:textId="3DB4412E" w:rsidR="00344895" w:rsidRPr="00E359BF" w:rsidRDefault="00344895" w:rsidP="00344895">
            <w:pPr>
              <w:pStyle w:val="TableTextCentered"/>
              <w:rPr>
                <w:rFonts w:eastAsia="Times New Roman"/>
              </w:rPr>
            </w:pPr>
            <w:r w:rsidRPr="008C1E5F">
              <w:rPr>
                <w:rFonts w:eastAsia="Times New Roman"/>
              </w:rPr>
              <w:t>4</w:t>
            </w:r>
          </w:p>
        </w:tc>
        <w:tc>
          <w:tcPr>
            <w:tcW w:w="720" w:type="dxa"/>
          </w:tcPr>
          <w:p w14:paraId="0B0B4333" w14:textId="473547EB" w:rsidR="00344895" w:rsidRPr="00E359BF" w:rsidRDefault="00344895" w:rsidP="00344895">
            <w:pPr>
              <w:pStyle w:val="TableTextCentered"/>
              <w:rPr>
                <w:rFonts w:eastAsia="Times New Roman"/>
              </w:rPr>
            </w:pPr>
            <w:r w:rsidRPr="008C1E5F">
              <w:rPr>
                <w:rFonts w:eastAsia="Times New Roman"/>
              </w:rPr>
              <w:t>6</w:t>
            </w:r>
          </w:p>
        </w:tc>
        <w:tc>
          <w:tcPr>
            <w:tcW w:w="720" w:type="dxa"/>
            <w:vAlign w:val="center"/>
          </w:tcPr>
          <w:p w14:paraId="4A1DB9A5" w14:textId="6214E3C7" w:rsidR="00344895" w:rsidRPr="00E359BF" w:rsidRDefault="00344895" w:rsidP="00344895">
            <w:pPr>
              <w:pStyle w:val="TableTextCentered"/>
              <w:rPr>
                <w:rFonts w:eastAsia="Times New Roman"/>
              </w:rPr>
            </w:pPr>
            <w:r w:rsidRPr="008C1E5F">
              <w:rPr>
                <w:rFonts w:eastAsia="Times New Roman"/>
              </w:rPr>
              <w:t>11</w:t>
            </w:r>
          </w:p>
        </w:tc>
        <w:tc>
          <w:tcPr>
            <w:tcW w:w="720" w:type="dxa"/>
            <w:vAlign w:val="center"/>
          </w:tcPr>
          <w:p w14:paraId="7167B8AB" w14:textId="5673283A" w:rsidR="00344895" w:rsidRPr="00E359BF" w:rsidRDefault="00344895" w:rsidP="00344895">
            <w:pPr>
              <w:pStyle w:val="TableTextCentered"/>
              <w:rPr>
                <w:rFonts w:eastAsia="Times New Roman"/>
              </w:rPr>
            </w:pPr>
            <w:r w:rsidRPr="008C1E5F">
              <w:rPr>
                <w:rFonts w:eastAsia="Times New Roman"/>
              </w:rPr>
              <w:t>50</w:t>
            </w:r>
          </w:p>
        </w:tc>
        <w:tc>
          <w:tcPr>
            <w:tcW w:w="540" w:type="dxa"/>
          </w:tcPr>
          <w:p w14:paraId="33246E22" w14:textId="1ADB183B" w:rsidR="00344895" w:rsidRPr="00E359BF" w:rsidRDefault="00344895" w:rsidP="00344895">
            <w:pPr>
              <w:pStyle w:val="TableTextCentered"/>
              <w:rPr>
                <w:rFonts w:eastAsia="Times New Roman"/>
              </w:rPr>
            </w:pPr>
            <w:r w:rsidRPr="008C1E5F">
              <w:rPr>
                <w:rFonts w:eastAsia="Times New Roman"/>
              </w:rPr>
              <w:t>71</w:t>
            </w:r>
          </w:p>
        </w:tc>
        <w:tc>
          <w:tcPr>
            <w:tcW w:w="900" w:type="dxa"/>
          </w:tcPr>
          <w:p w14:paraId="17A1EB7D" w14:textId="623D5D22" w:rsidR="00344895" w:rsidRPr="00E359BF" w:rsidRDefault="00344895" w:rsidP="00344895">
            <w:pPr>
              <w:pStyle w:val="TableTextCentered"/>
              <w:rPr>
                <w:rFonts w:eastAsia="Times New Roman"/>
              </w:rPr>
            </w:pPr>
            <w:r w:rsidRPr="008C1E5F">
              <w:rPr>
                <w:rFonts w:eastAsia="Times New Roman"/>
              </w:rPr>
              <w:t>6.5</w:t>
            </w:r>
          </w:p>
        </w:tc>
      </w:tr>
      <w:tr w:rsidR="00344895" w:rsidRPr="00E359BF" w14:paraId="2DACBBC0" w14:textId="77777777">
        <w:tc>
          <w:tcPr>
            <w:tcW w:w="3232" w:type="dxa"/>
            <w:vAlign w:val="center"/>
          </w:tcPr>
          <w:p w14:paraId="12093B8A" w14:textId="77777777" w:rsidR="00344895" w:rsidRPr="00E359BF" w:rsidRDefault="00344895" w:rsidP="00344895">
            <w:pPr>
              <w:pStyle w:val="TableText"/>
              <w:ind w:left="204"/>
              <w:rPr>
                <w:b/>
                <w:bCs/>
              </w:rPr>
            </w:pPr>
            <w:r w:rsidRPr="00D931E1">
              <w:t>Negative Climate</w:t>
            </w:r>
            <w:r>
              <w:t>**</w:t>
            </w:r>
          </w:p>
        </w:tc>
        <w:tc>
          <w:tcPr>
            <w:tcW w:w="708" w:type="dxa"/>
          </w:tcPr>
          <w:p w14:paraId="073DD57C" w14:textId="672AC90D" w:rsidR="00344895" w:rsidRPr="00E359BF" w:rsidRDefault="00344895" w:rsidP="00344895">
            <w:pPr>
              <w:pStyle w:val="TableTextCentered"/>
              <w:rPr>
                <w:rFonts w:eastAsia="Times New Roman"/>
              </w:rPr>
            </w:pPr>
            <w:r w:rsidRPr="008C1E5F">
              <w:rPr>
                <w:rFonts w:eastAsia="Times New Roman"/>
              </w:rPr>
              <w:t>0</w:t>
            </w:r>
          </w:p>
        </w:tc>
        <w:tc>
          <w:tcPr>
            <w:tcW w:w="708" w:type="dxa"/>
          </w:tcPr>
          <w:p w14:paraId="6A3399EF" w14:textId="6F6FE08B" w:rsidR="00344895" w:rsidRPr="00E359BF" w:rsidRDefault="00344895" w:rsidP="00344895">
            <w:pPr>
              <w:pStyle w:val="TableTextCentered"/>
              <w:rPr>
                <w:rFonts w:eastAsia="Times New Roman"/>
              </w:rPr>
            </w:pPr>
            <w:r w:rsidRPr="008C1E5F">
              <w:rPr>
                <w:rFonts w:eastAsia="Times New Roman"/>
              </w:rPr>
              <w:t>1</w:t>
            </w:r>
          </w:p>
        </w:tc>
        <w:tc>
          <w:tcPr>
            <w:tcW w:w="744" w:type="dxa"/>
          </w:tcPr>
          <w:p w14:paraId="58A56640" w14:textId="3206391F" w:rsidR="00344895" w:rsidRPr="00E359BF" w:rsidRDefault="00344895" w:rsidP="00344895">
            <w:pPr>
              <w:pStyle w:val="TableTextCentered"/>
              <w:rPr>
                <w:rFonts w:eastAsia="Times New Roman"/>
              </w:rPr>
            </w:pPr>
            <w:r w:rsidRPr="008C1E5F">
              <w:rPr>
                <w:rFonts w:eastAsia="Times New Roman"/>
              </w:rPr>
              <w:t>1</w:t>
            </w:r>
          </w:p>
        </w:tc>
        <w:tc>
          <w:tcPr>
            <w:tcW w:w="720" w:type="dxa"/>
          </w:tcPr>
          <w:p w14:paraId="5C508BD3" w14:textId="33CA2138" w:rsidR="00344895" w:rsidRPr="00E359BF" w:rsidRDefault="00344895" w:rsidP="00344895">
            <w:pPr>
              <w:pStyle w:val="TableTextCentered"/>
              <w:rPr>
                <w:rFonts w:eastAsia="Times New Roman"/>
              </w:rPr>
            </w:pPr>
            <w:r w:rsidRPr="008C1E5F">
              <w:rPr>
                <w:rFonts w:eastAsia="Times New Roman"/>
              </w:rPr>
              <w:t>3</w:t>
            </w:r>
          </w:p>
        </w:tc>
        <w:tc>
          <w:tcPr>
            <w:tcW w:w="720" w:type="dxa"/>
          </w:tcPr>
          <w:p w14:paraId="1911110B" w14:textId="6C693BB4" w:rsidR="00344895" w:rsidRPr="00E359BF" w:rsidRDefault="00344895" w:rsidP="00344895">
            <w:pPr>
              <w:pStyle w:val="TableTextCentered"/>
              <w:rPr>
                <w:rFonts w:eastAsia="Times New Roman"/>
              </w:rPr>
            </w:pPr>
            <w:r w:rsidRPr="008C1E5F">
              <w:rPr>
                <w:rFonts w:eastAsia="Times New Roman"/>
              </w:rPr>
              <w:t>3</w:t>
            </w:r>
          </w:p>
        </w:tc>
        <w:tc>
          <w:tcPr>
            <w:tcW w:w="720" w:type="dxa"/>
            <w:vAlign w:val="center"/>
          </w:tcPr>
          <w:p w14:paraId="3EC7A258" w14:textId="1C246AD8" w:rsidR="00344895" w:rsidRPr="00E359BF" w:rsidRDefault="00344895" w:rsidP="00344895">
            <w:pPr>
              <w:pStyle w:val="TableTextCentered"/>
              <w:rPr>
                <w:rFonts w:eastAsia="Times New Roman"/>
              </w:rPr>
            </w:pPr>
            <w:r w:rsidRPr="008C1E5F">
              <w:rPr>
                <w:rFonts w:eastAsia="Times New Roman"/>
              </w:rPr>
              <w:t>17</w:t>
            </w:r>
          </w:p>
        </w:tc>
        <w:tc>
          <w:tcPr>
            <w:tcW w:w="720" w:type="dxa"/>
            <w:vAlign w:val="center"/>
          </w:tcPr>
          <w:p w14:paraId="0BABF186" w14:textId="3C239D16" w:rsidR="00344895" w:rsidRPr="00E359BF" w:rsidRDefault="00344895" w:rsidP="00344895">
            <w:pPr>
              <w:pStyle w:val="TableTextCentered"/>
              <w:rPr>
                <w:rFonts w:eastAsia="Times New Roman"/>
              </w:rPr>
            </w:pPr>
            <w:r w:rsidRPr="008C1E5F">
              <w:rPr>
                <w:rFonts w:eastAsia="Times New Roman"/>
              </w:rPr>
              <w:t>46</w:t>
            </w:r>
          </w:p>
        </w:tc>
        <w:tc>
          <w:tcPr>
            <w:tcW w:w="540" w:type="dxa"/>
          </w:tcPr>
          <w:p w14:paraId="5E5D5634" w14:textId="3D4E2CCF" w:rsidR="00344895" w:rsidRPr="00E359BF" w:rsidRDefault="00344895" w:rsidP="00344895">
            <w:pPr>
              <w:pStyle w:val="TableTextCentered"/>
              <w:rPr>
                <w:rFonts w:eastAsia="Times New Roman"/>
              </w:rPr>
            </w:pPr>
            <w:r w:rsidRPr="008C1E5F">
              <w:rPr>
                <w:rFonts w:eastAsia="Times New Roman"/>
              </w:rPr>
              <w:t>71</w:t>
            </w:r>
          </w:p>
        </w:tc>
        <w:tc>
          <w:tcPr>
            <w:tcW w:w="900" w:type="dxa"/>
          </w:tcPr>
          <w:p w14:paraId="3DC0EF65" w14:textId="7B19D68A" w:rsidR="00344895" w:rsidRPr="00E359BF" w:rsidRDefault="00344895" w:rsidP="00344895">
            <w:pPr>
              <w:pStyle w:val="TableTextCentered"/>
              <w:rPr>
                <w:rFonts w:eastAsia="Times New Roman"/>
              </w:rPr>
            </w:pPr>
            <w:r w:rsidRPr="008C1E5F">
              <w:rPr>
                <w:rFonts w:eastAsia="Times New Roman"/>
              </w:rPr>
              <w:t>6.4</w:t>
            </w:r>
          </w:p>
        </w:tc>
      </w:tr>
      <w:tr w:rsidR="00344895" w:rsidRPr="00E359BF" w14:paraId="5E99457C"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56AB8838" w14:textId="77777777" w:rsidR="00344895" w:rsidRPr="00E359BF" w:rsidRDefault="00344895" w:rsidP="00344895">
            <w:pPr>
              <w:pStyle w:val="TableSubheading"/>
              <w:rPr>
                <w:szCs w:val="20"/>
              </w:rPr>
            </w:pPr>
            <w:r w:rsidRPr="00E359BF">
              <w:t>Instructional Support Domain</w:t>
            </w:r>
          </w:p>
        </w:tc>
        <w:tc>
          <w:tcPr>
            <w:tcW w:w="708" w:type="dxa"/>
          </w:tcPr>
          <w:p w14:paraId="0D95B386" w14:textId="29486811" w:rsidR="00344895" w:rsidRPr="00E359BF" w:rsidRDefault="00344895" w:rsidP="00344895">
            <w:pPr>
              <w:pStyle w:val="TableTextCenteredDemi"/>
              <w:rPr>
                <w:rFonts w:eastAsia="Times New Roman"/>
              </w:rPr>
            </w:pPr>
            <w:r w:rsidRPr="008C1E5F">
              <w:rPr>
                <w:rFonts w:eastAsia="Times New Roman"/>
              </w:rPr>
              <w:t>44</w:t>
            </w:r>
          </w:p>
        </w:tc>
        <w:tc>
          <w:tcPr>
            <w:tcW w:w="708" w:type="dxa"/>
          </w:tcPr>
          <w:p w14:paraId="4314D3BA" w14:textId="59CD186F" w:rsidR="00344895" w:rsidRPr="00E359BF" w:rsidRDefault="00344895" w:rsidP="00344895">
            <w:pPr>
              <w:pStyle w:val="TableTextCenteredDemi"/>
              <w:rPr>
                <w:rFonts w:eastAsia="Times New Roman"/>
              </w:rPr>
            </w:pPr>
            <w:r w:rsidRPr="008C1E5F">
              <w:rPr>
                <w:rFonts w:eastAsia="Times New Roman"/>
              </w:rPr>
              <w:t>58</w:t>
            </w:r>
          </w:p>
        </w:tc>
        <w:tc>
          <w:tcPr>
            <w:tcW w:w="744" w:type="dxa"/>
          </w:tcPr>
          <w:p w14:paraId="110B5B51" w14:textId="2C2F465F" w:rsidR="00344895" w:rsidRPr="00E359BF" w:rsidRDefault="00344895" w:rsidP="00344895">
            <w:pPr>
              <w:pStyle w:val="TableTextCenteredDemi"/>
              <w:rPr>
                <w:rFonts w:eastAsia="Times New Roman"/>
              </w:rPr>
            </w:pPr>
            <w:r w:rsidRPr="008C1E5F">
              <w:rPr>
                <w:rFonts w:eastAsia="Times New Roman"/>
              </w:rPr>
              <w:t>82</w:t>
            </w:r>
          </w:p>
        </w:tc>
        <w:tc>
          <w:tcPr>
            <w:tcW w:w="720" w:type="dxa"/>
          </w:tcPr>
          <w:p w14:paraId="7BBAF69B" w14:textId="2CAB8181" w:rsidR="00344895" w:rsidRPr="00E359BF" w:rsidRDefault="00344895" w:rsidP="00344895">
            <w:pPr>
              <w:pStyle w:val="TableTextCenteredDemi"/>
              <w:rPr>
                <w:rFonts w:eastAsia="Times New Roman"/>
              </w:rPr>
            </w:pPr>
            <w:r w:rsidRPr="008C1E5F">
              <w:rPr>
                <w:rFonts w:eastAsia="Times New Roman"/>
              </w:rPr>
              <w:t>64</w:t>
            </w:r>
          </w:p>
        </w:tc>
        <w:tc>
          <w:tcPr>
            <w:tcW w:w="720" w:type="dxa"/>
          </w:tcPr>
          <w:p w14:paraId="4E93A3C0" w14:textId="4A940748" w:rsidR="00344895" w:rsidRPr="00E359BF" w:rsidRDefault="00344895" w:rsidP="00344895">
            <w:pPr>
              <w:pStyle w:val="TableTextCenteredDemi"/>
              <w:rPr>
                <w:rFonts w:eastAsia="Times New Roman"/>
              </w:rPr>
            </w:pPr>
            <w:r w:rsidRPr="008C1E5F">
              <w:rPr>
                <w:rFonts w:eastAsia="Times New Roman"/>
              </w:rPr>
              <w:t>68</w:t>
            </w:r>
          </w:p>
        </w:tc>
        <w:tc>
          <w:tcPr>
            <w:tcW w:w="720" w:type="dxa"/>
            <w:vAlign w:val="center"/>
          </w:tcPr>
          <w:p w14:paraId="10FDD7F1" w14:textId="2BE831B2" w:rsidR="00344895" w:rsidRPr="00E359BF" w:rsidRDefault="00344895" w:rsidP="00344895">
            <w:pPr>
              <w:pStyle w:val="TableTextCenteredDemi"/>
              <w:rPr>
                <w:rFonts w:eastAsia="Times New Roman"/>
              </w:rPr>
            </w:pPr>
            <w:r w:rsidRPr="008C1E5F">
              <w:rPr>
                <w:rFonts w:eastAsia="Times New Roman"/>
              </w:rPr>
              <w:t>28</w:t>
            </w:r>
          </w:p>
        </w:tc>
        <w:tc>
          <w:tcPr>
            <w:tcW w:w="720" w:type="dxa"/>
            <w:vAlign w:val="center"/>
          </w:tcPr>
          <w:p w14:paraId="7551EE32" w14:textId="05C739A8" w:rsidR="00344895" w:rsidRPr="00E359BF" w:rsidRDefault="00344895" w:rsidP="00344895">
            <w:pPr>
              <w:pStyle w:val="TableTextCenteredDemi"/>
              <w:rPr>
                <w:rFonts w:eastAsia="Times New Roman"/>
              </w:rPr>
            </w:pPr>
            <w:r w:rsidRPr="008C1E5F">
              <w:rPr>
                <w:rFonts w:eastAsia="Times New Roman"/>
              </w:rPr>
              <w:t>11</w:t>
            </w:r>
          </w:p>
        </w:tc>
        <w:tc>
          <w:tcPr>
            <w:tcW w:w="540" w:type="dxa"/>
          </w:tcPr>
          <w:p w14:paraId="632BF676" w14:textId="46FB9A27" w:rsidR="00344895" w:rsidRPr="00E359BF" w:rsidRDefault="00344895" w:rsidP="00344895">
            <w:pPr>
              <w:pStyle w:val="TableTextCenteredDemi"/>
              <w:rPr>
                <w:rFonts w:eastAsia="Times New Roman"/>
              </w:rPr>
            </w:pPr>
            <w:r w:rsidRPr="008C1E5F">
              <w:rPr>
                <w:rFonts w:eastAsia="Times New Roman"/>
              </w:rPr>
              <w:t>355</w:t>
            </w:r>
          </w:p>
        </w:tc>
        <w:tc>
          <w:tcPr>
            <w:tcW w:w="900" w:type="dxa"/>
          </w:tcPr>
          <w:p w14:paraId="289B0847" w14:textId="3D55A5E1" w:rsidR="00344895" w:rsidRPr="00E359BF" w:rsidRDefault="00344895" w:rsidP="00344895">
            <w:pPr>
              <w:pStyle w:val="TableTextCenteredDemi"/>
              <w:rPr>
                <w:rFonts w:eastAsia="Times New Roman"/>
              </w:rPr>
            </w:pPr>
            <w:r w:rsidRPr="008C1E5F">
              <w:rPr>
                <w:rFonts w:eastAsia="Times New Roman"/>
              </w:rPr>
              <w:t>3.5</w:t>
            </w:r>
          </w:p>
        </w:tc>
      </w:tr>
      <w:tr w:rsidR="00344895" w:rsidRPr="00E359BF" w14:paraId="6BBE984E" w14:textId="77777777">
        <w:tc>
          <w:tcPr>
            <w:tcW w:w="3232" w:type="dxa"/>
            <w:vAlign w:val="center"/>
          </w:tcPr>
          <w:p w14:paraId="390BA101" w14:textId="77777777" w:rsidR="00344895" w:rsidRPr="00E359BF" w:rsidRDefault="00344895" w:rsidP="00344895">
            <w:pPr>
              <w:pStyle w:val="TableText"/>
              <w:ind w:left="204"/>
              <w:rPr>
                <w:b/>
                <w:bCs/>
              </w:rPr>
            </w:pPr>
            <w:r w:rsidRPr="00D931E1">
              <w:t>Instructional Learning Formats</w:t>
            </w:r>
          </w:p>
        </w:tc>
        <w:tc>
          <w:tcPr>
            <w:tcW w:w="708" w:type="dxa"/>
          </w:tcPr>
          <w:p w14:paraId="0E2C7FFA" w14:textId="19C98F2B" w:rsidR="00344895" w:rsidRPr="00E359BF" w:rsidRDefault="00344895" w:rsidP="00344895">
            <w:pPr>
              <w:pStyle w:val="TableTextCentered"/>
              <w:rPr>
                <w:rFonts w:eastAsia="Times New Roman"/>
              </w:rPr>
            </w:pPr>
            <w:r w:rsidRPr="008C1E5F">
              <w:rPr>
                <w:rFonts w:eastAsia="Times New Roman"/>
              </w:rPr>
              <w:t>0</w:t>
            </w:r>
          </w:p>
        </w:tc>
        <w:tc>
          <w:tcPr>
            <w:tcW w:w="708" w:type="dxa"/>
          </w:tcPr>
          <w:p w14:paraId="5C3660C7" w14:textId="648623B5" w:rsidR="00344895" w:rsidRPr="00E359BF" w:rsidRDefault="00344895" w:rsidP="00344895">
            <w:pPr>
              <w:pStyle w:val="TableTextCentered"/>
              <w:rPr>
                <w:rFonts w:eastAsia="Times New Roman"/>
              </w:rPr>
            </w:pPr>
            <w:r w:rsidRPr="008C1E5F">
              <w:rPr>
                <w:rFonts w:eastAsia="Times New Roman"/>
              </w:rPr>
              <w:t>3</w:t>
            </w:r>
          </w:p>
        </w:tc>
        <w:tc>
          <w:tcPr>
            <w:tcW w:w="744" w:type="dxa"/>
          </w:tcPr>
          <w:p w14:paraId="2D2B8CA8" w14:textId="0914D4B6" w:rsidR="00344895" w:rsidRPr="00E359BF" w:rsidRDefault="00344895" w:rsidP="00344895">
            <w:pPr>
              <w:pStyle w:val="TableTextCentered"/>
              <w:rPr>
                <w:rFonts w:eastAsia="Times New Roman"/>
              </w:rPr>
            </w:pPr>
            <w:r w:rsidRPr="008C1E5F">
              <w:rPr>
                <w:rFonts w:eastAsia="Times New Roman"/>
              </w:rPr>
              <w:t>8</w:t>
            </w:r>
          </w:p>
        </w:tc>
        <w:tc>
          <w:tcPr>
            <w:tcW w:w="720" w:type="dxa"/>
          </w:tcPr>
          <w:p w14:paraId="7ABFE51D" w14:textId="7F310A8D" w:rsidR="00344895" w:rsidRPr="00E359BF" w:rsidRDefault="00344895" w:rsidP="00344895">
            <w:pPr>
              <w:pStyle w:val="TableTextCentered"/>
              <w:rPr>
                <w:rFonts w:eastAsia="Times New Roman"/>
              </w:rPr>
            </w:pPr>
            <w:r w:rsidRPr="008C1E5F">
              <w:rPr>
                <w:rFonts w:eastAsia="Times New Roman"/>
              </w:rPr>
              <w:t>17</w:t>
            </w:r>
          </w:p>
        </w:tc>
        <w:tc>
          <w:tcPr>
            <w:tcW w:w="720" w:type="dxa"/>
          </w:tcPr>
          <w:p w14:paraId="2EC592CE" w14:textId="176ECB85" w:rsidR="00344895" w:rsidRPr="00E359BF" w:rsidRDefault="00344895" w:rsidP="00344895">
            <w:pPr>
              <w:pStyle w:val="TableTextCentered"/>
              <w:rPr>
                <w:rFonts w:eastAsia="Times New Roman"/>
              </w:rPr>
            </w:pPr>
            <w:r w:rsidRPr="008C1E5F">
              <w:rPr>
                <w:rFonts w:eastAsia="Times New Roman"/>
              </w:rPr>
              <w:t>30</w:t>
            </w:r>
          </w:p>
        </w:tc>
        <w:tc>
          <w:tcPr>
            <w:tcW w:w="720" w:type="dxa"/>
            <w:vAlign w:val="center"/>
          </w:tcPr>
          <w:p w14:paraId="6C9DB9AE" w14:textId="10827061" w:rsidR="00344895" w:rsidRPr="00E359BF" w:rsidRDefault="00344895" w:rsidP="00344895">
            <w:pPr>
              <w:pStyle w:val="TableTextCentered"/>
              <w:rPr>
                <w:rFonts w:eastAsia="Times New Roman"/>
              </w:rPr>
            </w:pPr>
            <w:r w:rsidRPr="008C1E5F">
              <w:rPr>
                <w:rFonts w:eastAsia="Times New Roman"/>
              </w:rPr>
              <w:t>11</w:t>
            </w:r>
          </w:p>
        </w:tc>
        <w:tc>
          <w:tcPr>
            <w:tcW w:w="720" w:type="dxa"/>
            <w:vAlign w:val="center"/>
          </w:tcPr>
          <w:p w14:paraId="79E94809" w14:textId="771E0284" w:rsidR="00344895" w:rsidRPr="00E359BF" w:rsidRDefault="00344895" w:rsidP="00344895">
            <w:pPr>
              <w:pStyle w:val="TableTextCentered"/>
              <w:rPr>
                <w:rFonts w:eastAsia="Times New Roman"/>
              </w:rPr>
            </w:pPr>
            <w:r w:rsidRPr="008C1E5F">
              <w:rPr>
                <w:rFonts w:eastAsia="Times New Roman"/>
              </w:rPr>
              <w:t>2</w:t>
            </w:r>
          </w:p>
        </w:tc>
        <w:tc>
          <w:tcPr>
            <w:tcW w:w="540" w:type="dxa"/>
          </w:tcPr>
          <w:p w14:paraId="057D7CFB" w14:textId="55537484" w:rsidR="00344895" w:rsidRPr="00E359BF" w:rsidRDefault="00344895" w:rsidP="00344895">
            <w:pPr>
              <w:pStyle w:val="TableTextCentered"/>
              <w:rPr>
                <w:rFonts w:eastAsia="Times New Roman"/>
              </w:rPr>
            </w:pPr>
            <w:r w:rsidRPr="008C1E5F">
              <w:rPr>
                <w:rFonts w:eastAsia="Times New Roman"/>
              </w:rPr>
              <w:t>71</w:t>
            </w:r>
          </w:p>
        </w:tc>
        <w:tc>
          <w:tcPr>
            <w:tcW w:w="900" w:type="dxa"/>
          </w:tcPr>
          <w:p w14:paraId="3A305877" w14:textId="7DA9E1D0" w:rsidR="00344895" w:rsidRPr="00E359BF" w:rsidRDefault="00344895" w:rsidP="00344895">
            <w:pPr>
              <w:pStyle w:val="TableTextCentered"/>
              <w:rPr>
                <w:rFonts w:eastAsia="Times New Roman"/>
              </w:rPr>
            </w:pPr>
            <w:r w:rsidRPr="008C1E5F">
              <w:rPr>
                <w:rFonts w:eastAsia="Times New Roman"/>
              </w:rPr>
              <w:t>4.6</w:t>
            </w:r>
          </w:p>
        </w:tc>
      </w:tr>
      <w:tr w:rsidR="00344895" w:rsidRPr="00E359BF" w14:paraId="402391D1" w14:textId="77777777">
        <w:trPr>
          <w:cnfStyle w:val="000000100000" w:firstRow="0" w:lastRow="0" w:firstColumn="0" w:lastColumn="0" w:oddVBand="0" w:evenVBand="0" w:oddHBand="1" w:evenHBand="0" w:firstRowFirstColumn="0" w:firstRowLastColumn="0" w:lastRowFirstColumn="0" w:lastRowLastColumn="0"/>
          <w:trHeight w:val="70"/>
        </w:trPr>
        <w:tc>
          <w:tcPr>
            <w:tcW w:w="3232" w:type="dxa"/>
            <w:vAlign w:val="center"/>
          </w:tcPr>
          <w:p w14:paraId="09E5E8B1" w14:textId="77777777" w:rsidR="00344895" w:rsidRPr="00E359BF" w:rsidRDefault="00344895" w:rsidP="00344895">
            <w:pPr>
              <w:pStyle w:val="TableText"/>
              <w:ind w:left="204"/>
              <w:rPr>
                <w:b/>
                <w:bCs/>
              </w:rPr>
            </w:pPr>
            <w:r w:rsidRPr="00D931E1">
              <w:t>Content Understanding</w:t>
            </w:r>
          </w:p>
        </w:tc>
        <w:tc>
          <w:tcPr>
            <w:tcW w:w="708" w:type="dxa"/>
          </w:tcPr>
          <w:p w14:paraId="541C879F" w14:textId="7948DE0C" w:rsidR="00344895" w:rsidRPr="00E359BF" w:rsidRDefault="00344895" w:rsidP="00344895">
            <w:pPr>
              <w:pStyle w:val="TableTextCentered"/>
              <w:rPr>
                <w:rFonts w:eastAsia="Times New Roman"/>
              </w:rPr>
            </w:pPr>
            <w:r w:rsidRPr="008C1E5F">
              <w:rPr>
                <w:rFonts w:eastAsia="Times New Roman"/>
              </w:rPr>
              <w:t>1</w:t>
            </w:r>
          </w:p>
        </w:tc>
        <w:tc>
          <w:tcPr>
            <w:tcW w:w="708" w:type="dxa"/>
          </w:tcPr>
          <w:p w14:paraId="658BB6E0" w14:textId="7B7B6B5E" w:rsidR="00344895" w:rsidRPr="00E359BF" w:rsidRDefault="00344895" w:rsidP="00344895">
            <w:pPr>
              <w:pStyle w:val="TableTextCentered"/>
              <w:rPr>
                <w:rFonts w:eastAsia="Times New Roman"/>
              </w:rPr>
            </w:pPr>
            <w:r w:rsidRPr="008C1E5F">
              <w:rPr>
                <w:rFonts w:eastAsia="Times New Roman"/>
              </w:rPr>
              <w:t>3</w:t>
            </w:r>
          </w:p>
        </w:tc>
        <w:tc>
          <w:tcPr>
            <w:tcW w:w="744" w:type="dxa"/>
          </w:tcPr>
          <w:p w14:paraId="3BF3A098" w14:textId="48D2DC79" w:rsidR="00344895" w:rsidRPr="00E359BF" w:rsidRDefault="00344895" w:rsidP="00344895">
            <w:pPr>
              <w:pStyle w:val="TableTextCentered"/>
              <w:rPr>
                <w:rFonts w:eastAsia="Times New Roman"/>
              </w:rPr>
            </w:pPr>
            <w:r w:rsidRPr="008C1E5F">
              <w:rPr>
                <w:rFonts w:eastAsia="Times New Roman"/>
              </w:rPr>
              <w:t>13</w:t>
            </w:r>
          </w:p>
        </w:tc>
        <w:tc>
          <w:tcPr>
            <w:tcW w:w="720" w:type="dxa"/>
          </w:tcPr>
          <w:p w14:paraId="0C64AC4E" w14:textId="5C60FA60" w:rsidR="00344895" w:rsidRPr="00E359BF" w:rsidRDefault="00344895" w:rsidP="00344895">
            <w:pPr>
              <w:pStyle w:val="TableTextCentered"/>
              <w:rPr>
                <w:rFonts w:eastAsia="Times New Roman"/>
              </w:rPr>
            </w:pPr>
            <w:r w:rsidRPr="008C1E5F">
              <w:rPr>
                <w:rFonts w:eastAsia="Times New Roman"/>
              </w:rPr>
              <w:t>13</w:t>
            </w:r>
          </w:p>
        </w:tc>
        <w:tc>
          <w:tcPr>
            <w:tcW w:w="720" w:type="dxa"/>
          </w:tcPr>
          <w:p w14:paraId="0D32F1F3" w14:textId="0F722EB6" w:rsidR="00344895" w:rsidRPr="00E359BF" w:rsidRDefault="00344895" w:rsidP="00344895">
            <w:pPr>
              <w:pStyle w:val="TableTextCentered"/>
              <w:rPr>
                <w:rFonts w:eastAsia="Times New Roman"/>
              </w:rPr>
            </w:pPr>
            <w:r w:rsidRPr="008C1E5F">
              <w:rPr>
                <w:rFonts w:eastAsia="Times New Roman"/>
              </w:rPr>
              <w:t>23</w:t>
            </w:r>
          </w:p>
        </w:tc>
        <w:tc>
          <w:tcPr>
            <w:tcW w:w="720" w:type="dxa"/>
            <w:vAlign w:val="center"/>
          </w:tcPr>
          <w:p w14:paraId="7678A0EF" w14:textId="2A76BCEF" w:rsidR="00344895" w:rsidRPr="00E359BF" w:rsidRDefault="00344895" w:rsidP="00344895">
            <w:pPr>
              <w:pStyle w:val="TableTextCentered"/>
              <w:rPr>
                <w:rFonts w:eastAsia="Times New Roman"/>
              </w:rPr>
            </w:pPr>
            <w:r w:rsidRPr="008C1E5F">
              <w:rPr>
                <w:rFonts w:eastAsia="Times New Roman"/>
              </w:rPr>
              <w:t>13</w:t>
            </w:r>
          </w:p>
        </w:tc>
        <w:tc>
          <w:tcPr>
            <w:tcW w:w="720" w:type="dxa"/>
            <w:vAlign w:val="center"/>
          </w:tcPr>
          <w:p w14:paraId="0CC2F0BB" w14:textId="283AD4DF" w:rsidR="00344895" w:rsidRPr="00E359BF" w:rsidRDefault="00344895" w:rsidP="00344895">
            <w:pPr>
              <w:pStyle w:val="TableTextCentered"/>
              <w:rPr>
                <w:rFonts w:eastAsia="Times New Roman"/>
              </w:rPr>
            </w:pPr>
            <w:r w:rsidRPr="008C1E5F">
              <w:rPr>
                <w:rFonts w:eastAsia="Times New Roman"/>
              </w:rPr>
              <w:t>5</w:t>
            </w:r>
          </w:p>
        </w:tc>
        <w:tc>
          <w:tcPr>
            <w:tcW w:w="540" w:type="dxa"/>
          </w:tcPr>
          <w:p w14:paraId="2D99EBCF" w14:textId="740543C1" w:rsidR="00344895" w:rsidRPr="00E359BF" w:rsidRDefault="00344895" w:rsidP="00344895">
            <w:pPr>
              <w:pStyle w:val="TableTextCentered"/>
              <w:rPr>
                <w:rFonts w:eastAsia="Times New Roman"/>
              </w:rPr>
            </w:pPr>
            <w:r w:rsidRPr="008C1E5F">
              <w:rPr>
                <w:rFonts w:eastAsia="Times New Roman"/>
              </w:rPr>
              <w:t>71</w:t>
            </w:r>
          </w:p>
        </w:tc>
        <w:tc>
          <w:tcPr>
            <w:tcW w:w="900" w:type="dxa"/>
          </w:tcPr>
          <w:p w14:paraId="04F82EAF" w14:textId="09052DAA" w:rsidR="00344895" w:rsidRPr="00E359BF" w:rsidRDefault="00344895" w:rsidP="00344895">
            <w:pPr>
              <w:pStyle w:val="TableTextCentered"/>
              <w:rPr>
                <w:rFonts w:eastAsia="Times New Roman"/>
              </w:rPr>
            </w:pPr>
            <w:r w:rsidRPr="008C1E5F">
              <w:rPr>
                <w:rFonts w:eastAsia="Times New Roman"/>
              </w:rPr>
              <w:t>4.6</w:t>
            </w:r>
          </w:p>
        </w:tc>
      </w:tr>
      <w:tr w:rsidR="00344895" w:rsidRPr="00E359BF" w14:paraId="179FD6B1" w14:textId="77777777">
        <w:tc>
          <w:tcPr>
            <w:tcW w:w="3232" w:type="dxa"/>
            <w:vAlign w:val="center"/>
          </w:tcPr>
          <w:p w14:paraId="2F9DD924" w14:textId="77777777" w:rsidR="00344895" w:rsidRPr="00E359BF" w:rsidRDefault="00344895" w:rsidP="00344895">
            <w:pPr>
              <w:pStyle w:val="TableText"/>
              <w:ind w:left="204"/>
              <w:rPr>
                <w:b/>
                <w:bCs/>
              </w:rPr>
            </w:pPr>
            <w:r w:rsidRPr="00D931E1">
              <w:t>Analysis and Inquiry</w:t>
            </w:r>
          </w:p>
        </w:tc>
        <w:tc>
          <w:tcPr>
            <w:tcW w:w="708" w:type="dxa"/>
          </w:tcPr>
          <w:p w14:paraId="55A0083A" w14:textId="26B591A0" w:rsidR="00344895" w:rsidRPr="00E359BF" w:rsidRDefault="00344895" w:rsidP="00344895">
            <w:pPr>
              <w:pStyle w:val="TableTextCentered"/>
              <w:rPr>
                <w:rFonts w:eastAsia="Times New Roman"/>
              </w:rPr>
            </w:pPr>
            <w:r w:rsidRPr="008C1E5F">
              <w:rPr>
                <w:rFonts w:eastAsia="Times New Roman"/>
              </w:rPr>
              <w:t>14</w:t>
            </w:r>
          </w:p>
        </w:tc>
        <w:tc>
          <w:tcPr>
            <w:tcW w:w="708" w:type="dxa"/>
          </w:tcPr>
          <w:p w14:paraId="77688437" w14:textId="1EA069D0" w:rsidR="00344895" w:rsidRPr="00E359BF" w:rsidRDefault="00344895" w:rsidP="00344895">
            <w:pPr>
              <w:pStyle w:val="TableTextCentered"/>
              <w:rPr>
                <w:rFonts w:eastAsia="Times New Roman"/>
              </w:rPr>
            </w:pPr>
            <w:r w:rsidRPr="008C1E5F">
              <w:rPr>
                <w:rFonts w:eastAsia="Times New Roman"/>
              </w:rPr>
              <w:t>18</w:t>
            </w:r>
          </w:p>
        </w:tc>
        <w:tc>
          <w:tcPr>
            <w:tcW w:w="744" w:type="dxa"/>
          </w:tcPr>
          <w:p w14:paraId="7FA52870" w14:textId="0B081D5E" w:rsidR="00344895" w:rsidRPr="00E359BF" w:rsidRDefault="00344895" w:rsidP="00344895">
            <w:pPr>
              <w:pStyle w:val="TableTextCentered"/>
              <w:rPr>
                <w:rFonts w:eastAsia="Times New Roman"/>
              </w:rPr>
            </w:pPr>
            <w:r w:rsidRPr="008C1E5F">
              <w:rPr>
                <w:rFonts w:eastAsia="Times New Roman"/>
              </w:rPr>
              <w:t>21</w:t>
            </w:r>
          </w:p>
        </w:tc>
        <w:tc>
          <w:tcPr>
            <w:tcW w:w="720" w:type="dxa"/>
          </w:tcPr>
          <w:p w14:paraId="7E0D57A1" w14:textId="515B5997" w:rsidR="00344895" w:rsidRPr="00E359BF" w:rsidRDefault="00344895" w:rsidP="00344895">
            <w:pPr>
              <w:pStyle w:val="TableTextCentered"/>
              <w:rPr>
                <w:rFonts w:eastAsia="Times New Roman"/>
              </w:rPr>
            </w:pPr>
            <w:r w:rsidRPr="008C1E5F">
              <w:rPr>
                <w:rFonts w:eastAsia="Times New Roman"/>
              </w:rPr>
              <w:t>10</w:t>
            </w:r>
          </w:p>
        </w:tc>
        <w:tc>
          <w:tcPr>
            <w:tcW w:w="720" w:type="dxa"/>
          </w:tcPr>
          <w:p w14:paraId="60E7C0EF" w14:textId="3888E9C5" w:rsidR="00344895" w:rsidRPr="00E359BF" w:rsidRDefault="00344895" w:rsidP="00344895">
            <w:pPr>
              <w:pStyle w:val="TableTextCentered"/>
              <w:rPr>
                <w:rFonts w:eastAsia="Times New Roman"/>
              </w:rPr>
            </w:pPr>
            <w:r w:rsidRPr="008C1E5F">
              <w:rPr>
                <w:rFonts w:eastAsia="Times New Roman"/>
              </w:rPr>
              <w:t>3</w:t>
            </w:r>
          </w:p>
        </w:tc>
        <w:tc>
          <w:tcPr>
            <w:tcW w:w="720" w:type="dxa"/>
            <w:vAlign w:val="center"/>
          </w:tcPr>
          <w:p w14:paraId="35E17DFF" w14:textId="777D0454" w:rsidR="00344895" w:rsidRPr="00E359BF" w:rsidRDefault="00344895" w:rsidP="00344895">
            <w:pPr>
              <w:pStyle w:val="TableTextCentered"/>
              <w:rPr>
                <w:rFonts w:eastAsia="Times New Roman"/>
              </w:rPr>
            </w:pPr>
            <w:r w:rsidRPr="008C1E5F">
              <w:rPr>
                <w:rFonts w:eastAsia="Times New Roman"/>
              </w:rPr>
              <w:t>2</w:t>
            </w:r>
          </w:p>
        </w:tc>
        <w:tc>
          <w:tcPr>
            <w:tcW w:w="720" w:type="dxa"/>
            <w:vAlign w:val="center"/>
          </w:tcPr>
          <w:p w14:paraId="26AB6C11" w14:textId="121BFB96" w:rsidR="00344895" w:rsidRPr="00E359BF" w:rsidRDefault="00344895" w:rsidP="00344895">
            <w:pPr>
              <w:pStyle w:val="TableTextCentered"/>
              <w:rPr>
                <w:rFonts w:eastAsia="Times New Roman"/>
              </w:rPr>
            </w:pPr>
            <w:r w:rsidRPr="008C1E5F">
              <w:rPr>
                <w:rFonts w:eastAsia="Times New Roman"/>
              </w:rPr>
              <w:t>3</w:t>
            </w:r>
          </w:p>
        </w:tc>
        <w:tc>
          <w:tcPr>
            <w:tcW w:w="540" w:type="dxa"/>
          </w:tcPr>
          <w:p w14:paraId="195D8625" w14:textId="568F60B7" w:rsidR="00344895" w:rsidRPr="00E359BF" w:rsidRDefault="00344895" w:rsidP="00344895">
            <w:pPr>
              <w:pStyle w:val="TableTextCentered"/>
              <w:rPr>
                <w:rFonts w:eastAsia="Times New Roman"/>
              </w:rPr>
            </w:pPr>
            <w:r w:rsidRPr="008C1E5F">
              <w:rPr>
                <w:rFonts w:eastAsia="Times New Roman"/>
              </w:rPr>
              <w:t>71</w:t>
            </w:r>
          </w:p>
        </w:tc>
        <w:tc>
          <w:tcPr>
            <w:tcW w:w="900" w:type="dxa"/>
          </w:tcPr>
          <w:p w14:paraId="33EFF53C" w14:textId="557E214C" w:rsidR="00344895" w:rsidRPr="00E359BF" w:rsidRDefault="00344895" w:rsidP="00344895">
            <w:pPr>
              <w:pStyle w:val="TableTextCentered"/>
              <w:rPr>
                <w:rFonts w:eastAsia="Times New Roman"/>
              </w:rPr>
            </w:pPr>
            <w:r w:rsidRPr="008C1E5F">
              <w:rPr>
                <w:rFonts w:eastAsia="Times New Roman"/>
              </w:rPr>
              <w:t>2.8</w:t>
            </w:r>
          </w:p>
        </w:tc>
      </w:tr>
      <w:tr w:rsidR="00344895" w:rsidRPr="00E359BF" w14:paraId="3D4DC7F8"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69FBFA3F" w14:textId="77777777" w:rsidR="00344895" w:rsidRPr="00D931E1" w:rsidRDefault="00344895" w:rsidP="00344895">
            <w:pPr>
              <w:pStyle w:val="TableText"/>
              <w:ind w:left="204"/>
              <w:rPr>
                <w:b/>
                <w:bCs/>
              </w:rPr>
            </w:pPr>
            <w:r w:rsidRPr="00D931E1">
              <w:t>Quality of Feedback</w:t>
            </w:r>
          </w:p>
        </w:tc>
        <w:tc>
          <w:tcPr>
            <w:tcW w:w="708" w:type="dxa"/>
          </w:tcPr>
          <w:p w14:paraId="02BC3AB3" w14:textId="62D05220" w:rsidR="00344895" w:rsidRPr="00E359BF" w:rsidRDefault="00344895" w:rsidP="00344895">
            <w:pPr>
              <w:pStyle w:val="TableTextCentered"/>
              <w:rPr>
                <w:rFonts w:eastAsia="Times New Roman"/>
              </w:rPr>
            </w:pPr>
            <w:r w:rsidRPr="008C1E5F">
              <w:rPr>
                <w:rFonts w:eastAsia="Times New Roman"/>
              </w:rPr>
              <w:t>9</w:t>
            </w:r>
          </w:p>
        </w:tc>
        <w:tc>
          <w:tcPr>
            <w:tcW w:w="708" w:type="dxa"/>
          </w:tcPr>
          <w:p w14:paraId="0A24A984" w14:textId="6CEB7694" w:rsidR="00344895" w:rsidRPr="00E359BF" w:rsidRDefault="00344895" w:rsidP="00344895">
            <w:pPr>
              <w:pStyle w:val="TableTextCentered"/>
              <w:rPr>
                <w:rFonts w:eastAsia="Times New Roman"/>
              </w:rPr>
            </w:pPr>
            <w:r w:rsidRPr="008C1E5F">
              <w:rPr>
                <w:rFonts w:eastAsia="Times New Roman"/>
              </w:rPr>
              <w:t>20</w:t>
            </w:r>
          </w:p>
        </w:tc>
        <w:tc>
          <w:tcPr>
            <w:tcW w:w="744" w:type="dxa"/>
          </w:tcPr>
          <w:p w14:paraId="3B87E12E" w14:textId="20310D9E" w:rsidR="00344895" w:rsidRPr="00E359BF" w:rsidRDefault="00344895" w:rsidP="00344895">
            <w:pPr>
              <w:pStyle w:val="TableTextCentered"/>
              <w:rPr>
                <w:rFonts w:eastAsia="Times New Roman"/>
              </w:rPr>
            </w:pPr>
            <w:r w:rsidRPr="008C1E5F">
              <w:rPr>
                <w:rFonts w:eastAsia="Times New Roman"/>
              </w:rPr>
              <w:t>23</w:t>
            </w:r>
          </w:p>
        </w:tc>
        <w:tc>
          <w:tcPr>
            <w:tcW w:w="720" w:type="dxa"/>
          </w:tcPr>
          <w:p w14:paraId="66D68355" w14:textId="14E43800" w:rsidR="00344895" w:rsidRPr="00E359BF" w:rsidRDefault="00344895" w:rsidP="00344895">
            <w:pPr>
              <w:pStyle w:val="TableTextCentered"/>
              <w:rPr>
                <w:rFonts w:eastAsia="Times New Roman"/>
              </w:rPr>
            </w:pPr>
            <w:r w:rsidRPr="008C1E5F">
              <w:rPr>
                <w:rFonts w:eastAsia="Times New Roman"/>
              </w:rPr>
              <w:t>10</w:t>
            </w:r>
          </w:p>
        </w:tc>
        <w:tc>
          <w:tcPr>
            <w:tcW w:w="720" w:type="dxa"/>
          </w:tcPr>
          <w:p w14:paraId="4E79386F" w14:textId="12450410" w:rsidR="00344895" w:rsidRPr="00E359BF" w:rsidRDefault="00344895" w:rsidP="00344895">
            <w:pPr>
              <w:pStyle w:val="TableTextCentered"/>
              <w:rPr>
                <w:rFonts w:eastAsia="Times New Roman"/>
              </w:rPr>
            </w:pPr>
            <w:r w:rsidRPr="008C1E5F">
              <w:rPr>
                <w:rFonts w:eastAsia="Times New Roman"/>
              </w:rPr>
              <w:t>9</w:t>
            </w:r>
          </w:p>
        </w:tc>
        <w:tc>
          <w:tcPr>
            <w:tcW w:w="720" w:type="dxa"/>
            <w:vAlign w:val="center"/>
          </w:tcPr>
          <w:p w14:paraId="1B76CB06" w14:textId="7CB985CB" w:rsidR="00344895" w:rsidRPr="00E359BF" w:rsidRDefault="00344895" w:rsidP="00344895">
            <w:pPr>
              <w:pStyle w:val="TableTextCentered"/>
              <w:rPr>
                <w:rFonts w:eastAsia="Times New Roman"/>
              </w:rPr>
            </w:pPr>
            <w:r w:rsidRPr="008C1E5F">
              <w:rPr>
                <w:rFonts w:eastAsia="Times New Roman"/>
              </w:rPr>
              <w:t>0</w:t>
            </w:r>
          </w:p>
        </w:tc>
        <w:tc>
          <w:tcPr>
            <w:tcW w:w="720" w:type="dxa"/>
            <w:vAlign w:val="center"/>
          </w:tcPr>
          <w:p w14:paraId="375770B5" w14:textId="744EAE7C" w:rsidR="00344895" w:rsidRPr="00E359BF" w:rsidRDefault="00344895" w:rsidP="00344895">
            <w:pPr>
              <w:pStyle w:val="TableTextCentered"/>
              <w:rPr>
                <w:rFonts w:eastAsia="Times New Roman"/>
              </w:rPr>
            </w:pPr>
            <w:r w:rsidRPr="008C1E5F">
              <w:rPr>
                <w:rFonts w:eastAsia="Times New Roman"/>
              </w:rPr>
              <w:t>0</w:t>
            </w:r>
          </w:p>
        </w:tc>
        <w:tc>
          <w:tcPr>
            <w:tcW w:w="540" w:type="dxa"/>
          </w:tcPr>
          <w:p w14:paraId="308BAD31" w14:textId="0988C110" w:rsidR="00344895" w:rsidRPr="00E359BF" w:rsidRDefault="00344895" w:rsidP="00344895">
            <w:pPr>
              <w:pStyle w:val="TableTextCentered"/>
              <w:rPr>
                <w:rFonts w:eastAsia="Times New Roman"/>
              </w:rPr>
            </w:pPr>
            <w:r w:rsidRPr="008C1E5F">
              <w:rPr>
                <w:rFonts w:eastAsia="Times New Roman"/>
              </w:rPr>
              <w:t>71</w:t>
            </w:r>
          </w:p>
        </w:tc>
        <w:tc>
          <w:tcPr>
            <w:tcW w:w="900" w:type="dxa"/>
          </w:tcPr>
          <w:p w14:paraId="797FF7AE" w14:textId="5E633995" w:rsidR="00344895" w:rsidRPr="00E359BF" w:rsidRDefault="00344895" w:rsidP="00344895">
            <w:pPr>
              <w:pStyle w:val="TableTextCentered"/>
              <w:rPr>
                <w:rFonts w:eastAsia="Times New Roman"/>
              </w:rPr>
            </w:pPr>
            <w:r w:rsidRPr="008C1E5F">
              <w:rPr>
                <w:rFonts w:eastAsia="Times New Roman"/>
              </w:rPr>
              <w:t>2.9</w:t>
            </w:r>
          </w:p>
        </w:tc>
      </w:tr>
      <w:tr w:rsidR="00344895" w:rsidRPr="00E359BF" w14:paraId="46AD1B64" w14:textId="77777777">
        <w:tc>
          <w:tcPr>
            <w:tcW w:w="3232" w:type="dxa"/>
            <w:vAlign w:val="center"/>
          </w:tcPr>
          <w:p w14:paraId="6BFD5560" w14:textId="77777777" w:rsidR="00344895" w:rsidRPr="00D931E1" w:rsidRDefault="00344895" w:rsidP="00344895">
            <w:pPr>
              <w:pStyle w:val="TableText"/>
              <w:ind w:left="204"/>
              <w:rPr>
                <w:b/>
                <w:bCs/>
              </w:rPr>
            </w:pPr>
            <w:r w:rsidRPr="00D931E1">
              <w:t>Instructional Dialogue</w:t>
            </w:r>
          </w:p>
        </w:tc>
        <w:tc>
          <w:tcPr>
            <w:tcW w:w="708" w:type="dxa"/>
          </w:tcPr>
          <w:p w14:paraId="70C12D5F" w14:textId="1FA500DE" w:rsidR="00344895" w:rsidRPr="00E359BF" w:rsidRDefault="00344895" w:rsidP="00344895">
            <w:pPr>
              <w:pStyle w:val="TableTextCentered"/>
              <w:rPr>
                <w:rFonts w:eastAsia="Times New Roman"/>
              </w:rPr>
            </w:pPr>
            <w:r w:rsidRPr="008C1E5F">
              <w:rPr>
                <w:rFonts w:eastAsia="Times New Roman"/>
              </w:rPr>
              <w:t>20</w:t>
            </w:r>
          </w:p>
        </w:tc>
        <w:tc>
          <w:tcPr>
            <w:tcW w:w="708" w:type="dxa"/>
          </w:tcPr>
          <w:p w14:paraId="3DF68C20" w14:textId="181F022B" w:rsidR="00344895" w:rsidRPr="00E359BF" w:rsidRDefault="00344895" w:rsidP="00344895">
            <w:pPr>
              <w:pStyle w:val="TableTextCentered"/>
              <w:rPr>
                <w:rFonts w:eastAsia="Times New Roman"/>
              </w:rPr>
            </w:pPr>
            <w:r w:rsidRPr="008C1E5F">
              <w:rPr>
                <w:rFonts w:eastAsia="Times New Roman"/>
              </w:rPr>
              <w:t>14</w:t>
            </w:r>
          </w:p>
        </w:tc>
        <w:tc>
          <w:tcPr>
            <w:tcW w:w="744" w:type="dxa"/>
          </w:tcPr>
          <w:p w14:paraId="366A6FC8" w14:textId="78A2E3F7" w:rsidR="00344895" w:rsidRPr="00E359BF" w:rsidRDefault="00344895" w:rsidP="00344895">
            <w:pPr>
              <w:pStyle w:val="TableTextCentered"/>
              <w:rPr>
                <w:rFonts w:eastAsia="Times New Roman"/>
              </w:rPr>
            </w:pPr>
            <w:r w:rsidRPr="008C1E5F">
              <w:rPr>
                <w:rFonts w:eastAsia="Times New Roman"/>
              </w:rPr>
              <w:t>17</w:t>
            </w:r>
          </w:p>
        </w:tc>
        <w:tc>
          <w:tcPr>
            <w:tcW w:w="720" w:type="dxa"/>
          </w:tcPr>
          <w:p w14:paraId="2C4F226D" w14:textId="1C106B5A" w:rsidR="00344895" w:rsidRPr="00E359BF" w:rsidRDefault="00344895" w:rsidP="00344895">
            <w:pPr>
              <w:pStyle w:val="TableTextCentered"/>
              <w:rPr>
                <w:rFonts w:eastAsia="Times New Roman"/>
              </w:rPr>
            </w:pPr>
            <w:r w:rsidRPr="008C1E5F">
              <w:rPr>
                <w:rFonts w:eastAsia="Times New Roman"/>
              </w:rPr>
              <w:t>14</w:t>
            </w:r>
          </w:p>
        </w:tc>
        <w:tc>
          <w:tcPr>
            <w:tcW w:w="720" w:type="dxa"/>
          </w:tcPr>
          <w:p w14:paraId="72E8701C" w14:textId="3CF30F79" w:rsidR="00344895" w:rsidRPr="00E359BF" w:rsidRDefault="00344895" w:rsidP="00344895">
            <w:pPr>
              <w:pStyle w:val="TableTextCentered"/>
              <w:rPr>
                <w:rFonts w:eastAsia="Times New Roman"/>
              </w:rPr>
            </w:pPr>
            <w:r w:rsidRPr="008C1E5F">
              <w:rPr>
                <w:rFonts w:eastAsia="Times New Roman"/>
              </w:rPr>
              <w:t>3</w:t>
            </w:r>
          </w:p>
        </w:tc>
        <w:tc>
          <w:tcPr>
            <w:tcW w:w="720" w:type="dxa"/>
            <w:vAlign w:val="center"/>
          </w:tcPr>
          <w:p w14:paraId="5A21CB12" w14:textId="53A55C23" w:rsidR="00344895" w:rsidRPr="00E359BF" w:rsidRDefault="00344895" w:rsidP="00344895">
            <w:pPr>
              <w:pStyle w:val="TableTextCentered"/>
              <w:rPr>
                <w:rFonts w:eastAsia="Times New Roman"/>
              </w:rPr>
            </w:pPr>
            <w:r w:rsidRPr="008C1E5F">
              <w:rPr>
                <w:rFonts w:eastAsia="Times New Roman"/>
              </w:rPr>
              <w:t>2</w:t>
            </w:r>
          </w:p>
        </w:tc>
        <w:tc>
          <w:tcPr>
            <w:tcW w:w="720" w:type="dxa"/>
            <w:vAlign w:val="center"/>
          </w:tcPr>
          <w:p w14:paraId="5D7856C4" w14:textId="09CC99FD" w:rsidR="00344895" w:rsidRPr="00E359BF" w:rsidRDefault="00344895" w:rsidP="00344895">
            <w:pPr>
              <w:pStyle w:val="TableTextCentered"/>
              <w:rPr>
                <w:rFonts w:eastAsia="Times New Roman"/>
              </w:rPr>
            </w:pPr>
            <w:r w:rsidRPr="008C1E5F">
              <w:rPr>
                <w:rFonts w:eastAsia="Times New Roman"/>
              </w:rPr>
              <w:t>1</w:t>
            </w:r>
          </w:p>
        </w:tc>
        <w:tc>
          <w:tcPr>
            <w:tcW w:w="540" w:type="dxa"/>
          </w:tcPr>
          <w:p w14:paraId="6CA58640" w14:textId="093C2846" w:rsidR="00344895" w:rsidRPr="00E359BF" w:rsidRDefault="00344895" w:rsidP="00344895">
            <w:pPr>
              <w:pStyle w:val="TableTextCentered"/>
              <w:rPr>
                <w:rFonts w:eastAsia="Times New Roman"/>
              </w:rPr>
            </w:pPr>
            <w:r w:rsidRPr="008C1E5F">
              <w:rPr>
                <w:rFonts w:eastAsia="Times New Roman"/>
              </w:rPr>
              <w:t>71</w:t>
            </w:r>
          </w:p>
        </w:tc>
        <w:tc>
          <w:tcPr>
            <w:tcW w:w="900" w:type="dxa"/>
          </w:tcPr>
          <w:p w14:paraId="251C386B" w14:textId="63E1C318" w:rsidR="00344895" w:rsidRPr="00E359BF" w:rsidRDefault="00344895" w:rsidP="00344895">
            <w:pPr>
              <w:pStyle w:val="TableTextCentered"/>
              <w:rPr>
                <w:rFonts w:eastAsia="Times New Roman"/>
              </w:rPr>
            </w:pPr>
            <w:r w:rsidRPr="008C1E5F">
              <w:rPr>
                <w:rFonts w:eastAsia="Times New Roman"/>
              </w:rPr>
              <w:t>2.7</w:t>
            </w:r>
          </w:p>
        </w:tc>
      </w:tr>
      <w:tr w:rsidR="00344895" w:rsidRPr="00E359BF" w14:paraId="53C2137B"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7A009FD8" w14:textId="77777777" w:rsidR="00344895" w:rsidRPr="00A34856" w:rsidRDefault="00344895" w:rsidP="00344895">
            <w:pPr>
              <w:pStyle w:val="TableSubheading"/>
            </w:pPr>
            <w:r w:rsidRPr="00A34856">
              <w:t>Student Engagement</w:t>
            </w:r>
          </w:p>
        </w:tc>
        <w:tc>
          <w:tcPr>
            <w:tcW w:w="708" w:type="dxa"/>
          </w:tcPr>
          <w:p w14:paraId="05011D7B" w14:textId="67065C5D" w:rsidR="00344895" w:rsidRPr="009A0F07" w:rsidRDefault="00344895" w:rsidP="00344895">
            <w:pPr>
              <w:pStyle w:val="TableTextCenteredDemi"/>
              <w:rPr>
                <w:rFonts w:eastAsia="Times New Roman"/>
                <w:bCs/>
              </w:rPr>
            </w:pPr>
            <w:r w:rsidRPr="008C1E5F">
              <w:rPr>
                <w:rFonts w:eastAsia="Times New Roman"/>
                <w:bCs/>
              </w:rPr>
              <w:t>1</w:t>
            </w:r>
          </w:p>
        </w:tc>
        <w:tc>
          <w:tcPr>
            <w:tcW w:w="708" w:type="dxa"/>
          </w:tcPr>
          <w:p w14:paraId="16D49C7A" w14:textId="7A124428" w:rsidR="00344895" w:rsidRPr="009A0F07" w:rsidRDefault="00344895" w:rsidP="00344895">
            <w:pPr>
              <w:pStyle w:val="TableTextCenteredDemi"/>
              <w:rPr>
                <w:rFonts w:eastAsia="Times New Roman"/>
                <w:bCs/>
              </w:rPr>
            </w:pPr>
            <w:r w:rsidRPr="008C1E5F">
              <w:rPr>
                <w:rFonts w:eastAsia="Times New Roman"/>
                <w:bCs/>
              </w:rPr>
              <w:t>2</w:t>
            </w:r>
          </w:p>
        </w:tc>
        <w:tc>
          <w:tcPr>
            <w:tcW w:w="744" w:type="dxa"/>
          </w:tcPr>
          <w:p w14:paraId="7583AEE9" w14:textId="29CDB3B6" w:rsidR="00344895" w:rsidRPr="009A0F07" w:rsidRDefault="00344895" w:rsidP="00344895">
            <w:pPr>
              <w:pStyle w:val="TableTextCenteredDemi"/>
              <w:rPr>
                <w:rFonts w:eastAsia="Times New Roman"/>
                <w:bCs/>
              </w:rPr>
            </w:pPr>
            <w:r w:rsidRPr="008C1E5F">
              <w:rPr>
                <w:rFonts w:eastAsia="Times New Roman"/>
                <w:bCs/>
              </w:rPr>
              <w:t>8</w:t>
            </w:r>
          </w:p>
        </w:tc>
        <w:tc>
          <w:tcPr>
            <w:tcW w:w="720" w:type="dxa"/>
          </w:tcPr>
          <w:p w14:paraId="57DA227E" w14:textId="53740649" w:rsidR="00344895" w:rsidRPr="009A0F07" w:rsidRDefault="00344895" w:rsidP="00344895">
            <w:pPr>
              <w:pStyle w:val="TableTextCenteredDemi"/>
              <w:rPr>
                <w:rFonts w:eastAsia="Times New Roman"/>
                <w:bCs/>
              </w:rPr>
            </w:pPr>
            <w:r w:rsidRPr="008C1E5F">
              <w:rPr>
                <w:rFonts w:eastAsia="Times New Roman"/>
                <w:bCs/>
              </w:rPr>
              <w:t>19</w:t>
            </w:r>
          </w:p>
        </w:tc>
        <w:tc>
          <w:tcPr>
            <w:tcW w:w="720" w:type="dxa"/>
          </w:tcPr>
          <w:p w14:paraId="666A33BB" w14:textId="25220F10" w:rsidR="00344895" w:rsidRPr="009A0F07" w:rsidRDefault="00344895" w:rsidP="00344895">
            <w:pPr>
              <w:pStyle w:val="TableTextCenteredDemi"/>
              <w:rPr>
                <w:rFonts w:eastAsia="Times New Roman"/>
                <w:bCs/>
              </w:rPr>
            </w:pPr>
            <w:r w:rsidRPr="008C1E5F">
              <w:rPr>
                <w:rFonts w:eastAsia="Times New Roman"/>
                <w:bCs/>
              </w:rPr>
              <w:t>19</w:t>
            </w:r>
          </w:p>
        </w:tc>
        <w:tc>
          <w:tcPr>
            <w:tcW w:w="720" w:type="dxa"/>
            <w:vAlign w:val="center"/>
          </w:tcPr>
          <w:p w14:paraId="134F85B9" w14:textId="26A8ABE9" w:rsidR="00344895" w:rsidRPr="009A0F07" w:rsidRDefault="00344895" w:rsidP="00344895">
            <w:pPr>
              <w:pStyle w:val="TableTextCenteredDemi"/>
              <w:rPr>
                <w:rFonts w:eastAsia="Times New Roman"/>
                <w:bCs/>
              </w:rPr>
            </w:pPr>
            <w:r w:rsidRPr="008C1E5F">
              <w:rPr>
                <w:rFonts w:eastAsia="Times New Roman"/>
                <w:bCs/>
              </w:rPr>
              <w:t>17</w:t>
            </w:r>
          </w:p>
        </w:tc>
        <w:tc>
          <w:tcPr>
            <w:tcW w:w="720" w:type="dxa"/>
            <w:vAlign w:val="center"/>
          </w:tcPr>
          <w:p w14:paraId="6CC9B630" w14:textId="2FD7CDFB" w:rsidR="00344895" w:rsidRPr="009A0F07" w:rsidRDefault="00344895" w:rsidP="00344895">
            <w:pPr>
              <w:pStyle w:val="TableTextCenteredDemi"/>
              <w:rPr>
                <w:rFonts w:eastAsia="Times New Roman"/>
                <w:bCs/>
              </w:rPr>
            </w:pPr>
            <w:r w:rsidRPr="008C1E5F">
              <w:rPr>
                <w:rFonts w:eastAsia="Times New Roman"/>
                <w:bCs/>
              </w:rPr>
              <w:t>5</w:t>
            </w:r>
          </w:p>
        </w:tc>
        <w:tc>
          <w:tcPr>
            <w:tcW w:w="540" w:type="dxa"/>
          </w:tcPr>
          <w:p w14:paraId="115F412F" w14:textId="0505E2D7" w:rsidR="00344895" w:rsidRPr="009A0F07" w:rsidRDefault="00344895" w:rsidP="00344895">
            <w:pPr>
              <w:pStyle w:val="TableTextCenteredDemi"/>
              <w:rPr>
                <w:rFonts w:eastAsia="Times New Roman"/>
                <w:bCs/>
              </w:rPr>
            </w:pPr>
            <w:r w:rsidRPr="008C1E5F">
              <w:rPr>
                <w:rFonts w:eastAsia="Times New Roman"/>
                <w:bCs/>
              </w:rPr>
              <w:t>71</w:t>
            </w:r>
          </w:p>
        </w:tc>
        <w:tc>
          <w:tcPr>
            <w:tcW w:w="900" w:type="dxa"/>
          </w:tcPr>
          <w:p w14:paraId="0E54515D" w14:textId="4DDBFE9D" w:rsidR="00344895" w:rsidRPr="009A0F07" w:rsidRDefault="00344895" w:rsidP="00344895">
            <w:pPr>
              <w:pStyle w:val="TableTextCenteredDemi"/>
              <w:rPr>
                <w:rFonts w:eastAsia="Times New Roman"/>
                <w:bCs/>
              </w:rPr>
            </w:pPr>
            <w:r w:rsidRPr="008C1E5F">
              <w:rPr>
                <w:rFonts w:eastAsia="Times New Roman"/>
                <w:bCs/>
              </w:rPr>
              <w:t>4.7</w:t>
            </w:r>
          </w:p>
        </w:tc>
      </w:tr>
    </w:tbl>
    <w:p w14:paraId="78A9757E" w14:textId="176A3480" w:rsidR="00900CF1" w:rsidRPr="008C1E5F" w:rsidRDefault="00900CF1">
      <w:pPr>
        <w:pStyle w:val="TableNote"/>
        <w:rPr>
          <w:szCs w:val="20"/>
        </w:rPr>
      </w:pPr>
      <w:r w:rsidRPr="008C1E5F">
        <w:t xml:space="preserve">*The district average is an average of the scores. For example, for Positive Climate, the district average is computed as: </w:t>
      </w:r>
      <w:bookmarkStart w:id="258" w:name="Middle_PC_Calc"/>
      <w:r w:rsidRPr="008C1E5F">
        <w:rPr>
          <w:szCs w:val="20"/>
        </w:rPr>
        <w:t>([1 x 1] + [2 x 4] + [3 x 20] + [4 x 14] + [5 x 18] + [6 x 9] + [7 x 5]) ÷ 71 observations = 4.3</w:t>
      </w:r>
      <w:bookmarkEnd w:id="258"/>
    </w:p>
    <w:p w14:paraId="180D5E68" w14:textId="77777777" w:rsidR="00900CF1" w:rsidRPr="008C1E5F" w:rsidRDefault="00900CF1">
      <w:pPr>
        <w:pStyle w:val="TableNote"/>
      </w:pPr>
      <w:r w:rsidRPr="008C1E5F">
        <w:t xml:space="preserve">**Negative Climate is rated on an inverse scale. An original score of 1 is given a value of 7. The scoring in the table reflects the normalized adjustment: </w:t>
      </w:r>
      <w:bookmarkStart w:id="259" w:name="Middle_NC_Calc"/>
      <w:r w:rsidRPr="008C1E5F">
        <w:t>([2 x 1] + [3 x 1] + [4 x 3] + [5 x 3] + [6 x 17] + [7 x 46]) ÷ 71 observations = 6.4</w:t>
      </w:r>
      <w:bookmarkEnd w:id="259"/>
    </w:p>
    <w:p w14:paraId="53EB8A88" w14:textId="77777777" w:rsidR="00900CF1" w:rsidRPr="008C1E5F" w:rsidRDefault="00900CF1">
      <w:pPr>
        <w:spacing w:after="160" w:line="259" w:lineRule="auto"/>
        <w:rPr>
          <w:rFonts w:ascii="Times New Roman" w:eastAsia="MS Mincho" w:hAnsi="Times New Roman" w:cs="Times New Roman"/>
          <w:b/>
          <w:sz w:val="20"/>
        </w:rPr>
      </w:pPr>
      <w:r w:rsidRPr="008C1E5F">
        <w:rPr>
          <w:rFonts w:ascii="Times New Roman" w:eastAsia="MS Mincho" w:hAnsi="Times New Roman" w:cs="Times New Roman"/>
          <w:b/>
          <w:sz w:val="20"/>
        </w:rPr>
        <w:br w:type="page"/>
      </w:r>
    </w:p>
    <w:p w14:paraId="0E2E5994" w14:textId="77777777" w:rsidR="00900CF1" w:rsidRPr="008C1E5F" w:rsidRDefault="00900CF1">
      <w:pPr>
        <w:pStyle w:val="Heading2-SIOR"/>
      </w:pPr>
      <w:bookmarkStart w:id="260" w:name="_Toc92194270"/>
      <w:bookmarkStart w:id="261" w:name="_Toc195024262"/>
      <w:r w:rsidRPr="008C1E5F">
        <w:lastRenderedPageBreak/>
        <w:t xml:space="preserve">Summary of Average Ratings: </w:t>
      </w:r>
      <w:bookmarkEnd w:id="260"/>
      <w:r w:rsidRPr="008C1E5F">
        <w:t>Grades 9–12</w:t>
      </w:r>
      <w:bookmarkEnd w:id="261"/>
    </w:p>
    <w:p w14:paraId="232F31E6" w14:textId="77777777" w:rsidR="00900CF1" w:rsidRPr="008C1E5F" w:rsidRDefault="00900CF1">
      <w:pPr>
        <w:pStyle w:val="TableTitle0"/>
      </w:pPr>
      <w:r w:rsidRPr="008C1E5F">
        <w:t>Table 19. Summary Table of Average Ratings for Each Dimension in Grades 9–12</w:t>
      </w:r>
    </w:p>
    <w:tbl>
      <w:tblPr>
        <w:tblStyle w:val="MSVTable1"/>
        <w:tblW w:w="9712" w:type="dxa"/>
        <w:tblLayout w:type="fixed"/>
        <w:tblLook w:val="04A0" w:firstRow="1" w:lastRow="0" w:firstColumn="1" w:lastColumn="0" w:noHBand="0" w:noVBand="1"/>
      </w:tblPr>
      <w:tblGrid>
        <w:gridCol w:w="3232"/>
        <w:gridCol w:w="708"/>
        <w:gridCol w:w="708"/>
        <w:gridCol w:w="744"/>
        <w:gridCol w:w="720"/>
        <w:gridCol w:w="720"/>
        <w:gridCol w:w="720"/>
        <w:gridCol w:w="720"/>
        <w:gridCol w:w="540"/>
        <w:gridCol w:w="900"/>
      </w:tblGrid>
      <w:tr w:rsidR="005B481A" w:rsidRPr="00E359BF" w14:paraId="6F4BD8FE" w14:textId="77777777" w:rsidTr="006C30C9">
        <w:trPr>
          <w:cnfStyle w:val="100000000000" w:firstRow="1" w:lastRow="0" w:firstColumn="0" w:lastColumn="0" w:oddVBand="0" w:evenVBand="0" w:oddHBand="0" w:evenHBand="0" w:firstRowFirstColumn="0" w:firstRowLastColumn="0" w:lastRowFirstColumn="0" w:lastRowLastColumn="0"/>
          <w:tblHeader/>
        </w:trPr>
        <w:tc>
          <w:tcPr>
            <w:tcW w:w="3232" w:type="dxa"/>
          </w:tcPr>
          <w:p w14:paraId="0E24EEBE" w14:textId="77777777" w:rsidR="005B481A" w:rsidRPr="00E359BF" w:rsidRDefault="005B481A" w:rsidP="005B481A">
            <w:pPr>
              <w:pStyle w:val="TableColHeadingCenter"/>
              <w:rPr>
                <w:rFonts w:eastAsia="MS Mincho"/>
              </w:rPr>
            </w:pPr>
          </w:p>
        </w:tc>
        <w:tc>
          <w:tcPr>
            <w:tcW w:w="708" w:type="dxa"/>
            <w:vAlign w:val="center"/>
          </w:tcPr>
          <w:p w14:paraId="224D72C3" w14:textId="77777777" w:rsidR="005B481A" w:rsidRDefault="005B481A" w:rsidP="005B481A">
            <w:pPr>
              <w:pStyle w:val="TableColHeadingCenter"/>
              <w:rPr>
                <w:rFonts w:eastAsia="MS Mincho"/>
                <w:sz w:val="18"/>
                <w:szCs w:val="18"/>
              </w:rPr>
            </w:pPr>
            <w:r w:rsidRPr="00B56E46">
              <w:rPr>
                <w:rFonts w:eastAsia="MS Mincho"/>
                <w:sz w:val="18"/>
                <w:szCs w:val="18"/>
              </w:rPr>
              <w:t>Low Range</w:t>
            </w:r>
          </w:p>
          <w:p w14:paraId="39E79862" w14:textId="10387364" w:rsidR="005B481A" w:rsidRPr="00E359BF" w:rsidRDefault="005B481A" w:rsidP="005B481A">
            <w:pPr>
              <w:pStyle w:val="TableColHeadingCenter"/>
              <w:rPr>
                <w:rFonts w:eastAsia="MS Mincho"/>
              </w:rPr>
            </w:pPr>
            <w:r>
              <w:rPr>
                <w:rFonts w:eastAsia="MS Mincho"/>
                <w:sz w:val="18"/>
                <w:szCs w:val="18"/>
              </w:rPr>
              <w:t>1</w:t>
            </w:r>
          </w:p>
        </w:tc>
        <w:tc>
          <w:tcPr>
            <w:tcW w:w="708" w:type="dxa"/>
            <w:vAlign w:val="center"/>
          </w:tcPr>
          <w:p w14:paraId="47F19D0C" w14:textId="77777777" w:rsidR="005B481A" w:rsidRDefault="005B481A" w:rsidP="005B481A">
            <w:pPr>
              <w:pStyle w:val="TableColHeadingCenter"/>
              <w:rPr>
                <w:rFonts w:eastAsia="MS Mincho"/>
                <w:sz w:val="18"/>
                <w:szCs w:val="18"/>
              </w:rPr>
            </w:pPr>
            <w:r w:rsidRPr="00B56E46">
              <w:rPr>
                <w:rFonts w:eastAsia="MS Mincho"/>
                <w:sz w:val="18"/>
                <w:szCs w:val="18"/>
              </w:rPr>
              <w:t>Low Range</w:t>
            </w:r>
          </w:p>
          <w:p w14:paraId="04CDCBA3" w14:textId="1B22C1DC" w:rsidR="005B481A" w:rsidRPr="00E359BF" w:rsidRDefault="005B481A" w:rsidP="005B481A">
            <w:pPr>
              <w:pStyle w:val="TableColHeadingCenter"/>
              <w:rPr>
                <w:rFonts w:eastAsia="MS Mincho"/>
              </w:rPr>
            </w:pPr>
            <w:r>
              <w:rPr>
                <w:rFonts w:eastAsia="MS Mincho"/>
                <w:sz w:val="18"/>
                <w:szCs w:val="18"/>
              </w:rPr>
              <w:t>2</w:t>
            </w:r>
          </w:p>
        </w:tc>
        <w:tc>
          <w:tcPr>
            <w:tcW w:w="744" w:type="dxa"/>
            <w:vAlign w:val="center"/>
          </w:tcPr>
          <w:p w14:paraId="37F2C1B1" w14:textId="77777777" w:rsidR="005B481A" w:rsidRDefault="005B481A" w:rsidP="005B481A">
            <w:pPr>
              <w:pStyle w:val="TableColHeadingCenter"/>
              <w:rPr>
                <w:rFonts w:eastAsia="MS Mincho"/>
                <w:sz w:val="18"/>
                <w:szCs w:val="18"/>
              </w:rPr>
            </w:pPr>
            <w:r w:rsidRPr="00B56E46">
              <w:rPr>
                <w:rFonts w:eastAsia="MS Mincho"/>
                <w:sz w:val="18"/>
                <w:szCs w:val="18"/>
              </w:rPr>
              <w:t>Middle Range</w:t>
            </w:r>
          </w:p>
          <w:p w14:paraId="6609CC22" w14:textId="76FD8215" w:rsidR="005B481A" w:rsidRPr="00E359BF" w:rsidRDefault="005B481A" w:rsidP="005B481A">
            <w:pPr>
              <w:pStyle w:val="TableColHeadingCenter"/>
              <w:rPr>
                <w:rFonts w:eastAsia="MS Mincho"/>
              </w:rPr>
            </w:pPr>
            <w:r>
              <w:rPr>
                <w:rFonts w:eastAsia="MS Mincho"/>
                <w:sz w:val="18"/>
                <w:szCs w:val="18"/>
              </w:rPr>
              <w:t>3</w:t>
            </w:r>
          </w:p>
        </w:tc>
        <w:tc>
          <w:tcPr>
            <w:tcW w:w="720" w:type="dxa"/>
            <w:vAlign w:val="center"/>
          </w:tcPr>
          <w:p w14:paraId="6842AEEC" w14:textId="77777777" w:rsidR="005B481A" w:rsidRDefault="005B481A" w:rsidP="005B481A">
            <w:pPr>
              <w:pStyle w:val="TableColHeadingCenter"/>
              <w:rPr>
                <w:rFonts w:eastAsia="MS Mincho"/>
                <w:sz w:val="18"/>
                <w:szCs w:val="18"/>
              </w:rPr>
            </w:pPr>
            <w:r w:rsidRPr="00B56E46">
              <w:rPr>
                <w:rFonts w:eastAsia="MS Mincho"/>
                <w:sz w:val="18"/>
                <w:szCs w:val="18"/>
              </w:rPr>
              <w:t>Middle Range</w:t>
            </w:r>
          </w:p>
          <w:p w14:paraId="20E91CBB" w14:textId="613D7AC2" w:rsidR="005B481A" w:rsidRPr="00E359BF" w:rsidRDefault="005B481A" w:rsidP="005B481A">
            <w:pPr>
              <w:pStyle w:val="TableColHeadingCenter"/>
              <w:rPr>
                <w:rFonts w:eastAsia="MS Mincho"/>
              </w:rPr>
            </w:pPr>
            <w:r>
              <w:rPr>
                <w:rFonts w:eastAsia="MS Mincho"/>
                <w:sz w:val="18"/>
                <w:szCs w:val="18"/>
              </w:rPr>
              <w:t>4</w:t>
            </w:r>
          </w:p>
        </w:tc>
        <w:tc>
          <w:tcPr>
            <w:tcW w:w="720" w:type="dxa"/>
            <w:vAlign w:val="center"/>
          </w:tcPr>
          <w:p w14:paraId="790AE90C" w14:textId="77777777" w:rsidR="005B481A" w:rsidRDefault="005B481A" w:rsidP="005B481A">
            <w:pPr>
              <w:pStyle w:val="TableColHeadingCenter"/>
              <w:rPr>
                <w:rFonts w:eastAsia="MS Mincho"/>
                <w:sz w:val="18"/>
                <w:szCs w:val="18"/>
              </w:rPr>
            </w:pPr>
            <w:r w:rsidRPr="00B56E46">
              <w:rPr>
                <w:rFonts w:eastAsia="MS Mincho"/>
                <w:sz w:val="18"/>
                <w:szCs w:val="18"/>
              </w:rPr>
              <w:t>Middle Range</w:t>
            </w:r>
          </w:p>
          <w:p w14:paraId="29FFE663" w14:textId="329B5B29" w:rsidR="005B481A" w:rsidRPr="00E359BF" w:rsidRDefault="005B481A" w:rsidP="005B481A">
            <w:pPr>
              <w:pStyle w:val="TableColHeadingCenter"/>
              <w:rPr>
                <w:rFonts w:eastAsia="MS Mincho"/>
              </w:rPr>
            </w:pPr>
            <w:r>
              <w:rPr>
                <w:rFonts w:eastAsia="MS Mincho"/>
                <w:sz w:val="18"/>
                <w:szCs w:val="18"/>
              </w:rPr>
              <w:t>5</w:t>
            </w:r>
          </w:p>
        </w:tc>
        <w:tc>
          <w:tcPr>
            <w:tcW w:w="720" w:type="dxa"/>
            <w:vAlign w:val="center"/>
          </w:tcPr>
          <w:p w14:paraId="12EA59A2" w14:textId="77777777" w:rsidR="005B481A" w:rsidRDefault="005B481A" w:rsidP="005B481A">
            <w:pPr>
              <w:pStyle w:val="TableColHeadingCenter"/>
              <w:rPr>
                <w:rFonts w:eastAsia="MS Mincho"/>
                <w:sz w:val="18"/>
                <w:szCs w:val="18"/>
              </w:rPr>
            </w:pPr>
            <w:r w:rsidRPr="00B56E46">
              <w:rPr>
                <w:rFonts w:eastAsia="MS Mincho"/>
                <w:sz w:val="18"/>
                <w:szCs w:val="18"/>
              </w:rPr>
              <w:t>High Range</w:t>
            </w:r>
          </w:p>
          <w:p w14:paraId="59361D22" w14:textId="437D46C9" w:rsidR="005B481A" w:rsidRPr="00E359BF" w:rsidRDefault="005B481A" w:rsidP="005B481A">
            <w:pPr>
              <w:pStyle w:val="TableColHeadingCenter"/>
              <w:rPr>
                <w:rFonts w:eastAsia="MS Mincho"/>
              </w:rPr>
            </w:pPr>
            <w:r>
              <w:rPr>
                <w:rFonts w:eastAsia="MS Mincho"/>
                <w:sz w:val="18"/>
                <w:szCs w:val="18"/>
              </w:rPr>
              <w:t>6</w:t>
            </w:r>
          </w:p>
        </w:tc>
        <w:tc>
          <w:tcPr>
            <w:tcW w:w="720" w:type="dxa"/>
            <w:vAlign w:val="center"/>
          </w:tcPr>
          <w:p w14:paraId="0F19B24B" w14:textId="77777777" w:rsidR="005B481A" w:rsidRDefault="005B481A" w:rsidP="005B481A">
            <w:pPr>
              <w:pStyle w:val="TableColHeadingCenter"/>
              <w:rPr>
                <w:rFonts w:eastAsia="MS Mincho"/>
                <w:sz w:val="18"/>
                <w:szCs w:val="18"/>
              </w:rPr>
            </w:pPr>
            <w:r w:rsidRPr="00B56E46">
              <w:rPr>
                <w:rFonts w:eastAsia="MS Mincho"/>
                <w:sz w:val="18"/>
                <w:szCs w:val="18"/>
              </w:rPr>
              <w:t>High Range</w:t>
            </w:r>
          </w:p>
          <w:p w14:paraId="0C0891E6" w14:textId="67D9B120" w:rsidR="005B481A" w:rsidRPr="00E359BF" w:rsidRDefault="005B481A" w:rsidP="005B481A">
            <w:pPr>
              <w:pStyle w:val="TableColHeadingCenter"/>
              <w:rPr>
                <w:rFonts w:eastAsia="MS Mincho"/>
              </w:rPr>
            </w:pPr>
            <w:r>
              <w:rPr>
                <w:rFonts w:eastAsia="MS Mincho"/>
                <w:sz w:val="18"/>
                <w:szCs w:val="18"/>
              </w:rPr>
              <w:t>7</w:t>
            </w:r>
          </w:p>
        </w:tc>
        <w:tc>
          <w:tcPr>
            <w:tcW w:w="540" w:type="dxa"/>
            <w:vAlign w:val="center"/>
          </w:tcPr>
          <w:p w14:paraId="3FD1D14A" w14:textId="256CF636" w:rsidR="005B481A" w:rsidRPr="00E359BF" w:rsidRDefault="005B481A" w:rsidP="005B481A">
            <w:pPr>
              <w:pStyle w:val="TableColHeadingCenter"/>
              <w:rPr>
                <w:rFonts w:eastAsia="MS Mincho"/>
              </w:rPr>
            </w:pPr>
            <w:r>
              <w:rPr>
                <w:rFonts w:eastAsia="MS Mincho"/>
              </w:rPr>
              <w:t>n</w:t>
            </w:r>
          </w:p>
        </w:tc>
        <w:tc>
          <w:tcPr>
            <w:tcW w:w="900" w:type="dxa"/>
            <w:vAlign w:val="center"/>
          </w:tcPr>
          <w:p w14:paraId="6F56C837" w14:textId="602E4A6F" w:rsidR="005B481A" w:rsidRPr="00E359BF" w:rsidRDefault="005B481A" w:rsidP="005B481A">
            <w:pPr>
              <w:pStyle w:val="TableColHeadingCenter"/>
              <w:rPr>
                <w:rFonts w:eastAsia="MS Mincho"/>
              </w:rPr>
            </w:pPr>
            <w:r w:rsidRPr="00E359BF">
              <w:rPr>
                <w:rFonts w:eastAsia="MS Mincho"/>
              </w:rPr>
              <w:t>Average Scores*</w:t>
            </w:r>
          </w:p>
        </w:tc>
      </w:tr>
      <w:tr w:rsidR="00874FFC" w:rsidRPr="00E359BF" w14:paraId="39278331"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4BD08195" w14:textId="77777777" w:rsidR="00874FFC" w:rsidRPr="00E359BF" w:rsidRDefault="00874FFC" w:rsidP="00874FFC">
            <w:pPr>
              <w:pStyle w:val="TableSubheading"/>
            </w:pPr>
            <w:r w:rsidRPr="00E359BF">
              <w:t>Emotional Support Domain</w:t>
            </w:r>
          </w:p>
        </w:tc>
        <w:tc>
          <w:tcPr>
            <w:tcW w:w="708" w:type="dxa"/>
          </w:tcPr>
          <w:p w14:paraId="19080DF8" w14:textId="7F365CD8" w:rsidR="00874FFC" w:rsidRPr="00E359BF" w:rsidRDefault="00874FFC" w:rsidP="00874FFC">
            <w:pPr>
              <w:pStyle w:val="TableTextCenteredDemi"/>
              <w:rPr>
                <w:rFonts w:eastAsia="Times New Roman"/>
              </w:rPr>
            </w:pPr>
            <w:r w:rsidRPr="008C1E5F">
              <w:rPr>
                <w:rFonts w:eastAsia="Times New Roman"/>
              </w:rPr>
              <w:t>5</w:t>
            </w:r>
          </w:p>
        </w:tc>
        <w:tc>
          <w:tcPr>
            <w:tcW w:w="708" w:type="dxa"/>
          </w:tcPr>
          <w:p w14:paraId="650C9897" w14:textId="6394BBC2" w:rsidR="00874FFC" w:rsidRPr="00E359BF" w:rsidRDefault="00874FFC" w:rsidP="00874FFC">
            <w:pPr>
              <w:pStyle w:val="TableTextCenteredDemi"/>
              <w:rPr>
                <w:rFonts w:eastAsia="Times New Roman"/>
              </w:rPr>
            </w:pPr>
            <w:r w:rsidRPr="008C1E5F">
              <w:rPr>
                <w:rFonts w:eastAsia="Times New Roman"/>
              </w:rPr>
              <w:t>8</w:t>
            </w:r>
          </w:p>
        </w:tc>
        <w:tc>
          <w:tcPr>
            <w:tcW w:w="744" w:type="dxa"/>
          </w:tcPr>
          <w:p w14:paraId="2F46CD38" w14:textId="5BF3F3E4" w:rsidR="00874FFC" w:rsidRPr="00E359BF" w:rsidRDefault="00874FFC" w:rsidP="00874FFC">
            <w:pPr>
              <w:pStyle w:val="TableTextCenteredDemi"/>
              <w:rPr>
                <w:rFonts w:eastAsia="Times New Roman"/>
              </w:rPr>
            </w:pPr>
            <w:r w:rsidRPr="008C1E5F">
              <w:rPr>
                <w:rFonts w:eastAsia="Times New Roman"/>
              </w:rPr>
              <w:t>26</w:t>
            </w:r>
          </w:p>
        </w:tc>
        <w:tc>
          <w:tcPr>
            <w:tcW w:w="720" w:type="dxa"/>
          </w:tcPr>
          <w:p w14:paraId="4A3BBA8E" w14:textId="38E059AE" w:rsidR="00874FFC" w:rsidRPr="00E359BF" w:rsidRDefault="00874FFC" w:rsidP="00874FFC">
            <w:pPr>
              <w:pStyle w:val="TableTextCenteredDemi"/>
              <w:rPr>
                <w:rFonts w:eastAsia="Times New Roman"/>
              </w:rPr>
            </w:pPr>
            <w:r w:rsidRPr="008C1E5F">
              <w:rPr>
                <w:rFonts w:eastAsia="Times New Roman"/>
              </w:rPr>
              <w:t>13</w:t>
            </w:r>
          </w:p>
        </w:tc>
        <w:tc>
          <w:tcPr>
            <w:tcW w:w="720" w:type="dxa"/>
          </w:tcPr>
          <w:p w14:paraId="7070B1EC" w14:textId="11DD389D" w:rsidR="00874FFC" w:rsidRPr="00E359BF" w:rsidRDefault="00874FFC" w:rsidP="00874FFC">
            <w:pPr>
              <w:pStyle w:val="TableTextCenteredDemi"/>
              <w:rPr>
                <w:rFonts w:eastAsia="Times New Roman"/>
              </w:rPr>
            </w:pPr>
            <w:r w:rsidRPr="008C1E5F">
              <w:rPr>
                <w:rFonts w:eastAsia="Times New Roman"/>
              </w:rPr>
              <w:t>30</w:t>
            </w:r>
          </w:p>
        </w:tc>
        <w:tc>
          <w:tcPr>
            <w:tcW w:w="720" w:type="dxa"/>
            <w:vAlign w:val="center"/>
          </w:tcPr>
          <w:p w14:paraId="2E66B0DC" w14:textId="6ED18EB0" w:rsidR="00874FFC" w:rsidRPr="00E359BF" w:rsidRDefault="00874FFC" w:rsidP="00874FFC">
            <w:pPr>
              <w:pStyle w:val="TableTextCenteredDemi"/>
              <w:rPr>
                <w:rFonts w:eastAsia="Times New Roman"/>
              </w:rPr>
            </w:pPr>
            <w:r w:rsidRPr="008C1E5F">
              <w:rPr>
                <w:rFonts w:eastAsia="Times New Roman"/>
              </w:rPr>
              <w:t>16</w:t>
            </w:r>
          </w:p>
        </w:tc>
        <w:tc>
          <w:tcPr>
            <w:tcW w:w="720" w:type="dxa"/>
            <w:vAlign w:val="center"/>
          </w:tcPr>
          <w:p w14:paraId="349BA0CB" w14:textId="785BE3DB" w:rsidR="00874FFC" w:rsidRPr="00E359BF" w:rsidRDefault="00874FFC" w:rsidP="00874FFC">
            <w:pPr>
              <w:pStyle w:val="TableTextCenteredDemi"/>
              <w:rPr>
                <w:rFonts w:eastAsia="Times New Roman"/>
              </w:rPr>
            </w:pPr>
            <w:r w:rsidRPr="008C1E5F">
              <w:rPr>
                <w:rFonts w:eastAsia="Times New Roman"/>
              </w:rPr>
              <w:t>7</w:t>
            </w:r>
          </w:p>
        </w:tc>
        <w:tc>
          <w:tcPr>
            <w:tcW w:w="540" w:type="dxa"/>
          </w:tcPr>
          <w:p w14:paraId="5174606A" w14:textId="78413461" w:rsidR="00874FFC" w:rsidRPr="00E359BF" w:rsidRDefault="00874FFC" w:rsidP="00874FFC">
            <w:pPr>
              <w:pStyle w:val="TableTextCenteredDemi"/>
              <w:rPr>
                <w:rFonts w:eastAsia="Times New Roman"/>
              </w:rPr>
            </w:pPr>
            <w:r w:rsidRPr="008C1E5F">
              <w:rPr>
                <w:rFonts w:eastAsia="Times New Roman"/>
              </w:rPr>
              <w:t>105</w:t>
            </w:r>
          </w:p>
        </w:tc>
        <w:tc>
          <w:tcPr>
            <w:tcW w:w="900" w:type="dxa"/>
          </w:tcPr>
          <w:p w14:paraId="78A3A616" w14:textId="788355C3" w:rsidR="00874FFC" w:rsidRPr="00E359BF" w:rsidRDefault="00874FFC" w:rsidP="00874FFC">
            <w:pPr>
              <w:pStyle w:val="TableTextCenteredDemi"/>
              <w:rPr>
                <w:rFonts w:eastAsia="Times New Roman"/>
              </w:rPr>
            </w:pPr>
            <w:r w:rsidRPr="008C1E5F">
              <w:rPr>
                <w:rFonts w:eastAsia="Times New Roman"/>
              </w:rPr>
              <w:t>4.2</w:t>
            </w:r>
          </w:p>
        </w:tc>
      </w:tr>
      <w:tr w:rsidR="00874FFC" w:rsidRPr="00E359BF" w14:paraId="7E116E2C" w14:textId="77777777">
        <w:tc>
          <w:tcPr>
            <w:tcW w:w="3232" w:type="dxa"/>
            <w:vAlign w:val="center"/>
          </w:tcPr>
          <w:p w14:paraId="3BE0C98A" w14:textId="77777777" w:rsidR="00874FFC" w:rsidRPr="00E359BF" w:rsidRDefault="00874FFC" w:rsidP="00874FFC">
            <w:pPr>
              <w:pStyle w:val="TableText"/>
              <w:ind w:left="204"/>
              <w:rPr>
                <w:b/>
                <w:bCs/>
              </w:rPr>
            </w:pPr>
            <w:r w:rsidRPr="00E359BF">
              <w:t>Positive Climate</w:t>
            </w:r>
          </w:p>
        </w:tc>
        <w:tc>
          <w:tcPr>
            <w:tcW w:w="708" w:type="dxa"/>
          </w:tcPr>
          <w:p w14:paraId="39A08BB3" w14:textId="617E02AA" w:rsidR="00874FFC" w:rsidRPr="00E359BF" w:rsidRDefault="00874FFC" w:rsidP="00874FFC">
            <w:pPr>
              <w:pStyle w:val="TableTextCentered"/>
              <w:rPr>
                <w:rFonts w:eastAsia="Times New Roman"/>
              </w:rPr>
            </w:pPr>
            <w:r w:rsidRPr="008C1E5F">
              <w:rPr>
                <w:rFonts w:eastAsia="Times New Roman"/>
              </w:rPr>
              <w:t>0</w:t>
            </w:r>
          </w:p>
        </w:tc>
        <w:tc>
          <w:tcPr>
            <w:tcW w:w="708" w:type="dxa"/>
          </w:tcPr>
          <w:p w14:paraId="5F1C2053" w14:textId="3A391218" w:rsidR="00874FFC" w:rsidRPr="00E359BF" w:rsidRDefault="00874FFC" w:rsidP="00874FFC">
            <w:pPr>
              <w:pStyle w:val="TableTextCentered"/>
              <w:rPr>
                <w:rFonts w:eastAsia="Times New Roman"/>
              </w:rPr>
            </w:pPr>
            <w:r w:rsidRPr="008C1E5F">
              <w:rPr>
                <w:rFonts w:eastAsia="Times New Roman"/>
              </w:rPr>
              <w:t>0</w:t>
            </w:r>
          </w:p>
        </w:tc>
        <w:tc>
          <w:tcPr>
            <w:tcW w:w="744" w:type="dxa"/>
          </w:tcPr>
          <w:p w14:paraId="5511093C" w14:textId="3A77F07F" w:rsidR="00874FFC" w:rsidRPr="00E359BF" w:rsidRDefault="00874FFC" w:rsidP="00874FFC">
            <w:pPr>
              <w:pStyle w:val="TableTextCentered"/>
              <w:rPr>
                <w:rFonts w:eastAsia="Times New Roman"/>
              </w:rPr>
            </w:pPr>
            <w:r w:rsidRPr="008C1E5F">
              <w:rPr>
                <w:rFonts w:eastAsia="Times New Roman"/>
              </w:rPr>
              <w:t>8</w:t>
            </w:r>
          </w:p>
        </w:tc>
        <w:tc>
          <w:tcPr>
            <w:tcW w:w="720" w:type="dxa"/>
          </w:tcPr>
          <w:p w14:paraId="099C3105" w14:textId="26520072" w:rsidR="00874FFC" w:rsidRPr="00E359BF" w:rsidRDefault="00874FFC" w:rsidP="00874FFC">
            <w:pPr>
              <w:pStyle w:val="TableTextCentered"/>
              <w:rPr>
                <w:rFonts w:eastAsia="Times New Roman"/>
              </w:rPr>
            </w:pPr>
            <w:r w:rsidRPr="008C1E5F">
              <w:rPr>
                <w:rFonts w:eastAsia="Times New Roman"/>
              </w:rPr>
              <w:t>7</w:t>
            </w:r>
          </w:p>
        </w:tc>
        <w:tc>
          <w:tcPr>
            <w:tcW w:w="720" w:type="dxa"/>
          </w:tcPr>
          <w:p w14:paraId="481147B6" w14:textId="32E7D3C1" w:rsidR="00874FFC" w:rsidRPr="00E359BF" w:rsidRDefault="00874FFC" w:rsidP="00874FFC">
            <w:pPr>
              <w:pStyle w:val="TableTextCentered"/>
              <w:rPr>
                <w:rFonts w:eastAsia="Times New Roman"/>
              </w:rPr>
            </w:pPr>
            <w:r w:rsidRPr="008C1E5F">
              <w:rPr>
                <w:rFonts w:eastAsia="Times New Roman"/>
              </w:rPr>
              <w:t>14</w:t>
            </w:r>
          </w:p>
        </w:tc>
        <w:tc>
          <w:tcPr>
            <w:tcW w:w="720" w:type="dxa"/>
            <w:vAlign w:val="center"/>
          </w:tcPr>
          <w:p w14:paraId="59F8E21D" w14:textId="02B371C0" w:rsidR="00874FFC" w:rsidRPr="00E359BF" w:rsidRDefault="00874FFC" w:rsidP="00874FFC">
            <w:pPr>
              <w:pStyle w:val="TableTextCentered"/>
              <w:rPr>
                <w:rFonts w:eastAsia="Times New Roman"/>
              </w:rPr>
            </w:pPr>
            <w:r w:rsidRPr="008C1E5F">
              <w:rPr>
                <w:rFonts w:eastAsia="Times New Roman"/>
              </w:rPr>
              <w:t>6</w:t>
            </w:r>
          </w:p>
        </w:tc>
        <w:tc>
          <w:tcPr>
            <w:tcW w:w="720" w:type="dxa"/>
            <w:vAlign w:val="center"/>
          </w:tcPr>
          <w:p w14:paraId="3C0759F0" w14:textId="391F9609" w:rsidR="00874FFC" w:rsidRPr="00E359BF" w:rsidRDefault="00874FFC" w:rsidP="00874FFC">
            <w:pPr>
              <w:pStyle w:val="TableTextCentered"/>
              <w:rPr>
                <w:rFonts w:eastAsia="Times New Roman"/>
              </w:rPr>
            </w:pPr>
            <w:r w:rsidRPr="008C1E5F">
              <w:rPr>
                <w:rFonts w:eastAsia="Times New Roman"/>
              </w:rPr>
              <w:t>0</w:t>
            </w:r>
          </w:p>
        </w:tc>
        <w:tc>
          <w:tcPr>
            <w:tcW w:w="540" w:type="dxa"/>
          </w:tcPr>
          <w:p w14:paraId="01121925" w14:textId="0BCBB576" w:rsidR="00874FFC" w:rsidRPr="00E359BF" w:rsidRDefault="00874FFC" w:rsidP="00874FFC">
            <w:pPr>
              <w:pStyle w:val="TableTextCentered"/>
              <w:rPr>
                <w:rFonts w:eastAsia="Times New Roman"/>
              </w:rPr>
            </w:pPr>
            <w:r w:rsidRPr="008C1E5F">
              <w:rPr>
                <w:rFonts w:eastAsia="Times New Roman"/>
              </w:rPr>
              <w:t>35</w:t>
            </w:r>
          </w:p>
        </w:tc>
        <w:tc>
          <w:tcPr>
            <w:tcW w:w="900" w:type="dxa"/>
          </w:tcPr>
          <w:p w14:paraId="2E5B4276" w14:textId="20FD2059" w:rsidR="00874FFC" w:rsidRPr="00E359BF" w:rsidRDefault="00874FFC" w:rsidP="00874FFC">
            <w:pPr>
              <w:pStyle w:val="TableTextCentered"/>
              <w:rPr>
                <w:rFonts w:eastAsia="Times New Roman"/>
              </w:rPr>
            </w:pPr>
            <w:r w:rsidRPr="008C1E5F">
              <w:rPr>
                <w:rFonts w:eastAsia="Times New Roman"/>
              </w:rPr>
              <w:t>4.5</w:t>
            </w:r>
          </w:p>
        </w:tc>
      </w:tr>
      <w:tr w:rsidR="00874FFC" w:rsidRPr="00E359BF" w14:paraId="72D3F80E"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7DBC9A5C" w14:textId="77777777" w:rsidR="00874FFC" w:rsidRPr="00E359BF" w:rsidRDefault="00874FFC" w:rsidP="00874FFC">
            <w:pPr>
              <w:pStyle w:val="TableText"/>
              <w:ind w:left="204"/>
              <w:rPr>
                <w:b/>
                <w:bCs/>
              </w:rPr>
            </w:pPr>
            <w:r w:rsidRPr="00E359BF">
              <w:t>Teacher Sensitivity</w:t>
            </w:r>
          </w:p>
        </w:tc>
        <w:tc>
          <w:tcPr>
            <w:tcW w:w="708" w:type="dxa"/>
          </w:tcPr>
          <w:p w14:paraId="477AB422" w14:textId="29CEBDD1" w:rsidR="00874FFC" w:rsidRPr="00E359BF" w:rsidRDefault="00874FFC" w:rsidP="00874FFC">
            <w:pPr>
              <w:pStyle w:val="TableTextCentered"/>
              <w:rPr>
                <w:rFonts w:eastAsia="Times New Roman"/>
              </w:rPr>
            </w:pPr>
            <w:r w:rsidRPr="008C1E5F">
              <w:rPr>
                <w:rFonts w:eastAsia="Times New Roman"/>
              </w:rPr>
              <w:t>0</w:t>
            </w:r>
          </w:p>
        </w:tc>
        <w:tc>
          <w:tcPr>
            <w:tcW w:w="708" w:type="dxa"/>
          </w:tcPr>
          <w:p w14:paraId="495D47CE" w14:textId="7B54B956" w:rsidR="00874FFC" w:rsidRPr="00E359BF" w:rsidRDefault="00874FFC" w:rsidP="00874FFC">
            <w:pPr>
              <w:pStyle w:val="TableTextCentered"/>
              <w:rPr>
                <w:rFonts w:eastAsia="Times New Roman"/>
              </w:rPr>
            </w:pPr>
            <w:r w:rsidRPr="008C1E5F">
              <w:rPr>
                <w:rFonts w:eastAsia="Times New Roman"/>
              </w:rPr>
              <w:t>0</w:t>
            </w:r>
          </w:p>
        </w:tc>
        <w:tc>
          <w:tcPr>
            <w:tcW w:w="744" w:type="dxa"/>
          </w:tcPr>
          <w:p w14:paraId="1A98804E" w14:textId="7C572434" w:rsidR="00874FFC" w:rsidRPr="00E359BF" w:rsidRDefault="00874FFC" w:rsidP="00874FFC">
            <w:pPr>
              <w:pStyle w:val="TableTextCentered"/>
              <w:rPr>
                <w:rFonts w:eastAsia="Times New Roman"/>
              </w:rPr>
            </w:pPr>
            <w:r w:rsidRPr="008C1E5F">
              <w:rPr>
                <w:rFonts w:eastAsia="Times New Roman"/>
              </w:rPr>
              <w:t>4</w:t>
            </w:r>
          </w:p>
        </w:tc>
        <w:tc>
          <w:tcPr>
            <w:tcW w:w="720" w:type="dxa"/>
          </w:tcPr>
          <w:p w14:paraId="677EFB56" w14:textId="3614EAC8" w:rsidR="00874FFC" w:rsidRPr="00E359BF" w:rsidRDefault="00874FFC" w:rsidP="00874FFC">
            <w:pPr>
              <w:pStyle w:val="TableTextCentered"/>
              <w:rPr>
                <w:rFonts w:eastAsia="Times New Roman"/>
              </w:rPr>
            </w:pPr>
            <w:r w:rsidRPr="008C1E5F">
              <w:rPr>
                <w:rFonts w:eastAsia="Times New Roman"/>
              </w:rPr>
              <w:t>3</w:t>
            </w:r>
          </w:p>
        </w:tc>
        <w:tc>
          <w:tcPr>
            <w:tcW w:w="720" w:type="dxa"/>
          </w:tcPr>
          <w:p w14:paraId="0D7D0BA1" w14:textId="5B7FD94A" w:rsidR="00874FFC" w:rsidRPr="00E359BF" w:rsidRDefault="00874FFC" w:rsidP="00874FFC">
            <w:pPr>
              <w:pStyle w:val="TableTextCentered"/>
              <w:rPr>
                <w:rFonts w:eastAsia="Times New Roman"/>
              </w:rPr>
            </w:pPr>
            <w:r w:rsidRPr="008C1E5F">
              <w:rPr>
                <w:rFonts w:eastAsia="Times New Roman"/>
              </w:rPr>
              <w:t>13</w:t>
            </w:r>
          </w:p>
        </w:tc>
        <w:tc>
          <w:tcPr>
            <w:tcW w:w="720" w:type="dxa"/>
            <w:vAlign w:val="center"/>
          </w:tcPr>
          <w:p w14:paraId="1133DCDC" w14:textId="52BFD588" w:rsidR="00874FFC" w:rsidRPr="00E359BF" w:rsidRDefault="00874FFC" w:rsidP="00874FFC">
            <w:pPr>
              <w:pStyle w:val="TableTextCentered"/>
              <w:rPr>
                <w:rFonts w:eastAsia="Times New Roman"/>
              </w:rPr>
            </w:pPr>
            <w:r w:rsidRPr="008C1E5F">
              <w:rPr>
                <w:rFonts w:eastAsia="Times New Roman"/>
              </w:rPr>
              <w:t>9</w:t>
            </w:r>
          </w:p>
        </w:tc>
        <w:tc>
          <w:tcPr>
            <w:tcW w:w="720" w:type="dxa"/>
            <w:vAlign w:val="center"/>
          </w:tcPr>
          <w:p w14:paraId="0DAC8E56" w14:textId="246FA098" w:rsidR="00874FFC" w:rsidRPr="00E359BF" w:rsidRDefault="00874FFC" w:rsidP="00874FFC">
            <w:pPr>
              <w:pStyle w:val="TableTextCentered"/>
              <w:rPr>
                <w:rFonts w:eastAsia="Times New Roman"/>
              </w:rPr>
            </w:pPr>
            <w:r w:rsidRPr="008C1E5F">
              <w:rPr>
                <w:rFonts w:eastAsia="Times New Roman"/>
              </w:rPr>
              <w:t>6</w:t>
            </w:r>
          </w:p>
        </w:tc>
        <w:tc>
          <w:tcPr>
            <w:tcW w:w="540" w:type="dxa"/>
          </w:tcPr>
          <w:p w14:paraId="2FDD2560" w14:textId="6970A70E" w:rsidR="00874FFC" w:rsidRPr="00E359BF" w:rsidRDefault="00874FFC" w:rsidP="00874FFC">
            <w:pPr>
              <w:pStyle w:val="TableTextCentered"/>
              <w:rPr>
                <w:rFonts w:eastAsia="Times New Roman"/>
              </w:rPr>
            </w:pPr>
            <w:r w:rsidRPr="008C1E5F">
              <w:rPr>
                <w:rFonts w:eastAsia="Times New Roman"/>
              </w:rPr>
              <w:t>35</w:t>
            </w:r>
          </w:p>
        </w:tc>
        <w:tc>
          <w:tcPr>
            <w:tcW w:w="900" w:type="dxa"/>
          </w:tcPr>
          <w:p w14:paraId="51EFAD30" w14:textId="21C5BB00" w:rsidR="00874FFC" w:rsidRPr="00E359BF" w:rsidRDefault="00874FFC" w:rsidP="00874FFC">
            <w:pPr>
              <w:pStyle w:val="TableTextCentered"/>
              <w:rPr>
                <w:rFonts w:eastAsia="Times New Roman"/>
              </w:rPr>
            </w:pPr>
            <w:r w:rsidRPr="008C1E5F">
              <w:rPr>
                <w:rFonts w:eastAsia="Times New Roman"/>
              </w:rPr>
              <w:t>5.3</w:t>
            </w:r>
          </w:p>
        </w:tc>
      </w:tr>
      <w:tr w:rsidR="00874FFC" w:rsidRPr="00E359BF" w14:paraId="1E72BB6D" w14:textId="77777777">
        <w:tc>
          <w:tcPr>
            <w:tcW w:w="3232" w:type="dxa"/>
            <w:vAlign w:val="center"/>
          </w:tcPr>
          <w:p w14:paraId="48E02753" w14:textId="77777777" w:rsidR="00874FFC" w:rsidRPr="00E359BF" w:rsidRDefault="00874FFC" w:rsidP="00874FFC">
            <w:pPr>
              <w:pStyle w:val="TableText"/>
              <w:ind w:left="204"/>
              <w:rPr>
                <w:b/>
                <w:bCs/>
              </w:rPr>
            </w:pPr>
            <w:r w:rsidRPr="00E359BF">
              <w:t>Regard for Student Perspectives</w:t>
            </w:r>
          </w:p>
        </w:tc>
        <w:tc>
          <w:tcPr>
            <w:tcW w:w="708" w:type="dxa"/>
          </w:tcPr>
          <w:p w14:paraId="5A5166E7" w14:textId="39A3AC97" w:rsidR="00874FFC" w:rsidRPr="00E359BF" w:rsidRDefault="00874FFC" w:rsidP="00874FFC">
            <w:pPr>
              <w:pStyle w:val="TableTextCentered"/>
              <w:rPr>
                <w:rFonts w:eastAsia="Times New Roman"/>
              </w:rPr>
            </w:pPr>
            <w:r w:rsidRPr="008C1E5F">
              <w:rPr>
                <w:rFonts w:eastAsia="Times New Roman"/>
              </w:rPr>
              <w:t>5</w:t>
            </w:r>
          </w:p>
        </w:tc>
        <w:tc>
          <w:tcPr>
            <w:tcW w:w="708" w:type="dxa"/>
          </w:tcPr>
          <w:p w14:paraId="7FE59E41" w14:textId="57210288" w:rsidR="00874FFC" w:rsidRPr="00E359BF" w:rsidRDefault="00874FFC" w:rsidP="00874FFC">
            <w:pPr>
              <w:pStyle w:val="TableTextCentered"/>
              <w:rPr>
                <w:rFonts w:eastAsia="Times New Roman"/>
              </w:rPr>
            </w:pPr>
            <w:r w:rsidRPr="008C1E5F">
              <w:rPr>
                <w:rFonts w:eastAsia="Times New Roman"/>
              </w:rPr>
              <w:t>8</w:t>
            </w:r>
          </w:p>
        </w:tc>
        <w:tc>
          <w:tcPr>
            <w:tcW w:w="744" w:type="dxa"/>
          </w:tcPr>
          <w:p w14:paraId="26F52ADC" w14:textId="286B07E7" w:rsidR="00874FFC" w:rsidRPr="00E359BF" w:rsidRDefault="00874FFC" w:rsidP="00874FFC">
            <w:pPr>
              <w:pStyle w:val="TableTextCentered"/>
              <w:rPr>
                <w:rFonts w:eastAsia="Times New Roman"/>
              </w:rPr>
            </w:pPr>
            <w:r w:rsidRPr="008C1E5F">
              <w:rPr>
                <w:rFonts w:eastAsia="Times New Roman"/>
              </w:rPr>
              <w:t>14</w:t>
            </w:r>
          </w:p>
        </w:tc>
        <w:tc>
          <w:tcPr>
            <w:tcW w:w="720" w:type="dxa"/>
          </w:tcPr>
          <w:p w14:paraId="267A0E85" w14:textId="2D1B035C" w:rsidR="00874FFC" w:rsidRPr="00E359BF" w:rsidRDefault="00874FFC" w:rsidP="00874FFC">
            <w:pPr>
              <w:pStyle w:val="TableTextCentered"/>
              <w:rPr>
                <w:rFonts w:eastAsia="Times New Roman"/>
              </w:rPr>
            </w:pPr>
            <w:r w:rsidRPr="008C1E5F">
              <w:rPr>
                <w:rFonts w:eastAsia="Times New Roman"/>
              </w:rPr>
              <w:t>3</w:t>
            </w:r>
          </w:p>
        </w:tc>
        <w:tc>
          <w:tcPr>
            <w:tcW w:w="720" w:type="dxa"/>
          </w:tcPr>
          <w:p w14:paraId="338BBA91" w14:textId="005C9D1E" w:rsidR="00874FFC" w:rsidRPr="00E359BF" w:rsidRDefault="00874FFC" w:rsidP="00874FFC">
            <w:pPr>
              <w:pStyle w:val="TableTextCentered"/>
              <w:rPr>
                <w:rFonts w:eastAsia="Times New Roman"/>
              </w:rPr>
            </w:pPr>
            <w:r w:rsidRPr="008C1E5F">
              <w:rPr>
                <w:rFonts w:eastAsia="Times New Roman"/>
              </w:rPr>
              <w:t>3</w:t>
            </w:r>
          </w:p>
        </w:tc>
        <w:tc>
          <w:tcPr>
            <w:tcW w:w="720" w:type="dxa"/>
            <w:vAlign w:val="center"/>
          </w:tcPr>
          <w:p w14:paraId="128113A3" w14:textId="7C044051" w:rsidR="00874FFC" w:rsidRPr="00E359BF" w:rsidRDefault="00874FFC" w:rsidP="00874FFC">
            <w:pPr>
              <w:pStyle w:val="TableTextCentered"/>
              <w:rPr>
                <w:rFonts w:eastAsia="Times New Roman"/>
              </w:rPr>
            </w:pPr>
            <w:r w:rsidRPr="008C1E5F">
              <w:rPr>
                <w:rFonts w:eastAsia="Times New Roman"/>
              </w:rPr>
              <w:t>1</w:t>
            </w:r>
          </w:p>
        </w:tc>
        <w:tc>
          <w:tcPr>
            <w:tcW w:w="720" w:type="dxa"/>
            <w:vAlign w:val="center"/>
          </w:tcPr>
          <w:p w14:paraId="7CDB0836" w14:textId="4A245B03" w:rsidR="00874FFC" w:rsidRPr="00E359BF" w:rsidRDefault="00874FFC" w:rsidP="00874FFC">
            <w:pPr>
              <w:pStyle w:val="TableTextCentered"/>
              <w:rPr>
                <w:rFonts w:eastAsia="Times New Roman"/>
              </w:rPr>
            </w:pPr>
            <w:r w:rsidRPr="008C1E5F">
              <w:rPr>
                <w:rFonts w:eastAsia="Times New Roman"/>
              </w:rPr>
              <w:t>1</w:t>
            </w:r>
          </w:p>
        </w:tc>
        <w:tc>
          <w:tcPr>
            <w:tcW w:w="540" w:type="dxa"/>
          </w:tcPr>
          <w:p w14:paraId="79D70210" w14:textId="6FC4666B" w:rsidR="00874FFC" w:rsidRPr="00E359BF" w:rsidRDefault="00874FFC" w:rsidP="00874FFC">
            <w:pPr>
              <w:pStyle w:val="TableTextCentered"/>
              <w:rPr>
                <w:rFonts w:eastAsia="Times New Roman"/>
              </w:rPr>
            </w:pPr>
            <w:r w:rsidRPr="008C1E5F">
              <w:rPr>
                <w:rFonts w:eastAsia="Times New Roman"/>
              </w:rPr>
              <w:t>35</w:t>
            </w:r>
          </w:p>
        </w:tc>
        <w:tc>
          <w:tcPr>
            <w:tcW w:w="900" w:type="dxa"/>
          </w:tcPr>
          <w:p w14:paraId="48772928" w14:textId="5C99F907" w:rsidR="00874FFC" w:rsidRPr="00E359BF" w:rsidRDefault="00874FFC" w:rsidP="00874FFC">
            <w:pPr>
              <w:pStyle w:val="TableTextCentered"/>
              <w:rPr>
                <w:rFonts w:eastAsia="Times New Roman"/>
              </w:rPr>
            </w:pPr>
            <w:r w:rsidRPr="008C1E5F">
              <w:rPr>
                <w:rFonts w:eastAsia="Times New Roman"/>
              </w:rPr>
              <w:t>2.9</w:t>
            </w:r>
          </w:p>
        </w:tc>
      </w:tr>
      <w:tr w:rsidR="00874FFC" w:rsidRPr="00E359BF" w14:paraId="5C6E2D3C"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328CFA8C" w14:textId="77777777" w:rsidR="00874FFC" w:rsidRPr="00E359BF" w:rsidRDefault="00874FFC" w:rsidP="00874FFC">
            <w:pPr>
              <w:pStyle w:val="TableSubheading"/>
              <w:rPr>
                <w:szCs w:val="20"/>
              </w:rPr>
            </w:pPr>
            <w:r w:rsidRPr="00E359BF">
              <w:t>Classroom Organization Domain</w:t>
            </w:r>
          </w:p>
        </w:tc>
        <w:tc>
          <w:tcPr>
            <w:tcW w:w="708" w:type="dxa"/>
          </w:tcPr>
          <w:p w14:paraId="65749E4E" w14:textId="19F35996" w:rsidR="00874FFC" w:rsidRPr="00E359BF" w:rsidRDefault="00874FFC" w:rsidP="00874FFC">
            <w:pPr>
              <w:pStyle w:val="TableTextCenteredDemi"/>
              <w:rPr>
                <w:rFonts w:eastAsia="Times New Roman"/>
              </w:rPr>
            </w:pPr>
            <w:r w:rsidRPr="008C1E5F">
              <w:rPr>
                <w:rFonts w:eastAsia="Times New Roman"/>
              </w:rPr>
              <w:t>0</w:t>
            </w:r>
          </w:p>
        </w:tc>
        <w:tc>
          <w:tcPr>
            <w:tcW w:w="708" w:type="dxa"/>
          </w:tcPr>
          <w:p w14:paraId="45EA012F" w14:textId="27C09361" w:rsidR="00874FFC" w:rsidRPr="00E359BF" w:rsidRDefault="00874FFC" w:rsidP="00874FFC">
            <w:pPr>
              <w:pStyle w:val="TableTextCenteredDemi"/>
              <w:rPr>
                <w:rFonts w:eastAsia="Times New Roman"/>
              </w:rPr>
            </w:pPr>
            <w:r w:rsidRPr="008C1E5F">
              <w:rPr>
                <w:rFonts w:eastAsia="Times New Roman"/>
              </w:rPr>
              <w:t>0</w:t>
            </w:r>
          </w:p>
        </w:tc>
        <w:tc>
          <w:tcPr>
            <w:tcW w:w="744" w:type="dxa"/>
          </w:tcPr>
          <w:p w14:paraId="3D3C42AA" w14:textId="21E2B972" w:rsidR="00874FFC" w:rsidRPr="00E359BF" w:rsidRDefault="00874FFC" w:rsidP="00874FFC">
            <w:pPr>
              <w:pStyle w:val="TableTextCenteredDemi"/>
              <w:rPr>
                <w:rFonts w:eastAsia="Times New Roman"/>
              </w:rPr>
            </w:pPr>
            <w:r w:rsidRPr="008C1E5F">
              <w:rPr>
                <w:rFonts w:eastAsia="Times New Roman"/>
              </w:rPr>
              <w:t>1</w:t>
            </w:r>
          </w:p>
        </w:tc>
        <w:tc>
          <w:tcPr>
            <w:tcW w:w="720" w:type="dxa"/>
          </w:tcPr>
          <w:p w14:paraId="4BD63E63" w14:textId="11F10FA7" w:rsidR="00874FFC" w:rsidRPr="00E359BF" w:rsidRDefault="00874FFC" w:rsidP="00874FFC">
            <w:pPr>
              <w:pStyle w:val="TableTextCenteredDemi"/>
              <w:rPr>
                <w:rFonts w:eastAsia="Times New Roman"/>
              </w:rPr>
            </w:pPr>
            <w:r w:rsidRPr="008C1E5F">
              <w:rPr>
                <w:rFonts w:eastAsia="Times New Roman"/>
              </w:rPr>
              <w:t>8</w:t>
            </w:r>
          </w:p>
        </w:tc>
        <w:tc>
          <w:tcPr>
            <w:tcW w:w="720" w:type="dxa"/>
          </w:tcPr>
          <w:p w14:paraId="75243281" w14:textId="67F226D9" w:rsidR="00874FFC" w:rsidRPr="00E359BF" w:rsidRDefault="00874FFC" w:rsidP="00874FFC">
            <w:pPr>
              <w:pStyle w:val="TableTextCenteredDemi"/>
              <w:rPr>
                <w:rFonts w:eastAsia="Times New Roman"/>
              </w:rPr>
            </w:pPr>
            <w:r w:rsidRPr="008C1E5F">
              <w:rPr>
                <w:rFonts w:eastAsia="Times New Roman"/>
              </w:rPr>
              <w:t>10</w:t>
            </w:r>
          </w:p>
        </w:tc>
        <w:tc>
          <w:tcPr>
            <w:tcW w:w="720" w:type="dxa"/>
            <w:vAlign w:val="center"/>
          </w:tcPr>
          <w:p w14:paraId="08B27734" w14:textId="4FC940FA" w:rsidR="00874FFC" w:rsidRPr="00E359BF" w:rsidRDefault="00874FFC" w:rsidP="00874FFC">
            <w:pPr>
              <w:pStyle w:val="TableTextCenteredDemi"/>
              <w:rPr>
                <w:rFonts w:eastAsia="Times New Roman"/>
              </w:rPr>
            </w:pPr>
            <w:r w:rsidRPr="008C1E5F">
              <w:rPr>
                <w:rFonts w:eastAsia="Times New Roman"/>
              </w:rPr>
              <w:t>23</w:t>
            </w:r>
          </w:p>
        </w:tc>
        <w:tc>
          <w:tcPr>
            <w:tcW w:w="720" w:type="dxa"/>
            <w:vAlign w:val="center"/>
          </w:tcPr>
          <w:p w14:paraId="4193AE94" w14:textId="76CE911B" w:rsidR="00874FFC" w:rsidRPr="00E359BF" w:rsidRDefault="00874FFC" w:rsidP="00874FFC">
            <w:pPr>
              <w:pStyle w:val="TableTextCenteredDemi"/>
              <w:rPr>
                <w:rFonts w:eastAsia="Times New Roman"/>
              </w:rPr>
            </w:pPr>
            <w:r w:rsidRPr="008C1E5F">
              <w:rPr>
                <w:rFonts w:eastAsia="Times New Roman"/>
              </w:rPr>
              <w:t>63</w:t>
            </w:r>
          </w:p>
        </w:tc>
        <w:tc>
          <w:tcPr>
            <w:tcW w:w="540" w:type="dxa"/>
          </w:tcPr>
          <w:p w14:paraId="599D2F71" w14:textId="6DA1B44A" w:rsidR="00874FFC" w:rsidRPr="00E359BF" w:rsidRDefault="00874FFC" w:rsidP="00874FFC">
            <w:pPr>
              <w:pStyle w:val="TableTextCenteredDemi"/>
              <w:rPr>
                <w:rFonts w:eastAsia="Times New Roman"/>
              </w:rPr>
            </w:pPr>
            <w:r w:rsidRPr="008C1E5F">
              <w:rPr>
                <w:rFonts w:eastAsia="Times New Roman"/>
              </w:rPr>
              <w:t>105</w:t>
            </w:r>
          </w:p>
        </w:tc>
        <w:tc>
          <w:tcPr>
            <w:tcW w:w="900" w:type="dxa"/>
          </w:tcPr>
          <w:p w14:paraId="7E31ED6B" w14:textId="6F8E61E8" w:rsidR="00874FFC" w:rsidRPr="00E359BF" w:rsidRDefault="00874FFC" w:rsidP="00874FFC">
            <w:pPr>
              <w:pStyle w:val="TableTextCenteredDemi"/>
              <w:rPr>
                <w:rFonts w:eastAsia="Times New Roman"/>
              </w:rPr>
            </w:pPr>
            <w:r w:rsidRPr="008C1E5F">
              <w:rPr>
                <w:rFonts w:eastAsia="Times New Roman"/>
              </w:rPr>
              <w:t>6.3</w:t>
            </w:r>
          </w:p>
        </w:tc>
      </w:tr>
      <w:tr w:rsidR="00874FFC" w:rsidRPr="00E359BF" w14:paraId="03393C1D" w14:textId="77777777">
        <w:tc>
          <w:tcPr>
            <w:tcW w:w="3232" w:type="dxa"/>
            <w:vAlign w:val="center"/>
          </w:tcPr>
          <w:p w14:paraId="09CA514F" w14:textId="77777777" w:rsidR="00874FFC" w:rsidRPr="00E359BF" w:rsidRDefault="00874FFC" w:rsidP="00874FFC">
            <w:pPr>
              <w:pStyle w:val="TableText"/>
              <w:ind w:left="204"/>
              <w:rPr>
                <w:b/>
                <w:bCs/>
              </w:rPr>
            </w:pPr>
            <w:r w:rsidRPr="00E359BF">
              <w:t>Behavior Management</w:t>
            </w:r>
          </w:p>
        </w:tc>
        <w:tc>
          <w:tcPr>
            <w:tcW w:w="708" w:type="dxa"/>
          </w:tcPr>
          <w:p w14:paraId="319DF680" w14:textId="444EF831" w:rsidR="00874FFC" w:rsidRPr="00E359BF" w:rsidRDefault="00874FFC" w:rsidP="00874FFC">
            <w:pPr>
              <w:pStyle w:val="TableTextCentered"/>
              <w:rPr>
                <w:rFonts w:eastAsia="Times New Roman"/>
              </w:rPr>
            </w:pPr>
            <w:r w:rsidRPr="008C1E5F">
              <w:rPr>
                <w:rFonts w:eastAsia="Times New Roman"/>
              </w:rPr>
              <w:t>0</w:t>
            </w:r>
          </w:p>
        </w:tc>
        <w:tc>
          <w:tcPr>
            <w:tcW w:w="708" w:type="dxa"/>
          </w:tcPr>
          <w:p w14:paraId="14066C30" w14:textId="249453D5" w:rsidR="00874FFC" w:rsidRPr="00E359BF" w:rsidRDefault="00874FFC" w:rsidP="00874FFC">
            <w:pPr>
              <w:pStyle w:val="TableTextCentered"/>
              <w:rPr>
                <w:rFonts w:eastAsia="Times New Roman"/>
              </w:rPr>
            </w:pPr>
            <w:r w:rsidRPr="008C1E5F">
              <w:rPr>
                <w:rFonts w:eastAsia="Times New Roman"/>
              </w:rPr>
              <w:t>0</w:t>
            </w:r>
          </w:p>
        </w:tc>
        <w:tc>
          <w:tcPr>
            <w:tcW w:w="744" w:type="dxa"/>
          </w:tcPr>
          <w:p w14:paraId="55711F30" w14:textId="6960D8A9" w:rsidR="00874FFC" w:rsidRPr="00E359BF" w:rsidRDefault="00874FFC" w:rsidP="00874FFC">
            <w:pPr>
              <w:pStyle w:val="TableTextCentered"/>
              <w:rPr>
                <w:rFonts w:eastAsia="Times New Roman"/>
              </w:rPr>
            </w:pPr>
            <w:r w:rsidRPr="008C1E5F">
              <w:rPr>
                <w:rFonts w:eastAsia="Times New Roman"/>
              </w:rPr>
              <w:t>0</w:t>
            </w:r>
          </w:p>
        </w:tc>
        <w:tc>
          <w:tcPr>
            <w:tcW w:w="720" w:type="dxa"/>
          </w:tcPr>
          <w:p w14:paraId="6FC665A7" w14:textId="4364B3C5" w:rsidR="00874FFC" w:rsidRPr="00E359BF" w:rsidRDefault="00874FFC" w:rsidP="00874FFC">
            <w:pPr>
              <w:pStyle w:val="TableTextCentered"/>
              <w:rPr>
                <w:rFonts w:eastAsia="Times New Roman"/>
              </w:rPr>
            </w:pPr>
            <w:r w:rsidRPr="008C1E5F">
              <w:rPr>
                <w:rFonts w:eastAsia="Times New Roman"/>
              </w:rPr>
              <w:t>5</w:t>
            </w:r>
          </w:p>
        </w:tc>
        <w:tc>
          <w:tcPr>
            <w:tcW w:w="720" w:type="dxa"/>
          </w:tcPr>
          <w:p w14:paraId="2936A31E" w14:textId="09516762" w:rsidR="00874FFC" w:rsidRPr="00E359BF" w:rsidRDefault="00874FFC" w:rsidP="00874FFC">
            <w:pPr>
              <w:pStyle w:val="TableTextCentered"/>
              <w:rPr>
                <w:rFonts w:eastAsia="Times New Roman"/>
              </w:rPr>
            </w:pPr>
            <w:r w:rsidRPr="008C1E5F">
              <w:rPr>
                <w:rFonts w:eastAsia="Times New Roman"/>
              </w:rPr>
              <w:t>6</w:t>
            </w:r>
          </w:p>
        </w:tc>
        <w:tc>
          <w:tcPr>
            <w:tcW w:w="720" w:type="dxa"/>
            <w:vAlign w:val="center"/>
          </w:tcPr>
          <w:p w14:paraId="301C7BA8" w14:textId="12F7D3C6" w:rsidR="00874FFC" w:rsidRPr="00E359BF" w:rsidRDefault="00874FFC" w:rsidP="00874FFC">
            <w:pPr>
              <w:pStyle w:val="TableTextCentered"/>
              <w:rPr>
                <w:rFonts w:eastAsia="Times New Roman"/>
              </w:rPr>
            </w:pPr>
            <w:r w:rsidRPr="008C1E5F">
              <w:rPr>
                <w:rFonts w:eastAsia="Times New Roman"/>
              </w:rPr>
              <w:t>9</w:t>
            </w:r>
          </w:p>
        </w:tc>
        <w:tc>
          <w:tcPr>
            <w:tcW w:w="720" w:type="dxa"/>
            <w:vAlign w:val="center"/>
          </w:tcPr>
          <w:p w14:paraId="4FC0B9FE" w14:textId="48841D1C" w:rsidR="00874FFC" w:rsidRPr="00E359BF" w:rsidRDefault="00874FFC" w:rsidP="00874FFC">
            <w:pPr>
              <w:pStyle w:val="TableTextCentered"/>
              <w:rPr>
                <w:rFonts w:eastAsia="Times New Roman"/>
              </w:rPr>
            </w:pPr>
            <w:r w:rsidRPr="008C1E5F">
              <w:rPr>
                <w:rFonts w:eastAsia="Times New Roman"/>
              </w:rPr>
              <w:t>15</w:t>
            </w:r>
          </w:p>
        </w:tc>
        <w:tc>
          <w:tcPr>
            <w:tcW w:w="540" w:type="dxa"/>
          </w:tcPr>
          <w:p w14:paraId="2FAC1692" w14:textId="0F5D8E45" w:rsidR="00874FFC" w:rsidRPr="00E359BF" w:rsidRDefault="00874FFC" w:rsidP="00874FFC">
            <w:pPr>
              <w:pStyle w:val="TableTextCentered"/>
              <w:rPr>
                <w:rFonts w:eastAsia="Times New Roman"/>
              </w:rPr>
            </w:pPr>
            <w:r w:rsidRPr="008C1E5F">
              <w:rPr>
                <w:rFonts w:eastAsia="Times New Roman"/>
              </w:rPr>
              <w:t>35</w:t>
            </w:r>
          </w:p>
        </w:tc>
        <w:tc>
          <w:tcPr>
            <w:tcW w:w="900" w:type="dxa"/>
          </w:tcPr>
          <w:p w14:paraId="77EABBF2" w14:textId="1327B167" w:rsidR="00874FFC" w:rsidRPr="00E359BF" w:rsidRDefault="00874FFC" w:rsidP="00874FFC">
            <w:pPr>
              <w:pStyle w:val="TableTextCentered"/>
              <w:rPr>
                <w:rFonts w:eastAsia="Times New Roman"/>
              </w:rPr>
            </w:pPr>
            <w:r w:rsidRPr="008C1E5F">
              <w:rPr>
                <w:rFonts w:eastAsia="Times New Roman"/>
              </w:rPr>
              <w:t>6.0</w:t>
            </w:r>
          </w:p>
        </w:tc>
      </w:tr>
      <w:tr w:rsidR="00874FFC" w:rsidRPr="00E359BF" w14:paraId="7E1ADEE5"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45C3C820" w14:textId="77777777" w:rsidR="00874FFC" w:rsidRPr="00E359BF" w:rsidRDefault="00874FFC" w:rsidP="00874FFC">
            <w:pPr>
              <w:pStyle w:val="TableText"/>
              <w:ind w:left="204"/>
              <w:rPr>
                <w:b/>
                <w:bCs/>
              </w:rPr>
            </w:pPr>
            <w:r w:rsidRPr="00E359BF">
              <w:t>Productivity</w:t>
            </w:r>
          </w:p>
        </w:tc>
        <w:tc>
          <w:tcPr>
            <w:tcW w:w="708" w:type="dxa"/>
          </w:tcPr>
          <w:p w14:paraId="02E1582F" w14:textId="74CD8911" w:rsidR="00874FFC" w:rsidRPr="00E359BF" w:rsidRDefault="00874FFC" w:rsidP="00874FFC">
            <w:pPr>
              <w:pStyle w:val="TableTextCentered"/>
              <w:rPr>
                <w:rFonts w:eastAsia="Times New Roman"/>
              </w:rPr>
            </w:pPr>
            <w:r w:rsidRPr="008C1E5F">
              <w:rPr>
                <w:rFonts w:eastAsia="Times New Roman"/>
              </w:rPr>
              <w:t>0</w:t>
            </w:r>
          </w:p>
        </w:tc>
        <w:tc>
          <w:tcPr>
            <w:tcW w:w="708" w:type="dxa"/>
          </w:tcPr>
          <w:p w14:paraId="1A00C46A" w14:textId="0C104A6A" w:rsidR="00874FFC" w:rsidRPr="00E359BF" w:rsidRDefault="00874FFC" w:rsidP="00874FFC">
            <w:pPr>
              <w:pStyle w:val="TableTextCentered"/>
              <w:rPr>
                <w:rFonts w:eastAsia="Times New Roman"/>
              </w:rPr>
            </w:pPr>
            <w:r w:rsidRPr="008C1E5F">
              <w:rPr>
                <w:rFonts w:eastAsia="Times New Roman"/>
              </w:rPr>
              <w:t>0</w:t>
            </w:r>
          </w:p>
        </w:tc>
        <w:tc>
          <w:tcPr>
            <w:tcW w:w="744" w:type="dxa"/>
          </w:tcPr>
          <w:p w14:paraId="2A7BD8F9" w14:textId="68037416" w:rsidR="00874FFC" w:rsidRPr="00E359BF" w:rsidRDefault="00874FFC" w:rsidP="00874FFC">
            <w:pPr>
              <w:pStyle w:val="TableTextCentered"/>
              <w:rPr>
                <w:rFonts w:eastAsia="Times New Roman"/>
              </w:rPr>
            </w:pPr>
            <w:r w:rsidRPr="008C1E5F">
              <w:rPr>
                <w:rFonts w:eastAsia="Times New Roman"/>
              </w:rPr>
              <w:t>1</w:t>
            </w:r>
          </w:p>
        </w:tc>
        <w:tc>
          <w:tcPr>
            <w:tcW w:w="720" w:type="dxa"/>
          </w:tcPr>
          <w:p w14:paraId="6C3F975B" w14:textId="678956F1" w:rsidR="00874FFC" w:rsidRPr="00E359BF" w:rsidRDefault="00874FFC" w:rsidP="00874FFC">
            <w:pPr>
              <w:pStyle w:val="TableTextCentered"/>
              <w:rPr>
                <w:rFonts w:eastAsia="Times New Roman"/>
              </w:rPr>
            </w:pPr>
            <w:r w:rsidRPr="008C1E5F">
              <w:rPr>
                <w:rFonts w:eastAsia="Times New Roman"/>
              </w:rPr>
              <w:t>3</w:t>
            </w:r>
          </w:p>
        </w:tc>
        <w:tc>
          <w:tcPr>
            <w:tcW w:w="720" w:type="dxa"/>
          </w:tcPr>
          <w:p w14:paraId="5E9E6229" w14:textId="1AD94B6C" w:rsidR="00874FFC" w:rsidRPr="00E359BF" w:rsidRDefault="00874FFC" w:rsidP="00874FFC">
            <w:pPr>
              <w:pStyle w:val="TableTextCentered"/>
              <w:rPr>
                <w:rFonts w:eastAsia="Times New Roman"/>
              </w:rPr>
            </w:pPr>
            <w:r w:rsidRPr="008C1E5F">
              <w:rPr>
                <w:rFonts w:eastAsia="Times New Roman"/>
              </w:rPr>
              <w:t>4</w:t>
            </w:r>
          </w:p>
        </w:tc>
        <w:tc>
          <w:tcPr>
            <w:tcW w:w="720" w:type="dxa"/>
            <w:vAlign w:val="center"/>
          </w:tcPr>
          <w:p w14:paraId="7D28B281" w14:textId="1D2F28FB" w:rsidR="00874FFC" w:rsidRPr="00E359BF" w:rsidRDefault="00874FFC" w:rsidP="00874FFC">
            <w:pPr>
              <w:pStyle w:val="TableTextCentered"/>
              <w:rPr>
                <w:rFonts w:eastAsia="Times New Roman"/>
              </w:rPr>
            </w:pPr>
            <w:r w:rsidRPr="008C1E5F">
              <w:rPr>
                <w:rFonts w:eastAsia="Times New Roman"/>
              </w:rPr>
              <w:t>9</w:t>
            </w:r>
          </w:p>
        </w:tc>
        <w:tc>
          <w:tcPr>
            <w:tcW w:w="720" w:type="dxa"/>
            <w:vAlign w:val="center"/>
          </w:tcPr>
          <w:p w14:paraId="1D55097C" w14:textId="3543E83F" w:rsidR="00874FFC" w:rsidRPr="00E359BF" w:rsidRDefault="00874FFC" w:rsidP="00874FFC">
            <w:pPr>
              <w:pStyle w:val="TableTextCentered"/>
              <w:rPr>
                <w:rFonts w:eastAsia="Times New Roman"/>
              </w:rPr>
            </w:pPr>
            <w:r w:rsidRPr="008C1E5F">
              <w:rPr>
                <w:rFonts w:eastAsia="Times New Roman"/>
              </w:rPr>
              <w:t>18</w:t>
            </w:r>
          </w:p>
        </w:tc>
        <w:tc>
          <w:tcPr>
            <w:tcW w:w="540" w:type="dxa"/>
          </w:tcPr>
          <w:p w14:paraId="62598F05" w14:textId="0931822C" w:rsidR="00874FFC" w:rsidRPr="00E359BF" w:rsidRDefault="00874FFC" w:rsidP="00874FFC">
            <w:pPr>
              <w:pStyle w:val="TableTextCentered"/>
              <w:rPr>
                <w:rFonts w:eastAsia="Times New Roman"/>
              </w:rPr>
            </w:pPr>
            <w:r w:rsidRPr="008C1E5F">
              <w:rPr>
                <w:rFonts w:eastAsia="Times New Roman"/>
              </w:rPr>
              <w:t>35</w:t>
            </w:r>
          </w:p>
        </w:tc>
        <w:tc>
          <w:tcPr>
            <w:tcW w:w="900" w:type="dxa"/>
          </w:tcPr>
          <w:p w14:paraId="20D09CC4" w14:textId="4B5B77D3" w:rsidR="00874FFC" w:rsidRPr="00E359BF" w:rsidRDefault="00874FFC" w:rsidP="00874FFC">
            <w:pPr>
              <w:pStyle w:val="TableTextCentered"/>
              <w:rPr>
                <w:rFonts w:eastAsia="Times New Roman"/>
              </w:rPr>
            </w:pPr>
            <w:r w:rsidRPr="008C1E5F">
              <w:rPr>
                <w:rFonts w:eastAsia="Times New Roman"/>
              </w:rPr>
              <w:t>6.1</w:t>
            </w:r>
          </w:p>
        </w:tc>
      </w:tr>
      <w:tr w:rsidR="00874FFC" w:rsidRPr="00E359BF" w14:paraId="15A67039" w14:textId="77777777">
        <w:tc>
          <w:tcPr>
            <w:tcW w:w="3232" w:type="dxa"/>
            <w:vAlign w:val="center"/>
          </w:tcPr>
          <w:p w14:paraId="67E5F345" w14:textId="77777777" w:rsidR="00874FFC" w:rsidRPr="00E359BF" w:rsidRDefault="00874FFC" w:rsidP="00874FFC">
            <w:pPr>
              <w:pStyle w:val="TableText"/>
              <w:ind w:left="204"/>
              <w:rPr>
                <w:b/>
                <w:bCs/>
              </w:rPr>
            </w:pPr>
            <w:r w:rsidRPr="00D931E1">
              <w:t>Negative Climate</w:t>
            </w:r>
            <w:r>
              <w:t>**</w:t>
            </w:r>
          </w:p>
        </w:tc>
        <w:tc>
          <w:tcPr>
            <w:tcW w:w="708" w:type="dxa"/>
          </w:tcPr>
          <w:p w14:paraId="7BB29679" w14:textId="0F10A914" w:rsidR="00874FFC" w:rsidRPr="00E359BF" w:rsidRDefault="00874FFC" w:rsidP="00874FFC">
            <w:pPr>
              <w:pStyle w:val="TableTextCentered"/>
              <w:rPr>
                <w:rFonts w:eastAsia="Times New Roman"/>
              </w:rPr>
            </w:pPr>
            <w:r w:rsidRPr="008C1E5F">
              <w:rPr>
                <w:rFonts w:eastAsia="Times New Roman"/>
              </w:rPr>
              <w:t>0</w:t>
            </w:r>
          </w:p>
        </w:tc>
        <w:tc>
          <w:tcPr>
            <w:tcW w:w="708" w:type="dxa"/>
          </w:tcPr>
          <w:p w14:paraId="0D439C31" w14:textId="0D332C6D" w:rsidR="00874FFC" w:rsidRPr="00E359BF" w:rsidRDefault="00874FFC" w:rsidP="00874FFC">
            <w:pPr>
              <w:pStyle w:val="TableTextCentered"/>
              <w:rPr>
                <w:rFonts w:eastAsia="Times New Roman"/>
              </w:rPr>
            </w:pPr>
            <w:r w:rsidRPr="008C1E5F">
              <w:rPr>
                <w:rFonts w:eastAsia="Times New Roman"/>
              </w:rPr>
              <w:t>0</w:t>
            </w:r>
          </w:p>
        </w:tc>
        <w:tc>
          <w:tcPr>
            <w:tcW w:w="744" w:type="dxa"/>
          </w:tcPr>
          <w:p w14:paraId="75CBBD91" w14:textId="7F3C01FF" w:rsidR="00874FFC" w:rsidRPr="00E359BF" w:rsidRDefault="00874FFC" w:rsidP="00874FFC">
            <w:pPr>
              <w:pStyle w:val="TableTextCentered"/>
              <w:rPr>
                <w:rFonts w:eastAsia="Times New Roman"/>
              </w:rPr>
            </w:pPr>
            <w:r w:rsidRPr="008C1E5F">
              <w:rPr>
                <w:rFonts w:eastAsia="Times New Roman"/>
              </w:rPr>
              <w:t>0</w:t>
            </w:r>
          </w:p>
        </w:tc>
        <w:tc>
          <w:tcPr>
            <w:tcW w:w="720" w:type="dxa"/>
          </w:tcPr>
          <w:p w14:paraId="2434659A" w14:textId="3C25A0E1" w:rsidR="00874FFC" w:rsidRPr="00E359BF" w:rsidRDefault="00874FFC" w:rsidP="00874FFC">
            <w:pPr>
              <w:pStyle w:val="TableTextCentered"/>
              <w:rPr>
                <w:rFonts w:eastAsia="Times New Roman"/>
              </w:rPr>
            </w:pPr>
            <w:r w:rsidRPr="008C1E5F">
              <w:rPr>
                <w:rFonts w:eastAsia="Times New Roman"/>
              </w:rPr>
              <w:t>0</w:t>
            </w:r>
          </w:p>
        </w:tc>
        <w:tc>
          <w:tcPr>
            <w:tcW w:w="720" w:type="dxa"/>
          </w:tcPr>
          <w:p w14:paraId="092A9D97" w14:textId="0A999A5A" w:rsidR="00874FFC" w:rsidRPr="00E359BF" w:rsidRDefault="00874FFC" w:rsidP="00874FFC">
            <w:pPr>
              <w:pStyle w:val="TableTextCentered"/>
              <w:rPr>
                <w:rFonts w:eastAsia="Times New Roman"/>
              </w:rPr>
            </w:pPr>
            <w:r w:rsidRPr="008C1E5F">
              <w:rPr>
                <w:rFonts w:eastAsia="Times New Roman"/>
              </w:rPr>
              <w:t>0</w:t>
            </w:r>
          </w:p>
        </w:tc>
        <w:tc>
          <w:tcPr>
            <w:tcW w:w="720" w:type="dxa"/>
            <w:vAlign w:val="center"/>
          </w:tcPr>
          <w:p w14:paraId="42EC58C3" w14:textId="41C33487" w:rsidR="00874FFC" w:rsidRPr="00E359BF" w:rsidRDefault="00874FFC" w:rsidP="00874FFC">
            <w:pPr>
              <w:pStyle w:val="TableTextCentered"/>
              <w:rPr>
                <w:rFonts w:eastAsia="Times New Roman"/>
              </w:rPr>
            </w:pPr>
            <w:r w:rsidRPr="008C1E5F">
              <w:rPr>
                <w:rFonts w:eastAsia="Times New Roman"/>
              </w:rPr>
              <w:t>5</w:t>
            </w:r>
          </w:p>
        </w:tc>
        <w:tc>
          <w:tcPr>
            <w:tcW w:w="720" w:type="dxa"/>
            <w:vAlign w:val="center"/>
          </w:tcPr>
          <w:p w14:paraId="0015FF72" w14:textId="78C303F8" w:rsidR="00874FFC" w:rsidRPr="00E359BF" w:rsidRDefault="00874FFC" w:rsidP="00874FFC">
            <w:pPr>
              <w:pStyle w:val="TableTextCentered"/>
              <w:rPr>
                <w:rFonts w:eastAsia="Times New Roman"/>
              </w:rPr>
            </w:pPr>
            <w:r w:rsidRPr="008C1E5F">
              <w:rPr>
                <w:rFonts w:eastAsia="Times New Roman"/>
              </w:rPr>
              <w:t>30</w:t>
            </w:r>
          </w:p>
        </w:tc>
        <w:tc>
          <w:tcPr>
            <w:tcW w:w="540" w:type="dxa"/>
          </w:tcPr>
          <w:p w14:paraId="66F55A48" w14:textId="6C7C34A1" w:rsidR="00874FFC" w:rsidRPr="00E359BF" w:rsidRDefault="00874FFC" w:rsidP="00874FFC">
            <w:pPr>
              <w:pStyle w:val="TableTextCentered"/>
              <w:rPr>
                <w:rFonts w:eastAsia="Times New Roman"/>
              </w:rPr>
            </w:pPr>
            <w:r w:rsidRPr="008C1E5F">
              <w:rPr>
                <w:rFonts w:eastAsia="Times New Roman"/>
              </w:rPr>
              <w:t>35</w:t>
            </w:r>
          </w:p>
        </w:tc>
        <w:tc>
          <w:tcPr>
            <w:tcW w:w="900" w:type="dxa"/>
          </w:tcPr>
          <w:p w14:paraId="6D9559E4" w14:textId="73FC0849" w:rsidR="00874FFC" w:rsidRPr="00E359BF" w:rsidRDefault="00874FFC" w:rsidP="00874FFC">
            <w:pPr>
              <w:pStyle w:val="TableTextCentered"/>
              <w:rPr>
                <w:rFonts w:eastAsia="Times New Roman"/>
              </w:rPr>
            </w:pPr>
            <w:r w:rsidRPr="008C1E5F">
              <w:rPr>
                <w:rFonts w:eastAsia="Times New Roman"/>
              </w:rPr>
              <w:t>6.9</w:t>
            </w:r>
          </w:p>
        </w:tc>
      </w:tr>
      <w:tr w:rsidR="00874FFC" w:rsidRPr="00E359BF" w14:paraId="6BB6ECC2"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2D2BFFDE" w14:textId="77777777" w:rsidR="00874FFC" w:rsidRPr="00E359BF" w:rsidRDefault="00874FFC" w:rsidP="00874FFC">
            <w:pPr>
              <w:pStyle w:val="TableSubheading"/>
              <w:rPr>
                <w:szCs w:val="20"/>
              </w:rPr>
            </w:pPr>
            <w:r w:rsidRPr="00E359BF">
              <w:t>Instructional Support Domain</w:t>
            </w:r>
          </w:p>
        </w:tc>
        <w:tc>
          <w:tcPr>
            <w:tcW w:w="708" w:type="dxa"/>
          </w:tcPr>
          <w:p w14:paraId="0C03B43B" w14:textId="26D6C5D7" w:rsidR="00874FFC" w:rsidRPr="00E359BF" w:rsidRDefault="00874FFC" w:rsidP="00874FFC">
            <w:pPr>
              <w:pStyle w:val="TableTextCenteredDemi"/>
              <w:rPr>
                <w:rFonts w:eastAsia="Times New Roman"/>
              </w:rPr>
            </w:pPr>
            <w:r w:rsidRPr="008C1E5F">
              <w:rPr>
                <w:rFonts w:eastAsia="Times New Roman"/>
              </w:rPr>
              <w:t>24</w:t>
            </w:r>
          </w:p>
        </w:tc>
        <w:tc>
          <w:tcPr>
            <w:tcW w:w="708" w:type="dxa"/>
          </w:tcPr>
          <w:p w14:paraId="0525E0FA" w14:textId="1870A38C" w:rsidR="00874FFC" w:rsidRPr="00E359BF" w:rsidRDefault="00874FFC" w:rsidP="00874FFC">
            <w:pPr>
              <w:pStyle w:val="TableTextCenteredDemi"/>
              <w:rPr>
                <w:rFonts w:eastAsia="Times New Roman"/>
              </w:rPr>
            </w:pPr>
            <w:r w:rsidRPr="008C1E5F">
              <w:rPr>
                <w:rFonts w:eastAsia="Times New Roman"/>
              </w:rPr>
              <w:t>22</w:t>
            </w:r>
          </w:p>
        </w:tc>
        <w:tc>
          <w:tcPr>
            <w:tcW w:w="744" w:type="dxa"/>
          </w:tcPr>
          <w:p w14:paraId="19348A60" w14:textId="343EEE8D" w:rsidR="00874FFC" w:rsidRPr="00E359BF" w:rsidRDefault="00874FFC" w:rsidP="00874FFC">
            <w:pPr>
              <w:pStyle w:val="TableTextCenteredDemi"/>
              <w:rPr>
                <w:rFonts w:eastAsia="Times New Roman"/>
              </w:rPr>
            </w:pPr>
            <w:r w:rsidRPr="008C1E5F">
              <w:rPr>
                <w:rFonts w:eastAsia="Times New Roman"/>
              </w:rPr>
              <w:t>36</w:t>
            </w:r>
          </w:p>
        </w:tc>
        <w:tc>
          <w:tcPr>
            <w:tcW w:w="720" w:type="dxa"/>
          </w:tcPr>
          <w:p w14:paraId="0FAD3728" w14:textId="6D527601" w:rsidR="00874FFC" w:rsidRPr="00E359BF" w:rsidRDefault="00874FFC" w:rsidP="00874FFC">
            <w:pPr>
              <w:pStyle w:val="TableTextCenteredDemi"/>
              <w:rPr>
                <w:rFonts w:eastAsia="Times New Roman"/>
              </w:rPr>
            </w:pPr>
            <w:r w:rsidRPr="008C1E5F">
              <w:rPr>
                <w:rFonts w:eastAsia="Times New Roman"/>
              </w:rPr>
              <w:t>29</w:t>
            </w:r>
          </w:p>
        </w:tc>
        <w:tc>
          <w:tcPr>
            <w:tcW w:w="720" w:type="dxa"/>
          </w:tcPr>
          <w:p w14:paraId="0329A871" w14:textId="0F85FBF4" w:rsidR="00874FFC" w:rsidRPr="00E359BF" w:rsidRDefault="00874FFC" w:rsidP="00874FFC">
            <w:pPr>
              <w:pStyle w:val="TableTextCenteredDemi"/>
              <w:rPr>
                <w:rFonts w:eastAsia="Times New Roman"/>
              </w:rPr>
            </w:pPr>
            <w:r w:rsidRPr="008C1E5F">
              <w:rPr>
                <w:rFonts w:eastAsia="Times New Roman"/>
              </w:rPr>
              <w:t>45</w:t>
            </w:r>
          </w:p>
        </w:tc>
        <w:tc>
          <w:tcPr>
            <w:tcW w:w="720" w:type="dxa"/>
            <w:vAlign w:val="center"/>
          </w:tcPr>
          <w:p w14:paraId="702F9F49" w14:textId="221F6F39" w:rsidR="00874FFC" w:rsidRPr="00E359BF" w:rsidRDefault="00874FFC" w:rsidP="00874FFC">
            <w:pPr>
              <w:pStyle w:val="TableTextCenteredDemi"/>
              <w:rPr>
                <w:rFonts w:eastAsia="Times New Roman"/>
              </w:rPr>
            </w:pPr>
            <w:r w:rsidRPr="008C1E5F">
              <w:rPr>
                <w:rFonts w:eastAsia="Times New Roman"/>
              </w:rPr>
              <w:t>12</w:t>
            </w:r>
          </w:p>
        </w:tc>
        <w:tc>
          <w:tcPr>
            <w:tcW w:w="720" w:type="dxa"/>
            <w:vAlign w:val="center"/>
          </w:tcPr>
          <w:p w14:paraId="6DFEA21D" w14:textId="2AFA9E4C" w:rsidR="00874FFC" w:rsidRPr="00E359BF" w:rsidRDefault="00874FFC" w:rsidP="00874FFC">
            <w:pPr>
              <w:pStyle w:val="TableTextCenteredDemi"/>
              <w:rPr>
                <w:rFonts w:eastAsia="Times New Roman"/>
              </w:rPr>
            </w:pPr>
            <w:r w:rsidRPr="008C1E5F">
              <w:rPr>
                <w:rFonts w:eastAsia="Times New Roman"/>
              </w:rPr>
              <w:t>7</w:t>
            </w:r>
          </w:p>
        </w:tc>
        <w:tc>
          <w:tcPr>
            <w:tcW w:w="540" w:type="dxa"/>
          </w:tcPr>
          <w:p w14:paraId="5C9E2759" w14:textId="6B97931D" w:rsidR="00874FFC" w:rsidRPr="00E359BF" w:rsidRDefault="00874FFC" w:rsidP="00874FFC">
            <w:pPr>
              <w:pStyle w:val="TableTextCenteredDemi"/>
              <w:rPr>
                <w:rFonts w:eastAsia="Times New Roman"/>
              </w:rPr>
            </w:pPr>
            <w:r w:rsidRPr="008C1E5F">
              <w:rPr>
                <w:rFonts w:eastAsia="Times New Roman"/>
              </w:rPr>
              <w:t>175</w:t>
            </w:r>
          </w:p>
        </w:tc>
        <w:tc>
          <w:tcPr>
            <w:tcW w:w="900" w:type="dxa"/>
          </w:tcPr>
          <w:p w14:paraId="3A586211" w14:textId="30F3A0A5" w:rsidR="00874FFC" w:rsidRPr="00E359BF" w:rsidRDefault="00874FFC" w:rsidP="00874FFC">
            <w:pPr>
              <w:pStyle w:val="TableTextCenteredDemi"/>
              <w:rPr>
                <w:rFonts w:eastAsia="Times New Roman"/>
              </w:rPr>
            </w:pPr>
            <w:r w:rsidRPr="008C1E5F">
              <w:rPr>
                <w:rFonts w:eastAsia="Times New Roman"/>
              </w:rPr>
              <w:t>3.6</w:t>
            </w:r>
          </w:p>
        </w:tc>
      </w:tr>
      <w:tr w:rsidR="00874FFC" w:rsidRPr="00E359BF" w14:paraId="3A22C9DE" w14:textId="77777777">
        <w:tc>
          <w:tcPr>
            <w:tcW w:w="3232" w:type="dxa"/>
            <w:vAlign w:val="center"/>
          </w:tcPr>
          <w:p w14:paraId="63A5AC5C" w14:textId="77777777" w:rsidR="00874FFC" w:rsidRPr="00E359BF" w:rsidRDefault="00874FFC" w:rsidP="00874FFC">
            <w:pPr>
              <w:pStyle w:val="TableText"/>
              <w:ind w:left="204"/>
              <w:rPr>
                <w:b/>
                <w:bCs/>
              </w:rPr>
            </w:pPr>
            <w:r w:rsidRPr="00D931E1">
              <w:t>Instructional Learning Formats</w:t>
            </w:r>
          </w:p>
        </w:tc>
        <w:tc>
          <w:tcPr>
            <w:tcW w:w="708" w:type="dxa"/>
          </w:tcPr>
          <w:p w14:paraId="65D23630" w14:textId="0D669D01" w:rsidR="00874FFC" w:rsidRPr="00E359BF" w:rsidRDefault="00874FFC" w:rsidP="00874FFC">
            <w:pPr>
              <w:pStyle w:val="TableTextCentered"/>
              <w:rPr>
                <w:rFonts w:eastAsia="Times New Roman"/>
              </w:rPr>
            </w:pPr>
            <w:r w:rsidRPr="008C1E5F">
              <w:rPr>
                <w:rFonts w:eastAsia="Times New Roman"/>
              </w:rPr>
              <w:t>0</w:t>
            </w:r>
          </w:p>
        </w:tc>
        <w:tc>
          <w:tcPr>
            <w:tcW w:w="708" w:type="dxa"/>
          </w:tcPr>
          <w:p w14:paraId="4C75B770" w14:textId="34A1F8A5" w:rsidR="00874FFC" w:rsidRPr="00E359BF" w:rsidRDefault="00874FFC" w:rsidP="00874FFC">
            <w:pPr>
              <w:pStyle w:val="TableTextCentered"/>
              <w:rPr>
                <w:rFonts w:eastAsia="Times New Roman"/>
              </w:rPr>
            </w:pPr>
            <w:r w:rsidRPr="008C1E5F">
              <w:rPr>
                <w:rFonts w:eastAsia="Times New Roman"/>
              </w:rPr>
              <w:t>1</w:t>
            </w:r>
          </w:p>
        </w:tc>
        <w:tc>
          <w:tcPr>
            <w:tcW w:w="744" w:type="dxa"/>
          </w:tcPr>
          <w:p w14:paraId="5B0B2205" w14:textId="44CC9E25" w:rsidR="00874FFC" w:rsidRPr="00E359BF" w:rsidRDefault="00874FFC" w:rsidP="00874FFC">
            <w:pPr>
              <w:pStyle w:val="TableTextCentered"/>
              <w:rPr>
                <w:rFonts w:eastAsia="Times New Roman"/>
              </w:rPr>
            </w:pPr>
            <w:r w:rsidRPr="008C1E5F">
              <w:rPr>
                <w:rFonts w:eastAsia="Times New Roman"/>
              </w:rPr>
              <w:t>7</w:t>
            </w:r>
          </w:p>
        </w:tc>
        <w:tc>
          <w:tcPr>
            <w:tcW w:w="720" w:type="dxa"/>
          </w:tcPr>
          <w:p w14:paraId="55250DF4" w14:textId="78DBC0DD" w:rsidR="00874FFC" w:rsidRPr="00E359BF" w:rsidRDefault="00874FFC" w:rsidP="00874FFC">
            <w:pPr>
              <w:pStyle w:val="TableTextCentered"/>
              <w:rPr>
                <w:rFonts w:eastAsia="Times New Roman"/>
              </w:rPr>
            </w:pPr>
            <w:r w:rsidRPr="008C1E5F">
              <w:rPr>
                <w:rFonts w:eastAsia="Times New Roman"/>
              </w:rPr>
              <w:t>5</w:t>
            </w:r>
          </w:p>
        </w:tc>
        <w:tc>
          <w:tcPr>
            <w:tcW w:w="720" w:type="dxa"/>
          </w:tcPr>
          <w:p w14:paraId="09953850" w14:textId="2182CCCE" w:rsidR="00874FFC" w:rsidRPr="00E359BF" w:rsidRDefault="00874FFC" w:rsidP="00874FFC">
            <w:pPr>
              <w:pStyle w:val="TableTextCentered"/>
              <w:rPr>
                <w:rFonts w:eastAsia="Times New Roman"/>
              </w:rPr>
            </w:pPr>
            <w:r w:rsidRPr="008C1E5F">
              <w:rPr>
                <w:rFonts w:eastAsia="Times New Roman"/>
              </w:rPr>
              <w:t>17</w:t>
            </w:r>
          </w:p>
        </w:tc>
        <w:tc>
          <w:tcPr>
            <w:tcW w:w="720" w:type="dxa"/>
            <w:vAlign w:val="center"/>
          </w:tcPr>
          <w:p w14:paraId="3C9E1367" w14:textId="31F7D1AE" w:rsidR="00874FFC" w:rsidRPr="00E359BF" w:rsidRDefault="00874FFC" w:rsidP="00874FFC">
            <w:pPr>
              <w:pStyle w:val="TableTextCentered"/>
              <w:rPr>
                <w:rFonts w:eastAsia="Times New Roman"/>
              </w:rPr>
            </w:pPr>
            <w:r w:rsidRPr="008C1E5F">
              <w:rPr>
                <w:rFonts w:eastAsia="Times New Roman"/>
              </w:rPr>
              <w:t>3</w:t>
            </w:r>
          </w:p>
        </w:tc>
        <w:tc>
          <w:tcPr>
            <w:tcW w:w="720" w:type="dxa"/>
            <w:vAlign w:val="center"/>
          </w:tcPr>
          <w:p w14:paraId="175B350E" w14:textId="0B33C7B2" w:rsidR="00874FFC" w:rsidRPr="00E359BF" w:rsidRDefault="00874FFC" w:rsidP="00874FFC">
            <w:pPr>
              <w:pStyle w:val="TableTextCentered"/>
              <w:rPr>
                <w:rFonts w:eastAsia="Times New Roman"/>
              </w:rPr>
            </w:pPr>
            <w:r w:rsidRPr="008C1E5F">
              <w:rPr>
                <w:rFonts w:eastAsia="Times New Roman"/>
              </w:rPr>
              <w:t>2</w:t>
            </w:r>
          </w:p>
        </w:tc>
        <w:tc>
          <w:tcPr>
            <w:tcW w:w="540" w:type="dxa"/>
          </w:tcPr>
          <w:p w14:paraId="210F1D60" w14:textId="5C80B614" w:rsidR="00874FFC" w:rsidRPr="00E359BF" w:rsidRDefault="00874FFC" w:rsidP="00874FFC">
            <w:pPr>
              <w:pStyle w:val="TableTextCentered"/>
              <w:rPr>
                <w:rFonts w:eastAsia="Times New Roman"/>
              </w:rPr>
            </w:pPr>
            <w:r w:rsidRPr="008C1E5F">
              <w:rPr>
                <w:rFonts w:eastAsia="Times New Roman"/>
              </w:rPr>
              <w:t>35</w:t>
            </w:r>
          </w:p>
        </w:tc>
        <w:tc>
          <w:tcPr>
            <w:tcW w:w="900" w:type="dxa"/>
          </w:tcPr>
          <w:p w14:paraId="5BE6A3B2" w14:textId="50D602DE" w:rsidR="00874FFC" w:rsidRPr="00E359BF" w:rsidRDefault="00874FFC" w:rsidP="00874FFC">
            <w:pPr>
              <w:pStyle w:val="TableTextCentered"/>
              <w:rPr>
                <w:rFonts w:eastAsia="Times New Roman"/>
              </w:rPr>
            </w:pPr>
            <w:r w:rsidRPr="008C1E5F">
              <w:rPr>
                <w:rFonts w:eastAsia="Times New Roman"/>
              </w:rPr>
              <w:t>4.6</w:t>
            </w:r>
          </w:p>
        </w:tc>
      </w:tr>
      <w:tr w:rsidR="00874FFC" w:rsidRPr="00E359BF" w14:paraId="607B2915" w14:textId="77777777">
        <w:trPr>
          <w:cnfStyle w:val="000000100000" w:firstRow="0" w:lastRow="0" w:firstColumn="0" w:lastColumn="0" w:oddVBand="0" w:evenVBand="0" w:oddHBand="1" w:evenHBand="0" w:firstRowFirstColumn="0" w:firstRowLastColumn="0" w:lastRowFirstColumn="0" w:lastRowLastColumn="0"/>
          <w:trHeight w:val="70"/>
        </w:trPr>
        <w:tc>
          <w:tcPr>
            <w:tcW w:w="3232" w:type="dxa"/>
            <w:vAlign w:val="center"/>
          </w:tcPr>
          <w:p w14:paraId="63A71A32" w14:textId="77777777" w:rsidR="00874FFC" w:rsidRPr="00E359BF" w:rsidRDefault="00874FFC" w:rsidP="00874FFC">
            <w:pPr>
              <w:pStyle w:val="TableText"/>
              <w:ind w:left="204"/>
              <w:rPr>
                <w:b/>
                <w:bCs/>
              </w:rPr>
            </w:pPr>
            <w:r w:rsidRPr="00D931E1">
              <w:t>Content Understanding</w:t>
            </w:r>
          </w:p>
        </w:tc>
        <w:tc>
          <w:tcPr>
            <w:tcW w:w="708" w:type="dxa"/>
          </w:tcPr>
          <w:p w14:paraId="1CA4D41F" w14:textId="3D38E42D" w:rsidR="00874FFC" w:rsidRPr="00E359BF" w:rsidRDefault="00874FFC" w:rsidP="00874FFC">
            <w:pPr>
              <w:pStyle w:val="TableTextCentered"/>
              <w:rPr>
                <w:rFonts w:eastAsia="Times New Roman"/>
              </w:rPr>
            </w:pPr>
            <w:r w:rsidRPr="008C1E5F">
              <w:rPr>
                <w:rFonts w:eastAsia="Times New Roman"/>
              </w:rPr>
              <w:t>0</w:t>
            </w:r>
          </w:p>
        </w:tc>
        <w:tc>
          <w:tcPr>
            <w:tcW w:w="708" w:type="dxa"/>
          </w:tcPr>
          <w:p w14:paraId="7A6A6893" w14:textId="4A9670E8" w:rsidR="00874FFC" w:rsidRPr="00E359BF" w:rsidRDefault="00874FFC" w:rsidP="00874FFC">
            <w:pPr>
              <w:pStyle w:val="TableTextCentered"/>
              <w:rPr>
                <w:rFonts w:eastAsia="Times New Roman"/>
              </w:rPr>
            </w:pPr>
            <w:r w:rsidRPr="008C1E5F">
              <w:rPr>
                <w:rFonts w:eastAsia="Times New Roman"/>
              </w:rPr>
              <w:t>3</w:t>
            </w:r>
          </w:p>
        </w:tc>
        <w:tc>
          <w:tcPr>
            <w:tcW w:w="744" w:type="dxa"/>
          </w:tcPr>
          <w:p w14:paraId="5F3ABBE6" w14:textId="087656F7" w:rsidR="00874FFC" w:rsidRPr="00E359BF" w:rsidRDefault="00874FFC" w:rsidP="00874FFC">
            <w:pPr>
              <w:pStyle w:val="TableTextCentered"/>
              <w:rPr>
                <w:rFonts w:eastAsia="Times New Roman"/>
              </w:rPr>
            </w:pPr>
            <w:r w:rsidRPr="008C1E5F">
              <w:rPr>
                <w:rFonts w:eastAsia="Times New Roman"/>
              </w:rPr>
              <w:t>7</w:t>
            </w:r>
          </w:p>
        </w:tc>
        <w:tc>
          <w:tcPr>
            <w:tcW w:w="720" w:type="dxa"/>
          </w:tcPr>
          <w:p w14:paraId="6B4740FE" w14:textId="3EF2FDAC" w:rsidR="00874FFC" w:rsidRPr="00E359BF" w:rsidRDefault="00874FFC" w:rsidP="00874FFC">
            <w:pPr>
              <w:pStyle w:val="TableTextCentered"/>
              <w:rPr>
                <w:rFonts w:eastAsia="Times New Roman"/>
              </w:rPr>
            </w:pPr>
            <w:r w:rsidRPr="008C1E5F">
              <w:rPr>
                <w:rFonts w:eastAsia="Times New Roman"/>
              </w:rPr>
              <w:t>5</w:t>
            </w:r>
          </w:p>
        </w:tc>
        <w:tc>
          <w:tcPr>
            <w:tcW w:w="720" w:type="dxa"/>
          </w:tcPr>
          <w:p w14:paraId="27953355" w14:textId="0AFA9551" w:rsidR="00874FFC" w:rsidRPr="00E359BF" w:rsidRDefault="00874FFC" w:rsidP="00874FFC">
            <w:pPr>
              <w:pStyle w:val="TableTextCentered"/>
              <w:rPr>
                <w:rFonts w:eastAsia="Times New Roman"/>
              </w:rPr>
            </w:pPr>
            <w:r w:rsidRPr="008C1E5F">
              <w:rPr>
                <w:rFonts w:eastAsia="Times New Roman"/>
              </w:rPr>
              <w:t>13</w:t>
            </w:r>
          </w:p>
        </w:tc>
        <w:tc>
          <w:tcPr>
            <w:tcW w:w="720" w:type="dxa"/>
            <w:vAlign w:val="center"/>
          </w:tcPr>
          <w:p w14:paraId="21DEFC74" w14:textId="4A3EF222" w:rsidR="00874FFC" w:rsidRPr="00E359BF" w:rsidRDefault="00874FFC" w:rsidP="00874FFC">
            <w:pPr>
              <w:pStyle w:val="TableTextCentered"/>
              <w:rPr>
                <w:rFonts w:eastAsia="Times New Roman"/>
              </w:rPr>
            </w:pPr>
            <w:r w:rsidRPr="008C1E5F">
              <w:rPr>
                <w:rFonts w:eastAsia="Times New Roman"/>
              </w:rPr>
              <w:t>4</w:t>
            </w:r>
          </w:p>
        </w:tc>
        <w:tc>
          <w:tcPr>
            <w:tcW w:w="720" w:type="dxa"/>
            <w:vAlign w:val="center"/>
          </w:tcPr>
          <w:p w14:paraId="0287A6F1" w14:textId="6BDBD48C" w:rsidR="00874FFC" w:rsidRPr="00E359BF" w:rsidRDefault="00874FFC" w:rsidP="00874FFC">
            <w:pPr>
              <w:pStyle w:val="TableTextCentered"/>
              <w:rPr>
                <w:rFonts w:eastAsia="Times New Roman"/>
              </w:rPr>
            </w:pPr>
            <w:r w:rsidRPr="008C1E5F">
              <w:rPr>
                <w:rFonts w:eastAsia="Times New Roman"/>
              </w:rPr>
              <w:t>3</w:t>
            </w:r>
          </w:p>
        </w:tc>
        <w:tc>
          <w:tcPr>
            <w:tcW w:w="540" w:type="dxa"/>
          </w:tcPr>
          <w:p w14:paraId="291C12E4" w14:textId="6B75E2A9" w:rsidR="00874FFC" w:rsidRPr="00E359BF" w:rsidRDefault="00874FFC" w:rsidP="00874FFC">
            <w:pPr>
              <w:pStyle w:val="TableTextCentered"/>
              <w:rPr>
                <w:rFonts w:eastAsia="Times New Roman"/>
              </w:rPr>
            </w:pPr>
            <w:r w:rsidRPr="008C1E5F">
              <w:rPr>
                <w:rFonts w:eastAsia="Times New Roman"/>
              </w:rPr>
              <w:t>35</w:t>
            </w:r>
          </w:p>
        </w:tc>
        <w:tc>
          <w:tcPr>
            <w:tcW w:w="900" w:type="dxa"/>
          </w:tcPr>
          <w:p w14:paraId="350D762B" w14:textId="24856B80" w:rsidR="00874FFC" w:rsidRPr="00E359BF" w:rsidRDefault="00874FFC" w:rsidP="00874FFC">
            <w:pPr>
              <w:pStyle w:val="TableTextCentered"/>
              <w:rPr>
                <w:rFonts w:eastAsia="Times New Roman"/>
              </w:rPr>
            </w:pPr>
            <w:r w:rsidRPr="008C1E5F">
              <w:rPr>
                <w:rFonts w:eastAsia="Times New Roman"/>
              </w:rPr>
              <w:t>4.5</w:t>
            </w:r>
          </w:p>
        </w:tc>
      </w:tr>
      <w:tr w:rsidR="00874FFC" w:rsidRPr="00E359BF" w14:paraId="4709309A" w14:textId="77777777">
        <w:tc>
          <w:tcPr>
            <w:tcW w:w="3232" w:type="dxa"/>
            <w:vAlign w:val="center"/>
          </w:tcPr>
          <w:p w14:paraId="6FE4062F" w14:textId="77777777" w:rsidR="00874FFC" w:rsidRPr="00E359BF" w:rsidRDefault="00874FFC" w:rsidP="00874FFC">
            <w:pPr>
              <w:pStyle w:val="TableText"/>
              <w:ind w:left="204"/>
              <w:rPr>
                <w:b/>
                <w:bCs/>
              </w:rPr>
            </w:pPr>
            <w:r w:rsidRPr="00D931E1">
              <w:t>Analysis and Inquiry</w:t>
            </w:r>
          </w:p>
        </w:tc>
        <w:tc>
          <w:tcPr>
            <w:tcW w:w="708" w:type="dxa"/>
          </w:tcPr>
          <w:p w14:paraId="19CE2712" w14:textId="2D79DBF4" w:rsidR="00874FFC" w:rsidRPr="00E359BF" w:rsidRDefault="00874FFC" w:rsidP="00874FFC">
            <w:pPr>
              <w:pStyle w:val="TableTextCentered"/>
              <w:rPr>
                <w:rFonts w:eastAsia="Times New Roman"/>
              </w:rPr>
            </w:pPr>
            <w:r w:rsidRPr="008C1E5F">
              <w:rPr>
                <w:rFonts w:eastAsia="Times New Roman"/>
              </w:rPr>
              <w:t>8</w:t>
            </w:r>
          </w:p>
        </w:tc>
        <w:tc>
          <w:tcPr>
            <w:tcW w:w="708" w:type="dxa"/>
          </w:tcPr>
          <w:p w14:paraId="14BDA9E5" w14:textId="36F7D9F0" w:rsidR="00874FFC" w:rsidRPr="00E359BF" w:rsidRDefault="00874FFC" w:rsidP="00874FFC">
            <w:pPr>
              <w:pStyle w:val="TableTextCentered"/>
              <w:rPr>
                <w:rFonts w:eastAsia="Times New Roman"/>
              </w:rPr>
            </w:pPr>
            <w:r w:rsidRPr="008C1E5F">
              <w:rPr>
                <w:rFonts w:eastAsia="Times New Roman"/>
              </w:rPr>
              <w:t>11</w:t>
            </w:r>
          </w:p>
        </w:tc>
        <w:tc>
          <w:tcPr>
            <w:tcW w:w="744" w:type="dxa"/>
          </w:tcPr>
          <w:p w14:paraId="4B2B6D30" w14:textId="5D708BCD" w:rsidR="00874FFC" w:rsidRPr="00E359BF" w:rsidRDefault="00874FFC" w:rsidP="00874FFC">
            <w:pPr>
              <w:pStyle w:val="TableTextCentered"/>
              <w:rPr>
                <w:rFonts w:eastAsia="Times New Roman"/>
              </w:rPr>
            </w:pPr>
            <w:r w:rsidRPr="008C1E5F">
              <w:rPr>
                <w:rFonts w:eastAsia="Times New Roman"/>
              </w:rPr>
              <w:t>7</w:t>
            </w:r>
          </w:p>
        </w:tc>
        <w:tc>
          <w:tcPr>
            <w:tcW w:w="720" w:type="dxa"/>
          </w:tcPr>
          <w:p w14:paraId="5C08B0B7" w14:textId="41B0197B" w:rsidR="00874FFC" w:rsidRPr="00E359BF" w:rsidRDefault="00874FFC" w:rsidP="00874FFC">
            <w:pPr>
              <w:pStyle w:val="TableTextCentered"/>
              <w:rPr>
                <w:rFonts w:eastAsia="Times New Roman"/>
              </w:rPr>
            </w:pPr>
            <w:r w:rsidRPr="008C1E5F">
              <w:rPr>
                <w:rFonts w:eastAsia="Times New Roman"/>
              </w:rPr>
              <w:t>5</w:t>
            </w:r>
          </w:p>
        </w:tc>
        <w:tc>
          <w:tcPr>
            <w:tcW w:w="720" w:type="dxa"/>
          </w:tcPr>
          <w:p w14:paraId="547033FF" w14:textId="1BCE4DA4" w:rsidR="00874FFC" w:rsidRPr="00E359BF" w:rsidRDefault="00874FFC" w:rsidP="00874FFC">
            <w:pPr>
              <w:pStyle w:val="TableTextCentered"/>
              <w:rPr>
                <w:rFonts w:eastAsia="Times New Roman"/>
              </w:rPr>
            </w:pPr>
            <w:r w:rsidRPr="008C1E5F">
              <w:rPr>
                <w:rFonts w:eastAsia="Times New Roman"/>
              </w:rPr>
              <w:t>2</w:t>
            </w:r>
          </w:p>
        </w:tc>
        <w:tc>
          <w:tcPr>
            <w:tcW w:w="720" w:type="dxa"/>
            <w:vAlign w:val="center"/>
          </w:tcPr>
          <w:p w14:paraId="6F879D78" w14:textId="54854AC5" w:rsidR="00874FFC" w:rsidRPr="00E359BF" w:rsidRDefault="00874FFC" w:rsidP="00874FFC">
            <w:pPr>
              <w:pStyle w:val="TableTextCentered"/>
              <w:rPr>
                <w:rFonts w:eastAsia="Times New Roman"/>
              </w:rPr>
            </w:pPr>
            <w:r w:rsidRPr="008C1E5F">
              <w:rPr>
                <w:rFonts w:eastAsia="Times New Roman"/>
              </w:rPr>
              <w:t>1</w:t>
            </w:r>
          </w:p>
        </w:tc>
        <w:tc>
          <w:tcPr>
            <w:tcW w:w="720" w:type="dxa"/>
            <w:vAlign w:val="center"/>
          </w:tcPr>
          <w:p w14:paraId="40B0EAA5" w14:textId="18923844" w:rsidR="00874FFC" w:rsidRPr="00E359BF" w:rsidRDefault="00874FFC" w:rsidP="00874FFC">
            <w:pPr>
              <w:pStyle w:val="TableTextCentered"/>
              <w:rPr>
                <w:rFonts w:eastAsia="Times New Roman"/>
              </w:rPr>
            </w:pPr>
            <w:r w:rsidRPr="008C1E5F">
              <w:rPr>
                <w:rFonts w:eastAsia="Times New Roman"/>
              </w:rPr>
              <w:t>1</w:t>
            </w:r>
          </w:p>
        </w:tc>
        <w:tc>
          <w:tcPr>
            <w:tcW w:w="540" w:type="dxa"/>
          </w:tcPr>
          <w:p w14:paraId="5E26A510" w14:textId="3C85543B" w:rsidR="00874FFC" w:rsidRPr="00E359BF" w:rsidRDefault="00874FFC" w:rsidP="00874FFC">
            <w:pPr>
              <w:pStyle w:val="TableTextCentered"/>
              <w:rPr>
                <w:rFonts w:eastAsia="Times New Roman"/>
              </w:rPr>
            </w:pPr>
            <w:r w:rsidRPr="008C1E5F">
              <w:rPr>
                <w:rFonts w:eastAsia="Times New Roman"/>
              </w:rPr>
              <w:t>35</w:t>
            </w:r>
          </w:p>
        </w:tc>
        <w:tc>
          <w:tcPr>
            <w:tcW w:w="900" w:type="dxa"/>
          </w:tcPr>
          <w:p w14:paraId="0B9750F3" w14:textId="61FD38DE" w:rsidR="00874FFC" w:rsidRPr="00E359BF" w:rsidRDefault="00874FFC" w:rsidP="00874FFC">
            <w:pPr>
              <w:pStyle w:val="TableTextCentered"/>
              <w:rPr>
                <w:rFonts w:eastAsia="Times New Roman"/>
              </w:rPr>
            </w:pPr>
            <w:r w:rsidRPr="008C1E5F">
              <w:rPr>
                <w:rFonts w:eastAsia="Times New Roman"/>
              </w:rPr>
              <w:t>2.7</w:t>
            </w:r>
          </w:p>
        </w:tc>
      </w:tr>
      <w:tr w:rsidR="00874FFC" w:rsidRPr="00E359BF" w14:paraId="4CB3AF31"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469A51DF" w14:textId="77777777" w:rsidR="00874FFC" w:rsidRPr="00D931E1" w:rsidRDefault="00874FFC" w:rsidP="00874FFC">
            <w:pPr>
              <w:pStyle w:val="TableText"/>
              <w:ind w:left="204"/>
              <w:rPr>
                <w:b/>
                <w:bCs/>
              </w:rPr>
            </w:pPr>
            <w:r w:rsidRPr="00D931E1">
              <w:t>Quality of Feedback</w:t>
            </w:r>
          </w:p>
        </w:tc>
        <w:tc>
          <w:tcPr>
            <w:tcW w:w="708" w:type="dxa"/>
          </w:tcPr>
          <w:p w14:paraId="2943AE42" w14:textId="4A7B89E5" w:rsidR="00874FFC" w:rsidRPr="00E359BF" w:rsidRDefault="00874FFC" w:rsidP="00874FFC">
            <w:pPr>
              <w:pStyle w:val="TableTextCentered"/>
              <w:rPr>
                <w:rFonts w:eastAsia="Times New Roman"/>
              </w:rPr>
            </w:pPr>
            <w:r w:rsidRPr="008C1E5F">
              <w:rPr>
                <w:rFonts w:eastAsia="Times New Roman"/>
              </w:rPr>
              <w:t>5</w:t>
            </w:r>
          </w:p>
        </w:tc>
        <w:tc>
          <w:tcPr>
            <w:tcW w:w="708" w:type="dxa"/>
          </w:tcPr>
          <w:p w14:paraId="2480D014" w14:textId="0065E997" w:rsidR="00874FFC" w:rsidRPr="00E359BF" w:rsidRDefault="00874FFC" w:rsidP="00874FFC">
            <w:pPr>
              <w:pStyle w:val="TableTextCentered"/>
              <w:rPr>
                <w:rFonts w:eastAsia="Times New Roman"/>
              </w:rPr>
            </w:pPr>
            <w:r w:rsidRPr="008C1E5F">
              <w:rPr>
                <w:rFonts w:eastAsia="Times New Roman"/>
              </w:rPr>
              <w:t>4</w:t>
            </w:r>
          </w:p>
        </w:tc>
        <w:tc>
          <w:tcPr>
            <w:tcW w:w="744" w:type="dxa"/>
          </w:tcPr>
          <w:p w14:paraId="7CBB4848" w14:textId="60BEFFB3" w:rsidR="00874FFC" w:rsidRPr="00E359BF" w:rsidRDefault="00874FFC" w:rsidP="00874FFC">
            <w:pPr>
              <w:pStyle w:val="TableTextCentered"/>
              <w:rPr>
                <w:rFonts w:eastAsia="Times New Roman"/>
              </w:rPr>
            </w:pPr>
            <w:r w:rsidRPr="008C1E5F">
              <w:rPr>
                <w:rFonts w:eastAsia="Times New Roman"/>
              </w:rPr>
              <w:t>11</w:t>
            </w:r>
          </w:p>
        </w:tc>
        <w:tc>
          <w:tcPr>
            <w:tcW w:w="720" w:type="dxa"/>
          </w:tcPr>
          <w:p w14:paraId="37D0FB20" w14:textId="1A645890" w:rsidR="00874FFC" w:rsidRPr="00E359BF" w:rsidRDefault="00874FFC" w:rsidP="00874FFC">
            <w:pPr>
              <w:pStyle w:val="TableTextCentered"/>
              <w:rPr>
                <w:rFonts w:eastAsia="Times New Roman"/>
              </w:rPr>
            </w:pPr>
            <w:r w:rsidRPr="008C1E5F">
              <w:rPr>
                <w:rFonts w:eastAsia="Times New Roman"/>
              </w:rPr>
              <w:t>3</w:t>
            </w:r>
          </w:p>
        </w:tc>
        <w:tc>
          <w:tcPr>
            <w:tcW w:w="720" w:type="dxa"/>
          </w:tcPr>
          <w:p w14:paraId="673ED5F6" w14:textId="16A648B5" w:rsidR="00874FFC" w:rsidRPr="00E359BF" w:rsidRDefault="00874FFC" w:rsidP="00874FFC">
            <w:pPr>
              <w:pStyle w:val="TableTextCentered"/>
              <w:rPr>
                <w:rFonts w:eastAsia="Times New Roman"/>
              </w:rPr>
            </w:pPr>
            <w:r w:rsidRPr="008C1E5F">
              <w:rPr>
                <w:rFonts w:eastAsia="Times New Roman"/>
              </w:rPr>
              <w:t>10</w:t>
            </w:r>
          </w:p>
        </w:tc>
        <w:tc>
          <w:tcPr>
            <w:tcW w:w="720" w:type="dxa"/>
            <w:vAlign w:val="center"/>
          </w:tcPr>
          <w:p w14:paraId="70A32850" w14:textId="04400AAB" w:rsidR="00874FFC" w:rsidRPr="00E359BF" w:rsidRDefault="00874FFC" w:rsidP="00874FFC">
            <w:pPr>
              <w:pStyle w:val="TableTextCentered"/>
              <w:rPr>
                <w:rFonts w:eastAsia="Times New Roman"/>
              </w:rPr>
            </w:pPr>
            <w:r w:rsidRPr="008C1E5F">
              <w:rPr>
                <w:rFonts w:eastAsia="Times New Roman"/>
              </w:rPr>
              <w:t>2</w:t>
            </w:r>
          </w:p>
        </w:tc>
        <w:tc>
          <w:tcPr>
            <w:tcW w:w="720" w:type="dxa"/>
            <w:vAlign w:val="center"/>
          </w:tcPr>
          <w:p w14:paraId="3E4E7F1F" w14:textId="27E5FD77" w:rsidR="00874FFC" w:rsidRPr="00E359BF" w:rsidRDefault="00874FFC" w:rsidP="00874FFC">
            <w:pPr>
              <w:pStyle w:val="TableTextCentered"/>
              <w:rPr>
                <w:rFonts w:eastAsia="Times New Roman"/>
              </w:rPr>
            </w:pPr>
            <w:r w:rsidRPr="008C1E5F">
              <w:rPr>
                <w:rFonts w:eastAsia="Times New Roman"/>
              </w:rPr>
              <w:t>0</w:t>
            </w:r>
          </w:p>
        </w:tc>
        <w:tc>
          <w:tcPr>
            <w:tcW w:w="540" w:type="dxa"/>
          </w:tcPr>
          <w:p w14:paraId="646F9E0D" w14:textId="3D3992AD" w:rsidR="00874FFC" w:rsidRPr="00E359BF" w:rsidRDefault="00874FFC" w:rsidP="00874FFC">
            <w:pPr>
              <w:pStyle w:val="TableTextCentered"/>
              <w:rPr>
                <w:rFonts w:eastAsia="Times New Roman"/>
              </w:rPr>
            </w:pPr>
            <w:r w:rsidRPr="008C1E5F">
              <w:rPr>
                <w:rFonts w:eastAsia="Times New Roman"/>
              </w:rPr>
              <w:t>35</w:t>
            </w:r>
          </w:p>
        </w:tc>
        <w:tc>
          <w:tcPr>
            <w:tcW w:w="900" w:type="dxa"/>
          </w:tcPr>
          <w:p w14:paraId="290F581A" w14:textId="64BCC585" w:rsidR="00874FFC" w:rsidRPr="00E359BF" w:rsidRDefault="00874FFC" w:rsidP="00874FFC">
            <w:pPr>
              <w:pStyle w:val="TableTextCentered"/>
              <w:rPr>
                <w:rFonts w:eastAsia="Times New Roman"/>
              </w:rPr>
            </w:pPr>
            <w:r w:rsidRPr="008C1E5F">
              <w:rPr>
                <w:rFonts w:eastAsia="Times New Roman"/>
              </w:rPr>
              <w:t>3.4</w:t>
            </w:r>
          </w:p>
        </w:tc>
      </w:tr>
      <w:tr w:rsidR="00874FFC" w:rsidRPr="00E359BF" w14:paraId="1083B502" w14:textId="77777777">
        <w:tc>
          <w:tcPr>
            <w:tcW w:w="3232" w:type="dxa"/>
            <w:vAlign w:val="center"/>
          </w:tcPr>
          <w:p w14:paraId="2454CB29" w14:textId="77777777" w:rsidR="00874FFC" w:rsidRPr="00D931E1" w:rsidRDefault="00874FFC" w:rsidP="00874FFC">
            <w:pPr>
              <w:pStyle w:val="TableText"/>
              <w:ind w:left="204"/>
              <w:rPr>
                <w:b/>
                <w:bCs/>
              </w:rPr>
            </w:pPr>
            <w:r w:rsidRPr="00D931E1">
              <w:t>Instructional Dialogue</w:t>
            </w:r>
          </w:p>
        </w:tc>
        <w:tc>
          <w:tcPr>
            <w:tcW w:w="708" w:type="dxa"/>
          </w:tcPr>
          <w:p w14:paraId="6402ADFF" w14:textId="38F274E1" w:rsidR="00874FFC" w:rsidRPr="00E359BF" w:rsidRDefault="00874FFC" w:rsidP="00874FFC">
            <w:pPr>
              <w:pStyle w:val="TableTextCentered"/>
              <w:rPr>
                <w:rFonts w:eastAsia="Times New Roman"/>
              </w:rPr>
            </w:pPr>
            <w:r w:rsidRPr="008C1E5F">
              <w:rPr>
                <w:rFonts w:eastAsia="Times New Roman"/>
              </w:rPr>
              <w:t>11</w:t>
            </w:r>
          </w:p>
        </w:tc>
        <w:tc>
          <w:tcPr>
            <w:tcW w:w="708" w:type="dxa"/>
          </w:tcPr>
          <w:p w14:paraId="55DA0220" w14:textId="487AB55A" w:rsidR="00874FFC" w:rsidRPr="00E359BF" w:rsidRDefault="00874FFC" w:rsidP="00874FFC">
            <w:pPr>
              <w:pStyle w:val="TableTextCentered"/>
              <w:rPr>
                <w:rFonts w:eastAsia="Times New Roman"/>
              </w:rPr>
            </w:pPr>
            <w:r w:rsidRPr="008C1E5F">
              <w:rPr>
                <w:rFonts w:eastAsia="Times New Roman"/>
              </w:rPr>
              <w:t>3</w:t>
            </w:r>
          </w:p>
        </w:tc>
        <w:tc>
          <w:tcPr>
            <w:tcW w:w="744" w:type="dxa"/>
          </w:tcPr>
          <w:p w14:paraId="27907472" w14:textId="268C20D4" w:rsidR="00874FFC" w:rsidRPr="00E359BF" w:rsidRDefault="00874FFC" w:rsidP="00874FFC">
            <w:pPr>
              <w:pStyle w:val="TableTextCentered"/>
              <w:rPr>
                <w:rFonts w:eastAsia="Times New Roman"/>
              </w:rPr>
            </w:pPr>
            <w:r w:rsidRPr="008C1E5F">
              <w:rPr>
                <w:rFonts w:eastAsia="Times New Roman"/>
              </w:rPr>
              <w:t>4</w:t>
            </w:r>
          </w:p>
        </w:tc>
        <w:tc>
          <w:tcPr>
            <w:tcW w:w="720" w:type="dxa"/>
          </w:tcPr>
          <w:p w14:paraId="6BD005B0" w14:textId="68D42467" w:rsidR="00874FFC" w:rsidRPr="00E359BF" w:rsidRDefault="00874FFC" w:rsidP="00874FFC">
            <w:pPr>
              <w:pStyle w:val="TableTextCentered"/>
              <w:rPr>
                <w:rFonts w:eastAsia="Times New Roman"/>
              </w:rPr>
            </w:pPr>
            <w:r w:rsidRPr="008C1E5F">
              <w:rPr>
                <w:rFonts w:eastAsia="Times New Roman"/>
              </w:rPr>
              <w:t>11</w:t>
            </w:r>
          </w:p>
        </w:tc>
        <w:tc>
          <w:tcPr>
            <w:tcW w:w="720" w:type="dxa"/>
          </w:tcPr>
          <w:p w14:paraId="26772DB2" w14:textId="2D8576E2" w:rsidR="00874FFC" w:rsidRPr="00E359BF" w:rsidRDefault="00874FFC" w:rsidP="00874FFC">
            <w:pPr>
              <w:pStyle w:val="TableTextCentered"/>
              <w:rPr>
                <w:rFonts w:eastAsia="Times New Roman"/>
              </w:rPr>
            </w:pPr>
            <w:r w:rsidRPr="008C1E5F">
              <w:rPr>
                <w:rFonts w:eastAsia="Times New Roman"/>
              </w:rPr>
              <w:t>3</w:t>
            </w:r>
          </w:p>
        </w:tc>
        <w:tc>
          <w:tcPr>
            <w:tcW w:w="720" w:type="dxa"/>
            <w:vAlign w:val="center"/>
          </w:tcPr>
          <w:p w14:paraId="4520C9C6" w14:textId="742E926B" w:rsidR="00874FFC" w:rsidRPr="00E359BF" w:rsidRDefault="00874FFC" w:rsidP="00874FFC">
            <w:pPr>
              <w:pStyle w:val="TableTextCentered"/>
              <w:rPr>
                <w:rFonts w:eastAsia="Times New Roman"/>
              </w:rPr>
            </w:pPr>
            <w:r w:rsidRPr="008C1E5F">
              <w:rPr>
                <w:rFonts w:eastAsia="Times New Roman"/>
              </w:rPr>
              <w:t>2</w:t>
            </w:r>
          </w:p>
        </w:tc>
        <w:tc>
          <w:tcPr>
            <w:tcW w:w="720" w:type="dxa"/>
            <w:vAlign w:val="center"/>
          </w:tcPr>
          <w:p w14:paraId="15E98F0B" w14:textId="39B3F64D" w:rsidR="00874FFC" w:rsidRPr="00E359BF" w:rsidRDefault="00874FFC" w:rsidP="00874FFC">
            <w:pPr>
              <w:pStyle w:val="TableTextCentered"/>
              <w:rPr>
                <w:rFonts w:eastAsia="Times New Roman"/>
              </w:rPr>
            </w:pPr>
            <w:r w:rsidRPr="008C1E5F">
              <w:rPr>
                <w:rFonts w:eastAsia="Times New Roman"/>
              </w:rPr>
              <w:t>1</w:t>
            </w:r>
          </w:p>
        </w:tc>
        <w:tc>
          <w:tcPr>
            <w:tcW w:w="540" w:type="dxa"/>
          </w:tcPr>
          <w:p w14:paraId="3C2151DE" w14:textId="47FCC34F" w:rsidR="00874FFC" w:rsidRPr="00E359BF" w:rsidRDefault="00874FFC" w:rsidP="00874FFC">
            <w:pPr>
              <w:pStyle w:val="TableTextCentered"/>
              <w:rPr>
                <w:rFonts w:eastAsia="Times New Roman"/>
              </w:rPr>
            </w:pPr>
            <w:r w:rsidRPr="008C1E5F">
              <w:rPr>
                <w:rFonts w:eastAsia="Times New Roman"/>
              </w:rPr>
              <w:t>35</w:t>
            </w:r>
          </w:p>
        </w:tc>
        <w:tc>
          <w:tcPr>
            <w:tcW w:w="900" w:type="dxa"/>
          </w:tcPr>
          <w:p w14:paraId="654E8651" w14:textId="46DD97A6" w:rsidR="00874FFC" w:rsidRPr="00E359BF" w:rsidRDefault="00874FFC" w:rsidP="00874FFC">
            <w:pPr>
              <w:pStyle w:val="TableTextCentered"/>
              <w:rPr>
                <w:rFonts w:eastAsia="Times New Roman"/>
              </w:rPr>
            </w:pPr>
            <w:r w:rsidRPr="008C1E5F">
              <w:rPr>
                <w:rFonts w:eastAsia="Times New Roman"/>
              </w:rPr>
              <w:t>3.1</w:t>
            </w:r>
          </w:p>
        </w:tc>
      </w:tr>
      <w:tr w:rsidR="00874FFC" w:rsidRPr="009A0F07" w14:paraId="382F35B8" w14:textId="77777777">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27C3D090" w14:textId="77777777" w:rsidR="00874FFC" w:rsidRPr="00A34856" w:rsidRDefault="00874FFC" w:rsidP="00874FFC">
            <w:pPr>
              <w:pStyle w:val="TableSubheading"/>
            </w:pPr>
            <w:r w:rsidRPr="00A34856">
              <w:t>Student Engagement</w:t>
            </w:r>
          </w:p>
        </w:tc>
        <w:tc>
          <w:tcPr>
            <w:tcW w:w="708" w:type="dxa"/>
          </w:tcPr>
          <w:p w14:paraId="1E24FF0E" w14:textId="3E0F8F00" w:rsidR="00874FFC" w:rsidRPr="009A0F07" w:rsidRDefault="00874FFC" w:rsidP="00874FFC">
            <w:pPr>
              <w:pStyle w:val="TableTextCenteredDemi"/>
              <w:rPr>
                <w:rFonts w:eastAsia="Times New Roman"/>
                <w:bCs/>
              </w:rPr>
            </w:pPr>
            <w:r w:rsidRPr="008C1E5F">
              <w:rPr>
                <w:rFonts w:eastAsia="Times New Roman"/>
                <w:bCs/>
              </w:rPr>
              <w:t>0</w:t>
            </w:r>
          </w:p>
        </w:tc>
        <w:tc>
          <w:tcPr>
            <w:tcW w:w="708" w:type="dxa"/>
          </w:tcPr>
          <w:p w14:paraId="0C596E4B" w14:textId="75EDC8B7" w:rsidR="00874FFC" w:rsidRPr="009A0F07" w:rsidRDefault="00874FFC" w:rsidP="00874FFC">
            <w:pPr>
              <w:pStyle w:val="TableTextCenteredDemi"/>
              <w:rPr>
                <w:rFonts w:eastAsia="Times New Roman"/>
                <w:bCs/>
              </w:rPr>
            </w:pPr>
            <w:r w:rsidRPr="008C1E5F">
              <w:rPr>
                <w:rFonts w:eastAsia="Times New Roman"/>
                <w:bCs/>
              </w:rPr>
              <w:t>1</w:t>
            </w:r>
          </w:p>
        </w:tc>
        <w:tc>
          <w:tcPr>
            <w:tcW w:w="744" w:type="dxa"/>
          </w:tcPr>
          <w:p w14:paraId="5DE8DB2E" w14:textId="3E3A0CE4" w:rsidR="00874FFC" w:rsidRPr="009A0F07" w:rsidRDefault="00874FFC" w:rsidP="00874FFC">
            <w:pPr>
              <w:pStyle w:val="TableTextCenteredDemi"/>
              <w:rPr>
                <w:rFonts w:eastAsia="Times New Roman"/>
                <w:bCs/>
              </w:rPr>
            </w:pPr>
            <w:r w:rsidRPr="008C1E5F">
              <w:rPr>
                <w:rFonts w:eastAsia="Times New Roman"/>
                <w:bCs/>
              </w:rPr>
              <w:t>3</w:t>
            </w:r>
          </w:p>
        </w:tc>
        <w:tc>
          <w:tcPr>
            <w:tcW w:w="720" w:type="dxa"/>
          </w:tcPr>
          <w:p w14:paraId="492D6CCB" w14:textId="540D5CC5" w:rsidR="00874FFC" w:rsidRPr="009A0F07" w:rsidRDefault="00874FFC" w:rsidP="00874FFC">
            <w:pPr>
              <w:pStyle w:val="TableTextCenteredDemi"/>
              <w:rPr>
                <w:rFonts w:eastAsia="Times New Roman"/>
                <w:bCs/>
              </w:rPr>
            </w:pPr>
            <w:r w:rsidRPr="008C1E5F">
              <w:rPr>
                <w:rFonts w:eastAsia="Times New Roman"/>
                <w:bCs/>
              </w:rPr>
              <w:t>11</w:t>
            </w:r>
          </w:p>
        </w:tc>
        <w:tc>
          <w:tcPr>
            <w:tcW w:w="720" w:type="dxa"/>
          </w:tcPr>
          <w:p w14:paraId="6EB395F7" w14:textId="1FACD885" w:rsidR="00874FFC" w:rsidRPr="009A0F07" w:rsidRDefault="00874FFC" w:rsidP="00874FFC">
            <w:pPr>
              <w:pStyle w:val="TableTextCenteredDemi"/>
              <w:rPr>
                <w:rFonts w:eastAsia="Times New Roman"/>
                <w:bCs/>
              </w:rPr>
            </w:pPr>
            <w:r w:rsidRPr="008C1E5F">
              <w:rPr>
                <w:rFonts w:eastAsia="Times New Roman"/>
                <w:bCs/>
              </w:rPr>
              <w:t>9</w:t>
            </w:r>
          </w:p>
        </w:tc>
        <w:tc>
          <w:tcPr>
            <w:tcW w:w="720" w:type="dxa"/>
            <w:vAlign w:val="center"/>
          </w:tcPr>
          <w:p w14:paraId="7A8D05FC" w14:textId="44FB2FD2" w:rsidR="00874FFC" w:rsidRPr="009A0F07" w:rsidRDefault="00874FFC" w:rsidP="00874FFC">
            <w:pPr>
              <w:pStyle w:val="TableTextCenteredDemi"/>
              <w:rPr>
                <w:rFonts w:eastAsia="Times New Roman"/>
                <w:bCs/>
              </w:rPr>
            </w:pPr>
            <w:r w:rsidRPr="008C1E5F">
              <w:rPr>
                <w:rFonts w:eastAsia="Times New Roman"/>
                <w:bCs/>
              </w:rPr>
              <w:t>7</w:t>
            </w:r>
          </w:p>
        </w:tc>
        <w:tc>
          <w:tcPr>
            <w:tcW w:w="720" w:type="dxa"/>
            <w:vAlign w:val="center"/>
          </w:tcPr>
          <w:p w14:paraId="0F2B8C10" w14:textId="73666C65" w:rsidR="00874FFC" w:rsidRPr="009A0F07" w:rsidRDefault="00874FFC" w:rsidP="00874FFC">
            <w:pPr>
              <w:pStyle w:val="TableTextCenteredDemi"/>
              <w:rPr>
                <w:rFonts w:eastAsia="Times New Roman"/>
                <w:bCs/>
              </w:rPr>
            </w:pPr>
            <w:r w:rsidRPr="008C1E5F">
              <w:rPr>
                <w:rFonts w:eastAsia="Times New Roman"/>
                <w:bCs/>
              </w:rPr>
              <w:t>4</w:t>
            </w:r>
          </w:p>
        </w:tc>
        <w:tc>
          <w:tcPr>
            <w:tcW w:w="540" w:type="dxa"/>
          </w:tcPr>
          <w:p w14:paraId="14A8EA80" w14:textId="3B59481E" w:rsidR="00874FFC" w:rsidRPr="009A0F07" w:rsidRDefault="00874FFC" w:rsidP="00874FFC">
            <w:pPr>
              <w:pStyle w:val="TableTextCenteredDemi"/>
              <w:rPr>
                <w:rFonts w:eastAsia="Times New Roman"/>
                <w:bCs/>
              </w:rPr>
            </w:pPr>
            <w:r w:rsidRPr="008C1E5F">
              <w:rPr>
                <w:rFonts w:eastAsia="Times New Roman"/>
                <w:bCs/>
              </w:rPr>
              <w:t>35</w:t>
            </w:r>
          </w:p>
        </w:tc>
        <w:tc>
          <w:tcPr>
            <w:tcW w:w="900" w:type="dxa"/>
          </w:tcPr>
          <w:p w14:paraId="2F38FC2E" w14:textId="6B307040" w:rsidR="00874FFC" w:rsidRPr="009A0F07" w:rsidRDefault="00874FFC" w:rsidP="00874FFC">
            <w:pPr>
              <w:pStyle w:val="TableTextCenteredDemi"/>
              <w:rPr>
                <w:rFonts w:eastAsia="Times New Roman"/>
                <w:bCs/>
              </w:rPr>
            </w:pPr>
            <w:r w:rsidRPr="008C1E5F">
              <w:rPr>
                <w:rFonts w:eastAsia="Times New Roman"/>
                <w:bCs/>
              </w:rPr>
              <w:t>4.9</w:t>
            </w:r>
          </w:p>
        </w:tc>
      </w:tr>
    </w:tbl>
    <w:p w14:paraId="2F48673C" w14:textId="012798AB" w:rsidR="00900CF1" w:rsidRPr="008C1E5F" w:rsidRDefault="00900CF1">
      <w:pPr>
        <w:pStyle w:val="TableNote"/>
        <w:rPr>
          <w:szCs w:val="20"/>
        </w:rPr>
      </w:pPr>
      <w:r w:rsidRPr="008C1E5F">
        <w:t xml:space="preserve">*The district average is an average of the scores. For example, for Positive Climate, the district average is computed as: </w:t>
      </w:r>
      <w:bookmarkStart w:id="262" w:name="High_PC_Calc"/>
      <w:r w:rsidRPr="008C1E5F">
        <w:rPr>
          <w:szCs w:val="20"/>
        </w:rPr>
        <w:t>([3 x 8] + [4 x 7] + [5 x 14] + [6 x 6]) ÷ 35 observations = 4.5</w:t>
      </w:r>
      <w:bookmarkEnd w:id="262"/>
    </w:p>
    <w:p w14:paraId="07AD3321" w14:textId="77777777" w:rsidR="00900CF1" w:rsidRPr="008C1E5F" w:rsidRDefault="00900CF1">
      <w:pPr>
        <w:pStyle w:val="TableNote"/>
      </w:pPr>
      <w:r w:rsidRPr="008C1E5F">
        <w:t xml:space="preserve">**Negative Climate is rated on an inverse scale. An original score of 1 is given a value of 7. The scoring in the table reflects the normalized adjustment: </w:t>
      </w:r>
      <w:bookmarkStart w:id="263" w:name="High_NC_Calc"/>
      <w:r w:rsidRPr="008C1E5F">
        <w:t>([6 x 5] + [7 x 30]) ÷ 35 observations = 6.9</w:t>
      </w:r>
      <w:bookmarkEnd w:id="263"/>
    </w:p>
    <w:p w14:paraId="1A8F33A9" w14:textId="77777777" w:rsidR="00900CF1" w:rsidRPr="008C1E5F" w:rsidRDefault="00900CF1">
      <w:pPr>
        <w:spacing w:after="160" w:line="259" w:lineRule="auto"/>
        <w:rPr>
          <w:rFonts w:ascii="Times New Roman" w:eastAsia="MS Mincho" w:hAnsi="Times New Roman" w:cs="Times New Roman"/>
          <w:b/>
          <w:sz w:val="20"/>
        </w:rPr>
      </w:pPr>
    </w:p>
    <w:p w14:paraId="02BD967E" w14:textId="77777777" w:rsidR="00900CF1" w:rsidRPr="008C1E5F" w:rsidRDefault="00900CF1">
      <w:pPr>
        <w:pStyle w:val="Heading2-SIOR"/>
      </w:pPr>
      <w:bookmarkStart w:id="264" w:name="_Toc430114891"/>
      <w:bookmarkStart w:id="265" w:name="_Toc496109993"/>
      <w:bookmarkStart w:id="266" w:name="_Toc92194271"/>
      <w:bookmarkStart w:id="267" w:name="_Toc195024263"/>
      <w:r w:rsidRPr="008C1E5F">
        <w:lastRenderedPageBreak/>
        <w:t>References</w:t>
      </w:r>
      <w:bookmarkEnd w:id="264"/>
      <w:bookmarkEnd w:id="265"/>
      <w:bookmarkEnd w:id="266"/>
      <w:bookmarkEnd w:id="267"/>
    </w:p>
    <w:p w14:paraId="3E4306D0" w14:textId="52152D69" w:rsidR="00900CF1" w:rsidRPr="008C1E5F" w:rsidRDefault="00900CF1">
      <w:pPr>
        <w:pStyle w:val="Reference"/>
        <w:rPr>
          <w:rStyle w:val="Hyperlink"/>
          <w:rFonts w:eastAsiaTheme="minorEastAsia"/>
        </w:rPr>
      </w:pPr>
      <w:r w:rsidRPr="008C1E5F">
        <w:t xml:space="preserve">Center for Advanced Study of Teaching and Learning. (n.d.). </w:t>
      </w:r>
      <w:r w:rsidRPr="008C1E5F">
        <w:rPr>
          <w:i/>
        </w:rPr>
        <w:t>Measuring and improving teacher-student interactions in PK−12 settings to enhance students’ learning</w:t>
      </w:r>
      <w:r w:rsidRPr="008C1E5F">
        <w:t xml:space="preserve">. Charlottesville, VA: University of Virginia. Retrieved from </w:t>
      </w:r>
      <w:hyperlink r:id="rId42" w:history="1">
        <w:r w:rsidRPr="008C1E5F">
          <w:rPr>
            <w:rStyle w:val="Hyperlink"/>
            <w:rFonts w:eastAsiaTheme="minorEastAsia"/>
          </w:rPr>
          <w:t>http://www.teachstone.com/wp-content/uploads/2011/05/class-mtp-pk-12-brief.pdf</w:t>
        </w:r>
      </w:hyperlink>
    </w:p>
    <w:p w14:paraId="2C692565" w14:textId="418F50BB" w:rsidR="00900CF1" w:rsidRPr="008C1E5F" w:rsidRDefault="00900CF1">
      <w:pPr>
        <w:pStyle w:val="Reference"/>
        <w:rPr>
          <w:rStyle w:val="Hyperlink"/>
          <w:rFonts w:eastAsiaTheme="minorEastAsia"/>
        </w:rPr>
      </w:pPr>
      <w:r w:rsidRPr="008C1E5F">
        <w:t xml:space="preserve">MET Project. (2010). </w:t>
      </w:r>
      <w:r w:rsidRPr="008C1E5F">
        <w:rPr>
          <w:i/>
        </w:rPr>
        <w:t>The CLASS protocol for classroom observations</w:t>
      </w:r>
      <w:r w:rsidRPr="008C1E5F">
        <w:t xml:space="preserve">. Seattle, WA: Bill &amp; Melinda Gates Foundation. Retrieved from </w:t>
      </w:r>
      <w:hyperlink r:id="rId43" w:history="1">
        <w:r w:rsidRPr="008C1E5F">
          <w:rPr>
            <w:rStyle w:val="Hyperlink"/>
            <w:rFonts w:eastAsiaTheme="minorEastAsia"/>
          </w:rPr>
          <w:t>http://metproject.org/resources/CLASS_10_29_10.pdf</w:t>
        </w:r>
      </w:hyperlink>
    </w:p>
    <w:p w14:paraId="58CC5747" w14:textId="0EF121A9" w:rsidR="00900CF1" w:rsidRPr="008C1E5F" w:rsidRDefault="00900CF1">
      <w:pPr>
        <w:pStyle w:val="Reference"/>
      </w:pPr>
      <w:r w:rsidRPr="00C2579D">
        <w:rPr>
          <w:lang w:val="es-ES"/>
        </w:rPr>
        <w:t xml:space="preserve">Pianta, R. C., </w:t>
      </w:r>
      <w:proofErr w:type="spellStart"/>
      <w:r w:rsidRPr="00C2579D">
        <w:rPr>
          <w:lang w:val="es-ES"/>
        </w:rPr>
        <w:t>Hamre</w:t>
      </w:r>
      <w:proofErr w:type="spellEnd"/>
      <w:r w:rsidRPr="00C2579D">
        <w:rPr>
          <w:lang w:val="es-ES"/>
        </w:rPr>
        <w:t xml:space="preserve">, B. K., &amp; Mintz, S. (2012). </w:t>
      </w:r>
      <w:r w:rsidRPr="008C1E5F">
        <w:rPr>
          <w:i/>
        </w:rPr>
        <w:t>Classroom Assessment Scoring System (CLASS) Manual, Secondary.</w:t>
      </w:r>
      <w:r w:rsidRPr="008C1E5F">
        <w:t xml:space="preserve"> Charlottesville, VA:</w:t>
      </w:r>
      <w:r w:rsidRPr="008C1E5F">
        <w:rPr>
          <w:i/>
        </w:rPr>
        <w:t xml:space="preserve"> </w:t>
      </w:r>
      <w:r w:rsidRPr="008C1E5F">
        <w:t>Teachstone.</w:t>
      </w:r>
    </w:p>
    <w:p w14:paraId="323D127D" w14:textId="1E2A23B8" w:rsidR="00900CF1" w:rsidRPr="00C2579D" w:rsidRDefault="00900CF1">
      <w:pPr>
        <w:pStyle w:val="Reference"/>
        <w:rPr>
          <w:lang w:val="es-ES"/>
        </w:rPr>
      </w:pPr>
      <w:r w:rsidRPr="008C1E5F">
        <w:t xml:space="preserve">Pianta, R. C., Hamre, B. K., &amp; Mintz, S. (2012). </w:t>
      </w:r>
      <w:r w:rsidRPr="008C1E5F">
        <w:rPr>
          <w:i/>
        </w:rPr>
        <w:t>Classroom Assessment Scoring System (CLASS) Manual, Upper Elementary.</w:t>
      </w:r>
      <w:r w:rsidRPr="008C1E5F">
        <w:t xml:space="preserve"> </w:t>
      </w:r>
      <w:r w:rsidRPr="00C2579D">
        <w:rPr>
          <w:lang w:val="es-ES"/>
        </w:rPr>
        <w:t>Charlottesville, VA:</w:t>
      </w:r>
      <w:r w:rsidRPr="00C2579D">
        <w:rPr>
          <w:i/>
          <w:lang w:val="es-ES"/>
        </w:rPr>
        <w:t xml:space="preserve"> </w:t>
      </w:r>
      <w:r w:rsidRPr="00C2579D">
        <w:rPr>
          <w:lang w:val="es-ES"/>
        </w:rPr>
        <w:t>Teachstone.</w:t>
      </w:r>
    </w:p>
    <w:p w14:paraId="6BFB1B20" w14:textId="6C78579F" w:rsidR="00900CF1" w:rsidRPr="008C1E5F" w:rsidRDefault="00900CF1">
      <w:pPr>
        <w:pStyle w:val="Reference"/>
      </w:pPr>
      <w:r w:rsidRPr="00C2579D">
        <w:rPr>
          <w:lang w:val="es-ES"/>
        </w:rPr>
        <w:t xml:space="preserve">Pianta, R. C., La Paro, K. M., &amp; </w:t>
      </w:r>
      <w:proofErr w:type="spellStart"/>
      <w:r w:rsidRPr="00C2579D">
        <w:rPr>
          <w:lang w:val="es-ES"/>
        </w:rPr>
        <w:t>Hamre</w:t>
      </w:r>
      <w:proofErr w:type="spellEnd"/>
      <w:r w:rsidRPr="00C2579D">
        <w:rPr>
          <w:lang w:val="es-ES"/>
        </w:rPr>
        <w:t xml:space="preserve">, B. K. (2008). </w:t>
      </w:r>
      <w:r w:rsidRPr="008C1E5F">
        <w:rPr>
          <w:i/>
        </w:rPr>
        <w:t xml:space="preserve">Classroom Assessment Scoring System (CLASS) Manual, K–3. </w:t>
      </w:r>
      <w:r w:rsidRPr="008C1E5F">
        <w:t>Baltimore, MD: Paul H. Brookes Publishing Co.</w:t>
      </w:r>
    </w:p>
    <w:p w14:paraId="304C07E7" w14:textId="77777777" w:rsidR="00486B55" w:rsidRPr="008C1E5F" w:rsidRDefault="00486B55" w:rsidP="00486B55">
      <w:pPr>
        <w:spacing w:line="240" w:lineRule="auto"/>
        <w:sectPr w:rsidR="00486B55" w:rsidRPr="008C1E5F" w:rsidSect="00992453">
          <w:footerReference w:type="default" r:id="rId44"/>
          <w:pgSz w:w="12240" w:h="15840" w:code="1"/>
          <w:pgMar w:top="1080" w:right="1440" w:bottom="1080" w:left="1440" w:header="720" w:footer="720" w:gutter="0"/>
          <w:pgNumType w:start="4"/>
          <w:cols w:space="720"/>
          <w:docGrid w:linePitch="360"/>
        </w:sectPr>
      </w:pPr>
    </w:p>
    <w:p w14:paraId="24DC4234" w14:textId="77777777" w:rsidR="00486B55" w:rsidRPr="008C1E5F" w:rsidRDefault="00486B55" w:rsidP="00486B55">
      <w:pPr>
        <w:pStyle w:val="Heading2"/>
      </w:pPr>
      <w:bookmarkStart w:id="268" w:name="_Toc190886744"/>
      <w:bookmarkStart w:id="269" w:name="_Toc195024264"/>
      <w:r w:rsidRPr="008C1E5F">
        <w:lastRenderedPageBreak/>
        <w:t>Appendix C. Resources to Support Implementation of DESE’s District Standards and Indicators</w:t>
      </w:r>
      <w:bookmarkEnd w:id="133"/>
      <w:bookmarkEnd w:id="134"/>
      <w:bookmarkEnd w:id="268"/>
      <w:bookmarkEnd w:id="269"/>
    </w:p>
    <w:p w14:paraId="68075EAF" w14:textId="77777777" w:rsidR="000B1BDF" w:rsidRPr="00472F35" w:rsidRDefault="000B1BDF" w:rsidP="000B1BDF">
      <w:pPr>
        <w:pStyle w:val="TableTitle0"/>
      </w:pPr>
      <w:r w:rsidRPr="00472F35">
        <w:t>Table C1. Resources to Support Leadership and Governance</w:t>
      </w:r>
    </w:p>
    <w:tbl>
      <w:tblPr>
        <w:tblStyle w:val="MSVTable1"/>
        <w:tblW w:w="5000" w:type="pct"/>
        <w:tblLayout w:type="fixed"/>
        <w:tblLook w:val="0620" w:firstRow="1" w:lastRow="0" w:firstColumn="0" w:lastColumn="0" w:noHBand="1" w:noVBand="1"/>
      </w:tblPr>
      <w:tblGrid>
        <w:gridCol w:w="3592"/>
        <w:gridCol w:w="5752"/>
      </w:tblGrid>
      <w:tr w:rsidR="000B1BDF" w:rsidRPr="00472F35" w14:paraId="3AB749A1" w14:textId="77777777" w:rsidTr="000B1BDF">
        <w:trPr>
          <w:cnfStyle w:val="100000000000" w:firstRow="1" w:lastRow="0" w:firstColumn="0" w:lastColumn="0" w:oddVBand="0" w:evenVBand="0" w:oddHBand="0" w:evenHBand="0" w:firstRowFirstColumn="0" w:firstRowLastColumn="0" w:lastRowFirstColumn="0" w:lastRowLastColumn="0"/>
        </w:trPr>
        <w:tc>
          <w:tcPr>
            <w:tcW w:w="3592" w:type="dxa"/>
            <w:tcBorders>
              <w:top w:val="single" w:sz="6" w:space="0" w:color="2F5496"/>
              <w:left w:val="single" w:sz="6" w:space="0" w:color="2F5496"/>
              <w:bottom w:val="single" w:sz="6" w:space="0" w:color="2F5496"/>
            </w:tcBorders>
            <w:hideMark/>
          </w:tcPr>
          <w:p w14:paraId="7DC84001" w14:textId="77777777" w:rsidR="000B1BDF" w:rsidRPr="00472F35" w:rsidRDefault="000B1BDF" w:rsidP="000B1BDF">
            <w:pPr>
              <w:pStyle w:val="TableColHeadingLeft"/>
            </w:pPr>
            <w:r w:rsidRPr="00472F35">
              <w:t>Resource</w:t>
            </w:r>
          </w:p>
        </w:tc>
        <w:tc>
          <w:tcPr>
            <w:tcW w:w="5752" w:type="dxa"/>
            <w:tcBorders>
              <w:top w:val="single" w:sz="6" w:space="0" w:color="2F5496"/>
              <w:bottom w:val="single" w:sz="6" w:space="0" w:color="2F5496"/>
              <w:right w:val="single" w:sz="6" w:space="0" w:color="2F5496"/>
            </w:tcBorders>
            <w:hideMark/>
          </w:tcPr>
          <w:p w14:paraId="064C5DCE" w14:textId="77777777" w:rsidR="000B1BDF" w:rsidRPr="00472F35" w:rsidRDefault="000B1BDF" w:rsidP="000B1BDF">
            <w:pPr>
              <w:pStyle w:val="TableColHeadingLeft"/>
            </w:pPr>
            <w:r w:rsidRPr="00472F35">
              <w:t>Description</w:t>
            </w:r>
          </w:p>
        </w:tc>
      </w:tr>
      <w:tr w:rsidR="000B1BDF" w:rsidRPr="00472F35" w14:paraId="33AE9450" w14:textId="77777777" w:rsidTr="000B1BDF">
        <w:tc>
          <w:tcPr>
            <w:tcW w:w="3592" w:type="dxa"/>
            <w:tcBorders>
              <w:top w:val="single" w:sz="6" w:space="0" w:color="2F5496"/>
              <w:left w:val="single" w:sz="6" w:space="0" w:color="2F5496"/>
              <w:bottom w:val="single" w:sz="6" w:space="0" w:color="2F5496"/>
              <w:right w:val="single" w:sz="6" w:space="0" w:color="2F5496"/>
            </w:tcBorders>
            <w:hideMark/>
          </w:tcPr>
          <w:p w14:paraId="24907C42" w14:textId="77777777" w:rsidR="000B1BDF" w:rsidRPr="00472F35" w:rsidRDefault="000B1BDF" w:rsidP="000B1BDF">
            <w:pPr>
              <w:pStyle w:val="TableText"/>
              <w:rPr>
                <w:rFonts w:ascii="Franklin Gothic Demi" w:eastAsia="HGGothicE" w:hAnsi="Franklin Gothic Demi" w:cs="Franklin Gothic Book"/>
                <w:bCs/>
              </w:rPr>
            </w:pPr>
            <w:hyperlink r:id="rId45" w:history="1">
              <w:r w:rsidRPr="00472F35">
                <w:rPr>
                  <w:rStyle w:val="Hyperlink"/>
                  <w:rFonts w:ascii="Franklin Gothic Book" w:hAnsi="Franklin Gothic Book" w:cs="Calibri"/>
                  <w:szCs w:val="20"/>
                </w:rPr>
                <w:t>Coherence Guidebook</w:t>
              </w:r>
            </w:hyperlink>
            <w:r>
              <w:t>*</w:t>
            </w:r>
          </w:p>
        </w:tc>
        <w:tc>
          <w:tcPr>
            <w:tcW w:w="5752" w:type="dxa"/>
            <w:tcBorders>
              <w:top w:val="single" w:sz="6" w:space="0" w:color="2F5496"/>
              <w:left w:val="single" w:sz="6" w:space="0" w:color="2F5496"/>
              <w:bottom w:val="single" w:sz="6" w:space="0" w:color="2F5496"/>
              <w:right w:val="single" w:sz="6" w:space="0" w:color="2F5496"/>
            </w:tcBorders>
            <w:hideMark/>
          </w:tcPr>
          <w:p w14:paraId="55FBB07D" w14:textId="77777777" w:rsidR="000B1BDF" w:rsidRPr="00472F35" w:rsidRDefault="000B1BDF" w:rsidP="000B1BDF">
            <w:pPr>
              <w:pStyle w:val="TableText"/>
              <w:rPr>
                <w:rFonts w:ascii="Franklin Gothic Demi" w:eastAsia="HGGothicE" w:hAnsi="Franklin Gothic Demi" w:cs="Franklin Gothic Book"/>
                <w:bCs/>
              </w:rPr>
            </w:pPr>
            <w:r w:rsidRPr="00472F35">
              <w:t xml:space="preserve">The guidebook illustrates a </w:t>
            </w:r>
            <w:proofErr w:type="gramStart"/>
            <w:r w:rsidRPr="00472F35">
              <w:t>systems</w:t>
            </w:r>
            <w:proofErr w:type="gramEnd"/>
            <w:r w:rsidRPr="00472F35">
              <w:t xml:space="preserve">-level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 </w:t>
            </w:r>
          </w:p>
        </w:tc>
      </w:tr>
      <w:tr w:rsidR="000B1BDF" w:rsidRPr="00472F35" w14:paraId="1B5ACE9C" w14:textId="77777777" w:rsidTr="000B1BDF">
        <w:tc>
          <w:tcPr>
            <w:tcW w:w="3592" w:type="dxa"/>
            <w:tcBorders>
              <w:top w:val="single" w:sz="6" w:space="0" w:color="2F5496"/>
              <w:left w:val="single" w:sz="6" w:space="0" w:color="2F5496"/>
              <w:bottom w:val="single" w:sz="6" w:space="0" w:color="2F5496"/>
              <w:right w:val="single" w:sz="6" w:space="0" w:color="2F5496"/>
            </w:tcBorders>
          </w:tcPr>
          <w:p w14:paraId="4B7C7FED" w14:textId="77777777" w:rsidR="000B1BDF" w:rsidRPr="00472F35" w:rsidRDefault="000B1BDF" w:rsidP="000B1BDF">
            <w:pPr>
              <w:pStyle w:val="TableText"/>
              <w:rPr>
                <w:rFonts w:ascii="Calibri" w:eastAsia="Times New Roman" w:hAnsi="Calibri" w:cs="Calibri"/>
                <w:color w:val="0563C1"/>
                <w:sz w:val="18"/>
                <w:szCs w:val="18"/>
                <w:u w:val="single"/>
              </w:rPr>
            </w:pPr>
            <w:hyperlink r:id="rId46" w:history="1">
              <w:r w:rsidRPr="00472F35">
                <w:rPr>
                  <w:rStyle w:val="Hyperlink"/>
                  <w:rFonts w:ascii="Franklin Gothic Book" w:hAnsi="Franklin Gothic Book" w:cs="Calibri"/>
                  <w:szCs w:val="20"/>
                </w:rPr>
                <w:t>New Superintendent Induction Program (NSIP)</w:t>
              </w:r>
            </w:hyperlink>
          </w:p>
        </w:tc>
        <w:tc>
          <w:tcPr>
            <w:tcW w:w="5752" w:type="dxa"/>
            <w:tcBorders>
              <w:top w:val="single" w:sz="6" w:space="0" w:color="2F5496"/>
              <w:left w:val="single" w:sz="6" w:space="0" w:color="2F5496"/>
              <w:bottom w:val="single" w:sz="6" w:space="0" w:color="2F5496"/>
              <w:right w:val="single" w:sz="6" w:space="0" w:color="2F5496"/>
            </w:tcBorders>
          </w:tcPr>
          <w:p w14:paraId="02449027" w14:textId="77777777" w:rsidR="000B1BDF" w:rsidRPr="00472F35" w:rsidRDefault="000B1BDF" w:rsidP="000B1BDF">
            <w:pPr>
              <w:pStyle w:val="TableText"/>
              <w:rPr>
                <w:rFonts w:ascii="Calibri" w:eastAsia="Times New Roman" w:hAnsi="Calibri"/>
                <w:color w:val="000000"/>
                <w:sz w:val="18"/>
                <w:szCs w:val="18"/>
              </w:rPr>
            </w:pPr>
            <w:r w:rsidRPr="00472F35">
              <w:rPr>
                <w:color w:val="000000"/>
                <w:szCs w:val="20"/>
              </w:rPr>
              <w:t>In partnership with the Massachusetts Association of School Superintendents, the New Superintendent Induction Program (NSIP) is a three-year professional development program for superintendents in their first 3 years of their position in a Massachusetts school district. The curriculum is aligned to DESE’s Educational Vision and supports new superintendents with developing the skills and competencies to be effective leaders of their school districts.</w:t>
            </w:r>
          </w:p>
        </w:tc>
      </w:tr>
      <w:tr w:rsidR="000B1BDF" w:rsidRPr="00472F35" w14:paraId="651F62D6" w14:textId="77777777" w:rsidTr="000B1BDF">
        <w:tc>
          <w:tcPr>
            <w:tcW w:w="3592" w:type="dxa"/>
            <w:tcBorders>
              <w:top w:val="single" w:sz="6" w:space="0" w:color="2F5496"/>
              <w:left w:val="single" w:sz="6" w:space="0" w:color="2F5496"/>
              <w:bottom w:val="single" w:sz="6" w:space="0" w:color="2F5496"/>
              <w:right w:val="single" w:sz="6" w:space="0" w:color="2F5496"/>
            </w:tcBorders>
            <w:hideMark/>
          </w:tcPr>
          <w:p w14:paraId="05B4F11F" w14:textId="77777777" w:rsidR="000B1BDF" w:rsidRPr="00472F35" w:rsidRDefault="000B1BDF" w:rsidP="000B1BDF">
            <w:pPr>
              <w:pStyle w:val="TableText"/>
              <w:rPr>
                <w:rFonts w:ascii="Franklin Gothic Book" w:eastAsia="Times New Roman" w:hAnsi="Franklin Gothic Book" w:cs="Times New Roman"/>
                <w:bCs/>
                <w:szCs w:val="20"/>
              </w:rPr>
            </w:pPr>
            <w:hyperlink r:id="rId47" w:history="1">
              <w:r w:rsidRPr="00472F35">
                <w:rPr>
                  <w:rStyle w:val="Hyperlink"/>
                  <w:rFonts w:ascii="Franklin Gothic Book" w:hAnsi="Franklin Gothic Book" w:cs="Calibri"/>
                  <w:color w:val="0070C0"/>
                  <w:szCs w:val="20"/>
                </w:rPr>
                <w:t>Principal Induction and Mentoring Handbook</w:t>
              </w:r>
            </w:hyperlink>
          </w:p>
        </w:tc>
        <w:tc>
          <w:tcPr>
            <w:tcW w:w="5752" w:type="dxa"/>
            <w:tcBorders>
              <w:top w:val="single" w:sz="6" w:space="0" w:color="2F5496"/>
              <w:left w:val="single" w:sz="6" w:space="0" w:color="2F5496"/>
              <w:bottom w:val="single" w:sz="6" w:space="0" w:color="2F5496"/>
              <w:right w:val="single" w:sz="6" w:space="0" w:color="2F5496"/>
            </w:tcBorders>
            <w:hideMark/>
          </w:tcPr>
          <w:p w14:paraId="0992F075" w14:textId="77777777" w:rsidR="000B1BDF" w:rsidRPr="00472F35" w:rsidRDefault="000B1BDF" w:rsidP="000B1BDF">
            <w:pPr>
              <w:pStyle w:val="TableText"/>
              <w:rPr>
                <w:rFonts w:eastAsia="Times New Roman" w:cs="Times New Roman"/>
                <w:bCs/>
                <w:szCs w:val="20"/>
              </w:rPr>
            </w:pPr>
            <w:r w:rsidRPr="00472F35">
              <w:rPr>
                <w:color w:val="000000"/>
                <w:szCs w:val="20"/>
              </w:rPr>
              <w:t>A series of modules designed to support novice principals and their mentors in the development of antiracist leadership competencies aligned to the Professional Standards for Administrative Leadership.</w:t>
            </w:r>
          </w:p>
        </w:tc>
      </w:tr>
      <w:tr w:rsidR="000B1BDF" w:rsidRPr="00472F35" w14:paraId="0DA936C5" w14:textId="77777777" w:rsidTr="000B1BDF">
        <w:tc>
          <w:tcPr>
            <w:tcW w:w="3592" w:type="dxa"/>
            <w:tcBorders>
              <w:top w:val="single" w:sz="6" w:space="0" w:color="2F5496"/>
              <w:left w:val="single" w:sz="6" w:space="0" w:color="2F5496"/>
              <w:bottom w:val="single" w:sz="6" w:space="0" w:color="2F5496"/>
              <w:right w:val="single" w:sz="6" w:space="0" w:color="2F5496"/>
            </w:tcBorders>
            <w:hideMark/>
          </w:tcPr>
          <w:p w14:paraId="001F9DA3" w14:textId="77777777" w:rsidR="000B1BDF" w:rsidRPr="00472F35" w:rsidRDefault="000B1BDF" w:rsidP="000B1BDF">
            <w:pPr>
              <w:pStyle w:val="TableText"/>
              <w:rPr>
                <w:rFonts w:ascii="Franklin Gothic Book" w:eastAsia="Franklin Gothic Book" w:hAnsi="Franklin Gothic Book" w:cs="Tahoma"/>
                <w:szCs w:val="20"/>
              </w:rPr>
            </w:pPr>
            <w:hyperlink r:id="rId48" w:history="1">
              <w:r w:rsidRPr="00472F35">
                <w:rPr>
                  <w:rStyle w:val="Hyperlink"/>
                  <w:rFonts w:ascii="Franklin Gothic Book" w:hAnsi="Franklin Gothic Book" w:cs="Calibri"/>
                  <w:szCs w:val="20"/>
                </w:rPr>
                <w:t>Planning for Success In Massachusetts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57EF2D49" w14:textId="77777777" w:rsidR="000B1BDF" w:rsidRPr="00472F35" w:rsidRDefault="000B1BDF" w:rsidP="000B1BDF">
            <w:pPr>
              <w:pStyle w:val="TableText"/>
              <w:rPr>
                <w:rFonts w:eastAsia="Calibri"/>
                <w:color w:val="222222"/>
                <w:szCs w:val="20"/>
              </w:rPr>
            </w:pPr>
            <w:r w:rsidRPr="00472F35">
              <w:rPr>
                <w:color w:val="000000"/>
                <w:szCs w:val="20"/>
              </w:rPr>
              <w:t>Planning for Success (PfS) is an inclusive, hands-on planning process designed to build district and school capacity and coherence while also building community understanding and support.</w:t>
            </w:r>
          </w:p>
        </w:tc>
      </w:tr>
    </w:tbl>
    <w:p w14:paraId="2FA6DEFC" w14:textId="77777777" w:rsidR="000B1BDF" w:rsidRPr="008E6CC8" w:rsidRDefault="000B1BDF" w:rsidP="000B1BDF">
      <w:pPr>
        <w:pStyle w:val="TableTitle0"/>
        <w:rPr>
          <w:rFonts w:ascii="Franklin Gothic Book" w:hAnsi="Franklin Gothic Book"/>
          <w:sz w:val="16"/>
          <w:szCs w:val="16"/>
        </w:rPr>
      </w:pPr>
      <w:r w:rsidRPr="008E6CC8">
        <w:rPr>
          <w:rFonts w:ascii="Franklin Gothic Book" w:hAnsi="Franklin Gothic Book"/>
          <w:sz w:val="16"/>
          <w:szCs w:val="16"/>
        </w:rPr>
        <w:t>*The Coherence Guidebook may be useful across multiple standard areas including Leadership and Governance, Curriculum and Instruction, Assessment, and Student Support</w:t>
      </w:r>
    </w:p>
    <w:p w14:paraId="2FC544F6" w14:textId="77777777" w:rsidR="000B1BDF" w:rsidRDefault="000B1BDF" w:rsidP="000B1BDF">
      <w:pPr>
        <w:spacing w:after="160" w:line="278" w:lineRule="auto"/>
        <w:rPr>
          <w:rFonts w:ascii="Franklin Gothic Demi" w:hAnsi="Franklin Gothic Demi"/>
        </w:rPr>
      </w:pPr>
      <w:r>
        <w:br w:type="page"/>
      </w:r>
    </w:p>
    <w:p w14:paraId="3DF35BEC" w14:textId="77777777" w:rsidR="000B1BDF" w:rsidRPr="00472F35" w:rsidRDefault="000B1BDF" w:rsidP="000B1BDF">
      <w:pPr>
        <w:pStyle w:val="TableTitle0"/>
      </w:pPr>
      <w:r w:rsidRPr="00472F35">
        <w:lastRenderedPageBreak/>
        <w:t>Table C2. Resources to Support Curriculum and Instruction</w:t>
      </w:r>
    </w:p>
    <w:tbl>
      <w:tblPr>
        <w:tblStyle w:val="MSVTable1"/>
        <w:tblW w:w="4950" w:type="pct"/>
        <w:tblLook w:val="0620" w:firstRow="1" w:lastRow="0" w:firstColumn="0" w:lastColumn="0" w:noHBand="1" w:noVBand="1"/>
      </w:tblPr>
      <w:tblGrid>
        <w:gridCol w:w="3565"/>
        <w:gridCol w:w="5686"/>
      </w:tblGrid>
      <w:tr w:rsidR="000B1BDF" w:rsidRPr="00472F35" w14:paraId="6F8ED245" w14:textId="77777777" w:rsidTr="000B1BDF">
        <w:trPr>
          <w:cnfStyle w:val="100000000000" w:firstRow="1" w:lastRow="0" w:firstColumn="0" w:lastColumn="0" w:oddVBand="0" w:evenVBand="0" w:oddHBand="0" w:evenHBand="0" w:firstRowFirstColumn="0" w:firstRowLastColumn="0" w:lastRowFirstColumn="0" w:lastRowLastColumn="0"/>
          <w:tblHeader/>
        </w:trPr>
        <w:tc>
          <w:tcPr>
            <w:tcW w:w="1927" w:type="pct"/>
            <w:tcBorders>
              <w:top w:val="single" w:sz="6" w:space="0" w:color="2F5496"/>
              <w:left w:val="single" w:sz="6" w:space="0" w:color="2F5496"/>
              <w:bottom w:val="single" w:sz="6" w:space="0" w:color="2F5496"/>
            </w:tcBorders>
            <w:hideMark/>
          </w:tcPr>
          <w:p w14:paraId="3C1A3C4F" w14:textId="77777777" w:rsidR="000B1BDF" w:rsidRPr="00472F35" w:rsidRDefault="000B1BDF" w:rsidP="000B1BDF">
            <w:pPr>
              <w:pStyle w:val="TableColHeadingLeft"/>
            </w:pPr>
            <w:r w:rsidRPr="00472F35">
              <w:t>Resource</w:t>
            </w:r>
          </w:p>
        </w:tc>
        <w:tc>
          <w:tcPr>
            <w:tcW w:w="3073" w:type="pct"/>
            <w:tcBorders>
              <w:top w:val="single" w:sz="6" w:space="0" w:color="2F5496"/>
              <w:bottom w:val="single" w:sz="6" w:space="0" w:color="2F5496"/>
              <w:right w:val="single" w:sz="6" w:space="0" w:color="2F5496"/>
            </w:tcBorders>
            <w:hideMark/>
          </w:tcPr>
          <w:p w14:paraId="558878CA" w14:textId="77777777" w:rsidR="000B1BDF" w:rsidRPr="00472F35" w:rsidRDefault="000B1BDF" w:rsidP="000B1BDF">
            <w:pPr>
              <w:pStyle w:val="TableColHeadingLeft"/>
            </w:pPr>
            <w:r w:rsidRPr="00472F35">
              <w:t>Description</w:t>
            </w:r>
          </w:p>
        </w:tc>
      </w:tr>
      <w:tr w:rsidR="000B1BDF" w:rsidRPr="00472F35" w14:paraId="3ACDA80E" w14:textId="77777777" w:rsidTr="000B1BDF">
        <w:tc>
          <w:tcPr>
            <w:tcW w:w="1927" w:type="pct"/>
            <w:tcBorders>
              <w:top w:val="single" w:sz="6" w:space="0" w:color="2F5496"/>
              <w:left w:val="single" w:sz="6" w:space="0" w:color="2F5496"/>
              <w:bottom w:val="single" w:sz="6" w:space="0" w:color="2F5496"/>
              <w:right w:val="single" w:sz="6" w:space="0" w:color="2F5496"/>
            </w:tcBorders>
            <w:hideMark/>
          </w:tcPr>
          <w:p w14:paraId="552588B1" w14:textId="77777777" w:rsidR="000B1BDF" w:rsidRDefault="000B1BDF" w:rsidP="000B1BDF">
            <w:pPr>
              <w:pStyle w:val="TableText"/>
            </w:pPr>
            <w:r>
              <w:t>Curriculum Frameworks and Resources</w:t>
            </w:r>
          </w:p>
          <w:p w14:paraId="1BF9D03C" w14:textId="77777777" w:rsidR="000B1BDF" w:rsidRPr="00BE01DD" w:rsidRDefault="000B1BDF" w:rsidP="000B1BDF">
            <w:pPr>
              <w:pStyle w:val="TableBullet1"/>
              <w:rPr>
                <w:rStyle w:val="Hyperlink"/>
                <w:rFonts w:eastAsia="Franklin Gothic Book" w:cs="Franklin Gothic Book"/>
                <w:color w:val="auto"/>
                <w:szCs w:val="20"/>
                <w:u w:val="none"/>
                <w14:ligatures w14:val="standardContextual"/>
              </w:rPr>
            </w:pPr>
            <w:hyperlink r:id="rId49" w:history="1">
              <w:r w:rsidRPr="00472F35">
                <w:rPr>
                  <w:rStyle w:val="Hyperlink"/>
                  <w:rFonts w:cs="Calibri"/>
                  <w:szCs w:val="20"/>
                </w:rPr>
                <w:t>Curriculum Matters Webpage</w:t>
              </w:r>
            </w:hyperlink>
          </w:p>
          <w:p w14:paraId="59B650C8" w14:textId="77777777" w:rsidR="000B1BDF" w:rsidRPr="00BE01DD" w:rsidRDefault="000B1BDF" w:rsidP="000B1BDF">
            <w:pPr>
              <w:pStyle w:val="TableBullet1"/>
              <w:rPr>
                <w:rStyle w:val="Hyperlink"/>
                <w:rFonts w:eastAsia="Franklin Gothic Book" w:cs="Franklin Gothic Book"/>
                <w:color w:val="auto"/>
                <w:szCs w:val="20"/>
                <w:u w:val="none"/>
                <w14:ligatures w14:val="standardContextual"/>
              </w:rPr>
            </w:pPr>
            <w:hyperlink r:id="rId50" w:history="1">
              <w:r w:rsidRPr="00214F18">
                <w:rPr>
                  <w:rStyle w:val="Hyperlink"/>
                  <w:szCs w:val="20"/>
                </w:rPr>
                <w:t>Curriculum Frameworks Resources</w:t>
              </w:r>
            </w:hyperlink>
          </w:p>
          <w:p w14:paraId="4245F155" w14:textId="77777777" w:rsidR="000B1BDF" w:rsidRPr="00E14344" w:rsidRDefault="000B1BDF" w:rsidP="000B1BDF">
            <w:pPr>
              <w:pStyle w:val="TableBullet1"/>
              <w:rPr>
                <w:rFonts w:eastAsia="Franklin Gothic Book" w:cs="Franklin Gothic Book"/>
                <w:szCs w:val="20"/>
                <w14:ligatures w14:val="standardContextual"/>
              </w:rPr>
            </w:pPr>
            <w:hyperlink r:id="rId51" w:history="1">
              <w:r w:rsidRPr="00472F35">
                <w:rPr>
                  <w:rStyle w:val="Hyperlink"/>
                  <w:rFonts w:cs="Calibri"/>
                  <w:szCs w:val="20"/>
                </w:rPr>
                <w:t>IMplement MA</w:t>
              </w:r>
            </w:hyperlink>
          </w:p>
          <w:p w14:paraId="10481A35" w14:textId="77777777" w:rsidR="000B1BDF" w:rsidRPr="00214F18" w:rsidRDefault="000B1BDF" w:rsidP="000B1BDF">
            <w:pPr>
              <w:pStyle w:val="TableBullet1"/>
              <w:rPr>
                <w:rStyle w:val="Hyperlink"/>
                <w:rFonts w:eastAsia="Franklin Gothic Book" w:cs="Franklin Gothic Book"/>
                <w:color w:val="auto"/>
                <w:szCs w:val="20"/>
                <w:u w:val="none"/>
                <w14:ligatures w14:val="standardContextual"/>
              </w:rPr>
            </w:pPr>
            <w:hyperlink r:id="rId52" w:history="1">
              <w:r w:rsidRPr="00472F35">
                <w:rPr>
                  <w:rStyle w:val="Hyperlink"/>
                  <w:rFonts w:cs="Calibri"/>
                  <w:szCs w:val="20"/>
                </w:rPr>
                <w:t>CURATE</w:t>
              </w:r>
            </w:hyperlink>
          </w:p>
          <w:p w14:paraId="39220BF1" w14:textId="77777777" w:rsidR="000B1BDF" w:rsidRPr="00472F35" w:rsidRDefault="000B1BDF" w:rsidP="000B1BDF">
            <w:pPr>
              <w:pStyle w:val="TableBullet1"/>
              <w:rPr>
                <w:rFonts w:eastAsia="Franklin Gothic Book" w:cs="Franklin Gothic Book"/>
                <w:szCs w:val="20"/>
                <w14:ligatures w14:val="standardContextual"/>
              </w:rPr>
            </w:pPr>
            <w:hyperlink r:id="rId53" w:history="1">
              <w:r w:rsidRPr="00472F35">
                <w:rPr>
                  <w:rStyle w:val="Hyperlink"/>
                  <w:rFonts w:cs="Calibri"/>
                  <w:szCs w:val="20"/>
                </w:rPr>
                <w:t>Supporting Culturally and Linguistically Sustaining Practices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6A30E83A" w14:textId="77777777" w:rsidR="000B1BDF" w:rsidRPr="00472F35" w:rsidRDefault="000B1BDF" w:rsidP="000B1BDF">
            <w:pPr>
              <w:pStyle w:val="TableText"/>
            </w:pPr>
            <w:r>
              <w:t>DESE offers a</w:t>
            </w:r>
            <w:r w:rsidRPr="00472F35">
              <w:t xml:space="preserve"> suite of resources to support the use of high-quality curriculum</w:t>
            </w:r>
            <w:r>
              <w:t xml:space="preserve"> that is culturally and linguistically sustaining. These resources include the curriculum frameworks and</w:t>
            </w:r>
            <w:r w:rsidRPr="00472F35">
              <w:t xml:space="preserve"> </w:t>
            </w:r>
            <w:r w:rsidRPr="00BE01DD">
              <w:rPr>
                <w:rFonts w:cs="Calibri"/>
              </w:rPr>
              <w:t>IMplement MA</w:t>
            </w:r>
            <w:r w:rsidRPr="00472F35">
              <w:t xml:space="preserve">, our recommended four-phase process to prepare for, select, launch, and implement new high-quality instructional materials with key tasks and action steps. </w:t>
            </w:r>
            <w:r>
              <w:t>Additionally</w:t>
            </w:r>
            <w:r w:rsidRPr="00472F35">
              <w:t xml:space="preserve">, </w:t>
            </w:r>
            <w:r>
              <w:t xml:space="preserve">CURATE </w:t>
            </w:r>
            <w:r w:rsidRPr="00472F35">
              <w:t>convenes panels of Massachusetts teachers to review and rate</w:t>
            </w:r>
            <w:r>
              <w:t xml:space="preserve"> curriculum. These ratings are posted publicly to support schools and districts in selected high-quality instructional materials. Finally, the Supporting Culturally and Linguistically Sustaining Practices webpage </w:t>
            </w:r>
            <w:r w:rsidRPr="00F17F05">
              <w:t xml:space="preserve">provides </w:t>
            </w:r>
            <w:r>
              <w:t>DESE’s</w:t>
            </w:r>
            <w:r w:rsidRPr="00F17F05">
              <w:t xml:space="preserve"> definition of </w:t>
            </w:r>
            <w:r>
              <w:t>these</w:t>
            </w:r>
            <w:r w:rsidRPr="00F17F05">
              <w:t xml:space="preserve"> practices and</w:t>
            </w:r>
            <w:r>
              <w:t xml:space="preserve"> highlights</w:t>
            </w:r>
            <w:r w:rsidRPr="00F17F05">
              <w:t xml:space="preserve"> their importance in our schools and classrooms. </w:t>
            </w:r>
          </w:p>
          <w:p w14:paraId="7149E471" w14:textId="77777777" w:rsidR="000B1BDF" w:rsidRPr="00472F35" w:rsidRDefault="000B1BDF" w:rsidP="000B1BDF">
            <w:pPr>
              <w:pStyle w:val="TableText"/>
            </w:pPr>
          </w:p>
        </w:tc>
      </w:tr>
      <w:tr w:rsidR="000B1BDF" w:rsidRPr="00472F35" w14:paraId="0A1A1A6B" w14:textId="77777777" w:rsidTr="000B1BDF">
        <w:tc>
          <w:tcPr>
            <w:tcW w:w="1927" w:type="pct"/>
            <w:tcBorders>
              <w:top w:val="single" w:sz="6" w:space="0" w:color="2F5496"/>
              <w:left w:val="single" w:sz="6" w:space="0" w:color="2F5496"/>
              <w:bottom w:val="single" w:sz="6" w:space="0" w:color="2F5496"/>
              <w:right w:val="single" w:sz="6" w:space="0" w:color="2F5496"/>
            </w:tcBorders>
          </w:tcPr>
          <w:p w14:paraId="7EB4F53A" w14:textId="77777777" w:rsidR="000B1BDF" w:rsidRPr="00472F35" w:rsidRDefault="000B1BDF" w:rsidP="000B1BDF">
            <w:pPr>
              <w:pStyle w:val="TableBullet1"/>
              <w:numPr>
                <w:ilvl w:val="0"/>
                <w:numId w:val="0"/>
              </w:numPr>
              <w:rPr>
                <w:szCs w:val="20"/>
              </w:rPr>
            </w:pPr>
            <w:hyperlink r:id="rId54" w:history="1">
              <w:r w:rsidRPr="00472F35">
                <w:rPr>
                  <w:rStyle w:val="Hyperlink"/>
                  <w:rFonts w:cs="Calibri"/>
                  <w:szCs w:val="20"/>
                </w:rPr>
                <w:t>Mass Literacy Guide</w:t>
              </w:r>
            </w:hyperlink>
          </w:p>
        </w:tc>
        <w:tc>
          <w:tcPr>
            <w:tcW w:w="3073" w:type="pct"/>
            <w:tcBorders>
              <w:top w:val="single" w:sz="6" w:space="0" w:color="2F5496"/>
              <w:left w:val="single" w:sz="6" w:space="0" w:color="2F5496"/>
              <w:bottom w:val="single" w:sz="6" w:space="0" w:color="2F5496"/>
              <w:right w:val="single" w:sz="6" w:space="0" w:color="2F5496"/>
            </w:tcBorders>
          </w:tcPr>
          <w:p w14:paraId="7F30B198" w14:textId="77777777" w:rsidR="000B1BDF" w:rsidRPr="00472F35" w:rsidRDefault="000B1BDF" w:rsidP="000B1BDF">
            <w:pPr>
              <w:pStyle w:val="TableText"/>
            </w:pPr>
            <w:r w:rsidRPr="003F068F">
              <w:t>Mass Literacy is a statewide effort to empower educators with the evidence-based practices for literacy that all students need. Evidence-based instruction, provided within schools and classrooms that are culturally and linguistically sustaining, will put our youngest students on a path toward literacy for life.</w:t>
            </w:r>
          </w:p>
        </w:tc>
      </w:tr>
      <w:tr w:rsidR="000B1BDF" w:rsidRPr="00472F35" w14:paraId="43C77BD2" w14:textId="77777777" w:rsidTr="000B1BDF">
        <w:tc>
          <w:tcPr>
            <w:tcW w:w="1927" w:type="pct"/>
            <w:tcBorders>
              <w:top w:val="single" w:sz="6" w:space="0" w:color="2F5496"/>
              <w:left w:val="single" w:sz="6" w:space="0" w:color="2F5496"/>
              <w:bottom w:val="single" w:sz="6" w:space="0" w:color="2F5496"/>
              <w:right w:val="single" w:sz="6" w:space="0" w:color="2F5496"/>
            </w:tcBorders>
          </w:tcPr>
          <w:p w14:paraId="26743AA3" w14:textId="77777777" w:rsidR="000B1BDF" w:rsidRPr="00472F35" w:rsidRDefault="000B1BDF" w:rsidP="000B1BDF">
            <w:pPr>
              <w:pStyle w:val="TableText"/>
              <w:rPr>
                <w:rFonts w:eastAsia="Times New Roman" w:cs="Calibri"/>
                <w:color w:val="0563C1"/>
                <w:szCs w:val="20"/>
                <w:u w:val="single"/>
              </w:rPr>
            </w:pPr>
            <w:hyperlink r:id="rId55" w:history="1">
              <w:r w:rsidRPr="00472F35">
                <w:rPr>
                  <w:rStyle w:val="Hyperlink"/>
                  <w:rFonts w:cs="Calibri"/>
                  <w:szCs w:val="20"/>
                </w:rPr>
                <w:t>Foundations for Inclusive Practices</w:t>
              </w:r>
            </w:hyperlink>
          </w:p>
        </w:tc>
        <w:tc>
          <w:tcPr>
            <w:tcW w:w="3073" w:type="pct"/>
            <w:tcBorders>
              <w:top w:val="single" w:sz="6" w:space="0" w:color="2F5496"/>
              <w:left w:val="single" w:sz="6" w:space="0" w:color="2F5496"/>
              <w:bottom w:val="single" w:sz="6" w:space="0" w:color="2F5496"/>
              <w:right w:val="single" w:sz="6" w:space="0" w:color="2F5496"/>
            </w:tcBorders>
          </w:tcPr>
          <w:p w14:paraId="53FA48CB" w14:textId="77777777" w:rsidR="000B1BDF" w:rsidRPr="00472F35" w:rsidRDefault="000B1BDF" w:rsidP="000B1BDF">
            <w:pPr>
              <w:pStyle w:val="TableText"/>
              <w:rPr>
                <w:rFonts w:eastAsia="Times New Roman"/>
              </w:rPr>
            </w:pPr>
            <w:r w:rsidRPr="00472F35">
              <w:t>This Guidebook includes tools for districts, schools, and educators that are aligned to the MA Educator Evaluation Framework and promote evidence-based best practices for inclusion.</w:t>
            </w:r>
          </w:p>
        </w:tc>
      </w:tr>
      <w:tr w:rsidR="000B1BDF" w:rsidRPr="00472F35" w14:paraId="43F5160E" w14:textId="77777777" w:rsidTr="000B1BDF">
        <w:tc>
          <w:tcPr>
            <w:tcW w:w="1927" w:type="pct"/>
            <w:tcBorders>
              <w:top w:val="single" w:sz="6" w:space="0" w:color="2F5496"/>
              <w:left w:val="single" w:sz="6" w:space="0" w:color="2F5496"/>
              <w:bottom w:val="single" w:sz="6" w:space="0" w:color="2F5496"/>
              <w:right w:val="single" w:sz="6" w:space="0" w:color="2F5496"/>
            </w:tcBorders>
            <w:hideMark/>
          </w:tcPr>
          <w:p w14:paraId="56E60C97" w14:textId="77777777" w:rsidR="000B1BDF" w:rsidRPr="00472F35" w:rsidRDefault="000B1BDF" w:rsidP="000B1BDF">
            <w:pPr>
              <w:pStyle w:val="TableText"/>
              <w:rPr>
                <w:szCs w:val="20"/>
              </w:rPr>
            </w:pPr>
            <w:hyperlink r:id="rId56" w:history="1">
              <w:r w:rsidRPr="00472F35">
                <w:rPr>
                  <w:rStyle w:val="Hyperlink"/>
                  <w:rFonts w:cs="Calibri"/>
                  <w:szCs w:val="20"/>
                </w:rPr>
                <w:t>Guidebook of Culturally Diverse Artists and Artworks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527DECDF" w14:textId="77777777" w:rsidR="000B1BDF" w:rsidRPr="00472F35" w:rsidRDefault="000B1BDF" w:rsidP="000B1BDF">
            <w:pPr>
              <w:pStyle w:val="TableText"/>
            </w:pPr>
            <w:r w:rsidRPr="00472F35">
              <w:t>The purpose of this resource is to promote culturally responsive teaching in the arts through the study of culturally diverse artists and their artworks. This guidebook highlights art made by people with racial identities that historically have been and continue to be marginalized.</w:t>
            </w:r>
          </w:p>
        </w:tc>
      </w:tr>
      <w:tr w:rsidR="000B1BDF" w:rsidRPr="00472F35" w14:paraId="23AB393E" w14:textId="77777777" w:rsidTr="000B1BDF">
        <w:tc>
          <w:tcPr>
            <w:tcW w:w="1927" w:type="pct"/>
            <w:tcBorders>
              <w:top w:val="single" w:sz="6" w:space="0" w:color="2F5496"/>
              <w:left w:val="single" w:sz="6" w:space="0" w:color="2F5496"/>
              <w:bottom w:val="single" w:sz="6" w:space="0" w:color="2F5496"/>
              <w:right w:val="single" w:sz="6" w:space="0" w:color="2F5496"/>
            </w:tcBorders>
            <w:hideMark/>
          </w:tcPr>
          <w:p w14:paraId="2C5BF845" w14:textId="77777777" w:rsidR="000B1BDF" w:rsidRPr="00472F35" w:rsidRDefault="000B1BDF" w:rsidP="000B1BDF">
            <w:pPr>
              <w:pStyle w:val="TableText"/>
              <w:rPr>
                <w:szCs w:val="20"/>
              </w:rPr>
            </w:pPr>
            <w:hyperlink r:id="rId57" w:history="1">
              <w:r w:rsidRPr="00472F35">
                <w:rPr>
                  <w:rStyle w:val="Hyperlink"/>
                  <w:rFonts w:cs="Calibri"/>
                  <w:szCs w:val="20"/>
                </w:rPr>
                <w:t>Massachusetts Blueprint for English Learner Success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5F503918" w14:textId="77777777" w:rsidR="000B1BDF" w:rsidRPr="00472F35" w:rsidRDefault="000B1BDF" w:rsidP="000B1BDF">
            <w:pPr>
              <w:pStyle w:val="TableText"/>
            </w:pPr>
            <w:r w:rsidRPr="00472F35">
              <w:t>Framework for English learner education in MA, with embedded Quick Reference Guides (QRGs) and other resources to support implementation.</w:t>
            </w:r>
          </w:p>
        </w:tc>
      </w:tr>
      <w:tr w:rsidR="000B1BDF" w:rsidRPr="00472F35" w14:paraId="336689DE" w14:textId="77777777" w:rsidTr="000B1BDF">
        <w:tc>
          <w:tcPr>
            <w:tcW w:w="1927" w:type="pct"/>
            <w:tcBorders>
              <w:top w:val="single" w:sz="6" w:space="0" w:color="2F5496"/>
              <w:left w:val="single" w:sz="6" w:space="0" w:color="2F5496"/>
              <w:bottom w:val="single" w:sz="6" w:space="0" w:color="2F5496"/>
              <w:right w:val="single" w:sz="6" w:space="0" w:color="2F5496"/>
            </w:tcBorders>
            <w:hideMark/>
          </w:tcPr>
          <w:p w14:paraId="7ABFCC19" w14:textId="77777777" w:rsidR="000B1BDF" w:rsidRPr="00472F35" w:rsidRDefault="000B1BDF" w:rsidP="000B1BDF">
            <w:pPr>
              <w:pStyle w:val="TableText"/>
            </w:pPr>
            <w:r w:rsidRPr="00472F35">
              <w:t xml:space="preserve">Massachusetts Curricular Resources </w:t>
            </w:r>
          </w:p>
          <w:p w14:paraId="2B05CD59" w14:textId="77777777" w:rsidR="000B1BDF" w:rsidRPr="00F17F05" w:rsidRDefault="000B1BDF" w:rsidP="000B1BDF">
            <w:pPr>
              <w:pStyle w:val="TableBullet1"/>
              <w:rPr>
                <w:rStyle w:val="Hyperlink"/>
                <w:color w:val="auto"/>
                <w:szCs w:val="20"/>
                <w:u w:val="none"/>
              </w:rPr>
            </w:pPr>
            <w:hyperlink r:id="rId58" w:history="1">
              <w:r w:rsidRPr="00F17F05">
                <w:rPr>
                  <w:rStyle w:val="Hyperlink"/>
                  <w:rFonts w:cs="Calibri"/>
                  <w:szCs w:val="20"/>
                </w:rPr>
                <w:t>Appleseeds</w:t>
              </w:r>
            </w:hyperlink>
          </w:p>
          <w:p w14:paraId="18A3A953" w14:textId="77777777" w:rsidR="000B1BDF" w:rsidRPr="00F17F05" w:rsidRDefault="000B1BDF" w:rsidP="000B1BDF">
            <w:pPr>
              <w:pStyle w:val="TableBullet1"/>
              <w:rPr>
                <w:rStyle w:val="Hyperlink"/>
                <w:color w:val="auto"/>
                <w:szCs w:val="20"/>
                <w:u w:val="none"/>
              </w:rPr>
            </w:pPr>
            <w:hyperlink r:id="rId59" w:history="1">
              <w:r w:rsidRPr="00F17F05">
                <w:rPr>
                  <w:rStyle w:val="Hyperlink"/>
                  <w:rFonts w:cs="Calibri"/>
                  <w:szCs w:val="20"/>
                </w:rPr>
                <w:t>Investigating History</w:t>
              </w:r>
            </w:hyperlink>
            <w:r w:rsidRPr="00F17F05">
              <w:rPr>
                <w:rStyle w:val="Hyperlink"/>
                <w:rFonts w:cs="Calibri"/>
                <w:szCs w:val="20"/>
              </w:rPr>
              <w:t xml:space="preserve"> </w:t>
            </w:r>
          </w:p>
          <w:p w14:paraId="59A38E65" w14:textId="77777777" w:rsidR="000B1BDF" w:rsidRPr="00472F35" w:rsidRDefault="000B1BDF" w:rsidP="000B1BDF">
            <w:pPr>
              <w:pStyle w:val="TableBullet1"/>
              <w:rPr>
                <w:szCs w:val="20"/>
              </w:rPr>
            </w:pPr>
            <w:hyperlink r:id="rId60" w:history="1">
              <w:r w:rsidRPr="004C24CF">
                <w:rPr>
                  <w:rStyle w:val="Hyperlink"/>
                </w:rPr>
                <w:t>OpenSciEd</w:t>
              </w:r>
            </w:hyperlink>
          </w:p>
        </w:tc>
        <w:tc>
          <w:tcPr>
            <w:tcW w:w="3073" w:type="pct"/>
            <w:tcBorders>
              <w:top w:val="single" w:sz="6" w:space="0" w:color="2F5496"/>
              <w:left w:val="single" w:sz="6" w:space="0" w:color="2F5496"/>
              <w:bottom w:val="single" w:sz="6" w:space="0" w:color="2F5496"/>
              <w:right w:val="single" w:sz="6" w:space="0" w:color="2F5496"/>
            </w:tcBorders>
            <w:hideMark/>
          </w:tcPr>
          <w:p w14:paraId="729AB033" w14:textId="77777777" w:rsidR="000B1BDF" w:rsidRPr="00472F35" w:rsidRDefault="000B1BDF" w:rsidP="000B1BDF">
            <w:pPr>
              <w:pStyle w:val="TableText"/>
            </w:pPr>
            <w:r w:rsidRPr="00472F35">
              <w:t>Free, open-source curricular resources aligned to the Massachusetts Curriculum Frameworks.</w:t>
            </w:r>
          </w:p>
        </w:tc>
      </w:tr>
      <w:tr w:rsidR="000B1BDF" w:rsidRPr="00472F35" w14:paraId="53D4A1C8" w14:textId="77777777" w:rsidTr="000B1BDF">
        <w:tc>
          <w:tcPr>
            <w:tcW w:w="1927" w:type="pct"/>
            <w:tcBorders>
              <w:top w:val="single" w:sz="6" w:space="0" w:color="2F5496"/>
              <w:left w:val="single" w:sz="6" w:space="0" w:color="2F5496"/>
              <w:bottom w:val="single" w:sz="6" w:space="0" w:color="2F5496"/>
              <w:right w:val="single" w:sz="6" w:space="0" w:color="2F5496"/>
            </w:tcBorders>
            <w:hideMark/>
          </w:tcPr>
          <w:p w14:paraId="7FC3CE81" w14:textId="77777777" w:rsidR="000B1BDF" w:rsidRPr="00472F35" w:rsidRDefault="000B1BDF" w:rsidP="000B1BDF">
            <w:pPr>
              <w:pStyle w:val="TableBullet1"/>
              <w:numPr>
                <w:ilvl w:val="0"/>
                <w:numId w:val="0"/>
              </w:numPr>
              <w:ind w:left="360" w:hanging="360"/>
              <w:rPr>
                <w:szCs w:val="20"/>
              </w:rPr>
            </w:pPr>
            <w:hyperlink r:id="rId61" w:history="1">
              <w:r w:rsidRPr="00472F35">
                <w:rPr>
                  <w:rStyle w:val="Hyperlink"/>
                  <w:rFonts w:cs="Calibri"/>
                  <w:szCs w:val="20"/>
                </w:rPr>
                <w:t>Massachusetts Dyslexia Guidelines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15D6284C" w14:textId="77777777" w:rsidR="000B1BDF" w:rsidRPr="00472F35" w:rsidRDefault="000B1BDF" w:rsidP="000B1BDF">
            <w:pPr>
              <w:pStyle w:val="TableText"/>
            </w:pPr>
            <w:r w:rsidRPr="00472F35">
              <w:t>Clear and practical guidelines for early screening, instruction, and intervention for students with reading difficulties and neurological learning disabilities, including dyslexia.</w:t>
            </w:r>
          </w:p>
        </w:tc>
      </w:tr>
      <w:tr w:rsidR="000B1BDF" w:rsidRPr="00472F35" w14:paraId="337ACE55" w14:textId="77777777" w:rsidTr="000B1BDF">
        <w:tc>
          <w:tcPr>
            <w:tcW w:w="1927" w:type="pct"/>
            <w:tcBorders>
              <w:top w:val="single" w:sz="6" w:space="0" w:color="2F5496"/>
              <w:left w:val="single" w:sz="6" w:space="0" w:color="2F5496"/>
              <w:bottom w:val="single" w:sz="6" w:space="0" w:color="2F5496"/>
              <w:right w:val="single" w:sz="6" w:space="0" w:color="2F5496"/>
            </w:tcBorders>
          </w:tcPr>
          <w:p w14:paraId="1F4F5C03" w14:textId="77777777" w:rsidR="000B1BDF" w:rsidRPr="00472F35" w:rsidRDefault="000B1BDF" w:rsidP="000B1BDF">
            <w:pPr>
              <w:pStyle w:val="TableText"/>
              <w:rPr>
                <w:rFonts w:eastAsia="Times New Roman" w:cs="Calibri"/>
                <w:color w:val="0563C1"/>
                <w:szCs w:val="20"/>
                <w:u w:val="single"/>
              </w:rPr>
            </w:pPr>
            <w:hyperlink r:id="rId62" w:history="1">
              <w:r w:rsidRPr="00472F35">
                <w:rPr>
                  <w:rStyle w:val="Hyperlink"/>
                  <w:rFonts w:cs="Calibri"/>
                  <w:szCs w:val="20"/>
                </w:rPr>
                <w:t>Next Generation ESL Toolkit</w:t>
              </w:r>
            </w:hyperlink>
          </w:p>
        </w:tc>
        <w:tc>
          <w:tcPr>
            <w:tcW w:w="3073" w:type="pct"/>
            <w:tcBorders>
              <w:top w:val="single" w:sz="6" w:space="0" w:color="2F5496"/>
              <w:left w:val="single" w:sz="6" w:space="0" w:color="2F5496"/>
              <w:bottom w:val="single" w:sz="6" w:space="0" w:color="2F5496"/>
              <w:right w:val="single" w:sz="6" w:space="0" w:color="2F5496"/>
            </w:tcBorders>
          </w:tcPr>
          <w:p w14:paraId="42899736" w14:textId="77777777" w:rsidR="000B1BDF" w:rsidRPr="00472F35" w:rsidRDefault="000B1BDF" w:rsidP="000B1BDF">
            <w:pPr>
              <w:pStyle w:val="TableText"/>
              <w:rPr>
                <w:rFonts w:eastAsia="Times New Roman"/>
              </w:rPr>
            </w:pPr>
            <w:r w:rsidRPr="00472F35">
              <w:t>The ESL Toolkit provides a common entry point for educators to learn about Next Generation ESL (NGESL) instruction in Massachusetts.</w:t>
            </w:r>
          </w:p>
        </w:tc>
      </w:tr>
      <w:tr w:rsidR="000B1BDF" w:rsidRPr="00472F35" w14:paraId="1A3176F5" w14:textId="77777777" w:rsidTr="000B1BDF">
        <w:tc>
          <w:tcPr>
            <w:tcW w:w="1927" w:type="pct"/>
            <w:tcBorders>
              <w:top w:val="single" w:sz="6" w:space="0" w:color="2F5496"/>
              <w:left w:val="single" w:sz="6" w:space="0" w:color="2F5496"/>
              <w:bottom w:val="single" w:sz="6" w:space="0" w:color="2F5496"/>
              <w:right w:val="single" w:sz="6" w:space="0" w:color="2F5496"/>
            </w:tcBorders>
            <w:hideMark/>
          </w:tcPr>
          <w:p w14:paraId="094A52F2" w14:textId="77777777" w:rsidR="000B1BDF" w:rsidRPr="00472F35" w:rsidRDefault="000B1BDF" w:rsidP="000B1BDF">
            <w:pPr>
              <w:pStyle w:val="TableText"/>
              <w:rPr>
                <w:szCs w:val="20"/>
              </w:rPr>
            </w:pPr>
            <w:hyperlink r:id="rId63" w:history="1">
              <w:r w:rsidRPr="00472F35">
                <w:rPr>
                  <w:rStyle w:val="Hyperlink"/>
                  <w:rFonts w:cs="Calibri"/>
                  <w:szCs w:val="20"/>
                </w:rPr>
                <w:t>Synthesized ILT Framework</w:t>
              </w:r>
            </w:hyperlink>
          </w:p>
        </w:tc>
        <w:tc>
          <w:tcPr>
            <w:tcW w:w="3073" w:type="pct"/>
            <w:tcBorders>
              <w:top w:val="single" w:sz="6" w:space="0" w:color="2F5496"/>
              <w:left w:val="single" w:sz="6" w:space="0" w:color="2F5496"/>
              <w:bottom w:val="single" w:sz="6" w:space="0" w:color="2F5496"/>
              <w:right w:val="single" w:sz="6" w:space="0" w:color="2F5496"/>
            </w:tcBorders>
            <w:hideMark/>
          </w:tcPr>
          <w:p w14:paraId="035CCD02" w14:textId="77777777" w:rsidR="000B1BDF" w:rsidRPr="00472F35" w:rsidRDefault="000B1BDF" w:rsidP="000B1BDF">
            <w:pPr>
              <w:pStyle w:val="TableText"/>
            </w:pPr>
            <w:r w:rsidRPr="00472F35">
              <w:t>District and school teams can use this resource to reflect and identify specific actions they could take to establish or improve their instructional leadership teams (ILTs).</w:t>
            </w:r>
          </w:p>
        </w:tc>
      </w:tr>
    </w:tbl>
    <w:p w14:paraId="76AD5570" w14:textId="77777777" w:rsidR="000B1BDF" w:rsidRPr="00472F35" w:rsidRDefault="000B1BDF" w:rsidP="000B1BDF">
      <w:pPr>
        <w:pStyle w:val="TableTitle0"/>
      </w:pPr>
      <w:r w:rsidRPr="00472F35">
        <w:lastRenderedPageBreak/>
        <w:t>Table C3. Resources to Support Assessment</w:t>
      </w:r>
    </w:p>
    <w:tbl>
      <w:tblPr>
        <w:tblStyle w:val="MSVTable1"/>
        <w:tblW w:w="5004" w:type="pct"/>
        <w:tblLook w:val="0620" w:firstRow="1" w:lastRow="0" w:firstColumn="0" w:lastColumn="0" w:noHBand="1" w:noVBand="1"/>
      </w:tblPr>
      <w:tblGrid>
        <w:gridCol w:w="3593"/>
        <w:gridCol w:w="5758"/>
      </w:tblGrid>
      <w:tr w:rsidR="000B1BDF" w:rsidRPr="00472F35" w14:paraId="4425D107" w14:textId="77777777" w:rsidTr="000B1BDF">
        <w:trPr>
          <w:cnfStyle w:val="100000000000" w:firstRow="1" w:lastRow="0" w:firstColumn="0" w:lastColumn="0" w:oddVBand="0" w:evenVBand="0" w:oddHBand="0" w:evenHBand="0" w:firstRowFirstColumn="0" w:firstRowLastColumn="0" w:lastRowFirstColumn="0" w:lastRowLastColumn="0"/>
          <w:tblHeader/>
        </w:trPr>
        <w:tc>
          <w:tcPr>
            <w:tcW w:w="1921" w:type="pct"/>
            <w:tcBorders>
              <w:top w:val="single" w:sz="6" w:space="0" w:color="2F5496"/>
              <w:left w:val="single" w:sz="6" w:space="0" w:color="2F5496"/>
              <w:bottom w:val="single" w:sz="6" w:space="0" w:color="2F5496"/>
            </w:tcBorders>
            <w:hideMark/>
          </w:tcPr>
          <w:p w14:paraId="72B3B1FB" w14:textId="77777777" w:rsidR="000B1BDF" w:rsidRPr="00472F35" w:rsidRDefault="000B1BDF" w:rsidP="000B1BDF">
            <w:pPr>
              <w:pStyle w:val="TableColHeadingLeft"/>
            </w:pPr>
            <w:r w:rsidRPr="00472F35">
              <w:t>Resource</w:t>
            </w:r>
          </w:p>
        </w:tc>
        <w:tc>
          <w:tcPr>
            <w:tcW w:w="3079" w:type="pct"/>
            <w:tcBorders>
              <w:top w:val="single" w:sz="6" w:space="0" w:color="2F5496"/>
              <w:bottom w:val="single" w:sz="6" w:space="0" w:color="2F5496"/>
              <w:right w:val="single" w:sz="6" w:space="0" w:color="2F5496"/>
            </w:tcBorders>
            <w:hideMark/>
          </w:tcPr>
          <w:p w14:paraId="72BFD39B" w14:textId="77777777" w:rsidR="000B1BDF" w:rsidRPr="00472F35" w:rsidRDefault="000B1BDF" w:rsidP="000B1BDF">
            <w:pPr>
              <w:pStyle w:val="TableColHeadingLeft"/>
            </w:pPr>
            <w:r w:rsidRPr="00472F35">
              <w:t>Description</w:t>
            </w:r>
          </w:p>
        </w:tc>
      </w:tr>
      <w:tr w:rsidR="000B1BDF" w:rsidRPr="00472F35" w14:paraId="5EC37897" w14:textId="77777777" w:rsidTr="000B1BDF">
        <w:tc>
          <w:tcPr>
            <w:tcW w:w="1921" w:type="pct"/>
            <w:tcBorders>
              <w:top w:val="single" w:sz="6" w:space="0" w:color="2F5496"/>
              <w:left w:val="single" w:sz="6" w:space="0" w:color="2F5496"/>
              <w:bottom w:val="single" w:sz="6" w:space="0" w:color="2F5496"/>
              <w:right w:val="single" w:sz="6" w:space="0" w:color="2F5496"/>
            </w:tcBorders>
            <w:hideMark/>
          </w:tcPr>
          <w:p w14:paraId="79D0CCC9" w14:textId="77777777" w:rsidR="000B1BDF" w:rsidRPr="00472F35" w:rsidRDefault="000B1BDF" w:rsidP="000B1BDF">
            <w:pPr>
              <w:pStyle w:val="TableText"/>
              <w:rPr>
                <w:rFonts w:eastAsia="HGGothicE" w:cs="Franklin Gothic Book"/>
                <w:bCs/>
                <w:szCs w:val="20"/>
              </w:rPr>
            </w:pPr>
            <w:hyperlink r:id="rId64" w:history="1">
              <w:r w:rsidRPr="00472F35">
                <w:rPr>
                  <w:rStyle w:val="Hyperlink"/>
                  <w:rFonts w:cs="Calibri"/>
                  <w:szCs w:val="20"/>
                </w:rPr>
                <w:t>Assessment Literacy Continuum</w:t>
              </w:r>
            </w:hyperlink>
          </w:p>
        </w:tc>
        <w:tc>
          <w:tcPr>
            <w:tcW w:w="3079" w:type="pct"/>
            <w:tcBorders>
              <w:top w:val="single" w:sz="6" w:space="0" w:color="2F5496"/>
              <w:left w:val="single" w:sz="6" w:space="0" w:color="2F5496"/>
              <w:bottom w:val="single" w:sz="6" w:space="0" w:color="2F5496"/>
              <w:right w:val="single" w:sz="6" w:space="0" w:color="2F5496"/>
            </w:tcBorders>
            <w:hideMark/>
          </w:tcPr>
          <w:p w14:paraId="5A4D33A7" w14:textId="77777777" w:rsidR="000B1BDF" w:rsidRPr="00472F35" w:rsidRDefault="000B1BDF" w:rsidP="000B1BDF">
            <w:pPr>
              <w:pStyle w:val="TableText"/>
              <w:rPr>
                <w:rFonts w:eastAsia="HGGothicE" w:cs="Franklin Gothic Book"/>
                <w:bCs/>
                <w:szCs w:val="20"/>
              </w:rPr>
            </w:pPr>
            <w:r w:rsidRPr="00472F35">
              <w:rPr>
                <w:rFonts w:cs="Calibri"/>
                <w:color w:val="000000"/>
                <w:szCs w:val="20"/>
              </w:rPr>
              <w:t>Tool to help teachers identify what aspects of assessment literacy they should focus on for their own goal setting.</w:t>
            </w:r>
          </w:p>
        </w:tc>
      </w:tr>
      <w:tr w:rsidR="000B1BDF" w:rsidRPr="00472F35" w14:paraId="30F93F5F" w14:textId="77777777" w:rsidTr="000B1BDF">
        <w:tc>
          <w:tcPr>
            <w:tcW w:w="1921" w:type="pct"/>
            <w:tcBorders>
              <w:top w:val="single" w:sz="6" w:space="0" w:color="2F5496"/>
              <w:left w:val="single" w:sz="6" w:space="0" w:color="2F5496"/>
              <w:bottom w:val="single" w:sz="6" w:space="0" w:color="2F5496"/>
              <w:right w:val="single" w:sz="6" w:space="0" w:color="2F5496"/>
            </w:tcBorders>
          </w:tcPr>
          <w:p w14:paraId="0BF61A6A" w14:textId="77777777" w:rsidR="000B1BDF" w:rsidRPr="00472F35" w:rsidRDefault="000B1BDF" w:rsidP="000B1BDF">
            <w:pPr>
              <w:pStyle w:val="TableText"/>
              <w:rPr>
                <w:rFonts w:eastAsia="Times New Roman" w:cs="Calibri"/>
                <w:color w:val="000000"/>
                <w:szCs w:val="20"/>
              </w:rPr>
            </w:pPr>
            <w:hyperlink r:id="rId65" w:history="1">
              <w:r w:rsidRPr="00472F35">
                <w:rPr>
                  <w:rStyle w:val="Hyperlink"/>
                  <w:rFonts w:cs="Calibri"/>
                  <w:szCs w:val="20"/>
                </w:rPr>
                <w:t>Curriculum-Embedded Performance Assessments</w:t>
              </w:r>
            </w:hyperlink>
          </w:p>
        </w:tc>
        <w:tc>
          <w:tcPr>
            <w:tcW w:w="3079" w:type="pct"/>
            <w:tcBorders>
              <w:top w:val="single" w:sz="6" w:space="0" w:color="2F5496"/>
              <w:left w:val="single" w:sz="6" w:space="0" w:color="2F5496"/>
              <w:bottom w:val="single" w:sz="6" w:space="0" w:color="2F5496"/>
              <w:right w:val="single" w:sz="6" w:space="0" w:color="2F5496"/>
            </w:tcBorders>
          </w:tcPr>
          <w:p w14:paraId="7B601B03" w14:textId="77777777" w:rsidR="000B1BDF" w:rsidRPr="00472F35" w:rsidRDefault="000B1BDF" w:rsidP="000B1BDF">
            <w:pPr>
              <w:pStyle w:val="TableText"/>
              <w:rPr>
                <w:rFonts w:eastAsia="Times New Roman" w:cs="Calibri"/>
                <w:color w:val="000000"/>
                <w:szCs w:val="20"/>
              </w:rPr>
            </w:pPr>
            <w:r w:rsidRPr="00472F35">
              <w:rPr>
                <w:rFonts w:cs="Calibri"/>
                <w:color w:val="000000"/>
                <w:szCs w:val="20"/>
              </w:rPr>
              <w:t xml:space="preserve">Pending funding, this program will provide resources and professional learning for classroom-based, curriculum-embedded performance tasks in K-8 science with implementation and instructional supports aligned to the Innovative Assessment (STE). </w:t>
            </w:r>
          </w:p>
        </w:tc>
      </w:tr>
      <w:tr w:rsidR="000B1BDF" w:rsidRPr="00472F35" w14:paraId="2E06E729" w14:textId="77777777" w:rsidTr="000B1BDF">
        <w:tc>
          <w:tcPr>
            <w:tcW w:w="1921" w:type="pct"/>
            <w:tcBorders>
              <w:top w:val="single" w:sz="6" w:space="0" w:color="2F5496"/>
              <w:left w:val="single" w:sz="6" w:space="0" w:color="2F5496"/>
              <w:bottom w:val="single" w:sz="6" w:space="0" w:color="2F5496"/>
              <w:right w:val="single" w:sz="6" w:space="0" w:color="2F5496"/>
            </w:tcBorders>
            <w:hideMark/>
          </w:tcPr>
          <w:p w14:paraId="6500EDF6" w14:textId="77777777" w:rsidR="000B1BDF" w:rsidRPr="00472F35" w:rsidRDefault="000B1BDF" w:rsidP="000B1BDF">
            <w:pPr>
              <w:pStyle w:val="TableText"/>
              <w:rPr>
                <w:rFonts w:eastAsia="Times New Roman" w:cs="Calibri"/>
                <w:szCs w:val="20"/>
              </w:rPr>
            </w:pPr>
            <w:hyperlink r:id="rId66" w:history="1">
              <w:r w:rsidRPr="00472F35">
                <w:rPr>
                  <w:rStyle w:val="Hyperlink"/>
                  <w:rFonts w:eastAsia="Times New Roman" w:cs="Calibri"/>
                  <w:szCs w:val="20"/>
                </w:rPr>
                <w:t>District Data Team Toolkit</w:t>
              </w:r>
            </w:hyperlink>
          </w:p>
        </w:tc>
        <w:tc>
          <w:tcPr>
            <w:tcW w:w="3079" w:type="pct"/>
            <w:tcBorders>
              <w:top w:val="single" w:sz="6" w:space="0" w:color="2F5496"/>
              <w:left w:val="single" w:sz="6" w:space="0" w:color="2F5496"/>
              <w:bottom w:val="single" w:sz="6" w:space="0" w:color="2F5496"/>
              <w:right w:val="single" w:sz="6" w:space="0" w:color="2F5496"/>
            </w:tcBorders>
            <w:hideMark/>
          </w:tcPr>
          <w:p w14:paraId="6FB5D706" w14:textId="77777777" w:rsidR="000B1BDF" w:rsidRPr="00472F35" w:rsidRDefault="000B1BDF" w:rsidP="000B1BDF">
            <w:pPr>
              <w:pStyle w:val="TableText"/>
              <w:rPr>
                <w:rFonts w:eastAsia="Times New Roman" w:cs="Times New Roman"/>
                <w:bCs/>
                <w:szCs w:val="20"/>
              </w:rPr>
            </w:pPr>
            <w:r w:rsidRPr="00472F35">
              <w:rPr>
                <w:rFonts w:eastAsia="Times New Roman" w:cs="Calibri"/>
                <w:szCs w:val="20"/>
              </w:rPr>
              <w:t>A set of r</w:t>
            </w:r>
            <w:r w:rsidRPr="00472F35">
              <w:rPr>
                <w:rFonts w:eastAsia="Times New Roman" w:cs="Calibri"/>
                <w:bCs/>
                <w:szCs w:val="20"/>
              </w:rPr>
              <w:t>esources to help a district establish, grow, and maintain a culture of inquiry and data use through a district data team.</w:t>
            </w:r>
          </w:p>
        </w:tc>
      </w:tr>
      <w:tr w:rsidR="000B1BDF" w:rsidRPr="00472F35" w14:paraId="5D1B956F" w14:textId="77777777" w:rsidTr="000B1BDF">
        <w:tc>
          <w:tcPr>
            <w:tcW w:w="1921" w:type="pct"/>
            <w:tcBorders>
              <w:top w:val="single" w:sz="6" w:space="0" w:color="2F5496"/>
              <w:left w:val="single" w:sz="6" w:space="0" w:color="2F5496"/>
              <w:bottom w:val="single" w:sz="6" w:space="0" w:color="2F5496"/>
              <w:right w:val="single" w:sz="6" w:space="0" w:color="2F5496"/>
            </w:tcBorders>
            <w:hideMark/>
          </w:tcPr>
          <w:p w14:paraId="59DECB9C" w14:textId="77777777" w:rsidR="000B1BDF" w:rsidRPr="001E5318" w:rsidRDefault="000B1BDF" w:rsidP="000B1BDF">
            <w:pPr>
              <w:pStyle w:val="TableBullet1"/>
              <w:numPr>
                <w:ilvl w:val="0"/>
                <w:numId w:val="0"/>
              </w:numPr>
              <w:ind w:left="288" w:hanging="288"/>
              <w:rPr>
                <w:szCs w:val="20"/>
              </w:rPr>
            </w:pPr>
            <w:hyperlink r:id="rId67" w:history="1">
              <w:r w:rsidRPr="004730C1">
                <w:rPr>
                  <w:rStyle w:val="Hyperlink"/>
                </w:rPr>
                <w:t>Early Literacy Screening</w:t>
              </w:r>
            </w:hyperlink>
          </w:p>
        </w:tc>
        <w:tc>
          <w:tcPr>
            <w:tcW w:w="3079" w:type="pct"/>
            <w:tcBorders>
              <w:top w:val="single" w:sz="6" w:space="0" w:color="2F5496"/>
              <w:left w:val="single" w:sz="6" w:space="0" w:color="2F5496"/>
              <w:bottom w:val="single" w:sz="6" w:space="0" w:color="2F5496"/>
              <w:right w:val="single" w:sz="6" w:space="0" w:color="2F5496"/>
            </w:tcBorders>
            <w:hideMark/>
          </w:tcPr>
          <w:p w14:paraId="533616F5" w14:textId="77777777" w:rsidR="000B1BDF" w:rsidRPr="00472F35" w:rsidRDefault="000B1BDF" w:rsidP="000B1BDF">
            <w:pPr>
              <w:pStyle w:val="TableText"/>
              <w:rPr>
                <w:rFonts w:eastAsia="Times New Roman" w:cs="Calibri"/>
                <w:szCs w:val="20"/>
              </w:rPr>
            </w:pPr>
            <w:r w:rsidRPr="00472F35">
              <w:rPr>
                <w:rFonts w:cs="Calibri"/>
                <w:color w:val="000000"/>
                <w:szCs w:val="20"/>
              </w:rPr>
              <w:t>Guidance and support for schools and districts to select and use an</w:t>
            </w:r>
            <w:r>
              <w:rPr>
                <w:rFonts w:cs="Calibri"/>
                <w:color w:val="000000"/>
              </w:rPr>
              <w:t xml:space="preserve"> approved</w:t>
            </w:r>
            <w:r w:rsidRPr="00472F35">
              <w:rPr>
                <w:rFonts w:cs="Calibri"/>
                <w:color w:val="000000"/>
                <w:szCs w:val="20"/>
              </w:rPr>
              <w:t xml:space="preserve"> early literacy universal screening assessment.</w:t>
            </w:r>
          </w:p>
        </w:tc>
      </w:tr>
      <w:tr w:rsidR="000B1BDF" w:rsidRPr="00472F35" w14:paraId="2D9357AA" w14:textId="77777777" w:rsidTr="000B1BDF">
        <w:tc>
          <w:tcPr>
            <w:tcW w:w="1921" w:type="pct"/>
            <w:tcBorders>
              <w:top w:val="single" w:sz="6" w:space="0" w:color="2F5496"/>
              <w:left w:val="single" w:sz="6" w:space="0" w:color="2F5496"/>
              <w:bottom w:val="single" w:sz="6" w:space="0" w:color="2F5496"/>
              <w:right w:val="single" w:sz="6" w:space="0" w:color="2F5496"/>
            </w:tcBorders>
            <w:hideMark/>
          </w:tcPr>
          <w:p w14:paraId="0640BAC4" w14:textId="77777777" w:rsidR="000B1BDF" w:rsidRPr="00472F35" w:rsidRDefault="000B1BDF" w:rsidP="000B1BDF">
            <w:pPr>
              <w:pStyle w:val="TableText"/>
              <w:rPr>
                <w:rFonts w:eastAsia="Times New Roman" w:cs="Calibri"/>
                <w:szCs w:val="20"/>
              </w:rPr>
            </w:pPr>
            <w:hyperlink r:id="rId68" w:history="1">
              <w:r w:rsidRPr="00472F35">
                <w:rPr>
                  <w:rStyle w:val="Hyperlink"/>
                  <w:rFonts w:cs="Calibri"/>
                  <w:szCs w:val="20"/>
                </w:rPr>
                <w:t>Student Assessment</w:t>
              </w:r>
            </w:hyperlink>
          </w:p>
        </w:tc>
        <w:tc>
          <w:tcPr>
            <w:tcW w:w="3079" w:type="pct"/>
            <w:tcBorders>
              <w:top w:val="single" w:sz="6" w:space="0" w:color="2F5496"/>
              <w:left w:val="single" w:sz="6" w:space="0" w:color="2F5496"/>
              <w:bottom w:val="single" w:sz="6" w:space="0" w:color="2F5496"/>
              <w:right w:val="single" w:sz="6" w:space="0" w:color="2F5496"/>
            </w:tcBorders>
            <w:hideMark/>
          </w:tcPr>
          <w:p w14:paraId="7C4992D8" w14:textId="77777777" w:rsidR="000B1BDF" w:rsidRPr="00472F35" w:rsidRDefault="000B1BDF" w:rsidP="000B1BDF">
            <w:pPr>
              <w:pStyle w:val="TableText"/>
              <w:rPr>
                <w:rFonts w:eastAsia="Times New Roman" w:cs="Calibri"/>
                <w:szCs w:val="20"/>
              </w:rPr>
            </w:pPr>
            <w:r w:rsidRPr="00472F35">
              <w:rPr>
                <w:rFonts w:cs="Calibri"/>
                <w:color w:val="000000"/>
                <w:szCs w:val="20"/>
              </w:rPr>
              <w:t>Statewide assessments help parents, students, educators, and policymakers determine where districts, schools, and students are meeting expectations and where they need additional support.</w:t>
            </w:r>
          </w:p>
        </w:tc>
      </w:tr>
    </w:tbl>
    <w:p w14:paraId="0896DD84" w14:textId="77777777" w:rsidR="000B1BDF" w:rsidRDefault="000B1BDF" w:rsidP="000B1BDF">
      <w:pPr>
        <w:pStyle w:val="TableTitle0"/>
      </w:pPr>
    </w:p>
    <w:p w14:paraId="1EBCD2BE" w14:textId="77777777" w:rsidR="000B1BDF" w:rsidRDefault="000B1BDF" w:rsidP="000B1BDF">
      <w:pPr>
        <w:spacing w:after="160" w:line="278" w:lineRule="auto"/>
        <w:rPr>
          <w:rFonts w:ascii="Franklin Gothic Demi" w:hAnsi="Franklin Gothic Demi"/>
        </w:rPr>
      </w:pPr>
      <w:r>
        <w:br w:type="page"/>
      </w:r>
    </w:p>
    <w:p w14:paraId="4CED88EE" w14:textId="77777777" w:rsidR="000B1BDF" w:rsidRPr="00472F35" w:rsidRDefault="000B1BDF" w:rsidP="000B1BDF">
      <w:pPr>
        <w:pStyle w:val="TableTitle0"/>
      </w:pPr>
      <w:r w:rsidRPr="00472F35">
        <w:lastRenderedPageBreak/>
        <w:t>Table C4. Resources to Support Human Resources and Professional Development</w:t>
      </w:r>
    </w:p>
    <w:tbl>
      <w:tblPr>
        <w:tblStyle w:val="MSVTable1"/>
        <w:tblW w:w="5004" w:type="pct"/>
        <w:tblLook w:val="0620" w:firstRow="1" w:lastRow="0" w:firstColumn="0" w:lastColumn="0" w:noHBand="1" w:noVBand="1"/>
      </w:tblPr>
      <w:tblGrid>
        <w:gridCol w:w="3592"/>
        <w:gridCol w:w="5759"/>
      </w:tblGrid>
      <w:tr w:rsidR="000B1BDF" w:rsidRPr="00472F35" w14:paraId="32399DFB" w14:textId="77777777" w:rsidTr="000B1BDF">
        <w:trPr>
          <w:cnfStyle w:val="100000000000" w:firstRow="1" w:lastRow="0" w:firstColumn="0" w:lastColumn="0" w:oddVBand="0" w:evenVBand="0" w:oddHBand="0" w:evenHBand="0" w:firstRowFirstColumn="0" w:firstRowLastColumn="0" w:lastRowFirstColumn="0" w:lastRowLastColumn="0"/>
          <w:cantSplit/>
          <w:tblHeader/>
        </w:trPr>
        <w:tc>
          <w:tcPr>
            <w:tcW w:w="3592" w:type="dxa"/>
            <w:tcBorders>
              <w:top w:val="single" w:sz="6" w:space="0" w:color="2F5496"/>
              <w:left w:val="single" w:sz="6" w:space="0" w:color="2F5496"/>
              <w:bottom w:val="single" w:sz="6" w:space="0" w:color="2F5496"/>
            </w:tcBorders>
            <w:hideMark/>
          </w:tcPr>
          <w:p w14:paraId="4FAAFE5B" w14:textId="77777777" w:rsidR="000B1BDF" w:rsidRPr="00472F35" w:rsidRDefault="000B1BDF" w:rsidP="000B1BDF">
            <w:pPr>
              <w:pStyle w:val="TableColHeadingLeft"/>
            </w:pPr>
            <w:r w:rsidRPr="00472F35">
              <w:t>Resource</w:t>
            </w:r>
          </w:p>
        </w:tc>
        <w:tc>
          <w:tcPr>
            <w:tcW w:w="5759" w:type="dxa"/>
            <w:tcBorders>
              <w:top w:val="single" w:sz="6" w:space="0" w:color="2F5496"/>
              <w:bottom w:val="single" w:sz="6" w:space="0" w:color="2F5496"/>
              <w:right w:val="single" w:sz="6" w:space="0" w:color="2F5496"/>
            </w:tcBorders>
            <w:hideMark/>
          </w:tcPr>
          <w:p w14:paraId="6DECD879" w14:textId="77777777" w:rsidR="000B1BDF" w:rsidRPr="00472F35" w:rsidRDefault="000B1BDF" w:rsidP="000B1BDF">
            <w:pPr>
              <w:pStyle w:val="TableColHeadingLeft"/>
            </w:pPr>
            <w:r w:rsidRPr="00472F35">
              <w:t>Description</w:t>
            </w:r>
          </w:p>
        </w:tc>
      </w:tr>
      <w:tr w:rsidR="000B1BDF" w:rsidRPr="00472F35" w14:paraId="52491486" w14:textId="77777777" w:rsidTr="000B1BD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676E821E" w14:textId="77777777" w:rsidR="000B1BDF" w:rsidRPr="00472F35" w:rsidRDefault="000B1BDF" w:rsidP="000B1BDF">
            <w:pPr>
              <w:pStyle w:val="TableText"/>
              <w:rPr>
                <w:rFonts w:eastAsia="HGGothicE" w:cs="Franklin Gothic Book"/>
                <w:bCs/>
                <w:szCs w:val="20"/>
              </w:rPr>
            </w:pPr>
            <w:hyperlink r:id="rId69" w:history="1">
              <w:r w:rsidRPr="00472F35">
                <w:rPr>
                  <w:rStyle w:val="Hyperlink"/>
                  <w:rFonts w:cs="Calibri"/>
                  <w:szCs w:val="20"/>
                </w:rPr>
                <w:t>Early Literacy Observation Tools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1582B43C" w14:textId="77777777" w:rsidR="000B1BDF" w:rsidRPr="00472F35" w:rsidRDefault="000B1BDF" w:rsidP="000B1BDF">
            <w:pPr>
              <w:pStyle w:val="TableText"/>
              <w:rPr>
                <w:rFonts w:eastAsia="HGGothicE" w:cs="Franklin Gothic Book"/>
                <w:bCs/>
                <w:szCs w:val="20"/>
              </w:rPr>
            </w:pPr>
            <w:r w:rsidRPr="00472F35">
              <w:rPr>
                <w:rFonts w:cs="Calibri"/>
                <w:color w:val="000000"/>
                <w:szCs w:val="20"/>
              </w:rPr>
              <w:t>This tool supports the observation and provision of high-quality feedback to teacher candidates on their practice in evidence-based early literacy.</w:t>
            </w:r>
          </w:p>
        </w:tc>
      </w:tr>
      <w:tr w:rsidR="000B1BDF" w:rsidRPr="00472F35" w14:paraId="39F033F1" w14:textId="77777777" w:rsidTr="000B1BD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58A53165" w14:textId="77777777" w:rsidR="000B1BDF" w:rsidRPr="00472F35" w:rsidRDefault="000B1BDF" w:rsidP="000B1BDF">
            <w:pPr>
              <w:pStyle w:val="TableText"/>
              <w:rPr>
                <w:rFonts w:eastAsia="HGGothicE" w:cs="Franklin Gothic Book"/>
                <w:bCs/>
                <w:szCs w:val="20"/>
              </w:rPr>
            </w:pPr>
            <w:hyperlink r:id="rId70" w:history="1">
              <w:r w:rsidRPr="00472F35">
                <w:rPr>
                  <w:rStyle w:val="Hyperlink"/>
                  <w:rFonts w:cs="Calibri"/>
                  <w:szCs w:val="20"/>
                </w:rPr>
                <w:t>Educator Evaluation Implementation Resources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5464CBED" w14:textId="77777777" w:rsidR="000B1BDF" w:rsidRPr="00472F35" w:rsidRDefault="000B1BDF" w:rsidP="000B1BDF">
            <w:pPr>
              <w:pStyle w:val="TableText"/>
              <w:rPr>
                <w:rFonts w:eastAsia="HGGothicE" w:cs="Franklin Gothic Book"/>
                <w:bCs/>
                <w:szCs w:val="20"/>
              </w:rPr>
            </w:pPr>
            <w:r w:rsidRPr="00472F35">
              <w:rPr>
                <w:rFonts w:cs="Calibri"/>
                <w:color w:val="000000"/>
                <w:szCs w:val="20"/>
              </w:rPr>
              <w:t>A suite of resources and practical tools for effective and equitable implementation of educator evaluation, including Focus Indicators, a subset of Indicators from the Classroom Teacher and School Level Administrator Rubrics that represent high-priority practices for the school year.</w:t>
            </w:r>
          </w:p>
        </w:tc>
      </w:tr>
      <w:tr w:rsidR="000B1BDF" w:rsidRPr="00472F35" w14:paraId="4E5B4B1A" w14:textId="77777777" w:rsidTr="000B1BD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4F056D28" w14:textId="77777777" w:rsidR="000B1BDF" w:rsidRPr="00472F35" w:rsidRDefault="000B1BDF" w:rsidP="000B1BDF">
            <w:pPr>
              <w:pStyle w:val="TableText"/>
              <w:rPr>
                <w14:ligatures w14:val="standardContextual"/>
              </w:rPr>
            </w:pPr>
            <w:r w:rsidRPr="00472F35">
              <w:t>Induction and Mentoring</w:t>
            </w:r>
          </w:p>
          <w:p w14:paraId="1E3971BF" w14:textId="77777777" w:rsidR="000B1BDF" w:rsidRPr="00472F35" w:rsidRDefault="000B1BDF" w:rsidP="000B1BDF">
            <w:pPr>
              <w:pStyle w:val="TableBullet1"/>
              <w:rPr>
                <w:rStyle w:val="Hyperlink"/>
                <w:szCs w:val="20"/>
              </w:rPr>
            </w:pPr>
            <w:hyperlink r:id="rId71" w:history="1">
              <w:r w:rsidRPr="00472F35">
                <w:rPr>
                  <w:rStyle w:val="Hyperlink"/>
                  <w:rFonts w:cs="Calibri"/>
                  <w:szCs w:val="20"/>
                </w:rPr>
                <w:t>Teacher Induction and Mentoring</w:t>
              </w:r>
            </w:hyperlink>
          </w:p>
          <w:p w14:paraId="1CCD7A8A" w14:textId="77777777" w:rsidR="000B1BDF" w:rsidRPr="00472F35" w:rsidRDefault="000B1BDF" w:rsidP="000B1BDF">
            <w:pPr>
              <w:pStyle w:val="TableBullet1"/>
              <w:rPr>
                <w:rStyle w:val="Hyperlink"/>
                <w:rFonts w:eastAsia="Franklin Gothic Book" w:cs="Tahoma"/>
                <w:color w:val="auto"/>
                <w:szCs w:val="20"/>
                <w:u w:val="none"/>
              </w:rPr>
            </w:pPr>
            <w:hyperlink r:id="rId72" w:history="1">
              <w:r w:rsidRPr="00472F35">
                <w:rPr>
                  <w:rStyle w:val="Hyperlink"/>
                  <w:rFonts w:cs="Calibri"/>
                  <w:szCs w:val="20"/>
                </w:rPr>
                <w:t>Principal Induction and Mentoring</w:t>
              </w:r>
            </w:hyperlink>
          </w:p>
          <w:p w14:paraId="11E2C4EC" w14:textId="77777777" w:rsidR="000B1BDF" w:rsidRPr="00472F35" w:rsidRDefault="000B1BDF" w:rsidP="000B1BDF">
            <w:pPr>
              <w:pStyle w:val="TableBullet1"/>
              <w:rPr>
                <w:rFonts w:eastAsia="Franklin Gothic Book" w:cs="Tahoma"/>
                <w:szCs w:val="20"/>
              </w:rPr>
            </w:pPr>
            <w:hyperlink r:id="rId73" w:history="1">
              <w:r w:rsidRPr="00472F35">
                <w:rPr>
                  <w:rStyle w:val="Hyperlink"/>
                  <w:rFonts w:cs="Calibri"/>
                  <w:szCs w:val="20"/>
                </w:rPr>
                <w:t>Induction and Mentoring Annual Report</w:t>
              </w:r>
            </w:hyperlink>
          </w:p>
        </w:tc>
        <w:tc>
          <w:tcPr>
            <w:tcW w:w="5759" w:type="dxa"/>
            <w:tcBorders>
              <w:top w:val="single" w:sz="6" w:space="0" w:color="2F5496"/>
              <w:left w:val="single" w:sz="6" w:space="0" w:color="2F5496"/>
              <w:bottom w:val="single" w:sz="6" w:space="0" w:color="2F5496"/>
              <w:right w:val="single" w:sz="6" w:space="0" w:color="2F5496"/>
            </w:tcBorders>
            <w:hideMark/>
          </w:tcPr>
          <w:p w14:paraId="43A93B78" w14:textId="77777777" w:rsidR="000B1BDF" w:rsidRPr="00472F35" w:rsidRDefault="000B1BDF" w:rsidP="000B1BDF">
            <w:pPr>
              <w:pStyle w:val="TableText"/>
              <w:rPr>
                <w:rFonts w:eastAsia="Franklin Gothic Book" w:cs="Tahoma"/>
              </w:rPr>
            </w:pPr>
            <w:r w:rsidRPr="00472F35">
              <w:t xml:space="preserve">Resources that highlight best practices and reinforce the recently updated guidelines and standards for induction and mentoring. </w:t>
            </w:r>
          </w:p>
        </w:tc>
      </w:tr>
      <w:tr w:rsidR="000B1BDF" w:rsidRPr="00472F35" w14:paraId="6C712BD0" w14:textId="77777777" w:rsidTr="000B1BDF">
        <w:trPr>
          <w:cantSplit/>
        </w:trPr>
        <w:tc>
          <w:tcPr>
            <w:tcW w:w="3592" w:type="dxa"/>
            <w:tcBorders>
              <w:top w:val="single" w:sz="6" w:space="0" w:color="2F5496"/>
              <w:left w:val="single" w:sz="6" w:space="0" w:color="2F5496"/>
              <w:bottom w:val="single" w:sz="6" w:space="0" w:color="2F5496"/>
              <w:right w:val="single" w:sz="6" w:space="0" w:color="2F5496"/>
            </w:tcBorders>
          </w:tcPr>
          <w:p w14:paraId="1F5CFC7D" w14:textId="77777777" w:rsidR="000B1BDF" w:rsidRPr="00472F35" w:rsidRDefault="000B1BDF" w:rsidP="000B1BDF">
            <w:pPr>
              <w:pStyle w:val="TableText"/>
              <w:rPr>
                <w:rFonts w:cs="Calibri"/>
                <w:color w:val="000000"/>
                <w:szCs w:val="20"/>
                <w:u w:val="single"/>
                <w14:ligatures w14:val="standardContextual"/>
              </w:rPr>
            </w:pPr>
            <w:hyperlink r:id="rId74" w:history="1">
              <w:r w:rsidRPr="00472F35">
                <w:rPr>
                  <w:rStyle w:val="Hyperlink"/>
                  <w:rFonts w:cs="Calibri"/>
                  <w:szCs w:val="20"/>
                </w:rPr>
                <w:t>Massachusetts Tests for Educator Licensure (MTEL)</w:t>
              </w:r>
            </w:hyperlink>
          </w:p>
        </w:tc>
        <w:tc>
          <w:tcPr>
            <w:tcW w:w="5759" w:type="dxa"/>
            <w:tcBorders>
              <w:top w:val="single" w:sz="6" w:space="0" w:color="2F5496"/>
              <w:left w:val="single" w:sz="6" w:space="0" w:color="2F5496"/>
              <w:bottom w:val="single" w:sz="6" w:space="0" w:color="2F5496"/>
              <w:right w:val="single" w:sz="6" w:space="0" w:color="2F5496"/>
            </w:tcBorders>
            <w:hideMark/>
          </w:tcPr>
          <w:p w14:paraId="4D4F0B4B" w14:textId="77777777" w:rsidR="000B1BDF" w:rsidRPr="00472F35" w:rsidRDefault="000B1BDF" w:rsidP="000B1BDF">
            <w:pPr>
              <w:pStyle w:val="TableText"/>
              <w:rPr>
                <w:rFonts w:eastAsia="Franklin Gothic Book" w:cs="Tahoma"/>
              </w:rPr>
            </w:pPr>
            <w:r w:rsidRPr="00472F35">
              <w:rPr>
                <w:color w:val="000000"/>
              </w:rPr>
              <w:t xml:space="preserve">Information on MTEL exams, MTEL alternatives, and licensure requirements for educators. </w:t>
            </w:r>
          </w:p>
        </w:tc>
      </w:tr>
      <w:tr w:rsidR="000B1BDF" w:rsidRPr="00472F35" w14:paraId="4638B4D5" w14:textId="77777777" w:rsidTr="000B1BD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4CAAB629" w14:textId="77777777" w:rsidR="000B1BDF" w:rsidRPr="00472F35" w:rsidRDefault="000B1BDF" w:rsidP="000B1BDF">
            <w:pPr>
              <w:pStyle w:val="TableText"/>
              <w:rPr>
                <w14:ligatures w14:val="standardContextual"/>
              </w:rPr>
            </w:pPr>
            <w:hyperlink r:id="rId75" w:history="1">
              <w:r w:rsidRPr="00472F35">
                <w:rPr>
                  <w:rStyle w:val="Hyperlink"/>
                  <w:rFonts w:cs="Calibri"/>
                  <w:szCs w:val="20"/>
                </w:rPr>
                <w:t>OPTIC</w:t>
              </w:r>
            </w:hyperlink>
          </w:p>
        </w:tc>
        <w:tc>
          <w:tcPr>
            <w:tcW w:w="5759" w:type="dxa"/>
            <w:tcBorders>
              <w:top w:val="single" w:sz="6" w:space="0" w:color="2F5496"/>
              <w:left w:val="single" w:sz="6" w:space="0" w:color="2F5496"/>
              <w:bottom w:val="single" w:sz="6" w:space="0" w:color="2F5496"/>
              <w:right w:val="single" w:sz="6" w:space="0" w:color="2F5496"/>
            </w:tcBorders>
            <w:hideMark/>
          </w:tcPr>
          <w:p w14:paraId="4C1B1670" w14:textId="77777777" w:rsidR="000B1BDF" w:rsidRPr="00472F35" w:rsidRDefault="000B1BDF" w:rsidP="000B1BDF">
            <w:pPr>
              <w:pStyle w:val="TableText"/>
              <w:rPr>
                <w:rFonts w:eastAsia="Franklin Gothic Book" w:cs="Tahoma"/>
              </w:rPr>
            </w:pPr>
            <w:r w:rsidRPr="00472F35">
              <w:rPr>
                <w:color w:val="000000"/>
              </w:rPr>
              <w:t>A professional development tool that supports Massachusetts educators to build a shared understanding of high-quality instruction and improve the feedback that teachers receive.</w:t>
            </w:r>
          </w:p>
        </w:tc>
      </w:tr>
      <w:tr w:rsidR="000B1BDF" w:rsidRPr="00472F35" w14:paraId="13BFBD31" w14:textId="77777777" w:rsidTr="000B1BD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087E29AC" w14:textId="77777777" w:rsidR="000B1BDF" w:rsidRPr="00472F35" w:rsidRDefault="000B1BDF" w:rsidP="000B1BDF">
            <w:pPr>
              <w:pStyle w:val="TableText"/>
              <w:rPr>
                <w14:ligatures w14:val="standardContextual"/>
              </w:rPr>
            </w:pPr>
            <w:hyperlink r:id="rId76" w:history="1">
              <w:r w:rsidRPr="00472F35">
                <w:rPr>
                  <w:rStyle w:val="Hyperlink"/>
                  <w:rFonts w:cs="Calibri"/>
                  <w:szCs w:val="20"/>
                </w:rPr>
                <w:t>Professional Learning Partner Guide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6B115A3D" w14:textId="77777777" w:rsidR="000B1BDF" w:rsidRPr="00472F35" w:rsidRDefault="000B1BDF" w:rsidP="000B1BDF">
            <w:pPr>
              <w:pStyle w:val="TableText"/>
              <w:rPr>
                <w:color w:val="000000"/>
              </w:rPr>
            </w:pPr>
            <w:r w:rsidRPr="00472F35">
              <w:rPr>
                <w:color w:val="000000" w:themeColor="text1"/>
              </w:rPr>
              <w:t>A free, online, searchable list of vetted professional development providers who have expertise in specific sets of high-quality instructional materials. Schools and districts can use this guide to easily find PD providers to support the launch or implementation of high-quality instructional materials.</w:t>
            </w:r>
          </w:p>
        </w:tc>
      </w:tr>
      <w:tr w:rsidR="000B1BDF" w:rsidRPr="00472F35" w14:paraId="3D29392E" w14:textId="77777777" w:rsidTr="000B1BDF">
        <w:trPr>
          <w:cantSplit/>
        </w:trPr>
        <w:tc>
          <w:tcPr>
            <w:tcW w:w="3592" w:type="dxa"/>
            <w:tcBorders>
              <w:top w:val="single" w:sz="6" w:space="0" w:color="2F5496"/>
              <w:left w:val="single" w:sz="6" w:space="0" w:color="2F5496"/>
              <w:bottom w:val="single" w:sz="6" w:space="0" w:color="2F5496"/>
              <w:right w:val="single" w:sz="6" w:space="0" w:color="2F5496"/>
            </w:tcBorders>
          </w:tcPr>
          <w:p w14:paraId="3DC9AAFC" w14:textId="77777777" w:rsidR="000B1BDF" w:rsidRPr="00472F35" w:rsidRDefault="000B1BDF" w:rsidP="000B1BDF">
            <w:pPr>
              <w:pStyle w:val="TableText"/>
              <w:rPr>
                <w:rFonts w:eastAsia="Times New Roman"/>
                <w:color w:val="000000"/>
              </w:rPr>
            </w:pPr>
            <w:hyperlink r:id="rId77" w:history="1">
              <w:r w:rsidRPr="00472F35">
                <w:rPr>
                  <w:rStyle w:val="Hyperlink"/>
                  <w:rFonts w:cs="Calibri"/>
                  <w:szCs w:val="20"/>
                </w:rPr>
                <w:t>Promising Recruitment, Selection and Retention Strategies for a Diverse Massachusetts Teacher Workforce</w:t>
              </w:r>
            </w:hyperlink>
          </w:p>
        </w:tc>
        <w:tc>
          <w:tcPr>
            <w:tcW w:w="5759" w:type="dxa"/>
            <w:tcBorders>
              <w:top w:val="single" w:sz="6" w:space="0" w:color="2F5496"/>
              <w:left w:val="single" w:sz="6" w:space="0" w:color="2F5496"/>
              <w:bottom w:val="single" w:sz="6" w:space="0" w:color="2F5496"/>
              <w:right w:val="single" w:sz="6" w:space="0" w:color="2F5496"/>
            </w:tcBorders>
          </w:tcPr>
          <w:p w14:paraId="7CB1697F" w14:textId="77777777" w:rsidR="000B1BDF" w:rsidRPr="00472F35" w:rsidRDefault="000B1BDF" w:rsidP="000B1BDF">
            <w:pPr>
              <w:pStyle w:val="TableText"/>
              <w:rPr>
                <w:rFonts w:eastAsia="Times New Roman"/>
                <w:color w:val="000000"/>
              </w:rPr>
            </w:pPr>
            <w:r w:rsidRPr="00472F35">
              <w:rPr>
                <w:color w:val="000000"/>
              </w:rPr>
              <w:t>This guidebook provides a framework to help district and school leaders design and implement a teacher diversification strategy to improve student achievement and create equitable learning experiences.</w:t>
            </w:r>
          </w:p>
        </w:tc>
      </w:tr>
      <w:tr w:rsidR="000B1BDF" w:rsidRPr="00472F35" w14:paraId="1D7C003B" w14:textId="77777777" w:rsidTr="000B1BD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1835FEB" w14:textId="77777777" w:rsidR="000B1BDF" w:rsidRPr="00472F35" w:rsidRDefault="000B1BDF" w:rsidP="000B1BDF">
            <w:pPr>
              <w:pStyle w:val="TableText"/>
              <w:rPr>
                <w:rFonts w:eastAsia="Franklin Gothic Book" w:cs="Tahoma"/>
              </w:rPr>
            </w:pPr>
            <w:hyperlink r:id="rId78" w:history="1">
              <w:r w:rsidRPr="00472F35">
                <w:rPr>
                  <w:rStyle w:val="Hyperlink"/>
                  <w:rFonts w:cs="Calibri"/>
                  <w:szCs w:val="20"/>
                </w:rPr>
                <w:t>“What to Look For” Observation Guides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58039BC7" w14:textId="77777777" w:rsidR="000B1BDF" w:rsidRPr="00472F35" w:rsidRDefault="000B1BDF" w:rsidP="000B1BDF">
            <w:pPr>
              <w:pStyle w:val="TableText"/>
              <w:rPr>
                <w:rFonts w:eastAsia="Franklin Gothic Book" w:cs="Tahoma"/>
              </w:rPr>
            </w:pPr>
            <w:r w:rsidRPr="00472F35">
              <w:rPr>
                <w:color w:val="000000"/>
              </w:rPr>
              <w:t>Observation tools to help district staff observe instruction.</w:t>
            </w:r>
          </w:p>
        </w:tc>
      </w:tr>
      <w:tr w:rsidR="000B1BDF" w:rsidRPr="00472F35" w14:paraId="3B17010E" w14:textId="77777777" w:rsidTr="000B1BD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3921903B" w14:textId="77777777" w:rsidR="000B1BDF" w:rsidRPr="00472F35" w:rsidRDefault="000B1BDF" w:rsidP="000B1BDF">
            <w:pPr>
              <w:pStyle w:val="TableText"/>
              <w:rPr>
                <w:rFonts w:eastAsia="Franklin Gothic Book" w:cs="Tahoma"/>
              </w:rPr>
            </w:pPr>
            <w:hyperlink r:id="rId79" w:history="1">
              <w:r w:rsidRPr="00472F35">
                <w:rPr>
                  <w:rStyle w:val="Hyperlink"/>
                  <w:rFonts w:cs="Calibri"/>
                  <w:szCs w:val="20"/>
                </w:rPr>
                <w:t>Talent Guide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57A6F522" w14:textId="77777777" w:rsidR="000B1BDF" w:rsidRPr="00472F35" w:rsidRDefault="000B1BDF" w:rsidP="000B1BDF">
            <w:pPr>
              <w:pStyle w:val="TableText"/>
              <w:rPr>
                <w:rFonts w:eastAsia="Franklin Gothic Book" w:cs="Tahoma"/>
              </w:rPr>
            </w:pPr>
            <w:r w:rsidRPr="00472F35">
              <w:rPr>
                <w:color w:val="000000"/>
              </w:rPr>
              <w:t>An online hub of resources, considerations, and updates for recruiting, hiring, evaluating, and supporting educators and school staff, with a focus on equity.</w:t>
            </w:r>
          </w:p>
        </w:tc>
      </w:tr>
      <w:tr w:rsidR="000B1BDF" w:rsidRPr="00472F35" w14:paraId="0B273939" w14:textId="77777777" w:rsidTr="000B1BD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C90388B" w14:textId="77777777" w:rsidR="000B1BDF" w:rsidRPr="00472F35" w:rsidRDefault="000B1BDF" w:rsidP="000B1BDF">
            <w:pPr>
              <w:pStyle w:val="TableText"/>
              <w:rPr>
                <w:rFonts w:eastAsia="Franklin Gothic Book" w:cs="Tahoma"/>
              </w:rPr>
            </w:pPr>
            <w:hyperlink r:id="rId80" w:history="1">
              <w:r w:rsidRPr="00472F35">
                <w:rPr>
                  <w:rStyle w:val="Hyperlink"/>
                  <w:rFonts w:cs="Calibri"/>
                  <w:szCs w:val="20"/>
                </w:rPr>
                <w:t>WIDA Professional Development</w:t>
              </w:r>
            </w:hyperlink>
          </w:p>
        </w:tc>
        <w:tc>
          <w:tcPr>
            <w:tcW w:w="5759" w:type="dxa"/>
            <w:tcBorders>
              <w:top w:val="single" w:sz="6" w:space="0" w:color="2F5496"/>
              <w:left w:val="single" w:sz="6" w:space="0" w:color="2F5496"/>
              <w:bottom w:val="single" w:sz="6" w:space="0" w:color="2F5496"/>
              <w:right w:val="single" w:sz="6" w:space="0" w:color="2F5496"/>
            </w:tcBorders>
            <w:hideMark/>
          </w:tcPr>
          <w:p w14:paraId="43D6311F" w14:textId="77777777" w:rsidR="000B1BDF" w:rsidRPr="00472F35" w:rsidRDefault="000B1BDF" w:rsidP="000B1BDF">
            <w:pPr>
              <w:pStyle w:val="TableText"/>
              <w:rPr>
                <w:rFonts w:eastAsia="Franklin Gothic Book" w:cs="Tahoma"/>
              </w:rPr>
            </w:pPr>
            <w:r w:rsidRPr="00472F35">
              <w:rPr>
                <w:color w:val="000000"/>
              </w:rPr>
              <w:t>WIDA professional development provides great information and strategies to support multilingual learners in Massachusetts public schools, and WIDA PDPs satisfy educator licensure renewal requirements. These DESE Sponsored courses are available at no cost to participants and are perfect for teams of teachers seeking impactful collaboration to support students’ access to rigorous course content.</w:t>
            </w:r>
          </w:p>
        </w:tc>
      </w:tr>
    </w:tbl>
    <w:p w14:paraId="7ACAF3B4" w14:textId="77777777" w:rsidR="000B1BDF" w:rsidRDefault="000B1BDF" w:rsidP="000B1BDF">
      <w:pPr>
        <w:pStyle w:val="TableTitle0"/>
      </w:pPr>
    </w:p>
    <w:p w14:paraId="56F442D7" w14:textId="77777777" w:rsidR="000B1BDF" w:rsidRDefault="000B1BDF" w:rsidP="000B1BDF">
      <w:pPr>
        <w:spacing w:after="160" w:line="278" w:lineRule="auto"/>
        <w:rPr>
          <w:rFonts w:ascii="Franklin Gothic Demi" w:hAnsi="Franklin Gothic Demi"/>
        </w:rPr>
      </w:pPr>
      <w:r>
        <w:br w:type="page"/>
      </w:r>
    </w:p>
    <w:p w14:paraId="73B51515" w14:textId="77777777" w:rsidR="000B1BDF" w:rsidRPr="00472F35" w:rsidRDefault="000B1BDF" w:rsidP="000B1BDF">
      <w:pPr>
        <w:pStyle w:val="TableTitle0"/>
      </w:pPr>
      <w:r w:rsidRPr="00472F35">
        <w:lastRenderedPageBreak/>
        <w:t>Table C5. Resources to Support Student Support</w:t>
      </w:r>
    </w:p>
    <w:tbl>
      <w:tblPr>
        <w:tblStyle w:val="MSVTable1"/>
        <w:tblW w:w="5000" w:type="pct"/>
        <w:tblLook w:val="0620" w:firstRow="1" w:lastRow="0" w:firstColumn="0" w:lastColumn="0" w:noHBand="1" w:noVBand="1"/>
      </w:tblPr>
      <w:tblGrid>
        <w:gridCol w:w="3592"/>
        <w:gridCol w:w="5752"/>
      </w:tblGrid>
      <w:tr w:rsidR="000B1BDF" w:rsidRPr="00472F35" w14:paraId="4CDFC010" w14:textId="77777777" w:rsidTr="000B1BDF">
        <w:trPr>
          <w:cnfStyle w:val="100000000000" w:firstRow="1" w:lastRow="0" w:firstColumn="0" w:lastColumn="0" w:oddVBand="0" w:evenVBand="0" w:oddHBand="0" w:evenHBand="0" w:firstRowFirstColumn="0" w:firstRowLastColumn="0" w:lastRowFirstColumn="0" w:lastRowLastColumn="0"/>
          <w:cantSplit/>
          <w:tblHeader/>
        </w:trPr>
        <w:tc>
          <w:tcPr>
            <w:tcW w:w="3592" w:type="dxa"/>
            <w:tcBorders>
              <w:top w:val="single" w:sz="6" w:space="0" w:color="2F5496"/>
              <w:left w:val="single" w:sz="6" w:space="0" w:color="2F5496"/>
              <w:bottom w:val="single" w:sz="6" w:space="0" w:color="2F5496"/>
            </w:tcBorders>
            <w:hideMark/>
          </w:tcPr>
          <w:p w14:paraId="04F6C4D0" w14:textId="77777777" w:rsidR="000B1BDF" w:rsidRPr="00472F35" w:rsidRDefault="000B1BDF" w:rsidP="000B1BDF">
            <w:pPr>
              <w:pStyle w:val="TableColHeadingLeft"/>
            </w:pPr>
            <w:r w:rsidRPr="00472F35">
              <w:t xml:space="preserve">Resource </w:t>
            </w:r>
          </w:p>
        </w:tc>
        <w:tc>
          <w:tcPr>
            <w:tcW w:w="5752" w:type="dxa"/>
            <w:tcBorders>
              <w:top w:val="single" w:sz="6" w:space="0" w:color="2F5496"/>
              <w:bottom w:val="single" w:sz="6" w:space="0" w:color="2F5496"/>
              <w:right w:val="single" w:sz="6" w:space="0" w:color="2F5496"/>
            </w:tcBorders>
            <w:hideMark/>
          </w:tcPr>
          <w:p w14:paraId="09E90E8C" w14:textId="77777777" w:rsidR="000B1BDF" w:rsidRPr="00472F35" w:rsidRDefault="000B1BDF" w:rsidP="000B1BDF">
            <w:pPr>
              <w:pStyle w:val="TableColHeadingLeft"/>
            </w:pPr>
            <w:r w:rsidRPr="00472F35">
              <w:t>Description</w:t>
            </w:r>
          </w:p>
        </w:tc>
      </w:tr>
      <w:tr w:rsidR="000B1BDF" w:rsidRPr="00472F35" w14:paraId="066311F6" w14:textId="77777777" w:rsidTr="000B1BDF">
        <w:trPr>
          <w:cantSplit/>
        </w:trPr>
        <w:tc>
          <w:tcPr>
            <w:tcW w:w="3592" w:type="dxa"/>
            <w:tcBorders>
              <w:top w:val="single" w:sz="6" w:space="0" w:color="2F5496"/>
              <w:left w:val="single" w:sz="6" w:space="0" w:color="2F5496"/>
              <w:bottom w:val="single" w:sz="6" w:space="0" w:color="2F5496"/>
              <w:right w:val="single" w:sz="6" w:space="0" w:color="2F5496"/>
            </w:tcBorders>
          </w:tcPr>
          <w:p w14:paraId="3ED81049" w14:textId="77777777" w:rsidR="000B1BDF" w:rsidRDefault="000B1BDF" w:rsidP="000B1BDF">
            <w:pPr>
              <w:pStyle w:val="TableText"/>
            </w:pPr>
            <w:r>
              <w:t>Dropout Prevention and Reengagement</w:t>
            </w:r>
          </w:p>
          <w:p w14:paraId="01F59EA2" w14:textId="77777777" w:rsidR="000B1BDF" w:rsidRPr="009B6F79" w:rsidRDefault="000B1BDF" w:rsidP="000B1BDF">
            <w:pPr>
              <w:pStyle w:val="TableBullet1"/>
              <w:rPr>
                <w:rStyle w:val="Hyperlink"/>
                <w:rFonts w:eastAsia="Times New Roman" w:cs="Calibri"/>
                <w:color w:val="000000"/>
                <w:szCs w:val="20"/>
              </w:rPr>
            </w:pPr>
            <w:hyperlink r:id="rId81" w:history="1">
              <w:r w:rsidRPr="00472F35">
                <w:rPr>
                  <w:rStyle w:val="Hyperlink"/>
                  <w:rFonts w:cs="Calibri"/>
                  <w:szCs w:val="20"/>
                </w:rPr>
                <w:t>Dropout Prevention and Reengagement (DPR) Resources</w:t>
              </w:r>
            </w:hyperlink>
          </w:p>
          <w:p w14:paraId="46D365B9" w14:textId="77777777" w:rsidR="000B1BDF" w:rsidRPr="00472F35" w:rsidRDefault="000B1BDF" w:rsidP="000B1BDF">
            <w:pPr>
              <w:pStyle w:val="TableBullet1"/>
              <w:rPr>
                <w:rStyle w:val="Hyperlink"/>
                <w:rFonts w:eastAsia="Times New Roman" w:cs="Calibri"/>
                <w:color w:val="000000"/>
                <w:szCs w:val="20"/>
                <w:u w:val="none"/>
              </w:rPr>
            </w:pPr>
            <w:hyperlink r:id="rId82" w:history="1">
              <w:r w:rsidRPr="00472F35">
                <w:rPr>
                  <w:rStyle w:val="Hyperlink"/>
                  <w:rFonts w:cs="Calibri"/>
                  <w:szCs w:val="20"/>
                </w:rPr>
                <w:t>Early Warning Indicator System (EWIS)</w:t>
              </w:r>
            </w:hyperlink>
          </w:p>
        </w:tc>
        <w:tc>
          <w:tcPr>
            <w:tcW w:w="5752" w:type="dxa"/>
            <w:tcBorders>
              <w:top w:val="single" w:sz="6" w:space="0" w:color="2F5496"/>
              <w:left w:val="single" w:sz="6" w:space="0" w:color="2F5496"/>
              <w:bottom w:val="single" w:sz="6" w:space="0" w:color="2F5496"/>
              <w:right w:val="single" w:sz="6" w:space="0" w:color="2F5496"/>
            </w:tcBorders>
          </w:tcPr>
          <w:p w14:paraId="36F23EE1" w14:textId="77777777" w:rsidR="000B1BDF" w:rsidRPr="00472F35" w:rsidRDefault="000B1BDF" w:rsidP="000B1BDF">
            <w:pPr>
              <w:pStyle w:val="TableText"/>
              <w:rPr>
                <w:rFonts w:eastAsia="Times New Roman" w:cs="Calibri"/>
                <w:color w:val="000000"/>
                <w:szCs w:val="20"/>
              </w:rPr>
            </w:pPr>
            <w:r w:rsidRPr="00472F35">
              <w:rPr>
                <w:rFonts w:cs="Calibri"/>
                <w:color w:val="000000"/>
                <w:szCs w:val="20"/>
              </w:rPr>
              <w:t>DPR efforts are designed to support students at-risk of not graduating or reengage students who have left school with opportunities to gain the academic, personal/social, and work readiness skills necessary to graduate and lead productive lives.</w:t>
            </w:r>
            <w:r>
              <w:rPr>
                <w:rFonts w:cs="Calibri"/>
                <w:color w:val="000000"/>
              </w:rPr>
              <w:t xml:space="preserve"> EWIS includes t</w:t>
            </w:r>
            <w:r w:rsidRPr="00472F35">
              <w:rPr>
                <w:rFonts w:cs="Calibri"/>
                <w:color w:val="000000"/>
                <w:szCs w:val="20"/>
              </w:rPr>
              <w:t xml:space="preserve">ools for districts to identify students who are at risk </w:t>
            </w:r>
            <w:r>
              <w:rPr>
                <w:rFonts w:cs="Calibri"/>
                <w:color w:val="000000"/>
              </w:rPr>
              <w:t>and help get them back on track.</w:t>
            </w:r>
          </w:p>
        </w:tc>
      </w:tr>
      <w:tr w:rsidR="000B1BDF" w:rsidRPr="00472F35" w14:paraId="6F784A1D" w14:textId="77777777" w:rsidTr="000B1BDF">
        <w:trPr>
          <w:cantSplit/>
        </w:trPr>
        <w:tc>
          <w:tcPr>
            <w:tcW w:w="3592" w:type="dxa"/>
            <w:tcBorders>
              <w:top w:val="single" w:sz="6" w:space="0" w:color="2F5496"/>
              <w:left w:val="single" w:sz="6" w:space="0" w:color="2F5496"/>
              <w:bottom w:val="single" w:sz="6" w:space="0" w:color="2F5496"/>
              <w:right w:val="single" w:sz="6" w:space="0" w:color="2F5496"/>
            </w:tcBorders>
          </w:tcPr>
          <w:p w14:paraId="21B4C424" w14:textId="77777777" w:rsidR="000B1BDF" w:rsidRDefault="000B1BDF" w:rsidP="000B1BDF">
            <w:pPr>
              <w:pStyle w:val="TableText"/>
            </w:pPr>
            <w:r>
              <w:t>Educational Stability Resources</w:t>
            </w:r>
          </w:p>
          <w:p w14:paraId="2ED54E47" w14:textId="77777777" w:rsidR="000B1BDF" w:rsidRPr="001F7F1E" w:rsidRDefault="000B1BDF" w:rsidP="000B1BDF">
            <w:pPr>
              <w:pStyle w:val="TableBullet1"/>
              <w:rPr>
                <w:rStyle w:val="Hyperlink"/>
                <w:rFonts w:eastAsia="Times New Roman" w:cs="Calibri"/>
                <w:color w:val="000000"/>
                <w:szCs w:val="20"/>
                <w:u w:val="none"/>
              </w:rPr>
            </w:pPr>
            <w:hyperlink r:id="rId83" w:history="1">
              <w:r w:rsidRPr="00472F35">
                <w:rPr>
                  <w:rStyle w:val="Hyperlink"/>
                  <w:rFonts w:cs="Calibri"/>
                  <w:szCs w:val="20"/>
                </w:rPr>
                <w:t>Educational Stability for Highly Mobile Students</w:t>
              </w:r>
            </w:hyperlink>
          </w:p>
          <w:p w14:paraId="4828D248" w14:textId="77777777" w:rsidR="000B1BDF" w:rsidRPr="00196F40" w:rsidRDefault="000B1BDF" w:rsidP="000B1BDF">
            <w:pPr>
              <w:pStyle w:val="TableBullet1"/>
              <w:rPr>
                <w:rFonts w:eastAsia="Times New Roman" w:cs="Calibri"/>
                <w:color w:val="000000"/>
                <w:szCs w:val="20"/>
              </w:rPr>
            </w:pPr>
            <w:hyperlink r:id="rId84" w:history="1">
              <w:r w:rsidRPr="00472F35">
                <w:rPr>
                  <w:rStyle w:val="Hyperlink"/>
                  <w:rFonts w:cs="Calibri"/>
                  <w:szCs w:val="20"/>
                </w:rPr>
                <w:t>SLIFE Guidance and Toolkit</w:t>
              </w:r>
            </w:hyperlink>
          </w:p>
          <w:p w14:paraId="611801D9" w14:textId="77777777" w:rsidR="000B1BDF" w:rsidRPr="00472F35" w:rsidRDefault="000B1BDF" w:rsidP="000B1BDF">
            <w:pPr>
              <w:pStyle w:val="TableBullet1"/>
              <w:rPr>
                <w:rFonts w:eastAsia="Times New Roman" w:cs="Calibri"/>
                <w:color w:val="000000"/>
                <w:szCs w:val="20"/>
              </w:rPr>
            </w:pPr>
            <w:hyperlink r:id="rId85" w:history="1">
              <w:r w:rsidRPr="00472F35">
                <w:rPr>
                  <w:rStyle w:val="Hyperlink"/>
                  <w:rFonts w:cs="Calibri"/>
                  <w:szCs w:val="20"/>
                </w:rPr>
                <w:t>Resources for Supporting Immigrant and Refugee Students</w:t>
              </w:r>
            </w:hyperlink>
          </w:p>
        </w:tc>
        <w:tc>
          <w:tcPr>
            <w:tcW w:w="5752" w:type="dxa"/>
            <w:tcBorders>
              <w:top w:val="single" w:sz="6" w:space="0" w:color="2F5496"/>
              <w:left w:val="single" w:sz="6" w:space="0" w:color="2F5496"/>
              <w:bottom w:val="single" w:sz="6" w:space="0" w:color="2F5496"/>
              <w:right w:val="single" w:sz="6" w:space="0" w:color="2F5496"/>
            </w:tcBorders>
          </w:tcPr>
          <w:p w14:paraId="710BDF09" w14:textId="77777777" w:rsidR="000B1BDF" w:rsidRPr="00472F35" w:rsidRDefault="000B1BDF" w:rsidP="000B1BDF">
            <w:pPr>
              <w:pStyle w:val="TableText"/>
              <w:rPr>
                <w:rFonts w:eastAsia="Times New Roman"/>
              </w:rPr>
            </w:pPr>
            <w:r>
              <w:t xml:space="preserve">The linked resources provide guidance, technical assistance, professional learning opportunities, grants, and other supports to ensure that students experiencing homelessness, those in foster care, migrant and refugee students, those with limited or interrupted formal education, and students in military families have access to a consistent and high-quality public education. </w:t>
            </w:r>
          </w:p>
        </w:tc>
      </w:tr>
      <w:tr w:rsidR="000B1BDF" w:rsidRPr="00472F35" w14:paraId="24078404" w14:textId="77777777" w:rsidTr="000B1BD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4C01F76" w14:textId="77777777" w:rsidR="000B1BDF" w:rsidRPr="00847571" w:rsidRDefault="000B1BDF" w:rsidP="000B1BDF">
            <w:pPr>
              <w:pStyle w:val="TableText"/>
              <w:rPr>
                <w:rFonts w:eastAsia="Times New Roman" w:cs="Times New Roman"/>
                <w14:ligatures w14:val="standardContextual"/>
              </w:rPr>
            </w:pPr>
            <w:r w:rsidRPr="00472F35">
              <w:t>Emergency Management</w:t>
            </w:r>
            <w:r>
              <w:t xml:space="preserve"> Guidance (</w:t>
            </w:r>
            <w:hyperlink r:id="rId86" w:history="1">
              <w:r w:rsidRPr="00847571">
                <w:rPr>
                  <w:rStyle w:val="Hyperlink"/>
                </w:rPr>
                <w:t>Federal</w:t>
              </w:r>
            </w:hyperlink>
            <w:r>
              <w:t xml:space="preserve"> and </w:t>
            </w:r>
            <w:hyperlink r:id="rId87" w:history="1">
              <w:r w:rsidRPr="00847571">
                <w:rPr>
                  <w:rStyle w:val="Hyperlink"/>
                </w:rPr>
                <w:t>State</w:t>
              </w:r>
            </w:hyperlink>
            <w:r>
              <w:t>)</w:t>
            </w:r>
          </w:p>
        </w:tc>
        <w:tc>
          <w:tcPr>
            <w:tcW w:w="5752" w:type="dxa"/>
            <w:tcBorders>
              <w:top w:val="single" w:sz="6" w:space="0" w:color="2F5496"/>
              <w:left w:val="single" w:sz="6" w:space="0" w:color="2F5496"/>
              <w:bottom w:val="single" w:sz="6" w:space="0" w:color="2F5496"/>
              <w:right w:val="single" w:sz="6" w:space="0" w:color="2F5496"/>
            </w:tcBorders>
            <w:hideMark/>
          </w:tcPr>
          <w:p w14:paraId="0983E57C" w14:textId="77777777" w:rsidR="000B1BDF" w:rsidRPr="00472F35" w:rsidRDefault="000B1BDF" w:rsidP="000B1BDF">
            <w:pPr>
              <w:pStyle w:val="TableText"/>
              <w:rPr>
                <w:rFonts w:eastAsia="HGGothicE" w:cs="Franklin Gothic Book"/>
                <w:bCs/>
              </w:rPr>
            </w:pPr>
            <w:r w:rsidRPr="00472F35">
              <w:rPr>
                <w:color w:val="000000" w:themeColor="text1"/>
              </w:rPr>
              <w:t xml:space="preserve">Guidance and Technical Assistance for districts/schools related to emergency management planning and implementation. </w:t>
            </w:r>
          </w:p>
        </w:tc>
      </w:tr>
      <w:tr w:rsidR="000B1BDF" w:rsidRPr="00472F35" w14:paraId="6C8674F5" w14:textId="77777777" w:rsidTr="000B1BD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4F60493F" w14:textId="77777777" w:rsidR="000B1BDF" w:rsidRPr="00472F35" w:rsidRDefault="000B1BDF" w:rsidP="000B1BDF">
            <w:pPr>
              <w:pStyle w:val="TableText"/>
              <w:rPr>
                <w:shd w:val="clear" w:color="auto" w:fill="FFFFFF"/>
              </w:rPr>
            </w:pPr>
            <w:r w:rsidRPr="00472F35">
              <w:rPr>
                <w:shd w:val="clear" w:color="auto" w:fill="FFFFFF"/>
              </w:rPr>
              <w:t>Family Partnerships</w:t>
            </w:r>
          </w:p>
          <w:p w14:paraId="3BE6CDC7" w14:textId="77777777" w:rsidR="000B1BDF" w:rsidRPr="00472F35" w:rsidRDefault="000B1BDF" w:rsidP="000B1BDF">
            <w:pPr>
              <w:pStyle w:val="TableBullet1"/>
              <w:rPr>
                <w:rFonts w:eastAsia="Franklin Gothic Book" w:cs="Tahoma"/>
                <w:szCs w:val="20"/>
                <w:shd w:val="clear" w:color="auto" w:fill="FFFFFF"/>
              </w:rPr>
            </w:pPr>
            <w:hyperlink r:id="rId88" w:history="1">
              <w:r w:rsidRPr="00472F35">
                <w:rPr>
                  <w:rStyle w:val="Hyperlink"/>
                  <w:rFonts w:cs="Calibri"/>
                  <w:szCs w:val="20"/>
                </w:rPr>
                <w:t>DESE Family Portal</w:t>
              </w:r>
            </w:hyperlink>
          </w:p>
          <w:p w14:paraId="2071279B" w14:textId="77777777" w:rsidR="000B1BDF" w:rsidRPr="00AE7DD8" w:rsidRDefault="000B1BDF" w:rsidP="000B1BDF">
            <w:pPr>
              <w:pStyle w:val="TableBullet1"/>
              <w:rPr>
                <w:color w:val="0563C1" w:themeColor="hyperlink"/>
                <w:szCs w:val="20"/>
                <w:u w:val="single"/>
              </w:rPr>
            </w:pPr>
            <w:hyperlink r:id="rId89" w:history="1">
              <w:r w:rsidRPr="00472F35">
                <w:rPr>
                  <w:rStyle w:val="Hyperlink"/>
                  <w:rFonts w:cs="Calibri"/>
                  <w:szCs w:val="20"/>
                </w:rPr>
                <w:t>Strengthening Partnerships: A Framework for Prenatal through Young Adulthood Family Engagement in Massachusetts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300936C2" w14:textId="77777777" w:rsidR="000B1BDF" w:rsidRPr="00472F35" w:rsidRDefault="000B1BDF" w:rsidP="000B1BDF">
            <w:pPr>
              <w:pStyle w:val="TableText"/>
              <w:rPr>
                <w:color w:val="000000" w:themeColor="text1"/>
              </w:rPr>
            </w:pPr>
            <w:r w:rsidRPr="00472F35">
              <w:rPr>
                <w:rFonts w:eastAsia="Franklin Gothic Book" w:cs="Tahoma"/>
                <w:shd w:val="clear" w:color="auto" w:fill="FFFFFF"/>
              </w:rPr>
              <w:t>Resources for authentically engaging families in their child’s education and centering families voices in school and district decision-making.</w:t>
            </w:r>
          </w:p>
        </w:tc>
      </w:tr>
      <w:tr w:rsidR="000B1BDF" w:rsidRPr="00472F35" w14:paraId="0F45BBC1" w14:textId="77777777" w:rsidTr="000B1BD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D41DBF4" w14:textId="77777777" w:rsidR="000B1BDF" w:rsidRPr="00472F35" w:rsidRDefault="000B1BDF" w:rsidP="000B1BDF">
            <w:pPr>
              <w:pStyle w:val="TableText"/>
              <w:rPr>
                <w14:ligatures w14:val="standardContextual"/>
              </w:rPr>
            </w:pPr>
            <w:r w:rsidRPr="00472F35">
              <w:t xml:space="preserve">MTSS Resources: </w:t>
            </w:r>
          </w:p>
          <w:p w14:paraId="62A010B5" w14:textId="77777777" w:rsidR="000B1BDF" w:rsidRPr="00472F35" w:rsidRDefault="000B1BDF" w:rsidP="000B1BDF">
            <w:pPr>
              <w:pStyle w:val="TableBullet1"/>
              <w:rPr>
                <w:rStyle w:val="Hyperlink"/>
                <w:rFonts w:eastAsia="Franklin Gothic Book" w:cs="Tahoma"/>
                <w:szCs w:val="20"/>
                <w:shd w:val="clear" w:color="auto" w:fill="FFFFFF"/>
              </w:rPr>
            </w:pPr>
            <w:hyperlink r:id="rId90" w:history="1">
              <w:r w:rsidRPr="00472F35">
                <w:rPr>
                  <w:rStyle w:val="Hyperlink"/>
                  <w:rFonts w:cs="Calibri"/>
                  <w:szCs w:val="20"/>
                </w:rPr>
                <w:t>MTSS Blueprint, Self-Assessment, and Resources</w:t>
              </w:r>
            </w:hyperlink>
          </w:p>
          <w:p w14:paraId="31ADCD57" w14:textId="77777777" w:rsidR="000B1BDF" w:rsidRPr="00472F35" w:rsidRDefault="000B1BDF" w:rsidP="000B1BDF">
            <w:pPr>
              <w:pStyle w:val="TableBullet1"/>
              <w:rPr>
                <w:szCs w:val="20"/>
              </w:rPr>
            </w:pPr>
            <w:hyperlink r:id="rId91" w:history="1">
              <w:r w:rsidRPr="00472F35">
                <w:rPr>
                  <w:rStyle w:val="Hyperlink"/>
                  <w:rFonts w:cs="Calibri"/>
                  <w:szCs w:val="20"/>
                </w:rPr>
                <w:t>Massachusetts Tools for Schools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73AB576C" w14:textId="77777777" w:rsidR="000B1BDF" w:rsidRPr="00472F35" w:rsidRDefault="000B1BDF" w:rsidP="000B1BDF">
            <w:pPr>
              <w:pStyle w:val="TableText"/>
              <w:rPr>
                <w:rFonts w:eastAsia="Franklin Gothic Book" w:cs="Tahoma"/>
                <w:shd w:val="clear" w:color="auto" w:fill="FFFFFF"/>
              </w:rPr>
            </w:pPr>
            <w:r w:rsidRPr="00472F35">
              <w:t>MTSS is a framework for how school districts can build the necessary systems to ensure that every student receives a high-quality educational experience.</w:t>
            </w:r>
          </w:p>
        </w:tc>
      </w:tr>
      <w:tr w:rsidR="000B1BDF" w:rsidRPr="00472F35" w14:paraId="0978CAE9" w14:textId="77777777" w:rsidTr="000B1BD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014095C9" w14:textId="77777777" w:rsidR="000B1BDF" w:rsidRDefault="000B1BDF" w:rsidP="000B1BDF">
            <w:pPr>
              <w:pStyle w:val="TableText"/>
            </w:pPr>
            <w:r>
              <w:t xml:space="preserve">Safe and Supportive Schools: </w:t>
            </w:r>
          </w:p>
          <w:p w14:paraId="25BEFC1D" w14:textId="77777777" w:rsidR="000B1BDF" w:rsidRPr="00442A84" w:rsidRDefault="000B1BDF" w:rsidP="000B1BDF">
            <w:pPr>
              <w:pStyle w:val="TableBullet1"/>
              <w:rPr>
                <w:rStyle w:val="Hyperlink"/>
                <w:rFonts w:eastAsia="Franklin Gothic Book" w:cs="Tahoma"/>
                <w:color w:val="auto"/>
                <w:u w:val="none"/>
              </w:rPr>
            </w:pPr>
            <w:hyperlink r:id="rId92" w:history="1">
              <w:r w:rsidRPr="009C3E5C">
                <w:rPr>
                  <w:rStyle w:val="Hyperlink"/>
                  <w:rFonts w:cs="Calibri"/>
                  <w:color w:val="4472C4"/>
                  <w:szCs w:val="20"/>
                </w:rPr>
                <w:t>Safe and Supportive Schools Framework and Self-Reflection Tool</w:t>
              </w:r>
            </w:hyperlink>
          </w:p>
          <w:p w14:paraId="2ADAB1F0" w14:textId="77777777" w:rsidR="000B1BDF" w:rsidRPr="001F7F1E" w:rsidRDefault="000B1BDF" w:rsidP="000B1BDF">
            <w:pPr>
              <w:pStyle w:val="TableBullet1"/>
              <w:rPr>
                <w:rFonts w:eastAsia="Franklin Gothic Book" w:cs="Tahoma"/>
              </w:rPr>
            </w:pPr>
            <w:hyperlink r:id="rId93" w:history="1">
              <w:r w:rsidRPr="00472F35">
                <w:rPr>
                  <w:rStyle w:val="Hyperlink"/>
                  <w:rFonts w:cs="Calibri"/>
                  <w:szCs w:val="20"/>
                </w:rPr>
                <w:t>Safe Schools Program for LGBTQ Students</w:t>
              </w:r>
            </w:hyperlink>
          </w:p>
          <w:p w14:paraId="22E91B85" w14:textId="77777777" w:rsidR="000B1BDF" w:rsidRPr="00D27AC8" w:rsidRDefault="000B1BDF" w:rsidP="000B1BDF">
            <w:pPr>
              <w:pStyle w:val="TableBullet1"/>
              <w:rPr>
                <w:rFonts w:eastAsia="Franklin Gothic Book" w:cs="Tahoma"/>
              </w:rPr>
            </w:pPr>
            <w:hyperlink r:id="rId94" w:history="1">
              <w:r w:rsidRPr="00472F35">
                <w:rPr>
                  <w:rStyle w:val="Hyperlink"/>
                  <w:rFonts w:cs="Calibri"/>
                  <w:color w:val="4472C4"/>
                  <w:szCs w:val="20"/>
                </w:rPr>
                <w:t>Bullying Prevention and Intervention</w:t>
              </w:r>
            </w:hyperlink>
          </w:p>
          <w:p w14:paraId="63D1788C" w14:textId="77777777" w:rsidR="000B1BDF" w:rsidRPr="00825F84" w:rsidRDefault="000B1BDF" w:rsidP="000B1BDF">
            <w:pPr>
              <w:pStyle w:val="TableBullet1"/>
              <w:rPr>
                <w:rFonts w:eastAsia="Franklin Gothic Book" w:cs="Tahoma"/>
              </w:rPr>
            </w:pPr>
            <w:hyperlink r:id="rId95" w:history="1">
              <w:r w:rsidRPr="00472F35">
                <w:rPr>
                  <w:rStyle w:val="Hyperlink"/>
                  <w:rFonts w:cs="Calibri"/>
                  <w:szCs w:val="20"/>
                </w:rPr>
                <w:t>Rethinking Discipline Initiative</w:t>
              </w:r>
            </w:hyperlink>
          </w:p>
        </w:tc>
        <w:tc>
          <w:tcPr>
            <w:tcW w:w="5752" w:type="dxa"/>
            <w:tcBorders>
              <w:top w:val="single" w:sz="6" w:space="0" w:color="2F5496"/>
              <w:left w:val="single" w:sz="6" w:space="0" w:color="2F5496"/>
              <w:bottom w:val="single" w:sz="6" w:space="0" w:color="2F5496"/>
              <w:right w:val="single" w:sz="6" w:space="0" w:color="2F5496"/>
            </w:tcBorders>
            <w:hideMark/>
          </w:tcPr>
          <w:p w14:paraId="760A7008" w14:textId="00266DF6" w:rsidR="000B1BDF" w:rsidRPr="00472F35" w:rsidRDefault="000B1BDF" w:rsidP="000B1BDF">
            <w:pPr>
              <w:pStyle w:val="TableText"/>
              <w:rPr>
                <w:rFonts w:eastAsia="Franklin Gothic Book" w:cs="Tahoma"/>
              </w:rPr>
            </w:pPr>
            <w:r w:rsidRPr="00472F35">
              <w:rPr>
                <w:color w:val="000000"/>
              </w:rPr>
              <w:t>These resources can help guide school- and district-based teams to create safer and more supportive school climates and cultures</w:t>
            </w:r>
            <w:r>
              <w:rPr>
                <w:color w:val="000000"/>
              </w:rPr>
              <w:t xml:space="preserve"> that allow all students to thrive</w:t>
            </w:r>
            <w:r w:rsidRPr="00472F35">
              <w:rPr>
                <w:color w:val="000000"/>
              </w:rPr>
              <w:t>.</w:t>
            </w:r>
          </w:p>
        </w:tc>
      </w:tr>
      <w:tr w:rsidR="000B1BDF" w:rsidRPr="00472F35" w14:paraId="4DC259CE" w14:textId="77777777" w:rsidTr="000B1BD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A0D049D" w14:textId="77777777" w:rsidR="000B1BDF" w:rsidRPr="00472F35" w:rsidRDefault="000B1BDF" w:rsidP="000B1BDF">
            <w:pPr>
              <w:pStyle w:val="TableText"/>
              <w:rPr>
                <w:rFonts w:eastAsia="Franklin Gothic Book" w:cs="Tahoma"/>
              </w:rPr>
            </w:pPr>
            <w:hyperlink r:id="rId96" w:history="1">
              <w:r w:rsidRPr="00472F35">
                <w:rPr>
                  <w:rStyle w:val="Hyperlink"/>
                  <w:rFonts w:cs="Calibri"/>
                  <w:szCs w:val="20"/>
                </w:rPr>
                <w:t>School Wellness Initiative for Thriving Community Health (SWITCH)</w:t>
              </w:r>
            </w:hyperlink>
          </w:p>
        </w:tc>
        <w:tc>
          <w:tcPr>
            <w:tcW w:w="5752" w:type="dxa"/>
            <w:tcBorders>
              <w:top w:val="single" w:sz="6" w:space="0" w:color="2F5496"/>
              <w:left w:val="single" w:sz="6" w:space="0" w:color="2F5496"/>
              <w:bottom w:val="single" w:sz="6" w:space="0" w:color="2F5496"/>
              <w:right w:val="single" w:sz="6" w:space="0" w:color="2F5496"/>
            </w:tcBorders>
            <w:hideMark/>
          </w:tcPr>
          <w:p w14:paraId="6076EF2C" w14:textId="77777777" w:rsidR="000B1BDF" w:rsidRPr="00472F35" w:rsidRDefault="000B1BDF" w:rsidP="000B1BDF">
            <w:pPr>
              <w:pStyle w:val="TableText"/>
              <w:rPr>
                <w:rFonts w:eastAsia="Franklin Gothic Book" w:cs="Tahoma"/>
                <w:color w:val="333333"/>
                <w:shd w:val="clear" w:color="auto" w:fill="FFFFFF"/>
              </w:rPr>
            </w:pPr>
            <w:r w:rsidRPr="00472F35">
              <w:rPr>
                <w:color w:val="000000"/>
              </w:rPr>
              <w:t>SWITCH provides resources that support and advance wellness efforts for Massachusetts students, schools, and communities.</w:t>
            </w:r>
          </w:p>
        </w:tc>
      </w:tr>
      <w:tr w:rsidR="000B1BDF" w:rsidRPr="00472F35" w14:paraId="20085C1A" w14:textId="77777777" w:rsidTr="000B1BDF">
        <w:trPr>
          <w:cantSplit/>
        </w:trPr>
        <w:tc>
          <w:tcPr>
            <w:tcW w:w="3592" w:type="dxa"/>
            <w:tcBorders>
              <w:top w:val="single" w:sz="6" w:space="0" w:color="2F5496"/>
              <w:left w:val="single" w:sz="6" w:space="0" w:color="2F5496"/>
              <w:bottom w:val="single" w:sz="6" w:space="0" w:color="2F5496"/>
              <w:right w:val="single" w:sz="6" w:space="0" w:color="2F5496"/>
            </w:tcBorders>
            <w:hideMark/>
          </w:tcPr>
          <w:p w14:paraId="33FC001D" w14:textId="77777777" w:rsidR="000B1BDF" w:rsidRPr="00472F35" w:rsidRDefault="000B1BDF" w:rsidP="000B1BDF">
            <w:pPr>
              <w:pStyle w:val="TableText"/>
              <w:rPr>
                <w14:ligatures w14:val="standardContextual"/>
              </w:rPr>
            </w:pPr>
            <w:r w:rsidRPr="00472F35">
              <w:t>Social Emotional Learning:</w:t>
            </w:r>
          </w:p>
          <w:p w14:paraId="659D2EED" w14:textId="77777777" w:rsidR="000B1BDF" w:rsidRPr="00472F35" w:rsidRDefault="000B1BDF" w:rsidP="000B1BDF">
            <w:pPr>
              <w:pStyle w:val="TableBullet1"/>
              <w:rPr>
                <w:rStyle w:val="Hyperlink"/>
                <w:rFonts w:eastAsia="Franklin Gothic Book" w:cs="Tahoma"/>
                <w:szCs w:val="20"/>
                <w:shd w:val="clear" w:color="auto" w:fill="FFFFFF"/>
              </w:rPr>
            </w:pPr>
            <w:hyperlink r:id="rId97" w:history="1">
              <w:r w:rsidRPr="00472F35">
                <w:rPr>
                  <w:rStyle w:val="Hyperlink"/>
                  <w:rFonts w:cs="Calibri"/>
                  <w:color w:val="4472C4"/>
                  <w:szCs w:val="20"/>
                </w:rPr>
                <w:t>SEL/APL Standards (Pk/K)</w:t>
              </w:r>
            </w:hyperlink>
            <w:r w:rsidRPr="00472F35">
              <w:rPr>
                <w:rStyle w:val="Hyperlink"/>
                <w:rFonts w:cs="Calibri"/>
                <w:color w:val="4472C4"/>
                <w:szCs w:val="20"/>
              </w:rPr>
              <w:t xml:space="preserve"> </w:t>
            </w:r>
          </w:p>
          <w:p w14:paraId="5A1E247F" w14:textId="77777777" w:rsidR="000B1BDF" w:rsidRPr="00472F35" w:rsidRDefault="000B1BDF" w:rsidP="000B1BDF">
            <w:pPr>
              <w:pStyle w:val="TableBullet1"/>
              <w:rPr>
                <w:rStyle w:val="Hyperlink"/>
                <w:rFonts w:eastAsia="Franklin Gothic Book" w:cs="Tahoma"/>
                <w:szCs w:val="20"/>
                <w:shd w:val="clear" w:color="auto" w:fill="FFFFFF"/>
              </w:rPr>
            </w:pPr>
            <w:hyperlink r:id="rId98" w:history="1">
              <w:r w:rsidRPr="00472F35">
                <w:rPr>
                  <w:rStyle w:val="Hyperlink"/>
                  <w:rFonts w:cs="Calibri"/>
                  <w:szCs w:val="20"/>
                </w:rPr>
                <w:t>Playful Learning Institute, Preschool through 3rd Grade</w:t>
              </w:r>
            </w:hyperlink>
          </w:p>
          <w:p w14:paraId="516AF347" w14:textId="77777777" w:rsidR="000B1BDF" w:rsidRPr="00405710" w:rsidRDefault="000B1BDF" w:rsidP="000B1BDF">
            <w:pPr>
              <w:pStyle w:val="TableBullet1"/>
              <w:rPr>
                <w:szCs w:val="20"/>
                <w:u w:val="single"/>
              </w:rPr>
            </w:pPr>
            <w:hyperlink r:id="rId99" w:history="1">
              <w:r w:rsidRPr="00472F35">
                <w:rPr>
                  <w:rStyle w:val="Hyperlink"/>
                  <w:rFonts w:cs="Calibri"/>
                  <w:color w:val="4472C4"/>
                  <w:szCs w:val="20"/>
                </w:rPr>
                <w:t>Culturally Responsive Social-Emotional Competency Development</w:t>
              </w:r>
            </w:hyperlink>
          </w:p>
        </w:tc>
        <w:tc>
          <w:tcPr>
            <w:tcW w:w="5752" w:type="dxa"/>
            <w:tcBorders>
              <w:top w:val="single" w:sz="6" w:space="0" w:color="2F5496"/>
              <w:left w:val="single" w:sz="6" w:space="0" w:color="2F5496"/>
              <w:bottom w:val="single" w:sz="6" w:space="0" w:color="2F5496"/>
              <w:right w:val="single" w:sz="6" w:space="0" w:color="2F5496"/>
            </w:tcBorders>
            <w:hideMark/>
          </w:tcPr>
          <w:p w14:paraId="0F03CE27" w14:textId="77777777" w:rsidR="000B1BDF" w:rsidRPr="00472F35" w:rsidRDefault="000B1BDF" w:rsidP="000B1BDF">
            <w:pPr>
              <w:pStyle w:val="TableText"/>
              <w:rPr>
                <w:rFonts w:eastAsia="Franklin Gothic Book" w:cs="Tahoma"/>
                <w:shd w:val="clear" w:color="auto" w:fill="FFFFFF"/>
              </w:rPr>
            </w:pPr>
            <w:r w:rsidRPr="00472F35">
              <w:t>These resources provide evidence-based and developmentally appropriate guidance around supporting social emotional learning in schools.</w:t>
            </w:r>
          </w:p>
        </w:tc>
      </w:tr>
    </w:tbl>
    <w:p w14:paraId="7BC2122E" w14:textId="77777777" w:rsidR="000B1BDF" w:rsidRPr="00472F35" w:rsidRDefault="000B1BDF" w:rsidP="000B1BDF">
      <w:pPr>
        <w:pStyle w:val="TableTitle0"/>
      </w:pPr>
      <w:r w:rsidRPr="00472F35">
        <w:lastRenderedPageBreak/>
        <w:t>Table C6. Resources to Support Financial and Asset Management</w:t>
      </w:r>
    </w:p>
    <w:tbl>
      <w:tblPr>
        <w:tblStyle w:val="MSVTable1"/>
        <w:tblW w:w="5004" w:type="pct"/>
        <w:tblLook w:val="0620" w:firstRow="1" w:lastRow="0" w:firstColumn="0" w:lastColumn="0" w:noHBand="1" w:noVBand="1"/>
      </w:tblPr>
      <w:tblGrid>
        <w:gridCol w:w="3592"/>
        <w:gridCol w:w="5759"/>
      </w:tblGrid>
      <w:tr w:rsidR="000B1BDF" w:rsidRPr="00472F35" w14:paraId="3B1A07F8" w14:textId="77777777" w:rsidTr="000B1BDF">
        <w:trPr>
          <w:cnfStyle w:val="100000000000" w:firstRow="1" w:lastRow="0" w:firstColumn="0" w:lastColumn="0" w:oddVBand="0" w:evenVBand="0" w:oddHBand="0" w:evenHBand="0" w:firstRowFirstColumn="0" w:firstRowLastColumn="0" w:lastRowFirstColumn="0" w:lastRowLastColumn="0"/>
          <w:tblHeader/>
        </w:trPr>
        <w:tc>
          <w:tcPr>
            <w:tcW w:w="3592" w:type="dxa"/>
            <w:tcBorders>
              <w:top w:val="single" w:sz="6" w:space="0" w:color="2F5496"/>
              <w:left w:val="single" w:sz="6" w:space="0" w:color="2F5496"/>
              <w:bottom w:val="single" w:sz="6" w:space="0" w:color="2F5496"/>
            </w:tcBorders>
            <w:hideMark/>
          </w:tcPr>
          <w:p w14:paraId="5F406C84" w14:textId="77777777" w:rsidR="000B1BDF" w:rsidRPr="00472F35" w:rsidRDefault="000B1BDF" w:rsidP="000B1BDF">
            <w:pPr>
              <w:pStyle w:val="TableColHeadingLeft"/>
            </w:pPr>
            <w:r w:rsidRPr="00472F35">
              <w:t xml:space="preserve">Resource </w:t>
            </w:r>
          </w:p>
        </w:tc>
        <w:tc>
          <w:tcPr>
            <w:tcW w:w="5759" w:type="dxa"/>
            <w:tcBorders>
              <w:top w:val="single" w:sz="6" w:space="0" w:color="2F5496"/>
              <w:bottom w:val="single" w:sz="6" w:space="0" w:color="2F5496"/>
              <w:right w:val="single" w:sz="6" w:space="0" w:color="2F5496"/>
            </w:tcBorders>
            <w:hideMark/>
          </w:tcPr>
          <w:p w14:paraId="458FDCE5" w14:textId="77777777" w:rsidR="000B1BDF" w:rsidRPr="00472F35" w:rsidRDefault="000B1BDF" w:rsidP="000B1BDF">
            <w:pPr>
              <w:pStyle w:val="TableColHeadingLeft"/>
            </w:pPr>
            <w:r w:rsidRPr="00472F35">
              <w:t>Description</w:t>
            </w:r>
          </w:p>
        </w:tc>
      </w:tr>
      <w:tr w:rsidR="000B1BDF" w:rsidRPr="00472F35" w14:paraId="245AF601" w14:textId="77777777" w:rsidTr="000B1BDF">
        <w:tc>
          <w:tcPr>
            <w:tcW w:w="3592" w:type="dxa"/>
            <w:tcBorders>
              <w:top w:val="single" w:sz="6" w:space="0" w:color="2F5496"/>
              <w:left w:val="single" w:sz="6" w:space="0" w:color="2F5496"/>
              <w:bottom w:val="single" w:sz="6" w:space="0" w:color="2F5496"/>
              <w:right w:val="single" w:sz="6" w:space="0" w:color="2F5496"/>
            </w:tcBorders>
            <w:hideMark/>
          </w:tcPr>
          <w:p w14:paraId="70B09992" w14:textId="77777777" w:rsidR="000B1BDF" w:rsidRPr="00472F35" w:rsidRDefault="000B1BDF" w:rsidP="000B1BDF">
            <w:pPr>
              <w:pStyle w:val="TableText"/>
              <w:rPr>
                <w:rFonts w:eastAsia="HGGothicE" w:cs="Franklin Gothic Book"/>
                <w:bCs/>
                <w:szCs w:val="20"/>
              </w:rPr>
            </w:pPr>
            <w:hyperlink r:id="rId100" w:history="1">
              <w:r w:rsidRPr="00472F35">
                <w:rPr>
                  <w:rStyle w:val="Hyperlink"/>
                  <w:rFonts w:cs="Calibri"/>
                  <w:szCs w:val="20"/>
                </w:rPr>
                <w:t>DESE Spending Comparisons Website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42006622" w14:textId="77777777" w:rsidR="000B1BDF" w:rsidRPr="00472F35" w:rsidRDefault="000B1BDF" w:rsidP="000B1BDF">
            <w:pPr>
              <w:pStyle w:val="TableText"/>
              <w:rPr>
                <w:rFonts w:eastAsia="HGGothicE" w:cs="Franklin Gothic Book"/>
                <w:bCs/>
                <w:szCs w:val="20"/>
              </w:rPr>
            </w:pPr>
            <w:r w:rsidRPr="00472F35">
              <w:rPr>
                <w:rFonts w:cs="Calibri"/>
                <w:color w:val="000000"/>
                <w:szCs w:val="20"/>
              </w:rPr>
              <w:t>A clearinghouse of school finance data reports and other resources available to district users and the public.</w:t>
            </w:r>
          </w:p>
        </w:tc>
      </w:tr>
      <w:tr w:rsidR="000B1BDF" w:rsidRPr="00472F35" w14:paraId="57F2E8FB" w14:textId="77777777" w:rsidTr="000B1BDF">
        <w:tc>
          <w:tcPr>
            <w:tcW w:w="3592" w:type="dxa"/>
            <w:tcBorders>
              <w:top w:val="single" w:sz="6" w:space="0" w:color="2F5496"/>
              <w:left w:val="single" w:sz="6" w:space="0" w:color="2F5496"/>
              <w:bottom w:val="single" w:sz="6" w:space="0" w:color="2F5496"/>
              <w:right w:val="single" w:sz="6" w:space="0" w:color="2F5496"/>
            </w:tcBorders>
            <w:hideMark/>
          </w:tcPr>
          <w:p w14:paraId="509C3B0F" w14:textId="77777777" w:rsidR="000B1BDF" w:rsidRPr="00472F35" w:rsidRDefault="000B1BDF" w:rsidP="000B1BDF">
            <w:pPr>
              <w:pStyle w:val="TableText"/>
              <w:rPr>
                <w:szCs w:val="20"/>
                <w14:ligatures w14:val="standardContextual"/>
              </w:rPr>
            </w:pPr>
            <w:hyperlink r:id="rId101" w:history="1">
              <w:r w:rsidRPr="00472F35">
                <w:rPr>
                  <w:rStyle w:val="Hyperlink"/>
                  <w:rFonts w:cs="Calibri"/>
                  <w:szCs w:val="20"/>
                </w:rPr>
                <w:t>General Resources for Federal Grant Programs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14929F38" w14:textId="77777777" w:rsidR="000B1BDF" w:rsidRPr="00472F35" w:rsidRDefault="000B1BDF" w:rsidP="000B1BDF">
            <w:pPr>
              <w:pStyle w:val="TableText"/>
              <w:rPr>
                <w:rFonts w:cs="Calibri"/>
                <w:color w:val="000000"/>
                <w:szCs w:val="20"/>
              </w:rPr>
            </w:pPr>
            <w:r w:rsidRPr="00472F35">
              <w:rPr>
                <w:rFonts w:cs="Calibri"/>
                <w:color w:val="000000" w:themeColor="text1"/>
                <w:szCs w:val="20"/>
              </w:rPr>
              <w:t xml:space="preserve">General federal grants resources. </w:t>
            </w:r>
          </w:p>
        </w:tc>
      </w:tr>
      <w:tr w:rsidR="000B1BDF" w:rsidRPr="00472F35" w14:paraId="6B4CC806" w14:textId="77777777" w:rsidTr="000B1BDF">
        <w:tc>
          <w:tcPr>
            <w:tcW w:w="3592" w:type="dxa"/>
            <w:tcBorders>
              <w:top w:val="single" w:sz="6" w:space="0" w:color="2F5496"/>
              <w:left w:val="single" w:sz="6" w:space="0" w:color="2F5496"/>
              <w:bottom w:val="single" w:sz="6" w:space="0" w:color="2F5496"/>
              <w:right w:val="single" w:sz="6" w:space="0" w:color="2F5496"/>
            </w:tcBorders>
            <w:hideMark/>
          </w:tcPr>
          <w:p w14:paraId="1CE0C385" w14:textId="77777777" w:rsidR="000B1BDF" w:rsidRPr="00472F35" w:rsidRDefault="000B1BDF" w:rsidP="000B1BDF">
            <w:pPr>
              <w:pStyle w:val="TableText"/>
              <w:rPr>
                <w:szCs w:val="20"/>
              </w:rPr>
            </w:pPr>
            <w:hyperlink r:id="rId102" w:history="1">
              <w:r w:rsidRPr="00472F35">
                <w:rPr>
                  <w:rStyle w:val="Hyperlink"/>
                  <w:rFonts w:eastAsia="Franklin Gothic Book" w:cs="Franklin Gothic Book"/>
                  <w:szCs w:val="20"/>
                </w:rPr>
                <w:t>Office for Food and Nutrition Programs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75B99317" w14:textId="77777777" w:rsidR="000B1BDF" w:rsidRPr="00472F35" w:rsidRDefault="000B1BDF" w:rsidP="000B1BDF">
            <w:pPr>
              <w:pStyle w:val="TableText"/>
              <w:rPr>
                <w:rFonts w:cs="Calibri"/>
                <w:color w:val="000000"/>
                <w:szCs w:val="20"/>
              </w:rPr>
            </w:pPr>
            <w:r w:rsidRPr="00472F35">
              <w:rPr>
                <w:rFonts w:eastAsia="Franklin Gothic Book" w:cs="Franklin Gothic Book"/>
                <w:color w:val="000000" w:themeColor="text1"/>
                <w:szCs w:val="20"/>
              </w:rPr>
              <w:t>Resources for school districts, childcare centers, family day care homes, adult day health programs, Summer Eats community organizations, USDA Foods storage and distribution vendors, food banks, and anti-hunger organizations across the Commonwealth.</w:t>
            </w:r>
          </w:p>
        </w:tc>
      </w:tr>
      <w:tr w:rsidR="000B1BDF" w:rsidRPr="00472F35" w14:paraId="680A2DC8" w14:textId="77777777" w:rsidTr="000B1BDF">
        <w:tc>
          <w:tcPr>
            <w:tcW w:w="3592" w:type="dxa"/>
            <w:tcBorders>
              <w:top w:val="single" w:sz="6" w:space="0" w:color="2F5496"/>
              <w:left w:val="single" w:sz="6" w:space="0" w:color="2F5496"/>
              <w:bottom w:val="single" w:sz="6" w:space="0" w:color="2F5496"/>
              <w:right w:val="single" w:sz="6" w:space="0" w:color="2F5496"/>
            </w:tcBorders>
            <w:hideMark/>
          </w:tcPr>
          <w:p w14:paraId="7BA272F4" w14:textId="77777777" w:rsidR="000B1BDF" w:rsidRPr="00472F35" w:rsidRDefault="000B1BDF" w:rsidP="000B1BDF">
            <w:pPr>
              <w:pStyle w:val="TableText"/>
              <w:rPr>
                <w:szCs w:val="20"/>
              </w:rPr>
            </w:pPr>
            <w:hyperlink r:id="rId103" w:history="1">
              <w:r w:rsidRPr="00472F35">
                <w:rPr>
                  <w:rStyle w:val="Hyperlink"/>
                  <w:rFonts w:cs="Calibri"/>
                  <w:szCs w:val="20"/>
                </w:rPr>
                <w:t>Planning for Success (PfS)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222106AF" w14:textId="77777777" w:rsidR="000B1BDF" w:rsidRPr="00472F35" w:rsidRDefault="000B1BDF" w:rsidP="000B1BDF">
            <w:pPr>
              <w:pStyle w:val="TableText"/>
              <w:rPr>
                <w:rFonts w:eastAsia="Franklin Gothic Book" w:cs="Franklin Gothic Book"/>
                <w:color w:val="000000" w:themeColor="text1"/>
                <w:szCs w:val="20"/>
              </w:rPr>
            </w:pPr>
            <w:r w:rsidRPr="00472F35">
              <w:rPr>
                <w:rFonts w:cs="Calibri"/>
                <w:color w:val="000000"/>
                <w:szCs w:val="20"/>
              </w:rPr>
              <w:t>An inclusive, hands-on planning process designed to build district and school capacity and coherence while also building community understanding and support.</w:t>
            </w:r>
          </w:p>
        </w:tc>
      </w:tr>
      <w:tr w:rsidR="000B1BDF" w:rsidRPr="00472F35" w14:paraId="63BF3D8B" w14:textId="77777777" w:rsidTr="000B1BDF">
        <w:tc>
          <w:tcPr>
            <w:tcW w:w="3592" w:type="dxa"/>
            <w:tcBorders>
              <w:top w:val="single" w:sz="6" w:space="0" w:color="2F5496"/>
              <w:left w:val="single" w:sz="6" w:space="0" w:color="2F5496"/>
              <w:bottom w:val="single" w:sz="6" w:space="0" w:color="2F5496"/>
              <w:right w:val="single" w:sz="6" w:space="0" w:color="2F5496"/>
            </w:tcBorders>
            <w:hideMark/>
          </w:tcPr>
          <w:p w14:paraId="698B3310" w14:textId="77777777" w:rsidR="000B1BDF" w:rsidRPr="00472F35" w:rsidRDefault="000B1BDF" w:rsidP="000B1BDF">
            <w:pPr>
              <w:pStyle w:val="TableText"/>
              <w:rPr>
                <w:szCs w:val="20"/>
              </w:rPr>
            </w:pPr>
            <w:hyperlink r:id="rId104" w:history="1">
              <w:r w:rsidRPr="00472F35">
                <w:rPr>
                  <w:rStyle w:val="Hyperlink"/>
                  <w:rFonts w:cs="Calibri"/>
                  <w:szCs w:val="20"/>
                </w:rPr>
                <w:t>Resource Allocation and District Action Reports (RADAR)</w:t>
              </w:r>
            </w:hyperlink>
          </w:p>
        </w:tc>
        <w:tc>
          <w:tcPr>
            <w:tcW w:w="5759" w:type="dxa"/>
            <w:tcBorders>
              <w:top w:val="single" w:sz="6" w:space="0" w:color="2F5496"/>
              <w:left w:val="single" w:sz="6" w:space="0" w:color="2F5496"/>
              <w:bottom w:val="single" w:sz="6" w:space="0" w:color="2F5496"/>
              <w:right w:val="single" w:sz="6" w:space="0" w:color="2F5496"/>
            </w:tcBorders>
            <w:hideMark/>
          </w:tcPr>
          <w:p w14:paraId="1C32CBC0" w14:textId="77777777" w:rsidR="000B1BDF" w:rsidRPr="00472F35" w:rsidRDefault="000B1BDF" w:rsidP="000B1BDF">
            <w:pPr>
              <w:pStyle w:val="TableText"/>
              <w:rPr>
                <w:rFonts w:cs="Calibri"/>
                <w:color w:val="000000"/>
                <w:szCs w:val="20"/>
              </w:rPr>
            </w:pPr>
            <w:r w:rsidRPr="00472F35">
              <w:rPr>
                <w:rFonts w:cs="Calibri"/>
                <w:color w:val="000000"/>
                <w:szCs w:val="20"/>
              </w:rPr>
              <w:t>RADAR is a suite of innovative data reports, case studies, and other resources that provide a new approach to resource decisions.</w:t>
            </w:r>
          </w:p>
        </w:tc>
      </w:tr>
      <w:tr w:rsidR="000B1BDF" w:rsidRPr="00472F35" w14:paraId="26CEE322" w14:textId="77777777" w:rsidTr="000B1BDF">
        <w:tc>
          <w:tcPr>
            <w:tcW w:w="3592" w:type="dxa"/>
            <w:tcBorders>
              <w:top w:val="single" w:sz="6" w:space="0" w:color="2F5496"/>
              <w:left w:val="single" w:sz="6" w:space="0" w:color="2F5496"/>
              <w:bottom w:val="single" w:sz="6" w:space="0" w:color="2F5496"/>
              <w:right w:val="single" w:sz="6" w:space="0" w:color="2F5496"/>
            </w:tcBorders>
          </w:tcPr>
          <w:p w14:paraId="3AA8F190" w14:textId="77777777" w:rsidR="000B1BDF" w:rsidRPr="00472F35" w:rsidRDefault="000B1BDF" w:rsidP="000B1BDF">
            <w:pPr>
              <w:pStyle w:val="TableText"/>
              <w:rPr>
                <w:rFonts w:eastAsia="Times New Roman" w:cs="Calibri"/>
                <w:color w:val="0563C1"/>
                <w:szCs w:val="20"/>
                <w:u w:val="single"/>
              </w:rPr>
            </w:pPr>
            <w:hyperlink r:id="rId105" w:history="1">
              <w:r w:rsidRPr="00472F35">
                <w:rPr>
                  <w:rStyle w:val="Hyperlink"/>
                  <w:rFonts w:cs="Calibri"/>
                  <w:szCs w:val="20"/>
                </w:rPr>
                <w:t>School Breakfast: Breakfast After the Bell Resources</w:t>
              </w:r>
            </w:hyperlink>
          </w:p>
        </w:tc>
        <w:tc>
          <w:tcPr>
            <w:tcW w:w="5759" w:type="dxa"/>
            <w:tcBorders>
              <w:top w:val="single" w:sz="6" w:space="0" w:color="2F5496"/>
              <w:left w:val="single" w:sz="6" w:space="0" w:color="2F5496"/>
              <w:bottom w:val="single" w:sz="6" w:space="0" w:color="2F5496"/>
              <w:right w:val="single" w:sz="6" w:space="0" w:color="2F5496"/>
            </w:tcBorders>
          </w:tcPr>
          <w:p w14:paraId="7E47E2A6" w14:textId="77777777" w:rsidR="000B1BDF" w:rsidRPr="00472F35" w:rsidRDefault="000B1BDF" w:rsidP="000B1BDF">
            <w:pPr>
              <w:pStyle w:val="TableText"/>
              <w:rPr>
                <w:rFonts w:eastAsia="Times New Roman" w:cs="Calibri"/>
                <w:color w:val="000000"/>
                <w:szCs w:val="20"/>
              </w:rPr>
            </w:pPr>
            <w:r w:rsidRPr="00472F35">
              <w:rPr>
                <w:rFonts w:cs="Calibri"/>
                <w:color w:val="000000"/>
                <w:szCs w:val="20"/>
              </w:rPr>
              <w:t xml:space="preserve">The Breakfast After the Bell Toolkit Series is designed to help with the launch and implementation of alternative breakfast models. </w:t>
            </w:r>
          </w:p>
        </w:tc>
      </w:tr>
      <w:tr w:rsidR="000B1BDF" w:rsidRPr="00472F35" w14:paraId="46585AC4" w14:textId="77777777" w:rsidTr="000B1BDF">
        <w:tc>
          <w:tcPr>
            <w:tcW w:w="3592" w:type="dxa"/>
            <w:tcBorders>
              <w:top w:val="single" w:sz="6" w:space="0" w:color="2F5496"/>
              <w:left w:val="single" w:sz="6" w:space="0" w:color="2F5496"/>
              <w:bottom w:val="single" w:sz="6" w:space="0" w:color="2F5496"/>
              <w:right w:val="single" w:sz="6" w:space="0" w:color="2F5496"/>
            </w:tcBorders>
          </w:tcPr>
          <w:p w14:paraId="69EC4752" w14:textId="77777777" w:rsidR="000B1BDF" w:rsidRPr="00472F35" w:rsidRDefault="000B1BDF" w:rsidP="000B1BDF">
            <w:pPr>
              <w:pStyle w:val="TableText"/>
              <w:rPr>
                <w:rFonts w:eastAsia="Times New Roman" w:cs="Calibri"/>
                <w:color w:val="0563C1"/>
                <w:szCs w:val="20"/>
                <w:u w:val="single"/>
              </w:rPr>
            </w:pPr>
            <w:hyperlink r:id="rId106" w:history="1">
              <w:r w:rsidRPr="00472F35">
                <w:rPr>
                  <w:rStyle w:val="Hyperlink"/>
                  <w:rFonts w:cs="Calibri"/>
                  <w:szCs w:val="20"/>
                </w:rPr>
                <w:t>School Meals Newsletter</w:t>
              </w:r>
            </w:hyperlink>
          </w:p>
        </w:tc>
        <w:tc>
          <w:tcPr>
            <w:tcW w:w="5759" w:type="dxa"/>
            <w:tcBorders>
              <w:top w:val="single" w:sz="6" w:space="0" w:color="2F5496"/>
              <w:left w:val="single" w:sz="6" w:space="0" w:color="2F5496"/>
              <w:bottom w:val="single" w:sz="6" w:space="0" w:color="2F5496"/>
              <w:right w:val="single" w:sz="6" w:space="0" w:color="2F5496"/>
            </w:tcBorders>
          </w:tcPr>
          <w:p w14:paraId="287908EE" w14:textId="77777777" w:rsidR="000B1BDF" w:rsidRPr="00472F35" w:rsidRDefault="000B1BDF" w:rsidP="000B1BDF">
            <w:pPr>
              <w:pStyle w:val="TableText"/>
              <w:rPr>
                <w:rFonts w:eastAsia="Times New Roman" w:cs="Calibri"/>
                <w:color w:val="000000"/>
                <w:szCs w:val="20"/>
              </w:rPr>
            </w:pPr>
            <w:r w:rsidRPr="00472F35">
              <w:rPr>
                <w:rFonts w:cs="Calibri"/>
                <w:color w:val="000000"/>
                <w:szCs w:val="20"/>
              </w:rPr>
              <w:t xml:space="preserve">Short articles summarizing current events </w:t>
            </w:r>
            <w:proofErr w:type="gramStart"/>
            <w:r w:rsidRPr="00472F35">
              <w:rPr>
                <w:rFonts w:cs="Calibri"/>
                <w:color w:val="000000"/>
                <w:szCs w:val="20"/>
              </w:rPr>
              <w:t>including:</w:t>
            </w:r>
            <w:proofErr w:type="gramEnd"/>
            <w:r w:rsidRPr="00472F35">
              <w:rPr>
                <w:rFonts w:cs="Calibri"/>
                <w:color w:val="000000"/>
                <w:szCs w:val="20"/>
              </w:rPr>
              <w:t xml:space="preserve"> changes in federal/ state requirements; current grant opportunities; and notable dates.</w:t>
            </w:r>
          </w:p>
        </w:tc>
      </w:tr>
      <w:tr w:rsidR="000B1BDF" w:rsidRPr="00472F35" w14:paraId="263931A9" w14:textId="77777777" w:rsidTr="000B1BDF">
        <w:tc>
          <w:tcPr>
            <w:tcW w:w="3592" w:type="dxa"/>
            <w:tcBorders>
              <w:top w:val="single" w:sz="6" w:space="0" w:color="2F5496"/>
              <w:left w:val="single" w:sz="6" w:space="0" w:color="2F5496"/>
              <w:bottom w:val="single" w:sz="6" w:space="0" w:color="2F5496"/>
              <w:right w:val="single" w:sz="6" w:space="0" w:color="2F5496"/>
            </w:tcBorders>
          </w:tcPr>
          <w:p w14:paraId="469EF5E8" w14:textId="77777777" w:rsidR="000B1BDF" w:rsidRPr="00472F35" w:rsidRDefault="000B1BDF" w:rsidP="000B1BDF">
            <w:pPr>
              <w:pStyle w:val="TableText"/>
              <w:rPr>
                <w:rStyle w:val="Hyperlink"/>
                <w:szCs w:val="20"/>
              </w:rPr>
            </w:pPr>
            <w:hyperlink r:id="rId107" w:history="1">
              <w:r w:rsidRPr="00472F35">
                <w:rPr>
                  <w:rStyle w:val="Hyperlink"/>
                  <w:rFonts w:cs="Calibri"/>
                  <w:szCs w:val="20"/>
                </w:rPr>
                <w:t>Summer Eats | Free Meals for Kids and Teens in MA</w:t>
              </w:r>
            </w:hyperlink>
          </w:p>
        </w:tc>
        <w:tc>
          <w:tcPr>
            <w:tcW w:w="5759" w:type="dxa"/>
            <w:tcBorders>
              <w:top w:val="single" w:sz="6" w:space="0" w:color="2F5496"/>
              <w:left w:val="single" w:sz="6" w:space="0" w:color="2F5496"/>
              <w:bottom w:val="single" w:sz="6" w:space="0" w:color="2F5496"/>
              <w:right w:val="single" w:sz="6" w:space="0" w:color="2F5496"/>
            </w:tcBorders>
          </w:tcPr>
          <w:p w14:paraId="5B4CA3EA" w14:textId="77777777" w:rsidR="000B1BDF" w:rsidRPr="00472F35" w:rsidRDefault="000B1BDF" w:rsidP="000B1BDF">
            <w:pPr>
              <w:pStyle w:val="TableText"/>
              <w:rPr>
                <w:color w:val="000000"/>
                <w:szCs w:val="20"/>
              </w:rPr>
            </w:pPr>
            <w:r w:rsidRPr="00472F35">
              <w:rPr>
                <w:rFonts w:eastAsia="Franklin Gothic Book" w:cs="Franklin Gothic Book"/>
                <w:color w:val="000000" w:themeColor="text1"/>
                <w:szCs w:val="20"/>
              </w:rPr>
              <w:t xml:space="preserve">Summer Eats is a free-of-charge program that provides free meals to all kids and teens, ages 18 and under, at locations </w:t>
            </w:r>
            <w:proofErr w:type="gramStart"/>
            <w:r w:rsidRPr="00472F35">
              <w:rPr>
                <w:rFonts w:eastAsia="Franklin Gothic Book" w:cs="Franklin Gothic Book"/>
                <w:color w:val="000000" w:themeColor="text1"/>
                <w:szCs w:val="20"/>
              </w:rPr>
              <w:t>all across</w:t>
            </w:r>
            <w:proofErr w:type="gramEnd"/>
            <w:r w:rsidRPr="00472F35">
              <w:rPr>
                <w:rFonts w:eastAsia="Franklin Gothic Book" w:cs="Franklin Gothic Book"/>
                <w:color w:val="000000" w:themeColor="text1"/>
                <w:szCs w:val="20"/>
              </w:rPr>
              <w:t xml:space="preserve"> Massachusetts during the summer months.</w:t>
            </w:r>
          </w:p>
        </w:tc>
      </w:tr>
    </w:tbl>
    <w:p w14:paraId="6B988AFB" w14:textId="77777777" w:rsidR="00486B55" w:rsidRPr="008C1E5F" w:rsidRDefault="00486B55" w:rsidP="00486B55">
      <w:pPr>
        <w:spacing w:line="240" w:lineRule="auto"/>
        <w:sectPr w:rsidR="00486B55" w:rsidRPr="008C1E5F" w:rsidSect="00D67AD2">
          <w:footerReference w:type="default" r:id="rId108"/>
          <w:headerReference w:type="first" r:id="rId109"/>
          <w:footerReference w:type="first" r:id="rId110"/>
          <w:endnotePr>
            <w:numFmt w:val="decimal"/>
          </w:endnotePr>
          <w:pgSz w:w="12240" w:h="15840" w:code="1"/>
          <w:pgMar w:top="1440" w:right="1440" w:bottom="1440" w:left="1440" w:header="720" w:footer="720" w:gutter="0"/>
          <w:pgNumType w:start="1"/>
          <w:cols w:space="720"/>
          <w:noEndnote/>
          <w:docGrid w:linePitch="326"/>
        </w:sectPr>
      </w:pPr>
    </w:p>
    <w:p w14:paraId="46A7012E" w14:textId="37C9C8D6" w:rsidR="002F1EBE" w:rsidRPr="008C1E5F" w:rsidRDefault="002F1EBE" w:rsidP="009E578A">
      <w:pPr>
        <w:pStyle w:val="Heading2"/>
      </w:pPr>
      <w:bookmarkStart w:id="270" w:name="_Toc190886745"/>
      <w:bookmarkStart w:id="271" w:name="_Toc195024265"/>
      <w:r w:rsidRPr="008C1E5F">
        <w:lastRenderedPageBreak/>
        <w:t xml:space="preserve">Appendix </w:t>
      </w:r>
      <w:r w:rsidR="00486B55" w:rsidRPr="008C1E5F">
        <w:t>D</w:t>
      </w:r>
      <w:r w:rsidR="006A3A0E" w:rsidRPr="008C1E5F">
        <w:t>.</w:t>
      </w:r>
      <w:r w:rsidRPr="008C1E5F">
        <w:t xml:space="preserve"> Enrollment, </w:t>
      </w:r>
      <w:r w:rsidR="00FE2534" w:rsidRPr="008C1E5F">
        <w:t>Attendance</w:t>
      </w:r>
      <w:r w:rsidRPr="008C1E5F">
        <w:t>, Expenditures</w:t>
      </w:r>
      <w:bookmarkStart w:id="272" w:name="_Toc337817151"/>
      <w:bookmarkEnd w:id="135"/>
      <w:bookmarkEnd w:id="270"/>
      <w:bookmarkEnd w:id="271"/>
    </w:p>
    <w:p w14:paraId="57569DA8" w14:textId="77777777" w:rsidR="00192AC8" w:rsidRPr="008C1E5F" w:rsidRDefault="00192AC8" w:rsidP="00192AC8">
      <w:pPr>
        <w:pStyle w:val="TableTitle0"/>
      </w:pPr>
      <w:r w:rsidRPr="008C1E5F">
        <w:t xml:space="preserve">Table D1. </w:t>
      </w:r>
      <w:bookmarkStart w:id="273" w:name="_Hlk96949958"/>
      <w:r w:rsidRPr="008C1E5F">
        <w:t>Fall River Public Schools</w:t>
      </w:r>
      <w:bookmarkEnd w:id="273"/>
      <w:r w:rsidRPr="008C1E5F">
        <w:t>: Student Enrollment by Race/Ethnicity, 2024-2025</w:t>
      </w:r>
    </w:p>
    <w:tbl>
      <w:tblPr>
        <w:tblStyle w:val="MSVTable1"/>
        <w:tblW w:w="5000" w:type="pct"/>
        <w:tblLook w:val="06A0" w:firstRow="1" w:lastRow="0" w:firstColumn="1" w:lastColumn="0" w:noHBand="1" w:noVBand="1"/>
      </w:tblPr>
      <w:tblGrid>
        <w:gridCol w:w="2957"/>
        <w:gridCol w:w="1537"/>
        <w:gridCol w:w="1553"/>
        <w:gridCol w:w="1744"/>
        <w:gridCol w:w="1553"/>
      </w:tblGrid>
      <w:tr w:rsidR="00192AC8" w:rsidRPr="008C1E5F" w14:paraId="5CDEB03D" w14:textId="77777777" w:rsidTr="006F3D5F">
        <w:trPr>
          <w:cnfStyle w:val="100000000000" w:firstRow="1" w:lastRow="0" w:firstColumn="0" w:lastColumn="0" w:oddVBand="0" w:evenVBand="0" w:oddHBand="0" w:evenHBand="0" w:firstRowFirstColumn="0" w:firstRowLastColumn="0" w:lastRowFirstColumn="0" w:lastRowLastColumn="0"/>
        </w:trPr>
        <w:tc>
          <w:tcPr>
            <w:tcW w:w="2957" w:type="dxa"/>
            <w:vAlign w:val="center"/>
          </w:tcPr>
          <w:p w14:paraId="30EB096D" w14:textId="77777777" w:rsidR="00192AC8" w:rsidRPr="008C1E5F" w:rsidRDefault="00192AC8">
            <w:pPr>
              <w:pStyle w:val="TableColHeadingLeft"/>
              <w:rPr>
                <w:rFonts w:eastAsia="Calibri" w:cs="Calibri"/>
              </w:rPr>
            </w:pPr>
            <w:r w:rsidRPr="008C1E5F">
              <w:t>Group</w:t>
            </w:r>
          </w:p>
        </w:tc>
        <w:tc>
          <w:tcPr>
            <w:tcW w:w="1537" w:type="dxa"/>
            <w:vAlign w:val="center"/>
          </w:tcPr>
          <w:p w14:paraId="43D57ACE" w14:textId="77777777" w:rsidR="00192AC8" w:rsidRPr="008C1E5F" w:rsidRDefault="00192AC8">
            <w:pPr>
              <w:pStyle w:val="TableColHeadingCenter"/>
            </w:pPr>
            <w:r w:rsidRPr="008C1E5F">
              <w:t>District</w:t>
            </w:r>
          </w:p>
        </w:tc>
        <w:tc>
          <w:tcPr>
            <w:tcW w:w="1553" w:type="dxa"/>
            <w:vAlign w:val="center"/>
          </w:tcPr>
          <w:p w14:paraId="6FD5135D" w14:textId="1D37C4BB" w:rsidR="00192AC8" w:rsidRPr="008C1E5F" w:rsidRDefault="00192AC8">
            <w:pPr>
              <w:pStyle w:val="TableColHeadingCenter"/>
            </w:pPr>
            <w:r w:rsidRPr="008C1E5F">
              <w:t xml:space="preserve">Percentage of </w:t>
            </w:r>
            <w:r w:rsidR="00C545A8">
              <w:t>District</w:t>
            </w:r>
          </w:p>
        </w:tc>
        <w:tc>
          <w:tcPr>
            <w:tcW w:w="1744" w:type="dxa"/>
            <w:vAlign w:val="center"/>
          </w:tcPr>
          <w:p w14:paraId="5C54D184" w14:textId="77777777" w:rsidR="00192AC8" w:rsidRPr="008C1E5F" w:rsidRDefault="00192AC8">
            <w:pPr>
              <w:pStyle w:val="TableColHeadingCenter"/>
            </w:pPr>
            <w:r w:rsidRPr="008C1E5F">
              <w:t>State</w:t>
            </w:r>
          </w:p>
        </w:tc>
        <w:tc>
          <w:tcPr>
            <w:tcW w:w="1553" w:type="dxa"/>
            <w:vAlign w:val="center"/>
          </w:tcPr>
          <w:p w14:paraId="3CF6A32C" w14:textId="3122856C" w:rsidR="00192AC8" w:rsidRPr="008C1E5F" w:rsidRDefault="00192AC8">
            <w:pPr>
              <w:pStyle w:val="TableColHeadingCenter"/>
            </w:pPr>
            <w:r w:rsidRPr="008C1E5F">
              <w:t xml:space="preserve">Percentage of </w:t>
            </w:r>
            <w:r w:rsidR="00C545A8">
              <w:t>Total</w:t>
            </w:r>
          </w:p>
        </w:tc>
      </w:tr>
      <w:tr w:rsidR="00192AC8" w:rsidRPr="008C1E5F" w14:paraId="196803E3" w14:textId="77777777" w:rsidTr="006F3D5F">
        <w:tc>
          <w:tcPr>
            <w:tcW w:w="2957" w:type="dxa"/>
          </w:tcPr>
          <w:p w14:paraId="661C0B85" w14:textId="77777777" w:rsidR="00192AC8" w:rsidRPr="008C1E5F" w:rsidRDefault="00192AC8">
            <w:pPr>
              <w:pStyle w:val="TableText"/>
            </w:pPr>
            <w:r w:rsidRPr="008C1E5F">
              <w:t>All Students</w:t>
            </w:r>
          </w:p>
        </w:tc>
        <w:tc>
          <w:tcPr>
            <w:tcW w:w="1537" w:type="dxa"/>
            <w:vAlign w:val="center"/>
          </w:tcPr>
          <w:p w14:paraId="5CF2D4B7" w14:textId="77777777" w:rsidR="00192AC8" w:rsidRPr="008C1E5F" w:rsidRDefault="00192AC8">
            <w:pPr>
              <w:pStyle w:val="TableTextCentered"/>
              <w:rPr>
                <w:rFonts w:ascii="Franklin Gothic Book" w:hAnsi="Franklin Gothic Book"/>
              </w:rPr>
            </w:pPr>
            <w:r w:rsidRPr="008C1E5F">
              <w:rPr>
                <w:rFonts w:ascii="Franklin Gothic Book" w:hAnsi="Franklin Gothic Book"/>
              </w:rPr>
              <w:t>11,089</w:t>
            </w:r>
          </w:p>
        </w:tc>
        <w:tc>
          <w:tcPr>
            <w:tcW w:w="1553" w:type="dxa"/>
            <w:shd w:val="clear" w:color="auto" w:fill="D9E2F3" w:themeFill="accent5" w:themeFillTint="33"/>
            <w:vAlign w:val="center"/>
          </w:tcPr>
          <w:p w14:paraId="6AD763CB" w14:textId="77777777" w:rsidR="00192AC8" w:rsidRPr="008C1E5F" w:rsidRDefault="00192AC8">
            <w:pPr>
              <w:pStyle w:val="TableText"/>
              <w:tabs>
                <w:tab w:val="decimal" w:pos="0"/>
              </w:tabs>
              <w:jc w:val="center"/>
              <w:rPr>
                <w:rFonts w:ascii="Franklin Gothic Book" w:hAnsi="Franklin Gothic Book"/>
              </w:rPr>
            </w:pPr>
            <w:r w:rsidRPr="008C1E5F">
              <w:rPr>
                <w:rFonts w:ascii="Franklin Gothic Book" w:hAnsi="Franklin Gothic Book"/>
              </w:rPr>
              <w:t>100.0%</w:t>
            </w:r>
          </w:p>
        </w:tc>
        <w:tc>
          <w:tcPr>
            <w:tcW w:w="1744" w:type="dxa"/>
            <w:vAlign w:val="center"/>
          </w:tcPr>
          <w:p w14:paraId="641C517D" w14:textId="77777777" w:rsidR="00192AC8" w:rsidRPr="008C1E5F" w:rsidRDefault="00192AC8">
            <w:pPr>
              <w:pStyle w:val="TableTextCentered"/>
              <w:rPr>
                <w:rFonts w:ascii="Franklin Gothic Book" w:hAnsi="Franklin Gothic Book"/>
              </w:rPr>
            </w:pPr>
            <w:r w:rsidRPr="008C1E5F">
              <w:rPr>
                <w:rFonts w:ascii="Franklin Gothic Book" w:hAnsi="Franklin Gothic Book"/>
              </w:rPr>
              <w:t>915,932</w:t>
            </w:r>
          </w:p>
        </w:tc>
        <w:tc>
          <w:tcPr>
            <w:tcW w:w="1553" w:type="dxa"/>
            <w:shd w:val="clear" w:color="auto" w:fill="D9E2F3" w:themeFill="accent5" w:themeFillTint="33"/>
            <w:vAlign w:val="center"/>
          </w:tcPr>
          <w:p w14:paraId="2D6F143C" w14:textId="77777777" w:rsidR="00192AC8" w:rsidRPr="008C1E5F" w:rsidRDefault="00192AC8">
            <w:pPr>
              <w:pStyle w:val="TableText"/>
              <w:jc w:val="center"/>
              <w:rPr>
                <w:rFonts w:ascii="Franklin Gothic Book" w:hAnsi="Franklin Gothic Book"/>
              </w:rPr>
            </w:pPr>
            <w:r w:rsidRPr="008C1E5F">
              <w:rPr>
                <w:rFonts w:ascii="Franklin Gothic Book" w:hAnsi="Franklin Gothic Book"/>
              </w:rPr>
              <w:t>100.0%</w:t>
            </w:r>
          </w:p>
        </w:tc>
      </w:tr>
      <w:tr w:rsidR="004C5E5A" w:rsidRPr="008C1E5F" w14:paraId="3D258683" w14:textId="77777777" w:rsidTr="006F3D5F">
        <w:tc>
          <w:tcPr>
            <w:tcW w:w="2957" w:type="dxa"/>
          </w:tcPr>
          <w:p w14:paraId="7C1C66DC" w14:textId="2F3B158D" w:rsidR="004C5E5A" w:rsidRPr="008C1E5F" w:rsidRDefault="00227293" w:rsidP="006F3D5F">
            <w:pPr>
              <w:pStyle w:val="TableText"/>
            </w:pPr>
            <w:r w:rsidRPr="008C1E5F">
              <w:t>American Indian or Alaska Native</w:t>
            </w:r>
          </w:p>
        </w:tc>
        <w:tc>
          <w:tcPr>
            <w:tcW w:w="1537" w:type="dxa"/>
            <w:vAlign w:val="center"/>
          </w:tcPr>
          <w:p w14:paraId="68A2F9D5" w14:textId="08B6959F" w:rsidR="004C5E5A" w:rsidRPr="008C1E5F" w:rsidRDefault="00227293" w:rsidP="006F3D5F">
            <w:pPr>
              <w:pStyle w:val="TableTextCentered"/>
              <w:rPr>
                <w:rFonts w:ascii="Franklin Gothic Book" w:hAnsi="Franklin Gothic Book"/>
              </w:rPr>
            </w:pPr>
            <w:r w:rsidRPr="008C1E5F">
              <w:rPr>
                <w:rFonts w:ascii="Franklin Gothic Book" w:hAnsi="Franklin Gothic Book"/>
              </w:rPr>
              <w:t>25</w:t>
            </w:r>
          </w:p>
        </w:tc>
        <w:tc>
          <w:tcPr>
            <w:tcW w:w="1553" w:type="dxa"/>
            <w:shd w:val="clear" w:color="auto" w:fill="D9E2F3" w:themeFill="accent5" w:themeFillTint="33"/>
            <w:vAlign w:val="center"/>
          </w:tcPr>
          <w:p w14:paraId="4F576095" w14:textId="5F96AE9B" w:rsidR="004C5E5A" w:rsidRPr="008C1E5F" w:rsidRDefault="00227293" w:rsidP="006F3D5F">
            <w:pPr>
              <w:pStyle w:val="TableText"/>
              <w:tabs>
                <w:tab w:val="decimal" w:pos="0"/>
              </w:tabs>
              <w:jc w:val="center"/>
              <w:rPr>
                <w:rFonts w:ascii="Franklin Gothic Book" w:hAnsi="Franklin Gothic Book"/>
              </w:rPr>
            </w:pPr>
            <w:r w:rsidRPr="008C1E5F">
              <w:rPr>
                <w:rFonts w:ascii="Franklin Gothic Book" w:hAnsi="Franklin Gothic Book"/>
              </w:rPr>
              <w:t>0.2%</w:t>
            </w:r>
          </w:p>
        </w:tc>
        <w:tc>
          <w:tcPr>
            <w:tcW w:w="1744" w:type="dxa"/>
            <w:vAlign w:val="center"/>
          </w:tcPr>
          <w:p w14:paraId="662105CC" w14:textId="32B552D7" w:rsidR="004C5E5A" w:rsidRPr="008C1E5F" w:rsidRDefault="00227293" w:rsidP="006F3D5F">
            <w:pPr>
              <w:pStyle w:val="TableTextCentered"/>
              <w:rPr>
                <w:rFonts w:ascii="Franklin Gothic Book" w:hAnsi="Franklin Gothic Book"/>
              </w:rPr>
            </w:pPr>
            <w:r w:rsidRPr="008C1E5F">
              <w:rPr>
                <w:rFonts w:ascii="Franklin Gothic Book" w:hAnsi="Franklin Gothic Book"/>
              </w:rPr>
              <w:t>2,272</w:t>
            </w:r>
          </w:p>
        </w:tc>
        <w:tc>
          <w:tcPr>
            <w:tcW w:w="1553" w:type="dxa"/>
            <w:shd w:val="clear" w:color="auto" w:fill="D9E2F3" w:themeFill="accent5" w:themeFillTint="33"/>
            <w:vAlign w:val="center"/>
          </w:tcPr>
          <w:p w14:paraId="1BE862DD" w14:textId="7137D679" w:rsidR="004C5E5A" w:rsidRPr="008C1E5F" w:rsidRDefault="00227293" w:rsidP="006F3D5F">
            <w:pPr>
              <w:pStyle w:val="TableText"/>
              <w:jc w:val="center"/>
              <w:rPr>
                <w:rFonts w:ascii="Franklin Gothic Book" w:hAnsi="Franklin Gothic Book"/>
              </w:rPr>
            </w:pPr>
            <w:r w:rsidRPr="008C1E5F">
              <w:rPr>
                <w:rFonts w:ascii="Franklin Gothic Book" w:hAnsi="Franklin Gothic Book"/>
              </w:rPr>
              <w:t>0.2%</w:t>
            </w:r>
          </w:p>
        </w:tc>
      </w:tr>
      <w:tr w:rsidR="006F3D5F" w:rsidRPr="008C1E5F" w14:paraId="6865EFC0" w14:textId="77777777" w:rsidTr="006F3D5F">
        <w:tc>
          <w:tcPr>
            <w:tcW w:w="2957" w:type="dxa"/>
          </w:tcPr>
          <w:p w14:paraId="27DA2650" w14:textId="7AF38E71" w:rsidR="006F3D5F" w:rsidRPr="008C1E5F" w:rsidRDefault="006F3D5F" w:rsidP="006F3D5F">
            <w:pPr>
              <w:pStyle w:val="TableText"/>
            </w:pPr>
            <w:r w:rsidRPr="008C1E5F">
              <w:t>Asian</w:t>
            </w:r>
          </w:p>
        </w:tc>
        <w:tc>
          <w:tcPr>
            <w:tcW w:w="1537" w:type="dxa"/>
            <w:vAlign w:val="center"/>
          </w:tcPr>
          <w:p w14:paraId="76FC95C3" w14:textId="6CAC6D20" w:rsidR="006F3D5F" w:rsidRPr="008C1E5F" w:rsidRDefault="006F3D5F" w:rsidP="006F3D5F">
            <w:pPr>
              <w:pStyle w:val="TableTextCentered"/>
              <w:rPr>
                <w:rFonts w:ascii="Franklin Gothic Book" w:hAnsi="Franklin Gothic Book"/>
              </w:rPr>
            </w:pPr>
            <w:r w:rsidRPr="008C1E5F">
              <w:rPr>
                <w:rFonts w:ascii="Franklin Gothic Book" w:hAnsi="Franklin Gothic Book"/>
              </w:rPr>
              <w:t>299</w:t>
            </w:r>
          </w:p>
        </w:tc>
        <w:tc>
          <w:tcPr>
            <w:tcW w:w="1553" w:type="dxa"/>
            <w:shd w:val="clear" w:color="auto" w:fill="D9E2F3" w:themeFill="accent5" w:themeFillTint="33"/>
            <w:vAlign w:val="center"/>
          </w:tcPr>
          <w:p w14:paraId="530A5DB6" w14:textId="2DE34A01" w:rsidR="006F3D5F" w:rsidRPr="008C1E5F" w:rsidRDefault="006F3D5F" w:rsidP="006F3D5F">
            <w:pPr>
              <w:pStyle w:val="TableText"/>
              <w:tabs>
                <w:tab w:val="decimal" w:pos="0"/>
              </w:tabs>
              <w:jc w:val="center"/>
              <w:rPr>
                <w:rFonts w:ascii="Franklin Gothic Book" w:hAnsi="Franklin Gothic Book"/>
              </w:rPr>
            </w:pPr>
            <w:r w:rsidRPr="008C1E5F">
              <w:rPr>
                <w:rFonts w:ascii="Franklin Gothic Book" w:hAnsi="Franklin Gothic Book"/>
              </w:rPr>
              <w:t>2.7%</w:t>
            </w:r>
          </w:p>
        </w:tc>
        <w:tc>
          <w:tcPr>
            <w:tcW w:w="1744" w:type="dxa"/>
            <w:vAlign w:val="center"/>
          </w:tcPr>
          <w:p w14:paraId="4FBA0355" w14:textId="039AD911" w:rsidR="006F3D5F" w:rsidRPr="008C1E5F" w:rsidRDefault="006F3D5F" w:rsidP="006F3D5F">
            <w:pPr>
              <w:pStyle w:val="TableTextCentered"/>
              <w:rPr>
                <w:rFonts w:ascii="Franklin Gothic Book" w:hAnsi="Franklin Gothic Book"/>
              </w:rPr>
            </w:pPr>
            <w:r w:rsidRPr="008C1E5F">
              <w:rPr>
                <w:rFonts w:ascii="Franklin Gothic Book" w:hAnsi="Franklin Gothic Book"/>
              </w:rPr>
              <w:t>68,608</w:t>
            </w:r>
          </w:p>
        </w:tc>
        <w:tc>
          <w:tcPr>
            <w:tcW w:w="1553" w:type="dxa"/>
            <w:shd w:val="clear" w:color="auto" w:fill="D9E2F3" w:themeFill="accent5" w:themeFillTint="33"/>
            <w:vAlign w:val="center"/>
          </w:tcPr>
          <w:p w14:paraId="2E1EA328" w14:textId="66860657" w:rsidR="006F3D5F" w:rsidRPr="008C1E5F" w:rsidRDefault="006F3D5F" w:rsidP="006F3D5F">
            <w:pPr>
              <w:pStyle w:val="TableText"/>
              <w:jc w:val="center"/>
              <w:rPr>
                <w:rFonts w:ascii="Franklin Gothic Book" w:hAnsi="Franklin Gothic Book"/>
              </w:rPr>
            </w:pPr>
            <w:r w:rsidRPr="008C1E5F">
              <w:rPr>
                <w:rFonts w:ascii="Franklin Gothic Book" w:hAnsi="Franklin Gothic Book"/>
              </w:rPr>
              <w:t>7.5%</w:t>
            </w:r>
          </w:p>
        </w:tc>
      </w:tr>
      <w:tr w:rsidR="00192AC8" w:rsidRPr="008C1E5F" w14:paraId="146F45B5" w14:textId="77777777" w:rsidTr="006F3D5F">
        <w:tc>
          <w:tcPr>
            <w:tcW w:w="2957" w:type="dxa"/>
          </w:tcPr>
          <w:p w14:paraId="4669D6E2" w14:textId="77777777" w:rsidR="00192AC8" w:rsidRPr="008C1E5F" w:rsidRDefault="00192AC8">
            <w:pPr>
              <w:pStyle w:val="TableText"/>
            </w:pPr>
            <w:r w:rsidRPr="008C1E5F">
              <w:t>Black or African American</w:t>
            </w:r>
          </w:p>
        </w:tc>
        <w:tc>
          <w:tcPr>
            <w:tcW w:w="1537" w:type="dxa"/>
            <w:vAlign w:val="center"/>
          </w:tcPr>
          <w:p w14:paraId="65657783" w14:textId="77777777" w:rsidR="00192AC8" w:rsidRPr="008C1E5F" w:rsidRDefault="00192AC8">
            <w:pPr>
              <w:pStyle w:val="TableTextCentered"/>
              <w:rPr>
                <w:rFonts w:ascii="Franklin Gothic Book" w:hAnsi="Franklin Gothic Book"/>
              </w:rPr>
            </w:pPr>
            <w:r w:rsidRPr="008C1E5F">
              <w:rPr>
                <w:rFonts w:ascii="Franklin Gothic Book" w:hAnsi="Franklin Gothic Book"/>
              </w:rPr>
              <w:t>1,610</w:t>
            </w:r>
          </w:p>
        </w:tc>
        <w:tc>
          <w:tcPr>
            <w:tcW w:w="1553" w:type="dxa"/>
            <w:shd w:val="clear" w:color="auto" w:fill="D9E2F3" w:themeFill="accent5" w:themeFillTint="33"/>
            <w:vAlign w:val="center"/>
          </w:tcPr>
          <w:p w14:paraId="00A6CD83" w14:textId="77777777" w:rsidR="00192AC8" w:rsidRPr="008C1E5F" w:rsidRDefault="00192AC8">
            <w:pPr>
              <w:pStyle w:val="TableText"/>
              <w:tabs>
                <w:tab w:val="decimal" w:pos="0"/>
              </w:tabs>
              <w:jc w:val="center"/>
              <w:rPr>
                <w:rFonts w:ascii="Franklin Gothic Book" w:hAnsi="Franklin Gothic Book"/>
              </w:rPr>
            </w:pPr>
            <w:r w:rsidRPr="008C1E5F">
              <w:rPr>
                <w:rFonts w:ascii="Franklin Gothic Book" w:hAnsi="Franklin Gothic Book"/>
              </w:rPr>
              <w:t>14.5%</w:t>
            </w:r>
          </w:p>
        </w:tc>
        <w:tc>
          <w:tcPr>
            <w:tcW w:w="1744" w:type="dxa"/>
            <w:vAlign w:val="center"/>
          </w:tcPr>
          <w:p w14:paraId="1A26C3CE" w14:textId="77777777" w:rsidR="00192AC8" w:rsidRPr="008C1E5F" w:rsidRDefault="00192AC8">
            <w:pPr>
              <w:pStyle w:val="TableTextCentered"/>
              <w:rPr>
                <w:rFonts w:ascii="Franklin Gothic Book" w:hAnsi="Franklin Gothic Book"/>
              </w:rPr>
            </w:pPr>
            <w:r w:rsidRPr="008C1E5F">
              <w:rPr>
                <w:rFonts w:ascii="Franklin Gothic Book" w:hAnsi="Franklin Gothic Book"/>
              </w:rPr>
              <w:t>93,245</w:t>
            </w:r>
          </w:p>
        </w:tc>
        <w:tc>
          <w:tcPr>
            <w:tcW w:w="1553" w:type="dxa"/>
            <w:shd w:val="clear" w:color="auto" w:fill="D9E2F3" w:themeFill="accent5" w:themeFillTint="33"/>
            <w:vAlign w:val="center"/>
          </w:tcPr>
          <w:p w14:paraId="5C326591" w14:textId="77777777" w:rsidR="00192AC8" w:rsidRPr="008C1E5F" w:rsidRDefault="00192AC8">
            <w:pPr>
              <w:pStyle w:val="TableText"/>
              <w:jc w:val="center"/>
              <w:rPr>
                <w:rFonts w:ascii="Franklin Gothic Book" w:hAnsi="Franklin Gothic Book"/>
              </w:rPr>
            </w:pPr>
            <w:r w:rsidRPr="008C1E5F">
              <w:rPr>
                <w:rFonts w:ascii="Franklin Gothic Book" w:hAnsi="Franklin Gothic Book"/>
              </w:rPr>
              <w:t>10.2%</w:t>
            </w:r>
          </w:p>
        </w:tc>
      </w:tr>
      <w:tr w:rsidR="00192AC8" w:rsidRPr="008C1E5F" w14:paraId="0CA80A1D" w14:textId="77777777" w:rsidTr="006F3D5F">
        <w:tc>
          <w:tcPr>
            <w:tcW w:w="2957" w:type="dxa"/>
          </w:tcPr>
          <w:p w14:paraId="01A16D8B" w14:textId="77777777" w:rsidR="00192AC8" w:rsidRPr="008C1E5F" w:rsidRDefault="00192AC8">
            <w:pPr>
              <w:pStyle w:val="TableText"/>
            </w:pPr>
            <w:r w:rsidRPr="008C1E5F">
              <w:t>Hispanic or Latino</w:t>
            </w:r>
          </w:p>
        </w:tc>
        <w:tc>
          <w:tcPr>
            <w:tcW w:w="1537" w:type="dxa"/>
            <w:vAlign w:val="center"/>
          </w:tcPr>
          <w:p w14:paraId="28F4246C" w14:textId="77777777" w:rsidR="00192AC8" w:rsidRPr="008C1E5F" w:rsidRDefault="00192AC8">
            <w:pPr>
              <w:pStyle w:val="TableTextCentered"/>
              <w:rPr>
                <w:rFonts w:ascii="Franklin Gothic Book" w:hAnsi="Franklin Gothic Book"/>
              </w:rPr>
            </w:pPr>
            <w:r w:rsidRPr="008C1E5F">
              <w:rPr>
                <w:rFonts w:ascii="Franklin Gothic Book" w:hAnsi="Franklin Gothic Book"/>
              </w:rPr>
              <w:t>3,752</w:t>
            </w:r>
          </w:p>
        </w:tc>
        <w:tc>
          <w:tcPr>
            <w:tcW w:w="1553" w:type="dxa"/>
            <w:shd w:val="clear" w:color="auto" w:fill="D9E2F3" w:themeFill="accent5" w:themeFillTint="33"/>
            <w:vAlign w:val="center"/>
          </w:tcPr>
          <w:p w14:paraId="3925FC2F" w14:textId="77777777" w:rsidR="00192AC8" w:rsidRPr="008C1E5F" w:rsidRDefault="00192AC8">
            <w:pPr>
              <w:pStyle w:val="TableText"/>
              <w:tabs>
                <w:tab w:val="decimal" w:pos="0"/>
              </w:tabs>
              <w:jc w:val="center"/>
              <w:rPr>
                <w:rFonts w:ascii="Franklin Gothic Book" w:hAnsi="Franklin Gothic Book"/>
              </w:rPr>
            </w:pPr>
            <w:r w:rsidRPr="008C1E5F">
              <w:rPr>
                <w:rFonts w:ascii="Franklin Gothic Book" w:hAnsi="Franklin Gothic Book"/>
              </w:rPr>
              <w:t>33.8%</w:t>
            </w:r>
          </w:p>
        </w:tc>
        <w:tc>
          <w:tcPr>
            <w:tcW w:w="1744" w:type="dxa"/>
            <w:vAlign w:val="center"/>
          </w:tcPr>
          <w:p w14:paraId="014857DB" w14:textId="77777777" w:rsidR="00192AC8" w:rsidRPr="008C1E5F" w:rsidRDefault="00192AC8">
            <w:pPr>
              <w:pStyle w:val="TableTextCentered"/>
              <w:rPr>
                <w:rFonts w:ascii="Franklin Gothic Book" w:hAnsi="Franklin Gothic Book"/>
              </w:rPr>
            </w:pPr>
            <w:r w:rsidRPr="008C1E5F">
              <w:rPr>
                <w:rFonts w:ascii="Franklin Gothic Book" w:hAnsi="Franklin Gothic Book"/>
              </w:rPr>
              <w:t>236,839</w:t>
            </w:r>
          </w:p>
        </w:tc>
        <w:tc>
          <w:tcPr>
            <w:tcW w:w="1553" w:type="dxa"/>
            <w:shd w:val="clear" w:color="auto" w:fill="D9E2F3" w:themeFill="accent5" w:themeFillTint="33"/>
            <w:vAlign w:val="center"/>
          </w:tcPr>
          <w:p w14:paraId="4F5F0DFA" w14:textId="77777777" w:rsidR="00192AC8" w:rsidRPr="008C1E5F" w:rsidRDefault="00192AC8">
            <w:pPr>
              <w:pStyle w:val="TableText"/>
              <w:jc w:val="center"/>
              <w:rPr>
                <w:rFonts w:ascii="Franklin Gothic Book" w:hAnsi="Franklin Gothic Book"/>
              </w:rPr>
            </w:pPr>
            <w:r w:rsidRPr="008C1E5F">
              <w:rPr>
                <w:rFonts w:ascii="Franklin Gothic Book" w:hAnsi="Franklin Gothic Book"/>
              </w:rPr>
              <w:t>25.9%</w:t>
            </w:r>
          </w:p>
        </w:tc>
      </w:tr>
      <w:tr w:rsidR="00BF2408" w:rsidRPr="008C1E5F" w14:paraId="5509523A" w14:textId="77777777" w:rsidTr="006F3D5F">
        <w:tc>
          <w:tcPr>
            <w:tcW w:w="2957" w:type="dxa"/>
          </w:tcPr>
          <w:p w14:paraId="6DF32DE1" w14:textId="6A781CA8" w:rsidR="00BF2408" w:rsidRPr="008C1E5F" w:rsidRDefault="00BF2408" w:rsidP="00BF2408">
            <w:pPr>
              <w:pStyle w:val="TableText"/>
            </w:pPr>
            <w:r w:rsidRPr="008C1E5F">
              <w:t>Multi-Race, Not Hispanic or Latino</w:t>
            </w:r>
          </w:p>
        </w:tc>
        <w:tc>
          <w:tcPr>
            <w:tcW w:w="1537" w:type="dxa"/>
            <w:vAlign w:val="center"/>
          </w:tcPr>
          <w:p w14:paraId="2534100B" w14:textId="1CF04D8C" w:rsidR="00BF2408" w:rsidRPr="008C1E5F" w:rsidRDefault="00BF2408" w:rsidP="00BF2408">
            <w:pPr>
              <w:pStyle w:val="TableTextCentered"/>
              <w:rPr>
                <w:rFonts w:ascii="Franklin Gothic Book" w:hAnsi="Franklin Gothic Book"/>
              </w:rPr>
            </w:pPr>
            <w:r w:rsidRPr="008C1E5F">
              <w:rPr>
                <w:rFonts w:ascii="Franklin Gothic Book" w:hAnsi="Franklin Gothic Book"/>
              </w:rPr>
              <w:t>913</w:t>
            </w:r>
          </w:p>
        </w:tc>
        <w:tc>
          <w:tcPr>
            <w:tcW w:w="1553" w:type="dxa"/>
            <w:shd w:val="clear" w:color="auto" w:fill="D9E2F3" w:themeFill="accent5" w:themeFillTint="33"/>
            <w:vAlign w:val="center"/>
          </w:tcPr>
          <w:p w14:paraId="595840D9" w14:textId="49DBB8A5" w:rsidR="00BF2408" w:rsidRPr="008C1E5F" w:rsidRDefault="00BF2408" w:rsidP="00BF2408">
            <w:pPr>
              <w:pStyle w:val="TableText"/>
              <w:tabs>
                <w:tab w:val="decimal" w:pos="0"/>
              </w:tabs>
              <w:jc w:val="center"/>
              <w:rPr>
                <w:rFonts w:ascii="Franklin Gothic Book" w:hAnsi="Franklin Gothic Book"/>
              </w:rPr>
            </w:pPr>
            <w:r w:rsidRPr="008C1E5F">
              <w:rPr>
                <w:rFonts w:ascii="Franklin Gothic Book" w:hAnsi="Franklin Gothic Book"/>
              </w:rPr>
              <w:t>8.2%</w:t>
            </w:r>
          </w:p>
        </w:tc>
        <w:tc>
          <w:tcPr>
            <w:tcW w:w="1744" w:type="dxa"/>
            <w:vAlign w:val="center"/>
          </w:tcPr>
          <w:p w14:paraId="29BCB048" w14:textId="0D47620B" w:rsidR="00BF2408" w:rsidRPr="008C1E5F" w:rsidRDefault="00BF2408" w:rsidP="00BF2408">
            <w:pPr>
              <w:pStyle w:val="TableTextCentered"/>
              <w:rPr>
                <w:rFonts w:ascii="Franklin Gothic Book" w:hAnsi="Franklin Gothic Book"/>
              </w:rPr>
            </w:pPr>
            <w:r w:rsidRPr="008C1E5F">
              <w:rPr>
                <w:rFonts w:ascii="Franklin Gothic Book" w:hAnsi="Franklin Gothic Book"/>
              </w:rPr>
              <w:t>42,303</w:t>
            </w:r>
          </w:p>
        </w:tc>
        <w:tc>
          <w:tcPr>
            <w:tcW w:w="1553" w:type="dxa"/>
            <w:shd w:val="clear" w:color="auto" w:fill="D9E2F3" w:themeFill="accent5" w:themeFillTint="33"/>
            <w:vAlign w:val="center"/>
          </w:tcPr>
          <w:p w14:paraId="46C37FC4" w14:textId="0688FA25" w:rsidR="00BF2408" w:rsidRPr="008C1E5F" w:rsidRDefault="00BF2408" w:rsidP="00BF2408">
            <w:pPr>
              <w:pStyle w:val="TableText"/>
              <w:jc w:val="center"/>
              <w:rPr>
                <w:rFonts w:ascii="Franklin Gothic Book" w:hAnsi="Franklin Gothic Book"/>
              </w:rPr>
            </w:pPr>
            <w:r w:rsidRPr="008C1E5F">
              <w:rPr>
                <w:rFonts w:ascii="Franklin Gothic Book" w:hAnsi="Franklin Gothic Book"/>
              </w:rPr>
              <w:t>4.6%</w:t>
            </w:r>
          </w:p>
        </w:tc>
      </w:tr>
      <w:tr w:rsidR="00192AC8" w:rsidRPr="008C1E5F" w14:paraId="36C33141" w14:textId="77777777" w:rsidTr="006F3D5F">
        <w:tc>
          <w:tcPr>
            <w:tcW w:w="2957" w:type="dxa"/>
          </w:tcPr>
          <w:p w14:paraId="2598B4C2" w14:textId="2C9BC535" w:rsidR="00192AC8" w:rsidRPr="008C1E5F" w:rsidRDefault="00BF2408">
            <w:pPr>
              <w:pStyle w:val="TableText"/>
            </w:pPr>
            <w:r w:rsidRPr="008C1E5F">
              <w:t>Native Hawaiian or Other Pacific Islander</w:t>
            </w:r>
          </w:p>
        </w:tc>
        <w:tc>
          <w:tcPr>
            <w:tcW w:w="1537" w:type="dxa"/>
            <w:vAlign w:val="center"/>
          </w:tcPr>
          <w:p w14:paraId="6E5B2F1F" w14:textId="6EE953D9" w:rsidR="00192AC8" w:rsidRPr="008C1E5F" w:rsidRDefault="00BF2408">
            <w:pPr>
              <w:pStyle w:val="TableTextCentered"/>
              <w:rPr>
                <w:rFonts w:ascii="Franklin Gothic Book" w:hAnsi="Franklin Gothic Book"/>
              </w:rPr>
            </w:pPr>
            <w:r w:rsidRPr="008C1E5F">
              <w:rPr>
                <w:rFonts w:ascii="Franklin Gothic Book" w:hAnsi="Franklin Gothic Book"/>
              </w:rPr>
              <w:t>10</w:t>
            </w:r>
          </w:p>
        </w:tc>
        <w:tc>
          <w:tcPr>
            <w:tcW w:w="1553" w:type="dxa"/>
            <w:shd w:val="clear" w:color="auto" w:fill="D9E2F3" w:themeFill="accent5" w:themeFillTint="33"/>
            <w:vAlign w:val="center"/>
          </w:tcPr>
          <w:p w14:paraId="3B2B9E64" w14:textId="0842A49F" w:rsidR="00192AC8" w:rsidRPr="008C1E5F" w:rsidRDefault="00BF2408">
            <w:pPr>
              <w:pStyle w:val="TableText"/>
              <w:tabs>
                <w:tab w:val="decimal" w:pos="0"/>
              </w:tabs>
              <w:jc w:val="center"/>
              <w:rPr>
                <w:rFonts w:ascii="Franklin Gothic Book" w:hAnsi="Franklin Gothic Book"/>
              </w:rPr>
            </w:pPr>
            <w:r w:rsidRPr="008C1E5F">
              <w:rPr>
                <w:rFonts w:ascii="Franklin Gothic Book" w:hAnsi="Franklin Gothic Book"/>
              </w:rPr>
              <w:t>0.1%</w:t>
            </w:r>
          </w:p>
        </w:tc>
        <w:tc>
          <w:tcPr>
            <w:tcW w:w="1744" w:type="dxa"/>
            <w:vAlign w:val="center"/>
          </w:tcPr>
          <w:p w14:paraId="13682BFC" w14:textId="7FB213BE" w:rsidR="00192AC8" w:rsidRPr="008C1E5F" w:rsidRDefault="00BF2408">
            <w:pPr>
              <w:pStyle w:val="TableTextCentered"/>
              <w:rPr>
                <w:rFonts w:ascii="Franklin Gothic Book" w:hAnsi="Franklin Gothic Book"/>
              </w:rPr>
            </w:pPr>
            <w:r w:rsidRPr="008C1E5F">
              <w:rPr>
                <w:rFonts w:ascii="Franklin Gothic Book" w:hAnsi="Franklin Gothic Book"/>
              </w:rPr>
              <w:t>800</w:t>
            </w:r>
          </w:p>
        </w:tc>
        <w:tc>
          <w:tcPr>
            <w:tcW w:w="1553" w:type="dxa"/>
            <w:shd w:val="clear" w:color="auto" w:fill="D9E2F3" w:themeFill="accent5" w:themeFillTint="33"/>
            <w:vAlign w:val="center"/>
          </w:tcPr>
          <w:p w14:paraId="1E6C2B3B" w14:textId="6DAC51C3" w:rsidR="00192AC8" w:rsidRPr="008C1E5F" w:rsidRDefault="00BF2408">
            <w:pPr>
              <w:pStyle w:val="TableText"/>
              <w:jc w:val="center"/>
              <w:rPr>
                <w:rFonts w:ascii="Franklin Gothic Book" w:hAnsi="Franklin Gothic Book"/>
              </w:rPr>
            </w:pPr>
            <w:r w:rsidRPr="008C1E5F">
              <w:rPr>
                <w:rFonts w:ascii="Franklin Gothic Book" w:hAnsi="Franklin Gothic Book"/>
              </w:rPr>
              <w:t>0.1%</w:t>
            </w:r>
          </w:p>
        </w:tc>
      </w:tr>
      <w:tr w:rsidR="00192AC8" w:rsidRPr="008C1E5F" w14:paraId="1880B962" w14:textId="77777777" w:rsidTr="006F3D5F">
        <w:tc>
          <w:tcPr>
            <w:tcW w:w="2957" w:type="dxa"/>
          </w:tcPr>
          <w:p w14:paraId="794554A4" w14:textId="77777777" w:rsidR="00192AC8" w:rsidRPr="008C1E5F" w:rsidRDefault="00192AC8" w:rsidP="00F01722">
            <w:pPr>
              <w:pStyle w:val="TableText"/>
              <w:spacing w:before="0" w:after="0" w:line="240" w:lineRule="auto"/>
            </w:pPr>
            <w:r w:rsidRPr="008C1E5F">
              <w:t>White</w:t>
            </w:r>
          </w:p>
        </w:tc>
        <w:tc>
          <w:tcPr>
            <w:tcW w:w="1537" w:type="dxa"/>
            <w:vAlign w:val="center"/>
          </w:tcPr>
          <w:p w14:paraId="73CD0319" w14:textId="77777777" w:rsidR="00192AC8" w:rsidRPr="008C1E5F" w:rsidRDefault="00192AC8" w:rsidP="00F01722">
            <w:pPr>
              <w:pStyle w:val="TableTextCentered"/>
              <w:spacing w:before="0" w:after="0" w:line="240" w:lineRule="auto"/>
              <w:rPr>
                <w:rFonts w:ascii="Franklin Gothic Book" w:hAnsi="Franklin Gothic Book"/>
              </w:rPr>
            </w:pPr>
            <w:r w:rsidRPr="008C1E5F">
              <w:rPr>
                <w:rFonts w:ascii="Franklin Gothic Book" w:hAnsi="Franklin Gothic Book"/>
              </w:rPr>
              <w:t>4,480</w:t>
            </w:r>
          </w:p>
        </w:tc>
        <w:tc>
          <w:tcPr>
            <w:tcW w:w="1553" w:type="dxa"/>
            <w:shd w:val="clear" w:color="auto" w:fill="D9E2F3" w:themeFill="accent5" w:themeFillTint="33"/>
            <w:vAlign w:val="center"/>
          </w:tcPr>
          <w:p w14:paraId="1AFCC919" w14:textId="77777777" w:rsidR="00192AC8" w:rsidRPr="008C1E5F" w:rsidRDefault="00192AC8" w:rsidP="00F01722">
            <w:pPr>
              <w:pStyle w:val="TableText"/>
              <w:tabs>
                <w:tab w:val="decimal" w:pos="0"/>
              </w:tabs>
              <w:spacing w:before="0" w:after="0" w:line="240" w:lineRule="auto"/>
              <w:jc w:val="center"/>
              <w:rPr>
                <w:rFonts w:ascii="Franklin Gothic Book" w:hAnsi="Franklin Gothic Book"/>
              </w:rPr>
            </w:pPr>
            <w:r w:rsidRPr="008C1E5F">
              <w:rPr>
                <w:rFonts w:ascii="Franklin Gothic Book" w:hAnsi="Franklin Gothic Book"/>
              </w:rPr>
              <w:t>40.4%</w:t>
            </w:r>
          </w:p>
        </w:tc>
        <w:tc>
          <w:tcPr>
            <w:tcW w:w="1744" w:type="dxa"/>
            <w:vAlign w:val="center"/>
          </w:tcPr>
          <w:p w14:paraId="6EBB9706" w14:textId="77777777" w:rsidR="00192AC8" w:rsidRPr="008C1E5F" w:rsidRDefault="00192AC8" w:rsidP="00F01722">
            <w:pPr>
              <w:pStyle w:val="TableTextCentered"/>
              <w:spacing w:before="0" w:after="0" w:line="240" w:lineRule="auto"/>
              <w:rPr>
                <w:rFonts w:ascii="Franklin Gothic Book" w:hAnsi="Franklin Gothic Book"/>
              </w:rPr>
            </w:pPr>
            <w:r w:rsidRPr="008C1E5F">
              <w:rPr>
                <w:rFonts w:ascii="Franklin Gothic Book" w:hAnsi="Franklin Gothic Book"/>
              </w:rPr>
              <w:t>471,865</w:t>
            </w:r>
          </w:p>
        </w:tc>
        <w:tc>
          <w:tcPr>
            <w:tcW w:w="1553" w:type="dxa"/>
            <w:shd w:val="clear" w:color="auto" w:fill="D9E2F3" w:themeFill="accent5" w:themeFillTint="33"/>
            <w:vAlign w:val="center"/>
          </w:tcPr>
          <w:p w14:paraId="2D9DC44E" w14:textId="77777777" w:rsidR="00192AC8" w:rsidRPr="008C1E5F" w:rsidRDefault="00192AC8" w:rsidP="00F01722">
            <w:pPr>
              <w:pStyle w:val="TableText"/>
              <w:spacing w:before="0" w:after="0" w:line="240" w:lineRule="auto"/>
              <w:jc w:val="center"/>
              <w:rPr>
                <w:rFonts w:ascii="Franklin Gothic Book" w:hAnsi="Franklin Gothic Book"/>
              </w:rPr>
            </w:pPr>
            <w:r w:rsidRPr="008C1E5F">
              <w:rPr>
                <w:rFonts w:ascii="Franklin Gothic Book" w:hAnsi="Franklin Gothic Book"/>
              </w:rPr>
              <w:t>51.5%</w:t>
            </w:r>
          </w:p>
        </w:tc>
      </w:tr>
    </w:tbl>
    <w:p w14:paraId="5E59AFCD" w14:textId="77777777" w:rsidR="00192AC8" w:rsidRPr="008C1E5F" w:rsidRDefault="00192AC8" w:rsidP="00F01722">
      <w:pPr>
        <w:pStyle w:val="TableNote"/>
        <w:spacing w:before="0" w:line="240" w:lineRule="auto"/>
      </w:pPr>
      <w:r w:rsidRPr="008C1E5F">
        <w:rPr>
          <w:i/>
          <w:iCs/>
        </w:rPr>
        <w:t>Note</w:t>
      </w:r>
      <w:r w:rsidRPr="008C1E5F">
        <w:t>. As of October 1, 2024.</w:t>
      </w:r>
    </w:p>
    <w:p w14:paraId="31BA45E8" w14:textId="209F576B" w:rsidR="00192AC8" w:rsidRPr="008C1E5F" w:rsidRDefault="00192AC8" w:rsidP="00192AC8">
      <w:pPr>
        <w:pStyle w:val="TableTitle0"/>
        <w:spacing w:before="180"/>
      </w:pPr>
      <w:r w:rsidRPr="008C1E5F">
        <w:t>Table D2. Fall River Public Schools: 2024-2025 Student Enrollment by High</w:t>
      </w:r>
      <w:r w:rsidR="00AC7E71">
        <w:t xml:space="preserve"> </w:t>
      </w:r>
      <w:r w:rsidRPr="008C1E5F">
        <w:t>Need</w:t>
      </w:r>
      <w:r w:rsidR="00AC7E71">
        <w:t>s</w:t>
      </w:r>
      <w:r w:rsidRPr="008C1E5F">
        <w:t xml:space="preserve"> Populations</w:t>
      </w:r>
    </w:p>
    <w:tbl>
      <w:tblPr>
        <w:tblStyle w:val="MSVTable1"/>
        <w:tblW w:w="5000" w:type="pct"/>
        <w:tblLayout w:type="fixed"/>
        <w:tblLook w:val="0620" w:firstRow="1" w:lastRow="0" w:firstColumn="0" w:lastColumn="0" w:noHBand="1" w:noVBand="1"/>
      </w:tblPr>
      <w:tblGrid>
        <w:gridCol w:w="2287"/>
        <w:gridCol w:w="1125"/>
        <w:gridCol w:w="1227"/>
        <w:gridCol w:w="1176"/>
        <w:gridCol w:w="1017"/>
        <w:gridCol w:w="1335"/>
        <w:gridCol w:w="1177"/>
      </w:tblGrid>
      <w:tr w:rsidR="003E0E63" w:rsidRPr="008C1E5F" w14:paraId="445F9978" w14:textId="77777777">
        <w:trPr>
          <w:cnfStyle w:val="100000000000" w:firstRow="1" w:lastRow="0" w:firstColumn="0" w:lastColumn="0" w:oddVBand="0" w:evenVBand="0" w:oddHBand="0" w:evenHBand="0" w:firstRowFirstColumn="0" w:firstRowLastColumn="0" w:lastRowFirstColumn="0" w:lastRowLastColumn="0"/>
          <w:tblHeader/>
        </w:trPr>
        <w:tc>
          <w:tcPr>
            <w:tcW w:w="2287" w:type="dxa"/>
            <w:vAlign w:val="center"/>
          </w:tcPr>
          <w:p w14:paraId="4C3AF05E" w14:textId="43732C4A" w:rsidR="003E0E63" w:rsidRPr="008C1E5F" w:rsidRDefault="003E0E63" w:rsidP="003E0E63">
            <w:pPr>
              <w:pStyle w:val="TableColHeadingCenter"/>
              <w:jc w:val="left"/>
            </w:pPr>
            <w:r>
              <w:t>Group</w:t>
            </w:r>
          </w:p>
        </w:tc>
        <w:tc>
          <w:tcPr>
            <w:tcW w:w="1125" w:type="dxa"/>
            <w:vAlign w:val="center"/>
          </w:tcPr>
          <w:p w14:paraId="516FC65C" w14:textId="77777777" w:rsidR="003E0E63" w:rsidRDefault="003E0E63" w:rsidP="003E0E63">
            <w:pPr>
              <w:pStyle w:val="TableColHeadingCenter"/>
              <w:spacing w:before="0" w:after="0" w:line="240" w:lineRule="auto"/>
              <w:rPr>
                <w:i/>
                <w:iCs/>
              </w:rPr>
            </w:pPr>
            <w:r w:rsidRPr="00CB0607">
              <w:rPr>
                <w:i/>
                <w:iCs/>
              </w:rPr>
              <w:t>N</w:t>
            </w:r>
          </w:p>
          <w:p w14:paraId="0C243040" w14:textId="4819A6B1" w:rsidR="003E0E63" w:rsidRPr="008C1E5F" w:rsidRDefault="003E0E63" w:rsidP="003E0E63">
            <w:pPr>
              <w:pStyle w:val="TableColHeadingCenter"/>
              <w:rPr>
                <w:i/>
                <w:iCs/>
              </w:rPr>
            </w:pPr>
            <w:r w:rsidRPr="00801381">
              <w:t>(District)</w:t>
            </w:r>
          </w:p>
        </w:tc>
        <w:tc>
          <w:tcPr>
            <w:tcW w:w="1227" w:type="dxa"/>
            <w:vAlign w:val="center"/>
          </w:tcPr>
          <w:p w14:paraId="34CD5E36" w14:textId="77777777" w:rsidR="003E0E63" w:rsidRDefault="003E0E63" w:rsidP="003E0E63">
            <w:pPr>
              <w:pStyle w:val="TableColHeadingCenter"/>
              <w:spacing w:before="0" w:after="0" w:line="240" w:lineRule="auto"/>
            </w:pPr>
            <w:r w:rsidRPr="00CB0607">
              <w:t xml:space="preserve">Percentage of </w:t>
            </w:r>
            <w:r>
              <w:t>H</w:t>
            </w:r>
            <w:r w:rsidRPr="00CB0607">
              <w:t>igh</w:t>
            </w:r>
            <w:r>
              <w:t xml:space="preserve"> N</w:t>
            </w:r>
            <w:r w:rsidRPr="00CB0607">
              <w:t>eed</w:t>
            </w:r>
            <w:r>
              <w:t>s</w:t>
            </w:r>
          </w:p>
          <w:p w14:paraId="635BC284" w14:textId="45A403E6" w:rsidR="003E0E63" w:rsidRPr="008C1E5F" w:rsidRDefault="003E0E63" w:rsidP="003E0E63">
            <w:pPr>
              <w:pStyle w:val="TableColHeadingCenter"/>
            </w:pPr>
            <w:r>
              <w:t>(District)</w:t>
            </w:r>
          </w:p>
        </w:tc>
        <w:tc>
          <w:tcPr>
            <w:tcW w:w="1176" w:type="dxa"/>
            <w:vAlign w:val="center"/>
          </w:tcPr>
          <w:p w14:paraId="524235CB" w14:textId="047D6347" w:rsidR="003E0E63" w:rsidRPr="008C1E5F" w:rsidRDefault="003E0E63" w:rsidP="003E0E63">
            <w:pPr>
              <w:pStyle w:val="TableColHeadingCenter"/>
            </w:pPr>
            <w:r w:rsidRPr="00CB0607">
              <w:t xml:space="preserve">Percentage of </w:t>
            </w:r>
            <w:r>
              <w:t>D</w:t>
            </w:r>
            <w:r w:rsidRPr="00CB0607">
              <w:t>istrict</w:t>
            </w:r>
          </w:p>
        </w:tc>
        <w:tc>
          <w:tcPr>
            <w:tcW w:w="1017" w:type="dxa"/>
            <w:vAlign w:val="center"/>
          </w:tcPr>
          <w:p w14:paraId="5FDFF4E8" w14:textId="77777777" w:rsidR="003E0E63" w:rsidRDefault="003E0E63" w:rsidP="003E0E63">
            <w:pPr>
              <w:pStyle w:val="TableColHeadingCenter"/>
              <w:spacing w:before="0" w:after="0" w:line="240" w:lineRule="auto"/>
              <w:rPr>
                <w:i/>
                <w:iCs/>
              </w:rPr>
            </w:pPr>
            <w:r w:rsidRPr="00CB0607">
              <w:rPr>
                <w:i/>
                <w:iCs/>
              </w:rPr>
              <w:t>N</w:t>
            </w:r>
          </w:p>
          <w:p w14:paraId="51167F8B" w14:textId="2DC361BE" w:rsidR="003E0E63" w:rsidRPr="008C1E5F" w:rsidRDefault="003E0E63" w:rsidP="003E0E63">
            <w:pPr>
              <w:pStyle w:val="TableColHeadingCenter"/>
              <w:rPr>
                <w:i/>
                <w:iCs/>
              </w:rPr>
            </w:pPr>
            <w:r w:rsidRPr="00AD33AD">
              <w:t>(State)</w:t>
            </w:r>
          </w:p>
        </w:tc>
        <w:tc>
          <w:tcPr>
            <w:tcW w:w="1335" w:type="dxa"/>
            <w:vAlign w:val="center"/>
          </w:tcPr>
          <w:p w14:paraId="2427E813" w14:textId="77777777" w:rsidR="003E0E63" w:rsidRDefault="003E0E63" w:rsidP="003E0E63">
            <w:pPr>
              <w:pStyle w:val="TableColHeadingCenter"/>
              <w:spacing w:before="0" w:after="0" w:line="240" w:lineRule="auto"/>
            </w:pPr>
            <w:r w:rsidRPr="00CB0607">
              <w:t xml:space="preserve">Percentage of </w:t>
            </w:r>
            <w:r>
              <w:t>H</w:t>
            </w:r>
            <w:r w:rsidRPr="00CB0607">
              <w:t xml:space="preserve">igh </w:t>
            </w:r>
            <w:r>
              <w:t>N</w:t>
            </w:r>
            <w:r w:rsidRPr="00CB0607">
              <w:t>eed</w:t>
            </w:r>
            <w:r>
              <w:t>s</w:t>
            </w:r>
          </w:p>
          <w:p w14:paraId="6727C652" w14:textId="29FEF3C6" w:rsidR="003E0E63" w:rsidRPr="008C1E5F" w:rsidRDefault="003E0E63" w:rsidP="003E0E63">
            <w:pPr>
              <w:pStyle w:val="TableColHeadingCenter"/>
            </w:pPr>
            <w:r>
              <w:t>(State)</w:t>
            </w:r>
          </w:p>
        </w:tc>
        <w:tc>
          <w:tcPr>
            <w:tcW w:w="1177" w:type="dxa"/>
            <w:vAlign w:val="center"/>
          </w:tcPr>
          <w:p w14:paraId="7BF014EC" w14:textId="48533A39" w:rsidR="003E0E63" w:rsidRPr="008C1E5F" w:rsidRDefault="003E0E63" w:rsidP="003E0E63">
            <w:pPr>
              <w:pStyle w:val="TableColHeadingCenter"/>
            </w:pPr>
            <w:r w:rsidRPr="00CB0607">
              <w:t xml:space="preserve">Percentage of </w:t>
            </w:r>
            <w:r>
              <w:t>S</w:t>
            </w:r>
            <w:r w:rsidRPr="00CB0607">
              <w:t>tate</w:t>
            </w:r>
          </w:p>
        </w:tc>
      </w:tr>
      <w:tr w:rsidR="00192AC8" w:rsidRPr="008C1E5F" w14:paraId="15779A9A" w14:textId="77777777">
        <w:tc>
          <w:tcPr>
            <w:tcW w:w="2287" w:type="dxa"/>
          </w:tcPr>
          <w:p w14:paraId="228F74A0" w14:textId="164B4432" w:rsidR="00192AC8" w:rsidRPr="008C1E5F" w:rsidRDefault="00192AC8">
            <w:pPr>
              <w:pStyle w:val="TableText"/>
            </w:pPr>
            <w:r w:rsidRPr="008C1E5F">
              <w:t>High Needs</w:t>
            </w:r>
          </w:p>
        </w:tc>
        <w:tc>
          <w:tcPr>
            <w:tcW w:w="1125" w:type="dxa"/>
            <w:vAlign w:val="center"/>
          </w:tcPr>
          <w:p w14:paraId="7479E468" w14:textId="77777777" w:rsidR="00192AC8" w:rsidRPr="008C1E5F" w:rsidRDefault="00192AC8">
            <w:pPr>
              <w:pStyle w:val="TableTextCentered"/>
              <w:rPr>
                <w:rFonts w:ascii="Franklin Gothic Book" w:hAnsi="Franklin Gothic Book"/>
              </w:rPr>
            </w:pPr>
            <w:r w:rsidRPr="008C1E5F">
              <w:rPr>
                <w:rFonts w:ascii="Franklin Gothic Book" w:hAnsi="Franklin Gothic Book"/>
              </w:rPr>
              <w:t>9,647</w:t>
            </w:r>
          </w:p>
        </w:tc>
        <w:tc>
          <w:tcPr>
            <w:tcW w:w="1227" w:type="dxa"/>
            <w:shd w:val="clear" w:color="auto" w:fill="D9E2F3" w:themeFill="accent5" w:themeFillTint="33"/>
            <w:vAlign w:val="center"/>
          </w:tcPr>
          <w:p w14:paraId="033C5229" w14:textId="77777777" w:rsidR="00192AC8" w:rsidRPr="008C1E5F" w:rsidRDefault="00192AC8">
            <w:pPr>
              <w:pStyle w:val="TableText"/>
              <w:tabs>
                <w:tab w:val="decimal" w:pos="0"/>
              </w:tabs>
              <w:jc w:val="center"/>
              <w:rPr>
                <w:rFonts w:ascii="Franklin Gothic Book" w:hAnsi="Franklin Gothic Book"/>
              </w:rPr>
            </w:pPr>
            <w:r w:rsidRPr="008C1E5F">
              <w:rPr>
                <w:rFonts w:ascii="Franklin Gothic Book" w:hAnsi="Franklin Gothic Book"/>
              </w:rPr>
              <w:t>100.0%</w:t>
            </w:r>
          </w:p>
        </w:tc>
        <w:tc>
          <w:tcPr>
            <w:tcW w:w="1176" w:type="dxa"/>
            <w:shd w:val="clear" w:color="auto" w:fill="D9E2F3" w:themeFill="accent5" w:themeFillTint="33"/>
            <w:vAlign w:val="center"/>
          </w:tcPr>
          <w:p w14:paraId="3C28A36B" w14:textId="77777777" w:rsidR="00192AC8" w:rsidRPr="008C1E5F" w:rsidRDefault="00192AC8">
            <w:pPr>
              <w:pStyle w:val="TableText"/>
              <w:tabs>
                <w:tab w:val="decimal" w:pos="0"/>
              </w:tabs>
              <w:jc w:val="center"/>
              <w:rPr>
                <w:rFonts w:ascii="Franklin Gothic Book" w:hAnsi="Franklin Gothic Book"/>
              </w:rPr>
            </w:pPr>
            <w:r w:rsidRPr="008C1E5F">
              <w:rPr>
                <w:rFonts w:ascii="Franklin Gothic Book" w:hAnsi="Franklin Gothic Book"/>
              </w:rPr>
              <w:t>86.1%</w:t>
            </w:r>
          </w:p>
        </w:tc>
        <w:tc>
          <w:tcPr>
            <w:tcW w:w="1017" w:type="dxa"/>
            <w:vAlign w:val="center"/>
          </w:tcPr>
          <w:p w14:paraId="7E12265F" w14:textId="77777777" w:rsidR="00192AC8" w:rsidRPr="008C1E5F" w:rsidRDefault="00192AC8">
            <w:pPr>
              <w:pStyle w:val="TableTextCentered"/>
              <w:rPr>
                <w:rFonts w:ascii="Franklin Gothic Book" w:hAnsi="Franklin Gothic Book"/>
              </w:rPr>
            </w:pPr>
            <w:r w:rsidRPr="008C1E5F">
              <w:rPr>
                <w:rFonts w:ascii="Franklin Gothic Book" w:hAnsi="Franklin Gothic Book"/>
              </w:rPr>
              <w:t>517,093</w:t>
            </w:r>
          </w:p>
        </w:tc>
        <w:tc>
          <w:tcPr>
            <w:tcW w:w="1335" w:type="dxa"/>
            <w:shd w:val="clear" w:color="auto" w:fill="D9E2F3" w:themeFill="accent5" w:themeFillTint="33"/>
            <w:vAlign w:val="center"/>
          </w:tcPr>
          <w:p w14:paraId="19570DF0" w14:textId="77777777" w:rsidR="00192AC8" w:rsidRPr="008C1E5F" w:rsidRDefault="00192AC8">
            <w:pPr>
              <w:pStyle w:val="TableText"/>
              <w:tabs>
                <w:tab w:val="decimal" w:pos="0"/>
              </w:tabs>
              <w:jc w:val="center"/>
              <w:rPr>
                <w:rFonts w:ascii="Franklin Gothic Book" w:hAnsi="Franklin Gothic Book"/>
              </w:rPr>
            </w:pPr>
            <w:r w:rsidRPr="008C1E5F">
              <w:rPr>
                <w:rFonts w:ascii="Franklin Gothic Book" w:hAnsi="Franklin Gothic Book"/>
              </w:rPr>
              <w:t>100.0%</w:t>
            </w:r>
          </w:p>
        </w:tc>
        <w:tc>
          <w:tcPr>
            <w:tcW w:w="1177" w:type="dxa"/>
            <w:shd w:val="clear" w:color="auto" w:fill="D9E2F3" w:themeFill="accent5" w:themeFillTint="33"/>
            <w:vAlign w:val="center"/>
          </w:tcPr>
          <w:p w14:paraId="3BBE7ABE" w14:textId="77777777" w:rsidR="00192AC8" w:rsidRPr="008C1E5F" w:rsidRDefault="00192AC8">
            <w:pPr>
              <w:pStyle w:val="TableText"/>
              <w:tabs>
                <w:tab w:val="decimal" w:pos="0"/>
              </w:tabs>
              <w:jc w:val="center"/>
              <w:rPr>
                <w:rFonts w:ascii="Franklin Gothic Book" w:hAnsi="Franklin Gothic Book"/>
              </w:rPr>
            </w:pPr>
            <w:r w:rsidRPr="008C1E5F">
              <w:rPr>
                <w:rFonts w:ascii="Franklin Gothic Book" w:hAnsi="Franklin Gothic Book"/>
              </w:rPr>
              <w:t>55.8%</w:t>
            </w:r>
          </w:p>
        </w:tc>
      </w:tr>
      <w:tr w:rsidR="00443AF3" w:rsidRPr="008C1E5F" w14:paraId="73930817" w14:textId="77777777">
        <w:tc>
          <w:tcPr>
            <w:tcW w:w="2287" w:type="dxa"/>
          </w:tcPr>
          <w:p w14:paraId="34E7C491" w14:textId="6B60CB41" w:rsidR="00443AF3" w:rsidRPr="008C1E5F" w:rsidRDefault="00F2278C">
            <w:pPr>
              <w:pStyle w:val="TableText"/>
            </w:pPr>
            <w:r w:rsidRPr="008C1E5F">
              <w:t>English Learners</w:t>
            </w:r>
          </w:p>
        </w:tc>
        <w:tc>
          <w:tcPr>
            <w:tcW w:w="1125" w:type="dxa"/>
            <w:vAlign w:val="center"/>
          </w:tcPr>
          <w:p w14:paraId="3A6CC12C" w14:textId="7B6262E3" w:rsidR="00443AF3" w:rsidRPr="008C1E5F" w:rsidRDefault="00F2278C">
            <w:pPr>
              <w:pStyle w:val="TableTextCentered"/>
              <w:rPr>
                <w:rFonts w:ascii="Franklin Gothic Book" w:hAnsi="Franklin Gothic Book"/>
              </w:rPr>
            </w:pPr>
            <w:r w:rsidRPr="008C1E5F">
              <w:rPr>
                <w:rFonts w:ascii="Franklin Gothic Book" w:hAnsi="Franklin Gothic Book"/>
              </w:rPr>
              <w:t>2,925</w:t>
            </w:r>
          </w:p>
        </w:tc>
        <w:tc>
          <w:tcPr>
            <w:tcW w:w="1227" w:type="dxa"/>
            <w:shd w:val="clear" w:color="auto" w:fill="D9E2F3" w:themeFill="accent5" w:themeFillTint="33"/>
            <w:vAlign w:val="center"/>
          </w:tcPr>
          <w:p w14:paraId="793B8E4C" w14:textId="08789C6C" w:rsidR="00443AF3" w:rsidRPr="008C1E5F" w:rsidRDefault="00F2278C">
            <w:pPr>
              <w:pStyle w:val="TableText"/>
              <w:tabs>
                <w:tab w:val="decimal" w:pos="0"/>
              </w:tabs>
              <w:jc w:val="center"/>
              <w:rPr>
                <w:rFonts w:ascii="Franklin Gothic Book" w:hAnsi="Franklin Gothic Book"/>
              </w:rPr>
            </w:pPr>
            <w:r w:rsidRPr="008C1E5F">
              <w:rPr>
                <w:rFonts w:ascii="Franklin Gothic Book" w:hAnsi="Franklin Gothic Book"/>
              </w:rPr>
              <w:t>30.3%</w:t>
            </w:r>
          </w:p>
        </w:tc>
        <w:tc>
          <w:tcPr>
            <w:tcW w:w="1176" w:type="dxa"/>
            <w:shd w:val="clear" w:color="auto" w:fill="D9E2F3" w:themeFill="accent5" w:themeFillTint="33"/>
            <w:vAlign w:val="center"/>
          </w:tcPr>
          <w:p w14:paraId="7CCEE73A" w14:textId="16159BC0" w:rsidR="00443AF3" w:rsidRPr="008C1E5F" w:rsidRDefault="00F2278C">
            <w:pPr>
              <w:pStyle w:val="TableText"/>
              <w:tabs>
                <w:tab w:val="decimal" w:pos="0"/>
              </w:tabs>
              <w:jc w:val="center"/>
              <w:rPr>
                <w:rFonts w:ascii="Franklin Gothic Book" w:hAnsi="Franklin Gothic Book"/>
              </w:rPr>
            </w:pPr>
            <w:r w:rsidRPr="008C1E5F">
              <w:rPr>
                <w:rFonts w:ascii="Franklin Gothic Book" w:hAnsi="Franklin Gothic Book"/>
              </w:rPr>
              <w:t>26.4%</w:t>
            </w:r>
          </w:p>
        </w:tc>
        <w:tc>
          <w:tcPr>
            <w:tcW w:w="1017" w:type="dxa"/>
            <w:vAlign w:val="center"/>
          </w:tcPr>
          <w:p w14:paraId="28899262" w14:textId="5604D749" w:rsidR="00443AF3" w:rsidRPr="008C1E5F" w:rsidRDefault="00F2278C">
            <w:pPr>
              <w:pStyle w:val="TableTextCentered"/>
              <w:rPr>
                <w:rFonts w:ascii="Franklin Gothic Book" w:hAnsi="Franklin Gothic Book"/>
              </w:rPr>
            </w:pPr>
            <w:r w:rsidRPr="008C1E5F">
              <w:rPr>
                <w:rFonts w:ascii="Franklin Gothic Book" w:hAnsi="Franklin Gothic Book"/>
              </w:rPr>
              <w:t>127,673</w:t>
            </w:r>
          </w:p>
        </w:tc>
        <w:tc>
          <w:tcPr>
            <w:tcW w:w="1335" w:type="dxa"/>
            <w:shd w:val="clear" w:color="auto" w:fill="D9E2F3" w:themeFill="accent5" w:themeFillTint="33"/>
            <w:vAlign w:val="center"/>
          </w:tcPr>
          <w:p w14:paraId="40C18C3F" w14:textId="12C3F0C0" w:rsidR="00443AF3" w:rsidRPr="008C1E5F" w:rsidRDefault="00F2278C">
            <w:pPr>
              <w:pStyle w:val="TableText"/>
              <w:tabs>
                <w:tab w:val="decimal" w:pos="0"/>
              </w:tabs>
              <w:jc w:val="center"/>
              <w:rPr>
                <w:rFonts w:ascii="Franklin Gothic Book" w:hAnsi="Franklin Gothic Book"/>
              </w:rPr>
            </w:pPr>
            <w:r w:rsidRPr="008C1E5F">
              <w:rPr>
                <w:rFonts w:ascii="Franklin Gothic Book" w:hAnsi="Franklin Gothic Book"/>
              </w:rPr>
              <w:t>24.7%</w:t>
            </w:r>
          </w:p>
        </w:tc>
        <w:tc>
          <w:tcPr>
            <w:tcW w:w="1177" w:type="dxa"/>
            <w:shd w:val="clear" w:color="auto" w:fill="D9E2F3" w:themeFill="accent5" w:themeFillTint="33"/>
            <w:vAlign w:val="center"/>
          </w:tcPr>
          <w:p w14:paraId="5C2E3423" w14:textId="01F7B871" w:rsidR="00443AF3" w:rsidRPr="008C1E5F" w:rsidRDefault="00F2278C">
            <w:pPr>
              <w:pStyle w:val="TableText"/>
              <w:tabs>
                <w:tab w:val="decimal" w:pos="0"/>
              </w:tabs>
              <w:jc w:val="center"/>
              <w:rPr>
                <w:rFonts w:ascii="Franklin Gothic Book" w:hAnsi="Franklin Gothic Book"/>
              </w:rPr>
            </w:pPr>
            <w:r w:rsidRPr="008C1E5F">
              <w:rPr>
                <w:rFonts w:ascii="Franklin Gothic Book" w:hAnsi="Franklin Gothic Book"/>
              </w:rPr>
              <w:t>13.9%</w:t>
            </w:r>
          </w:p>
        </w:tc>
      </w:tr>
      <w:tr w:rsidR="00443AF3" w:rsidRPr="008C1E5F" w14:paraId="0C292499" w14:textId="77777777">
        <w:tc>
          <w:tcPr>
            <w:tcW w:w="2287" w:type="dxa"/>
          </w:tcPr>
          <w:p w14:paraId="67A1E38E" w14:textId="47B3A281" w:rsidR="00443AF3" w:rsidRPr="008C1E5F" w:rsidRDefault="00E31B8D">
            <w:pPr>
              <w:pStyle w:val="TableText"/>
            </w:pPr>
            <w:r w:rsidRPr="008C1E5F">
              <w:t>Low Income</w:t>
            </w:r>
          </w:p>
        </w:tc>
        <w:tc>
          <w:tcPr>
            <w:tcW w:w="1125" w:type="dxa"/>
            <w:vAlign w:val="center"/>
          </w:tcPr>
          <w:p w14:paraId="48A3ACA8" w14:textId="516E0B8D" w:rsidR="00443AF3" w:rsidRPr="008C1E5F" w:rsidRDefault="00E31B8D">
            <w:pPr>
              <w:pStyle w:val="TableTextCentered"/>
              <w:rPr>
                <w:rFonts w:ascii="Franklin Gothic Book" w:hAnsi="Franklin Gothic Book"/>
              </w:rPr>
            </w:pPr>
            <w:r w:rsidRPr="008C1E5F">
              <w:rPr>
                <w:rFonts w:ascii="Franklin Gothic Book" w:hAnsi="Franklin Gothic Book"/>
              </w:rPr>
              <w:t>8,682</w:t>
            </w:r>
          </w:p>
        </w:tc>
        <w:tc>
          <w:tcPr>
            <w:tcW w:w="1227" w:type="dxa"/>
            <w:shd w:val="clear" w:color="auto" w:fill="D9E2F3" w:themeFill="accent5" w:themeFillTint="33"/>
            <w:vAlign w:val="center"/>
          </w:tcPr>
          <w:p w14:paraId="4A237C5A" w14:textId="05BDEE27" w:rsidR="00443AF3" w:rsidRPr="008C1E5F" w:rsidRDefault="00E31B8D">
            <w:pPr>
              <w:pStyle w:val="TableText"/>
              <w:tabs>
                <w:tab w:val="decimal" w:pos="0"/>
              </w:tabs>
              <w:jc w:val="center"/>
              <w:rPr>
                <w:rFonts w:ascii="Franklin Gothic Book" w:hAnsi="Franklin Gothic Book"/>
              </w:rPr>
            </w:pPr>
            <w:r w:rsidRPr="008C1E5F">
              <w:rPr>
                <w:rFonts w:ascii="Franklin Gothic Book" w:hAnsi="Franklin Gothic Book"/>
              </w:rPr>
              <w:t>90.0%</w:t>
            </w:r>
          </w:p>
        </w:tc>
        <w:tc>
          <w:tcPr>
            <w:tcW w:w="1176" w:type="dxa"/>
            <w:shd w:val="clear" w:color="auto" w:fill="D9E2F3" w:themeFill="accent5" w:themeFillTint="33"/>
            <w:vAlign w:val="center"/>
          </w:tcPr>
          <w:p w14:paraId="4E6661EF" w14:textId="6265FE0C" w:rsidR="00443AF3" w:rsidRPr="008C1E5F" w:rsidRDefault="00E31B8D">
            <w:pPr>
              <w:pStyle w:val="TableText"/>
              <w:tabs>
                <w:tab w:val="decimal" w:pos="0"/>
              </w:tabs>
              <w:jc w:val="center"/>
              <w:rPr>
                <w:rFonts w:ascii="Franklin Gothic Book" w:hAnsi="Franklin Gothic Book"/>
              </w:rPr>
            </w:pPr>
            <w:r w:rsidRPr="008C1E5F">
              <w:rPr>
                <w:rFonts w:ascii="Franklin Gothic Book" w:hAnsi="Franklin Gothic Book"/>
              </w:rPr>
              <w:t>78.3%</w:t>
            </w:r>
          </w:p>
        </w:tc>
        <w:tc>
          <w:tcPr>
            <w:tcW w:w="1017" w:type="dxa"/>
            <w:vAlign w:val="center"/>
          </w:tcPr>
          <w:p w14:paraId="48C7F47A" w14:textId="7DCFEED1" w:rsidR="00443AF3" w:rsidRPr="008C1E5F" w:rsidRDefault="00E31B8D">
            <w:pPr>
              <w:pStyle w:val="TableTextCentered"/>
              <w:rPr>
                <w:rFonts w:ascii="Franklin Gothic Book" w:hAnsi="Franklin Gothic Book"/>
              </w:rPr>
            </w:pPr>
            <w:r w:rsidRPr="008C1E5F">
              <w:rPr>
                <w:rFonts w:ascii="Franklin Gothic Book" w:hAnsi="Franklin Gothic Book"/>
              </w:rPr>
              <w:t>385,161</w:t>
            </w:r>
          </w:p>
        </w:tc>
        <w:tc>
          <w:tcPr>
            <w:tcW w:w="1335" w:type="dxa"/>
            <w:shd w:val="clear" w:color="auto" w:fill="D9E2F3" w:themeFill="accent5" w:themeFillTint="33"/>
            <w:vAlign w:val="center"/>
          </w:tcPr>
          <w:p w14:paraId="39FAC051" w14:textId="2D09CDAD" w:rsidR="00443AF3" w:rsidRPr="008C1E5F" w:rsidRDefault="00E31B8D">
            <w:pPr>
              <w:pStyle w:val="TableText"/>
              <w:tabs>
                <w:tab w:val="decimal" w:pos="0"/>
              </w:tabs>
              <w:jc w:val="center"/>
              <w:rPr>
                <w:rFonts w:ascii="Franklin Gothic Book" w:hAnsi="Franklin Gothic Book"/>
              </w:rPr>
            </w:pPr>
            <w:r w:rsidRPr="008C1E5F">
              <w:rPr>
                <w:rFonts w:ascii="Franklin Gothic Book" w:hAnsi="Franklin Gothic Book"/>
              </w:rPr>
              <w:t>74.5%</w:t>
            </w:r>
          </w:p>
        </w:tc>
        <w:tc>
          <w:tcPr>
            <w:tcW w:w="1177" w:type="dxa"/>
            <w:shd w:val="clear" w:color="auto" w:fill="D9E2F3" w:themeFill="accent5" w:themeFillTint="33"/>
            <w:vAlign w:val="center"/>
          </w:tcPr>
          <w:p w14:paraId="63B0AEA7" w14:textId="6C24222A" w:rsidR="00443AF3" w:rsidRPr="008C1E5F" w:rsidRDefault="00E31B8D">
            <w:pPr>
              <w:pStyle w:val="TableText"/>
              <w:tabs>
                <w:tab w:val="decimal" w:pos="0"/>
              </w:tabs>
              <w:jc w:val="center"/>
              <w:rPr>
                <w:rFonts w:ascii="Franklin Gothic Book" w:hAnsi="Franklin Gothic Book"/>
              </w:rPr>
            </w:pPr>
            <w:r w:rsidRPr="008C1E5F">
              <w:rPr>
                <w:rFonts w:ascii="Franklin Gothic Book" w:hAnsi="Franklin Gothic Book"/>
              </w:rPr>
              <w:t>42.1%</w:t>
            </w:r>
          </w:p>
        </w:tc>
      </w:tr>
      <w:tr w:rsidR="00192AC8" w:rsidRPr="008C1E5F" w14:paraId="6DA97C44" w14:textId="77777777">
        <w:tc>
          <w:tcPr>
            <w:tcW w:w="2287" w:type="dxa"/>
          </w:tcPr>
          <w:p w14:paraId="2872B5AD" w14:textId="77777777" w:rsidR="00192AC8" w:rsidRPr="008C1E5F" w:rsidRDefault="00192AC8">
            <w:pPr>
              <w:pStyle w:val="TableText"/>
            </w:pPr>
            <w:r w:rsidRPr="008C1E5F">
              <w:t>Students with Disabilities</w:t>
            </w:r>
          </w:p>
        </w:tc>
        <w:tc>
          <w:tcPr>
            <w:tcW w:w="1125" w:type="dxa"/>
            <w:vAlign w:val="center"/>
          </w:tcPr>
          <w:p w14:paraId="53B07C5F" w14:textId="77777777" w:rsidR="00192AC8" w:rsidRPr="008C1E5F" w:rsidRDefault="00192AC8">
            <w:pPr>
              <w:pStyle w:val="TableTextCentered"/>
              <w:rPr>
                <w:rFonts w:ascii="Franklin Gothic Book" w:hAnsi="Franklin Gothic Book"/>
              </w:rPr>
            </w:pPr>
            <w:r w:rsidRPr="008C1E5F">
              <w:rPr>
                <w:rFonts w:ascii="Franklin Gothic Book" w:hAnsi="Franklin Gothic Book"/>
              </w:rPr>
              <w:t>2,900</w:t>
            </w:r>
          </w:p>
        </w:tc>
        <w:tc>
          <w:tcPr>
            <w:tcW w:w="1227" w:type="dxa"/>
            <w:shd w:val="clear" w:color="auto" w:fill="D9E2F3" w:themeFill="accent5" w:themeFillTint="33"/>
            <w:vAlign w:val="center"/>
          </w:tcPr>
          <w:p w14:paraId="34A03023" w14:textId="77777777" w:rsidR="00192AC8" w:rsidRPr="008C1E5F" w:rsidRDefault="00192AC8">
            <w:pPr>
              <w:pStyle w:val="TableText"/>
              <w:tabs>
                <w:tab w:val="decimal" w:pos="0"/>
              </w:tabs>
              <w:jc w:val="center"/>
              <w:rPr>
                <w:rFonts w:ascii="Franklin Gothic Book" w:hAnsi="Franklin Gothic Book"/>
              </w:rPr>
            </w:pPr>
            <w:r w:rsidRPr="008C1E5F">
              <w:rPr>
                <w:rFonts w:ascii="Franklin Gothic Book" w:hAnsi="Franklin Gothic Book"/>
              </w:rPr>
              <w:t>30.1%</w:t>
            </w:r>
          </w:p>
        </w:tc>
        <w:tc>
          <w:tcPr>
            <w:tcW w:w="1176" w:type="dxa"/>
            <w:shd w:val="clear" w:color="auto" w:fill="D9E2F3" w:themeFill="accent5" w:themeFillTint="33"/>
            <w:vAlign w:val="center"/>
          </w:tcPr>
          <w:p w14:paraId="00639093" w14:textId="77777777" w:rsidR="00192AC8" w:rsidRPr="008C1E5F" w:rsidRDefault="00192AC8">
            <w:pPr>
              <w:pStyle w:val="TableText"/>
              <w:tabs>
                <w:tab w:val="decimal" w:pos="0"/>
              </w:tabs>
              <w:jc w:val="center"/>
              <w:rPr>
                <w:rFonts w:ascii="Franklin Gothic Book" w:hAnsi="Franklin Gothic Book"/>
              </w:rPr>
            </w:pPr>
            <w:r w:rsidRPr="008C1E5F">
              <w:rPr>
                <w:rFonts w:ascii="Franklin Gothic Book" w:hAnsi="Franklin Gothic Book"/>
              </w:rPr>
              <w:t>25.9%</w:t>
            </w:r>
          </w:p>
        </w:tc>
        <w:tc>
          <w:tcPr>
            <w:tcW w:w="1017" w:type="dxa"/>
            <w:vAlign w:val="center"/>
          </w:tcPr>
          <w:p w14:paraId="06AE136C" w14:textId="77777777" w:rsidR="00192AC8" w:rsidRPr="008C1E5F" w:rsidRDefault="00192AC8">
            <w:pPr>
              <w:pStyle w:val="TableTextCentered"/>
              <w:rPr>
                <w:rFonts w:ascii="Franklin Gothic Book" w:hAnsi="Franklin Gothic Book"/>
              </w:rPr>
            </w:pPr>
            <w:r w:rsidRPr="008C1E5F">
              <w:rPr>
                <w:rFonts w:ascii="Franklin Gothic Book" w:hAnsi="Franklin Gothic Book"/>
              </w:rPr>
              <w:t>190,967</w:t>
            </w:r>
          </w:p>
        </w:tc>
        <w:tc>
          <w:tcPr>
            <w:tcW w:w="1335" w:type="dxa"/>
            <w:shd w:val="clear" w:color="auto" w:fill="D9E2F3" w:themeFill="accent5" w:themeFillTint="33"/>
            <w:vAlign w:val="center"/>
          </w:tcPr>
          <w:p w14:paraId="5F2BDCAB" w14:textId="77777777" w:rsidR="00192AC8" w:rsidRPr="008C1E5F" w:rsidRDefault="00192AC8">
            <w:pPr>
              <w:pStyle w:val="TableText"/>
              <w:tabs>
                <w:tab w:val="decimal" w:pos="0"/>
              </w:tabs>
              <w:jc w:val="center"/>
              <w:rPr>
                <w:rFonts w:ascii="Franklin Gothic Book" w:hAnsi="Franklin Gothic Book"/>
              </w:rPr>
            </w:pPr>
            <w:r w:rsidRPr="008C1E5F">
              <w:rPr>
                <w:rFonts w:ascii="Franklin Gothic Book" w:hAnsi="Franklin Gothic Book"/>
              </w:rPr>
              <w:t>36.9%</w:t>
            </w:r>
          </w:p>
        </w:tc>
        <w:tc>
          <w:tcPr>
            <w:tcW w:w="1177" w:type="dxa"/>
            <w:shd w:val="clear" w:color="auto" w:fill="D9E2F3" w:themeFill="accent5" w:themeFillTint="33"/>
            <w:vAlign w:val="center"/>
          </w:tcPr>
          <w:p w14:paraId="30BD6A73" w14:textId="77777777" w:rsidR="00192AC8" w:rsidRPr="008C1E5F" w:rsidRDefault="00192AC8">
            <w:pPr>
              <w:pStyle w:val="TableText"/>
              <w:tabs>
                <w:tab w:val="decimal" w:pos="0"/>
              </w:tabs>
              <w:jc w:val="center"/>
              <w:rPr>
                <w:rFonts w:ascii="Franklin Gothic Book" w:hAnsi="Franklin Gothic Book"/>
              </w:rPr>
            </w:pPr>
            <w:r w:rsidRPr="008C1E5F">
              <w:rPr>
                <w:rFonts w:ascii="Franklin Gothic Book" w:hAnsi="Franklin Gothic Book"/>
              </w:rPr>
              <w:t>20.6%</w:t>
            </w:r>
          </w:p>
        </w:tc>
      </w:tr>
    </w:tbl>
    <w:p w14:paraId="1ABCF908" w14:textId="77777777" w:rsidR="00192AC8" w:rsidRPr="008C1E5F" w:rsidRDefault="00192AC8" w:rsidP="00F01722">
      <w:pPr>
        <w:pStyle w:val="TableNote"/>
        <w:spacing w:before="0" w:line="240" w:lineRule="auto"/>
        <w:rPr>
          <w:rFonts w:eastAsia="Calibri"/>
        </w:rPr>
      </w:pPr>
      <w:r w:rsidRPr="008C1E5F">
        <w:rPr>
          <w:rFonts w:eastAsia="Calibri"/>
          <w:i/>
          <w:iCs/>
        </w:rPr>
        <w:t>Note</w:t>
      </w:r>
      <w:r w:rsidRPr="008C1E5F">
        <w:rPr>
          <w:rFonts w:eastAsia="Calibri"/>
        </w:rPr>
        <w:t>. As of October 1, 2024. District and state numbers and percentages for students with disabilities and high needs are calculated including students in out-of-district placements. Total district enrollment including students in out-of-district placement is 11,208; total state enrollment including students in out-of-district placement is 926,057.</w:t>
      </w:r>
    </w:p>
    <w:p w14:paraId="5EAA6A11" w14:textId="77777777" w:rsidR="00192AC8" w:rsidRPr="008C1E5F" w:rsidRDefault="00192AC8" w:rsidP="00192AC8">
      <w:pPr>
        <w:spacing w:line="240" w:lineRule="auto"/>
        <w:rPr>
          <w:rFonts w:ascii="Franklin Gothic Demi" w:hAnsi="Franklin Gothic Demi"/>
        </w:rPr>
      </w:pPr>
      <w:r w:rsidRPr="008C1E5F">
        <w:br w:type="page"/>
      </w:r>
    </w:p>
    <w:p w14:paraId="4AB3F6ED" w14:textId="77777777" w:rsidR="00192AC8" w:rsidRPr="008C1E5F" w:rsidRDefault="00192AC8" w:rsidP="00192AC8">
      <w:pPr>
        <w:pStyle w:val="TableTitle0"/>
        <w:rPr>
          <w:spacing w:val="-4"/>
        </w:rPr>
      </w:pPr>
      <w:r w:rsidRPr="008C1E5F">
        <w:lastRenderedPageBreak/>
        <w:t>Table D3. Fall River Public Schools: Chronic Absence</w:t>
      </w:r>
      <w:r w:rsidRPr="008C1E5F">
        <w:rPr>
          <w:vertAlign w:val="superscript"/>
        </w:rPr>
        <w:t>a</w:t>
      </w:r>
      <w:r w:rsidRPr="008C1E5F">
        <w:t xml:space="preserve"> Rates by Student Group, 2022-2024</w:t>
      </w:r>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192AC8" w:rsidRPr="008C1E5F" w14:paraId="7E7ADD6E" w14:textId="77777777">
        <w:trPr>
          <w:cnfStyle w:val="100000000000" w:firstRow="1" w:lastRow="0" w:firstColumn="0" w:lastColumn="0" w:oddVBand="0" w:evenVBand="0" w:oddHBand="0" w:evenHBand="0" w:firstRowFirstColumn="0" w:firstRowLastColumn="0" w:lastRowFirstColumn="0" w:lastRowLastColumn="0"/>
        </w:trPr>
        <w:tc>
          <w:tcPr>
            <w:tcW w:w="2872" w:type="dxa"/>
          </w:tcPr>
          <w:p w14:paraId="7514B963" w14:textId="77777777" w:rsidR="00192AC8" w:rsidRPr="008C1E5F" w:rsidRDefault="00192AC8">
            <w:pPr>
              <w:pStyle w:val="TableColHeadingLeft"/>
              <w:spacing w:before="20" w:after="20"/>
            </w:pPr>
            <w:r w:rsidRPr="008C1E5F">
              <w:t>Group</w:t>
            </w:r>
          </w:p>
        </w:tc>
        <w:tc>
          <w:tcPr>
            <w:tcW w:w="1160" w:type="dxa"/>
          </w:tcPr>
          <w:p w14:paraId="3718FC42" w14:textId="77777777" w:rsidR="00192AC8" w:rsidRPr="008C1E5F" w:rsidRDefault="00192AC8">
            <w:pPr>
              <w:pStyle w:val="TableColHeadingCenter"/>
              <w:spacing w:before="20" w:after="20"/>
            </w:pPr>
            <w:r w:rsidRPr="008C1E5F">
              <w:rPr>
                <w:i/>
                <w:iCs/>
              </w:rPr>
              <w:t>N</w:t>
            </w:r>
            <w:r w:rsidRPr="008C1E5F">
              <w:t xml:space="preserve"> (2024)</w:t>
            </w:r>
          </w:p>
        </w:tc>
        <w:tc>
          <w:tcPr>
            <w:tcW w:w="1325" w:type="dxa"/>
          </w:tcPr>
          <w:p w14:paraId="54923C07" w14:textId="77777777" w:rsidR="00192AC8" w:rsidRPr="008C1E5F" w:rsidRDefault="00192AC8">
            <w:pPr>
              <w:pStyle w:val="TableColHeadingCenter"/>
              <w:spacing w:before="20" w:after="20"/>
            </w:pPr>
            <w:r w:rsidRPr="008C1E5F">
              <w:t>2022</w:t>
            </w:r>
          </w:p>
        </w:tc>
        <w:tc>
          <w:tcPr>
            <w:tcW w:w="1326" w:type="dxa"/>
          </w:tcPr>
          <w:p w14:paraId="0915C066" w14:textId="77777777" w:rsidR="00192AC8" w:rsidRPr="008C1E5F" w:rsidRDefault="00192AC8">
            <w:pPr>
              <w:pStyle w:val="TableColHeadingCenter"/>
              <w:spacing w:before="20" w:after="20"/>
            </w:pPr>
            <w:r w:rsidRPr="008C1E5F">
              <w:t>2023</w:t>
            </w:r>
          </w:p>
        </w:tc>
        <w:tc>
          <w:tcPr>
            <w:tcW w:w="1325" w:type="dxa"/>
          </w:tcPr>
          <w:p w14:paraId="2282B317" w14:textId="77777777" w:rsidR="00192AC8" w:rsidRPr="008C1E5F" w:rsidRDefault="00192AC8">
            <w:pPr>
              <w:pStyle w:val="TableColHeadingCenter"/>
              <w:spacing w:before="20" w:after="20"/>
            </w:pPr>
            <w:r w:rsidRPr="008C1E5F">
              <w:t>2024</w:t>
            </w:r>
          </w:p>
        </w:tc>
        <w:tc>
          <w:tcPr>
            <w:tcW w:w="1336" w:type="dxa"/>
          </w:tcPr>
          <w:p w14:paraId="0B1D4F60" w14:textId="77777777" w:rsidR="00192AC8" w:rsidRPr="008C1E5F" w:rsidRDefault="00192AC8">
            <w:pPr>
              <w:pStyle w:val="TableColHeadingCenter"/>
              <w:spacing w:before="20" w:after="20"/>
            </w:pPr>
            <w:r w:rsidRPr="008C1E5F">
              <w:t>State (2024)</w:t>
            </w:r>
          </w:p>
        </w:tc>
      </w:tr>
      <w:tr w:rsidR="00192AC8" w:rsidRPr="008C1E5F" w14:paraId="5A5B04FE"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4A8DB0B5" w14:textId="77777777" w:rsidR="00192AC8" w:rsidRPr="008C1E5F" w:rsidRDefault="00192AC8">
            <w:pPr>
              <w:pStyle w:val="TableText"/>
              <w:spacing w:before="20" w:after="20"/>
            </w:pPr>
            <w:r w:rsidRPr="008C1E5F">
              <w:t>All students</w:t>
            </w:r>
          </w:p>
        </w:tc>
        <w:tc>
          <w:tcPr>
            <w:tcW w:w="1160" w:type="dxa"/>
          </w:tcPr>
          <w:p w14:paraId="38C0F163" w14:textId="77777777" w:rsidR="00192AC8" w:rsidRPr="008C1E5F" w:rsidRDefault="00192AC8">
            <w:pPr>
              <w:pStyle w:val="TableTextCentered"/>
              <w:spacing w:before="20" w:after="20"/>
              <w:rPr>
                <w:rFonts w:ascii="Calibri" w:eastAsia="Calibri" w:hAnsi="Calibri" w:cs="Times New Roman"/>
              </w:rPr>
            </w:pPr>
            <w:r w:rsidRPr="008C1E5F">
              <w:t>11,687</w:t>
            </w:r>
          </w:p>
        </w:tc>
        <w:tc>
          <w:tcPr>
            <w:tcW w:w="1325" w:type="dxa"/>
          </w:tcPr>
          <w:p w14:paraId="5CF93070" w14:textId="77777777" w:rsidR="00192AC8" w:rsidRPr="008C1E5F" w:rsidRDefault="00192AC8">
            <w:pPr>
              <w:pStyle w:val="TableTextCentered"/>
              <w:spacing w:before="20" w:after="20"/>
              <w:rPr>
                <w:rFonts w:ascii="Calibri" w:eastAsia="Calibri" w:hAnsi="Calibri" w:cs="Times New Roman"/>
              </w:rPr>
            </w:pPr>
            <w:r w:rsidRPr="008C1E5F">
              <w:t>48.4</w:t>
            </w:r>
          </w:p>
        </w:tc>
        <w:tc>
          <w:tcPr>
            <w:tcW w:w="1326" w:type="dxa"/>
          </w:tcPr>
          <w:p w14:paraId="5EC431D8" w14:textId="77777777" w:rsidR="00192AC8" w:rsidRPr="008C1E5F" w:rsidRDefault="00192AC8">
            <w:pPr>
              <w:pStyle w:val="TableTextCentered"/>
              <w:spacing w:before="20" w:after="20"/>
              <w:rPr>
                <w:rFonts w:ascii="Calibri" w:eastAsia="Calibri" w:hAnsi="Calibri" w:cs="Times New Roman"/>
              </w:rPr>
            </w:pPr>
            <w:r w:rsidRPr="008C1E5F">
              <w:t>37.3</w:t>
            </w:r>
          </w:p>
        </w:tc>
        <w:tc>
          <w:tcPr>
            <w:tcW w:w="1325" w:type="dxa"/>
          </w:tcPr>
          <w:p w14:paraId="27B920A9" w14:textId="77777777" w:rsidR="00192AC8" w:rsidRPr="008C1E5F" w:rsidRDefault="00192AC8">
            <w:pPr>
              <w:pStyle w:val="TableTextCentered"/>
              <w:spacing w:before="20" w:after="20"/>
              <w:rPr>
                <w:rFonts w:ascii="Calibri" w:eastAsia="Calibri" w:hAnsi="Calibri" w:cs="Times New Roman"/>
              </w:rPr>
            </w:pPr>
            <w:r w:rsidRPr="008C1E5F">
              <w:t>30.4</w:t>
            </w:r>
          </w:p>
        </w:tc>
        <w:tc>
          <w:tcPr>
            <w:tcW w:w="1336" w:type="dxa"/>
          </w:tcPr>
          <w:p w14:paraId="0426AA2C" w14:textId="77777777" w:rsidR="00192AC8" w:rsidRPr="008C1E5F" w:rsidRDefault="00192AC8">
            <w:pPr>
              <w:pStyle w:val="TableTextCentered"/>
              <w:spacing w:before="20" w:after="20"/>
              <w:rPr>
                <w:rFonts w:ascii="Calibri" w:eastAsia="Calibri" w:hAnsi="Calibri" w:cs="Times New Roman"/>
              </w:rPr>
            </w:pPr>
            <w:r w:rsidRPr="008C1E5F">
              <w:t>19.7</w:t>
            </w:r>
          </w:p>
        </w:tc>
      </w:tr>
      <w:tr w:rsidR="00192AC8" w:rsidRPr="008C1E5F" w14:paraId="5BA45DC6" w14:textId="77777777">
        <w:tc>
          <w:tcPr>
            <w:tcW w:w="2872" w:type="dxa"/>
          </w:tcPr>
          <w:p w14:paraId="70DB6826" w14:textId="77777777" w:rsidR="00192AC8" w:rsidRPr="008C1E5F" w:rsidRDefault="00192AC8">
            <w:pPr>
              <w:pStyle w:val="TableText"/>
              <w:spacing w:before="20" w:after="20"/>
            </w:pPr>
            <w:r w:rsidRPr="008C1E5F">
              <w:t>African American/Black</w:t>
            </w:r>
          </w:p>
        </w:tc>
        <w:tc>
          <w:tcPr>
            <w:tcW w:w="1160" w:type="dxa"/>
          </w:tcPr>
          <w:p w14:paraId="2C377EE1" w14:textId="77777777" w:rsidR="00192AC8" w:rsidRPr="008C1E5F" w:rsidRDefault="00192AC8">
            <w:pPr>
              <w:pStyle w:val="TableTextCentered"/>
              <w:spacing w:before="20" w:after="20"/>
              <w:rPr>
                <w:rFonts w:ascii="Calibri" w:eastAsia="Calibri" w:hAnsi="Calibri" w:cs="Times New Roman"/>
              </w:rPr>
            </w:pPr>
            <w:r w:rsidRPr="008C1E5F">
              <w:t>1,536</w:t>
            </w:r>
          </w:p>
        </w:tc>
        <w:tc>
          <w:tcPr>
            <w:tcW w:w="1325" w:type="dxa"/>
          </w:tcPr>
          <w:p w14:paraId="680B47FD" w14:textId="77777777" w:rsidR="00192AC8" w:rsidRPr="008C1E5F" w:rsidRDefault="00192AC8">
            <w:pPr>
              <w:pStyle w:val="TableTextCentered"/>
              <w:spacing w:before="20" w:after="20"/>
              <w:rPr>
                <w:rFonts w:ascii="Calibri" w:eastAsia="Calibri" w:hAnsi="Calibri" w:cs="Times New Roman"/>
              </w:rPr>
            </w:pPr>
            <w:r w:rsidRPr="008C1E5F">
              <w:t>41.8</w:t>
            </w:r>
          </w:p>
        </w:tc>
        <w:tc>
          <w:tcPr>
            <w:tcW w:w="1326" w:type="dxa"/>
          </w:tcPr>
          <w:p w14:paraId="13D5B557" w14:textId="77777777" w:rsidR="00192AC8" w:rsidRPr="008C1E5F" w:rsidRDefault="00192AC8">
            <w:pPr>
              <w:pStyle w:val="TableTextCentered"/>
              <w:spacing w:before="20" w:after="20"/>
              <w:rPr>
                <w:rFonts w:ascii="Calibri" w:eastAsia="Calibri" w:hAnsi="Calibri" w:cs="Times New Roman"/>
              </w:rPr>
            </w:pPr>
            <w:r w:rsidRPr="008C1E5F">
              <w:t>32.4</w:t>
            </w:r>
          </w:p>
        </w:tc>
        <w:tc>
          <w:tcPr>
            <w:tcW w:w="1325" w:type="dxa"/>
          </w:tcPr>
          <w:p w14:paraId="089A8AD3" w14:textId="77777777" w:rsidR="00192AC8" w:rsidRPr="008C1E5F" w:rsidRDefault="00192AC8">
            <w:pPr>
              <w:pStyle w:val="TableTextCentered"/>
              <w:spacing w:before="20" w:after="20"/>
              <w:rPr>
                <w:rFonts w:ascii="Calibri" w:eastAsia="Calibri" w:hAnsi="Calibri" w:cs="Times New Roman"/>
              </w:rPr>
            </w:pPr>
            <w:r w:rsidRPr="008C1E5F">
              <w:t>23.0</w:t>
            </w:r>
          </w:p>
        </w:tc>
        <w:tc>
          <w:tcPr>
            <w:tcW w:w="1336" w:type="dxa"/>
          </w:tcPr>
          <w:p w14:paraId="2BCC6751" w14:textId="77777777" w:rsidR="00192AC8" w:rsidRPr="008C1E5F" w:rsidRDefault="00192AC8">
            <w:pPr>
              <w:pStyle w:val="TableTextCentered"/>
              <w:spacing w:before="20" w:after="20"/>
              <w:rPr>
                <w:rFonts w:ascii="Calibri" w:eastAsia="Calibri" w:hAnsi="Calibri" w:cs="Times New Roman"/>
              </w:rPr>
            </w:pPr>
            <w:r w:rsidRPr="008C1E5F">
              <w:t>22.5</w:t>
            </w:r>
          </w:p>
        </w:tc>
      </w:tr>
      <w:tr w:rsidR="00192AC8" w:rsidRPr="008C1E5F" w14:paraId="14073CC1"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4BAE5C7B" w14:textId="77777777" w:rsidR="00192AC8" w:rsidRPr="008C1E5F" w:rsidRDefault="00192AC8">
            <w:pPr>
              <w:pStyle w:val="TableText"/>
              <w:spacing w:before="20" w:after="20"/>
            </w:pPr>
            <w:r w:rsidRPr="008C1E5F">
              <w:t>Asian</w:t>
            </w:r>
          </w:p>
        </w:tc>
        <w:tc>
          <w:tcPr>
            <w:tcW w:w="1160" w:type="dxa"/>
          </w:tcPr>
          <w:p w14:paraId="7B1EB591" w14:textId="77777777" w:rsidR="00192AC8" w:rsidRPr="008C1E5F" w:rsidRDefault="00192AC8">
            <w:pPr>
              <w:pStyle w:val="TableTextCentered"/>
              <w:spacing w:before="20" w:after="20"/>
              <w:rPr>
                <w:rFonts w:ascii="Calibri" w:eastAsia="Calibri" w:hAnsi="Calibri" w:cs="Times New Roman"/>
              </w:rPr>
            </w:pPr>
            <w:r w:rsidRPr="008C1E5F">
              <w:t>333</w:t>
            </w:r>
          </w:p>
        </w:tc>
        <w:tc>
          <w:tcPr>
            <w:tcW w:w="1325" w:type="dxa"/>
          </w:tcPr>
          <w:p w14:paraId="6428888A" w14:textId="77777777" w:rsidR="00192AC8" w:rsidRPr="008C1E5F" w:rsidRDefault="00192AC8">
            <w:pPr>
              <w:pStyle w:val="TableTextCentered"/>
              <w:spacing w:before="20" w:after="20"/>
              <w:rPr>
                <w:rFonts w:ascii="Calibri" w:eastAsia="Calibri" w:hAnsi="Calibri" w:cs="Times New Roman"/>
              </w:rPr>
            </w:pPr>
            <w:r w:rsidRPr="008C1E5F">
              <w:t>32.2</w:t>
            </w:r>
          </w:p>
        </w:tc>
        <w:tc>
          <w:tcPr>
            <w:tcW w:w="1326" w:type="dxa"/>
          </w:tcPr>
          <w:p w14:paraId="020B028F" w14:textId="77777777" w:rsidR="00192AC8" w:rsidRPr="008C1E5F" w:rsidRDefault="00192AC8">
            <w:pPr>
              <w:pStyle w:val="TableTextCentered"/>
              <w:spacing w:before="20" w:after="20"/>
              <w:rPr>
                <w:rFonts w:ascii="Calibri" w:eastAsia="Calibri" w:hAnsi="Calibri" w:cs="Times New Roman"/>
              </w:rPr>
            </w:pPr>
            <w:r w:rsidRPr="008C1E5F">
              <w:t>22.6</w:t>
            </w:r>
          </w:p>
        </w:tc>
        <w:tc>
          <w:tcPr>
            <w:tcW w:w="1325" w:type="dxa"/>
          </w:tcPr>
          <w:p w14:paraId="7B6DD50E" w14:textId="77777777" w:rsidR="00192AC8" w:rsidRPr="008C1E5F" w:rsidRDefault="00192AC8">
            <w:pPr>
              <w:pStyle w:val="TableTextCentered"/>
              <w:spacing w:before="20" w:after="20"/>
              <w:rPr>
                <w:rFonts w:ascii="Calibri" w:eastAsia="Calibri" w:hAnsi="Calibri" w:cs="Times New Roman"/>
              </w:rPr>
            </w:pPr>
            <w:r w:rsidRPr="008C1E5F">
              <w:t>20.7</w:t>
            </w:r>
          </w:p>
        </w:tc>
        <w:tc>
          <w:tcPr>
            <w:tcW w:w="1336" w:type="dxa"/>
          </w:tcPr>
          <w:p w14:paraId="3F936144" w14:textId="77777777" w:rsidR="00192AC8" w:rsidRPr="008C1E5F" w:rsidRDefault="00192AC8">
            <w:pPr>
              <w:pStyle w:val="TableTextCentered"/>
              <w:spacing w:before="20" w:after="20"/>
              <w:rPr>
                <w:rFonts w:ascii="Calibri" w:eastAsia="Calibri" w:hAnsi="Calibri" w:cs="Times New Roman"/>
              </w:rPr>
            </w:pPr>
            <w:r w:rsidRPr="008C1E5F">
              <w:t>11.8</w:t>
            </w:r>
          </w:p>
        </w:tc>
      </w:tr>
      <w:tr w:rsidR="00192AC8" w:rsidRPr="008C1E5F" w14:paraId="1738D375" w14:textId="77777777">
        <w:tc>
          <w:tcPr>
            <w:tcW w:w="2872" w:type="dxa"/>
          </w:tcPr>
          <w:p w14:paraId="74B283CA" w14:textId="77777777" w:rsidR="00192AC8" w:rsidRPr="008C1E5F" w:rsidRDefault="00192AC8">
            <w:pPr>
              <w:pStyle w:val="TableText"/>
              <w:spacing w:before="20" w:after="20"/>
            </w:pPr>
            <w:r w:rsidRPr="008C1E5F">
              <w:t>Hispanic/Latino</w:t>
            </w:r>
          </w:p>
        </w:tc>
        <w:tc>
          <w:tcPr>
            <w:tcW w:w="1160" w:type="dxa"/>
          </w:tcPr>
          <w:p w14:paraId="7F76C7C0" w14:textId="77777777" w:rsidR="00192AC8" w:rsidRPr="008C1E5F" w:rsidRDefault="00192AC8">
            <w:pPr>
              <w:pStyle w:val="TableTextCentered"/>
              <w:spacing w:before="20" w:after="20"/>
              <w:rPr>
                <w:rFonts w:ascii="Calibri" w:eastAsia="Calibri" w:hAnsi="Calibri" w:cs="Times New Roman"/>
              </w:rPr>
            </w:pPr>
            <w:r w:rsidRPr="008C1E5F">
              <w:t>3,914</w:t>
            </w:r>
          </w:p>
        </w:tc>
        <w:tc>
          <w:tcPr>
            <w:tcW w:w="1325" w:type="dxa"/>
          </w:tcPr>
          <w:p w14:paraId="0ADA1C32" w14:textId="77777777" w:rsidR="00192AC8" w:rsidRPr="008C1E5F" w:rsidRDefault="00192AC8">
            <w:pPr>
              <w:pStyle w:val="TableTextCentered"/>
              <w:spacing w:before="20" w:after="20"/>
              <w:rPr>
                <w:rFonts w:ascii="Calibri" w:eastAsia="Calibri" w:hAnsi="Calibri" w:cs="Times New Roman"/>
              </w:rPr>
            </w:pPr>
            <w:r w:rsidRPr="008C1E5F">
              <w:t>53.5</w:t>
            </w:r>
          </w:p>
        </w:tc>
        <w:tc>
          <w:tcPr>
            <w:tcW w:w="1326" w:type="dxa"/>
          </w:tcPr>
          <w:p w14:paraId="6C785EFC" w14:textId="77777777" w:rsidR="00192AC8" w:rsidRPr="008C1E5F" w:rsidRDefault="00192AC8">
            <w:pPr>
              <w:pStyle w:val="TableTextCentered"/>
              <w:spacing w:before="20" w:after="20"/>
              <w:rPr>
                <w:rFonts w:ascii="Calibri" w:eastAsia="Calibri" w:hAnsi="Calibri" w:cs="Times New Roman"/>
              </w:rPr>
            </w:pPr>
            <w:r w:rsidRPr="008C1E5F">
              <w:t>41.8</w:t>
            </w:r>
          </w:p>
        </w:tc>
        <w:tc>
          <w:tcPr>
            <w:tcW w:w="1325" w:type="dxa"/>
          </w:tcPr>
          <w:p w14:paraId="60E0EBEC" w14:textId="77777777" w:rsidR="00192AC8" w:rsidRPr="008C1E5F" w:rsidRDefault="00192AC8">
            <w:pPr>
              <w:pStyle w:val="TableTextCentered"/>
              <w:spacing w:before="20" w:after="20"/>
              <w:rPr>
                <w:rFonts w:ascii="Calibri" w:eastAsia="Calibri" w:hAnsi="Calibri" w:cs="Times New Roman"/>
              </w:rPr>
            </w:pPr>
            <w:r w:rsidRPr="008C1E5F">
              <w:t>33.8</w:t>
            </w:r>
          </w:p>
        </w:tc>
        <w:tc>
          <w:tcPr>
            <w:tcW w:w="1336" w:type="dxa"/>
          </w:tcPr>
          <w:p w14:paraId="2FC798AC" w14:textId="77777777" w:rsidR="00192AC8" w:rsidRPr="008C1E5F" w:rsidRDefault="00192AC8">
            <w:pPr>
              <w:pStyle w:val="TableTextCentered"/>
              <w:spacing w:before="20" w:after="20"/>
              <w:rPr>
                <w:rFonts w:ascii="Calibri" w:eastAsia="Calibri" w:hAnsi="Calibri" w:cs="Times New Roman"/>
              </w:rPr>
            </w:pPr>
            <w:r w:rsidRPr="008C1E5F">
              <w:t>31.3</w:t>
            </w:r>
          </w:p>
        </w:tc>
      </w:tr>
      <w:tr w:rsidR="00192AC8" w:rsidRPr="008C1E5F" w14:paraId="31E0A137"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7A14E23A" w14:textId="77777777" w:rsidR="00192AC8" w:rsidRPr="008C1E5F" w:rsidRDefault="00192AC8">
            <w:pPr>
              <w:pStyle w:val="TableText"/>
              <w:spacing w:before="20" w:after="20"/>
            </w:pPr>
            <w:r w:rsidRPr="008C1E5F">
              <w:t>Multi-Race, non-Hispanic/Latino</w:t>
            </w:r>
          </w:p>
        </w:tc>
        <w:tc>
          <w:tcPr>
            <w:tcW w:w="1160" w:type="dxa"/>
          </w:tcPr>
          <w:p w14:paraId="0E37CA27" w14:textId="77777777" w:rsidR="00192AC8" w:rsidRPr="008C1E5F" w:rsidRDefault="00192AC8">
            <w:pPr>
              <w:pStyle w:val="TableTextCentered"/>
              <w:spacing w:before="20" w:after="20"/>
              <w:rPr>
                <w:rFonts w:ascii="Calibri" w:eastAsia="Calibri" w:hAnsi="Calibri" w:cs="Times New Roman"/>
              </w:rPr>
            </w:pPr>
            <w:r w:rsidRPr="008C1E5F">
              <w:t>1,031</w:t>
            </w:r>
          </w:p>
        </w:tc>
        <w:tc>
          <w:tcPr>
            <w:tcW w:w="1325" w:type="dxa"/>
          </w:tcPr>
          <w:p w14:paraId="0D52F00B" w14:textId="77777777" w:rsidR="00192AC8" w:rsidRPr="008C1E5F" w:rsidRDefault="00192AC8">
            <w:pPr>
              <w:pStyle w:val="TableTextCentered"/>
              <w:spacing w:before="20" w:after="20"/>
              <w:rPr>
                <w:rFonts w:ascii="Calibri" w:eastAsia="Calibri" w:hAnsi="Calibri" w:cs="Times New Roman"/>
              </w:rPr>
            </w:pPr>
            <w:r w:rsidRPr="008C1E5F">
              <w:t>50.3</w:t>
            </w:r>
          </w:p>
        </w:tc>
        <w:tc>
          <w:tcPr>
            <w:tcW w:w="1326" w:type="dxa"/>
          </w:tcPr>
          <w:p w14:paraId="41CFA07A" w14:textId="77777777" w:rsidR="00192AC8" w:rsidRPr="008C1E5F" w:rsidRDefault="00192AC8">
            <w:pPr>
              <w:pStyle w:val="TableTextCentered"/>
              <w:spacing w:before="20" w:after="20"/>
              <w:rPr>
                <w:rFonts w:ascii="Calibri" w:eastAsia="Calibri" w:hAnsi="Calibri" w:cs="Times New Roman"/>
              </w:rPr>
            </w:pPr>
            <w:r w:rsidRPr="008C1E5F">
              <w:t>38.9</w:t>
            </w:r>
          </w:p>
        </w:tc>
        <w:tc>
          <w:tcPr>
            <w:tcW w:w="1325" w:type="dxa"/>
          </w:tcPr>
          <w:p w14:paraId="554C30ED" w14:textId="77777777" w:rsidR="00192AC8" w:rsidRPr="008C1E5F" w:rsidRDefault="00192AC8">
            <w:pPr>
              <w:pStyle w:val="TableTextCentered"/>
              <w:spacing w:before="20" w:after="20"/>
              <w:rPr>
                <w:rFonts w:ascii="Calibri" w:eastAsia="Calibri" w:hAnsi="Calibri" w:cs="Times New Roman"/>
              </w:rPr>
            </w:pPr>
            <w:r w:rsidRPr="008C1E5F">
              <w:t>32.5</w:t>
            </w:r>
          </w:p>
        </w:tc>
        <w:tc>
          <w:tcPr>
            <w:tcW w:w="1336" w:type="dxa"/>
          </w:tcPr>
          <w:p w14:paraId="66FDCE4F" w14:textId="77777777" w:rsidR="00192AC8" w:rsidRPr="008C1E5F" w:rsidRDefault="00192AC8">
            <w:pPr>
              <w:pStyle w:val="TableTextCentered"/>
              <w:spacing w:before="20" w:after="20"/>
              <w:rPr>
                <w:rFonts w:ascii="Calibri" w:eastAsia="Calibri" w:hAnsi="Calibri" w:cs="Times New Roman"/>
              </w:rPr>
            </w:pPr>
            <w:r w:rsidRPr="008C1E5F">
              <w:t>20.6</w:t>
            </w:r>
          </w:p>
        </w:tc>
      </w:tr>
      <w:tr w:rsidR="00192AC8" w:rsidRPr="008C1E5F" w14:paraId="7BB20517" w14:textId="77777777">
        <w:tc>
          <w:tcPr>
            <w:tcW w:w="2872" w:type="dxa"/>
          </w:tcPr>
          <w:p w14:paraId="11957FC5" w14:textId="77777777" w:rsidR="00192AC8" w:rsidRPr="008C1E5F" w:rsidRDefault="00192AC8">
            <w:pPr>
              <w:pStyle w:val="TableText"/>
              <w:spacing w:before="20" w:after="20"/>
            </w:pPr>
            <w:r w:rsidRPr="008C1E5F">
              <w:t>Native American</w:t>
            </w:r>
          </w:p>
        </w:tc>
        <w:tc>
          <w:tcPr>
            <w:tcW w:w="1160" w:type="dxa"/>
          </w:tcPr>
          <w:p w14:paraId="2F53524E" w14:textId="77777777" w:rsidR="00192AC8" w:rsidRPr="008C1E5F" w:rsidRDefault="00192AC8">
            <w:pPr>
              <w:pStyle w:val="TableTextCentered"/>
              <w:spacing w:before="20" w:after="20"/>
              <w:rPr>
                <w:rFonts w:ascii="Calibri" w:eastAsia="Calibri" w:hAnsi="Calibri" w:cs="Times New Roman"/>
              </w:rPr>
            </w:pPr>
            <w:r w:rsidRPr="008C1E5F">
              <w:t>25</w:t>
            </w:r>
          </w:p>
        </w:tc>
        <w:tc>
          <w:tcPr>
            <w:tcW w:w="1325" w:type="dxa"/>
          </w:tcPr>
          <w:p w14:paraId="2A89347B" w14:textId="77777777" w:rsidR="00192AC8" w:rsidRPr="008C1E5F" w:rsidRDefault="00192AC8">
            <w:pPr>
              <w:pStyle w:val="TableTextCentered"/>
              <w:spacing w:before="20" w:after="20"/>
              <w:rPr>
                <w:rFonts w:ascii="Calibri" w:eastAsia="Calibri" w:hAnsi="Calibri" w:cs="Times New Roman"/>
              </w:rPr>
            </w:pPr>
            <w:r w:rsidRPr="008C1E5F">
              <w:t>28.6</w:t>
            </w:r>
          </w:p>
        </w:tc>
        <w:tc>
          <w:tcPr>
            <w:tcW w:w="1326" w:type="dxa"/>
          </w:tcPr>
          <w:p w14:paraId="6CAF2AB9" w14:textId="77777777" w:rsidR="00192AC8" w:rsidRPr="008C1E5F" w:rsidRDefault="00192AC8">
            <w:pPr>
              <w:pStyle w:val="TableTextCentered"/>
              <w:spacing w:before="20" w:after="20"/>
              <w:rPr>
                <w:rFonts w:ascii="Calibri" w:eastAsia="Calibri" w:hAnsi="Calibri" w:cs="Times New Roman"/>
              </w:rPr>
            </w:pPr>
            <w:r w:rsidRPr="008C1E5F">
              <w:t>35.0</w:t>
            </w:r>
          </w:p>
        </w:tc>
        <w:tc>
          <w:tcPr>
            <w:tcW w:w="1325" w:type="dxa"/>
          </w:tcPr>
          <w:p w14:paraId="1706E575" w14:textId="77777777" w:rsidR="00192AC8" w:rsidRPr="008C1E5F" w:rsidRDefault="00192AC8">
            <w:pPr>
              <w:pStyle w:val="TableTextCentered"/>
              <w:spacing w:before="20" w:after="20"/>
              <w:rPr>
                <w:rFonts w:ascii="Calibri" w:eastAsia="Calibri" w:hAnsi="Calibri" w:cs="Times New Roman"/>
              </w:rPr>
            </w:pPr>
            <w:r w:rsidRPr="008C1E5F">
              <w:t>32.0</w:t>
            </w:r>
          </w:p>
        </w:tc>
        <w:tc>
          <w:tcPr>
            <w:tcW w:w="1336" w:type="dxa"/>
          </w:tcPr>
          <w:p w14:paraId="7E9D82DB" w14:textId="77777777" w:rsidR="00192AC8" w:rsidRPr="008C1E5F" w:rsidRDefault="00192AC8">
            <w:pPr>
              <w:pStyle w:val="TableTextCentered"/>
              <w:spacing w:before="20" w:after="20"/>
              <w:rPr>
                <w:rFonts w:ascii="Calibri" w:eastAsia="Calibri" w:hAnsi="Calibri" w:cs="Times New Roman"/>
              </w:rPr>
            </w:pPr>
            <w:r w:rsidRPr="008C1E5F">
              <w:t>28.5</w:t>
            </w:r>
          </w:p>
        </w:tc>
      </w:tr>
      <w:tr w:rsidR="00192AC8" w:rsidRPr="008C1E5F" w14:paraId="3A69CDD5"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777A352B" w14:textId="77777777" w:rsidR="00192AC8" w:rsidRPr="008C1E5F" w:rsidRDefault="00192AC8">
            <w:pPr>
              <w:pStyle w:val="TableText"/>
              <w:spacing w:before="20" w:after="20"/>
              <w:rPr>
                <w:spacing w:val="-4"/>
              </w:rPr>
            </w:pPr>
            <w:r w:rsidRPr="008C1E5F">
              <w:rPr>
                <w:spacing w:val="-4"/>
              </w:rPr>
              <w:t>Native Hawaiian, Pacific Islander</w:t>
            </w:r>
          </w:p>
        </w:tc>
        <w:tc>
          <w:tcPr>
            <w:tcW w:w="1160" w:type="dxa"/>
          </w:tcPr>
          <w:p w14:paraId="2656AF87" w14:textId="77777777" w:rsidR="00192AC8" w:rsidRPr="008C1E5F" w:rsidRDefault="00192AC8">
            <w:pPr>
              <w:pStyle w:val="TableTextCentered"/>
              <w:spacing w:before="20" w:after="20"/>
              <w:rPr>
                <w:rFonts w:ascii="Calibri" w:eastAsia="Calibri" w:hAnsi="Calibri" w:cs="Times New Roman"/>
              </w:rPr>
            </w:pPr>
            <w:r w:rsidRPr="008C1E5F">
              <w:t>12</w:t>
            </w:r>
          </w:p>
        </w:tc>
        <w:tc>
          <w:tcPr>
            <w:tcW w:w="1325" w:type="dxa"/>
          </w:tcPr>
          <w:p w14:paraId="6698A016" w14:textId="77777777" w:rsidR="00192AC8" w:rsidRPr="008C1E5F" w:rsidRDefault="00192AC8">
            <w:pPr>
              <w:pStyle w:val="TableTextCentered"/>
              <w:spacing w:before="20" w:after="20"/>
              <w:rPr>
                <w:rFonts w:ascii="Calibri" w:eastAsia="Calibri" w:hAnsi="Calibri" w:cs="Times New Roman"/>
              </w:rPr>
            </w:pPr>
            <w:r w:rsidRPr="008C1E5F">
              <w:t>83.3</w:t>
            </w:r>
          </w:p>
        </w:tc>
        <w:tc>
          <w:tcPr>
            <w:tcW w:w="1326" w:type="dxa"/>
          </w:tcPr>
          <w:p w14:paraId="0842683A" w14:textId="77777777" w:rsidR="00192AC8" w:rsidRPr="008C1E5F" w:rsidRDefault="00192AC8">
            <w:pPr>
              <w:pStyle w:val="TableTextCentered"/>
              <w:spacing w:before="20" w:after="20"/>
              <w:rPr>
                <w:rFonts w:ascii="Calibri" w:eastAsia="Calibri" w:hAnsi="Calibri" w:cs="Times New Roman"/>
              </w:rPr>
            </w:pPr>
            <w:r w:rsidRPr="008C1E5F">
              <w:t>--</w:t>
            </w:r>
          </w:p>
        </w:tc>
        <w:tc>
          <w:tcPr>
            <w:tcW w:w="1325" w:type="dxa"/>
          </w:tcPr>
          <w:p w14:paraId="76A532B0" w14:textId="77777777" w:rsidR="00192AC8" w:rsidRPr="008C1E5F" w:rsidRDefault="00192AC8">
            <w:pPr>
              <w:pStyle w:val="TableTextCentered"/>
              <w:spacing w:before="20" w:after="20"/>
              <w:rPr>
                <w:rFonts w:ascii="Calibri" w:eastAsia="Calibri" w:hAnsi="Calibri" w:cs="Times New Roman"/>
              </w:rPr>
            </w:pPr>
            <w:r w:rsidRPr="008C1E5F">
              <w:t>41.7</w:t>
            </w:r>
          </w:p>
        </w:tc>
        <w:tc>
          <w:tcPr>
            <w:tcW w:w="1336" w:type="dxa"/>
          </w:tcPr>
          <w:p w14:paraId="3A967DED" w14:textId="77777777" w:rsidR="00192AC8" w:rsidRPr="008C1E5F" w:rsidRDefault="00192AC8">
            <w:pPr>
              <w:pStyle w:val="TableTextCentered"/>
              <w:spacing w:before="20" w:after="20"/>
              <w:rPr>
                <w:rFonts w:ascii="Calibri" w:eastAsia="Calibri" w:hAnsi="Calibri" w:cs="Times New Roman"/>
              </w:rPr>
            </w:pPr>
            <w:r w:rsidRPr="008C1E5F">
              <w:t>24.3</w:t>
            </w:r>
          </w:p>
        </w:tc>
      </w:tr>
      <w:tr w:rsidR="00192AC8" w:rsidRPr="008C1E5F" w14:paraId="2AA3B405" w14:textId="77777777">
        <w:tc>
          <w:tcPr>
            <w:tcW w:w="2872" w:type="dxa"/>
          </w:tcPr>
          <w:p w14:paraId="080A2AF7" w14:textId="77777777" w:rsidR="00192AC8" w:rsidRPr="008C1E5F" w:rsidRDefault="00192AC8">
            <w:pPr>
              <w:pStyle w:val="TableText"/>
              <w:spacing w:before="20" w:after="20"/>
            </w:pPr>
            <w:r w:rsidRPr="008C1E5F">
              <w:t>White</w:t>
            </w:r>
          </w:p>
        </w:tc>
        <w:tc>
          <w:tcPr>
            <w:tcW w:w="1160" w:type="dxa"/>
          </w:tcPr>
          <w:p w14:paraId="091EFD42" w14:textId="77777777" w:rsidR="00192AC8" w:rsidRPr="008C1E5F" w:rsidRDefault="00192AC8">
            <w:pPr>
              <w:pStyle w:val="TableTextCentered"/>
              <w:spacing w:before="20" w:after="20"/>
              <w:rPr>
                <w:rFonts w:ascii="Calibri" w:eastAsia="Calibri" w:hAnsi="Calibri" w:cs="Times New Roman"/>
              </w:rPr>
            </w:pPr>
            <w:r w:rsidRPr="008C1E5F">
              <w:t>4,836</w:t>
            </w:r>
          </w:p>
        </w:tc>
        <w:tc>
          <w:tcPr>
            <w:tcW w:w="1325" w:type="dxa"/>
          </w:tcPr>
          <w:p w14:paraId="04E670F2" w14:textId="77777777" w:rsidR="00192AC8" w:rsidRPr="008C1E5F" w:rsidRDefault="00192AC8">
            <w:pPr>
              <w:pStyle w:val="TableTextCentered"/>
              <w:spacing w:before="20" w:after="20"/>
              <w:rPr>
                <w:rFonts w:ascii="Calibri" w:eastAsia="Calibri" w:hAnsi="Calibri" w:cs="Times New Roman"/>
              </w:rPr>
            </w:pPr>
            <w:r w:rsidRPr="008C1E5F">
              <w:t>47.2</w:t>
            </w:r>
          </w:p>
        </w:tc>
        <w:tc>
          <w:tcPr>
            <w:tcW w:w="1326" w:type="dxa"/>
          </w:tcPr>
          <w:p w14:paraId="1787AE96" w14:textId="77777777" w:rsidR="00192AC8" w:rsidRPr="008C1E5F" w:rsidRDefault="00192AC8">
            <w:pPr>
              <w:pStyle w:val="TableTextCentered"/>
              <w:spacing w:before="20" w:after="20"/>
              <w:rPr>
                <w:rFonts w:ascii="Calibri" w:eastAsia="Calibri" w:hAnsi="Calibri" w:cs="Times New Roman"/>
              </w:rPr>
            </w:pPr>
            <w:r w:rsidRPr="008C1E5F">
              <w:t>35.8</w:t>
            </w:r>
          </w:p>
        </w:tc>
        <w:tc>
          <w:tcPr>
            <w:tcW w:w="1325" w:type="dxa"/>
          </w:tcPr>
          <w:p w14:paraId="4B416C96" w14:textId="77777777" w:rsidR="00192AC8" w:rsidRPr="008C1E5F" w:rsidRDefault="00192AC8">
            <w:pPr>
              <w:pStyle w:val="TableTextCentered"/>
              <w:spacing w:before="20" w:after="20"/>
              <w:rPr>
                <w:rFonts w:ascii="Calibri" w:eastAsia="Calibri" w:hAnsi="Calibri" w:cs="Times New Roman"/>
              </w:rPr>
            </w:pPr>
            <w:r w:rsidRPr="008C1E5F">
              <w:t>30.2</w:t>
            </w:r>
          </w:p>
        </w:tc>
        <w:tc>
          <w:tcPr>
            <w:tcW w:w="1336" w:type="dxa"/>
          </w:tcPr>
          <w:p w14:paraId="27EF83E5" w14:textId="77777777" w:rsidR="00192AC8" w:rsidRPr="008C1E5F" w:rsidRDefault="00192AC8">
            <w:pPr>
              <w:pStyle w:val="TableTextCentered"/>
              <w:spacing w:before="20" w:after="20"/>
              <w:rPr>
                <w:rFonts w:ascii="Calibri" w:eastAsia="Calibri" w:hAnsi="Calibri" w:cs="Times New Roman"/>
              </w:rPr>
            </w:pPr>
            <w:r w:rsidRPr="008C1E5F">
              <w:t>14.4</w:t>
            </w:r>
          </w:p>
        </w:tc>
      </w:tr>
      <w:tr w:rsidR="00192AC8" w:rsidRPr="008C1E5F" w14:paraId="59CC4AF1"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653DF6C3" w14:textId="77777777" w:rsidR="00192AC8" w:rsidRPr="008C1E5F" w:rsidRDefault="00192AC8">
            <w:pPr>
              <w:pStyle w:val="TableText"/>
              <w:spacing w:before="20" w:after="20"/>
            </w:pPr>
            <w:r w:rsidRPr="008C1E5F">
              <w:t>High Needs</w:t>
            </w:r>
          </w:p>
        </w:tc>
        <w:tc>
          <w:tcPr>
            <w:tcW w:w="1160" w:type="dxa"/>
          </w:tcPr>
          <w:p w14:paraId="1530739B" w14:textId="77777777" w:rsidR="00192AC8" w:rsidRPr="008C1E5F" w:rsidRDefault="00192AC8">
            <w:pPr>
              <w:pStyle w:val="TableTextCentered"/>
              <w:spacing w:before="20" w:after="20"/>
              <w:rPr>
                <w:rFonts w:ascii="Calibri" w:eastAsia="Calibri" w:hAnsi="Calibri" w:cs="Times New Roman"/>
              </w:rPr>
            </w:pPr>
            <w:r w:rsidRPr="008C1E5F">
              <w:t>10,335</w:t>
            </w:r>
          </w:p>
        </w:tc>
        <w:tc>
          <w:tcPr>
            <w:tcW w:w="1325" w:type="dxa"/>
          </w:tcPr>
          <w:p w14:paraId="7ECFAFD6" w14:textId="77777777" w:rsidR="00192AC8" w:rsidRPr="008C1E5F" w:rsidRDefault="00192AC8">
            <w:pPr>
              <w:pStyle w:val="TableTextCentered"/>
              <w:spacing w:before="20" w:after="20"/>
              <w:rPr>
                <w:rFonts w:ascii="Calibri" w:eastAsia="Calibri" w:hAnsi="Calibri" w:cs="Times New Roman"/>
              </w:rPr>
            </w:pPr>
            <w:r w:rsidRPr="008C1E5F">
              <w:t>50.7</w:t>
            </w:r>
          </w:p>
        </w:tc>
        <w:tc>
          <w:tcPr>
            <w:tcW w:w="1326" w:type="dxa"/>
          </w:tcPr>
          <w:p w14:paraId="00999D3B" w14:textId="77777777" w:rsidR="00192AC8" w:rsidRPr="008C1E5F" w:rsidRDefault="00192AC8">
            <w:pPr>
              <w:pStyle w:val="TableTextCentered"/>
              <w:spacing w:before="20" w:after="20"/>
              <w:rPr>
                <w:rFonts w:ascii="Calibri" w:eastAsia="Calibri" w:hAnsi="Calibri" w:cs="Times New Roman"/>
              </w:rPr>
            </w:pPr>
            <w:r w:rsidRPr="008C1E5F">
              <w:t>39.1</w:t>
            </w:r>
          </w:p>
        </w:tc>
        <w:tc>
          <w:tcPr>
            <w:tcW w:w="1325" w:type="dxa"/>
          </w:tcPr>
          <w:p w14:paraId="203196E9" w14:textId="77777777" w:rsidR="00192AC8" w:rsidRPr="008C1E5F" w:rsidRDefault="00192AC8">
            <w:pPr>
              <w:pStyle w:val="TableTextCentered"/>
              <w:spacing w:before="20" w:after="20"/>
              <w:rPr>
                <w:rFonts w:ascii="Calibri" w:eastAsia="Calibri" w:hAnsi="Calibri" w:cs="Times New Roman"/>
              </w:rPr>
            </w:pPr>
            <w:r w:rsidRPr="008C1E5F">
              <w:t>32.0</w:t>
            </w:r>
          </w:p>
        </w:tc>
        <w:tc>
          <w:tcPr>
            <w:tcW w:w="1336" w:type="dxa"/>
          </w:tcPr>
          <w:p w14:paraId="29771E25" w14:textId="77777777" w:rsidR="00192AC8" w:rsidRPr="008C1E5F" w:rsidRDefault="00192AC8">
            <w:pPr>
              <w:pStyle w:val="TableTextCentered"/>
              <w:spacing w:before="20" w:after="20"/>
              <w:rPr>
                <w:rFonts w:ascii="Calibri" w:eastAsia="Calibri" w:hAnsi="Calibri" w:cs="Times New Roman"/>
              </w:rPr>
            </w:pPr>
            <w:r w:rsidRPr="008C1E5F">
              <w:t>27.2</w:t>
            </w:r>
          </w:p>
        </w:tc>
      </w:tr>
      <w:tr w:rsidR="00192AC8" w:rsidRPr="008C1E5F" w14:paraId="38F3E6B5" w14:textId="77777777">
        <w:tc>
          <w:tcPr>
            <w:tcW w:w="2872" w:type="dxa"/>
          </w:tcPr>
          <w:p w14:paraId="0D63EB6A" w14:textId="77777777" w:rsidR="00192AC8" w:rsidRPr="008C1E5F" w:rsidRDefault="00192AC8">
            <w:pPr>
              <w:pStyle w:val="TableText"/>
              <w:spacing w:before="20" w:after="20"/>
            </w:pPr>
            <w:r w:rsidRPr="008C1E5F">
              <w:t>Low Income</w:t>
            </w:r>
          </w:p>
        </w:tc>
        <w:tc>
          <w:tcPr>
            <w:tcW w:w="1160" w:type="dxa"/>
          </w:tcPr>
          <w:p w14:paraId="4D4AF3DC" w14:textId="77777777" w:rsidR="00192AC8" w:rsidRPr="008C1E5F" w:rsidRDefault="00192AC8">
            <w:pPr>
              <w:pStyle w:val="TableTextCentered"/>
              <w:spacing w:before="20" w:after="20"/>
              <w:rPr>
                <w:rFonts w:ascii="Calibri" w:eastAsia="Calibri" w:hAnsi="Calibri" w:cs="Times New Roman"/>
              </w:rPr>
            </w:pPr>
            <w:r w:rsidRPr="008C1E5F">
              <w:t>9,690</w:t>
            </w:r>
          </w:p>
        </w:tc>
        <w:tc>
          <w:tcPr>
            <w:tcW w:w="1325" w:type="dxa"/>
          </w:tcPr>
          <w:p w14:paraId="4F7A1B28" w14:textId="77777777" w:rsidR="00192AC8" w:rsidRPr="008C1E5F" w:rsidRDefault="00192AC8">
            <w:pPr>
              <w:pStyle w:val="TableTextCentered"/>
              <w:spacing w:before="20" w:after="20"/>
              <w:rPr>
                <w:rFonts w:ascii="Calibri" w:eastAsia="Calibri" w:hAnsi="Calibri" w:cs="Times New Roman"/>
              </w:rPr>
            </w:pPr>
            <w:r w:rsidRPr="008C1E5F">
              <w:t>51.4</w:t>
            </w:r>
          </w:p>
        </w:tc>
        <w:tc>
          <w:tcPr>
            <w:tcW w:w="1326" w:type="dxa"/>
          </w:tcPr>
          <w:p w14:paraId="1A70BE60" w14:textId="77777777" w:rsidR="00192AC8" w:rsidRPr="008C1E5F" w:rsidRDefault="00192AC8">
            <w:pPr>
              <w:pStyle w:val="TableTextCentered"/>
              <w:spacing w:before="20" w:after="20"/>
              <w:rPr>
                <w:rFonts w:ascii="Calibri" w:eastAsia="Calibri" w:hAnsi="Calibri" w:cs="Times New Roman"/>
              </w:rPr>
            </w:pPr>
            <w:r w:rsidRPr="008C1E5F">
              <w:t>39.9</w:t>
            </w:r>
          </w:p>
        </w:tc>
        <w:tc>
          <w:tcPr>
            <w:tcW w:w="1325" w:type="dxa"/>
          </w:tcPr>
          <w:p w14:paraId="7244317A" w14:textId="77777777" w:rsidR="00192AC8" w:rsidRPr="008C1E5F" w:rsidRDefault="00192AC8">
            <w:pPr>
              <w:pStyle w:val="TableTextCentered"/>
              <w:spacing w:before="20" w:after="20"/>
              <w:rPr>
                <w:rFonts w:ascii="Calibri" w:eastAsia="Calibri" w:hAnsi="Calibri" w:cs="Times New Roman"/>
              </w:rPr>
            </w:pPr>
            <w:r w:rsidRPr="008C1E5F">
              <w:t>32.7</w:t>
            </w:r>
          </w:p>
        </w:tc>
        <w:tc>
          <w:tcPr>
            <w:tcW w:w="1336" w:type="dxa"/>
          </w:tcPr>
          <w:p w14:paraId="3D2B15E6" w14:textId="77777777" w:rsidR="00192AC8" w:rsidRPr="008C1E5F" w:rsidRDefault="00192AC8">
            <w:pPr>
              <w:pStyle w:val="TableTextCentered"/>
              <w:spacing w:before="20" w:after="20"/>
              <w:rPr>
                <w:rFonts w:ascii="Calibri" w:eastAsia="Calibri" w:hAnsi="Calibri" w:cs="Times New Roman"/>
              </w:rPr>
            </w:pPr>
            <w:r w:rsidRPr="008C1E5F">
              <w:t>30.3</w:t>
            </w:r>
          </w:p>
        </w:tc>
      </w:tr>
      <w:tr w:rsidR="00192AC8" w:rsidRPr="008C1E5F" w14:paraId="7653B234"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7FE67289" w14:textId="77777777" w:rsidR="00192AC8" w:rsidRPr="008C1E5F" w:rsidRDefault="00192AC8">
            <w:pPr>
              <w:pStyle w:val="TableText"/>
              <w:spacing w:before="20" w:after="20"/>
            </w:pPr>
            <w:r w:rsidRPr="008C1E5F">
              <w:rPr>
                <w:spacing w:val="-4"/>
              </w:rPr>
              <w:t>English Learners</w:t>
            </w:r>
          </w:p>
        </w:tc>
        <w:tc>
          <w:tcPr>
            <w:tcW w:w="1160" w:type="dxa"/>
          </w:tcPr>
          <w:p w14:paraId="46C4E83B" w14:textId="77777777" w:rsidR="00192AC8" w:rsidRPr="008C1E5F" w:rsidRDefault="00192AC8">
            <w:pPr>
              <w:pStyle w:val="TableTextCentered"/>
              <w:spacing w:before="20" w:after="20"/>
              <w:rPr>
                <w:rFonts w:ascii="Calibri" w:eastAsia="Calibri" w:hAnsi="Calibri" w:cs="Times New Roman"/>
              </w:rPr>
            </w:pPr>
            <w:r w:rsidRPr="008C1E5F">
              <w:t>2,909</w:t>
            </w:r>
          </w:p>
        </w:tc>
        <w:tc>
          <w:tcPr>
            <w:tcW w:w="1325" w:type="dxa"/>
          </w:tcPr>
          <w:p w14:paraId="0B0E0005" w14:textId="77777777" w:rsidR="00192AC8" w:rsidRPr="008C1E5F" w:rsidRDefault="00192AC8">
            <w:pPr>
              <w:pStyle w:val="TableTextCentered"/>
              <w:spacing w:before="20" w:after="20"/>
              <w:rPr>
                <w:rFonts w:ascii="Calibri" w:eastAsia="Calibri" w:hAnsi="Calibri" w:cs="Times New Roman"/>
              </w:rPr>
            </w:pPr>
            <w:r w:rsidRPr="008C1E5F">
              <w:t>44.4</w:t>
            </w:r>
          </w:p>
        </w:tc>
        <w:tc>
          <w:tcPr>
            <w:tcW w:w="1326" w:type="dxa"/>
          </w:tcPr>
          <w:p w14:paraId="33237877" w14:textId="77777777" w:rsidR="00192AC8" w:rsidRPr="008C1E5F" w:rsidRDefault="00192AC8">
            <w:pPr>
              <w:pStyle w:val="TableTextCentered"/>
              <w:spacing w:before="20" w:after="20"/>
              <w:rPr>
                <w:rFonts w:ascii="Calibri" w:eastAsia="Calibri" w:hAnsi="Calibri" w:cs="Times New Roman"/>
              </w:rPr>
            </w:pPr>
            <w:r w:rsidRPr="008C1E5F">
              <w:t>30.8</w:t>
            </w:r>
          </w:p>
        </w:tc>
        <w:tc>
          <w:tcPr>
            <w:tcW w:w="1325" w:type="dxa"/>
          </w:tcPr>
          <w:p w14:paraId="72D12CFE" w14:textId="77777777" w:rsidR="00192AC8" w:rsidRPr="008C1E5F" w:rsidRDefault="00192AC8">
            <w:pPr>
              <w:pStyle w:val="TableTextCentered"/>
              <w:spacing w:before="20" w:after="20"/>
              <w:rPr>
                <w:rFonts w:ascii="Calibri" w:eastAsia="Calibri" w:hAnsi="Calibri" w:cs="Times New Roman"/>
              </w:rPr>
            </w:pPr>
            <w:r w:rsidRPr="008C1E5F">
              <w:t>26.2</w:t>
            </w:r>
          </w:p>
        </w:tc>
        <w:tc>
          <w:tcPr>
            <w:tcW w:w="1336" w:type="dxa"/>
          </w:tcPr>
          <w:p w14:paraId="5DB7FC37" w14:textId="77777777" w:rsidR="00192AC8" w:rsidRPr="008C1E5F" w:rsidRDefault="00192AC8">
            <w:pPr>
              <w:pStyle w:val="TableTextCentered"/>
              <w:spacing w:before="20" w:after="20"/>
              <w:rPr>
                <w:rFonts w:ascii="Calibri" w:eastAsia="Calibri" w:hAnsi="Calibri" w:cs="Times New Roman"/>
              </w:rPr>
            </w:pPr>
            <w:r w:rsidRPr="008C1E5F">
              <w:t>29.9</w:t>
            </w:r>
          </w:p>
        </w:tc>
      </w:tr>
      <w:tr w:rsidR="00192AC8" w:rsidRPr="008C1E5F" w14:paraId="45E8A2AE" w14:textId="77777777">
        <w:tc>
          <w:tcPr>
            <w:tcW w:w="2872" w:type="dxa"/>
          </w:tcPr>
          <w:p w14:paraId="03E86822" w14:textId="77777777" w:rsidR="00192AC8" w:rsidRPr="008C1E5F" w:rsidRDefault="00192AC8">
            <w:pPr>
              <w:pStyle w:val="TableText"/>
              <w:spacing w:before="20" w:after="20"/>
            </w:pPr>
            <w:r w:rsidRPr="008C1E5F">
              <w:t>Students with Disabilities</w:t>
            </w:r>
          </w:p>
        </w:tc>
        <w:tc>
          <w:tcPr>
            <w:tcW w:w="1160" w:type="dxa"/>
          </w:tcPr>
          <w:p w14:paraId="05EFA1EB" w14:textId="77777777" w:rsidR="00192AC8" w:rsidRPr="008C1E5F" w:rsidRDefault="00192AC8">
            <w:pPr>
              <w:pStyle w:val="TableTextCentered"/>
              <w:spacing w:before="20" w:after="20"/>
              <w:rPr>
                <w:rFonts w:ascii="Calibri" w:eastAsia="Calibri" w:hAnsi="Calibri" w:cs="Times New Roman"/>
              </w:rPr>
            </w:pPr>
            <w:r w:rsidRPr="008C1E5F">
              <w:t>2,912</w:t>
            </w:r>
          </w:p>
        </w:tc>
        <w:tc>
          <w:tcPr>
            <w:tcW w:w="1325" w:type="dxa"/>
          </w:tcPr>
          <w:p w14:paraId="55236560" w14:textId="77777777" w:rsidR="00192AC8" w:rsidRPr="008C1E5F" w:rsidRDefault="00192AC8">
            <w:pPr>
              <w:pStyle w:val="TableTextCentered"/>
              <w:spacing w:before="20" w:after="20"/>
              <w:rPr>
                <w:rFonts w:ascii="Calibri" w:eastAsia="Calibri" w:hAnsi="Calibri" w:cs="Times New Roman"/>
              </w:rPr>
            </w:pPr>
            <w:r w:rsidRPr="008C1E5F">
              <w:t>55.1</w:t>
            </w:r>
          </w:p>
        </w:tc>
        <w:tc>
          <w:tcPr>
            <w:tcW w:w="1326" w:type="dxa"/>
          </w:tcPr>
          <w:p w14:paraId="49F4E5C5" w14:textId="77777777" w:rsidR="00192AC8" w:rsidRPr="008C1E5F" w:rsidRDefault="00192AC8">
            <w:pPr>
              <w:pStyle w:val="TableTextCentered"/>
              <w:spacing w:before="20" w:after="20"/>
              <w:rPr>
                <w:rFonts w:ascii="Calibri" w:eastAsia="Calibri" w:hAnsi="Calibri" w:cs="Times New Roman"/>
              </w:rPr>
            </w:pPr>
            <w:r w:rsidRPr="008C1E5F">
              <w:t>42.1</w:t>
            </w:r>
          </w:p>
        </w:tc>
        <w:tc>
          <w:tcPr>
            <w:tcW w:w="1325" w:type="dxa"/>
          </w:tcPr>
          <w:p w14:paraId="531FA4DC" w14:textId="77777777" w:rsidR="00192AC8" w:rsidRPr="008C1E5F" w:rsidRDefault="00192AC8">
            <w:pPr>
              <w:pStyle w:val="TableTextCentered"/>
              <w:spacing w:before="20" w:after="20"/>
              <w:rPr>
                <w:rFonts w:ascii="Calibri" w:eastAsia="Calibri" w:hAnsi="Calibri" w:cs="Times New Roman"/>
              </w:rPr>
            </w:pPr>
            <w:r w:rsidRPr="008C1E5F">
              <w:t>38.6</w:t>
            </w:r>
          </w:p>
        </w:tc>
        <w:tc>
          <w:tcPr>
            <w:tcW w:w="1336" w:type="dxa"/>
          </w:tcPr>
          <w:p w14:paraId="00047427" w14:textId="77777777" w:rsidR="00192AC8" w:rsidRPr="008C1E5F" w:rsidRDefault="00192AC8">
            <w:pPr>
              <w:pStyle w:val="TableTextCentered"/>
              <w:spacing w:before="20" w:after="20"/>
              <w:rPr>
                <w:rFonts w:ascii="Calibri" w:eastAsia="Calibri" w:hAnsi="Calibri" w:cs="Times New Roman"/>
              </w:rPr>
            </w:pPr>
            <w:r w:rsidRPr="008C1E5F">
              <w:t>27.5</w:t>
            </w:r>
          </w:p>
        </w:tc>
      </w:tr>
    </w:tbl>
    <w:p w14:paraId="77C2596F" w14:textId="08B5D4FE" w:rsidR="00534E49" w:rsidRDefault="00192AC8" w:rsidP="00F01722">
      <w:pPr>
        <w:pStyle w:val="TableNote"/>
        <w:spacing w:before="0" w:line="240" w:lineRule="auto"/>
      </w:pPr>
      <w:proofErr w:type="spellStart"/>
      <w:r w:rsidRPr="008C1E5F">
        <w:rPr>
          <w:vertAlign w:val="superscript"/>
        </w:rPr>
        <w:t>a</w:t>
      </w:r>
      <w:proofErr w:type="spellEnd"/>
      <w:r w:rsidRPr="008C1E5F" w:rsidDel="00305C73">
        <w:t xml:space="preserve"> </w:t>
      </w:r>
      <w:proofErr w:type="gramStart"/>
      <w:r w:rsidRPr="008C1E5F">
        <w:rPr>
          <w:shd w:val="clear" w:color="auto" w:fill="FFFFFF" w:themeFill="background1"/>
        </w:rPr>
        <w:t>The</w:t>
      </w:r>
      <w:proofErr w:type="gramEnd"/>
      <w:r w:rsidRPr="008C1E5F">
        <w:rPr>
          <w:shd w:val="clear" w:color="auto" w:fill="FFFFFF" w:themeFill="background1"/>
        </w:rPr>
        <w:t xml:space="preserve"> percentage of students absent 10 percent or more of their total number of student days of membership in a school</w:t>
      </w:r>
      <w:r w:rsidRPr="008C1E5F">
        <w:t>.</w:t>
      </w:r>
    </w:p>
    <w:p w14:paraId="55EF414D" w14:textId="77777777" w:rsidR="00837D65" w:rsidRPr="008C1E5F" w:rsidRDefault="00837D65" w:rsidP="00F01722">
      <w:pPr>
        <w:pStyle w:val="TableNote"/>
        <w:spacing w:before="0" w:line="240" w:lineRule="auto"/>
      </w:pPr>
    </w:p>
    <w:p w14:paraId="241FC7AC" w14:textId="71805C08" w:rsidR="00192AC8" w:rsidRPr="008C1E5F" w:rsidRDefault="00192AC8" w:rsidP="00192AC8">
      <w:pPr>
        <w:pStyle w:val="TableTitle0"/>
        <w:spacing w:before="0"/>
        <w:rPr>
          <w:szCs w:val="20"/>
        </w:rPr>
      </w:pPr>
      <w:r w:rsidRPr="008C1E5F">
        <w:t xml:space="preserve">Table D4. </w:t>
      </w:r>
      <w:r w:rsidRPr="008C1E5F">
        <w:rPr>
          <w:rFonts w:eastAsia="Times New Roman" w:cs="Calibri"/>
          <w:bCs/>
          <w:szCs w:val="20"/>
        </w:rPr>
        <w:t xml:space="preserve">Fall River </w:t>
      </w:r>
      <w:r w:rsidRPr="008C1E5F">
        <w:t>Public Schools: Expenditures, Fiscal Years, 2021-2023</w:t>
      </w:r>
      <w:r w:rsidRPr="008C1E5F">
        <w:rPr>
          <w:szCs w:val="20"/>
        </w:rPr>
        <w:t xml:space="preserve"> </w:t>
      </w:r>
    </w:p>
    <w:tbl>
      <w:tblPr>
        <w:tblStyle w:val="MSVTable1"/>
        <w:tblW w:w="0" w:type="auto"/>
        <w:tblLook w:val="04A0" w:firstRow="1" w:lastRow="0" w:firstColumn="1" w:lastColumn="0" w:noHBand="0" w:noVBand="1"/>
      </w:tblPr>
      <w:tblGrid>
        <w:gridCol w:w="2782"/>
        <w:gridCol w:w="2187"/>
        <w:gridCol w:w="2187"/>
        <w:gridCol w:w="2188"/>
      </w:tblGrid>
      <w:tr w:rsidR="006B7336" w:rsidRPr="005C02B7" w14:paraId="42D2C00D" w14:textId="77777777">
        <w:trPr>
          <w:cnfStyle w:val="100000000000" w:firstRow="1" w:lastRow="0" w:firstColumn="0" w:lastColumn="0" w:oddVBand="0" w:evenVBand="0" w:oddHBand="0" w:evenHBand="0" w:firstRowFirstColumn="0" w:firstRowLastColumn="0" w:lastRowFirstColumn="0" w:lastRowLastColumn="0"/>
        </w:trPr>
        <w:tc>
          <w:tcPr>
            <w:tcW w:w="2782" w:type="dxa"/>
          </w:tcPr>
          <w:p w14:paraId="1E612777" w14:textId="77777777" w:rsidR="006B7336" w:rsidRPr="005C02B7" w:rsidRDefault="006B7336">
            <w:pPr>
              <w:pStyle w:val="TableNote"/>
              <w:spacing w:before="20" w:after="20" w:line="259" w:lineRule="auto"/>
              <w:rPr>
                <w:rFonts w:asciiTheme="majorHAnsi" w:hAnsiTheme="majorHAnsi"/>
                <w:b/>
                <w:bCs/>
              </w:rPr>
            </w:pPr>
            <w:r w:rsidRPr="005C02B7">
              <w:rPr>
                <w:rFonts w:asciiTheme="majorHAnsi" w:hAnsiTheme="majorHAnsi"/>
                <w:b/>
                <w:bCs/>
              </w:rPr>
              <w:t>Expenditures</w:t>
            </w:r>
          </w:p>
        </w:tc>
        <w:tc>
          <w:tcPr>
            <w:tcW w:w="2187" w:type="dxa"/>
          </w:tcPr>
          <w:p w14:paraId="1033B176" w14:textId="77777777" w:rsidR="006B7336" w:rsidRPr="005C02B7" w:rsidRDefault="006B7336">
            <w:pPr>
              <w:pStyle w:val="TableNote"/>
              <w:spacing w:before="20" w:after="20" w:line="259" w:lineRule="auto"/>
              <w:jc w:val="center"/>
              <w:rPr>
                <w:rFonts w:asciiTheme="majorHAnsi" w:hAnsiTheme="majorHAnsi"/>
                <w:b/>
                <w:bCs/>
              </w:rPr>
            </w:pPr>
            <w:r>
              <w:rPr>
                <w:rFonts w:asciiTheme="majorHAnsi" w:hAnsiTheme="majorHAnsi"/>
                <w:b/>
                <w:bCs/>
              </w:rPr>
              <w:t>FY 2021</w:t>
            </w:r>
          </w:p>
        </w:tc>
        <w:tc>
          <w:tcPr>
            <w:tcW w:w="2187" w:type="dxa"/>
          </w:tcPr>
          <w:p w14:paraId="2A2BBC4F" w14:textId="77777777" w:rsidR="006B7336" w:rsidRPr="005C02B7" w:rsidRDefault="006B7336">
            <w:pPr>
              <w:pStyle w:val="TableNote"/>
              <w:spacing w:before="20" w:after="20" w:line="259" w:lineRule="auto"/>
              <w:jc w:val="center"/>
              <w:rPr>
                <w:rFonts w:asciiTheme="majorHAnsi" w:hAnsiTheme="majorHAnsi"/>
                <w:b/>
                <w:bCs/>
              </w:rPr>
            </w:pPr>
            <w:r>
              <w:rPr>
                <w:rFonts w:asciiTheme="majorHAnsi" w:hAnsiTheme="majorHAnsi"/>
                <w:b/>
                <w:bCs/>
              </w:rPr>
              <w:t>FY 2022</w:t>
            </w:r>
          </w:p>
        </w:tc>
        <w:tc>
          <w:tcPr>
            <w:tcW w:w="2188" w:type="dxa"/>
          </w:tcPr>
          <w:p w14:paraId="6AE3DE44" w14:textId="77777777" w:rsidR="006B7336" w:rsidRPr="005C02B7" w:rsidRDefault="006B7336">
            <w:pPr>
              <w:pStyle w:val="TableNote"/>
              <w:spacing w:before="20" w:after="20" w:line="259" w:lineRule="auto"/>
              <w:jc w:val="center"/>
              <w:rPr>
                <w:rFonts w:asciiTheme="majorHAnsi" w:hAnsiTheme="majorHAnsi"/>
                <w:b/>
                <w:bCs/>
              </w:rPr>
            </w:pPr>
            <w:r>
              <w:rPr>
                <w:rFonts w:asciiTheme="majorHAnsi" w:hAnsiTheme="majorHAnsi"/>
                <w:b/>
                <w:bCs/>
              </w:rPr>
              <w:t>FY 2023</w:t>
            </w:r>
          </w:p>
        </w:tc>
      </w:tr>
      <w:tr w:rsidR="006B7336" w14:paraId="557E21EE" w14:textId="77777777" w:rsidTr="006B7336">
        <w:trPr>
          <w:cnfStyle w:val="000000100000" w:firstRow="0" w:lastRow="0" w:firstColumn="0" w:lastColumn="0" w:oddVBand="0" w:evenVBand="0" w:oddHBand="1" w:evenHBand="0" w:firstRowFirstColumn="0" w:firstRowLastColumn="0" w:lastRowFirstColumn="0" w:lastRowLastColumn="0"/>
        </w:trPr>
        <w:tc>
          <w:tcPr>
            <w:tcW w:w="2782" w:type="dxa"/>
          </w:tcPr>
          <w:p w14:paraId="2A1E9B8D" w14:textId="77777777" w:rsidR="006B7336" w:rsidRDefault="006B7336" w:rsidP="006B7336">
            <w:pPr>
              <w:pStyle w:val="TableNote"/>
              <w:spacing w:before="20" w:after="20" w:line="259" w:lineRule="auto"/>
            </w:pPr>
            <w:r>
              <w:t>By school committee</w:t>
            </w:r>
          </w:p>
        </w:tc>
        <w:tc>
          <w:tcPr>
            <w:tcW w:w="2187" w:type="dxa"/>
            <w:vAlign w:val="center"/>
          </w:tcPr>
          <w:p w14:paraId="7342281E" w14:textId="12C1EDD5" w:rsidR="006B7336" w:rsidRDefault="006B7336" w:rsidP="006B7336">
            <w:pPr>
              <w:pStyle w:val="TableNote"/>
              <w:spacing w:before="20" w:after="20" w:line="259" w:lineRule="auto"/>
              <w:jc w:val="center"/>
            </w:pPr>
            <w:r w:rsidRPr="008C1E5F">
              <w:rPr>
                <w:rFonts w:cs="Calibri"/>
                <w:color w:val="000000"/>
                <w:szCs w:val="20"/>
              </w:rPr>
              <w:t>$123,085,162</w:t>
            </w:r>
          </w:p>
        </w:tc>
        <w:tc>
          <w:tcPr>
            <w:tcW w:w="2187" w:type="dxa"/>
            <w:vAlign w:val="center"/>
          </w:tcPr>
          <w:p w14:paraId="4C09F412" w14:textId="34CDB0AA" w:rsidR="006B7336" w:rsidRDefault="006B7336" w:rsidP="006B7336">
            <w:pPr>
              <w:pStyle w:val="TableNote"/>
              <w:spacing w:before="20" w:after="20" w:line="259" w:lineRule="auto"/>
              <w:jc w:val="center"/>
            </w:pPr>
            <w:r w:rsidRPr="008C1E5F">
              <w:rPr>
                <w:rFonts w:cs="Calibri"/>
                <w:color w:val="000000"/>
                <w:szCs w:val="20"/>
              </w:rPr>
              <w:t>$134,844,268</w:t>
            </w:r>
          </w:p>
        </w:tc>
        <w:tc>
          <w:tcPr>
            <w:tcW w:w="2188" w:type="dxa"/>
            <w:vAlign w:val="center"/>
          </w:tcPr>
          <w:p w14:paraId="34E5230B" w14:textId="51FF2AA5" w:rsidR="006B7336" w:rsidRDefault="006B7336" w:rsidP="006B7336">
            <w:pPr>
              <w:pStyle w:val="TableNote"/>
              <w:spacing w:before="20" w:after="20" w:line="259" w:lineRule="auto"/>
              <w:jc w:val="center"/>
            </w:pPr>
            <w:r w:rsidRPr="008C1E5F">
              <w:rPr>
                <w:rFonts w:cs="Calibri"/>
                <w:color w:val="000000"/>
                <w:szCs w:val="20"/>
              </w:rPr>
              <w:t>$152,431,288</w:t>
            </w:r>
          </w:p>
        </w:tc>
      </w:tr>
      <w:tr w:rsidR="006B7336" w14:paraId="677AF639" w14:textId="77777777" w:rsidTr="006B7336">
        <w:tc>
          <w:tcPr>
            <w:tcW w:w="2782" w:type="dxa"/>
          </w:tcPr>
          <w:p w14:paraId="62E8857E" w14:textId="77777777" w:rsidR="006B7336" w:rsidRDefault="006B7336" w:rsidP="006B7336">
            <w:pPr>
              <w:pStyle w:val="TableNote"/>
              <w:spacing w:before="20" w:after="20" w:line="259" w:lineRule="auto"/>
            </w:pPr>
            <w:r>
              <w:t>By Municipality</w:t>
            </w:r>
          </w:p>
        </w:tc>
        <w:tc>
          <w:tcPr>
            <w:tcW w:w="2187" w:type="dxa"/>
            <w:vAlign w:val="center"/>
          </w:tcPr>
          <w:p w14:paraId="0D563168" w14:textId="4513E152" w:rsidR="006B7336" w:rsidRDefault="006B7336" w:rsidP="006B7336">
            <w:pPr>
              <w:pStyle w:val="TableNote"/>
              <w:spacing w:before="20" w:after="20" w:line="259" w:lineRule="auto"/>
              <w:jc w:val="center"/>
            </w:pPr>
            <w:r w:rsidRPr="008C1E5F">
              <w:rPr>
                <w:rFonts w:cs="Calibri"/>
                <w:color w:val="000000"/>
                <w:szCs w:val="20"/>
              </w:rPr>
              <w:t>$56,943,360</w:t>
            </w:r>
          </w:p>
        </w:tc>
        <w:tc>
          <w:tcPr>
            <w:tcW w:w="2187" w:type="dxa"/>
            <w:vAlign w:val="center"/>
          </w:tcPr>
          <w:p w14:paraId="3EB21535" w14:textId="26B7D76A" w:rsidR="006B7336" w:rsidRDefault="006B7336" w:rsidP="006B7336">
            <w:pPr>
              <w:pStyle w:val="TableNote"/>
              <w:spacing w:before="20" w:after="20" w:line="259" w:lineRule="auto"/>
              <w:jc w:val="center"/>
            </w:pPr>
            <w:r w:rsidRPr="008C1E5F">
              <w:rPr>
                <w:rFonts w:cs="Calibri"/>
                <w:color w:val="000000"/>
                <w:szCs w:val="20"/>
              </w:rPr>
              <w:t>$61,145,518</w:t>
            </w:r>
          </w:p>
        </w:tc>
        <w:tc>
          <w:tcPr>
            <w:tcW w:w="2188" w:type="dxa"/>
            <w:vAlign w:val="center"/>
          </w:tcPr>
          <w:p w14:paraId="50E47575" w14:textId="75CFC210" w:rsidR="006B7336" w:rsidRDefault="006B7336" w:rsidP="006B7336">
            <w:pPr>
              <w:pStyle w:val="TableNote"/>
              <w:spacing w:before="20" w:after="20" w:line="259" w:lineRule="auto"/>
              <w:jc w:val="center"/>
            </w:pPr>
            <w:r w:rsidRPr="008C1E5F">
              <w:rPr>
                <w:rFonts w:cs="Calibri"/>
                <w:color w:val="000000"/>
                <w:szCs w:val="20"/>
              </w:rPr>
              <w:t>$64,553,196</w:t>
            </w:r>
          </w:p>
        </w:tc>
      </w:tr>
      <w:tr w:rsidR="006B7336" w14:paraId="79D553C9" w14:textId="77777777" w:rsidTr="006B7336">
        <w:trPr>
          <w:cnfStyle w:val="000000100000" w:firstRow="0" w:lastRow="0" w:firstColumn="0" w:lastColumn="0" w:oddVBand="0" w:evenVBand="0" w:oddHBand="1" w:evenHBand="0" w:firstRowFirstColumn="0" w:firstRowLastColumn="0" w:lastRowFirstColumn="0" w:lastRowLastColumn="0"/>
        </w:trPr>
        <w:tc>
          <w:tcPr>
            <w:tcW w:w="2782" w:type="dxa"/>
          </w:tcPr>
          <w:p w14:paraId="7344D80C" w14:textId="77777777" w:rsidR="006B7336" w:rsidRDefault="006B7336" w:rsidP="006B7336">
            <w:pPr>
              <w:pStyle w:val="TableNote"/>
              <w:spacing w:before="20" w:after="20" w:line="259" w:lineRule="auto"/>
            </w:pPr>
            <w:r>
              <w:t>Total from local appropriations</w:t>
            </w:r>
          </w:p>
        </w:tc>
        <w:tc>
          <w:tcPr>
            <w:tcW w:w="2187" w:type="dxa"/>
            <w:vAlign w:val="center"/>
          </w:tcPr>
          <w:p w14:paraId="3321416A" w14:textId="3E54E7BC" w:rsidR="006B7336" w:rsidRDefault="006B7336" w:rsidP="006B7336">
            <w:pPr>
              <w:pStyle w:val="TableNote"/>
              <w:spacing w:before="20" w:after="20" w:line="259" w:lineRule="auto"/>
              <w:jc w:val="center"/>
            </w:pPr>
            <w:r w:rsidRPr="008C1E5F">
              <w:rPr>
                <w:rFonts w:cs="Calibri"/>
                <w:color w:val="000000"/>
                <w:szCs w:val="20"/>
              </w:rPr>
              <w:t>$180,028,522</w:t>
            </w:r>
          </w:p>
        </w:tc>
        <w:tc>
          <w:tcPr>
            <w:tcW w:w="2187" w:type="dxa"/>
            <w:vAlign w:val="center"/>
          </w:tcPr>
          <w:p w14:paraId="1DD75F7E" w14:textId="5A4ADDF4" w:rsidR="006B7336" w:rsidRDefault="006B7336" w:rsidP="006B7336">
            <w:pPr>
              <w:pStyle w:val="TableNote"/>
              <w:spacing w:before="20" w:after="20" w:line="259" w:lineRule="auto"/>
              <w:jc w:val="center"/>
            </w:pPr>
            <w:r w:rsidRPr="008C1E5F">
              <w:rPr>
                <w:rFonts w:cs="Calibri"/>
                <w:color w:val="000000"/>
                <w:szCs w:val="20"/>
              </w:rPr>
              <w:t>$195,989,786</w:t>
            </w:r>
          </w:p>
        </w:tc>
        <w:tc>
          <w:tcPr>
            <w:tcW w:w="2188" w:type="dxa"/>
            <w:vAlign w:val="center"/>
          </w:tcPr>
          <w:p w14:paraId="6A773266" w14:textId="0531BE7F" w:rsidR="006B7336" w:rsidRDefault="006B7336" w:rsidP="006B7336">
            <w:pPr>
              <w:pStyle w:val="TableNote"/>
              <w:spacing w:before="20" w:after="20" w:line="259" w:lineRule="auto"/>
              <w:jc w:val="center"/>
            </w:pPr>
            <w:r w:rsidRPr="008C1E5F">
              <w:rPr>
                <w:rFonts w:cs="Calibri"/>
                <w:color w:val="000000"/>
                <w:szCs w:val="20"/>
              </w:rPr>
              <w:t>$216,984,484</w:t>
            </w:r>
          </w:p>
        </w:tc>
      </w:tr>
      <w:tr w:rsidR="006B7336" w14:paraId="4050BC8C" w14:textId="77777777" w:rsidTr="006B7336">
        <w:tc>
          <w:tcPr>
            <w:tcW w:w="2782" w:type="dxa"/>
          </w:tcPr>
          <w:p w14:paraId="07FC32F8" w14:textId="77777777" w:rsidR="006B7336" w:rsidRDefault="006B7336" w:rsidP="006B7336">
            <w:pPr>
              <w:pStyle w:val="TableNote"/>
              <w:spacing w:before="20" w:after="20" w:line="259" w:lineRule="auto"/>
            </w:pPr>
            <w:r>
              <w:t>From revolving funds and grants</w:t>
            </w:r>
          </w:p>
        </w:tc>
        <w:tc>
          <w:tcPr>
            <w:tcW w:w="2187" w:type="dxa"/>
            <w:vAlign w:val="center"/>
          </w:tcPr>
          <w:p w14:paraId="713C0BC3" w14:textId="6065D458" w:rsidR="006B7336" w:rsidRDefault="006B7336" w:rsidP="006B7336">
            <w:pPr>
              <w:pStyle w:val="TableNote"/>
              <w:spacing w:before="20" w:after="20" w:line="259" w:lineRule="auto"/>
              <w:jc w:val="center"/>
            </w:pPr>
            <w:r w:rsidRPr="008C1E5F">
              <w:rPr>
                <w:rFonts w:cs="Calibri"/>
                <w:color w:val="000000"/>
                <w:szCs w:val="20"/>
              </w:rPr>
              <w:t>$27,417,781</w:t>
            </w:r>
          </w:p>
        </w:tc>
        <w:tc>
          <w:tcPr>
            <w:tcW w:w="2187" w:type="dxa"/>
            <w:vAlign w:val="center"/>
          </w:tcPr>
          <w:p w14:paraId="279C3678" w14:textId="3D901560" w:rsidR="006B7336" w:rsidRDefault="006B7336" w:rsidP="006B7336">
            <w:pPr>
              <w:pStyle w:val="TableNote"/>
              <w:spacing w:before="20" w:after="20" w:line="259" w:lineRule="auto"/>
              <w:jc w:val="center"/>
            </w:pPr>
            <w:r w:rsidRPr="008C1E5F">
              <w:rPr>
                <w:rFonts w:cs="Calibri"/>
                <w:color w:val="000000"/>
                <w:szCs w:val="20"/>
              </w:rPr>
              <w:t>$34,271,739</w:t>
            </w:r>
          </w:p>
        </w:tc>
        <w:tc>
          <w:tcPr>
            <w:tcW w:w="2188" w:type="dxa"/>
            <w:vAlign w:val="center"/>
          </w:tcPr>
          <w:p w14:paraId="2EE27289" w14:textId="5B90E2CF" w:rsidR="006B7336" w:rsidRDefault="006B7336" w:rsidP="006B7336">
            <w:pPr>
              <w:pStyle w:val="TableNote"/>
              <w:spacing w:before="20" w:after="20" w:line="259" w:lineRule="auto"/>
              <w:jc w:val="center"/>
            </w:pPr>
            <w:r w:rsidRPr="008C1E5F">
              <w:rPr>
                <w:rFonts w:cs="Calibri"/>
                <w:color w:val="000000"/>
                <w:szCs w:val="20"/>
              </w:rPr>
              <w:t>$47,244,745</w:t>
            </w:r>
          </w:p>
        </w:tc>
      </w:tr>
      <w:tr w:rsidR="006B7336" w14:paraId="656C7C3B" w14:textId="77777777" w:rsidTr="006B7336">
        <w:trPr>
          <w:cnfStyle w:val="000000100000" w:firstRow="0" w:lastRow="0" w:firstColumn="0" w:lastColumn="0" w:oddVBand="0" w:evenVBand="0" w:oddHBand="1" w:evenHBand="0" w:firstRowFirstColumn="0" w:firstRowLastColumn="0" w:lastRowFirstColumn="0" w:lastRowLastColumn="0"/>
        </w:trPr>
        <w:tc>
          <w:tcPr>
            <w:tcW w:w="2782" w:type="dxa"/>
          </w:tcPr>
          <w:p w14:paraId="745E2B56" w14:textId="77777777" w:rsidR="006B7336" w:rsidRDefault="006B7336" w:rsidP="006B7336">
            <w:pPr>
              <w:pStyle w:val="TableNote"/>
              <w:spacing w:before="20" w:after="20" w:line="259" w:lineRule="auto"/>
            </w:pPr>
            <w:r>
              <w:t>Total expenditures</w:t>
            </w:r>
          </w:p>
        </w:tc>
        <w:tc>
          <w:tcPr>
            <w:tcW w:w="2187" w:type="dxa"/>
            <w:vAlign w:val="center"/>
          </w:tcPr>
          <w:p w14:paraId="5BB17255" w14:textId="6059FE5B" w:rsidR="006B7336" w:rsidRDefault="006B7336" w:rsidP="006B7336">
            <w:pPr>
              <w:pStyle w:val="TableNote"/>
              <w:spacing w:before="20" w:after="20" w:line="259" w:lineRule="auto"/>
              <w:jc w:val="center"/>
            </w:pPr>
            <w:r w:rsidRPr="008C1E5F">
              <w:rPr>
                <w:rFonts w:cs="Calibri"/>
                <w:color w:val="000000"/>
                <w:szCs w:val="20"/>
              </w:rPr>
              <w:t>$207,446,303</w:t>
            </w:r>
          </w:p>
        </w:tc>
        <w:tc>
          <w:tcPr>
            <w:tcW w:w="2187" w:type="dxa"/>
            <w:vAlign w:val="center"/>
          </w:tcPr>
          <w:p w14:paraId="417C1CE4" w14:textId="777FDD1F" w:rsidR="006B7336" w:rsidRDefault="006B7336" w:rsidP="006B7336">
            <w:pPr>
              <w:pStyle w:val="TableNote"/>
              <w:spacing w:before="20" w:after="20" w:line="259" w:lineRule="auto"/>
              <w:jc w:val="center"/>
            </w:pPr>
            <w:r w:rsidRPr="008C1E5F">
              <w:rPr>
                <w:rFonts w:cs="Calibri"/>
                <w:color w:val="000000"/>
                <w:szCs w:val="20"/>
              </w:rPr>
              <w:t>$230,261,525</w:t>
            </w:r>
          </w:p>
        </w:tc>
        <w:tc>
          <w:tcPr>
            <w:tcW w:w="2188" w:type="dxa"/>
            <w:vAlign w:val="center"/>
          </w:tcPr>
          <w:p w14:paraId="516D33E3" w14:textId="7F52D5F5" w:rsidR="006B7336" w:rsidRDefault="006B7336" w:rsidP="006B7336">
            <w:pPr>
              <w:pStyle w:val="TableNote"/>
              <w:spacing w:before="20" w:after="20" w:line="259" w:lineRule="auto"/>
              <w:jc w:val="center"/>
            </w:pPr>
            <w:r w:rsidRPr="008C1E5F">
              <w:rPr>
                <w:rFonts w:cs="Calibri"/>
                <w:color w:val="000000"/>
                <w:szCs w:val="20"/>
              </w:rPr>
              <w:t>$264,229,229</w:t>
            </w:r>
          </w:p>
        </w:tc>
      </w:tr>
    </w:tbl>
    <w:p w14:paraId="268C5D12" w14:textId="6ED654B9" w:rsidR="00192AC8" w:rsidRPr="008C1E5F" w:rsidRDefault="00192AC8" w:rsidP="00A637A8">
      <w:pPr>
        <w:pStyle w:val="TableNote"/>
        <w:spacing w:before="0" w:line="240" w:lineRule="auto"/>
      </w:pPr>
      <w:r w:rsidRPr="008C1E5F">
        <w:rPr>
          <w:i/>
          <w:iCs/>
        </w:rPr>
        <w:t>Note</w:t>
      </w:r>
      <w:r w:rsidRPr="008C1E5F">
        <w:t xml:space="preserve">. Expenditures from the School Finance Dashboard sourced from </w:t>
      </w:r>
      <w:hyperlink r:id="rId111" w:history="1">
        <w:r w:rsidRPr="008C1E5F">
          <w:rPr>
            <w:color w:val="0563C1" w:themeColor="hyperlink"/>
            <w:u w:val="single"/>
          </w:rPr>
          <w:t>Spending Comparisons - School Finance</w:t>
        </w:r>
      </w:hyperlink>
      <w:r w:rsidRPr="008C1E5F">
        <w:t xml:space="preserve"> last updated October 2024.</w:t>
      </w:r>
    </w:p>
    <w:p w14:paraId="37605071" w14:textId="0CEFAE79" w:rsidR="00837D65" w:rsidRDefault="00837D65">
      <w:pPr>
        <w:spacing w:line="240" w:lineRule="auto"/>
        <w:rPr>
          <w:rFonts w:eastAsia="Times New Roman" w:cs="Times New Roman"/>
          <w:sz w:val="20"/>
          <w:szCs w:val="24"/>
        </w:rPr>
      </w:pPr>
      <w:r>
        <w:br w:type="page"/>
      </w:r>
    </w:p>
    <w:p w14:paraId="21FA4215" w14:textId="2AFCDBAA" w:rsidR="00A637A8" w:rsidRPr="008C1E5F" w:rsidRDefault="00A637A8" w:rsidP="00A637A8">
      <w:pPr>
        <w:pStyle w:val="TableTitle0"/>
        <w:spacing w:before="0"/>
        <w:rPr>
          <w:szCs w:val="20"/>
        </w:rPr>
      </w:pPr>
      <w:r w:rsidRPr="008C1E5F">
        <w:lastRenderedPageBreak/>
        <w:t>Table D</w:t>
      </w:r>
      <w:r w:rsidR="00837D65">
        <w:t>5</w:t>
      </w:r>
      <w:r w:rsidRPr="008C1E5F">
        <w:t xml:space="preserve">. </w:t>
      </w:r>
      <w:r w:rsidRPr="008C1E5F">
        <w:rPr>
          <w:rFonts w:eastAsia="Times New Roman" w:cs="Calibri"/>
          <w:bCs/>
          <w:szCs w:val="20"/>
        </w:rPr>
        <w:t xml:space="preserve">Fall River </w:t>
      </w:r>
      <w:r w:rsidRPr="008C1E5F">
        <w:t>Public Schools: Expenditures, Chapter 70 State Aid, and Net School Spending Fiscal Years, 2021-2023</w:t>
      </w:r>
      <w:r w:rsidRPr="008C1E5F">
        <w:rPr>
          <w:szCs w:val="20"/>
        </w:rPr>
        <w:t xml:space="preserve"> </w:t>
      </w:r>
    </w:p>
    <w:tbl>
      <w:tblPr>
        <w:tblStyle w:val="MSVTable1"/>
        <w:tblW w:w="0" w:type="auto"/>
        <w:tblLook w:val="04A0" w:firstRow="1" w:lastRow="0" w:firstColumn="1" w:lastColumn="0" w:noHBand="0" w:noVBand="1"/>
      </w:tblPr>
      <w:tblGrid>
        <w:gridCol w:w="2692"/>
        <w:gridCol w:w="2217"/>
        <w:gridCol w:w="2217"/>
        <w:gridCol w:w="2218"/>
      </w:tblGrid>
      <w:tr w:rsidR="00822A29" w:rsidRPr="002B270B" w14:paraId="4885AD02" w14:textId="77777777">
        <w:trPr>
          <w:cnfStyle w:val="100000000000" w:firstRow="1" w:lastRow="0" w:firstColumn="0" w:lastColumn="0" w:oddVBand="0" w:evenVBand="0" w:oddHBand="0" w:evenHBand="0" w:firstRowFirstColumn="0" w:firstRowLastColumn="0" w:lastRowFirstColumn="0" w:lastRowLastColumn="0"/>
        </w:trPr>
        <w:tc>
          <w:tcPr>
            <w:tcW w:w="2692" w:type="dxa"/>
          </w:tcPr>
          <w:p w14:paraId="078CC97D" w14:textId="77777777" w:rsidR="00822A29" w:rsidRPr="002B270B" w:rsidRDefault="00822A29">
            <w:pPr>
              <w:pStyle w:val="TableNote"/>
              <w:spacing w:before="20" w:after="20" w:line="259" w:lineRule="auto"/>
              <w:rPr>
                <w:rFonts w:asciiTheme="majorHAnsi" w:hAnsiTheme="majorHAnsi"/>
                <w:b/>
                <w:bCs/>
              </w:rPr>
            </w:pPr>
            <w:r w:rsidRPr="002B270B">
              <w:rPr>
                <w:rFonts w:asciiTheme="majorHAnsi" w:hAnsiTheme="majorHAnsi"/>
                <w:b/>
                <w:bCs/>
              </w:rPr>
              <w:t>Chapter 70 aid to education program</w:t>
            </w:r>
          </w:p>
        </w:tc>
        <w:tc>
          <w:tcPr>
            <w:tcW w:w="2217" w:type="dxa"/>
            <w:vAlign w:val="center"/>
          </w:tcPr>
          <w:p w14:paraId="3F1A7BFB" w14:textId="77777777" w:rsidR="00822A29" w:rsidRPr="002B270B" w:rsidRDefault="00822A29">
            <w:pPr>
              <w:pStyle w:val="TableNote"/>
              <w:spacing w:before="20" w:after="20" w:line="259" w:lineRule="auto"/>
              <w:jc w:val="center"/>
              <w:rPr>
                <w:rFonts w:asciiTheme="majorHAnsi" w:hAnsiTheme="majorHAnsi"/>
                <w:b/>
                <w:bCs/>
              </w:rPr>
            </w:pPr>
            <w:r w:rsidRPr="002B270B">
              <w:rPr>
                <w:rFonts w:asciiTheme="majorHAnsi" w:hAnsiTheme="majorHAnsi"/>
                <w:b/>
                <w:bCs/>
              </w:rPr>
              <w:t>FY 2021</w:t>
            </w:r>
          </w:p>
        </w:tc>
        <w:tc>
          <w:tcPr>
            <w:tcW w:w="2217" w:type="dxa"/>
            <w:vAlign w:val="center"/>
          </w:tcPr>
          <w:p w14:paraId="76130F2B" w14:textId="77777777" w:rsidR="00822A29" w:rsidRPr="002B270B" w:rsidRDefault="00822A29">
            <w:pPr>
              <w:pStyle w:val="TableNote"/>
              <w:spacing w:before="20" w:after="20" w:line="259" w:lineRule="auto"/>
              <w:jc w:val="center"/>
              <w:rPr>
                <w:rFonts w:asciiTheme="majorHAnsi" w:hAnsiTheme="majorHAnsi"/>
                <w:b/>
                <w:bCs/>
              </w:rPr>
            </w:pPr>
            <w:r w:rsidRPr="002B270B">
              <w:rPr>
                <w:rFonts w:asciiTheme="majorHAnsi" w:hAnsiTheme="majorHAnsi"/>
                <w:b/>
                <w:bCs/>
              </w:rPr>
              <w:t>FY 2022</w:t>
            </w:r>
          </w:p>
        </w:tc>
        <w:tc>
          <w:tcPr>
            <w:tcW w:w="2218" w:type="dxa"/>
            <w:vAlign w:val="center"/>
          </w:tcPr>
          <w:p w14:paraId="5439CD4C" w14:textId="77777777" w:rsidR="00822A29" w:rsidRPr="002B270B" w:rsidRDefault="00822A29">
            <w:pPr>
              <w:pStyle w:val="TableNote"/>
              <w:spacing w:before="20" w:after="20" w:line="259" w:lineRule="auto"/>
              <w:jc w:val="center"/>
              <w:rPr>
                <w:rFonts w:asciiTheme="majorHAnsi" w:hAnsiTheme="majorHAnsi"/>
                <w:b/>
                <w:bCs/>
              </w:rPr>
            </w:pPr>
            <w:r w:rsidRPr="002B270B">
              <w:rPr>
                <w:rFonts w:asciiTheme="majorHAnsi" w:hAnsiTheme="majorHAnsi"/>
                <w:b/>
                <w:bCs/>
              </w:rPr>
              <w:t>FY 2023</w:t>
            </w:r>
          </w:p>
        </w:tc>
      </w:tr>
      <w:tr w:rsidR="00822A29" w14:paraId="45F76342" w14:textId="77777777" w:rsidTr="00822A29">
        <w:trPr>
          <w:cnfStyle w:val="000000100000" w:firstRow="0" w:lastRow="0" w:firstColumn="0" w:lastColumn="0" w:oddVBand="0" w:evenVBand="0" w:oddHBand="1" w:evenHBand="0" w:firstRowFirstColumn="0" w:firstRowLastColumn="0" w:lastRowFirstColumn="0" w:lastRowLastColumn="0"/>
        </w:trPr>
        <w:tc>
          <w:tcPr>
            <w:tcW w:w="2692" w:type="dxa"/>
          </w:tcPr>
          <w:p w14:paraId="4B4AFBBE" w14:textId="77777777" w:rsidR="00822A29" w:rsidRDefault="00822A29" w:rsidP="00822A29">
            <w:pPr>
              <w:pStyle w:val="TableNote"/>
              <w:spacing w:before="20" w:after="20" w:line="259" w:lineRule="auto"/>
            </w:pPr>
            <w:r w:rsidRPr="00CB0607">
              <w:rPr>
                <w:rFonts w:ascii="Franklin Gothic Book" w:hAnsi="Franklin Gothic Book"/>
              </w:rPr>
              <w:t>Chapter 70 state aid</w:t>
            </w:r>
            <w:r w:rsidRPr="00CB0607">
              <w:rPr>
                <w:rFonts w:ascii="Franklin Gothic Book" w:hAnsi="Franklin Gothic Book"/>
                <w:vertAlign w:val="superscript"/>
              </w:rPr>
              <w:t>a</w:t>
            </w:r>
          </w:p>
        </w:tc>
        <w:tc>
          <w:tcPr>
            <w:tcW w:w="2217" w:type="dxa"/>
            <w:vAlign w:val="center"/>
          </w:tcPr>
          <w:p w14:paraId="16A895F2" w14:textId="66436455" w:rsidR="00822A29" w:rsidRDefault="00822A29" w:rsidP="00822A29">
            <w:pPr>
              <w:pStyle w:val="TableNote"/>
              <w:spacing w:before="20" w:after="20" w:line="259" w:lineRule="auto"/>
              <w:jc w:val="center"/>
            </w:pPr>
            <w:r w:rsidRPr="008C1E5F">
              <w:t>$137,016,364</w:t>
            </w:r>
          </w:p>
        </w:tc>
        <w:tc>
          <w:tcPr>
            <w:tcW w:w="2217" w:type="dxa"/>
            <w:vAlign w:val="center"/>
          </w:tcPr>
          <w:p w14:paraId="5C8D2A4C" w14:textId="426CFFB3" w:rsidR="00822A29" w:rsidRDefault="00822A29" w:rsidP="00822A29">
            <w:pPr>
              <w:pStyle w:val="TableNote"/>
              <w:spacing w:before="20" w:after="20" w:line="259" w:lineRule="auto"/>
              <w:jc w:val="center"/>
            </w:pPr>
            <w:r w:rsidRPr="008C1E5F">
              <w:t>$145,182,843</w:t>
            </w:r>
          </w:p>
        </w:tc>
        <w:tc>
          <w:tcPr>
            <w:tcW w:w="2218" w:type="dxa"/>
            <w:vAlign w:val="center"/>
          </w:tcPr>
          <w:p w14:paraId="2E9C8718" w14:textId="6A9A424D" w:rsidR="00822A29" w:rsidRDefault="00822A29" w:rsidP="00822A29">
            <w:pPr>
              <w:pStyle w:val="TableNote"/>
              <w:spacing w:before="20" w:after="20" w:line="259" w:lineRule="auto"/>
              <w:jc w:val="center"/>
            </w:pPr>
            <w:r w:rsidRPr="008C1E5F">
              <w:t>$168,421,258</w:t>
            </w:r>
          </w:p>
        </w:tc>
      </w:tr>
      <w:tr w:rsidR="00822A29" w14:paraId="45AC7A3B" w14:textId="77777777" w:rsidTr="00822A29">
        <w:tc>
          <w:tcPr>
            <w:tcW w:w="2692" w:type="dxa"/>
          </w:tcPr>
          <w:p w14:paraId="3EA7B604" w14:textId="77777777" w:rsidR="00822A29" w:rsidRDefault="00822A29" w:rsidP="00822A29">
            <w:pPr>
              <w:pStyle w:val="TableNote"/>
              <w:spacing w:before="20" w:after="20" w:line="259" w:lineRule="auto"/>
            </w:pPr>
            <w:r w:rsidRPr="00CB0607">
              <w:rPr>
                <w:rFonts w:ascii="Franklin Gothic Book" w:hAnsi="Franklin Gothic Book"/>
              </w:rPr>
              <w:t>Required local contribution</w:t>
            </w:r>
          </w:p>
        </w:tc>
        <w:tc>
          <w:tcPr>
            <w:tcW w:w="2217" w:type="dxa"/>
            <w:vAlign w:val="center"/>
          </w:tcPr>
          <w:p w14:paraId="42FE8587" w14:textId="3AEE80BB" w:rsidR="00822A29" w:rsidRDefault="00822A29" w:rsidP="00822A29">
            <w:pPr>
              <w:pStyle w:val="TableNote"/>
              <w:spacing w:before="20" w:after="20" w:line="259" w:lineRule="auto"/>
              <w:jc w:val="center"/>
            </w:pPr>
            <w:r w:rsidRPr="008C1E5F">
              <w:t>$32,906,432</w:t>
            </w:r>
          </w:p>
        </w:tc>
        <w:tc>
          <w:tcPr>
            <w:tcW w:w="2217" w:type="dxa"/>
            <w:vAlign w:val="center"/>
          </w:tcPr>
          <w:p w14:paraId="39557039" w14:textId="6ACD49F7" w:rsidR="00822A29" w:rsidRDefault="00822A29" w:rsidP="00822A29">
            <w:pPr>
              <w:pStyle w:val="TableNote"/>
              <w:spacing w:before="20" w:after="20" w:line="259" w:lineRule="auto"/>
              <w:jc w:val="center"/>
            </w:pPr>
            <w:r w:rsidRPr="008C1E5F">
              <w:t>$34,286,248</w:t>
            </w:r>
          </w:p>
        </w:tc>
        <w:tc>
          <w:tcPr>
            <w:tcW w:w="2218" w:type="dxa"/>
            <w:vAlign w:val="center"/>
          </w:tcPr>
          <w:p w14:paraId="1DBF0EEE" w14:textId="609B863C" w:rsidR="00822A29" w:rsidRDefault="00822A29" w:rsidP="00822A29">
            <w:pPr>
              <w:pStyle w:val="TableNote"/>
              <w:spacing w:before="20" w:after="20" w:line="259" w:lineRule="auto"/>
              <w:jc w:val="center"/>
            </w:pPr>
            <w:r w:rsidRPr="008C1E5F">
              <w:t>$36,332,032</w:t>
            </w:r>
          </w:p>
        </w:tc>
      </w:tr>
      <w:tr w:rsidR="00822A29" w14:paraId="01D57E56" w14:textId="77777777" w:rsidTr="00822A29">
        <w:trPr>
          <w:cnfStyle w:val="000000100000" w:firstRow="0" w:lastRow="0" w:firstColumn="0" w:lastColumn="0" w:oddVBand="0" w:evenVBand="0" w:oddHBand="1" w:evenHBand="0" w:firstRowFirstColumn="0" w:firstRowLastColumn="0" w:lastRowFirstColumn="0" w:lastRowLastColumn="0"/>
        </w:trPr>
        <w:tc>
          <w:tcPr>
            <w:tcW w:w="2692" w:type="dxa"/>
          </w:tcPr>
          <w:p w14:paraId="04DA0500" w14:textId="77777777" w:rsidR="00822A29" w:rsidRDefault="00822A29" w:rsidP="00822A29">
            <w:pPr>
              <w:pStyle w:val="TableNote"/>
              <w:spacing w:before="20" w:after="20" w:line="259" w:lineRule="auto"/>
            </w:pPr>
            <w:r w:rsidRPr="00CB0607">
              <w:rPr>
                <w:rFonts w:ascii="Franklin Gothic Book" w:hAnsi="Franklin Gothic Book"/>
              </w:rPr>
              <w:t>Required net school spending</w:t>
            </w:r>
            <w:r w:rsidRPr="00CB0607">
              <w:rPr>
                <w:rFonts w:ascii="Franklin Gothic Book" w:hAnsi="Franklin Gothic Book"/>
                <w:vertAlign w:val="superscript"/>
              </w:rPr>
              <w:t>b</w:t>
            </w:r>
          </w:p>
        </w:tc>
        <w:tc>
          <w:tcPr>
            <w:tcW w:w="2217" w:type="dxa"/>
            <w:vAlign w:val="center"/>
          </w:tcPr>
          <w:p w14:paraId="3AFE8321" w14:textId="49798F3A" w:rsidR="00822A29" w:rsidRDefault="00822A29" w:rsidP="00822A29">
            <w:pPr>
              <w:pStyle w:val="TableNote"/>
              <w:spacing w:before="20" w:after="20" w:line="259" w:lineRule="auto"/>
              <w:jc w:val="center"/>
            </w:pPr>
            <w:r w:rsidRPr="008C1E5F">
              <w:t>$169,922,796</w:t>
            </w:r>
          </w:p>
        </w:tc>
        <w:tc>
          <w:tcPr>
            <w:tcW w:w="2217" w:type="dxa"/>
            <w:vAlign w:val="center"/>
          </w:tcPr>
          <w:p w14:paraId="50F95052" w14:textId="57787F55" w:rsidR="00822A29" w:rsidRDefault="00822A29" w:rsidP="00822A29">
            <w:pPr>
              <w:pStyle w:val="TableNote"/>
              <w:spacing w:before="20" w:after="20" w:line="259" w:lineRule="auto"/>
              <w:jc w:val="center"/>
            </w:pPr>
            <w:r w:rsidRPr="008C1E5F">
              <w:t>$179,469,091</w:t>
            </w:r>
          </w:p>
        </w:tc>
        <w:tc>
          <w:tcPr>
            <w:tcW w:w="2218" w:type="dxa"/>
            <w:vAlign w:val="center"/>
          </w:tcPr>
          <w:p w14:paraId="078B30A2" w14:textId="44B9C2DC" w:rsidR="00822A29" w:rsidRDefault="00822A29" w:rsidP="00822A29">
            <w:pPr>
              <w:pStyle w:val="TableNote"/>
              <w:spacing w:before="20" w:after="20" w:line="259" w:lineRule="auto"/>
              <w:jc w:val="center"/>
            </w:pPr>
            <w:r w:rsidRPr="008C1E5F">
              <w:t>$204,753,290</w:t>
            </w:r>
          </w:p>
        </w:tc>
      </w:tr>
      <w:tr w:rsidR="00822A29" w14:paraId="127C431E" w14:textId="77777777" w:rsidTr="00822A29">
        <w:tc>
          <w:tcPr>
            <w:tcW w:w="2692" w:type="dxa"/>
          </w:tcPr>
          <w:p w14:paraId="765C67A8" w14:textId="77777777" w:rsidR="00822A29" w:rsidRDefault="00822A29" w:rsidP="00822A29">
            <w:pPr>
              <w:pStyle w:val="TableNote"/>
              <w:spacing w:before="20" w:after="20" w:line="259" w:lineRule="auto"/>
            </w:pPr>
            <w:r w:rsidRPr="00CB0607">
              <w:rPr>
                <w:rFonts w:ascii="Franklin Gothic Book" w:hAnsi="Franklin Gothic Book"/>
              </w:rPr>
              <w:t>Actual net school spending</w:t>
            </w:r>
          </w:p>
        </w:tc>
        <w:tc>
          <w:tcPr>
            <w:tcW w:w="2217" w:type="dxa"/>
            <w:vAlign w:val="center"/>
          </w:tcPr>
          <w:p w14:paraId="52017DA3" w14:textId="257549BD" w:rsidR="00822A29" w:rsidRDefault="00822A29" w:rsidP="00822A29">
            <w:pPr>
              <w:pStyle w:val="TableNote"/>
              <w:spacing w:before="20" w:after="20" w:line="259" w:lineRule="auto"/>
              <w:jc w:val="center"/>
            </w:pPr>
            <w:r w:rsidRPr="008C1E5F">
              <w:t>$169,734,637</w:t>
            </w:r>
          </w:p>
        </w:tc>
        <w:tc>
          <w:tcPr>
            <w:tcW w:w="2217" w:type="dxa"/>
            <w:vAlign w:val="center"/>
          </w:tcPr>
          <w:p w14:paraId="1E3DAC76" w14:textId="1F9AAD01" w:rsidR="00822A29" w:rsidRDefault="00822A29" w:rsidP="00822A29">
            <w:pPr>
              <w:pStyle w:val="TableNote"/>
              <w:spacing w:before="20" w:after="20" w:line="259" w:lineRule="auto"/>
              <w:jc w:val="center"/>
            </w:pPr>
            <w:r w:rsidRPr="008C1E5F">
              <w:t>$181,022,709</w:t>
            </w:r>
          </w:p>
        </w:tc>
        <w:tc>
          <w:tcPr>
            <w:tcW w:w="2218" w:type="dxa"/>
            <w:vAlign w:val="center"/>
          </w:tcPr>
          <w:p w14:paraId="3F0DE0F7" w14:textId="0BEBD4EF" w:rsidR="00822A29" w:rsidRDefault="00822A29" w:rsidP="00822A29">
            <w:pPr>
              <w:pStyle w:val="TableNote"/>
              <w:spacing w:before="20" w:after="20" w:line="259" w:lineRule="auto"/>
              <w:jc w:val="center"/>
            </w:pPr>
            <w:r w:rsidRPr="008C1E5F">
              <w:t>$200,512,646</w:t>
            </w:r>
          </w:p>
        </w:tc>
      </w:tr>
      <w:tr w:rsidR="00822A29" w14:paraId="10638440" w14:textId="77777777" w:rsidTr="00822A29">
        <w:trPr>
          <w:cnfStyle w:val="000000100000" w:firstRow="0" w:lastRow="0" w:firstColumn="0" w:lastColumn="0" w:oddVBand="0" w:evenVBand="0" w:oddHBand="1" w:evenHBand="0" w:firstRowFirstColumn="0" w:firstRowLastColumn="0" w:lastRowFirstColumn="0" w:lastRowLastColumn="0"/>
        </w:trPr>
        <w:tc>
          <w:tcPr>
            <w:tcW w:w="2692" w:type="dxa"/>
          </w:tcPr>
          <w:p w14:paraId="44279224" w14:textId="77777777" w:rsidR="00822A29" w:rsidRDefault="00822A29" w:rsidP="00822A29">
            <w:pPr>
              <w:pStyle w:val="TableNote"/>
              <w:spacing w:before="20" w:after="20" w:line="259" w:lineRule="auto"/>
            </w:pPr>
            <w:r w:rsidRPr="00CB0607">
              <w:rPr>
                <w:rFonts w:ascii="Franklin Gothic Book" w:hAnsi="Franklin Gothic Book"/>
              </w:rPr>
              <w:t>Over/under required ($)</w:t>
            </w:r>
          </w:p>
        </w:tc>
        <w:tc>
          <w:tcPr>
            <w:tcW w:w="2217" w:type="dxa"/>
            <w:vAlign w:val="center"/>
          </w:tcPr>
          <w:p w14:paraId="3D1E4A6B" w14:textId="715498EE" w:rsidR="00822A29" w:rsidRDefault="00822A29" w:rsidP="00822A29">
            <w:pPr>
              <w:pStyle w:val="TableNote"/>
              <w:spacing w:before="20" w:after="20" w:line="259" w:lineRule="auto"/>
              <w:jc w:val="center"/>
            </w:pPr>
            <w:r w:rsidRPr="008C1E5F">
              <w:t>-$188,159</w:t>
            </w:r>
          </w:p>
        </w:tc>
        <w:tc>
          <w:tcPr>
            <w:tcW w:w="2217" w:type="dxa"/>
            <w:vAlign w:val="center"/>
          </w:tcPr>
          <w:p w14:paraId="4E19AE75" w14:textId="557BE6EF" w:rsidR="00822A29" w:rsidRDefault="00822A29" w:rsidP="00822A29">
            <w:pPr>
              <w:pStyle w:val="TableNote"/>
              <w:spacing w:before="20" w:after="20" w:line="259" w:lineRule="auto"/>
              <w:jc w:val="center"/>
            </w:pPr>
            <w:r w:rsidRPr="008C1E5F">
              <w:t>$1,553,618</w:t>
            </w:r>
          </w:p>
        </w:tc>
        <w:tc>
          <w:tcPr>
            <w:tcW w:w="2218" w:type="dxa"/>
            <w:vAlign w:val="center"/>
          </w:tcPr>
          <w:p w14:paraId="4A469233" w14:textId="0D573E10" w:rsidR="00822A29" w:rsidRDefault="00822A29" w:rsidP="00822A29">
            <w:pPr>
              <w:pStyle w:val="TableNote"/>
              <w:spacing w:before="20" w:after="20" w:line="259" w:lineRule="auto"/>
              <w:jc w:val="center"/>
            </w:pPr>
            <w:r w:rsidRPr="008C1E5F">
              <w:t>-$4,240,644</w:t>
            </w:r>
          </w:p>
        </w:tc>
      </w:tr>
      <w:tr w:rsidR="00822A29" w14:paraId="2191DC2E" w14:textId="77777777" w:rsidTr="00822A29">
        <w:tc>
          <w:tcPr>
            <w:tcW w:w="2692" w:type="dxa"/>
          </w:tcPr>
          <w:p w14:paraId="54D536EF" w14:textId="77777777" w:rsidR="00822A29" w:rsidRDefault="00822A29" w:rsidP="00822A29">
            <w:pPr>
              <w:pStyle w:val="TableNote"/>
              <w:spacing w:before="20" w:after="20" w:line="259" w:lineRule="auto"/>
            </w:pPr>
            <w:r w:rsidRPr="00CB0607">
              <w:t>Over/under required (%)</w:t>
            </w:r>
          </w:p>
        </w:tc>
        <w:tc>
          <w:tcPr>
            <w:tcW w:w="2217" w:type="dxa"/>
            <w:vAlign w:val="center"/>
          </w:tcPr>
          <w:p w14:paraId="12A944B2" w14:textId="66F49A1E" w:rsidR="00822A29" w:rsidRDefault="00822A29" w:rsidP="00822A29">
            <w:pPr>
              <w:pStyle w:val="TableNote"/>
              <w:spacing w:before="20" w:after="20" w:line="259" w:lineRule="auto"/>
              <w:jc w:val="center"/>
            </w:pPr>
            <w:r w:rsidRPr="008C1E5F">
              <w:t>-0.1%</w:t>
            </w:r>
          </w:p>
        </w:tc>
        <w:tc>
          <w:tcPr>
            <w:tcW w:w="2217" w:type="dxa"/>
            <w:vAlign w:val="center"/>
          </w:tcPr>
          <w:p w14:paraId="02BD1A4A" w14:textId="50C9547A" w:rsidR="00822A29" w:rsidRDefault="00822A29" w:rsidP="00822A29">
            <w:pPr>
              <w:pStyle w:val="TableNote"/>
              <w:spacing w:before="20" w:after="20" w:line="259" w:lineRule="auto"/>
              <w:jc w:val="center"/>
            </w:pPr>
            <w:r w:rsidRPr="008C1E5F">
              <w:t>0.9%</w:t>
            </w:r>
          </w:p>
        </w:tc>
        <w:tc>
          <w:tcPr>
            <w:tcW w:w="2218" w:type="dxa"/>
            <w:vAlign w:val="center"/>
          </w:tcPr>
          <w:p w14:paraId="2BA63026" w14:textId="56BAB585" w:rsidR="00822A29" w:rsidRDefault="00822A29" w:rsidP="00822A29">
            <w:pPr>
              <w:pStyle w:val="TableNote"/>
              <w:spacing w:before="20" w:after="20" w:line="259" w:lineRule="auto"/>
              <w:jc w:val="center"/>
            </w:pPr>
            <w:r w:rsidRPr="008C1E5F">
              <w:t>-2.1%</w:t>
            </w:r>
          </w:p>
        </w:tc>
      </w:tr>
    </w:tbl>
    <w:p w14:paraId="33EB8682" w14:textId="40ED145B" w:rsidR="00A637A8" w:rsidRPr="008C1E5F" w:rsidRDefault="00A637A8" w:rsidP="00837D65">
      <w:pPr>
        <w:pStyle w:val="TableNote"/>
        <w:spacing w:before="0" w:line="240" w:lineRule="auto"/>
      </w:pPr>
      <w:r w:rsidRPr="008C1E5F">
        <w:t>Chapter 70 aid to education from Chapter 70 District Profiles sourced from</w:t>
      </w:r>
      <w:r w:rsidRPr="008C1E5F">
        <w:rPr>
          <w:rFonts w:eastAsia="Franklin Gothic Book" w:cs="Tahoma"/>
        </w:rPr>
        <w:t xml:space="preserve"> </w:t>
      </w:r>
      <w:hyperlink r:id="rId112" w:history="1">
        <w:r w:rsidRPr="008C1E5F">
          <w:rPr>
            <w:color w:val="0563C1" w:themeColor="hyperlink"/>
            <w:u w:val="single"/>
          </w:rPr>
          <w:t>Chapter 70 Program - School Finance</w:t>
        </w:r>
      </w:hyperlink>
      <w:r w:rsidRPr="008C1E5F">
        <w:t xml:space="preserve"> last updated August 8, 2024.</w:t>
      </w:r>
    </w:p>
    <w:p w14:paraId="6D94035D" w14:textId="77777777" w:rsidR="00A637A8" w:rsidRDefault="00A637A8" w:rsidP="00837D65">
      <w:pPr>
        <w:pStyle w:val="TableNote"/>
        <w:spacing w:line="240" w:lineRule="auto"/>
      </w:pPr>
      <w:proofErr w:type="gramStart"/>
      <w:r w:rsidRPr="008C1E5F">
        <w:rPr>
          <w:vertAlign w:val="superscript"/>
        </w:rPr>
        <w:t xml:space="preserve">a </w:t>
      </w:r>
      <w:r w:rsidRPr="008C1E5F">
        <w:t>Chapter 70 state aid funds</w:t>
      </w:r>
      <w:proofErr w:type="gramEnd"/>
      <w:r w:rsidRPr="008C1E5F">
        <w:t xml:space="preserve"> are deposited in the local general fund and spent as local appropriations. </w:t>
      </w:r>
      <w:r w:rsidRPr="008C1E5F">
        <w:rPr>
          <w:vertAlign w:val="superscript"/>
        </w:rPr>
        <w:t xml:space="preserve">b </w:t>
      </w:r>
      <w:r w:rsidRPr="008C1E5F">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16A4E53D" w14:textId="77777777" w:rsidR="00837D65" w:rsidRPr="008C1E5F" w:rsidRDefault="00837D65" w:rsidP="00837D65">
      <w:pPr>
        <w:pStyle w:val="TableNote"/>
        <w:spacing w:line="240" w:lineRule="auto"/>
      </w:pPr>
    </w:p>
    <w:p w14:paraId="22BE24E0" w14:textId="5DE30121" w:rsidR="00192AC8" w:rsidRPr="008C1E5F" w:rsidRDefault="00192AC8" w:rsidP="00192AC8">
      <w:pPr>
        <w:pStyle w:val="TableTitle0"/>
        <w:spacing w:before="0"/>
      </w:pPr>
      <w:r w:rsidRPr="008C1E5F">
        <w:t>Table D</w:t>
      </w:r>
      <w:r w:rsidR="00912650">
        <w:t>6</w:t>
      </w:r>
      <w:r w:rsidRPr="008C1E5F">
        <w:t>. Fall River Public Schools: Expenditures Per In-District Pupil, Fiscal Years 2021-2023</w:t>
      </w:r>
    </w:p>
    <w:tbl>
      <w:tblPr>
        <w:tblStyle w:val="MSVTable1"/>
        <w:tblW w:w="5000" w:type="pct"/>
        <w:tblLayout w:type="fixed"/>
        <w:tblLook w:val="0420" w:firstRow="1" w:lastRow="0" w:firstColumn="0" w:lastColumn="0" w:noHBand="0" w:noVBand="1"/>
      </w:tblPr>
      <w:tblGrid>
        <w:gridCol w:w="5246"/>
        <w:gridCol w:w="1366"/>
        <w:gridCol w:w="1366"/>
        <w:gridCol w:w="1366"/>
      </w:tblGrid>
      <w:tr w:rsidR="00192AC8" w:rsidRPr="008C1E5F" w14:paraId="550DC87F" w14:textId="77777777">
        <w:trPr>
          <w:cnfStyle w:val="100000000000" w:firstRow="1" w:lastRow="0" w:firstColumn="0" w:lastColumn="0" w:oddVBand="0" w:evenVBand="0" w:oddHBand="0" w:evenHBand="0" w:firstRowFirstColumn="0" w:firstRowLastColumn="0" w:lastRowFirstColumn="0" w:lastRowLastColumn="0"/>
        </w:trPr>
        <w:tc>
          <w:tcPr>
            <w:tcW w:w="5246" w:type="dxa"/>
          </w:tcPr>
          <w:p w14:paraId="73996AAE" w14:textId="77777777" w:rsidR="00192AC8" w:rsidRPr="008C1E5F" w:rsidRDefault="00192AC8">
            <w:pPr>
              <w:pStyle w:val="TableColHeadingLeft"/>
            </w:pPr>
            <w:r w:rsidRPr="008C1E5F">
              <w:t>Expenditure category</w:t>
            </w:r>
          </w:p>
        </w:tc>
        <w:tc>
          <w:tcPr>
            <w:tcW w:w="1366" w:type="dxa"/>
          </w:tcPr>
          <w:p w14:paraId="5F9E9616" w14:textId="77777777" w:rsidR="00192AC8" w:rsidRPr="008C1E5F" w:rsidRDefault="00192AC8">
            <w:pPr>
              <w:pStyle w:val="TableColHeadingCenter"/>
            </w:pPr>
            <w:r w:rsidRPr="008C1E5F">
              <w:t>FY 2021</w:t>
            </w:r>
          </w:p>
        </w:tc>
        <w:tc>
          <w:tcPr>
            <w:tcW w:w="1366" w:type="dxa"/>
          </w:tcPr>
          <w:p w14:paraId="61F0B404" w14:textId="77777777" w:rsidR="00192AC8" w:rsidRPr="008C1E5F" w:rsidRDefault="00192AC8">
            <w:pPr>
              <w:pStyle w:val="TableColHeadingCenter"/>
            </w:pPr>
            <w:r w:rsidRPr="008C1E5F">
              <w:t>FY 2022</w:t>
            </w:r>
          </w:p>
        </w:tc>
        <w:tc>
          <w:tcPr>
            <w:tcW w:w="1366" w:type="dxa"/>
          </w:tcPr>
          <w:p w14:paraId="6A36D81D" w14:textId="77777777" w:rsidR="00192AC8" w:rsidRPr="008C1E5F" w:rsidRDefault="00192AC8">
            <w:pPr>
              <w:pStyle w:val="TableColHeadingCenter"/>
            </w:pPr>
            <w:r w:rsidRPr="008C1E5F">
              <w:t>FY 2023</w:t>
            </w:r>
          </w:p>
        </w:tc>
      </w:tr>
      <w:tr w:rsidR="00192AC8" w:rsidRPr="008C1E5F" w14:paraId="01F64046"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0CD18290" w14:textId="77777777" w:rsidR="00192AC8" w:rsidRPr="008C1E5F" w:rsidRDefault="00192AC8">
            <w:pPr>
              <w:pStyle w:val="TableText"/>
            </w:pPr>
            <w:r w:rsidRPr="008C1E5F">
              <w:t>Administration</w:t>
            </w:r>
          </w:p>
        </w:tc>
        <w:tc>
          <w:tcPr>
            <w:tcW w:w="1366" w:type="dxa"/>
          </w:tcPr>
          <w:p w14:paraId="5C8A7A4B" w14:textId="77777777" w:rsidR="00192AC8" w:rsidRPr="008C1E5F" w:rsidRDefault="00192AC8">
            <w:pPr>
              <w:pStyle w:val="TableTextCentered"/>
            </w:pPr>
            <w:r w:rsidRPr="008C1E5F">
              <w:t>$457</w:t>
            </w:r>
          </w:p>
        </w:tc>
        <w:tc>
          <w:tcPr>
            <w:tcW w:w="1366" w:type="dxa"/>
          </w:tcPr>
          <w:p w14:paraId="478280FD" w14:textId="77777777" w:rsidR="00192AC8" w:rsidRPr="008C1E5F" w:rsidRDefault="00192AC8">
            <w:pPr>
              <w:pStyle w:val="TableTextCentered"/>
            </w:pPr>
            <w:r w:rsidRPr="008C1E5F">
              <w:t>$461</w:t>
            </w:r>
          </w:p>
        </w:tc>
        <w:tc>
          <w:tcPr>
            <w:tcW w:w="1366" w:type="dxa"/>
          </w:tcPr>
          <w:p w14:paraId="749B3968" w14:textId="77777777" w:rsidR="00192AC8" w:rsidRPr="008C1E5F" w:rsidRDefault="00192AC8">
            <w:pPr>
              <w:pStyle w:val="TableTextCentered"/>
            </w:pPr>
            <w:r w:rsidRPr="008C1E5F">
              <w:t>$575</w:t>
            </w:r>
          </w:p>
        </w:tc>
      </w:tr>
      <w:tr w:rsidR="00192AC8" w:rsidRPr="008C1E5F" w14:paraId="4E0A0D1D" w14:textId="77777777">
        <w:tc>
          <w:tcPr>
            <w:tcW w:w="5246" w:type="dxa"/>
          </w:tcPr>
          <w:p w14:paraId="5F0C69B6" w14:textId="77777777" w:rsidR="00192AC8" w:rsidRPr="008C1E5F" w:rsidRDefault="00192AC8">
            <w:pPr>
              <w:pStyle w:val="TableText"/>
            </w:pPr>
            <w:r w:rsidRPr="008C1E5F">
              <w:t>Instructional leadership (district and school)</w:t>
            </w:r>
          </w:p>
        </w:tc>
        <w:tc>
          <w:tcPr>
            <w:tcW w:w="1366" w:type="dxa"/>
          </w:tcPr>
          <w:p w14:paraId="7A40525E" w14:textId="77777777" w:rsidR="00192AC8" w:rsidRPr="008C1E5F" w:rsidRDefault="00192AC8">
            <w:pPr>
              <w:pStyle w:val="TableTextCentered"/>
            </w:pPr>
            <w:r w:rsidRPr="008C1E5F">
              <w:t>$1,447</w:t>
            </w:r>
          </w:p>
        </w:tc>
        <w:tc>
          <w:tcPr>
            <w:tcW w:w="1366" w:type="dxa"/>
          </w:tcPr>
          <w:p w14:paraId="10A4DC88" w14:textId="77777777" w:rsidR="00192AC8" w:rsidRPr="008C1E5F" w:rsidRDefault="00192AC8">
            <w:pPr>
              <w:pStyle w:val="TableTextCentered"/>
            </w:pPr>
            <w:r w:rsidRPr="008C1E5F">
              <w:t>$1,637</w:t>
            </w:r>
          </w:p>
        </w:tc>
        <w:tc>
          <w:tcPr>
            <w:tcW w:w="1366" w:type="dxa"/>
          </w:tcPr>
          <w:p w14:paraId="1FAD14F7" w14:textId="77777777" w:rsidR="00192AC8" w:rsidRPr="008C1E5F" w:rsidRDefault="00192AC8">
            <w:pPr>
              <w:pStyle w:val="TableTextCentered"/>
            </w:pPr>
            <w:r w:rsidRPr="008C1E5F">
              <w:t>$2,023</w:t>
            </w:r>
          </w:p>
        </w:tc>
      </w:tr>
      <w:tr w:rsidR="00192AC8" w:rsidRPr="008C1E5F" w14:paraId="3B92E7B6"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72A5F304" w14:textId="77777777" w:rsidR="00192AC8" w:rsidRPr="008C1E5F" w:rsidRDefault="00192AC8">
            <w:pPr>
              <w:pStyle w:val="TableText"/>
            </w:pPr>
            <w:r w:rsidRPr="008C1E5F">
              <w:t>Teachers</w:t>
            </w:r>
          </w:p>
        </w:tc>
        <w:tc>
          <w:tcPr>
            <w:tcW w:w="1366" w:type="dxa"/>
          </w:tcPr>
          <w:p w14:paraId="6368C65B" w14:textId="77777777" w:rsidR="00192AC8" w:rsidRPr="008C1E5F" w:rsidRDefault="00192AC8">
            <w:pPr>
              <w:pStyle w:val="TableTextCentered"/>
            </w:pPr>
            <w:r w:rsidRPr="008C1E5F">
              <w:t>$5,589</w:t>
            </w:r>
          </w:p>
        </w:tc>
        <w:tc>
          <w:tcPr>
            <w:tcW w:w="1366" w:type="dxa"/>
          </w:tcPr>
          <w:p w14:paraId="458E6C19" w14:textId="77777777" w:rsidR="00192AC8" w:rsidRPr="008C1E5F" w:rsidRDefault="00192AC8">
            <w:pPr>
              <w:pStyle w:val="TableTextCentered"/>
            </w:pPr>
            <w:r w:rsidRPr="008C1E5F">
              <w:t>$5,852</w:t>
            </w:r>
          </w:p>
        </w:tc>
        <w:tc>
          <w:tcPr>
            <w:tcW w:w="1366" w:type="dxa"/>
          </w:tcPr>
          <w:p w14:paraId="03D5C929" w14:textId="77777777" w:rsidR="00192AC8" w:rsidRPr="008C1E5F" w:rsidRDefault="00192AC8">
            <w:pPr>
              <w:pStyle w:val="TableTextCentered"/>
            </w:pPr>
            <w:r w:rsidRPr="008C1E5F">
              <w:t>$6,062</w:t>
            </w:r>
          </w:p>
        </w:tc>
      </w:tr>
      <w:tr w:rsidR="00192AC8" w:rsidRPr="008C1E5F" w14:paraId="7B96C980" w14:textId="77777777">
        <w:tc>
          <w:tcPr>
            <w:tcW w:w="5246" w:type="dxa"/>
          </w:tcPr>
          <w:p w14:paraId="0DD00557" w14:textId="77777777" w:rsidR="00192AC8" w:rsidRPr="008C1E5F" w:rsidDel="00DB21D5" w:rsidRDefault="00192AC8">
            <w:pPr>
              <w:pStyle w:val="TableText"/>
            </w:pPr>
            <w:r w:rsidRPr="008C1E5F">
              <w:t>Other teaching services</w:t>
            </w:r>
          </w:p>
        </w:tc>
        <w:tc>
          <w:tcPr>
            <w:tcW w:w="1366" w:type="dxa"/>
          </w:tcPr>
          <w:p w14:paraId="00699461" w14:textId="77777777" w:rsidR="00192AC8" w:rsidRPr="008C1E5F" w:rsidRDefault="00192AC8">
            <w:pPr>
              <w:pStyle w:val="TableTextCentered"/>
            </w:pPr>
            <w:r w:rsidRPr="008C1E5F">
              <w:t>$1,141</w:t>
            </w:r>
          </w:p>
        </w:tc>
        <w:tc>
          <w:tcPr>
            <w:tcW w:w="1366" w:type="dxa"/>
          </w:tcPr>
          <w:p w14:paraId="6D6E026F" w14:textId="77777777" w:rsidR="00192AC8" w:rsidRPr="008C1E5F" w:rsidRDefault="00192AC8">
            <w:pPr>
              <w:pStyle w:val="TableTextCentered"/>
            </w:pPr>
            <w:r w:rsidRPr="008C1E5F">
              <w:t>$1,401</w:t>
            </w:r>
          </w:p>
        </w:tc>
        <w:tc>
          <w:tcPr>
            <w:tcW w:w="1366" w:type="dxa"/>
          </w:tcPr>
          <w:p w14:paraId="30605B2E" w14:textId="77777777" w:rsidR="00192AC8" w:rsidRPr="008C1E5F" w:rsidRDefault="00192AC8">
            <w:pPr>
              <w:pStyle w:val="TableTextCentered"/>
            </w:pPr>
            <w:r w:rsidRPr="008C1E5F">
              <w:t>$1,735</w:t>
            </w:r>
          </w:p>
        </w:tc>
      </w:tr>
      <w:tr w:rsidR="00192AC8" w:rsidRPr="008C1E5F" w14:paraId="442FAF98"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62BD32E0" w14:textId="77777777" w:rsidR="00192AC8" w:rsidRPr="008C1E5F" w:rsidRDefault="00192AC8">
            <w:pPr>
              <w:pStyle w:val="TableText"/>
            </w:pPr>
            <w:r w:rsidRPr="008C1E5F">
              <w:t>Professional development</w:t>
            </w:r>
          </w:p>
        </w:tc>
        <w:tc>
          <w:tcPr>
            <w:tcW w:w="1366" w:type="dxa"/>
          </w:tcPr>
          <w:p w14:paraId="0F55B37D" w14:textId="77777777" w:rsidR="00192AC8" w:rsidRPr="008C1E5F" w:rsidRDefault="00192AC8">
            <w:pPr>
              <w:pStyle w:val="TableTextCentered"/>
            </w:pPr>
            <w:r w:rsidRPr="008C1E5F">
              <w:t>$94</w:t>
            </w:r>
          </w:p>
        </w:tc>
        <w:tc>
          <w:tcPr>
            <w:tcW w:w="1366" w:type="dxa"/>
          </w:tcPr>
          <w:p w14:paraId="65D37C67" w14:textId="77777777" w:rsidR="00192AC8" w:rsidRPr="008C1E5F" w:rsidRDefault="00192AC8">
            <w:pPr>
              <w:pStyle w:val="TableTextCentered"/>
            </w:pPr>
            <w:r w:rsidRPr="008C1E5F">
              <w:t>$143</w:t>
            </w:r>
          </w:p>
        </w:tc>
        <w:tc>
          <w:tcPr>
            <w:tcW w:w="1366" w:type="dxa"/>
          </w:tcPr>
          <w:p w14:paraId="7D586BE2" w14:textId="77777777" w:rsidR="00192AC8" w:rsidRPr="008C1E5F" w:rsidRDefault="00192AC8">
            <w:pPr>
              <w:pStyle w:val="TableTextCentered"/>
            </w:pPr>
            <w:r w:rsidRPr="008C1E5F">
              <w:t>$234</w:t>
            </w:r>
          </w:p>
        </w:tc>
      </w:tr>
      <w:tr w:rsidR="00192AC8" w:rsidRPr="008C1E5F" w14:paraId="210A7E1F" w14:textId="77777777">
        <w:tc>
          <w:tcPr>
            <w:tcW w:w="5246" w:type="dxa"/>
          </w:tcPr>
          <w:p w14:paraId="747022AC" w14:textId="77777777" w:rsidR="00192AC8" w:rsidRPr="008C1E5F" w:rsidRDefault="00192AC8">
            <w:pPr>
              <w:pStyle w:val="TableText"/>
            </w:pPr>
            <w:r w:rsidRPr="008C1E5F">
              <w:t>Instructional materials, equipment, and technology</w:t>
            </w:r>
          </w:p>
        </w:tc>
        <w:tc>
          <w:tcPr>
            <w:tcW w:w="1366" w:type="dxa"/>
          </w:tcPr>
          <w:p w14:paraId="0CEF1321" w14:textId="77777777" w:rsidR="00192AC8" w:rsidRPr="008C1E5F" w:rsidRDefault="00192AC8">
            <w:pPr>
              <w:pStyle w:val="TableTextCentered"/>
            </w:pPr>
            <w:r w:rsidRPr="008C1E5F">
              <w:t>$797</w:t>
            </w:r>
          </w:p>
        </w:tc>
        <w:tc>
          <w:tcPr>
            <w:tcW w:w="1366" w:type="dxa"/>
          </w:tcPr>
          <w:p w14:paraId="4ABD892B" w14:textId="77777777" w:rsidR="00192AC8" w:rsidRPr="008C1E5F" w:rsidRDefault="00192AC8">
            <w:pPr>
              <w:pStyle w:val="TableTextCentered"/>
            </w:pPr>
            <w:r w:rsidRPr="008C1E5F">
              <w:t>$587</w:t>
            </w:r>
          </w:p>
        </w:tc>
        <w:tc>
          <w:tcPr>
            <w:tcW w:w="1366" w:type="dxa"/>
          </w:tcPr>
          <w:p w14:paraId="64440897" w14:textId="77777777" w:rsidR="00192AC8" w:rsidRPr="008C1E5F" w:rsidRDefault="00192AC8">
            <w:pPr>
              <w:pStyle w:val="TableTextCentered"/>
            </w:pPr>
            <w:r w:rsidRPr="008C1E5F">
              <w:t>$1,025</w:t>
            </w:r>
          </w:p>
        </w:tc>
      </w:tr>
      <w:tr w:rsidR="00192AC8" w:rsidRPr="008C1E5F" w14:paraId="5DA3B38D"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2A952901" w14:textId="77777777" w:rsidR="00192AC8" w:rsidRPr="008C1E5F" w:rsidRDefault="00192AC8">
            <w:pPr>
              <w:pStyle w:val="TableText"/>
            </w:pPr>
            <w:r w:rsidRPr="008C1E5F">
              <w:t>Guidance, counseling, and testing services</w:t>
            </w:r>
          </w:p>
        </w:tc>
        <w:tc>
          <w:tcPr>
            <w:tcW w:w="1366" w:type="dxa"/>
          </w:tcPr>
          <w:p w14:paraId="3752D89D" w14:textId="77777777" w:rsidR="00192AC8" w:rsidRPr="008C1E5F" w:rsidRDefault="00192AC8">
            <w:pPr>
              <w:pStyle w:val="TableTextCentered"/>
            </w:pPr>
            <w:r w:rsidRPr="008C1E5F">
              <w:t>$701</w:t>
            </w:r>
          </w:p>
        </w:tc>
        <w:tc>
          <w:tcPr>
            <w:tcW w:w="1366" w:type="dxa"/>
          </w:tcPr>
          <w:p w14:paraId="004CE34B" w14:textId="77777777" w:rsidR="00192AC8" w:rsidRPr="008C1E5F" w:rsidRDefault="00192AC8">
            <w:pPr>
              <w:pStyle w:val="TableTextCentered"/>
            </w:pPr>
            <w:r w:rsidRPr="008C1E5F">
              <w:t>$792</w:t>
            </w:r>
          </w:p>
        </w:tc>
        <w:tc>
          <w:tcPr>
            <w:tcW w:w="1366" w:type="dxa"/>
          </w:tcPr>
          <w:p w14:paraId="20B86913" w14:textId="77777777" w:rsidR="00192AC8" w:rsidRPr="008C1E5F" w:rsidRDefault="00192AC8">
            <w:pPr>
              <w:pStyle w:val="TableTextCentered"/>
            </w:pPr>
            <w:r w:rsidRPr="008C1E5F">
              <w:t>$948</w:t>
            </w:r>
          </w:p>
        </w:tc>
      </w:tr>
      <w:tr w:rsidR="00192AC8" w:rsidRPr="008C1E5F" w14:paraId="7DDF3697" w14:textId="77777777">
        <w:tc>
          <w:tcPr>
            <w:tcW w:w="5246" w:type="dxa"/>
          </w:tcPr>
          <w:p w14:paraId="6C2C128B" w14:textId="77777777" w:rsidR="00192AC8" w:rsidRPr="008C1E5F" w:rsidRDefault="00192AC8">
            <w:pPr>
              <w:pStyle w:val="TableText"/>
            </w:pPr>
            <w:r w:rsidRPr="008C1E5F">
              <w:t>Pupil services</w:t>
            </w:r>
          </w:p>
        </w:tc>
        <w:tc>
          <w:tcPr>
            <w:tcW w:w="1366" w:type="dxa"/>
          </w:tcPr>
          <w:p w14:paraId="71D05508" w14:textId="77777777" w:rsidR="00192AC8" w:rsidRPr="008C1E5F" w:rsidRDefault="00192AC8">
            <w:pPr>
              <w:pStyle w:val="TableTextCentered"/>
            </w:pPr>
            <w:r w:rsidRPr="008C1E5F">
              <w:t>$1,527</w:t>
            </w:r>
          </w:p>
        </w:tc>
        <w:tc>
          <w:tcPr>
            <w:tcW w:w="1366" w:type="dxa"/>
          </w:tcPr>
          <w:p w14:paraId="605AFB88" w14:textId="77777777" w:rsidR="00192AC8" w:rsidRPr="008C1E5F" w:rsidRDefault="00192AC8">
            <w:pPr>
              <w:pStyle w:val="TableTextCentered"/>
            </w:pPr>
            <w:r w:rsidRPr="008C1E5F">
              <w:t>$2,201</w:t>
            </w:r>
          </w:p>
        </w:tc>
        <w:tc>
          <w:tcPr>
            <w:tcW w:w="1366" w:type="dxa"/>
          </w:tcPr>
          <w:p w14:paraId="1D707257" w14:textId="77777777" w:rsidR="00192AC8" w:rsidRPr="008C1E5F" w:rsidRDefault="00192AC8">
            <w:pPr>
              <w:pStyle w:val="TableTextCentered"/>
            </w:pPr>
            <w:r w:rsidRPr="008C1E5F">
              <w:t>$2,722</w:t>
            </w:r>
          </w:p>
        </w:tc>
      </w:tr>
      <w:tr w:rsidR="00192AC8" w:rsidRPr="008C1E5F" w14:paraId="272F632D"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773E2787" w14:textId="77777777" w:rsidR="00192AC8" w:rsidRPr="008C1E5F" w:rsidRDefault="00192AC8">
            <w:pPr>
              <w:pStyle w:val="TableText"/>
            </w:pPr>
            <w:r w:rsidRPr="008C1E5F">
              <w:t>Operations and maintenance</w:t>
            </w:r>
          </w:p>
        </w:tc>
        <w:tc>
          <w:tcPr>
            <w:tcW w:w="1366" w:type="dxa"/>
          </w:tcPr>
          <w:p w14:paraId="267F5CCE" w14:textId="77777777" w:rsidR="00192AC8" w:rsidRPr="008C1E5F" w:rsidRDefault="00192AC8">
            <w:pPr>
              <w:pStyle w:val="TableTextCentered"/>
            </w:pPr>
            <w:r w:rsidRPr="008C1E5F">
              <w:t>$1,704</w:t>
            </w:r>
          </w:p>
        </w:tc>
        <w:tc>
          <w:tcPr>
            <w:tcW w:w="1366" w:type="dxa"/>
          </w:tcPr>
          <w:p w14:paraId="7F1820ED" w14:textId="77777777" w:rsidR="00192AC8" w:rsidRPr="008C1E5F" w:rsidRDefault="00192AC8">
            <w:pPr>
              <w:pStyle w:val="TableTextCentered"/>
            </w:pPr>
            <w:r w:rsidRPr="008C1E5F">
              <w:t>$1,717</w:t>
            </w:r>
          </w:p>
        </w:tc>
        <w:tc>
          <w:tcPr>
            <w:tcW w:w="1366" w:type="dxa"/>
          </w:tcPr>
          <w:p w14:paraId="5BB418FC" w14:textId="77777777" w:rsidR="00192AC8" w:rsidRPr="008C1E5F" w:rsidRDefault="00192AC8">
            <w:pPr>
              <w:pStyle w:val="TableTextCentered"/>
            </w:pPr>
            <w:r w:rsidRPr="008C1E5F">
              <w:t>$2,194</w:t>
            </w:r>
          </w:p>
        </w:tc>
      </w:tr>
      <w:tr w:rsidR="00192AC8" w:rsidRPr="008C1E5F" w14:paraId="1CACCC85" w14:textId="77777777">
        <w:tc>
          <w:tcPr>
            <w:tcW w:w="5246" w:type="dxa"/>
          </w:tcPr>
          <w:p w14:paraId="5FFC70D7" w14:textId="77777777" w:rsidR="00192AC8" w:rsidRPr="008C1E5F" w:rsidRDefault="00192AC8">
            <w:pPr>
              <w:pStyle w:val="TableText"/>
            </w:pPr>
            <w:r w:rsidRPr="008C1E5F">
              <w:t>Insurance, retirement, and other fixed costs</w:t>
            </w:r>
          </w:p>
        </w:tc>
        <w:tc>
          <w:tcPr>
            <w:tcW w:w="1366" w:type="dxa"/>
          </w:tcPr>
          <w:p w14:paraId="7281CA7C" w14:textId="77777777" w:rsidR="00192AC8" w:rsidRPr="008C1E5F" w:rsidRDefault="00192AC8">
            <w:pPr>
              <w:pStyle w:val="TableTextCentered"/>
            </w:pPr>
            <w:r w:rsidRPr="008C1E5F">
              <w:t>$3,382</w:t>
            </w:r>
          </w:p>
        </w:tc>
        <w:tc>
          <w:tcPr>
            <w:tcW w:w="1366" w:type="dxa"/>
          </w:tcPr>
          <w:p w14:paraId="7841E3D7" w14:textId="77777777" w:rsidR="00192AC8" w:rsidRPr="008C1E5F" w:rsidRDefault="00192AC8">
            <w:pPr>
              <w:pStyle w:val="TableTextCentered"/>
            </w:pPr>
            <w:r w:rsidRPr="008C1E5F">
              <w:t>$3,605</w:t>
            </w:r>
          </w:p>
        </w:tc>
        <w:tc>
          <w:tcPr>
            <w:tcW w:w="1366" w:type="dxa"/>
          </w:tcPr>
          <w:p w14:paraId="12CEA56C" w14:textId="77777777" w:rsidR="00192AC8" w:rsidRPr="008C1E5F" w:rsidRDefault="00192AC8">
            <w:pPr>
              <w:pStyle w:val="TableTextCentered"/>
            </w:pPr>
            <w:r w:rsidRPr="008C1E5F">
              <w:t>$3,823</w:t>
            </w:r>
          </w:p>
        </w:tc>
      </w:tr>
      <w:tr w:rsidR="00192AC8" w:rsidRPr="008C1E5F" w14:paraId="4A30857A"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2C2ECB35" w14:textId="77777777" w:rsidR="00192AC8" w:rsidRPr="008C1E5F" w:rsidRDefault="00192AC8">
            <w:pPr>
              <w:pStyle w:val="TableText"/>
            </w:pPr>
            <w:r w:rsidRPr="008C1E5F">
              <w:t>Total expenditures per in-district pupil</w:t>
            </w:r>
          </w:p>
        </w:tc>
        <w:tc>
          <w:tcPr>
            <w:tcW w:w="1366" w:type="dxa"/>
          </w:tcPr>
          <w:p w14:paraId="1A366F45" w14:textId="77777777" w:rsidR="00192AC8" w:rsidRPr="008C1E5F" w:rsidRDefault="00192AC8">
            <w:pPr>
              <w:pStyle w:val="TableTextCentered"/>
            </w:pPr>
            <w:r w:rsidRPr="008C1E5F">
              <w:t>$16,839</w:t>
            </w:r>
          </w:p>
        </w:tc>
        <w:tc>
          <w:tcPr>
            <w:tcW w:w="1366" w:type="dxa"/>
          </w:tcPr>
          <w:p w14:paraId="35577AB1" w14:textId="77777777" w:rsidR="00192AC8" w:rsidRPr="008C1E5F" w:rsidRDefault="00192AC8">
            <w:pPr>
              <w:pStyle w:val="TableTextCentered"/>
            </w:pPr>
            <w:r w:rsidRPr="008C1E5F">
              <w:t>$18,395</w:t>
            </w:r>
          </w:p>
        </w:tc>
        <w:tc>
          <w:tcPr>
            <w:tcW w:w="1366" w:type="dxa"/>
          </w:tcPr>
          <w:p w14:paraId="780A9CDB" w14:textId="77777777" w:rsidR="00192AC8" w:rsidRPr="008C1E5F" w:rsidRDefault="00192AC8">
            <w:pPr>
              <w:pStyle w:val="TableTextCentered"/>
            </w:pPr>
            <w:r w:rsidRPr="008C1E5F">
              <w:t>$21,341</w:t>
            </w:r>
          </w:p>
        </w:tc>
      </w:tr>
    </w:tbl>
    <w:p w14:paraId="427D8657" w14:textId="77777777" w:rsidR="00192AC8" w:rsidRPr="008C1E5F" w:rsidRDefault="00192AC8" w:rsidP="00D068AF">
      <w:pPr>
        <w:pStyle w:val="TableNote"/>
        <w:spacing w:before="0" w:line="240" w:lineRule="auto"/>
      </w:pPr>
      <w:r w:rsidRPr="008C1E5F">
        <w:rPr>
          <w:i/>
          <w:iCs/>
          <w:szCs w:val="20"/>
        </w:rPr>
        <w:t>Note</w:t>
      </w:r>
      <w:r w:rsidRPr="008C1E5F">
        <w:rPr>
          <w:szCs w:val="20"/>
        </w:rPr>
        <w:t>. Any discrepancy between expenditures and total is because of rounding. Data are from</w:t>
      </w:r>
      <w:r w:rsidRPr="008C1E5F">
        <w:rPr>
          <w:rStyle w:val="Hyperlink"/>
          <w:rFonts w:eastAsiaTheme="minorHAnsi"/>
        </w:rPr>
        <w:t xml:space="preserve"> </w:t>
      </w:r>
      <w:hyperlink r:id="rId113" w:history="1">
        <w:r w:rsidRPr="008C1E5F">
          <w:rPr>
            <w:rStyle w:val="Hyperlink"/>
            <w:rFonts w:eastAsiaTheme="minorHAnsi"/>
          </w:rPr>
          <w:t>https://www.doe.mass.edu/finance/statistics/per-pupil-exp.xlsx</w:t>
        </w:r>
      </w:hyperlink>
      <w:r w:rsidRPr="008C1E5F">
        <w:rPr>
          <w:szCs w:val="20"/>
        </w:rPr>
        <w:t>.</w:t>
      </w:r>
    </w:p>
    <w:p w14:paraId="72B7F757" w14:textId="77777777" w:rsidR="00192AC8" w:rsidRPr="008C1E5F" w:rsidRDefault="00192AC8" w:rsidP="00534E49">
      <w:pPr>
        <w:pStyle w:val="BodyText"/>
      </w:pPr>
    </w:p>
    <w:p w14:paraId="016A96FA" w14:textId="77777777" w:rsidR="00192AC8" w:rsidRPr="008C1E5F" w:rsidRDefault="00192AC8" w:rsidP="00534E49">
      <w:pPr>
        <w:pStyle w:val="BodyText"/>
      </w:pPr>
    </w:p>
    <w:p w14:paraId="47E28A7D" w14:textId="77777777" w:rsidR="006A41AF" w:rsidRPr="008C1E5F" w:rsidRDefault="006A41AF" w:rsidP="00B96AA2">
      <w:pPr>
        <w:pStyle w:val="Heading2"/>
        <w:sectPr w:rsidR="006A41AF" w:rsidRPr="008C1E5F" w:rsidSect="00192AC8">
          <w:headerReference w:type="default" r:id="rId114"/>
          <w:footerReference w:type="default" r:id="rId115"/>
          <w:headerReference w:type="first" r:id="rId116"/>
          <w:footerReference w:type="first" r:id="rId117"/>
          <w:pgSz w:w="12240" w:h="15840"/>
          <w:pgMar w:top="1440" w:right="1440" w:bottom="1440" w:left="1440" w:header="720" w:footer="720" w:gutter="0"/>
          <w:pgNumType w:start="1"/>
          <w:cols w:space="720"/>
          <w:docGrid w:linePitch="360"/>
        </w:sectPr>
      </w:pPr>
      <w:bookmarkStart w:id="274" w:name="AppendixE"/>
      <w:bookmarkEnd w:id="272"/>
    </w:p>
    <w:p w14:paraId="0231F160" w14:textId="39E56BEE" w:rsidR="00FF4847" w:rsidRPr="008C1E5F" w:rsidRDefault="00FF4847" w:rsidP="00B96AA2">
      <w:pPr>
        <w:pStyle w:val="Heading2"/>
        <w:rPr>
          <w:rFonts w:asciiTheme="minorHAnsi" w:eastAsia="Calibri" w:hAnsiTheme="minorHAnsi" w:cs="Times New Roman"/>
        </w:rPr>
      </w:pPr>
      <w:bookmarkStart w:id="275" w:name="_Toc190886746"/>
      <w:bookmarkStart w:id="276" w:name="_Toc195024266"/>
      <w:r w:rsidRPr="008C1E5F">
        <w:lastRenderedPageBreak/>
        <w:t>Appendix E</w:t>
      </w:r>
      <w:r w:rsidR="00000007" w:rsidRPr="008C1E5F">
        <w:t>.</w:t>
      </w:r>
      <w:r w:rsidRPr="008C1E5F">
        <w:t xml:space="preserve"> Student </w:t>
      </w:r>
      <w:r w:rsidR="000A6E41" w:rsidRPr="008C1E5F">
        <w:t xml:space="preserve">Performance </w:t>
      </w:r>
      <w:r w:rsidR="00FB7229" w:rsidRPr="008C1E5F">
        <w:t>Data</w:t>
      </w:r>
      <w:bookmarkEnd w:id="275"/>
      <w:r w:rsidR="004D4E14">
        <w:rPr>
          <w:rStyle w:val="FootnoteReference"/>
        </w:rPr>
        <w:footnoteReference w:id="7"/>
      </w:r>
      <w:bookmarkEnd w:id="276"/>
    </w:p>
    <w:bookmarkEnd w:id="274"/>
    <w:p w14:paraId="7498CA11" w14:textId="08F8D50B" w:rsidR="00E709B4" w:rsidRDefault="00305BFA">
      <w:pPr>
        <w:pStyle w:val="TableofFigures"/>
        <w:tabs>
          <w:tab w:val="right" w:leader="dot" w:pos="12950"/>
        </w:tabs>
        <w:rPr>
          <w:rFonts w:eastAsiaTheme="minorEastAsia"/>
          <w:noProof/>
          <w:kern w:val="2"/>
          <w:sz w:val="24"/>
          <w:szCs w:val="24"/>
          <w14:ligatures w14:val="standardContextual"/>
        </w:rPr>
      </w:pPr>
      <w:r w:rsidRPr="008C1E5F">
        <w:fldChar w:fldCharType="begin"/>
      </w:r>
      <w:r w:rsidRPr="008C1E5F">
        <w:instrText xml:space="preserve"> TOC \h \z \t "Table E Titles" \c </w:instrText>
      </w:r>
      <w:r w:rsidRPr="008C1E5F">
        <w:fldChar w:fldCharType="separate"/>
      </w:r>
      <w:hyperlink w:anchor="_Toc195024269" w:history="1">
        <w:r w:rsidR="00E709B4" w:rsidRPr="00D56F45">
          <w:rPr>
            <w:rStyle w:val="Hyperlink"/>
            <w:noProof/>
          </w:rPr>
          <w:t>Table E1. MCAS ELA Achievement by Student Group, Grades 3-8, 2022-2024</w:t>
        </w:r>
        <w:r w:rsidR="00E709B4">
          <w:rPr>
            <w:noProof/>
            <w:webHidden/>
          </w:rPr>
          <w:tab/>
          <w:t>E-</w:t>
        </w:r>
        <w:r w:rsidR="00E709B4">
          <w:rPr>
            <w:noProof/>
            <w:webHidden/>
          </w:rPr>
          <w:fldChar w:fldCharType="begin"/>
        </w:r>
        <w:r w:rsidR="00E709B4">
          <w:rPr>
            <w:noProof/>
            <w:webHidden/>
          </w:rPr>
          <w:instrText xml:space="preserve"> PAGEREF _Toc195024269 \h </w:instrText>
        </w:r>
        <w:r w:rsidR="00E709B4">
          <w:rPr>
            <w:noProof/>
            <w:webHidden/>
          </w:rPr>
        </w:r>
        <w:r w:rsidR="00E709B4">
          <w:rPr>
            <w:noProof/>
            <w:webHidden/>
          </w:rPr>
          <w:fldChar w:fldCharType="separate"/>
        </w:r>
        <w:r w:rsidR="00E709B4">
          <w:rPr>
            <w:noProof/>
            <w:webHidden/>
          </w:rPr>
          <w:t>1</w:t>
        </w:r>
        <w:r w:rsidR="00E709B4">
          <w:rPr>
            <w:noProof/>
            <w:webHidden/>
          </w:rPr>
          <w:fldChar w:fldCharType="end"/>
        </w:r>
      </w:hyperlink>
    </w:p>
    <w:p w14:paraId="248CDCEC" w14:textId="78B734CB" w:rsidR="00E709B4" w:rsidRDefault="00E709B4">
      <w:pPr>
        <w:pStyle w:val="TableofFigures"/>
        <w:tabs>
          <w:tab w:val="right" w:leader="dot" w:pos="12950"/>
        </w:tabs>
        <w:rPr>
          <w:rFonts w:eastAsiaTheme="minorEastAsia"/>
          <w:noProof/>
          <w:kern w:val="2"/>
          <w:sz w:val="24"/>
          <w:szCs w:val="24"/>
          <w14:ligatures w14:val="standardContextual"/>
        </w:rPr>
      </w:pPr>
      <w:hyperlink w:anchor="_Toc195024270" w:history="1">
        <w:r w:rsidRPr="00D56F45">
          <w:rPr>
            <w:rStyle w:val="Hyperlink"/>
            <w:noProof/>
          </w:rPr>
          <w:t>Table E2. MCAS ELA Achievement by Student Group, Grade 10, 2022-2024</w:t>
        </w:r>
        <w:r>
          <w:rPr>
            <w:noProof/>
            <w:webHidden/>
          </w:rPr>
          <w:tab/>
        </w:r>
        <w:r w:rsidRPr="00E709B4">
          <w:rPr>
            <w:noProof/>
            <w:webHidden/>
          </w:rPr>
          <w:t>E-</w:t>
        </w:r>
        <w:r>
          <w:rPr>
            <w:noProof/>
            <w:webHidden/>
          </w:rPr>
          <w:fldChar w:fldCharType="begin"/>
        </w:r>
        <w:r>
          <w:rPr>
            <w:noProof/>
            <w:webHidden/>
          </w:rPr>
          <w:instrText xml:space="preserve"> PAGEREF _Toc195024270 \h </w:instrText>
        </w:r>
        <w:r>
          <w:rPr>
            <w:noProof/>
            <w:webHidden/>
          </w:rPr>
        </w:r>
        <w:r>
          <w:rPr>
            <w:noProof/>
            <w:webHidden/>
          </w:rPr>
          <w:fldChar w:fldCharType="separate"/>
        </w:r>
        <w:r>
          <w:rPr>
            <w:noProof/>
            <w:webHidden/>
          </w:rPr>
          <w:t>1</w:t>
        </w:r>
        <w:r>
          <w:rPr>
            <w:noProof/>
            <w:webHidden/>
          </w:rPr>
          <w:fldChar w:fldCharType="end"/>
        </w:r>
      </w:hyperlink>
    </w:p>
    <w:p w14:paraId="4B040F31" w14:textId="277141DD" w:rsidR="00E709B4" w:rsidRDefault="00E709B4">
      <w:pPr>
        <w:pStyle w:val="TableofFigures"/>
        <w:tabs>
          <w:tab w:val="right" w:leader="dot" w:pos="12950"/>
        </w:tabs>
        <w:rPr>
          <w:rFonts w:eastAsiaTheme="minorEastAsia"/>
          <w:noProof/>
          <w:kern w:val="2"/>
          <w:sz w:val="24"/>
          <w:szCs w:val="24"/>
          <w14:ligatures w14:val="standardContextual"/>
        </w:rPr>
      </w:pPr>
      <w:hyperlink w:anchor="_Toc195024271" w:history="1">
        <w:r w:rsidRPr="00D56F45">
          <w:rPr>
            <w:rStyle w:val="Hyperlink"/>
            <w:noProof/>
          </w:rPr>
          <w:t>Table E3. MCAS Mathematics Achievement by Student Group, Grades 3-8, 2022-2024</w:t>
        </w:r>
        <w:r>
          <w:rPr>
            <w:noProof/>
            <w:webHidden/>
          </w:rPr>
          <w:tab/>
        </w:r>
        <w:r w:rsidRPr="00E709B4">
          <w:rPr>
            <w:noProof/>
            <w:webHidden/>
          </w:rPr>
          <w:t>E-</w:t>
        </w:r>
        <w:r>
          <w:rPr>
            <w:noProof/>
            <w:webHidden/>
          </w:rPr>
          <w:fldChar w:fldCharType="begin"/>
        </w:r>
        <w:r>
          <w:rPr>
            <w:noProof/>
            <w:webHidden/>
          </w:rPr>
          <w:instrText xml:space="preserve"> PAGEREF _Toc195024271 \h </w:instrText>
        </w:r>
        <w:r>
          <w:rPr>
            <w:noProof/>
            <w:webHidden/>
          </w:rPr>
        </w:r>
        <w:r>
          <w:rPr>
            <w:noProof/>
            <w:webHidden/>
          </w:rPr>
          <w:fldChar w:fldCharType="separate"/>
        </w:r>
        <w:r>
          <w:rPr>
            <w:noProof/>
            <w:webHidden/>
          </w:rPr>
          <w:t>2</w:t>
        </w:r>
        <w:r>
          <w:rPr>
            <w:noProof/>
            <w:webHidden/>
          </w:rPr>
          <w:fldChar w:fldCharType="end"/>
        </w:r>
      </w:hyperlink>
    </w:p>
    <w:p w14:paraId="75C7B33F" w14:textId="3EF88756" w:rsidR="00E709B4" w:rsidRDefault="00E709B4">
      <w:pPr>
        <w:pStyle w:val="TableofFigures"/>
        <w:tabs>
          <w:tab w:val="right" w:leader="dot" w:pos="12950"/>
        </w:tabs>
        <w:rPr>
          <w:rFonts w:eastAsiaTheme="minorEastAsia"/>
          <w:noProof/>
          <w:kern w:val="2"/>
          <w:sz w:val="24"/>
          <w:szCs w:val="24"/>
          <w14:ligatures w14:val="standardContextual"/>
        </w:rPr>
      </w:pPr>
      <w:hyperlink w:anchor="_Toc195024272" w:history="1">
        <w:r w:rsidRPr="00D56F45">
          <w:rPr>
            <w:rStyle w:val="Hyperlink"/>
            <w:noProof/>
          </w:rPr>
          <w:t>Table E4. MCAS Mathematics Achievement by Student Group, Grade 10, 2022-2024</w:t>
        </w:r>
        <w:r>
          <w:rPr>
            <w:noProof/>
            <w:webHidden/>
          </w:rPr>
          <w:tab/>
        </w:r>
        <w:r w:rsidRPr="00E709B4">
          <w:rPr>
            <w:noProof/>
            <w:webHidden/>
          </w:rPr>
          <w:t>E-</w:t>
        </w:r>
        <w:r>
          <w:rPr>
            <w:noProof/>
            <w:webHidden/>
          </w:rPr>
          <w:fldChar w:fldCharType="begin"/>
        </w:r>
        <w:r>
          <w:rPr>
            <w:noProof/>
            <w:webHidden/>
          </w:rPr>
          <w:instrText xml:space="preserve"> PAGEREF _Toc195024272 \h </w:instrText>
        </w:r>
        <w:r>
          <w:rPr>
            <w:noProof/>
            <w:webHidden/>
          </w:rPr>
        </w:r>
        <w:r>
          <w:rPr>
            <w:noProof/>
            <w:webHidden/>
          </w:rPr>
          <w:fldChar w:fldCharType="separate"/>
        </w:r>
        <w:r>
          <w:rPr>
            <w:noProof/>
            <w:webHidden/>
          </w:rPr>
          <w:t>2</w:t>
        </w:r>
        <w:r>
          <w:rPr>
            <w:noProof/>
            <w:webHidden/>
          </w:rPr>
          <w:fldChar w:fldCharType="end"/>
        </w:r>
      </w:hyperlink>
    </w:p>
    <w:p w14:paraId="09348009" w14:textId="5F6CD617" w:rsidR="00E709B4" w:rsidRDefault="00E709B4">
      <w:pPr>
        <w:pStyle w:val="TableofFigures"/>
        <w:tabs>
          <w:tab w:val="right" w:leader="dot" w:pos="12950"/>
        </w:tabs>
        <w:rPr>
          <w:rFonts w:eastAsiaTheme="minorEastAsia"/>
          <w:noProof/>
          <w:kern w:val="2"/>
          <w:sz w:val="24"/>
          <w:szCs w:val="24"/>
          <w14:ligatures w14:val="standardContextual"/>
        </w:rPr>
      </w:pPr>
      <w:hyperlink w:anchor="_Toc195024273" w:history="1">
        <w:r w:rsidRPr="00D56F45">
          <w:rPr>
            <w:rStyle w:val="Hyperlink"/>
            <w:noProof/>
          </w:rPr>
          <w:t>Table E5. MCAS Science Achievement by Student Group, Grades 5 and 8, 2022-2024</w:t>
        </w:r>
        <w:r>
          <w:rPr>
            <w:noProof/>
            <w:webHidden/>
          </w:rPr>
          <w:tab/>
        </w:r>
        <w:r w:rsidRPr="00E709B4">
          <w:rPr>
            <w:noProof/>
            <w:webHidden/>
          </w:rPr>
          <w:t>E-</w:t>
        </w:r>
        <w:r>
          <w:rPr>
            <w:noProof/>
            <w:webHidden/>
          </w:rPr>
          <w:fldChar w:fldCharType="begin"/>
        </w:r>
        <w:r>
          <w:rPr>
            <w:noProof/>
            <w:webHidden/>
          </w:rPr>
          <w:instrText xml:space="preserve"> PAGEREF _Toc195024273 \h </w:instrText>
        </w:r>
        <w:r>
          <w:rPr>
            <w:noProof/>
            <w:webHidden/>
          </w:rPr>
        </w:r>
        <w:r>
          <w:rPr>
            <w:noProof/>
            <w:webHidden/>
          </w:rPr>
          <w:fldChar w:fldCharType="separate"/>
        </w:r>
        <w:r>
          <w:rPr>
            <w:noProof/>
            <w:webHidden/>
          </w:rPr>
          <w:t>3</w:t>
        </w:r>
        <w:r>
          <w:rPr>
            <w:noProof/>
            <w:webHidden/>
          </w:rPr>
          <w:fldChar w:fldCharType="end"/>
        </w:r>
      </w:hyperlink>
    </w:p>
    <w:p w14:paraId="3E208E65" w14:textId="6D5E271D" w:rsidR="00E709B4" w:rsidRDefault="00E709B4">
      <w:pPr>
        <w:pStyle w:val="TableofFigures"/>
        <w:tabs>
          <w:tab w:val="right" w:leader="dot" w:pos="12950"/>
        </w:tabs>
        <w:rPr>
          <w:rFonts w:eastAsiaTheme="minorEastAsia"/>
          <w:noProof/>
          <w:kern w:val="2"/>
          <w:sz w:val="24"/>
          <w:szCs w:val="24"/>
          <w14:ligatures w14:val="standardContextual"/>
        </w:rPr>
      </w:pPr>
      <w:hyperlink w:anchor="_Toc195024274" w:history="1">
        <w:r w:rsidRPr="00D56F45">
          <w:rPr>
            <w:rStyle w:val="Hyperlink"/>
            <w:noProof/>
          </w:rPr>
          <w:t>Table E6. MCAS Science Achievement by Student Group, Grade 10, 2022-2024</w:t>
        </w:r>
        <w:r>
          <w:rPr>
            <w:noProof/>
            <w:webHidden/>
          </w:rPr>
          <w:tab/>
        </w:r>
        <w:r w:rsidRPr="00E709B4">
          <w:rPr>
            <w:noProof/>
            <w:webHidden/>
          </w:rPr>
          <w:t>E-</w:t>
        </w:r>
        <w:r>
          <w:rPr>
            <w:noProof/>
            <w:webHidden/>
          </w:rPr>
          <w:fldChar w:fldCharType="begin"/>
        </w:r>
        <w:r>
          <w:rPr>
            <w:noProof/>
            <w:webHidden/>
          </w:rPr>
          <w:instrText xml:space="preserve"> PAGEREF _Toc195024274 \h </w:instrText>
        </w:r>
        <w:r>
          <w:rPr>
            <w:noProof/>
            <w:webHidden/>
          </w:rPr>
        </w:r>
        <w:r>
          <w:rPr>
            <w:noProof/>
            <w:webHidden/>
          </w:rPr>
          <w:fldChar w:fldCharType="separate"/>
        </w:r>
        <w:r>
          <w:rPr>
            <w:noProof/>
            <w:webHidden/>
          </w:rPr>
          <w:t>3</w:t>
        </w:r>
        <w:r>
          <w:rPr>
            <w:noProof/>
            <w:webHidden/>
          </w:rPr>
          <w:fldChar w:fldCharType="end"/>
        </w:r>
      </w:hyperlink>
    </w:p>
    <w:p w14:paraId="02038A38" w14:textId="500F7FEA" w:rsidR="00E709B4" w:rsidRDefault="00E709B4">
      <w:pPr>
        <w:pStyle w:val="TableofFigures"/>
        <w:tabs>
          <w:tab w:val="right" w:leader="dot" w:pos="12950"/>
        </w:tabs>
        <w:rPr>
          <w:rFonts w:eastAsiaTheme="minorEastAsia"/>
          <w:noProof/>
          <w:kern w:val="2"/>
          <w:sz w:val="24"/>
          <w:szCs w:val="24"/>
          <w14:ligatures w14:val="standardContextual"/>
        </w:rPr>
      </w:pPr>
      <w:hyperlink w:anchor="_Toc195024275" w:history="1">
        <w:r w:rsidRPr="00D56F45">
          <w:rPr>
            <w:rStyle w:val="Hyperlink"/>
            <w:noProof/>
          </w:rPr>
          <w:t>Table E7. MCAS ELA Achievement by Grade, 2022-2024</w:t>
        </w:r>
        <w:r>
          <w:rPr>
            <w:noProof/>
            <w:webHidden/>
          </w:rPr>
          <w:tab/>
        </w:r>
        <w:r w:rsidRPr="00E709B4">
          <w:rPr>
            <w:noProof/>
            <w:webHidden/>
          </w:rPr>
          <w:t>E-</w:t>
        </w:r>
        <w:r>
          <w:rPr>
            <w:noProof/>
            <w:webHidden/>
          </w:rPr>
          <w:fldChar w:fldCharType="begin"/>
        </w:r>
        <w:r>
          <w:rPr>
            <w:noProof/>
            <w:webHidden/>
          </w:rPr>
          <w:instrText xml:space="preserve"> PAGEREF _Toc195024275 \h </w:instrText>
        </w:r>
        <w:r>
          <w:rPr>
            <w:noProof/>
            <w:webHidden/>
          </w:rPr>
        </w:r>
        <w:r>
          <w:rPr>
            <w:noProof/>
            <w:webHidden/>
          </w:rPr>
          <w:fldChar w:fldCharType="separate"/>
        </w:r>
        <w:r>
          <w:rPr>
            <w:noProof/>
            <w:webHidden/>
          </w:rPr>
          <w:t>4</w:t>
        </w:r>
        <w:r>
          <w:rPr>
            <w:noProof/>
            <w:webHidden/>
          </w:rPr>
          <w:fldChar w:fldCharType="end"/>
        </w:r>
      </w:hyperlink>
    </w:p>
    <w:p w14:paraId="5CDA2B6F" w14:textId="7DAB21ED" w:rsidR="00E709B4" w:rsidRDefault="00E709B4">
      <w:pPr>
        <w:pStyle w:val="TableofFigures"/>
        <w:tabs>
          <w:tab w:val="right" w:leader="dot" w:pos="12950"/>
        </w:tabs>
        <w:rPr>
          <w:rFonts w:eastAsiaTheme="minorEastAsia"/>
          <w:noProof/>
          <w:kern w:val="2"/>
          <w:sz w:val="24"/>
          <w:szCs w:val="24"/>
          <w14:ligatures w14:val="standardContextual"/>
        </w:rPr>
      </w:pPr>
      <w:hyperlink w:anchor="_Toc195024276" w:history="1">
        <w:r w:rsidRPr="00D56F45">
          <w:rPr>
            <w:rStyle w:val="Hyperlink"/>
            <w:noProof/>
          </w:rPr>
          <w:t>Table E8. MCAS Mathematics Achievement by Grade, 2022-2024</w:t>
        </w:r>
        <w:r>
          <w:rPr>
            <w:noProof/>
            <w:webHidden/>
          </w:rPr>
          <w:tab/>
        </w:r>
        <w:r w:rsidRPr="00E709B4">
          <w:rPr>
            <w:noProof/>
            <w:webHidden/>
          </w:rPr>
          <w:t>E-</w:t>
        </w:r>
        <w:r>
          <w:rPr>
            <w:noProof/>
            <w:webHidden/>
          </w:rPr>
          <w:fldChar w:fldCharType="begin"/>
        </w:r>
        <w:r>
          <w:rPr>
            <w:noProof/>
            <w:webHidden/>
          </w:rPr>
          <w:instrText xml:space="preserve"> PAGEREF _Toc195024276 \h </w:instrText>
        </w:r>
        <w:r>
          <w:rPr>
            <w:noProof/>
            <w:webHidden/>
          </w:rPr>
        </w:r>
        <w:r>
          <w:rPr>
            <w:noProof/>
            <w:webHidden/>
          </w:rPr>
          <w:fldChar w:fldCharType="separate"/>
        </w:r>
        <w:r>
          <w:rPr>
            <w:noProof/>
            <w:webHidden/>
          </w:rPr>
          <w:t>4</w:t>
        </w:r>
        <w:r>
          <w:rPr>
            <w:noProof/>
            <w:webHidden/>
          </w:rPr>
          <w:fldChar w:fldCharType="end"/>
        </w:r>
      </w:hyperlink>
    </w:p>
    <w:p w14:paraId="38C117CB" w14:textId="29416CD9" w:rsidR="00E709B4" w:rsidRDefault="00E709B4">
      <w:pPr>
        <w:pStyle w:val="TableofFigures"/>
        <w:tabs>
          <w:tab w:val="right" w:leader="dot" w:pos="12950"/>
        </w:tabs>
        <w:rPr>
          <w:rFonts w:eastAsiaTheme="minorEastAsia"/>
          <w:noProof/>
          <w:kern w:val="2"/>
          <w:sz w:val="24"/>
          <w:szCs w:val="24"/>
          <w14:ligatures w14:val="standardContextual"/>
        </w:rPr>
      </w:pPr>
      <w:hyperlink w:anchor="_Toc195024277" w:history="1">
        <w:r w:rsidRPr="00D56F45">
          <w:rPr>
            <w:rStyle w:val="Hyperlink"/>
            <w:noProof/>
          </w:rPr>
          <w:t>Table E9. MCAS Science Achievement by Grade, 2022-2024</w:t>
        </w:r>
        <w:r>
          <w:rPr>
            <w:noProof/>
            <w:webHidden/>
          </w:rPr>
          <w:tab/>
        </w:r>
        <w:r w:rsidRPr="00E709B4">
          <w:rPr>
            <w:noProof/>
            <w:webHidden/>
          </w:rPr>
          <w:t>E-</w:t>
        </w:r>
        <w:r>
          <w:rPr>
            <w:noProof/>
            <w:webHidden/>
          </w:rPr>
          <w:fldChar w:fldCharType="begin"/>
        </w:r>
        <w:r>
          <w:rPr>
            <w:noProof/>
            <w:webHidden/>
          </w:rPr>
          <w:instrText xml:space="preserve"> PAGEREF _Toc195024277 \h </w:instrText>
        </w:r>
        <w:r>
          <w:rPr>
            <w:noProof/>
            <w:webHidden/>
          </w:rPr>
        </w:r>
        <w:r>
          <w:rPr>
            <w:noProof/>
            <w:webHidden/>
          </w:rPr>
          <w:fldChar w:fldCharType="separate"/>
        </w:r>
        <w:r>
          <w:rPr>
            <w:noProof/>
            <w:webHidden/>
          </w:rPr>
          <w:t>5</w:t>
        </w:r>
        <w:r>
          <w:rPr>
            <w:noProof/>
            <w:webHidden/>
          </w:rPr>
          <w:fldChar w:fldCharType="end"/>
        </w:r>
      </w:hyperlink>
    </w:p>
    <w:p w14:paraId="62BAA8C0" w14:textId="4DF97C1A" w:rsidR="00E709B4" w:rsidRDefault="00E709B4">
      <w:pPr>
        <w:pStyle w:val="TableofFigures"/>
        <w:tabs>
          <w:tab w:val="right" w:leader="dot" w:pos="12950"/>
        </w:tabs>
        <w:rPr>
          <w:rFonts w:eastAsiaTheme="minorEastAsia"/>
          <w:noProof/>
          <w:kern w:val="2"/>
          <w:sz w:val="24"/>
          <w:szCs w:val="24"/>
          <w14:ligatures w14:val="standardContextual"/>
        </w:rPr>
      </w:pPr>
      <w:hyperlink w:anchor="_Toc195024278" w:history="1">
        <w:r w:rsidRPr="00D56F45">
          <w:rPr>
            <w:rStyle w:val="Hyperlink"/>
            <w:noProof/>
          </w:rPr>
          <w:t xml:space="preserve">Table E10. </w:t>
        </w:r>
        <w:r w:rsidRPr="00D56F45">
          <w:rPr>
            <w:rStyle w:val="Hyperlink"/>
            <w:noProof/>
            <w:spacing w:val="-4"/>
          </w:rPr>
          <w:t>MCAS ELA Mean Student Growth Percentile by Student Group, Grades 3-8, 2022-2024</w:t>
        </w:r>
        <w:r>
          <w:rPr>
            <w:noProof/>
            <w:webHidden/>
          </w:rPr>
          <w:tab/>
        </w:r>
        <w:r w:rsidRPr="00E709B4">
          <w:rPr>
            <w:noProof/>
            <w:webHidden/>
          </w:rPr>
          <w:t>E-</w:t>
        </w:r>
        <w:r>
          <w:rPr>
            <w:noProof/>
            <w:webHidden/>
          </w:rPr>
          <w:fldChar w:fldCharType="begin"/>
        </w:r>
        <w:r>
          <w:rPr>
            <w:noProof/>
            <w:webHidden/>
          </w:rPr>
          <w:instrText xml:space="preserve"> PAGEREF _Toc195024278 \h </w:instrText>
        </w:r>
        <w:r>
          <w:rPr>
            <w:noProof/>
            <w:webHidden/>
          </w:rPr>
        </w:r>
        <w:r>
          <w:rPr>
            <w:noProof/>
            <w:webHidden/>
          </w:rPr>
          <w:fldChar w:fldCharType="separate"/>
        </w:r>
        <w:r>
          <w:rPr>
            <w:noProof/>
            <w:webHidden/>
          </w:rPr>
          <w:t>6</w:t>
        </w:r>
        <w:r>
          <w:rPr>
            <w:noProof/>
            <w:webHidden/>
          </w:rPr>
          <w:fldChar w:fldCharType="end"/>
        </w:r>
      </w:hyperlink>
    </w:p>
    <w:p w14:paraId="2DE8BE12" w14:textId="771ABEEB" w:rsidR="00E709B4" w:rsidRDefault="00E709B4">
      <w:pPr>
        <w:pStyle w:val="TableofFigures"/>
        <w:tabs>
          <w:tab w:val="right" w:leader="dot" w:pos="12950"/>
        </w:tabs>
        <w:rPr>
          <w:rFonts w:eastAsiaTheme="minorEastAsia"/>
          <w:noProof/>
          <w:kern w:val="2"/>
          <w:sz w:val="24"/>
          <w:szCs w:val="24"/>
          <w14:ligatures w14:val="standardContextual"/>
        </w:rPr>
      </w:pPr>
      <w:hyperlink w:anchor="_Toc195024279" w:history="1">
        <w:r w:rsidRPr="00D56F45">
          <w:rPr>
            <w:rStyle w:val="Hyperlink"/>
            <w:noProof/>
          </w:rPr>
          <w:t>Table E11. MCAS ELA Mean Student Growth Percentile by Student Group, Grade 10, 2022-2024</w:t>
        </w:r>
        <w:r>
          <w:rPr>
            <w:noProof/>
            <w:webHidden/>
          </w:rPr>
          <w:tab/>
        </w:r>
        <w:r w:rsidRPr="00E709B4">
          <w:rPr>
            <w:noProof/>
            <w:webHidden/>
          </w:rPr>
          <w:t>E-</w:t>
        </w:r>
        <w:r>
          <w:rPr>
            <w:noProof/>
            <w:webHidden/>
          </w:rPr>
          <w:fldChar w:fldCharType="begin"/>
        </w:r>
        <w:r>
          <w:rPr>
            <w:noProof/>
            <w:webHidden/>
          </w:rPr>
          <w:instrText xml:space="preserve"> PAGEREF _Toc195024279 \h </w:instrText>
        </w:r>
        <w:r>
          <w:rPr>
            <w:noProof/>
            <w:webHidden/>
          </w:rPr>
        </w:r>
        <w:r>
          <w:rPr>
            <w:noProof/>
            <w:webHidden/>
          </w:rPr>
          <w:fldChar w:fldCharType="separate"/>
        </w:r>
        <w:r>
          <w:rPr>
            <w:noProof/>
            <w:webHidden/>
          </w:rPr>
          <w:t>6</w:t>
        </w:r>
        <w:r>
          <w:rPr>
            <w:noProof/>
            <w:webHidden/>
          </w:rPr>
          <w:fldChar w:fldCharType="end"/>
        </w:r>
      </w:hyperlink>
    </w:p>
    <w:p w14:paraId="54D076BB" w14:textId="581B3687" w:rsidR="00E709B4" w:rsidRDefault="00E709B4">
      <w:pPr>
        <w:pStyle w:val="TableofFigures"/>
        <w:tabs>
          <w:tab w:val="right" w:leader="dot" w:pos="12950"/>
        </w:tabs>
        <w:rPr>
          <w:rFonts w:eastAsiaTheme="minorEastAsia"/>
          <w:noProof/>
          <w:kern w:val="2"/>
          <w:sz w:val="24"/>
          <w:szCs w:val="24"/>
          <w14:ligatures w14:val="standardContextual"/>
        </w:rPr>
      </w:pPr>
      <w:hyperlink w:anchor="_Toc195024280" w:history="1">
        <w:r w:rsidRPr="00D56F45">
          <w:rPr>
            <w:rStyle w:val="Hyperlink"/>
            <w:noProof/>
          </w:rPr>
          <w:t>Table E12. MCAS Mathematics Mean Student Growth Percentile by Student Group, Grades 3-8, 2022-2024</w:t>
        </w:r>
        <w:r>
          <w:rPr>
            <w:noProof/>
            <w:webHidden/>
          </w:rPr>
          <w:tab/>
        </w:r>
        <w:r w:rsidRPr="00E709B4">
          <w:rPr>
            <w:noProof/>
            <w:webHidden/>
          </w:rPr>
          <w:t>E-</w:t>
        </w:r>
        <w:r>
          <w:rPr>
            <w:noProof/>
            <w:webHidden/>
          </w:rPr>
          <w:fldChar w:fldCharType="begin"/>
        </w:r>
        <w:r>
          <w:rPr>
            <w:noProof/>
            <w:webHidden/>
          </w:rPr>
          <w:instrText xml:space="preserve"> PAGEREF _Toc195024280 \h </w:instrText>
        </w:r>
        <w:r>
          <w:rPr>
            <w:noProof/>
            <w:webHidden/>
          </w:rPr>
        </w:r>
        <w:r>
          <w:rPr>
            <w:noProof/>
            <w:webHidden/>
          </w:rPr>
          <w:fldChar w:fldCharType="separate"/>
        </w:r>
        <w:r>
          <w:rPr>
            <w:noProof/>
            <w:webHidden/>
          </w:rPr>
          <w:t>7</w:t>
        </w:r>
        <w:r>
          <w:rPr>
            <w:noProof/>
            <w:webHidden/>
          </w:rPr>
          <w:fldChar w:fldCharType="end"/>
        </w:r>
      </w:hyperlink>
    </w:p>
    <w:p w14:paraId="5C67B4A1" w14:textId="2707CE4F" w:rsidR="00E709B4" w:rsidRDefault="00E709B4">
      <w:pPr>
        <w:pStyle w:val="TableofFigures"/>
        <w:tabs>
          <w:tab w:val="right" w:leader="dot" w:pos="12950"/>
        </w:tabs>
        <w:rPr>
          <w:rFonts w:eastAsiaTheme="minorEastAsia"/>
          <w:noProof/>
          <w:kern w:val="2"/>
          <w:sz w:val="24"/>
          <w:szCs w:val="24"/>
          <w14:ligatures w14:val="standardContextual"/>
        </w:rPr>
      </w:pPr>
      <w:hyperlink w:anchor="_Toc195024281" w:history="1">
        <w:r w:rsidRPr="00D56F45">
          <w:rPr>
            <w:rStyle w:val="Hyperlink"/>
            <w:noProof/>
          </w:rPr>
          <w:t>Table E13. MCAS Mathematics Mean Student Growth Percentile by Student Group, Grade 10, 2022-2024</w:t>
        </w:r>
        <w:r>
          <w:rPr>
            <w:noProof/>
            <w:webHidden/>
          </w:rPr>
          <w:tab/>
        </w:r>
        <w:r w:rsidRPr="00E709B4">
          <w:rPr>
            <w:noProof/>
            <w:webHidden/>
          </w:rPr>
          <w:t>E-</w:t>
        </w:r>
        <w:r>
          <w:rPr>
            <w:noProof/>
            <w:webHidden/>
          </w:rPr>
          <w:fldChar w:fldCharType="begin"/>
        </w:r>
        <w:r>
          <w:rPr>
            <w:noProof/>
            <w:webHidden/>
          </w:rPr>
          <w:instrText xml:space="preserve"> PAGEREF _Toc195024281 \h </w:instrText>
        </w:r>
        <w:r>
          <w:rPr>
            <w:noProof/>
            <w:webHidden/>
          </w:rPr>
        </w:r>
        <w:r>
          <w:rPr>
            <w:noProof/>
            <w:webHidden/>
          </w:rPr>
          <w:fldChar w:fldCharType="separate"/>
        </w:r>
        <w:r>
          <w:rPr>
            <w:noProof/>
            <w:webHidden/>
          </w:rPr>
          <w:t>7</w:t>
        </w:r>
        <w:r>
          <w:rPr>
            <w:noProof/>
            <w:webHidden/>
          </w:rPr>
          <w:fldChar w:fldCharType="end"/>
        </w:r>
      </w:hyperlink>
    </w:p>
    <w:p w14:paraId="11897662" w14:textId="71826A70" w:rsidR="00E709B4" w:rsidRDefault="00E709B4">
      <w:pPr>
        <w:pStyle w:val="TableofFigures"/>
        <w:tabs>
          <w:tab w:val="right" w:leader="dot" w:pos="12950"/>
        </w:tabs>
        <w:rPr>
          <w:rFonts w:eastAsiaTheme="minorEastAsia"/>
          <w:noProof/>
          <w:kern w:val="2"/>
          <w:sz w:val="24"/>
          <w:szCs w:val="24"/>
          <w14:ligatures w14:val="standardContextual"/>
        </w:rPr>
      </w:pPr>
      <w:hyperlink w:anchor="_Toc195024282" w:history="1">
        <w:r w:rsidRPr="00D56F45">
          <w:rPr>
            <w:rStyle w:val="Hyperlink"/>
            <w:noProof/>
          </w:rPr>
          <w:t>Table E14. MCAS ELA Mean Student Growth Percentile by Grade, 2022-2024</w:t>
        </w:r>
        <w:r>
          <w:rPr>
            <w:noProof/>
            <w:webHidden/>
          </w:rPr>
          <w:tab/>
        </w:r>
        <w:r w:rsidRPr="00E709B4">
          <w:rPr>
            <w:noProof/>
            <w:webHidden/>
          </w:rPr>
          <w:t>E-</w:t>
        </w:r>
        <w:r>
          <w:rPr>
            <w:noProof/>
            <w:webHidden/>
          </w:rPr>
          <w:fldChar w:fldCharType="begin"/>
        </w:r>
        <w:r>
          <w:rPr>
            <w:noProof/>
            <w:webHidden/>
          </w:rPr>
          <w:instrText xml:space="preserve"> PAGEREF _Toc195024282 \h </w:instrText>
        </w:r>
        <w:r>
          <w:rPr>
            <w:noProof/>
            <w:webHidden/>
          </w:rPr>
        </w:r>
        <w:r>
          <w:rPr>
            <w:noProof/>
            <w:webHidden/>
          </w:rPr>
          <w:fldChar w:fldCharType="separate"/>
        </w:r>
        <w:r>
          <w:rPr>
            <w:noProof/>
            <w:webHidden/>
          </w:rPr>
          <w:t>8</w:t>
        </w:r>
        <w:r>
          <w:rPr>
            <w:noProof/>
            <w:webHidden/>
          </w:rPr>
          <w:fldChar w:fldCharType="end"/>
        </w:r>
      </w:hyperlink>
    </w:p>
    <w:p w14:paraId="618F44AC" w14:textId="333A3E4E" w:rsidR="00E709B4" w:rsidRDefault="00E709B4">
      <w:pPr>
        <w:pStyle w:val="TableofFigures"/>
        <w:tabs>
          <w:tab w:val="right" w:leader="dot" w:pos="12950"/>
        </w:tabs>
        <w:rPr>
          <w:rFonts w:eastAsiaTheme="minorEastAsia"/>
          <w:noProof/>
          <w:kern w:val="2"/>
          <w:sz w:val="24"/>
          <w:szCs w:val="24"/>
          <w14:ligatures w14:val="standardContextual"/>
        </w:rPr>
      </w:pPr>
      <w:hyperlink w:anchor="_Toc195024283" w:history="1">
        <w:r w:rsidRPr="00D56F45">
          <w:rPr>
            <w:rStyle w:val="Hyperlink"/>
            <w:noProof/>
          </w:rPr>
          <w:t>Table E15. MCAS Mathematics Mean Student Growth Percentile by Grade, 2022-2024</w:t>
        </w:r>
        <w:r>
          <w:rPr>
            <w:noProof/>
            <w:webHidden/>
          </w:rPr>
          <w:tab/>
        </w:r>
        <w:r w:rsidRPr="00E709B4">
          <w:rPr>
            <w:noProof/>
            <w:webHidden/>
          </w:rPr>
          <w:t>E-</w:t>
        </w:r>
        <w:r>
          <w:rPr>
            <w:noProof/>
            <w:webHidden/>
          </w:rPr>
          <w:fldChar w:fldCharType="begin"/>
        </w:r>
        <w:r>
          <w:rPr>
            <w:noProof/>
            <w:webHidden/>
          </w:rPr>
          <w:instrText xml:space="preserve"> PAGEREF _Toc195024283 \h </w:instrText>
        </w:r>
        <w:r>
          <w:rPr>
            <w:noProof/>
            <w:webHidden/>
          </w:rPr>
        </w:r>
        <w:r>
          <w:rPr>
            <w:noProof/>
            <w:webHidden/>
          </w:rPr>
          <w:fldChar w:fldCharType="separate"/>
        </w:r>
        <w:r>
          <w:rPr>
            <w:noProof/>
            <w:webHidden/>
          </w:rPr>
          <w:t>8</w:t>
        </w:r>
        <w:r>
          <w:rPr>
            <w:noProof/>
            <w:webHidden/>
          </w:rPr>
          <w:fldChar w:fldCharType="end"/>
        </w:r>
      </w:hyperlink>
    </w:p>
    <w:p w14:paraId="504A67BB" w14:textId="5C74F44D" w:rsidR="00E709B4" w:rsidRDefault="00E709B4">
      <w:pPr>
        <w:pStyle w:val="TableofFigures"/>
        <w:tabs>
          <w:tab w:val="right" w:leader="dot" w:pos="12950"/>
        </w:tabs>
        <w:rPr>
          <w:rFonts w:eastAsiaTheme="minorEastAsia"/>
          <w:noProof/>
          <w:kern w:val="2"/>
          <w:sz w:val="24"/>
          <w:szCs w:val="24"/>
          <w14:ligatures w14:val="standardContextual"/>
        </w:rPr>
      </w:pPr>
      <w:hyperlink w:anchor="_Toc195024284" w:history="1">
        <w:r w:rsidRPr="00D56F45">
          <w:rPr>
            <w:rStyle w:val="Hyperlink"/>
            <w:noProof/>
          </w:rPr>
          <w:t>Table E16. Four-Year Cohort Graduation Rates by Student Group, 2021-2023</w:t>
        </w:r>
        <w:r>
          <w:rPr>
            <w:noProof/>
            <w:webHidden/>
          </w:rPr>
          <w:tab/>
        </w:r>
        <w:r w:rsidRPr="00E709B4">
          <w:rPr>
            <w:noProof/>
            <w:webHidden/>
          </w:rPr>
          <w:t>E-</w:t>
        </w:r>
        <w:r>
          <w:rPr>
            <w:noProof/>
            <w:webHidden/>
          </w:rPr>
          <w:fldChar w:fldCharType="begin"/>
        </w:r>
        <w:r>
          <w:rPr>
            <w:noProof/>
            <w:webHidden/>
          </w:rPr>
          <w:instrText xml:space="preserve"> PAGEREF _Toc195024284 \h </w:instrText>
        </w:r>
        <w:r>
          <w:rPr>
            <w:noProof/>
            <w:webHidden/>
          </w:rPr>
        </w:r>
        <w:r>
          <w:rPr>
            <w:noProof/>
            <w:webHidden/>
          </w:rPr>
          <w:fldChar w:fldCharType="separate"/>
        </w:r>
        <w:r>
          <w:rPr>
            <w:noProof/>
            <w:webHidden/>
          </w:rPr>
          <w:t>8</w:t>
        </w:r>
        <w:r>
          <w:rPr>
            <w:noProof/>
            <w:webHidden/>
          </w:rPr>
          <w:fldChar w:fldCharType="end"/>
        </w:r>
      </w:hyperlink>
    </w:p>
    <w:p w14:paraId="517A4454" w14:textId="0DCD1022" w:rsidR="00E709B4" w:rsidRDefault="00E709B4">
      <w:pPr>
        <w:pStyle w:val="TableofFigures"/>
        <w:tabs>
          <w:tab w:val="right" w:leader="dot" w:pos="12950"/>
        </w:tabs>
        <w:rPr>
          <w:rFonts w:eastAsiaTheme="minorEastAsia"/>
          <w:noProof/>
          <w:kern w:val="2"/>
          <w:sz w:val="24"/>
          <w:szCs w:val="24"/>
          <w14:ligatures w14:val="standardContextual"/>
        </w:rPr>
      </w:pPr>
      <w:hyperlink w:anchor="_Toc195024285" w:history="1">
        <w:r w:rsidRPr="00D56F45">
          <w:rPr>
            <w:rStyle w:val="Hyperlink"/>
            <w:noProof/>
          </w:rPr>
          <w:t>Table E17. Five-Year Cohort Graduation Rates by Student Group, 2020-2022</w:t>
        </w:r>
        <w:r>
          <w:rPr>
            <w:noProof/>
            <w:webHidden/>
          </w:rPr>
          <w:tab/>
        </w:r>
        <w:r w:rsidRPr="00E709B4">
          <w:rPr>
            <w:noProof/>
            <w:webHidden/>
          </w:rPr>
          <w:t>E-</w:t>
        </w:r>
        <w:r>
          <w:rPr>
            <w:noProof/>
            <w:webHidden/>
          </w:rPr>
          <w:fldChar w:fldCharType="begin"/>
        </w:r>
        <w:r>
          <w:rPr>
            <w:noProof/>
            <w:webHidden/>
          </w:rPr>
          <w:instrText xml:space="preserve"> PAGEREF _Toc195024285 \h </w:instrText>
        </w:r>
        <w:r>
          <w:rPr>
            <w:noProof/>
            <w:webHidden/>
          </w:rPr>
        </w:r>
        <w:r>
          <w:rPr>
            <w:noProof/>
            <w:webHidden/>
          </w:rPr>
          <w:fldChar w:fldCharType="separate"/>
        </w:r>
        <w:r>
          <w:rPr>
            <w:noProof/>
            <w:webHidden/>
          </w:rPr>
          <w:t>9</w:t>
        </w:r>
        <w:r>
          <w:rPr>
            <w:noProof/>
            <w:webHidden/>
          </w:rPr>
          <w:fldChar w:fldCharType="end"/>
        </w:r>
      </w:hyperlink>
    </w:p>
    <w:p w14:paraId="5A9C2AB9" w14:textId="0EF099E2" w:rsidR="00E709B4" w:rsidRDefault="00E709B4">
      <w:pPr>
        <w:pStyle w:val="TableofFigures"/>
        <w:tabs>
          <w:tab w:val="right" w:leader="dot" w:pos="12950"/>
        </w:tabs>
        <w:rPr>
          <w:rFonts w:eastAsiaTheme="minorEastAsia"/>
          <w:noProof/>
          <w:kern w:val="2"/>
          <w:sz w:val="24"/>
          <w:szCs w:val="24"/>
          <w14:ligatures w14:val="standardContextual"/>
        </w:rPr>
      </w:pPr>
      <w:hyperlink w:anchor="_Toc195024286" w:history="1">
        <w:r w:rsidRPr="00D56F45">
          <w:rPr>
            <w:rStyle w:val="Hyperlink"/>
            <w:noProof/>
          </w:rPr>
          <w:t>Table E18. Annual Dropout Rates by Student Group, 2021-2023</w:t>
        </w:r>
        <w:r>
          <w:rPr>
            <w:noProof/>
            <w:webHidden/>
          </w:rPr>
          <w:tab/>
        </w:r>
        <w:r w:rsidRPr="00E709B4">
          <w:rPr>
            <w:noProof/>
            <w:webHidden/>
          </w:rPr>
          <w:t>E-</w:t>
        </w:r>
        <w:r>
          <w:rPr>
            <w:noProof/>
            <w:webHidden/>
          </w:rPr>
          <w:fldChar w:fldCharType="begin"/>
        </w:r>
        <w:r>
          <w:rPr>
            <w:noProof/>
            <w:webHidden/>
          </w:rPr>
          <w:instrText xml:space="preserve"> PAGEREF _Toc195024286 \h </w:instrText>
        </w:r>
        <w:r>
          <w:rPr>
            <w:noProof/>
            <w:webHidden/>
          </w:rPr>
        </w:r>
        <w:r>
          <w:rPr>
            <w:noProof/>
            <w:webHidden/>
          </w:rPr>
          <w:fldChar w:fldCharType="separate"/>
        </w:r>
        <w:r>
          <w:rPr>
            <w:noProof/>
            <w:webHidden/>
          </w:rPr>
          <w:t>9</w:t>
        </w:r>
        <w:r>
          <w:rPr>
            <w:noProof/>
            <w:webHidden/>
          </w:rPr>
          <w:fldChar w:fldCharType="end"/>
        </w:r>
      </w:hyperlink>
    </w:p>
    <w:p w14:paraId="341FDDBD" w14:textId="361C4E03" w:rsidR="00E709B4" w:rsidRDefault="00E709B4">
      <w:pPr>
        <w:pStyle w:val="TableofFigures"/>
        <w:tabs>
          <w:tab w:val="right" w:leader="dot" w:pos="12950"/>
        </w:tabs>
        <w:rPr>
          <w:rFonts w:eastAsiaTheme="minorEastAsia"/>
          <w:noProof/>
          <w:kern w:val="2"/>
          <w:sz w:val="24"/>
          <w:szCs w:val="24"/>
          <w14:ligatures w14:val="standardContextual"/>
        </w:rPr>
      </w:pPr>
      <w:hyperlink w:anchor="_Toc195024287" w:history="1">
        <w:r w:rsidRPr="00D56F45">
          <w:rPr>
            <w:rStyle w:val="Hyperlink"/>
            <w:noProof/>
          </w:rPr>
          <w:t>Table E19. In-School Suspension Rates by Student Group, 2022-2024</w:t>
        </w:r>
        <w:r>
          <w:rPr>
            <w:noProof/>
            <w:webHidden/>
          </w:rPr>
          <w:tab/>
        </w:r>
        <w:r w:rsidRPr="00E709B4">
          <w:rPr>
            <w:noProof/>
            <w:webHidden/>
          </w:rPr>
          <w:t>E-</w:t>
        </w:r>
        <w:r>
          <w:rPr>
            <w:noProof/>
            <w:webHidden/>
          </w:rPr>
          <w:fldChar w:fldCharType="begin"/>
        </w:r>
        <w:r>
          <w:rPr>
            <w:noProof/>
            <w:webHidden/>
          </w:rPr>
          <w:instrText xml:space="preserve"> PAGEREF _Toc195024287 \h </w:instrText>
        </w:r>
        <w:r>
          <w:rPr>
            <w:noProof/>
            <w:webHidden/>
          </w:rPr>
        </w:r>
        <w:r>
          <w:rPr>
            <w:noProof/>
            <w:webHidden/>
          </w:rPr>
          <w:fldChar w:fldCharType="separate"/>
        </w:r>
        <w:r>
          <w:rPr>
            <w:noProof/>
            <w:webHidden/>
          </w:rPr>
          <w:t>10</w:t>
        </w:r>
        <w:r>
          <w:rPr>
            <w:noProof/>
            <w:webHidden/>
          </w:rPr>
          <w:fldChar w:fldCharType="end"/>
        </w:r>
      </w:hyperlink>
    </w:p>
    <w:p w14:paraId="458A7008" w14:textId="76E986D4" w:rsidR="00E709B4" w:rsidRDefault="00E709B4">
      <w:pPr>
        <w:pStyle w:val="TableofFigures"/>
        <w:tabs>
          <w:tab w:val="right" w:leader="dot" w:pos="12950"/>
        </w:tabs>
        <w:rPr>
          <w:rFonts w:eastAsiaTheme="minorEastAsia"/>
          <w:noProof/>
          <w:kern w:val="2"/>
          <w:sz w:val="24"/>
          <w:szCs w:val="24"/>
          <w14:ligatures w14:val="standardContextual"/>
        </w:rPr>
      </w:pPr>
      <w:hyperlink w:anchor="_Toc195024288" w:history="1">
        <w:r w:rsidRPr="00D56F45">
          <w:rPr>
            <w:rStyle w:val="Hyperlink"/>
            <w:noProof/>
          </w:rPr>
          <w:t>Table E20. Out-of-School Suspension Rates by Student Group, 2022-2024</w:t>
        </w:r>
        <w:r>
          <w:rPr>
            <w:noProof/>
            <w:webHidden/>
          </w:rPr>
          <w:tab/>
        </w:r>
        <w:r w:rsidRPr="00E709B4">
          <w:rPr>
            <w:noProof/>
            <w:webHidden/>
          </w:rPr>
          <w:t>E-</w:t>
        </w:r>
        <w:r>
          <w:rPr>
            <w:noProof/>
            <w:webHidden/>
          </w:rPr>
          <w:fldChar w:fldCharType="begin"/>
        </w:r>
        <w:r>
          <w:rPr>
            <w:noProof/>
            <w:webHidden/>
          </w:rPr>
          <w:instrText xml:space="preserve"> PAGEREF _Toc195024288 \h </w:instrText>
        </w:r>
        <w:r>
          <w:rPr>
            <w:noProof/>
            <w:webHidden/>
          </w:rPr>
        </w:r>
        <w:r>
          <w:rPr>
            <w:noProof/>
            <w:webHidden/>
          </w:rPr>
          <w:fldChar w:fldCharType="separate"/>
        </w:r>
        <w:r>
          <w:rPr>
            <w:noProof/>
            <w:webHidden/>
          </w:rPr>
          <w:t>10</w:t>
        </w:r>
        <w:r>
          <w:rPr>
            <w:noProof/>
            <w:webHidden/>
          </w:rPr>
          <w:fldChar w:fldCharType="end"/>
        </w:r>
      </w:hyperlink>
    </w:p>
    <w:p w14:paraId="6AF8AA9C" w14:textId="77E666A0" w:rsidR="00E709B4" w:rsidRDefault="00E709B4">
      <w:pPr>
        <w:pStyle w:val="TableofFigures"/>
        <w:tabs>
          <w:tab w:val="right" w:leader="dot" w:pos="12950"/>
        </w:tabs>
        <w:rPr>
          <w:rFonts w:eastAsiaTheme="minorEastAsia"/>
          <w:noProof/>
          <w:kern w:val="2"/>
          <w:sz w:val="24"/>
          <w:szCs w:val="24"/>
          <w14:ligatures w14:val="standardContextual"/>
        </w:rPr>
      </w:pPr>
      <w:hyperlink w:anchor="_Toc195024289" w:history="1">
        <w:r w:rsidRPr="00D56F45">
          <w:rPr>
            <w:rStyle w:val="Hyperlink"/>
            <w:noProof/>
          </w:rPr>
          <w:t>Table E21. Advanced Coursework Completion Rates by Student Group, 2022-2024</w:t>
        </w:r>
        <w:r>
          <w:rPr>
            <w:noProof/>
            <w:webHidden/>
          </w:rPr>
          <w:tab/>
        </w:r>
        <w:r w:rsidRPr="00E709B4">
          <w:rPr>
            <w:noProof/>
            <w:webHidden/>
          </w:rPr>
          <w:t>E-</w:t>
        </w:r>
        <w:r>
          <w:rPr>
            <w:noProof/>
            <w:webHidden/>
          </w:rPr>
          <w:fldChar w:fldCharType="begin"/>
        </w:r>
        <w:r>
          <w:rPr>
            <w:noProof/>
            <w:webHidden/>
          </w:rPr>
          <w:instrText xml:space="preserve"> PAGEREF _Toc195024289 \h </w:instrText>
        </w:r>
        <w:r>
          <w:rPr>
            <w:noProof/>
            <w:webHidden/>
          </w:rPr>
        </w:r>
        <w:r>
          <w:rPr>
            <w:noProof/>
            <w:webHidden/>
          </w:rPr>
          <w:fldChar w:fldCharType="separate"/>
        </w:r>
        <w:r>
          <w:rPr>
            <w:noProof/>
            <w:webHidden/>
          </w:rPr>
          <w:t>11</w:t>
        </w:r>
        <w:r>
          <w:rPr>
            <w:noProof/>
            <w:webHidden/>
          </w:rPr>
          <w:fldChar w:fldCharType="end"/>
        </w:r>
      </w:hyperlink>
    </w:p>
    <w:p w14:paraId="60B61C5B" w14:textId="5CFC12D1" w:rsidR="00E709B4" w:rsidRDefault="00E709B4">
      <w:pPr>
        <w:pStyle w:val="TableofFigures"/>
        <w:tabs>
          <w:tab w:val="right" w:leader="dot" w:pos="12950"/>
        </w:tabs>
        <w:rPr>
          <w:rFonts w:eastAsiaTheme="minorEastAsia"/>
          <w:noProof/>
          <w:kern w:val="2"/>
          <w:sz w:val="24"/>
          <w:szCs w:val="24"/>
          <w14:ligatures w14:val="standardContextual"/>
        </w:rPr>
      </w:pPr>
      <w:hyperlink w:anchor="_Toc195024290" w:history="1">
        <w:r w:rsidRPr="00D56F45">
          <w:rPr>
            <w:rStyle w:val="Hyperlink"/>
            <w:noProof/>
          </w:rPr>
          <w:t>Table E22. Accountability Results, 2024</w:t>
        </w:r>
        <w:r>
          <w:rPr>
            <w:noProof/>
            <w:webHidden/>
          </w:rPr>
          <w:tab/>
        </w:r>
        <w:r w:rsidRPr="00E709B4">
          <w:rPr>
            <w:noProof/>
            <w:webHidden/>
          </w:rPr>
          <w:t>E-</w:t>
        </w:r>
        <w:r>
          <w:rPr>
            <w:noProof/>
            <w:webHidden/>
          </w:rPr>
          <w:fldChar w:fldCharType="begin"/>
        </w:r>
        <w:r>
          <w:rPr>
            <w:noProof/>
            <w:webHidden/>
          </w:rPr>
          <w:instrText xml:space="preserve"> PAGEREF _Toc195024290 \h </w:instrText>
        </w:r>
        <w:r>
          <w:rPr>
            <w:noProof/>
            <w:webHidden/>
          </w:rPr>
        </w:r>
        <w:r>
          <w:rPr>
            <w:noProof/>
            <w:webHidden/>
          </w:rPr>
          <w:fldChar w:fldCharType="separate"/>
        </w:r>
        <w:r>
          <w:rPr>
            <w:noProof/>
            <w:webHidden/>
          </w:rPr>
          <w:t>11</w:t>
        </w:r>
        <w:r>
          <w:rPr>
            <w:noProof/>
            <w:webHidden/>
          </w:rPr>
          <w:fldChar w:fldCharType="end"/>
        </w:r>
      </w:hyperlink>
    </w:p>
    <w:p w14:paraId="24F48AA4" w14:textId="456AA84C" w:rsidR="00C55C91" w:rsidRPr="008C1E5F" w:rsidRDefault="00305BFA">
      <w:pPr>
        <w:spacing w:after="160" w:line="259" w:lineRule="auto"/>
        <w:sectPr w:rsidR="00C55C91" w:rsidRPr="008C1E5F" w:rsidSect="00F11D7E">
          <w:footerReference w:type="default" r:id="rId118"/>
          <w:pgSz w:w="15840" w:h="12240" w:orient="landscape" w:code="1"/>
          <w:pgMar w:top="1440" w:right="1440" w:bottom="1440" w:left="1440" w:header="720" w:footer="720" w:gutter="0"/>
          <w:pgNumType w:start="1"/>
          <w:cols w:space="720"/>
          <w:docGrid w:linePitch="360"/>
        </w:sectPr>
      </w:pPr>
      <w:r w:rsidRPr="008C1E5F">
        <w:fldChar w:fldCharType="end"/>
      </w:r>
      <w:r w:rsidR="00C60C82" w:rsidRPr="008C1E5F">
        <w:br w:type="page"/>
      </w:r>
    </w:p>
    <w:p w14:paraId="4E82B930" w14:textId="7082041E" w:rsidR="00C60C82" w:rsidRPr="008C1E5F" w:rsidRDefault="00C60C82" w:rsidP="00305BFA">
      <w:pPr>
        <w:pStyle w:val="TableETitles"/>
        <w:spacing w:before="0" w:after="60"/>
      </w:pPr>
      <w:bookmarkStart w:id="277" w:name="_Toc195024269"/>
      <w:r w:rsidRPr="008C1E5F">
        <w:lastRenderedPageBreak/>
        <w:t>Table E1. MCAS ELA Achievement by Student Group, Grades 3-8, 2022-2024</w:t>
      </w:r>
      <w:bookmarkEnd w:id="277"/>
      <w:r w:rsidRPr="008C1E5F">
        <w:t xml:space="preserve"> </w:t>
      </w:r>
    </w:p>
    <w:tbl>
      <w:tblPr>
        <w:tblStyle w:val="MSVTable1"/>
        <w:tblW w:w="5000" w:type="pct"/>
        <w:jc w:val="center"/>
        <w:tblLayout w:type="fixed"/>
        <w:tblLook w:val="0420" w:firstRow="1" w:lastRow="0" w:firstColumn="0" w:lastColumn="0" w:noHBand="0" w:noVBand="1"/>
      </w:tblPr>
      <w:tblGrid>
        <w:gridCol w:w="2872"/>
        <w:gridCol w:w="824"/>
        <w:gridCol w:w="770"/>
        <w:gridCol w:w="772"/>
        <w:gridCol w:w="771"/>
        <w:gridCol w:w="771"/>
        <w:gridCol w:w="771"/>
        <w:gridCol w:w="771"/>
        <w:gridCol w:w="769"/>
        <w:gridCol w:w="771"/>
        <w:gridCol w:w="771"/>
        <w:gridCol w:w="771"/>
        <w:gridCol w:w="771"/>
        <w:gridCol w:w="769"/>
      </w:tblGrid>
      <w:tr w:rsidR="00542FED" w:rsidRPr="008C1E5F" w14:paraId="3681DF67" w14:textId="77777777" w:rsidTr="00542FED">
        <w:trPr>
          <w:cnfStyle w:val="100000000000" w:firstRow="1" w:lastRow="0" w:firstColumn="0" w:lastColumn="0" w:oddVBand="0" w:evenVBand="0" w:oddHBand="0" w:evenHBand="0" w:firstRowFirstColumn="0" w:firstRowLastColumn="0" w:lastRowFirstColumn="0" w:lastRowLastColumn="0"/>
          <w:tblHeader/>
          <w:jc w:val="center"/>
        </w:trPr>
        <w:tc>
          <w:tcPr>
            <w:tcW w:w="1109" w:type="pct"/>
            <w:vAlign w:val="center"/>
          </w:tcPr>
          <w:p w14:paraId="3E9D17E5" w14:textId="662C3734" w:rsidR="00542FED" w:rsidRPr="008C1E5F" w:rsidRDefault="00542FED" w:rsidP="00542FED">
            <w:pPr>
              <w:pStyle w:val="TableColHeadingCenter"/>
              <w:spacing w:before="10" w:after="10"/>
            </w:pPr>
            <w:r w:rsidRPr="00E667E6">
              <w:t>Group</w:t>
            </w:r>
          </w:p>
        </w:tc>
        <w:tc>
          <w:tcPr>
            <w:tcW w:w="318" w:type="pct"/>
            <w:tcMar>
              <w:left w:w="14" w:type="dxa"/>
              <w:right w:w="14" w:type="dxa"/>
            </w:tcMar>
            <w:vAlign w:val="center"/>
          </w:tcPr>
          <w:p w14:paraId="2BAA6FEE" w14:textId="494EBF93" w:rsidR="00542FED" w:rsidRPr="008C1E5F" w:rsidRDefault="00542FED" w:rsidP="00542FED">
            <w:pPr>
              <w:pStyle w:val="TableColHeadingCenter"/>
              <w:spacing w:before="10" w:after="10"/>
            </w:pPr>
            <w:r w:rsidRPr="00E667E6">
              <w:t># Included (2024)</w:t>
            </w:r>
          </w:p>
        </w:tc>
        <w:tc>
          <w:tcPr>
            <w:tcW w:w="297" w:type="pct"/>
            <w:tcMar>
              <w:left w:w="14" w:type="dxa"/>
              <w:right w:w="14" w:type="dxa"/>
            </w:tcMar>
            <w:vAlign w:val="center"/>
          </w:tcPr>
          <w:p w14:paraId="4494B8BB" w14:textId="56E7D13B" w:rsidR="00542FED" w:rsidRPr="008C1E5F" w:rsidRDefault="00542FED" w:rsidP="00542FED">
            <w:pPr>
              <w:pStyle w:val="TableColHeadingCenter"/>
              <w:spacing w:before="10" w:after="10"/>
            </w:pPr>
            <w:r w:rsidRPr="00E667E6">
              <w:t>% M/E 2022</w:t>
            </w:r>
          </w:p>
        </w:tc>
        <w:tc>
          <w:tcPr>
            <w:tcW w:w="298" w:type="pct"/>
            <w:tcMar>
              <w:left w:w="14" w:type="dxa"/>
              <w:right w:w="14" w:type="dxa"/>
            </w:tcMar>
            <w:vAlign w:val="center"/>
          </w:tcPr>
          <w:p w14:paraId="187FAB6A" w14:textId="79B43EED" w:rsidR="00542FED" w:rsidRPr="008C1E5F" w:rsidRDefault="00542FED" w:rsidP="00542FED">
            <w:pPr>
              <w:pStyle w:val="TableColHeadingCenter"/>
              <w:spacing w:before="10" w:after="10"/>
            </w:pPr>
            <w:r w:rsidRPr="00E667E6">
              <w:t>% M/E 2023</w:t>
            </w:r>
          </w:p>
        </w:tc>
        <w:tc>
          <w:tcPr>
            <w:tcW w:w="298" w:type="pct"/>
            <w:tcMar>
              <w:left w:w="14" w:type="dxa"/>
              <w:right w:w="14" w:type="dxa"/>
            </w:tcMar>
            <w:vAlign w:val="center"/>
          </w:tcPr>
          <w:p w14:paraId="74DFADF0" w14:textId="127B33A3" w:rsidR="00542FED" w:rsidRPr="008C1E5F" w:rsidRDefault="00542FED" w:rsidP="00542FED">
            <w:pPr>
              <w:pStyle w:val="TableColHeadingCenter"/>
              <w:spacing w:before="10" w:after="10"/>
            </w:pPr>
            <w:r w:rsidRPr="00E667E6">
              <w:t>% M/E 2024</w:t>
            </w:r>
          </w:p>
        </w:tc>
        <w:tc>
          <w:tcPr>
            <w:tcW w:w="298" w:type="pct"/>
            <w:tcMar>
              <w:left w:w="14" w:type="dxa"/>
              <w:right w:w="14" w:type="dxa"/>
            </w:tcMar>
            <w:vAlign w:val="center"/>
          </w:tcPr>
          <w:p w14:paraId="4420C560" w14:textId="7D9270CF" w:rsidR="00542FED" w:rsidRPr="008C1E5F" w:rsidRDefault="00542FED" w:rsidP="00542FED">
            <w:pPr>
              <w:pStyle w:val="TableColHeadingCenter"/>
              <w:spacing w:before="10" w:after="10"/>
            </w:pPr>
            <w:r w:rsidRPr="00E667E6">
              <w:t>% M/E 2024 State</w:t>
            </w:r>
          </w:p>
        </w:tc>
        <w:tc>
          <w:tcPr>
            <w:tcW w:w="298" w:type="pct"/>
            <w:tcMar>
              <w:left w:w="14" w:type="dxa"/>
              <w:right w:w="14" w:type="dxa"/>
            </w:tcMar>
            <w:vAlign w:val="center"/>
          </w:tcPr>
          <w:p w14:paraId="3840D103" w14:textId="44884483" w:rsidR="00542FED" w:rsidRPr="008C1E5F" w:rsidRDefault="00542FED" w:rsidP="00542FED">
            <w:pPr>
              <w:pStyle w:val="TableColHeadingCenter"/>
              <w:spacing w:before="10" w:after="10"/>
            </w:pPr>
            <w:r w:rsidRPr="00E667E6">
              <w:t>% PME 2022</w:t>
            </w:r>
          </w:p>
        </w:tc>
        <w:tc>
          <w:tcPr>
            <w:tcW w:w="298" w:type="pct"/>
            <w:tcMar>
              <w:left w:w="14" w:type="dxa"/>
              <w:right w:w="14" w:type="dxa"/>
            </w:tcMar>
            <w:vAlign w:val="center"/>
          </w:tcPr>
          <w:p w14:paraId="299F3177" w14:textId="6C54EC87" w:rsidR="00542FED" w:rsidRPr="008C1E5F" w:rsidRDefault="00542FED" w:rsidP="00542FED">
            <w:pPr>
              <w:pStyle w:val="TableColHeadingCenter"/>
              <w:spacing w:before="10" w:after="10"/>
            </w:pPr>
            <w:r w:rsidRPr="00E667E6">
              <w:t>% PME 2023</w:t>
            </w:r>
          </w:p>
        </w:tc>
        <w:tc>
          <w:tcPr>
            <w:tcW w:w="297" w:type="pct"/>
            <w:tcMar>
              <w:left w:w="14" w:type="dxa"/>
              <w:right w:w="14" w:type="dxa"/>
            </w:tcMar>
            <w:vAlign w:val="center"/>
          </w:tcPr>
          <w:p w14:paraId="5B395FBF" w14:textId="3916462B" w:rsidR="00542FED" w:rsidRPr="008C1E5F" w:rsidRDefault="00542FED" w:rsidP="00542FED">
            <w:pPr>
              <w:pStyle w:val="TableColHeadingCenter"/>
              <w:spacing w:before="10" w:after="10"/>
            </w:pPr>
            <w:r w:rsidRPr="00E667E6">
              <w:t>% PME 2024</w:t>
            </w:r>
          </w:p>
        </w:tc>
        <w:tc>
          <w:tcPr>
            <w:tcW w:w="298" w:type="pct"/>
            <w:tcMar>
              <w:left w:w="14" w:type="dxa"/>
              <w:right w:w="14" w:type="dxa"/>
            </w:tcMar>
            <w:vAlign w:val="center"/>
          </w:tcPr>
          <w:p w14:paraId="431B0119" w14:textId="4DEC0457" w:rsidR="00542FED" w:rsidRPr="008C1E5F" w:rsidRDefault="00542FED" w:rsidP="00542FED">
            <w:pPr>
              <w:pStyle w:val="TableColHeadingCenter"/>
              <w:spacing w:before="10" w:after="10"/>
            </w:pPr>
            <w:r w:rsidRPr="00E667E6">
              <w:t>% PME 2024 State</w:t>
            </w:r>
          </w:p>
        </w:tc>
        <w:tc>
          <w:tcPr>
            <w:tcW w:w="298" w:type="pct"/>
            <w:tcMar>
              <w:left w:w="14" w:type="dxa"/>
              <w:right w:w="14" w:type="dxa"/>
            </w:tcMar>
            <w:vAlign w:val="center"/>
          </w:tcPr>
          <w:p w14:paraId="7E05E655" w14:textId="32C2B5E0" w:rsidR="00542FED" w:rsidRPr="008C1E5F" w:rsidRDefault="00542FED" w:rsidP="00542FED">
            <w:pPr>
              <w:pStyle w:val="TableColHeadingCenter"/>
              <w:spacing w:before="10" w:after="10"/>
            </w:pPr>
            <w:r w:rsidRPr="00E667E6">
              <w:t>% NM 2022</w:t>
            </w:r>
          </w:p>
        </w:tc>
        <w:tc>
          <w:tcPr>
            <w:tcW w:w="298" w:type="pct"/>
            <w:tcMar>
              <w:left w:w="14" w:type="dxa"/>
              <w:right w:w="14" w:type="dxa"/>
            </w:tcMar>
            <w:vAlign w:val="center"/>
          </w:tcPr>
          <w:p w14:paraId="43624B4E" w14:textId="0107F1AE" w:rsidR="00542FED" w:rsidRPr="008C1E5F" w:rsidRDefault="00542FED" w:rsidP="00542FED">
            <w:pPr>
              <w:pStyle w:val="TableColHeadingCenter"/>
              <w:spacing w:before="10" w:after="10"/>
            </w:pPr>
            <w:r w:rsidRPr="00E667E6">
              <w:t>% NM 2023</w:t>
            </w:r>
          </w:p>
        </w:tc>
        <w:tc>
          <w:tcPr>
            <w:tcW w:w="298" w:type="pct"/>
            <w:tcMar>
              <w:left w:w="14" w:type="dxa"/>
              <w:right w:w="14" w:type="dxa"/>
            </w:tcMar>
            <w:vAlign w:val="center"/>
          </w:tcPr>
          <w:p w14:paraId="2CEFD610" w14:textId="3251F510" w:rsidR="00542FED" w:rsidRPr="008C1E5F" w:rsidRDefault="00542FED" w:rsidP="00542FED">
            <w:pPr>
              <w:pStyle w:val="TableColHeadingCenter"/>
              <w:spacing w:before="10" w:after="10"/>
            </w:pPr>
            <w:r w:rsidRPr="00E667E6">
              <w:t>% NM 2024</w:t>
            </w:r>
          </w:p>
        </w:tc>
        <w:tc>
          <w:tcPr>
            <w:tcW w:w="298" w:type="pct"/>
            <w:tcMar>
              <w:left w:w="14" w:type="dxa"/>
              <w:right w:w="14" w:type="dxa"/>
            </w:tcMar>
            <w:vAlign w:val="center"/>
          </w:tcPr>
          <w:p w14:paraId="07F3FEC7" w14:textId="01CFAD95" w:rsidR="00542FED" w:rsidRPr="008C1E5F" w:rsidRDefault="00542FED" w:rsidP="00542FED">
            <w:pPr>
              <w:pStyle w:val="TableColHeadingCenter"/>
              <w:spacing w:before="10" w:after="10"/>
            </w:pPr>
            <w:r w:rsidRPr="00E667E6">
              <w:t>% NM 2024 State</w:t>
            </w:r>
          </w:p>
        </w:tc>
      </w:tr>
      <w:tr w:rsidR="00C55C91" w:rsidRPr="008C1E5F" w14:paraId="7CD71370" w14:textId="77777777" w:rsidTr="00542FED">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2F64345B" w14:textId="77777777" w:rsidR="00C60C82" w:rsidRPr="008C1E5F" w:rsidRDefault="00C60C82" w:rsidP="00B70B91">
            <w:pPr>
              <w:pStyle w:val="TableText"/>
              <w:spacing w:before="10" w:after="10"/>
            </w:pPr>
            <w:r w:rsidRPr="008C1E5F">
              <w:t>All</w:t>
            </w:r>
          </w:p>
        </w:tc>
        <w:tc>
          <w:tcPr>
            <w:tcW w:w="318" w:type="pct"/>
            <w:vAlign w:val="center"/>
          </w:tcPr>
          <w:p w14:paraId="32395AE8" w14:textId="77777777" w:rsidR="00C60C82" w:rsidRPr="008C1E5F" w:rsidRDefault="00C60C82" w:rsidP="00B70B91">
            <w:pPr>
              <w:pStyle w:val="TableTextCentered"/>
              <w:spacing w:before="10" w:after="10"/>
            </w:pPr>
            <w:r w:rsidRPr="008C1E5F">
              <w:t>4,856</w:t>
            </w:r>
          </w:p>
        </w:tc>
        <w:tc>
          <w:tcPr>
            <w:tcW w:w="297" w:type="pct"/>
            <w:vAlign w:val="center"/>
          </w:tcPr>
          <w:p w14:paraId="5D613392" w14:textId="77777777" w:rsidR="00C60C82" w:rsidRPr="008C1E5F" w:rsidRDefault="00C60C82" w:rsidP="00B70B91">
            <w:pPr>
              <w:pStyle w:val="TableTextCentered"/>
              <w:spacing w:before="10" w:after="10"/>
            </w:pPr>
            <w:r w:rsidRPr="008C1E5F">
              <w:t>22</w:t>
            </w:r>
          </w:p>
        </w:tc>
        <w:tc>
          <w:tcPr>
            <w:tcW w:w="298" w:type="pct"/>
            <w:vAlign w:val="center"/>
          </w:tcPr>
          <w:p w14:paraId="75045834" w14:textId="77777777" w:rsidR="00C60C82" w:rsidRPr="008C1E5F" w:rsidRDefault="00C60C82" w:rsidP="00B70B91">
            <w:pPr>
              <w:pStyle w:val="TableTextCentered"/>
              <w:spacing w:before="10" w:after="10"/>
            </w:pPr>
            <w:r w:rsidRPr="008C1E5F">
              <w:t>22</w:t>
            </w:r>
          </w:p>
        </w:tc>
        <w:tc>
          <w:tcPr>
            <w:tcW w:w="298" w:type="pct"/>
            <w:vAlign w:val="center"/>
          </w:tcPr>
          <w:p w14:paraId="42B8BFDF" w14:textId="77777777" w:rsidR="00C60C82" w:rsidRPr="008C1E5F" w:rsidRDefault="00C60C82" w:rsidP="00B70B91">
            <w:pPr>
              <w:pStyle w:val="TableTextCentered"/>
              <w:spacing w:before="10" w:after="10"/>
            </w:pPr>
            <w:r w:rsidRPr="008C1E5F">
              <w:t>20</w:t>
            </w:r>
          </w:p>
        </w:tc>
        <w:tc>
          <w:tcPr>
            <w:tcW w:w="298" w:type="pct"/>
            <w:vAlign w:val="center"/>
          </w:tcPr>
          <w:p w14:paraId="44A5A6F4" w14:textId="77777777" w:rsidR="00C60C82" w:rsidRPr="008C1E5F" w:rsidRDefault="00C60C82" w:rsidP="00B70B91">
            <w:pPr>
              <w:pStyle w:val="TableTextCentered"/>
              <w:spacing w:before="10" w:after="10"/>
            </w:pPr>
            <w:r w:rsidRPr="008C1E5F">
              <w:t>39</w:t>
            </w:r>
          </w:p>
        </w:tc>
        <w:tc>
          <w:tcPr>
            <w:tcW w:w="298" w:type="pct"/>
            <w:vAlign w:val="center"/>
          </w:tcPr>
          <w:p w14:paraId="2202A96C" w14:textId="77777777" w:rsidR="00C60C82" w:rsidRPr="008C1E5F" w:rsidRDefault="00C60C82" w:rsidP="00B70B91">
            <w:pPr>
              <w:pStyle w:val="TableTextCentered"/>
              <w:spacing w:before="10" w:after="10"/>
            </w:pPr>
            <w:r w:rsidRPr="008C1E5F">
              <w:t>45</w:t>
            </w:r>
          </w:p>
        </w:tc>
        <w:tc>
          <w:tcPr>
            <w:tcW w:w="298" w:type="pct"/>
            <w:vAlign w:val="center"/>
          </w:tcPr>
          <w:p w14:paraId="5B2A5259" w14:textId="77777777" w:rsidR="00C60C82" w:rsidRPr="008C1E5F" w:rsidRDefault="00C60C82" w:rsidP="00B70B91">
            <w:pPr>
              <w:pStyle w:val="TableTextCentered"/>
              <w:spacing w:before="10" w:after="10"/>
            </w:pPr>
            <w:r w:rsidRPr="008C1E5F">
              <w:t>41</w:t>
            </w:r>
          </w:p>
        </w:tc>
        <w:tc>
          <w:tcPr>
            <w:tcW w:w="297" w:type="pct"/>
            <w:vAlign w:val="center"/>
          </w:tcPr>
          <w:p w14:paraId="01A6106E" w14:textId="77777777" w:rsidR="00C60C82" w:rsidRPr="008C1E5F" w:rsidRDefault="00C60C82" w:rsidP="00B70B91">
            <w:pPr>
              <w:pStyle w:val="TableTextCentered"/>
              <w:spacing w:before="10" w:after="10"/>
            </w:pPr>
            <w:r w:rsidRPr="008C1E5F">
              <w:t>44</w:t>
            </w:r>
          </w:p>
        </w:tc>
        <w:tc>
          <w:tcPr>
            <w:tcW w:w="298" w:type="pct"/>
            <w:vAlign w:val="center"/>
          </w:tcPr>
          <w:p w14:paraId="5AD0F53F" w14:textId="77777777" w:rsidR="00C60C82" w:rsidRPr="008C1E5F" w:rsidRDefault="00C60C82" w:rsidP="00B70B91">
            <w:pPr>
              <w:pStyle w:val="TableTextCentered"/>
              <w:spacing w:before="10" w:after="10"/>
            </w:pPr>
            <w:r w:rsidRPr="008C1E5F">
              <w:t>40</w:t>
            </w:r>
          </w:p>
        </w:tc>
        <w:tc>
          <w:tcPr>
            <w:tcW w:w="298" w:type="pct"/>
            <w:vAlign w:val="center"/>
          </w:tcPr>
          <w:p w14:paraId="1D5D4EF4" w14:textId="77777777" w:rsidR="00C60C82" w:rsidRPr="008C1E5F" w:rsidRDefault="00C60C82" w:rsidP="00B70B91">
            <w:pPr>
              <w:pStyle w:val="TableTextCentered"/>
              <w:spacing w:before="10" w:after="10"/>
            </w:pPr>
            <w:r w:rsidRPr="008C1E5F">
              <w:t>33</w:t>
            </w:r>
          </w:p>
        </w:tc>
        <w:tc>
          <w:tcPr>
            <w:tcW w:w="298" w:type="pct"/>
            <w:vAlign w:val="center"/>
          </w:tcPr>
          <w:p w14:paraId="1FAA9626" w14:textId="77777777" w:rsidR="00C60C82" w:rsidRPr="008C1E5F" w:rsidRDefault="00C60C82" w:rsidP="00B70B91">
            <w:pPr>
              <w:pStyle w:val="TableTextCentered"/>
              <w:spacing w:before="10" w:after="10"/>
            </w:pPr>
            <w:r w:rsidRPr="008C1E5F">
              <w:t>37</w:t>
            </w:r>
          </w:p>
        </w:tc>
        <w:tc>
          <w:tcPr>
            <w:tcW w:w="298" w:type="pct"/>
            <w:vAlign w:val="center"/>
          </w:tcPr>
          <w:p w14:paraId="6E4EE96C" w14:textId="77777777" w:rsidR="00C60C82" w:rsidRPr="008C1E5F" w:rsidRDefault="00C60C82" w:rsidP="00B70B91">
            <w:pPr>
              <w:pStyle w:val="TableTextCentered"/>
              <w:spacing w:before="10" w:after="10"/>
            </w:pPr>
            <w:r w:rsidRPr="008C1E5F">
              <w:t>37</w:t>
            </w:r>
          </w:p>
        </w:tc>
        <w:tc>
          <w:tcPr>
            <w:tcW w:w="298" w:type="pct"/>
            <w:vAlign w:val="bottom"/>
          </w:tcPr>
          <w:p w14:paraId="645DC839" w14:textId="77777777" w:rsidR="00C60C82" w:rsidRPr="008C1E5F" w:rsidRDefault="00C60C82" w:rsidP="00B70B91">
            <w:pPr>
              <w:pStyle w:val="TableTextCentered"/>
              <w:spacing w:before="10" w:after="10"/>
            </w:pPr>
            <w:r w:rsidRPr="008C1E5F">
              <w:t>21</w:t>
            </w:r>
          </w:p>
        </w:tc>
      </w:tr>
      <w:tr w:rsidR="00C60C82" w:rsidRPr="008C1E5F" w14:paraId="5EADEF77" w14:textId="77777777" w:rsidTr="00542FED">
        <w:trPr>
          <w:jc w:val="center"/>
        </w:trPr>
        <w:tc>
          <w:tcPr>
            <w:tcW w:w="1109" w:type="pct"/>
          </w:tcPr>
          <w:p w14:paraId="62119CA2" w14:textId="77777777" w:rsidR="00C60C82" w:rsidRPr="008C1E5F" w:rsidRDefault="00C60C82" w:rsidP="00B70B91">
            <w:pPr>
              <w:pStyle w:val="TableText"/>
              <w:spacing w:before="10" w:after="10"/>
            </w:pPr>
            <w:r w:rsidRPr="008C1E5F">
              <w:t>African American/Black</w:t>
            </w:r>
          </w:p>
        </w:tc>
        <w:tc>
          <w:tcPr>
            <w:tcW w:w="318" w:type="pct"/>
            <w:vAlign w:val="center"/>
          </w:tcPr>
          <w:p w14:paraId="58B2D0E3" w14:textId="77777777" w:rsidR="00C60C82" w:rsidRPr="008C1E5F" w:rsidRDefault="00C60C82" w:rsidP="00B70B91">
            <w:pPr>
              <w:pStyle w:val="TableTextCentered"/>
              <w:spacing w:before="10" w:after="10"/>
            </w:pPr>
            <w:r w:rsidRPr="008C1E5F">
              <w:t>612</w:t>
            </w:r>
          </w:p>
        </w:tc>
        <w:tc>
          <w:tcPr>
            <w:tcW w:w="297" w:type="pct"/>
            <w:vAlign w:val="center"/>
          </w:tcPr>
          <w:p w14:paraId="5F046CBB" w14:textId="77777777" w:rsidR="00C60C82" w:rsidRPr="008C1E5F" w:rsidRDefault="00C60C82" w:rsidP="00B70B91">
            <w:pPr>
              <w:pStyle w:val="TableTextCentered"/>
              <w:spacing w:before="10" w:after="10"/>
            </w:pPr>
            <w:r w:rsidRPr="008C1E5F">
              <w:t>21</w:t>
            </w:r>
          </w:p>
        </w:tc>
        <w:tc>
          <w:tcPr>
            <w:tcW w:w="298" w:type="pct"/>
            <w:vAlign w:val="center"/>
          </w:tcPr>
          <w:p w14:paraId="47CC1AB9" w14:textId="77777777" w:rsidR="00C60C82" w:rsidRPr="008C1E5F" w:rsidRDefault="00C60C82" w:rsidP="00B70B91">
            <w:pPr>
              <w:pStyle w:val="TableTextCentered"/>
              <w:spacing w:before="10" w:after="10"/>
            </w:pPr>
            <w:r w:rsidRPr="008C1E5F">
              <w:t>19</w:t>
            </w:r>
          </w:p>
        </w:tc>
        <w:tc>
          <w:tcPr>
            <w:tcW w:w="298" w:type="pct"/>
            <w:vAlign w:val="center"/>
          </w:tcPr>
          <w:p w14:paraId="7C2A0E69" w14:textId="77777777" w:rsidR="00C60C82" w:rsidRPr="008C1E5F" w:rsidRDefault="00C60C82" w:rsidP="00B70B91">
            <w:pPr>
              <w:pStyle w:val="TableTextCentered"/>
              <w:spacing w:before="10" w:after="10"/>
            </w:pPr>
            <w:r w:rsidRPr="008C1E5F">
              <w:t>16</w:t>
            </w:r>
          </w:p>
        </w:tc>
        <w:tc>
          <w:tcPr>
            <w:tcW w:w="298" w:type="pct"/>
            <w:vAlign w:val="center"/>
          </w:tcPr>
          <w:p w14:paraId="7477BEDD" w14:textId="77777777" w:rsidR="00C60C82" w:rsidRPr="008C1E5F" w:rsidRDefault="00C60C82" w:rsidP="00B70B91">
            <w:pPr>
              <w:pStyle w:val="TableTextCentered"/>
              <w:spacing w:before="10" w:after="10"/>
            </w:pPr>
            <w:r w:rsidRPr="008C1E5F">
              <w:t>24</w:t>
            </w:r>
          </w:p>
        </w:tc>
        <w:tc>
          <w:tcPr>
            <w:tcW w:w="298" w:type="pct"/>
            <w:vAlign w:val="center"/>
          </w:tcPr>
          <w:p w14:paraId="30E213B4" w14:textId="77777777" w:rsidR="00C60C82" w:rsidRPr="008C1E5F" w:rsidRDefault="00C60C82" w:rsidP="00B70B91">
            <w:pPr>
              <w:pStyle w:val="TableTextCentered"/>
              <w:spacing w:before="10" w:after="10"/>
            </w:pPr>
            <w:r w:rsidRPr="008C1E5F">
              <w:t>39</w:t>
            </w:r>
          </w:p>
        </w:tc>
        <w:tc>
          <w:tcPr>
            <w:tcW w:w="298" w:type="pct"/>
            <w:vAlign w:val="center"/>
          </w:tcPr>
          <w:p w14:paraId="6C1ABE20" w14:textId="77777777" w:rsidR="00C60C82" w:rsidRPr="008C1E5F" w:rsidRDefault="00C60C82" w:rsidP="00B70B91">
            <w:pPr>
              <w:pStyle w:val="TableTextCentered"/>
              <w:spacing w:before="10" w:after="10"/>
            </w:pPr>
            <w:r w:rsidRPr="008C1E5F">
              <w:t>39</w:t>
            </w:r>
          </w:p>
        </w:tc>
        <w:tc>
          <w:tcPr>
            <w:tcW w:w="297" w:type="pct"/>
            <w:vAlign w:val="center"/>
          </w:tcPr>
          <w:p w14:paraId="58FCB461" w14:textId="77777777" w:rsidR="00C60C82" w:rsidRPr="008C1E5F" w:rsidRDefault="00C60C82" w:rsidP="00B70B91">
            <w:pPr>
              <w:pStyle w:val="TableTextCentered"/>
              <w:spacing w:before="10" w:after="10"/>
            </w:pPr>
            <w:r w:rsidRPr="008C1E5F">
              <w:t>45</w:t>
            </w:r>
          </w:p>
        </w:tc>
        <w:tc>
          <w:tcPr>
            <w:tcW w:w="298" w:type="pct"/>
            <w:vAlign w:val="center"/>
          </w:tcPr>
          <w:p w14:paraId="71A0D6A9" w14:textId="77777777" w:rsidR="00C60C82" w:rsidRPr="008C1E5F" w:rsidRDefault="00C60C82" w:rsidP="00B70B91">
            <w:pPr>
              <w:pStyle w:val="TableTextCentered"/>
              <w:spacing w:before="10" w:after="10"/>
            </w:pPr>
            <w:r w:rsidRPr="008C1E5F">
              <w:t>46</w:t>
            </w:r>
          </w:p>
        </w:tc>
        <w:tc>
          <w:tcPr>
            <w:tcW w:w="298" w:type="pct"/>
            <w:vAlign w:val="center"/>
          </w:tcPr>
          <w:p w14:paraId="4258010A" w14:textId="77777777" w:rsidR="00C60C82" w:rsidRPr="008C1E5F" w:rsidRDefault="00C60C82" w:rsidP="00B70B91">
            <w:pPr>
              <w:pStyle w:val="TableTextCentered"/>
              <w:spacing w:before="10" w:after="10"/>
            </w:pPr>
            <w:r w:rsidRPr="008C1E5F">
              <w:t>39</w:t>
            </w:r>
          </w:p>
        </w:tc>
        <w:tc>
          <w:tcPr>
            <w:tcW w:w="298" w:type="pct"/>
            <w:vAlign w:val="center"/>
          </w:tcPr>
          <w:p w14:paraId="452CA8FC" w14:textId="77777777" w:rsidR="00C60C82" w:rsidRPr="008C1E5F" w:rsidRDefault="00C60C82" w:rsidP="00B70B91">
            <w:pPr>
              <w:pStyle w:val="TableTextCentered"/>
              <w:spacing w:before="10" w:after="10"/>
            </w:pPr>
            <w:r w:rsidRPr="008C1E5F">
              <w:t>41</w:t>
            </w:r>
          </w:p>
        </w:tc>
        <w:tc>
          <w:tcPr>
            <w:tcW w:w="298" w:type="pct"/>
            <w:vAlign w:val="center"/>
          </w:tcPr>
          <w:p w14:paraId="5D5BA8E8" w14:textId="77777777" w:rsidR="00C60C82" w:rsidRPr="008C1E5F" w:rsidRDefault="00C60C82" w:rsidP="00B70B91">
            <w:pPr>
              <w:pStyle w:val="TableTextCentered"/>
              <w:spacing w:before="10" w:after="10"/>
            </w:pPr>
            <w:r w:rsidRPr="008C1E5F">
              <w:t>38</w:t>
            </w:r>
          </w:p>
        </w:tc>
        <w:tc>
          <w:tcPr>
            <w:tcW w:w="298" w:type="pct"/>
            <w:vAlign w:val="bottom"/>
          </w:tcPr>
          <w:p w14:paraId="206BB290" w14:textId="77777777" w:rsidR="00C60C82" w:rsidRPr="008C1E5F" w:rsidRDefault="00C60C82" w:rsidP="00B70B91">
            <w:pPr>
              <w:pStyle w:val="TableTextCentered"/>
              <w:spacing w:before="10" w:after="10"/>
            </w:pPr>
            <w:r w:rsidRPr="008C1E5F">
              <w:t>31</w:t>
            </w:r>
          </w:p>
        </w:tc>
      </w:tr>
      <w:tr w:rsidR="00C55C91" w:rsidRPr="008C1E5F" w14:paraId="6057B391" w14:textId="77777777" w:rsidTr="00542FED">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51C88810" w14:textId="77777777" w:rsidR="00C60C82" w:rsidRPr="008C1E5F" w:rsidRDefault="00C60C82" w:rsidP="00B70B91">
            <w:pPr>
              <w:pStyle w:val="TableText"/>
              <w:spacing w:before="10" w:after="10"/>
            </w:pPr>
            <w:r w:rsidRPr="008C1E5F">
              <w:t>Asian</w:t>
            </w:r>
          </w:p>
        </w:tc>
        <w:tc>
          <w:tcPr>
            <w:tcW w:w="318" w:type="pct"/>
            <w:vAlign w:val="center"/>
          </w:tcPr>
          <w:p w14:paraId="1518B3DE" w14:textId="77777777" w:rsidR="00C60C82" w:rsidRPr="008C1E5F" w:rsidRDefault="00C60C82" w:rsidP="00B70B91">
            <w:pPr>
              <w:pStyle w:val="TableTextCentered"/>
              <w:spacing w:before="10" w:after="10"/>
            </w:pPr>
            <w:r w:rsidRPr="008C1E5F">
              <w:t>130</w:t>
            </w:r>
          </w:p>
        </w:tc>
        <w:tc>
          <w:tcPr>
            <w:tcW w:w="297" w:type="pct"/>
            <w:vAlign w:val="center"/>
          </w:tcPr>
          <w:p w14:paraId="6FB90E42" w14:textId="77777777" w:rsidR="00C60C82" w:rsidRPr="008C1E5F" w:rsidRDefault="00C60C82" w:rsidP="00B70B91">
            <w:pPr>
              <w:pStyle w:val="TableTextCentered"/>
              <w:spacing w:before="10" w:after="10"/>
            </w:pPr>
            <w:r w:rsidRPr="008C1E5F">
              <w:t>28</w:t>
            </w:r>
          </w:p>
        </w:tc>
        <w:tc>
          <w:tcPr>
            <w:tcW w:w="298" w:type="pct"/>
            <w:vAlign w:val="center"/>
          </w:tcPr>
          <w:p w14:paraId="2964E62D" w14:textId="77777777" w:rsidR="00C60C82" w:rsidRPr="008C1E5F" w:rsidRDefault="00C60C82" w:rsidP="00B70B91">
            <w:pPr>
              <w:pStyle w:val="TableTextCentered"/>
              <w:spacing w:before="10" w:after="10"/>
            </w:pPr>
            <w:r w:rsidRPr="008C1E5F">
              <w:t>38</w:t>
            </w:r>
          </w:p>
        </w:tc>
        <w:tc>
          <w:tcPr>
            <w:tcW w:w="298" w:type="pct"/>
            <w:vAlign w:val="center"/>
          </w:tcPr>
          <w:p w14:paraId="1EDF0AEA" w14:textId="77777777" w:rsidR="00C60C82" w:rsidRPr="008C1E5F" w:rsidRDefault="00C60C82" w:rsidP="00B70B91">
            <w:pPr>
              <w:pStyle w:val="TableTextCentered"/>
              <w:spacing w:before="10" w:after="10"/>
            </w:pPr>
            <w:r w:rsidRPr="008C1E5F">
              <w:t>31</w:t>
            </w:r>
          </w:p>
        </w:tc>
        <w:tc>
          <w:tcPr>
            <w:tcW w:w="298" w:type="pct"/>
            <w:vAlign w:val="center"/>
          </w:tcPr>
          <w:p w14:paraId="6DB2802E" w14:textId="77777777" w:rsidR="00C60C82" w:rsidRPr="008C1E5F" w:rsidRDefault="00C60C82" w:rsidP="00B70B91">
            <w:pPr>
              <w:pStyle w:val="TableTextCentered"/>
              <w:spacing w:before="10" w:after="10"/>
            </w:pPr>
            <w:r w:rsidRPr="008C1E5F">
              <w:t>62</w:t>
            </w:r>
          </w:p>
        </w:tc>
        <w:tc>
          <w:tcPr>
            <w:tcW w:w="298" w:type="pct"/>
            <w:vAlign w:val="center"/>
          </w:tcPr>
          <w:p w14:paraId="73EC685B" w14:textId="77777777" w:rsidR="00C60C82" w:rsidRPr="008C1E5F" w:rsidRDefault="00C60C82" w:rsidP="00B70B91">
            <w:pPr>
              <w:pStyle w:val="TableTextCentered"/>
              <w:spacing w:before="10" w:after="10"/>
            </w:pPr>
            <w:r w:rsidRPr="008C1E5F">
              <w:t>47</w:t>
            </w:r>
          </w:p>
        </w:tc>
        <w:tc>
          <w:tcPr>
            <w:tcW w:w="298" w:type="pct"/>
            <w:vAlign w:val="center"/>
          </w:tcPr>
          <w:p w14:paraId="4F6C70CE" w14:textId="77777777" w:rsidR="00C60C82" w:rsidRPr="008C1E5F" w:rsidRDefault="00C60C82" w:rsidP="00B70B91">
            <w:pPr>
              <w:pStyle w:val="TableTextCentered"/>
              <w:spacing w:before="10" w:after="10"/>
            </w:pPr>
            <w:r w:rsidRPr="008C1E5F">
              <w:t>43</w:t>
            </w:r>
          </w:p>
        </w:tc>
        <w:tc>
          <w:tcPr>
            <w:tcW w:w="297" w:type="pct"/>
            <w:vAlign w:val="center"/>
          </w:tcPr>
          <w:p w14:paraId="0E307185" w14:textId="77777777" w:rsidR="00C60C82" w:rsidRPr="008C1E5F" w:rsidRDefault="00C60C82" w:rsidP="00B70B91">
            <w:pPr>
              <w:pStyle w:val="TableTextCentered"/>
              <w:spacing w:before="10" w:after="10"/>
            </w:pPr>
            <w:r w:rsidRPr="008C1E5F">
              <w:t>52</w:t>
            </w:r>
          </w:p>
        </w:tc>
        <w:tc>
          <w:tcPr>
            <w:tcW w:w="298" w:type="pct"/>
            <w:vAlign w:val="center"/>
          </w:tcPr>
          <w:p w14:paraId="737FB742" w14:textId="77777777" w:rsidR="00C60C82" w:rsidRPr="008C1E5F" w:rsidRDefault="00C60C82" w:rsidP="00B70B91">
            <w:pPr>
              <w:pStyle w:val="TableTextCentered"/>
              <w:spacing w:before="10" w:after="10"/>
            </w:pPr>
            <w:r w:rsidRPr="008C1E5F">
              <w:t>29</w:t>
            </w:r>
          </w:p>
        </w:tc>
        <w:tc>
          <w:tcPr>
            <w:tcW w:w="298" w:type="pct"/>
            <w:vAlign w:val="center"/>
          </w:tcPr>
          <w:p w14:paraId="05A644CF" w14:textId="77777777" w:rsidR="00C60C82" w:rsidRPr="008C1E5F" w:rsidRDefault="00C60C82" w:rsidP="00B70B91">
            <w:pPr>
              <w:pStyle w:val="TableTextCentered"/>
              <w:spacing w:before="10" w:after="10"/>
            </w:pPr>
            <w:r w:rsidRPr="008C1E5F">
              <w:t>25</w:t>
            </w:r>
          </w:p>
        </w:tc>
        <w:tc>
          <w:tcPr>
            <w:tcW w:w="298" w:type="pct"/>
            <w:vAlign w:val="center"/>
          </w:tcPr>
          <w:p w14:paraId="56AA66FB" w14:textId="77777777" w:rsidR="00C60C82" w:rsidRPr="008C1E5F" w:rsidRDefault="00C60C82" w:rsidP="00B70B91">
            <w:pPr>
              <w:pStyle w:val="TableTextCentered"/>
              <w:spacing w:before="10" w:after="10"/>
            </w:pPr>
            <w:r w:rsidRPr="008C1E5F">
              <w:t>19</w:t>
            </w:r>
          </w:p>
        </w:tc>
        <w:tc>
          <w:tcPr>
            <w:tcW w:w="298" w:type="pct"/>
            <w:vAlign w:val="center"/>
          </w:tcPr>
          <w:p w14:paraId="623D8459" w14:textId="77777777" w:rsidR="00C60C82" w:rsidRPr="008C1E5F" w:rsidRDefault="00C60C82" w:rsidP="00B70B91">
            <w:pPr>
              <w:pStyle w:val="TableTextCentered"/>
              <w:spacing w:before="10" w:after="10"/>
            </w:pPr>
            <w:r w:rsidRPr="008C1E5F">
              <w:t>17</w:t>
            </w:r>
          </w:p>
        </w:tc>
        <w:tc>
          <w:tcPr>
            <w:tcW w:w="298" w:type="pct"/>
            <w:vAlign w:val="bottom"/>
          </w:tcPr>
          <w:p w14:paraId="6D0B2A03" w14:textId="77777777" w:rsidR="00C60C82" w:rsidRPr="008C1E5F" w:rsidRDefault="00C60C82" w:rsidP="00B70B91">
            <w:pPr>
              <w:pStyle w:val="TableTextCentered"/>
              <w:spacing w:before="10" w:after="10"/>
            </w:pPr>
            <w:r w:rsidRPr="008C1E5F">
              <w:t>10</w:t>
            </w:r>
          </w:p>
        </w:tc>
      </w:tr>
      <w:tr w:rsidR="00C60C82" w:rsidRPr="008C1E5F" w14:paraId="3B162F3C" w14:textId="77777777" w:rsidTr="00542FED">
        <w:trPr>
          <w:jc w:val="center"/>
        </w:trPr>
        <w:tc>
          <w:tcPr>
            <w:tcW w:w="1109" w:type="pct"/>
          </w:tcPr>
          <w:p w14:paraId="1F90B2E5" w14:textId="77777777" w:rsidR="00C60C82" w:rsidRPr="008C1E5F" w:rsidRDefault="00C60C82" w:rsidP="00B70B91">
            <w:pPr>
              <w:pStyle w:val="TableText"/>
              <w:spacing w:before="10" w:after="10"/>
            </w:pPr>
            <w:r w:rsidRPr="008C1E5F">
              <w:t>Hispanic/Latino</w:t>
            </w:r>
          </w:p>
        </w:tc>
        <w:tc>
          <w:tcPr>
            <w:tcW w:w="318" w:type="pct"/>
            <w:vAlign w:val="center"/>
          </w:tcPr>
          <w:p w14:paraId="0D2BC047" w14:textId="77777777" w:rsidR="00C60C82" w:rsidRPr="008C1E5F" w:rsidRDefault="00C60C82" w:rsidP="00B70B91">
            <w:pPr>
              <w:pStyle w:val="TableTextCentered"/>
              <w:spacing w:before="10" w:after="10"/>
            </w:pPr>
            <w:r w:rsidRPr="008C1E5F">
              <w:t>1,594</w:t>
            </w:r>
          </w:p>
        </w:tc>
        <w:tc>
          <w:tcPr>
            <w:tcW w:w="297" w:type="pct"/>
            <w:vAlign w:val="center"/>
          </w:tcPr>
          <w:p w14:paraId="627C2966" w14:textId="77777777" w:rsidR="00C60C82" w:rsidRPr="008C1E5F" w:rsidRDefault="00C60C82" w:rsidP="00B70B91">
            <w:pPr>
              <w:pStyle w:val="TableTextCentered"/>
              <w:spacing w:before="10" w:after="10"/>
            </w:pPr>
            <w:r w:rsidRPr="008C1E5F">
              <w:t>16</w:t>
            </w:r>
          </w:p>
        </w:tc>
        <w:tc>
          <w:tcPr>
            <w:tcW w:w="298" w:type="pct"/>
            <w:vAlign w:val="center"/>
          </w:tcPr>
          <w:p w14:paraId="504D2471" w14:textId="77777777" w:rsidR="00C60C82" w:rsidRPr="008C1E5F" w:rsidRDefault="00C60C82" w:rsidP="00B70B91">
            <w:pPr>
              <w:pStyle w:val="TableTextCentered"/>
              <w:spacing w:before="10" w:after="10"/>
            </w:pPr>
            <w:r w:rsidRPr="008C1E5F">
              <w:t>16</w:t>
            </w:r>
          </w:p>
        </w:tc>
        <w:tc>
          <w:tcPr>
            <w:tcW w:w="298" w:type="pct"/>
            <w:vAlign w:val="center"/>
          </w:tcPr>
          <w:p w14:paraId="3A7BDC97" w14:textId="77777777" w:rsidR="00C60C82" w:rsidRPr="008C1E5F" w:rsidRDefault="00C60C82" w:rsidP="00B70B91">
            <w:pPr>
              <w:pStyle w:val="TableTextCentered"/>
              <w:spacing w:before="10" w:after="10"/>
            </w:pPr>
            <w:r w:rsidRPr="008C1E5F">
              <w:t>14</w:t>
            </w:r>
          </w:p>
        </w:tc>
        <w:tc>
          <w:tcPr>
            <w:tcW w:w="298" w:type="pct"/>
            <w:vAlign w:val="center"/>
          </w:tcPr>
          <w:p w14:paraId="3CCA6905" w14:textId="77777777" w:rsidR="00C60C82" w:rsidRPr="008C1E5F" w:rsidRDefault="00C60C82" w:rsidP="00B70B91">
            <w:pPr>
              <w:pStyle w:val="TableTextCentered"/>
              <w:spacing w:before="10" w:after="10"/>
            </w:pPr>
            <w:r w:rsidRPr="008C1E5F">
              <w:t>20</w:t>
            </w:r>
          </w:p>
        </w:tc>
        <w:tc>
          <w:tcPr>
            <w:tcW w:w="298" w:type="pct"/>
            <w:vAlign w:val="center"/>
          </w:tcPr>
          <w:p w14:paraId="3C2BA854" w14:textId="77777777" w:rsidR="00C60C82" w:rsidRPr="008C1E5F" w:rsidRDefault="00C60C82" w:rsidP="00B70B91">
            <w:pPr>
              <w:pStyle w:val="TableTextCentered"/>
              <w:spacing w:before="10" w:after="10"/>
            </w:pPr>
            <w:r w:rsidRPr="008C1E5F">
              <w:t>44</w:t>
            </w:r>
          </w:p>
        </w:tc>
        <w:tc>
          <w:tcPr>
            <w:tcW w:w="298" w:type="pct"/>
            <w:vAlign w:val="center"/>
          </w:tcPr>
          <w:p w14:paraId="71E56B3D" w14:textId="77777777" w:rsidR="00C60C82" w:rsidRPr="008C1E5F" w:rsidRDefault="00C60C82" w:rsidP="00B70B91">
            <w:pPr>
              <w:pStyle w:val="TableTextCentered"/>
              <w:spacing w:before="10" w:after="10"/>
            </w:pPr>
            <w:r w:rsidRPr="008C1E5F">
              <w:t>39</w:t>
            </w:r>
          </w:p>
        </w:tc>
        <w:tc>
          <w:tcPr>
            <w:tcW w:w="297" w:type="pct"/>
            <w:vAlign w:val="center"/>
          </w:tcPr>
          <w:p w14:paraId="0950035E" w14:textId="77777777" w:rsidR="00C60C82" w:rsidRPr="008C1E5F" w:rsidRDefault="00C60C82" w:rsidP="00B70B91">
            <w:pPr>
              <w:pStyle w:val="TableTextCentered"/>
              <w:spacing w:before="10" w:after="10"/>
            </w:pPr>
            <w:r w:rsidRPr="008C1E5F">
              <w:t>42</w:t>
            </w:r>
          </w:p>
        </w:tc>
        <w:tc>
          <w:tcPr>
            <w:tcW w:w="298" w:type="pct"/>
            <w:vAlign w:val="center"/>
          </w:tcPr>
          <w:p w14:paraId="5D9DD888" w14:textId="77777777" w:rsidR="00C60C82" w:rsidRPr="008C1E5F" w:rsidRDefault="00C60C82" w:rsidP="00B70B91">
            <w:pPr>
              <w:pStyle w:val="TableTextCentered"/>
              <w:spacing w:before="10" w:after="10"/>
            </w:pPr>
            <w:r w:rsidRPr="008C1E5F">
              <w:t>44</w:t>
            </w:r>
          </w:p>
        </w:tc>
        <w:tc>
          <w:tcPr>
            <w:tcW w:w="298" w:type="pct"/>
            <w:vAlign w:val="center"/>
          </w:tcPr>
          <w:p w14:paraId="0B88B9C4" w14:textId="77777777" w:rsidR="00C60C82" w:rsidRPr="008C1E5F" w:rsidRDefault="00C60C82" w:rsidP="00B70B91">
            <w:pPr>
              <w:pStyle w:val="TableTextCentered"/>
              <w:spacing w:before="10" w:after="10"/>
            </w:pPr>
            <w:r w:rsidRPr="008C1E5F">
              <w:t>40</w:t>
            </w:r>
          </w:p>
        </w:tc>
        <w:tc>
          <w:tcPr>
            <w:tcW w:w="298" w:type="pct"/>
            <w:vAlign w:val="center"/>
          </w:tcPr>
          <w:p w14:paraId="174B5E4F" w14:textId="77777777" w:rsidR="00C60C82" w:rsidRPr="008C1E5F" w:rsidRDefault="00C60C82" w:rsidP="00B70B91">
            <w:pPr>
              <w:pStyle w:val="TableTextCentered"/>
              <w:spacing w:before="10" w:after="10"/>
            </w:pPr>
            <w:r w:rsidRPr="008C1E5F">
              <w:t>45</w:t>
            </w:r>
          </w:p>
        </w:tc>
        <w:tc>
          <w:tcPr>
            <w:tcW w:w="298" w:type="pct"/>
            <w:vAlign w:val="center"/>
          </w:tcPr>
          <w:p w14:paraId="416DC8D4" w14:textId="77777777" w:rsidR="00C60C82" w:rsidRPr="008C1E5F" w:rsidRDefault="00C60C82" w:rsidP="00B70B91">
            <w:pPr>
              <w:pStyle w:val="TableTextCentered"/>
              <w:spacing w:before="10" w:after="10"/>
            </w:pPr>
            <w:r w:rsidRPr="008C1E5F">
              <w:t>44</w:t>
            </w:r>
          </w:p>
        </w:tc>
        <w:tc>
          <w:tcPr>
            <w:tcW w:w="298" w:type="pct"/>
            <w:vAlign w:val="bottom"/>
          </w:tcPr>
          <w:p w14:paraId="2BBE3579" w14:textId="77777777" w:rsidR="00C60C82" w:rsidRPr="008C1E5F" w:rsidRDefault="00C60C82" w:rsidP="00B70B91">
            <w:pPr>
              <w:pStyle w:val="TableTextCentered"/>
              <w:spacing w:before="10" w:after="10"/>
            </w:pPr>
            <w:r w:rsidRPr="008C1E5F">
              <w:t>36</w:t>
            </w:r>
          </w:p>
        </w:tc>
      </w:tr>
      <w:tr w:rsidR="00C55C91" w:rsidRPr="008C1E5F" w14:paraId="44574C62" w14:textId="77777777" w:rsidTr="00542FED">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5D1EE730" w14:textId="77777777" w:rsidR="00C60C82" w:rsidRPr="008C1E5F" w:rsidRDefault="00C60C82" w:rsidP="00B70B91">
            <w:pPr>
              <w:pStyle w:val="TableText"/>
              <w:spacing w:before="10" w:after="10"/>
            </w:pPr>
            <w:r w:rsidRPr="008C1E5F">
              <w:t>Multi-Race, non-Hispanic/Latino</w:t>
            </w:r>
          </w:p>
        </w:tc>
        <w:tc>
          <w:tcPr>
            <w:tcW w:w="318" w:type="pct"/>
            <w:vAlign w:val="center"/>
          </w:tcPr>
          <w:p w14:paraId="059806D7" w14:textId="77777777" w:rsidR="00C60C82" w:rsidRPr="008C1E5F" w:rsidRDefault="00C60C82" w:rsidP="00B70B91">
            <w:pPr>
              <w:pStyle w:val="TableTextCentered"/>
              <w:spacing w:before="10" w:after="10"/>
            </w:pPr>
            <w:r w:rsidRPr="008C1E5F">
              <w:t>478</w:t>
            </w:r>
          </w:p>
        </w:tc>
        <w:tc>
          <w:tcPr>
            <w:tcW w:w="297" w:type="pct"/>
            <w:vAlign w:val="center"/>
          </w:tcPr>
          <w:p w14:paraId="344B16E3" w14:textId="77777777" w:rsidR="00C60C82" w:rsidRPr="008C1E5F" w:rsidRDefault="00C60C82" w:rsidP="00B70B91">
            <w:pPr>
              <w:pStyle w:val="TableTextCentered"/>
              <w:spacing w:before="10" w:after="10"/>
            </w:pPr>
            <w:r w:rsidRPr="008C1E5F">
              <w:t>23</w:t>
            </w:r>
          </w:p>
        </w:tc>
        <w:tc>
          <w:tcPr>
            <w:tcW w:w="298" w:type="pct"/>
            <w:vAlign w:val="center"/>
          </w:tcPr>
          <w:p w14:paraId="3FB9BF75" w14:textId="77777777" w:rsidR="00C60C82" w:rsidRPr="008C1E5F" w:rsidRDefault="00C60C82" w:rsidP="00B70B91">
            <w:pPr>
              <w:pStyle w:val="TableTextCentered"/>
              <w:spacing w:before="10" w:after="10"/>
            </w:pPr>
            <w:r w:rsidRPr="008C1E5F">
              <w:t>21</w:t>
            </w:r>
          </w:p>
        </w:tc>
        <w:tc>
          <w:tcPr>
            <w:tcW w:w="298" w:type="pct"/>
            <w:vAlign w:val="center"/>
          </w:tcPr>
          <w:p w14:paraId="53F2BFCC" w14:textId="77777777" w:rsidR="00C60C82" w:rsidRPr="008C1E5F" w:rsidRDefault="00C60C82" w:rsidP="00B70B91">
            <w:pPr>
              <w:pStyle w:val="TableTextCentered"/>
              <w:spacing w:before="10" w:after="10"/>
            </w:pPr>
            <w:r w:rsidRPr="008C1E5F">
              <w:t>21</w:t>
            </w:r>
          </w:p>
        </w:tc>
        <w:tc>
          <w:tcPr>
            <w:tcW w:w="298" w:type="pct"/>
            <w:vAlign w:val="center"/>
          </w:tcPr>
          <w:p w14:paraId="22B4DC36" w14:textId="77777777" w:rsidR="00C60C82" w:rsidRPr="008C1E5F" w:rsidRDefault="00C60C82" w:rsidP="00B70B91">
            <w:pPr>
              <w:pStyle w:val="TableTextCentered"/>
              <w:spacing w:before="10" w:after="10"/>
            </w:pPr>
            <w:r w:rsidRPr="008C1E5F">
              <w:t>46</w:t>
            </w:r>
          </w:p>
        </w:tc>
        <w:tc>
          <w:tcPr>
            <w:tcW w:w="298" w:type="pct"/>
            <w:vAlign w:val="center"/>
          </w:tcPr>
          <w:p w14:paraId="0F70DB10" w14:textId="77777777" w:rsidR="00C60C82" w:rsidRPr="008C1E5F" w:rsidRDefault="00C60C82" w:rsidP="00B70B91">
            <w:pPr>
              <w:pStyle w:val="TableTextCentered"/>
              <w:spacing w:before="10" w:after="10"/>
            </w:pPr>
            <w:r w:rsidRPr="008C1E5F">
              <w:t>48</w:t>
            </w:r>
          </w:p>
        </w:tc>
        <w:tc>
          <w:tcPr>
            <w:tcW w:w="298" w:type="pct"/>
            <w:vAlign w:val="center"/>
          </w:tcPr>
          <w:p w14:paraId="7790A750" w14:textId="77777777" w:rsidR="00C60C82" w:rsidRPr="008C1E5F" w:rsidRDefault="00C60C82" w:rsidP="00B70B91">
            <w:pPr>
              <w:pStyle w:val="TableTextCentered"/>
              <w:spacing w:before="10" w:after="10"/>
            </w:pPr>
            <w:r w:rsidRPr="008C1E5F">
              <w:t>44</w:t>
            </w:r>
          </w:p>
        </w:tc>
        <w:tc>
          <w:tcPr>
            <w:tcW w:w="297" w:type="pct"/>
            <w:vAlign w:val="center"/>
          </w:tcPr>
          <w:p w14:paraId="036F923D" w14:textId="77777777" w:rsidR="00C60C82" w:rsidRPr="008C1E5F" w:rsidRDefault="00C60C82" w:rsidP="00B70B91">
            <w:pPr>
              <w:pStyle w:val="TableTextCentered"/>
              <w:spacing w:before="10" w:after="10"/>
            </w:pPr>
            <w:r w:rsidRPr="008C1E5F">
              <w:t>46</w:t>
            </w:r>
          </w:p>
        </w:tc>
        <w:tc>
          <w:tcPr>
            <w:tcW w:w="298" w:type="pct"/>
            <w:vAlign w:val="center"/>
          </w:tcPr>
          <w:p w14:paraId="6A49F078" w14:textId="77777777" w:rsidR="00C60C82" w:rsidRPr="008C1E5F" w:rsidRDefault="00C60C82" w:rsidP="00B70B91">
            <w:pPr>
              <w:pStyle w:val="TableTextCentered"/>
              <w:spacing w:before="10" w:after="10"/>
            </w:pPr>
            <w:r w:rsidRPr="008C1E5F">
              <w:t>37</w:t>
            </w:r>
          </w:p>
        </w:tc>
        <w:tc>
          <w:tcPr>
            <w:tcW w:w="298" w:type="pct"/>
            <w:vAlign w:val="center"/>
          </w:tcPr>
          <w:p w14:paraId="319B2248" w14:textId="77777777" w:rsidR="00C60C82" w:rsidRPr="008C1E5F" w:rsidRDefault="00C60C82" w:rsidP="00B70B91">
            <w:pPr>
              <w:pStyle w:val="TableTextCentered"/>
              <w:spacing w:before="10" w:after="10"/>
            </w:pPr>
            <w:r w:rsidRPr="008C1E5F">
              <w:t>29</w:t>
            </w:r>
          </w:p>
        </w:tc>
        <w:tc>
          <w:tcPr>
            <w:tcW w:w="298" w:type="pct"/>
            <w:vAlign w:val="center"/>
          </w:tcPr>
          <w:p w14:paraId="277EF335" w14:textId="77777777" w:rsidR="00C60C82" w:rsidRPr="008C1E5F" w:rsidRDefault="00C60C82" w:rsidP="00B70B91">
            <w:pPr>
              <w:pStyle w:val="TableTextCentered"/>
              <w:spacing w:before="10" w:after="10"/>
            </w:pPr>
            <w:r w:rsidRPr="008C1E5F">
              <w:t>35</w:t>
            </w:r>
          </w:p>
        </w:tc>
        <w:tc>
          <w:tcPr>
            <w:tcW w:w="298" w:type="pct"/>
            <w:vAlign w:val="center"/>
          </w:tcPr>
          <w:p w14:paraId="4C4503EE" w14:textId="77777777" w:rsidR="00C60C82" w:rsidRPr="008C1E5F" w:rsidRDefault="00C60C82" w:rsidP="00B70B91">
            <w:pPr>
              <w:pStyle w:val="TableTextCentered"/>
              <w:spacing w:before="10" w:after="10"/>
            </w:pPr>
            <w:r w:rsidRPr="008C1E5F">
              <w:t>32</w:t>
            </w:r>
          </w:p>
        </w:tc>
        <w:tc>
          <w:tcPr>
            <w:tcW w:w="298" w:type="pct"/>
            <w:vAlign w:val="bottom"/>
          </w:tcPr>
          <w:p w14:paraId="0EB4ACD6" w14:textId="77777777" w:rsidR="00C60C82" w:rsidRPr="008C1E5F" w:rsidRDefault="00C60C82" w:rsidP="00B70B91">
            <w:pPr>
              <w:pStyle w:val="TableTextCentered"/>
              <w:spacing w:before="10" w:after="10"/>
            </w:pPr>
            <w:r w:rsidRPr="008C1E5F">
              <w:t>17</w:t>
            </w:r>
          </w:p>
        </w:tc>
      </w:tr>
      <w:tr w:rsidR="00C60C82" w:rsidRPr="008C1E5F" w14:paraId="13FB7B89" w14:textId="77777777" w:rsidTr="00542FED">
        <w:trPr>
          <w:jc w:val="center"/>
        </w:trPr>
        <w:tc>
          <w:tcPr>
            <w:tcW w:w="1109" w:type="pct"/>
          </w:tcPr>
          <w:p w14:paraId="641A1FBF" w14:textId="77777777" w:rsidR="00C60C82" w:rsidRPr="008C1E5F" w:rsidRDefault="00C60C82" w:rsidP="00B70B91">
            <w:pPr>
              <w:pStyle w:val="TableText"/>
              <w:spacing w:before="10" w:after="10"/>
            </w:pPr>
            <w:r w:rsidRPr="008C1E5F">
              <w:t>Native American</w:t>
            </w:r>
          </w:p>
        </w:tc>
        <w:tc>
          <w:tcPr>
            <w:tcW w:w="318" w:type="pct"/>
            <w:vAlign w:val="center"/>
          </w:tcPr>
          <w:p w14:paraId="5940BB8D" w14:textId="77777777" w:rsidR="00C60C82" w:rsidRPr="008C1E5F" w:rsidRDefault="00C60C82" w:rsidP="00B70B91">
            <w:pPr>
              <w:pStyle w:val="TableTextCentered"/>
              <w:spacing w:before="10" w:after="10"/>
            </w:pPr>
            <w:r w:rsidRPr="008C1E5F">
              <w:t>9</w:t>
            </w:r>
          </w:p>
        </w:tc>
        <w:tc>
          <w:tcPr>
            <w:tcW w:w="297" w:type="pct"/>
            <w:vAlign w:val="center"/>
          </w:tcPr>
          <w:p w14:paraId="2367EFE8" w14:textId="77777777" w:rsidR="00C60C82" w:rsidRPr="008C1E5F" w:rsidRDefault="00C60C82" w:rsidP="00B70B91">
            <w:pPr>
              <w:pStyle w:val="TableTextCentered"/>
              <w:spacing w:before="10" w:after="10"/>
            </w:pPr>
            <w:r w:rsidRPr="008C1E5F">
              <w:t>--</w:t>
            </w:r>
          </w:p>
        </w:tc>
        <w:tc>
          <w:tcPr>
            <w:tcW w:w="298" w:type="pct"/>
            <w:vAlign w:val="center"/>
          </w:tcPr>
          <w:p w14:paraId="656B6F65" w14:textId="77777777" w:rsidR="00C60C82" w:rsidRPr="008C1E5F" w:rsidRDefault="00C60C82" w:rsidP="00B70B91">
            <w:pPr>
              <w:pStyle w:val="TableTextCentered"/>
              <w:spacing w:before="10" w:after="10"/>
            </w:pPr>
            <w:r w:rsidRPr="008C1E5F">
              <w:t>--</w:t>
            </w:r>
          </w:p>
        </w:tc>
        <w:tc>
          <w:tcPr>
            <w:tcW w:w="298" w:type="pct"/>
            <w:vAlign w:val="center"/>
          </w:tcPr>
          <w:p w14:paraId="659D66E8" w14:textId="77777777" w:rsidR="00C60C82" w:rsidRPr="008C1E5F" w:rsidRDefault="00C60C82" w:rsidP="00B70B91">
            <w:pPr>
              <w:pStyle w:val="TableTextCentered"/>
              <w:spacing w:before="10" w:after="10"/>
            </w:pPr>
            <w:r w:rsidRPr="008C1E5F">
              <w:t>--</w:t>
            </w:r>
          </w:p>
        </w:tc>
        <w:tc>
          <w:tcPr>
            <w:tcW w:w="298" w:type="pct"/>
            <w:vAlign w:val="center"/>
          </w:tcPr>
          <w:p w14:paraId="6281BDBA" w14:textId="77777777" w:rsidR="00C60C82" w:rsidRPr="008C1E5F" w:rsidRDefault="00C60C82" w:rsidP="00B70B91">
            <w:pPr>
              <w:pStyle w:val="TableTextCentered"/>
              <w:spacing w:before="10" w:after="10"/>
            </w:pPr>
            <w:r w:rsidRPr="008C1E5F">
              <w:t>25</w:t>
            </w:r>
          </w:p>
        </w:tc>
        <w:tc>
          <w:tcPr>
            <w:tcW w:w="298" w:type="pct"/>
            <w:vAlign w:val="center"/>
          </w:tcPr>
          <w:p w14:paraId="2658748B" w14:textId="77777777" w:rsidR="00C60C82" w:rsidRPr="008C1E5F" w:rsidRDefault="00C60C82" w:rsidP="00B70B91">
            <w:pPr>
              <w:pStyle w:val="TableTextCentered"/>
              <w:spacing w:before="10" w:after="10"/>
            </w:pPr>
            <w:r w:rsidRPr="008C1E5F">
              <w:t>--</w:t>
            </w:r>
          </w:p>
        </w:tc>
        <w:tc>
          <w:tcPr>
            <w:tcW w:w="298" w:type="pct"/>
            <w:vAlign w:val="center"/>
          </w:tcPr>
          <w:p w14:paraId="2A7BC885" w14:textId="77777777" w:rsidR="00C60C82" w:rsidRPr="008C1E5F" w:rsidRDefault="00C60C82" w:rsidP="00B70B91">
            <w:pPr>
              <w:pStyle w:val="TableTextCentered"/>
              <w:spacing w:before="10" w:after="10"/>
            </w:pPr>
            <w:r w:rsidRPr="008C1E5F">
              <w:t>--</w:t>
            </w:r>
          </w:p>
        </w:tc>
        <w:tc>
          <w:tcPr>
            <w:tcW w:w="297" w:type="pct"/>
            <w:vAlign w:val="center"/>
          </w:tcPr>
          <w:p w14:paraId="69C86FDA" w14:textId="77777777" w:rsidR="00C60C82" w:rsidRPr="008C1E5F" w:rsidRDefault="00C60C82" w:rsidP="00B70B91">
            <w:pPr>
              <w:pStyle w:val="TableTextCentered"/>
              <w:spacing w:before="10" w:after="10"/>
            </w:pPr>
            <w:r w:rsidRPr="008C1E5F">
              <w:t>--</w:t>
            </w:r>
          </w:p>
        </w:tc>
        <w:tc>
          <w:tcPr>
            <w:tcW w:w="298" w:type="pct"/>
            <w:vAlign w:val="center"/>
          </w:tcPr>
          <w:p w14:paraId="497800B8" w14:textId="77777777" w:rsidR="00C60C82" w:rsidRPr="008C1E5F" w:rsidRDefault="00C60C82" w:rsidP="00B70B91">
            <w:pPr>
              <w:pStyle w:val="TableTextCentered"/>
              <w:spacing w:before="10" w:after="10"/>
            </w:pPr>
            <w:r w:rsidRPr="008C1E5F">
              <w:t>43</w:t>
            </w:r>
          </w:p>
        </w:tc>
        <w:tc>
          <w:tcPr>
            <w:tcW w:w="298" w:type="pct"/>
            <w:vAlign w:val="center"/>
          </w:tcPr>
          <w:p w14:paraId="1BC07CB8" w14:textId="77777777" w:rsidR="00C60C82" w:rsidRPr="008C1E5F" w:rsidRDefault="00C60C82" w:rsidP="00B70B91">
            <w:pPr>
              <w:pStyle w:val="TableTextCentered"/>
              <w:spacing w:before="10" w:after="10"/>
            </w:pPr>
            <w:r w:rsidRPr="008C1E5F">
              <w:t>--</w:t>
            </w:r>
          </w:p>
        </w:tc>
        <w:tc>
          <w:tcPr>
            <w:tcW w:w="298" w:type="pct"/>
            <w:vAlign w:val="center"/>
          </w:tcPr>
          <w:p w14:paraId="427D6B92" w14:textId="77777777" w:rsidR="00C60C82" w:rsidRPr="008C1E5F" w:rsidRDefault="00C60C82" w:rsidP="00B70B91">
            <w:pPr>
              <w:pStyle w:val="TableTextCentered"/>
              <w:spacing w:before="10" w:after="10"/>
            </w:pPr>
            <w:r w:rsidRPr="008C1E5F">
              <w:t>--</w:t>
            </w:r>
          </w:p>
        </w:tc>
        <w:tc>
          <w:tcPr>
            <w:tcW w:w="298" w:type="pct"/>
            <w:vAlign w:val="center"/>
          </w:tcPr>
          <w:p w14:paraId="609499E0" w14:textId="77777777" w:rsidR="00C60C82" w:rsidRPr="008C1E5F" w:rsidRDefault="00C60C82" w:rsidP="00B70B91">
            <w:pPr>
              <w:pStyle w:val="TableTextCentered"/>
              <w:spacing w:before="10" w:after="10"/>
            </w:pPr>
            <w:r w:rsidRPr="008C1E5F">
              <w:t>--</w:t>
            </w:r>
          </w:p>
        </w:tc>
        <w:tc>
          <w:tcPr>
            <w:tcW w:w="298" w:type="pct"/>
            <w:vAlign w:val="bottom"/>
          </w:tcPr>
          <w:p w14:paraId="3FE01E69" w14:textId="77777777" w:rsidR="00C60C82" w:rsidRPr="008C1E5F" w:rsidRDefault="00C60C82" w:rsidP="00B70B91">
            <w:pPr>
              <w:pStyle w:val="TableTextCentered"/>
              <w:spacing w:before="10" w:after="10"/>
            </w:pPr>
            <w:r w:rsidRPr="008C1E5F">
              <w:t>32</w:t>
            </w:r>
          </w:p>
        </w:tc>
      </w:tr>
      <w:tr w:rsidR="00C55C91" w:rsidRPr="008C1E5F" w14:paraId="2E2CF4AE" w14:textId="77777777" w:rsidTr="00542FED">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31BF04FF" w14:textId="77777777" w:rsidR="00C60C82" w:rsidRPr="008C1E5F" w:rsidRDefault="00C60C82" w:rsidP="00B70B91">
            <w:pPr>
              <w:pStyle w:val="TableText"/>
              <w:spacing w:before="10" w:after="10"/>
            </w:pPr>
            <w:r w:rsidRPr="008C1E5F">
              <w:t>Native Hawaiian, Pacific Islander</w:t>
            </w:r>
          </w:p>
        </w:tc>
        <w:tc>
          <w:tcPr>
            <w:tcW w:w="318" w:type="pct"/>
            <w:vAlign w:val="center"/>
          </w:tcPr>
          <w:p w14:paraId="082F7665" w14:textId="77777777" w:rsidR="00C60C82" w:rsidRPr="008C1E5F" w:rsidRDefault="00C60C82" w:rsidP="00B70B91">
            <w:pPr>
              <w:pStyle w:val="TableTextCentered"/>
              <w:spacing w:before="10" w:after="10"/>
            </w:pPr>
            <w:r w:rsidRPr="008C1E5F">
              <w:t>4</w:t>
            </w:r>
          </w:p>
        </w:tc>
        <w:tc>
          <w:tcPr>
            <w:tcW w:w="297" w:type="pct"/>
            <w:vAlign w:val="center"/>
          </w:tcPr>
          <w:p w14:paraId="1FDDA64F" w14:textId="77777777" w:rsidR="00C60C82" w:rsidRPr="008C1E5F" w:rsidRDefault="00C60C82" w:rsidP="00B70B91">
            <w:pPr>
              <w:pStyle w:val="TableTextCentered"/>
              <w:spacing w:before="10" w:after="10"/>
            </w:pPr>
            <w:r w:rsidRPr="008C1E5F">
              <w:t>--</w:t>
            </w:r>
          </w:p>
        </w:tc>
        <w:tc>
          <w:tcPr>
            <w:tcW w:w="298" w:type="pct"/>
            <w:vAlign w:val="center"/>
          </w:tcPr>
          <w:p w14:paraId="1541DF39" w14:textId="77777777" w:rsidR="00C60C82" w:rsidRPr="008C1E5F" w:rsidRDefault="00C60C82" w:rsidP="00B70B91">
            <w:pPr>
              <w:pStyle w:val="TableTextCentered"/>
              <w:spacing w:before="10" w:after="10"/>
            </w:pPr>
            <w:r w:rsidRPr="008C1E5F">
              <w:t>--</w:t>
            </w:r>
          </w:p>
        </w:tc>
        <w:tc>
          <w:tcPr>
            <w:tcW w:w="298" w:type="pct"/>
            <w:vAlign w:val="center"/>
          </w:tcPr>
          <w:p w14:paraId="1B1D3BDE" w14:textId="77777777" w:rsidR="00C60C82" w:rsidRPr="008C1E5F" w:rsidRDefault="00C60C82" w:rsidP="00B70B91">
            <w:pPr>
              <w:pStyle w:val="TableTextCentered"/>
              <w:spacing w:before="10" w:after="10"/>
            </w:pPr>
            <w:r w:rsidRPr="008C1E5F">
              <w:t>--</w:t>
            </w:r>
          </w:p>
        </w:tc>
        <w:tc>
          <w:tcPr>
            <w:tcW w:w="298" w:type="pct"/>
            <w:vAlign w:val="center"/>
          </w:tcPr>
          <w:p w14:paraId="4B8E62EE" w14:textId="77777777" w:rsidR="00C60C82" w:rsidRPr="008C1E5F" w:rsidRDefault="00C60C82" w:rsidP="00B70B91">
            <w:pPr>
              <w:pStyle w:val="TableTextCentered"/>
              <w:spacing w:before="10" w:after="10"/>
            </w:pPr>
            <w:r w:rsidRPr="008C1E5F">
              <w:t>39</w:t>
            </w:r>
          </w:p>
        </w:tc>
        <w:tc>
          <w:tcPr>
            <w:tcW w:w="298" w:type="pct"/>
            <w:vAlign w:val="center"/>
          </w:tcPr>
          <w:p w14:paraId="30760F8A" w14:textId="77777777" w:rsidR="00C60C82" w:rsidRPr="008C1E5F" w:rsidRDefault="00C60C82" w:rsidP="00B70B91">
            <w:pPr>
              <w:pStyle w:val="TableTextCentered"/>
              <w:spacing w:before="10" w:after="10"/>
            </w:pPr>
            <w:r w:rsidRPr="008C1E5F">
              <w:t>--</w:t>
            </w:r>
          </w:p>
        </w:tc>
        <w:tc>
          <w:tcPr>
            <w:tcW w:w="298" w:type="pct"/>
            <w:vAlign w:val="center"/>
          </w:tcPr>
          <w:p w14:paraId="3C3EFB1F" w14:textId="77777777" w:rsidR="00C60C82" w:rsidRPr="008C1E5F" w:rsidRDefault="00C60C82" w:rsidP="00B70B91">
            <w:pPr>
              <w:pStyle w:val="TableTextCentered"/>
              <w:spacing w:before="10" w:after="10"/>
            </w:pPr>
            <w:r w:rsidRPr="008C1E5F">
              <w:t>--</w:t>
            </w:r>
          </w:p>
        </w:tc>
        <w:tc>
          <w:tcPr>
            <w:tcW w:w="297" w:type="pct"/>
            <w:vAlign w:val="center"/>
          </w:tcPr>
          <w:p w14:paraId="5734B3DE" w14:textId="77777777" w:rsidR="00C60C82" w:rsidRPr="008C1E5F" w:rsidRDefault="00C60C82" w:rsidP="00B70B91">
            <w:pPr>
              <w:pStyle w:val="TableTextCentered"/>
              <w:spacing w:before="10" w:after="10"/>
            </w:pPr>
            <w:r w:rsidRPr="008C1E5F">
              <w:t>--</w:t>
            </w:r>
          </w:p>
        </w:tc>
        <w:tc>
          <w:tcPr>
            <w:tcW w:w="298" w:type="pct"/>
            <w:vAlign w:val="center"/>
          </w:tcPr>
          <w:p w14:paraId="1BE54329" w14:textId="77777777" w:rsidR="00C60C82" w:rsidRPr="008C1E5F" w:rsidRDefault="00C60C82" w:rsidP="00B70B91">
            <w:pPr>
              <w:pStyle w:val="TableTextCentered"/>
              <w:spacing w:before="10" w:after="10"/>
            </w:pPr>
            <w:r w:rsidRPr="008C1E5F">
              <w:t>39</w:t>
            </w:r>
          </w:p>
        </w:tc>
        <w:tc>
          <w:tcPr>
            <w:tcW w:w="298" w:type="pct"/>
            <w:vAlign w:val="center"/>
          </w:tcPr>
          <w:p w14:paraId="454E4ADE" w14:textId="77777777" w:rsidR="00C60C82" w:rsidRPr="008C1E5F" w:rsidRDefault="00C60C82" w:rsidP="00B70B91">
            <w:pPr>
              <w:pStyle w:val="TableTextCentered"/>
              <w:spacing w:before="10" w:after="10"/>
            </w:pPr>
            <w:r w:rsidRPr="008C1E5F">
              <w:t>--</w:t>
            </w:r>
          </w:p>
        </w:tc>
        <w:tc>
          <w:tcPr>
            <w:tcW w:w="298" w:type="pct"/>
            <w:vAlign w:val="center"/>
          </w:tcPr>
          <w:p w14:paraId="679B11B8" w14:textId="77777777" w:rsidR="00C60C82" w:rsidRPr="008C1E5F" w:rsidRDefault="00C60C82" w:rsidP="00B70B91">
            <w:pPr>
              <w:pStyle w:val="TableTextCentered"/>
              <w:spacing w:before="10" w:after="10"/>
            </w:pPr>
            <w:r w:rsidRPr="008C1E5F">
              <w:t>--</w:t>
            </w:r>
          </w:p>
        </w:tc>
        <w:tc>
          <w:tcPr>
            <w:tcW w:w="298" w:type="pct"/>
            <w:vAlign w:val="center"/>
          </w:tcPr>
          <w:p w14:paraId="4303AF56" w14:textId="77777777" w:rsidR="00C60C82" w:rsidRPr="008C1E5F" w:rsidRDefault="00C60C82" w:rsidP="00B70B91">
            <w:pPr>
              <w:pStyle w:val="TableTextCentered"/>
              <w:spacing w:before="10" w:after="10"/>
            </w:pPr>
            <w:r w:rsidRPr="008C1E5F">
              <w:t>--</w:t>
            </w:r>
          </w:p>
        </w:tc>
        <w:tc>
          <w:tcPr>
            <w:tcW w:w="298" w:type="pct"/>
            <w:vAlign w:val="bottom"/>
          </w:tcPr>
          <w:p w14:paraId="7F6A5ADE" w14:textId="77777777" w:rsidR="00C60C82" w:rsidRPr="008C1E5F" w:rsidRDefault="00C60C82" w:rsidP="00B70B91">
            <w:pPr>
              <w:pStyle w:val="TableTextCentered"/>
              <w:spacing w:before="10" w:after="10"/>
            </w:pPr>
            <w:r w:rsidRPr="008C1E5F">
              <w:t>21</w:t>
            </w:r>
          </w:p>
        </w:tc>
      </w:tr>
      <w:tr w:rsidR="00C60C82" w:rsidRPr="008C1E5F" w14:paraId="4165E9EF" w14:textId="77777777" w:rsidTr="00542FED">
        <w:trPr>
          <w:jc w:val="center"/>
        </w:trPr>
        <w:tc>
          <w:tcPr>
            <w:tcW w:w="1109" w:type="pct"/>
          </w:tcPr>
          <w:p w14:paraId="0DB37EC5" w14:textId="77777777" w:rsidR="00C60C82" w:rsidRPr="008C1E5F" w:rsidRDefault="00C60C82" w:rsidP="00B70B91">
            <w:pPr>
              <w:pStyle w:val="TableText"/>
              <w:spacing w:before="10" w:after="10"/>
            </w:pPr>
            <w:r w:rsidRPr="008C1E5F">
              <w:t>White</w:t>
            </w:r>
          </w:p>
        </w:tc>
        <w:tc>
          <w:tcPr>
            <w:tcW w:w="318" w:type="pct"/>
            <w:vAlign w:val="center"/>
          </w:tcPr>
          <w:p w14:paraId="3A1310F3" w14:textId="77777777" w:rsidR="00C60C82" w:rsidRPr="008C1E5F" w:rsidRDefault="00C60C82" w:rsidP="00B70B91">
            <w:pPr>
              <w:pStyle w:val="TableTextCentered"/>
              <w:spacing w:before="10" w:after="10"/>
            </w:pPr>
            <w:r w:rsidRPr="008C1E5F">
              <w:t>2,026</w:t>
            </w:r>
          </w:p>
        </w:tc>
        <w:tc>
          <w:tcPr>
            <w:tcW w:w="297" w:type="pct"/>
            <w:vAlign w:val="center"/>
          </w:tcPr>
          <w:p w14:paraId="087E1BC3" w14:textId="77777777" w:rsidR="00C60C82" w:rsidRPr="008C1E5F" w:rsidRDefault="00C60C82" w:rsidP="00B70B91">
            <w:pPr>
              <w:pStyle w:val="TableTextCentered"/>
              <w:spacing w:before="10" w:after="10"/>
            </w:pPr>
            <w:r w:rsidRPr="008C1E5F">
              <w:t>25</w:t>
            </w:r>
          </w:p>
        </w:tc>
        <w:tc>
          <w:tcPr>
            <w:tcW w:w="298" w:type="pct"/>
            <w:vAlign w:val="center"/>
          </w:tcPr>
          <w:p w14:paraId="68FBC760" w14:textId="77777777" w:rsidR="00C60C82" w:rsidRPr="008C1E5F" w:rsidRDefault="00C60C82" w:rsidP="00B70B91">
            <w:pPr>
              <w:pStyle w:val="TableTextCentered"/>
              <w:spacing w:before="10" w:after="10"/>
            </w:pPr>
            <w:r w:rsidRPr="008C1E5F">
              <w:t>26</w:t>
            </w:r>
          </w:p>
        </w:tc>
        <w:tc>
          <w:tcPr>
            <w:tcW w:w="298" w:type="pct"/>
            <w:vAlign w:val="center"/>
          </w:tcPr>
          <w:p w14:paraId="1E1CAF47" w14:textId="77777777" w:rsidR="00C60C82" w:rsidRPr="008C1E5F" w:rsidRDefault="00C60C82" w:rsidP="00B70B91">
            <w:pPr>
              <w:pStyle w:val="TableTextCentered"/>
              <w:spacing w:before="10" w:after="10"/>
            </w:pPr>
            <w:r w:rsidRPr="008C1E5F">
              <w:t>24</w:t>
            </w:r>
          </w:p>
        </w:tc>
        <w:tc>
          <w:tcPr>
            <w:tcW w:w="298" w:type="pct"/>
            <w:vAlign w:val="center"/>
          </w:tcPr>
          <w:p w14:paraId="4D7D04DE" w14:textId="77777777" w:rsidR="00C60C82" w:rsidRPr="008C1E5F" w:rsidRDefault="00C60C82" w:rsidP="00B70B91">
            <w:pPr>
              <w:pStyle w:val="TableTextCentered"/>
              <w:spacing w:before="10" w:after="10"/>
            </w:pPr>
            <w:r w:rsidRPr="008C1E5F">
              <w:t>47</w:t>
            </w:r>
          </w:p>
        </w:tc>
        <w:tc>
          <w:tcPr>
            <w:tcW w:w="298" w:type="pct"/>
            <w:vAlign w:val="center"/>
          </w:tcPr>
          <w:p w14:paraId="50309CD4" w14:textId="77777777" w:rsidR="00C60C82" w:rsidRPr="008C1E5F" w:rsidRDefault="00C60C82" w:rsidP="00B70B91">
            <w:pPr>
              <w:pStyle w:val="TableTextCentered"/>
              <w:spacing w:before="10" w:after="10"/>
            </w:pPr>
            <w:r w:rsidRPr="008C1E5F">
              <w:t>47</w:t>
            </w:r>
          </w:p>
        </w:tc>
        <w:tc>
          <w:tcPr>
            <w:tcW w:w="298" w:type="pct"/>
            <w:vAlign w:val="center"/>
          </w:tcPr>
          <w:p w14:paraId="73FD453B" w14:textId="77777777" w:rsidR="00C60C82" w:rsidRPr="008C1E5F" w:rsidRDefault="00C60C82" w:rsidP="00B70B91">
            <w:pPr>
              <w:pStyle w:val="TableTextCentered"/>
              <w:spacing w:before="10" w:after="10"/>
            </w:pPr>
            <w:r w:rsidRPr="008C1E5F">
              <w:t>43</w:t>
            </w:r>
          </w:p>
        </w:tc>
        <w:tc>
          <w:tcPr>
            <w:tcW w:w="297" w:type="pct"/>
            <w:vAlign w:val="center"/>
          </w:tcPr>
          <w:p w14:paraId="5655EEEE" w14:textId="77777777" w:rsidR="00C60C82" w:rsidRPr="008C1E5F" w:rsidRDefault="00C60C82" w:rsidP="00B70B91">
            <w:pPr>
              <w:pStyle w:val="TableTextCentered"/>
              <w:spacing w:before="10" w:after="10"/>
            </w:pPr>
            <w:r w:rsidRPr="008C1E5F">
              <w:t>43</w:t>
            </w:r>
          </w:p>
        </w:tc>
        <w:tc>
          <w:tcPr>
            <w:tcW w:w="298" w:type="pct"/>
            <w:vAlign w:val="center"/>
          </w:tcPr>
          <w:p w14:paraId="39BBFC19" w14:textId="77777777" w:rsidR="00C60C82" w:rsidRPr="008C1E5F" w:rsidRDefault="00C60C82" w:rsidP="00B70B91">
            <w:pPr>
              <w:pStyle w:val="TableTextCentered"/>
              <w:spacing w:before="10" w:after="10"/>
            </w:pPr>
            <w:r w:rsidRPr="008C1E5F">
              <w:t>40</w:t>
            </w:r>
          </w:p>
        </w:tc>
        <w:tc>
          <w:tcPr>
            <w:tcW w:w="298" w:type="pct"/>
            <w:vAlign w:val="center"/>
          </w:tcPr>
          <w:p w14:paraId="7BC32A8A" w14:textId="77777777" w:rsidR="00C60C82" w:rsidRPr="008C1E5F" w:rsidRDefault="00C60C82" w:rsidP="00B70B91">
            <w:pPr>
              <w:pStyle w:val="TableTextCentered"/>
              <w:spacing w:before="10" w:after="10"/>
            </w:pPr>
            <w:r w:rsidRPr="008C1E5F">
              <w:t>28</w:t>
            </w:r>
          </w:p>
        </w:tc>
        <w:tc>
          <w:tcPr>
            <w:tcW w:w="298" w:type="pct"/>
            <w:vAlign w:val="center"/>
          </w:tcPr>
          <w:p w14:paraId="0943D9B6" w14:textId="77777777" w:rsidR="00C60C82" w:rsidRPr="008C1E5F" w:rsidRDefault="00C60C82" w:rsidP="00B70B91">
            <w:pPr>
              <w:pStyle w:val="TableTextCentered"/>
              <w:spacing w:before="10" w:after="10"/>
            </w:pPr>
            <w:r w:rsidRPr="008C1E5F">
              <w:t>31</w:t>
            </w:r>
          </w:p>
        </w:tc>
        <w:tc>
          <w:tcPr>
            <w:tcW w:w="298" w:type="pct"/>
            <w:vAlign w:val="center"/>
          </w:tcPr>
          <w:p w14:paraId="0B03CC0D" w14:textId="77777777" w:rsidR="00C60C82" w:rsidRPr="008C1E5F" w:rsidRDefault="00C60C82" w:rsidP="00B70B91">
            <w:pPr>
              <w:pStyle w:val="TableTextCentered"/>
              <w:spacing w:before="10" w:after="10"/>
            </w:pPr>
            <w:r w:rsidRPr="008C1E5F">
              <w:t>33</w:t>
            </w:r>
          </w:p>
        </w:tc>
        <w:tc>
          <w:tcPr>
            <w:tcW w:w="298" w:type="pct"/>
            <w:vAlign w:val="bottom"/>
          </w:tcPr>
          <w:p w14:paraId="2BB7B34A" w14:textId="77777777" w:rsidR="00C60C82" w:rsidRPr="008C1E5F" w:rsidRDefault="00C60C82" w:rsidP="00B70B91">
            <w:pPr>
              <w:pStyle w:val="TableTextCentered"/>
              <w:spacing w:before="10" w:after="10"/>
            </w:pPr>
            <w:r w:rsidRPr="008C1E5F">
              <w:t>13</w:t>
            </w:r>
          </w:p>
        </w:tc>
      </w:tr>
      <w:tr w:rsidR="00C55C91" w:rsidRPr="008C1E5F" w14:paraId="05522204" w14:textId="77777777" w:rsidTr="00542FED">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7DCC5DAC" w14:textId="77777777" w:rsidR="00C60C82" w:rsidRPr="008C1E5F" w:rsidRDefault="00C60C82" w:rsidP="00B70B91">
            <w:pPr>
              <w:pStyle w:val="TableText"/>
              <w:spacing w:before="10" w:after="10"/>
            </w:pPr>
            <w:r w:rsidRPr="008C1E5F">
              <w:t>High needs</w:t>
            </w:r>
          </w:p>
        </w:tc>
        <w:tc>
          <w:tcPr>
            <w:tcW w:w="318" w:type="pct"/>
            <w:vAlign w:val="center"/>
          </w:tcPr>
          <w:p w14:paraId="2432863F" w14:textId="77777777" w:rsidR="00C60C82" w:rsidRPr="008C1E5F" w:rsidRDefault="00C60C82" w:rsidP="00B70B91">
            <w:pPr>
              <w:pStyle w:val="TableTextCentered"/>
              <w:spacing w:before="10" w:after="10"/>
            </w:pPr>
            <w:r w:rsidRPr="008C1E5F">
              <w:t>4,305</w:t>
            </w:r>
          </w:p>
        </w:tc>
        <w:tc>
          <w:tcPr>
            <w:tcW w:w="297" w:type="pct"/>
            <w:vAlign w:val="center"/>
          </w:tcPr>
          <w:p w14:paraId="4154F4FB" w14:textId="77777777" w:rsidR="00C60C82" w:rsidRPr="008C1E5F" w:rsidRDefault="00C60C82" w:rsidP="00B70B91">
            <w:pPr>
              <w:pStyle w:val="TableTextCentered"/>
              <w:spacing w:before="10" w:after="10"/>
            </w:pPr>
            <w:r w:rsidRPr="008C1E5F">
              <w:t>18</w:t>
            </w:r>
          </w:p>
        </w:tc>
        <w:tc>
          <w:tcPr>
            <w:tcW w:w="298" w:type="pct"/>
            <w:vAlign w:val="center"/>
          </w:tcPr>
          <w:p w14:paraId="73470FB5" w14:textId="77777777" w:rsidR="00C60C82" w:rsidRPr="008C1E5F" w:rsidRDefault="00C60C82" w:rsidP="00B70B91">
            <w:pPr>
              <w:pStyle w:val="TableTextCentered"/>
              <w:spacing w:before="10" w:after="10"/>
            </w:pPr>
            <w:r w:rsidRPr="008C1E5F">
              <w:t>18</w:t>
            </w:r>
          </w:p>
        </w:tc>
        <w:tc>
          <w:tcPr>
            <w:tcW w:w="298" w:type="pct"/>
            <w:vAlign w:val="center"/>
          </w:tcPr>
          <w:p w14:paraId="08327A62" w14:textId="77777777" w:rsidR="00C60C82" w:rsidRPr="008C1E5F" w:rsidRDefault="00C60C82" w:rsidP="00B70B91">
            <w:pPr>
              <w:pStyle w:val="TableTextCentered"/>
              <w:spacing w:before="10" w:after="10"/>
            </w:pPr>
            <w:r w:rsidRPr="008C1E5F">
              <w:t>16</w:t>
            </w:r>
          </w:p>
        </w:tc>
        <w:tc>
          <w:tcPr>
            <w:tcW w:w="298" w:type="pct"/>
            <w:vAlign w:val="center"/>
          </w:tcPr>
          <w:p w14:paraId="138DBD2C" w14:textId="77777777" w:rsidR="00C60C82" w:rsidRPr="008C1E5F" w:rsidRDefault="00C60C82" w:rsidP="00B70B91">
            <w:pPr>
              <w:pStyle w:val="TableTextCentered"/>
              <w:spacing w:before="10" w:after="10"/>
            </w:pPr>
            <w:r w:rsidRPr="008C1E5F">
              <w:t>22</w:t>
            </w:r>
          </w:p>
        </w:tc>
        <w:tc>
          <w:tcPr>
            <w:tcW w:w="298" w:type="pct"/>
            <w:vAlign w:val="center"/>
          </w:tcPr>
          <w:p w14:paraId="3F9F03F8" w14:textId="77777777" w:rsidR="00C60C82" w:rsidRPr="008C1E5F" w:rsidRDefault="00C60C82" w:rsidP="00B70B91">
            <w:pPr>
              <w:pStyle w:val="TableTextCentered"/>
              <w:spacing w:before="10" w:after="10"/>
            </w:pPr>
            <w:r w:rsidRPr="008C1E5F">
              <w:t>46</w:t>
            </w:r>
          </w:p>
        </w:tc>
        <w:tc>
          <w:tcPr>
            <w:tcW w:w="298" w:type="pct"/>
            <w:vAlign w:val="center"/>
          </w:tcPr>
          <w:p w14:paraId="526829C5" w14:textId="77777777" w:rsidR="00C60C82" w:rsidRPr="008C1E5F" w:rsidRDefault="00C60C82" w:rsidP="00B70B91">
            <w:pPr>
              <w:pStyle w:val="TableTextCentered"/>
              <w:spacing w:before="10" w:after="10"/>
            </w:pPr>
            <w:r w:rsidRPr="008C1E5F">
              <w:t>42</w:t>
            </w:r>
          </w:p>
        </w:tc>
        <w:tc>
          <w:tcPr>
            <w:tcW w:w="297" w:type="pct"/>
            <w:vAlign w:val="center"/>
          </w:tcPr>
          <w:p w14:paraId="01173AE5" w14:textId="77777777" w:rsidR="00C60C82" w:rsidRPr="008C1E5F" w:rsidRDefault="00C60C82" w:rsidP="00B70B91">
            <w:pPr>
              <w:pStyle w:val="TableTextCentered"/>
              <w:spacing w:before="10" w:after="10"/>
            </w:pPr>
            <w:r w:rsidRPr="008C1E5F">
              <w:t>44</w:t>
            </w:r>
          </w:p>
        </w:tc>
        <w:tc>
          <w:tcPr>
            <w:tcW w:w="298" w:type="pct"/>
            <w:vAlign w:val="center"/>
          </w:tcPr>
          <w:p w14:paraId="733B0BE0" w14:textId="77777777" w:rsidR="00C60C82" w:rsidRPr="008C1E5F" w:rsidRDefault="00C60C82" w:rsidP="00B70B91">
            <w:pPr>
              <w:pStyle w:val="TableTextCentered"/>
              <w:spacing w:before="10" w:after="10"/>
            </w:pPr>
            <w:r w:rsidRPr="008C1E5F">
              <w:t>45</w:t>
            </w:r>
          </w:p>
        </w:tc>
        <w:tc>
          <w:tcPr>
            <w:tcW w:w="298" w:type="pct"/>
            <w:vAlign w:val="center"/>
          </w:tcPr>
          <w:p w14:paraId="3B43826B" w14:textId="77777777" w:rsidR="00C60C82" w:rsidRPr="008C1E5F" w:rsidRDefault="00C60C82" w:rsidP="00B70B91">
            <w:pPr>
              <w:pStyle w:val="TableTextCentered"/>
              <w:spacing w:before="10" w:after="10"/>
            </w:pPr>
            <w:r w:rsidRPr="008C1E5F">
              <w:t>36</w:t>
            </w:r>
          </w:p>
        </w:tc>
        <w:tc>
          <w:tcPr>
            <w:tcW w:w="298" w:type="pct"/>
            <w:vAlign w:val="center"/>
          </w:tcPr>
          <w:p w14:paraId="27EF136C" w14:textId="77777777" w:rsidR="00C60C82" w:rsidRPr="008C1E5F" w:rsidRDefault="00C60C82" w:rsidP="00B70B91">
            <w:pPr>
              <w:pStyle w:val="TableTextCentered"/>
              <w:spacing w:before="10" w:after="10"/>
            </w:pPr>
            <w:r w:rsidRPr="008C1E5F">
              <w:t>40</w:t>
            </w:r>
          </w:p>
        </w:tc>
        <w:tc>
          <w:tcPr>
            <w:tcW w:w="298" w:type="pct"/>
            <w:vAlign w:val="center"/>
          </w:tcPr>
          <w:p w14:paraId="19C8D3D4" w14:textId="77777777" w:rsidR="00C60C82" w:rsidRPr="008C1E5F" w:rsidRDefault="00C60C82" w:rsidP="00B70B91">
            <w:pPr>
              <w:pStyle w:val="TableTextCentered"/>
              <w:spacing w:before="10" w:after="10"/>
            </w:pPr>
            <w:r w:rsidRPr="008C1E5F">
              <w:t>40</w:t>
            </w:r>
          </w:p>
        </w:tc>
        <w:tc>
          <w:tcPr>
            <w:tcW w:w="298" w:type="pct"/>
            <w:vAlign w:val="bottom"/>
          </w:tcPr>
          <w:p w14:paraId="48732B54" w14:textId="77777777" w:rsidR="00C60C82" w:rsidRPr="008C1E5F" w:rsidRDefault="00C60C82" w:rsidP="00B70B91">
            <w:pPr>
              <w:pStyle w:val="TableTextCentered"/>
              <w:spacing w:before="10" w:after="10"/>
            </w:pPr>
            <w:r w:rsidRPr="008C1E5F">
              <w:t>33</w:t>
            </w:r>
          </w:p>
        </w:tc>
      </w:tr>
      <w:tr w:rsidR="00C60C82" w:rsidRPr="008C1E5F" w14:paraId="1C1EECEF" w14:textId="77777777" w:rsidTr="00542FED">
        <w:trPr>
          <w:jc w:val="center"/>
        </w:trPr>
        <w:tc>
          <w:tcPr>
            <w:tcW w:w="1109" w:type="pct"/>
          </w:tcPr>
          <w:p w14:paraId="3AEFA787" w14:textId="77777777" w:rsidR="00C60C82" w:rsidRPr="008C1E5F" w:rsidRDefault="00C60C82" w:rsidP="00B70B91">
            <w:pPr>
              <w:pStyle w:val="TableText"/>
              <w:spacing w:before="10" w:after="10"/>
            </w:pPr>
            <w:r w:rsidRPr="008C1E5F">
              <w:t>Low income</w:t>
            </w:r>
          </w:p>
        </w:tc>
        <w:tc>
          <w:tcPr>
            <w:tcW w:w="318" w:type="pct"/>
            <w:vAlign w:val="center"/>
          </w:tcPr>
          <w:p w14:paraId="16FAC91A" w14:textId="77777777" w:rsidR="00C60C82" w:rsidRPr="008C1E5F" w:rsidRDefault="00C60C82" w:rsidP="00B70B91">
            <w:pPr>
              <w:pStyle w:val="TableTextCentered"/>
              <w:spacing w:before="10" w:after="10"/>
            </w:pPr>
            <w:r w:rsidRPr="008C1E5F">
              <w:t>4,018</w:t>
            </w:r>
          </w:p>
        </w:tc>
        <w:tc>
          <w:tcPr>
            <w:tcW w:w="297" w:type="pct"/>
            <w:vAlign w:val="center"/>
          </w:tcPr>
          <w:p w14:paraId="2E01A2DE" w14:textId="77777777" w:rsidR="00C60C82" w:rsidRPr="008C1E5F" w:rsidRDefault="00C60C82" w:rsidP="00B70B91">
            <w:pPr>
              <w:pStyle w:val="TableTextCentered"/>
              <w:spacing w:before="10" w:after="10"/>
            </w:pPr>
            <w:r w:rsidRPr="008C1E5F">
              <w:t>19</w:t>
            </w:r>
          </w:p>
        </w:tc>
        <w:tc>
          <w:tcPr>
            <w:tcW w:w="298" w:type="pct"/>
            <w:vAlign w:val="center"/>
          </w:tcPr>
          <w:p w14:paraId="0FD1EFE0" w14:textId="77777777" w:rsidR="00C60C82" w:rsidRPr="008C1E5F" w:rsidRDefault="00C60C82" w:rsidP="00B70B91">
            <w:pPr>
              <w:pStyle w:val="TableTextCentered"/>
              <w:spacing w:before="10" w:after="10"/>
            </w:pPr>
            <w:r w:rsidRPr="008C1E5F">
              <w:t>18</w:t>
            </w:r>
          </w:p>
        </w:tc>
        <w:tc>
          <w:tcPr>
            <w:tcW w:w="298" w:type="pct"/>
            <w:vAlign w:val="center"/>
          </w:tcPr>
          <w:p w14:paraId="03EC13F5" w14:textId="77777777" w:rsidR="00C60C82" w:rsidRPr="008C1E5F" w:rsidRDefault="00C60C82" w:rsidP="00B70B91">
            <w:pPr>
              <w:pStyle w:val="TableTextCentered"/>
              <w:spacing w:before="10" w:after="10"/>
            </w:pPr>
            <w:r w:rsidRPr="008C1E5F">
              <w:t>16</w:t>
            </w:r>
          </w:p>
        </w:tc>
        <w:tc>
          <w:tcPr>
            <w:tcW w:w="298" w:type="pct"/>
            <w:vAlign w:val="center"/>
          </w:tcPr>
          <w:p w14:paraId="12C65E98" w14:textId="77777777" w:rsidR="00C60C82" w:rsidRPr="008C1E5F" w:rsidRDefault="00C60C82" w:rsidP="00B70B91">
            <w:pPr>
              <w:pStyle w:val="TableTextCentered"/>
              <w:spacing w:before="10" w:after="10"/>
            </w:pPr>
            <w:r w:rsidRPr="008C1E5F">
              <w:t>21</w:t>
            </w:r>
          </w:p>
        </w:tc>
        <w:tc>
          <w:tcPr>
            <w:tcW w:w="298" w:type="pct"/>
            <w:vAlign w:val="center"/>
          </w:tcPr>
          <w:p w14:paraId="5F27B6B9" w14:textId="77777777" w:rsidR="00C60C82" w:rsidRPr="008C1E5F" w:rsidRDefault="00C60C82" w:rsidP="00B70B91">
            <w:pPr>
              <w:pStyle w:val="TableTextCentered"/>
              <w:spacing w:before="10" w:after="10"/>
            </w:pPr>
            <w:r w:rsidRPr="008C1E5F">
              <w:t>46</w:t>
            </w:r>
          </w:p>
        </w:tc>
        <w:tc>
          <w:tcPr>
            <w:tcW w:w="298" w:type="pct"/>
            <w:vAlign w:val="center"/>
          </w:tcPr>
          <w:p w14:paraId="1199B851" w14:textId="77777777" w:rsidR="00C60C82" w:rsidRPr="008C1E5F" w:rsidRDefault="00C60C82" w:rsidP="00B70B91">
            <w:pPr>
              <w:pStyle w:val="TableTextCentered"/>
              <w:spacing w:before="10" w:after="10"/>
            </w:pPr>
            <w:r w:rsidRPr="008C1E5F">
              <w:t>42</w:t>
            </w:r>
          </w:p>
        </w:tc>
        <w:tc>
          <w:tcPr>
            <w:tcW w:w="297" w:type="pct"/>
            <w:vAlign w:val="center"/>
          </w:tcPr>
          <w:p w14:paraId="5140BE7C" w14:textId="77777777" w:rsidR="00C60C82" w:rsidRPr="008C1E5F" w:rsidRDefault="00C60C82" w:rsidP="00B70B91">
            <w:pPr>
              <w:pStyle w:val="TableTextCentered"/>
              <w:spacing w:before="10" w:after="10"/>
            </w:pPr>
            <w:r w:rsidRPr="008C1E5F">
              <w:t>44</w:t>
            </w:r>
          </w:p>
        </w:tc>
        <w:tc>
          <w:tcPr>
            <w:tcW w:w="298" w:type="pct"/>
            <w:vAlign w:val="center"/>
          </w:tcPr>
          <w:p w14:paraId="3BD88AB1" w14:textId="77777777" w:rsidR="00C60C82" w:rsidRPr="008C1E5F" w:rsidRDefault="00C60C82" w:rsidP="00B70B91">
            <w:pPr>
              <w:pStyle w:val="TableTextCentered"/>
              <w:spacing w:before="10" w:after="10"/>
            </w:pPr>
            <w:r w:rsidRPr="008C1E5F">
              <w:t>45</w:t>
            </w:r>
          </w:p>
        </w:tc>
        <w:tc>
          <w:tcPr>
            <w:tcW w:w="298" w:type="pct"/>
            <w:vAlign w:val="center"/>
          </w:tcPr>
          <w:p w14:paraId="7D4D7480" w14:textId="77777777" w:rsidR="00C60C82" w:rsidRPr="008C1E5F" w:rsidRDefault="00C60C82" w:rsidP="00B70B91">
            <w:pPr>
              <w:pStyle w:val="TableTextCentered"/>
              <w:spacing w:before="10" w:after="10"/>
            </w:pPr>
            <w:r w:rsidRPr="008C1E5F">
              <w:t>36</w:t>
            </w:r>
          </w:p>
        </w:tc>
        <w:tc>
          <w:tcPr>
            <w:tcW w:w="298" w:type="pct"/>
            <w:vAlign w:val="center"/>
          </w:tcPr>
          <w:p w14:paraId="1F7B484A" w14:textId="77777777" w:rsidR="00C60C82" w:rsidRPr="008C1E5F" w:rsidRDefault="00C60C82" w:rsidP="00B70B91">
            <w:pPr>
              <w:pStyle w:val="TableTextCentered"/>
              <w:spacing w:before="10" w:after="10"/>
            </w:pPr>
            <w:r w:rsidRPr="008C1E5F">
              <w:t>40</w:t>
            </w:r>
          </w:p>
        </w:tc>
        <w:tc>
          <w:tcPr>
            <w:tcW w:w="298" w:type="pct"/>
            <w:vAlign w:val="center"/>
          </w:tcPr>
          <w:p w14:paraId="5791070A" w14:textId="77777777" w:rsidR="00C60C82" w:rsidRPr="008C1E5F" w:rsidRDefault="00C60C82" w:rsidP="00B70B91">
            <w:pPr>
              <w:pStyle w:val="TableTextCentered"/>
              <w:spacing w:before="10" w:after="10"/>
            </w:pPr>
            <w:r w:rsidRPr="008C1E5F">
              <w:t>40</w:t>
            </w:r>
          </w:p>
        </w:tc>
        <w:tc>
          <w:tcPr>
            <w:tcW w:w="298" w:type="pct"/>
            <w:vAlign w:val="bottom"/>
          </w:tcPr>
          <w:p w14:paraId="71C7E166" w14:textId="77777777" w:rsidR="00C60C82" w:rsidRPr="008C1E5F" w:rsidRDefault="00C60C82" w:rsidP="00B70B91">
            <w:pPr>
              <w:pStyle w:val="TableTextCentered"/>
              <w:spacing w:before="10" w:after="10"/>
            </w:pPr>
            <w:r w:rsidRPr="008C1E5F">
              <w:t>34</w:t>
            </w:r>
          </w:p>
        </w:tc>
      </w:tr>
      <w:tr w:rsidR="00C55C91" w:rsidRPr="008C1E5F" w14:paraId="7A2CCE1A" w14:textId="77777777" w:rsidTr="00542FED">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69744F6F" w14:textId="77777777" w:rsidR="00C60C82" w:rsidRPr="008C1E5F" w:rsidRDefault="00C60C82" w:rsidP="00B70B91">
            <w:pPr>
              <w:pStyle w:val="TableText"/>
              <w:spacing w:before="10" w:after="10"/>
            </w:pPr>
            <w:r w:rsidRPr="008C1E5F">
              <w:t>ELs and former ELs</w:t>
            </w:r>
          </w:p>
        </w:tc>
        <w:tc>
          <w:tcPr>
            <w:tcW w:w="318" w:type="pct"/>
            <w:vAlign w:val="center"/>
          </w:tcPr>
          <w:p w14:paraId="2E184186" w14:textId="77777777" w:rsidR="00C60C82" w:rsidRPr="008C1E5F" w:rsidRDefault="00C60C82" w:rsidP="00B70B91">
            <w:pPr>
              <w:pStyle w:val="TableTextCentered"/>
              <w:spacing w:before="10" w:after="10"/>
            </w:pPr>
            <w:r w:rsidRPr="008C1E5F">
              <w:t>1,506</w:t>
            </w:r>
          </w:p>
        </w:tc>
        <w:tc>
          <w:tcPr>
            <w:tcW w:w="297" w:type="pct"/>
            <w:vAlign w:val="center"/>
          </w:tcPr>
          <w:p w14:paraId="7396703E" w14:textId="77777777" w:rsidR="00C60C82" w:rsidRPr="008C1E5F" w:rsidRDefault="00C60C82" w:rsidP="00B70B91">
            <w:pPr>
              <w:pStyle w:val="TableTextCentered"/>
              <w:spacing w:before="10" w:after="10"/>
            </w:pPr>
            <w:r w:rsidRPr="008C1E5F">
              <w:t>11</w:t>
            </w:r>
          </w:p>
        </w:tc>
        <w:tc>
          <w:tcPr>
            <w:tcW w:w="298" w:type="pct"/>
            <w:vAlign w:val="center"/>
          </w:tcPr>
          <w:p w14:paraId="6D5CEE0F" w14:textId="77777777" w:rsidR="00C60C82" w:rsidRPr="008C1E5F" w:rsidRDefault="00C60C82" w:rsidP="00B70B91">
            <w:pPr>
              <w:pStyle w:val="TableTextCentered"/>
              <w:spacing w:before="10" w:after="10"/>
            </w:pPr>
            <w:r w:rsidRPr="008C1E5F">
              <w:t>10</w:t>
            </w:r>
          </w:p>
        </w:tc>
        <w:tc>
          <w:tcPr>
            <w:tcW w:w="298" w:type="pct"/>
            <w:vAlign w:val="center"/>
          </w:tcPr>
          <w:p w14:paraId="2125B940" w14:textId="77777777" w:rsidR="00C60C82" w:rsidRPr="008C1E5F" w:rsidRDefault="00C60C82" w:rsidP="00B70B91">
            <w:pPr>
              <w:pStyle w:val="TableTextCentered"/>
              <w:spacing w:before="10" w:after="10"/>
            </w:pPr>
            <w:r w:rsidRPr="008C1E5F">
              <w:t>9</w:t>
            </w:r>
          </w:p>
        </w:tc>
        <w:tc>
          <w:tcPr>
            <w:tcW w:w="298" w:type="pct"/>
            <w:vAlign w:val="center"/>
          </w:tcPr>
          <w:p w14:paraId="3F409335" w14:textId="77777777" w:rsidR="00C60C82" w:rsidRPr="008C1E5F" w:rsidRDefault="00C60C82" w:rsidP="00B70B91">
            <w:pPr>
              <w:pStyle w:val="TableTextCentered"/>
              <w:spacing w:before="10" w:after="10"/>
            </w:pPr>
            <w:r w:rsidRPr="008C1E5F">
              <w:t>17</w:t>
            </w:r>
          </w:p>
        </w:tc>
        <w:tc>
          <w:tcPr>
            <w:tcW w:w="298" w:type="pct"/>
            <w:vAlign w:val="center"/>
          </w:tcPr>
          <w:p w14:paraId="2B5C329E" w14:textId="77777777" w:rsidR="00C60C82" w:rsidRPr="008C1E5F" w:rsidRDefault="00C60C82" w:rsidP="00B70B91">
            <w:pPr>
              <w:pStyle w:val="TableTextCentered"/>
              <w:spacing w:before="10" w:after="10"/>
            </w:pPr>
            <w:r w:rsidRPr="008C1E5F">
              <w:t>39</w:t>
            </w:r>
          </w:p>
        </w:tc>
        <w:tc>
          <w:tcPr>
            <w:tcW w:w="298" w:type="pct"/>
            <w:vAlign w:val="center"/>
          </w:tcPr>
          <w:p w14:paraId="0B0EB37D" w14:textId="77777777" w:rsidR="00C60C82" w:rsidRPr="008C1E5F" w:rsidRDefault="00C60C82" w:rsidP="00B70B91">
            <w:pPr>
              <w:pStyle w:val="TableTextCentered"/>
              <w:spacing w:before="10" w:after="10"/>
            </w:pPr>
            <w:r w:rsidRPr="008C1E5F">
              <w:t>37</w:t>
            </w:r>
          </w:p>
        </w:tc>
        <w:tc>
          <w:tcPr>
            <w:tcW w:w="297" w:type="pct"/>
            <w:vAlign w:val="center"/>
          </w:tcPr>
          <w:p w14:paraId="4E087EF4" w14:textId="77777777" w:rsidR="00C60C82" w:rsidRPr="008C1E5F" w:rsidRDefault="00C60C82" w:rsidP="00B70B91">
            <w:pPr>
              <w:pStyle w:val="TableTextCentered"/>
              <w:spacing w:before="10" w:after="10"/>
            </w:pPr>
            <w:r w:rsidRPr="008C1E5F">
              <w:t>36</w:t>
            </w:r>
          </w:p>
        </w:tc>
        <w:tc>
          <w:tcPr>
            <w:tcW w:w="298" w:type="pct"/>
            <w:vAlign w:val="center"/>
          </w:tcPr>
          <w:p w14:paraId="36FB277D" w14:textId="77777777" w:rsidR="00C60C82" w:rsidRPr="008C1E5F" w:rsidRDefault="00C60C82" w:rsidP="00B70B91">
            <w:pPr>
              <w:pStyle w:val="TableTextCentered"/>
              <w:spacing w:before="10" w:after="10"/>
            </w:pPr>
            <w:r w:rsidRPr="008C1E5F">
              <w:t>43</w:t>
            </w:r>
          </w:p>
        </w:tc>
        <w:tc>
          <w:tcPr>
            <w:tcW w:w="298" w:type="pct"/>
            <w:vAlign w:val="center"/>
          </w:tcPr>
          <w:p w14:paraId="5C26BFE0" w14:textId="77777777" w:rsidR="00C60C82" w:rsidRPr="008C1E5F" w:rsidRDefault="00C60C82" w:rsidP="00B70B91">
            <w:pPr>
              <w:pStyle w:val="TableTextCentered"/>
              <w:spacing w:before="10" w:after="10"/>
            </w:pPr>
            <w:r w:rsidRPr="008C1E5F">
              <w:t>49</w:t>
            </w:r>
          </w:p>
        </w:tc>
        <w:tc>
          <w:tcPr>
            <w:tcW w:w="298" w:type="pct"/>
            <w:vAlign w:val="center"/>
          </w:tcPr>
          <w:p w14:paraId="559BC991" w14:textId="77777777" w:rsidR="00C60C82" w:rsidRPr="008C1E5F" w:rsidRDefault="00C60C82" w:rsidP="00B70B91">
            <w:pPr>
              <w:pStyle w:val="TableTextCentered"/>
              <w:spacing w:before="10" w:after="10"/>
            </w:pPr>
            <w:r w:rsidRPr="008C1E5F">
              <w:t>53</w:t>
            </w:r>
          </w:p>
        </w:tc>
        <w:tc>
          <w:tcPr>
            <w:tcW w:w="298" w:type="pct"/>
            <w:vAlign w:val="center"/>
          </w:tcPr>
          <w:p w14:paraId="5490ADAB" w14:textId="77777777" w:rsidR="00C60C82" w:rsidRPr="008C1E5F" w:rsidRDefault="00C60C82" w:rsidP="00B70B91">
            <w:pPr>
              <w:pStyle w:val="TableTextCentered"/>
              <w:spacing w:before="10" w:after="10"/>
            </w:pPr>
            <w:r w:rsidRPr="008C1E5F">
              <w:t>55</w:t>
            </w:r>
          </w:p>
        </w:tc>
        <w:tc>
          <w:tcPr>
            <w:tcW w:w="298" w:type="pct"/>
            <w:vAlign w:val="bottom"/>
          </w:tcPr>
          <w:p w14:paraId="4D636BD6" w14:textId="77777777" w:rsidR="00C60C82" w:rsidRPr="008C1E5F" w:rsidRDefault="00C60C82" w:rsidP="00B70B91">
            <w:pPr>
              <w:pStyle w:val="TableTextCentered"/>
              <w:spacing w:before="10" w:after="10"/>
            </w:pPr>
            <w:r w:rsidRPr="008C1E5F">
              <w:t>41</w:t>
            </w:r>
          </w:p>
        </w:tc>
      </w:tr>
      <w:tr w:rsidR="00C60C82" w:rsidRPr="008C1E5F" w14:paraId="560B2259" w14:textId="77777777" w:rsidTr="00542FED">
        <w:trPr>
          <w:jc w:val="center"/>
        </w:trPr>
        <w:tc>
          <w:tcPr>
            <w:tcW w:w="1109" w:type="pct"/>
          </w:tcPr>
          <w:p w14:paraId="23EBA1B9" w14:textId="77777777" w:rsidR="00C60C82" w:rsidRPr="008C1E5F" w:rsidRDefault="00C60C82" w:rsidP="00B70B91">
            <w:pPr>
              <w:pStyle w:val="TableText"/>
              <w:spacing w:before="10" w:after="10"/>
            </w:pPr>
            <w:r w:rsidRPr="008C1E5F">
              <w:t>Students w/disabilities</w:t>
            </w:r>
          </w:p>
        </w:tc>
        <w:tc>
          <w:tcPr>
            <w:tcW w:w="318" w:type="pct"/>
            <w:vAlign w:val="center"/>
          </w:tcPr>
          <w:p w14:paraId="21A80DCD" w14:textId="77777777" w:rsidR="00C60C82" w:rsidRPr="008C1E5F" w:rsidRDefault="00C60C82" w:rsidP="00B70B91">
            <w:pPr>
              <w:pStyle w:val="TableTextCentered"/>
              <w:spacing w:before="10" w:after="10"/>
            </w:pPr>
            <w:r w:rsidRPr="008C1E5F">
              <w:t>1,272</w:t>
            </w:r>
          </w:p>
        </w:tc>
        <w:tc>
          <w:tcPr>
            <w:tcW w:w="297" w:type="pct"/>
            <w:vAlign w:val="center"/>
          </w:tcPr>
          <w:p w14:paraId="472631E9" w14:textId="77777777" w:rsidR="00C60C82" w:rsidRPr="008C1E5F" w:rsidRDefault="00C60C82" w:rsidP="00B70B91">
            <w:pPr>
              <w:pStyle w:val="TableTextCentered"/>
              <w:spacing w:before="10" w:after="10"/>
            </w:pPr>
            <w:r w:rsidRPr="008C1E5F">
              <w:t>5</w:t>
            </w:r>
          </w:p>
        </w:tc>
        <w:tc>
          <w:tcPr>
            <w:tcW w:w="298" w:type="pct"/>
            <w:vAlign w:val="center"/>
          </w:tcPr>
          <w:p w14:paraId="1F559994" w14:textId="77777777" w:rsidR="00C60C82" w:rsidRPr="008C1E5F" w:rsidRDefault="00C60C82" w:rsidP="00B70B91">
            <w:pPr>
              <w:pStyle w:val="TableTextCentered"/>
              <w:spacing w:before="10" w:after="10"/>
            </w:pPr>
            <w:r w:rsidRPr="008C1E5F">
              <w:t>4</w:t>
            </w:r>
          </w:p>
        </w:tc>
        <w:tc>
          <w:tcPr>
            <w:tcW w:w="298" w:type="pct"/>
            <w:vAlign w:val="center"/>
          </w:tcPr>
          <w:p w14:paraId="31F185C1" w14:textId="77777777" w:rsidR="00C60C82" w:rsidRPr="008C1E5F" w:rsidRDefault="00C60C82" w:rsidP="00B70B91">
            <w:pPr>
              <w:pStyle w:val="TableTextCentered"/>
              <w:spacing w:before="10" w:after="10"/>
            </w:pPr>
            <w:r w:rsidRPr="008C1E5F">
              <w:t>4</w:t>
            </w:r>
          </w:p>
        </w:tc>
        <w:tc>
          <w:tcPr>
            <w:tcW w:w="298" w:type="pct"/>
            <w:vAlign w:val="center"/>
          </w:tcPr>
          <w:p w14:paraId="19A4FF6D" w14:textId="77777777" w:rsidR="00C60C82" w:rsidRPr="008C1E5F" w:rsidRDefault="00C60C82" w:rsidP="00B70B91">
            <w:pPr>
              <w:pStyle w:val="TableTextCentered"/>
              <w:spacing w:before="10" w:after="10"/>
            </w:pPr>
            <w:r w:rsidRPr="008C1E5F">
              <w:t>11</w:t>
            </w:r>
          </w:p>
        </w:tc>
        <w:tc>
          <w:tcPr>
            <w:tcW w:w="298" w:type="pct"/>
            <w:vAlign w:val="center"/>
          </w:tcPr>
          <w:p w14:paraId="69E7C8EB" w14:textId="77777777" w:rsidR="00C60C82" w:rsidRPr="008C1E5F" w:rsidRDefault="00C60C82" w:rsidP="00B70B91">
            <w:pPr>
              <w:pStyle w:val="TableTextCentered"/>
              <w:spacing w:before="10" w:after="10"/>
            </w:pPr>
            <w:r w:rsidRPr="008C1E5F">
              <w:t>32</w:t>
            </w:r>
          </w:p>
        </w:tc>
        <w:tc>
          <w:tcPr>
            <w:tcW w:w="298" w:type="pct"/>
            <w:vAlign w:val="center"/>
          </w:tcPr>
          <w:p w14:paraId="7C13D4C8" w14:textId="77777777" w:rsidR="00C60C82" w:rsidRPr="008C1E5F" w:rsidRDefault="00C60C82" w:rsidP="00B70B91">
            <w:pPr>
              <w:pStyle w:val="TableTextCentered"/>
              <w:spacing w:before="10" w:after="10"/>
            </w:pPr>
            <w:r w:rsidRPr="008C1E5F">
              <w:t>29</w:t>
            </w:r>
          </w:p>
        </w:tc>
        <w:tc>
          <w:tcPr>
            <w:tcW w:w="297" w:type="pct"/>
            <w:vAlign w:val="center"/>
          </w:tcPr>
          <w:p w14:paraId="1FD6EEB3" w14:textId="77777777" w:rsidR="00C60C82" w:rsidRPr="008C1E5F" w:rsidRDefault="00C60C82" w:rsidP="00B70B91">
            <w:pPr>
              <w:pStyle w:val="TableTextCentered"/>
              <w:spacing w:before="10" w:after="10"/>
            </w:pPr>
            <w:r w:rsidRPr="008C1E5F">
              <w:t>29</w:t>
            </w:r>
          </w:p>
        </w:tc>
        <w:tc>
          <w:tcPr>
            <w:tcW w:w="298" w:type="pct"/>
            <w:vAlign w:val="center"/>
          </w:tcPr>
          <w:p w14:paraId="13900E30" w14:textId="77777777" w:rsidR="00C60C82" w:rsidRPr="008C1E5F" w:rsidRDefault="00C60C82" w:rsidP="00B70B91">
            <w:pPr>
              <w:pStyle w:val="TableTextCentered"/>
              <w:spacing w:before="10" w:after="10"/>
            </w:pPr>
            <w:r w:rsidRPr="008C1E5F">
              <w:t>40</w:t>
            </w:r>
          </w:p>
        </w:tc>
        <w:tc>
          <w:tcPr>
            <w:tcW w:w="298" w:type="pct"/>
            <w:vAlign w:val="center"/>
          </w:tcPr>
          <w:p w14:paraId="187D1404" w14:textId="77777777" w:rsidR="00C60C82" w:rsidRPr="008C1E5F" w:rsidRDefault="00C60C82" w:rsidP="00B70B91">
            <w:pPr>
              <w:pStyle w:val="TableTextCentered"/>
              <w:spacing w:before="10" w:after="10"/>
            </w:pPr>
            <w:r w:rsidRPr="008C1E5F">
              <w:t>63</w:t>
            </w:r>
          </w:p>
        </w:tc>
        <w:tc>
          <w:tcPr>
            <w:tcW w:w="298" w:type="pct"/>
            <w:vAlign w:val="center"/>
          </w:tcPr>
          <w:p w14:paraId="1175A95C" w14:textId="77777777" w:rsidR="00C60C82" w:rsidRPr="008C1E5F" w:rsidRDefault="00C60C82" w:rsidP="00B70B91">
            <w:pPr>
              <w:pStyle w:val="TableTextCentered"/>
              <w:spacing w:before="10" w:after="10"/>
            </w:pPr>
            <w:r w:rsidRPr="008C1E5F">
              <w:t>67</w:t>
            </w:r>
          </w:p>
        </w:tc>
        <w:tc>
          <w:tcPr>
            <w:tcW w:w="298" w:type="pct"/>
            <w:vAlign w:val="center"/>
          </w:tcPr>
          <w:p w14:paraId="69EEE1F8" w14:textId="77777777" w:rsidR="00C60C82" w:rsidRPr="008C1E5F" w:rsidRDefault="00C60C82" w:rsidP="00B70B91">
            <w:pPr>
              <w:pStyle w:val="TableTextCentered"/>
              <w:spacing w:before="10" w:after="10"/>
            </w:pPr>
            <w:r w:rsidRPr="008C1E5F">
              <w:t>67</w:t>
            </w:r>
          </w:p>
        </w:tc>
        <w:tc>
          <w:tcPr>
            <w:tcW w:w="298" w:type="pct"/>
            <w:vAlign w:val="bottom"/>
          </w:tcPr>
          <w:p w14:paraId="0C5FE61A" w14:textId="77777777" w:rsidR="00C60C82" w:rsidRPr="008C1E5F" w:rsidRDefault="00C60C82" w:rsidP="00B70B91">
            <w:pPr>
              <w:pStyle w:val="TableTextCentered"/>
              <w:spacing w:before="10" w:after="10"/>
            </w:pPr>
            <w:r w:rsidRPr="008C1E5F">
              <w:t>50</w:t>
            </w:r>
          </w:p>
        </w:tc>
      </w:tr>
    </w:tbl>
    <w:p w14:paraId="7F9F1CD6" w14:textId="77777777" w:rsidR="00C60C82" w:rsidRPr="008C1E5F" w:rsidRDefault="00C60C82" w:rsidP="00305BFA">
      <w:pPr>
        <w:pStyle w:val="TableETitles"/>
        <w:spacing w:after="60"/>
      </w:pPr>
      <w:bookmarkStart w:id="278" w:name="_Toc195024270"/>
      <w:r w:rsidRPr="008C1E5F">
        <w:t>Table E2. MCAS ELA Achievement by Student Group, Grade 10, 2022-2024</w:t>
      </w:r>
      <w:bookmarkEnd w:id="278"/>
      <w:r w:rsidRPr="008C1E5F">
        <w:t xml:space="preserve"> </w:t>
      </w:r>
    </w:p>
    <w:tbl>
      <w:tblPr>
        <w:tblStyle w:val="MSVTable1"/>
        <w:tblW w:w="5000" w:type="pct"/>
        <w:jc w:val="center"/>
        <w:tblLayout w:type="fixed"/>
        <w:tblLook w:val="0420" w:firstRow="1" w:lastRow="0" w:firstColumn="0" w:lastColumn="0" w:noHBand="0" w:noVBand="1"/>
      </w:tblPr>
      <w:tblGrid>
        <w:gridCol w:w="2872"/>
        <w:gridCol w:w="824"/>
        <w:gridCol w:w="770"/>
        <w:gridCol w:w="772"/>
        <w:gridCol w:w="771"/>
        <w:gridCol w:w="771"/>
        <w:gridCol w:w="771"/>
        <w:gridCol w:w="771"/>
        <w:gridCol w:w="769"/>
        <w:gridCol w:w="771"/>
        <w:gridCol w:w="771"/>
        <w:gridCol w:w="771"/>
        <w:gridCol w:w="771"/>
        <w:gridCol w:w="769"/>
      </w:tblGrid>
      <w:tr w:rsidR="00542FED" w:rsidRPr="008C1E5F" w14:paraId="4B9F2E68" w14:textId="77777777" w:rsidTr="00542FED">
        <w:trPr>
          <w:cnfStyle w:val="100000000000" w:firstRow="1" w:lastRow="0" w:firstColumn="0" w:lastColumn="0" w:oddVBand="0" w:evenVBand="0" w:oddHBand="0" w:evenHBand="0" w:firstRowFirstColumn="0" w:firstRowLastColumn="0" w:lastRowFirstColumn="0" w:lastRowLastColumn="0"/>
          <w:tblHeader/>
          <w:jc w:val="center"/>
        </w:trPr>
        <w:tc>
          <w:tcPr>
            <w:tcW w:w="1109" w:type="pct"/>
            <w:vAlign w:val="center"/>
          </w:tcPr>
          <w:p w14:paraId="76D6FFD0" w14:textId="327A62BB" w:rsidR="00542FED" w:rsidRPr="008C1E5F" w:rsidRDefault="00542FED" w:rsidP="00542FED">
            <w:pPr>
              <w:pStyle w:val="TableColHeadingCenter"/>
              <w:spacing w:before="10" w:after="10"/>
            </w:pPr>
            <w:r w:rsidRPr="00D84279">
              <w:t>Group</w:t>
            </w:r>
          </w:p>
        </w:tc>
        <w:tc>
          <w:tcPr>
            <w:tcW w:w="318" w:type="pct"/>
            <w:tcMar>
              <w:left w:w="14" w:type="dxa"/>
              <w:right w:w="14" w:type="dxa"/>
            </w:tcMar>
            <w:vAlign w:val="center"/>
          </w:tcPr>
          <w:p w14:paraId="3120D06A" w14:textId="1C2A6D30" w:rsidR="00542FED" w:rsidRPr="008C1E5F" w:rsidRDefault="00542FED" w:rsidP="00542FED">
            <w:pPr>
              <w:pStyle w:val="TableColHeadingCenter"/>
              <w:spacing w:before="10" w:after="10"/>
            </w:pPr>
            <w:r w:rsidRPr="00D84279">
              <w:t># Included (2024)</w:t>
            </w:r>
          </w:p>
        </w:tc>
        <w:tc>
          <w:tcPr>
            <w:tcW w:w="297" w:type="pct"/>
            <w:tcMar>
              <w:left w:w="14" w:type="dxa"/>
              <w:right w:w="14" w:type="dxa"/>
            </w:tcMar>
            <w:vAlign w:val="center"/>
          </w:tcPr>
          <w:p w14:paraId="52E8441B" w14:textId="2999D9B4" w:rsidR="00542FED" w:rsidRPr="008C1E5F" w:rsidRDefault="00542FED" w:rsidP="00542FED">
            <w:pPr>
              <w:pStyle w:val="TableColHeadingCenter"/>
              <w:spacing w:before="10" w:after="10"/>
            </w:pPr>
            <w:r w:rsidRPr="00D84279">
              <w:t>% M/E 2022</w:t>
            </w:r>
          </w:p>
        </w:tc>
        <w:tc>
          <w:tcPr>
            <w:tcW w:w="298" w:type="pct"/>
            <w:tcMar>
              <w:left w:w="14" w:type="dxa"/>
              <w:right w:w="14" w:type="dxa"/>
            </w:tcMar>
            <w:vAlign w:val="center"/>
          </w:tcPr>
          <w:p w14:paraId="3389923B" w14:textId="08330D5C" w:rsidR="00542FED" w:rsidRPr="008C1E5F" w:rsidRDefault="00542FED" w:rsidP="00542FED">
            <w:pPr>
              <w:pStyle w:val="TableColHeadingCenter"/>
              <w:spacing w:before="10" w:after="10"/>
            </w:pPr>
            <w:r w:rsidRPr="00D84279">
              <w:t>% M/E 2023</w:t>
            </w:r>
          </w:p>
        </w:tc>
        <w:tc>
          <w:tcPr>
            <w:tcW w:w="298" w:type="pct"/>
            <w:tcMar>
              <w:left w:w="14" w:type="dxa"/>
              <w:right w:w="14" w:type="dxa"/>
            </w:tcMar>
            <w:vAlign w:val="center"/>
          </w:tcPr>
          <w:p w14:paraId="3FBBB3C8" w14:textId="3529B2A2" w:rsidR="00542FED" w:rsidRPr="008C1E5F" w:rsidRDefault="00542FED" w:rsidP="00542FED">
            <w:pPr>
              <w:pStyle w:val="TableColHeadingCenter"/>
              <w:spacing w:before="10" w:after="10"/>
            </w:pPr>
            <w:r w:rsidRPr="00D84279">
              <w:t>% M/E 2024</w:t>
            </w:r>
          </w:p>
        </w:tc>
        <w:tc>
          <w:tcPr>
            <w:tcW w:w="298" w:type="pct"/>
            <w:tcMar>
              <w:left w:w="14" w:type="dxa"/>
              <w:right w:w="14" w:type="dxa"/>
            </w:tcMar>
            <w:vAlign w:val="center"/>
          </w:tcPr>
          <w:p w14:paraId="1EECCB09" w14:textId="4E5F9BE9" w:rsidR="00542FED" w:rsidRPr="008C1E5F" w:rsidRDefault="00542FED" w:rsidP="00542FED">
            <w:pPr>
              <w:pStyle w:val="TableColHeadingCenter"/>
              <w:spacing w:before="10" w:after="10"/>
            </w:pPr>
            <w:r w:rsidRPr="00D84279">
              <w:t>% M/E 2024 State</w:t>
            </w:r>
          </w:p>
        </w:tc>
        <w:tc>
          <w:tcPr>
            <w:tcW w:w="298" w:type="pct"/>
            <w:tcMar>
              <w:left w:w="14" w:type="dxa"/>
              <w:right w:w="14" w:type="dxa"/>
            </w:tcMar>
            <w:vAlign w:val="center"/>
          </w:tcPr>
          <w:p w14:paraId="7D35E7C4" w14:textId="5983C604" w:rsidR="00542FED" w:rsidRPr="008C1E5F" w:rsidRDefault="00542FED" w:rsidP="00542FED">
            <w:pPr>
              <w:pStyle w:val="TableColHeadingCenter"/>
              <w:spacing w:before="10" w:after="10"/>
            </w:pPr>
            <w:r w:rsidRPr="00D84279">
              <w:t>% PME 2022</w:t>
            </w:r>
          </w:p>
        </w:tc>
        <w:tc>
          <w:tcPr>
            <w:tcW w:w="298" w:type="pct"/>
            <w:tcMar>
              <w:left w:w="14" w:type="dxa"/>
              <w:right w:w="14" w:type="dxa"/>
            </w:tcMar>
            <w:vAlign w:val="center"/>
          </w:tcPr>
          <w:p w14:paraId="18093FB2" w14:textId="39BFAB46" w:rsidR="00542FED" w:rsidRPr="008C1E5F" w:rsidRDefault="00542FED" w:rsidP="00542FED">
            <w:pPr>
              <w:pStyle w:val="TableColHeadingCenter"/>
              <w:spacing w:before="10" w:after="10"/>
            </w:pPr>
            <w:r w:rsidRPr="00D84279">
              <w:t>% PME 2023</w:t>
            </w:r>
          </w:p>
        </w:tc>
        <w:tc>
          <w:tcPr>
            <w:tcW w:w="297" w:type="pct"/>
            <w:tcMar>
              <w:left w:w="14" w:type="dxa"/>
              <w:right w:w="14" w:type="dxa"/>
            </w:tcMar>
            <w:vAlign w:val="center"/>
          </w:tcPr>
          <w:p w14:paraId="35DD3BF3" w14:textId="54104B14" w:rsidR="00542FED" w:rsidRPr="008C1E5F" w:rsidRDefault="00542FED" w:rsidP="00542FED">
            <w:pPr>
              <w:pStyle w:val="TableColHeadingCenter"/>
              <w:spacing w:before="10" w:after="10"/>
            </w:pPr>
            <w:r w:rsidRPr="00D84279">
              <w:t>% PME 2024</w:t>
            </w:r>
          </w:p>
        </w:tc>
        <w:tc>
          <w:tcPr>
            <w:tcW w:w="298" w:type="pct"/>
            <w:tcMar>
              <w:left w:w="14" w:type="dxa"/>
              <w:right w:w="14" w:type="dxa"/>
            </w:tcMar>
            <w:vAlign w:val="center"/>
          </w:tcPr>
          <w:p w14:paraId="03519A2B" w14:textId="483269F8" w:rsidR="00542FED" w:rsidRPr="008C1E5F" w:rsidRDefault="00542FED" w:rsidP="00542FED">
            <w:pPr>
              <w:pStyle w:val="TableColHeadingCenter"/>
              <w:spacing w:before="10" w:after="10"/>
            </w:pPr>
            <w:r w:rsidRPr="00D84279">
              <w:t>% PME 2024 State</w:t>
            </w:r>
          </w:p>
        </w:tc>
        <w:tc>
          <w:tcPr>
            <w:tcW w:w="298" w:type="pct"/>
            <w:tcMar>
              <w:left w:w="14" w:type="dxa"/>
              <w:right w:w="14" w:type="dxa"/>
            </w:tcMar>
            <w:vAlign w:val="center"/>
          </w:tcPr>
          <w:p w14:paraId="6C9422A2" w14:textId="295CAE2D" w:rsidR="00542FED" w:rsidRPr="008C1E5F" w:rsidRDefault="00542FED" w:rsidP="00542FED">
            <w:pPr>
              <w:pStyle w:val="TableColHeadingCenter"/>
              <w:spacing w:before="10" w:after="10"/>
            </w:pPr>
            <w:r w:rsidRPr="00D84279">
              <w:t>% NM 2022</w:t>
            </w:r>
          </w:p>
        </w:tc>
        <w:tc>
          <w:tcPr>
            <w:tcW w:w="298" w:type="pct"/>
            <w:tcMar>
              <w:left w:w="14" w:type="dxa"/>
              <w:right w:w="14" w:type="dxa"/>
            </w:tcMar>
            <w:vAlign w:val="center"/>
          </w:tcPr>
          <w:p w14:paraId="0A0197D8" w14:textId="0EE65CAD" w:rsidR="00542FED" w:rsidRPr="008C1E5F" w:rsidRDefault="00542FED" w:rsidP="00542FED">
            <w:pPr>
              <w:pStyle w:val="TableColHeadingCenter"/>
              <w:spacing w:before="10" w:after="10"/>
            </w:pPr>
            <w:r w:rsidRPr="00D84279">
              <w:t>% NM 2023</w:t>
            </w:r>
          </w:p>
        </w:tc>
        <w:tc>
          <w:tcPr>
            <w:tcW w:w="298" w:type="pct"/>
            <w:tcMar>
              <w:left w:w="14" w:type="dxa"/>
              <w:right w:w="14" w:type="dxa"/>
            </w:tcMar>
            <w:vAlign w:val="center"/>
          </w:tcPr>
          <w:p w14:paraId="7A2AEEBD" w14:textId="1FB69AC7" w:rsidR="00542FED" w:rsidRPr="008C1E5F" w:rsidRDefault="00542FED" w:rsidP="00542FED">
            <w:pPr>
              <w:pStyle w:val="TableColHeadingCenter"/>
              <w:spacing w:before="10" w:after="10"/>
            </w:pPr>
            <w:r w:rsidRPr="00D84279">
              <w:t>% NM 2024</w:t>
            </w:r>
          </w:p>
        </w:tc>
        <w:tc>
          <w:tcPr>
            <w:tcW w:w="298" w:type="pct"/>
            <w:tcMar>
              <w:left w:w="14" w:type="dxa"/>
              <w:right w:w="14" w:type="dxa"/>
            </w:tcMar>
            <w:vAlign w:val="center"/>
          </w:tcPr>
          <w:p w14:paraId="5C15CE7B" w14:textId="6A76382B" w:rsidR="00542FED" w:rsidRPr="008C1E5F" w:rsidRDefault="00542FED" w:rsidP="00542FED">
            <w:pPr>
              <w:pStyle w:val="TableColHeadingCenter"/>
              <w:spacing w:before="10" w:after="10"/>
            </w:pPr>
            <w:r w:rsidRPr="00D84279">
              <w:t>% NM 2024 State</w:t>
            </w:r>
          </w:p>
        </w:tc>
      </w:tr>
      <w:tr w:rsidR="00C55C91" w:rsidRPr="008C1E5F" w14:paraId="29910BF8" w14:textId="77777777" w:rsidTr="00542FED">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34C430EF"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All</w:t>
            </w:r>
          </w:p>
        </w:tc>
        <w:tc>
          <w:tcPr>
            <w:tcW w:w="318" w:type="pct"/>
            <w:vAlign w:val="center"/>
          </w:tcPr>
          <w:p w14:paraId="659622E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715</w:t>
            </w:r>
          </w:p>
        </w:tc>
        <w:tc>
          <w:tcPr>
            <w:tcW w:w="297" w:type="pct"/>
            <w:vAlign w:val="center"/>
          </w:tcPr>
          <w:p w14:paraId="4BC5EF3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34</w:t>
            </w:r>
          </w:p>
        </w:tc>
        <w:tc>
          <w:tcPr>
            <w:tcW w:w="298" w:type="pct"/>
            <w:vAlign w:val="center"/>
          </w:tcPr>
          <w:p w14:paraId="03767E5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38</w:t>
            </w:r>
          </w:p>
        </w:tc>
        <w:tc>
          <w:tcPr>
            <w:tcW w:w="298" w:type="pct"/>
            <w:vAlign w:val="center"/>
          </w:tcPr>
          <w:p w14:paraId="73D9073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31</w:t>
            </w:r>
          </w:p>
        </w:tc>
        <w:tc>
          <w:tcPr>
            <w:tcW w:w="298" w:type="pct"/>
            <w:vAlign w:val="center"/>
          </w:tcPr>
          <w:p w14:paraId="67F7041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57</w:t>
            </w:r>
          </w:p>
        </w:tc>
        <w:tc>
          <w:tcPr>
            <w:tcW w:w="298" w:type="pct"/>
            <w:vAlign w:val="center"/>
          </w:tcPr>
          <w:p w14:paraId="0A643C2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43</w:t>
            </w:r>
          </w:p>
        </w:tc>
        <w:tc>
          <w:tcPr>
            <w:tcW w:w="298" w:type="pct"/>
            <w:vAlign w:val="center"/>
          </w:tcPr>
          <w:p w14:paraId="426533B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39</w:t>
            </w:r>
          </w:p>
        </w:tc>
        <w:tc>
          <w:tcPr>
            <w:tcW w:w="297" w:type="pct"/>
            <w:vAlign w:val="center"/>
          </w:tcPr>
          <w:p w14:paraId="3F7D8AC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39</w:t>
            </w:r>
          </w:p>
        </w:tc>
        <w:tc>
          <w:tcPr>
            <w:tcW w:w="298" w:type="pct"/>
            <w:vAlign w:val="center"/>
          </w:tcPr>
          <w:p w14:paraId="4E42074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31</w:t>
            </w:r>
          </w:p>
        </w:tc>
        <w:tc>
          <w:tcPr>
            <w:tcW w:w="298" w:type="pct"/>
            <w:vAlign w:val="center"/>
          </w:tcPr>
          <w:p w14:paraId="561EFD5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23</w:t>
            </w:r>
          </w:p>
        </w:tc>
        <w:tc>
          <w:tcPr>
            <w:tcW w:w="298" w:type="pct"/>
            <w:vAlign w:val="center"/>
          </w:tcPr>
          <w:p w14:paraId="7DEA1A2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23</w:t>
            </w:r>
          </w:p>
        </w:tc>
        <w:tc>
          <w:tcPr>
            <w:tcW w:w="298" w:type="pct"/>
            <w:vAlign w:val="center"/>
          </w:tcPr>
          <w:p w14:paraId="18F9DCF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30</w:t>
            </w:r>
          </w:p>
        </w:tc>
        <w:tc>
          <w:tcPr>
            <w:tcW w:w="298" w:type="pct"/>
            <w:vAlign w:val="bottom"/>
          </w:tcPr>
          <w:p w14:paraId="449F2D1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12</w:t>
            </w:r>
          </w:p>
        </w:tc>
      </w:tr>
      <w:tr w:rsidR="00C60C82" w:rsidRPr="008C1E5F" w14:paraId="4BB76038" w14:textId="77777777" w:rsidTr="00542FED">
        <w:trPr>
          <w:jc w:val="center"/>
        </w:trPr>
        <w:tc>
          <w:tcPr>
            <w:tcW w:w="1109" w:type="pct"/>
          </w:tcPr>
          <w:p w14:paraId="3C84E94F"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African American/Black</w:t>
            </w:r>
          </w:p>
        </w:tc>
        <w:tc>
          <w:tcPr>
            <w:tcW w:w="318" w:type="pct"/>
            <w:vAlign w:val="center"/>
          </w:tcPr>
          <w:p w14:paraId="51F748B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84</w:t>
            </w:r>
          </w:p>
        </w:tc>
        <w:tc>
          <w:tcPr>
            <w:tcW w:w="297" w:type="pct"/>
            <w:vAlign w:val="center"/>
          </w:tcPr>
          <w:p w14:paraId="16ADD6E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19</w:t>
            </w:r>
          </w:p>
        </w:tc>
        <w:tc>
          <w:tcPr>
            <w:tcW w:w="298" w:type="pct"/>
            <w:vAlign w:val="center"/>
          </w:tcPr>
          <w:p w14:paraId="261ADCE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45</w:t>
            </w:r>
          </w:p>
        </w:tc>
        <w:tc>
          <w:tcPr>
            <w:tcW w:w="298" w:type="pct"/>
            <w:vAlign w:val="center"/>
          </w:tcPr>
          <w:p w14:paraId="6F9A249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29</w:t>
            </w:r>
          </w:p>
        </w:tc>
        <w:tc>
          <w:tcPr>
            <w:tcW w:w="298" w:type="pct"/>
            <w:vAlign w:val="center"/>
          </w:tcPr>
          <w:p w14:paraId="077BCE4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42</w:t>
            </w:r>
          </w:p>
        </w:tc>
        <w:tc>
          <w:tcPr>
            <w:tcW w:w="298" w:type="pct"/>
            <w:vAlign w:val="center"/>
          </w:tcPr>
          <w:p w14:paraId="33A4CCC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54</w:t>
            </w:r>
          </w:p>
        </w:tc>
        <w:tc>
          <w:tcPr>
            <w:tcW w:w="298" w:type="pct"/>
            <w:vAlign w:val="center"/>
          </w:tcPr>
          <w:p w14:paraId="5450284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39</w:t>
            </w:r>
          </w:p>
        </w:tc>
        <w:tc>
          <w:tcPr>
            <w:tcW w:w="297" w:type="pct"/>
            <w:vAlign w:val="center"/>
          </w:tcPr>
          <w:p w14:paraId="222745E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37</w:t>
            </w:r>
          </w:p>
        </w:tc>
        <w:tc>
          <w:tcPr>
            <w:tcW w:w="298" w:type="pct"/>
            <w:vAlign w:val="center"/>
          </w:tcPr>
          <w:p w14:paraId="57B080C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40</w:t>
            </w:r>
          </w:p>
        </w:tc>
        <w:tc>
          <w:tcPr>
            <w:tcW w:w="298" w:type="pct"/>
            <w:vAlign w:val="center"/>
          </w:tcPr>
          <w:p w14:paraId="294973C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27</w:t>
            </w:r>
          </w:p>
        </w:tc>
        <w:tc>
          <w:tcPr>
            <w:tcW w:w="298" w:type="pct"/>
            <w:vAlign w:val="center"/>
          </w:tcPr>
          <w:p w14:paraId="01EAEA6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16</w:t>
            </w:r>
          </w:p>
        </w:tc>
        <w:tc>
          <w:tcPr>
            <w:tcW w:w="298" w:type="pct"/>
            <w:vAlign w:val="center"/>
          </w:tcPr>
          <w:p w14:paraId="2C2EBD0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35</w:t>
            </w:r>
          </w:p>
        </w:tc>
        <w:tc>
          <w:tcPr>
            <w:tcW w:w="298" w:type="pct"/>
            <w:vAlign w:val="bottom"/>
          </w:tcPr>
          <w:p w14:paraId="18172A1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18</w:t>
            </w:r>
          </w:p>
        </w:tc>
      </w:tr>
      <w:tr w:rsidR="00C55C91" w:rsidRPr="008C1E5F" w14:paraId="5E393F76" w14:textId="77777777" w:rsidTr="00542FED">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54F31B56"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Asian</w:t>
            </w:r>
          </w:p>
        </w:tc>
        <w:tc>
          <w:tcPr>
            <w:tcW w:w="318" w:type="pct"/>
            <w:vAlign w:val="center"/>
          </w:tcPr>
          <w:p w14:paraId="0D6C87A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27</w:t>
            </w:r>
          </w:p>
        </w:tc>
        <w:tc>
          <w:tcPr>
            <w:tcW w:w="297" w:type="pct"/>
            <w:vAlign w:val="center"/>
          </w:tcPr>
          <w:p w14:paraId="179D3AE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48</w:t>
            </w:r>
          </w:p>
        </w:tc>
        <w:tc>
          <w:tcPr>
            <w:tcW w:w="298" w:type="pct"/>
            <w:vAlign w:val="center"/>
          </w:tcPr>
          <w:p w14:paraId="05EAA2D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63</w:t>
            </w:r>
          </w:p>
        </w:tc>
        <w:tc>
          <w:tcPr>
            <w:tcW w:w="298" w:type="pct"/>
            <w:vAlign w:val="center"/>
          </w:tcPr>
          <w:p w14:paraId="1574E40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48</w:t>
            </w:r>
          </w:p>
        </w:tc>
        <w:tc>
          <w:tcPr>
            <w:tcW w:w="298" w:type="pct"/>
            <w:vAlign w:val="center"/>
          </w:tcPr>
          <w:p w14:paraId="405D7C1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78</w:t>
            </w:r>
          </w:p>
        </w:tc>
        <w:tc>
          <w:tcPr>
            <w:tcW w:w="298" w:type="pct"/>
            <w:vAlign w:val="center"/>
          </w:tcPr>
          <w:p w14:paraId="5D6DA4F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45</w:t>
            </w:r>
          </w:p>
        </w:tc>
        <w:tc>
          <w:tcPr>
            <w:tcW w:w="298" w:type="pct"/>
            <w:vAlign w:val="center"/>
          </w:tcPr>
          <w:p w14:paraId="525E7D2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21</w:t>
            </w:r>
          </w:p>
        </w:tc>
        <w:tc>
          <w:tcPr>
            <w:tcW w:w="297" w:type="pct"/>
            <w:vAlign w:val="center"/>
          </w:tcPr>
          <w:p w14:paraId="0DF54BA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37</w:t>
            </w:r>
          </w:p>
        </w:tc>
        <w:tc>
          <w:tcPr>
            <w:tcW w:w="298" w:type="pct"/>
            <w:vAlign w:val="center"/>
          </w:tcPr>
          <w:p w14:paraId="16649F9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16</w:t>
            </w:r>
          </w:p>
        </w:tc>
        <w:tc>
          <w:tcPr>
            <w:tcW w:w="298" w:type="pct"/>
            <w:vAlign w:val="center"/>
          </w:tcPr>
          <w:p w14:paraId="2D4A12E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w:t>
            </w:r>
          </w:p>
        </w:tc>
        <w:tc>
          <w:tcPr>
            <w:tcW w:w="298" w:type="pct"/>
            <w:vAlign w:val="center"/>
          </w:tcPr>
          <w:p w14:paraId="0DC32B1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16</w:t>
            </w:r>
          </w:p>
        </w:tc>
        <w:tc>
          <w:tcPr>
            <w:tcW w:w="298" w:type="pct"/>
            <w:vAlign w:val="center"/>
          </w:tcPr>
          <w:p w14:paraId="1358D3A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15</w:t>
            </w:r>
          </w:p>
        </w:tc>
        <w:tc>
          <w:tcPr>
            <w:tcW w:w="298" w:type="pct"/>
            <w:vAlign w:val="bottom"/>
          </w:tcPr>
          <w:p w14:paraId="51BD177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w:t>
            </w:r>
          </w:p>
        </w:tc>
      </w:tr>
      <w:tr w:rsidR="00C60C82" w:rsidRPr="008C1E5F" w14:paraId="4DEF6384" w14:textId="77777777" w:rsidTr="00542FED">
        <w:trPr>
          <w:jc w:val="center"/>
        </w:trPr>
        <w:tc>
          <w:tcPr>
            <w:tcW w:w="1109" w:type="pct"/>
          </w:tcPr>
          <w:p w14:paraId="554483E8"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Hispanic/Latino</w:t>
            </w:r>
          </w:p>
        </w:tc>
        <w:tc>
          <w:tcPr>
            <w:tcW w:w="318" w:type="pct"/>
            <w:vAlign w:val="center"/>
          </w:tcPr>
          <w:p w14:paraId="408546A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228</w:t>
            </w:r>
          </w:p>
        </w:tc>
        <w:tc>
          <w:tcPr>
            <w:tcW w:w="297" w:type="pct"/>
            <w:vAlign w:val="center"/>
          </w:tcPr>
          <w:p w14:paraId="53F459A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25</w:t>
            </w:r>
          </w:p>
        </w:tc>
        <w:tc>
          <w:tcPr>
            <w:tcW w:w="298" w:type="pct"/>
            <w:vAlign w:val="center"/>
          </w:tcPr>
          <w:p w14:paraId="6020EFA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27</w:t>
            </w:r>
          </w:p>
        </w:tc>
        <w:tc>
          <w:tcPr>
            <w:tcW w:w="298" w:type="pct"/>
            <w:vAlign w:val="center"/>
          </w:tcPr>
          <w:p w14:paraId="6A95CCA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22</w:t>
            </w:r>
          </w:p>
        </w:tc>
        <w:tc>
          <w:tcPr>
            <w:tcW w:w="298" w:type="pct"/>
            <w:vAlign w:val="center"/>
          </w:tcPr>
          <w:p w14:paraId="0FD9025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36</w:t>
            </w:r>
          </w:p>
        </w:tc>
        <w:tc>
          <w:tcPr>
            <w:tcW w:w="298" w:type="pct"/>
            <w:vAlign w:val="center"/>
          </w:tcPr>
          <w:p w14:paraId="133C0ED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39</w:t>
            </w:r>
          </w:p>
        </w:tc>
        <w:tc>
          <w:tcPr>
            <w:tcW w:w="298" w:type="pct"/>
            <w:vAlign w:val="center"/>
          </w:tcPr>
          <w:p w14:paraId="02110C6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44</w:t>
            </w:r>
          </w:p>
        </w:tc>
        <w:tc>
          <w:tcPr>
            <w:tcW w:w="297" w:type="pct"/>
            <w:vAlign w:val="center"/>
          </w:tcPr>
          <w:p w14:paraId="631629F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43</w:t>
            </w:r>
          </w:p>
        </w:tc>
        <w:tc>
          <w:tcPr>
            <w:tcW w:w="298" w:type="pct"/>
            <w:vAlign w:val="center"/>
          </w:tcPr>
          <w:p w14:paraId="6454619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38</w:t>
            </w:r>
          </w:p>
        </w:tc>
        <w:tc>
          <w:tcPr>
            <w:tcW w:w="298" w:type="pct"/>
            <w:vAlign w:val="center"/>
          </w:tcPr>
          <w:p w14:paraId="1431AB1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36</w:t>
            </w:r>
          </w:p>
        </w:tc>
        <w:tc>
          <w:tcPr>
            <w:tcW w:w="298" w:type="pct"/>
            <w:vAlign w:val="center"/>
          </w:tcPr>
          <w:p w14:paraId="507C554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30</w:t>
            </w:r>
          </w:p>
        </w:tc>
        <w:tc>
          <w:tcPr>
            <w:tcW w:w="298" w:type="pct"/>
            <w:vAlign w:val="center"/>
          </w:tcPr>
          <w:p w14:paraId="4CE0AE8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35</w:t>
            </w:r>
          </w:p>
        </w:tc>
        <w:tc>
          <w:tcPr>
            <w:tcW w:w="298" w:type="pct"/>
            <w:vAlign w:val="bottom"/>
          </w:tcPr>
          <w:p w14:paraId="629374A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26</w:t>
            </w:r>
          </w:p>
        </w:tc>
      </w:tr>
      <w:tr w:rsidR="00C55C91" w:rsidRPr="008C1E5F" w14:paraId="78FA3858" w14:textId="77777777" w:rsidTr="00542FED">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73C99CE9"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cstheme="minorHAnsi"/>
              </w:rPr>
              <w:t>Multi-Race, non-Hispanic/Latino</w:t>
            </w:r>
          </w:p>
        </w:tc>
        <w:tc>
          <w:tcPr>
            <w:tcW w:w="318" w:type="pct"/>
            <w:vAlign w:val="center"/>
          </w:tcPr>
          <w:p w14:paraId="18958E4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65</w:t>
            </w:r>
          </w:p>
        </w:tc>
        <w:tc>
          <w:tcPr>
            <w:tcW w:w="297" w:type="pct"/>
            <w:vAlign w:val="center"/>
          </w:tcPr>
          <w:p w14:paraId="3C81235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33</w:t>
            </w:r>
          </w:p>
        </w:tc>
        <w:tc>
          <w:tcPr>
            <w:tcW w:w="298" w:type="pct"/>
            <w:vAlign w:val="center"/>
          </w:tcPr>
          <w:p w14:paraId="4134EA9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37</w:t>
            </w:r>
          </w:p>
        </w:tc>
        <w:tc>
          <w:tcPr>
            <w:tcW w:w="298" w:type="pct"/>
            <w:vAlign w:val="center"/>
          </w:tcPr>
          <w:p w14:paraId="2618689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26</w:t>
            </w:r>
          </w:p>
        </w:tc>
        <w:tc>
          <w:tcPr>
            <w:tcW w:w="298" w:type="pct"/>
            <w:vAlign w:val="center"/>
          </w:tcPr>
          <w:p w14:paraId="11722D0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61</w:t>
            </w:r>
          </w:p>
        </w:tc>
        <w:tc>
          <w:tcPr>
            <w:tcW w:w="298" w:type="pct"/>
            <w:vAlign w:val="center"/>
          </w:tcPr>
          <w:p w14:paraId="643503E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53</w:t>
            </w:r>
          </w:p>
        </w:tc>
        <w:tc>
          <w:tcPr>
            <w:tcW w:w="298" w:type="pct"/>
            <w:vAlign w:val="center"/>
          </w:tcPr>
          <w:p w14:paraId="60E4C4B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46</w:t>
            </w:r>
          </w:p>
        </w:tc>
        <w:tc>
          <w:tcPr>
            <w:tcW w:w="297" w:type="pct"/>
            <w:vAlign w:val="center"/>
          </w:tcPr>
          <w:p w14:paraId="435C432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42</w:t>
            </w:r>
          </w:p>
        </w:tc>
        <w:tc>
          <w:tcPr>
            <w:tcW w:w="298" w:type="pct"/>
            <w:vAlign w:val="center"/>
          </w:tcPr>
          <w:p w14:paraId="458812D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30</w:t>
            </w:r>
          </w:p>
        </w:tc>
        <w:tc>
          <w:tcPr>
            <w:tcW w:w="298" w:type="pct"/>
            <w:vAlign w:val="center"/>
          </w:tcPr>
          <w:p w14:paraId="1048AC3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14</w:t>
            </w:r>
          </w:p>
        </w:tc>
        <w:tc>
          <w:tcPr>
            <w:tcW w:w="298" w:type="pct"/>
            <w:vAlign w:val="center"/>
          </w:tcPr>
          <w:p w14:paraId="4F044E9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17</w:t>
            </w:r>
          </w:p>
        </w:tc>
        <w:tc>
          <w:tcPr>
            <w:tcW w:w="298" w:type="pct"/>
            <w:vAlign w:val="center"/>
          </w:tcPr>
          <w:p w14:paraId="7348CE8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32</w:t>
            </w:r>
          </w:p>
        </w:tc>
        <w:tc>
          <w:tcPr>
            <w:tcW w:w="298" w:type="pct"/>
            <w:vAlign w:val="bottom"/>
          </w:tcPr>
          <w:p w14:paraId="4B28D82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9</w:t>
            </w:r>
          </w:p>
        </w:tc>
      </w:tr>
      <w:tr w:rsidR="00C60C82" w:rsidRPr="008C1E5F" w14:paraId="323609B8" w14:textId="77777777" w:rsidTr="00542FED">
        <w:trPr>
          <w:jc w:val="center"/>
        </w:trPr>
        <w:tc>
          <w:tcPr>
            <w:tcW w:w="1109" w:type="pct"/>
          </w:tcPr>
          <w:p w14:paraId="32508DCB"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Native American</w:t>
            </w:r>
          </w:p>
        </w:tc>
        <w:tc>
          <w:tcPr>
            <w:tcW w:w="318" w:type="pct"/>
            <w:vAlign w:val="center"/>
          </w:tcPr>
          <w:p w14:paraId="575C681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w:t>
            </w:r>
          </w:p>
        </w:tc>
        <w:tc>
          <w:tcPr>
            <w:tcW w:w="297" w:type="pct"/>
            <w:vAlign w:val="center"/>
          </w:tcPr>
          <w:p w14:paraId="0F12B8F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5C4E977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4E14E7B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13099E7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48</w:t>
            </w:r>
          </w:p>
        </w:tc>
        <w:tc>
          <w:tcPr>
            <w:tcW w:w="298" w:type="pct"/>
            <w:vAlign w:val="center"/>
          </w:tcPr>
          <w:p w14:paraId="7310E5F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6A52168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7" w:type="pct"/>
            <w:vAlign w:val="center"/>
          </w:tcPr>
          <w:p w14:paraId="6A3834D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0950854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37</w:t>
            </w:r>
          </w:p>
        </w:tc>
        <w:tc>
          <w:tcPr>
            <w:tcW w:w="298" w:type="pct"/>
            <w:vAlign w:val="center"/>
          </w:tcPr>
          <w:p w14:paraId="7115FF2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73EB9AB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309B6D5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bottom"/>
          </w:tcPr>
          <w:p w14:paraId="55BF97F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14</w:t>
            </w:r>
          </w:p>
        </w:tc>
      </w:tr>
      <w:tr w:rsidR="00C55C91" w:rsidRPr="008C1E5F" w14:paraId="5BD4EEC6" w14:textId="77777777" w:rsidTr="00542FED">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5E1F9EA6" w14:textId="77777777" w:rsidR="00C60C82" w:rsidRPr="008C1E5F" w:rsidRDefault="00C60C82" w:rsidP="00B70B91">
            <w:pPr>
              <w:pStyle w:val="TableText"/>
              <w:spacing w:before="10" w:after="10"/>
              <w:rPr>
                <w:rFonts w:ascii="Franklin Gothic Book" w:hAnsi="Franklin Gothic Book"/>
                <w:spacing w:val="-4"/>
              </w:rPr>
            </w:pPr>
            <w:r w:rsidRPr="008C1E5F">
              <w:rPr>
                <w:rFonts w:ascii="Franklin Gothic Book" w:hAnsi="Franklin Gothic Book"/>
                <w:spacing w:val="-4"/>
              </w:rPr>
              <w:t>Native Hawaiian, Pacific Islander</w:t>
            </w:r>
          </w:p>
        </w:tc>
        <w:tc>
          <w:tcPr>
            <w:tcW w:w="318" w:type="pct"/>
            <w:vAlign w:val="center"/>
          </w:tcPr>
          <w:p w14:paraId="7E16391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w:t>
            </w:r>
          </w:p>
        </w:tc>
        <w:tc>
          <w:tcPr>
            <w:tcW w:w="297" w:type="pct"/>
            <w:vAlign w:val="center"/>
          </w:tcPr>
          <w:p w14:paraId="3599320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5121D89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1A7EF7B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13F1FFA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58</w:t>
            </w:r>
          </w:p>
        </w:tc>
        <w:tc>
          <w:tcPr>
            <w:tcW w:w="298" w:type="pct"/>
            <w:vAlign w:val="center"/>
          </w:tcPr>
          <w:p w14:paraId="45EA3B4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45F206A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7" w:type="pct"/>
            <w:vAlign w:val="center"/>
          </w:tcPr>
          <w:p w14:paraId="70F66DB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38DCDE8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34</w:t>
            </w:r>
          </w:p>
        </w:tc>
        <w:tc>
          <w:tcPr>
            <w:tcW w:w="298" w:type="pct"/>
            <w:vAlign w:val="center"/>
          </w:tcPr>
          <w:p w14:paraId="0C51A60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335C25B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712024B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bottom"/>
          </w:tcPr>
          <w:p w14:paraId="792D59A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8</w:t>
            </w:r>
          </w:p>
        </w:tc>
      </w:tr>
      <w:tr w:rsidR="00C60C82" w:rsidRPr="008C1E5F" w14:paraId="3221E0B6" w14:textId="77777777" w:rsidTr="00542FED">
        <w:trPr>
          <w:jc w:val="center"/>
        </w:trPr>
        <w:tc>
          <w:tcPr>
            <w:tcW w:w="1109" w:type="pct"/>
          </w:tcPr>
          <w:p w14:paraId="12D9080F"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White</w:t>
            </w:r>
          </w:p>
        </w:tc>
        <w:tc>
          <w:tcPr>
            <w:tcW w:w="318" w:type="pct"/>
            <w:vAlign w:val="center"/>
          </w:tcPr>
          <w:p w14:paraId="2B16F10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309</w:t>
            </w:r>
          </w:p>
        </w:tc>
        <w:tc>
          <w:tcPr>
            <w:tcW w:w="297" w:type="pct"/>
            <w:vAlign w:val="center"/>
          </w:tcPr>
          <w:p w14:paraId="2A29819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42</w:t>
            </w:r>
          </w:p>
        </w:tc>
        <w:tc>
          <w:tcPr>
            <w:tcW w:w="298" w:type="pct"/>
            <w:vAlign w:val="center"/>
          </w:tcPr>
          <w:p w14:paraId="155E6FB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43</w:t>
            </w:r>
          </w:p>
        </w:tc>
        <w:tc>
          <w:tcPr>
            <w:tcW w:w="298" w:type="pct"/>
            <w:vAlign w:val="center"/>
          </w:tcPr>
          <w:p w14:paraId="62F0160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38</w:t>
            </w:r>
          </w:p>
        </w:tc>
        <w:tc>
          <w:tcPr>
            <w:tcW w:w="298" w:type="pct"/>
            <w:vAlign w:val="center"/>
          </w:tcPr>
          <w:p w14:paraId="2F8A930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65</w:t>
            </w:r>
          </w:p>
        </w:tc>
        <w:tc>
          <w:tcPr>
            <w:tcW w:w="298" w:type="pct"/>
            <w:vAlign w:val="center"/>
          </w:tcPr>
          <w:p w14:paraId="7237C7D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40</w:t>
            </w:r>
          </w:p>
        </w:tc>
        <w:tc>
          <w:tcPr>
            <w:tcW w:w="298" w:type="pct"/>
            <w:vAlign w:val="center"/>
          </w:tcPr>
          <w:p w14:paraId="60F966F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37</w:t>
            </w:r>
          </w:p>
        </w:tc>
        <w:tc>
          <w:tcPr>
            <w:tcW w:w="297" w:type="pct"/>
            <w:vAlign w:val="center"/>
          </w:tcPr>
          <w:p w14:paraId="5AEF8A2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38</w:t>
            </w:r>
          </w:p>
        </w:tc>
        <w:tc>
          <w:tcPr>
            <w:tcW w:w="298" w:type="pct"/>
            <w:vAlign w:val="center"/>
          </w:tcPr>
          <w:p w14:paraId="329439D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28</w:t>
            </w:r>
          </w:p>
        </w:tc>
        <w:tc>
          <w:tcPr>
            <w:tcW w:w="298" w:type="pct"/>
            <w:vAlign w:val="center"/>
          </w:tcPr>
          <w:p w14:paraId="7B7B92A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18</w:t>
            </w:r>
          </w:p>
        </w:tc>
        <w:tc>
          <w:tcPr>
            <w:tcW w:w="298" w:type="pct"/>
            <w:vAlign w:val="center"/>
          </w:tcPr>
          <w:p w14:paraId="4EB59DD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20</w:t>
            </w:r>
          </w:p>
        </w:tc>
        <w:tc>
          <w:tcPr>
            <w:tcW w:w="298" w:type="pct"/>
            <w:vAlign w:val="center"/>
          </w:tcPr>
          <w:p w14:paraId="2875B33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25</w:t>
            </w:r>
          </w:p>
        </w:tc>
        <w:tc>
          <w:tcPr>
            <w:tcW w:w="298" w:type="pct"/>
            <w:vAlign w:val="bottom"/>
          </w:tcPr>
          <w:p w14:paraId="466880C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7</w:t>
            </w:r>
          </w:p>
        </w:tc>
      </w:tr>
      <w:tr w:rsidR="00C55C91" w:rsidRPr="008C1E5F" w14:paraId="1D58A069" w14:textId="77777777" w:rsidTr="00542FED">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58B66E59"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High needs</w:t>
            </w:r>
          </w:p>
        </w:tc>
        <w:tc>
          <w:tcPr>
            <w:tcW w:w="318" w:type="pct"/>
            <w:vAlign w:val="center"/>
          </w:tcPr>
          <w:p w14:paraId="69B42A1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601</w:t>
            </w:r>
          </w:p>
        </w:tc>
        <w:tc>
          <w:tcPr>
            <w:tcW w:w="297" w:type="pct"/>
            <w:vAlign w:val="center"/>
          </w:tcPr>
          <w:p w14:paraId="3FBEB0E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27</w:t>
            </w:r>
          </w:p>
        </w:tc>
        <w:tc>
          <w:tcPr>
            <w:tcW w:w="298" w:type="pct"/>
            <w:vAlign w:val="center"/>
          </w:tcPr>
          <w:p w14:paraId="119683B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30</w:t>
            </w:r>
          </w:p>
        </w:tc>
        <w:tc>
          <w:tcPr>
            <w:tcW w:w="298" w:type="pct"/>
            <w:vAlign w:val="center"/>
          </w:tcPr>
          <w:p w14:paraId="5648A50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24</w:t>
            </w:r>
          </w:p>
        </w:tc>
        <w:tc>
          <w:tcPr>
            <w:tcW w:w="298" w:type="pct"/>
            <w:vAlign w:val="center"/>
          </w:tcPr>
          <w:p w14:paraId="3BEEEBC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37</w:t>
            </w:r>
          </w:p>
        </w:tc>
        <w:tc>
          <w:tcPr>
            <w:tcW w:w="298" w:type="pct"/>
            <w:vAlign w:val="center"/>
          </w:tcPr>
          <w:p w14:paraId="57D932D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45</w:t>
            </w:r>
          </w:p>
        </w:tc>
        <w:tc>
          <w:tcPr>
            <w:tcW w:w="298" w:type="pct"/>
            <w:vAlign w:val="center"/>
          </w:tcPr>
          <w:p w14:paraId="42818A9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42</w:t>
            </w:r>
          </w:p>
        </w:tc>
        <w:tc>
          <w:tcPr>
            <w:tcW w:w="297" w:type="pct"/>
            <w:vAlign w:val="center"/>
          </w:tcPr>
          <w:p w14:paraId="7EAE030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41</w:t>
            </w:r>
          </w:p>
        </w:tc>
        <w:tc>
          <w:tcPr>
            <w:tcW w:w="298" w:type="pct"/>
            <w:vAlign w:val="center"/>
          </w:tcPr>
          <w:p w14:paraId="74B6939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41</w:t>
            </w:r>
          </w:p>
        </w:tc>
        <w:tc>
          <w:tcPr>
            <w:tcW w:w="298" w:type="pct"/>
            <w:vAlign w:val="center"/>
          </w:tcPr>
          <w:p w14:paraId="1B48A0F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28</w:t>
            </w:r>
          </w:p>
        </w:tc>
        <w:tc>
          <w:tcPr>
            <w:tcW w:w="298" w:type="pct"/>
            <w:vAlign w:val="center"/>
          </w:tcPr>
          <w:p w14:paraId="4C53AB2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28</w:t>
            </w:r>
          </w:p>
        </w:tc>
        <w:tc>
          <w:tcPr>
            <w:tcW w:w="298" w:type="pct"/>
            <w:vAlign w:val="center"/>
          </w:tcPr>
          <w:p w14:paraId="40D9A9F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35</w:t>
            </w:r>
          </w:p>
        </w:tc>
        <w:tc>
          <w:tcPr>
            <w:tcW w:w="298" w:type="pct"/>
            <w:vAlign w:val="bottom"/>
          </w:tcPr>
          <w:p w14:paraId="795A6EC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23</w:t>
            </w:r>
          </w:p>
        </w:tc>
      </w:tr>
      <w:tr w:rsidR="00C60C82" w:rsidRPr="008C1E5F" w14:paraId="378D80ED" w14:textId="77777777" w:rsidTr="00542FED">
        <w:trPr>
          <w:jc w:val="center"/>
        </w:trPr>
        <w:tc>
          <w:tcPr>
            <w:tcW w:w="1109" w:type="pct"/>
          </w:tcPr>
          <w:p w14:paraId="6C0EA6FF"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Low income</w:t>
            </w:r>
          </w:p>
        </w:tc>
        <w:tc>
          <w:tcPr>
            <w:tcW w:w="318" w:type="pct"/>
            <w:vAlign w:val="center"/>
          </w:tcPr>
          <w:p w14:paraId="0929701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564</w:t>
            </w:r>
          </w:p>
        </w:tc>
        <w:tc>
          <w:tcPr>
            <w:tcW w:w="297" w:type="pct"/>
            <w:vAlign w:val="center"/>
          </w:tcPr>
          <w:p w14:paraId="15BDC1C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28</w:t>
            </w:r>
          </w:p>
        </w:tc>
        <w:tc>
          <w:tcPr>
            <w:tcW w:w="298" w:type="pct"/>
            <w:vAlign w:val="center"/>
          </w:tcPr>
          <w:p w14:paraId="2BBEC0B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30</w:t>
            </w:r>
          </w:p>
        </w:tc>
        <w:tc>
          <w:tcPr>
            <w:tcW w:w="298" w:type="pct"/>
            <w:vAlign w:val="center"/>
          </w:tcPr>
          <w:p w14:paraId="4FF3D76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25</w:t>
            </w:r>
          </w:p>
        </w:tc>
        <w:tc>
          <w:tcPr>
            <w:tcW w:w="298" w:type="pct"/>
            <w:vAlign w:val="center"/>
          </w:tcPr>
          <w:p w14:paraId="589BDA6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38</w:t>
            </w:r>
          </w:p>
        </w:tc>
        <w:tc>
          <w:tcPr>
            <w:tcW w:w="298" w:type="pct"/>
            <w:vAlign w:val="center"/>
          </w:tcPr>
          <w:p w14:paraId="6E171DB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44</w:t>
            </w:r>
          </w:p>
        </w:tc>
        <w:tc>
          <w:tcPr>
            <w:tcW w:w="298" w:type="pct"/>
            <w:vAlign w:val="center"/>
          </w:tcPr>
          <w:p w14:paraId="07DB4C4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43</w:t>
            </w:r>
          </w:p>
        </w:tc>
        <w:tc>
          <w:tcPr>
            <w:tcW w:w="297" w:type="pct"/>
            <w:vAlign w:val="center"/>
          </w:tcPr>
          <w:p w14:paraId="0309D0C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41</w:t>
            </w:r>
          </w:p>
        </w:tc>
        <w:tc>
          <w:tcPr>
            <w:tcW w:w="298" w:type="pct"/>
            <w:vAlign w:val="center"/>
          </w:tcPr>
          <w:p w14:paraId="2A9C2B3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40</w:t>
            </w:r>
          </w:p>
        </w:tc>
        <w:tc>
          <w:tcPr>
            <w:tcW w:w="298" w:type="pct"/>
            <w:vAlign w:val="center"/>
          </w:tcPr>
          <w:p w14:paraId="4433395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27</w:t>
            </w:r>
          </w:p>
        </w:tc>
        <w:tc>
          <w:tcPr>
            <w:tcW w:w="298" w:type="pct"/>
            <w:vAlign w:val="center"/>
          </w:tcPr>
          <w:p w14:paraId="7C2BDDA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27</w:t>
            </w:r>
          </w:p>
        </w:tc>
        <w:tc>
          <w:tcPr>
            <w:tcW w:w="298" w:type="pct"/>
            <w:vAlign w:val="center"/>
          </w:tcPr>
          <w:p w14:paraId="39E4279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34</w:t>
            </w:r>
          </w:p>
        </w:tc>
        <w:tc>
          <w:tcPr>
            <w:tcW w:w="298" w:type="pct"/>
            <w:vAlign w:val="bottom"/>
          </w:tcPr>
          <w:p w14:paraId="00CF9B8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23</w:t>
            </w:r>
          </w:p>
        </w:tc>
      </w:tr>
      <w:tr w:rsidR="00C55C91" w:rsidRPr="008C1E5F" w14:paraId="4A2C890E" w14:textId="77777777" w:rsidTr="00542FED">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4A97CE81" w14:textId="77777777" w:rsidR="00C60C82" w:rsidRPr="008C1E5F" w:rsidRDefault="00C60C82" w:rsidP="00B70B91">
            <w:pPr>
              <w:pStyle w:val="TableText"/>
              <w:spacing w:before="10" w:after="10"/>
              <w:rPr>
                <w:rFonts w:ascii="Franklin Gothic Book" w:hAnsi="Franklin Gothic Book"/>
                <w:spacing w:val="-4"/>
              </w:rPr>
            </w:pPr>
            <w:r w:rsidRPr="008C1E5F">
              <w:rPr>
                <w:rFonts w:ascii="Franklin Gothic Book" w:hAnsi="Franklin Gothic Book"/>
                <w:spacing w:val="-4"/>
              </w:rPr>
              <w:t>ELs and former ELs</w:t>
            </w:r>
          </w:p>
        </w:tc>
        <w:tc>
          <w:tcPr>
            <w:tcW w:w="318" w:type="pct"/>
            <w:vAlign w:val="center"/>
          </w:tcPr>
          <w:p w14:paraId="3CD9F7F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199</w:t>
            </w:r>
          </w:p>
        </w:tc>
        <w:tc>
          <w:tcPr>
            <w:tcW w:w="297" w:type="pct"/>
            <w:vAlign w:val="center"/>
          </w:tcPr>
          <w:p w14:paraId="110A950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10</w:t>
            </w:r>
          </w:p>
        </w:tc>
        <w:tc>
          <w:tcPr>
            <w:tcW w:w="298" w:type="pct"/>
            <w:vAlign w:val="center"/>
          </w:tcPr>
          <w:p w14:paraId="5E04D0C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13</w:t>
            </w:r>
          </w:p>
        </w:tc>
        <w:tc>
          <w:tcPr>
            <w:tcW w:w="298" w:type="pct"/>
            <w:vAlign w:val="center"/>
          </w:tcPr>
          <w:p w14:paraId="79CAB0A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8</w:t>
            </w:r>
          </w:p>
        </w:tc>
        <w:tc>
          <w:tcPr>
            <w:tcW w:w="298" w:type="pct"/>
            <w:vAlign w:val="center"/>
          </w:tcPr>
          <w:p w14:paraId="6FE78CE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14</w:t>
            </w:r>
          </w:p>
        </w:tc>
        <w:tc>
          <w:tcPr>
            <w:tcW w:w="298" w:type="pct"/>
            <w:vAlign w:val="center"/>
          </w:tcPr>
          <w:p w14:paraId="211611A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42</w:t>
            </w:r>
          </w:p>
        </w:tc>
        <w:tc>
          <w:tcPr>
            <w:tcW w:w="298" w:type="pct"/>
            <w:vAlign w:val="center"/>
          </w:tcPr>
          <w:p w14:paraId="66AF038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38</w:t>
            </w:r>
          </w:p>
        </w:tc>
        <w:tc>
          <w:tcPr>
            <w:tcW w:w="297" w:type="pct"/>
            <w:vAlign w:val="center"/>
          </w:tcPr>
          <w:p w14:paraId="6326910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37</w:t>
            </w:r>
          </w:p>
        </w:tc>
        <w:tc>
          <w:tcPr>
            <w:tcW w:w="298" w:type="pct"/>
            <w:vAlign w:val="center"/>
          </w:tcPr>
          <w:p w14:paraId="5995BA1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38</w:t>
            </w:r>
          </w:p>
        </w:tc>
        <w:tc>
          <w:tcPr>
            <w:tcW w:w="298" w:type="pct"/>
            <w:vAlign w:val="center"/>
          </w:tcPr>
          <w:p w14:paraId="6010DF5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47</w:t>
            </w:r>
          </w:p>
        </w:tc>
        <w:tc>
          <w:tcPr>
            <w:tcW w:w="298" w:type="pct"/>
            <w:vAlign w:val="center"/>
          </w:tcPr>
          <w:p w14:paraId="025413E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49</w:t>
            </w:r>
          </w:p>
        </w:tc>
        <w:tc>
          <w:tcPr>
            <w:tcW w:w="298" w:type="pct"/>
            <w:vAlign w:val="center"/>
          </w:tcPr>
          <w:p w14:paraId="6E8C207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55</w:t>
            </w:r>
          </w:p>
        </w:tc>
        <w:tc>
          <w:tcPr>
            <w:tcW w:w="298" w:type="pct"/>
            <w:vAlign w:val="bottom"/>
          </w:tcPr>
          <w:p w14:paraId="10C755A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48</w:t>
            </w:r>
          </w:p>
        </w:tc>
      </w:tr>
      <w:tr w:rsidR="00C60C82" w:rsidRPr="008C1E5F" w14:paraId="4CA9CC0E" w14:textId="77777777" w:rsidTr="00542FED">
        <w:trPr>
          <w:jc w:val="center"/>
        </w:trPr>
        <w:tc>
          <w:tcPr>
            <w:tcW w:w="1109" w:type="pct"/>
          </w:tcPr>
          <w:p w14:paraId="2992C530"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Students w/disabilities</w:t>
            </w:r>
          </w:p>
        </w:tc>
        <w:tc>
          <w:tcPr>
            <w:tcW w:w="318" w:type="pct"/>
            <w:vAlign w:val="center"/>
          </w:tcPr>
          <w:p w14:paraId="7EA399E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164</w:t>
            </w:r>
          </w:p>
        </w:tc>
        <w:tc>
          <w:tcPr>
            <w:tcW w:w="297" w:type="pct"/>
            <w:vAlign w:val="center"/>
          </w:tcPr>
          <w:p w14:paraId="6553259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w:t>
            </w:r>
          </w:p>
        </w:tc>
        <w:tc>
          <w:tcPr>
            <w:tcW w:w="298" w:type="pct"/>
            <w:vAlign w:val="center"/>
          </w:tcPr>
          <w:p w14:paraId="41D66F4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w:t>
            </w:r>
          </w:p>
        </w:tc>
        <w:tc>
          <w:tcPr>
            <w:tcW w:w="298" w:type="pct"/>
            <w:vAlign w:val="center"/>
          </w:tcPr>
          <w:p w14:paraId="5A777A3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w:t>
            </w:r>
          </w:p>
        </w:tc>
        <w:tc>
          <w:tcPr>
            <w:tcW w:w="298" w:type="pct"/>
            <w:vAlign w:val="center"/>
          </w:tcPr>
          <w:p w14:paraId="34995DA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21</w:t>
            </w:r>
          </w:p>
        </w:tc>
        <w:tc>
          <w:tcPr>
            <w:tcW w:w="298" w:type="pct"/>
            <w:vAlign w:val="center"/>
          </w:tcPr>
          <w:p w14:paraId="7AAA0A2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37</w:t>
            </w:r>
          </w:p>
        </w:tc>
        <w:tc>
          <w:tcPr>
            <w:tcW w:w="298" w:type="pct"/>
            <w:vAlign w:val="center"/>
          </w:tcPr>
          <w:p w14:paraId="6853A4F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44</w:t>
            </w:r>
          </w:p>
        </w:tc>
        <w:tc>
          <w:tcPr>
            <w:tcW w:w="297" w:type="pct"/>
            <w:vAlign w:val="center"/>
          </w:tcPr>
          <w:p w14:paraId="6BECD09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37</w:t>
            </w:r>
          </w:p>
        </w:tc>
        <w:tc>
          <w:tcPr>
            <w:tcW w:w="298" w:type="pct"/>
            <w:vAlign w:val="center"/>
          </w:tcPr>
          <w:p w14:paraId="770A9BB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45</w:t>
            </w:r>
          </w:p>
        </w:tc>
        <w:tc>
          <w:tcPr>
            <w:tcW w:w="298" w:type="pct"/>
            <w:vAlign w:val="center"/>
          </w:tcPr>
          <w:p w14:paraId="6D05000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60</w:t>
            </w:r>
          </w:p>
        </w:tc>
        <w:tc>
          <w:tcPr>
            <w:tcW w:w="298" w:type="pct"/>
            <w:vAlign w:val="center"/>
          </w:tcPr>
          <w:p w14:paraId="73DE845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51</w:t>
            </w:r>
          </w:p>
        </w:tc>
        <w:tc>
          <w:tcPr>
            <w:tcW w:w="298" w:type="pct"/>
            <w:vAlign w:val="center"/>
          </w:tcPr>
          <w:p w14:paraId="3A89388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57</w:t>
            </w:r>
          </w:p>
        </w:tc>
        <w:tc>
          <w:tcPr>
            <w:tcW w:w="298" w:type="pct"/>
            <w:vAlign w:val="bottom"/>
          </w:tcPr>
          <w:p w14:paraId="3D49A0C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34</w:t>
            </w:r>
          </w:p>
        </w:tc>
      </w:tr>
    </w:tbl>
    <w:p w14:paraId="29062628" w14:textId="77777777" w:rsidR="00C60C82" w:rsidRPr="008C1E5F" w:rsidRDefault="00C60C82" w:rsidP="00305BFA">
      <w:pPr>
        <w:pStyle w:val="TableETitles"/>
        <w:spacing w:before="240" w:after="60"/>
      </w:pPr>
      <w:bookmarkStart w:id="279" w:name="_Toc195024271"/>
      <w:r w:rsidRPr="008C1E5F">
        <w:lastRenderedPageBreak/>
        <w:t>Table E3. MCAS Mathematics Achievement by Student Group, Grades 3-8, 2022-2024</w:t>
      </w:r>
      <w:bookmarkEnd w:id="279"/>
    </w:p>
    <w:tbl>
      <w:tblPr>
        <w:tblStyle w:val="MSVTable1"/>
        <w:tblW w:w="5000" w:type="pct"/>
        <w:jc w:val="center"/>
        <w:tblLayout w:type="fixed"/>
        <w:tblLook w:val="0420" w:firstRow="1" w:lastRow="0" w:firstColumn="0" w:lastColumn="0" w:noHBand="0" w:noVBand="1"/>
      </w:tblPr>
      <w:tblGrid>
        <w:gridCol w:w="2890"/>
        <w:gridCol w:w="793"/>
        <w:gridCol w:w="772"/>
        <w:gridCol w:w="772"/>
        <w:gridCol w:w="772"/>
        <w:gridCol w:w="772"/>
        <w:gridCol w:w="772"/>
        <w:gridCol w:w="772"/>
        <w:gridCol w:w="772"/>
        <w:gridCol w:w="772"/>
        <w:gridCol w:w="772"/>
        <w:gridCol w:w="771"/>
        <w:gridCol w:w="771"/>
        <w:gridCol w:w="771"/>
      </w:tblGrid>
      <w:tr w:rsidR="00335A13" w:rsidRPr="008C1E5F" w14:paraId="37C262DC" w14:textId="77777777" w:rsidTr="005922FA">
        <w:trPr>
          <w:cnfStyle w:val="100000000000" w:firstRow="1" w:lastRow="0" w:firstColumn="0" w:lastColumn="0" w:oddVBand="0" w:evenVBand="0" w:oddHBand="0" w:evenHBand="0" w:firstRowFirstColumn="0" w:firstRowLastColumn="0" w:lastRowFirstColumn="0" w:lastRowLastColumn="0"/>
          <w:tblHeader/>
          <w:jc w:val="center"/>
        </w:trPr>
        <w:tc>
          <w:tcPr>
            <w:tcW w:w="1116" w:type="pct"/>
            <w:vAlign w:val="center"/>
          </w:tcPr>
          <w:p w14:paraId="6D26C760" w14:textId="55353DF9" w:rsidR="00335A13" w:rsidRPr="008C1E5F" w:rsidRDefault="00335A13" w:rsidP="00335A13">
            <w:pPr>
              <w:pStyle w:val="TableColHeadingCenter"/>
              <w:spacing w:before="10" w:after="10"/>
            </w:pPr>
            <w:r w:rsidRPr="002B0F05">
              <w:t>Group</w:t>
            </w:r>
          </w:p>
        </w:tc>
        <w:tc>
          <w:tcPr>
            <w:tcW w:w="306" w:type="pct"/>
            <w:tcMar>
              <w:left w:w="14" w:type="dxa"/>
              <w:right w:w="14" w:type="dxa"/>
            </w:tcMar>
            <w:vAlign w:val="center"/>
          </w:tcPr>
          <w:p w14:paraId="03BBA7B6" w14:textId="76975877" w:rsidR="00335A13" w:rsidRPr="008C1E5F" w:rsidRDefault="00335A13" w:rsidP="00335A13">
            <w:pPr>
              <w:pStyle w:val="TableColHeadingCenter"/>
              <w:spacing w:before="10" w:after="10"/>
            </w:pPr>
            <w:r w:rsidRPr="002B0F05">
              <w:t># Included (2024)</w:t>
            </w:r>
          </w:p>
        </w:tc>
        <w:tc>
          <w:tcPr>
            <w:tcW w:w="298" w:type="pct"/>
            <w:tcMar>
              <w:left w:w="14" w:type="dxa"/>
              <w:right w:w="14" w:type="dxa"/>
            </w:tcMar>
            <w:vAlign w:val="center"/>
          </w:tcPr>
          <w:p w14:paraId="511DB214" w14:textId="09451274" w:rsidR="00335A13" w:rsidRPr="008C1E5F" w:rsidRDefault="00335A13" w:rsidP="005922FA">
            <w:pPr>
              <w:pStyle w:val="TableColHeadingCenter"/>
              <w:spacing w:before="10" w:after="10"/>
            </w:pPr>
            <w:r w:rsidRPr="002B0F05">
              <w:t>% M/E 2022</w:t>
            </w:r>
          </w:p>
        </w:tc>
        <w:tc>
          <w:tcPr>
            <w:tcW w:w="298" w:type="pct"/>
            <w:tcMar>
              <w:left w:w="14" w:type="dxa"/>
              <w:right w:w="14" w:type="dxa"/>
            </w:tcMar>
            <w:vAlign w:val="center"/>
          </w:tcPr>
          <w:p w14:paraId="7B45959C" w14:textId="1E4DF23D" w:rsidR="00335A13" w:rsidRPr="008C1E5F" w:rsidRDefault="00335A13" w:rsidP="005922FA">
            <w:pPr>
              <w:pStyle w:val="TableColHeadingCenter"/>
              <w:spacing w:before="10" w:after="10"/>
            </w:pPr>
            <w:r w:rsidRPr="002B0F05">
              <w:t>% M/E 2023</w:t>
            </w:r>
          </w:p>
        </w:tc>
        <w:tc>
          <w:tcPr>
            <w:tcW w:w="298" w:type="pct"/>
            <w:tcMar>
              <w:left w:w="14" w:type="dxa"/>
              <w:right w:w="14" w:type="dxa"/>
            </w:tcMar>
            <w:vAlign w:val="center"/>
          </w:tcPr>
          <w:p w14:paraId="3789748A" w14:textId="173FA058" w:rsidR="00335A13" w:rsidRPr="008C1E5F" w:rsidRDefault="00335A13" w:rsidP="005922FA">
            <w:pPr>
              <w:pStyle w:val="TableColHeadingCenter"/>
              <w:spacing w:before="10" w:after="10"/>
            </w:pPr>
            <w:r w:rsidRPr="002B0F05">
              <w:t>% M/E 2024</w:t>
            </w:r>
          </w:p>
        </w:tc>
        <w:tc>
          <w:tcPr>
            <w:tcW w:w="298" w:type="pct"/>
            <w:tcMar>
              <w:left w:w="14" w:type="dxa"/>
              <w:right w:w="14" w:type="dxa"/>
            </w:tcMar>
            <w:vAlign w:val="center"/>
          </w:tcPr>
          <w:p w14:paraId="2F489725" w14:textId="65EA16F9" w:rsidR="00335A13" w:rsidRPr="008C1E5F" w:rsidRDefault="00335A13" w:rsidP="005922FA">
            <w:pPr>
              <w:pStyle w:val="TableColHeadingCenter"/>
              <w:spacing w:before="10" w:after="10"/>
            </w:pPr>
            <w:r w:rsidRPr="002B0F05">
              <w:t>% M/E 2024 State</w:t>
            </w:r>
          </w:p>
        </w:tc>
        <w:tc>
          <w:tcPr>
            <w:tcW w:w="298" w:type="pct"/>
            <w:tcMar>
              <w:left w:w="14" w:type="dxa"/>
              <w:right w:w="14" w:type="dxa"/>
            </w:tcMar>
            <w:vAlign w:val="center"/>
          </w:tcPr>
          <w:p w14:paraId="0EDB2516" w14:textId="300F77DA" w:rsidR="00335A13" w:rsidRPr="008C1E5F" w:rsidRDefault="00335A13" w:rsidP="005922FA">
            <w:pPr>
              <w:pStyle w:val="TableColHeadingCenter"/>
              <w:spacing w:before="10" w:after="10"/>
            </w:pPr>
            <w:r w:rsidRPr="002B0F05">
              <w:t>% PME 2022</w:t>
            </w:r>
          </w:p>
        </w:tc>
        <w:tc>
          <w:tcPr>
            <w:tcW w:w="298" w:type="pct"/>
            <w:tcMar>
              <w:left w:w="14" w:type="dxa"/>
              <w:right w:w="14" w:type="dxa"/>
            </w:tcMar>
            <w:vAlign w:val="center"/>
          </w:tcPr>
          <w:p w14:paraId="082A6AC7" w14:textId="29528D9A" w:rsidR="00335A13" w:rsidRPr="008C1E5F" w:rsidRDefault="00335A13" w:rsidP="005922FA">
            <w:pPr>
              <w:pStyle w:val="TableColHeadingCenter"/>
              <w:spacing w:before="10" w:after="10"/>
            </w:pPr>
            <w:r w:rsidRPr="002B0F05">
              <w:t>% PME 2023</w:t>
            </w:r>
          </w:p>
        </w:tc>
        <w:tc>
          <w:tcPr>
            <w:tcW w:w="298" w:type="pct"/>
            <w:tcMar>
              <w:left w:w="14" w:type="dxa"/>
              <w:right w:w="14" w:type="dxa"/>
            </w:tcMar>
            <w:vAlign w:val="center"/>
          </w:tcPr>
          <w:p w14:paraId="5E4F0718" w14:textId="62080D6F" w:rsidR="00335A13" w:rsidRPr="008C1E5F" w:rsidRDefault="00335A13" w:rsidP="005922FA">
            <w:pPr>
              <w:pStyle w:val="TableColHeadingCenter"/>
              <w:spacing w:before="10" w:after="10"/>
            </w:pPr>
            <w:r w:rsidRPr="002B0F05">
              <w:t>% PME 2024</w:t>
            </w:r>
          </w:p>
        </w:tc>
        <w:tc>
          <w:tcPr>
            <w:tcW w:w="298" w:type="pct"/>
            <w:tcMar>
              <w:left w:w="14" w:type="dxa"/>
              <w:right w:w="14" w:type="dxa"/>
            </w:tcMar>
            <w:vAlign w:val="center"/>
          </w:tcPr>
          <w:p w14:paraId="18D00368" w14:textId="73754E68" w:rsidR="00335A13" w:rsidRPr="008C1E5F" w:rsidRDefault="00335A13" w:rsidP="005922FA">
            <w:pPr>
              <w:pStyle w:val="TableColHeadingCenter"/>
              <w:spacing w:before="10" w:after="10"/>
            </w:pPr>
            <w:r w:rsidRPr="002B0F05">
              <w:t>% PME 2024 State</w:t>
            </w:r>
          </w:p>
        </w:tc>
        <w:tc>
          <w:tcPr>
            <w:tcW w:w="298" w:type="pct"/>
            <w:tcMar>
              <w:left w:w="14" w:type="dxa"/>
              <w:right w:w="14" w:type="dxa"/>
            </w:tcMar>
            <w:vAlign w:val="center"/>
          </w:tcPr>
          <w:p w14:paraId="7F1F5E88" w14:textId="26F2ADD4" w:rsidR="00335A13" w:rsidRPr="008C1E5F" w:rsidRDefault="00335A13" w:rsidP="005922FA">
            <w:pPr>
              <w:pStyle w:val="TableColHeadingCenter"/>
              <w:spacing w:before="10" w:after="10"/>
            </w:pPr>
            <w:r w:rsidRPr="002B0F05">
              <w:t>% NM 2022</w:t>
            </w:r>
          </w:p>
        </w:tc>
        <w:tc>
          <w:tcPr>
            <w:tcW w:w="298" w:type="pct"/>
            <w:tcMar>
              <w:left w:w="14" w:type="dxa"/>
              <w:right w:w="14" w:type="dxa"/>
            </w:tcMar>
            <w:vAlign w:val="center"/>
          </w:tcPr>
          <w:p w14:paraId="717A789F" w14:textId="69F4AB6B" w:rsidR="00335A13" w:rsidRPr="008C1E5F" w:rsidRDefault="00335A13" w:rsidP="005922FA">
            <w:pPr>
              <w:pStyle w:val="TableColHeadingCenter"/>
              <w:spacing w:before="10" w:after="10"/>
            </w:pPr>
            <w:r w:rsidRPr="002B0F05">
              <w:t>% NM 2023</w:t>
            </w:r>
          </w:p>
        </w:tc>
        <w:tc>
          <w:tcPr>
            <w:tcW w:w="298" w:type="pct"/>
            <w:tcMar>
              <w:left w:w="14" w:type="dxa"/>
              <w:right w:w="14" w:type="dxa"/>
            </w:tcMar>
            <w:vAlign w:val="center"/>
          </w:tcPr>
          <w:p w14:paraId="0272574A" w14:textId="2BFAB632" w:rsidR="00335A13" w:rsidRPr="008C1E5F" w:rsidRDefault="00335A13" w:rsidP="005922FA">
            <w:pPr>
              <w:pStyle w:val="TableColHeadingCenter"/>
              <w:spacing w:before="10" w:after="10"/>
            </w:pPr>
            <w:r w:rsidRPr="002B0F05">
              <w:t>% NM 2024</w:t>
            </w:r>
          </w:p>
        </w:tc>
        <w:tc>
          <w:tcPr>
            <w:tcW w:w="298" w:type="pct"/>
            <w:tcMar>
              <w:left w:w="14" w:type="dxa"/>
              <w:right w:w="14" w:type="dxa"/>
            </w:tcMar>
            <w:vAlign w:val="center"/>
          </w:tcPr>
          <w:p w14:paraId="778B582B" w14:textId="60B2164B" w:rsidR="00335A13" w:rsidRPr="008C1E5F" w:rsidRDefault="00335A13" w:rsidP="005922FA">
            <w:pPr>
              <w:pStyle w:val="TableColHeadingCenter"/>
              <w:spacing w:before="10" w:after="10"/>
            </w:pPr>
            <w:r w:rsidRPr="002B0F05">
              <w:t>% NM 2024 State</w:t>
            </w:r>
          </w:p>
        </w:tc>
      </w:tr>
      <w:tr w:rsidR="00B70B91" w:rsidRPr="008C1E5F" w14:paraId="500759CB" w14:textId="77777777" w:rsidTr="005922FA">
        <w:trPr>
          <w:cnfStyle w:val="000000100000" w:firstRow="0" w:lastRow="0" w:firstColumn="0" w:lastColumn="0" w:oddVBand="0" w:evenVBand="0" w:oddHBand="1" w:evenHBand="0" w:firstRowFirstColumn="0" w:firstRowLastColumn="0" w:lastRowFirstColumn="0" w:lastRowLastColumn="0"/>
          <w:jc w:val="center"/>
        </w:trPr>
        <w:tc>
          <w:tcPr>
            <w:tcW w:w="1116" w:type="pct"/>
          </w:tcPr>
          <w:p w14:paraId="3757586E"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All</w:t>
            </w:r>
          </w:p>
        </w:tc>
        <w:tc>
          <w:tcPr>
            <w:tcW w:w="306" w:type="pct"/>
            <w:vAlign w:val="center"/>
          </w:tcPr>
          <w:p w14:paraId="2CE84AE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4,878</w:t>
            </w:r>
          </w:p>
        </w:tc>
        <w:tc>
          <w:tcPr>
            <w:tcW w:w="298" w:type="pct"/>
            <w:vAlign w:val="center"/>
          </w:tcPr>
          <w:p w14:paraId="668D6830"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20</w:t>
            </w:r>
          </w:p>
        </w:tc>
        <w:tc>
          <w:tcPr>
            <w:tcW w:w="298" w:type="pct"/>
            <w:vAlign w:val="center"/>
          </w:tcPr>
          <w:p w14:paraId="59E2DA18"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19</w:t>
            </w:r>
          </w:p>
        </w:tc>
        <w:tc>
          <w:tcPr>
            <w:tcW w:w="298" w:type="pct"/>
            <w:vAlign w:val="center"/>
          </w:tcPr>
          <w:p w14:paraId="6ED5B0B2"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20</w:t>
            </w:r>
          </w:p>
        </w:tc>
        <w:tc>
          <w:tcPr>
            <w:tcW w:w="298" w:type="pct"/>
            <w:vAlign w:val="center"/>
          </w:tcPr>
          <w:p w14:paraId="16E87EAC"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41</w:t>
            </w:r>
          </w:p>
        </w:tc>
        <w:tc>
          <w:tcPr>
            <w:tcW w:w="298" w:type="pct"/>
            <w:vAlign w:val="center"/>
          </w:tcPr>
          <w:p w14:paraId="70505670"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47</w:t>
            </w:r>
          </w:p>
        </w:tc>
        <w:tc>
          <w:tcPr>
            <w:tcW w:w="298" w:type="pct"/>
            <w:vAlign w:val="center"/>
          </w:tcPr>
          <w:p w14:paraId="5510EB3E"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44</w:t>
            </w:r>
          </w:p>
        </w:tc>
        <w:tc>
          <w:tcPr>
            <w:tcW w:w="298" w:type="pct"/>
            <w:vAlign w:val="center"/>
          </w:tcPr>
          <w:p w14:paraId="051D7A60"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46</w:t>
            </w:r>
          </w:p>
        </w:tc>
        <w:tc>
          <w:tcPr>
            <w:tcW w:w="298" w:type="pct"/>
            <w:vAlign w:val="center"/>
          </w:tcPr>
          <w:p w14:paraId="56EC67FA"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42</w:t>
            </w:r>
          </w:p>
        </w:tc>
        <w:tc>
          <w:tcPr>
            <w:tcW w:w="298" w:type="pct"/>
            <w:vAlign w:val="center"/>
          </w:tcPr>
          <w:p w14:paraId="465DB704"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33</w:t>
            </w:r>
          </w:p>
        </w:tc>
        <w:tc>
          <w:tcPr>
            <w:tcW w:w="298" w:type="pct"/>
            <w:vAlign w:val="center"/>
          </w:tcPr>
          <w:p w14:paraId="1442DC16"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37</w:t>
            </w:r>
          </w:p>
        </w:tc>
        <w:tc>
          <w:tcPr>
            <w:tcW w:w="298" w:type="pct"/>
            <w:vAlign w:val="center"/>
          </w:tcPr>
          <w:p w14:paraId="64020458"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35</w:t>
            </w:r>
          </w:p>
        </w:tc>
        <w:tc>
          <w:tcPr>
            <w:tcW w:w="298" w:type="pct"/>
            <w:vAlign w:val="center"/>
          </w:tcPr>
          <w:p w14:paraId="3C6D8154"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18</w:t>
            </w:r>
          </w:p>
        </w:tc>
      </w:tr>
      <w:tr w:rsidR="00B70B91" w:rsidRPr="008C1E5F" w14:paraId="4F2068F8" w14:textId="77777777" w:rsidTr="005922FA">
        <w:trPr>
          <w:jc w:val="center"/>
        </w:trPr>
        <w:tc>
          <w:tcPr>
            <w:tcW w:w="1116" w:type="pct"/>
          </w:tcPr>
          <w:p w14:paraId="450C9843"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African American/Black</w:t>
            </w:r>
          </w:p>
        </w:tc>
        <w:tc>
          <w:tcPr>
            <w:tcW w:w="306" w:type="pct"/>
            <w:vAlign w:val="center"/>
          </w:tcPr>
          <w:p w14:paraId="0F3A222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618</w:t>
            </w:r>
          </w:p>
        </w:tc>
        <w:tc>
          <w:tcPr>
            <w:tcW w:w="298" w:type="pct"/>
            <w:vAlign w:val="center"/>
          </w:tcPr>
          <w:p w14:paraId="443DD809"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15</w:t>
            </w:r>
          </w:p>
        </w:tc>
        <w:tc>
          <w:tcPr>
            <w:tcW w:w="298" w:type="pct"/>
            <w:vAlign w:val="center"/>
          </w:tcPr>
          <w:p w14:paraId="1395BA3F"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17</w:t>
            </w:r>
          </w:p>
        </w:tc>
        <w:tc>
          <w:tcPr>
            <w:tcW w:w="298" w:type="pct"/>
            <w:vAlign w:val="center"/>
          </w:tcPr>
          <w:p w14:paraId="7216C8B8"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15</w:t>
            </w:r>
          </w:p>
        </w:tc>
        <w:tc>
          <w:tcPr>
            <w:tcW w:w="298" w:type="pct"/>
            <w:vAlign w:val="center"/>
          </w:tcPr>
          <w:p w14:paraId="6F1F1FC5"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22</w:t>
            </w:r>
          </w:p>
        </w:tc>
        <w:tc>
          <w:tcPr>
            <w:tcW w:w="298" w:type="pct"/>
            <w:vAlign w:val="center"/>
          </w:tcPr>
          <w:p w14:paraId="1812BC2F"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43</w:t>
            </w:r>
          </w:p>
        </w:tc>
        <w:tc>
          <w:tcPr>
            <w:tcW w:w="298" w:type="pct"/>
            <w:vAlign w:val="center"/>
          </w:tcPr>
          <w:p w14:paraId="21CA150B"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39</w:t>
            </w:r>
          </w:p>
        </w:tc>
        <w:tc>
          <w:tcPr>
            <w:tcW w:w="298" w:type="pct"/>
            <w:vAlign w:val="center"/>
          </w:tcPr>
          <w:p w14:paraId="609602CA"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42</w:t>
            </w:r>
          </w:p>
        </w:tc>
        <w:tc>
          <w:tcPr>
            <w:tcW w:w="298" w:type="pct"/>
            <w:vAlign w:val="center"/>
          </w:tcPr>
          <w:p w14:paraId="75F5D745"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49</w:t>
            </w:r>
          </w:p>
        </w:tc>
        <w:tc>
          <w:tcPr>
            <w:tcW w:w="298" w:type="pct"/>
            <w:vAlign w:val="center"/>
          </w:tcPr>
          <w:p w14:paraId="735074BD"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42</w:t>
            </w:r>
          </w:p>
        </w:tc>
        <w:tc>
          <w:tcPr>
            <w:tcW w:w="298" w:type="pct"/>
            <w:vAlign w:val="center"/>
          </w:tcPr>
          <w:p w14:paraId="709B6E78"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44</w:t>
            </w:r>
          </w:p>
        </w:tc>
        <w:tc>
          <w:tcPr>
            <w:tcW w:w="298" w:type="pct"/>
            <w:vAlign w:val="center"/>
          </w:tcPr>
          <w:p w14:paraId="15E9DC85"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43</w:t>
            </w:r>
          </w:p>
        </w:tc>
        <w:tc>
          <w:tcPr>
            <w:tcW w:w="298" w:type="pct"/>
            <w:vAlign w:val="center"/>
          </w:tcPr>
          <w:p w14:paraId="47BD9596"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30</w:t>
            </w:r>
          </w:p>
        </w:tc>
      </w:tr>
      <w:tr w:rsidR="00B70B91" w:rsidRPr="008C1E5F" w14:paraId="1CD5FCEE" w14:textId="77777777" w:rsidTr="005922FA">
        <w:trPr>
          <w:cnfStyle w:val="000000100000" w:firstRow="0" w:lastRow="0" w:firstColumn="0" w:lastColumn="0" w:oddVBand="0" w:evenVBand="0" w:oddHBand="1" w:evenHBand="0" w:firstRowFirstColumn="0" w:firstRowLastColumn="0" w:lastRowFirstColumn="0" w:lastRowLastColumn="0"/>
          <w:jc w:val="center"/>
        </w:trPr>
        <w:tc>
          <w:tcPr>
            <w:tcW w:w="1116" w:type="pct"/>
          </w:tcPr>
          <w:p w14:paraId="2967C4E4"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Asian</w:t>
            </w:r>
          </w:p>
        </w:tc>
        <w:tc>
          <w:tcPr>
            <w:tcW w:w="306" w:type="pct"/>
            <w:vAlign w:val="center"/>
          </w:tcPr>
          <w:p w14:paraId="0CF92DA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131</w:t>
            </w:r>
          </w:p>
        </w:tc>
        <w:tc>
          <w:tcPr>
            <w:tcW w:w="298" w:type="pct"/>
            <w:vAlign w:val="center"/>
          </w:tcPr>
          <w:p w14:paraId="4E593CCE"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33</w:t>
            </w:r>
          </w:p>
        </w:tc>
        <w:tc>
          <w:tcPr>
            <w:tcW w:w="298" w:type="pct"/>
            <w:vAlign w:val="center"/>
          </w:tcPr>
          <w:p w14:paraId="507E7C35"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36</w:t>
            </w:r>
          </w:p>
        </w:tc>
        <w:tc>
          <w:tcPr>
            <w:tcW w:w="298" w:type="pct"/>
            <w:vAlign w:val="center"/>
          </w:tcPr>
          <w:p w14:paraId="1F6FE123"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37</w:t>
            </w:r>
          </w:p>
        </w:tc>
        <w:tc>
          <w:tcPr>
            <w:tcW w:w="298" w:type="pct"/>
            <w:vAlign w:val="center"/>
          </w:tcPr>
          <w:p w14:paraId="221CB410"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71</w:t>
            </w:r>
          </w:p>
        </w:tc>
        <w:tc>
          <w:tcPr>
            <w:tcW w:w="298" w:type="pct"/>
            <w:vAlign w:val="center"/>
          </w:tcPr>
          <w:p w14:paraId="42349411"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50</w:t>
            </w:r>
          </w:p>
        </w:tc>
        <w:tc>
          <w:tcPr>
            <w:tcW w:w="298" w:type="pct"/>
            <w:vAlign w:val="center"/>
          </w:tcPr>
          <w:p w14:paraId="76212A3D"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41</w:t>
            </w:r>
          </w:p>
        </w:tc>
        <w:tc>
          <w:tcPr>
            <w:tcW w:w="298" w:type="pct"/>
            <w:vAlign w:val="center"/>
          </w:tcPr>
          <w:p w14:paraId="715E4CBC"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49</w:t>
            </w:r>
          </w:p>
        </w:tc>
        <w:tc>
          <w:tcPr>
            <w:tcW w:w="298" w:type="pct"/>
            <w:vAlign w:val="center"/>
          </w:tcPr>
          <w:p w14:paraId="49B2BBC3"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23</w:t>
            </w:r>
          </w:p>
        </w:tc>
        <w:tc>
          <w:tcPr>
            <w:tcW w:w="298" w:type="pct"/>
            <w:vAlign w:val="center"/>
          </w:tcPr>
          <w:p w14:paraId="68D9FE3B"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17</w:t>
            </w:r>
          </w:p>
        </w:tc>
        <w:tc>
          <w:tcPr>
            <w:tcW w:w="298" w:type="pct"/>
            <w:vAlign w:val="center"/>
          </w:tcPr>
          <w:p w14:paraId="0DFB07D6"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22</w:t>
            </w:r>
          </w:p>
        </w:tc>
        <w:tc>
          <w:tcPr>
            <w:tcW w:w="298" w:type="pct"/>
            <w:vAlign w:val="center"/>
          </w:tcPr>
          <w:p w14:paraId="72684D85"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14</w:t>
            </w:r>
          </w:p>
        </w:tc>
        <w:tc>
          <w:tcPr>
            <w:tcW w:w="298" w:type="pct"/>
            <w:vAlign w:val="center"/>
          </w:tcPr>
          <w:p w14:paraId="2672CAAC"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6</w:t>
            </w:r>
          </w:p>
        </w:tc>
      </w:tr>
      <w:tr w:rsidR="00B70B91" w:rsidRPr="008C1E5F" w14:paraId="7B0804F4" w14:textId="77777777" w:rsidTr="005922FA">
        <w:trPr>
          <w:jc w:val="center"/>
        </w:trPr>
        <w:tc>
          <w:tcPr>
            <w:tcW w:w="1116" w:type="pct"/>
          </w:tcPr>
          <w:p w14:paraId="58550522"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Hispanic/Latino</w:t>
            </w:r>
          </w:p>
        </w:tc>
        <w:tc>
          <w:tcPr>
            <w:tcW w:w="306" w:type="pct"/>
            <w:vAlign w:val="center"/>
          </w:tcPr>
          <w:p w14:paraId="50B2DEE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1,605</w:t>
            </w:r>
          </w:p>
        </w:tc>
        <w:tc>
          <w:tcPr>
            <w:tcW w:w="298" w:type="pct"/>
            <w:vAlign w:val="center"/>
          </w:tcPr>
          <w:p w14:paraId="791E909E"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14</w:t>
            </w:r>
          </w:p>
        </w:tc>
        <w:tc>
          <w:tcPr>
            <w:tcW w:w="298" w:type="pct"/>
            <w:vAlign w:val="center"/>
          </w:tcPr>
          <w:p w14:paraId="249F06E5"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14</w:t>
            </w:r>
          </w:p>
        </w:tc>
        <w:tc>
          <w:tcPr>
            <w:tcW w:w="298" w:type="pct"/>
            <w:vAlign w:val="center"/>
          </w:tcPr>
          <w:p w14:paraId="03D83EA9"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15</w:t>
            </w:r>
          </w:p>
        </w:tc>
        <w:tc>
          <w:tcPr>
            <w:tcW w:w="298" w:type="pct"/>
            <w:vAlign w:val="center"/>
          </w:tcPr>
          <w:p w14:paraId="19E8871A"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20</w:t>
            </w:r>
          </w:p>
        </w:tc>
        <w:tc>
          <w:tcPr>
            <w:tcW w:w="298" w:type="pct"/>
            <w:vAlign w:val="center"/>
          </w:tcPr>
          <w:p w14:paraId="0893C2A5"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46</w:t>
            </w:r>
          </w:p>
        </w:tc>
        <w:tc>
          <w:tcPr>
            <w:tcW w:w="298" w:type="pct"/>
            <w:vAlign w:val="center"/>
          </w:tcPr>
          <w:p w14:paraId="279EF162"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43</w:t>
            </w:r>
          </w:p>
        </w:tc>
        <w:tc>
          <w:tcPr>
            <w:tcW w:w="298" w:type="pct"/>
            <w:vAlign w:val="center"/>
          </w:tcPr>
          <w:p w14:paraId="179F1458"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46</w:t>
            </w:r>
          </w:p>
        </w:tc>
        <w:tc>
          <w:tcPr>
            <w:tcW w:w="298" w:type="pct"/>
            <w:vAlign w:val="center"/>
          </w:tcPr>
          <w:p w14:paraId="4CDC4258"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48</w:t>
            </w:r>
          </w:p>
        </w:tc>
        <w:tc>
          <w:tcPr>
            <w:tcW w:w="298" w:type="pct"/>
            <w:vAlign w:val="center"/>
          </w:tcPr>
          <w:p w14:paraId="38EA03A9"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39</w:t>
            </w:r>
          </w:p>
        </w:tc>
        <w:tc>
          <w:tcPr>
            <w:tcW w:w="298" w:type="pct"/>
            <w:vAlign w:val="center"/>
          </w:tcPr>
          <w:p w14:paraId="049B2E22"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43</w:t>
            </w:r>
          </w:p>
        </w:tc>
        <w:tc>
          <w:tcPr>
            <w:tcW w:w="298" w:type="pct"/>
            <w:vAlign w:val="center"/>
          </w:tcPr>
          <w:p w14:paraId="5045899F"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39</w:t>
            </w:r>
          </w:p>
        </w:tc>
        <w:tc>
          <w:tcPr>
            <w:tcW w:w="298" w:type="pct"/>
            <w:vAlign w:val="center"/>
          </w:tcPr>
          <w:p w14:paraId="16BD663E"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32</w:t>
            </w:r>
          </w:p>
        </w:tc>
      </w:tr>
      <w:tr w:rsidR="00B70B91" w:rsidRPr="008C1E5F" w14:paraId="7C9D79F3" w14:textId="77777777" w:rsidTr="005922FA">
        <w:trPr>
          <w:cnfStyle w:val="000000100000" w:firstRow="0" w:lastRow="0" w:firstColumn="0" w:lastColumn="0" w:oddVBand="0" w:evenVBand="0" w:oddHBand="1" w:evenHBand="0" w:firstRowFirstColumn="0" w:firstRowLastColumn="0" w:lastRowFirstColumn="0" w:lastRowLastColumn="0"/>
          <w:jc w:val="center"/>
        </w:trPr>
        <w:tc>
          <w:tcPr>
            <w:tcW w:w="1116" w:type="pct"/>
          </w:tcPr>
          <w:p w14:paraId="7DB2F9D3"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cstheme="minorHAnsi"/>
              </w:rPr>
              <w:t>Multi-Race, non-Hispanic/Latino</w:t>
            </w:r>
          </w:p>
        </w:tc>
        <w:tc>
          <w:tcPr>
            <w:tcW w:w="306" w:type="pct"/>
            <w:vAlign w:val="center"/>
          </w:tcPr>
          <w:p w14:paraId="5627172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474</w:t>
            </w:r>
          </w:p>
        </w:tc>
        <w:tc>
          <w:tcPr>
            <w:tcW w:w="298" w:type="pct"/>
            <w:vAlign w:val="center"/>
          </w:tcPr>
          <w:p w14:paraId="34B0049E"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17</w:t>
            </w:r>
          </w:p>
        </w:tc>
        <w:tc>
          <w:tcPr>
            <w:tcW w:w="298" w:type="pct"/>
            <w:vAlign w:val="center"/>
          </w:tcPr>
          <w:p w14:paraId="5FADE5E2"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18</w:t>
            </w:r>
          </w:p>
        </w:tc>
        <w:tc>
          <w:tcPr>
            <w:tcW w:w="298" w:type="pct"/>
            <w:vAlign w:val="center"/>
          </w:tcPr>
          <w:p w14:paraId="2D58E9B1"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20</w:t>
            </w:r>
          </w:p>
        </w:tc>
        <w:tc>
          <w:tcPr>
            <w:tcW w:w="298" w:type="pct"/>
            <w:vAlign w:val="center"/>
          </w:tcPr>
          <w:p w14:paraId="4709F5EE"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47</w:t>
            </w:r>
          </w:p>
        </w:tc>
        <w:tc>
          <w:tcPr>
            <w:tcW w:w="298" w:type="pct"/>
            <w:vAlign w:val="center"/>
          </w:tcPr>
          <w:p w14:paraId="642C8200"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47</w:t>
            </w:r>
          </w:p>
        </w:tc>
        <w:tc>
          <w:tcPr>
            <w:tcW w:w="298" w:type="pct"/>
            <w:vAlign w:val="center"/>
          </w:tcPr>
          <w:p w14:paraId="1A843256"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45</w:t>
            </w:r>
          </w:p>
        </w:tc>
        <w:tc>
          <w:tcPr>
            <w:tcW w:w="298" w:type="pct"/>
            <w:vAlign w:val="center"/>
          </w:tcPr>
          <w:p w14:paraId="5C8BDC24"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45</w:t>
            </w:r>
          </w:p>
        </w:tc>
        <w:tc>
          <w:tcPr>
            <w:tcW w:w="298" w:type="pct"/>
            <w:vAlign w:val="center"/>
          </w:tcPr>
          <w:p w14:paraId="7C89352E"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37</w:t>
            </w:r>
          </w:p>
        </w:tc>
        <w:tc>
          <w:tcPr>
            <w:tcW w:w="298" w:type="pct"/>
            <w:vAlign w:val="center"/>
          </w:tcPr>
          <w:p w14:paraId="36CA1954"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36</w:t>
            </w:r>
          </w:p>
        </w:tc>
        <w:tc>
          <w:tcPr>
            <w:tcW w:w="298" w:type="pct"/>
            <w:vAlign w:val="center"/>
          </w:tcPr>
          <w:p w14:paraId="023A697C"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37</w:t>
            </w:r>
          </w:p>
        </w:tc>
        <w:tc>
          <w:tcPr>
            <w:tcW w:w="298" w:type="pct"/>
            <w:vAlign w:val="center"/>
          </w:tcPr>
          <w:p w14:paraId="15ED75D8"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35</w:t>
            </w:r>
          </w:p>
        </w:tc>
        <w:tc>
          <w:tcPr>
            <w:tcW w:w="298" w:type="pct"/>
            <w:vAlign w:val="center"/>
          </w:tcPr>
          <w:p w14:paraId="51CE90FF"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16</w:t>
            </w:r>
          </w:p>
        </w:tc>
      </w:tr>
      <w:tr w:rsidR="00B70B91" w:rsidRPr="008C1E5F" w14:paraId="6C4F7118" w14:textId="77777777" w:rsidTr="005922FA">
        <w:trPr>
          <w:jc w:val="center"/>
        </w:trPr>
        <w:tc>
          <w:tcPr>
            <w:tcW w:w="1116" w:type="pct"/>
          </w:tcPr>
          <w:p w14:paraId="405C4E06"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Native American</w:t>
            </w:r>
          </w:p>
        </w:tc>
        <w:tc>
          <w:tcPr>
            <w:tcW w:w="306" w:type="pct"/>
            <w:vAlign w:val="center"/>
          </w:tcPr>
          <w:p w14:paraId="302A01A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10</w:t>
            </w:r>
          </w:p>
        </w:tc>
        <w:tc>
          <w:tcPr>
            <w:tcW w:w="298" w:type="pct"/>
            <w:vAlign w:val="center"/>
          </w:tcPr>
          <w:p w14:paraId="568DB2AA"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150C058B"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093D5A8D"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10</w:t>
            </w:r>
          </w:p>
        </w:tc>
        <w:tc>
          <w:tcPr>
            <w:tcW w:w="298" w:type="pct"/>
            <w:vAlign w:val="center"/>
          </w:tcPr>
          <w:p w14:paraId="11C7776B"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27</w:t>
            </w:r>
          </w:p>
        </w:tc>
        <w:tc>
          <w:tcPr>
            <w:tcW w:w="298" w:type="pct"/>
            <w:vAlign w:val="center"/>
          </w:tcPr>
          <w:p w14:paraId="2C3CED15"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386014B9"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5907CBBB"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50</w:t>
            </w:r>
          </w:p>
        </w:tc>
        <w:tc>
          <w:tcPr>
            <w:tcW w:w="298" w:type="pct"/>
            <w:vAlign w:val="center"/>
          </w:tcPr>
          <w:p w14:paraId="1B1FAC90"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46</w:t>
            </w:r>
          </w:p>
        </w:tc>
        <w:tc>
          <w:tcPr>
            <w:tcW w:w="298" w:type="pct"/>
            <w:vAlign w:val="center"/>
          </w:tcPr>
          <w:p w14:paraId="292BCBCF"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10368038"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15E1AAC7"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40</w:t>
            </w:r>
          </w:p>
        </w:tc>
        <w:tc>
          <w:tcPr>
            <w:tcW w:w="298" w:type="pct"/>
            <w:vAlign w:val="center"/>
          </w:tcPr>
          <w:p w14:paraId="0D61643F"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27</w:t>
            </w:r>
          </w:p>
        </w:tc>
      </w:tr>
      <w:tr w:rsidR="00B70B91" w:rsidRPr="008C1E5F" w14:paraId="1A1590F9" w14:textId="77777777" w:rsidTr="005922FA">
        <w:trPr>
          <w:cnfStyle w:val="000000100000" w:firstRow="0" w:lastRow="0" w:firstColumn="0" w:lastColumn="0" w:oddVBand="0" w:evenVBand="0" w:oddHBand="1" w:evenHBand="0" w:firstRowFirstColumn="0" w:firstRowLastColumn="0" w:lastRowFirstColumn="0" w:lastRowLastColumn="0"/>
          <w:jc w:val="center"/>
        </w:trPr>
        <w:tc>
          <w:tcPr>
            <w:tcW w:w="1116" w:type="pct"/>
          </w:tcPr>
          <w:p w14:paraId="3EB28601" w14:textId="77777777" w:rsidR="00C60C82" w:rsidRPr="008C1E5F" w:rsidRDefault="00C60C82" w:rsidP="00B70B91">
            <w:pPr>
              <w:pStyle w:val="TableText"/>
              <w:spacing w:before="10" w:after="10"/>
              <w:rPr>
                <w:rFonts w:ascii="Franklin Gothic Book" w:hAnsi="Franklin Gothic Book"/>
                <w:spacing w:val="-4"/>
              </w:rPr>
            </w:pPr>
            <w:r w:rsidRPr="008C1E5F">
              <w:rPr>
                <w:rFonts w:ascii="Franklin Gothic Book" w:hAnsi="Franklin Gothic Book"/>
                <w:spacing w:val="-4"/>
              </w:rPr>
              <w:t>Native Hawaiian, Pacific Islander</w:t>
            </w:r>
          </w:p>
        </w:tc>
        <w:tc>
          <w:tcPr>
            <w:tcW w:w="306" w:type="pct"/>
            <w:vAlign w:val="center"/>
          </w:tcPr>
          <w:p w14:paraId="61CB979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w:t>
            </w:r>
          </w:p>
        </w:tc>
        <w:tc>
          <w:tcPr>
            <w:tcW w:w="298" w:type="pct"/>
            <w:vAlign w:val="center"/>
          </w:tcPr>
          <w:p w14:paraId="5A82B99E"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6417CCB8"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0015A562"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597661B7"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39</w:t>
            </w:r>
          </w:p>
        </w:tc>
        <w:tc>
          <w:tcPr>
            <w:tcW w:w="298" w:type="pct"/>
            <w:vAlign w:val="center"/>
          </w:tcPr>
          <w:p w14:paraId="2D8F7D67"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74CAAA50"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1DF4AD5C"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4EAB6449"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41</w:t>
            </w:r>
          </w:p>
        </w:tc>
        <w:tc>
          <w:tcPr>
            <w:tcW w:w="298" w:type="pct"/>
            <w:vAlign w:val="center"/>
          </w:tcPr>
          <w:p w14:paraId="20331166"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622F3777"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486FC006"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02268053"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20</w:t>
            </w:r>
          </w:p>
        </w:tc>
      </w:tr>
      <w:tr w:rsidR="00B70B91" w:rsidRPr="008C1E5F" w14:paraId="2AA6D9CC" w14:textId="77777777" w:rsidTr="005922FA">
        <w:trPr>
          <w:jc w:val="center"/>
        </w:trPr>
        <w:tc>
          <w:tcPr>
            <w:tcW w:w="1116" w:type="pct"/>
          </w:tcPr>
          <w:p w14:paraId="4867695D"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White</w:t>
            </w:r>
          </w:p>
        </w:tc>
        <w:tc>
          <w:tcPr>
            <w:tcW w:w="306" w:type="pct"/>
            <w:vAlign w:val="center"/>
          </w:tcPr>
          <w:p w14:paraId="4241FB8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2,032</w:t>
            </w:r>
          </w:p>
        </w:tc>
        <w:tc>
          <w:tcPr>
            <w:tcW w:w="298" w:type="pct"/>
            <w:vAlign w:val="center"/>
          </w:tcPr>
          <w:p w14:paraId="785AAB8D"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24</w:t>
            </w:r>
          </w:p>
        </w:tc>
        <w:tc>
          <w:tcPr>
            <w:tcW w:w="298" w:type="pct"/>
            <w:vAlign w:val="center"/>
          </w:tcPr>
          <w:p w14:paraId="49742DB1"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24</w:t>
            </w:r>
          </w:p>
        </w:tc>
        <w:tc>
          <w:tcPr>
            <w:tcW w:w="298" w:type="pct"/>
            <w:vAlign w:val="center"/>
          </w:tcPr>
          <w:p w14:paraId="0909C7AE"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23</w:t>
            </w:r>
          </w:p>
        </w:tc>
        <w:tc>
          <w:tcPr>
            <w:tcW w:w="298" w:type="pct"/>
            <w:vAlign w:val="center"/>
          </w:tcPr>
          <w:p w14:paraId="573E12A9"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49</w:t>
            </w:r>
          </w:p>
        </w:tc>
        <w:tc>
          <w:tcPr>
            <w:tcW w:w="298" w:type="pct"/>
            <w:vAlign w:val="center"/>
          </w:tcPr>
          <w:p w14:paraId="035EBCEF"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49</w:t>
            </w:r>
          </w:p>
        </w:tc>
        <w:tc>
          <w:tcPr>
            <w:tcW w:w="298" w:type="pct"/>
            <w:vAlign w:val="center"/>
          </w:tcPr>
          <w:p w14:paraId="6482C0A3"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46</w:t>
            </w:r>
          </w:p>
        </w:tc>
        <w:tc>
          <w:tcPr>
            <w:tcW w:w="298" w:type="pct"/>
            <w:vAlign w:val="center"/>
          </w:tcPr>
          <w:p w14:paraId="072526AD"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47</w:t>
            </w:r>
          </w:p>
        </w:tc>
        <w:tc>
          <w:tcPr>
            <w:tcW w:w="298" w:type="pct"/>
            <w:vAlign w:val="center"/>
          </w:tcPr>
          <w:p w14:paraId="37497F2F"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40</w:t>
            </w:r>
          </w:p>
        </w:tc>
        <w:tc>
          <w:tcPr>
            <w:tcW w:w="298" w:type="pct"/>
            <w:vAlign w:val="center"/>
          </w:tcPr>
          <w:p w14:paraId="19A0FABB"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28</w:t>
            </w:r>
          </w:p>
        </w:tc>
        <w:tc>
          <w:tcPr>
            <w:tcW w:w="298" w:type="pct"/>
            <w:vAlign w:val="center"/>
          </w:tcPr>
          <w:p w14:paraId="4FBF8471"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31</w:t>
            </w:r>
          </w:p>
        </w:tc>
        <w:tc>
          <w:tcPr>
            <w:tcW w:w="298" w:type="pct"/>
            <w:vAlign w:val="center"/>
          </w:tcPr>
          <w:p w14:paraId="0148B8D9"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30</w:t>
            </w:r>
          </w:p>
        </w:tc>
        <w:tc>
          <w:tcPr>
            <w:tcW w:w="298" w:type="pct"/>
            <w:vAlign w:val="center"/>
          </w:tcPr>
          <w:p w14:paraId="5DE80F7B"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11</w:t>
            </w:r>
          </w:p>
        </w:tc>
      </w:tr>
      <w:tr w:rsidR="00B70B91" w:rsidRPr="008C1E5F" w14:paraId="5C115208" w14:textId="77777777" w:rsidTr="005922FA">
        <w:trPr>
          <w:cnfStyle w:val="000000100000" w:firstRow="0" w:lastRow="0" w:firstColumn="0" w:lastColumn="0" w:oddVBand="0" w:evenVBand="0" w:oddHBand="1" w:evenHBand="0" w:firstRowFirstColumn="0" w:firstRowLastColumn="0" w:lastRowFirstColumn="0" w:lastRowLastColumn="0"/>
          <w:jc w:val="center"/>
        </w:trPr>
        <w:tc>
          <w:tcPr>
            <w:tcW w:w="1116" w:type="pct"/>
          </w:tcPr>
          <w:p w14:paraId="5DFE2C91"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High needs</w:t>
            </w:r>
          </w:p>
        </w:tc>
        <w:tc>
          <w:tcPr>
            <w:tcW w:w="306" w:type="pct"/>
            <w:vAlign w:val="center"/>
          </w:tcPr>
          <w:p w14:paraId="7B009F1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4,323</w:t>
            </w:r>
          </w:p>
        </w:tc>
        <w:tc>
          <w:tcPr>
            <w:tcW w:w="298" w:type="pct"/>
            <w:vAlign w:val="center"/>
          </w:tcPr>
          <w:p w14:paraId="61E57068"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16</w:t>
            </w:r>
          </w:p>
        </w:tc>
        <w:tc>
          <w:tcPr>
            <w:tcW w:w="298" w:type="pct"/>
            <w:vAlign w:val="center"/>
          </w:tcPr>
          <w:p w14:paraId="3A162145"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16</w:t>
            </w:r>
          </w:p>
        </w:tc>
        <w:tc>
          <w:tcPr>
            <w:tcW w:w="298" w:type="pct"/>
            <w:vAlign w:val="center"/>
          </w:tcPr>
          <w:p w14:paraId="7E072596"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16</w:t>
            </w:r>
          </w:p>
        </w:tc>
        <w:tc>
          <w:tcPr>
            <w:tcW w:w="298" w:type="pct"/>
            <w:vAlign w:val="center"/>
          </w:tcPr>
          <w:p w14:paraId="7339DD4E"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23</w:t>
            </w:r>
          </w:p>
        </w:tc>
        <w:tc>
          <w:tcPr>
            <w:tcW w:w="298" w:type="pct"/>
            <w:vAlign w:val="center"/>
          </w:tcPr>
          <w:p w14:paraId="0DEBF63F"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47</w:t>
            </w:r>
          </w:p>
        </w:tc>
        <w:tc>
          <w:tcPr>
            <w:tcW w:w="298" w:type="pct"/>
            <w:vAlign w:val="center"/>
          </w:tcPr>
          <w:p w14:paraId="30527A92"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44</w:t>
            </w:r>
          </w:p>
        </w:tc>
        <w:tc>
          <w:tcPr>
            <w:tcW w:w="298" w:type="pct"/>
            <w:vAlign w:val="center"/>
          </w:tcPr>
          <w:p w14:paraId="673508E8"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46</w:t>
            </w:r>
          </w:p>
        </w:tc>
        <w:tc>
          <w:tcPr>
            <w:tcW w:w="298" w:type="pct"/>
            <w:vAlign w:val="center"/>
          </w:tcPr>
          <w:p w14:paraId="78A38C43"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48</w:t>
            </w:r>
          </w:p>
        </w:tc>
        <w:tc>
          <w:tcPr>
            <w:tcW w:w="298" w:type="pct"/>
            <w:vAlign w:val="center"/>
          </w:tcPr>
          <w:p w14:paraId="3548DA54"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37</w:t>
            </w:r>
          </w:p>
        </w:tc>
        <w:tc>
          <w:tcPr>
            <w:tcW w:w="298" w:type="pct"/>
            <w:vAlign w:val="center"/>
          </w:tcPr>
          <w:p w14:paraId="46ECA93F"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40</w:t>
            </w:r>
          </w:p>
        </w:tc>
        <w:tc>
          <w:tcPr>
            <w:tcW w:w="298" w:type="pct"/>
            <w:vAlign w:val="center"/>
          </w:tcPr>
          <w:p w14:paraId="0025C2D6"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38</w:t>
            </w:r>
          </w:p>
        </w:tc>
        <w:tc>
          <w:tcPr>
            <w:tcW w:w="298" w:type="pct"/>
            <w:vAlign w:val="center"/>
          </w:tcPr>
          <w:p w14:paraId="43B04344"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28</w:t>
            </w:r>
          </w:p>
        </w:tc>
      </w:tr>
      <w:tr w:rsidR="00B70B91" w:rsidRPr="008C1E5F" w14:paraId="3E2D792D" w14:textId="77777777" w:rsidTr="005922FA">
        <w:trPr>
          <w:jc w:val="center"/>
        </w:trPr>
        <w:tc>
          <w:tcPr>
            <w:tcW w:w="1116" w:type="pct"/>
          </w:tcPr>
          <w:p w14:paraId="1F84EC54"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Low income</w:t>
            </w:r>
          </w:p>
        </w:tc>
        <w:tc>
          <w:tcPr>
            <w:tcW w:w="306" w:type="pct"/>
            <w:vAlign w:val="center"/>
          </w:tcPr>
          <w:p w14:paraId="496B09D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4,035</w:t>
            </w:r>
          </w:p>
        </w:tc>
        <w:tc>
          <w:tcPr>
            <w:tcW w:w="298" w:type="pct"/>
            <w:vAlign w:val="center"/>
          </w:tcPr>
          <w:p w14:paraId="2A644C5A"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16</w:t>
            </w:r>
          </w:p>
        </w:tc>
        <w:tc>
          <w:tcPr>
            <w:tcW w:w="298" w:type="pct"/>
            <w:vAlign w:val="center"/>
          </w:tcPr>
          <w:p w14:paraId="64D1DFBA"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16</w:t>
            </w:r>
          </w:p>
        </w:tc>
        <w:tc>
          <w:tcPr>
            <w:tcW w:w="298" w:type="pct"/>
            <w:vAlign w:val="center"/>
          </w:tcPr>
          <w:p w14:paraId="6280C3E6"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16</w:t>
            </w:r>
          </w:p>
        </w:tc>
        <w:tc>
          <w:tcPr>
            <w:tcW w:w="298" w:type="pct"/>
            <w:vAlign w:val="center"/>
          </w:tcPr>
          <w:p w14:paraId="00E84CE3"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21</w:t>
            </w:r>
          </w:p>
        </w:tc>
        <w:tc>
          <w:tcPr>
            <w:tcW w:w="298" w:type="pct"/>
            <w:vAlign w:val="center"/>
          </w:tcPr>
          <w:p w14:paraId="6ADA5D61"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47</w:t>
            </w:r>
          </w:p>
        </w:tc>
        <w:tc>
          <w:tcPr>
            <w:tcW w:w="298" w:type="pct"/>
            <w:vAlign w:val="center"/>
          </w:tcPr>
          <w:p w14:paraId="563D45ED"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44</w:t>
            </w:r>
          </w:p>
        </w:tc>
        <w:tc>
          <w:tcPr>
            <w:tcW w:w="298" w:type="pct"/>
            <w:vAlign w:val="center"/>
          </w:tcPr>
          <w:p w14:paraId="07B08BDD"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46</w:t>
            </w:r>
          </w:p>
        </w:tc>
        <w:tc>
          <w:tcPr>
            <w:tcW w:w="298" w:type="pct"/>
            <w:vAlign w:val="center"/>
          </w:tcPr>
          <w:p w14:paraId="1AF24CF1"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49</w:t>
            </w:r>
          </w:p>
        </w:tc>
        <w:tc>
          <w:tcPr>
            <w:tcW w:w="298" w:type="pct"/>
            <w:vAlign w:val="center"/>
          </w:tcPr>
          <w:p w14:paraId="5C7E811B"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37</w:t>
            </w:r>
          </w:p>
        </w:tc>
        <w:tc>
          <w:tcPr>
            <w:tcW w:w="298" w:type="pct"/>
            <w:vAlign w:val="center"/>
          </w:tcPr>
          <w:p w14:paraId="7C2BD48D"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40</w:t>
            </w:r>
          </w:p>
        </w:tc>
        <w:tc>
          <w:tcPr>
            <w:tcW w:w="298" w:type="pct"/>
            <w:vAlign w:val="center"/>
          </w:tcPr>
          <w:p w14:paraId="38862D12"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38</w:t>
            </w:r>
          </w:p>
        </w:tc>
        <w:tc>
          <w:tcPr>
            <w:tcW w:w="298" w:type="pct"/>
            <w:vAlign w:val="center"/>
          </w:tcPr>
          <w:p w14:paraId="0E7BCB28"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30</w:t>
            </w:r>
          </w:p>
        </w:tc>
      </w:tr>
      <w:tr w:rsidR="00B70B91" w:rsidRPr="008C1E5F" w14:paraId="46352D5D" w14:textId="77777777" w:rsidTr="005922FA">
        <w:trPr>
          <w:cnfStyle w:val="000000100000" w:firstRow="0" w:lastRow="0" w:firstColumn="0" w:lastColumn="0" w:oddVBand="0" w:evenVBand="0" w:oddHBand="1" w:evenHBand="0" w:firstRowFirstColumn="0" w:firstRowLastColumn="0" w:lastRowFirstColumn="0" w:lastRowLastColumn="0"/>
          <w:jc w:val="center"/>
        </w:trPr>
        <w:tc>
          <w:tcPr>
            <w:tcW w:w="1116" w:type="pct"/>
          </w:tcPr>
          <w:p w14:paraId="718E7D4D" w14:textId="77777777" w:rsidR="00C60C82" w:rsidRPr="008C1E5F" w:rsidRDefault="00C60C82" w:rsidP="00B70B91">
            <w:pPr>
              <w:pStyle w:val="TableText"/>
              <w:spacing w:before="10" w:after="10"/>
              <w:rPr>
                <w:rFonts w:ascii="Franklin Gothic Book" w:hAnsi="Franklin Gothic Book"/>
                <w:spacing w:val="-4"/>
              </w:rPr>
            </w:pPr>
            <w:r w:rsidRPr="008C1E5F">
              <w:rPr>
                <w:rFonts w:ascii="Franklin Gothic Book" w:hAnsi="Franklin Gothic Book"/>
                <w:spacing w:val="-4"/>
              </w:rPr>
              <w:t>ELs and former ELs</w:t>
            </w:r>
          </w:p>
        </w:tc>
        <w:tc>
          <w:tcPr>
            <w:tcW w:w="306" w:type="pct"/>
            <w:vAlign w:val="center"/>
          </w:tcPr>
          <w:p w14:paraId="0269D78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1,529</w:t>
            </w:r>
          </w:p>
        </w:tc>
        <w:tc>
          <w:tcPr>
            <w:tcW w:w="298" w:type="pct"/>
            <w:vAlign w:val="center"/>
          </w:tcPr>
          <w:p w14:paraId="317E26E4"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12</w:t>
            </w:r>
          </w:p>
        </w:tc>
        <w:tc>
          <w:tcPr>
            <w:tcW w:w="298" w:type="pct"/>
            <w:vAlign w:val="center"/>
          </w:tcPr>
          <w:p w14:paraId="4FA6D24B"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10</w:t>
            </w:r>
          </w:p>
        </w:tc>
        <w:tc>
          <w:tcPr>
            <w:tcW w:w="298" w:type="pct"/>
            <w:vAlign w:val="center"/>
          </w:tcPr>
          <w:p w14:paraId="4DDE7371"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12</w:t>
            </w:r>
          </w:p>
        </w:tc>
        <w:tc>
          <w:tcPr>
            <w:tcW w:w="298" w:type="pct"/>
            <w:vAlign w:val="center"/>
          </w:tcPr>
          <w:p w14:paraId="69FF9AFA"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21</w:t>
            </w:r>
          </w:p>
        </w:tc>
        <w:tc>
          <w:tcPr>
            <w:tcW w:w="298" w:type="pct"/>
            <w:vAlign w:val="center"/>
          </w:tcPr>
          <w:p w14:paraId="0DE95C5D"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44</w:t>
            </w:r>
          </w:p>
        </w:tc>
        <w:tc>
          <w:tcPr>
            <w:tcW w:w="298" w:type="pct"/>
            <w:vAlign w:val="center"/>
          </w:tcPr>
          <w:p w14:paraId="4C8912B5"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41</w:t>
            </w:r>
          </w:p>
        </w:tc>
        <w:tc>
          <w:tcPr>
            <w:tcW w:w="298" w:type="pct"/>
            <w:vAlign w:val="center"/>
          </w:tcPr>
          <w:p w14:paraId="419F8910"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43</w:t>
            </w:r>
          </w:p>
        </w:tc>
        <w:tc>
          <w:tcPr>
            <w:tcW w:w="298" w:type="pct"/>
            <w:vAlign w:val="center"/>
          </w:tcPr>
          <w:p w14:paraId="205A0674"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46</w:t>
            </w:r>
          </w:p>
        </w:tc>
        <w:tc>
          <w:tcPr>
            <w:tcW w:w="298" w:type="pct"/>
            <w:vAlign w:val="center"/>
          </w:tcPr>
          <w:p w14:paraId="38B6493D"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44</w:t>
            </w:r>
          </w:p>
        </w:tc>
        <w:tc>
          <w:tcPr>
            <w:tcW w:w="298" w:type="pct"/>
            <w:vAlign w:val="center"/>
          </w:tcPr>
          <w:p w14:paraId="44246C5F"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48</w:t>
            </w:r>
          </w:p>
        </w:tc>
        <w:tc>
          <w:tcPr>
            <w:tcW w:w="298" w:type="pct"/>
            <w:vAlign w:val="center"/>
          </w:tcPr>
          <w:p w14:paraId="445E4FBA"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45</w:t>
            </w:r>
          </w:p>
        </w:tc>
        <w:tc>
          <w:tcPr>
            <w:tcW w:w="298" w:type="pct"/>
            <w:vAlign w:val="center"/>
          </w:tcPr>
          <w:p w14:paraId="71257CE4"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33</w:t>
            </w:r>
          </w:p>
        </w:tc>
      </w:tr>
      <w:tr w:rsidR="00B70B91" w:rsidRPr="008C1E5F" w14:paraId="20DEB629" w14:textId="77777777" w:rsidTr="005922FA">
        <w:trPr>
          <w:jc w:val="center"/>
        </w:trPr>
        <w:tc>
          <w:tcPr>
            <w:tcW w:w="1116" w:type="pct"/>
          </w:tcPr>
          <w:p w14:paraId="011A306A"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Students w/disabilities</w:t>
            </w:r>
          </w:p>
        </w:tc>
        <w:tc>
          <w:tcPr>
            <w:tcW w:w="306" w:type="pct"/>
            <w:vAlign w:val="center"/>
          </w:tcPr>
          <w:p w14:paraId="64C00E0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1,275</w:t>
            </w:r>
          </w:p>
        </w:tc>
        <w:tc>
          <w:tcPr>
            <w:tcW w:w="298" w:type="pct"/>
            <w:vAlign w:val="center"/>
          </w:tcPr>
          <w:p w14:paraId="36E5F862"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5</w:t>
            </w:r>
          </w:p>
        </w:tc>
        <w:tc>
          <w:tcPr>
            <w:tcW w:w="298" w:type="pct"/>
            <w:vAlign w:val="center"/>
          </w:tcPr>
          <w:p w14:paraId="2F769980"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5</w:t>
            </w:r>
          </w:p>
        </w:tc>
        <w:tc>
          <w:tcPr>
            <w:tcW w:w="298" w:type="pct"/>
            <w:vAlign w:val="center"/>
          </w:tcPr>
          <w:p w14:paraId="73EB8B6E"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6</w:t>
            </w:r>
          </w:p>
        </w:tc>
        <w:tc>
          <w:tcPr>
            <w:tcW w:w="298" w:type="pct"/>
            <w:vAlign w:val="center"/>
          </w:tcPr>
          <w:p w14:paraId="2E50E330"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13</w:t>
            </w:r>
          </w:p>
        </w:tc>
        <w:tc>
          <w:tcPr>
            <w:tcW w:w="298" w:type="pct"/>
            <w:vAlign w:val="center"/>
          </w:tcPr>
          <w:p w14:paraId="70287563"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33</w:t>
            </w:r>
          </w:p>
        </w:tc>
        <w:tc>
          <w:tcPr>
            <w:tcW w:w="298" w:type="pct"/>
            <w:vAlign w:val="center"/>
          </w:tcPr>
          <w:p w14:paraId="5B2C45B5"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29</w:t>
            </w:r>
          </w:p>
        </w:tc>
        <w:tc>
          <w:tcPr>
            <w:tcW w:w="298" w:type="pct"/>
            <w:vAlign w:val="center"/>
          </w:tcPr>
          <w:p w14:paraId="4C7B1C93"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31</w:t>
            </w:r>
          </w:p>
        </w:tc>
        <w:tc>
          <w:tcPr>
            <w:tcW w:w="298" w:type="pct"/>
            <w:vAlign w:val="center"/>
          </w:tcPr>
          <w:p w14:paraId="2A041BDB"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43</w:t>
            </w:r>
          </w:p>
        </w:tc>
        <w:tc>
          <w:tcPr>
            <w:tcW w:w="298" w:type="pct"/>
            <w:vAlign w:val="center"/>
          </w:tcPr>
          <w:p w14:paraId="7AAD5BF9"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63</w:t>
            </w:r>
          </w:p>
        </w:tc>
        <w:tc>
          <w:tcPr>
            <w:tcW w:w="298" w:type="pct"/>
            <w:vAlign w:val="center"/>
          </w:tcPr>
          <w:p w14:paraId="67AE613B"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66</w:t>
            </w:r>
          </w:p>
        </w:tc>
        <w:tc>
          <w:tcPr>
            <w:tcW w:w="298" w:type="pct"/>
            <w:vAlign w:val="center"/>
          </w:tcPr>
          <w:p w14:paraId="27D5055A"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63</w:t>
            </w:r>
          </w:p>
        </w:tc>
        <w:tc>
          <w:tcPr>
            <w:tcW w:w="298" w:type="pct"/>
            <w:vAlign w:val="center"/>
          </w:tcPr>
          <w:p w14:paraId="323B1D45" w14:textId="77777777" w:rsidR="00C60C82" w:rsidRPr="008C1E5F" w:rsidRDefault="00C60C82" w:rsidP="005922FA">
            <w:pPr>
              <w:pStyle w:val="TableTextCentered"/>
              <w:spacing w:before="10" w:after="10"/>
              <w:rPr>
                <w:rFonts w:ascii="Franklin Gothic Book" w:hAnsi="Franklin Gothic Book"/>
              </w:rPr>
            </w:pPr>
            <w:r w:rsidRPr="008C1E5F">
              <w:rPr>
                <w:rFonts w:ascii="Franklin Gothic Book" w:hAnsi="Franklin Gothic Book"/>
              </w:rPr>
              <w:t>44</w:t>
            </w:r>
          </w:p>
        </w:tc>
      </w:tr>
    </w:tbl>
    <w:p w14:paraId="464C1D7F" w14:textId="77777777" w:rsidR="00C60C82" w:rsidRPr="008C1E5F" w:rsidRDefault="00C60C82" w:rsidP="00305BFA">
      <w:pPr>
        <w:pStyle w:val="TableETitles"/>
        <w:spacing w:after="60"/>
      </w:pPr>
      <w:bookmarkStart w:id="280" w:name="_Toc195024272"/>
      <w:r w:rsidRPr="008C1E5F">
        <w:t>Table E4. MCAS Mathematics Achievement by Student Group, Grade 10, 2022-2024</w:t>
      </w:r>
      <w:bookmarkEnd w:id="280"/>
    </w:p>
    <w:tbl>
      <w:tblPr>
        <w:tblStyle w:val="MSVTable1"/>
        <w:tblW w:w="5000" w:type="pct"/>
        <w:jc w:val="center"/>
        <w:tblLayout w:type="fixed"/>
        <w:tblLook w:val="0420" w:firstRow="1" w:lastRow="0" w:firstColumn="0" w:lastColumn="0" w:noHBand="0" w:noVBand="1"/>
      </w:tblPr>
      <w:tblGrid>
        <w:gridCol w:w="2872"/>
        <w:gridCol w:w="811"/>
        <w:gridCol w:w="772"/>
        <w:gridCol w:w="772"/>
        <w:gridCol w:w="772"/>
        <w:gridCol w:w="772"/>
        <w:gridCol w:w="772"/>
        <w:gridCol w:w="772"/>
        <w:gridCol w:w="772"/>
        <w:gridCol w:w="772"/>
        <w:gridCol w:w="772"/>
        <w:gridCol w:w="771"/>
        <w:gridCol w:w="771"/>
        <w:gridCol w:w="771"/>
      </w:tblGrid>
      <w:tr w:rsidR="005922FA" w:rsidRPr="008C1E5F" w14:paraId="1D16CFB0" w14:textId="77777777" w:rsidTr="005922FA">
        <w:trPr>
          <w:cnfStyle w:val="100000000000" w:firstRow="1" w:lastRow="0" w:firstColumn="0" w:lastColumn="0" w:oddVBand="0" w:evenVBand="0" w:oddHBand="0" w:evenHBand="0" w:firstRowFirstColumn="0" w:firstRowLastColumn="0" w:lastRowFirstColumn="0" w:lastRowLastColumn="0"/>
          <w:tblHeader/>
          <w:jc w:val="center"/>
        </w:trPr>
        <w:tc>
          <w:tcPr>
            <w:tcW w:w="1109" w:type="pct"/>
            <w:vAlign w:val="center"/>
          </w:tcPr>
          <w:p w14:paraId="11EBC28F" w14:textId="0027C5A0" w:rsidR="005922FA" w:rsidRPr="008C1E5F" w:rsidRDefault="005922FA" w:rsidP="005922FA">
            <w:pPr>
              <w:pStyle w:val="TableColHeadingCenter"/>
              <w:spacing w:before="10" w:after="10"/>
            </w:pPr>
            <w:r w:rsidRPr="00302E5C">
              <w:t>Group</w:t>
            </w:r>
          </w:p>
        </w:tc>
        <w:tc>
          <w:tcPr>
            <w:tcW w:w="313" w:type="pct"/>
            <w:tcMar>
              <w:left w:w="14" w:type="dxa"/>
              <w:right w:w="14" w:type="dxa"/>
            </w:tcMar>
            <w:vAlign w:val="center"/>
          </w:tcPr>
          <w:p w14:paraId="1C93A399" w14:textId="10D54499" w:rsidR="005922FA" w:rsidRPr="008C1E5F" w:rsidRDefault="005922FA" w:rsidP="005922FA">
            <w:pPr>
              <w:pStyle w:val="TableColHeadingCenter"/>
              <w:spacing w:before="10" w:after="10"/>
            </w:pPr>
            <w:r w:rsidRPr="00302E5C">
              <w:t># Included (2024)</w:t>
            </w:r>
          </w:p>
        </w:tc>
        <w:tc>
          <w:tcPr>
            <w:tcW w:w="298" w:type="pct"/>
            <w:tcMar>
              <w:left w:w="14" w:type="dxa"/>
              <w:right w:w="14" w:type="dxa"/>
            </w:tcMar>
            <w:vAlign w:val="center"/>
          </w:tcPr>
          <w:p w14:paraId="66F7DF2D" w14:textId="29618B69" w:rsidR="005922FA" w:rsidRPr="008C1E5F" w:rsidRDefault="005922FA" w:rsidP="005922FA">
            <w:pPr>
              <w:pStyle w:val="TableColHeadingCenter"/>
              <w:spacing w:before="10" w:after="10"/>
            </w:pPr>
            <w:r w:rsidRPr="00302E5C">
              <w:t>% M/E 2022</w:t>
            </w:r>
          </w:p>
        </w:tc>
        <w:tc>
          <w:tcPr>
            <w:tcW w:w="298" w:type="pct"/>
            <w:tcMar>
              <w:left w:w="14" w:type="dxa"/>
              <w:right w:w="14" w:type="dxa"/>
            </w:tcMar>
            <w:vAlign w:val="center"/>
          </w:tcPr>
          <w:p w14:paraId="4E399CD6" w14:textId="665E3672" w:rsidR="005922FA" w:rsidRPr="008C1E5F" w:rsidRDefault="005922FA" w:rsidP="005922FA">
            <w:pPr>
              <w:pStyle w:val="TableColHeadingCenter"/>
              <w:spacing w:before="10" w:after="10"/>
            </w:pPr>
            <w:r w:rsidRPr="00302E5C">
              <w:t>% M/E 2023</w:t>
            </w:r>
          </w:p>
        </w:tc>
        <w:tc>
          <w:tcPr>
            <w:tcW w:w="298" w:type="pct"/>
            <w:tcMar>
              <w:left w:w="14" w:type="dxa"/>
              <w:right w:w="14" w:type="dxa"/>
            </w:tcMar>
            <w:vAlign w:val="center"/>
          </w:tcPr>
          <w:p w14:paraId="13428F44" w14:textId="1FCDB6B3" w:rsidR="005922FA" w:rsidRPr="008C1E5F" w:rsidRDefault="005922FA" w:rsidP="005922FA">
            <w:pPr>
              <w:pStyle w:val="TableColHeadingCenter"/>
              <w:spacing w:before="10" w:after="10"/>
            </w:pPr>
            <w:r w:rsidRPr="00302E5C">
              <w:t>% M/E 2024</w:t>
            </w:r>
          </w:p>
        </w:tc>
        <w:tc>
          <w:tcPr>
            <w:tcW w:w="298" w:type="pct"/>
            <w:tcMar>
              <w:left w:w="14" w:type="dxa"/>
              <w:right w:w="14" w:type="dxa"/>
            </w:tcMar>
            <w:vAlign w:val="center"/>
          </w:tcPr>
          <w:p w14:paraId="7B7EEF27" w14:textId="7A6F6171" w:rsidR="005922FA" w:rsidRPr="008C1E5F" w:rsidRDefault="005922FA" w:rsidP="005922FA">
            <w:pPr>
              <w:pStyle w:val="TableColHeadingCenter"/>
              <w:spacing w:before="10" w:after="10"/>
            </w:pPr>
            <w:r w:rsidRPr="00302E5C">
              <w:t>% M/E 2024 State</w:t>
            </w:r>
          </w:p>
        </w:tc>
        <w:tc>
          <w:tcPr>
            <w:tcW w:w="298" w:type="pct"/>
            <w:tcMar>
              <w:left w:w="14" w:type="dxa"/>
              <w:right w:w="14" w:type="dxa"/>
            </w:tcMar>
            <w:vAlign w:val="center"/>
          </w:tcPr>
          <w:p w14:paraId="4FA9A7FF" w14:textId="225B0189" w:rsidR="005922FA" w:rsidRPr="008C1E5F" w:rsidRDefault="005922FA" w:rsidP="005922FA">
            <w:pPr>
              <w:pStyle w:val="TableColHeadingCenter"/>
              <w:spacing w:before="10" w:after="10"/>
            </w:pPr>
            <w:r w:rsidRPr="00302E5C">
              <w:t>% PME 2022</w:t>
            </w:r>
          </w:p>
        </w:tc>
        <w:tc>
          <w:tcPr>
            <w:tcW w:w="298" w:type="pct"/>
            <w:tcMar>
              <w:left w:w="14" w:type="dxa"/>
              <w:right w:w="14" w:type="dxa"/>
            </w:tcMar>
            <w:vAlign w:val="center"/>
          </w:tcPr>
          <w:p w14:paraId="3A9ED327" w14:textId="4D241A2C" w:rsidR="005922FA" w:rsidRPr="008C1E5F" w:rsidRDefault="005922FA" w:rsidP="005922FA">
            <w:pPr>
              <w:pStyle w:val="TableColHeadingCenter"/>
              <w:spacing w:before="10" w:after="10"/>
            </w:pPr>
            <w:r w:rsidRPr="00302E5C">
              <w:t>% PME 2023</w:t>
            </w:r>
          </w:p>
        </w:tc>
        <w:tc>
          <w:tcPr>
            <w:tcW w:w="298" w:type="pct"/>
            <w:tcMar>
              <w:left w:w="14" w:type="dxa"/>
              <w:right w:w="14" w:type="dxa"/>
            </w:tcMar>
            <w:vAlign w:val="center"/>
          </w:tcPr>
          <w:p w14:paraId="7A17601F" w14:textId="70A15D70" w:rsidR="005922FA" w:rsidRPr="008C1E5F" w:rsidRDefault="005922FA" w:rsidP="005922FA">
            <w:pPr>
              <w:pStyle w:val="TableColHeadingCenter"/>
              <w:spacing w:before="10" w:after="10"/>
            </w:pPr>
            <w:r w:rsidRPr="00302E5C">
              <w:t>% PME 2024</w:t>
            </w:r>
          </w:p>
        </w:tc>
        <w:tc>
          <w:tcPr>
            <w:tcW w:w="298" w:type="pct"/>
            <w:tcMar>
              <w:left w:w="14" w:type="dxa"/>
              <w:right w:w="14" w:type="dxa"/>
            </w:tcMar>
            <w:vAlign w:val="center"/>
          </w:tcPr>
          <w:p w14:paraId="6DCF871C" w14:textId="505CD3FE" w:rsidR="005922FA" w:rsidRPr="008C1E5F" w:rsidRDefault="005922FA" w:rsidP="005922FA">
            <w:pPr>
              <w:pStyle w:val="TableColHeadingCenter"/>
              <w:spacing w:before="10" w:after="10"/>
            </w:pPr>
            <w:r w:rsidRPr="00302E5C">
              <w:t>% PME 2024 State</w:t>
            </w:r>
          </w:p>
        </w:tc>
        <w:tc>
          <w:tcPr>
            <w:tcW w:w="298" w:type="pct"/>
            <w:tcMar>
              <w:left w:w="14" w:type="dxa"/>
              <w:right w:w="14" w:type="dxa"/>
            </w:tcMar>
            <w:vAlign w:val="center"/>
          </w:tcPr>
          <w:p w14:paraId="4D7F3522" w14:textId="1B4ABC4F" w:rsidR="005922FA" w:rsidRPr="008C1E5F" w:rsidRDefault="005922FA" w:rsidP="005922FA">
            <w:pPr>
              <w:pStyle w:val="TableColHeadingCenter"/>
              <w:spacing w:before="10" w:after="10"/>
            </w:pPr>
            <w:r w:rsidRPr="00302E5C">
              <w:t>% NM 2022</w:t>
            </w:r>
          </w:p>
        </w:tc>
        <w:tc>
          <w:tcPr>
            <w:tcW w:w="298" w:type="pct"/>
            <w:tcMar>
              <w:left w:w="14" w:type="dxa"/>
              <w:right w:w="14" w:type="dxa"/>
            </w:tcMar>
            <w:vAlign w:val="center"/>
          </w:tcPr>
          <w:p w14:paraId="24262BDA" w14:textId="79A7E357" w:rsidR="005922FA" w:rsidRPr="008C1E5F" w:rsidRDefault="005922FA" w:rsidP="005922FA">
            <w:pPr>
              <w:pStyle w:val="TableColHeadingCenter"/>
              <w:spacing w:before="10" w:after="10"/>
            </w:pPr>
            <w:r w:rsidRPr="00302E5C">
              <w:t>% NM 2023</w:t>
            </w:r>
          </w:p>
        </w:tc>
        <w:tc>
          <w:tcPr>
            <w:tcW w:w="298" w:type="pct"/>
            <w:tcMar>
              <w:left w:w="14" w:type="dxa"/>
              <w:right w:w="14" w:type="dxa"/>
            </w:tcMar>
            <w:vAlign w:val="center"/>
          </w:tcPr>
          <w:p w14:paraId="676CFD25" w14:textId="22B8F578" w:rsidR="005922FA" w:rsidRPr="008C1E5F" w:rsidRDefault="005922FA" w:rsidP="005922FA">
            <w:pPr>
              <w:pStyle w:val="TableColHeadingCenter"/>
              <w:spacing w:before="10" w:after="10"/>
            </w:pPr>
            <w:r w:rsidRPr="00302E5C">
              <w:t>% NM 2024</w:t>
            </w:r>
          </w:p>
        </w:tc>
        <w:tc>
          <w:tcPr>
            <w:tcW w:w="298" w:type="pct"/>
            <w:tcMar>
              <w:left w:w="14" w:type="dxa"/>
              <w:right w:w="14" w:type="dxa"/>
            </w:tcMar>
            <w:vAlign w:val="center"/>
          </w:tcPr>
          <w:p w14:paraId="5B38620F" w14:textId="2147F1AF" w:rsidR="005922FA" w:rsidRPr="008C1E5F" w:rsidRDefault="005922FA" w:rsidP="005922FA">
            <w:pPr>
              <w:pStyle w:val="TableColHeadingCenter"/>
              <w:spacing w:before="10" w:after="10"/>
            </w:pPr>
            <w:r w:rsidRPr="00302E5C">
              <w:t>% NM 2024 State</w:t>
            </w:r>
          </w:p>
        </w:tc>
      </w:tr>
      <w:tr w:rsidR="00B70B91" w:rsidRPr="008C1E5F" w14:paraId="418AF0CF" w14:textId="77777777" w:rsidTr="005922FA">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0F2A5E8B"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All</w:t>
            </w:r>
          </w:p>
        </w:tc>
        <w:tc>
          <w:tcPr>
            <w:tcW w:w="313" w:type="pct"/>
            <w:vAlign w:val="center"/>
          </w:tcPr>
          <w:p w14:paraId="6779B88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703</w:t>
            </w:r>
          </w:p>
        </w:tc>
        <w:tc>
          <w:tcPr>
            <w:tcW w:w="298" w:type="pct"/>
            <w:vAlign w:val="center"/>
          </w:tcPr>
          <w:p w14:paraId="43A948E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24</w:t>
            </w:r>
          </w:p>
        </w:tc>
        <w:tc>
          <w:tcPr>
            <w:tcW w:w="298" w:type="pct"/>
            <w:vAlign w:val="center"/>
          </w:tcPr>
          <w:p w14:paraId="505E4CF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22</w:t>
            </w:r>
          </w:p>
        </w:tc>
        <w:tc>
          <w:tcPr>
            <w:tcW w:w="298" w:type="pct"/>
            <w:vAlign w:val="center"/>
          </w:tcPr>
          <w:p w14:paraId="4CBB560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15</w:t>
            </w:r>
          </w:p>
        </w:tc>
        <w:tc>
          <w:tcPr>
            <w:tcW w:w="298" w:type="pct"/>
            <w:vAlign w:val="center"/>
          </w:tcPr>
          <w:p w14:paraId="49E1250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48</w:t>
            </w:r>
          </w:p>
        </w:tc>
        <w:tc>
          <w:tcPr>
            <w:tcW w:w="298" w:type="pct"/>
            <w:vAlign w:val="center"/>
          </w:tcPr>
          <w:p w14:paraId="5D55BA5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49</w:t>
            </w:r>
          </w:p>
        </w:tc>
        <w:tc>
          <w:tcPr>
            <w:tcW w:w="298" w:type="pct"/>
            <w:vAlign w:val="center"/>
          </w:tcPr>
          <w:p w14:paraId="3CDA2B5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59</w:t>
            </w:r>
          </w:p>
        </w:tc>
        <w:tc>
          <w:tcPr>
            <w:tcW w:w="298" w:type="pct"/>
            <w:vAlign w:val="center"/>
          </w:tcPr>
          <w:p w14:paraId="18BD87F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47</w:t>
            </w:r>
          </w:p>
        </w:tc>
        <w:tc>
          <w:tcPr>
            <w:tcW w:w="298" w:type="pct"/>
            <w:vAlign w:val="center"/>
          </w:tcPr>
          <w:p w14:paraId="3A16D78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39</w:t>
            </w:r>
          </w:p>
        </w:tc>
        <w:tc>
          <w:tcPr>
            <w:tcW w:w="298" w:type="pct"/>
            <w:vAlign w:val="center"/>
          </w:tcPr>
          <w:p w14:paraId="1956BE4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27</w:t>
            </w:r>
          </w:p>
        </w:tc>
        <w:tc>
          <w:tcPr>
            <w:tcW w:w="298" w:type="pct"/>
            <w:vAlign w:val="center"/>
          </w:tcPr>
          <w:p w14:paraId="2FCF06D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20</w:t>
            </w:r>
          </w:p>
        </w:tc>
        <w:tc>
          <w:tcPr>
            <w:tcW w:w="298" w:type="pct"/>
            <w:vAlign w:val="center"/>
          </w:tcPr>
          <w:p w14:paraId="3445ED1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38</w:t>
            </w:r>
          </w:p>
        </w:tc>
        <w:tc>
          <w:tcPr>
            <w:tcW w:w="298" w:type="pct"/>
            <w:vAlign w:val="bottom"/>
          </w:tcPr>
          <w:p w14:paraId="79A4C79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13</w:t>
            </w:r>
          </w:p>
        </w:tc>
      </w:tr>
      <w:tr w:rsidR="00C60C82" w:rsidRPr="008C1E5F" w14:paraId="664A8F8C" w14:textId="77777777" w:rsidTr="005922FA">
        <w:trPr>
          <w:jc w:val="center"/>
        </w:trPr>
        <w:tc>
          <w:tcPr>
            <w:tcW w:w="1109" w:type="pct"/>
          </w:tcPr>
          <w:p w14:paraId="0A450B25"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African American/Black</w:t>
            </w:r>
          </w:p>
        </w:tc>
        <w:tc>
          <w:tcPr>
            <w:tcW w:w="313" w:type="pct"/>
            <w:vAlign w:val="center"/>
          </w:tcPr>
          <w:p w14:paraId="15C94B0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84</w:t>
            </w:r>
          </w:p>
        </w:tc>
        <w:tc>
          <w:tcPr>
            <w:tcW w:w="298" w:type="pct"/>
            <w:vAlign w:val="center"/>
          </w:tcPr>
          <w:p w14:paraId="66503B6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14</w:t>
            </w:r>
          </w:p>
        </w:tc>
        <w:tc>
          <w:tcPr>
            <w:tcW w:w="298" w:type="pct"/>
            <w:vAlign w:val="center"/>
          </w:tcPr>
          <w:p w14:paraId="2F040C4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18</w:t>
            </w:r>
          </w:p>
        </w:tc>
        <w:tc>
          <w:tcPr>
            <w:tcW w:w="298" w:type="pct"/>
            <w:vAlign w:val="center"/>
          </w:tcPr>
          <w:p w14:paraId="4956DCA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11</w:t>
            </w:r>
          </w:p>
        </w:tc>
        <w:tc>
          <w:tcPr>
            <w:tcW w:w="298" w:type="pct"/>
            <w:vAlign w:val="center"/>
          </w:tcPr>
          <w:p w14:paraId="245CA22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27</w:t>
            </w:r>
          </w:p>
        </w:tc>
        <w:tc>
          <w:tcPr>
            <w:tcW w:w="298" w:type="pct"/>
            <w:vAlign w:val="center"/>
          </w:tcPr>
          <w:p w14:paraId="10C4983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63</w:t>
            </w:r>
          </w:p>
        </w:tc>
        <w:tc>
          <w:tcPr>
            <w:tcW w:w="298" w:type="pct"/>
            <w:vAlign w:val="center"/>
          </w:tcPr>
          <w:p w14:paraId="610F5F3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67</w:t>
            </w:r>
          </w:p>
        </w:tc>
        <w:tc>
          <w:tcPr>
            <w:tcW w:w="298" w:type="pct"/>
            <w:vAlign w:val="center"/>
          </w:tcPr>
          <w:p w14:paraId="25C4FC3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45</w:t>
            </w:r>
          </w:p>
        </w:tc>
        <w:tc>
          <w:tcPr>
            <w:tcW w:w="298" w:type="pct"/>
            <w:vAlign w:val="center"/>
          </w:tcPr>
          <w:p w14:paraId="110D13D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52</w:t>
            </w:r>
          </w:p>
        </w:tc>
        <w:tc>
          <w:tcPr>
            <w:tcW w:w="298" w:type="pct"/>
            <w:vAlign w:val="center"/>
          </w:tcPr>
          <w:p w14:paraId="3DBEDF9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24</w:t>
            </w:r>
          </w:p>
        </w:tc>
        <w:tc>
          <w:tcPr>
            <w:tcW w:w="298" w:type="pct"/>
            <w:vAlign w:val="center"/>
          </w:tcPr>
          <w:p w14:paraId="5E95994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14</w:t>
            </w:r>
          </w:p>
        </w:tc>
        <w:tc>
          <w:tcPr>
            <w:tcW w:w="298" w:type="pct"/>
            <w:vAlign w:val="center"/>
          </w:tcPr>
          <w:p w14:paraId="2C26DDD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44</w:t>
            </w:r>
          </w:p>
        </w:tc>
        <w:tc>
          <w:tcPr>
            <w:tcW w:w="298" w:type="pct"/>
            <w:vAlign w:val="bottom"/>
          </w:tcPr>
          <w:p w14:paraId="6A1943C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21</w:t>
            </w:r>
          </w:p>
        </w:tc>
      </w:tr>
      <w:tr w:rsidR="00B70B91" w:rsidRPr="008C1E5F" w14:paraId="4B81A65E" w14:textId="77777777" w:rsidTr="005922FA">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5571CEAA"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Asian</w:t>
            </w:r>
          </w:p>
        </w:tc>
        <w:tc>
          <w:tcPr>
            <w:tcW w:w="313" w:type="pct"/>
            <w:vAlign w:val="center"/>
          </w:tcPr>
          <w:p w14:paraId="0A1243A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25</w:t>
            </w:r>
          </w:p>
        </w:tc>
        <w:tc>
          <w:tcPr>
            <w:tcW w:w="298" w:type="pct"/>
            <w:vAlign w:val="center"/>
          </w:tcPr>
          <w:p w14:paraId="79BAF73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32</w:t>
            </w:r>
          </w:p>
        </w:tc>
        <w:tc>
          <w:tcPr>
            <w:tcW w:w="298" w:type="pct"/>
            <w:vAlign w:val="center"/>
          </w:tcPr>
          <w:p w14:paraId="14AC1CF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47</w:t>
            </w:r>
          </w:p>
        </w:tc>
        <w:tc>
          <w:tcPr>
            <w:tcW w:w="298" w:type="pct"/>
            <w:vAlign w:val="center"/>
          </w:tcPr>
          <w:p w14:paraId="29DF9A3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28</w:t>
            </w:r>
          </w:p>
        </w:tc>
        <w:tc>
          <w:tcPr>
            <w:tcW w:w="298" w:type="pct"/>
            <w:vAlign w:val="center"/>
          </w:tcPr>
          <w:p w14:paraId="022C77E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79</w:t>
            </w:r>
          </w:p>
        </w:tc>
        <w:tc>
          <w:tcPr>
            <w:tcW w:w="298" w:type="pct"/>
            <w:vAlign w:val="center"/>
          </w:tcPr>
          <w:p w14:paraId="7F0030F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59</w:t>
            </w:r>
          </w:p>
        </w:tc>
        <w:tc>
          <w:tcPr>
            <w:tcW w:w="298" w:type="pct"/>
            <w:vAlign w:val="center"/>
          </w:tcPr>
          <w:p w14:paraId="4563EE2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37</w:t>
            </w:r>
          </w:p>
        </w:tc>
        <w:tc>
          <w:tcPr>
            <w:tcW w:w="298" w:type="pct"/>
            <w:vAlign w:val="center"/>
          </w:tcPr>
          <w:p w14:paraId="25B3CDA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36</w:t>
            </w:r>
          </w:p>
        </w:tc>
        <w:tc>
          <w:tcPr>
            <w:tcW w:w="298" w:type="pct"/>
            <w:vAlign w:val="center"/>
          </w:tcPr>
          <w:p w14:paraId="7DE5025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17</w:t>
            </w:r>
          </w:p>
        </w:tc>
        <w:tc>
          <w:tcPr>
            <w:tcW w:w="298" w:type="pct"/>
            <w:vAlign w:val="center"/>
          </w:tcPr>
          <w:p w14:paraId="5598984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9</w:t>
            </w:r>
          </w:p>
        </w:tc>
        <w:tc>
          <w:tcPr>
            <w:tcW w:w="298" w:type="pct"/>
            <w:vAlign w:val="center"/>
          </w:tcPr>
          <w:p w14:paraId="5A17BF2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16</w:t>
            </w:r>
          </w:p>
        </w:tc>
        <w:tc>
          <w:tcPr>
            <w:tcW w:w="298" w:type="pct"/>
            <w:vAlign w:val="center"/>
          </w:tcPr>
          <w:p w14:paraId="5C0E0F3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36</w:t>
            </w:r>
          </w:p>
        </w:tc>
        <w:tc>
          <w:tcPr>
            <w:tcW w:w="298" w:type="pct"/>
            <w:vAlign w:val="bottom"/>
          </w:tcPr>
          <w:p w14:paraId="2269AF9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w:t>
            </w:r>
          </w:p>
        </w:tc>
      </w:tr>
      <w:tr w:rsidR="00C60C82" w:rsidRPr="008C1E5F" w14:paraId="3F0A3191" w14:textId="77777777" w:rsidTr="005922FA">
        <w:trPr>
          <w:jc w:val="center"/>
        </w:trPr>
        <w:tc>
          <w:tcPr>
            <w:tcW w:w="1109" w:type="pct"/>
          </w:tcPr>
          <w:p w14:paraId="47D849AD"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Hispanic/Latino</w:t>
            </w:r>
          </w:p>
        </w:tc>
        <w:tc>
          <w:tcPr>
            <w:tcW w:w="313" w:type="pct"/>
            <w:vAlign w:val="center"/>
          </w:tcPr>
          <w:p w14:paraId="4F8F506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229</w:t>
            </w:r>
          </w:p>
        </w:tc>
        <w:tc>
          <w:tcPr>
            <w:tcW w:w="298" w:type="pct"/>
            <w:vAlign w:val="center"/>
          </w:tcPr>
          <w:p w14:paraId="480C887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16</w:t>
            </w:r>
          </w:p>
        </w:tc>
        <w:tc>
          <w:tcPr>
            <w:tcW w:w="298" w:type="pct"/>
            <w:vAlign w:val="center"/>
          </w:tcPr>
          <w:p w14:paraId="23DBF92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11</w:t>
            </w:r>
          </w:p>
        </w:tc>
        <w:tc>
          <w:tcPr>
            <w:tcW w:w="298" w:type="pct"/>
            <w:vAlign w:val="center"/>
          </w:tcPr>
          <w:p w14:paraId="48F2F2D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10</w:t>
            </w:r>
          </w:p>
        </w:tc>
        <w:tc>
          <w:tcPr>
            <w:tcW w:w="298" w:type="pct"/>
            <w:vAlign w:val="center"/>
          </w:tcPr>
          <w:p w14:paraId="2B59E9A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25</w:t>
            </w:r>
          </w:p>
        </w:tc>
        <w:tc>
          <w:tcPr>
            <w:tcW w:w="298" w:type="pct"/>
            <w:vAlign w:val="center"/>
          </w:tcPr>
          <w:p w14:paraId="3364BE0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46</w:t>
            </w:r>
          </w:p>
        </w:tc>
        <w:tc>
          <w:tcPr>
            <w:tcW w:w="298" w:type="pct"/>
            <w:vAlign w:val="center"/>
          </w:tcPr>
          <w:p w14:paraId="3ADBB62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64</w:t>
            </w:r>
          </w:p>
        </w:tc>
        <w:tc>
          <w:tcPr>
            <w:tcW w:w="298" w:type="pct"/>
            <w:vAlign w:val="center"/>
          </w:tcPr>
          <w:p w14:paraId="19E8410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45</w:t>
            </w:r>
          </w:p>
        </w:tc>
        <w:tc>
          <w:tcPr>
            <w:tcW w:w="298" w:type="pct"/>
            <w:vAlign w:val="center"/>
          </w:tcPr>
          <w:p w14:paraId="7E126B5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50</w:t>
            </w:r>
          </w:p>
        </w:tc>
        <w:tc>
          <w:tcPr>
            <w:tcW w:w="298" w:type="pct"/>
            <w:vAlign w:val="center"/>
          </w:tcPr>
          <w:p w14:paraId="23AE1B9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39</w:t>
            </w:r>
          </w:p>
        </w:tc>
        <w:tc>
          <w:tcPr>
            <w:tcW w:w="298" w:type="pct"/>
            <w:vAlign w:val="center"/>
          </w:tcPr>
          <w:p w14:paraId="69644D7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25</w:t>
            </w:r>
          </w:p>
        </w:tc>
        <w:tc>
          <w:tcPr>
            <w:tcW w:w="298" w:type="pct"/>
            <w:vAlign w:val="center"/>
          </w:tcPr>
          <w:p w14:paraId="47FD76A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45</w:t>
            </w:r>
          </w:p>
        </w:tc>
        <w:tc>
          <w:tcPr>
            <w:tcW w:w="298" w:type="pct"/>
            <w:vAlign w:val="bottom"/>
          </w:tcPr>
          <w:p w14:paraId="61BD87A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25</w:t>
            </w:r>
          </w:p>
        </w:tc>
      </w:tr>
      <w:tr w:rsidR="00B70B91" w:rsidRPr="008C1E5F" w14:paraId="69C18B69" w14:textId="77777777" w:rsidTr="005922FA">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051C52FC"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cstheme="minorHAnsi"/>
              </w:rPr>
              <w:t>Multi-Race, non-Hispanic/Latino</w:t>
            </w:r>
          </w:p>
        </w:tc>
        <w:tc>
          <w:tcPr>
            <w:tcW w:w="313" w:type="pct"/>
            <w:vAlign w:val="center"/>
          </w:tcPr>
          <w:p w14:paraId="2AA82FB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60</w:t>
            </w:r>
          </w:p>
        </w:tc>
        <w:tc>
          <w:tcPr>
            <w:tcW w:w="298" w:type="pct"/>
            <w:vAlign w:val="center"/>
          </w:tcPr>
          <w:p w14:paraId="113B52B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15</w:t>
            </w:r>
          </w:p>
        </w:tc>
        <w:tc>
          <w:tcPr>
            <w:tcW w:w="298" w:type="pct"/>
            <w:vAlign w:val="center"/>
          </w:tcPr>
          <w:p w14:paraId="2BE17BD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28</w:t>
            </w:r>
          </w:p>
        </w:tc>
        <w:tc>
          <w:tcPr>
            <w:tcW w:w="298" w:type="pct"/>
            <w:vAlign w:val="center"/>
          </w:tcPr>
          <w:p w14:paraId="0458D1E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7</w:t>
            </w:r>
          </w:p>
        </w:tc>
        <w:tc>
          <w:tcPr>
            <w:tcW w:w="298" w:type="pct"/>
            <w:vAlign w:val="center"/>
          </w:tcPr>
          <w:p w14:paraId="5E78785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51</w:t>
            </w:r>
          </w:p>
        </w:tc>
        <w:tc>
          <w:tcPr>
            <w:tcW w:w="298" w:type="pct"/>
            <w:vAlign w:val="center"/>
          </w:tcPr>
          <w:p w14:paraId="4EAE302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55</w:t>
            </w:r>
          </w:p>
        </w:tc>
        <w:tc>
          <w:tcPr>
            <w:tcW w:w="298" w:type="pct"/>
            <w:vAlign w:val="center"/>
          </w:tcPr>
          <w:p w14:paraId="0B7ADE2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44</w:t>
            </w:r>
          </w:p>
        </w:tc>
        <w:tc>
          <w:tcPr>
            <w:tcW w:w="298" w:type="pct"/>
            <w:vAlign w:val="center"/>
          </w:tcPr>
          <w:p w14:paraId="03A953A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53</w:t>
            </w:r>
          </w:p>
        </w:tc>
        <w:tc>
          <w:tcPr>
            <w:tcW w:w="298" w:type="pct"/>
            <w:vAlign w:val="center"/>
          </w:tcPr>
          <w:p w14:paraId="11FB5DE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39</w:t>
            </w:r>
          </w:p>
        </w:tc>
        <w:tc>
          <w:tcPr>
            <w:tcW w:w="298" w:type="pct"/>
            <w:vAlign w:val="center"/>
          </w:tcPr>
          <w:p w14:paraId="734E22C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30</w:t>
            </w:r>
          </w:p>
        </w:tc>
        <w:tc>
          <w:tcPr>
            <w:tcW w:w="298" w:type="pct"/>
            <w:vAlign w:val="center"/>
          </w:tcPr>
          <w:p w14:paraId="179957E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28</w:t>
            </w:r>
          </w:p>
        </w:tc>
        <w:tc>
          <w:tcPr>
            <w:tcW w:w="298" w:type="pct"/>
            <w:vAlign w:val="center"/>
          </w:tcPr>
          <w:p w14:paraId="70CD2B1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40</w:t>
            </w:r>
          </w:p>
        </w:tc>
        <w:tc>
          <w:tcPr>
            <w:tcW w:w="298" w:type="pct"/>
            <w:vAlign w:val="bottom"/>
          </w:tcPr>
          <w:p w14:paraId="09FA7E0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10</w:t>
            </w:r>
          </w:p>
        </w:tc>
      </w:tr>
      <w:tr w:rsidR="00C60C82" w:rsidRPr="008C1E5F" w14:paraId="564B8A77" w14:textId="77777777" w:rsidTr="005922FA">
        <w:trPr>
          <w:jc w:val="center"/>
        </w:trPr>
        <w:tc>
          <w:tcPr>
            <w:tcW w:w="1109" w:type="pct"/>
          </w:tcPr>
          <w:p w14:paraId="410E362D"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Native American</w:t>
            </w:r>
          </w:p>
        </w:tc>
        <w:tc>
          <w:tcPr>
            <w:tcW w:w="313" w:type="pct"/>
            <w:vAlign w:val="center"/>
          </w:tcPr>
          <w:p w14:paraId="59413FE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w:t>
            </w:r>
          </w:p>
        </w:tc>
        <w:tc>
          <w:tcPr>
            <w:tcW w:w="298" w:type="pct"/>
            <w:vAlign w:val="center"/>
          </w:tcPr>
          <w:p w14:paraId="373E504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6C9B4E5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1D1984E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770C3A0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33</w:t>
            </w:r>
          </w:p>
        </w:tc>
        <w:tc>
          <w:tcPr>
            <w:tcW w:w="298" w:type="pct"/>
            <w:vAlign w:val="center"/>
          </w:tcPr>
          <w:p w14:paraId="2B1A190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233EBAF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38969F7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05718CD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54</w:t>
            </w:r>
          </w:p>
        </w:tc>
        <w:tc>
          <w:tcPr>
            <w:tcW w:w="298" w:type="pct"/>
            <w:vAlign w:val="center"/>
          </w:tcPr>
          <w:p w14:paraId="7035462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46D0765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4659E34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bottom"/>
          </w:tcPr>
          <w:p w14:paraId="01708FD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13</w:t>
            </w:r>
          </w:p>
        </w:tc>
      </w:tr>
      <w:tr w:rsidR="00B70B91" w:rsidRPr="008C1E5F" w14:paraId="52875599" w14:textId="77777777" w:rsidTr="005922FA">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2B0BE321" w14:textId="77777777" w:rsidR="00C60C82" w:rsidRPr="008C1E5F" w:rsidRDefault="00C60C82" w:rsidP="00B70B91">
            <w:pPr>
              <w:pStyle w:val="TableText"/>
              <w:spacing w:before="10" w:after="10"/>
              <w:rPr>
                <w:rFonts w:ascii="Franklin Gothic Book" w:hAnsi="Franklin Gothic Book"/>
                <w:spacing w:val="-4"/>
              </w:rPr>
            </w:pPr>
            <w:r w:rsidRPr="008C1E5F">
              <w:rPr>
                <w:rFonts w:ascii="Franklin Gothic Book" w:hAnsi="Franklin Gothic Book"/>
                <w:spacing w:val="-4"/>
              </w:rPr>
              <w:t>Native Hawaiian, Pacific Islander</w:t>
            </w:r>
          </w:p>
        </w:tc>
        <w:tc>
          <w:tcPr>
            <w:tcW w:w="313" w:type="pct"/>
            <w:vAlign w:val="center"/>
          </w:tcPr>
          <w:p w14:paraId="02153D8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w:t>
            </w:r>
          </w:p>
        </w:tc>
        <w:tc>
          <w:tcPr>
            <w:tcW w:w="298" w:type="pct"/>
            <w:vAlign w:val="center"/>
          </w:tcPr>
          <w:p w14:paraId="03E579E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15812B1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175F025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32E98AE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52</w:t>
            </w:r>
          </w:p>
        </w:tc>
        <w:tc>
          <w:tcPr>
            <w:tcW w:w="298" w:type="pct"/>
            <w:vAlign w:val="center"/>
          </w:tcPr>
          <w:p w14:paraId="4482801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5D78F57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046CD49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5E250F0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39</w:t>
            </w:r>
          </w:p>
        </w:tc>
        <w:tc>
          <w:tcPr>
            <w:tcW w:w="298" w:type="pct"/>
            <w:vAlign w:val="center"/>
          </w:tcPr>
          <w:p w14:paraId="4EBD8B4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58941A0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44B82B9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bottom"/>
          </w:tcPr>
          <w:p w14:paraId="686DACB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10</w:t>
            </w:r>
          </w:p>
        </w:tc>
      </w:tr>
      <w:tr w:rsidR="00C60C82" w:rsidRPr="008C1E5F" w14:paraId="24999AA2" w14:textId="77777777" w:rsidTr="005922FA">
        <w:trPr>
          <w:jc w:val="center"/>
        </w:trPr>
        <w:tc>
          <w:tcPr>
            <w:tcW w:w="1109" w:type="pct"/>
          </w:tcPr>
          <w:p w14:paraId="2CEBB11D"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White</w:t>
            </w:r>
          </w:p>
        </w:tc>
        <w:tc>
          <w:tcPr>
            <w:tcW w:w="313" w:type="pct"/>
            <w:vAlign w:val="center"/>
          </w:tcPr>
          <w:p w14:paraId="68F679E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303</w:t>
            </w:r>
          </w:p>
        </w:tc>
        <w:tc>
          <w:tcPr>
            <w:tcW w:w="298" w:type="pct"/>
            <w:vAlign w:val="center"/>
          </w:tcPr>
          <w:p w14:paraId="52AF80F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32</w:t>
            </w:r>
          </w:p>
        </w:tc>
        <w:tc>
          <w:tcPr>
            <w:tcW w:w="298" w:type="pct"/>
            <w:vAlign w:val="center"/>
          </w:tcPr>
          <w:p w14:paraId="31F43D3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26</w:t>
            </w:r>
          </w:p>
        </w:tc>
        <w:tc>
          <w:tcPr>
            <w:tcW w:w="298" w:type="pct"/>
            <w:vAlign w:val="center"/>
          </w:tcPr>
          <w:p w14:paraId="01DDD9A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19</w:t>
            </w:r>
          </w:p>
        </w:tc>
        <w:tc>
          <w:tcPr>
            <w:tcW w:w="298" w:type="pct"/>
            <w:vAlign w:val="center"/>
          </w:tcPr>
          <w:p w14:paraId="36F4822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58</w:t>
            </w:r>
          </w:p>
        </w:tc>
        <w:tc>
          <w:tcPr>
            <w:tcW w:w="298" w:type="pct"/>
            <w:vAlign w:val="center"/>
          </w:tcPr>
          <w:p w14:paraId="5D314CB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46</w:t>
            </w:r>
          </w:p>
        </w:tc>
        <w:tc>
          <w:tcPr>
            <w:tcW w:w="298" w:type="pct"/>
            <w:vAlign w:val="center"/>
          </w:tcPr>
          <w:p w14:paraId="4758C45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58</w:t>
            </w:r>
          </w:p>
        </w:tc>
        <w:tc>
          <w:tcPr>
            <w:tcW w:w="298" w:type="pct"/>
            <w:vAlign w:val="center"/>
          </w:tcPr>
          <w:p w14:paraId="3371693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50</w:t>
            </w:r>
          </w:p>
        </w:tc>
        <w:tc>
          <w:tcPr>
            <w:tcW w:w="298" w:type="pct"/>
            <w:vAlign w:val="center"/>
          </w:tcPr>
          <w:p w14:paraId="20DD54F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35</w:t>
            </w:r>
          </w:p>
        </w:tc>
        <w:tc>
          <w:tcPr>
            <w:tcW w:w="298" w:type="pct"/>
            <w:vAlign w:val="center"/>
          </w:tcPr>
          <w:p w14:paraId="6612661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23</w:t>
            </w:r>
          </w:p>
        </w:tc>
        <w:tc>
          <w:tcPr>
            <w:tcW w:w="298" w:type="pct"/>
            <w:vAlign w:val="center"/>
          </w:tcPr>
          <w:p w14:paraId="6AE38E0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15</w:t>
            </w:r>
          </w:p>
        </w:tc>
        <w:tc>
          <w:tcPr>
            <w:tcW w:w="298" w:type="pct"/>
            <w:vAlign w:val="center"/>
          </w:tcPr>
          <w:p w14:paraId="36CD285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31</w:t>
            </w:r>
          </w:p>
        </w:tc>
        <w:tc>
          <w:tcPr>
            <w:tcW w:w="298" w:type="pct"/>
            <w:vAlign w:val="bottom"/>
          </w:tcPr>
          <w:p w14:paraId="7791849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7</w:t>
            </w:r>
          </w:p>
        </w:tc>
      </w:tr>
      <w:tr w:rsidR="00B70B91" w:rsidRPr="008C1E5F" w14:paraId="4CC97B02" w14:textId="77777777" w:rsidTr="005922FA">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33CE0ECC"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High needs</w:t>
            </w:r>
          </w:p>
        </w:tc>
        <w:tc>
          <w:tcPr>
            <w:tcW w:w="313" w:type="pct"/>
            <w:vAlign w:val="center"/>
          </w:tcPr>
          <w:p w14:paraId="031A68B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590</w:t>
            </w:r>
          </w:p>
        </w:tc>
        <w:tc>
          <w:tcPr>
            <w:tcW w:w="298" w:type="pct"/>
            <w:vAlign w:val="center"/>
          </w:tcPr>
          <w:p w14:paraId="272F648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17</w:t>
            </w:r>
          </w:p>
        </w:tc>
        <w:tc>
          <w:tcPr>
            <w:tcW w:w="298" w:type="pct"/>
            <w:vAlign w:val="center"/>
          </w:tcPr>
          <w:p w14:paraId="6030968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13</w:t>
            </w:r>
          </w:p>
        </w:tc>
        <w:tc>
          <w:tcPr>
            <w:tcW w:w="298" w:type="pct"/>
            <w:vAlign w:val="center"/>
          </w:tcPr>
          <w:p w14:paraId="430B200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10</w:t>
            </w:r>
          </w:p>
        </w:tc>
        <w:tc>
          <w:tcPr>
            <w:tcW w:w="298" w:type="pct"/>
            <w:vAlign w:val="center"/>
          </w:tcPr>
          <w:p w14:paraId="1CD8200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27</w:t>
            </w:r>
          </w:p>
        </w:tc>
        <w:tc>
          <w:tcPr>
            <w:tcW w:w="298" w:type="pct"/>
            <w:vAlign w:val="center"/>
          </w:tcPr>
          <w:p w14:paraId="2A519FE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51</w:t>
            </w:r>
          </w:p>
        </w:tc>
        <w:tc>
          <w:tcPr>
            <w:tcW w:w="298" w:type="pct"/>
            <w:vAlign w:val="center"/>
          </w:tcPr>
          <w:p w14:paraId="1871632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63</w:t>
            </w:r>
          </w:p>
        </w:tc>
        <w:tc>
          <w:tcPr>
            <w:tcW w:w="298" w:type="pct"/>
            <w:vAlign w:val="center"/>
          </w:tcPr>
          <w:p w14:paraId="50F6768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47</w:t>
            </w:r>
          </w:p>
        </w:tc>
        <w:tc>
          <w:tcPr>
            <w:tcW w:w="298" w:type="pct"/>
            <w:vAlign w:val="center"/>
          </w:tcPr>
          <w:p w14:paraId="1A2E40A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51</w:t>
            </w:r>
          </w:p>
        </w:tc>
        <w:tc>
          <w:tcPr>
            <w:tcW w:w="298" w:type="pct"/>
            <w:vAlign w:val="center"/>
          </w:tcPr>
          <w:p w14:paraId="7B73538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32</w:t>
            </w:r>
          </w:p>
        </w:tc>
        <w:tc>
          <w:tcPr>
            <w:tcW w:w="298" w:type="pct"/>
            <w:vAlign w:val="center"/>
          </w:tcPr>
          <w:p w14:paraId="125874D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24</w:t>
            </w:r>
          </w:p>
        </w:tc>
        <w:tc>
          <w:tcPr>
            <w:tcW w:w="298" w:type="pct"/>
            <w:vAlign w:val="center"/>
          </w:tcPr>
          <w:p w14:paraId="6686BC8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43</w:t>
            </w:r>
          </w:p>
        </w:tc>
        <w:tc>
          <w:tcPr>
            <w:tcW w:w="298" w:type="pct"/>
            <w:vAlign w:val="bottom"/>
          </w:tcPr>
          <w:p w14:paraId="59FCA81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23</w:t>
            </w:r>
          </w:p>
        </w:tc>
      </w:tr>
      <w:tr w:rsidR="00C60C82" w:rsidRPr="008C1E5F" w14:paraId="44D4D19C" w14:textId="77777777" w:rsidTr="005922FA">
        <w:trPr>
          <w:jc w:val="center"/>
        </w:trPr>
        <w:tc>
          <w:tcPr>
            <w:tcW w:w="1109" w:type="pct"/>
          </w:tcPr>
          <w:p w14:paraId="6880D0D8"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Low income</w:t>
            </w:r>
          </w:p>
        </w:tc>
        <w:tc>
          <w:tcPr>
            <w:tcW w:w="313" w:type="pct"/>
            <w:vAlign w:val="center"/>
          </w:tcPr>
          <w:p w14:paraId="30D8D57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550</w:t>
            </w:r>
          </w:p>
        </w:tc>
        <w:tc>
          <w:tcPr>
            <w:tcW w:w="298" w:type="pct"/>
            <w:vAlign w:val="center"/>
          </w:tcPr>
          <w:p w14:paraId="0983399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17</w:t>
            </w:r>
          </w:p>
        </w:tc>
        <w:tc>
          <w:tcPr>
            <w:tcW w:w="298" w:type="pct"/>
            <w:vAlign w:val="center"/>
          </w:tcPr>
          <w:p w14:paraId="0A45F2A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14</w:t>
            </w:r>
          </w:p>
        </w:tc>
        <w:tc>
          <w:tcPr>
            <w:tcW w:w="298" w:type="pct"/>
            <w:vAlign w:val="center"/>
          </w:tcPr>
          <w:p w14:paraId="387B00D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10</w:t>
            </w:r>
          </w:p>
        </w:tc>
        <w:tc>
          <w:tcPr>
            <w:tcW w:w="298" w:type="pct"/>
            <w:vAlign w:val="center"/>
          </w:tcPr>
          <w:p w14:paraId="61DBB12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27</w:t>
            </w:r>
          </w:p>
        </w:tc>
        <w:tc>
          <w:tcPr>
            <w:tcW w:w="298" w:type="pct"/>
            <w:vAlign w:val="center"/>
          </w:tcPr>
          <w:p w14:paraId="442769A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52</w:t>
            </w:r>
          </w:p>
        </w:tc>
        <w:tc>
          <w:tcPr>
            <w:tcW w:w="298" w:type="pct"/>
            <w:vAlign w:val="center"/>
          </w:tcPr>
          <w:p w14:paraId="370DE32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62</w:t>
            </w:r>
          </w:p>
        </w:tc>
        <w:tc>
          <w:tcPr>
            <w:tcW w:w="298" w:type="pct"/>
            <w:vAlign w:val="center"/>
          </w:tcPr>
          <w:p w14:paraId="2ACFDF5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48</w:t>
            </w:r>
          </w:p>
        </w:tc>
        <w:tc>
          <w:tcPr>
            <w:tcW w:w="298" w:type="pct"/>
            <w:vAlign w:val="center"/>
          </w:tcPr>
          <w:p w14:paraId="03B8628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50</w:t>
            </w:r>
          </w:p>
        </w:tc>
        <w:tc>
          <w:tcPr>
            <w:tcW w:w="298" w:type="pct"/>
            <w:vAlign w:val="center"/>
          </w:tcPr>
          <w:p w14:paraId="53A89EE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31</w:t>
            </w:r>
          </w:p>
        </w:tc>
        <w:tc>
          <w:tcPr>
            <w:tcW w:w="298" w:type="pct"/>
            <w:vAlign w:val="center"/>
          </w:tcPr>
          <w:p w14:paraId="06E5A15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24</w:t>
            </w:r>
          </w:p>
        </w:tc>
        <w:tc>
          <w:tcPr>
            <w:tcW w:w="298" w:type="pct"/>
            <w:vAlign w:val="center"/>
          </w:tcPr>
          <w:p w14:paraId="326A9B9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43</w:t>
            </w:r>
          </w:p>
        </w:tc>
        <w:tc>
          <w:tcPr>
            <w:tcW w:w="298" w:type="pct"/>
            <w:vAlign w:val="bottom"/>
          </w:tcPr>
          <w:p w14:paraId="3EE07AD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23</w:t>
            </w:r>
          </w:p>
        </w:tc>
      </w:tr>
      <w:tr w:rsidR="00B70B91" w:rsidRPr="008C1E5F" w14:paraId="159F3E09" w14:textId="77777777" w:rsidTr="005922FA">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337A2929" w14:textId="77777777" w:rsidR="00C60C82" w:rsidRPr="008C1E5F" w:rsidRDefault="00C60C82" w:rsidP="00B70B91">
            <w:pPr>
              <w:pStyle w:val="TableText"/>
              <w:spacing w:before="10" w:after="10"/>
              <w:rPr>
                <w:rFonts w:ascii="Franklin Gothic Book" w:hAnsi="Franklin Gothic Book"/>
                <w:spacing w:val="-4"/>
              </w:rPr>
            </w:pPr>
            <w:r w:rsidRPr="008C1E5F">
              <w:rPr>
                <w:rFonts w:ascii="Franklin Gothic Book" w:hAnsi="Franklin Gothic Book"/>
                <w:spacing w:val="-4"/>
              </w:rPr>
              <w:t>ELs and former ELs</w:t>
            </w:r>
          </w:p>
        </w:tc>
        <w:tc>
          <w:tcPr>
            <w:tcW w:w="313" w:type="pct"/>
            <w:vAlign w:val="center"/>
          </w:tcPr>
          <w:p w14:paraId="7089DB6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201</w:t>
            </w:r>
          </w:p>
        </w:tc>
        <w:tc>
          <w:tcPr>
            <w:tcW w:w="298" w:type="pct"/>
            <w:vAlign w:val="center"/>
          </w:tcPr>
          <w:p w14:paraId="73B3635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w:t>
            </w:r>
          </w:p>
        </w:tc>
        <w:tc>
          <w:tcPr>
            <w:tcW w:w="298" w:type="pct"/>
            <w:vAlign w:val="center"/>
          </w:tcPr>
          <w:p w14:paraId="43F63DB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w:t>
            </w:r>
          </w:p>
        </w:tc>
        <w:tc>
          <w:tcPr>
            <w:tcW w:w="298" w:type="pct"/>
            <w:vAlign w:val="center"/>
          </w:tcPr>
          <w:p w14:paraId="58A9A7B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w:t>
            </w:r>
          </w:p>
        </w:tc>
        <w:tc>
          <w:tcPr>
            <w:tcW w:w="298" w:type="pct"/>
            <w:vAlign w:val="center"/>
          </w:tcPr>
          <w:p w14:paraId="7F93C6F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14</w:t>
            </w:r>
          </w:p>
        </w:tc>
        <w:tc>
          <w:tcPr>
            <w:tcW w:w="298" w:type="pct"/>
            <w:vAlign w:val="center"/>
          </w:tcPr>
          <w:p w14:paraId="6345918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51</w:t>
            </w:r>
          </w:p>
        </w:tc>
        <w:tc>
          <w:tcPr>
            <w:tcW w:w="298" w:type="pct"/>
            <w:vAlign w:val="center"/>
          </w:tcPr>
          <w:p w14:paraId="7EECDC1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66</w:t>
            </w:r>
          </w:p>
        </w:tc>
        <w:tc>
          <w:tcPr>
            <w:tcW w:w="298" w:type="pct"/>
            <w:vAlign w:val="center"/>
          </w:tcPr>
          <w:p w14:paraId="5FC4DF8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38</w:t>
            </w:r>
          </w:p>
        </w:tc>
        <w:tc>
          <w:tcPr>
            <w:tcW w:w="298" w:type="pct"/>
            <w:vAlign w:val="center"/>
          </w:tcPr>
          <w:p w14:paraId="1EBF670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46</w:t>
            </w:r>
          </w:p>
        </w:tc>
        <w:tc>
          <w:tcPr>
            <w:tcW w:w="298" w:type="pct"/>
            <w:vAlign w:val="center"/>
          </w:tcPr>
          <w:p w14:paraId="2FE13BF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44</w:t>
            </w:r>
          </w:p>
        </w:tc>
        <w:tc>
          <w:tcPr>
            <w:tcW w:w="298" w:type="pct"/>
            <w:vAlign w:val="center"/>
          </w:tcPr>
          <w:p w14:paraId="6EC6F95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33</w:t>
            </w:r>
          </w:p>
        </w:tc>
        <w:tc>
          <w:tcPr>
            <w:tcW w:w="298" w:type="pct"/>
            <w:vAlign w:val="center"/>
          </w:tcPr>
          <w:p w14:paraId="6258E47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57</w:t>
            </w:r>
          </w:p>
        </w:tc>
        <w:tc>
          <w:tcPr>
            <w:tcW w:w="298" w:type="pct"/>
            <w:vAlign w:val="bottom"/>
          </w:tcPr>
          <w:p w14:paraId="07424D6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40</w:t>
            </w:r>
          </w:p>
        </w:tc>
      </w:tr>
      <w:tr w:rsidR="00C60C82" w:rsidRPr="008C1E5F" w14:paraId="13E13CBE" w14:textId="77777777" w:rsidTr="005922FA">
        <w:trPr>
          <w:jc w:val="center"/>
        </w:trPr>
        <w:tc>
          <w:tcPr>
            <w:tcW w:w="1109" w:type="pct"/>
          </w:tcPr>
          <w:p w14:paraId="191B90CD"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Students w/disabilities</w:t>
            </w:r>
          </w:p>
        </w:tc>
        <w:tc>
          <w:tcPr>
            <w:tcW w:w="313" w:type="pct"/>
            <w:vAlign w:val="center"/>
          </w:tcPr>
          <w:p w14:paraId="518EBE6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164</w:t>
            </w:r>
          </w:p>
        </w:tc>
        <w:tc>
          <w:tcPr>
            <w:tcW w:w="298" w:type="pct"/>
            <w:vAlign w:val="center"/>
          </w:tcPr>
          <w:p w14:paraId="6C2C06A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w:t>
            </w:r>
          </w:p>
        </w:tc>
        <w:tc>
          <w:tcPr>
            <w:tcW w:w="298" w:type="pct"/>
            <w:vAlign w:val="center"/>
          </w:tcPr>
          <w:p w14:paraId="70092C0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w:t>
            </w:r>
          </w:p>
        </w:tc>
        <w:tc>
          <w:tcPr>
            <w:tcW w:w="298" w:type="pct"/>
            <w:vAlign w:val="center"/>
          </w:tcPr>
          <w:p w14:paraId="2AEC163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w:t>
            </w:r>
          </w:p>
        </w:tc>
        <w:tc>
          <w:tcPr>
            <w:tcW w:w="298" w:type="pct"/>
            <w:vAlign w:val="center"/>
          </w:tcPr>
          <w:p w14:paraId="3E1C081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14</w:t>
            </w:r>
          </w:p>
        </w:tc>
        <w:tc>
          <w:tcPr>
            <w:tcW w:w="298" w:type="pct"/>
            <w:vAlign w:val="center"/>
          </w:tcPr>
          <w:p w14:paraId="546EBC8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29</w:t>
            </w:r>
          </w:p>
        </w:tc>
        <w:tc>
          <w:tcPr>
            <w:tcW w:w="298" w:type="pct"/>
            <w:vAlign w:val="center"/>
          </w:tcPr>
          <w:p w14:paraId="3743A25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52</w:t>
            </w:r>
          </w:p>
        </w:tc>
        <w:tc>
          <w:tcPr>
            <w:tcW w:w="298" w:type="pct"/>
            <w:vAlign w:val="center"/>
          </w:tcPr>
          <w:p w14:paraId="38B8DEB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35</w:t>
            </w:r>
          </w:p>
        </w:tc>
        <w:tc>
          <w:tcPr>
            <w:tcW w:w="298" w:type="pct"/>
            <w:vAlign w:val="center"/>
          </w:tcPr>
          <w:p w14:paraId="2745FCC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51</w:t>
            </w:r>
          </w:p>
        </w:tc>
        <w:tc>
          <w:tcPr>
            <w:tcW w:w="298" w:type="pct"/>
            <w:vAlign w:val="center"/>
          </w:tcPr>
          <w:p w14:paraId="42FE813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67</w:t>
            </w:r>
          </w:p>
        </w:tc>
        <w:tc>
          <w:tcPr>
            <w:tcW w:w="298" w:type="pct"/>
            <w:vAlign w:val="center"/>
          </w:tcPr>
          <w:p w14:paraId="38B09DB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47</w:t>
            </w:r>
          </w:p>
        </w:tc>
        <w:tc>
          <w:tcPr>
            <w:tcW w:w="298" w:type="pct"/>
            <w:vAlign w:val="center"/>
          </w:tcPr>
          <w:p w14:paraId="6A9F0A7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63</w:t>
            </w:r>
          </w:p>
        </w:tc>
        <w:tc>
          <w:tcPr>
            <w:tcW w:w="298" w:type="pct"/>
            <w:vAlign w:val="bottom"/>
          </w:tcPr>
          <w:p w14:paraId="7261254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35</w:t>
            </w:r>
          </w:p>
        </w:tc>
      </w:tr>
    </w:tbl>
    <w:p w14:paraId="42E3EE02" w14:textId="77777777" w:rsidR="00C60C82" w:rsidRPr="008C1E5F" w:rsidRDefault="00C60C82" w:rsidP="00305BFA">
      <w:pPr>
        <w:pStyle w:val="TableETitles"/>
        <w:spacing w:after="60"/>
      </w:pPr>
      <w:bookmarkStart w:id="281" w:name="_Toc195024273"/>
      <w:r w:rsidRPr="008C1E5F">
        <w:lastRenderedPageBreak/>
        <w:t>Table E5. MCAS Science Achievement by Student Group, Grades 5 and 8, 2022-2024</w:t>
      </w:r>
      <w:bookmarkEnd w:id="281"/>
    </w:p>
    <w:tbl>
      <w:tblPr>
        <w:tblStyle w:val="MSVTable1"/>
        <w:tblW w:w="5000" w:type="pct"/>
        <w:jc w:val="center"/>
        <w:tblLayout w:type="fixed"/>
        <w:tblLook w:val="0420" w:firstRow="1" w:lastRow="0" w:firstColumn="0" w:lastColumn="0" w:noHBand="0" w:noVBand="1"/>
      </w:tblPr>
      <w:tblGrid>
        <w:gridCol w:w="2872"/>
        <w:gridCol w:w="824"/>
        <w:gridCol w:w="770"/>
        <w:gridCol w:w="772"/>
        <w:gridCol w:w="771"/>
        <w:gridCol w:w="771"/>
        <w:gridCol w:w="771"/>
        <w:gridCol w:w="771"/>
        <w:gridCol w:w="769"/>
        <w:gridCol w:w="771"/>
        <w:gridCol w:w="771"/>
        <w:gridCol w:w="771"/>
        <w:gridCol w:w="771"/>
        <w:gridCol w:w="769"/>
      </w:tblGrid>
      <w:tr w:rsidR="005922FA" w:rsidRPr="008C1E5F" w14:paraId="498C2048" w14:textId="77777777" w:rsidTr="005922FA">
        <w:trPr>
          <w:cnfStyle w:val="100000000000" w:firstRow="1" w:lastRow="0" w:firstColumn="0" w:lastColumn="0" w:oddVBand="0" w:evenVBand="0" w:oddHBand="0" w:evenHBand="0" w:firstRowFirstColumn="0" w:firstRowLastColumn="0" w:lastRowFirstColumn="0" w:lastRowLastColumn="0"/>
          <w:tblHeader/>
          <w:jc w:val="center"/>
        </w:trPr>
        <w:tc>
          <w:tcPr>
            <w:tcW w:w="1109" w:type="pct"/>
            <w:vAlign w:val="center"/>
          </w:tcPr>
          <w:p w14:paraId="63C07EAB" w14:textId="075324B8" w:rsidR="005922FA" w:rsidRPr="008C1E5F" w:rsidRDefault="005922FA" w:rsidP="005922FA">
            <w:pPr>
              <w:pStyle w:val="TableColHeadingCenter"/>
              <w:spacing w:before="10" w:after="10"/>
            </w:pPr>
            <w:r w:rsidRPr="00CE7319">
              <w:t>Group</w:t>
            </w:r>
          </w:p>
        </w:tc>
        <w:tc>
          <w:tcPr>
            <w:tcW w:w="318" w:type="pct"/>
            <w:tcMar>
              <w:left w:w="14" w:type="dxa"/>
              <w:right w:w="14" w:type="dxa"/>
            </w:tcMar>
            <w:vAlign w:val="center"/>
          </w:tcPr>
          <w:p w14:paraId="6AC8613A" w14:textId="1BB45D3F" w:rsidR="005922FA" w:rsidRPr="008C1E5F" w:rsidRDefault="005922FA" w:rsidP="005922FA">
            <w:pPr>
              <w:pStyle w:val="TableColHeadingCenter"/>
              <w:spacing w:before="10" w:after="10"/>
            </w:pPr>
            <w:r w:rsidRPr="00CE7319">
              <w:t># Included (2024)</w:t>
            </w:r>
          </w:p>
        </w:tc>
        <w:tc>
          <w:tcPr>
            <w:tcW w:w="297" w:type="pct"/>
            <w:tcMar>
              <w:left w:w="14" w:type="dxa"/>
              <w:right w:w="14" w:type="dxa"/>
            </w:tcMar>
            <w:vAlign w:val="center"/>
          </w:tcPr>
          <w:p w14:paraId="2446D89F" w14:textId="070622FF" w:rsidR="005922FA" w:rsidRPr="008C1E5F" w:rsidRDefault="005922FA" w:rsidP="005922FA">
            <w:pPr>
              <w:pStyle w:val="TableColHeadingCenter"/>
              <w:spacing w:before="10" w:after="10"/>
            </w:pPr>
            <w:r w:rsidRPr="00CE7319">
              <w:t>% M/E 2022</w:t>
            </w:r>
          </w:p>
        </w:tc>
        <w:tc>
          <w:tcPr>
            <w:tcW w:w="298" w:type="pct"/>
            <w:tcMar>
              <w:left w:w="14" w:type="dxa"/>
              <w:right w:w="14" w:type="dxa"/>
            </w:tcMar>
            <w:vAlign w:val="center"/>
          </w:tcPr>
          <w:p w14:paraId="4CF10AA0" w14:textId="74A9D908" w:rsidR="005922FA" w:rsidRPr="008C1E5F" w:rsidRDefault="005922FA" w:rsidP="005922FA">
            <w:pPr>
              <w:pStyle w:val="TableColHeadingCenter"/>
              <w:spacing w:before="10" w:after="10"/>
            </w:pPr>
            <w:r w:rsidRPr="00CE7319">
              <w:t>% M/E 2023</w:t>
            </w:r>
          </w:p>
        </w:tc>
        <w:tc>
          <w:tcPr>
            <w:tcW w:w="298" w:type="pct"/>
            <w:tcMar>
              <w:left w:w="14" w:type="dxa"/>
              <w:right w:w="14" w:type="dxa"/>
            </w:tcMar>
            <w:vAlign w:val="center"/>
          </w:tcPr>
          <w:p w14:paraId="5631852C" w14:textId="6E95C05A" w:rsidR="005922FA" w:rsidRPr="008C1E5F" w:rsidRDefault="005922FA" w:rsidP="005922FA">
            <w:pPr>
              <w:pStyle w:val="TableColHeadingCenter"/>
              <w:spacing w:before="10" w:after="10"/>
            </w:pPr>
            <w:r w:rsidRPr="00CE7319">
              <w:t>% M/E 2024</w:t>
            </w:r>
          </w:p>
        </w:tc>
        <w:tc>
          <w:tcPr>
            <w:tcW w:w="298" w:type="pct"/>
            <w:tcMar>
              <w:left w:w="14" w:type="dxa"/>
              <w:right w:w="14" w:type="dxa"/>
            </w:tcMar>
            <w:vAlign w:val="center"/>
          </w:tcPr>
          <w:p w14:paraId="44CEDC26" w14:textId="7F9C2DFF" w:rsidR="005922FA" w:rsidRPr="008C1E5F" w:rsidRDefault="005922FA" w:rsidP="005922FA">
            <w:pPr>
              <w:pStyle w:val="TableColHeadingCenter"/>
              <w:spacing w:before="10" w:after="10"/>
            </w:pPr>
            <w:r w:rsidRPr="00CE7319">
              <w:t>% M/E 2024 State</w:t>
            </w:r>
          </w:p>
        </w:tc>
        <w:tc>
          <w:tcPr>
            <w:tcW w:w="298" w:type="pct"/>
            <w:tcMar>
              <w:left w:w="14" w:type="dxa"/>
              <w:right w:w="14" w:type="dxa"/>
            </w:tcMar>
            <w:vAlign w:val="center"/>
          </w:tcPr>
          <w:p w14:paraId="4EE07E9D" w14:textId="297BAA28" w:rsidR="005922FA" w:rsidRPr="008C1E5F" w:rsidRDefault="005922FA" w:rsidP="005922FA">
            <w:pPr>
              <w:pStyle w:val="TableColHeadingCenter"/>
              <w:spacing w:before="10" w:after="10"/>
            </w:pPr>
            <w:r w:rsidRPr="00CE7319">
              <w:t>% PME 2022</w:t>
            </w:r>
          </w:p>
        </w:tc>
        <w:tc>
          <w:tcPr>
            <w:tcW w:w="298" w:type="pct"/>
            <w:tcMar>
              <w:left w:w="14" w:type="dxa"/>
              <w:right w:w="14" w:type="dxa"/>
            </w:tcMar>
            <w:vAlign w:val="center"/>
          </w:tcPr>
          <w:p w14:paraId="15661A97" w14:textId="70E8E854" w:rsidR="005922FA" w:rsidRPr="008C1E5F" w:rsidRDefault="005922FA" w:rsidP="005922FA">
            <w:pPr>
              <w:pStyle w:val="TableColHeadingCenter"/>
              <w:spacing w:before="10" w:after="10"/>
            </w:pPr>
            <w:r w:rsidRPr="00CE7319">
              <w:t>% PME 2023</w:t>
            </w:r>
          </w:p>
        </w:tc>
        <w:tc>
          <w:tcPr>
            <w:tcW w:w="297" w:type="pct"/>
            <w:tcMar>
              <w:left w:w="14" w:type="dxa"/>
              <w:right w:w="14" w:type="dxa"/>
            </w:tcMar>
            <w:vAlign w:val="center"/>
          </w:tcPr>
          <w:p w14:paraId="0916C643" w14:textId="7076BAD4" w:rsidR="005922FA" w:rsidRPr="008C1E5F" w:rsidRDefault="005922FA" w:rsidP="005922FA">
            <w:pPr>
              <w:pStyle w:val="TableColHeadingCenter"/>
              <w:spacing w:before="10" w:after="10"/>
            </w:pPr>
            <w:r w:rsidRPr="00CE7319">
              <w:t>% PME 2024</w:t>
            </w:r>
          </w:p>
        </w:tc>
        <w:tc>
          <w:tcPr>
            <w:tcW w:w="298" w:type="pct"/>
            <w:tcMar>
              <w:left w:w="14" w:type="dxa"/>
              <w:right w:w="14" w:type="dxa"/>
            </w:tcMar>
            <w:vAlign w:val="center"/>
          </w:tcPr>
          <w:p w14:paraId="49C09CAE" w14:textId="58DBFFC7" w:rsidR="005922FA" w:rsidRPr="008C1E5F" w:rsidRDefault="005922FA" w:rsidP="005922FA">
            <w:pPr>
              <w:pStyle w:val="TableColHeadingCenter"/>
              <w:spacing w:before="10" w:after="10"/>
            </w:pPr>
            <w:r w:rsidRPr="00CE7319">
              <w:t>% PME 2024 State</w:t>
            </w:r>
          </w:p>
        </w:tc>
        <w:tc>
          <w:tcPr>
            <w:tcW w:w="298" w:type="pct"/>
            <w:tcMar>
              <w:left w:w="14" w:type="dxa"/>
              <w:right w:w="14" w:type="dxa"/>
            </w:tcMar>
            <w:vAlign w:val="center"/>
          </w:tcPr>
          <w:p w14:paraId="7D479CB8" w14:textId="42EA1C90" w:rsidR="005922FA" w:rsidRPr="008C1E5F" w:rsidRDefault="005922FA" w:rsidP="005922FA">
            <w:pPr>
              <w:pStyle w:val="TableColHeadingCenter"/>
              <w:spacing w:before="10" w:after="10"/>
            </w:pPr>
            <w:r w:rsidRPr="00CE7319">
              <w:t>% NM 2022</w:t>
            </w:r>
          </w:p>
        </w:tc>
        <w:tc>
          <w:tcPr>
            <w:tcW w:w="298" w:type="pct"/>
            <w:tcMar>
              <w:left w:w="14" w:type="dxa"/>
              <w:right w:w="14" w:type="dxa"/>
            </w:tcMar>
            <w:vAlign w:val="center"/>
          </w:tcPr>
          <w:p w14:paraId="3F54330F" w14:textId="5789FA28" w:rsidR="005922FA" w:rsidRPr="008C1E5F" w:rsidRDefault="005922FA" w:rsidP="005922FA">
            <w:pPr>
              <w:pStyle w:val="TableColHeadingCenter"/>
              <w:spacing w:before="10" w:after="10"/>
            </w:pPr>
            <w:r w:rsidRPr="00CE7319">
              <w:t>% NM 2023</w:t>
            </w:r>
          </w:p>
        </w:tc>
        <w:tc>
          <w:tcPr>
            <w:tcW w:w="298" w:type="pct"/>
            <w:tcMar>
              <w:left w:w="14" w:type="dxa"/>
              <w:right w:w="14" w:type="dxa"/>
            </w:tcMar>
            <w:vAlign w:val="center"/>
          </w:tcPr>
          <w:p w14:paraId="1C3795CD" w14:textId="5F51C8FF" w:rsidR="005922FA" w:rsidRPr="008C1E5F" w:rsidRDefault="005922FA" w:rsidP="005922FA">
            <w:pPr>
              <w:pStyle w:val="TableColHeadingCenter"/>
              <w:spacing w:before="10" w:after="10"/>
            </w:pPr>
            <w:r w:rsidRPr="00CE7319">
              <w:t>% NM 2024</w:t>
            </w:r>
          </w:p>
        </w:tc>
        <w:tc>
          <w:tcPr>
            <w:tcW w:w="298" w:type="pct"/>
            <w:tcMar>
              <w:left w:w="14" w:type="dxa"/>
              <w:right w:w="14" w:type="dxa"/>
            </w:tcMar>
            <w:vAlign w:val="center"/>
          </w:tcPr>
          <w:p w14:paraId="1B7A9AAA" w14:textId="0370B4E6" w:rsidR="005922FA" w:rsidRPr="008C1E5F" w:rsidRDefault="005922FA" w:rsidP="005922FA">
            <w:pPr>
              <w:pStyle w:val="TableColHeadingCenter"/>
              <w:spacing w:before="10" w:after="10"/>
            </w:pPr>
            <w:r w:rsidRPr="00CE7319">
              <w:t>% NM 2024 State</w:t>
            </w:r>
          </w:p>
        </w:tc>
      </w:tr>
      <w:tr w:rsidR="00B70B91" w:rsidRPr="008C1E5F" w14:paraId="76F5C593" w14:textId="77777777" w:rsidTr="005922FA">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1FBF50A9"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All</w:t>
            </w:r>
          </w:p>
        </w:tc>
        <w:tc>
          <w:tcPr>
            <w:tcW w:w="318" w:type="pct"/>
            <w:vAlign w:val="center"/>
          </w:tcPr>
          <w:p w14:paraId="0986297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1,627</w:t>
            </w:r>
          </w:p>
        </w:tc>
        <w:tc>
          <w:tcPr>
            <w:tcW w:w="297" w:type="pct"/>
            <w:vAlign w:val="center"/>
          </w:tcPr>
          <w:p w14:paraId="7AF11A9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18</w:t>
            </w:r>
          </w:p>
        </w:tc>
        <w:tc>
          <w:tcPr>
            <w:tcW w:w="298" w:type="pct"/>
            <w:vAlign w:val="center"/>
          </w:tcPr>
          <w:p w14:paraId="0E96B9D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18</w:t>
            </w:r>
          </w:p>
        </w:tc>
        <w:tc>
          <w:tcPr>
            <w:tcW w:w="298" w:type="pct"/>
            <w:vAlign w:val="center"/>
          </w:tcPr>
          <w:p w14:paraId="4764985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18</w:t>
            </w:r>
          </w:p>
        </w:tc>
        <w:tc>
          <w:tcPr>
            <w:tcW w:w="298" w:type="pct"/>
            <w:vAlign w:val="center"/>
          </w:tcPr>
          <w:p w14:paraId="7934372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42</w:t>
            </w:r>
          </w:p>
        </w:tc>
        <w:tc>
          <w:tcPr>
            <w:tcW w:w="298" w:type="pct"/>
            <w:vAlign w:val="center"/>
          </w:tcPr>
          <w:p w14:paraId="6334202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44</w:t>
            </w:r>
          </w:p>
        </w:tc>
        <w:tc>
          <w:tcPr>
            <w:tcW w:w="298" w:type="pct"/>
            <w:vAlign w:val="center"/>
          </w:tcPr>
          <w:p w14:paraId="61C1EA9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45</w:t>
            </w:r>
          </w:p>
        </w:tc>
        <w:tc>
          <w:tcPr>
            <w:tcW w:w="297" w:type="pct"/>
            <w:vAlign w:val="center"/>
          </w:tcPr>
          <w:p w14:paraId="67521AD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41</w:t>
            </w:r>
          </w:p>
        </w:tc>
        <w:tc>
          <w:tcPr>
            <w:tcW w:w="298" w:type="pct"/>
            <w:vAlign w:val="center"/>
          </w:tcPr>
          <w:p w14:paraId="53DD995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38</w:t>
            </w:r>
          </w:p>
        </w:tc>
        <w:tc>
          <w:tcPr>
            <w:tcW w:w="298" w:type="pct"/>
            <w:vAlign w:val="center"/>
          </w:tcPr>
          <w:p w14:paraId="77500DD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37</w:t>
            </w:r>
          </w:p>
        </w:tc>
        <w:tc>
          <w:tcPr>
            <w:tcW w:w="298" w:type="pct"/>
            <w:vAlign w:val="center"/>
          </w:tcPr>
          <w:p w14:paraId="552F171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37</w:t>
            </w:r>
          </w:p>
        </w:tc>
        <w:tc>
          <w:tcPr>
            <w:tcW w:w="298" w:type="pct"/>
            <w:vAlign w:val="center"/>
          </w:tcPr>
          <w:p w14:paraId="0A96AE0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42</w:t>
            </w:r>
          </w:p>
        </w:tc>
        <w:tc>
          <w:tcPr>
            <w:tcW w:w="298" w:type="pct"/>
            <w:vAlign w:val="bottom"/>
          </w:tcPr>
          <w:p w14:paraId="519FB52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20</w:t>
            </w:r>
          </w:p>
        </w:tc>
      </w:tr>
      <w:tr w:rsidR="00C60C82" w:rsidRPr="008C1E5F" w14:paraId="3CB299CC" w14:textId="77777777" w:rsidTr="005922FA">
        <w:trPr>
          <w:jc w:val="center"/>
        </w:trPr>
        <w:tc>
          <w:tcPr>
            <w:tcW w:w="1109" w:type="pct"/>
          </w:tcPr>
          <w:p w14:paraId="4DA996E1"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African American/Black</w:t>
            </w:r>
          </w:p>
        </w:tc>
        <w:tc>
          <w:tcPr>
            <w:tcW w:w="318" w:type="pct"/>
            <w:vAlign w:val="center"/>
          </w:tcPr>
          <w:p w14:paraId="7E0E26F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197</w:t>
            </w:r>
          </w:p>
        </w:tc>
        <w:tc>
          <w:tcPr>
            <w:tcW w:w="297" w:type="pct"/>
            <w:vAlign w:val="center"/>
          </w:tcPr>
          <w:p w14:paraId="7FF94A1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12</w:t>
            </w:r>
          </w:p>
        </w:tc>
        <w:tc>
          <w:tcPr>
            <w:tcW w:w="298" w:type="pct"/>
            <w:vAlign w:val="center"/>
          </w:tcPr>
          <w:p w14:paraId="199C1A1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18</w:t>
            </w:r>
          </w:p>
        </w:tc>
        <w:tc>
          <w:tcPr>
            <w:tcW w:w="298" w:type="pct"/>
            <w:vAlign w:val="center"/>
          </w:tcPr>
          <w:p w14:paraId="14A2A89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14</w:t>
            </w:r>
          </w:p>
        </w:tc>
        <w:tc>
          <w:tcPr>
            <w:tcW w:w="298" w:type="pct"/>
            <w:vAlign w:val="center"/>
          </w:tcPr>
          <w:p w14:paraId="3F29C14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21</w:t>
            </w:r>
          </w:p>
        </w:tc>
        <w:tc>
          <w:tcPr>
            <w:tcW w:w="298" w:type="pct"/>
            <w:vAlign w:val="center"/>
          </w:tcPr>
          <w:p w14:paraId="3FE9A62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42</w:t>
            </w:r>
          </w:p>
        </w:tc>
        <w:tc>
          <w:tcPr>
            <w:tcW w:w="298" w:type="pct"/>
            <w:vAlign w:val="center"/>
          </w:tcPr>
          <w:p w14:paraId="0196FCD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39</w:t>
            </w:r>
          </w:p>
        </w:tc>
        <w:tc>
          <w:tcPr>
            <w:tcW w:w="297" w:type="pct"/>
            <w:vAlign w:val="center"/>
          </w:tcPr>
          <w:p w14:paraId="186E3DB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39</w:t>
            </w:r>
          </w:p>
        </w:tc>
        <w:tc>
          <w:tcPr>
            <w:tcW w:w="298" w:type="pct"/>
            <w:vAlign w:val="center"/>
          </w:tcPr>
          <w:p w14:paraId="584344A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46</w:t>
            </w:r>
          </w:p>
        </w:tc>
        <w:tc>
          <w:tcPr>
            <w:tcW w:w="298" w:type="pct"/>
            <w:vAlign w:val="center"/>
          </w:tcPr>
          <w:p w14:paraId="27AD29C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46</w:t>
            </w:r>
          </w:p>
        </w:tc>
        <w:tc>
          <w:tcPr>
            <w:tcW w:w="298" w:type="pct"/>
            <w:vAlign w:val="center"/>
          </w:tcPr>
          <w:p w14:paraId="3928592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43</w:t>
            </w:r>
          </w:p>
        </w:tc>
        <w:tc>
          <w:tcPr>
            <w:tcW w:w="298" w:type="pct"/>
            <w:vAlign w:val="center"/>
          </w:tcPr>
          <w:p w14:paraId="5BF157A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47</w:t>
            </w:r>
          </w:p>
        </w:tc>
        <w:tc>
          <w:tcPr>
            <w:tcW w:w="298" w:type="pct"/>
            <w:vAlign w:val="bottom"/>
          </w:tcPr>
          <w:p w14:paraId="54BB9E3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33</w:t>
            </w:r>
          </w:p>
        </w:tc>
      </w:tr>
      <w:tr w:rsidR="00B70B91" w:rsidRPr="008C1E5F" w14:paraId="1A9C3F90" w14:textId="77777777" w:rsidTr="005922FA">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2AC308D1"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Asian</w:t>
            </w:r>
          </w:p>
        </w:tc>
        <w:tc>
          <w:tcPr>
            <w:tcW w:w="318" w:type="pct"/>
            <w:vAlign w:val="center"/>
          </w:tcPr>
          <w:p w14:paraId="17360E5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47</w:t>
            </w:r>
          </w:p>
        </w:tc>
        <w:tc>
          <w:tcPr>
            <w:tcW w:w="297" w:type="pct"/>
            <w:vAlign w:val="center"/>
          </w:tcPr>
          <w:p w14:paraId="0FD2213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24</w:t>
            </w:r>
          </w:p>
        </w:tc>
        <w:tc>
          <w:tcPr>
            <w:tcW w:w="298" w:type="pct"/>
            <w:vAlign w:val="center"/>
          </w:tcPr>
          <w:p w14:paraId="0B4FFDA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23</w:t>
            </w:r>
          </w:p>
        </w:tc>
        <w:tc>
          <w:tcPr>
            <w:tcW w:w="298" w:type="pct"/>
            <w:vAlign w:val="center"/>
          </w:tcPr>
          <w:p w14:paraId="16C22FD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26</w:t>
            </w:r>
          </w:p>
        </w:tc>
        <w:tc>
          <w:tcPr>
            <w:tcW w:w="298" w:type="pct"/>
            <w:vAlign w:val="center"/>
          </w:tcPr>
          <w:p w14:paraId="32B1BB2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64</w:t>
            </w:r>
          </w:p>
        </w:tc>
        <w:tc>
          <w:tcPr>
            <w:tcW w:w="298" w:type="pct"/>
            <w:vAlign w:val="center"/>
          </w:tcPr>
          <w:p w14:paraId="6765603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53</w:t>
            </w:r>
          </w:p>
        </w:tc>
        <w:tc>
          <w:tcPr>
            <w:tcW w:w="298" w:type="pct"/>
            <w:vAlign w:val="center"/>
          </w:tcPr>
          <w:p w14:paraId="37282B4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49</w:t>
            </w:r>
          </w:p>
        </w:tc>
        <w:tc>
          <w:tcPr>
            <w:tcW w:w="297" w:type="pct"/>
            <w:vAlign w:val="center"/>
          </w:tcPr>
          <w:p w14:paraId="1B10A60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47</w:t>
            </w:r>
          </w:p>
        </w:tc>
        <w:tc>
          <w:tcPr>
            <w:tcW w:w="298" w:type="pct"/>
            <w:vAlign w:val="center"/>
          </w:tcPr>
          <w:p w14:paraId="68BDF13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26</w:t>
            </w:r>
          </w:p>
        </w:tc>
        <w:tc>
          <w:tcPr>
            <w:tcW w:w="298" w:type="pct"/>
            <w:vAlign w:val="center"/>
          </w:tcPr>
          <w:p w14:paraId="59DCD92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22</w:t>
            </w:r>
          </w:p>
        </w:tc>
        <w:tc>
          <w:tcPr>
            <w:tcW w:w="298" w:type="pct"/>
            <w:vAlign w:val="center"/>
          </w:tcPr>
          <w:p w14:paraId="088369C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28</w:t>
            </w:r>
          </w:p>
        </w:tc>
        <w:tc>
          <w:tcPr>
            <w:tcW w:w="298" w:type="pct"/>
            <w:vAlign w:val="center"/>
          </w:tcPr>
          <w:p w14:paraId="347E1BD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28</w:t>
            </w:r>
          </w:p>
        </w:tc>
        <w:tc>
          <w:tcPr>
            <w:tcW w:w="298" w:type="pct"/>
            <w:vAlign w:val="bottom"/>
          </w:tcPr>
          <w:p w14:paraId="64FEB61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9</w:t>
            </w:r>
          </w:p>
        </w:tc>
      </w:tr>
      <w:tr w:rsidR="00C60C82" w:rsidRPr="008C1E5F" w14:paraId="6064D664" w14:textId="77777777" w:rsidTr="005922FA">
        <w:trPr>
          <w:jc w:val="center"/>
        </w:trPr>
        <w:tc>
          <w:tcPr>
            <w:tcW w:w="1109" w:type="pct"/>
          </w:tcPr>
          <w:p w14:paraId="773F3B6B"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Hispanic/Latino</w:t>
            </w:r>
          </w:p>
        </w:tc>
        <w:tc>
          <w:tcPr>
            <w:tcW w:w="318" w:type="pct"/>
            <w:vAlign w:val="center"/>
          </w:tcPr>
          <w:p w14:paraId="4FD77C5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525</w:t>
            </w:r>
          </w:p>
        </w:tc>
        <w:tc>
          <w:tcPr>
            <w:tcW w:w="297" w:type="pct"/>
            <w:vAlign w:val="center"/>
          </w:tcPr>
          <w:p w14:paraId="18CA1B3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13</w:t>
            </w:r>
          </w:p>
        </w:tc>
        <w:tc>
          <w:tcPr>
            <w:tcW w:w="298" w:type="pct"/>
            <w:vAlign w:val="center"/>
          </w:tcPr>
          <w:p w14:paraId="1C826E9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11</w:t>
            </w:r>
          </w:p>
        </w:tc>
        <w:tc>
          <w:tcPr>
            <w:tcW w:w="298" w:type="pct"/>
            <w:vAlign w:val="center"/>
          </w:tcPr>
          <w:p w14:paraId="52D8478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14</w:t>
            </w:r>
          </w:p>
        </w:tc>
        <w:tc>
          <w:tcPr>
            <w:tcW w:w="298" w:type="pct"/>
            <w:vAlign w:val="center"/>
          </w:tcPr>
          <w:p w14:paraId="4E3CEF3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21</w:t>
            </w:r>
          </w:p>
        </w:tc>
        <w:tc>
          <w:tcPr>
            <w:tcW w:w="298" w:type="pct"/>
            <w:vAlign w:val="center"/>
          </w:tcPr>
          <w:p w14:paraId="12B2F84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43</w:t>
            </w:r>
          </w:p>
        </w:tc>
        <w:tc>
          <w:tcPr>
            <w:tcW w:w="298" w:type="pct"/>
            <w:vAlign w:val="center"/>
          </w:tcPr>
          <w:p w14:paraId="76EAFAE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45</w:t>
            </w:r>
          </w:p>
        </w:tc>
        <w:tc>
          <w:tcPr>
            <w:tcW w:w="297" w:type="pct"/>
            <w:vAlign w:val="center"/>
          </w:tcPr>
          <w:p w14:paraId="2FA8649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37</w:t>
            </w:r>
          </w:p>
        </w:tc>
        <w:tc>
          <w:tcPr>
            <w:tcW w:w="298" w:type="pct"/>
            <w:vAlign w:val="center"/>
          </w:tcPr>
          <w:p w14:paraId="6A277AE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43</w:t>
            </w:r>
          </w:p>
        </w:tc>
        <w:tc>
          <w:tcPr>
            <w:tcW w:w="298" w:type="pct"/>
            <w:vAlign w:val="center"/>
          </w:tcPr>
          <w:p w14:paraId="07A3A4E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44</w:t>
            </w:r>
          </w:p>
        </w:tc>
        <w:tc>
          <w:tcPr>
            <w:tcW w:w="298" w:type="pct"/>
            <w:vAlign w:val="center"/>
          </w:tcPr>
          <w:p w14:paraId="2BFACED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43</w:t>
            </w:r>
          </w:p>
        </w:tc>
        <w:tc>
          <w:tcPr>
            <w:tcW w:w="298" w:type="pct"/>
            <w:vAlign w:val="center"/>
          </w:tcPr>
          <w:p w14:paraId="4FDF126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48</w:t>
            </w:r>
          </w:p>
        </w:tc>
        <w:tc>
          <w:tcPr>
            <w:tcW w:w="298" w:type="pct"/>
            <w:vAlign w:val="bottom"/>
          </w:tcPr>
          <w:p w14:paraId="3BD11D7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36</w:t>
            </w:r>
          </w:p>
        </w:tc>
      </w:tr>
      <w:tr w:rsidR="00B70B91" w:rsidRPr="008C1E5F" w14:paraId="1AFAA7CB" w14:textId="77777777" w:rsidTr="005922FA">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1781AAF3"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cstheme="minorHAnsi"/>
              </w:rPr>
              <w:t>Multi-Race, non-Hispanic/Latino</w:t>
            </w:r>
          </w:p>
        </w:tc>
        <w:tc>
          <w:tcPr>
            <w:tcW w:w="318" w:type="pct"/>
            <w:vAlign w:val="center"/>
          </w:tcPr>
          <w:p w14:paraId="6487DFF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160</w:t>
            </w:r>
          </w:p>
        </w:tc>
        <w:tc>
          <w:tcPr>
            <w:tcW w:w="297" w:type="pct"/>
            <w:vAlign w:val="center"/>
          </w:tcPr>
          <w:p w14:paraId="4BA8606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25</w:t>
            </w:r>
          </w:p>
        </w:tc>
        <w:tc>
          <w:tcPr>
            <w:tcW w:w="298" w:type="pct"/>
            <w:vAlign w:val="center"/>
          </w:tcPr>
          <w:p w14:paraId="1586F61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18</w:t>
            </w:r>
          </w:p>
        </w:tc>
        <w:tc>
          <w:tcPr>
            <w:tcW w:w="298" w:type="pct"/>
            <w:vAlign w:val="center"/>
          </w:tcPr>
          <w:p w14:paraId="759B52F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15</w:t>
            </w:r>
          </w:p>
        </w:tc>
        <w:tc>
          <w:tcPr>
            <w:tcW w:w="298" w:type="pct"/>
            <w:vAlign w:val="center"/>
          </w:tcPr>
          <w:p w14:paraId="62CB285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49</w:t>
            </w:r>
          </w:p>
        </w:tc>
        <w:tc>
          <w:tcPr>
            <w:tcW w:w="298" w:type="pct"/>
            <w:vAlign w:val="center"/>
          </w:tcPr>
          <w:p w14:paraId="26D89F8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41</w:t>
            </w:r>
          </w:p>
        </w:tc>
        <w:tc>
          <w:tcPr>
            <w:tcW w:w="298" w:type="pct"/>
            <w:vAlign w:val="center"/>
          </w:tcPr>
          <w:p w14:paraId="5F6DB24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45</w:t>
            </w:r>
          </w:p>
        </w:tc>
        <w:tc>
          <w:tcPr>
            <w:tcW w:w="297" w:type="pct"/>
            <w:vAlign w:val="center"/>
          </w:tcPr>
          <w:p w14:paraId="0E5DF1C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45</w:t>
            </w:r>
          </w:p>
        </w:tc>
        <w:tc>
          <w:tcPr>
            <w:tcW w:w="298" w:type="pct"/>
            <w:vAlign w:val="center"/>
          </w:tcPr>
          <w:p w14:paraId="4511A69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34</w:t>
            </w:r>
          </w:p>
        </w:tc>
        <w:tc>
          <w:tcPr>
            <w:tcW w:w="298" w:type="pct"/>
            <w:vAlign w:val="center"/>
          </w:tcPr>
          <w:p w14:paraId="5131421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34</w:t>
            </w:r>
          </w:p>
        </w:tc>
        <w:tc>
          <w:tcPr>
            <w:tcW w:w="298" w:type="pct"/>
            <w:vAlign w:val="center"/>
          </w:tcPr>
          <w:p w14:paraId="69C0D4D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37</w:t>
            </w:r>
          </w:p>
        </w:tc>
        <w:tc>
          <w:tcPr>
            <w:tcW w:w="298" w:type="pct"/>
            <w:vAlign w:val="center"/>
          </w:tcPr>
          <w:p w14:paraId="25B1A18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40</w:t>
            </w:r>
          </w:p>
        </w:tc>
        <w:tc>
          <w:tcPr>
            <w:tcW w:w="298" w:type="pct"/>
            <w:vAlign w:val="bottom"/>
          </w:tcPr>
          <w:p w14:paraId="2A8DBF8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17</w:t>
            </w:r>
          </w:p>
        </w:tc>
      </w:tr>
      <w:tr w:rsidR="00C60C82" w:rsidRPr="008C1E5F" w14:paraId="7F66F140" w14:textId="77777777" w:rsidTr="005922FA">
        <w:trPr>
          <w:jc w:val="center"/>
        </w:trPr>
        <w:tc>
          <w:tcPr>
            <w:tcW w:w="1109" w:type="pct"/>
          </w:tcPr>
          <w:p w14:paraId="1D03DE3B"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Native American</w:t>
            </w:r>
          </w:p>
        </w:tc>
        <w:tc>
          <w:tcPr>
            <w:tcW w:w="318" w:type="pct"/>
            <w:vAlign w:val="center"/>
          </w:tcPr>
          <w:p w14:paraId="38713BD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w:t>
            </w:r>
          </w:p>
        </w:tc>
        <w:tc>
          <w:tcPr>
            <w:tcW w:w="297" w:type="pct"/>
            <w:vAlign w:val="center"/>
          </w:tcPr>
          <w:p w14:paraId="6B11D96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26CF5CD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7C29F5D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70C8AFA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26</w:t>
            </w:r>
          </w:p>
        </w:tc>
        <w:tc>
          <w:tcPr>
            <w:tcW w:w="298" w:type="pct"/>
            <w:vAlign w:val="center"/>
          </w:tcPr>
          <w:p w14:paraId="5E07EB1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70D2C59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7" w:type="pct"/>
            <w:vAlign w:val="center"/>
          </w:tcPr>
          <w:p w14:paraId="60F2415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48C07AC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43</w:t>
            </w:r>
          </w:p>
        </w:tc>
        <w:tc>
          <w:tcPr>
            <w:tcW w:w="298" w:type="pct"/>
            <w:vAlign w:val="center"/>
          </w:tcPr>
          <w:p w14:paraId="1B33AAB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2828263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274DC9C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bottom"/>
          </w:tcPr>
          <w:p w14:paraId="6E42453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32</w:t>
            </w:r>
          </w:p>
        </w:tc>
      </w:tr>
      <w:tr w:rsidR="00B70B91" w:rsidRPr="008C1E5F" w14:paraId="666DD980" w14:textId="77777777" w:rsidTr="005922FA">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2B42182A" w14:textId="77777777" w:rsidR="00C60C82" w:rsidRPr="008C1E5F" w:rsidRDefault="00C60C82" w:rsidP="00B70B91">
            <w:pPr>
              <w:pStyle w:val="TableText"/>
              <w:spacing w:before="10" w:after="10"/>
              <w:rPr>
                <w:rFonts w:ascii="Franklin Gothic Book" w:hAnsi="Franklin Gothic Book"/>
                <w:spacing w:val="-4"/>
              </w:rPr>
            </w:pPr>
            <w:r w:rsidRPr="008C1E5F">
              <w:rPr>
                <w:rFonts w:ascii="Franklin Gothic Book" w:hAnsi="Franklin Gothic Book"/>
                <w:spacing w:val="-4"/>
              </w:rPr>
              <w:t>Native Hawaiian, Pacific Islander</w:t>
            </w:r>
          </w:p>
        </w:tc>
        <w:tc>
          <w:tcPr>
            <w:tcW w:w="318" w:type="pct"/>
            <w:vAlign w:val="center"/>
          </w:tcPr>
          <w:p w14:paraId="21A5DD1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7" w:type="pct"/>
            <w:vAlign w:val="center"/>
          </w:tcPr>
          <w:p w14:paraId="731FD9C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27F19A8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7AC1152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5C55BEF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43</w:t>
            </w:r>
          </w:p>
        </w:tc>
        <w:tc>
          <w:tcPr>
            <w:tcW w:w="298" w:type="pct"/>
            <w:vAlign w:val="center"/>
          </w:tcPr>
          <w:p w14:paraId="608C6B0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05F33FE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7" w:type="pct"/>
            <w:vAlign w:val="center"/>
          </w:tcPr>
          <w:p w14:paraId="5FE6DED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36FF2C0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34</w:t>
            </w:r>
          </w:p>
        </w:tc>
        <w:tc>
          <w:tcPr>
            <w:tcW w:w="298" w:type="pct"/>
            <w:vAlign w:val="center"/>
          </w:tcPr>
          <w:p w14:paraId="7649E20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0B71620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17C9F8E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bottom"/>
          </w:tcPr>
          <w:p w14:paraId="3A5EEB1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23</w:t>
            </w:r>
          </w:p>
        </w:tc>
      </w:tr>
      <w:tr w:rsidR="00C60C82" w:rsidRPr="008C1E5F" w14:paraId="312115C5" w14:textId="77777777" w:rsidTr="005922FA">
        <w:trPr>
          <w:jc w:val="center"/>
        </w:trPr>
        <w:tc>
          <w:tcPr>
            <w:tcW w:w="1109" w:type="pct"/>
          </w:tcPr>
          <w:p w14:paraId="1F3DDEEA"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White</w:t>
            </w:r>
          </w:p>
        </w:tc>
        <w:tc>
          <w:tcPr>
            <w:tcW w:w="318" w:type="pct"/>
            <w:vAlign w:val="center"/>
          </w:tcPr>
          <w:p w14:paraId="239D819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693</w:t>
            </w:r>
          </w:p>
        </w:tc>
        <w:tc>
          <w:tcPr>
            <w:tcW w:w="297" w:type="pct"/>
            <w:vAlign w:val="center"/>
          </w:tcPr>
          <w:p w14:paraId="6C8040E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21</w:t>
            </w:r>
          </w:p>
        </w:tc>
        <w:tc>
          <w:tcPr>
            <w:tcW w:w="298" w:type="pct"/>
            <w:vAlign w:val="center"/>
          </w:tcPr>
          <w:p w14:paraId="0F461A9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22</w:t>
            </w:r>
          </w:p>
        </w:tc>
        <w:tc>
          <w:tcPr>
            <w:tcW w:w="298" w:type="pct"/>
            <w:vAlign w:val="center"/>
          </w:tcPr>
          <w:p w14:paraId="0F75AE8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21</w:t>
            </w:r>
          </w:p>
        </w:tc>
        <w:tc>
          <w:tcPr>
            <w:tcW w:w="298" w:type="pct"/>
            <w:vAlign w:val="center"/>
          </w:tcPr>
          <w:p w14:paraId="30B61F7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51</w:t>
            </w:r>
          </w:p>
        </w:tc>
        <w:tc>
          <w:tcPr>
            <w:tcW w:w="298" w:type="pct"/>
            <w:vAlign w:val="center"/>
          </w:tcPr>
          <w:p w14:paraId="55E182E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45</w:t>
            </w:r>
          </w:p>
        </w:tc>
        <w:tc>
          <w:tcPr>
            <w:tcW w:w="298" w:type="pct"/>
            <w:vAlign w:val="center"/>
          </w:tcPr>
          <w:p w14:paraId="4766AE2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47</w:t>
            </w:r>
          </w:p>
        </w:tc>
        <w:tc>
          <w:tcPr>
            <w:tcW w:w="297" w:type="pct"/>
            <w:vAlign w:val="center"/>
          </w:tcPr>
          <w:p w14:paraId="4933114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43</w:t>
            </w:r>
          </w:p>
        </w:tc>
        <w:tc>
          <w:tcPr>
            <w:tcW w:w="298" w:type="pct"/>
            <w:vAlign w:val="center"/>
          </w:tcPr>
          <w:p w14:paraId="472A190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36</w:t>
            </w:r>
          </w:p>
        </w:tc>
        <w:tc>
          <w:tcPr>
            <w:tcW w:w="298" w:type="pct"/>
            <w:vAlign w:val="center"/>
          </w:tcPr>
          <w:p w14:paraId="350FB5C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34</w:t>
            </w:r>
          </w:p>
        </w:tc>
        <w:tc>
          <w:tcPr>
            <w:tcW w:w="298" w:type="pct"/>
            <w:vAlign w:val="center"/>
          </w:tcPr>
          <w:p w14:paraId="36BE6E8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31</w:t>
            </w:r>
          </w:p>
        </w:tc>
        <w:tc>
          <w:tcPr>
            <w:tcW w:w="298" w:type="pct"/>
            <w:vAlign w:val="center"/>
          </w:tcPr>
          <w:p w14:paraId="42A266C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37</w:t>
            </w:r>
          </w:p>
        </w:tc>
        <w:tc>
          <w:tcPr>
            <w:tcW w:w="298" w:type="pct"/>
            <w:vAlign w:val="bottom"/>
          </w:tcPr>
          <w:p w14:paraId="6B4E2CF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12</w:t>
            </w:r>
          </w:p>
        </w:tc>
      </w:tr>
      <w:tr w:rsidR="00B70B91" w:rsidRPr="008C1E5F" w14:paraId="30568074" w14:textId="77777777" w:rsidTr="005922FA">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5D4CE607"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High needs</w:t>
            </w:r>
          </w:p>
        </w:tc>
        <w:tc>
          <w:tcPr>
            <w:tcW w:w="318" w:type="pct"/>
            <w:vAlign w:val="center"/>
          </w:tcPr>
          <w:p w14:paraId="6A2194F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1,415</w:t>
            </w:r>
          </w:p>
        </w:tc>
        <w:tc>
          <w:tcPr>
            <w:tcW w:w="297" w:type="pct"/>
            <w:vAlign w:val="center"/>
          </w:tcPr>
          <w:p w14:paraId="255D0D0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15</w:t>
            </w:r>
          </w:p>
        </w:tc>
        <w:tc>
          <w:tcPr>
            <w:tcW w:w="298" w:type="pct"/>
            <w:vAlign w:val="center"/>
          </w:tcPr>
          <w:p w14:paraId="7DC9364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14</w:t>
            </w:r>
          </w:p>
        </w:tc>
        <w:tc>
          <w:tcPr>
            <w:tcW w:w="298" w:type="pct"/>
            <w:vAlign w:val="center"/>
          </w:tcPr>
          <w:p w14:paraId="2B3359B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14</w:t>
            </w:r>
          </w:p>
        </w:tc>
        <w:tc>
          <w:tcPr>
            <w:tcW w:w="298" w:type="pct"/>
            <w:vAlign w:val="center"/>
          </w:tcPr>
          <w:p w14:paraId="6C05B64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24</w:t>
            </w:r>
          </w:p>
        </w:tc>
        <w:tc>
          <w:tcPr>
            <w:tcW w:w="298" w:type="pct"/>
            <w:vAlign w:val="center"/>
          </w:tcPr>
          <w:p w14:paraId="322F3BE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44</w:t>
            </w:r>
          </w:p>
        </w:tc>
        <w:tc>
          <w:tcPr>
            <w:tcW w:w="298" w:type="pct"/>
            <w:vAlign w:val="center"/>
          </w:tcPr>
          <w:p w14:paraId="5919F30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45</w:t>
            </w:r>
          </w:p>
        </w:tc>
        <w:tc>
          <w:tcPr>
            <w:tcW w:w="297" w:type="pct"/>
            <w:vAlign w:val="center"/>
          </w:tcPr>
          <w:p w14:paraId="538DDCF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40</w:t>
            </w:r>
          </w:p>
        </w:tc>
        <w:tc>
          <w:tcPr>
            <w:tcW w:w="298" w:type="pct"/>
            <w:vAlign w:val="center"/>
          </w:tcPr>
          <w:p w14:paraId="0461CB4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44</w:t>
            </w:r>
          </w:p>
        </w:tc>
        <w:tc>
          <w:tcPr>
            <w:tcW w:w="298" w:type="pct"/>
            <w:vAlign w:val="center"/>
          </w:tcPr>
          <w:p w14:paraId="36BFAEA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41</w:t>
            </w:r>
          </w:p>
        </w:tc>
        <w:tc>
          <w:tcPr>
            <w:tcW w:w="298" w:type="pct"/>
            <w:vAlign w:val="center"/>
          </w:tcPr>
          <w:p w14:paraId="729BB99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41</w:t>
            </w:r>
          </w:p>
        </w:tc>
        <w:tc>
          <w:tcPr>
            <w:tcW w:w="298" w:type="pct"/>
            <w:vAlign w:val="center"/>
          </w:tcPr>
          <w:p w14:paraId="5B2BEB4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46</w:t>
            </w:r>
          </w:p>
        </w:tc>
        <w:tc>
          <w:tcPr>
            <w:tcW w:w="298" w:type="pct"/>
            <w:vAlign w:val="bottom"/>
          </w:tcPr>
          <w:p w14:paraId="3EED4AA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32</w:t>
            </w:r>
          </w:p>
        </w:tc>
      </w:tr>
      <w:tr w:rsidR="00C60C82" w:rsidRPr="008C1E5F" w14:paraId="19E62F65" w14:textId="77777777" w:rsidTr="005922FA">
        <w:trPr>
          <w:jc w:val="center"/>
        </w:trPr>
        <w:tc>
          <w:tcPr>
            <w:tcW w:w="1109" w:type="pct"/>
          </w:tcPr>
          <w:p w14:paraId="018A9F10"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Low income</w:t>
            </w:r>
          </w:p>
        </w:tc>
        <w:tc>
          <w:tcPr>
            <w:tcW w:w="318" w:type="pct"/>
            <w:vAlign w:val="center"/>
          </w:tcPr>
          <w:p w14:paraId="3E04CFC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1,311</w:t>
            </w:r>
          </w:p>
        </w:tc>
        <w:tc>
          <w:tcPr>
            <w:tcW w:w="297" w:type="pct"/>
            <w:vAlign w:val="center"/>
          </w:tcPr>
          <w:p w14:paraId="59A3CA2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15</w:t>
            </w:r>
          </w:p>
        </w:tc>
        <w:tc>
          <w:tcPr>
            <w:tcW w:w="298" w:type="pct"/>
            <w:vAlign w:val="center"/>
          </w:tcPr>
          <w:p w14:paraId="7B8F1CB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14</w:t>
            </w:r>
          </w:p>
        </w:tc>
        <w:tc>
          <w:tcPr>
            <w:tcW w:w="298" w:type="pct"/>
            <w:vAlign w:val="center"/>
          </w:tcPr>
          <w:p w14:paraId="3C4CD36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14</w:t>
            </w:r>
          </w:p>
        </w:tc>
        <w:tc>
          <w:tcPr>
            <w:tcW w:w="298" w:type="pct"/>
            <w:vAlign w:val="center"/>
          </w:tcPr>
          <w:p w14:paraId="6A56B7E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22</w:t>
            </w:r>
          </w:p>
        </w:tc>
        <w:tc>
          <w:tcPr>
            <w:tcW w:w="298" w:type="pct"/>
            <w:vAlign w:val="center"/>
          </w:tcPr>
          <w:p w14:paraId="1BDA46E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45</w:t>
            </w:r>
          </w:p>
        </w:tc>
        <w:tc>
          <w:tcPr>
            <w:tcW w:w="298" w:type="pct"/>
            <w:vAlign w:val="center"/>
          </w:tcPr>
          <w:p w14:paraId="1FDEDCE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45</w:t>
            </w:r>
          </w:p>
        </w:tc>
        <w:tc>
          <w:tcPr>
            <w:tcW w:w="297" w:type="pct"/>
            <w:vAlign w:val="center"/>
          </w:tcPr>
          <w:p w14:paraId="43CDE46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39</w:t>
            </w:r>
          </w:p>
        </w:tc>
        <w:tc>
          <w:tcPr>
            <w:tcW w:w="298" w:type="pct"/>
            <w:vAlign w:val="center"/>
          </w:tcPr>
          <w:p w14:paraId="4CC05D1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44</w:t>
            </w:r>
          </w:p>
        </w:tc>
        <w:tc>
          <w:tcPr>
            <w:tcW w:w="298" w:type="pct"/>
            <w:vAlign w:val="center"/>
          </w:tcPr>
          <w:p w14:paraId="0AC0507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41</w:t>
            </w:r>
          </w:p>
        </w:tc>
        <w:tc>
          <w:tcPr>
            <w:tcW w:w="298" w:type="pct"/>
            <w:vAlign w:val="center"/>
          </w:tcPr>
          <w:p w14:paraId="0EDBAA8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41</w:t>
            </w:r>
          </w:p>
        </w:tc>
        <w:tc>
          <w:tcPr>
            <w:tcW w:w="298" w:type="pct"/>
            <w:vAlign w:val="center"/>
          </w:tcPr>
          <w:p w14:paraId="1C2A4AA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47</w:t>
            </w:r>
          </w:p>
        </w:tc>
        <w:tc>
          <w:tcPr>
            <w:tcW w:w="298" w:type="pct"/>
            <w:vAlign w:val="bottom"/>
          </w:tcPr>
          <w:p w14:paraId="1D7E85F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34</w:t>
            </w:r>
          </w:p>
        </w:tc>
      </w:tr>
      <w:tr w:rsidR="00B70B91" w:rsidRPr="008C1E5F" w14:paraId="35891B8E" w14:textId="77777777" w:rsidTr="005922FA">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2EB5074A" w14:textId="77777777" w:rsidR="00C60C82" w:rsidRPr="008C1E5F" w:rsidRDefault="00C60C82" w:rsidP="00B70B91">
            <w:pPr>
              <w:pStyle w:val="TableText"/>
              <w:spacing w:before="10" w:after="10"/>
              <w:rPr>
                <w:rFonts w:ascii="Franklin Gothic Book" w:hAnsi="Franklin Gothic Book"/>
                <w:spacing w:val="-4"/>
              </w:rPr>
            </w:pPr>
            <w:r w:rsidRPr="008C1E5F">
              <w:rPr>
                <w:rFonts w:ascii="Franklin Gothic Book" w:hAnsi="Franklin Gothic Book"/>
                <w:spacing w:val="-4"/>
              </w:rPr>
              <w:t>ELs and former ELs</w:t>
            </w:r>
          </w:p>
        </w:tc>
        <w:tc>
          <w:tcPr>
            <w:tcW w:w="318" w:type="pct"/>
            <w:vAlign w:val="center"/>
          </w:tcPr>
          <w:p w14:paraId="71E5744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501</w:t>
            </w:r>
          </w:p>
        </w:tc>
        <w:tc>
          <w:tcPr>
            <w:tcW w:w="297" w:type="pct"/>
            <w:vAlign w:val="center"/>
          </w:tcPr>
          <w:p w14:paraId="0AABA6B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8</w:t>
            </w:r>
          </w:p>
        </w:tc>
        <w:tc>
          <w:tcPr>
            <w:tcW w:w="298" w:type="pct"/>
            <w:vAlign w:val="center"/>
          </w:tcPr>
          <w:p w14:paraId="7626530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8</w:t>
            </w:r>
          </w:p>
        </w:tc>
        <w:tc>
          <w:tcPr>
            <w:tcW w:w="298" w:type="pct"/>
            <w:vAlign w:val="center"/>
          </w:tcPr>
          <w:p w14:paraId="374C0A0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9</w:t>
            </w:r>
          </w:p>
        </w:tc>
        <w:tc>
          <w:tcPr>
            <w:tcW w:w="298" w:type="pct"/>
            <w:vAlign w:val="center"/>
          </w:tcPr>
          <w:p w14:paraId="7B28E03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17</w:t>
            </w:r>
          </w:p>
        </w:tc>
        <w:tc>
          <w:tcPr>
            <w:tcW w:w="298" w:type="pct"/>
            <w:vAlign w:val="center"/>
          </w:tcPr>
          <w:p w14:paraId="6A2F8B7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42</w:t>
            </w:r>
          </w:p>
        </w:tc>
        <w:tc>
          <w:tcPr>
            <w:tcW w:w="298" w:type="pct"/>
            <w:vAlign w:val="center"/>
          </w:tcPr>
          <w:p w14:paraId="3D06C95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42</w:t>
            </w:r>
          </w:p>
        </w:tc>
        <w:tc>
          <w:tcPr>
            <w:tcW w:w="297" w:type="pct"/>
            <w:vAlign w:val="center"/>
          </w:tcPr>
          <w:p w14:paraId="48662E3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33</w:t>
            </w:r>
          </w:p>
        </w:tc>
        <w:tc>
          <w:tcPr>
            <w:tcW w:w="298" w:type="pct"/>
            <w:vAlign w:val="center"/>
          </w:tcPr>
          <w:p w14:paraId="1309107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41</w:t>
            </w:r>
          </w:p>
        </w:tc>
        <w:tc>
          <w:tcPr>
            <w:tcW w:w="298" w:type="pct"/>
            <w:vAlign w:val="center"/>
          </w:tcPr>
          <w:p w14:paraId="5DC9561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50</w:t>
            </w:r>
          </w:p>
        </w:tc>
        <w:tc>
          <w:tcPr>
            <w:tcW w:w="298" w:type="pct"/>
            <w:vAlign w:val="center"/>
          </w:tcPr>
          <w:p w14:paraId="0FF84DF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50</w:t>
            </w:r>
          </w:p>
        </w:tc>
        <w:tc>
          <w:tcPr>
            <w:tcW w:w="298" w:type="pct"/>
            <w:vAlign w:val="center"/>
          </w:tcPr>
          <w:p w14:paraId="43D359D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58</w:t>
            </w:r>
          </w:p>
        </w:tc>
        <w:tc>
          <w:tcPr>
            <w:tcW w:w="298" w:type="pct"/>
            <w:vAlign w:val="bottom"/>
          </w:tcPr>
          <w:p w14:paraId="1E29680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42</w:t>
            </w:r>
          </w:p>
        </w:tc>
      </w:tr>
      <w:tr w:rsidR="00C60C82" w:rsidRPr="008C1E5F" w14:paraId="774F2BCD" w14:textId="77777777" w:rsidTr="005922FA">
        <w:trPr>
          <w:jc w:val="center"/>
        </w:trPr>
        <w:tc>
          <w:tcPr>
            <w:tcW w:w="1109" w:type="pct"/>
          </w:tcPr>
          <w:p w14:paraId="67F2DAD8"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Students w/disabilities</w:t>
            </w:r>
          </w:p>
        </w:tc>
        <w:tc>
          <w:tcPr>
            <w:tcW w:w="318" w:type="pct"/>
            <w:vAlign w:val="center"/>
          </w:tcPr>
          <w:p w14:paraId="6AC27C8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397</w:t>
            </w:r>
          </w:p>
        </w:tc>
        <w:tc>
          <w:tcPr>
            <w:tcW w:w="297" w:type="pct"/>
            <w:vAlign w:val="center"/>
          </w:tcPr>
          <w:p w14:paraId="422FAAF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w:t>
            </w:r>
          </w:p>
        </w:tc>
        <w:tc>
          <w:tcPr>
            <w:tcW w:w="298" w:type="pct"/>
            <w:vAlign w:val="center"/>
          </w:tcPr>
          <w:p w14:paraId="39BDDB5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w:t>
            </w:r>
          </w:p>
        </w:tc>
        <w:tc>
          <w:tcPr>
            <w:tcW w:w="298" w:type="pct"/>
            <w:vAlign w:val="center"/>
          </w:tcPr>
          <w:p w14:paraId="4394286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w:t>
            </w:r>
          </w:p>
        </w:tc>
        <w:tc>
          <w:tcPr>
            <w:tcW w:w="298" w:type="pct"/>
            <w:vAlign w:val="center"/>
          </w:tcPr>
          <w:p w14:paraId="25DF50D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15</w:t>
            </w:r>
          </w:p>
        </w:tc>
        <w:tc>
          <w:tcPr>
            <w:tcW w:w="298" w:type="pct"/>
            <w:vAlign w:val="center"/>
          </w:tcPr>
          <w:p w14:paraId="032DE66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31</w:t>
            </w:r>
          </w:p>
        </w:tc>
        <w:tc>
          <w:tcPr>
            <w:tcW w:w="298" w:type="pct"/>
            <w:vAlign w:val="center"/>
          </w:tcPr>
          <w:p w14:paraId="12ECFF7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33</w:t>
            </w:r>
          </w:p>
        </w:tc>
        <w:tc>
          <w:tcPr>
            <w:tcW w:w="297" w:type="pct"/>
            <w:vAlign w:val="center"/>
          </w:tcPr>
          <w:p w14:paraId="29126B3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24</w:t>
            </w:r>
          </w:p>
        </w:tc>
        <w:tc>
          <w:tcPr>
            <w:tcW w:w="298" w:type="pct"/>
            <w:vAlign w:val="center"/>
          </w:tcPr>
          <w:p w14:paraId="42A77FF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38</w:t>
            </w:r>
          </w:p>
        </w:tc>
        <w:tc>
          <w:tcPr>
            <w:tcW w:w="298" w:type="pct"/>
            <w:vAlign w:val="center"/>
          </w:tcPr>
          <w:p w14:paraId="2EE5B51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64</w:t>
            </w:r>
          </w:p>
        </w:tc>
        <w:tc>
          <w:tcPr>
            <w:tcW w:w="298" w:type="pct"/>
            <w:vAlign w:val="center"/>
          </w:tcPr>
          <w:p w14:paraId="3D605B2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62</w:t>
            </w:r>
          </w:p>
        </w:tc>
        <w:tc>
          <w:tcPr>
            <w:tcW w:w="298" w:type="pct"/>
            <w:vAlign w:val="center"/>
          </w:tcPr>
          <w:p w14:paraId="34963C1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70</w:t>
            </w:r>
          </w:p>
        </w:tc>
        <w:tc>
          <w:tcPr>
            <w:tcW w:w="298" w:type="pct"/>
            <w:vAlign w:val="bottom"/>
          </w:tcPr>
          <w:p w14:paraId="028D06E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46</w:t>
            </w:r>
          </w:p>
        </w:tc>
      </w:tr>
    </w:tbl>
    <w:p w14:paraId="2AC50198" w14:textId="77777777" w:rsidR="00C60C82" w:rsidRPr="008C1E5F" w:rsidRDefault="00C60C82" w:rsidP="00305BFA">
      <w:pPr>
        <w:pStyle w:val="TableETitles"/>
        <w:spacing w:after="60"/>
      </w:pPr>
      <w:bookmarkStart w:id="282" w:name="_Toc195024274"/>
      <w:r w:rsidRPr="008C1E5F">
        <w:t>Table E6. MCAS Science Achievement by Student Group, Grade 10, 2022-2024</w:t>
      </w:r>
      <w:bookmarkEnd w:id="282"/>
    </w:p>
    <w:tbl>
      <w:tblPr>
        <w:tblStyle w:val="MSVTable1"/>
        <w:tblW w:w="5000" w:type="pct"/>
        <w:jc w:val="center"/>
        <w:tblLayout w:type="fixed"/>
        <w:tblLook w:val="0420" w:firstRow="1" w:lastRow="0" w:firstColumn="0" w:lastColumn="0" w:noHBand="0" w:noVBand="1"/>
      </w:tblPr>
      <w:tblGrid>
        <w:gridCol w:w="2872"/>
        <w:gridCol w:w="824"/>
        <w:gridCol w:w="770"/>
        <w:gridCol w:w="772"/>
        <w:gridCol w:w="771"/>
        <w:gridCol w:w="771"/>
        <w:gridCol w:w="769"/>
        <w:gridCol w:w="771"/>
        <w:gridCol w:w="771"/>
        <w:gridCol w:w="771"/>
        <w:gridCol w:w="769"/>
        <w:gridCol w:w="771"/>
        <w:gridCol w:w="771"/>
        <w:gridCol w:w="771"/>
      </w:tblGrid>
      <w:tr w:rsidR="005922FA" w:rsidRPr="008C1E5F" w14:paraId="20CACAA2" w14:textId="77777777" w:rsidTr="005922FA">
        <w:trPr>
          <w:cnfStyle w:val="100000000000" w:firstRow="1" w:lastRow="0" w:firstColumn="0" w:lastColumn="0" w:oddVBand="0" w:evenVBand="0" w:oddHBand="0" w:evenHBand="0" w:firstRowFirstColumn="0" w:firstRowLastColumn="0" w:lastRowFirstColumn="0" w:lastRowLastColumn="0"/>
          <w:tblHeader/>
          <w:jc w:val="center"/>
        </w:trPr>
        <w:tc>
          <w:tcPr>
            <w:tcW w:w="1109" w:type="pct"/>
            <w:vAlign w:val="center"/>
          </w:tcPr>
          <w:p w14:paraId="5F96D94E" w14:textId="372BBA10" w:rsidR="005922FA" w:rsidRPr="008C1E5F" w:rsidRDefault="005922FA" w:rsidP="005922FA">
            <w:pPr>
              <w:pStyle w:val="TableColHeadingCenter"/>
              <w:spacing w:before="10" w:after="10"/>
            </w:pPr>
            <w:r w:rsidRPr="008108C3">
              <w:t>Group</w:t>
            </w:r>
          </w:p>
        </w:tc>
        <w:tc>
          <w:tcPr>
            <w:tcW w:w="318" w:type="pct"/>
            <w:tcMar>
              <w:left w:w="14" w:type="dxa"/>
              <w:right w:w="14" w:type="dxa"/>
            </w:tcMar>
            <w:vAlign w:val="center"/>
          </w:tcPr>
          <w:p w14:paraId="391B79A0" w14:textId="238DC1EB" w:rsidR="005922FA" w:rsidRPr="008C1E5F" w:rsidRDefault="005922FA" w:rsidP="005922FA">
            <w:pPr>
              <w:pStyle w:val="TableColHeadingCenter"/>
              <w:spacing w:before="10" w:after="10"/>
            </w:pPr>
            <w:r w:rsidRPr="008108C3">
              <w:t># Included (2024)</w:t>
            </w:r>
          </w:p>
        </w:tc>
        <w:tc>
          <w:tcPr>
            <w:tcW w:w="297" w:type="pct"/>
            <w:tcMar>
              <w:left w:w="14" w:type="dxa"/>
              <w:right w:w="14" w:type="dxa"/>
            </w:tcMar>
            <w:vAlign w:val="center"/>
          </w:tcPr>
          <w:p w14:paraId="6E15C55D" w14:textId="2CCC96F5" w:rsidR="005922FA" w:rsidRPr="008C1E5F" w:rsidRDefault="005922FA" w:rsidP="005922FA">
            <w:pPr>
              <w:pStyle w:val="TableColHeadingCenter"/>
              <w:spacing w:before="10" w:after="10"/>
            </w:pPr>
            <w:r w:rsidRPr="008108C3">
              <w:t>% M/E 2022</w:t>
            </w:r>
          </w:p>
        </w:tc>
        <w:tc>
          <w:tcPr>
            <w:tcW w:w="298" w:type="pct"/>
            <w:tcMar>
              <w:left w:w="14" w:type="dxa"/>
              <w:right w:w="14" w:type="dxa"/>
            </w:tcMar>
            <w:vAlign w:val="center"/>
          </w:tcPr>
          <w:p w14:paraId="5441839C" w14:textId="76E5FD8C" w:rsidR="005922FA" w:rsidRPr="008C1E5F" w:rsidRDefault="005922FA" w:rsidP="005922FA">
            <w:pPr>
              <w:pStyle w:val="TableColHeadingCenter"/>
              <w:spacing w:before="10" w:after="10"/>
            </w:pPr>
            <w:r w:rsidRPr="008108C3">
              <w:t>% M/E 2023</w:t>
            </w:r>
          </w:p>
        </w:tc>
        <w:tc>
          <w:tcPr>
            <w:tcW w:w="298" w:type="pct"/>
            <w:tcMar>
              <w:left w:w="14" w:type="dxa"/>
              <w:right w:w="14" w:type="dxa"/>
            </w:tcMar>
            <w:vAlign w:val="center"/>
          </w:tcPr>
          <w:p w14:paraId="7062D734" w14:textId="67C1911E" w:rsidR="005922FA" w:rsidRPr="008C1E5F" w:rsidRDefault="005922FA" w:rsidP="005922FA">
            <w:pPr>
              <w:pStyle w:val="TableColHeadingCenter"/>
              <w:spacing w:before="10" w:after="10"/>
            </w:pPr>
            <w:r w:rsidRPr="008108C3">
              <w:t>% M/E 2024</w:t>
            </w:r>
          </w:p>
        </w:tc>
        <w:tc>
          <w:tcPr>
            <w:tcW w:w="298" w:type="pct"/>
            <w:tcMar>
              <w:left w:w="14" w:type="dxa"/>
              <w:right w:w="14" w:type="dxa"/>
            </w:tcMar>
            <w:vAlign w:val="center"/>
          </w:tcPr>
          <w:p w14:paraId="1AE6D66F" w14:textId="12FDE4C8" w:rsidR="005922FA" w:rsidRPr="008C1E5F" w:rsidRDefault="005922FA" w:rsidP="005922FA">
            <w:pPr>
              <w:pStyle w:val="TableColHeadingCenter"/>
              <w:spacing w:before="10" w:after="10"/>
            </w:pPr>
            <w:r w:rsidRPr="008108C3">
              <w:t>% M/E 2024 State</w:t>
            </w:r>
          </w:p>
        </w:tc>
        <w:tc>
          <w:tcPr>
            <w:tcW w:w="297" w:type="pct"/>
            <w:tcMar>
              <w:left w:w="14" w:type="dxa"/>
              <w:right w:w="14" w:type="dxa"/>
            </w:tcMar>
            <w:vAlign w:val="center"/>
          </w:tcPr>
          <w:p w14:paraId="24BD3392" w14:textId="47251A3F" w:rsidR="005922FA" w:rsidRPr="008C1E5F" w:rsidRDefault="005922FA" w:rsidP="005922FA">
            <w:pPr>
              <w:pStyle w:val="TableColHeadingCenter"/>
              <w:spacing w:before="10" w:after="10"/>
            </w:pPr>
            <w:r w:rsidRPr="008108C3">
              <w:t>% PME 2022</w:t>
            </w:r>
          </w:p>
        </w:tc>
        <w:tc>
          <w:tcPr>
            <w:tcW w:w="298" w:type="pct"/>
            <w:tcMar>
              <w:left w:w="14" w:type="dxa"/>
              <w:right w:w="14" w:type="dxa"/>
            </w:tcMar>
            <w:vAlign w:val="center"/>
          </w:tcPr>
          <w:p w14:paraId="09703A50" w14:textId="66E48500" w:rsidR="005922FA" w:rsidRPr="008C1E5F" w:rsidRDefault="005922FA" w:rsidP="005922FA">
            <w:pPr>
              <w:pStyle w:val="TableColHeadingCenter"/>
              <w:spacing w:before="10" w:after="10"/>
            </w:pPr>
            <w:r w:rsidRPr="008108C3">
              <w:t>% PME 2023</w:t>
            </w:r>
          </w:p>
        </w:tc>
        <w:tc>
          <w:tcPr>
            <w:tcW w:w="298" w:type="pct"/>
            <w:tcMar>
              <w:left w:w="14" w:type="dxa"/>
              <w:right w:w="14" w:type="dxa"/>
            </w:tcMar>
            <w:vAlign w:val="center"/>
          </w:tcPr>
          <w:p w14:paraId="3179D379" w14:textId="142F2ED0" w:rsidR="005922FA" w:rsidRPr="008C1E5F" w:rsidRDefault="005922FA" w:rsidP="005922FA">
            <w:pPr>
              <w:pStyle w:val="TableColHeadingCenter"/>
              <w:spacing w:before="10" w:after="10"/>
            </w:pPr>
            <w:r w:rsidRPr="008108C3">
              <w:t>% PME 2024</w:t>
            </w:r>
          </w:p>
        </w:tc>
        <w:tc>
          <w:tcPr>
            <w:tcW w:w="298" w:type="pct"/>
            <w:tcMar>
              <w:left w:w="14" w:type="dxa"/>
              <w:right w:w="14" w:type="dxa"/>
            </w:tcMar>
            <w:vAlign w:val="center"/>
          </w:tcPr>
          <w:p w14:paraId="29B29C94" w14:textId="7CAC3737" w:rsidR="005922FA" w:rsidRPr="008C1E5F" w:rsidRDefault="005922FA" w:rsidP="005922FA">
            <w:pPr>
              <w:pStyle w:val="TableColHeadingCenter"/>
              <w:spacing w:before="10" w:after="10"/>
            </w:pPr>
            <w:r w:rsidRPr="008108C3">
              <w:t>% PME 2024 State</w:t>
            </w:r>
          </w:p>
        </w:tc>
        <w:tc>
          <w:tcPr>
            <w:tcW w:w="297" w:type="pct"/>
            <w:tcMar>
              <w:left w:w="14" w:type="dxa"/>
              <w:right w:w="14" w:type="dxa"/>
            </w:tcMar>
            <w:vAlign w:val="center"/>
          </w:tcPr>
          <w:p w14:paraId="442DA884" w14:textId="2A390D2B" w:rsidR="005922FA" w:rsidRPr="008C1E5F" w:rsidRDefault="005922FA" w:rsidP="005922FA">
            <w:pPr>
              <w:pStyle w:val="TableColHeadingCenter"/>
              <w:spacing w:before="10" w:after="10"/>
            </w:pPr>
            <w:r w:rsidRPr="008108C3">
              <w:t>% NM 2022</w:t>
            </w:r>
          </w:p>
        </w:tc>
        <w:tc>
          <w:tcPr>
            <w:tcW w:w="298" w:type="pct"/>
            <w:tcMar>
              <w:left w:w="14" w:type="dxa"/>
              <w:right w:w="14" w:type="dxa"/>
            </w:tcMar>
            <w:vAlign w:val="center"/>
          </w:tcPr>
          <w:p w14:paraId="26A6A61F" w14:textId="42A7A294" w:rsidR="005922FA" w:rsidRPr="008C1E5F" w:rsidRDefault="005922FA" w:rsidP="005922FA">
            <w:pPr>
              <w:pStyle w:val="TableColHeadingCenter"/>
              <w:spacing w:before="10" w:after="10"/>
            </w:pPr>
            <w:r w:rsidRPr="008108C3">
              <w:t>% NM 2023</w:t>
            </w:r>
          </w:p>
        </w:tc>
        <w:tc>
          <w:tcPr>
            <w:tcW w:w="298" w:type="pct"/>
            <w:tcMar>
              <w:left w:w="14" w:type="dxa"/>
              <w:right w:w="14" w:type="dxa"/>
            </w:tcMar>
            <w:vAlign w:val="center"/>
          </w:tcPr>
          <w:p w14:paraId="623FC8C1" w14:textId="2172F9B9" w:rsidR="005922FA" w:rsidRPr="008C1E5F" w:rsidRDefault="005922FA" w:rsidP="005922FA">
            <w:pPr>
              <w:pStyle w:val="TableColHeadingCenter"/>
              <w:spacing w:before="10" w:after="10"/>
            </w:pPr>
            <w:r w:rsidRPr="008108C3">
              <w:t>% NM 2024</w:t>
            </w:r>
          </w:p>
        </w:tc>
        <w:tc>
          <w:tcPr>
            <w:tcW w:w="298" w:type="pct"/>
            <w:tcMar>
              <w:left w:w="14" w:type="dxa"/>
              <w:right w:w="14" w:type="dxa"/>
            </w:tcMar>
            <w:vAlign w:val="center"/>
          </w:tcPr>
          <w:p w14:paraId="4405779E" w14:textId="66C4B38D" w:rsidR="005922FA" w:rsidRPr="008C1E5F" w:rsidRDefault="005922FA" w:rsidP="005922FA">
            <w:pPr>
              <w:pStyle w:val="TableColHeadingCenter"/>
              <w:spacing w:before="10" w:after="10"/>
            </w:pPr>
            <w:r w:rsidRPr="008108C3">
              <w:t>% NM 2024 State</w:t>
            </w:r>
          </w:p>
        </w:tc>
      </w:tr>
      <w:tr w:rsidR="00B70B91" w:rsidRPr="008C1E5F" w14:paraId="3F2121D5" w14:textId="77777777" w:rsidTr="005922FA">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1ECC615A"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All</w:t>
            </w:r>
          </w:p>
        </w:tc>
        <w:tc>
          <w:tcPr>
            <w:tcW w:w="318" w:type="pct"/>
            <w:vAlign w:val="center"/>
          </w:tcPr>
          <w:p w14:paraId="21BF6B8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597</w:t>
            </w:r>
          </w:p>
        </w:tc>
        <w:tc>
          <w:tcPr>
            <w:tcW w:w="297" w:type="pct"/>
            <w:vAlign w:val="center"/>
          </w:tcPr>
          <w:p w14:paraId="478CC58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25</w:t>
            </w:r>
          </w:p>
        </w:tc>
        <w:tc>
          <w:tcPr>
            <w:tcW w:w="298" w:type="pct"/>
            <w:vAlign w:val="center"/>
          </w:tcPr>
          <w:p w14:paraId="7E81A6D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22</w:t>
            </w:r>
          </w:p>
        </w:tc>
        <w:tc>
          <w:tcPr>
            <w:tcW w:w="298" w:type="pct"/>
            <w:vAlign w:val="center"/>
          </w:tcPr>
          <w:p w14:paraId="4EE9D90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17</w:t>
            </w:r>
          </w:p>
        </w:tc>
        <w:tc>
          <w:tcPr>
            <w:tcW w:w="298" w:type="pct"/>
            <w:vAlign w:val="center"/>
          </w:tcPr>
          <w:p w14:paraId="7C36A1A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49</w:t>
            </w:r>
          </w:p>
        </w:tc>
        <w:tc>
          <w:tcPr>
            <w:tcW w:w="297" w:type="pct"/>
            <w:vAlign w:val="center"/>
          </w:tcPr>
          <w:p w14:paraId="56E4568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40</w:t>
            </w:r>
          </w:p>
        </w:tc>
        <w:tc>
          <w:tcPr>
            <w:tcW w:w="298" w:type="pct"/>
            <w:vAlign w:val="center"/>
          </w:tcPr>
          <w:p w14:paraId="10D8C21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52</w:t>
            </w:r>
          </w:p>
        </w:tc>
        <w:tc>
          <w:tcPr>
            <w:tcW w:w="298" w:type="pct"/>
            <w:vAlign w:val="center"/>
          </w:tcPr>
          <w:p w14:paraId="669A39D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53</w:t>
            </w:r>
          </w:p>
        </w:tc>
        <w:tc>
          <w:tcPr>
            <w:tcW w:w="298" w:type="pct"/>
            <w:vAlign w:val="center"/>
          </w:tcPr>
          <w:p w14:paraId="45AA501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40</w:t>
            </w:r>
          </w:p>
        </w:tc>
        <w:tc>
          <w:tcPr>
            <w:tcW w:w="297" w:type="pct"/>
            <w:vAlign w:val="center"/>
          </w:tcPr>
          <w:p w14:paraId="31CE56E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36</w:t>
            </w:r>
          </w:p>
        </w:tc>
        <w:tc>
          <w:tcPr>
            <w:tcW w:w="298" w:type="pct"/>
            <w:vAlign w:val="center"/>
          </w:tcPr>
          <w:p w14:paraId="53E95EC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26</w:t>
            </w:r>
          </w:p>
        </w:tc>
        <w:tc>
          <w:tcPr>
            <w:tcW w:w="298" w:type="pct"/>
            <w:vAlign w:val="center"/>
          </w:tcPr>
          <w:p w14:paraId="3AE6816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30</w:t>
            </w:r>
          </w:p>
        </w:tc>
        <w:tc>
          <w:tcPr>
            <w:tcW w:w="298" w:type="pct"/>
            <w:vAlign w:val="bottom"/>
          </w:tcPr>
          <w:p w14:paraId="37FEA58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11</w:t>
            </w:r>
          </w:p>
        </w:tc>
      </w:tr>
      <w:tr w:rsidR="00C60C82" w:rsidRPr="008C1E5F" w14:paraId="209D0C2E" w14:textId="77777777" w:rsidTr="005922FA">
        <w:trPr>
          <w:jc w:val="center"/>
        </w:trPr>
        <w:tc>
          <w:tcPr>
            <w:tcW w:w="1109" w:type="pct"/>
          </w:tcPr>
          <w:p w14:paraId="751BB088"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African American/Black</w:t>
            </w:r>
          </w:p>
        </w:tc>
        <w:tc>
          <w:tcPr>
            <w:tcW w:w="318" w:type="pct"/>
            <w:vAlign w:val="center"/>
          </w:tcPr>
          <w:p w14:paraId="42504E8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53</w:t>
            </w:r>
          </w:p>
        </w:tc>
        <w:tc>
          <w:tcPr>
            <w:tcW w:w="297" w:type="pct"/>
            <w:vAlign w:val="center"/>
          </w:tcPr>
          <w:p w14:paraId="1DE1C4C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17</w:t>
            </w:r>
          </w:p>
        </w:tc>
        <w:tc>
          <w:tcPr>
            <w:tcW w:w="298" w:type="pct"/>
            <w:vAlign w:val="center"/>
          </w:tcPr>
          <w:p w14:paraId="7947969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19</w:t>
            </w:r>
          </w:p>
        </w:tc>
        <w:tc>
          <w:tcPr>
            <w:tcW w:w="298" w:type="pct"/>
            <w:vAlign w:val="center"/>
          </w:tcPr>
          <w:p w14:paraId="4A68AF1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9</w:t>
            </w:r>
          </w:p>
        </w:tc>
        <w:tc>
          <w:tcPr>
            <w:tcW w:w="298" w:type="pct"/>
            <w:vAlign w:val="center"/>
          </w:tcPr>
          <w:p w14:paraId="2D12D56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28</w:t>
            </w:r>
          </w:p>
        </w:tc>
        <w:tc>
          <w:tcPr>
            <w:tcW w:w="297" w:type="pct"/>
            <w:vAlign w:val="center"/>
          </w:tcPr>
          <w:p w14:paraId="4691E9D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53</w:t>
            </w:r>
          </w:p>
        </w:tc>
        <w:tc>
          <w:tcPr>
            <w:tcW w:w="298" w:type="pct"/>
            <w:vAlign w:val="center"/>
          </w:tcPr>
          <w:p w14:paraId="66C5E9D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51</w:t>
            </w:r>
          </w:p>
        </w:tc>
        <w:tc>
          <w:tcPr>
            <w:tcW w:w="298" w:type="pct"/>
            <w:vAlign w:val="center"/>
          </w:tcPr>
          <w:p w14:paraId="51A921D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64</w:t>
            </w:r>
          </w:p>
        </w:tc>
        <w:tc>
          <w:tcPr>
            <w:tcW w:w="298" w:type="pct"/>
            <w:vAlign w:val="center"/>
          </w:tcPr>
          <w:p w14:paraId="60851B0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53</w:t>
            </w:r>
          </w:p>
        </w:tc>
        <w:tc>
          <w:tcPr>
            <w:tcW w:w="297" w:type="pct"/>
            <w:vAlign w:val="center"/>
          </w:tcPr>
          <w:p w14:paraId="6D6B1CD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30</w:t>
            </w:r>
          </w:p>
        </w:tc>
        <w:tc>
          <w:tcPr>
            <w:tcW w:w="298" w:type="pct"/>
            <w:vAlign w:val="center"/>
          </w:tcPr>
          <w:p w14:paraId="413EEFA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30</w:t>
            </w:r>
          </w:p>
        </w:tc>
        <w:tc>
          <w:tcPr>
            <w:tcW w:w="298" w:type="pct"/>
            <w:vAlign w:val="center"/>
          </w:tcPr>
          <w:p w14:paraId="267D8BE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26</w:t>
            </w:r>
          </w:p>
        </w:tc>
        <w:tc>
          <w:tcPr>
            <w:tcW w:w="298" w:type="pct"/>
            <w:vAlign w:val="bottom"/>
          </w:tcPr>
          <w:p w14:paraId="396CDE6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19</w:t>
            </w:r>
          </w:p>
        </w:tc>
      </w:tr>
      <w:tr w:rsidR="00B70B91" w:rsidRPr="008C1E5F" w14:paraId="196C2272" w14:textId="77777777" w:rsidTr="005922FA">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43E916BB"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Asian</w:t>
            </w:r>
          </w:p>
        </w:tc>
        <w:tc>
          <w:tcPr>
            <w:tcW w:w="318" w:type="pct"/>
            <w:vAlign w:val="center"/>
          </w:tcPr>
          <w:p w14:paraId="6019CB7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24</w:t>
            </w:r>
          </w:p>
        </w:tc>
        <w:tc>
          <w:tcPr>
            <w:tcW w:w="297" w:type="pct"/>
            <w:vAlign w:val="center"/>
          </w:tcPr>
          <w:p w14:paraId="58A0662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32</w:t>
            </w:r>
          </w:p>
        </w:tc>
        <w:tc>
          <w:tcPr>
            <w:tcW w:w="298" w:type="pct"/>
            <w:vAlign w:val="center"/>
          </w:tcPr>
          <w:p w14:paraId="1C7BEE0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39</w:t>
            </w:r>
          </w:p>
        </w:tc>
        <w:tc>
          <w:tcPr>
            <w:tcW w:w="298" w:type="pct"/>
            <w:vAlign w:val="center"/>
          </w:tcPr>
          <w:p w14:paraId="5966CEF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29</w:t>
            </w:r>
          </w:p>
        </w:tc>
        <w:tc>
          <w:tcPr>
            <w:tcW w:w="298" w:type="pct"/>
            <w:vAlign w:val="center"/>
          </w:tcPr>
          <w:p w14:paraId="581FC14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77</w:t>
            </w:r>
          </w:p>
        </w:tc>
        <w:tc>
          <w:tcPr>
            <w:tcW w:w="297" w:type="pct"/>
            <w:vAlign w:val="center"/>
          </w:tcPr>
          <w:p w14:paraId="5547E82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42</w:t>
            </w:r>
          </w:p>
        </w:tc>
        <w:tc>
          <w:tcPr>
            <w:tcW w:w="298" w:type="pct"/>
            <w:vAlign w:val="center"/>
          </w:tcPr>
          <w:p w14:paraId="42A16AE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50</w:t>
            </w:r>
          </w:p>
        </w:tc>
        <w:tc>
          <w:tcPr>
            <w:tcW w:w="298" w:type="pct"/>
            <w:vAlign w:val="center"/>
          </w:tcPr>
          <w:p w14:paraId="458EA76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46</w:t>
            </w:r>
          </w:p>
        </w:tc>
        <w:tc>
          <w:tcPr>
            <w:tcW w:w="298" w:type="pct"/>
            <w:vAlign w:val="center"/>
          </w:tcPr>
          <w:p w14:paraId="0CB9474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19</w:t>
            </w:r>
          </w:p>
        </w:tc>
        <w:tc>
          <w:tcPr>
            <w:tcW w:w="297" w:type="pct"/>
            <w:vAlign w:val="center"/>
          </w:tcPr>
          <w:p w14:paraId="3AF04A5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26</w:t>
            </w:r>
          </w:p>
        </w:tc>
        <w:tc>
          <w:tcPr>
            <w:tcW w:w="298" w:type="pct"/>
            <w:vAlign w:val="center"/>
          </w:tcPr>
          <w:p w14:paraId="2F615D8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11</w:t>
            </w:r>
          </w:p>
        </w:tc>
        <w:tc>
          <w:tcPr>
            <w:tcW w:w="298" w:type="pct"/>
            <w:vAlign w:val="center"/>
          </w:tcPr>
          <w:p w14:paraId="454EB18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25</w:t>
            </w:r>
          </w:p>
        </w:tc>
        <w:tc>
          <w:tcPr>
            <w:tcW w:w="298" w:type="pct"/>
            <w:vAlign w:val="bottom"/>
          </w:tcPr>
          <w:p w14:paraId="76FE6B6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w:t>
            </w:r>
          </w:p>
        </w:tc>
      </w:tr>
      <w:tr w:rsidR="00C60C82" w:rsidRPr="008C1E5F" w14:paraId="04934BA2" w14:textId="77777777" w:rsidTr="005922FA">
        <w:trPr>
          <w:jc w:val="center"/>
        </w:trPr>
        <w:tc>
          <w:tcPr>
            <w:tcW w:w="1109" w:type="pct"/>
          </w:tcPr>
          <w:p w14:paraId="64722DFA"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Hispanic/Latino</w:t>
            </w:r>
          </w:p>
        </w:tc>
        <w:tc>
          <w:tcPr>
            <w:tcW w:w="318" w:type="pct"/>
            <w:vAlign w:val="center"/>
          </w:tcPr>
          <w:p w14:paraId="0B5AC35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195</w:t>
            </w:r>
          </w:p>
        </w:tc>
        <w:tc>
          <w:tcPr>
            <w:tcW w:w="297" w:type="pct"/>
            <w:vAlign w:val="center"/>
          </w:tcPr>
          <w:p w14:paraId="34057DB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13</w:t>
            </w:r>
          </w:p>
        </w:tc>
        <w:tc>
          <w:tcPr>
            <w:tcW w:w="298" w:type="pct"/>
            <w:vAlign w:val="center"/>
          </w:tcPr>
          <w:p w14:paraId="51B4681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15</w:t>
            </w:r>
          </w:p>
        </w:tc>
        <w:tc>
          <w:tcPr>
            <w:tcW w:w="298" w:type="pct"/>
            <w:vAlign w:val="center"/>
          </w:tcPr>
          <w:p w14:paraId="1109097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13</w:t>
            </w:r>
          </w:p>
        </w:tc>
        <w:tc>
          <w:tcPr>
            <w:tcW w:w="298" w:type="pct"/>
            <w:vAlign w:val="center"/>
          </w:tcPr>
          <w:p w14:paraId="22BC603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26</w:t>
            </w:r>
          </w:p>
        </w:tc>
        <w:tc>
          <w:tcPr>
            <w:tcW w:w="297" w:type="pct"/>
            <w:vAlign w:val="center"/>
          </w:tcPr>
          <w:p w14:paraId="2FC4C75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36</w:t>
            </w:r>
          </w:p>
        </w:tc>
        <w:tc>
          <w:tcPr>
            <w:tcW w:w="298" w:type="pct"/>
            <w:vAlign w:val="center"/>
          </w:tcPr>
          <w:p w14:paraId="2B215EB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52</w:t>
            </w:r>
          </w:p>
        </w:tc>
        <w:tc>
          <w:tcPr>
            <w:tcW w:w="298" w:type="pct"/>
            <w:vAlign w:val="center"/>
          </w:tcPr>
          <w:p w14:paraId="3A3BEFE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51</w:t>
            </w:r>
          </w:p>
        </w:tc>
        <w:tc>
          <w:tcPr>
            <w:tcW w:w="298" w:type="pct"/>
            <w:vAlign w:val="center"/>
          </w:tcPr>
          <w:p w14:paraId="286EF45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52</w:t>
            </w:r>
          </w:p>
        </w:tc>
        <w:tc>
          <w:tcPr>
            <w:tcW w:w="297" w:type="pct"/>
            <w:vAlign w:val="center"/>
          </w:tcPr>
          <w:p w14:paraId="43A17B4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51</w:t>
            </w:r>
          </w:p>
        </w:tc>
        <w:tc>
          <w:tcPr>
            <w:tcW w:w="298" w:type="pct"/>
            <w:vAlign w:val="center"/>
          </w:tcPr>
          <w:p w14:paraId="25028D4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33</w:t>
            </w:r>
          </w:p>
        </w:tc>
        <w:tc>
          <w:tcPr>
            <w:tcW w:w="298" w:type="pct"/>
            <w:vAlign w:val="center"/>
          </w:tcPr>
          <w:p w14:paraId="6DF2079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35</w:t>
            </w:r>
          </w:p>
        </w:tc>
        <w:tc>
          <w:tcPr>
            <w:tcW w:w="298" w:type="pct"/>
            <w:vAlign w:val="bottom"/>
          </w:tcPr>
          <w:p w14:paraId="791A64A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22</w:t>
            </w:r>
          </w:p>
        </w:tc>
      </w:tr>
      <w:tr w:rsidR="00B70B91" w:rsidRPr="008C1E5F" w14:paraId="4EDF6957" w14:textId="77777777" w:rsidTr="005922FA">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21C942EC"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cstheme="minorHAnsi"/>
              </w:rPr>
              <w:t>Multi-Race, non-Hispanic/Latino</w:t>
            </w:r>
          </w:p>
        </w:tc>
        <w:tc>
          <w:tcPr>
            <w:tcW w:w="318" w:type="pct"/>
            <w:vAlign w:val="center"/>
          </w:tcPr>
          <w:p w14:paraId="41190CA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56</w:t>
            </w:r>
          </w:p>
        </w:tc>
        <w:tc>
          <w:tcPr>
            <w:tcW w:w="297" w:type="pct"/>
            <w:vAlign w:val="center"/>
          </w:tcPr>
          <w:p w14:paraId="790685D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19</w:t>
            </w:r>
          </w:p>
        </w:tc>
        <w:tc>
          <w:tcPr>
            <w:tcW w:w="298" w:type="pct"/>
            <w:vAlign w:val="center"/>
          </w:tcPr>
          <w:p w14:paraId="0A49143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20</w:t>
            </w:r>
          </w:p>
        </w:tc>
        <w:tc>
          <w:tcPr>
            <w:tcW w:w="298" w:type="pct"/>
            <w:vAlign w:val="center"/>
          </w:tcPr>
          <w:p w14:paraId="3098978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11</w:t>
            </w:r>
          </w:p>
        </w:tc>
        <w:tc>
          <w:tcPr>
            <w:tcW w:w="298" w:type="pct"/>
            <w:vAlign w:val="center"/>
          </w:tcPr>
          <w:p w14:paraId="68F92BC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53</w:t>
            </w:r>
          </w:p>
        </w:tc>
        <w:tc>
          <w:tcPr>
            <w:tcW w:w="297" w:type="pct"/>
            <w:vAlign w:val="center"/>
          </w:tcPr>
          <w:p w14:paraId="3A11F53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42</w:t>
            </w:r>
          </w:p>
        </w:tc>
        <w:tc>
          <w:tcPr>
            <w:tcW w:w="298" w:type="pct"/>
            <w:vAlign w:val="center"/>
          </w:tcPr>
          <w:p w14:paraId="5DF9437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53</w:t>
            </w:r>
          </w:p>
        </w:tc>
        <w:tc>
          <w:tcPr>
            <w:tcW w:w="298" w:type="pct"/>
            <w:vAlign w:val="center"/>
          </w:tcPr>
          <w:p w14:paraId="3E9D986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50</w:t>
            </w:r>
          </w:p>
        </w:tc>
        <w:tc>
          <w:tcPr>
            <w:tcW w:w="298" w:type="pct"/>
            <w:vAlign w:val="center"/>
          </w:tcPr>
          <w:p w14:paraId="3EEB6F8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37</w:t>
            </w:r>
          </w:p>
        </w:tc>
        <w:tc>
          <w:tcPr>
            <w:tcW w:w="297" w:type="pct"/>
            <w:vAlign w:val="center"/>
          </w:tcPr>
          <w:p w14:paraId="69230B1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39</w:t>
            </w:r>
          </w:p>
        </w:tc>
        <w:tc>
          <w:tcPr>
            <w:tcW w:w="298" w:type="pct"/>
            <w:vAlign w:val="center"/>
          </w:tcPr>
          <w:p w14:paraId="006CC11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27</w:t>
            </w:r>
          </w:p>
        </w:tc>
        <w:tc>
          <w:tcPr>
            <w:tcW w:w="298" w:type="pct"/>
            <w:vAlign w:val="center"/>
          </w:tcPr>
          <w:p w14:paraId="6738DD2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39</w:t>
            </w:r>
          </w:p>
        </w:tc>
        <w:tc>
          <w:tcPr>
            <w:tcW w:w="298" w:type="pct"/>
            <w:vAlign w:val="bottom"/>
          </w:tcPr>
          <w:p w14:paraId="0B8A2CA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10</w:t>
            </w:r>
          </w:p>
        </w:tc>
      </w:tr>
      <w:tr w:rsidR="00C60C82" w:rsidRPr="008C1E5F" w14:paraId="11203ACB" w14:textId="77777777" w:rsidTr="005922FA">
        <w:trPr>
          <w:jc w:val="center"/>
        </w:trPr>
        <w:tc>
          <w:tcPr>
            <w:tcW w:w="1109" w:type="pct"/>
          </w:tcPr>
          <w:p w14:paraId="6BD91FAB"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Native American</w:t>
            </w:r>
          </w:p>
        </w:tc>
        <w:tc>
          <w:tcPr>
            <w:tcW w:w="318" w:type="pct"/>
            <w:vAlign w:val="center"/>
          </w:tcPr>
          <w:p w14:paraId="03A0E70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w:t>
            </w:r>
          </w:p>
        </w:tc>
        <w:tc>
          <w:tcPr>
            <w:tcW w:w="297" w:type="pct"/>
            <w:vAlign w:val="center"/>
          </w:tcPr>
          <w:p w14:paraId="4ECA927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4C6294A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7CEEDE2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72CD838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38</w:t>
            </w:r>
          </w:p>
        </w:tc>
        <w:tc>
          <w:tcPr>
            <w:tcW w:w="297" w:type="pct"/>
            <w:vAlign w:val="center"/>
          </w:tcPr>
          <w:p w14:paraId="513C2B4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0C5472F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1ECC695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22F1299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53</w:t>
            </w:r>
          </w:p>
        </w:tc>
        <w:tc>
          <w:tcPr>
            <w:tcW w:w="297" w:type="pct"/>
            <w:vAlign w:val="center"/>
          </w:tcPr>
          <w:p w14:paraId="18D60FB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6725318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18EABAC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bottom"/>
          </w:tcPr>
          <w:p w14:paraId="000D166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10</w:t>
            </w:r>
          </w:p>
        </w:tc>
      </w:tr>
      <w:tr w:rsidR="00B70B91" w:rsidRPr="008C1E5F" w14:paraId="6823037C" w14:textId="77777777" w:rsidTr="005922FA">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1C7C3007" w14:textId="77777777" w:rsidR="00C60C82" w:rsidRPr="008C1E5F" w:rsidRDefault="00C60C82" w:rsidP="00B70B91">
            <w:pPr>
              <w:pStyle w:val="TableText"/>
              <w:spacing w:before="10" w:after="10"/>
              <w:rPr>
                <w:rFonts w:ascii="Franklin Gothic Book" w:hAnsi="Franklin Gothic Book"/>
                <w:spacing w:val="-4"/>
              </w:rPr>
            </w:pPr>
            <w:r w:rsidRPr="008C1E5F">
              <w:rPr>
                <w:rFonts w:ascii="Franklin Gothic Book" w:hAnsi="Franklin Gothic Book"/>
                <w:spacing w:val="-4"/>
              </w:rPr>
              <w:t>Native Hawaiian, Pacific Islander</w:t>
            </w:r>
          </w:p>
        </w:tc>
        <w:tc>
          <w:tcPr>
            <w:tcW w:w="318" w:type="pct"/>
            <w:vAlign w:val="center"/>
          </w:tcPr>
          <w:p w14:paraId="634B391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w:t>
            </w:r>
          </w:p>
        </w:tc>
        <w:tc>
          <w:tcPr>
            <w:tcW w:w="297" w:type="pct"/>
            <w:vAlign w:val="center"/>
          </w:tcPr>
          <w:p w14:paraId="57DA89C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75E4E11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689B75C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2F03733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47</w:t>
            </w:r>
          </w:p>
        </w:tc>
        <w:tc>
          <w:tcPr>
            <w:tcW w:w="297" w:type="pct"/>
            <w:vAlign w:val="center"/>
          </w:tcPr>
          <w:p w14:paraId="3268103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5D423AB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50D41FB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74D11B5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45</w:t>
            </w:r>
          </w:p>
        </w:tc>
        <w:tc>
          <w:tcPr>
            <w:tcW w:w="297" w:type="pct"/>
            <w:vAlign w:val="center"/>
          </w:tcPr>
          <w:p w14:paraId="15121E5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7321B0E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center"/>
          </w:tcPr>
          <w:p w14:paraId="6E8CD04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w:t>
            </w:r>
          </w:p>
        </w:tc>
        <w:tc>
          <w:tcPr>
            <w:tcW w:w="298" w:type="pct"/>
            <w:vAlign w:val="bottom"/>
          </w:tcPr>
          <w:p w14:paraId="2B1F3AE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8</w:t>
            </w:r>
          </w:p>
        </w:tc>
      </w:tr>
      <w:tr w:rsidR="00C60C82" w:rsidRPr="008C1E5F" w14:paraId="423F76F0" w14:textId="77777777" w:rsidTr="005922FA">
        <w:trPr>
          <w:jc w:val="center"/>
        </w:trPr>
        <w:tc>
          <w:tcPr>
            <w:tcW w:w="1109" w:type="pct"/>
          </w:tcPr>
          <w:p w14:paraId="224990E7"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White</w:t>
            </w:r>
          </w:p>
        </w:tc>
        <w:tc>
          <w:tcPr>
            <w:tcW w:w="318" w:type="pct"/>
            <w:vAlign w:val="center"/>
          </w:tcPr>
          <w:p w14:paraId="7B48B41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267</w:t>
            </w:r>
          </w:p>
        </w:tc>
        <w:tc>
          <w:tcPr>
            <w:tcW w:w="297" w:type="pct"/>
            <w:vAlign w:val="center"/>
          </w:tcPr>
          <w:p w14:paraId="2F33110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32</w:t>
            </w:r>
          </w:p>
        </w:tc>
        <w:tc>
          <w:tcPr>
            <w:tcW w:w="298" w:type="pct"/>
            <w:vAlign w:val="center"/>
          </w:tcPr>
          <w:p w14:paraId="55213ED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26</w:t>
            </w:r>
          </w:p>
        </w:tc>
        <w:tc>
          <w:tcPr>
            <w:tcW w:w="298" w:type="pct"/>
            <w:vAlign w:val="center"/>
          </w:tcPr>
          <w:p w14:paraId="77749D4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22</w:t>
            </w:r>
          </w:p>
        </w:tc>
        <w:tc>
          <w:tcPr>
            <w:tcW w:w="298" w:type="pct"/>
            <w:vAlign w:val="center"/>
          </w:tcPr>
          <w:p w14:paraId="4FC2076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58</w:t>
            </w:r>
          </w:p>
        </w:tc>
        <w:tc>
          <w:tcPr>
            <w:tcW w:w="297" w:type="pct"/>
            <w:vAlign w:val="center"/>
          </w:tcPr>
          <w:p w14:paraId="61A2E23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39</w:t>
            </w:r>
          </w:p>
        </w:tc>
        <w:tc>
          <w:tcPr>
            <w:tcW w:w="298" w:type="pct"/>
            <w:vAlign w:val="center"/>
          </w:tcPr>
          <w:p w14:paraId="40CC619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51</w:t>
            </w:r>
          </w:p>
        </w:tc>
        <w:tc>
          <w:tcPr>
            <w:tcW w:w="298" w:type="pct"/>
            <w:vAlign w:val="center"/>
          </w:tcPr>
          <w:p w14:paraId="7BC8DE5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53</w:t>
            </w:r>
          </w:p>
        </w:tc>
        <w:tc>
          <w:tcPr>
            <w:tcW w:w="298" w:type="pct"/>
            <w:vAlign w:val="center"/>
          </w:tcPr>
          <w:p w14:paraId="6407369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36</w:t>
            </w:r>
          </w:p>
        </w:tc>
        <w:tc>
          <w:tcPr>
            <w:tcW w:w="297" w:type="pct"/>
            <w:vAlign w:val="center"/>
          </w:tcPr>
          <w:p w14:paraId="03C6A15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29</w:t>
            </w:r>
          </w:p>
        </w:tc>
        <w:tc>
          <w:tcPr>
            <w:tcW w:w="298" w:type="pct"/>
            <w:vAlign w:val="center"/>
          </w:tcPr>
          <w:p w14:paraId="76294A7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23</w:t>
            </w:r>
          </w:p>
        </w:tc>
        <w:tc>
          <w:tcPr>
            <w:tcW w:w="298" w:type="pct"/>
            <w:vAlign w:val="center"/>
          </w:tcPr>
          <w:p w14:paraId="2919D33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25</w:t>
            </w:r>
          </w:p>
        </w:tc>
        <w:tc>
          <w:tcPr>
            <w:tcW w:w="298" w:type="pct"/>
            <w:vAlign w:val="bottom"/>
          </w:tcPr>
          <w:p w14:paraId="5EC838F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w:t>
            </w:r>
          </w:p>
        </w:tc>
      </w:tr>
      <w:tr w:rsidR="00B70B91" w:rsidRPr="008C1E5F" w14:paraId="1C60DE29" w14:textId="77777777" w:rsidTr="005922FA">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17C2A909"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High needs</w:t>
            </w:r>
          </w:p>
        </w:tc>
        <w:tc>
          <w:tcPr>
            <w:tcW w:w="318" w:type="pct"/>
            <w:vAlign w:val="center"/>
          </w:tcPr>
          <w:p w14:paraId="21DB7B9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495</w:t>
            </w:r>
          </w:p>
        </w:tc>
        <w:tc>
          <w:tcPr>
            <w:tcW w:w="297" w:type="pct"/>
            <w:vAlign w:val="center"/>
          </w:tcPr>
          <w:p w14:paraId="7C200D1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16</w:t>
            </w:r>
          </w:p>
        </w:tc>
        <w:tc>
          <w:tcPr>
            <w:tcW w:w="298" w:type="pct"/>
            <w:vAlign w:val="center"/>
          </w:tcPr>
          <w:p w14:paraId="74A40E8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14</w:t>
            </w:r>
          </w:p>
        </w:tc>
        <w:tc>
          <w:tcPr>
            <w:tcW w:w="298" w:type="pct"/>
            <w:vAlign w:val="center"/>
          </w:tcPr>
          <w:p w14:paraId="54CDB6E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12</w:t>
            </w:r>
          </w:p>
        </w:tc>
        <w:tc>
          <w:tcPr>
            <w:tcW w:w="298" w:type="pct"/>
            <w:vAlign w:val="center"/>
          </w:tcPr>
          <w:p w14:paraId="72EE3A0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28</w:t>
            </w:r>
          </w:p>
        </w:tc>
        <w:tc>
          <w:tcPr>
            <w:tcW w:w="297" w:type="pct"/>
            <w:vAlign w:val="center"/>
          </w:tcPr>
          <w:p w14:paraId="3835A37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42</w:t>
            </w:r>
          </w:p>
        </w:tc>
        <w:tc>
          <w:tcPr>
            <w:tcW w:w="298" w:type="pct"/>
            <w:vAlign w:val="center"/>
          </w:tcPr>
          <w:p w14:paraId="7CCC122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53</w:t>
            </w:r>
          </w:p>
        </w:tc>
        <w:tc>
          <w:tcPr>
            <w:tcW w:w="298" w:type="pct"/>
            <w:vAlign w:val="center"/>
          </w:tcPr>
          <w:p w14:paraId="3BE1FFF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54</w:t>
            </w:r>
          </w:p>
        </w:tc>
        <w:tc>
          <w:tcPr>
            <w:tcW w:w="298" w:type="pct"/>
            <w:vAlign w:val="center"/>
          </w:tcPr>
          <w:p w14:paraId="6824B85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52</w:t>
            </w:r>
          </w:p>
        </w:tc>
        <w:tc>
          <w:tcPr>
            <w:tcW w:w="297" w:type="pct"/>
            <w:vAlign w:val="center"/>
          </w:tcPr>
          <w:p w14:paraId="63C18C4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42</w:t>
            </w:r>
          </w:p>
        </w:tc>
        <w:tc>
          <w:tcPr>
            <w:tcW w:w="298" w:type="pct"/>
            <w:vAlign w:val="center"/>
          </w:tcPr>
          <w:p w14:paraId="132F0DA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32</w:t>
            </w:r>
          </w:p>
        </w:tc>
        <w:tc>
          <w:tcPr>
            <w:tcW w:w="298" w:type="pct"/>
            <w:vAlign w:val="center"/>
          </w:tcPr>
          <w:p w14:paraId="0F2BB0A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34</w:t>
            </w:r>
          </w:p>
        </w:tc>
        <w:tc>
          <w:tcPr>
            <w:tcW w:w="298" w:type="pct"/>
            <w:vAlign w:val="bottom"/>
          </w:tcPr>
          <w:p w14:paraId="1A2519F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20</w:t>
            </w:r>
          </w:p>
        </w:tc>
      </w:tr>
      <w:tr w:rsidR="00C60C82" w:rsidRPr="008C1E5F" w14:paraId="2A86354C" w14:textId="77777777" w:rsidTr="005922FA">
        <w:trPr>
          <w:jc w:val="center"/>
        </w:trPr>
        <w:tc>
          <w:tcPr>
            <w:tcW w:w="1109" w:type="pct"/>
          </w:tcPr>
          <w:p w14:paraId="4B3799CB"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Low income</w:t>
            </w:r>
          </w:p>
        </w:tc>
        <w:tc>
          <w:tcPr>
            <w:tcW w:w="318" w:type="pct"/>
            <w:vAlign w:val="center"/>
          </w:tcPr>
          <w:p w14:paraId="2F13E4D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458</w:t>
            </w:r>
          </w:p>
        </w:tc>
        <w:tc>
          <w:tcPr>
            <w:tcW w:w="297" w:type="pct"/>
            <w:vAlign w:val="center"/>
          </w:tcPr>
          <w:p w14:paraId="293F4C7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17</w:t>
            </w:r>
          </w:p>
        </w:tc>
        <w:tc>
          <w:tcPr>
            <w:tcW w:w="298" w:type="pct"/>
            <w:vAlign w:val="center"/>
          </w:tcPr>
          <w:p w14:paraId="7C6495A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15</w:t>
            </w:r>
          </w:p>
        </w:tc>
        <w:tc>
          <w:tcPr>
            <w:tcW w:w="298" w:type="pct"/>
            <w:vAlign w:val="center"/>
          </w:tcPr>
          <w:p w14:paraId="39CE9C4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12</w:t>
            </w:r>
          </w:p>
        </w:tc>
        <w:tc>
          <w:tcPr>
            <w:tcW w:w="298" w:type="pct"/>
            <w:vAlign w:val="center"/>
          </w:tcPr>
          <w:p w14:paraId="464F5EC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28</w:t>
            </w:r>
          </w:p>
        </w:tc>
        <w:tc>
          <w:tcPr>
            <w:tcW w:w="297" w:type="pct"/>
            <w:vAlign w:val="center"/>
          </w:tcPr>
          <w:p w14:paraId="6DF427E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43</w:t>
            </w:r>
          </w:p>
        </w:tc>
        <w:tc>
          <w:tcPr>
            <w:tcW w:w="298" w:type="pct"/>
            <w:vAlign w:val="center"/>
          </w:tcPr>
          <w:p w14:paraId="4AAC7FF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53</w:t>
            </w:r>
          </w:p>
        </w:tc>
        <w:tc>
          <w:tcPr>
            <w:tcW w:w="298" w:type="pct"/>
            <w:vAlign w:val="center"/>
          </w:tcPr>
          <w:p w14:paraId="56B5407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54</w:t>
            </w:r>
          </w:p>
        </w:tc>
        <w:tc>
          <w:tcPr>
            <w:tcW w:w="298" w:type="pct"/>
            <w:vAlign w:val="center"/>
          </w:tcPr>
          <w:p w14:paraId="02767E4E"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51</w:t>
            </w:r>
          </w:p>
        </w:tc>
        <w:tc>
          <w:tcPr>
            <w:tcW w:w="297" w:type="pct"/>
            <w:vAlign w:val="center"/>
          </w:tcPr>
          <w:p w14:paraId="16D839D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41</w:t>
            </w:r>
          </w:p>
        </w:tc>
        <w:tc>
          <w:tcPr>
            <w:tcW w:w="298" w:type="pct"/>
            <w:vAlign w:val="center"/>
          </w:tcPr>
          <w:p w14:paraId="0030069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31</w:t>
            </w:r>
          </w:p>
        </w:tc>
        <w:tc>
          <w:tcPr>
            <w:tcW w:w="298" w:type="pct"/>
            <w:vAlign w:val="center"/>
          </w:tcPr>
          <w:p w14:paraId="4D788CC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34</w:t>
            </w:r>
          </w:p>
        </w:tc>
        <w:tc>
          <w:tcPr>
            <w:tcW w:w="298" w:type="pct"/>
            <w:vAlign w:val="bottom"/>
          </w:tcPr>
          <w:p w14:paraId="24BE105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20</w:t>
            </w:r>
          </w:p>
        </w:tc>
      </w:tr>
      <w:tr w:rsidR="00B70B91" w:rsidRPr="008C1E5F" w14:paraId="12F26CF5" w14:textId="77777777" w:rsidTr="005922FA">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79B76DF6" w14:textId="77777777" w:rsidR="00C60C82" w:rsidRPr="008C1E5F" w:rsidRDefault="00C60C82" w:rsidP="00B70B91">
            <w:pPr>
              <w:pStyle w:val="TableText"/>
              <w:spacing w:before="10" w:after="10"/>
              <w:rPr>
                <w:rFonts w:ascii="Franklin Gothic Book" w:hAnsi="Franklin Gothic Book"/>
                <w:spacing w:val="-4"/>
              </w:rPr>
            </w:pPr>
            <w:r w:rsidRPr="008C1E5F">
              <w:rPr>
                <w:rFonts w:ascii="Franklin Gothic Book" w:hAnsi="Franklin Gothic Book"/>
                <w:spacing w:val="-4"/>
              </w:rPr>
              <w:t>ELs and former ELs</w:t>
            </w:r>
          </w:p>
        </w:tc>
        <w:tc>
          <w:tcPr>
            <w:tcW w:w="318" w:type="pct"/>
            <w:vAlign w:val="center"/>
          </w:tcPr>
          <w:p w14:paraId="0D026FE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153</w:t>
            </w:r>
          </w:p>
        </w:tc>
        <w:tc>
          <w:tcPr>
            <w:tcW w:w="297" w:type="pct"/>
            <w:vAlign w:val="center"/>
          </w:tcPr>
          <w:p w14:paraId="318BBC5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w:t>
            </w:r>
          </w:p>
        </w:tc>
        <w:tc>
          <w:tcPr>
            <w:tcW w:w="298" w:type="pct"/>
            <w:vAlign w:val="center"/>
          </w:tcPr>
          <w:p w14:paraId="58C65EFA"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w:t>
            </w:r>
          </w:p>
        </w:tc>
        <w:tc>
          <w:tcPr>
            <w:tcW w:w="298" w:type="pct"/>
            <w:vAlign w:val="center"/>
          </w:tcPr>
          <w:p w14:paraId="4D368E3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w:t>
            </w:r>
          </w:p>
        </w:tc>
        <w:tc>
          <w:tcPr>
            <w:tcW w:w="298" w:type="pct"/>
            <w:vAlign w:val="center"/>
          </w:tcPr>
          <w:p w14:paraId="40F99A75"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13</w:t>
            </w:r>
          </w:p>
        </w:tc>
        <w:tc>
          <w:tcPr>
            <w:tcW w:w="297" w:type="pct"/>
            <w:vAlign w:val="center"/>
          </w:tcPr>
          <w:p w14:paraId="42A75E3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30</w:t>
            </w:r>
          </w:p>
        </w:tc>
        <w:tc>
          <w:tcPr>
            <w:tcW w:w="298" w:type="pct"/>
            <w:vAlign w:val="center"/>
          </w:tcPr>
          <w:p w14:paraId="29D6F49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46</w:t>
            </w:r>
          </w:p>
        </w:tc>
        <w:tc>
          <w:tcPr>
            <w:tcW w:w="298" w:type="pct"/>
            <w:vAlign w:val="center"/>
          </w:tcPr>
          <w:p w14:paraId="36715789"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51</w:t>
            </w:r>
          </w:p>
        </w:tc>
        <w:tc>
          <w:tcPr>
            <w:tcW w:w="298" w:type="pct"/>
            <w:vAlign w:val="center"/>
          </w:tcPr>
          <w:p w14:paraId="3537FC16"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48</w:t>
            </w:r>
          </w:p>
        </w:tc>
        <w:tc>
          <w:tcPr>
            <w:tcW w:w="297" w:type="pct"/>
            <w:vAlign w:val="center"/>
          </w:tcPr>
          <w:p w14:paraId="3FCE9F40"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65</w:t>
            </w:r>
          </w:p>
        </w:tc>
        <w:tc>
          <w:tcPr>
            <w:tcW w:w="298" w:type="pct"/>
            <w:vAlign w:val="center"/>
          </w:tcPr>
          <w:p w14:paraId="74C02A1F"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48</w:t>
            </w:r>
          </w:p>
        </w:tc>
        <w:tc>
          <w:tcPr>
            <w:tcW w:w="298" w:type="pct"/>
            <w:vAlign w:val="center"/>
          </w:tcPr>
          <w:p w14:paraId="0B1CD93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44</w:t>
            </w:r>
          </w:p>
        </w:tc>
        <w:tc>
          <w:tcPr>
            <w:tcW w:w="298" w:type="pct"/>
            <w:vAlign w:val="bottom"/>
          </w:tcPr>
          <w:p w14:paraId="6CC66A8C"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39</w:t>
            </w:r>
          </w:p>
        </w:tc>
      </w:tr>
      <w:tr w:rsidR="00C60C82" w:rsidRPr="008C1E5F" w14:paraId="407F5FE7" w14:textId="77777777" w:rsidTr="005922FA">
        <w:trPr>
          <w:jc w:val="center"/>
        </w:trPr>
        <w:tc>
          <w:tcPr>
            <w:tcW w:w="1109" w:type="pct"/>
          </w:tcPr>
          <w:p w14:paraId="794A9C49" w14:textId="77777777" w:rsidR="00C60C82" w:rsidRPr="008C1E5F" w:rsidRDefault="00C60C82" w:rsidP="00B70B91">
            <w:pPr>
              <w:pStyle w:val="TableText"/>
              <w:spacing w:before="10" w:after="10"/>
              <w:rPr>
                <w:rFonts w:ascii="Franklin Gothic Book" w:hAnsi="Franklin Gothic Book"/>
              </w:rPr>
            </w:pPr>
            <w:r w:rsidRPr="008C1E5F">
              <w:rPr>
                <w:rFonts w:ascii="Franklin Gothic Book" w:hAnsi="Franklin Gothic Book"/>
              </w:rPr>
              <w:t>Students w/disabilities</w:t>
            </w:r>
          </w:p>
        </w:tc>
        <w:tc>
          <w:tcPr>
            <w:tcW w:w="318" w:type="pct"/>
            <w:vAlign w:val="center"/>
          </w:tcPr>
          <w:p w14:paraId="3E5A9FF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147</w:t>
            </w:r>
          </w:p>
        </w:tc>
        <w:tc>
          <w:tcPr>
            <w:tcW w:w="297" w:type="pct"/>
            <w:vAlign w:val="center"/>
          </w:tcPr>
          <w:p w14:paraId="35B6D17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w:t>
            </w:r>
          </w:p>
        </w:tc>
        <w:tc>
          <w:tcPr>
            <w:tcW w:w="298" w:type="pct"/>
            <w:vAlign w:val="center"/>
          </w:tcPr>
          <w:p w14:paraId="418EB82B"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w:t>
            </w:r>
          </w:p>
        </w:tc>
        <w:tc>
          <w:tcPr>
            <w:tcW w:w="298" w:type="pct"/>
            <w:vAlign w:val="center"/>
          </w:tcPr>
          <w:p w14:paraId="1B3C1FB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w:t>
            </w:r>
          </w:p>
        </w:tc>
        <w:tc>
          <w:tcPr>
            <w:tcW w:w="298" w:type="pct"/>
            <w:vAlign w:val="center"/>
          </w:tcPr>
          <w:p w14:paraId="6C997E0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18</w:t>
            </w:r>
          </w:p>
        </w:tc>
        <w:tc>
          <w:tcPr>
            <w:tcW w:w="297" w:type="pct"/>
            <w:vAlign w:val="center"/>
          </w:tcPr>
          <w:p w14:paraId="5783D3FD"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29</w:t>
            </w:r>
          </w:p>
        </w:tc>
        <w:tc>
          <w:tcPr>
            <w:tcW w:w="298" w:type="pct"/>
            <w:vAlign w:val="center"/>
          </w:tcPr>
          <w:p w14:paraId="776872D7"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37</w:t>
            </w:r>
          </w:p>
        </w:tc>
        <w:tc>
          <w:tcPr>
            <w:tcW w:w="298" w:type="pct"/>
            <w:vAlign w:val="center"/>
          </w:tcPr>
          <w:p w14:paraId="7D0A8B74"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45</w:t>
            </w:r>
          </w:p>
        </w:tc>
        <w:tc>
          <w:tcPr>
            <w:tcW w:w="298" w:type="pct"/>
            <w:vAlign w:val="center"/>
          </w:tcPr>
          <w:p w14:paraId="1894C9F8"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52</w:t>
            </w:r>
          </w:p>
        </w:tc>
        <w:tc>
          <w:tcPr>
            <w:tcW w:w="297" w:type="pct"/>
            <w:vAlign w:val="center"/>
          </w:tcPr>
          <w:p w14:paraId="1F14E711"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69</w:t>
            </w:r>
          </w:p>
        </w:tc>
        <w:tc>
          <w:tcPr>
            <w:tcW w:w="298" w:type="pct"/>
            <w:vAlign w:val="center"/>
          </w:tcPr>
          <w:p w14:paraId="7FF144F3"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59</w:t>
            </w:r>
          </w:p>
        </w:tc>
        <w:tc>
          <w:tcPr>
            <w:tcW w:w="298" w:type="pct"/>
            <w:vAlign w:val="center"/>
          </w:tcPr>
          <w:p w14:paraId="65EF0CF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53</w:t>
            </w:r>
          </w:p>
        </w:tc>
        <w:tc>
          <w:tcPr>
            <w:tcW w:w="298" w:type="pct"/>
            <w:vAlign w:val="bottom"/>
          </w:tcPr>
          <w:p w14:paraId="1ED084B2" w14:textId="77777777" w:rsidR="00C60C82" w:rsidRPr="008C1E5F" w:rsidRDefault="00C60C82" w:rsidP="00B70B91">
            <w:pPr>
              <w:pStyle w:val="TableTextCentered"/>
              <w:spacing w:before="10" w:after="10"/>
              <w:rPr>
                <w:rFonts w:ascii="Franklin Gothic Book" w:hAnsi="Franklin Gothic Book"/>
              </w:rPr>
            </w:pPr>
            <w:r w:rsidRPr="008C1E5F">
              <w:rPr>
                <w:rFonts w:ascii="Franklin Gothic Book" w:hAnsi="Franklin Gothic Book"/>
              </w:rPr>
              <w:t>31</w:t>
            </w:r>
          </w:p>
        </w:tc>
      </w:tr>
    </w:tbl>
    <w:p w14:paraId="16F721FA" w14:textId="77777777" w:rsidR="00C60C82" w:rsidRPr="008C1E5F" w:rsidRDefault="00C60C82" w:rsidP="00305BFA">
      <w:pPr>
        <w:pStyle w:val="TableETitles"/>
        <w:spacing w:after="60"/>
      </w:pPr>
      <w:bookmarkStart w:id="283" w:name="_Toc195024275"/>
      <w:bookmarkStart w:id="284" w:name="_Hlk138323146"/>
      <w:r w:rsidRPr="008C1E5F">
        <w:lastRenderedPageBreak/>
        <w:t>Table E7. MCAS ELA Achievement by Grade, 2022-2024</w:t>
      </w:r>
      <w:bookmarkEnd w:id="283"/>
    </w:p>
    <w:tbl>
      <w:tblPr>
        <w:tblStyle w:val="MSVTable1"/>
        <w:tblW w:w="5000" w:type="pct"/>
        <w:jc w:val="center"/>
        <w:tblLook w:val="0420" w:firstRow="1" w:lastRow="0" w:firstColumn="0" w:lastColumn="0" w:noHBand="0" w:noVBand="1"/>
      </w:tblPr>
      <w:tblGrid>
        <w:gridCol w:w="961"/>
        <w:gridCol w:w="969"/>
        <w:gridCol w:w="917"/>
        <w:gridCol w:w="919"/>
        <w:gridCol w:w="916"/>
        <w:gridCol w:w="919"/>
        <w:gridCol w:w="916"/>
        <w:gridCol w:w="919"/>
        <w:gridCol w:w="916"/>
        <w:gridCol w:w="922"/>
        <w:gridCol w:w="916"/>
        <w:gridCol w:w="919"/>
        <w:gridCol w:w="916"/>
        <w:gridCol w:w="919"/>
      </w:tblGrid>
      <w:tr w:rsidR="00856514" w:rsidRPr="008C1E5F" w14:paraId="1FFF250E" w14:textId="77777777" w:rsidTr="00856514">
        <w:trPr>
          <w:cnfStyle w:val="100000000000" w:firstRow="1" w:lastRow="0" w:firstColumn="0" w:lastColumn="0" w:oddVBand="0" w:evenVBand="0" w:oddHBand="0" w:evenHBand="0" w:firstRowFirstColumn="0" w:firstRowLastColumn="0" w:lastRowFirstColumn="0" w:lastRowLastColumn="0"/>
          <w:tblHeader/>
          <w:jc w:val="center"/>
        </w:trPr>
        <w:tc>
          <w:tcPr>
            <w:tcW w:w="371" w:type="pct"/>
            <w:tcMar>
              <w:left w:w="14" w:type="dxa"/>
              <w:right w:w="14" w:type="dxa"/>
            </w:tcMar>
            <w:vAlign w:val="center"/>
          </w:tcPr>
          <w:p w14:paraId="76C1B133" w14:textId="0E0A2753" w:rsidR="00856514" w:rsidRPr="008C1E5F" w:rsidRDefault="00856514" w:rsidP="00856514">
            <w:pPr>
              <w:pStyle w:val="TableColHeadingCenter"/>
              <w:spacing w:before="20" w:after="20"/>
            </w:pPr>
            <w:r w:rsidRPr="00876772">
              <w:t>Grade</w:t>
            </w:r>
          </w:p>
        </w:tc>
        <w:tc>
          <w:tcPr>
            <w:tcW w:w="374" w:type="pct"/>
            <w:tcMar>
              <w:left w:w="14" w:type="dxa"/>
              <w:right w:w="14" w:type="dxa"/>
            </w:tcMar>
            <w:vAlign w:val="center"/>
          </w:tcPr>
          <w:p w14:paraId="7FB7E969" w14:textId="36935167" w:rsidR="00856514" w:rsidRPr="008C1E5F" w:rsidRDefault="00856514" w:rsidP="00856514">
            <w:pPr>
              <w:pStyle w:val="TableColHeadingCenter"/>
              <w:spacing w:before="20" w:after="20"/>
            </w:pPr>
            <w:r w:rsidRPr="00876772">
              <w:t># Included (2024)</w:t>
            </w:r>
          </w:p>
        </w:tc>
        <w:tc>
          <w:tcPr>
            <w:tcW w:w="354" w:type="pct"/>
            <w:tcMar>
              <w:left w:w="14" w:type="dxa"/>
              <w:right w:w="14" w:type="dxa"/>
            </w:tcMar>
            <w:vAlign w:val="center"/>
          </w:tcPr>
          <w:p w14:paraId="4D8252F6" w14:textId="2FD6743D" w:rsidR="00856514" w:rsidRPr="008C1E5F" w:rsidRDefault="00856514" w:rsidP="00856514">
            <w:pPr>
              <w:pStyle w:val="TableColHeadingCenter"/>
              <w:spacing w:before="20" w:after="20"/>
            </w:pPr>
            <w:r w:rsidRPr="00876772">
              <w:t>% M/E 2022</w:t>
            </w:r>
          </w:p>
        </w:tc>
        <w:tc>
          <w:tcPr>
            <w:tcW w:w="355" w:type="pct"/>
            <w:tcMar>
              <w:left w:w="14" w:type="dxa"/>
              <w:right w:w="14" w:type="dxa"/>
            </w:tcMar>
            <w:vAlign w:val="center"/>
          </w:tcPr>
          <w:p w14:paraId="1BB57DE9" w14:textId="251967CB" w:rsidR="00856514" w:rsidRPr="008C1E5F" w:rsidRDefault="00856514" w:rsidP="00856514">
            <w:pPr>
              <w:pStyle w:val="TableColHeadingCenter"/>
              <w:spacing w:before="20" w:after="20"/>
            </w:pPr>
            <w:r w:rsidRPr="00876772">
              <w:t>% M/E 2023</w:t>
            </w:r>
          </w:p>
        </w:tc>
        <w:tc>
          <w:tcPr>
            <w:tcW w:w="354" w:type="pct"/>
            <w:tcMar>
              <w:left w:w="14" w:type="dxa"/>
              <w:right w:w="14" w:type="dxa"/>
            </w:tcMar>
            <w:vAlign w:val="center"/>
          </w:tcPr>
          <w:p w14:paraId="1CAC259E" w14:textId="1FBD4BAF" w:rsidR="00856514" w:rsidRPr="008C1E5F" w:rsidRDefault="00856514" w:rsidP="00856514">
            <w:pPr>
              <w:pStyle w:val="TableColHeadingCenter"/>
              <w:spacing w:before="20" w:after="20"/>
            </w:pPr>
            <w:r w:rsidRPr="00876772">
              <w:t>% M/E 2024</w:t>
            </w:r>
          </w:p>
        </w:tc>
        <w:tc>
          <w:tcPr>
            <w:tcW w:w="355" w:type="pct"/>
            <w:tcMar>
              <w:left w:w="14" w:type="dxa"/>
              <w:right w:w="14" w:type="dxa"/>
            </w:tcMar>
            <w:vAlign w:val="center"/>
          </w:tcPr>
          <w:p w14:paraId="132BED4D" w14:textId="656D4632" w:rsidR="00856514" w:rsidRPr="008C1E5F" w:rsidRDefault="00856514" w:rsidP="00856514">
            <w:pPr>
              <w:pStyle w:val="TableColHeadingCenter"/>
              <w:spacing w:before="20" w:after="20"/>
            </w:pPr>
            <w:r w:rsidRPr="00876772">
              <w:t>% M/E 2024 State</w:t>
            </w:r>
          </w:p>
        </w:tc>
        <w:tc>
          <w:tcPr>
            <w:tcW w:w="354" w:type="pct"/>
            <w:tcMar>
              <w:left w:w="14" w:type="dxa"/>
              <w:right w:w="14" w:type="dxa"/>
            </w:tcMar>
            <w:vAlign w:val="center"/>
          </w:tcPr>
          <w:p w14:paraId="173B60B7" w14:textId="03B53B1A" w:rsidR="00856514" w:rsidRPr="008C1E5F" w:rsidRDefault="00856514" w:rsidP="00856514">
            <w:pPr>
              <w:pStyle w:val="TableColHeadingCenter"/>
              <w:spacing w:before="20" w:after="20"/>
            </w:pPr>
            <w:r w:rsidRPr="00876772">
              <w:t>% PME 2022</w:t>
            </w:r>
          </w:p>
        </w:tc>
        <w:tc>
          <w:tcPr>
            <w:tcW w:w="355" w:type="pct"/>
            <w:tcMar>
              <w:left w:w="14" w:type="dxa"/>
              <w:right w:w="14" w:type="dxa"/>
            </w:tcMar>
            <w:vAlign w:val="center"/>
          </w:tcPr>
          <w:p w14:paraId="5BFA19BB" w14:textId="237EE4F1" w:rsidR="00856514" w:rsidRPr="008C1E5F" w:rsidRDefault="00856514" w:rsidP="00856514">
            <w:pPr>
              <w:pStyle w:val="TableColHeadingCenter"/>
              <w:spacing w:before="20" w:after="20"/>
            </w:pPr>
            <w:r w:rsidRPr="00876772">
              <w:t>% PME 2023</w:t>
            </w:r>
          </w:p>
        </w:tc>
        <w:tc>
          <w:tcPr>
            <w:tcW w:w="354" w:type="pct"/>
            <w:tcMar>
              <w:left w:w="14" w:type="dxa"/>
              <w:right w:w="14" w:type="dxa"/>
            </w:tcMar>
            <w:vAlign w:val="center"/>
          </w:tcPr>
          <w:p w14:paraId="24B9FF31" w14:textId="64AAC4DE" w:rsidR="00856514" w:rsidRPr="008C1E5F" w:rsidRDefault="00856514" w:rsidP="00856514">
            <w:pPr>
              <w:pStyle w:val="TableColHeadingCenter"/>
              <w:spacing w:before="20" w:after="20"/>
            </w:pPr>
            <w:r w:rsidRPr="00876772">
              <w:t>% PME 2024</w:t>
            </w:r>
          </w:p>
        </w:tc>
        <w:tc>
          <w:tcPr>
            <w:tcW w:w="356" w:type="pct"/>
            <w:tcMar>
              <w:left w:w="14" w:type="dxa"/>
              <w:right w:w="14" w:type="dxa"/>
            </w:tcMar>
            <w:vAlign w:val="center"/>
          </w:tcPr>
          <w:p w14:paraId="0E7FAFA1" w14:textId="2E60FCF6" w:rsidR="00856514" w:rsidRPr="008C1E5F" w:rsidRDefault="00856514" w:rsidP="00856514">
            <w:pPr>
              <w:pStyle w:val="TableColHeadingCenter"/>
              <w:spacing w:before="20" w:after="20"/>
            </w:pPr>
            <w:r w:rsidRPr="00876772">
              <w:t>% PME 2024 State</w:t>
            </w:r>
          </w:p>
        </w:tc>
        <w:tc>
          <w:tcPr>
            <w:tcW w:w="354" w:type="pct"/>
            <w:tcMar>
              <w:left w:w="14" w:type="dxa"/>
              <w:right w:w="14" w:type="dxa"/>
            </w:tcMar>
            <w:vAlign w:val="center"/>
          </w:tcPr>
          <w:p w14:paraId="53816923" w14:textId="6169C900" w:rsidR="00856514" w:rsidRPr="008C1E5F" w:rsidRDefault="00856514" w:rsidP="00856514">
            <w:pPr>
              <w:pStyle w:val="TableColHeadingCenter"/>
              <w:spacing w:before="20" w:after="20"/>
            </w:pPr>
            <w:r w:rsidRPr="00876772">
              <w:t>% NM 2022</w:t>
            </w:r>
          </w:p>
        </w:tc>
        <w:tc>
          <w:tcPr>
            <w:tcW w:w="355" w:type="pct"/>
            <w:tcMar>
              <w:left w:w="14" w:type="dxa"/>
              <w:right w:w="14" w:type="dxa"/>
            </w:tcMar>
            <w:vAlign w:val="center"/>
          </w:tcPr>
          <w:p w14:paraId="26AB3FA7" w14:textId="6405E9D4" w:rsidR="00856514" w:rsidRPr="008C1E5F" w:rsidRDefault="00856514" w:rsidP="00856514">
            <w:pPr>
              <w:pStyle w:val="TableColHeadingCenter"/>
              <w:spacing w:before="20" w:after="20"/>
            </w:pPr>
            <w:r w:rsidRPr="00876772">
              <w:t>% NM 2023</w:t>
            </w:r>
          </w:p>
        </w:tc>
        <w:tc>
          <w:tcPr>
            <w:tcW w:w="354" w:type="pct"/>
            <w:tcMar>
              <w:left w:w="14" w:type="dxa"/>
              <w:right w:w="14" w:type="dxa"/>
            </w:tcMar>
            <w:vAlign w:val="center"/>
          </w:tcPr>
          <w:p w14:paraId="12B5BEA4" w14:textId="56C4F720" w:rsidR="00856514" w:rsidRPr="008C1E5F" w:rsidRDefault="00856514" w:rsidP="00856514">
            <w:pPr>
              <w:pStyle w:val="TableColHeadingCenter"/>
              <w:spacing w:before="20" w:after="20"/>
            </w:pPr>
            <w:r w:rsidRPr="00876772">
              <w:t>% NM 2024</w:t>
            </w:r>
          </w:p>
        </w:tc>
        <w:tc>
          <w:tcPr>
            <w:tcW w:w="355" w:type="pct"/>
            <w:tcMar>
              <w:left w:w="14" w:type="dxa"/>
              <w:right w:w="14" w:type="dxa"/>
            </w:tcMar>
            <w:vAlign w:val="center"/>
          </w:tcPr>
          <w:p w14:paraId="615F4C4E" w14:textId="65622BBE" w:rsidR="00856514" w:rsidRPr="008C1E5F" w:rsidRDefault="00856514" w:rsidP="00856514">
            <w:pPr>
              <w:pStyle w:val="TableColHeadingCenter"/>
              <w:spacing w:before="20" w:after="20"/>
            </w:pPr>
            <w:r w:rsidRPr="00876772">
              <w:t>% NM 2024 State</w:t>
            </w:r>
          </w:p>
        </w:tc>
      </w:tr>
      <w:tr w:rsidR="00C55C91" w:rsidRPr="008C1E5F" w14:paraId="29FF870C" w14:textId="77777777" w:rsidTr="00B70B91">
        <w:trPr>
          <w:cnfStyle w:val="000000100000" w:firstRow="0" w:lastRow="0" w:firstColumn="0" w:lastColumn="0" w:oddVBand="0" w:evenVBand="0" w:oddHBand="1" w:evenHBand="0" w:firstRowFirstColumn="0" w:firstRowLastColumn="0" w:lastRowFirstColumn="0" w:lastRowLastColumn="0"/>
          <w:jc w:val="center"/>
        </w:trPr>
        <w:tc>
          <w:tcPr>
            <w:tcW w:w="371" w:type="pct"/>
            <w:tcMar>
              <w:left w:w="14" w:type="dxa"/>
              <w:right w:w="14" w:type="dxa"/>
            </w:tcMar>
          </w:tcPr>
          <w:p w14:paraId="1A3D3FF6" w14:textId="77777777" w:rsidR="00C60C82" w:rsidRPr="008C1E5F" w:rsidRDefault="00C60C82">
            <w:pPr>
              <w:pStyle w:val="TableText"/>
              <w:spacing w:before="20" w:after="20"/>
              <w:jc w:val="center"/>
              <w:rPr>
                <w:rFonts w:ascii="Franklin Gothic Book" w:hAnsi="Franklin Gothic Book"/>
              </w:rPr>
            </w:pPr>
            <w:r w:rsidRPr="008C1E5F">
              <w:rPr>
                <w:rFonts w:ascii="Franklin Gothic Book" w:hAnsi="Franklin Gothic Book"/>
              </w:rPr>
              <w:t>3</w:t>
            </w:r>
          </w:p>
        </w:tc>
        <w:tc>
          <w:tcPr>
            <w:tcW w:w="374" w:type="pct"/>
            <w:tcMar>
              <w:left w:w="14" w:type="dxa"/>
              <w:right w:w="14" w:type="dxa"/>
            </w:tcMar>
            <w:vAlign w:val="center"/>
          </w:tcPr>
          <w:p w14:paraId="3ACB8AD9"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804</w:t>
            </w:r>
          </w:p>
        </w:tc>
        <w:tc>
          <w:tcPr>
            <w:tcW w:w="354" w:type="pct"/>
            <w:tcMar>
              <w:left w:w="14" w:type="dxa"/>
              <w:right w:w="14" w:type="dxa"/>
            </w:tcMar>
            <w:vAlign w:val="center"/>
          </w:tcPr>
          <w:p w14:paraId="2D9A6F70"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25</w:t>
            </w:r>
          </w:p>
        </w:tc>
        <w:tc>
          <w:tcPr>
            <w:tcW w:w="355" w:type="pct"/>
            <w:tcMar>
              <w:left w:w="14" w:type="dxa"/>
              <w:right w:w="14" w:type="dxa"/>
            </w:tcMar>
            <w:vAlign w:val="center"/>
          </w:tcPr>
          <w:p w14:paraId="18B1F5E7"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24</w:t>
            </w:r>
          </w:p>
        </w:tc>
        <w:tc>
          <w:tcPr>
            <w:tcW w:w="354" w:type="pct"/>
            <w:tcMar>
              <w:left w:w="14" w:type="dxa"/>
              <w:right w:w="14" w:type="dxa"/>
            </w:tcMar>
            <w:vAlign w:val="center"/>
          </w:tcPr>
          <w:p w14:paraId="7E336D11"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22</w:t>
            </w:r>
          </w:p>
        </w:tc>
        <w:tc>
          <w:tcPr>
            <w:tcW w:w="355" w:type="pct"/>
            <w:tcMar>
              <w:left w:w="14" w:type="dxa"/>
              <w:right w:w="14" w:type="dxa"/>
            </w:tcMar>
            <w:vAlign w:val="center"/>
          </w:tcPr>
          <w:p w14:paraId="15EC1053"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42</w:t>
            </w:r>
          </w:p>
        </w:tc>
        <w:tc>
          <w:tcPr>
            <w:tcW w:w="354" w:type="pct"/>
            <w:tcMar>
              <w:left w:w="14" w:type="dxa"/>
              <w:right w:w="14" w:type="dxa"/>
            </w:tcMar>
            <w:vAlign w:val="center"/>
          </w:tcPr>
          <w:p w14:paraId="1C3B1067"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48</w:t>
            </w:r>
          </w:p>
        </w:tc>
        <w:tc>
          <w:tcPr>
            <w:tcW w:w="355" w:type="pct"/>
            <w:tcMar>
              <w:left w:w="14" w:type="dxa"/>
              <w:right w:w="14" w:type="dxa"/>
            </w:tcMar>
            <w:vAlign w:val="center"/>
          </w:tcPr>
          <w:p w14:paraId="20F10780"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45</w:t>
            </w:r>
          </w:p>
        </w:tc>
        <w:tc>
          <w:tcPr>
            <w:tcW w:w="354" w:type="pct"/>
            <w:tcMar>
              <w:left w:w="14" w:type="dxa"/>
              <w:right w:w="14" w:type="dxa"/>
            </w:tcMar>
            <w:vAlign w:val="center"/>
          </w:tcPr>
          <w:p w14:paraId="59B9894C"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47</w:t>
            </w:r>
          </w:p>
        </w:tc>
        <w:tc>
          <w:tcPr>
            <w:tcW w:w="356" w:type="pct"/>
            <w:tcMar>
              <w:left w:w="14" w:type="dxa"/>
              <w:right w:w="14" w:type="dxa"/>
            </w:tcMar>
            <w:vAlign w:val="center"/>
          </w:tcPr>
          <w:p w14:paraId="3DD5139C"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40</w:t>
            </w:r>
          </w:p>
        </w:tc>
        <w:tc>
          <w:tcPr>
            <w:tcW w:w="354" w:type="pct"/>
            <w:tcMar>
              <w:left w:w="14" w:type="dxa"/>
              <w:right w:w="14" w:type="dxa"/>
            </w:tcMar>
            <w:vAlign w:val="center"/>
          </w:tcPr>
          <w:p w14:paraId="325E09D6"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27</w:t>
            </w:r>
          </w:p>
        </w:tc>
        <w:tc>
          <w:tcPr>
            <w:tcW w:w="355" w:type="pct"/>
            <w:tcMar>
              <w:left w:w="14" w:type="dxa"/>
              <w:right w:w="14" w:type="dxa"/>
            </w:tcMar>
            <w:vAlign w:val="center"/>
          </w:tcPr>
          <w:p w14:paraId="5CAC1921"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31</w:t>
            </w:r>
          </w:p>
        </w:tc>
        <w:tc>
          <w:tcPr>
            <w:tcW w:w="354" w:type="pct"/>
            <w:tcMar>
              <w:left w:w="14" w:type="dxa"/>
              <w:right w:w="14" w:type="dxa"/>
            </w:tcMar>
            <w:vAlign w:val="center"/>
          </w:tcPr>
          <w:p w14:paraId="514CDE47"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30</w:t>
            </w:r>
          </w:p>
        </w:tc>
        <w:tc>
          <w:tcPr>
            <w:tcW w:w="355" w:type="pct"/>
            <w:tcMar>
              <w:left w:w="14" w:type="dxa"/>
              <w:right w:w="14" w:type="dxa"/>
            </w:tcMar>
            <w:vAlign w:val="bottom"/>
          </w:tcPr>
          <w:p w14:paraId="0CF83B17"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18</w:t>
            </w:r>
          </w:p>
        </w:tc>
      </w:tr>
      <w:tr w:rsidR="00C60C82" w:rsidRPr="008C1E5F" w14:paraId="48540D2A" w14:textId="77777777" w:rsidTr="00B70B91">
        <w:trPr>
          <w:jc w:val="center"/>
        </w:trPr>
        <w:tc>
          <w:tcPr>
            <w:tcW w:w="371" w:type="pct"/>
            <w:tcMar>
              <w:left w:w="14" w:type="dxa"/>
              <w:right w:w="14" w:type="dxa"/>
            </w:tcMar>
          </w:tcPr>
          <w:p w14:paraId="4AEC98D9" w14:textId="77777777" w:rsidR="00C60C82" w:rsidRPr="008C1E5F" w:rsidRDefault="00C60C82">
            <w:pPr>
              <w:pStyle w:val="TableText"/>
              <w:spacing w:before="20" w:after="20"/>
              <w:jc w:val="center"/>
              <w:rPr>
                <w:rFonts w:ascii="Franklin Gothic Book" w:hAnsi="Franklin Gothic Book"/>
              </w:rPr>
            </w:pPr>
            <w:r w:rsidRPr="008C1E5F">
              <w:rPr>
                <w:rFonts w:ascii="Franklin Gothic Book" w:hAnsi="Franklin Gothic Book"/>
              </w:rPr>
              <w:t>4</w:t>
            </w:r>
          </w:p>
        </w:tc>
        <w:tc>
          <w:tcPr>
            <w:tcW w:w="374" w:type="pct"/>
            <w:tcMar>
              <w:left w:w="14" w:type="dxa"/>
              <w:right w:w="14" w:type="dxa"/>
            </w:tcMar>
            <w:vAlign w:val="center"/>
          </w:tcPr>
          <w:p w14:paraId="71B08D3A"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883</w:t>
            </w:r>
          </w:p>
        </w:tc>
        <w:tc>
          <w:tcPr>
            <w:tcW w:w="354" w:type="pct"/>
            <w:tcMar>
              <w:left w:w="14" w:type="dxa"/>
              <w:right w:w="14" w:type="dxa"/>
            </w:tcMar>
            <w:vAlign w:val="center"/>
          </w:tcPr>
          <w:p w14:paraId="1D26E674"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21</w:t>
            </w:r>
          </w:p>
        </w:tc>
        <w:tc>
          <w:tcPr>
            <w:tcW w:w="355" w:type="pct"/>
            <w:tcMar>
              <w:left w:w="14" w:type="dxa"/>
              <w:right w:w="14" w:type="dxa"/>
            </w:tcMar>
            <w:vAlign w:val="center"/>
          </w:tcPr>
          <w:p w14:paraId="7863B7B2"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20</w:t>
            </w:r>
          </w:p>
        </w:tc>
        <w:tc>
          <w:tcPr>
            <w:tcW w:w="354" w:type="pct"/>
            <w:tcMar>
              <w:left w:w="14" w:type="dxa"/>
              <w:right w:w="14" w:type="dxa"/>
            </w:tcMar>
            <w:vAlign w:val="center"/>
          </w:tcPr>
          <w:p w14:paraId="248B136A"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20</w:t>
            </w:r>
          </w:p>
        </w:tc>
        <w:tc>
          <w:tcPr>
            <w:tcW w:w="355" w:type="pct"/>
            <w:tcMar>
              <w:left w:w="14" w:type="dxa"/>
              <w:right w:w="14" w:type="dxa"/>
            </w:tcMar>
            <w:vAlign w:val="center"/>
          </w:tcPr>
          <w:p w14:paraId="067484C8"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37</w:t>
            </w:r>
          </w:p>
        </w:tc>
        <w:tc>
          <w:tcPr>
            <w:tcW w:w="354" w:type="pct"/>
            <w:tcMar>
              <w:left w:w="14" w:type="dxa"/>
              <w:right w:w="14" w:type="dxa"/>
            </w:tcMar>
            <w:vAlign w:val="center"/>
          </w:tcPr>
          <w:p w14:paraId="3F1693C5"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52</w:t>
            </w:r>
          </w:p>
        </w:tc>
        <w:tc>
          <w:tcPr>
            <w:tcW w:w="355" w:type="pct"/>
            <w:tcMar>
              <w:left w:w="14" w:type="dxa"/>
              <w:right w:w="14" w:type="dxa"/>
            </w:tcMar>
            <w:vAlign w:val="center"/>
          </w:tcPr>
          <w:p w14:paraId="602FBF5C"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48</w:t>
            </w:r>
          </w:p>
        </w:tc>
        <w:tc>
          <w:tcPr>
            <w:tcW w:w="354" w:type="pct"/>
            <w:tcMar>
              <w:left w:w="14" w:type="dxa"/>
              <w:right w:w="14" w:type="dxa"/>
            </w:tcMar>
            <w:vAlign w:val="center"/>
          </w:tcPr>
          <w:p w14:paraId="22CD219D"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48</w:t>
            </w:r>
          </w:p>
        </w:tc>
        <w:tc>
          <w:tcPr>
            <w:tcW w:w="356" w:type="pct"/>
            <w:tcMar>
              <w:left w:w="14" w:type="dxa"/>
              <w:right w:w="14" w:type="dxa"/>
            </w:tcMar>
            <w:vAlign w:val="center"/>
          </w:tcPr>
          <w:p w14:paraId="328F3ACF"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45</w:t>
            </w:r>
          </w:p>
        </w:tc>
        <w:tc>
          <w:tcPr>
            <w:tcW w:w="354" w:type="pct"/>
            <w:tcMar>
              <w:left w:w="14" w:type="dxa"/>
              <w:right w:w="14" w:type="dxa"/>
            </w:tcMar>
            <w:vAlign w:val="center"/>
          </w:tcPr>
          <w:p w14:paraId="3BCFE892"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27</w:t>
            </w:r>
          </w:p>
        </w:tc>
        <w:tc>
          <w:tcPr>
            <w:tcW w:w="355" w:type="pct"/>
            <w:tcMar>
              <w:left w:w="14" w:type="dxa"/>
              <w:right w:w="14" w:type="dxa"/>
            </w:tcMar>
            <w:vAlign w:val="center"/>
          </w:tcPr>
          <w:p w14:paraId="321A0CEB"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32</w:t>
            </w:r>
          </w:p>
        </w:tc>
        <w:tc>
          <w:tcPr>
            <w:tcW w:w="354" w:type="pct"/>
            <w:tcMar>
              <w:left w:w="14" w:type="dxa"/>
              <w:right w:w="14" w:type="dxa"/>
            </w:tcMar>
            <w:vAlign w:val="center"/>
          </w:tcPr>
          <w:p w14:paraId="2C6E7215"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32</w:t>
            </w:r>
          </w:p>
        </w:tc>
        <w:tc>
          <w:tcPr>
            <w:tcW w:w="355" w:type="pct"/>
            <w:tcMar>
              <w:left w:w="14" w:type="dxa"/>
              <w:right w:w="14" w:type="dxa"/>
            </w:tcMar>
            <w:vAlign w:val="bottom"/>
          </w:tcPr>
          <w:p w14:paraId="241B59E3"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19</w:t>
            </w:r>
          </w:p>
        </w:tc>
      </w:tr>
      <w:tr w:rsidR="00C55C91" w:rsidRPr="008C1E5F" w14:paraId="0249A4C7" w14:textId="77777777" w:rsidTr="00B70B91">
        <w:trPr>
          <w:cnfStyle w:val="000000100000" w:firstRow="0" w:lastRow="0" w:firstColumn="0" w:lastColumn="0" w:oddVBand="0" w:evenVBand="0" w:oddHBand="1" w:evenHBand="0" w:firstRowFirstColumn="0" w:firstRowLastColumn="0" w:lastRowFirstColumn="0" w:lastRowLastColumn="0"/>
          <w:jc w:val="center"/>
        </w:trPr>
        <w:tc>
          <w:tcPr>
            <w:tcW w:w="371" w:type="pct"/>
            <w:tcMar>
              <w:left w:w="14" w:type="dxa"/>
              <w:right w:w="14" w:type="dxa"/>
            </w:tcMar>
          </w:tcPr>
          <w:p w14:paraId="5B89EAD5" w14:textId="77777777" w:rsidR="00C60C82" w:rsidRPr="008C1E5F" w:rsidRDefault="00C60C82">
            <w:pPr>
              <w:pStyle w:val="TableText"/>
              <w:spacing w:before="20" w:after="20"/>
              <w:jc w:val="center"/>
              <w:rPr>
                <w:rFonts w:ascii="Franklin Gothic Book" w:hAnsi="Franklin Gothic Book"/>
              </w:rPr>
            </w:pPr>
            <w:r w:rsidRPr="008C1E5F">
              <w:rPr>
                <w:rFonts w:ascii="Franklin Gothic Book" w:hAnsi="Franklin Gothic Book"/>
              </w:rPr>
              <w:t>5</w:t>
            </w:r>
          </w:p>
        </w:tc>
        <w:tc>
          <w:tcPr>
            <w:tcW w:w="374" w:type="pct"/>
            <w:tcMar>
              <w:left w:w="14" w:type="dxa"/>
              <w:right w:w="14" w:type="dxa"/>
            </w:tcMar>
            <w:vAlign w:val="center"/>
          </w:tcPr>
          <w:p w14:paraId="5502E0C4"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859</w:t>
            </w:r>
          </w:p>
        </w:tc>
        <w:tc>
          <w:tcPr>
            <w:tcW w:w="354" w:type="pct"/>
            <w:tcMar>
              <w:left w:w="14" w:type="dxa"/>
              <w:right w:w="14" w:type="dxa"/>
            </w:tcMar>
            <w:vAlign w:val="center"/>
          </w:tcPr>
          <w:p w14:paraId="6A75B4EA"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24</w:t>
            </w:r>
          </w:p>
        </w:tc>
        <w:tc>
          <w:tcPr>
            <w:tcW w:w="355" w:type="pct"/>
            <w:tcMar>
              <w:left w:w="14" w:type="dxa"/>
              <w:right w:w="14" w:type="dxa"/>
            </w:tcMar>
            <w:vAlign w:val="center"/>
          </w:tcPr>
          <w:p w14:paraId="40AA5C8F"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26</w:t>
            </w:r>
          </w:p>
        </w:tc>
        <w:tc>
          <w:tcPr>
            <w:tcW w:w="354" w:type="pct"/>
            <w:tcMar>
              <w:left w:w="14" w:type="dxa"/>
              <w:right w:w="14" w:type="dxa"/>
            </w:tcMar>
            <w:vAlign w:val="center"/>
          </w:tcPr>
          <w:p w14:paraId="62ADB4D6"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21</w:t>
            </w:r>
          </w:p>
        </w:tc>
        <w:tc>
          <w:tcPr>
            <w:tcW w:w="355" w:type="pct"/>
            <w:tcMar>
              <w:left w:w="14" w:type="dxa"/>
              <w:right w:w="14" w:type="dxa"/>
            </w:tcMar>
            <w:vAlign w:val="center"/>
          </w:tcPr>
          <w:p w14:paraId="3CFF5C3F"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38</w:t>
            </w:r>
          </w:p>
        </w:tc>
        <w:tc>
          <w:tcPr>
            <w:tcW w:w="354" w:type="pct"/>
            <w:tcMar>
              <w:left w:w="14" w:type="dxa"/>
              <w:right w:w="14" w:type="dxa"/>
            </w:tcMar>
            <w:vAlign w:val="center"/>
          </w:tcPr>
          <w:p w14:paraId="2B82A2F2"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50</w:t>
            </w:r>
          </w:p>
        </w:tc>
        <w:tc>
          <w:tcPr>
            <w:tcW w:w="355" w:type="pct"/>
            <w:tcMar>
              <w:left w:w="14" w:type="dxa"/>
              <w:right w:w="14" w:type="dxa"/>
            </w:tcMar>
            <w:vAlign w:val="center"/>
          </w:tcPr>
          <w:p w14:paraId="4DB1F162"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46</w:t>
            </w:r>
          </w:p>
        </w:tc>
        <w:tc>
          <w:tcPr>
            <w:tcW w:w="354" w:type="pct"/>
            <w:tcMar>
              <w:left w:w="14" w:type="dxa"/>
              <w:right w:w="14" w:type="dxa"/>
            </w:tcMar>
            <w:vAlign w:val="center"/>
          </w:tcPr>
          <w:p w14:paraId="3E8623C7"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50</w:t>
            </w:r>
          </w:p>
        </w:tc>
        <w:tc>
          <w:tcPr>
            <w:tcW w:w="356" w:type="pct"/>
            <w:tcMar>
              <w:left w:w="14" w:type="dxa"/>
              <w:right w:w="14" w:type="dxa"/>
            </w:tcMar>
            <w:vAlign w:val="center"/>
          </w:tcPr>
          <w:p w14:paraId="3B1767B4"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46</w:t>
            </w:r>
          </w:p>
        </w:tc>
        <w:tc>
          <w:tcPr>
            <w:tcW w:w="354" w:type="pct"/>
            <w:tcMar>
              <w:left w:w="14" w:type="dxa"/>
              <w:right w:w="14" w:type="dxa"/>
            </w:tcMar>
            <w:vAlign w:val="center"/>
          </w:tcPr>
          <w:p w14:paraId="0BF23923"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26</w:t>
            </w:r>
          </w:p>
        </w:tc>
        <w:tc>
          <w:tcPr>
            <w:tcW w:w="355" w:type="pct"/>
            <w:tcMar>
              <w:left w:w="14" w:type="dxa"/>
              <w:right w:w="14" w:type="dxa"/>
            </w:tcMar>
            <w:vAlign w:val="center"/>
          </w:tcPr>
          <w:p w14:paraId="6686B7E6"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27</w:t>
            </w:r>
          </w:p>
        </w:tc>
        <w:tc>
          <w:tcPr>
            <w:tcW w:w="354" w:type="pct"/>
            <w:tcMar>
              <w:left w:w="14" w:type="dxa"/>
              <w:right w:w="14" w:type="dxa"/>
            </w:tcMar>
            <w:vAlign w:val="center"/>
          </w:tcPr>
          <w:p w14:paraId="5949D7A2"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30</w:t>
            </w:r>
          </w:p>
        </w:tc>
        <w:tc>
          <w:tcPr>
            <w:tcW w:w="355" w:type="pct"/>
            <w:tcMar>
              <w:left w:w="14" w:type="dxa"/>
              <w:right w:w="14" w:type="dxa"/>
            </w:tcMar>
            <w:vAlign w:val="bottom"/>
          </w:tcPr>
          <w:p w14:paraId="00E23CF8"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16</w:t>
            </w:r>
          </w:p>
        </w:tc>
      </w:tr>
      <w:tr w:rsidR="00C60C82" w:rsidRPr="008C1E5F" w14:paraId="550B861E" w14:textId="77777777" w:rsidTr="00B70B91">
        <w:trPr>
          <w:jc w:val="center"/>
        </w:trPr>
        <w:tc>
          <w:tcPr>
            <w:tcW w:w="371" w:type="pct"/>
            <w:tcMar>
              <w:left w:w="14" w:type="dxa"/>
              <w:right w:w="14" w:type="dxa"/>
            </w:tcMar>
          </w:tcPr>
          <w:p w14:paraId="5E431FFD" w14:textId="77777777" w:rsidR="00C60C82" w:rsidRPr="008C1E5F" w:rsidRDefault="00C60C82">
            <w:pPr>
              <w:pStyle w:val="TableText"/>
              <w:spacing w:before="20" w:after="20"/>
              <w:jc w:val="center"/>
              <w:rPr>
                <w:rFonts w:ascii="Franklin Gothic Book" w:hAnsi="Franklin Gothic Book"/>
              </w:rPr>
            </w:pPr>
            <w:r w:rsidRPr="008C1E5F">
              <w:rPr>
                <w:rFonts w:ascii="Franklin Gothic Book" w:hAnsi="Franklin Gothic Book"/>
              </w:rPr>
              <w:t>6</w:t>
            </w:r>
          </w:p>
        </w:tc>
        <w:tc>
          <w:tcPr>
            <w:tcW w:w="374" w:type="pct"/>
            <w:tcMar>
              <w:left w:w="14" w:type="dxa"/>
              <w:right w:w="14" w:type="dxa"/>
            </w:tcMar>
            <w:vAlign w:val="center"/>
          </w:tcPr>
          <w:p w14:paraId="502F0D01"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746</w:t>
            </w:r>
          </w:p>
        </w:tc>
        <w:tc>
          <w:tcPr>
            <w:tcW w:w="354" w:type="pct"/>
            <w:tcMar>
              <w:left w:w="14" w:type="dxa"/>
              <w:right w:w="14" w:type="dxa"/>
            </w:tcMar>
            <w:vAlign w:val="center"/>
          </w:tcPr>
          <w:p w14:paraId="3812B3A9"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20</w:t>
            </w:r>
          </w:p>
        </w:tc>
        <w:tc>
          <w:tcPr>
            <w:tcW w:w="355" w:type="pct"/>
            <w:tcMar>
              <w:left w:w="14" w:type="dxa"/>
              <w:right w:w="14" w:type="dxa"/>
            </w:tcMar>
            <w:vAlign w:val="center"/>
          </w:tcPr>
          <w:p w14:paraId="40831B22"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18</w:t>
            </w:r>
          </w:p>
        </w:tc>
        <w:tc>
          <w:tcPr>
            <w:tcW w:w="354" w:type="pct"/>
            <w:tcMar>
              <w:left w:w="14" w:type="dxa"/>
              <w:right w:w="14" w:type="dxa"/>
            </w:tcMar>
            <w:vAlign w:val="center"/>
          </w:tcPr>
          <w:p w14:paraId="00B4BECC"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14</w:t>
            </w:r>
          </w:p>
        </w:tc>
        <w:tc>
          <w:tcPr>
            <w:tcW w:w="355" w:type="pct"/>
            <w:tcMar>
              <w:left w:w="14" w:type="dxa"/>
              <w:right w:w="14" w:type="dxa"/>
            </w:tcMar>
            <w:vAlign w:val="center"/>
          </w:tcPr>
          <w:p w14:paraId="31084A9D"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40</w:t>
            </w:r>
          </w:p>
        </w:tc>
        <w:tc>
          <w:tcPr>
            <w:tcW w:w="354" w:type="pct"/>
            <w:tcMar>
              <w:left w:w="14" w:type="dxa"/>
              <w:right w:w="14" w:type="dxa"/>
            </w:tcMar>
            <w:vAlign w:val="center"/>
          </w:tcPr>
          <w:p w14:paraId="26232CD9"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40</w:t>
            </w:r>
          </w:p>
        </w:tc>
        <w:tc>
          <w:tcPr>
            <w:tcW w:w="355" w:type="pct"/>
            <w:tcMar>
              <w:left w:w="14" w:type="dxa"/>
              <w:right w:w="14" w:type="dxa"/>
            </w:tcMar>
            <w:vAlign w:val="center"/>
          </w:tcPr>
          <w:p w14:paraId="2E7C4E92"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33</w:t>
            </w:r>
          </w:p>
        </w:tc>
        <w:tc>
          <w:tcPr>
            <w:tcW w:w="354" w:type="pct"/>
            <w:tcMar>
              <w:left w:w="14" w:type="dxa"/>
              <w:right w:w="14" w:type="dxa"/>
            </w:tcMar>
            <w:vAlign w:val="center"/>
          </w:tcPr>
          <w:p w14:paraId="71DF0F0A"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39</w:t>
            </w:r>
          </w:p>
        </w:tc>
        <w:tc>
          <w:tcPr>
            <w:tcW w:w="356" w:type="pct"/>
            <w:tcMar>
              <w:left w:w="14" w:type="dxa"/>
              <w:right w:w="14" w:type="dxa"/>
            </w:tcMar>
            <w:vAlign w:val="center"/>
          </w:tcPr>
          <w:p w14:paraId="1550EC95"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35</w:t>
            </w:r>
          </w:p>
        </w:tc>
        <w:tc>
          <w:tcPr>
            <w:tcW w:w="354" w:type="pct"/>
            <w:tcMar>
              <w:left w:w="14" w:type="dxa"/>
              <w:right w:w="14" w:type="dxa"/>
            </w:tcMar>
            <w:vAlign w:val="center"/>
          </w:tcPr>
          <w:p w14:paraId="5C90C840"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40</w:t>
            </w:r>
          </w:p>
        </w:tc>
        <w:tc>
          <w:tcPr>
            <w:tcW w:w="355" w:type="pct"/>
            <w:tcMar>
              <w:left w:w="14" w:type="dxa"/>
              <w:right w:w="14" w:type="dxa"/>
            </w:tcMar>
            <w:vAlign w:val="center"/>
          </w:tcPr>
          <w:p w14:paraId="395F1AF7"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49</w:t>
            </w:r>
          </w:p>
        </w:tc>
        <w:tc>
          <w:tcPr>
            <w:tcW w:w="354" w:type="pct"/>
            <w:tcMar>
              <w:left w:w="14" w:type="dxa"/>
              <w:right w:w="14" w:type="dxa"/>
            </w:tcMar>
            <w:vAlign w:val="center"/>
          </w:tcPr>
          <w:p w14:paraId="109A35CC"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47</w:t>
            </w:r>
          </w:p>
        </w:tc>
        <w:tc>
          <w:tcPr>
            <w:tcW w:w="355" w:type="pct"/>
            <w:tcMar>
              <w:left w:w="14" w:type="dxa"/>
              <w:right w:w="14" w:type="dxa"/>
            </w:tcMar>
            <w:vAlign w:val="bottom"/>
          </w:tcPr>
          <w:p w14:paraId="070E9234"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25</w:t>
            </w:r>
          </w:p>
        </w:tc>
      </w:tr>
      <w:tr w:rsidR="00C55C91" w:rsidRPr="008C1E5F" w14:paraId="463CD0F9" w14:textId="77777777" w:rsidTr="00B70B91">
        <w:trPr>
          <w:cnfStyle w:val="000000100000" w:firstRow="0" w:lastRow="0" w:firstColumn="0" w:lastColumn="0" w:oddVBand="0" w:evenVBand="0" w:oddHBand="1" w:evenHBand="0" w:firstRowFirstColumn="0" w:firstRowLastColumn="0" w:lastRowFirstColumn="0" w:lastRowLastColumn="0"/>
          <w:jc w:val="center"/>
        </w:trPr>
        <w:tc>
          <w:tcPr>
            <w:tcW w:w="371" w:type="pct"/>
            <w:tcMar>
              <w:left w:w="14" w:type="dxa"/>
              <w:right w:w="14" w:type="dxa"/>
            </w:tcMar>
          </w:tcPr>
          <w:p w14:paraId="362513B3" w14:textId="77777777" w:rsidR="00C60C82" w:rsidRPr="008C1E5F" w:rsidRDefault="00C60C82">
            <w:pPr>
              <w:pStyle w:val="TableText"/>
              <w:spacing w:before="20" w:after="20"/>
              <w:jc w:val="center"/>
              <w:rPr>
                <w:rFonts w:ascii="Franklin Gothic Book" w:hAnsi="Franklin Gothic Book"/>
              </w:rPr>
            </w:pPr>
            <w:r w:rsidRPr="008C1E5F">
              <w:rPr>
                <w:rFonts w:ascii="Franklin Gothic Book" w:hAnsi="Franklin Gothic Book"/>
              </w:rPr>
              <w:t>7</w:t>
            </w:r>
          </w:p>
        </w:tc>
        <w:tc>
          <w:tcPr>
            <w:tcW w:w="374" w:type="pct"/>
            <w:tcMar>
              <w:left w:w="14" w:type="dxa"/>
              <w:right w:w="14" w:type="dxa"/>
            </w:tcMar>
            <w:vAlign w:val="center"/>
          </w:tcPr>
          <w:p w14:paraId="47719BF5"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797</w:t>
            </w:r>
          </w:p>
        </w:tc>
        <w:tc>
          <w:tcPr>
            <w:tcW w:w="354" w:type="pct"/>
            <w:tcMar>
              <w:left w:w="14" w:type="dxa"/>
              <w:right w:w="14" w:type="dxa"/>
            </w:tcMar>
            <w:vAlign w:val="center"/>
          </w:tcPr>
          <w:p w14:paraId="6C78EF5A"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20</w:t>
            </w:r>
          </w:p>
        </w:tc>
        <w:tc>
          <w:tcPr>
            <w:tcW w:w="355" w:type="pct"/>
            <w:tcMar>
              <w:left w:w="14" w:type="dxa"/>
              <w:right w:w="14" w:type="dxa"/>
            </w:tcMar>
            <w:vAlign w:val="center"/>
          </w:tcPr>
          <w:p w14:paraId="7683385E"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20</w:t>
            </w:r>
          </w:p>
        </w:tc>
        <w:tc>
          <w:tcPr>
            <w:tcW w:w="354" w:type="pct"/>
            <w:tcMar>
              <w:left w:w="14" w:type="dxa"/>
              <w:right w:w="14" w:type="dxa"/>
            </w:tcMar>
            <w:vAlign w:val="center"/>
          </w:tcPr>
          <w:p w14:paraId="231664E9"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15</w:t>
            </w:r>
          </w:p>
        </w:tc>
        <w:tc>
          <w:tcPr>
            <w:tcW w:w="355" w:type="pct"/>
            <w:tcMar>
              <w:left w:w="14" w:type="dxa"/>
              <w:right w:w="14" w:type="dxa"/>
            </w:tcMar>
            <w:vAlign w:val="center"/>
          </w:tcPr>
          <w:p w14:paraId="2D2A14BD"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36</w:t>
            </w:r>
          </w:p>
        </w:tc>
        <w:tc>
          <w:tcPr>
            <w:tcW w:w="354" w:type="pct"/>
            <w:tcMar>
              <w:left w:w="14" w:type="dxa"/>
              <w:right w:w="14" w:type="dxa"/>
            </w:tcMar>
            <w:vAlign w:val="center"/>
          </w:tcPr>
          <w:p w14:paraId="426A652F"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40</w:t>
            </w:r>
          </w:p>
        </w:tc>
        <w:tc>
          <w:tcPr>
            <w:tcW w:w="355" w:type="pct"/>
            <w:tcMar>
              <w:left w:w="14" w:type="dxa"/>
              <w:right w:w="14" w:type="dxa"/>
            </w:tcMar>
            <w:vAlign w:val="center"/>
          </w:tcPr>
          <w:p w14:paraId="06B8A3B4"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40</w:t>
            </w:r>
          </w:p>
        </w:tc>
        <w:tc>
          <w:tcPr>
            <w:tcW w:w="354" w:type="pct"/>
            <w:tcMar>
              <w:left w:w="14" w:type="dxa"/>
              <w:right w:w="14" w:type="dxa"/>
            </w:tcMar>
            <w:vAlign w:val="center"/>
          </w:tcPr>
          <w:p w14:paraId="746CEBE1"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42</w:t>
            </w:r>
          </w:p>
        </w:tc>
        <w:tc>
          <w:tcPr>
            <w:tcW w:w="356" w:type="pct"/>
            <w:tcMar>
              <w:left w:w="14" w:type="dxa"/>
              <w:right w:w="14" w:type="dxa"/>
            </w:tcMar>
            <w:vAlign w:val="center"/>
          </w:tcPr>
          <w:p w14:paraId="11A21F7C"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42</w:t>
            </w:r>
          </w:p>
        </w:tc>
        <w:tc>
          <w:tcPr>
            <w:tcW w:w="354" w:type="pct"/>
            <w:tcMar>
              <w:left w:w="14" w:type="dxa"/>
              <w:right w:w="14" w:type="dxa"/>
            </w:tcMar>
            <w:vAlign w:val="center"/>
          </w:tcPr>
          <w:p w14:paraId="139E9E8F"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39</w:t>
            </w:r>
          </w:p>
        </w:tc>
        <w:tc>
          <w:tcPr>
            <w:tcW w:w="355" w:type="pct"/>
            <w:tcMar>
              <w:left w:w="14" w:type="dxa"/>
              <w:right w:w="14" w:type="dxa"/>
            </w:tcMar>
            <w:vAlign w:val="center"/>
          </w:tcPr>
          <w:p w14:paraId="47358481"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39</w:t>
            </w:r>
          </w:p>
        </w:tc>
        <w:tc>
          <w:tcPr>
            <w:tcW w:w="354" w:type="pct"/>
            <w:tcMar>
              <w:left w:w="14" w:type="dxa"/>
              <w:right w:w="14" w:type="dxa"/>
            </w:tcMar>
            <w:vAlign w:val="center"/>
          </w:tcPr>
          <w:p w14:paraId="6B291750"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42</w:t>
            </w:r>
          </w:p>
        </w:tc>
        <w:tc>
          <w:tcPr>
            <w:tcW w:w="355" w:type="pct"/>
            <w:tcMar>
              <w:left w:w="14" w:type="dxa"/>
              <w:right w:w="14" w:type="dxa"/>
            </w:tcMar>
            <w:vAlign w:val="bottom"/>
          </w:tcPr>
          <w:p w14:paraId="227038B9"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22</w:t>
            </w:r>
          </w:p>
        </w:tc>
      </w:tr>
      <w:tr w:rsidR="00C60C82" w:rsidRPr="008C1E5F" w14:paraId="3BF17F1D" w14:textId="77777777" w:rsidTr="00B70B91">
        <w:trPr>
          <w:jc w:val="center"/>
        </w:trPr>
        <w:tc>
          <w:tcPr>
            <w:tcW w:w="371" w:type="pct"/>
            <w:tcMar>
              <w:left w:w="14" w:type="dxa"/>
              <w:right w:w="14" w:type="dxa"/>
            </w:tcMar>
          </w:tcPr>
          <w:p w14:paraId="2629AA0A" w14:textId="77777777" w:rsidR="00C60C82" w:rsidRPr="008C1E5F" w:rsidRDefault="00C60C82">
            <w:pPr>
              <w:pStyle w:val="TableText"/>
              <w:spacing w:before="20" w:after="20"/>
              <w:jc w:val="center"/>
              <w:rPr>
                <w:rFonts w:ascii="Franklin Gothic Book" w:hAnsi="Franklin Gothic Book"/>
              </w:rPr>
            </w:pPr>
            <w:r w:rsidRPr="008C1E5F">
              <w:rPr>
                <w:rFonts w:ascii="Franklin Gothic Book" w:hAnsi="Franklin Gothic Book"/>
              </w:rPr>
              <w:t>8</w:t>
            </w:r>
          </w:p>
        </w:tc>
        <w:tc>
          <w:tcPr>
            <w:tcW w:w="374" w:type="pct"/>
            <w:tcMar>
              <w:left w:w="14" w:type="dxa"/>
              <w:right w:w="14" w:type="dxa"/>
            </w:tcMar>
            <w:vAlign w:val="center"/>
          </w:tcPr>
          <w:p w14:paraId="276D0359"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767</w:t>
            </w:r>
          </w:p>
        </w:tc>
        <w:tc>
          <w:tcPr>
            <w:tcW w:w="354" w:type="pct"/>
            <w:tcMar>
              <w:left w:w="14" w:type="dxa"/>
              <w:right w:w="14" w:type="dxa"/>
            </w:tcMar>
            <w:vAlign w:val="center"/>
          </w:tcPr>
          <w:p w14:paraId="1C262C46"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22</w:t>
            </w:r>
          </w:p>
        </w:tc>
        <w:tc>
          <w:tcPr>
            <w:tcW w:w="355" w:type="pct"/>
            <w:tcMar>
              <w:left w:w="14" w:type="dxa"/>
              <w:right w:w="14" w:type="dxa"/>
            </w:tcMar>
            <w:vAlign w:val="center"/>
          </w:tcPr>
          <w:p w14:paraId="7F7D4315"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22</w:t>
            </w:r>
          </w:p>
        </w:tc>
        <w:tc>
          <w:tcPr>
            <w:tcW w:w="354" w:type="pct"/>
            <w:tcMar>
              <w:left w:w="14" w:type="dxa"/>
              <w:right w:w="14" w:type="dxa"/>
            </w:tcMar>
            <w:vAlign w:val="center"/>
          </w:tcPr>
          <w:p w14:paraId="03836BAD"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24</w:t>
            </w:r>
          </w:p>
        </w:tc>
        <w:tc>
          <w:tcPr>
            <w:tcW w:w="355" w:type="pct"/>
            <w:tcMar>
              <w:left w:w="14" w:type="dxa"/>
              <w:right w:w="14" w:type="dxa"/>
            </w:tcMar>
            <w:vAlign w:val="center"/>
          </w:tcPr>
          <w:p w14:paraId="63C686D0"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43</w:t>
            </w:r>
          </w:p>
        </w:tc>
        <w:tc>
          <w:tcPr>
            <w:tcW w:w="354" w:type="pct"/>
            <w:tcMar>
              <w:left w:w="14" w:type="dxa"/>
              <w:right w:w="14" w:type="dxa"/>
            </w:tcMar>
            <w:vAlign w:val="center"/>
          </w:tcPr>
          <w:p w14:paraId="522ED7E4"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41</w:t>
            </w:r>
          </w:p>
        </w:tc>
        <w:tc>
          <w:tcPr>
            <w:tcW w:w="355" w:type="pct"/>
            <w:tcMar>
              <w:left w:w="14" w:type="dxa"/>
              <w:right w:w="14" w:type="dxa"/>
            </w:tcMar>
            <w:vAlign w:val="center"/>
          </w:tcPr>
          <w:p w14:paraId="6A1D291B"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34</w:t>
            </w:r>
          </w:p>
        </w:tc>
        <w:tc>
          <w:tcPr>
            <w:tcW w:w="354" w:type="pct"/>
            <w:tcMar>
              <w:left w:w="14" w:type="dxa"/>
              <w:right w:w="14" w:type="dxa"/>
            </w:tcMar>
            <w:vAlign w:val="center"/>
          </w:tcPr>
          <w:p w14:paraId="7BBEE47F"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34</w:t>
            </w:r>
          </w:p>
        </w:tc>
        <w:tc>
          <w:tcPr>
            <w:tcW w:w="356" w:type="pct"/>
            <w:tcMar>
              <w:left w:w="14" w:type="dxa"/>
              <w:right w:w="14" w:type="dxa"/>
            </w:tcMar>
            <w:vAlign w:val="center"/>
          </w:tcPr>
          <w:p w14:paraId="6550C75B"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34</w:t>
            </w:r>
          </w:p>
        </w:tc>
        <w:tc>
          <w:tcPr>
            <w:tcW w:w="354" w:type="pct"/>
            <w:tcMar>
              <w:left w:w="14" w:type="dxa"/>
              <w:right w:w="14" w:type="dxa"/>
            </w:tcMar>
            <w:vAlign w:val="center"/>
          </w:tcPr>
          <w:p w14:paraId="66FCEB90"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37</w:t>
            </w:r>
          </w:p>
        </w:tc>
        <w:tc>
          <w:tcPr>
            <w:tcW w:w="355" w:type="pct"/>
            <w:tcMar>
              <w:left w:w="14" w:type="dxa"/>
              <w:right w:w="14" w:type="dxa"/>
            </w:tcMar>
            <w:vAlign w:val="center"/>
          </w:tcPr>
          <w:p w14:paraId="0FE5D6AC"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43</w:t>
            </w:r>
          </w:p>
        </w:tc>
        <w:tc>
          <w:tcPr>
            <w:tcW w:w="354" w:type="pct"/>
            <w:tcMar>
              <w:left w:w="14" w:type="dxa"/>
              <w:right w:w="14" w:type="dxa"/>
            </w:tcMar>
            <w:vAlign w:val="center"/>
          </w:tcPr>
          <w:p w14:paraId="7F693269"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42</w:t>
            </w:r>
          </w:p>
        </w:tc>
        <w:tc>
          <w:tcPr>
            <w:tcW w:w="355" w:type="pct"/>
            <w:tcMar>
              <w:left w:w="14" w:type="dxa"/>
              <w:right w:w="14" w:type="dxa"/>
            </w:tcMar>
            <w:vAlign w:val="bottom"/>
          </w:tcPr>
          <w:p w14:paraId="01BFF39D"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24</w:t>
            </w:r>
          </w:p>
        </w:tc>
      </w:tr>
      <w:tr w:rsidR="00C55C91" w:rsidRPr="008C1E5F" w14:paraId="320617DE" w14:textId="77777777" w:rsidTr="00B70B91">
        <w:trPr>
          <w:cnfStyle w:val="000000100000" w:firstRow="0" w:lastRow="0" w:firstColumn="0" w:lastColumn="0" w:oddVBand="0" w:evenVBand="0" w:oddHBand="1" w:evenHBand="0" w:firstRowFirstColumn="0" w:firstRowLastColumn="0" w:lastRowFirstColumn="0" w:lastRowLastColumn="0"/>
          <w:jc w:val="center"/>
        </w:trPr>
        <w:tc>
          <w:tcPr>
            <w:tcW w:w="371" w:type="pct"/>
            <w:tcMar>
              <w:left w:w="14" w:type="dxa"/>
              <w:right w:w="14" w:type="dxa"/>
            </w:tcMar>
          </w:tcPr>
          <w:p w14:paraId="3AA65467" w14:textId="77777777" w:rsidR="00C60C82" w:rsidRPr="008C1E5F" w:rsidRDefault="00C60C82">
            <w:pPr>
              <w:pStyle w:val="TableText"/>
              <w:spacing w:before="20" w:after="20"/>
              <w:jc w:val="center"/>
              <w:rPr>
                <w:rFonts w:ascii="Franklin Gothic Book" w:hAnsi="Franklin Gothic Book"/>
                <w:spacing w:val="-4"/>
              </w:rPr>
            </w:pPr>
            <w:r w:rsidRPr="008C1E5F">
              <w:rPr>
                <w:rFonts w:ascii="Franklin Gothic Book" w:hAnsi="Franklin Gothic Book"/>
              </w:rPr>
              <w:t>3-8</w:t>
            </w:r>
          </w:p>
        </w:tc>
        <w:tc>
          <w:tcPr>
            <w:tcW w:w="374" w:type="pct"/>
            <w:tcMar>
              <w:left w:w="14" w:type="dxa"/>
              <w:right w:w="14" w:type="dxa"/>
            </w:tcMar>
            <w:vAlign w:val="center"/>
          </w:tcPr>
          <w:p w14:paraId="1A00CE3C"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4,856</w:t>
            </w:r>
          </w:p>
        </w:tc>
        <w:tc>
          <w:tcPr>
            <w:tcW w:w="354" w:type="pct"/>
            <w:tcMar>
              <w:left w:w="14" w:type="dxa"/>
              <w:right w:w="14" w:type="dxa"/>
            </w:tcMar>
            <w:vAlign w:val="center"/>
          </w:tcPr>
          <w:p w14:paraId="2BF48CF8"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22</w:t>
            </w:r>
          </w:p>
        </w:tc>
        <w:tc>
          <w:tcPr>
            <w:tcW w:w="355" w:type="pct"/>
            <w:tcMar>
              <w:left w:w="14" w:type="dxa"/>
              <w:right w:w="14" w:type="dxa"/>
            </w:tcMar>
            <w:vAlign w:val="center"/>
          </w:tcPr>
          <w:p w14:paraId="5FD0D045"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22</w:t>
            </w:r>
          </w:p>
        </w:tc>
        <w:tc>
          <w:tcPr>
            <w:tcW w:w="354" w:type="pct"/>
            <w:tcMar>
              <w:left w:w="14" w:type="dxa"/>
              <w:right w:w="14" w:type="dxa"/>
            </w:tcMar>
            <w:vAlign w:val="center"/>
          </w:tcPr>
          <w:p w14:paraId="68D2E086"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20</w:t>
            </w:r>
          </w:p>
        </w:tc>
        <w:tc>
          <w:tcPr>
            <w:tcW w:w="355" w:type="pct"/>
            <w:tcMar>
              <w:left w:w="14" w:type="dxa"/>
              <w:right w:w="14" w:type="dxa"/>
            </w:tcMar>
            <w:vAlign w:val="center"/>
          </w:tcPr>
          <w:p w14:paraId="7CFC5F60"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39</w:t>
            </w:r>
          </w:p>
        </w:tc>
        <w:tc>
          <w:tcPr>
            <w:tcW w:w="354" w:type="pct"/>
            <w:tcMar>
              <w:left w:w="14" w:type="dxa"/>
              <w:right w:w="14" w:type="dxa"/>
            </w:tcMar>
            <w:vAlign w:val="center"/>
          </w:tcPr>
          <w:p w14:paraId="78E3D8E3"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45</w:t>
            </w:r>
          </w:p>
        </w:tc>
        <w:tc>
          <w:tcPr>
            <w:tcW w:w="355" w:type="pct"/>
            <w:tcMar>
              <w:left w:w="14" w:type="dxa"/>
              <w:right w:w="14" w:type="dxa"/>
            </w:tcMar>
            <w:vAlign w:val="center"/>
          </w:tcPr>
          <w:p w14:paraId="580475C6"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41</w:t>
            </w:r>
          </w:p>
        </w:tc>
        <w:tc>
          <w:tcPr>
            <w:tcW w:w="354" w:type="pct"/>
            <w:tcMar>
              <w:left w:w="14" w:type="dxa"/>
              <w:right w:w="14" w:type="dxa"/>
            </w:tcMar>
            <w:vAlign w:val="center"/>
          </w:tcPr>
          <w:p w14:paraId="3E2709C4"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44</w:t>
            </w:r>
          </w:p>
        </w:tc>
        <w:tc>
          <w:tcPr>
            <w:tcW w:w="356" w:type="pct"/>
            <w:tcMar>
              <w:left w:w="14" w:type="dxa"/>
              <w:right w:w="14" w:type="dxa"/>
            </w:tcMar>
            <w:vAlign w:val="center"/>
          </w:tcPr>
          <w:p w14:paraId="7AAE8010"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40</w:t>
            </w:r>
          </w:p>
        </w:tc>
        <w:tc>
          <w:tcPr>
            <w:tcW w:w="354" w:type="pct"/>
            <w:tcMar>
              <w:left w:w="14" w:type="dxa"/>
              <w:right w:w="14" w:type="dxa"/>
            </w:tcMar>
            <w:vAlign w:val="center"/>
          </w:tcPr>
          <w:p w14:paraId="1373DA2E"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33</w:t>
            </w:r>
          </w:p>
        </w:tc>
        <w:tc>
          <w:tcPr>
            <w:tcW w:w="355" w:type="pct"/>
            <w:tcMar>
              <w:left w:w="14" w:type="dxa"/>
              <w:right w:w="14" w:type="dxa"/>
            </w:tcMar>
            <w:vAlign w:val="center"/>
          </w:tcPr>
          <w:p w14:paraId="5E85CDA2"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37</w:t>
            </w:r>
          </w:p>
        </w:tc>
        <w:tc>
          <w:tcPr>
            <w:tcW w:w="354" w:type="pct"/>
            <w:tcMar>
              <w:left w:w="14" w:type="dxa"/>
              <w:right w:w="14" w:type="dxa"/>
            </w:tcMar>
            <w:vAlign w:val="center"/>
          </w:tcPr>
          <w:p w14:paraId="4E2E9F29"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37</w:t>
            </w:r>
          </w:p>
        </w:tc>
        <w:tc>
          <w:tcPr>
            <w:tcW w:w="355" w:type="pct"/>
            <w:tcMar>
              <w:left w:w="14" w:type="dxa"/>
              <w:right w:w="14" w:type="dxa"/>
            </w:tcMar>
            <w:vAlign w:val="bottom"/>
          </w:tcPr>
          <w:p w14:paraId="6D9CC388"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21</w:t>
            </w:r>
          </w:p>
        </w:tc>
      </w:tr>
      <w:tr w:rsidR="00C60C82" w:rsidRPr="008C1E5F" w14:paraId="0DFF195E" w14:textId="77777777" w:rsidTr="00B70B91">
        <w:trPr>
          <w:jc w:val="center"/>
        </w:trPr>
        <w:tc>
          <w:tcPr>
            <w:tcW w:w="371" w:type="pct"/>
            <w:tcMar>
              <w:left w:w="14" w:type="dxa"/>
              <w:right w:w="14" w:type="dxa"/>
            </w:tcMar>
          </w:tcPr>
          <w:p w14:paraId="2ECE6303" w14:textId="77777777" w:rsidR="00C60C82" w:rsidRPr="008C1E5F" w:rsidRDefault="00C60C82">
            <w:pPr>
              <w:pStyle w:val="TableText"/>
              <w:spacing w:before="20" w:after="20"/>
              <w:jc w:val="center"/>
              <w:rPr>
                <w:rFonts w:ascii="Franklin Gothic Book" w:hAnsi="Franklin Gothic Book"/>
              </w:rPr>
            </w:pPr>
            <w:r w:rsidRPr="008C1E5F">
              <w:rPr>
                <w:rFonts w:ascii="Franklin Gothic Book" w:hAnsi="Franklin Gothic Book"/>
              </w:rPr>
              <w:t>10</w:t>
            </w:r>
          </w:p>
        </w:tc>
        <w:tc>
          <w:tcPr>
            <w:tcW w:w="374" w:type="pct"/>
            <w:tcMar>
              <w:left w:w="14" w:type="dxa"/>
              <w:right w:w="14" w:type="dxa"/>
            </w:tcMar>
            <w:vAlign w:val="center"/>
          </w:tcPr>
          <w:p w14:paraId="3EB928E1"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715</w:t>
            </w:r>
          </w:p>
        </w:tc>
        <w:tc>
          <w:tcPr>
            <w:tcW w:w="354" w:type="pct"/>
            <w:tcMar>
              <w:left w:w="14" w:type="dxa"/>
              <w:right w:w="14" w:type="dxa"/>
            </w:tcMar>
            <w:vAlign w:val="center"/>
          </w:tcPr>
          <w:p w14:paraId="606221D1"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34</w:t>
            </w:r>
          </w:p>
        </w:tc>
        <w:tc>
          <w:tcPr>
            <w:tcW w:w="355" w:type="pct"/>
            <w:tcMar>
              <w:left w:w="14" w:type="dxa"/>
              <w:right w:w="14" w:type="dxa"/>
            </w:tcMar>
            <w:vAlign w:val="center"/>
          </w:tcPr>
          <w:p w14:paraId="2FB84637"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38</w:t>
            </w:r>
          </w:p>
        </w:tc>
        <w:tc>
          <w:tcPr>
            <w:tcW w:w="354" w:type="pct"/>
            <w:tcMar>
              <w:left w:w="14" w:type="dxa"/>
              <w:right w:w="14" w:type="dxa"/>
            </w:tcMar>
            <w:vAlign w:val="center"/>
          </w:tcPr>
          <w:p w14:paraId="4B6A660D"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31</w:t>
            </w:r>
          </w:p>
        </w:tc>
        <w:tc>
          <w:tcPr>
            <w:tcW w:w="355" w:type="pct"/>
            <w:tcMar>
              <w:left w:w="14" w:type="dxa"/>
              <w:right w:w="14" w:type="dxa"/>
            </w:tcMar>
            <w:vAlign w:val="center"/>
          </w:tcPr>
          <w:p w14:paraId="4BD9D1CB"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57</w:t>
            </w:r>
          </w:p>
        </w:tc>
        <w:tc>
          <w:tcPr>
            <w:tcW w:w="354" w:type="pct"/>
            <w:tcMar>
              <w:left w:w="14" w:type="dxa"/>
              <w:right w:w="14" w:type="dxa"/>
            </w:tcMar>
            <w:vAlign w:val="center"/>
          </w:tcPr>
          <w:p w14:paraId="7E52471D"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43</w:t>
            </w:r>
          </w:p>
        </w:tc>
        <w:tc>
          <w:tcPr>
            <w:tcW w:w="355" w:type="pct"/>
            <w:tcMar>
              <w:left w:w="14" w:type="dxa"/>
              <w:right w:w="14" w:type="dxa"/>
            </w:tcMar>
            <w:vAlign w:val="center"/>
          </w:tcPr>
          <w:p w14:paraId="357F12BB"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39</w:t>
            </w:r>
          </w:p>
        </w:tc>
        <w:tc>
          <w:tcPr>
            <w:tcW w:w="354" w:type="pct"/>
            <w:tcMar>
              <w:left w:w="14" w:type="dxa"/>
              <w:right w:w="14" w:type="dxa"/>
            </w:tcMar>
            <w:vAlign w:val="center"/>
          </w:tcPr>
          <w:p w14:paraId="66FE58B0"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39</w:t>
            </w:r>
          </w:p>
        </w:tc>
        <w:tc>
          <w:tcPr>
            <w:tcW w:w="356" w:type="pct"/>
            <w:tcMar>
              <w:left w:w="14" w:type="dxa"/>
              <w:right w:w="14" w:type="dxa"/>
            </w:tcMar>
            <w:vAlign w:val="center"/>
          </w:tcPr>
          <w:p w14:paraId="469D4016"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31</w:t>
            </w:r>
          </w:p>
        </w:tc>
        <w:tc>
          <w:tcPr>
            <w:tcW w:w="354" w:type="pct"/>
            <w:tcMar>
              <w:left w:w="14" w:type="dxa"/>
              <w:right w:w="14" w:type="dxa"/>
            </w:tcMar>
            <w:vAlign w:val="center"/>
          </w:tcPr>
          <w:p w14:paraId="19B07844"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23</w:t>
            </w:r>
          </w:p>
        </w:tc>
        <w:tc>
          <w:tcPr>
            <w:tcW w:w="355" w:type="pct"/>
            <w:tcMar>
              <w:left w:w="14" w:type="dxa"/>
              <w:right w:w="14" w:type="dxa"/>
            </w:tcMar>
            <w:vAlign w:val="center"/>
          </w:tcPr>
          <w:p w14:paraId="22028E3D"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23</w:t>
            </w:r>
          </w:p>
        </w:tc>
        <w:tc>
          <w:tcPr>
            <w:tcW w:w="354" w:type="pct"/>
            <w:tcMar>
              <w:left w:w="14" w:type="dxa"/>
              <w:right w:w="14" w:type="dxa"/>
            </w:tcMar>
            <w:vAlign w:val="center"/>
          </w:tcPr>
          <w:p w14:paraId="57178337"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30</w:t>
            </w:r>
          </w:p>
        </w:tc>
        <w:tc>
          <w:tcPr>
            <w:tcW w:w="355" w:type="pct"/>
            <w:tcMar>
              <w:left w:w="14" w:type="dxa"/>
              <w:right w:w="14" w:type="dxa"/>
            </w:tcMar>
            <w:vAlign w:val="bottom"/>
          </w:tcPr>
          <w:p w14:paraId="3C11B2A4"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12</w:t>
            </w:r>
          </w:p>
        </w:tc>
      </w:tr>
    </w:tbl>
    <w:p w14:paraId="6A63B00A" w14:textId="77777777" w:rsidR="00C60C82" w:rsidRPr="008C1E5F" w:rsidRDefault="00C60C82" w:rsidP="00305BFA">
      <w:pPr>
        <w:pStyle w:val="TableETitles"/>
        <w:spacing w:before="240" w:after="60"/>
      </w:pPr>
      <w:bookmarkStart w:id="285" w:name="_Toc195024276"/>
      <w:bookmarkStart w:id="286" w:name="_Hlk139011901"/>
      <w:r w:rsidRPr="008C1E5F">
        <w:t>Table E8. MCAS Mathematics Achievement by Grade, 2022-2024</w:t>
      </w:r>
      <w:bookmarkEnd w:id="285"/>
    </w:p>
    <w:tbl>
      <w:tblPr>
        <w:tblStyle w:val="MSVTable1"/>
        <w:tblW w:w="5000" w:type="pct"/>
        <w:jc w:val="center"/>
        <w:tblLook w:val="0420" w:firstRow="1" w:lastRow="0" w:firstColumn="0" w:lastColumn="0" w:noHBand="0" w:noVBand="1"/>
      </w:tblPr>
      <w:tblGrid>
        <w:gridCol w:w="961"/>
        <w:gridCol w:w="969"/>
        <w:gridCol w:w="917"/>
        <w:gridCol w:w="919"/>
        <w:gridCol w:w="916"/>
        <w:gridCol w:w="919"/>
        <w:gridCol w:w="916"/>
        <w:gridCol w:w="919"/>
        <w:gridCol w:w="916"/>
        <w:gridCol w:w="922"/>
        <w:gridCol w:w="916"/>
        <w:gridCol w:w="919"/>
        <w:gridCol w:w="916"/>
        <w:gridCol w:w="919"/>
      </w:tblGrid>
      <w:tr w:rsidR="00856514" w:rsidRPr="008C1E5F" w14:paraId="33552204" w14:textId="77777777" w:rsidTr="00856514">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center"/>
          </w:tcPr>
          <w:p w14:paraId="02C01049" w14:textId="40A603E8" w:rsidR="00856514" w:rsidRPr="008C1E5F" w:rsidRDefault="00856514" w:rsidP="00856514">
            <w:pPr>
              <w:pStyle w:val="TableColHeadingCenter"/>
              <w:spacing w:before="20" w:after="20"/>
            </w:pPr>
            <w:r w:rsidRPr="000F7CE9">
              <w:t>Grade</w:t>
            </w:r>
          </w:p>
        </w:tc>
        <w:tc>
          <w:tcPr>
            <w:tcW w:w="374" w:type="pct"/>
            <w:vAlign w:val="center"/>
          </w:tcPr>
          <w:p w14:paraId="1D3D80E3" w14:textId="3BF0B739" w:rsidR="00856514" w:rsidRPr="008C1E5F" w:rsidRDefault="00856514" w:rsidP="00856514">
            <w:pPr>
              <w:pStyle w:val="TableColHeadingCenter"/>
              <w:spacing w:before="20" w:after="20"/>
            </w:pPr>
            <w:r w:rsidRPr="000F7CE9">
              <w:t># Included (2024)</w:t>
            </w:r>
          </w:p>
        </w:tc>
        <w:tc>
          <w:tcPr>
            <w:tcW w:w="354" w:type="pct"/>
            <w:vAlign w:val="center"/>
          </w:tcPr>
          <w:p w14:paraId="5B863911" w14:textId="6BD1B272" w:rsidR="00856514" w:rsidRPr="008C1E5F" w:rsidRDefault="00856514" w:rsidP="00856514">
            <w:pPr>
              <w:pStyle w:val="TableColHeadingCenter"/>
              <w:spacing w:before="20" w:after="20"/>
            </w:pPr>
            <w:r w:rsidRPr="000F7CE9">
              <w:t>% M/E 2022</w:t>
            </w:r>
          </w:p>
        </w:tc>
        <w:tc>
          <w:tcPr>
            <w:tcW w:w="355" w:type="pct"/>
            <w:vAlign w:val="center"/>
          </w:tcPr>
          <w:p w14:paraId="47481F49" w14:textId="323362AA" w:rsidR="00856514" w:rsidRPr="008C1E5F" w:rsidRDefault="00856514" w:rsidP="00856514">
            <w:pPr>
              <w:pStyle w:val="TableColHeadingCenter"/>
              <w:spacing w:before="20" w:after="20"/>
            </w:pPr>
            <w:r w:rsidRPr="000F7CE9">
              <w:t>% M/E 2023</w:t>
            </w:r>
          </w:p>
        </w:tc>
        <w:tc>
          <w:tcPr>
            <w:tcW w:w="354" w:type="pct"/>
            <w:vAlign w:val="center"/>
          </w:tcPr>
          <w:p w14:paraId="34E512C1" w14:textId="1DC692C5" w:rsidR="00856514" w:rsidRPr="008C1E5F" w:rsidRDefault="00856514" w:rsidP="00856514">
            <w:pPr>
              <w:pStyle w:val="TableColHeadingCenter"/>
              <w:spacing w:before="20" w:after="20"/>
            </w:pPr>
            <w:r w:rsidRPr="000F7CE9">
              <w:t>% M/E 2024</w:t>
            </w:r>
          </w:p>
        </w:tc>
        <w:tc>
          <w:tcPr>
            <w:tcW w:w="355" w:type="pct"/>
            <w:vAlign w:val="center"/>
          </w:tcPr>
          <w:p w14:paraId="530D4AC8" w14:textId="269F0DE5" w:rsidR="00856514" w:rsidRPr="008C1E5F" w:rsidRDefault="00856514" w:rsidP="00856514">
            <w:pPr>
              <w:pStyle w:val="TableColHeadingCenter"/>
              <w:spacing w:before="20" w:after="20"/>
            </w:pPr>
            <w:r w:rsidRPr="000F7CE9">
              <w:t>% M/E 2024 State</w:t>
            </w:r>
          </w:p>
        </w:tc>
        <w:tc>
          <w:tcPr>
            <w:tcW w:w="354" w:type="pct"/>
            <w:vAlign w:val="center"/>
          </w:tcPr>
          <w:p w14:paraId="3FFABE3C" w14:textId="6A470408" w:rsidR="00856514" w:rsidRPr="008C1E5F" w:rsidRDefault="00856514" w:rsidP="00856514">
            <w:pPr>
              <w:pStyle w:val="TableColHeadingCenter"/>
              <w:spacing w:before="20" w:after="20"/>
            </w:pPr>
            <w:r w:rsidRPr="000F7CE9">
              <w:t>% PME 2022</w:t>
            </w:r>
          </w:p>
        </w:tc>
        <w:tc>
          <w:tcPr>
            <w:tcW w:w="355" w:type="pct"/>
            <w:vAlign w:val="center"/>
          </w:tcPr>
          <w:p w14:paraId="1160ED00" w14:textId="613AABA0" w:rsidR="00856514" w:rsidRPr="008C1E5F" w:rsidRDefault="00856514" w:rsidP="00856514">
            <w:pPr>
              <w:pStyle w:val="TableColHeadingCenter"/>
              <w:spacing w:before="20" w:after="20"/>
            </w:pPr>
            <w:r w:rsidRPr="000F7CE9">
              <w:t>% PME 2023</w:t>
            </w:r>
          </w:p>
        </w:tc>
        <w:tc>
          <w:tcPr>
            <w:tcW w:w="354" w:type="pct"/>
            <w:vAlign w:val="center"/>
          </w:tcPr>
          <w:p w14:paraId="4E70CD60" w14:textId="2DF11FD9" w:rsidR="00856514" w:rsidRPr="008C1E5F" w:rsidRDefault="00856514" w:rsidP="00856514">
            <w:pPr>
              <w:pStyle w:val="TableColHeadingCenter"/>
              <w:spacing w:before="20" w:after="20"/>
            </w:pPr>
            <w:r w:rsidRPr="000F7CE9">
              <w:t>% PME 2024</w:t>
            </w:r>
          </w:p>
        </w:tc>
        <w:tc>
          <w:tcPr>
            <w:tcW w:w="356" w:type="pct"/>
            <w:vAlign w:val="center"/>
          </w:tcPr>
          <w:p w14:paraId="5883B470" w14:textId="6C8263E6" w:rsidR="00856514" w:rsidRPr="008C1E5F" w:rsidRDefault="00856514" w:rsidP="00856514">
            <w:pPr>
              <w:pStyle w:val="TableColHeadingCenter"/>
              <w:spacing w:before="20" w:after="20"/>
            </w:pPr>
            <w:r w:rsidRPr="000F7CE9">
              <w:t>% PME 2024 State</w:t>
            </w:r>
          </w:p>
        </w:tc>
        <w:tc>
          <w:tcPr>
            <w:tcW w:w="354" w:type="pct"/>
            <w:vAlign w:val="center"/>
          </w:tcPr>
          <w:p w14:paraId="4FAE215A" w14:textId="55220CEB" w:rsidR="00856514" w:rsidRPr="008C1E5F" w:rsidRDefault="00856514" w:rsidP="00856514">
            <w:pPr>
              <w:pStyle w:val="TableColHeadingCenter"/>
              <w:spacing w:before="20" w:after="20"/>
            </w:pPr>
            <w:r w:rsidRPr="000F7CE9">
              <w:t>% NM 2022</w:t>
            </w:r>
          </w:p>
        </w:tc>
        <w:tc>
          <w:tcPr>
            <w:tcW w:w="355" w:type="pct"/>
            <w:vAlign w:val="center"/>
          </w:tcPr>
          <w:p w14:paraId="66424C6A" w14:textId="0E438FCC" w:rsidR="00856514" w:rsidRPr="008C1E5F" w:rsidRDefault="00856514" w:rsidP="00856514">
            <w:pPr>
              <w:pStyle w:val="TableColHeadingCenter"/>
              <w:spacing w:before="20" w:after="20"/>
            </w:pPr>
            <w:r w:rsidRPr="000F7CE9">
              <w:t>% NM 2023</w:t>
            </w:r>
          </w:p>
        </w:tc>
        <w:tc>
          <w:tcPr>
            <w:tcW w:w="354" w:type="pct"/>
            <w:vAlign w:val="center"/>
          </w:tcPr>
          <w:p w14:paraId="187A6CBB" w14:textId="2E525AA7" w:rsidR="00856514" w:rsidRPr="008C1E5F" w:rsidRDefault="00856514" w:rsidP="00856514">
            <w:pPr>
              <w:pStyle w:val="TableColHeadingCenter"/>
              <w:spacing w:before="20" w:after="20"/>
            </w:pPr>
            <w:r w:rsidRPr="000F7CE9">
              <w:t>% NM 2024</w:t>
            </w:r>
          </w:p>
        </w:tc>
        <w:tc>
          <w:tcPr>
            <w:tcW w:w="355" w:type="pct"/>
            <w:vAlign w:val="center"/>
          </w:tcPr>
          <w:p w14:paraId="2BA9FCD4" w14:textId="6566179E" w:rsidR="00856514" w:rsidRPr="008C1E5F" w:rsidRDefault="00856514" w:rsidP="00856514">
            <w:pPr>
              <w:pStyle w:val="TableColHeadingCenter"/>
              <w:spacing w:before="20" w:after="20"/>
            </w:pPr>
            <w:r w:rsidRPr="000F7CE9">
              <w:t>% NM 2024 State</w:t>
            </w:r>
          </w:p>
        </w:tc>
      </w:tr>
      <w:tr w:rsidR="00C55C91" w:rsidRPr="008C1E5F" w14:paraId="63D78C0A" w14:textId="77777777" w:rsidTr="00B70B91">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6406B47D" w14:textId="77777777" w:rsidR="00C60C82" w:rsidRPr="008C1E5F" w:rsidRDefault="00C60C82">
            <w:pPr>
              <w:pStyle w:val="TableText"/>
              <w:spacing w:before="20" w:after="20"/>
              <w:jc w:val="center"/>
              <w:rPr>
                <w:rFonts w:ascii="Franklin Gothic Book" w:hAnsi="Franklin Gothic Book"/>
              </w:rPr>
            </w:pPr>
            <w:r w:rsidRPr="008C1E5F">
              <w:rPr>
                <w:rFonts w:ascii="Franklin Gothic Book" w:hAnsi="Franklin Gothic Book"/>
              </w:rPr>
              <w:t>3</w:t>
            </w:r>
          </w:p>
        </w:tc>
        <w:tc>
          <w:tcPr>
            <w:tcW w:w="374" w:type="pct"/>
            <w:vAlign w:val="center"/>
          </w:tcPr>
          <w:p w14:paraId="704712B9"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809</w:t>
            </w:r>
          </w:p>
        </w:tc>
        <w:tc>
          <w:tcPr>
            <w:tcW w:w="354" w:type="pct"/>
            <w:vAlign w:val="center"/>
          </w:tcPr>
          <w:p w14:paraId="71A631F3"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25</w:t>
            </w:r>
          </w:p>
        </w:tc>
        <w:tc>
          <w:tcPr>
            <w:tcW w:w="355" w:type="pct"/>
            <w:vAlign w:val="center"/>
          </w:tcPr>
          <w:p w14:paraId="0FD7231A"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24</w:t>
            </w:r>
          </w:p>
        </w:tc>
        <w:tc>
          <w:tcPr>
            <w:tcW w:w="354" w:type="pct"/>
            <w:vAlign w:val="center"/>
          </w:tcPr>
          <w:p w14:paraId="4B6A5E9B"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24</w:t>
            </w:r>
          </w:p>
        </w:tc>
        <w:tc>
          <w:tcPr>
            <w:tcW w:w="355" w:type="pct"/>
            <w:vAlign w:val="center"/>
          </w:tcPr>
          <w:p w14:paraId="4ABC490F"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44</w:t>
            </w:r>
          </w:p>
        </w:tc>
        <w:tc>
          <w:tcPr>
            <w:tcW w:w="354" w:type="pct"/>
            <w:vAlign w:val="center"/>
          </w:tcPr>
          <w:p w14:paraId="344B9BBE"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41</w:t>
            </w:r>
          </w:p>
        </w:tc>
        <w:tc>
          <w:tcPr>
            <w:tcW w:w="355" w:type="pct"/>
            <w:vAlign w:val="center"/>
          </w:tcPr>
          <w:p w14:paraId="53A292F3"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42</w:t>
            </w:r>
          </w:p>
        </w:tc>
        <w:tc>
          <w:tcPr>
            <w:tcW w:w="354" w:type="pct"/>
            <w:vAlign w:val="center"/>
          </w:tcPr>
          <w:p w14:paraId="1EEC66B2"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42</w:t>
            </w:r>
          </w:p>
        </w:tc>
        <w:tc>
          <w:tcPr>
            <w:tcW w:w="356" w:type="pct"/>
            <w:vAlign w:val="center"/>
          </w:tcPr>
          <w:p w14:paraId="6E2C7C26"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35</w:t>
            </w:r>
          </w:p>
        </w:tc>
        <w:tc>
          <w:tcPr>
            <w:tcW w:w="354" w:type="pct"/>
            <w:vAlign w:val="center"/>
          </w:tcPr>
          <w:p w14:paraId="3BA3B491"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34</w:t>
            </w:r>
          </w:p>
        </w:tc>
        <w:tc>
          <w:tcPr>
            <w:tcW w:w="355" w:type="pct"/>
            <w:vAlign w:val="center"/>
          </w:tcPr>
          <w:p w14:paraId="1252F4C6"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34</w:t>
            </w:r>
          </w:p>
        </w:tc>
        <w:tc>
          <w:tcPr>
            <w:tcW w:w="354" w:type="pct"/>
            <w:vAlign w:val="center"/>
          </w:tcPr>
          <w:p w14:paraId="1384F818"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33</w:t>
            </w:r>
          </w:p>
        </w:tc>
        <w:tc>
          <w:tcPr>
            <w:tcW w:w="355" w:type="pct"/>
            <w:vAlign w:val="bottom"/>
          </w:tcPr>
          <w:p w14:paraId="6F2E71FB"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20</w:t>
            </w:r>
          </w:p>
        </w:tc>
      </w:tr>
      <w:tr w:rsidR="00C60C82" w:rsidRPr="008C1E5F" w14:paraId="0DAC37CD" w14:textId="77777777" w:rsidTr="00B70B91">
        <w:trPr>
          <w:jc w:val="center"/>
        </w:trPr>
        <w:tc>
          <w:tcPr>
            <w:tcW w:w="371" w:type="pct"/>
          </w:tcPr>
          <w:p w14:paraId="5F243E29" w14:textId="77777777" w:rsidR="00C60C82" w:rsidRPr="008C1E5F" w:rsidRDefault="00C60C82">
            <w:pPr>
              <w:pStyle w:val="TableText"/>
              <w:spacing w:before="20" w:after="20"/>
              <w:jc w:val="center"/>
              <w:rPr>
                <w:rFonts w:ascii="Franklin Gothic Book" w:hAnsi="Franklin Gothic Book"/>
              </w:rPr>
            </w:pPr>
            <w:r w:rsidRPr="008C1E5F">
              <w:rPr>
                <w:rFonts w:ascii="Franklin Gothic Book" w:hAnsi="Franklin Gothic Book"/>
              </w:rPr>
              <w:t>4</w:t>
            </w:r>
          </w:p>
        </w:tc>
        <w:tc>
          <w:tcPr>
            <w:tcW w:w="374" w:type="pct"/>
            <w:vAlign w:val="center"/>
          </w:tcPr>
          <w:p w14:paraId="0C71A5A1"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887</w:t>
            </w:r>
          </w:p>
        </w:tc>
        <w:tc>
          <w:tcPr>
            <w:tcW w:w="354" w:type="pct"/>
            <w:vAlign w:val="center"/>
          </w:tcPr>
          <w:p w14:paraId="7EEBD931"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29</w:t>
            </w:r>
          </w:p>
        </w:tc>
        <w:tc>
          <w:tcPr>
            <w:tcW w:w="355" w:type="pct"/>
            <w:vAlign w:val="center"/>
          </w:tcPr>
          <w:p w14:paraId="38F8267C"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29</w:t>
            </w:r>
          </w:p>
        </w:tc>
        <w:tc>
          <w:tcPr>
            <w:tcW w:w="354" w:type="pct"/>
            <w:vAlign w:val="center"/>
          </w:tcPr>
          <w:p w14:paraId="22E93C4A"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30</w:t>
            </w:r>
          </w:p>
        </w:tc>
        <w:tc>
          <w:tcPr>
            <w:tcW w:w="355" w:type="pct"/>
            <w:vAlign w:val="center"/>
          </w:tcPr>
          <w:p w14:paraId="68BAA32B"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46</w:t>
            </w:r>
          </w:p>
        </w:tc>
        <w:tc>
          <w:tcPr>
            <w:tcW w:w="354" w:type="pct"/>
            <w:vAlign w:val="center"/>
          </w:tcPr>
          <w:p w14:paraId="5B12A2FA"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42</w:t>
            </w:r>
          </w:p>
        </w:tc>
        <w:tc>
          <w:tcPr>
            <w:tcW w:w="355" w:type="pct"/>
            <w:vAlign w:val="center"/>
          </w:tcPr>
          <w:p w14:paraId="75034269"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39</w:t>
            </w:r>
          </w:p>
        </w:tc>
        <w:tc>
          <w:tcPr>
            <w:tcW w:w="354" w:type="pct"/>
            <w:vAlign w:val="center"/>
          </w:tcPr>
          <w:p w14:paraId="19179E13"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42</w:t>
            </w:r>
          </w:p>
        </w:tc>
        <w:tc>
          <w:tcPr>
            <w:tcW w:w="356" w:type="pct"/>
            <w:vAlign w:val="center"/>
          </w:tcPr>
          <w:p w14:paraId="3A17EFFB"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38</w:t>
            </w:r>
          </w:p>
        </w:tc>
        <w:tc>
          <w:tcPr>
            <w:tcW w:w="354" w:type="pct"/>
            <w:vAlign w:val="center"/>
          </w:tcPr>
          <w:p w14:paraId="435E490C"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28</w:t>
            </w:r>
          </w:p>
        </w:tc>
        <w:tc>
          <w:tcPr>
            <w:tcW w:w="355" w:type="pct"/>
            <w:vAlign w:val="center"/>
          </w:tcPr>
          <w:p w14:paraId="13253B89"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32</w:t>
            </w:r>
          </w:p>
        </w:tc>
        <w:tc>
          <w:tcPr>
            <w:tcW w:w="354" w:type="pct"/>
            <w:vAlign w:val="center"/>
          </w:tcPr>
          <w:p w14:paraId="1669B902"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28</w:t>
            </w:r>
          </w:p>
        </w:tc>
        <w:tc>
          <w:tcPr>
            <w:tcW w:w="355" w:type="pct"/>
            <w:vAlign w:val="bottom"/>
          </w:tcPr>
          <w:p w14:paraId="70EB4B14"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16</w:t>
            </w:r>
          </w:p>
        </w:tc>
      </w:tr>
      <w:tr w:rsidR="00C55C91" w:rsidRPr="008C1E5F" w14:paraId="3B653AA3" w14:textId="77777777" w:rsidTr="00B70B91">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22E57EED" w14:textId="77777777" w:rsidR="00C60C82" w:rsidRPr="008C1E5F" w:rsidRDefault="00C60C82">
            <w:pPr>
              <w:pStyle w:val="TableText"/>
              <w:spacing w:before="20" w:after="20"/>
              <w:jc w:val="center"/>
              <w:rPr>
                <w:rFonts w:ascii="Franklin Gothic Book" w:hAnsi="Franklin Gothic Book"/>
              </w:rPr>
            </w:pPr>
            <w:r w:rsidRPr="008C1E5F">
              <w:rPr>
                <w:rFonts w:ascii="Franklin Gothic Book" w:hAnsi="Franklin Gothic Book"/>
              </w:rPr>
              <w:t>5</w:t>
            </w:r>
          </w:p>
        </w:tc>
        <w:tc>
          <w:tcPr>
            <w:tcW w:w="374" w:type="pct"/>
            <w:vAlign w:val="center"/>
          </w:tcPr>
          <w:p w14:paraId="59432090"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860</w:t>
            </w:r>
          </w:p>
        </w:tc>
        <w:tc>
          <w:tcPr>
            <w:tcW w:w="354" w:type="pct"/>
            <w:vAlign w:val="center"/>
          </w:tcPr>
          <w:p w14:paraId="7F4525AD"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15</w:t>
            </w:r>
          </w:p>
        </w:tc>
        <w:tc>
          <w:tcPr>
            <w:tcW w:w="355" w:type="pct"/>
            <w:vAlign w:val="center"/>
          </w:tcPr>
          <w:p w14:paraId="1AC3573C"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21</w:t>
            </w:r>
          </w:p>
        </w:tc>
        <w:tc>
          <w:tcPr>
            <w:tcW w:w="354" w:type="pct"/>
            <w:vAlign w:val="center"/>
          </w:tcPr>
          <w:p w14:paraId="52F6562A"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19</w:t>
            </w:r>
          </w:p>
        </w:tc>
        <w:tc>
          <w:tcPr>
            <w:tcW w:w="355" w:type="pct"/>
            <w:vAlign w:val="center"/>
          </w:tcPr>
          <w:p w14:paraId="4F545A08"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40</w:t>
            </w:r>
          </w:p>
        </w:tc>
        <w:tc>
          <w:tcPr>
            <w:tcW w:w="354" w:type="pct"/>
            <w:vAlign w:val="center"/>
          </w:tcPr>
          <w:p w14:paraId="720EB766"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56</w:t>
            </w:r>
          </w:p>
        </w:tc>
        <w:tc>
          <w:tcPr>
            <w:tcW w:w="355" w:type="pct"/>
            <w:vAlign w:val="center"/>
          </w:tcPr>
          <w:p w14:paraId="399EC3BC"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56</w:t>
            </w:r>
          </w:p>
        </w:tc>
        <w:tc>
          <w:tcPr>
            <w:tcW w:w="354" w:type="pct"/>
            <w:vAlign w:val="center"/>
          </w:tcPr>
          <w:p w14:paraId="1AC7CA8E"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56</w:t>
            </w:r>
          </w:p>
        </w:tc>
        <w:tc>
          <w:tcPr>
            <w:tcW w:w="356" w:type="pct"/>
            <w:vAlign w:val="center"/>
          </w:tcPr>
          <w:p w14:paraId="7DB27975"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46</w:t>
            </w:r>
          </w:p>
        </w:tc>
        <w:tc>
          <w:tcPr>
            <w:tcW w:w="354" w:type="pct"/>
            <w:vAlign w:val="center"/>
          </w:tcPr>
          <w:p w14:paraId="42EA6F78"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29</w:t>
            </w:r>
          </w:p>
        </w:tc>
        <w:tc>
          <w:tcPr>
            <w:tcW w:w="355" w:type="pct"/>
            <w:vAlign w:val="center"/>
          </w:tcPr>
          <w:p w14:paraId="36C33313"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23</w:t>
            </w:r>
          </w:p>
        </w:tc>
        <w:tc>
          <w:tcPr>
            <w:tcW w:w="354" w:type="pct"/>
            <w:vAlign w:val="center"/>
          </w:tcPr>
          <w:p w14:paraId="798B29A1"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25</w:t>
            </w:r>
          </w:p>
        </w:tc>
        <w:tc>
          <w:tcPr>
            <w:tcW w:w="355" w:type="pct"/>
            <w:vAlign w:val="bottom"/>
          </w:tcPr>
          <w:p w14:paraId="6AC8FB80"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14</w:t>
            </w:r>
          </w:p>
        </w:tc>
      </w:tr>
      <w:tr w:rsidR="00C60C82" w:rsidRPr="008C1E5F" w14:paraId="7CCA8DCC" w14:textId="77777777" w:rsidTr="00B70B91">
        <w:trPr>
          <w:jc w:val="center"/>
        </w:trPr>
        <w:tc>
          <w:tcPr>
            <w:tcW w:w="371" w:type="pct"/>
          </w:tcPr>
          <w:p w14:paraId="358750AA" w14:textId="77777777" w:rsidR="00C60C82" w:rsidRPr="008C1E5F" w:rsidRDefault="00C60C82">
            <w:pPr>
              <w:pStyle w:val="TableText"/>
              <w:spacing w:before="20" w:after="20"/>
              <w:jc w:val="center"/>
              <w:rPr>
                <w:rFonts w:ascii="Franklin Gothic Book" w:hAnsi="Franklin Gothic Book"/>
              </w:rPr>
            </w:pPr>
            <w:r w:rsidRPr="008C1E5F">
              <w:rPr>
                <w:rFonts w:ascii="Franklin Gothic Book" w:hAnsi="Franklin Gothic Book"/>
              </w:rPr>
              <w:t>6</w:t>
            </w:r>
          </w:p>
        </w:tc>
        <w:tc>
          <w:tcPr>
            <w:tcW w:w="374" w:type="pct"/>
            <w:vAlign w:val="center"/>
          </w:tcPr>
          <w:p w14:paraId="232E4E3F"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753</w:t>
            </w:r>
          </w:p>
        </w:tc>
        <w:tc>
          <w:tcPr>
            <w:tcW w:w="354" w:type="pct"/>
            <w:vAlign w:val="center"/>
          </w:tcPr>
          <w:p w14:paraId="427C7B1D"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19</w:t>
            </w:r>
          </w:p>
        </w:tc>
        <w:tc>
          <w:tcPr>
            <w:tcW w:w="355" w:type="pct"/>
            <w:vAlign w:val="center"/>
          </w:tcPr>
          <w:p w14:paraId="3C8BD22A"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13</w:t>
            </w:r>
          </w:p>
        </w:tc>
        <w:tc>
          <w:tcPr>
            <w:tcW w:w="354" w:type="pct"/>
            <w:vAlign w:val="center"/>
          </w:tcPr>
          <w:p w14:paraId="5B0A6BCC"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16</w:t>
            </w:r>
          </w:p>
        </w:tc>
        <w:tc>
          <w:tcPr>
            <w:tcW w:w="355" w:type="pct"/>
            <w:vAlign w:val="center"/>
          </w:tcPr>
          <w:p w14:paraId="39D66972"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40</w:t>
            </w:r>
          </w:p>
        </w:tc>
        <w:tc>
          <w:tcPr>
            <w:tcW w:w="354" w:type="pct"/>
            <w:vAlign w:val="center"/>
          </w:tcPr>
          <w:p w14:paraId="71980950"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49</w:t>
            </w:r>
          </w:p>
        </w:tc>
        <w:tc>
          <w:tcPr>
            <w:tcW w:w="355" w:type="pct"/>
            <w:vAlign w:val="center"/>
          </w:tcPr>
          <w:p w14:paraId="70AA262A"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43</w:t>
            </w:r>
          </w:p>
        </w:tc>
        <w:tc>
          <w:tcPr>
            <w:tcW w:w="354" w:type="pct"/>
            <w:vAlign w:val="center"/>
          </w:tcPr>
          <w:p w14:paraId="4A870CDF"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50</w:t>
            </w:r>
          </w:p>
        </w:tc>
        <w:tc>
          <w:tcPr>
            <w:tcW w:w="356" w:type="pct"/>
            <w:vAlign w:val="center"/>
          </w:tcPr>
          <w:p w14:paraId="3A05AB57"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43</w:t>
            </w:r>
          </w:p>
        </w:tc>
        <w:tc>
          <w:tcPr>
            <w:tcW w:w="354" w:type="pct"/>
            <w:vAlign w:val="center"/>
          </w:tcPr>
          <w:p w14:paraId="068B0AC4"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32</w:t>
            </w:r>
          </w:p>
        </w:tc>
        <w:tc>
          <w:tcPr>
            <w:tcW w:w="355" w:type="pct"/>
            <w:vAlign w:val="center"/>
          </w:tcPr>
          <w:p w14:paraId="1F28B2BC"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44</w:t>
            </w:r>
          </w:p>
        </w:tc>
        <w:tc>
          <w:tcPr>
            <w:tcW w:w="354" w:type="pct"/>
            <w:vAlign w:val="center"/>
          </w:tcPr>
          <w:p w14:paraId="775D8C3E"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34</w:t>
            </w:r>
          </w:p>
        </w:tc>
        <w:tc>
          <w:tcPr>
            <w:tcW w:w="355" w:type="pct"/>
            <w:vAlign w:val="center"/>
          </w:tcPr>
          <w:p w14:paraId="5ADA1E55"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17</w:t>
            </w:r>
          </w:p>
        </w:tc>
      </w:tr>
      <w:tr w:rsidR="00C55C91" w:rsidRPr="008C1E5F" w14:paraId="2FECFE29" w14:textId="77777777" w:rsidTr="00B70B91">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01AED309" w14:textId="77777777" w:rsidR="00C60C82" w:rsidRPr="008C1E5F" w:rsidRDefault="00C60C82">
            <w:pPr>
              <w:pStyle w:val="TableText"/>
              <w:spacing w:before="20" w:after="20"/>
              <w:jc w:val="center"/>
              <w:rPr>
                <w:rFonts w:ascii="Franklin Gothic Book" w:hAnsi="Franklin Gothic Book"/>
              </w:rPr>
            </w:pPr>
            <w:r w:rsidRPr="008C1E5F">
              <w:rPr>
                <w:rFonts w:ascii="Franklin Gothic Book" w:hAnsi="Franklin Gothic Book"/>
              </w:rPr>
              <w:t>7</w:t>
            </w:r>
          </w:p>
        </w:tc>
        <w:tc>
          <w:tcPr>
            <w:tcW w:w="374" w:type="pct"/>
            <w:vAlign w:val="center"/>
          </w:tcPr>
          <w:p w14:paraId="2AE2A091"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795</w:t>
            </w:r>
          </w:p>
        </w:tc>
        <w:tc>
          <w:tcPr>
            <w:tcW w:w="354" w:type="pct"/>
            <w:vAlign w:val="center"/>
          </w:tcPr>
          <w:p w14:paraId="5336992B"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14</w:t>
            </w:r>
          </w:p>
        </w:tc>
        <w:tc>
          <w:tcPr>
            <w:tcW w:w="355" w:type="pct"/>
            <w:vAlign w:val="center"/>
          </w:tcPr>
          <w:p w14:paraId="709EE3D4"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14</w:t>
            </w:r>
          </w:p>
        </w:tc>
        <w:tc>
          <w:tcPr>
            <w:tcW w:w="354" w:type="pct"/>
            <w:vAlign w:val="center"/>
          </w:tcPr>
          <w:p w14:paraId="1A973AB9"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11</w:t>
            </w:r>
          </w:p>
        </w:tc>
        <w:tc>
          <w:tcPr>
            <w:tcW w:w="355" w:type="pct"/>
            <w:vAlign w:val="center"/>
          </w:tcPr>
          <w:p w14:paraId="36B484AE"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37</w:t>
            </w:r>
          </w:p>
        </w:tc>
        <w:tc>
          <w:tcPr>
            <w:tcW w:w="354" w:type="pct"/>
            <w:vAlign w:val="center"/>
          </w:tcPr>
          <w:p w14:paraId="4652C6E6"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46</w:t>
            </w:r>
          </w:p>
        </w:tc>
        <w:tc>
          <w:tcPr>
            <w:tcW w:w="355" w:type="pct"/>
            <w:vAlign w:val="center"/>
          </w:tcPr>
          <w:p w14:paraId="70A54E87"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41</w:t>
            </w:r>
          </w:p>
        </w:tc>
        <w:tc>
          <w:tcPr>
            <w:tcW w:w="354" w:type="pct"/>
            <w:vAlign w:val="center"/>
          </w:tcPr>
          <w:p w14:paraId="10C27D3E"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44</w:t>
            </w:r>
          </w:p>
        </w:tc>
        <w:tc>
          <w:tcPr>
            <w:tcW w:w="356" w:type="pct"/>
            <w:vAlign w:val="center"/>
          </w:tcPr>
          <w:p w14:paraId="104B7218"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44</w:t>
            </w:r>
          </w:p>
        </w:tc>
        <w:tc>
          <w:tcPr>
            <w:tcW w:w="354" w:type="pct"/>
            <w:vAlign w:val="center"/>
          </w:tcPr>
          <w:p w14:paraId="3964A988"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40</w:t>
            </w:r>
          </w:p>
        </w:tc>
        <w:tc>
          <w:tcPr>
            <w:tcW w:w="355" w:type="pct"/>
            <w:vAlign w:val="center"/>
          </w:tcPr>
          <w:p w14:paraId="65C8A3B1"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45</w:t>
            </w:r>
          </w:p>
        </w:tc>
        <w:tc>
          <w:tcPr>
            <w:tcW w:w="354" w:type="pct"/>
            <w:vAlign w:val="center"/>
          </w:tcPr>
          <w:p w14:paraId="5D3C9C9C"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45</w:t>
            </w:r>
          </w:p>
        </w:tc>
        <w:tc>
          <w:tcPr>
            <w:tcW w:w="355" w:type="pct"/>
            <w:vAlign w:val="bottom"/>
          </w:tcPr>
          <w:p w14:paraId="7950E84E"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19</w:t>
            </w:r>
          </w:p>
        </w:tc>
      </w:tr>
      <w:tr w:rsidR="00C60C82" w:rsidRPr="008C1E5F" w14:paraId="1014DEB2" w14:textId="77777777" w:rsidTr="00B70B91">
        <w:trPr>
          <w:jc w:val="center"/>
        </w:trPr>
        <w:tc>
          <w:tcPr>
            <w:tcW w:w="371" w:type="pct"/>
          </w:tcPr>
          <w:p w14:paraId="31DF2E42" w14:textId="77777777" w:rsidR="00C60C82" w:rsidRPr="008C1E5F" w:rsidRDefault="00C60C82">
            <w:pPr>
              <w:pStyle w:val="TableText"/>
              <w:spacing w:before="20" w:after="20"/>
              <w:jc w:val="center"/>
              <w:rPr>
                <w:rFonts w:ascii="Franklin Gothic Book" w:hAnsi="Franklin Gothic Book"/>
              </w:rPr>
            </w:pPr>
            <w:r w:rsidRPr="008C1E5F">
              <w:rPr>
                <w:rFonts w:ascii="Franklin Gothic Book" w:hAnsi="Franklin Gothic Book"/>
              </w:rPr>
              <w:t>8</w:t>
            </w:r>
          </w:p>
        </w:tc>
        <w:tc>
          <w:tcPr>
            <w:tcW w:w="374" w:type="pct"/>
            <w:vAlign w:val="center"/>
          </w:tcPr>
          <w:p w14:paraId="59FE58C4"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774</w:t>
            </w:r>
          </w:p>
        </w:tc>
        <w:tc>
          <w:tcPr>
            <w:tcW w:w="354" w:type="pct"/>
            <w:vAlign w:val="center"/>
          </w:tcPr>
          <w:p w14:paraId="0DA0394A"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15</w:t>
            </w:r>
          </w:p>
        </w:tc>
        <w:tc>
          <w:tcPr>
            <w:tcW w:w="355" w:type="pct"/>
            <w:vAlign w:val="center"/>
          </w:tcPr>
          <w:p w14:paraId="56C27671"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14</w:t>
            </w:r>
          </w:p>
        </w:tc>
        <w:tc>
          <w:tcPr>
            <w:tcW w:w="354" w:type="pct"/>
            <w:vAlign w:val="center"/>
          </w:tcPr>
          <w:p w14:paraId="7D46AD7B"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16</w:t>
            </w:r>
          </w:p>
        </w:tc>
        <w:tc>
          <w:tcPr>
            <w:tcW w:w="355" w:type="pct"/>
            <w:vAlign w:val="center"/>
          </w:tcPr>
          <w:p w14:paraId="1B7A3F1F"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38</w:t>
            </w:r>
          </w:p>
        </w:tc>
        <w:tc>
          <w:tcPr>
            <w:tcW w:w="354" w:type="pct"/>
            <w:vAlign w:val="center"/>
          </w:tcPr>
          <w:p w14:paraId="3BD4506B"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49</w:t>
            </w:r>
          </w:p>
        </w:tc>
        <w:tc>
          <w:tcPr>
            <w:tcW w:w="355" w:type="pct"/>
            <w:vAlign w:val="center"/>
          </w:tcPr>
          <w:p w14:paraId="5B1DEFA3"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42</w:t>
            </w:r>
          </w:p>
        </w:tc>
        <w:tc>
          <w:tcPr>
            <w:tcW w:w="354" w:type="pct"/>
            <w:vAlign w:val="center"/>
          </w:tcPr>
          <w:p w14:paraId="267F2718"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41</w:t>
            </w:r>
          </w:p>
        </w:tc>
        <w:tc>
          <w:tcPr>
            <w:tcW w:w="356" w:type="pct"/>
            <w:vAlign w:val="center"/>
          </w:tcPr>
          <w:p w14:paraId="770B8641"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42</w:t>
            </w:r>
          </w:p>
        </w:tc>
        <w:tc>
          <w:tcPr>
            <w:tcW w:w="354" w:type="pct"/>
            <w:vAlign w:val="center"/>
          </w:tcPr>
          <w:p w14:paraId="102A50D8"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36</w:t>
            </w:r>
          </w:p>
        </w:tc>
        <w:tc>
          <w:tcPr>
            <w:tcW w:w="355" w:type="pct"/>
            <w:vAlign w:val="center"/>
          </w:tcPr>
          <w:p w14:paraId="426C313B"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44</w:t>
            </w:r>
          </w:p>
        </w:tc>
        <w:tc>
          <w:tcPr>
            <w:tcW w:w="354" w:type="pct"/>
            <w:vAlign w:val="center"/>
          </w:tcPr>
          <w:p w14:paraId="4BA97834"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43</w:t>
            </w:r>
          </w:p>
        </w:tc>
        <w:tc>
          <w:tcPr>
            <w:tcW w:w="355" w:type="pct"/>
            <w:vAlign w:val="bottom"/>
          </w:tcPr>
          <w:p w14:paraId="3F753F94"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19</w:t>
            </w:r>
          </w:p>
        </w:tc>
      </w:tr>
      <w:tr w:rsidR="00C55C91" w:rsidRPr="008C1E5F" w14:paraId="342039A3" w14:textId="77777777" w:rsidTr="00B70B91">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0BB0028C" w14:textId="77777777" w:rsidR="00C60C82" w:rsidRPr="008C1E5F" w:rsidRDefault="00C60C82">
            <w:pPr>
              <w:pStyle w:val="TableText"/>
              <w:spacing w:before="20" w:after="20"/>
              <w:jc w:val="center"/>
              <w:rPr>
                <w:rFonts w:ascii="Franklin Gothic Book" w:hAnsi="Franklin Gothic Book"/>
                <w:spacing w:val="-4"/>
              </w:rPr>
            </w:pPr>
            <w:r w:rsidRPr="008C1E5F">
              <w:rPr>
                <w:rFonts w:ascii="Franklin Gothic Book" w:hAnsi="Franklin Gothic Book"/>
              </w:rPr>
              <w:t>3-8</w:t>
            </w:r>
          </w:p>
        </w:tc>
        <w:tc>
          <w:tcPr>
            <w:tcW w:w="374" w:type="pct"/>
            <w:vAlign w:val="center"/>
          </w:tcPr>
          <w:p w14:paraId="7A5E6AF4"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4,878</w:t>
            </w:r>
          </w:p>
        </w:tc>
        <w:tc>
          <w:tcPr>
            <w:tcW w:w="354" w:type="pct"/>
            <w:vAlign w:val="center"/>
          </w:tcPr>
          <w:p w14:paraId="133A1864"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20</w:t>
            </w:r>
          </w:p>
        </w:tc>
        <w:tc>
          <w:tcPr>
            <w:tcW w:w="355" w:type="pct"/>
            <w:vAlign w:val="center"/>
          </w:tcPr>
          <w:p w14:paraId="36C670A5"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19</w:t>
            </w:r>
          </w:p>
        </w:tc>
        <w:tc>
          <w:tcPr>
            <w:tcW w:w="354" w:type="pct"/>
            <w:vAlign w:val="center"/>
          </w:tcPr>
          <w:p w14:paraId="75DC4C3F"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20</w:t>
            </w:r>
          </w:p>
        </w:tc>
        <w:tc>
          <w:tcPr>
            <w:tcW w:w="355" w:type="pct"/>
            <w:vAlign w:val="center"/>
          </w:tcPr>
          <w:p w14:paraId="1F65F2B7"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41</w:t>
            </w:r>
          </w:p>
        </w:tc>
        <w:tc>
          <w:tcPr>
            <w:tcW w:w="354" w:type="pct"/>
            <w:vAlign w:val="center"/>
          </w:tcPr>
          <w:p w14:paraId="251D2AA0"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47</w:t>
            </w:r>
          </w:p>
        </w:tc>
        <w:tc>
          <w:tcPr>
            <w:tcW w:w="355" w:type="pct"/>
            <w:vAlign w:val="center"/>
          </w:tcPr>
          <w:p w14:paraId="6AF9154A"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44</w:t>
            </w:r>
          </w:p>
        </w:tc>
        <w:tc>
          <w:tcPr>
            <w:tcW w:w="354" w:type="pct"/>
            <w:vAlign w:val="center"/>
          </w:tcPr>
          <w:p w14:paraId="70B29790"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46</w:t>
            </w:r>
          </w:p>
        </w:tc>
        <w:tc>
          <w:tcPr>
            <w:tcW w:w="356" w:type="pct"/>
            <w:vAlign w:val="center"/>
          </w:tcPr>
          <w:p w14:paraId="0E6D6DDF"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42</w:t>
            </w:r>
          </w:p>
        </w:tc>
        <w:tc>
          <w:tcPr>
            <w:tcW w:w="354" w:type="pct"/>
            <w:vAlign w:val="center"/>
          </w:tcPr>
          <w:p w14:paraId="171CAF8C"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33</w:t>
            </w:r>
          </w:p>
        </w:tc>
        <w:tc>
          <w:tcPr>
            <w:tcW w:w="355" w:type="pct"/>
            <w:vAlign w:val="center"/>
          </w:tcPr>
          <w:p w14:paraId="428755CA"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37</w:t>
            </w:r>
          </w:p>
        </w:tc>
        <w:tc>
          <w:tcPr>
            <w:tcW w:w="354" w:type="pct"/>
            <w:vAlign w:val="center"/>
          </w:tcPr>
          <w:p w14:paraId="5CF30E9B"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35</w:t>
            </w:r>
          </w:p>
        </w:tc>
        <w:tc>
          <w:tcPr>
            <w:tcW w:w="355" w:type="pct"/>
            <w:vAlign w:val="bottom"/>
          </w:tcPr>
          <w:p w14:paraId="7384438C"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18</w:t>
            </w:r>
          </w:p>
        </w:tc>
      </w:tr>
      <w:tr w:rsidR="00C60C82" w:rsidRPr="008C1E5F" w14:paraId="27A792B0" w14:textId="77777777" w:rsidTr="00B70B91">
        <w:trPr>
          <w:jc w:val="center"/>
        </w:trPr>
        <w:tc>
          <w:tcPr>
            <w:tcW w:w="371" w:type="pct"/>
          </w:tcPr>
          <w:p w14:paraId="534FEBB8" w14:textId="77777777" w:rsidR="00C60C82" w:rsidRPr="008C1E5F" w:rsidRDefault="00C60C82">
            <w:pPr>
              <w:pStyle w:val="TableText"/>
              <w:spacing w:before="20" w:after="20"/>
              <w:jc w:val="center"/>
              <w:rPr>
                <w:rFonts w:ascii="Franklin Gothic Book" w:hAnsi="Franklin Gothic Book"/>
              </w:rPr>
            </w:pPr>
            <w:r w:rsidRPr="008C1E5F">
              <w:rPr>
                <w:rFonts w:ascii="Franklin Gothic Book" w:hAnsi="Franklin Gothic Book"/>
              </w:rPr>
              <w:t>10</w:t>
            </w:r>
          </w:p>
        </w:tc>
        <w:tc>
          <w:tcPr>
            <w:tcW w:w="374" w:type="pct"/>
            <w:vAlign w:val="center"/>
          </w:tcPr>
          <w:p w14:paraId="3C12D2F4"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703</w:t>
            </w:r>
          </w:p>
        </w:tc>
        <w:tc>
          <w:tcPr>
            <w:tcW w:w="354" w:type="pct"/>
            <w:vAlign w:val="center"/>
          </w:tcPr>
          <w:p w14:paraId="39339DB4"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24</w:t>
            </w:r>
          </w:p>
        </w:tc>
        <w:tc>
          <w:tcPr>
            <w:tcW w:w="355" w:type="pct"/>
            <w:vAlign w:val="center"/>
          </w:tcPr>
          <w:p w14:paraId="0C35CBAD"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22</w:t>
            </w:r>
          </w:p>
        </w:tc>
        <w:tc>
          <w:tcPr>
            <w:tcW w:w="354" w:type="pct"/>
            <w:vAlign w:val="center"/>
          </w:tcPr>
          <w:p w14:paraId="06D351B1"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15</w:t>
            </w:r>
          </w:p>
        </w:tc>
        <w:tc>
          <w:tcPr>
            <w:tcW w:w="355" w:type="pct"/>
            <w:vAlign w:val="center"/>
          </w:tcPr>
          <w:p w14:paraId="73F19C5C"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48</w:t>
            </w:r>
          </w:p>
        </w:tc>
        <w:tc>
          <w:tcPr>
            <w:tcW w:w="354" w:type="pct"/>
            <w:vAlign w:val="center"/>
          </w:tcPr>
          <w:p w14:paraId="170863F2"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49</w:t>
            </w:r>
          </w:p>
        </w:tc>
        <w:tc>
          <w:tcPr>
            <w:tcW w:w="355" w:type="pct"/>
            <w:vAlign w:val="center"/>
          </w:tcPr>
          <w:p w14:paraId="37EEEB65"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59</w:t>
            </w:r>
          </w:p>
        </w:tc>
        <w:tc>
          <w:tcPr>
            <w:tcW w:w="354" w:type="pct"/>
            <w:vAlign w:val="center"/>
          </w:tcPr>
          <w:p w14:paraId="63C9492C"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47</w:t>
            </w:r>
          </w:p>
        </w:tc>
        <w:tc>
          <w:tcPr>
            <w:tcW w:w="356" w:type="pct"/>
            <w:vAlign w:val="center"/>
          </w:tcPr>
          <w:p w14:paraId="3C0901C3"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39</w:t>
            </w:r>
          </w:p>
        </w:tc>
        <w:tc>
          <w:tcPr>
            <w:tcW w:w="354" w:type="pct"/>
            <w:vAlign w:val="center"/>
          </w:tcPr>
          <w:p w14:paraId="40957B71"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27</w:t>
            </w:r>
          </w:p>
        </w:tc>
        <w:tc>
          <w:tcPr>
            <w:tcW w:w="355" w:type="pct"/>
            <w:vAlign w:val="center"/>
          </w:tcPr>
          <w:p w14:paraId="41AD8394"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20</w:t>
            </w:r>
          </w:p>
        </w:tc>
        <w:tc>
          <w:tcPr>
            <w:tcW w:w="354" w:type="pct"/>
            <w:vAlign w:val="center"/>
          </w:tcPr>
          <w:p w14:paraId="389DA353"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38</w:t>
            </w:r>
          </w:p>
        </w:tc>
        <w:tc>
          <w:tcPr>
            <w:tcW w:w="355" w:type="pct"/>
            <w:vAlign w:val="bottom"/>
          </w:tcPr>
          <w:p w14:paraId="128F89D6"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13</w:t>
            </w:r>
          </w:p>
        </w:tc>
      </w:tr>
      <w:bookmarkEnd w:id="284"/>
      <w:bookmarkEnd w:id="286"/>
    </w:tbl>
    <w:p w14:paraId="16904AE0" w14:textId="77777777" w:rsidR="00305BFA" w:rsidRPr="008C1E5F" w:rsidRDefault="00305BFA" w:rsidP="00305BFA">
      <w:pPr>
        <w:pStyle w:val="TableETitles"/>
        <w:spacing w:before="240" w:after="60"/>
      </w:pPr>
    </w:p>
    <w:p w14:paraId="4E30FD28" w14:textId="77777777" w:rsidR="00305BFA" w:rsidRPr="008C1E5F" w:rsidRDefault="00305BFA">
      <w:pPr>
        <w:spacing w:line="240" w:lineRule="auto"/>
        <w:rPr>
          <w:rFonts w:ascii="Franklin Gothic Demi" w:hAnsi="Franklin Gothic Demi"/>
        </w:rPr>
      </w:pPr>
      <w:r w:rsidRPr="008C1E5F">
        <w:br w:type="page"/>
      </w:r>
    </w:p>
    <w:p w14:paraId="78B7BF1C" w14:textId="38952ECB" w:rsidR="00C60C82" w:rsidRPr="008C1E5F" w:rsidRDefault="00C60C82" w:rsidP="00305BFA">
      <w:pPr>
        <w:pStyle w:val="TableETitles"/>
        <w:spacing w:before="240" w:after="60"/>
      </w:pPr>
      <w:bookmarkStart w:id="287" w:name="_Toc195024277"/>
      <w:r w:rsidRPr="008C1E5F">
        <w:lastRenderedPageBreak/>
        <w:t>Table E9. MCAS Science Achievement by Grade, 2022-2024</w:t>
      </w:r>
      <w:bookmarkEnd w:id="287"/>
    </w:p>
    <w:tbl>
      <w:tblPr>
        <w:tblStyle w:val="MSVTable1"/>
        <w:tblW w:w="5000" w:type="pct"/>
        <w:jc w:val="center"/>
        <w:tblLook w:val="0420" w:firstRow="1" w:lastRow="0" w:firstColumn="0" w:lastColumn="0" w:noHBand="0" w:noVBand="1"/>
      </w:tblPr>
      <w:tblGrid>
        <w:gridCol w:w="961"/>
        <w:gridCol w:w="969"/>
        <w:gridCol w:w="917"/>
        <w:gridCol w:w="919"/>
        <w:gridCol w:w="916"/>
        <w:gridCol w:w="919"/>
        <w:gridCol w:w="916"/>
        <w:gridCol w:w="919"/>
        <w:gridCol w:w="916"/>
        <w:gridCol w:w="922"/>
        <w:gridCol w:w="916"/>
        <w:gridCol w:w="919"/>
        <w:gridCol w:w="916"/>
        <w:gridCol w:w="919"/>
      </w:tblGrid>
      <w:tr w:rsidR="00856514" w:rsidRPr="008C1E5F" w14:paraId="4692BD36" w14:textId="77777777" w:rsidTr="00856514">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center"/>
          </w:tcPr>
          <w:p w14:paraId="6FF81CCB" w14:textId="7C679E0B" w:rsidR="00856514" w:rsidRPr="008C1E5F" w:rsidRDefault="00856514" w:rsidP="00856514">
            <w:pPr>
              <w:pStyle w:val="TableColHeadingCenter"/>
              <w:spacing w:before="20" w:after="20"/>
            </w:pPr>
            <w:r w:rsidRPr="004F2348">
              <w:t>Grade</w:t>
            </w:r>
          </w:p>
        </w:tc>
        <w:tc>
          <w:tcPr>
            <w:tcW w:w="374" w:type="pct"/>
            <w:vAlign w:val="center"/>
          </w:tcPr>
          <w:p w14:paraId="1C757C61" w14:textId="2E271497" w:rsidR="00856514" w:rsidRPr="008C1E5F" w:rsidRDefault="00856514" w:rsidP="00856514">
            <w:pPr>
              <w:pStyle w:val="TableColHeadingCenter"/>
              <w:spacing w:before="20" w:after="20"/>
            </w:pPr>
            <w:r w:rsidRPr="004F2348">
              <w:t># Included (2024)</w:t>
            </w:r>
          </w:p>
        </w:tc>
        <w:tc>
          <w:tcPr>
            <w:tcW w:w="354" w:type="pct"/>
            <w:vAlign w:val="center"/>
          </w:tcPr>
          <w:p w14:paraId="6231469D" w14:textId="3E5CFB8B" w:rsidR="00856514" w:rsidRPr="008C1E5F" w:rsidRDefault="00856514" w:rsidP="00856514">
            <w:pPr>
              <w:pStyle w:val="TableColHeadingCenter"/>
              <w:spacing w:before="20" w:after="20"/>
            </w:pPr>
            <w:r w:rsidRPr="004F2348">
              <w:t>% M/E 2022</w:t>
            </w:r>
          </w:p>
        </w:tc>
        <w:tc>
          <w:tcPr>
            <w:tcW w:w="355" w:type="pct"/>
            <w:vAlign w:val="center"/>
          </w:tcPr>
          <w:p w14:paraId="176EE9C7" w14:textId="55A852DD" w:rsidR="00856514" w:rsidRPr="008C1E5F" w:rsidRDefault="00856514" w:rsidP="00856514">
            <w:pPr>
              <w:pStyle w:val="TableColHeadingCenter"/>
              <w:spacing w:before="20" w:after="20"/>
            </w:pPr>
            <w:r w:rsidRPr="004F2348">
              <w:t>% M/E 2023</w:t>
            </w:r>
          </w:p>
        </w:tc>
        <w:tc>
          <w:tcPr>
            <w:tcW w:w="354" w:type="pct"/>
            <w:vAlign w:val="center"/>
          </w:tcPr>
          <w:p w14:paraId="150B2A9F" w14:textId="0385FD70" w:rsidR="00856514" w:rsidRPr="008C1E5F" w:rsidRDefault="00856514" w:rsidP="00856514">
            <w:pPr>
              <w:pStyle w:val="TableColHeadingCenter"/>
              <w:spacing w:before="20" w:after="20"/>
            </w:pPr>
            <w:r w:rsidRPr="004F2348">
              <w:t>% M/E 2024</w:t>
            </w:r>
          </w:p>
        </w:tc>
        <w:tc>
          <w:tcPr>
            <w:tcW w:w="355" w:type="pct"/>
            <w:vAlign w:val="center"/>
          </w:tcPr>
          <w:p w14:paraId="686ED97F" w14:textId="4553AEC7" w:rsidR="00856514" w:rsidRPr="008C1E5F" w:rsidRDefault="00856514" w:rsidP="00856514">
            <w:pPr>
              <w:pStyle w:val="TableColHeadingCenter"/>
              <w:spacing w:before="20" w:after="20"/>
            </w:pPr>
            <w:r w:rsidRPr="004F2348">
              <w:t>% M/E 2024 State</w:t>
            </w:r>
          </w:p>
        </w:tc>
        <w:tc>
          <w:tcPr>
            <w:tcW w:w="354" w:type="pct"/>
            <w:vAlign w:val="center"/>
          </w:tcPr>
          <w:p w14:paraId="7F9ABEC4" w14:textId="58D671EB" w:rsidR="00856514" w:rsidRPr="008C1E5F" w:rsidRDefault="00856514" w:rsidP="00856514">
            <w:pPr>
              <w:pStyle w:val="TableColHeadingCenter"/>
              <w:spacing w:before="20" w:after="20"/>
            </w:pPr>
            <w:r w:rsidRPr="004F2348">
              <w:t>% PME 2022</w:t>
            </w:r>
          </w:p>
        </w:tc>
        <w:tc>
          <w:tcPr>
            <w:tcW w:w="355" w:type="pct"/>
            <w:vAlign w:val="center"/>
          </w:tcPr>
          <w:p w14:paraId="6E95590A" w14:textId="7E9212A6" w:rsidR="00856514" w:rsidRPr="008C1E5F" w:rsidRDefault="00856514" w:rsidP="00856514">
            <w:pPr>
              <w:pStyle w:val="TableColHeadingCenter"/>
              <w:spacing w:before="20" w:after="20"/>
            </w:pPr>
            <w:r w:rsidRPr="004F2348">
              <w:t>% PME 2023</w:t>
            </w:r>
          </w:p>
        </w:tc>
        <w:tc>
          <w:tcPr>
            <w:tcW w:w="354" w:type="pct"/>
            <w:vAlign w:val="center"/>
          </w:tcPr>
          <w:p w14:paraId="7285CDF0" w14:textId="3BDADD75" w:rsidR="00856514" w:rsidRPr="008C1E5F" w:rsidRDefault="00856514" w:rsidP="00856514">
            <w:pPr>
              <w:pStyle w:val="TableColHeadingCenter"/>
              <w:spacing w:before="20" w:after="20"/>
            </w:pPr>
            <w:r w:rsidRPr="004F2348">
              <w:t>% PME 2024</w:t>
            </w:r>
          </w:p>
        </w:tc>
        <w:tc>
          <w:tcPr>
            <w:tcW w:w="356" w:type="pct"/>
            <w:vAlign w:val="center"/>
          </w:tcPr>
          <w:p w14:paraId="123A7364" w14:textId="6FD83351" w:rsidR="00856514" w:rsidRPr="008C1E5F" w:rsidRDefault="00856514" w:rsidP="00856514">
            <w:pPr>
              <w:pStyle w:val="TableColHeadingCenter"/>
              <w:spacing w:before="20" w:after="20"/>
            </w:pPr>
            <w:r w:rsidRPr="004F2348">
              <w:t>% PME 2024 State</w:t>
            </w:r>
          </w:p>
        </w:tc>
        <w:tc>
          <w:tcPr>
            <w:tcW w:w="354" w:type="pct"/>
            <w:vAlign w:val="center"/>
          </w:tcPr>
          <w:p w14:paraId="676978E6" w14:textId="296F9935" w:rsidR="00856514" w:rsidRPr="008C1E5F" w:rsidRDefault="00856514" w:rsidP="00856514">
            <w:pPr>
              <w:pStyle w:val="TableColHeadingCenter"/>
              <w:spacing w:before="20" w:after="20"/>
            </w:pPr>
            <w:r w:rsidRPr="004F2348">
              <w:t>% NM 2022</w:t>
            </w:r>
          </w:p>
        </w:tc>
        <w:tc>
          <w:tcPr>
            <w:tcW w:w="355" w:type="pct"/>
            <w:vAlign w:val="center"/>
          </w:tcPr>
          <w:p w14:paraId="54500AE3" w14:textId="169A20D7" w:rsidR="00856514" w:rsidRPr="008C1E5F" w:rsidRDefault="00856514" w:rsidP="00856514">
            <w:pPr>
              <w:pStyle w:val="TableColHeadingCenter"/>
              <w:spacing w:before="20" w:after="20"/>
            </w:pPr>
            <w:r w:rsidRPr="004F2348">
              <w:t>% NM 2023</w:t>
            </w:r>
          </w:p>
        </w:tc>
        <w:tc>
          <w:tcPr>
            <w:tcW w:w="354" w:type="pct"/>
            <w:vAlign w:val="center"/>
          </w:tcPr>
          <w:p w14:paraId="1DBE7F8F" w14:textId="0F32F6B5" w:rsidR="00856514" w:rsidRPr="008C1E5F" w:rsidRDefault="00856514" w:rsidP="00856514">
            <w:pPr>
              <w:pStyle w:val="TableColHeadingCenter"/>
              <w:spacing w:before="20" w:after="20"/>
            </w:pPr>
            <w:r w:rsidRPr="004F2348">
              <w:t>% NM 2024</w:t>
            </w:r>
          </w:p>
        </w:tc>
        <w:tc>
          <w:tcPr>
            <w:tcW w:w="355" w:type="pct"/>
            <w:vAlign w:val="center"/>
          </w:tcPr>
          <w:p w14:paraId="3030434D" w14:textId="7C1B839C" w:rsidR="00856514" w:rsidRPr="008C1E5F" w:rsidRDefault="00856514" w:rsidP="00856514">
            <w:pPr>
              <w:pStyle w:val="TableColHeadingCenter"/>
              <w:spacing w:before="20" w:after="20"/>
            </w:pPr>
            <w:r w:rsidRPr="004F2348">
              <w:t>% NM 2024 State</w:t>
            </w:r>
          </w:p>
        </w:tc>
      </w:tr>
      <w:tr w:rsidR="00C55C91" w:rsidRPr="008C1E5F" w14:paraId="2100B43B" w14:textId="77777777" w:rsidTr="00B70B91">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06718B1A" w14:textId="77777777" w:rsidR="00C60C82" w:rsidRPr="008C1E5F" w:rsidRDefault="00C60C82">
            <w:pPr>
              <w:pStyle w:val="TableText"/>
              <w:spacing w:before="20" w:after="20"/>
              <w:jc w:val="center"/>
              <w:rPr>
                <w:rFonts w:ascii="Franklin Gothic Book" w:hAnsi="Franklin Gothic Book"/>
              </w:rPr>
            </w:pPr>
            <w:r w:rsidRPr="008C1E5F">
              <w:rPr>
                <w:rFonts w:ascii="Franklin Gothic Book" w:hAnsi="Franklin Gothic Book"/>
              </w:rPr>
              <w:t>5</w:t>
            </w:r>
          </w:p>
        </w:tc>
        <w:tc>
          <w:tcPr>
            <w:tcW w:w="374" w:type="pct"/>
            <w:vAlign w:val="center"/>
          </w:tcPr>
          <w:p w14:paraId="4CF206B0"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856</w:t>
            </w:r>
          </w:p>
        </w:tc>
        <w:tc>
          <w:tcPr>
            <w:tcW w:w="354" w:type="pct"/>
            <w:vAlign w:val="center"/>
          </w:tcPr>
          <w:p w14:paraId="7BF76826"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23</w:t>
            </w:r>
          </w:p>
        </w:tc>
        <w:tc>
          <w:tcPr>
            <w:tcW w:w="355" w:type="pct"/>
            <w:vAlign w:val="center"/>
          </w:tcPr>
          <w:p w14:paraId="5D636E51"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23</w:t>
            </w:r>
          </w:p>
        </w:tc>
        <w:tc>
          <w:tcPr>
            <w:tcW w:w="354" w:type="pct"/>
            <w:vAlign w:val="center"/>
          </w:tcPr>
          <w:p w14:paraId="4A8C04A6"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23</w:t>
            </w:r>
          </w:p>
        </w:tc>
        <w:tc>
          <w:tcPr>
            <w:tcW w:w="355" w:type="pct"/>
            <w:vAlign w:val="center"/>
          </w:tcPr>
          <w:p w14:paraId="789B2B5E"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45</w:t>
            </w:r>
          </w:p>
        </w:tc>
        <w:tc>
          <w:tcPr>
            <w:tcW w:w="354" w:type="pct"/>
            <w:vAlign w:val="center"/>
          </w:tcPr>
          <w:p w14:paraId="73DBB7E5"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43</w:t>
            </w:r>
          </w:p>
        </w:tc>
        <w:tc>
          <w:tcPr>
            <w:tcW w:w="355" w:type="pct"/>
            <w:vAlign w:val="center"/>
          </w:tcPr>
          <w:p w14:paraId="4F2ACB0B"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44</w:t>
            </w:r>
          </w:p>
        </w:tc>
        <w:tc>
          <w:tcPr>
            <w:tcW w:w="354" w:type="pct"/>
            <w:vAlign w:val="center"/>
          </w:tcPr>
          <w:p w14:paraId="37BC52C4"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42</w:t>
            </w:r>
          </w:p>
        </w:tc>
        <w:tc>
          <w:tcPr>
            <w:tcW w:w="356" w:type="pct"/>
            <w:vAlign w:val="bottom"/>
          </w:tcPr>
          <w:p w14:paraId="4EC00703"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36</w:t>
            </w:r>
          </w:p>
        </w:tc>
        <w:tc>
          <w:tcPr>
            <w:tcW w:w="354" w:type="pct"/>
            <w:vAlign w:val="center"/>
          </w:tcPr>
          <w:p w14:paraId="37D9E7D1"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35</w:t>
            </w:r>
          </w:p>
        </w:tc>
        <w:tc>
          <w:tcPr>
            <w:tcW w:w="355" w:type="pct"/>
            <w:vAlign w:val="center"/>
          </w:tcPr>
          <w:p w14:paraId="3D9EFBB7"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33</w:t>
            </w:r>
          </w:p>
        </w:tc>
        <w:tc>
          <w:tcPr>
            <w:tcW w:w="354" w:type="pct"/>
            <w:vAlign w:val="center"/>
          </w:tcPr>
          <w:p w14:paraId="172B7D90"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35</w:t>
            </w:r>
          </w:p>
        </w:tc>
        <w:tc>
          <w:tcPr>
            <w:tcW w:w="355" w:type="pct"/>
            <w:vAlign w:val="bottom"/>
          </w:tcPr>
          <w:p w14:paraId="7A7CCE3B"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20</w:t>
            </w:r>
          </w:p>
        </w:tc>
      </w:tr>
      <w:tr w:rsidR="00C60C82" w:rsidRPr="008C1E5F" w14:paraId="5278B5FE" w14:textId="77777777" w:rsidTr="00B70B91">
        <w:trPr>
          <w:jc w:val="center"/>
        </w:trPr>
        <w:tc>
          <w:tcPr>
            <w:tcW w:w="371" w:type="pct"/>
          </w:tcPr>
          <w:p w14:paraId="330F0C95" w14:textId="77777777" w:rsidR="00C60C82" w:rsidRPr="008C1E5F" w:rsidRDefault="00C60C82">
            <w:pPr>
              <w:pStyle w:val="TableText"/>
              <w:spacing w:before="20" w:after="20"/>
              <w:jc w:val="center"/>
              <w:rPr>
                <w:rFonts w:ascii="Franklin Gothic Book" w:hAnsi="Franklin Gothic Book"/>
              </w:rPr>
            </w:pPr>
            <w:r w:rsidRPr="008C1E5F">
              <w:rPr>
                <w:rFonts w:ascii="Franklin Gothic Book" w:hAnsi="Franklin Gothic Book"/>
              </w:rPr>
              <w:t>8</w:t>
            </w:r>
          </w:p>
        </w:tc>
        <w:tc>
          <w:tcPr>
            <w:tcW w:w="374" w:type="pct"/>
            <w:vAlign w:val="center"/>
          </w:tcPr>
          <w:p w14:paraId="63627F1A"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771</w:t>
            </w:r>
          </w:p>
        </w:tc>
        <w:tc>
          <w:tcPr>
            <w:tcW w:w="354" w:type="pct"/>
            <w:vAlign w:val="center"/>
          </w:tcPr>
          <w:p w14:paraId="54B2F384"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14</w:t>
            </w:r>
          </w:p>
        </w:tc>
        <w:tc>
          <w:tcPr>
            <w:tcW w:w="355" w:type="pct"/>
            <w:vAlign w:val="center"/>
          </w:tcPr>
          <w:p w14:paraId="7034FE72"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12</w:t>
            </w:r>
          </w:p>
        </w:tc>
        <w:tc>
          <w:tcPr>
            <w:tcW w:w="354" w:type="pct"/>
            <w:vAlign w:val="center"/>
          </w:tcPr>
          <w:p w14:paraId="3C12400B"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12</w:t>
            </w:r>
          </w:p>
        </w:tc>
        <w:tc>
          <w:tcPr>
            <w:tcW w:w="355" w:type="pct"/>
            <w:vAlign w:val="center"/>
          </w:tcPr>
          <w:p w14:paraId="232FBDBD"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39</w:t>
            </w:r>
          </w:p>
        </w:tc>
        <w:tc>
          <w:tcPr>
            <w:tcW w:w="354" w:type="pct"/>
            <w:vAlign w:val="center"/>
          </w:tcPr>
          <w:p w14:paraId="798ECA08"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45</w:t>
            </w:r>
          </w:p>
        </w:tc>
        <w:tc>
          <w:tcPr>
            <w:tcW w:w="355" w:type="pct"/>
            <w:vAlign w:val="center"/>
          </w:tcPr>
          <w:p w14:paraId="75E994F5"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46</w:t>
            </w:r>
          </w:p>
        </w:tc>
        <w:tc>
          <w:tcPr>
            <w:tcW w:w="354" w:type="pct"/>
            <w:vAlign w:val="center"/>
          </w:tcPr>
          <w:p w14:paraId="1D04652E"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40</w:t>
            </w:r>
          </w:p>
        </w:tc>
        <w:tc>
          <w:tcPr>
            <w:tcW w:w="356" w:type="pct"/>
            <w:vAlign w:val="bottom"/>
          </w:tcPr>
          <w:p w14:paraId="4CAA5806"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41</w:t>
            </w:r>
          </w:p>
        </w:tc>
        <w:tc>
          <w:tcPr>
            <w:tcW w:w="354" w:type="pct"/>
            <w:vAlign w:val="center"/>
          </w:tcPr>
          <w:p w14:paraId="3DFFAE81"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41</w:t>
            </w:r>
          </w:p>
        </w:tc>
        <w:tc>
          <w:tcPr>
            <w:tcW w:w="355" w:type="pct"/>
            <w:vAlign w:val="center"/>
          </w:tcPr>
          <w:p w14:paraId="14D659EA"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42</w:t>
            </w:r>
          </w:p>
        </w:tc>
        <w:tc>
          <w:tcPr>
            <w:tcW w:w="354" w:type="pct"/>
            <w:vAlign w:val="center"/>
          </w:tcPr>
          <w:p w14:paraId="7E4431AF"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49</w:t>
            </w:r>
          </w:p>
        </w:tc>
        <w:tc>
          <w:tcPr>
            <w:tcW w:w="355" w:type="pct"/>
            <w:vAlign w:val="bottom"/>
          </w:tcPr>
          <w:p w14:paraId="1932F1F3"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20</w:t>
            </w:r>
          </w:p>
        </w:tc>
      </w:tr>
      <w:tr w:rsidR="00C55C91" w:rsidRPr="008C1E5F" w14:paraId="4E621010" w14:textId="77777777" w:rsidTr="00B70B91">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7BEAAC62" w14:textId="77777777" w:rsidR="00C60C82" w:rsidRPr="008C1E5F" w:rsidRDefault="00C60C82">
            <w:pPr>
              <w:pStyle w:val="TableText"/>
              <w:spacing w:before="20" w:after="20"/>
              <w:jc w:val="center"/>
              <w:rPr>
                <w:rFonts w:ascii="Franklin Gothic Book" w:hAnsi="Franklin Gothic Book"/>
              </w:rPr>
            </w:pPr>
            <w:r w:rsidRPr="008C1E5F">
              <w:rPr>
                <w:rFonts w:ascii="Franklin Gothic Book" w:hAnsi="Franklin Gothic Book"/>
              </w:rPr>
              <w:t>5 and 8</w:t>
            </w:r>
          </w:p>
        </w:tc>
        <w:tc>
          <w:tcPr>
            <w:tcW w:w="374" w:type="pct"/>
            <w:vAlign w:val="center"/>
          </w:tcPr>
          <w:p w14:paraId="74E42701"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1,627</w:t>
            </w:r>
          </w:p>
        </w:tc>
        <w:tc>
          <w:tcPr>
            <w:tcW w:w="354" w:type="pct"/>
            <w:vAlign w:val="center"/>
          </w:tcPr>
          <w:p w14:paraId="6FB957DB"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18</w:t>
            </w:r>
          </w:p>
        </w:tc>
        <w:tc>
          <w:tcPr>
            <w:tcW w:w="355" w:type="pct"/>
            <w:vAlign w:val="center"/>
          </w:tcPr>
          <w:p w14:paraId="346C6E8F"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18</w:t>
            </w:r>
          </w:p>
        </w:tc>
        <w:tc>
          <w:tcPr>
            <w:tcW w:w="354" w:type="pct"/>
            <w:vAlign w:val="center"/>
          </w:tcPr>
          <w:p w14:paraId="3EDA437C"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18</w:t>
            </w:r>
          </w:p>
        </w:tc>
        <w:tc>
          <w:tcPr>
            <w:tcW w:w="355" w:type="pct"/>
            <w:vAlign w:val="center"/>
          </w:tcPr>
          <w:p w14:paraId="565BB63A"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42</w:t>
            </w:r>
          </w:p>
        </w:tc>
        <w:tc>
          <w:tcPr>
            <w:tcW w:w="354" w:type="pct"/>
            <w:vAlign w:val="center"/>
          </w:tcPr>
          <w:p w14:paraId="176AA22B"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44</w:t>
            </w:r>
          </w:p>
        </w:tc>
        <w:tc>
          <w:tcPr>
            <w:tcW w:w="355" w:type="pct"/>
            <w:vAlign w:val="center"/>
          </w:tcPr>
          <w:p w14:paraId="70DC0FF4"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45</w:t>
            </w:r>
          </w:p>
        </w:tc>
        <w:tc>
          <w:tcPr>
            <w:tcW w:w="354" w:type="pct"/>
            <w:vAlign w:val="center"/>
          </w:tcPr>
          <w:p w14:paraId="455CF6A8"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41</w:t>
            </w:r>
          </w:p>
        </w:tc>
        <w:tc>
          <w:tcPr>
            <w:tcW w:w="356" w:type="pct"/>
            <w:vAlign w:val="bottom"/>
          </w:tcPr>
          <w:p w14:paraId="1A6F5DFB"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38</w:t>
            </w:r>
          </w:p>
        </w:tc>
        <w:tc>
          <w:tcPr>
            <w:tcW w:w="354" w:type="pct"/>
            <w:vAlign w:val="center"/>
          </w:tcPr>
          <w:p w14:paraId="3D751C95"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37</w:t>
            </w:r>
          </w:p>
        </w:tc>
        <w:tc>
          <w:tcPr>
            <w:tcW w:w="355" w:type="pct"/>
            <w:vAlign w:val="center"/>
          </w:tcPr>
          <w:p w14:paraId="50D65506"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37</w:t>
            </w:r>
          </w:p>
        </w:tc>
        <w:tc>
          <w:tcPr>
            <w:tcW w:w="354" w:type="pct"/>
            <w:vAlign w:val="center"/>
          </w:tcPr>
          <w:p w14:paraId="4988994D"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42</w:t>
            </w:r>
          </w:p>
        </w:tc>
        <w:tc>
          <w:tcPr>
            <w:tcW w:w="355" w:type="pct"/>
            <w:vAlign w:val="bottom"/>
          </w:tcPr>
          <w:p w14:paraId="186DFBD0"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20</w:t>
            </w:r>
          </w:p>
        </w:tc>
      </w:tr>
      <w:tr w:rsidR="00C60C82" w:rsidRPr="008C1E5F" w14:paraId="6E82186B" w14:textId="77777777" w:rsidTr="00B70B91">
        <w:trPr>
          <w:jc w:val="center"/>
        </w:trPr>
        <w:tc>
          <w:tcPr>
            <w:tcW w:w="371" w:type="pct"/>
          </w:tcPr>
          <w:p w14:paraId="230F03D1" w14:textId="77777777" w:rsidR="00C60C82" w:rsidRPr="008C1E5F" w:rsidRDefault="00C60C82">
            <w:pPr>
              <w:pStyle w:val="TableText"/>
              <w:spacing w:before="20" w:after="20"/>
              <w:jc w:val="center"/>
              <w:rPr>
                <w:rFonts w:ascii="Franklin Gothic Book" w:hAnsi="Franklin Gothic Book"/>
              </w:rPr>
            </w:pPr>
            <w:r w:rsidRPr="008C1E5F">
              <w:rPr>
                <w:rFonts w:ascii="Franklin Gothic Book" w:hAnsi="Franklin Gothic Book"/>
              </w:rPr>
              <w:t>10</w:t>
            </w:r>
          </w:p>
        </w:tc>
        <w:tc>
          <w:tcPr>
            <w:tcW w:w="374" w:type="pct"/>
            <w:vAlign w:val="center"/>
          </w:tcPr>
          <w:p w14:paraId="12121FC7"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597</w:t>
            </w:r>
          </w:p>
        </w:tc>
        <w:tc>
          <w:tcPr>
            <w:tcW w:w="354" w:type="pct"/>
            <w:vAlign w:val="center"/>
          </w:tcPr>
          <w:p w14:paraId="5C59C745"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25</w:t>
            </w:r>
          </w:p>
        </w:tc>
        <w:tc>
          <w:tcPr>
            <w:tcW w:w="355" w:type="pct"/>
            <w:vAlign w:val="center"/>
          </w:tcPr>
          <w:p w14:paraId="7B3E81D2"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22</w:t>
            </w:r>
          </w:p>
        </w:tc>
        <w:tc>
          <w:tcPr>
            <w:tcW w:w="354" w:type="pct"/>
            <w:vAlign w:val="center"/>
          </w:tcPr>
          <w:p w14:paraId="28075ABD"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17</w:t>
            </w:r>
          </w:p>
        </w:tc>
        <w:tc>
          <w:tcPr>
            <w:tcW w:w="355" w:type="pct"/>
            <w:vAlign w:val="center"/>
          </w:tcPr>
          <w:p w14:paraId="3D30CB78"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49</w:t>
            </w:r>
          </w:p>
        </w:tc>
        <w:tc>
          <w:tcPr>
            <w:tcW w:w="354" w:type="pct"/>
            <w:vAlign w:val="center"/>
          </w:tcPr>
          <w:p w14:paraId="13FA8706"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40</w:t>
            </w:r>
          </w:p>
        </w:tc>
        <w:tc>
          <w:tcPr>
            <w:tcW w:w="355" w:type="pct"/>
            <w:vAlign w:val="center"/>
          </w:tcPr>
          <w:p w14:paraId="0D1AAF26"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52</w:t>
            </w:r>
          </w:p>
        </w:tc>
        <w:tc>
          <w:tcPr>
            <w:tcW w:w="354" w:type="pct"/>
            <w:vAlign w:val="center"/>
          </w:tcPr>
          <w:p w14:paraId="53BE0099"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53</w:t>
            </w:r>
          </w:p>
        </w:tc>
        <w:tc>
          <w:tcPr>
            <w:tcW w:w="356" w:type="pct"/>
            <w:vAlign w:val="bottom"/>
          </w:tcPr>
          <w:p w14:paraId="3B29C579"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40</w:t>
            </w:r>
          </w:p>
        </w:tc>
        <w:tc>
          <w:tcPr>
            <w:tcW w:w="354" w:type="pct"/>
            <w:vAlign w:val="center"/>
          </w:tcPr>
          <w:p w14:paraId="4C898F45"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36</w:t>
            </w:r>
          </w:p>
        </w:tc>
        <w:tc>
          <w:tcPr>
            <w:tcW w:w="355" w:type="pct"/>
            <w:vAlign w:val="center"/>
          </w:tcPr>
          <w:p w14:paraId="544A1B83"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26</w:t>
            </w:r>
          </w:p>
        </w:tc>
        <w:tc>
          <w:tcPr>
            <w:tcW w:w="354" w:type="pct"/>
            <w:vAlign w:val="center"/>
          </w:tcPr>
          <w:p w14:paraId="3A0E5B70"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cs="Calibri"/>
              </w:rPr>
              <w:t>30</w:t>
            </w:r>
          </w:p>
        </w:tc>
        <w:tc>
          <w:tcPr>
            <w:tcW w:w="355" w:type="pct"/>
            <w:vAlign w:val="bottom"/>
          </w:tcPr>
          <w:p w14:paraId="53D6B246" w14:textId="77777777" w:rsidR="00C60C82" w:rsidRPr="008C1E5F" w:rsidRDefault="00C60C82">
            <w:pPr>
              <w:pStyle w:val="TableTextCentered"/>
              <w:spacing w:before="20" w:after="20"/>
              <w:rPr>
                <w:rFonts w:ascii="Franklin Gothic Book" w:hAnsi="Franklin Gothic Book"/>
              </w:rPr>
            </w:pPr>
            <w:r w:rsidRPr="008C1E5F">
              <w:rPr>
                <w:rFonts w:ascii="Franklin Gothic Book" w:hAnsi="Franklin Gothic Book"/>
              </w:rPr>
              <w:t>11</w:t>
            </w:r>
          </w:p>
        </w:tc>
      </w:tr>
    </w:tbl>
    <w:p w14:paraId="0FEFBDC8" w14:textId="77777777" w:rsidR="00C60C82" w:rsidRPr="008C1E5F" w:rsidRDefault="00C60C82">
      <w:pPr>
        <w:pStyle w:val="TableTitle0"/>
        <w:spacing w:before="0" w:after="0"/>
        <w:rPr>
          <w:spacing w:val="-4"/>
        </w:rPr>
      </w:pPr>
    </w:p>
    <w:p w14:paraId="7B504D56" w14:textId="77777777" w:rsidR="00C60C82" w:rsidRPr="008C1E5F" w:rsidRDefault="00C60C82">
      <w:pPr>
        <w:pStyle w:val="TableTitle0"/>
        <w:spacing w:before="0" w:after="0"/>
        <w:rPr>
          <w:spacing w:val="-4"/>
        </w:rPr>
      </w:pPr>
    </w:p>
    <w:p w14:paraId="52B3D879" w14:textId="77777777" w:rsidR="00C60C82" w:rsidRPr="008C1E5F" w:rsidRDefault="00C60C82">
      <w:pPr>
        <w:spacing w:line="240" w:lineRule="auto"/>
        <w:rPr>
          <w:rFonts w:ascii="Franklin Gothic Book" w:hAnsi="Franklin Gothic Book"/>
          <w:sz w:val="20"/>
          <w:szCs w:val="20"/>
        </w:rPr>
      </w:pPr>
    </w:p>
    <w:p w14:paraId="58847A17" w14:textId="77777777" w:rsidR="00C60C82" w:rsidRPr="008C1E5F" w:rsidRDefault="00C60C82">
      <w:pPr>
        <w:spacing w:after="160" w:line="259" w:lineRule="auto"/>
        <w:rPr>
          <w:rFonts w:ascii="Franklin Gothic Book" w:hAnsi="Franklin Gothic Book"/>
          <w:sz w:val="20"/>
          <w:szCs w:val="20"/>
        </w:rPr>
        <w:sectPr w:rsidR="00C60C82" w:rsidRPr="008C1E5F" w:rsidSect="00C55C91">
          <w:pgSz w:w="15840" w:h="12240" w:orient="landscape" w:code="1"/>
          <w:pgMar w:top="1440" w:right="1440" w:bottom="1440" w:left="1440" w:header="720" w:footer="720" w:gutter="0"/>
          <w:pgNumType w:start="1"/>
          <w:cols w:space="720"/>
          <w:docGrid w:linePitch="360"/>
        </w:sectPr>
      </w:pPr>
    </w:p>
    <w:p w14:paraId="2F9FD2DD" w14:textId="77777777" w:rsidR="00C60C82" w:rsidRPr="008C1E5F" w:rsidRDefault="00C60C82" w:rsidP="00305BFA">
      <w:pPr>
        <w:pStyle w:val="TableETitles"/>
        <w:spacing w:before="0" w:after="60"/>
      </w:pPr>
      <w:bookmarkStart w:id="288" w:name="_Toc195024278"/>
      <w:r w:rsidRPr="008C1E5F">
        <w:lastRenderedPageBreak/>
        <w:t xml:space="preserve">Table E10. </w:t>
      </w:r>
      <w:r w:rsidRPr="008C1E5F">
        <w:rPr>
          <w:spacing w:val="-4"/>
        </w:rPr>
        <w:t>MCAS ELA Mean Student Growth Percentile by Student Group, Grades 3-8, 2022-2024</w:t>
      </w:r>
      <w:bookmarkEnd w:id="288"/>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C60C82" w:rsidRPr="008C1E5F" w14:paraId="0983D761" w14:textId="77777777">
        <w:trPr>
          <w:cnfStyle w:val="100000000000" w:firstRow="1" w:lastRow="0" w:firstColumn="0" w:lastColumn="0" w:oddVBand="0" w:evenVBand="0" w:oddHBand="0" w:evenHBand="0" w:firstRowFirstColumn="0" w:firstRowLastColumn="0" w:lastRowFirstColumn="0" w:lastRowLastColumn="0"/>
        </w:trPr>
        <w:tc>
          <w:tcPr>
            <w:tcW w:w="2962" w:type="dxa"/>
            <w:vAlign w:val="center"/>
          </w:tcPr>
          <w:p w14:paraId="21692FB2" w14:textId="77777777" w:rsidR="00C60C82" w:rsidRPr="008C1E5F" w:rsidRDefault="00C60C82">
            <w:pPr>
              <w:pStyle w:val="TableColHeadingLeft"/>
              <w:jc w:val="center"/>
            </w:pPr>
            <w:r w:rsidRPr="008C1E5F">
              <w:t>Group</w:t>
            </w:r>
          </w:p>
        </w:tc>
        <w:tc>
          <w:tcPr>
            <w:tcW w:w="1235" w:type="dxa"/>
            <w:vAlign w:val="center"/>
          </w:tcPr>
          <w:p w14:paraId="5B57771C" w14:textId="77777777" w:rsidR="00C60C82" w:rsidRPr="008C1E5F" w:rsidRDefault="00C60C82">
            <w:pPr>
              <w:pStyle w:val="TableColHeadingCenter"/>
            </w:pPr>
            <w:r w:rsidRPr="008C1E5F">
              <w:t># Included (2024)</w:t>
            </w:r>
          </w:p>
        </w:tc>
        <w:tc>
          <w:tcPr>
            <w:tcW w:w="1310" w:type="dxa"/>
            <w:vAlign w:val="center"/>
          </w:tcPr>
          <w:p w14:paraId="458156E5" w14:textId="77777777" w:rsidR="00C60C82" w:rsidRPr="008C1E5F" w:rsidRDefault="00C60C82">
            <w:pPr>
              <w:pStyle w:val="TableColHeadingCenter"/>
            </w:pPr>
            <w:r w:rsidRPr="008C1E5F">
              <w:t>2022</w:t>
            </w:r>
          </w:p>
        </w:tc>
        <w:tc>
          <w:tcPr>
            <w:tcW w:w="1310" w:type="dxa"/>
            <w:vAlign w:val="center"/>
          </w:tcPr>
          <w:p w14:paraId="0DEF7459" w14:textId="77777777" w:rsidR="00C60C82" w:rsidRPr="008C1E5F" w:rsidRDefault="00C60C82">
            <w:pPr>
              <w:pStyle w:val="TableColHeadingCenter"/>
            </w:pPr>
            <w:r w:rsidRPr="008C1E5F">
              <w:t>2023</w:t>
            </w:r>
          </w:p>
        </w:tc>
        <w:tc>
          <w:tcPr>
            <w:tcW w:w="1196" w:type="dxa"/>
            <w:vAlign w:val="center"/>
          </w:tcPr>
          <w:p w14:paraId="364F360D" w14:textId="77777777" w:rsidR="00C60C82" w:rsidRPr="008C1E5F" w:rsidRDefault="00C60C82">
            <w:pPr>
              <w:pStyle w:val="TableColHeadingCenter"/>
            </w:pPr>
            <w:r w:rsidRPr="008C1E5F">
              <w:t>2024</w:t>
            </w:r>
          </w:p>
        </w:tc>
        <w:tc>
          <w:tcPr>
            <w:tcW w:w="1331" w:type="dxa"/>
            <w:vAlign w:val="center"/>
          </w:tcPr>
          <w:p w14:paraId="17D961A6" w14:textId="77777777" w:rsidR="00C60C82" w:rsidRPr="008C1E5F" w:rsidRDefault="00C60C82">
            <w:pPr>
              <w:pStyle w:val="TableColHeadingCenter"/>
            </w:pPr>
            <w:r w:rsidRPr="008C1E5F">
              <w:t>State (2024)</w:t>
            </w:r>
          </w:p>
        </w:tc>
      </w:tr>
      <w:tr w:rsidR="00C60C82" w:rsidRPr="008C1E5F" w14:paraId="089736CA"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1EA4EF3" w14:textId="77777777" w:rsidR="00C60C82" w:rsidRPr="008C1E5F" w:rsidRDefault="00C60C82">
            <w:pPr>
              <w:pStyle w:val="TableText"/>
              <w:rPr>
                <w:rFonts w:ascii="Franklin Gothic Book" w:hAnsi="Franklin Gothic Book"/>
              </w:rPr>
            </w:pPr>
            <w:r w:rsidRPr="008C1E5F">
              <w:rPr>
                <w:rFonts w:ascii="Franklin Gothic Book" w:hAnsi="Franklin Gothic Book"/>
              </w:rPr>
              <w:t>All students</w:t>
            </w:r>
          </w:p>
        </w:tc>
        <w:tc>
          <w:tcPr>
            <w:tcW w:w="1235" w:type="dxa"/>
            <w:vAlign w:val="center"/>
          </w:tcPr>
          <w:p w14:paraId="34E38849"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3,517</w:t>
            </w:r>
          </w:p>
        </w:tc>
        <w:tc>
          <w:tcPr>
            <w:tcW w:w="1310" w:type="dxa"/>
            <w:vAlign w:val="center"/>
          </w:tcPr>
          <w:p w14:paraId="17F0215A"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45</w:t>
            </w:r>
          </w:p>
        </w:tc>
        <w:tc>
          <w:tcPr>
            <w:tcW w:w="1310" w:type="dxa"/>
            <w:vAlign w:val="center"/>
          </w:tcPr>
          <w:p w14:paraId="723C4273"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46</w:t>
            </w:r>
          </w:p>
        </w:tc>
        <w:tc>
          <w:tcPr>
            <w:tcW w:w="1196" w:type="dxa"/>
            <w:vAlign w:val="center"/>
          </w:tcPr>
          <w:p w14:paraId="0CCE1DE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48</w:t>
            </w:r>
          </w:p>
        </w:tc>
        <w:tc>
          <w:tcPr>
            <w:tcW w:w="1331" w:type="dxa"/>
            <w:vAlign w:val="center"/>
          </w:tcPr>
          <w:p w14:paraId="5A5EF985"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50</w:t>
            </w:r>
          </w:p>
        </w:tc>
      </w:tr>
      <w:tr w:rsidR="00C60C82" w:rsidRPr="008C1E5F" w14:paraId="4A031F39" w14:textId="77777777">
        <w:tc>
          <w:tcPr>
            <w:tcW w:w="2962" w:type="dxa"/>
          </w:tcPr>
          <w:p w14:paraId="2C1DA433" w14:textId="77777777" w:rsidR="00C60C82" w:rsidRPr="008C1E5F" w:rsidRDefault="00C60C82">
            <w:pPr>
              <w:pStyle w:val="TableText"/>
              <w:rPr>
                <w:rFonts w:ascii="Franklin Gothic Book" w:hAnsi="Franklin Gothic Book"/>
              </w:rPr>
            </w:pPr>
            <w:r w:rsidRPr="008C1E5F">
              <w:rPr>
                <w:rFonts w:ascii="Franklin Gothic Book" w:hAnsi="Franklin Gothic Book"/>
              </w:rPr>
              <w:t>African American/Black</w:t>
            </w:r>
          </w:p>
        </w:tc>
        <w:tc>
          <w:tcPr>
            <w:tcW w:w="1235" w:type="dxa"/>
            <w:vAlign w:val="center"/>
          </w:tcPr>
          <w:p w14:paraId="0830F094"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404</w:t>
            </w:r>
          </w:p>
        </w:tc>
        <w:tc>
          <w:tcPr>
            <w:tcW w:w="1310" w:type="dxa"/>
            <w:vAlign w:val="center"/>
          </w:tcPr>
          <w:p w14:paraId="588A0C25"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47</w:t>
            </w:r>
          </w:p>
        </w:tc>
        <w:tc>
          <w:tcPr>
            <w:tcW w:w="1310" w:type="dxa"/>
            <w:vAlign w:val="center"/>
          </w:tcPr>
          <w:p w14:paraId="4300D1FD"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45</w:t>
            </w:r>
          </w:p>
        </w:tc>
        <w:tc>
          <w:tcPr>
            <w:tcW w:w="1196" w:type="dxa"/>
            <w:vAlign w:val="center"/>
          </w:tcPr>
          <w:p w14:paraId="1184BBF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50</w:t>
            </w:r>
          </w:p>
        </w:tc>
        <w:tc>
          <w:tcPr>
            <w:tcW w:w="1331" w:type="dxa"/>
            <w:vAlign w:val="center"/>
          </w:tcPr>
          <w:p w14:paraId="2C2CB406"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49</w:t>
            </w:r>
          </w:p>
        </w:tc>
      </w:tr>
      <w:tr w:rsidR="00C60C82" w:rsidRPr="008C1E5F" w14:paraId="7685491A"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74D1ADC3" w14:textId="77777777" w:rsidR="00C60C82" w:rsidRPr="008C1E5F" w:rsidRDefault="00C60C82">
            <w:pPr>
              <w:pStyle w:val="TableText"/>
              <w:rPr>
                <w:rFonts w:ascii="Franklin Gothic Book" w:hAnsi="Franklin Gothic Book"/>
              </w:rPr>
            </w:pPr>
            <w:r w:rsidRPr="008C1E5F">
              <w:rPr>
                <w:rFonts w:ascii="Franklin Gothic Book" w:hAnsi="Franklin Gothic Book"/>
              </w:rPr>
              <w:t>Asian</w:t>
            </w:r>
          </w:p>
        </w:tc>
        <w:tc>
          <w:tcPr>
            <w:tcW w:w="1235" w:type="dxa"/>
            <w:vAlign w:val="center"/>
          </w:tcPr>
          <w:p w14:paraId="2B040CCC"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104</w:t>
            </w:r>
          </w:p>
        </w:tc>
        <w:tc>
          <w:tcPr>
            <w:tcW w:w="1310" w:type="dxa"/>
            <w:vAlign w:val="center"/>
          </w:tcPr>
          <w:p w14:paraId="556BCACB"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48</w:t>
            </w:r>
          </w:p>
        </w:tc>
        <w:tc>
          <w:tcPr>
            <w:tcW w:w="1310" w:type="dxa"/>
            <w:vAlign w:val="center"/>
          </w:tcPr>
          <w:p w14:paraId="234FC209"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54</w:t>
            </w:r>
          </w:p>
        </w:tc>
        <w:tc>
          <w:tcPr>
            <w:tcW w:w="1196" w:type="dxa"/>
            <w:vAlign w:val="center"/>
          </w:tcPr>
          <w:p w14:paraId="45D3A983"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49</w:t>
            </w:r>
          </w:p>
        </w:tc>
        <w:tc>
          <w:tcPr>
            <w:tcW w:w="1331" w:type="dxa"/>
            <w:vAlign w:val="center"/>
          </w:tcPr>
          <w:p w14:paraId="641AE30D"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57</w:t>
            </w:r>
          </w:p>
        </w:tc>
      </w:tr>
      <w:tr w:rsidR="00C60C82" w:rsidRPr="008C1E5F" w14:paraId="43E0FBE6" w14:textId="77777777">
        <w:tc>
          <w:tcPr>
            <w:tcW w:w="2962" w:type="dxa"/>
          </w:tcPr>
          <w:p w14:paraId="72527369" w14:textId="77777777" w:rsidR="00C60C82" w:rsidRPr="008C1E5F" w:rsidRDefault="00C60C82">
            <w:pPr>
              <w:pStyle w:val="TableText"/>
              <w:rPr>
                <w:rFonts w:ascii="Franklin Gothic Book" w:hAnsi="Franklin Gothic Book"/>
              </w:rPr>
            </w:pPr>
            <w:r w:rsidRPr="008C1E5F">
              <w:rPr>
                <w:rFonts w:ascii="Franklin Gothic Book" w:hAnsi="Franklin Gothic Book"/>
              </w:rPr>
              <w:t>Hispanic/Latino</w:t>
            </w:r>
          </w:p>
        </w:tc>
        <w:tc>
          <w:tcPr>
            <w:tcW w:w="1235" w:type="dxa"/>
            <w:vAlign w:val="center"/>
          </w:tcPr>
          <w:p w14:paraId="602284D8"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1,144</w:t>
            </w:r>
          </w:p>
        </w:tc>
        <w:tc>
          <w:tcPr>
            <w:tcW w:w="1310" w:type="dxa"/>
            <w:vAlign w:val="center"/>
          </w:tcPr>
          <w:p w14:paraId="274F3C7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44</w:t>
            </w:r>
          </w:p>
        </w:tc>
        <w:tc>
          <w:tcPr>
            <w:tcW w:w="1310" w:type="dxa"/>
            <w:vAlign w:val="center"/>
          </w:tcPr>
          <w:p w14:paraId="25D08870"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45</w:t>
            </w:r>
          </w:p>
        </w:tc>
        <w:tc>
          <w:tcPr>
            <w:tcW w:w="1196" w:type="dxa"/>
            <w:vAlign w:val="center"/>
          </w:tcPr>
          <w:p w14:paraId="4C0F0249"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47</w:t>
            </w:r>
          </w:p>
        </w:tc>
        <w:tc>
          <w:tcPr>
            <w:tcW w:w="1331" w:type="dxa"/>
            <w:vAlign w:val="center"/>
          </w:tcPr>
          <w:p w14:paraId="76D77CF0"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48</w:t>
            </w:r>
          </w:p>
        </w:tc>
      </w:tr>
      <w:tr w:rsidR="00C60C82" w:rsidRPr="008C1E5F" w14:paraId="3A696453"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92C7202" w14:textId="77777777" w:rsidR="00C60C82" w:rsidRPr="008C1E5F" w:rsidRDefault="00C60C82">
            <w:pPr>
              <w:pStyle w:val="TableText"/>
              <w:rPr>
                <w:rFonts w:ascii="Franklin Gothic Book" w:hAnsi="Franklin Gothic Book"/>
              </w:rPr>
            </w:pPr>
            <w:r w:rsidRPr="008C1E5F">
              <w:rPr>
                <w:rFonts w:ascii="Franklin Gothic Book" w:hAnsi="Franklin Gothic Book"/>
              </w:rPr>
              <w:t>Multi-Race, non-Hispanic/Latino</w:t>
            </w:r>
          </w:p>
        </w:tc>
        <w:tc>
          <w:tcPr>
            <w:tcW w:w="1235" w:type="dxa"/>
            <w:vAlign w:val="center"/>
          </w:tcPr>
          <w:p w14:paraId="291E8D32"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345</w:t>
            </w:r>
          </w:p>
        </w:tc>
        <w:tc>
          <w:tcPr>
            <w:tcW w:w="1310" w:type="dxa"/>
            <w:vAlign w:val="center"/>
          </w:tcPr>
          <w:p w14:paraId="141B822C"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46</w:t>
            </w:r>
          </w:p>
        </w:tc>
        <w:tc>
          <w:tcPr>
            <w:tcW w:w="1310" w:type="dxa"/>
            <w:vAlign w:val="center"/>
          </w:tcPr>
          <w:p w14:paraId="7E5D7EA3"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43</w:t>
            </w:r>
          </w:p>
        </w:tc>
        <w:tc>
          <w:tcPr>
            <w:tcW w:w="1196" w:type="dxa"/>
            <w:vAlign w:val="center"/>
          </w:tcPr>
          <w:p w14:paraId="63D03D4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49</w:t>
            </w:r>
          </w:p>
        </w:tc>
        <w:tc>
          <w:tcPr>
            <w:tcW w:w="1331" w:type="dxa"/>
            <w:vAlign w:val="center"/>
          </w:tcPr>
          <w:p w14:paraId="46CCD08C"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51</w:t>
            </w:r>
          </w:p>
        </w:tc>
      </w:tr>
      <w:tr w:rsidR="00C60C82" w:rsidRPr="008C1E5F" w14:paraId="3B269CAD" w14:textId="77777777">
        <w:tc>
          <w:tcPr>
            <w:tcW w:w="2962" w:type="dxa"/>
          </w:tcPr>
          <w:p w14:paraId="783A9958" w14:textId="77777777" w:rsidR="00C60C82" w:rsidRPr="008C1E5F" w:rsidRDefault="00C60C82">
            <w:pPr>
              <w:pStyle w:val="TableText"/>
              <w:rPr>
                <w:rFonts w:ascii="Franklin Gothic Book" w:hAnsi="Franklin Gothic Book"/>
              </w:rPr>
            </w:pPr>
            <w:r w:rsidRPr="008C1E5F">
              <w:rPr>
                <w:rFonts w:ascii="Franklin Gothic Book" w:hAnsi="Franklin Gothic Book"/>
              </w:rPr>
              <w:t>Native American</w:t>
            </w:r>
          </w:p>
        </w:tc>
        <w:tc>
          <w:tcPr>
            <w:tcW w:w="1235" w:type="dxa"/>
            <w:vAlign w:val="center"/>
          </w:tcPr>
          <w:p w14:paraId="7B19B2F6"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w:t>
            </w:r>
          </w:p>
        </w:tc>
        <w:tc>
          <w:tcPr>
            <w:tcW w:w="1310" w:type="dxa"/>
            <w:vAlign w:val="center"/>
          </w:tcPr>
          <w:p w14:paraId="23F37A16"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310" w:type="dxa"/>
            <w:vAlign w:val="center"/>
          </w:tcPr>
          <w:p w14:paraId="4E9F5510"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196" w:type="dxa"/>
            <w:vAlign w:val="center"/>
          </w:tcPr>
          <w:p w14:paraId="518F340F"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331" w:type="dxa"/>
            <w:vAlign w:val="center"/>
          </w:tcPr>
          <w:p w14:paraId="7DCCF6D7"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48</w:t>
            </w:r>
          </w:p>
        </w:tc>
      </w:tr>
      <w:tr w:rsidR="00C60C82" w:rsidRPr="008C1E5F" w14:paraId="57342D38"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3557B61" w14:textId="77777777" w:rsidR="00C60C82" w:rsidRPr="008C1E5F" w:rsidRDefault="00C60C82">
            <w:pPr>
              <w:pStyle w:val="TableText"/>
              <w:rPr>
                <w:rFonts w:ascii="Franklin Gothic Book" w:hAnsi="Franklin Gothic Book"/>
                <w:spacing w:val="-4"/>
              </w:rPr>
            </w:pPr>
            <w:r w:rsidRPr="008C1E5F">
              <w:rPr>
                <w:rFonts w:ascii="Franklin Gothic Book" w:hAnsi="Franklin Gothic Book"/>
                <w:spacing w:val="-4"/>
              </w:rPr>
              <w:t>Native Hawaiian, Pacific Islander</w:t>
            </w:r>
          </w:p>
        </w:tc>
        <w:tc>
          <w:tcPr>
            <w:tcW w:w="1235" w:type="dxa"/>
            <w:vAlign w:val="center"/>
          </w:tcPr>
          <w:p w14:paraId="116B0C9C"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1</w:t>
            </w:r>
          </w:p>
        </w:tc>
        <w:tc>
          <w:tcPr>
            <w:tcW w:w="1310" w:type="dxa"/>
            <w:vAlign w:val="center"/>
          </w:tcPr>
          <w:p w14:paraId="52CF8461"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310" w:type="dxa"/>
            <w:vAlign w:val="center"/>
          </w:tcPr>
          <w:p w14:paraId="7E16508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196" w:type="dxa"/>
            <w:vAlign w:val="center"/>
          </w:tcPr>
          <w:p w14:paraId="391D5731"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331" w:type="dxa"/>
            <w:vAlign w:val="center"/>
          </w:tcPr>
          <w:p w14:paraId="35A6B32A"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51</w:t>
            </w:r>
          </w:p>
        </w:tc>
      </w:tr>
      <w:tr w:rsidR="00C60C82" w:rsidRPr="008C1E5F" w14:paraId="11B11CAE" w14:textId="77777777">
        <w:tc>
          <w:tcPr>
            <w:tcW w:w="2962" w:type="dxa"/>
          </w:tcPr>
          <w:p w14:paraId="07B7AAD1" w14:textId="77777777" w:rsidR="00C60C82" w:rsidRPr="008C1E5F" w:rsidRDefault="00C60C82">
            <w:pPr>
              <w:pStyle w:val="TableText"/>
              <w:rPr>
                <w:rFonts w:ascii="Franklin Gothic Book" w:hAnsi="Franklin Gothic Book"/>
              </w:rPr>
            </w:pPr>
            <w:r w:rsidRPr="008C1E5F">
              <w:rPr>
                <w:rFonts w:ascii="Franklin Gothic Book" w:hAnsi="Franklin Gothic Book"/>
              </w:rPr>
              <w:t>White</w:t>
            </w:r>
          </w:p>
        </w:tc>
        <w:tc>
          <w:tcPr>
            <w:tcW w:w="1235" w:type="dxa"/>
            <w:vAlign w:val="center"/>
          </w:tcPr>
          <w:p w14:paraId="2C20D5DD"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1,516</w:t>
            </w:r>
          </w:p>
        </w:tc>
        <w:tc>
          <w:tcPr>
            <w:tcW w:w="1310" w:type="dxa"/>
            <w:vAlign w:val="center"/>
          </w:tcPr>
          <w:p w14:paraId="02B95322"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44</w:t>
            </w:r>
          </w:p>
        </w:tc>
        <w:tc>
          <w:tcPr>
            <w:tcW w:w="1310" w:type="dxa"/>
            <w:vAlign w:val="center"/>
          </w:tcPr>
          <w:p w14:paraId="1AB6FCA5"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46</w:t>
            </w:r>
          </w:p>
        </w:tc>
        <w:tc>
          <w:tcPr>
            <w:tcW w:w="1196" w:type="dxa"/>
            <w:vAlign w:val="center"/>
          </w:tcPr>
          <w:p w14:paraId="79070FBF"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48</w:t>
            </w:r>
          </w:p>
        </w:tc>
        <w:tc>
          <w:tcPr>
            <w:tcW w:w="1331" w:type="dxa"/>
            <w:vAlign w:val="center"/>
          </w:tcPr>
          <w:p w14:paraId="1EF40002"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50</w:t>
            </w:r>
          </w:p>
        </w:tc>
      </w:tr>
      <w:tr w:rsidR="00C60C82" w:rsidRPr="008C1E5F" w14:paraId="34105658"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2A5EB6B" w14:textId="77777777" w:rsidR="00C60C82" w:rsidRPr="008C1E5F" w:rsidRDefault="00C60C82">
            <w:pPr>
              <w:pStyle w:val="TableText"/>
              <w:rPr>
                <w:rFonts w:ascii="Franklin Gothic Book" w:hAnsi="Franklin Gothic Book"/>
              </w:rPr>
            </w:pPr>
            <w:r w:rsidRPr="008C1E5F">
              <w:rPr>
                <w:rFonts w:ascii="Franklin Gothic Book" w:hAnsi="Franklin Gothic Book"/>
              </w:rPr>
              <w:t>High needs</w:t>
            </w:r>
          </w:p>
        </w:tc>
        <w:tc>
          <w:tcPr>
            <w:tcW w:w="1235" w:type="dxa"/>
            <w:vAlign w:val="center"/>
          </w:tcPr>
          <w:p w14:paraId="42454827"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3,080</w:t>
            </w:r>
          </w:p>
        </w:tc>
        <w:tc>
          <w:tcPr>
            <w:tcW w:w="1310" w:type="dxa"/>
            <w:vAlign w:val="center"/>
          </w:tcPr>
          <w:p w14:paraId="76EDE9AA"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44</w:t>
            </w:r>
          </w:p>
        </w:tc>
        <w:tc>
          <w:tcPr>
            <w:tcW w:w="1310" w:type="dxa"/>
            <w:vAlign w:val="center"/>
          </w:tcPr>
          <w:p w14:paraId="202A155F"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45</w:t>
            </w:r>
          </w:p>
        </w:tc>
        <w:tc>
          <w:tcPr>
            <w:tcW w:w="1196" w:type="dxa"/>
            <w:vAlign w:val="center"/>
          </w:tcPr>
          <w:p w14:paraId="0982A5AC"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47</w:t>
            </w:r>
          </w:p>
        </w:tc>
        <w:tc>
          <w:tcPr>
            <w:tcW w:w="1331" w:type="dxa"/>
            <w:vAlign w:val="center"/>
          </w:tcPr>
          <w:p w14:paraId="741A67E3"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48</w:t>
            </w:r>
          </w:p>
        </w:tc>
      </w:tr>
      <w:tr w:rsidR="00C60C82" w:rsidRPr="008C1E5F" w14:paraId="4AA18B94" w14:textId="77777777">
        <w:tc>
          <w:tcPr>
            <w:tcW w:w="2962" w:type="dxa"/>
          </w:tcPr>
          <w:p w14:paraId="71CD3094" w14:textId="77777777" w:rsidR="00C60C82" w:rsidRPr="008C1E5F" w:rsidRDefault="00C60C82">
            <w:pPr>
              <w:pStyle w:val="TableText"/>
              <w:rPr>
                <w:rFonts w:ascii="Franklin Gothic Book" w:hAnsi="Franklin Gothic Book"/>
              </w:rPr>
            </w:pPr>
            <w:r w:rsidRPr="008C1E5F">
              <w:rPr>
                <w:rFonts w:ascii="Franklin Gothic Book" w:hAnsi="Franklin Gothic Book"/>
              </w:rPr>
              <w:t>Low income</w:t>
            </w:r>
          </w:p>
        </w:tc>
        <w:tc>
          <w:tcPr>
            <w:tcW w:w="1235" w:type="dxa"/>
            <w:vAlign w:val="center"/>
          </w:tcPr>
          <w:p w14:paraId="67CD89F6"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2,857</w:t>
            </w:r>
          </w:p>
        </w:tc>
        <w:tc>
          <w:tcPr>
            <w:tcW w:w="1310" w:type="dxa"/>
            <w:vAlign w:val="center"/>
          </w:tcPr>
          <w:p w14:paraId="5332874B"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44</w:t>
            </w:r>
          </w:p>
        </w:tc>
        <w:tc>
          <w:tcPr>
            <w:tcW w:w="1310" w:type="dxa"/>
            <w:vAlign w:val="center"/>
          </w:tcPr>
          <w:p w14:paraId="547D3BC9"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45</w:t>
            </w:r>
          </w:p>
        </w:tc>
        <w:tc>
          <w:tcPr>
            <w:tcW w:w="1196" w:type="dxa"/>
            <w:vAlign w:val="center"/>
          </w:tcPr>
          <w:p w14:paraId="636B6B4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47</w:t>
            </w:r>
          </w:p>
        </w:tc>
        <w:tc>
          <w:tcPr>
            <w:tcW w:w="1331" w:type="dxa"/>
            <w:vAlign w:val="center"/>
          </w:tcPr>
          <w:p w14:paraId="2B006EA5"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47</w:t>
            </w:r>
          </w:p>
        </w:tc>
      </w:tr>
      <w:tr w:rsidR="00C60C82" w:rsidRPr="008C1E5F" w14:paraId="482D68F7"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2748C3A" w14:textId="77777777" w:rsidR="00C60C82" w:rsidRPr="008C1E5F" w:rsidRDefault="00C60C82">
            <w:pPr>
              <w:pStyle w:val="TableText"/>
              <w:rPr>
                <w:rFonts w:ascii="Franklin Gothic Book" w:hAnsi="Franklin Gothic Book"/>
                <w:spacing w:val="-4"/>
              </w:rPr>
            </w:pPr>
            <w:r w:rsidRPr="008C1E5F">
              <w:rPr>
                <w:rFonts w:ascii="Franklin Gothic Book" w:hAnsi="Franklin Gothic Book"/>
                <w:spacing w:val="-4"/>
              </w:rPr>
              <w:t>ELs and former ELs</w:t>
            </w:r>
          </w:p>
        </w:tc>
        <w:tc>
          <w:tcPr>
            <w:tcW w:w="1235" w:type="dxa"/>
            <w:vAlign w:val="center"/>
          </w:tcPr>
          <w:p w14:paraId="3C345048"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1,012</w:t>
            </w:r>
          </w:p>
        </w:tc>
        <w:tc>
          <w:tcPr>
            <w:tcW w:w="1310" w:type="dxa"/>
            <w:vAlign w:val="center"/>
          </w:tcPr>
          <w:p w14:paraId="3DF8B160"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44</w:t>
            </w:r>
          </w:p>
        </w:tc>
        <w:tc>
          <w:tcPr>
            <w:tcW w:w="1310" w:type="dxa"/>
            <w:vAlign w:val="center"/>
          </w:tcPr>
          <w:p w14:paraId="08B973D7"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47</w:t>
            </w:r>
          </w:p>
        </w:tc>
        <w:tc>
          <w:tcPr>
            <w:tcW w:w="1196" w:type="dxa"/>
            <w:vAlign w:val="center"/>
          </w:tcPr>
          <w:p w14:paraId="4D9DA8EA"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48</w:t>
            </w:r>
          </w:p>
        </w:tc>
        <w:tc>
          <w:tcPr>
            <w:tcW w:w="1331" w:type="dxa"/>
            <w:vAlign w:val="center"/>
          </w:tcPr>
          <w:p w14:paraId="3466007C"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50</w:t>
            </w:r>
          </w:p>
        </w:tc>
      </w:tr>
      <w:tr w:rsidR="00C60C82" w:rsidRPr="008C1E5F" w14:paraId="6D8BF619" w14:textId="77777777">
        <w:tc>
          <w:tcPr>
            <w:tcW w:w="2962" w:type="dxa"/>
          </w:tcPr>
          <w:p w14:paraId="1120B65B" w14:textId="77777777" w:rsidR="00C60C82" w:rsidRPr="008C1E5F" w:rsidRDefault="00C60C82">
            <w:pPr>
              <w:pStyle w:val="TableText"/>
              <w:rPr>
                <w:rFonts w:ascii="Franklin Gothic Book" w:hAnsi="Franklin Gothic Book"/>
              </w:rPr>
            </w:pPr>
            <w:r w:rsidRPr="008C1E5F">
              <w:rPr>
                <w:rFonts w:ascii="Franklin Gothic Book" w:hAnsi="Franklin Gothic Book"/>
              </w:rPr>
              <w:t>Students w/disabilities</w:t>
            </w:r>
          </w:p>
        </w:tc>
        <w:tc>
          <w:tcPr>
            <w:tcW w:w="1235" w:type="dxa"/>
            <w:vAlign w:val="center"/>
          </w:tcPr>
          <w:p w14:paraId="2F0086B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865</w:t>
            </w:r>
          </w:p>
        </w:tc>
        <w:tc>
          <w:tcPr>
            <w:tcW w:w="1310" w:type="dxa"/>
            <w:vAlign w:val="center"/>
          </w:tcPr>
          <w:p w14:paraId="423DFE04"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37</w:t>
            </w:r>
          </w:p>
        </w:tc>
        <w:tc>
          <w:tcPr>
            <w:tcW w:w="1310" w:type="dxa"/>
            <w:vAlign w:val="center"/>
          </w:tcPr>
          <w:p w14:paraId="5F46B4DF"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39</w:t>
            </w:r>
          </w:p>
        </w:tc>
        <w:tc>
          <w:tcPr>
            <w:tcW w:w="1196" w:type="dxa"/>
            <w:vAlign w:val="center"/>
          </w:tcPr>
          <w:p w14:paraId="3695AB8D"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40</w:t>
            </w:r>
          </w:p>
        </w:tc>
        <w:tc>
          <w:tcPr>
            <w:tcW w:w="1331" w:type="dxa"/>
            <w:vAlign w:val="center"/>
          </w:tcPr>
          <w:p w14:paraId="26E30037"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45</w:t>
            </w:r>
          </w:p>
        </w:tc>
      </w:tr>
    </w:tbl>
    <w:p w14:paraId="4E5127F5" w14:textId="77777777" w:rsidR="00C60C82" w:rsidRPr="008C1E5F" w:rsidRDefault="00C60C82" w:rsidP="00305BFA">
      <w:pPr>
        <w:pStyle w:val="TableETitles"/>
        <w:spacing w:before="240" w:after="60"/>
      </w:pPr>
      <w:bookmarkStart w:id="289" w:name="_Toc195024279"/>
      <w:r w:rsidRPr="008C1E5F">
        <w:t>Table E11. MCAS ELA Mean Student Growth Percentile by Student Group, Grade 10, 2022-2024</w:t>
      </w:r>
      <w:bookmarkEnd w:id="289"/>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C60C82" w:rsidRPr="008C1E5F" w14:paraId="76D33847" w14:textId="77777777">
        <w:trPr>
          <w:cnfStyle w:val="100000000000" w:firstRow="1" w:lastRow="0" w:firstColumn="0" w:lastColumn="0" w:oddVBand="0" w:evenVBand="0" w:oddHBand="0" w:evenHBand="0" w:firstRowFirstColumn="0" w:firstRowLastColumn="0" w:lastRowFirstColumn="0" w:lastRowLastColumn="0"/>
        </w:trPr>
        <w:tc>
          <w:tcPr>
            <w:tcW w:w="2962" w:type="dxa"/>
            <w:vAlign w:val="center"/>
          </w:tcPr>
          <w:p w14:paraId="1A76C776" w14:textId="77777777" w:rsidR="00C60C82" w:rsidRPr="008C1E5F" w:rsidRDefault="00C60C82">
            <w:pPr>
              <w:pStyle w:val="TableColHeadingLeft"/>
              <w:jc w:val="center"/>
            </w:pPr>
            <w:r w:rsidRPr="008C1E5F">
              <w:t>Group</w:t>
            </w:r>
          </w:p>
        </w:tc>
        <w:tc>
          <w:tcPr>
            <w:tcW w:w="1235" w:type="dxa"/>
            <w:vAlign w:val="center"/>
          </w:tcPr>
          <w:p w14:paraId="59CEAB18" w14:textId="77777777" w:rsidR="00C60C82" w:rsidRPr="008C1E5F" w:rsidRDefault="00C60C82">
            <w:pPr>
              <w:pStyle w:val="TableColHeadingCenter"/>
            </w:pPr>
            <w:r w:rsidRPr="008C1E5F">
              <w:t># Included (2024)</w:t>
            </w:r>
          </w:p>
        </w:tc>
        <w:tc>
          <w:tcPr>
            <w:tcW w:w="1310" w:type="dxa"/>
            <w:vAlign w:val="center"/>
          </w:tcPr>
          <w:p w14:paraId="68869E85" w14:textId="77777777" w:rsidR="00C60C82" w:rsidRPr="008C1E5F" w:rsidRDefault="00C60C82">
            <w:pPr>
              <w:pStyle w:val="TableColHeadingCenter"/>
            </w:pPr>
            <w:r w:rsidRPr="008C1E5F">
              <w:t>2022</w:t>
            </w:r>
          </w:p>
        </w:tc>
        <w:tc>
          <w:tcPr>
            <w:tcW w:w="1310" w:type="dxa"/>
            <w:vAlign w:val="center"/>
          </w:tcPr>
          <w:p w14:paraId="0F7C3640" w14:textId="77777777" w:rsidR="00C60C82" w:rsidRPr="008C1E5F" w:rsidRDefault="00C60C82">
            <w:pPr>
              <w:pStyle w:val="TableColHeadingCenter"/>
            </w:pPr>
            <w:r w:rsidRPr="008C1E5F">
              <w:t>2023</w:t>
            </w:r>
          </w:p>
        </w:tc>
        <w:tc>
          <w:tcPr>
            <w:tcW w:w="1196" w:type="dxa"/>
            <w:vAlign w:val="center"/>
          </w:tcPr>
          <w:p w14:paraId="2B39F83D" w14:textId="77777777" w:rsidR="00C60C82" w:rsidRPr="008C1E5F" w:rsidRDefault="00C60C82">
            <w:pPr>
              <w:pStyle w:val="TableColHeadingCenter"/>
            </w:pPr>
            <w:r w:rsidRPr="008C1E5F">
              <w:t>2024</w:t>
            </w:r>
          </w:p>
        </w:tc>
        <w:tc>
          <w:tcPr>
            <w:tcW w:w="1331" w:type="dxa"/>
            <w:vAlign w:val="center"/>
          </w:tcPr>
          <w:p w14:paraId="69F4FE78" w14:textId="77777777" w:rsidR="00C60C82" w:rsidRPr="008C1E5F" w:rsidRDefault="00C60C82">
            <w:pPr>
              <w:pStyle w:val="TableColHeadingCenter"/>
            </w:pPr>
            <w:r w:rsidRPr="008C1E5F">
              <w:t>State (2024)</w:t>
            </w:r>
          </w:p>
        </w:tc>
      </w:tr>
      <w:tr w:rsidR="00C60C82" w:rsidRPr="008C1E5F" w14:paraId="6ECAA137"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022F135" w14:textId="77777777" w:rsidR="00C60C82" w:rsidRPr="008C1E5F" w:rsidRDefault="00C60C82" w:rsidP="00B70B91">
            <w:pPr>
              <w:pStyle w:val="TableText"/>
            </w:pPr>
            <w:r w:rsidRPr="008C1E5F">
              <w:t>All students</w:t>
            </w:r>
          </w:p>
        </w:tc>
        <w:tc>
          <w:tcPr>
            <w:tcW w:w="1235" w:type="dxa"/>
            <w:vAlign w:val="center"/>
          </w:tcPr>
          <w:p w14:paraId="778C4A01"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536</w:t>
            </w:r>
          </w:p>
        </w:tc>
        <w:tc>
          <w:tcPr>
            <w:tcW w:w="1310" w:type="dxa"/>
            <w:vAlign w:val="center"/>
          </w:tcPr>
          <w:p w14:paraId="5BFFFAB4"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41</w:t>
            </w:r>
          </w:p>
        </w:tc>
        <w:tc>
          <w:tcPr>
            <w:tcW w:w="1310" w:type="dxa"/>
            <w:vAlign w:val="center"/>
          </w:tcPr>
          <w:p w14:paraId="0641AC6D"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45</w:t>
            </w:r>
          </w:p>
        </w:tc>
        <w:tc>
          <w:tcPr>
            <w:tcW w:w="1196" w:type="dxa"/>
            <w:vAlign w:val="center"/>
          </w:tcPr>
          <w:p w14:paraId="20808DB1"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45</w:t>
            </w:r>
          </w:p>
        </w:tc>
        <w:tc>
          <w:tcPr>
            <w:tcW w:w="1331" w:type="dxa"/>
            <w:vAlign w:val="center"/>
          </w:tcPr>
          <w:p w14:paraId="7EC88CB3"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50</w:t>
            </w:r>
          </w:p>
        </w:tc>
      </w:tr>
      <w:tr w:rsidR="00C60C82" w:rsidRPr="008C1E5F" w14:paraId="07B78BE8" w14:textId="77777777">
        <w:tc>
          <w:tcPr>
            <w:tcW w:w="2962" w:type="dxa"/>
          </w:tcPr>
          <w:p w14:paraId="6E97B449" w14:textId="77777777" w:rsidR="00C60C82" w:rsidRPr="008C1E5F" w:rsidRDefault="00C60C82" w:rsidP="00B70B91">
            <w:pPr>
              <w:pStyle w:val="TableText"/>
            </w:pPr>
            <w:r w:rsidRPr="008C1E5F">
              <w:t>African American/Black</w:t>
            </w:r>
          </w:p>
        </w:tc>
        <w:tc>
          <w:tcPr>
            <w:tcW w:w="1235" w:type="dxa"/>
            <w:vAlign w:val="center"/>
          </w:tcPr>
          <w:p w14:paraId="4CEC57B8"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51</w:t>
            </w:r>
          </w:p>
        </w:tc>
        <w:tc>
          <w:tcPr>
            <w:tcW w:w="1310" w:type="dxa"/>
            <w:vAlign w:val="center"/>
          </w:tcPr>
          <w:p w14:paraId="21EE09C8"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38</w:t>
            </w:r>
          </w:p>
        </w:tc>
        <w:tc>
          <w:tcPr>
            <w:tcW w:w="1310" w:type="dxa"/>
            <w:vAlign w:val="center"/>
          </w:tcPr>
          <w:p w14:paraId="43FA12A0"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47</w:t>
            </w:r>
          </w:p>
        </w:tc>
        <w:tc>
          <w:tcPr>
            <w:tcW w:w="1196" w:type="dxa"/>
            <w:vAlign w:val="center"/>
          </w:tcPr>
          <w:p w14:paraId="6BA95D36"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45</w:t>
            </w:r>
          </w:p>
        </w:tc>
        <w:tc>
          <w:tcPr>
            <w:tcW w:w="1331" w:type="dxa"/>
            <w:vAlign w:val="center"/>
          </w:tcPr>
          <w:p w14:paraId="5B69DFB2"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48</w:t>
            </w:r>
          </w:p>
        </w:tc>
      </w:tr>
      <w:tr w:rsidR="00C60C82" w:rsidRPr="008C1E5F" w14:paraId="6AE2E186"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77EE766" w14:textId="77777777" w:rsidR="00C60C82" w:rsidRPr="008C1E5F" w:rsidRDefault="00C60C82" w:rsidP="00B70B91">
            <w:pPr>
              <w:pStyle w:val="TableText"/>
            </w:pPr>
            <w:r w:rsidRPr="008C1E5F">
              <w:t>Asian</w:t>
            </w:r>
          </w:p>
        </w:tc>
        <w:tc>
          <w:tcPr>
            <w:tcW w:w="1235" w:type="dxa"/>
            <w:vAlign w:val="center"/>
          </w:tcPr>
          <w:p w14:paraId="4A7FFCA9"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22</w:t>
            </w:r>
          </w:p>
        </w:tc>
        <w:tc>
          <w:tcPr>
            <w:tcW w:w="1310" w:type="dxa"/>
            <w:vAlign w:val="center"/>
          </w:tcPr>
          <w:p w14:paraId="2B0CB99C"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36</w:t>
            </w:r>
          </w:p>
        </w:tc>
        <w:tc>
          <w:tcPr>
            <w:tcW w:w="1310" w:type="dxa"/>
            <w:vAlign w:val="center"/>
          </w:tcPr>
          <w:p w14:paraId="223963D3"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196" w:type="dxa"/>
            <w:vAlign w:val="center"/>
          </w:tcPr>
          <w:p w14:paraId="0EB75A71"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58</w:t>
            </w:r>
          </w:p>
        </w:tc>
        <w:tc>
          <w:tcPr>
            <w:tcW w:w="1331" w:type="dxa"/>
            <w:vAlign w:val="center"/>
          </w:tcPr>
          <w:p w14:paraId="2B154ACA"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55</w:t>
            </w:r>
          </w:p>
        </w:tc>
      </w:tr>
      <w:tr w:rsidR="00C60C82" w:rsidRPr="008C1E5F" w14:paraId="2CA732BB" w14:textId="77777777">
        <w:tc>
          <w:tcPr>
            <w:tcW w:w="2962" w:type="dxa"/>
          </w:tcPr>
          <w:p w14:paraId="1CF2D016" w14:textId="77777777" w:rsidR="00C60C82" w:rsidRPr="008C1E5F" w:rsidRDefault="00C60C82" w:rsidP="00B70B91">
            <w:pPr>
              <w:pStyle w:val="TableText"/>
            </w:pPr>
            <w:r w:rsidRPr="008C1E5F">
              <w:t>Hispanic/Latino</w:t>
            </w:r>
          </w:p>
        </w:tc>
        <w:tc>
          <w:tcPr>
            <w:tcW w:w="1235" w:type="dxa"/>
            <w:vAlign w:val="center"/>
          </w:tcPr>
          <w:p w14:paraId="2A259FF4"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168</w:t>
            </w:r>
          </w:p>
        </w:tc>
        <w:tc>
          <w:tcPr>
            <w:tcW w:w="1310" w:type="dxa"/>
            <w:vAlign w:val="center"/>
          </w:tcPr>
          <w:p w14:paraId="007623D1"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40</w:t>
            </w:r>
          </w:p>
        </w:tc>
        <w:tc>
          <w:tcPr>
            <w:tcW w:w="1310" w:type="dxa"/>
            <w:vAlign w:val="center"/>
          </w:tcPr>
          <w:p w14:paraId="4F48CA0A"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44</w:t>
            </w:r>
          </w:p>
        </w:tc>
        <w:tc>
          <w:tcPr>
            <w:tcW w:w="1196" w:type="dxa"/>
            <w:vAlign w:val="center"/>
          </w:tcPr>
          <w:p w14:paraId="367BB58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44</w:t>
            </w:r>
          </w:p>
        </w:tc>
        <w:tc>
          <w:tcPr>
            <w:tcW w:w="1331" w:type="dxa"/>
            <w:vAlign w:val="center"/>
          </w:tcPr>
          <w:p w14:paraId="42F0D84F"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47</w:t>
            </w:r>
          </w:p>
        </w:tc>
      </w:tr>
      <w:tr w:rsidR="00C60C82" w:rsidRPr="008C1E5F" w14:paraId="46C35E29"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551F638" w14:textId="77777777" w:rsidR="00C60C82" w:rsidRPr="008C1E5F" w:rsidRDefault="00C60C82" w:rsidP="00B70B91">
            <w:pPr>
              <w:pStyle w:val="TableText"/>
            </w:pPr>
            <w:r w:rsidRPr="008C1E5F">
              <w:t>Multi-Race, non-Hispanic/Latino</w:t>
            </w:r>
          </w:p>
        </w:tc>
        <w:tc>
          <w:tcPr>
            <w:tcW w:w="1235" w:type="dxa"/>
            <w:vAlign w:val="center"/>
          </w:tcPr>
          <w:p w14:paraId="545F845B"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52</w:t>
            </w:r>
          </w:p>
        </w:tc>
        <w:tc>
          <w:tcPr>
            <w:tcW w:w="1310" w:type="dxa"/>
            <w:vAlign w:val="center"/>
          </w:tcPr>
          <w:p w14:paraId="6F6571D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43</w:t>
            </w:r>
          </w:p>
        </w:tc>
        <w:tc>
          <w:tcPr>
            <w:tcW w:w="1310" w:type="dxa"/>
            <w:vAlign w:val="center"/>
          </w:tcPr>
          <w:p w14:paraId="21CE578C"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48</w:t>
            </w:r>
          </w:p>
        </w:tc>
        <w:tc>
          <w:tcPr>
            <w:tcW w:w="1196" w:type="dxa"/>
            <w:vAlign w:val="center"/>
          </w:tcPr>
          <w:p w14:paraId="0401601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47</w:t>
            </w:r>
          </w:p>
        </w:tc>
        <w:tc>
          <w:tcPr>
            <w:tcW w:w="1331" w:type="dxa"/>
            <w:vAlign w:val="center"/>
          </w:tcPr>
          <w:p w14:paraId="43D11299"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50</w:t>
            </w:r>
          </w:p>
        </w:tc>
      </w:tr>
      <w:tr w:rsidR="00C60C82" w:rsidRPr="008C1E5F" w14:paraId="487F0431" w14:textId="77777777">
        <w:tc>
          <w:tcPr>
            <w:tcW w:w="2962" w:type="dxa"/>
          </w:tcPr>
          <w:p w14:paraId="500017EC" w14:textId="77777777" w:rsidR="00C60C82" w:rsidRPr="008C1E5F" w:rsidRDefault="00C60C82" w:rsidP="00B70B91">
            <w:pPr>
              <w:pStyle w:val="TableText"/>
            </w:pPr>
            <w:r w:rsidRPr="008C1E5F">
              <w:t>Native American</w:t>
            </w:r>
          </w:p>
        </w:tc>
        <w:tc>
          <w:tcPr>
            <w:tcW w:w="1235" w:type="dxa"/>
            <w:vAlign w:val="center"/>
          </w:tcPr>
          <w:p w14:paraId="2EA28816"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1</w:t>
            </w:r>
          </w:p>
        </w:tc>
        <w:tc>
          <w:tcPr>
            <w:tcW w:w="1310" w:type="dxa"/>
            <w:vAlign w:val="center"/>
          </w:tcPr>
          <w:p w14:paraId="2C4B752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310" w:type="dxa"/>
            <w:vAlign w:val="center"/>
          </w:tcPr>
          <w:p w14:paraId="65DB4099"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196" w:type="dxa"/>
            <w:vAlign w:val="center"/>
          </w:tcPr>
          <w:p w14:paraId="274A1416"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331" w:type="dxa"/>
            <w:vAlign w:val="center"/>
          </w:tcPr>
          <w:p w14:paraId="5FF1560C"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51</w:t>
            </w:r>
          </w:p>
        </w:tc>
      </w:tr>
      <w:tr w:rsidR="00C60C82" w:rsidRPr="008C1E5F" w14:paraId="6C6A10C1"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BD0B2FA" w14:textId="77777777" w:rsidR="00C60C82" w:rsidRPr="008C1E5F" w:rsidRDefault="00C60C82" w:rsidP="00B70B91">
            <w:pPr>
              <w:pStyle w:val="TableText"/>
              <w:rPr>
                <w:spacing w:val="-4"/>
              </w:rPr>
            </w:pPr>
            <w:r w:rsidRPr="008C1E5F">
              <w:rPr>
                <w:spacing w:val="-4"/>
              </w:rPr>
              <w:t>Native Hawaiian, Pacific Islander</w:t>
            </w:r>
          </w:p>
        </w:tc>
        <w:tc>
          <w:tcPr>
            <w:tcW w:w="1235" w:type="dxa"/>
            <w:vAlign w:val="center"/>
          </w:tcPr>
          <w:p w14:paraId="206EFF3B"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310" w:type="dxa"/>
            <w:vAlign w:val="center"/>
          </w:tcPr>
          <w:p w14:paraId="5D424F2D"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310" w:type="dxa"/>
            <w:vAlign w:val="center"/>
          </w:tcPr>
          <w:p w14:paraId="53E45BE5"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196" w:type="dxa"/>
            <w:vAlign w:val="center"/>
          </w:tcPr>
          <w:p w14:paraId="7AA64544"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331" w:type="dxa"/>
            <w:vAlign w:val="center"/>
          </w:tcPr>
          <w:p w14:paraId="57BC432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49</w:t>
            </w:r>
          </w:p>
        </w:tc>
      </w:tr>
      <w:tr w:rsidR="00C60C82" w:rsidRPr="008C1E5F" w14:paraId="23ABBFB6" w14:textId="77777777">
        <w:tc>
          <w:tcPr>
            <w:tcW w:w="2962" w:type="dxa"/>
          </w:tcPr>
          <w:p w14:paraId="3C119C2C" w14:textId="77777777" w:rsidR="00C60C82" w:rsidRPr="008C1E5F" w:rsidRDefault="00C60C82" w:rsidP="00B70B91">
            <w:pPr>
              <w:pStyle w:val="TableText"/>
            </w:pPr>
            <w:r w:rsidRPr="008C1E5F">
              <w:t>White</w:t>
            </w:r>
          </w:p>
        </w:tc>
        <w:tc>
          <w:tcPr>
            <w:tcW w:w="1235" w:type="dxa"/>
            <w:vAlign w:val="center"/>
          </w:tcPr>
          <w:p w14:paraId="0AA118BB"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242</w:t>
            </w:r>
          </w:p>
        </w:tc>
        <w:tc>
          <w:tcPr>
            <w:tcW w:w="1310" w:type="dxa"/>
            <w:vAlign w:val="center"/>
          </w:tcPr>
          <w:p w14:paraId="613E821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42</w:t>
            </w:r>
          </w:p>
        </w:tc>
        <w:tc>
          <w:tcPr>
            <w:tcW w:w="1310" w:type="dxa"/>
            <w:vAlign w:val="center"/>
          </w:tcPr>
          <w:p w14:paraId="36129DFA"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44</w:t>
            </w:r>
          </w:p>
        </w:tc>
        <w:tc>
          <w:tcPr>
            <w:tcW w:w="1196" w:type="dxa"/>
            <w:vAlign w:val="center"/>
          </w:tcPr>
          <w:p w14:paraId="03435AF0"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44</w:t>
            </w:r>
          </w:p>
        </w:tc>
        <w:tc>
          <w:tcPr>
            <w:tcW w:w="1331" w:type="dxa"/>
            <w:vAlign w:val="center"/>
          </w:tcPr>
          <w:p w14:paraId="4A0457D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51</w:t>
            </w:r>
          </w:p>
        </w:tc>
      </w:tr>
      <w:tr w:rsidR="00C60C82" w:rsidRPr="008C1E5F" w14:paraId="78BB77B1"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EE66E5B" w14:textId="77777777" w:rsidR="00C60C82" w:rsidRPr="008C1E5F" w:rsidRDefault="00C60C82" w:rsidP="00B70B91">
            <w:pPr>
              <w:pStyle w:val="TableText"/>
            </w:pPr>
            <w:r w:rsidRPr="008C1E5F">
              <w:t>High needs</w:t>
            </w:r>
          </w:p>
        </w:tc>
        <w:tc>
          <w:tcPr>
            <w:tcW w:w="1235" w:type="dxa"/>
            <w:vAlign w:val="center"/>
          </w:tcPr>
          <w:p w14:paraId="3924463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444</w:t>
            </w:r>
          </w:p>
        </w:tc>
        <w:tc>
          <w:tcPr>
            <w:tcW w:w="1310" w:type="dxa"/>
            <w:vAlign w:val="center"/>
          </w:tcPr>
          <w:p w14:paraId="3FA7804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41</w:t>
            </w:r>
          </w:p>
        </w:tc>
        <w:tc>
          <w:tcPr>
            <w:tcW w:w="1310" w:type="dxa"/>
            <w:vAlign w:val="center"/>
          </w:tcPr>
          <w:p w14:paraId="17F20AA1"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44</w:t>
            </w:r>
          </w:p>
        </w:tc>
        <w:tc>
          <w:tcPr>
            <w:tcW w:w="1196" w:type="dxa"/>
            <w:vAlign w:val="center"/>
          </w:tcPr>
          <w:p w14:paraId="3B8E713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44</w:t>
            </w:r>
          </w:p>
        </w:tc>
        <w:tc>
          <w:tcPr>
            <w:tcW w:w="1331" w:type="dxa"/>
            <w:vAlign w:val="center"/>
          </w:tcPr>
          <w:p w14:paraId="629B3E8C"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47</w:t>
            </w:r>
          </w:p>
        </w:tc>
      </w:tr>
      <w:tr w:rsidR="00C60C82" w:rsidRPr="008C1E5F" w14:paraId="57EA46FA" w14:textId="77777777">
        <w:tc>
          <w:tcPr>
            <w:tcW w:w="2962" w:type="dxa"/>
          </w:tcPr>
          <w:p w14:paraId="4AEBC4A6" w14:textId="77777777" w:rsidR="00C60C82" w:rsidRPr="008C1E5F" w:rsidRDefault="00C60C82" w:rsidP="00B70B91">
            <w:pPr>
              <w:pStyle w:val="TableText"/>
            </w:pPr>
            <w:r w:rsidRPr="008C1E5F">
              <w:t>Low income</w:t>
            </w:r>
          </w:p>
        </w:tc>
        <w:tc>
          <w:tcPr>
            <w:tcW w:w="1235" w:type="dxa"/>
            <w:vAlign w:val="center"/>
          </w:tcPr>
          <w:p w14:paraId="51E3FE2D"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415</w:t>
            </w:r>
          </w:p>
        </w:tc>
        <w:tc>
          <w:tcPr>
            <w:tcW w:w="1310" w:type="dxa"/>
            <w:vAlign w:val="center"/>
          </w:tcPr>
          <w:p w14:paraId="329AF770"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41</w:t>
            </w:r>
          </w:p>
        </w:tc>
        <w:tc>
          <w:tcPr>
            <w:tcW w:w="1310" w:type="dxa"/>
            <w:vAlign w:val="center"/>
          </w:tcPr>
          <w:p w14:paraId="7E135D86"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44</w:t>
            </w:r>
          </w:p>
        </w:tc>
        <w:tc>
          <w:tcPr>
            <w:tcW w:w="1196" w:type="dxa"/>
            <w:vAlign w:val="center"/>
          </w:tcPr>
          <w:p w14:paraId="47F7D5B7"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45</w:t>
            </w:r>
          </w:p>
        </w:tc>
        <w:tc>
          <w:tcPr>
            <w:tcW w:w="1331" w:type="dxa"/>
            <w:vAlign w:val="center"/>
          </w:tcPr>
          <w:p w14:paraId="09CEA706"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47</w:t>
            </w:r>
          </w:p>
        </w:tc>
      </w:tr>
      <w:tr w:rsidR="00C60C82" w:rsidRPr="008C1E5F" w14:paraId="0ACA6B97"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1B1CEB1" w14:textId="77777777" w:rsidR="00C60C82" w:rsidRPr="008C1E5F" w:rsidRDefault="00C60C82" w:rsidP="00B70B91">
            <w:pPr>
              <w:pStyle w:val="TableText"/>
              <w:rPr>
                <w:spacing w:val="-4"/>
              </w:rPr>
            </w:pPr>
            <w:r w:rsidRPr="008C1E5F">
              <w:rPr>
                <w:spacing w:val="-4"/>
              </w:rPr>
              <w:t>ELs and former ELs</w:t>
            </w:r>
          </w:p>
        </w:tc>
        <w:tc>
          <w:tcPr>
            <w:tcW w:w="1235" w:type="dxa"/>
            <w:vAlign w:val="center"/>
          </w:tcPr>
          <w:p w14:paraId="2D534F64"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115</w:t>
            </w:r>
          </w:p>
        </w:tc>
        <w:tc>
          <w:tcPr>
            <w:tcW w:w="1310" w:type="dxa"/>
            <w:vAlign w:val="center"/>
          </w:tcPr>
          <w:p w14:paraId="7019892A"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40</w:t>
            </w:r>
          </w:p>
        </w:tc>
        <w:tc>
          <w:tcPr>
            <w:tcW w:w="1310" w:type="dxa"/>
            <w:vAlign w:val="center"/>
          </w:tcPr>
          <w:p w14:paraId="1EB0084C"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37</w:t>
            </w:r>
          </w:p>
        </w:tc>
        <w:tc>
          <w:tcPr>
            <w:tcW w:w="1196" w:type="dxa"/>
            <w:vAlign w:val="center"/>
          </w:tcPr>
          <w:p w14:paraId="623AFEC9"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44</w:t>
            </w:r>
          </w:p>
        </w:tc>
        <w:tc>
          <w:tcPr>
            <w:tcW w:w="1331" w:type="dxa"/>
            <w:vAlign w:val="center"/>
          </w:tcPr>
          <w:p w14:paraId="0C4D412F"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48</w:t>
            </w:r>
          </w:p>
        </w:tc>
      </w:tr>
      <w:tr w:rsidR="00C60C82" w:rsidRPr="008C1E5F" w14:paraId="3E43CAD1" w14:textId="77777777">
        <w:tc>
          <w:tcPr>
            <w:tcW w:w="2962" w:type="dxa"/>
          </w:tcPr>
          <w:p w14:paraId="128E2639" w14:textId="77777777" w:rsidR="00C60C82" w:rsidRPr="008C1E5F" w:rsidRDefault="00C60C82" w:rsidP="00B70B91">
            <w:pPr>
              <w:pStyle w:val="TableText"/>
            </w:pPr>
            <w:r w:rsidRPr="008C1E5F">
              <w:t>Students w/disabilities</w:t>
            </w:r>
          </w:p>
        </w:tc>
        <w:tc>
          <w:tcPr>
            <w:tcW w:w="1235" w:type="dxa"/>
            <w:vAlign w:val="center"/>
          </w:tcPr>
          <w:p w14:paraId="725D0C2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123</w:t>
            </w:r>
          </w:p>
        </w:tc>
        <w:tc>
          <w:tcPr>
            <w:tcW w:w="1310" w:type="dxa"/>
            <w:vAlign w:val="center"/>
          </w:tcPr>
          <w:p w14:paraId="76A938B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33</w:t>
            </w:r>
          </w:p>
        </w:tc>
        <w:tc>
          <w:tcPr>
            <w:tcW w:w="1310" w:type="dxa"/>
            <w:vAlign w:val="center"/>
          </w:tcPr>
          <w:p w14:paraId="54F2D0ED"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36</w:t>
            </w:r>
          </w:p>
        </w:tc>
        <w:tc>
          <w:tcPr>
            <w:tcW w:w="1196" w:type="dxa"/>
            <w:vAlign w:val="center"/>
          </w:tcPr>
          <w:p w14:paraId="0245F057"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40</w:t>
            </w:r>
          </w:p>
        </w:tc>
        <w:tc>
          <w:tcPr>
            <w:tcW w:w="1331" w:type="dxa"/>
            <w:vAlign w:val="center"/>
          </w:tcPr>
          <w:p w14:paraId="5021DDB8"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44</w:t>
            </w:r>
          </w:p>
        </w:tc>
      </w:tr>
    </w:tbl>
    <w:p w14:paraId="49C87EC7" w14:textId="77777777" w:rsidR="00C60C82" w:rsidRPr="008C1E5F" w:rsidRDefault="00C60C82">
      <w:pPr>
        <w:pStyle w:val="TableNote"/>
        <w:spacing w:before="0" w:line="240" w:lineRule="auto"/>
        <w:rPr>
          <w:rFonts w:ascii="Franklin Gothic Book" w:hAnsi="Franklin Gothic Book"/>
        </w:rPr>
      </w:pPr>
    </w:p>
    <w:p w14:paraId="2BB483BE" w14:textId="77777777" w:rsidR="00C60C82" w:rsidRPr="008C1E5F" w:rsidRDefault="00C60C82">
      <w:pPr>
        <w:spacing w:line="240" w:lineRule="auto"/>
        <w:rPr>
          <w:rFonts w:ascii="Franklin Gothic Book" w:hAnsi="Franklin Gothic Book"/>
          <w:sz w:val="20"/>
          <w:szCs w:val="20"/>
        </w:rPr>
      </w:pPr>
    </w:p>
    <w:p w14:paraId="472ED5A2" w14:textId="77777777" w:rsidR="00C60C82" w:rsidRPr="008C1E5F" w:rsidRDefault="00C60C82">
      <w:pPr>
        <w:spacing w:line="240" w:lineRule="auto"/>
        <w:rPr>
          <w:rFonts w:ascii="Franklin Gothic Book" w:hAnsi="Franklin Gothic Book"/>
          <w:sz w:val="20"/>
          <w:szCs w:val="20"/>
        </w:rPr>
      </w:pPr>
    </w:p>
    <w:p w14:paraId="6AC677DF" w14:textId="77777777" w:rsidR="00C60C82" w:rsidRPr="008C1E5F" w:rsidRDefault="00C60C82">
      <w:pPr>
        <w:spacing w:after="160" w:line="259" w:lineRule="auto"/>
        <w:rPr>
          <w:rFonts w:ascii="Franklin Gothic Book" w:hAnsi="Franklin Gothic Book"/>
        </w:rPr>
      </w:pPr>
      <w:r w:rsidRPr="008C1E5F">
        <w:rPr>
          <w:rFonts w:ascii="Franklin Gothic Book" w:hAnsi="Franklin Gothic Book"/>
        </w:rPr>
        <w:br w:type="page"/>
      </w:r>
    </w:p>
    <w:p w14:paraId="0376DE40" w14:textId="77777777" w:rsidR="00C60C82" w:rsidRPr="008C1E5F" w:rsidRDefault="00C60C82" w:rsidP="00305BFA">
      <w:pPr>
        <w:pStyle w:val="TableETitles"/>
        <w:spacing w:before="240" w:after="60"/>
      </w:pPr>
      <w:bookmarkStart w:id="290" w:name="_Toc195024280"/>
      <w:r w:rsidRPr="008C1E5F">
        <w:lastRenderedPageBreak/>
        <w:t>Table E12. MCAS Mathematics Mean Student Growth Percentile by Student Group, Grades 3-8, 2022-2024</w:t>
      </w:r>
      <w:bookmarkEnd w:id="290"/>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C60C82" w:rsidRPr="008C1E5F" w14:paraId="5481F8FF" w14:textId="77777777">
        <w:trPr>
          <w:cnfStyle w:val="100000000000" w:firstRow="1" w:lastRow="0" w:firstColumn="0" w:lastColumn="0" w:oddVBand="0" w:evenVBand="0" w:oddHBand="0" w:evenHBand="0" w:firstRowFirstColumn="0" w:firstRowLastColumn="0" w:lastRowFirstColumn="0" w:lastRowLastColumn="0"/>
        </w:trPr>
        <w:tc>
          <w:tcPr>
            <w:tcW w:w="2962" w:type="dxa"/>
            <w:vAlign w:val="center"/>
          </w:tcPr>
          <w:p w14:paraId="0238E15F" w14:textId="77777777" w:rsidR="00C60C82" w:rsidRPr="008C1E5F" w:rsidRDefault="00C60C82">
            <w:pPr>
              <w:pStyle w:val="TableColHeadingLeft"/>
              <w:jc w:val="center"/>
            </w:pPr>
            <w:r w:rsidRPr="008C1E5F">
              <w:t>Group</w:t>
            </w:r>
          </w:p>
        </w:tc>
        <w:tc>
          <w:tcPr>
            <w:tcW w:w="1235" w:type="dxa"/>
            <w:vAlign w:val="center"/>
          </w:tcPr>
          <w:p w14:paraId="5B2A9BC1" w14:textId="77777777" w:rsidR="00C60C82" w:rsidRPr="008C1E5F" w:rsidRDefault="00C60C82">
            <w:pPr>
              <w:pStyle w:val="TableColHeadingCenter"/>
            </w:pPr>
            <w:r w:rsidRPr="008C1E5F">
              <w:t># Included (2024)</w:t>
            </w:r>
          </w:p>
        </w:tc>
        <w:tc>
          <w:tcPr>
            <w:tcW w:w="1310" w:type="dxa"/>
            <w:vAlign w:val="center"/>
          </w:tcPr>
          <w:p w14:paraId="0CA61555" w14:textId="77777777" w:rsidR="00C60C82" w:rsidRPr="008C1E5F" w:rsidRDefault="00C60C82">
            <w:pPr>
              <w:pStyle w:val="TableColHeadingCenter"/>
            </w:pPr>
            <w:r w:rsidRPr="008C1E5F">
              <w:t>2022</w:t>
            </w:r>
          </w:p>
        </w:tc>
        <w:tc>
          <w:tcPr>
            <w:tcW w:w="1310" w:type="dxa"/>
            <w:vAlign w:val="center"/>
          </w:tcPr>
          <w:p w14:paraId="5A8D1CAB" w14:textId="77777777" w:rsidR="00C60C82" w:rsidRPr="008C1E5F" w:rsidRDefault="00C60C82">
            <w:pPr>
              <w:pStyle w:val="TableColHeadingCenter"/>
            </w:pPr>
            <w:r w:rsidRPr="008C1E5F">
              <w:t>2023</w:t>
            </w:r>
          </w:p>
        </w:tc>
        <w:tc>
          <w:tcPr>
            <w:tcW w:w="1196" w:type="dxa"/>
            <w:vAlign w:val="center"/>
          </w:tcPr>
          <w:p w14:paraId="7291AE33" w14:textId="77777777" w:rsidR="00C60C82" w:rsidRPr="008C1E5F" w:rsidRDefault="00C60C82">
            <w:pPr>
              <w:pStyle w:val="TableColHeadingCenter"/>
            </w:pPr>
            <w:r w:rsidRPr="008C1E5F">
              <w:t>2024</w:t>
            </w:r>
          </w:p>
        </w:tc>
        <w:tc>
          <w:tcPr>
            <w:tcW w:w="1331" w:type="dxa"/>
            <w:vAlign w:val="center"/>
          </w:tcPr>
          <w:p w14:paraId="59D4D1D0" w14:textId="77777777" w:rsidR="00C60C82" w:rsidRPr="008C1E5F" w:rsidRDefault="00C60C82">
            <w:pPr>
              <w:pStyle w:val="TableColHeadingCenter"/>
            </w:pPr>
            <w:r w:rsidRPr="008C1E5F">
              <w:t>State (2024)</w:t>
            </w:r>
          </w:p>
        </w:tc>
      </w:tr>
      <w:tr w:rsidR="00C60C82" w:rsidRPr="008C1E5F" w14:paraId="624A4A16"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93A1FB6" w14:textId="77777777" w:rsidR="00C60C82" w:rsidRPr="008C1E5F" w:rsidRDefault="00C60C82">
            <w:pPr>
              <w:pStyle w:val="TableText"/>
              <w:rPr>
                <w:rFonts w:ascii="Franklin Gothic Book" w:hAnsi="Franklin Gothic Book"/>
              </w:rPr>
            </w:pPr>
            <w:r w:rsidRPr="008C1E5F">
              <w:rPr>
                <w:rFonts w:ascii="Franklin Gothic Book" w:hAnsi="Franklin Gothic Book"/>
              </w:rPr>
              <w:t>All students</w:t>
            </w:r>
          </w:p>
        </w:tc>
        <w:tc>
          <w:tcPr>
            <w:tcW w:w="1235" w:type="dxa"/>
            <w:vAlign w:val="center"/>
          </w:tcPr>
          <w:p w14:paraId="65DF511F"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3,539</w:t>
            </w:r>
          </w:p>
        </w:tc>
        <w:tc>
          <w:tcPr>
            <w:tcW w:w="1310" w:type="dxa"/>
            <w:vAlign w:val="center"/>
          </w:tcPr>
          <w:p w14:paraId="43380175"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43</w:t>
            </w:r>
          </w:p>
        </w:tc>
        <w:tc>
          <w:tcPr>
            <w:tcW w:w="1310" w:type="dxa"/>
            <w:vAlign w:val="center"/>
          </w:tcPr>
          <w:p w14:paraId="569CAE42"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43</w:t>
            </w:r>
          </w:p>
        </w:tc>
        <w:tc>
          <w:tcPr>
            <w:tcW w:w="1196" w:type="dxa"/>
            <w:vAlign w:val="center"/>
          </w:tcPr>
          <w:p w14:paraId="53D60220"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45</w:t>
            </w:r>
          </w:p>
        </w:tc>
        <w:tc>
          <w:tcPr>
            <w:tcW w:w="1331" w:type="dxa"/>
            <w:vAlign w:val="center"/>
          </w:tcPr>
          <w:p w14:paraId="541C71E5"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50</w:t>
            </w:r>
          </w:p>
        </w:tc>
      </w:tr>
      <w:tr w:rsidR="00C60C82" w:rsidRPr="008C1E5F" w14:paraId="47130888" w14:textId="77777777">
        <w:tc>
          <w:tcPr>
            <w:tcW w:w="2962" w:type="dxa"/>
          </w:tcPr>
          <w:p w14:paraId="57091D69" w14:textId="77777777" w:rsidR="00C60C82" w:rsidRPr="008C1E5F" w:rsidRDefault="00C60C82">
            <w:pPr>
              <w:pStyle w:val="TableText"/>
              <w:rPr>
                <w:rFonts w:ascii="Franklin Gothic Book" w:hAnsi="Franklin Gothic Book"/>
              </w:rPr>
            </w:pPr>
            <w:r w:rsidRPr="008C1E5F">
              <w:rPr>
                <w:rFonts w:ascii="Franklin Gothic Book" w:hAnsi="Franklin Gothic Book"/>
              </w:rPr>
              <w:t>African American/Black</w:t>
            </w:r>
          </w:p>
        </w:tc>
        <w:tc>
          <w:tcPr>
            <w:tcW w:w="1235" w:type="dxa"/>
            <w:vAlign w:val="center"/>
          </w:tcPr>
          <w:p w14:paraId="13BA22CF"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407</w:t>
            </w:r>
          </w:p>
        </w:tc>
        <w:tc>
          <w:tcPr>
            <w:tcW w:w="1310" w:type="dxa"/>
            <w:vAlign w:val="center"/>
          </w:tcPr>
          <w:p w14:paraId="66D6149F"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44</w:t>
            </w:r>
          </w:p>
        </w:tc>
        <w:tc>
          <w:tcPr>
            <w:tcW w:w="1310" w:type="dxa"/>
            <w:vAlign w:val="center"/>
          </w:tcPr>
          <w:p w14:paraId="3DE20528"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45</w:t>
            </w:r>
          </w:p>
        </w:tc>
        <w:tc>
          <w:tcPr>
            <w:tcW w:w="1196" w:type="dxa"/>
            <w:vAlign w:val="center"/>
          </w:tcPr>
          <w:p w14:paraId="22ECB0DD"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46</w:t>
            </w:r>
          </w:p>
        </w:tc>
        <w:tc>
          <w:tcPr>
            <w:tcW w:w="1331" w:type="dxa"/>
            <w:vAlign w:val="center"/>
          </w:tcPr>
          <w:p w14:paraId="6D49E640"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49</w:t>
            </w:r>
          </w:p>
        </w:tc>
      </w:tr>
      <w:tr w:rsidR="00C60C82" w:rsidRPr="008C1E5F" w14:paraId="0F0FE3B1"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03B16CF" w14:textId="77777777" w:rsidR="00C60C82" w:rsidRPr="008C1E5F" w:rsidRDefault="00C60C82">
            <w:pPr>
              <w:pStyle w:val="TableText"/>
              <w:rPr>
                <w:rFonts w:ascii="Franklin Gothic Book" w:hAnsi="Franklin Gothic Book"/>
              </w:rPr>
            </w:pPr>
            <w:r w:rsidRPr="008C1E5F">
              <w:rPr>
                <w:rFonts w:ascii="Franklin Gothic Book" w:hAnsi="Franklin Gothic Book"/>
              </w:rPr>
              <w:t>Asian</w:t>
            </w:r>
          </w:p>
        </w:tc>
        <w:tc>
          <w:tcPr>
            <w:tcW w:w="1235" w:type="dxa"/>
            <w:vAlign w:val="center"/>
          </w:tcPr>
          <w:p w14:paraId="35E6CF07"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105</w:t>
            </w:r>
          </w:p>
        </w:tc>
        <w:tc>
          <w:tcPr>
            <w:tcW w:w="1310" w:type="dxa"/>
            <w:vAlign w:val="center"/>
          </w:tcPr>
          <w:p w14:paraId="72A1127C"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47</w:t>
            </w:r>
          </w:p>
        </w:tc>
        <w:tc>
          <w:tcPr>
            <w:tcW w:w="1310" w:type="dxa"/>
            <w:vAlign w:val="center"/>
          </w:tcPr>
          <w:p w14:paraId="284F222C"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46</w:t>
            </w:r>
          </w:p>
        </w:tc>
        <w:tc>
          <w:tcPr>
            <w:tcW w:w="1196" w:type="dxa"/>
            <w:vAlign w:val="center"/>
          </w:tcPr>
          <w:p w14:paraId="7EDEC706"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48</w:t>
            </w:r>
          </w:p>
        </w:tc>
        <w:tc>
          <w:tcPr>
            <w:tcW w:w="1331" w:type="dxa"/>
            <w:vAlign w:val="center"/>
          </w:tcPr>
          <w:p w14:paraId="4386379A"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58</w:t>
            </w:r>
          </w:p>
        </w:tc>
      </w:tr>
      <w:tr w:rsidR="00C60C82" w:rsidRPr="008C1E5F" w14:paraId="2B0B35A5" w14:textId="77777777">
        <w:tc>
          <w:tcPr>
            <w:tcW w:w="2962" w:type="dxa"/>
          </w:tcPr>
          <w:p w14:paraId="6F9EC17C" w14:textId="77777777" w:rsidR="00C60C82" w:rsidRPr="008C1E5F" w:rsidRDefault="00C60C82">
            <w:pPr>
              <w:pStyle w:val="TableText"/>
              <w:rPr>
                <w:rFonts w:ascii="Franklin Gothic Book" w:hAnsi="Franklin Gothic Book"/>
              </w:rPr>
            </w:pPr>
            <w:r w:rsidRPr="008C1E5F">
              <w:rPr>
                <w:rFonts w:ascii="Franklin Gothic Book" w:hAnsi="Franklin Gothic Book"/>
              </w:rPr>
              <w:t>Hispanic/Latino</w:t>
            </w:r>
          </w:p>
        </w:tc>
        <w:tc>
          <w:tcPr>
            <w:tcW w:w="1235" w:type="dxa"/>
            <w:vAlign w:val="center"/>
          </w:tcPr>
          <w:p w14:paraId="38719720"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1,153</w:t>
            </w:r>
          </w:p>
        </w:tc>
        <w:tc>
          <w:tcPr>
            <w:tcW w:w="1310" w:type="dxa"/>
            <w:vAlign w:val="center"/>
          </w:tcPr>
          <w:p w14:paraId="78BF81CF"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43</w:t>
            </w:r>
          </w:p>
        </w:tc>
        <w:tc>
          <w:tcPr>
            <w:tcW w:w="1310" w:type="dxa"/>
            <w:vAlign w:val="center"/>
          </w:tcPr>
          <w:p w14:paraId="65E3E493"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43</w:t>
            </w:r>
          </w:p>
        </w:tc>
        <w:tc>
          <w:tcPr>
            <w:tcW w:w="1196" w:type="dxa"/>
            <w:vAlign w:val="center"/>
          </w:tcPr>
          <w:p w14:paraId="72C4B756"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45</w:t>
            </w:r>
          </w:p>
        </w:tc>
        <w:tc>
          <w:tcPr>
            <w:tcW w:w="1331" w:type="dxa"/>
            <w:vAlign w:val="center"/>
          </w:tcPr>
          <w:p w14:paraId="7FBA5992"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48</w:t>
            </w:r>
          </w:p>
        </w:tc>
      </w:tr>
      <w:tr w:rsidR="00C60C82" w:rsidRPr="008C1E5F" w14:paraId="07301B44"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6815BB4D" w14:textId="77777777" w:rsidR="00C60C82" w:rsidRPr="008C1E5F" w:rsidRDefault="00C60C82">
            <w:pPr>
              <w:pStyle w:val="TableText"/>
              <w:rPr>
                <w:rFonts w:ascii="Franklin Gothic Book" w:hAnsi="Franklin Gothic Book"/>
              </w:rPr>
            </w:pPr>
            <w:r w:rsidRPr="008C1E5F">
              <w:rPr>
                <w:rFonts w:ascii="Franklin Gothic Book" w:hAnsi="Franklin Gothic Book"/>
              </w:rPr>
              <w:t>Multi-Race, non-Hispanic/Latino</w:t>
            </w:r>
          </w:p>
        </w:tc>
        <w:tc>
          <w:tcPr>
            <w:tcW w:w="1235" w:type="dxa"/>
            <w:vAlign w:val="center"/>
          </w:tcPr>
          <w:p w14:paraId="24BF7A4D"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342</w:t>
            </w:r>
          </w:p>
        </w:tc>
        <w:tc>
          <w:tcPr>
            <w:tcW w:w="1310" w:type="dxa"/>
            <w:vAlign w:val="center"/>
          </w:tcPr>
          <w:p w14:paraId="60C3A314"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40</w:t>
            </w:r>
          </w:p>
        </w:tc>
        <w:tc>
          <w:tcPr>
            <w:tcW w:w="1310" w:type="dxa"/>
            <w:vAlign w:val="center"/>
          </w:tcPr>
          <w:p w14:paraId="4C541E91"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42</w:t>
            </w:r>
          </w:p>
        </w:tc>
        <w:tc>
          <w:tcPr>
            <w:tcW w:w="1196" w:type="dxa"/>
            <w:vAlign w:val="center"/>
          </w:tcPr>
          <w:p w14:paraId="52257485"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42</w:t>
            </w:r>
          </w:p>
        </w:tc>
        <w:tc>
          <w:tcPr>
            <w:tcW w:w="1331" w:type="dxa"/>
            <w:vAlign w:val="center"/>
          </w:tcPr>
          <w:p w14:paraId="01F3F5FA"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50</w:t>
            </w:r>
          </w:p>
        </w:tc>
      </w:tr>
      <w:tr w:rsidR="00C60C82" w:rsidRPr="008C1E5F" w14:paraId="683EC43F" w14:textId="77777777">
        <w:tc>
          <w:tcPr>
            <w:tcW w:w="2962" w:type="dxa"/>
          </w:tcPr>
          <w:p w14:paraId="5B92AFF5" w14:textId="77777777" w:rsidR="00C60C82" w:rsidRPr="008C1E5F" w:rsidRDefault="00C60C82">
            <w:pPr>
              <w:pStyle w:val="TableText"/>
              <w:rPr>
                <w:rFonts w:ascii="Franklin Gothic Book" w:hAnsi="Franklin Gothic Book"/>
              </w:rPr>
            </w:pPr>
            <w:r w:rsidRPr="008C1E5F">
              <w:rPr>
                <w:rFonts w:ascii="Franklin Gothic Book" w:hAnsi="Franklin Gothic Book"/>
              </w:rPr>
              <w:t>Native American</w:t>
            </w:r>
          </w:p>
        </w:tc>
        <w:tc>
          <w:tcPr>
            <w:tcW w:w="1235" w:type="dxa"/>
            <w:vAlign w:val="center"/>
          </w:tcPr>
          <w:p w14:paraId="257539F0"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w:t>
            </w:r>
          </w:p>
        </w:tc>
        <w:tc>
          <w:tcPr>
            <w:tcW w:w="1310" w:type="dxa"/>
            <w:vAlign w:val="center"/>
          </w:tcPr>
          <w:p w14:paraId="1D3C84FB"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310" w:type="dxa"/>
            <w:vAlign w:val="center"/>
          </w:tcPr>
          <w:p w14:paraId="35C64E07"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196" w:type="dxa"/>
            <w:vAlign w:val="center"/>
          </w:tcPr>
          <w:p w14:paraId="13AC28E7"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331" w:type="dxa"/>
            <w:vAlign w:val="center"/>
          </w:tcPr>
          <w:p w14:paraId="4EA9EEE6"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48</w:t>
            </w:r>
          </w:p>
        </w:tc>
      </w:tr>
      <w:tr w:rsidR="00C60C82" w:rsidRPr="008C1E5F" w14:paraId="43D59EAF"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AFB84CB" w14:textId="77777777" w:rsidR="00C60C82" w:rsidRPr="008C1E5F" w:rsidRDefault="00C60C82">
            <w:pPr>
              <w:pStyle w:val="TableText"/>
              <w:rPr>
                <w:rFonts w:ascii="Franklin Gothic Book" w:hAnsi="Franklin Gothic Book"/>
                <w:spacing w:val="-4"/>
              </w:rPr>
            </w:pPr>
            <w:r w:rsidRPr="008C1E5F">
              <w:rPr>
                <w:rFonts w:ascii="Franklin Gothic Book" w:hAnsi="Franklin Gothic Book"/>
                <w:spacing w:val="-4"/>
              </w:rPr>
              <w:t>Native Hawaiian, Pacific Islander</w:t>
            </w:r>
          </w:p>
        </w:tc>
        <w:tc>
          <w:tcPr>
            <w:tcW w:w="1235" w:type="dxa"/>
            <w:vAlign w:val="center"/>
          </w:tcPr>
          <w:p w14:paraId="2E224CC5"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1</w:t>
            </w:r>
          </w:p>
        </w:tc>
        <w:tc>
          <w:tcPr>
            <w:tcW w:w="1310" w:type="dxa"/>
            <w:vAlign w:val="center"/>
          </w:tcPr>
          <w:p w14:paraId="74E7E00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310" w:type="dxa"/>
            <w:vAlign w:val="center"/>
          </w:tcPr>
          <w:p w14:paraId="7E8B65A7"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196" w:type="dxa"/>
            <w:vAlign w:val="center"/>
          </w:tcPr>
          <w:p w14:paraId="44C7BF83"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331" w:type="dxa"/>
            <w:vAlign w:val="center"/>
          </w:tcPr>
          <w:p w14:paraId="3E0AEA91"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52</w:t>
            </w:r>
          </w:p>
        </w:tc>
      </w:tr>
      <w:tr w:rsidR="00C60C82" w:rsidRPr="008C1E5F" w14:paraId="3CD69197" w14:textId="77777777">
        <w:tc>
          <w:tcPr>
            <w:tcW w:w="2962" w:type="dxa"/>
          </w:tcPr>
          <w:p w14:paraId="75356987" w14:textId="77777777" w:rsidR="00C60C82" w:rsidRPr="008C1E5F" w:rsidRDefault="00C60C82">
            <w:pPr>
              <w:pStyle w:val="TableText"/>
              <w:rPr>
                <w:rFonts w:ascii="Franklin Gothic Book" w:hAnsi="Franklin Gothic Book"/>
              </w:rPr>
            </w:pPr>
            <w:r w:rsidRPr="008C1E5F">
              <w:rPr>
                <w:rFonts w:ascii="Franklin Gothic Book" w:hAnsi="Franklin Gothic Book"/>
              </w:rPr>
              <w:t>White</w:t>
            </w:r>
          </w:p>
        </w:tc>
        <w:tc>
          <w:tcPr>
            <w:tcW w:w="1235" w:type="dxa"/>
            <w:vAlign w:val="center"/>
          </w:tcPr>
          <w:p w14:paraId="1D1E4499"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1,526</w:t>
            </w:r>
          </w:p>
        </w:tc>
        <w:tc>
          <w:tcPr>
            <w:tcW w:w="1310" w:type="dxa"/>
            <w:vAlign w:val="center"/>
          </w:tcPr>
          <w:p w14:paraId="2D3A726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42</w:t>
            </w:r>
          </w:p>
        </w:tc>
        <w:tc>
          <w:tcPr>
            <w:tcW w:w="1310" w:type="dxa"/>
            <w:vAlign w:val="center"/>
          </w:tcPr>
          <w:p w14:paraId="3644BF6D"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42</w:t>
            </w:r>
          </w:p>
        </w:tc>
        <w:tc>
          <w:tcPr>
            <w:tcW w:w="1196" w:type="dxa"/>
            <w:vAlign w:val="center"/>
          </w:tcPr>
          <w:p w14:paraId="06708DCC"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45</w:t>
            </w:r>
          </w:p>
        </w:tc>
        <w:tc>
          <w:tcPr>
            <w:tcW w:w="1331" w:type="dxa"/>
            <w:vAlign w:val="center"/>
          </w:tcPr>
          <w:p w14:paraId="26FC6C61"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50</w:t>
            </w:r>
          </w:p>
        </w:tc>
      </w:tr>
      <w:tr w:rsidR="00C60C82" w:rsidRPr="008C1E5F" w14:paraId="77E339C7"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E9C2B38" w14:textId="77777777" w:rsidR="00C60C82" w:rsidRPr="008C1E5F" w:rsidRDefault="00C60C82">
            <w:pPr>
              <w:pStyle w:val="TableText"/>
              <w:rPr>
                <w:rFonts w:ascii="Franklin Gothic Book" w:hAnsi="Franklin Gothic Book"/>
              </w:rPr>
            </w:pPr>
            <w:r w:rsidRPr="008C1E5F">
              <w:rPr>
                <w:rFonts w:ascii="Franklin Gothic Book" w:hAnsi="Franklin Gothic Book"/>
              </w:rPr>
              <w:t>High needs</w:t>
            </w:r>
          </w:p>
        </w:tc>
        <w:tc>
          <w:tcPr>
            <w:tcW w:w="1235" w:type="dxa"/>
            <w:vAlign w:val="center"/>
          </w:tcPr>
          <w:p w14:paraId="1832C343"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3,097</w:t>
            </w:r>
          </w:p>
        </w:tc>
        <w:tc>
          <w:tcPr>
            <w:tcW w:w="1310" w:type="dxa"/>
            <w:vAlign w:val="center"/>
          </w:tcPr>
          <w:p w14:paraId="6E79927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42</w:t>
            </w:r>
          </w:p>
        </w:tc>
        <w:tc>
          <w:tcPr>
            <w:tcW w:w="1310" w:type="dxa"/>
            <w:vAlign w:val="center"/>
          </w:tcPr>
          <w:p w14:paraId="48F5CB9B"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42</w:t>
            </w:r>
          </w:p>
        </w:tc>
        <w:tc>
          <w:tcPr>
            <w:tcW w:w="1196" w:type="dxa"/>
            <w:vAlign w:val="center"/>
          </w:tcPr>
          <w:p w14:paraId="1890DF70"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44</w:t>
            </w:r>
          </w:p>
        </w:tc>
        <w:tc>
          <w:tcPr>
            <w:tcW w:w="1331" w:type="dxa"/>
            <w:vAlign w:val="center"/>
          </w:tcPr>
          <w:p w14:paraId="08D89545"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48</w:t>
            </w:r>
          </w:p>
        </w:tc>
      </w:tr>
      <w:tr w:rsidR="00C60C82" w:rsidRPr="008C1E5F" w14:paraId="0B977480" w14:textId="77777777">
        <w:tc>
          <w:tcPr>
            <w:tcW w:w="2962" w:type="dxa"/>
          </w:tcPr>
          <w:p w14:paraId="632C6C98" w14:textId="77777777" w:rsidR="00C60C82" w:rsidRPr="008C1E5F" w:rsidRDefault="00C60C82">
            <w:pPr>
              <w:pStyle w:val="TableText"/>
              <w:rPr>
                <w:rFonts w:ascii="Franklin Gothic Book" w:hAnsi="Franklin Gothic Book"/>
              </w:rPr>
            </w:pPr>
            <w:r w:rsidRPr="008C1E5F">
              <w:rPr>
                <w:rFonts w:ascii="Franklin Gothic Book" w:hAnsi="Franklin Gothic Book"/>
              </w:rPr>
              <w:t>Low income</w:t>
            </w:r>
          </w:p>
        </w:tc>
        <w:tc>
          <w:tcPr>
            <w:tcW w:w="1235" w:type="dxa"/>
            <w:vAlign w:val="center"/>
          </w:tcPr>
          <w:p w14:paraId="3A4EF33D"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2,876</w:t>
            </w:r>
          </w:p>
        </w:tc>
        <w:tc>
          <w:tcPr>
            <w:tcW w:w="1310" w:type="dxa"/>
            <w:vAlign w:val="center"/>
          </w:tcPr>
          <w:p w14:paraId="01D633D8"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42</w:t>
            </w:r>
          </w:p>
        </w:tc>
        <w:tc>
          <w:tcPr>
            <w:tcW w:w="1310" w:type="dxa"/>
            <w:vAlign w:val="center"/>
          </w:tcPr>
          <w:p w14:paraId="118FA04A"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42</w:t>
            </w:r>
          </w:p>
        </w:tc>
        <w:tc>
          <w:tcPr>
            <w:tcW w:w="1196" w:type="dxa"/>
            <w:vAlign w:val="center"/>
          </w:tcPr>
          <w:p w14:paraId="4E0500EA"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44</w:t>
            </w:r>
          </w:p>
        </w:tc>
        <w:tc>
          <w:tcPr>
            <w:tcW w:w="1331" w:type="dxa"/>
            <w:vAlign w:val="center"/>
          </w:tcPr>
          <w:p w14:paraId="3100ED2C"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47</w:t>
            </w:r>
          </w:p>
        </w:tc>
      </w:tr>
      <w:tr w:rsidR="00C60C82" w:rsidRPr="008C1E5F" w14:paraId="53BCCC85"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C5CF8DD" w14:textId="77777777" w:rsidR="00C60C82" w:rsidRPr="008C1E5F" w:rsidRDefault="00C60C82">
            <w:pPr>
              <w:pStyle w:val="TableText"/>
              <w:rPr>
                <w:rFonts w:ascii="Franklin Gothic Book" w:hAnsi="Franklin Gothic Book"/>
                <w:spacing w:val="-4"/>
              </w:rPr>
            </w:pPr>
            <w:r w:rsidRPr="008C1E5F">
              <w:rPr>
                <w:rFonts w:ascii="Franklin Gothic Book" w:hAnsi="Franklin Gothic Book"/>
                <w:spacing w:val="-4"/>
              </w:rPr>
              <w:t>ELs and former ELs</w:t>
            </w:r>
          </w:p>
        </w:tc>
        <w:tc>
          <w:tcPr>
            <w:tcW w:w="1235" w:type="dxa"/>
            <w:vAlign w:val="center"/>
          </w:tcPr>
          <w:p w14:paraId="25C41020"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1,044</w:t>
            </w:r>
          </w:p>
        </w:tc>
        <w:tc>
          <w:tcPr>
            <w:tcW w:w="1310" w:type="dxa"/>
            <w:vAlign w:val="center"/>
          </w:tcPr>
          <w:p w14:paraId="6DAB6D4B"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46</w:t>
            </w:r>
          </w:p>
        </w:tc>
        <w:tc>
          <w:tcPr>
            <w:tcW w:w="1310" w:type="dxa"/>
            <w:vAlign w:val="center"/>
          </w:tcPr>
          <w:p w14:paraId="648CD5FF"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43</w:t>
            </w:r>
          </w:p>
        </w:tc>
        <w:tc>
          <w:tcPr>
            <w:tcW w:w="1196" w:type="dxa"/>
            <w:vAlign w:val="center"/>
          </w:tcPr>
          <w:p w14:paraId="09FA8C4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45</w:t>
            </w:r>
          </w:p>
        </w:tc>
        <w:tc>
          <w:tcPr>
            <w:tcW w:w="1331" w:type="dxa"/>
            <w:vAlign w:val="center"/>
          </w:tcPr>
          <w:p w14:paraId="6BE538B1"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50</w:t>
            </w:r>
          </w:p>
        </w:tc>
      </w:tr>
      <w:tr w:rsidR="00C60C82" w:rsidRPr="008C1E5F" w14:paraId="06FDBF79" w14:textId="77777777">
        <w:tc>
          <w:tcPr>
            <w:tcW w:w="2962" w:type="dxa"/>
          </w:tcPr>
          <w:p w14:paraId="0CFEEBA7" w14:textId="77777777" w:rsidR="00C60C82" w:rsidRPr="008C1E5F" w:rsidRDefault="00C60C82">
            <w:pPr>
              <w:pStyle w:val="TableText"/>
              <w:rPr>
                <w:rFonts w:ascii="Franklin Gothic Book" w:hAnsi="Franklin Gothic Book"/>
              </w:rPr>
            </w:pPr>
            <w:r w:rsidRPr="008C1E5F">
              <w:rPr>
                <w:rFonts w:ascii="Franklin Gothic Book" w:hAnsi="Franklin Gothic Book"/>
              </w:rPr>
              <w:t>Students w/disabilities</w:t>
            </w:r>
          </w:p>
        </w:tc>
        <w:tc>
          <w:tcPr>
            <w:tcW w:w="1235" w:type="dxa"/>
            <w:vAlign w:val="center"/>
          </w:tcPr>
          <w:p w14:paraId="2AA31746"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857</w:t>
            </w:r>
          </w:p>
        </w:tc>
        <w:tc>
          <w:tcPr>
            <w:tcW w:w="1310" w:type="dxa"/>
            <w:vAlign w:val="center"/>
          </w:tcPr>
          <w:p w14:paraId="4DC09559"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37</w:t>
            </w:r>
          </w:p>
        </w:tc>
        <w:tc>
          <w:tcPr>
            <w:tcW w:w="1310" w:type="dxa"/>
            <w:vAlign w:val="center"/>
          </w:tcPr>
          <w:p w14:paraId="702E44A8"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39</w:t>
            </w:r>
          </w:p>
        </w:tc>
        <w:tc>
          <w:tcPr>
            <w:tcW w:w="1196" w:type="dxa"/>
            <w:vAlign w:val="center"/>
          </w:tcPr>
          <w:p w14:paraId="3A0CCC41"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41</w:t>
            </w:r>
          </w:p>
        </w:tc>
        <w:tc>
          <w:tcPr>
            <w:tcW w:w="1331" w:type="dxa"/>
            <w:vAlign w:val="center"/>
          </w:tcPr>
          <w:p w14:paraId="1804B0C2"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46</w:t>
            </w:r>
          </w:p>
        </w:tc>
      </w:tr>
    </w:tbl>
    <w:p w14:paraId="5C581591" w14:textId="77777777" w:rsidR="00C60C82" w:rsidRPr="008C1E5F" w:rsidRDefault="00C60C82" w:rsidP="00305BFA">
      <w:pPr>
        <w:pStyle w:val="TableETitles"/>
        <w:spacing w:before="240" w:after="60"/>
      </w:pPr>
      <w:bookmarkStart w:id="291" w:name="_Toc195024281"/>
      <w:r w:rsidRPr="008C1E5F">
        <w:t>Table E13. MCAS Mathematics Mean Student Growth Percentile by Student Group, Grade 10, 2022-2024</w:t>
      </w:r>
      <w:bookmarkEnd w:id="291"/>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C60C82" w:rsidRPr="008C1E5F" w14:paraId="228F7D33" w14:textId="77777777">
        <w:trPr>
          <w:cnfStyle w:val="100000000000" w:firstRow="1" w:lastRow="0" w:firstColumn="0" w:lastColumn="0" w:oddVBand="0" w:evenVBand="0" w:oddHBand="0" w:evenHBand="0" w:firstRowFirstColumn="0" w:firstRowLastColumn="0" w:lastRowFirstColumn="0" w:lastRowLastColumn="0"/>
        </w:trPr>
        <w:tc>
          <w:tcPr>
            <w:tcW w:w="2962" w:type="dxa"/>
            <w:vAlign w:val="center"/>
          </w:tcPr>
          <w:p w14:paraId="3A40331E" w14:textId="77777777" w:rsidR="00C60C82" w:rsidRPr="008C1E5F" w:rsidRDefault="00C60C82">
            <w:pPr>
              <w:pStyle w:val="TableColHeadingLeft"/>
              <w:keepNext/>
              <w:keepLines/>
              <w:jc w:val="center"/>
            </w:pPr>
            <w:r w:rsidRPr="008C1E5F">
              <w:t>Group</w:t>
            </w:r>
          </w:p>
        </w:tc>
        <w:tc>
          <w:tcPr>
            <w:tcW w:w="1235" w:type="dxa"/>
            <w:vAlign w:val="center"/>
          </w:tcPr>
          <w:p w14:paraId="4BF5DEC3" w14:textId="77777777" w:rsidR="00C60C82" w:rsidRPr="008C1E5F" w:rsidRDefault="00C60C82">
            <w:pPr>
              <w:pStyle w:val="TableColHeadingCenter"/>
            </w:pPr>
            <w:r w:rsidRPr="008C1E5F">
              <w:t># Included (2024)</w:t>
            </w:r>
          </w:p>
        </w:tc>
        <w:tc>
          <w:tcPr>
            <w:tcW w:w="1310" w:type="dxa"/>
            <w:vAlign w:val="center"/>
          </w:tcPr>
          <w:p w14:paraId="326FC904" w14:textId="77777777" w:rsidR="00C60C82" w:rsidRPr="008C1E5F" w:rsidRDefault="00C60C82">
            <w:pPr>
              <w:pStyle w:val="TableColHeadingCenter"/>
            </w:pPr>
            <w:r w:rsidRPr="008C1E5F">
              <w:t>2022</w:t>
            </w:r>
          </w:p>
        </w:tc>
        <w:tc>
          <w:tcPr>
            <w:tcW w:w="1310" w:type="dxa"/>
            <w:vAlign w:val="center"/>
          </w:tcPr>
          <w:p w14:paraId="057F60B2" w14:textId="77777777" w:rsidR="00C60C82" w:rsidRPr="008C1E5F" w:rsidRDefault="00C60C82">
            <w:pPr>
              <w:pStyle w:val="TableColHeadingCenter"/>
            </w:pPr>
            <w:r w:rsidRPr="008C1E5F">
              <w:t>2023</w:t>
            </w:r>
          </w:p>
        </w:tc>
        <w:tc>
          <w:tcPr>
            <w:tcW w:w="1196" w:type="dxa"/>
            <w:vAlign w:val="center"/>
          </w:tcPr>
          <w:p w14:paraId="02AD2FA9" w14:textId="77777777" w:rsidR="00C60C82" w:rsidRPr="008C1E5F" w:rsidRDefault="00C60C82">
            <w:pPr>
              <w:pStyle w:val="TableColHeadingCenter"/>
            </w:pPr>
            <w:r w:rsidRPr="008C1E5F">
              <w:t>2024</w:t>
            </w:r>
          </w:p>
        </w:tc>
        <w:tc>
          <w:tcPr>
            <w:tcW w:w="1331" w:type="dxa"/>
            <w:vAlign w:val="center"/>
          </w:tcPr>
          <w:p w14:paraId="490A1334" w14:textId="77777777" w:rsidR="00C60C82" w:rsidRPr="008C1E5F" w:rsidRDefault="00C60C82">
            <w:pPr>
              <w:pStyle w:val="TableColHeadingCenter"/>
            </w:pPr>
            <w:r w:rsidRPr="008C1E5F">
              <w:t>State (2024)</w:t>
            </w:r>
          </w:p>
        </w:tc>
      </w:tr>
      <w:tr w:rsidR="00C60C82" w:rsidRPr="008C1E5F" w14:paraId="11986BD3"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75C2C6B2" w14:textId="77777777" w:rsidR="00C60C82" w:rsidRPr="008C1E5F" w:rsidRDefault="00C60C82">
            <w:pPr>
              <w:pStyle w:val="TableText"/>
              <w:rPr>
                <w:rFonts w:ascii="Franklin Gothic Book" w:hAnsi="Franklin Gothic Book"/>
              </w:rPr>
            </w:pPr>
            <w:r w:rsidRPr="008C1E5F">
              <w:rPr>
                <w:rFonts w:ascii="Franklin Gothic Book" w:hAnsi="Franklin Gothic Book"/>
              </w:rPr>
              <w:t>All students</w:t>
            </w:r>
          </w:p>
        </w:tc>
        <w:tc>
          <w:tcPr>
            <w:tcW w:w="1235" w:type="dxa"/>
            <w:vAlign w:val="center"/>
          </w:tcPr>
          <w:p w14:paraId="4C4D8B35"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527</w:t>
            </w:r>
          </w:p>
        </w:tc>
        <w:tc>
          <w:tcPr>
            <w:tcW w:w="1310" w:type="dxa"/>
            <w:vAlign w:val="center"/>
          </w:tcPr>
          <w:p w14:paraId="55E24380"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36</w:t>
            </w:r>
          </w:p>
        </w:tc>
        <w:tc>
          <w:tcPr>
            <w:tcW w:w="1310" w:type="dxa"/>
            <w:vAlign w:val="center"/>
          </w:tcPr>
          <w:p w14:paraId="644457C5"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34</w:t>
            </w:r>
          </w:p>
        </w:tc>
        <w:tc>
          <w:tcPr>
            <w:tcW w:w="1196" w:type="dxa"/>
            <w:vAlign w:val="center"/>
          </w:tcPr>
          <w:p w14:paraId="2CE80B57"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34</w:t>
            </w:r>
          </w:p>
        </w:tc>
        <w:tc>
          <w:tcPr>
            <w:tcW w:w="1331" w:type="dxa"/>
            <w:vAlign w:val="center"/>
          </w:tcPr>
          <w:p w14:paraId="5D07DC39"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50</w:t>
            </w:r>
          </w:p>
        </w:tc>
      </w:tr>
      <w:tr w:rsidR="00C60C82" w:rsidRPr="008C1E5F" w14:paraId="3893DCE7" w14:textId="77777777">
        <w:tc>
          <w:tcPr>
            <w:tcW w:w="2962" w:type="dxa"/>
          </w:tcPr>
          <w:p w14:paraId="1F6D2D75" w14:textId="77777777" w:rsidR="00C60C82" w:rsidRPr="008C1E5F" w:rsidRDefault="00C60C82">
            <w:pPr>
              <w:pStyle w:val="TableText"/>
              <w:rPr>
                <w:rFonts w:ascii="Franklin Gothic Book" w:hAnsi="Franklin Gothic Book"/>
              </w:rPr>
            </w:pPr>
            <w:r w:rsidRPr="008C1E5F">
              <w:rPr>
                <w:rFonts w:ascii="Franklin Gothic Book" w:hAnsi="Franklin Gothic Book"/>
              </w:rPr>
              <w:t>African American/Black</w:t>
            </w:r>
          </w:p>
        </w:tc>
        <w:tc>
          <w:tcPr>
            <w:tcW w:w="1235" w:type="dxa"/>
            <w:vAlign w:val="center"/>
          </w:tcPr>
          <w:p w14:paraId="3A75B6FF"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50</w:t>
            </w:r>
          </w:p>
        </w:tc>
        <w:tc>
          <w:tcPr>
            <w:tcW w:w="1310" w:type="dxa"/>
            <w:vAlign w:val="center"/>
          </w:tcPr>
          <w:p w14:paraId="50FA3824"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31</w:t>
            </w:r>
          </w:p>
        </w:tc>
        <w:tc>
          <w:tcPr>
            <w:tcW w:w="1310" w:type="dxa"/>
            <w:vAlign w:val="center"/>
          </w:tcPr>
          <w:p w14:paraId="2A489F50"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42</w:t>
            </w:r>
          </w:p>
        </w:tc>
        <w:tc>
          <w:tcPr>
            <w:tcW w:w="1196" w:type="dxa"/>
            <w:vAlign w:val="center"/>
          </w:tcPr>
          <w:p w14:paraId="3F14788F"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33</w:t>
            </w:r>
          </w:p>
        </w:tc>
        <w:tc>
          <w:tcPr>
            <w:tcW w:w="1331" w:type="dxa"/>
            <w:vAlign w:val="center"/>
          </w:tcPr>
          <w:p w14:paraId="0F61DE25"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47</w:t>
            </w:r>
          </w:p>
        </w:tc>
      </w:tr>
      <w:tr w:rsidR="00C60C82" w:rsidRPr="008C1E5F" w14:paraId="5AA932E9"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B8E4AE2" w14:textId="77777777" w:rsidR="00C60C82" w:rsidRPr="008C1E5F" w:rsidRDefault="00C60C82">
            <w:pPr>
              <w:pStyle w:val="TableText"/>
              <w:rPr>
                <w:rFonts w:ascii="Franklin Gothic Book" w:hAnsi="Franklin Gothic Book"/>
              </w:rPr>
            </w:pPr>
            <w:r w:rsidRPr="008C1E5F">
              <w:rPr>
                <w:rFonts w:ascii="Franklin Gothic Book" w:hAnsi="Franklin Gothic Book"/>
              </w:rPr>
              <w:t>Asian</w:t>
            </w:r>
          </w:p>
        </w:tc>
        <w:tc>
          <w:tcPr>
            <w:tcW w:w="1235" w:type="dxa"/>
            <w:vAlign w:val="center"/>
          </w:tcPr>
          <w:p w14:paraId="3CDB8616"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21</w:t>
            </w:r>
          </w:p>
        </w:tc>
        <w:tc>
          <w:tcPr>
            <w:tcW w:w="1310" w:type="dxa"/>
            <w:vAlign w:val="center"/>
          </w:tcPr>
          <w:p w14:paraId="4CB3C67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34</w:t>
            </w:r>
          </w:p>
        </w:tc>
        <w:tc>
          <w:tcPr>
            <w:tcW w:w="1310" w:type="dxa"/>
            <w:vAlign w:val="center"/>
          </w:tcPr>
          <w:p w14:paraId="27D2BB13"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196" w:type="dxa"/>
            <w:vAlign w:val="center"/>
          </w:tcPr>
          <w:p w14:paraId="5A5F7F93"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31</w:t>
            </w:r>
          </w:p>
        </w:tc>
        <w:tc>
          <w:tcPr>
            <w:tcW w:w="1331" w:type="dxa"/>
            <w:vAlign w:val="center"/>
          </w:tcPr>
          <w:p w14:paraId="1CAE02AC"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55</w:t>
            </w:r>
          </w:p>
        </w:tc>
      </w:tr>
      <w:tr w:rsidR="00C60C82" w:rsidRPr="008C1E5F" w14:paraId="3BDDEFF5" w14:textId="77777777">
        <w:tc>
          <w:tcPr>
            <w:tcW w:w="2962" w:type="dxa"/>
          </w:tcPr>
          <w:p w14:paraId="2812F7DA" w14:textId="77777777" w:rsidR="00C60C82" w:rsidRPr="008C1E5F" w:rsidRDefault="00C60C82">
            <w:pPr>
              <w:pStyle w:val="TableText"/>
              <w:rPr>
                <w:rFonts w:ascii="Franklin Gothic Book" w:hAnsi="Franklin Gothic Book"/>
              </w:rPr>
            </w:pPr>
            <w:r w:rsidRPr="008C1E5F">
              <w:rPr>
                <w:rFonts w:ascii="Franklin Gothic Book" w:hAnsi="Franklin Gothic Book"/>
              </w:rPr>
              <w:t>Hispanic/Latino</w:t>
            </w:r>
          </w:p>
        </w:tc>
        <w:tc>
          <w:tcPr>
            <w:tcW w:w="1235" w:type="dxa"/>
            <w:vAlign w:val="center"/>
          </w:tcPr>
          <w:p w14:paraId="7ABB2C8D"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170</w:t>
            </w:r>
          </w:p>
        </w:tc>
        <w:tc>
          <w:tcPr>
            <w:tcW w:w="1310" w:type="dxa"/>
            <w:vAlign w:val="center"/>
          </w:tcPr>
          <w:p w14:paraId="79A90C90"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37</w:t>
            </w:r>
          </w:p>
        </w:tc>
        <w:tc>
          <w:tcPr>
            <w:tcW w:w="1310" w:type="dxa"/>
            <w:vAlign w:val="center"/>
          </w:tcPr>
          <w:p w14:paraId="6553ED84"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30</w:t>
            </w:r>
          </w:p>
        </w:tc>
        <w:tc>
          <w:tcPr>
            <w:tcW w:w="1196" w:type="dxa"/>
            <w:vAlign w:val="center"/>
          </w:tcPr>
          <w:p w14:paraId="5FCBCEDF"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32</w:t>
            </w:r>
          </w:p>
        </w:tc>
        <w:tc>
          <w:tcPr>
            <w:tcW w:w="1331" w:type="dxa"/>
            <w:vAlign w:val="center"/>
          </w:tcPr>
          <w:p w14:paraId="28CC2CC3"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45</w:t>
            </w:r>
          </w:p>
        </w:tc>
      </w:tr>
      <w:tr w:rsidR="00C60C82" w:rsidRPr="008C1E5F" w14:paraId="35DA8B19"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C4B6FE8" w14:textId="77777777" w:rsidR="00C60C82" w:rsidRPr="008C1E5F" w:rsidRDefault="00C60C82">
            <w:pPr>
              <w:pStyle w:val="TableText"/>
              <w:rPr>
                <w:rFonts w:ascii="Franklin Gothic Book" w:hAnsi="Franklin Gothic Book"/>
              </w:rPr>
            </w:pPr>
            <w:r w:rsidRPr="008C1E5F">
              <w:rPr>
                <w:rFonts w:ascii="Franklin Gothic Book" w:hAnsi="Franklin Gothic Book"/>
              </w:rPr>
              <w:t>Multi-Race, non-Hispanic/Latino</w:t>
            </w:r>
          </w:p>
        </w:tc>
        <w:tc>
          <w:tcPr>
            <w:tcW w:w="1235" w:type="dxa"/>
            <w:vAlign w:val="center"/>
          </w:tcPr>
          <w:p w14:paraId="0510F253"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49</w:t>
            </w:r>
          </w:p>
        </w:tc>
        <w:tc>
          <w:tcPr>
            <w:tcW w:w="1310" w:type="dxa"/>
            <w:vAlign w:val="center"/>
          </w:tcPr>
          <w:p w14:paraId="762D01DD"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29</w:t>
            </w:r>
          </w:p>
        </w:tc>
        <w:tc>
          <w:tcPr>
            <w:tcW w:w="1310" w:type="dxa"/>
            <w:vAlign w:val="center"/>
          </w:tcPr>
          <w:p w14:paraId="37AD5F77"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33</w:t>
            </w:r>
          </w:p>
        </w:tc>
        <w:tc>
          <w:tcPr>
            <w:tcW w:w="1196" w:type="dxa"/>
            <w:vAlign w:val="center"/>
          </w:tcPr>
          <w:p w14:paraId="11342C87"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37</w:t>
            </w:r>
          </w:p>
        </w:tc>
        <w:tc>
          <w:tcPr>
            <w:tcW w:w="1331" w:type="dxa"/>
            <w:vAlign w:val="center"/>
          </w:tcPr>
          <w:p w14:paraId="199CF7C9"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49</w:t>
            </w:r>
          </w:p>
        </w:tc>
      </w:tr>
      <w:tr w:rsidR="00C60C82" w:rsidRPr="008C1E5F" w14:paraId="6B125C48" w14:textId="77777777">
        <w:tc>
          <w:tcPr>
            <w:tcW w:w="2962" w:type="dxa"/>
          </w:tcPr>
          <w:p w14:paraId="1C1716F3" w14:textId="77777777" w:rsidR="00C60C82" w:rsidRPr="008C1E5F" w:rsidRDefault="00C60C82">
            <w:pPr>
              <w:pStyle w:val="TableText"/>
              <w:rPr>
                <w:rFonts w:ascii="Franklin Gothic Book" w:hAnsi="Franklin Gothic Book"/>
              </w:rPr>
            </w:pPr>
            <w:r w:rsidRPr="008C1E5F">
              <w:rPr>
                <w:rFonts w:ascii="Franklin Gothic Book" w:hAnsi="Franklin Gothic Book"/>
              </w:rPr>
              <w:t>Native American</w:t>
            </w:r>
          </w:p>
        </w:tc>
        <w:tc>
          <w:tcPr>
            <w:tcW w:w="1235" w:type="dxa"/>
            <w:vAlign w:val="center"/>
          </w:tcPr>
          <w:p w14:paraId="3CD82C17"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1</w:t>
            </w:r>
          </w:p>
        </w:tc>
        <w:tc>
          <w:tcPr>
            <w:tcW w:w="1310" w:type="dxa"/>
            <w:vAlign w:val="center"/>
          </w:tcPr>
          <w:p w14:paraId="4C203097"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310" w:type="dxa"/>
            <w:vAlign w:val="center"/>
          </w:tcPr>
          <w:p w14:paraId="09F50094"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196" w:type="dxa"/>
            <w:vAlign w:val="center"/>
          </w:tcPr>
          <w:p w14:paraId="1723DA93"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331" w:type="dxa"/>
            <w:vAlign w:val="center"/>
          </w:tcPr>
          <w:p w14:paraId="558504B4"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50</w:t>
            </w:r>
          </w:p>
        </w:tc>
      </w:tr>
      <w:tr w:rsidR="00C60C82" w:rsidRPr="008C1E5F" w14:paraId="03864C8C"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A6B2FC4" w14:textId="77777777" w:rsidR="00C60C82" w:rsidRPr="008C1E5F" w:rsidRDefault="00C60C82">
            <w:pPr>
              <w:pStyle w:val="TableText"/>
              <w:rPr>
                <w:rFonts w:ascii="Franklin Gothic Book" w:hAnsi="Franklin Gothic Book"/>
                <w:spacing w:val="-4"/>
              </w:rPr>
            </w:pPr>
            <w:r w:rsidRPr="008C1E5F">
              <w:rPr>
                <w:rFonts w:ascii="Franklin Gothic Book" w:hAnsi="Franklin Gothic Book"/>
                <w:spacing w:val="-4"/>
              </w:rPr>
              <w:t>Native Hawaiian, Pacific Islander</w:t>
            </w:r>
          </w:p>
        </w:tc>
        <w:tc>
          <w:tcPr>
            <w:tcW w:w="1235" w:type="dxa"/>
            <w:vAlign w:val="center"/>
          </w:tcPr>
          <w:p w14:paraId="3D14448D"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310" w:type="dxa"/>
            <w:vAlign w:val="center"/>
          </w:tcPr>
          <w:p w14:paraId="4D96A09A"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310" w:type="dxa"/>
            <w:vAlign w:val="center"/>
          </w:tcPr>
          <w:p w14:paraId="269C0372"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196" w:type="dxa"/>
            <w:vAlign w:val="center"/>
          </w:tcPr>
          <w:p w14:paraId="4A3CFB8A"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331" w:type="dxa"/>
            <w:vAlign w:val="center"/>
          </w:tcPr>
          <w:p w14:paraId="208AAFC8"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50</w:t>
            </w:r>
          </w:p>
        </w:tc>
      </w:tr>
      <w:tr w:rsidR="00C60C82" w:rsidRPr="008C1E5F" w14:paraId="1064C26F" w14:textId="77777777">
        <w:tc>
          <w:tcPr>
            <w:tcW w:w="2962" w:type="dxa"/>
          </w:tcPr>
          <w:p w14:paraId="523355E0" w14:textId="77777777" w:rsidR="00C60C82" w:rsidRPr="008C1E5F" w:rsidRDefault="00C60C82">
            <w:pPr>
              <w:pStyle w:val="TableText"/>
              <w:rPr>
                <w:rFonts w:ascii="Franklin Gothic Book" w:hAnsi="Franklin Gothic Book"/>
              </w:rPr>
            </w:pPr>
            <w:r w:rsidRPr="008C1E5F">
              <w:rPr>
                <w:rFonts w:ascii="Franklin Gothic Book" w:hAnsi="Franklin Gothic Book"/>
              </w:rPr>
              <w:t>White</w:t>
            </w:r>
          </w:p>
        </w:tc>
        <w:tc>
          <w:tcPr>
            <w:tcW w:w="1235" w:type="dxa"/>
            <w:vAlign w:val="center"/>
          </w:tcPr>
          <w:p w14:paraId="16724300"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236</w:t>
            </w:r>
          </w:p>
        </w:tc>
        <w:tc>
          <w:tcPr>
            <w:tcW w:w="1310" w:type="dxa"/>
            <w:vAlign w:val="center"/>
          </w:tcPr>
          <w:p w14:paraId="38811B8F"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38</w:t>
            </w:r>
          </w:p>
        </w:tc>
        <w:tc>
          <w:tcPr>
            <w:tcW w:w="1310" w:type="dxa"/>
            <w:vAlign w:val="center"/>
          </w:tcPr>
          <w:p w14:paraId="4C0B1E81"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33</w:t>
            </w:r>
          </w:p>
        </w:tc>
        <w:tc>
          <w:tcPr>
            <w:tcW w:w="1196" w:type="dxa"/>
            <w:vAlign w:val="center"/>
          </w:tcPr>
          <w:p w14:paraId="619E27BB"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36</w:t>
            </w:r>
          </w:p>
        </w:tc>
        <w:tc>
          <w:tcPr>
            <w:tcW w:w="1331" w:type="dxa"/>
            <w:vAlign w:val="center"/>
          </w:tcPr>
          <w:p w14:paraId="0B672E38"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52</w:t>
            </w:r>
          </w:p>
        </w:tc>
      </w:tr>
      <w:tr w:rsidR="00C60C82" w:rsidRPr="008C1E5F" w14:paraId="35B37B15"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483D69F" w14:textId="77777777" w:rsidR="00C60C82" w:rsidRPr="008C1E5F" w:rsidRDefault="00C60C82">
            <w:pPr>
              <w:pStyle w:val="TableText"/>
              <w:rPr>
                <w:rFonts w:ascii="Franklin Gothic Book" w:hAnsi="Franklin Gothic Book"/>
              </w:rPr>
            </w:pPr>
            <w:r w:rsidRPr="008C1E5F">
              <w:rPr>
                <w:rFonts w:ascii="Franklin Gothic Book" w:hAnsi="Franklin Gothic Book"/>
              </w:rPr>
              <w:t>High needs</w:t>
            </w:r>
          </w:p>
        </w:tc>
        <w:tc>
          <w:tcPr>
            <w:tcW w:w="1235" w:type="dxa"/>
            <w:vAlign w:val="center"/>
          </w:tcPr>
          <w:p w14:paraId="50CD5160"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437</w:t>
            </w:r>
          </w:p>
        </w:tc>
        <w:tc>
          <w:tcPr>
            <w:tcW w:w="1310" w:type="dxa"/>
            <w:vAlign w:val="center"/>
          </w:tcPr>
          <w:p w14:paraId="6FB7B1E1"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37</w:t>
            </w:r>
          </w:p>
        </w:tc>
        <w:tc>
          <w:tcPr>
            <w:tcW w:w="1310" w:type="dxa"/>
            <w:vAlign w:val="center"/>
          </w:tcPr>
          <w:p w14:paraId="752FF50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34</w:t>
            </w:r>
          </w:p>
        </w:tc>
        <w:tc>
          <w:tcPr>
            <w:tcW w:w="1196" w:type="dxa"/>
            <w:vAlign w:val="center"/>
          </w:tcPr>
          <w:p w14:paraId="4BD8FEB7"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35</w:t>
            </w:r>
          </w:p>
        </w:tc>
        <w:tc>
          <w:tcPr>
            <w:tcW w:w="1331" w:type="dxa"/>
            <w:vAlign w:val="center"/>
          </w:tcPr>
          <w:p w14:paraId="5EB08A38"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47</w:t>
            </w:r>
          </w:p>
        </w:tc>
      </w:tr>
      <w:tr w:rsidR="00C60C82" w:rsidRPr="008C1E5F" w14:paraId="7DD3F186" w14:textId="77777777">
        <w:tc>
          <w:tcPr>
            <w:tcW w:w="2962" w:type="dxa"/>
          </w:tcPr>
          <w:p w14:paraId="4185AE51" w14:textId="77777777" w:rsidR="00C60C82" w:rsidRPr="008C1E5F" w:rsidRDefault="00C60C82">
            <w:pPr>
              <w:pStyle w:val="TableText"/>
              <w:rPr>
                <w:rFonts w:ascii="Franklin Gothic Book" w:hAnsi="Franklin Gothic Book"/>
              </w:rPr>
            </w:pPr>
            <w:r w:rsidRPr="008C1E5F">
              <w:rPr>
                <w:rFonts w:ascii="Franklin Gothic Book" w:hAnsi="Franklin Gothic Book"/>
              </w:rPr>
              <w:t>Low income</w:t>
            </w:r>
          </w:p>
        </w:tc>
        <w:tc>
          <w:tcPr>
            <w:tcW w:w="1235" w:type="dxa"/>
            <w:vAlign w:val="center"/>
          </w:tcPr>
          <w:p w14:paraId="407D4386"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407</w:t>
            </w:r>
          </w:p>
        </w:tc>
        <w:tc>
          <w:tcPr>
            <w:tcW w:w="1310" w:type="dxa"/>
            <w:vAlign w:val="center"/>
          </w:tcPr>
          <w:p w14:paraId="20944D50"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36</w:t>
            </w:r>
          </w:p>
        </w:tc>
        <w:tc>
          <w:tcPr>
            <w:tcW w:w="1310" w:type="dxa"/>
            <w:vAlign w:val="center"/>
          </w:tcPr>
          <w:p w14:paraId="7466C389"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34</w:t>
            </w:r>
          </w:p>
        </w:tc>
        <w:tc>
          <w:tcPr>
            <w:tcW w:w="1196" w:type="dxa"/>
            <w:vAlign w:val="center"/>
          </w:tcPr>
          <w:p w14:paraId="256857E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34</w:t>
            </w:r>
          </w:p>
        </w:tc>
        <w:tc>
          <w:tcPr>
            <w:tcW w:w="1331" w:type="dxa"/>
            <w:vAlign w:val="center"/>
          </w:tcPr>
          <w:p w14:paraId="2F02145D"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46</w:t>
            </w:r>
          </w:p>
        </w:tc>
      </w:tr>
      <w:tr w:rsidR="00C60C82" w:rsidRPr="008C1E5F" w14:paraId="679240C0"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6E5954B" w14:textId="77777777" w:rsidR="00C60C82" w:rsidRPr="008C1E5F" w:rsidRDefault="00C60C82">
            <w:pPr>
              <w:pStyle w:val="TableText"/>
              <w:rPr>
                <w:rFonts w:ascii="Franklin Gothic Book" w:hAnsi="Franklin Gothic Book"/>
                <w:spacing w:val="-4"/>
              </w:rPr>
            </w:pPr>
            <w:r w:rsidRPr="008C1E5F">
              <w:rPr>
                <w:rFonts w:ascii="Franklin Gothic Book" w:hAnsi="Franklin Gothic Book"/>
                <w:spacing w:val="-4"/>
              </w:rPr>
              <w:t>ELs and former ELs</w:t>
            </w:r>
          </w:p>
        </w:tc>
        <w:tc>
          <w:tcPr>
            <w:tcW w:w="1235" w:type="dxa"/>
            <w:vAlign w:val="center"/>
          </w:tcPr>
          <w:p w14:paraId="709D4293"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115</w:t>
            </w:r>
          </w:p>
        </w:tc>
        <w:tc>
          <w:tcPr>
            <w:tcW w:w="1310" w:type="dxa"/>
            <w:vAlign w:val="center"/>
          </w:tcPr>
          <w:p w14:paraId="5C0FE38F"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41</w:t>
            </w:r>
          </w:p>
        </w:tc>
        <w:tc>
          <w:tcPr>
            <w:tcW w:w="1310" w:type="dxa"/>
            <w:vAlign w:val="center"/>
          </w:tcPr>
          <w:p w14:paraId="6899BCFD"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31</w:t>
            </w:r>
          </w:p>
        </w:tc>
        <w:tc>
          <w:tcPr>
            <w:tcW w:w="1196" w:type="dxa"/>
            <w:vAlign w:val="center"/>
          </w:tcPr>
          <w:p w14:paraId="6CF42028"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33</w:t>
            </w:r>
          </w:p>
        </w:tc>
        <w:tc>
          <w:tcPr>
            <w:tcW w:w="1331" w:type="dxa"/>
            <w:vAlign w:val="center"/>
          </w:tcPr>
          <w:p w14:paraId="6C828E19"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46</w:t>
            </w:r>
          </w:p>
        </w:tc>
      </w:tr>
      <w:tr w:rsidR="00C60C82" w:rsidRPr="008C1E5F" w14:paraId="7B105E9D" w14:textId="77777777">
        <w:tc>
          <w:tcPr>
            <w:tcW w:w="2962" w:type="dxa"/>
          </w:tcPr>
          <w:p w14:paraId="70CB06B3" w14:textId="77777777" w:rsidR="00C60C82" w:rsidRPr="008C1E5F" w:rsidRDefault="00C60C82">
            <w:pPr>
              <w:pStyle w:val="TableText"/>
              <w:rPr>
                <w:rFonts w:ascii="Franklin Gothic Book" w:hAnsi="Franklin Gothic Book"/>
              </w:rPr>
            </w:pPr>
            <w:r w:rsidRPr="008C1E5F">
              <w:rPr>
                <w:rFonts w:ascii="Franklin Gothic Book" w:hAnsi="Franklin Gothic Book"/>
              </w:rPr>
              <w:t>Students w/disabilities</w:t>
            </w:r>
          </w:p>
        </w:tc>
        <w:tc>
          <w:tcPr>
            <w:tcW w:w="1235" w:type="dxa"/>
            <w:vAlign w:val="center"/>
          </w:tcPr>
          <w:p w14:paraId="37CCF205"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121</w:t>
            </w:r>
          </w:p>
        </w:tc>
        <w:tc>
          <w:tcPr>
            <w:tcW w:w="1310" w:type="dxa"/>
            <w:vAlign w:val="center"/>
          </w:tcPr>
          <w:p w14:paraId="4C6D805C"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38</w:t>
            </w:r>
          </w:p>
        </w:tc>
        <w:tc>
          <w:tcPr>
            <w:tcW w:w="1310" w:type="dxa"/>
            <w:vAlign w:val="center"/>
          </w:tcPr>
          <w:p w14:paraId="1FE21B65"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30</w:t>
            </w:r>
          </w:p>
        </w:tc>
        <w:tc>
          <w:tcPr>
            <w:tcW w:w="1196" w:type="dxa"/>
            <w:vAlign w:val="center"/>
          </w:tcPr>
          <w:p w14:paraId="4041C097"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36</w:t>
            </w:r>
          </w:p>
        </w:tc>
        <w:tc>
          <w:tcPr>
            <w:tcW w:w="1331" w:type="dxa"/>
            <w:vAlign w:val="center"/>
          </w:tcPr>
          <w:p w14:paraId="358644F6"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47</w:t>
            </w:r>
          </w:p>
        </w:tc>
      </w:tr>
    </w:tbl>
    <w:p w14:paraId="3FE0D950" w14:textId="77777777" w:rsidR="00C60C82" w:rsidRPr="008C1E5F" w:rsidRDefault="00C60C82">
      <w:pPr>
        <w:spacing w:line="240" w:lineRule="auto"/>
        <w:rPr>
          <w:rFonts w:ascii="Franklin Gothic Book" w:hAnsi="Franklin Gothic Book"/>
          <w:sz w:val="20"/>
          <w:szCs w:val="20"/>
        </w:rPr>
      </w:pPr>
    </w:p>
    <w:p w14:paraId="2FFDA5C2" w14:textId="77777777" w:rsidR="00C60C82" w:rsidRPr="008C1E5F" w:rsidRDefault="00C60C82">
      <w:pPr>
        <w:spacing w:after="160" w:line="259" w:lineRule="auto"/>
        <w:rPr>
          <w:rFonts w:ascii="Franklin Gothic Book" w:hAnsi="Franklin Gothic Book"/>
          <w:sz w:val="20"/>
          <w:szCs w:val="20"/>
        </w:rPr>
        <w:sectPr w:rsidR="00C60C82" w:rsidRPr="008C1E5F" w:rsidSect="00C60C82">
          <w:pgSz w:w="12240" w:h="15840"/>
          <w:pgMar w:top="1440" w:right="1440" w:bottom="1440" w:left="1440" w:header="720" w:footer="720" w:gutter="0"/>
          <w:cols w:space="720"/>
          <w:docGrid w:linePitch="360"/>
        </w:sectPr>
      </w:pPr>
      <w:r w:rsidRPr="008C1E5F">
        <w:rPr>
          <w:rFonts w:ascii="Franklin Gothic Book" w:hAnsi="Franklin Gothic Book"/>
          <w:sz w:val="20"/>
          <w:szCs w:val="20"/>
        </w:rPr>
        <w:br w:type="page"/>
      </w:r>
    </w:p>
    <w:p w14:paraId="3DB52536" w14:textId="77777777" w:rsidR="00C60C82" w:rsidRPr="008C1E5F" w:rsidRDefault="00C60C82" w:rsidP="00305BFA">
      <w:pPr>
        <w:pStyle w:val="TableETitles"/>
        <w:spacing w:before="240" w:after="60"/>
      </w:pPr>
      <w:bookmarkStart w:id="292" w:name="_Toc195024282"/>
      <w:r w:rsidRPr="008C1E5F">
        <w:lastRenderedPageBreak/>
        <w:t>Table E14. MCAS ELA Mean Student Growth Percentile by Grade, 2022-2024</w:t>
      </w:r>
      <w:bookmarkEnd w:id="292"/>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C60C82" w:rsidRPr="008C1E5F" w14:paraId="7DD7AD4C" w14:textId="77777777">
        <w:trPr>
          <w:cnfStyle w:val="100000000000" w:firstRow="1" w:lastRow="0" w:firstColumn="0" w:lastColumn="0" w:oddVBand="0" w:evenVBand="0" w:oddHBand="0" w:evenHBand="0" w:firstRowFirstColumn="0" w:firstRowLastColumn="0" w:lastRowFirstColumn="0" w:lastRowLastColumn="0"/>
        </w:trPr>
        <w:tc>
          <w:tcPr>
            <w:tcW w:w="1135" w:type="dxa"/>
          </w:tcPr>
          <w:p w14:paraId="69615E7C" w14:textId="77777777" w:rsidR="00C60C82" w:rsidRPr="008C1E5F" w:rsidRDefault="00C60C82">
            <w:pPr>
              <w:pStyle w:val="TableColHeadingCenter"/>
              <w:spacing w:before="30" w:after="30"/>
            </w:pPr>
            <w:r w:rsidRPr="008C1E5F">
              <w:t>Grade</w:t>
            </w:r>
          </w:p>
        </w:tc>
        <w:tc>
          <w:tcPr>
            <w:tcW w:w="1725" w:type="dxa"/>
          </w:tcPr>
          <w:p w14:paraId="57729B07" w14:textId="77777777" w:rsidR="00C60C82" w:rsidRPr="008C1E5F" w:rsidRDefault="00C60C82">
            <w:pPr>
              <w:pStyle w:val="TableColHeadingCenter"/>
              <w:spacing w:before="30" w:after="30"/>
            </w:pPr>
            <w:r w:rsidRPr="008C1E5F">
              <w:t># Included (2024)</w:t>
            </w:r>
          </w:p>
        </w:tc>
        <w:tc>
          <w:tcPr>
            <w:tcW w:w="1641" w:type="dxa"/>
          </w:tcPr>
          <w:p w14:paraId="62B24F88" w14:textId="77777777" w:rsidR="00C60C82" w:rsidRPr="008C1E5F" w:rsidRDefault="00C60C82">
            <w:pPr>
              <w:pStyle w:val="TableColHeadingCenter"/>
              <w:spacing w:before="30" w:after="30"/>
            </w:pPr>
            <w:r w:rsidRPr="008C1E5F">
              <w:t>2022</w:t>
            </w:r>
          </w:p>
        </w:tc>
        <w:tc>
          <w:tcPr>
            <w:tcW w:w="1640" w:type="dxa"/>
          </w:tcPr>
          <w:p w14:paraId="6DA1F523" w14:textId="77777777" w:rsidR="00C60C82" w:rsidRPr="008C1E5F" w:rsidRDefault="00C60C82">
            <w:pPr>
              <w:pStyle w:val="TableColHeadingCenter"/>
              <w:spacing w:before="30" w:after="30"/>
            </w:pPr>
            <w:r w:rsidRPr="008C1E5F">
              <w:t>2023</w:t>
            </w:r>
          </w:p>
        </w:tc>
        <w:tc>
          <w:tcPr>
            <w:tcW w:w="1527" w:type="dxa"/>
          </w:tcPr>
          <w:p w14:paraId="79462CA8" w14:textId="77777777" w:rsidR="00C60C82" w:rsidRPr="008C1E5F" w:rsidRDefault="00C60C82">
            <w:pPr>
              <w:pStyle w:val="TableColHeadingCenter"/>
              <w:spacing w:before="30" w:after="30"/>
            </w:pPr>
            <w:r w:rsidRPr="008C1E5F">
              <w:t>2024</w:t>
            </w:r>
          </w:p>
        </w:tc>
        <w:tc>
          <w:tcPr>
            <w:tcW w:w="1676" w:type="dxa"/>
          </w:tcPr>
          <w:p w14:paraId="142C2D6F" w14:textId="77777777" w:rsidR="00C60C82" w:rsidRPr="008C1E5F" w:rsidRDefault="00C60C82">
            <w:pPr>
              <w:pStyle w:val="TableColHeadingCenter"/>
              <w:spacing w:before="30" w:after="30"/>
            </w:pPr>
            <w:r w:rsidRPr="008C1E5F">
              <w:t>State (2024)</w:t>
            </w:r>
          </w:p>
        </w:tc>
      </w:tr>
      <w:tr w:rsidR="00C60C82" w:rsidRPr="008C1E5F" w14:paraId="2AA5CAA6"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562042BB"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rPr>
              <w:t>3</w:t>
            </w:r>
          </w:p>
        </w:tc>
        <w:tc>
          <w:tcPr>
            <w:tcW w:w="1725" w:type="dxa"/>
            <w:vAlign w:val="center"/>
          </w:tcPr>
          <w:p w14:paraId="2EACDF2B"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w:t>
            </w:r>
          </w:p>
        </w:tc>
        <w:tc>
          <w:tcPr>
            <w:tcW w:w="1641" w:type="dxa"/>
            <w:vAlign w:val="center"/>
          </w:tcPr>
          <w:p w14:paraId="38FA494A"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w:t>
            </w:r>
          </w:p>
        </w:tc>
        <w:tc>
          <w:tcPr>
            <w:tcW w:w="1640" w:type="dxa"/>
            <w:vAlign w:val="center"/>
          </w:tcPr>
          <w:p w14:paraId="74DA7F76"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w:t>
            </w:r>
          </w:p>
        </w:tc>
        <w:tc>
          <w:tcPr>
            <w:tcW w:w="1527" w:type="dxa"/>
            <w:vAlign w:val="center"/>
          </w:tcPr>
          <w:p w14:paraId="7D58BB10"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w:t>
            </w:r>
          </w:p>
        </w:tc>
        <w:tc>
          <w:tcPr>
            <w:tcW w:w="1676" w:type="dxa"/>
            <w:vAlign w:val="bottom"/>
          </w:tcPr>
          <w:p w14:paraId="500D55EA"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w:t>
            </w:r>
          </w:p>
        </w:tc>
      </w:tr>
      <w:tr w:rsidR="00C60C82" w:rsidRPr="008C1E5F" w14:paraId="7FFCCE2D" w14:textId="77777777">
        <w:tc>
          <w:tcPr>
            <w:tcW w:w="1135" w:type="dxa"/>
          </w:tcPr>
          <w:p w14:paraId="355C1793"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rPr>
              <w:t>4</w:t>
            </w:r>
          </w:p>
        </w:tc>
        <w:tc>
          <w:tcPr>
            <w:tcW w:w="1725" w:type="dxa"/>
            <w:vAlign w:val="center"/>
          </w:tcPr>
          <w:p w14:paraId="29013101"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756</w:t>
            </w:r>
          </w:p>
        </w:tc>
        <w:tc>
          <w:tcPr>
            <w:tcW w:w="1641" w:type="dxa"/>
            <w:vAlign w:val="center"/>
          </w:tcPr>
          <w:p w14:paraId="2DC1BB98"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46</w:t>
            </w:r>
          </w:p>
        </w:tc>
        <w:tc>
          <w:tcPr>
            <w:tcW w:w="1640" w:type="dxa"/>
            <w:vAlign w:val="center"/>
          </w:tcPr>
          <w:p w14:paraId="7C4693F3"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46</w:t>
            </w:r>
          </w:p>
        </w:tc>
        <w:tc>
          <w:tcPr>
            <w:tcW w:w="1527" w:type="dxa"/>
            <w:vAlign w:val="center"/>
          </w:tcPr>
          <w:p w14:paraId="3AA6DA66"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48</w:t>
            </w:r>
          </w:p>
        </w:tc>
        <w:tc>
          <w:tcPr>
            <w:tcW w:w="1676" w:type="dxa"/>
            <w:vAlign w:val="bottom"/>
          </w:tcPr>
          <w:p w14:paraId="2E153E1E"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50</w:t>
            </w:r>
          </w:p>
        </w:tc>
      </w:tr>
      <w:tr w:rsidR="00C60C82" w:rsidRPr="008C1E5F" w14:paraId="70120AA5"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207E86EA"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rPr>
              <w:t>5</w:t>
            </w:r>
          </w:p>
        </w:tc>
        <w:tc>
          <w:tcPr>
            <w:tcW w:w="1725" w:type="dxa"/>
            <w:vAlign w:val="center"/>
          </w:tcPr>
          <w:p w14:paraId="310A8E82"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761</w:t>
            </w:r>
          </w:p>
        </w:tc>
        <w:tc>
          <w:tcPr>
            <w:tcW w:w="1641" w:type="dxa"/>
            <w:vAlign w:val="center"/>
          </w:tcPr>
          <w:p w14:paraId="7D09E059"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46</w:t>
            </w:r>
          </w:p>
        </w:tc>
        <w:tc>
          <w:tcPr>
            <w:tcW w:w="1640" w:type="dxa"/>
            <w:vAlign w:val="center"/>
          </w:tcPr>
          <w:p w14:paraId="7EF0AF56"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48</w:t>
            </w:r>
          </w:p>
        </w:tc>
        <w:tc>
          <w:tcPr>
            <w:tcW w:w="1527" w:type="dxa"/>
            <w:vAlign w:val="center"/>
          </w:tcPr>
          <w:p w14:paraId="728383EE"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50</w:t>
            </w:r>
          </w:p>
        </w:tc>
        <w:tc>
          <w:tcPr>
            <w:tcW w:w="1676" w:type="dxa"/>
            <w:vAlign w:val="bottom"/>
          </w:tcPr>
          <w:p w14:paraId="3A692DE2"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50</w:t>
            </w:r>
          </w:p>
        </w:tc>
      </w:tr>
      <w:tr w:rsidR="00C60C82" w:rsidRPr="008C1E5F" w14:paraId="266E8FD2" w14:textId="77777777">
        <w:tc>
          <w:tcPr>
            <w:tcW w:w="1135" w:type="dxa"/>
          </w:tcPr>
          <w:p w14:paraId="7F2F4A15"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rPr>
              <w:t>6</w:t>
            </w:r>
          </w:p>
        </w:tc>
        <w:tc>
          <w:tcPr>
            <w:tcW w:w="1725" w:type="dxa"/>
            <w:vAlign w:val="center"/>
          </w:tcPr>
          <w:p w14:paraId="543A086E"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643</w:t>
            </w:r>
          </w:p>
        </w:tc>
        <w:tc>
          <w:tcPr>
            <w:tcW w:w="1641" w:type="dxa"/>
            <w:vAlign w:val="center"/>
          </w:tcPr>
          <w:p w14:paraId="51624717"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42</w:t>
            </w:r>
          </w:p>
        </w:tc>
        <w:tc>
          <w:tcPr>
            <w:tcW w:w="1640" w:type="dxa"/>
            <w:vAlign w:val="center"/>
          </w:tcPr>
          <w:p w14:paraId="424E231C"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42</w:t>
            </w:r>
          </w:p>
        </w:tc>
        <w:tc>
          <w:tcPr>
            <w:tcW w:w="1527" w:type="dxa"/>
            <w:vAlign w:val="center"/>
          </w:tcPr>
          <w:p w14:paraId="4AA5B646"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40</w:t>
            </w:r>
          </w:p>
        </w:tc>
        <w:tc>
          <w:tcPr>
            <w:tcW w:w="1676" w:type="dxa"/>
            <w:vAlign w:val="bottom"/>
          </w:tcPr>
          <w:p w14:paraId="524E71BF"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50</w:t>
            </w:r>
          </w:p>
        </w:tc>
      </w:tr>
      <w:tr w:rsidR="00C60C82" w:rsidRPr="008C1E5F" w14:paraId="11E463B1"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7A90202F"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rPr>
              <w:t>7</w:t>
            </w:r>
          </w:p>
        </w:tc>
        <w:tc>
          <w:tcPr>
            <w:tcW w:w="1725" w:type="dxa"/>
            <w:vAlign w:val="center"/>
          </w:tcPr>
          <w:p w14:paraId="062FB46C"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679</w:t>
            </w:r>
          </w:p>
        </w:tc>
        <w:tc>
          <w:tcPr>
            <w:tcW w:w="1641" w:type="dxa"/>
            <w:vAlign w:val="center"/>
          </w:tcPr>
          <w:p w14:paraId="6F2944C2"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44</w:t>
            </w:r>
          </w:p>
        </w:tc>
        <w:tc>
          <w:tcPr>
            <w:tcW w:w="1640" w:type="dxa"/>
            <w:vAlign w:val="center"/>
          </w:tcPr>
          <w:p w14:paraId="1D3FC927"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45</w:t>
            </w:r>
          </w:p>
        </w:tc>
        <w:tc>
          <w:tcPr>
            <w:tcW w:w="1527" w:type="dxa"/>
            <w:vAlign w:val="center"/>
          </w:tcPr>
          <w:p w14:paraId="3314AE9E"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50</w:t>
            </w:r>
          </w:p>
        </w:tc>
        <w:tc>
          <w:tcPr>
            <w:tcW w:w="1676" w:type="dxa"/>
            <w:vAlign w:val="bottom"/>
          </w:tcPr>
          <w:p w14:paraId="3B7BA7E2"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50</w:t>
            </w:r>
          </w:p>
        </w:tc>
      </w:tr>
      <w:tr w:rsidR="00C60C82" w:rsidRPr="008C1E5F" w14:paraId="40D599CE" w14:textId="77777777">
        <w:tc>
          <w:tcPr>
            <w:tcW w:w="1135" w:type="dxa"/>
          </w:tcPr>
          <w:p w14:paraId="01D147EF"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rPr>
              <w:t>8</w:t>
            </w:r>
          </w:p>
        </w:tc>
        <w:tc>
          <w:tcPr>
            <w:tcW w:w="1725" w:type="dxa"/>
            <w:vAlign w:val="center"/>
          </w:tcPr>
          <w:p w14:paraId="54C14C01"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678</w:t>
            </w:r>
          </w:p>
        </w:tc>
        <w:tc>
          <w:tcPr>
            <w:tcW w:w="1641" w:type="dxa"/>
            <w:vAlign w:val="center"/>
          </w:tcPr>
          <w:p w14:paraId="168D9457"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45</w:t>
            </w:r>
          </w:p>
        </w:tc>
        <w:tc>
          <w:tcPr>
            <w:tcW w:w="1640" w:type="dxa"/>
            <w:vAlign w:val="center"/>
          </w:tcPr>
          <w:p w14:paraId="50808D25"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46</w:t>
            </w:r>
          </w:p>
        </w:tc>
        <w:tc>
          <w:tcPr>
            <w:tcW w:w="1527" w:type="dxa"/>
            <w:vAlign w:val="center"/>
          </w:tcPr>
          <w:p w14:paraId="6EB39F7A"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51</w:t>
            </w:r>
          </w:p>
        </w:tc>
        <w:tc>
          <w:tcPr>
            <w:tcW w:w="1676" w:type="dxa"/>
            <w:vAlign w:val="bottom"/>
          </w:tcPr>
          <w:p w14:paraId="7BF9FFC1"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50</w:t>
            </w:r>
          </w:p>
        </w:tc>
      </w:tr>
      <w:tr w:rsidR="00C60C82" w:rsidRPr="008C1E5F" w14:paraId="3BD63F71"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5D7A5611"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rPr>
              <w:t>3-8</w:t>
            </w:r>
          </w:p>
        </w:tc>
        <w:tc>
          <w:tcPr>
            <w:tcW w:w="1725" w:type="dxa"/>
            <w:vAlign w:val="center"/>
          </w:tcPr>
          <w:p w14:paraId="3944A909"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3,517</w:t>
            </w:r>
          </w:p>
        </w:tc>
        <w:tc>
          <w:tcPr>
            <w:tcW w:w="1641" w:type="dxa"/>
            <w:vAlign w:val="center"/>
          </w:tcPr>
          <w:p w14:paraId="1A159676"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45</w:t>
            </w:r>
          </w:p>
        </w:tc>
        <w:tc>
          <w:tcPr>
            <w:tcW w:w="1640" w:type="dxa"/>
            <w:vAlign w:val="center"/>
          </w:tcPr>
          <w:p w14:paraId="4939FEB0"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46</w:t>
            </w:r>
          </w:p>
        </w:tc>
        <w:tc>
          <w:tcPr>
            <w:tcW w:w="1527" w:type="dxa"/>
            <w:vAlign w:val="center"/>
          </w:tcPr>
          <w:p w14:paraId="50EC8D43"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48</w:t>
            </w:r>
          </w:p>
        </w:tc>
        <w:tc>
          <w:tcPr>
            <w:tcW w:w="1676" w:type="dxa"/>
            <w:vAlign w:val="bottom"/>
          </w:tcPr>
          <w:p w14:paraId="1DF42FB0"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50</w:t>
            </w:r>
          </w:p>
        </w:tc>
      </w:tr>
      <w:tr w:rsidR="00C60C82" w:rsidRPr="008C1E5F" w14:paraId="75CFA66B" w14:textId="77777777">
        <w:tc>
          <w:tcPr>
            <w:tcW w:w="1135" w:type="dxa"/>
          </w:tcPr>
          <w:p w14:paraId="254C96FD"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rPr>
              <w:t>10</w:t>
            </w:r>
          </w:p>
        </w:tc>
        <w:tc>
          <w:tcPr>
            <w:tcW w:w="1725" w:type="dxa"/>
            <w:vAlign w:val="center"/>
          </w:tcPr>
          <w:p w14:paraId="06491F96"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536</w:t>
            </w:r>
          </w:p>
        </w:tc>
        <w:tc>
          <w:tcPr>
            <w:tcW w:w="1641" w:type="dxa"/>
            <w:vAlign w:val="center"/>
          </w:tcPr>
          <w:p w14:paraId="3E4D6F65"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41</w:t>
            </w:r>
          </w:p>
        </w:tc>
        <w:tc>
          <w:tcPr>
            <w:tcW w:w="1640" w:type="dxa"/>
            <w:vAlign w:val="center"/>
          </w:tcPr>
          <w:p w14:paraId="3BB74E7B"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45</w:t>
            </w:r>
          </w:p>
        </w:tc>
        <w:tc>
          <w:tcPr>
            <w:tcW w:w="1527" w:type="dxa"/>
            <w:vAlign w:val="center"/>
          </w:tcPr>
          <w:p w14:paraId="024AA7E5"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45</w:t>
            </w:r>
          </w:p>
        </w:tc>
        <w:tc>
          <w:tcPr>
            <w:tcW w:w="1676" w:type="dxa"/>
            <w:vAlign w:val="bottom"/>
          </w:tcPr>
          <w:p w14:paraId="05179C31" w14:textId="77777777" w:rsidR="00C60C82" w:rsidRPr="008C1E5F" w:rsidRDefault="00C60C82">
            <w:pPr>
              <w:pStyle w:val="TableTextCentered"/>
              <w:spacing w:before="30" w:after="30"/>
              <w:rPr>
                <w:rFonts w:ascii="Franklin Gothic Book" w:hAnsi="Franklin Gothic Book"/>
              </w:rPr>
            </w:pPr>
            <w:r w:rsidRPr="008C1E5F">
              <w:rPr>
                <w:rFonts w:ascii="Franklin Gothic Book" w:hAnsi="Franklin Gothic Book" w:cs="Calibri"/>
              </w:rPr>
              <w:t>50</w:t>
            </w:r>
          </w:p>
        </w:tc>
      </w:tr>
    </w:tbl>
    <w:p w14:paraId="68C2E9A7" w14:textId="77777777" w:rsidR="00C60C82" w:rsidRPr="008C1E5F" w:rsidRDefault="00C60C82" w:rsidP="00305BFA">
      <w:pPr>
        <w:pStyle w:val="TableETitles"/>
        <w:spacing w:before="240" w:after="60"/>
      </w:pPr>
      <w:bookmarkStart w:id="293" w:name="_Toc195024283"/>
      <w:r w:rsidRPr="008C1E5F">
        <w:t>Table E15. MCAS Mathematics Mean Student Growth Percentile by Grade, 2022-2024</w:t>
      </w:r>
      <w:bookmarkEnd w:id="293"/>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C60C82" w:rsidRPr="008C1E5F" w14:paraId="67D0B395" w14:textId="77777777">
        <w:trPr>
          <w:cnfStyle w:val="100000000000" w:firstRow="1" w:lastRow="0" w:firstColumn="0" w:lastColumn="0" w:oddVBand="0" w:evenVBand="0" w:oddHBand="0" w:evenHBand="0" w:firstRowFirstColumn="0" w:firstRowLastColumn="0" w:lastRowFirstColumn="0" w:lastRowLastColumn="0"/>
        </w:trPr>
        <w:tc>
          <w:tcPr>
            <w:tcW w:w="1135" w:type="dxa"/>
          </w:tcPr>
          <w:p w14:paraId="188AA55B" w14:textId="77777777" w:rsidR="00C60C82" w:rsidRPr="008C1E5F" w:rsidRDefault="00C60C82">
            <w:pPr>
              <w:pStyle w:val="TableColHeadingCenter"/>
              <w:keepNext/>
              <w:keepLines/>
            </w:pPr>
            <w:r w:rsidRPr="008C1E5F">
              <w:t>Grade</w:t>
            </w:r>
          </w:p>
        </w:tc>
        <w:tc>
          <w:tcPr>
            <w:tcW w:w="1725" w:type="dxa"/>
          </w:tcPr>
          <w:p w14:paraId="19F646F0" w14:textId="77777777" w:rsidR="00C60C82" w:rsidRPr="008C1E5F" w:rsidRDefault="00C60C82">
            <w:pPr>
              <w:pStyle w:val="TableColHeadingCenter"/>
            </w:pPr>
            <w:r w:rsidRPr="008C1E5F">
              <w:t># Included (2024)</w:t>
            </w:r>
          </w:p>
        </w:tc>
        <w:tc>
          <w:tcPr>
            <w:tcW w:w="1641" w:type="dxa"/>
          </w:tcPr>
          <w:p w14:paraId="180C257B" w14:textId="77777777" w:rsidR="00C60C82" w:rsidRPr="008C1E5F" w:rsidRDefault="00C60C82">
            <w:pPr>
              <w:pStyle w:val="TableColHeadingCenter"/>
            </w:pPr>
            <w:r w:rsidRPr="008C1E5F">
              <w:t>2022</w:t>
            </w:r>
          </w:p>
        </w:tc>
        <w:tc>
          <w:tcPr>
            <w:tcW w:w="1640" w:type="dxa"/>
          </w:tcPr>
          <w:p w14:paraId="25068D51" w14:textId="77777777" w:rsidR="00C60C82" w:rsidRPr="008C1E5F" w:rsidRDefault="00C60C82">
            <w:pPr>
              <w:pStyle w:val="TableColHeadingCenter"/>
            </w:pPr>
            <w:r w:rsidRPr="008C1E5F">
              <w:t>2023</w:t>
            </w:r>
          </w:p>
        </w:tc>
        <w:tc>
          <w:tcPr>
            <w:tcW w:w="1527" w:type="dxa"/>
          </w:tcPr>
          <w:p w14:paraId="076827A8" w14:textId="77777777" w:rsidR="00C60C82" w:rsidRPr="008C1E5F" w:rsidRDefault="00C60C82">
            <w:pPr>
              <w:pStyle w:val="TableColHeadingCenter"/>
            </w:pPr>
            <w:r w:rsidRPr="008C1E5F">
              <w:t>2024</w:t>
            </w:r>
          </w:p>
        </w:tc>
        <w:tc>
          <w:tcPr>
            <w:tcW w:w="1676" w:type="dxa"/>
          </w:tcPr>
          <w:p w14:paraId="41C61998" w14:textId="77777777" w:rsidR="00C60C82" w:rsidRPr="008C1E5F" w:rsidRDefault="00C60C82">
            <w:pPr>
              <w:pStyle w:val="TableColHeadingCenter"/>
            </w:pPr>
            <w:r w:rsidRPr="008C1E5F">
              <w:t>State (2024)</w:t>
            </w:r>
          </w:p>
        </w:tc>
      </w:tr>
      <w:tr w:rsidR="00C60C82" w:rsidRPr="008C1E5F" w14:paraId="07B8732D"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4C865363" w14:textId="77777777" w:rsidR="00C60C82" w:rsidRPr="008C1E5F" w:rsidRDefault="00C60C82">
            <w:pPr>
              <w:pStyle w:val="TableTextCentered"/>
              <w:keepNext/>
              <w:keepLines/>
              <w:rPr>
                <w:rFonts w:ascii="Franklin Gothic Book" w:hAnsi="Franklin Gothic Book"/>
              </w:rPr>
            </w:pPr>
            <w:r w:rsidRPr="008C1E5F">
              <w:rPr>
                <w:rFonts w:ascii="Franklin Gothic Book" w:hAnsi="Franklin Gothic Book"/>
              </w:rPr>
              <w:t>3</w:t>
            </w:r>
          </w:p>
        </w:tc>
        <w:tc>
          <w:tcPr>
            <w:tcW w:w="1725" w:type="dxa"/>
            <w:vAlign w:val="center"/>
          </w:tcPr>
          <w:p w14:paraId="5839EB42"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641" w:type="dxa"/>
            <w:vAlign w:val="center"/>
          </w:tcPr>
          <w:p w14:paraId="41032B34"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640" w:type="dxa"/>
            <w:vAlign w:val="center"/>
          </w:tcPr>
          <w:p w14:paraId="319D36C5"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527" w:type="dxa"/>
            <w:vAlign w:val="center"/>
          </w:tcPr>
          <w:p w14:paraId="774AE4FA"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c>
          <w:tcPr>
            <w:tcW w:w="1676" w:type="dxa"/>
            <w:vAlign w:val="bottom"/>
          </w:tcPr>
          <w:p w14:paraId="0F3F3A9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w:t>
            </w:r>
          </w:p>
        </w:tc>
      </w:tr>
      <w:tr w:rsidR="00C60C82" w:rsidRPr="008C1E5F" w14:paraId="63C36D79" w14:textId="77777777">
        <w:tc>
          <w:tcPr>
            <w:tcW w:w="1135" w:type="dxa"/>
          </w:tcPr>
          <w:p w14:paraId="4A274C87" w14:textId="77777777" w:rsidR="00C60C82" w:rsidRPr="008C1E5F" w:rsidRDefault="00C60C82">
            <w:pPr>
              <w:pStyle w:val="TableTextCentered"/>
              <w:keepNext/>
              <w:keepLines/>
              <w:rPr>
                <w:rFonts w:ascii="Franklin Gothic Book" w:hAnsi="Franklin Gothic Book"/>
              </w:rPr>
            </w:pPr>
            <w:r w:rsidRPr="008C1E5F">
              <w:rPr>
                <w:rFonts w:ascii="Franklin Gothic Book" w:hAnsi="Franklin Gothic Book"/>
              </w:rPr>
              <w:t>4</w:t>
            </w:r>
          </w:p>
        </w:tc>
        <w:tc>
          <w:tcPr>
            <w:tcW w:w="1725" w:type="dxa"/>
            <w:vAlign w:val="center"/>
          </w:tcPr>
          <w:p w14:paraId="60AFC64F"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767</w:t>
            </w:r>
          </w:p>
        </w:tc>
        <w:tc>
          <w:tcPr>
            <w:tcW w:w="1641" w:type="dxa"/>
            <w:vAlign w:val="center"/>
          </w:tcPr>
          <w:p w14:paraId="5257BAC9"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47</w:t>
            </w:r>
          </w:p>
        </w:tc>
        <w:tc>
          <w:tcPr>
            <w:tcW w:w="1640" w:type="dxa"/>
            <w:vAlign w:val="center"/>
          </w:tcPr>
          <w:p w14:paraId="0AA5950D"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48</w:t>
            </w:r>
          </w:p>
        </w:tc>
        <w:tc>
          <w:tcPr>
            <w:tcW w:w="1527" w:type="dxa"/>
            <w:vAlign w:val="center"/>
          </w:tcPr>
          <w:p w14:paraId="0D53DA02"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50</w:t>
            </w:r>
          </w:p>
        </w:tc>
        <w:tc>
          <w:tcPr>
            <w:tcW w:w="1676" w:type="dxa"/>
            <w:vAlign w:val="bottom"/>
          </w:tcPr>
          <w:p w14:paraId="64DF40BD"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50</w:t>
            </w:r>
          </w:p>
        </w:tc>
      </w:tr>
      <w:tr w:rsidR="00C60C82" w:rsidRPr="008C1E5F" w14:paraId="6A8BAC1B"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5B4B9A7D" w14:textId="77777777" w:rsidR="00C60C82" w:rsidRPr="008C1E5F" w:rsidRDefault="00C60C82">
            <w:pPr>
              <w:pStyle w:val="TableTextCentered"/>
              <w:rPr>
                <w:rFonts w:ascii="Franklin Gothic Book" w:hAnsi="Franklin Gothic Book"/>
              </w:rPr>
            </w:pPr>
            <w:r w:rsidRPr="008C1E5F">
              <w:rPr>
                <w:rFonts w:ascii="Franklin Gothic Book" w:hAnsi="Franklin Gothic Book"/>
              </w:rPr>
              <w:t>5</w:t>
            </w:r>
          </w:p>
        </w:tc>
        <w:tc>
          <w:tcPr>
            <w:tcW w:w="1725" w:type="dxa"/>
            <w:vAlign w:val="center"/>
          </w:tcPr>
          <w:p w14:paraId="7E729DF3"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764</w:t>
            </w:r>
          </w:p>
        </w:tc>
        <w:tc>
          <w:tcPr>
            <w:tcW w:w="1641" w:type="dxa"/>
            <w:vAlign w:val="center"/>
          </w:tcPr>
          <w:p w14:paraId="0E226CBD"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45</w:t>
            </w:r>
          </w:p>
        </w:tc>
        <w:tc>
          <w:tcPr>
            <w:tcW w:w="1640" w:type="dxa"/>
            <w:vAlign w:val="center"/>
          </w:tcPr>
          <w:p w14:paraId="59B25312"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43</w:t>
            </w:r>
          </w:p>
        </w:tc>
        <w:tc>
          <w:tcPr>
            <w:tcW w:w="1527" w:type="dxa"/>
            <w:vAlign w:val="center"/>
          </w:tcPr>
          <w:p w14:paraId="2929AD29"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45</w:t>
            </w:r>
          </w:p>
        </w:tc>
        <w:tc>
          <w:tcPr>
            <w:tcW w:w="1676" w:type="dxa"/>
            <w:vAlign w:val="bottom"/>
          </w:tcPr>
          <w:p w14:paraId="3EE4CCA5"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50</w:t>
            </w:r>
          </w:p>
        </w:tc>
      </w:tr>
      <w:tr w:rsidR="00C60C82" w:rsidRPr="008C1E5F" w14:paraId="40A43795" w14:textId="77777777">
        <w:tc>
          <w:tcPr>
            <w:tcW w:w="1135" w:type="dxa"/>
          </w:tcPr>
          <w:p w14:paraId="0B5683AB" w14:textId="77777777" w:rsidR="00C60C82" w:rsidRPr="008C1E5F" w:rsidRDefault="00C60C82">
            <w:pPr>
              <w:pStyle w:val="TableTextCentered"/>
              <w:rPr>
                <w:rFonts w:ascii="Franklin Gothic Book" w:hAnsi="Franklin Gothic Book"/>
              </w:rPr>
            </w:pPr>
            <w:r w:rsidRPr="008C1E5F">
              <w:rPr>
                <w:rFonts w:ascii="Franklin Gothic Book" w:hAnsi="Franklin Gothic Book"/>
              </w:rPr>
              <w:t>6</w:t>
            </w:r>
          </w:p>
        </w:tc>
        <w:tc>
          <w:tcPr>
            <w:tcW w:w="1725" w:type="dxa"/>
            <w:vAlign w:val="center"/>
          </w:tcPr>
          <w:p w14:paraId="1105F444"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646</w:t>
            </w:r>
          </w:p>
        </w:tc>
        <w:tc>
          <w:tcPr>
            <w:tcW w:w="1641" w:type="dxa"/>
            <w:vAlign w:val="center"/>
          </w:tcPr>
          <w:p w14:paraId="2C789093"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39</w:t>
            </w:r>
          </w:p>
        </w:tc>
        <w:tc>
          <w:tcPr>
            <w:tcW w:w="1640" w:type="dxa"/>
            <w:vAlign w:val="center"/>
          </w:tcPr>
          <w:p w14:paraId="284F0FE6"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36</w:t>
            </w:r>
          </w:p>
        </w:tc>
        <w:tc>
          <w:tcPr>
            <w:tcW w:w="1527" w:type="dxa"/>
            <w:vAlign w:val="center"/>
          </w:tcPr>
          <w:p w14:paraId="7C21C2B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40</w:t>
            </w:r>
          </w:p>
        </w:tc>
        <w:tc>
          <w:tcPr>
            <w:tcW w:w="1676" w:type="dxa"/>
            <w:vAlign w:val="bottom"/>
          </w:tcPr>
          <w:p w14:paraId="3638EB36"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50</w:t>
            </w:r>
          </w:p>
        </w:tc>
      </w:tr>
      <w:tr w:rsidR="00C60C82" w:rsidRPr="008C1E5F" w14:paraId="020B76E8"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76F5151C" w14:textId="77777777" w:rsidR="00C60C82" w:rsidRPr="008C1E5F" w:rsidRDefault="00C60C82">
            <w:pPr>
              <w:pStyle w:val="TableTextCentered"/>
              <w:rPr>
                <w:rFonts w:ascii="Franklin Gothic Book" w:hAnsi="Franklin Gothic Book"/>
              </w:rPr>
            </w:pPr>
            <w:r w:rsidRPr="008C1E5F">
              <w:rPr>
                <w:rFonts w:ascii="Franklin Gothic Book" w:hAnsi="Franklin Gothic Book"/>
              </w:rPr>
              <w:t>7</w:t>
            </w:r>
          </w:p>
        </w:tc>
        <w:tc>
          <w:tcPr>
            <w:tcW w:w="1725" w:type="dxa"/>
            <w:vAlign w:val="center"/>
          </w:tcPr>
          <w:p w14:paraId="3337C60A"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677</w:t>
            </w:r>
          </w:p>
        </w:tc>
        <w:tc>
          <w:tcPr>
            <w:tcW w:w="1641" w:type="dxa"/>
            <w:vAlign w:val="center"/>
          </w:tcPr>
          <w:p w14:paraId="7DB532A3"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38</w:t>
            </w:r>
          </w:p>
        </w:tc>
        <w:tc>
          <w:tcPr>
            <w:tcW w:w="1640" w:type="dxa"/>
            <w:vAlign w:val="center"/>
          </w:tcPr>
          <w:p w14:paraId="2B64A295"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43</w:t>
            </w:r>
          </w:p>
        </w:tc>
        <w:tc>
          <w:tcPr>
            <w:tcW w:w="1527" w:type="dxa"/>
            <w:vAlign w:val="center"/>
          </w:tcPr>
          <w:p w14:paraId="4EBE0246"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44</w:t>
            </w:r>
          </w:p>
        </w:tc>
        <w:tc>
          <w:tcPr>
            <w:tcW w:w="1676" w:type="dxa"/>
            <w:vAlign w:val="bottom"/>
          </w:tcPr>
          <w:p w14:paraId="6A6A1098"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50</w:t>
            </w:r>
          </w:p>
        </w:tc>
      </w:tr>
      <w:tr w:rsidR="00C60C82" w:rsidRPr="008C1E5F" w14:paraId="3C83E9F6" w14:textId="77777777">
        <w:tc>
          <w:tcPr>
            <w:tcW w:w="1135" w:type="dxa"/>
          </w:tcPr>
          <w:p w14:paraId="0CDD5409" w14:textId="77777777" w:rsidR="00C60C82" w:rsidRPr="008C1E5F" w:rsidRDefault="00C60C82">
            <w:pPr>
              <w:pStyle w:val="TableTextCentered"/>
              <w:rPr>
                <w:rFonts w:ascii="Franklin Gothic Book" w:hAnsi="Franklin Gothic Book"/>
              </w:rPr>
            </w:pPr>
            <w:r w:rsidRPr="008C1E5F">
              <w:rPr>
                <w:rFonts w:ascii="Franklin Gothic Book" w:hAnsi="Franklin Gothic Book"/>
              </w:rPr>
              <w:t>8</w:t>
            </w:r>
          </w:p>
        </w:tc>
        <w:tc>
          <w:tcPr>
            <w:tcW w:w="1725" w:type="dxa"/>
            <w:vAlign w:val="center"/>
          </w:tcPr>
          <w:p w14:paraId="21EDA821"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685</w:t>
            </w:r>
          </w:p>
        </w:tc>
        <w:tc>
          <w:tcPr>
            <w:tcW w:w="1641" w:type="dxa"/>
            <w:vAlign w:val="center"/>
          </w:tcPr>
          <w:p w14:paraId="3557AFB4"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43</w:t>
            </w:r>
          </w:p>
        </w:tc>
        <w:tc>
          <w:tcPr>
            <w:tcW w:w="1640" w:type="dxa"/>
            <w:vAlign w:val="center"/>
          </w:tcPr>
          <w:p w14:paraId="7FFC600B"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43</w:t>
            </w:r>
          </w:p>
        </w:tc>
        <w:tc>
          <w:tcPr>
            <w:tcW w:w="1527" w:type="dxa"/>
            <w:vAlign w:val="center"/>
          </w:tcPr>
          <w:p w14:paraId="0FFD91C7"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44</w:t>
            </w:r>
          </w:p>
        </w:tc>
        <w:tc>
          <w:tcPr>
            <w:tcW w:w="1676" w:type="dxa"/>
            <w:vAlign w:val="bottom"/>
          </w:tcPr>
          <w:p w14:paraId="0DCE4042"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50</w:t>
            </w:r>
          </w:p>
        </w:tc>
      </w:tr>
      <w:tr w:rsidR="00C60C82" w:rsidRPr="008C1E5F" w14:paraId="3A5D8978" w14:textId="77777777">
        <w:trPr>
          <w:cnfStyle w:val="000000100000" w:firstRow="0" w:lastRow="0" w:firstColumn="0" w:lastColumn="0" w:oddVBand="0" w:evenVBand="0" w:oddHBand="1" w:evenHBand="0" w:firstRowFirstColumn="0" w:firstRowLastColumn="0" w:lastRowFirstColumn="0" w:lastRowLastColumn="0"/>
          <w:trHeight w:val="80"/>
        </w:trPr>
        <w:tc>
          <w:tcPr>
            <w:tcW w:w="1135" w:type="dxa"/>
          </w:tcPr>
          <w:p w14:paraId="2BB34EDF" w14:textId="77777777" w:rsidR="00C60C82" w:rsidRPr="008C1E5F" w:rsidRDefault="00C60C82">
            <w:pPr>
              <w:pStyle w:val="TableTextCentered"/>
              <w:rPr>
                <w:rFonts w:ascii="Franklin Gothic Book" w:hAnsi="Franklin Gothic Book"/>
              </w:rPr>
            </w:pPr>
            <w:r w:rsidRPr="008C1E5F">
              <w:rPr>
                <w:rFonts w:ascii="Franklin Gothic Book" w:hAnsi="Franklin Gothic Book"/>
              </w:rPr>
              <w:t>3-8</w:t>
            </w:r>
          </w:p>
        </w:tc>
        <w:tc>
          <w:tcPr>
            <w:tcW w:w="1725" w:type="dxa"/>
            <w:vAlign w:val="center"/>
          </w:tcPr>
          <w:p w14:paraId="18E585F3"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3,539</w:t>
            </w:r>
          </w:p>
        </w:tc>
        <w:tc>
          <w:tcPr>
            <w:tcW w:w="1641" w:type="dxa"/>
            <w:vAlign w:val="center"/>
          </w:tcPr>
          <w:p w14:paraId="385072F3"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43</w:t>
            </w:r>
          </w:p>
        </w:tc>
        <w:tc>
          <w:tcPr>
            <w:tcW w:w="1640" w:type="dxa"/>
            <w:vAlign w:val="center"/>
          </w:tcPr>
          <w:p w14:paraId="0156AC8C"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43</w:t>
            </w:r>
          </w:p>
        </w:tc>
        <w:tc>
          <w:tcPr>
            <w:tcW w:w="1527" w:type="dxa"/>
            <w:vAlign w:val="center"/>
          </w:tcPr>
          <w:p w14:paraId="75262948"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45</w:t>
            </w:r>
          </w:p>
        </w:tc>
        <w:tc>
          <w:tcPr>
            <w:tcW w:w="1676" w:type="dxa"/>
            <w:vAlign w:val="bottom"/>
          </w:tcPr>
          <w:p w14:paraId="540AB8BA"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50</w:t>
            </w:r>
          </w:p>
        </w:tc>
      </w:tr>
      <w:tr w:rsidR="00C60C82" w:rsidRPr="008C1E5F" w14:paraId="62C5520F" w14:textId="77777777">
        <w:tc>
          <w:tcPr>
            <w:tcW w:w="1135" w:type="dxa"/>
          </w:tcPr>
          <w:p w14:paraId="316F8887" w14:textId="77777777" w:rsidR="00C60C82" w:rsidRPr="008C1E5F" w:rsidRDefault="00C60C82">
            <w:pPr>
              <w:pStyle w:val="TableTextCentered"/>
              <w:rPr>
                <w:rFonts w:ascii="Franklin Gothic Book" w:hAnsi="Franklin Gothic Book"/>
              </w:rPr>
            </w:pPr>
            <w:r w:rsidRPr="008C1E5F">
              <w:rPr>
                <w:rFonts w:ascii="Franklin Gothic Book" w:hAnsi="Franklin Gothic Book"/>
              </w:rPr>
              <w:t>10</w:t>
            </w:r>
          </w:p>
        </w:tc>
        <w:tc>
          <w:tcPr>
            <w:tcW w:w="1725" w:type="dxa"/>
            <w:vAlign w:val="center"/>
          </w:tcPr>
          <w:p w14:paraId="1ED564E8"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527</w:t>
            </w:r>
          </w:p>
        </w:tc>
        <w:tc>
          <w:tcPr>
            <w:tcW w:w="1641" w:type="dxa"/>
            <w:vAlign w:val="center"/>
          </w:tcPr>
          <w:p w14:paraId="7B8CE528"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36</w:t>
            </w:r>
          </w:p>
        </w:tc>
        <w:tc>
          <w:tcPr>
            <w:tcW w:w="1640" w:type="dxa"/>
            <w:vAlign w:val="center"/>
          </w:tcPr>
          <w:p w14:paraId="6740174E"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34</w:t>
            </w:r>
          </w:p>
        </w:tc>
        <w:tc>
          <w:tcPr>
            <w:tcW w:w="1527" w:type="dxa"/>
            <w:vAlign w:val="center"/>
          </w:tcPr>
          <w:p w14:paraId="20CAFB35"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34</w:t>
            </w:r>
          </w:p>
        </w:tc>
        <w:tc>
          <w:tcPr>
            <w:tcW w:w="1676" w:type="dxa"/>
            <w:vAlign w:val="bottom"/>
          </w:tcPr>
          <w:p w14:paraId="2613DB00" w14:textId="77777777" w:rsidR="00C60C82" w:rsidRPr="008C1E5F" w:rsidRDefault="00C60C82">
            <w:pPr>
              <w:pStyle w:val="TableTextCentered"/>
              <w:rPr>
                <w:rFonts w:ascii="Franklin Gothic Book" w:hAnsi="Franklin Gothic Book"/>
              </w:rPr>
            </w:pPr>
            <w:r w:rsidRPr="008C1E5F">
              <w:rPr>
                <w:rFonts w:ascii="Franklin Gothic Book" w:hAnsi="Franklin Gothic Book" w:cs="Calibri"/>
              </w:rPr>
              <w:t>50</w:t>
            </w:r>
          </w:p>
        </w:tc>
      </w:tr>
    </w:tbl>
    <w:p w14:paraId="1905D9EC" w14:textId="77777777" w:rsidR="00C60C82" w:rsidRPr="008C1E5F" w:rsidRDefault="00C60C82" w:rsidP="00305BFA">
      <w:pPr>
        <w:pStyle w:val="TableETitles"/>
        <w:spacing w:before="240" w:after="60"/>
      </w:pPr>
      <w:bookmarkStart w:id="294" w:name="_Toc195024284"/>
      <w:r w:rsidRPr="008C1E5F">
        <w:t>Table E16. Four-Year Cohort Graduation Rates by Student Group, 2021-2023</w:t>
      </w:r>
      <w:bookmarkEnd w:id="294"/>
    </w:p>
    <w:tbl>
      <w:tblPr>
        <w:tblStyle w:val="MSVTable1"/>
        <w:tblW w:w="0" w:type="auto"/>
        <w:jc w:val="center"/>
        <w:tblLook w:val="04A0" w:firstRow="1" w:lastRow="0" w:firstColumn="1" w:lastColumn="0" w:noHBand="0" w:noVBand="1"/>
      </w:tblPr>
      <w:tblGrid>
        <w:gridCol w:w="2962"/>
        <w:gridCol w:w="1344"/>
        <w:gridCol w:w="1255"/>
        <w:gridCol w:w="1254"/>
        <w:gridCol w:w="1255"/>
        <w:gridCol w:w="1255"/>
      </w:tblGrid>
      <w:tr w:rsidR="00C60C82" w:rsidRPr="008C1E5F" w14:paraId="714BA53B" w14:textId="77777777" w:rsidTr="0015336A">
        <w:trPr>
          <w:cnfStyle w:val="100000000000" w:firstRow="1" w:lastRow="0" w:firstColumn="0" w:lastColumn="0" w:oddVBand="0" w:evenVBand="0" w:oddHBand="0" w:evenHBand="0" w:firstRowFirstColumn="0" w:firstRowLastColumn="0" w:lastRowFirstColumn="0" w:lastRowLastColumn="0"/>
          <w:jc w:val="center"/>
        </w:trPr>
        <w:tc>
          <w:tcPr>
            <w:tcW w:w="2962" w:type="dxa"/>
            <w:vAlign w:val="center"/>
          </w:tcPr>
          <w:p w14:paraId="10860229" w14:textId="77777777" w:rsidR="00C60C82" w:rsidRPr="008C1E5F" w:rsidRDefault="00C60C82" w:rsidP="0015336A">
            <w:pPr>
              <w:pStyle w:val="TableColHeadingCenter"/>
            </w:pPr>
            <w:r w:rsidRPr="008C1E5F">
              <w:t>Group</w:t>
            </w:r>
          </w:p>
        </w:tc>
        <w:tc>
          <w:tcPr>
            <w:tcW w:w="1344" w:type="dxa"/>
            <w:vAlign w:val="center"/>
          </w:tcPr>
          <w:p w14:paraId="000DA70E" w14:textId="77777777" w:rsidR="00C60C82" w:rsidRPr="008C1E5F" w:rsidRDefault="00C60C82" w:rsidP="0015336A">
            <w:pPr>
              <w:pStyle w:val="TableColHeadingCenter"/>
            </w:pPr>
            <w:r w:rsidRPr="008C1E5F">
              <w:t># Included (2023)</w:t>
            </w:r>
          </w:p>
        </w:tc>
        <w:tc>
          <w:tcPr>
            <w:tcW w:w="1255" w:type="dxa"/>
            <w:vAlign w:val="center"/>
          </w:tcPr>
          <w:p w14:paraId="26CE747E" w14:textId="77777777" w:rsidR="00C60C82" w:rsidRPr="008C1E5F" w:rsidRDefault="00C60C82" w:rsidP="0015336A">
            <w:pPr>
              <w:pStyle w:val="TableColHeadingCenter"/>
            </w:pPr>
            <w:r w:rsidRPr="008C1E5F">
              <w:t>2021</w:t>
            </w:r>
          </w:p>
        </w:tc>
        <w:tc>
          <w:tcPr>
            <w:tcW w:w="1254" w:type="dxa"/>
            <w:vAlign w:val="center"/>
          </w:tcPr>
          <w:p w14:paraId="5957C649" w14:textId="77777777" w:rsidR="00C60C82" w:rsidRPr="008C1E5F" w:rsidRDefault="00C60C82" w:rsidP="0015336A">
            <w:pPr>
              <w:pStyle w:val="TableColHeadingCenter"/>
            </w:pPr>
            <w:r w:rsidRPr="008C1E5F">
              <w:t>2022</w:t>
            </w:r>
          </w:p>
        </w:tc>
        <w:tc>
          <w:tcPr>
            <w:tcW w:w="1255" w:type="dxa"/>
            <w:vAlign w:val="center"/>
          </w:tcPr>
          <w:p w14:paraId="175ED50F" w14:textId="77777777" w:rsidR="00C60C82" w:rsidRPr="008C1E5F" w:rsidRDefault="00C60C82" w:rsidP="0015336A">
            <w:pPr>
              <w:pStyle w:val="TableColHeadingCenter"/>
            </w:pPr>
            <w:r w:rsidRPr="008C1E5F">
              <w:t>2023</w:t>
            </w:r>
          </w:p>
        </w:tc>
        <w:tc>
          <w:tcPr>
            <w:tcW w:w="1255" w:type="dxa"/>
            <w:vAlign w:val="center"/>
          </w:tcPr>
          <w:p w14:paraId="2C206190" w14:textId="77777777" w:rsidR="00C60C82" w:rsidRPr="008C1E5F" w:rsidRDefault="00C60C82" w:rsidP="0015336A">
            <w:pPr>
              <w:pStyle w:val="TableColHeadingCenter"/>
            </w:pPr>
            <w:r w:rsidRPr="008C1E5F">
              <w:t>State (2023)</w:t>
            </w:r>
          </w:p>
        </w:tc>
      </w:tr>
      <w:tr w:rsidR="00C60C82" w:rsidRPr="008C1E5F" w14:paraId="76A6FDF4" w14:textId="77777777" w:rsidTr="0015336A">
        <w:trPr>
          <w:cnfStyle w:val="000000100000" w:firstRow="0" w:lastRow="0" w:firstColumn="0" w:lastColumn="0" w:oddVBand="0" w:evenVBand="0" w:oddHBand="1" w:evenHBand="0" w:firstRowFirstColumn="0" w:firstRowLastColumn="0" w:lastRowFirstColumn="0" w:lastRowLastColumn="0"/>
          <w:jc w:val="center"/>
        </w:trPr>
        <w:tc>
          <w:tcPr>
            <w:tcW w:w="2962" w:type="dxa"/>
          </w:tcPr>
          <w:p w14:paraId="7E0EB30E" w14:textId="77777777" w:rsidR="00C60C82" w:rsidRPr="008C1E5F" w:rsidRDefault="00C60C82" w:rsidP="0015336A">
            <w:pPr>
              <w:pStyle w:val="TableText"/>
            </w:pPr>
            <w:r w:rsidRPr="008C1E5F">
              <w:t>All</w:t>
            </w:r>
          </w:p>
        </w:tc>
        <w:tc>
          <w:tcPr>
            <w:tcW w:w="1344" w:type="dxa"/>
            <w:vAlign w:val="center"/>
          </w:tcPr>
          <w:p w14:paraId="14F80C36" w14:textId="77777777" w:rsidR="00C60C82" w:rsidRPr="008C1E5F" w:rsidRDefault="00C60C82" w:rsidP="0015336A">
            <w:pPr>
              <w:pStyle w:val="TableTextCentered"/>
            </w:pPr>
            <w:r w:rsidRPr="008C1E5F">
              <w:t>697</w:t>
            </w:r>
          </w:p>
        </w:tc>
        <w:tc>
          <w:tcPr>
            <w:tcW w:w="1255" w:type="dxa"/>
            <w:vAlign w:val="center"/>
          </w:tcPr>
          <w:p w14:paraId="0AF92B4B" w14:textId="77777777" w:rsidR="00C60C82" w:rsidRPr="008C1E5F" w:rsidRDefault="00C60C82" w:rsidP="0015336A">
            <w:pPr>
              <w:pStyle w:val="TableTextCentered"/>
            </w:pPr>
            <w:r w:rsidRPr="008C1E5F">
              <w:t>79.7</w:t>
            </w:r>
          </w:p>
        </w:tc>
        <w:tc>
          <w:tcPr>
            <w:tcW w:w="1254" w:type="dxa"/>
            <w:vAlign w:val="center"/>
          </w:tcPr>
          <w:p w14:paraId="13FE8E27" w14:textId="77777777" w:rsidR="00C60C82" w:rsidRPr="008C1E5F" w:rsidRDefault="00C60C82" w:rsidP="0015336A">
            <w:pPr>
              <w:pStyle w:val="TableTextCentered"/>
            </w:pPr>
            <w:r w:rsidRPr="008C1E5F">
              <w:t>78.8</w:t>
            </w:r>
          </w:p>
        </w:tc>
        <w:tc>
          <w:tcPr>
            <w:tcW w:w="1255" w:type="dxa"/>
            <w:vAlign w:val="center"/>
          </w:tcPr>
          <w:p w14:paraId="27A02099" w14:textId="77777777" w:rsidR="00C60C82" w:rsidRPr="008C1E5F" w:rsidRDefault="00C60C82" w:rsidP="0015336A">
            <w:pPr>
              <w:pStyle w:val="TableTextCentered"/>
            </w:pPr>
            <w:r w:rsidRPr="008C1E5F">
              <w:t>74.5</w:t>
            </w:r>
          </w:p>
        </w:tc>
        <w:tc>
          <w:tcPr>
            <w:tcW w:w="1255" w:type="dxa"/>
            <w:vAlign w:val="center"/>
          </w:tcPr>
          <w:p w14:paraId="450F4A6C" w14:textId="77777777" w:rsidR="00C60C82" w:rsidRPr="008C1E5F" w:rsidRDefault="00C60C82" w:rsidP="0015336A">
            <w:pPr>
              <w:pStyle w:val="TableTextCentered"/>
            </w:pPr>
            <w:r w:rsidRPr="008C1E5F">
              <w:t>89.2</w:t>
            </w:r>
          </w:p>
        </w:tc>
      </w:tr>
      <w:tr w:rsidR="00C60C82" w:rsidRPr="008C1E5F" w14:paraId="0414BC8E" w14:textId="77777777" w:rsidTr="0015336A">
        <w:trPr>
          <w:jc w:val="center"/>
        </w:trPr>
        <w:tc>
          <w:tcPr>
            <w:tcW w:w="2962" w:type="dxa"/>
          </w:tcPr>
          <w:p w14:paraId="7F6968FB" w14:textId="77777777" w:rsidR="00C60C82" w:rsidRPr="008C1E5F" w:rsidRDefault="00C60C82" w:rsidP="0015336A">
            <w:pPr>
              <w:pStyle w:val="TableText"/>
            </w:pPr>
            <w:r w:rsidRPr="008C1E5F">
              <w:t>African American/Black</w:t>
            </w:r>
          </w:p>
        </w:tc>
        <w:tc>
          <w:tcPr>
            <w:tcW w:w="1344" w:type="dxa"/>
            <w:vAlign w:val="center"/>
          </w:tcPr>
          <w:p w14:paraId="09ED6264" w14:textId="77777777" w:rsidR="00C60C82" w:rsidRPr="008C1E5F" w:rsidRDefault="00C60C82" w:rsidP="0015336A">
            <w:pPr>
              <w:pStyle w:val="TableTextCentered"/>
            </w:pPr>
            <w:r w:rsidRPr="008C1E5F">
              <w:t>81</w:t>
            </w:r>
          </w:p>
        </w:tc>
        <w:tc>
          <w:tcPr>
            <w:tcW w:w="1255" w:type="dxa"/>
            <w:vAlign w:val="center"/>
          </w:tcPr>
          <w:p w14:paraId="72E45DE2" w14:textId="77777777" w:rsidR="00C60C82" w:rsidRPr="008C1E5F" w:rsidRDefault="00C60C82" w:rsidP="0015336A">
            <w:pPr>
              <w:pStyle w:val="TableTextCentered"/>
            </w:pPr>
            <w:r w:rsidRPr="008C1E5F">
              <w:t>80.7</w:t>
            </w:r>
          </w:p>
        </w:tc>
        <w:tc>
          <w:tcPr>
            <w:tcW w:w="1254" w:type="dxa"/>
            <w:vAlign w:val="center"/>
          </w:tcPr>
          <w:p w14:paraId="3DF292D9" w14:textId="77777777" w:rsidR="00C60C82" w:rsidRPr="008C1E5F" w:rsidRDefault="00C60C82" w:rsidP="0015336A">
            <w:pPr>
              <w:pStyle w:val="TableTextCentered"/>
            </w:pPr>
            <w:r w:rsidRPr="008C1E5F">
              <w:t>82.4</w:t>
            </w:r>
          </w:p>
        </w:tc>
        <w:tc>
          <w:tcPr>
            <w:tcW w:w="1255" w:type="dxa"/>
            <w:vAlign w:val="center"/>
          </w:tcPr>
          <w:p w14:paraId="1DF87077" w14:textId="77777777" w:rsidR="00C60C82" w:rsidRPr="008C1E5F" w:rsidRDefault="00C60C82" w:rsidP="0015336A">
            <w:pPr>
              <w:pStyle w:val="TableTextCentered"/>
            </w:pPr>
            <w:r w:rsidRPr="008C1E5F">
              <w:t>85.2</w:t>
            </w:r>
          </w:p>
        </w:tc>
        <w:tc>
          <w:tcPr>
            <w:tcW w:w="1255" w:type="dxa"/>
            <w:vAlign w:val="center"/>
          </w:tcPr>
          <w:p w14:paraId="5EFF52B4" w14:textId="77777777" w:rsidR="00C60C82" w:rsidRPr="008C1E5F" w:rsidRDefault="00C60C82" w:rsidP="0015336A">
            <w:pPr>
              <w:pStyle w:val="TableTextCentered"/>
            </w:pPr>
            <w:r w:rsidRPr="008C1E5F">
              <w:t>85.6</w:t>
            </w:r>
          </w:p>
        </w:tc>
      </w:tr>
      <w:tr w:rsidR="00C60C82" w:rsidRPr="008C1E5F" w14:paraId="2C3EA21B" w14:textId="77777777" w:rsidTr="0015336A">
        <w:trPr>
          <w:cnfStyle w:val="000000100000" w:firstRow="0" w:lastRow="0" w:firstColumn="0" w:lastColumn="0" w:oddVBand="0" w:evenVBand="0" w:oddHBand="1" w:evenHBand="0" w:firstRowFirstColumn="0" w:firstRowLastColumn="0" w:lastRowFirstColumn="0" w:lastRowLastColumn="0"/>
          <w:jc w:val="center"/>
        </w:trPr>
        <w:tc>
          <w:tcPr>
            <w:tcW w:w="2962" w:type="dxa"/>
          </w:tcPr>
          <w:p w14:paraId="2A923C0D" w14:textId="77777777" w:rsidR="00C60C82" w:rsidRPr="008C1E5F" w:rsidRDefault="00C60C82" w:rsidP="0015336A">
            <w:pPr>
              <w:pStyle w:val="TableText"/>
            </w:pPr>
            <w:r w:rsidRPr="008C1E5F">
              <w:t>Asian</w:t>
            </w:r>
          </w:p>
        </w:tc>
        <w:tc>
          <w:tcPr>
            <w:tcW w:w="1344" w:type="dxa"/>
            <w:vAlign w:val="center"/>
          </w:tcPr>
          <w:p w14:paraId="4716757F" w14:textId="77777777" w:rsidR="00C60C82" w:rsidRPr="008C1E5F" w:rsidRDefault="00C60C82" w:rsidP="0015336A">
            <w:pPr>
              <w:pStyle w:val="TableTextCentered"/>
            </w:pPr>
            <w:r w:rsidRPr="008C1E5F">
              <w:t>27</w:t>
            </w:r>
          </w:p>
        </w:tc>
        <w:tc>
          <w:tcPr>
            <w:tcW w:w="1255" w:type="dxa"/>
            <w:vAlign w:val="center"/>
          </w:tcPr>
          <w:p w14:paraId="43A65A82" w14:textId="77777777" w:rsidR="00C60C82" w:rsidRPr="008C1E5F" w:rsidRDefault="00C60C82" w:rsidP="0015336A">
            <w:pPr>
              <w:pStyle w:val="TableTextCentered"/>
            </w:pPr>
            <w:r w:rsidRPr="008C1E5F">
              <w:t>96.6</w:t>
            </w:r>
          </w:p>
        </w:tc>
        <w:tc>
          <w:tcPr>
            <w:tcW w:w="1254" w:type="dxa"/>
            <w:vAlign w:val="center"/>
          </w:tcPr>
          <w:p w14:paraId="5FEB111B" w14:textId="77777777" w:rsidR="00C60C82" w:rsidRPr="008C1E5F" w:rsidRDefault="00C60C82" w:rsidP="0015336A">
            <w:pPr>
              <w:pStyle w:val="TableTextCentered"/>
            </w:pPr>
            <w:r w:rsidRPr="008C1E5F">
              <w:t>93.3</w:t>
            </w:r>
          </w:p>
        </w:tc>
        <w:tc>
          <w:tcPr>
            <w:tcW w:w="1255" w:type="dxa"/>
            <w:vAlign w:val="center"/>
          </w:tcPr>
          <w:p w14:paraId="57FC1784" w14:textId="77777777" w:rsidR="00C60C82" w:rsidRPr="008C1E5F" w:rsidRDefault="00C60C82" w:rsidP="0015336A">
            <w:pPr>
              <w:pStyle w:val="TableTextCentered"/>
            </w:pPr>
            <w:r w:rsidRPr="008C1E5F">
              <w:t>92.6</w:t>
            </w:r>
          </w:p>
        </w:tc>
        <w:tc>
          <w:tcPr>
            <w:tcW w:w="1255" w:type="dxa"/>
            <w:vAlign w:val="center"/>
          </w:tcPr>
          <w:p w14:paraId="7D1F1391" w14:textId="77777777" w:rsidR="00C60C82" w:rsidRPr="008C1E5F" w:rsidRDefault="00C60C82" w:rsidP="0015336A">
            <w:pPr>
              <w:pStyle w:val="TableTextCentered"/>
            </w:pPr>
            <w:r w:rsidRPr="008C1E5F">
              <w:t>95.2</w:t>
            </w:r>
          </w:p>
        </w:tc>
      </w:tr>
      <w:tr w:rsidR="00C60C82" w:rsidRPr="008C1E5F" w14:paraId="2ED9E5E5" w14:textId="77777777" w:rsidTr="0015336A">
        <w:trPr>
          <w:jc w:val="center"/>
        </w:trPr>
        <w:tc>
          <w:tcPr>
            <w:tcW w:w="2962" w:type="dxa"/>
          </w:tcPr>
          <w:p w14:paraId="79DDA62B" w14:textId="77777777" w:rsidR="00C60C82" w:rsidRPr="008C1E5F" w:rsidRDefault="00C60C82" w:rsidP="0015336A">
            <w:pPr>
              <w:pStyle w:val="TableText"/>
            </w:pPr>
            <w:r w:rsidRPr="008C1E5F">
              <w:t>Hispanic/Latino</w:t>
            </w:r>
          </w:p>
        </w:tc>
        <w:tc>
          <w:tcPr>
            <w:tcW w:w="1344" w:type="dxa"/>
            <w:vAlign w:val="center"/>
          </w:tcPr>
          <w:p w14:paraId="473CC0F2" w14:textId="77777777" w:rsidR="00C60C82" w:rsidRPr="008C1E5F" w:rsidRDefault="00C60C82" w:rsidP="0015336A">
            <w:pPr>
              <w:pStyle w:val="TableTextCentered"/>
            </w:pPr>
            <w:r w:rsidRPr="008C1E5F">
              <w:t>200</w:t>
            </w:r>
          </w:p>
        </w:tc>
        <w:tc>
          <w:tcPr>
            <w:tcW w:w="1255" w:type="dxa"/>
            <w:vAlign w:val="center"/>
          </w:tcPr>
          <w:p w14:paraId="00C2F18A" w14:textId="77777777" w:rsidR="00C60C82" w:rsidRPr="008C1E5F" w:rsidRDefault="00C60C82" w:rsidP="0015336A">
            <w:pPr>
              <w:pStyle w:val="TableTextCentered"/>
            </w:pPr>
            <w:r w:rsidRPr="008C1E5F">
              <w:t>75.6</w:t>
            </w:r>
          </w:p>
        </w:tc>
        <w:tc>
          <w:tcPr>
            <w:tcW w:w="1254" w:type="dxa"/>
            <w:vAlign w:val="center"/>
          </w:tcPr>
          <w:p w14:paraId="51B8E4A4" w14:textId="77777777" w:rsidR="00C60C82" w:rsidRPr="008C1E5F" w:rsidRDefault="00C60C82" w:rsidP="0015336A">
            <w:pPr>
              <w:pStyle w:val="TableTextCentered"/>
            </w:pPr>
            <w:r w:rsidRPr="008C1E5F">
              <w:t>78.5</w:t>
            </w:r>
          </w:p>
        </w:tc>
        <w:tc>
          <w:tcPr>
            <w:tcW w:w="1255" w:type="dxa"/>
            <w:vAlign w:val="center"/>
          </w:tcPr>
          <w:p w14:paraId="3D28598C" w14:textId="77777777" w:rsidR="00C60C82" w:rsidRPr="008C1E5F" w:rsidRDefault="00C60C82" w:rsidP="0015336A">
            <w:pPr>
              <w:pStyle w:val="TableTextCentered"/>
            </w:pPr>
            <w:r w:rsidRPr="008C1E5F">
              <w:t>73.5</w:t>
            </w:r>
          </w:p>
        </w:tc>
        <w:tc>
          <w:tcPr>
            <w:tcW w:w="1255" w:type="dxa"/>
            <w:vAlign w:val="center"/>
          </w:tcPr>
          <w:p w14:paraId="5000195D" w14:textId="77777777" w:rsidR="00C60C82" w:rsidRPr="008C1E5F" w:rsidRDefault="00C60C82" w:rsidP="0015336A">
            <w:pPr>
              <w:pStyle w:val="TableTextCentered"/>
            </w:pPr>
            <w:r w:rsidRPr="008C1E5F">
              <w:t>78.9</w:t>
            </w:r>
          </w:p>
        </w:tc>
      </w:tr>
      <w:tr w:rsidR="00C60C82" w:rsidRPr="008C1E5F" w14:paraId="5F015516" w14:textId="77777777" w:rsidTr="0015336A">
        <w:trPr>
          <w:cnfStyle w:val="000000100000" w:firstRow="0" w:lastRow="0" w:firstColumn="0" w:lastColumn="0" w:oddVBand="0" w:evenVBand="0" w:oddHBand="1" w:evenHBand="0" w:firstRowFirstColumn="0" w:firstRowLastColumn="0" w:lastRowFirstColumn="0" w:lastRowLastColumn="0"/>
          <w:jc w:val="center"/>
        </w:trPr>
        <w:tc>
          <w:tcPr>
            <w:tcW w:w="2962" w:type="dxa"/>
          </w:tcPr>
          <w:p w14:paraId="78554540" w14:textId="77777777" w:rsidR="00C60C82" w:rsidRPr="008C1E5F" w:rsidRDefault="00C60C82" w:rsidP="0015336A">
            <w:pPr>
              <w:pStyle w:val="TableText"/>
            </w:pPr>
            <w:r w:rsidRPr="008C1E5F">
              <w:rPr>
                <w:rFonts w:cstheme="minorHAnsi"/>
              </w:rPr>
              <w:t>Multi-Race, non-Hispanic/Latino</w:t>
            </w:r>
          </w:p>
        </w:tc>
        <w:tc>
          <w:tcPr>
            <w:tcW w:w="1344" w:type="dxa"/>
            <w:vAlign w:val="center"/>
          </w:tcPr>
          <w:p w14:paraId="7A4E97E4" w14:textId="77777777" w:rsidR="00C60C82" w:rsidRPr="008C1E5F" w:rsidRDefault="00C60C82" w:rsidP="0015336A">
            <w:pPr>
              <w:pStyle w:val="TableTextCentered"/>
            </w:pPr>
            <w:r w:rsidRPr="008C1E5F">
              <w:t>39</w:t>
            </w:r>
          </w:p>
        </w:tc>
        <w:tc>
          <w:tcPr>
            <w:tcW w:w="1255" w:type="dxa"/>
            <w:vAlign w:val="center"/>
          </w:tcPr>
          <w:p w14:paraId="3425F88B" w14:textId="77777777" w:rsidR="00C60C82" w:rsidRPr="008C1E5F" w:rsidRDefault="00C60C82" w:rsidP="0015336A">
            <w:pPr>
              <w:pStyle w:val="TableTextCentered"/>
            </w:pPr>
            <w:r w:rsidRPr="008C1E5F">
              <w:t>76.0</w:t>
            </w:r>
          </w:p>
        </w:tc>
        <w:tc>
          <w:tcPr>
            <w:tcW w:w="1254" w:type="dxa"/>
            <w:vAlign w:val="center"/>
          </w:tcPr>
          <w:p w14:paraId="2FBCC9EF" w14:textId="77777777" w:rsidR="00C60C82" w:rsidRPr="008C1E5F" w:rsidRDefault="00C60C82" w:rsidP="0015336A">
            <w:pPr>
              <w:pStyle w:val="TableTextCentered"/>
            </w:pPr>
            <w:r w:rsidRPr="008C1E5F">
              <w:t>70.6</w:t>
            </w:r>
          </w:p>
        </w:tc>
        <w:tc>
          <w:tcPr>
            <w:tcW w:w="1255" w:type="dxa"/>
            <w:vAlign w:val="center"/>
          </w:tcPr>
          <w:p w14:paraId="789B9CB4" w14:textId="77777777" w:rsidR="00C60C82" w:rsidRPr="008C1E5F" w:rsidRDefault="00C60C82" w:rsidP="0015336A">
            <w:pPr>
              <w:pStyle w:val="TableTextCentered"/>
            </w:pPr>
            <w:r w:rsidRPr="008C1E5F">
              <w:t>69.2</w:t>
            </w:r>
          </w:p>
        </w:tc>
        <w:tc>
          <w:tcPr>
            <w:tcW w:w="1255" w:type="dxa"/>
            <w:vAlign w:val="center"/>
          </w:tcPr>
          <w:p w14:paraId="04D79F27" w14:textId="77777777" w:rsidR="00C60C82" w:rsidRPr="008C1E5F" w:rsidRDefault="00C60C82" w:rsidP="0015336A">
            <w:pPr>
              <w:pStyle w:val="TableTextCentered"/>
            </w:pPr>
            <w:r w:rsidRPr="008C1E5F">
              <w:t>89.3</w:t>
            </w:r>
          </w:p>
        </w:tc>
      </w:tr>
      <w:tr w:rsidR="00C60C82" w:rsidRPr="008C1E5F" w14:paraId="0314A368" w14:textId="77777777" w:rsidTr="0015336A">
        <w:trPr>
          <w:jc w:val="center"/>
        </w:trPr>
        <w:tc>
          <w:tcPr>
            <w:tcW w:w="2962" w:type="dxa"/>
          </w:tcPr>
          <w:p w14:paraId="512A167E" w14:textId="77777777" w:rsidR="00C60C82" w:rsidRPr="008C1E5F" w:rsidRDefault="00C60C82" w:rsidP="0015336A">
            <w:pPr>
              <w:pStyle w:val="TableText"/>
            </w:pPr>
            <w:r w:rsidRPr="008C1E5F">
              <w:t>Native American</w:t>
            </w:r>
          </w:p>
        </w:tc>
        <w:tc>
          <w:tcPr>
            <w:tcW w:w="1344" w:type="dxa"/>
            <w:vAlign w:val="center"/>
          </w:tcPr>
          <w:p w14:paraId="56ADB005" w14:textId="77777777" w:rsidR="00C60C82" w:rsidRPr="008C1E5F" w:rsidRDefault="00C60C82" w:rsidP="0015336A">
            <w:pPr>
              <w:pStyle w:val="TableTextCentered"/>
            </w:pPr>
            <w:r w:rsidRPr="008C1E5F">
              <w:t>1</w:t>
            </w:r>
          </w:p>
        </w:tc>
        <w:tc>
          <w:tcPr>
            <w:tcW w:w="1255" w:type="dxa"/>
            <w:vAlign w:val="center"/>
          </w:tcPr>
          <w:p w14:paraId="60469E42" w14:textId="77777777" w:rsidR="00C60C82" w:rsidRPr="008C1E5F" w:rsidRDefault="00C60C82" w:rsidP="0015336A">
            <w:pPr>
              <w:pStyle w:val="TableTextCentered"/>
            </w:pPr>
            <w:r w:rsidRPr="008C1E5F">
              <w:t>--</w:t>
            </w:r>
          </w:p>
        </w:tc>
        <w:tc>
          <w:tcPr>
            <w:tcW w:w="1254" w:type="dxa"/>
            <w:vAlign w:val="center"/>
          </w:tcPr>
          <w:p w14:paraId="10324024" w14:textId="77777777" w:rsidR="00C60C82" w:rsidRPr="008C1E5F" w:rsidRDefault="00C60C82" w:rsidP="0015336A">
            <w:pPr>
              <w:pStyle w:val="TableTextCentered"/>
            </w:pPr>
            <w:r w:rsidRPr="008C1E5F">
              <w:t>--</w:t>
            </w:r>
          </w:p>
        </w:tc>
        <w:tc>
          <w:tcPr>
            <w:tcW w:w="1255" w:type="dxa"/>
            <w:vAlign w:val="center"/>
          </w:tcPr>
          <w:p w14:paraId="72D369B6" w14:textId="77777777" w:rsidR="00C60C82" w:rsidRPr="008C1E5F" w:rsidRDefault="00C60C82" w:rsidP="0015336A">
            <w:pPr>
              <w:pStyle w:val="TableTextCentered"/>
            </w:pPr>
            <w:r w:rsidRPr="008C1E5F">
              <w:t>--</w:t>
            </w:r>
          </w:p>
        </w:tc>
        <w:tc>
          <w:tcPr>
            <w:tcW w:w="1255" w:type="dxa"/>
            <w:vAlign w:val="center"/>
          </w:tcPr>
          <w:p w14:paraId="338B53A5" w14:textId="77777777" w:rsidR="00C60C82" w:rsidRPr="008C1E5F" w:rsidRDefault="00C60C82" w:rsidP="0015336A">
            <w:pPr>
              <w:pStyle w:val="TableTextCentered"/>
            </w:pPr>
            <w:r w:rsidRPr="008C1E5F">
              <w:t>82.5</w:t>
            </w:r>
          </w:p>
        </w:tc>
      </w:tr>
      <w:tr w:rsidR="00C60C82" w:rsidRPr="008C1E5F" w14:paraId="675B0E49" w14:textId="77777777" w:rsidTr="0015336A">
        <w:trPr>
          <w:cnfStyle w:val="000000100000" w:firstRow="0" w:lastRow="0" w:firstColumn="0" w:lastColumn="0" w:oddVBand="0" w:evenVBand="0" w:oddHBand="1" w:evenHBand="0" w:firstRowFirstColumn="0" w:firstRowLastColumn="0" w:lastRowFirstColumn="0" w:lastRowLastColumn="0"/>
          <w:jc w:val="center"/>
        </w:trPr>
        <w:tc>
          <w:tcPr>
            <w:tcW w:w="2962" w:type="dxa"/>
          </w:tcPr>
          <w:p w14:paraId="49CD84AD" w14:textId="77777777" w:rsidR="00C60C82" w:rsidRPr="008C1E5F" w:rsidRDefault="00C60C82" w:rsidP="0015336A">
            <w:pPr>
              <w:pStyle w:val="TableText"/>
            </w:pPr>
            <w:r w:rsidRPr="008C1E5F">
              <w:rPr>
                <w:rFonts w:eastAsia="Times New Roman"/>
                <w:spacing w:val="-4"/>
              </w:rPr>
              <w:t>Native Hawaiian, Pacific Islander</w:t>
            </w:r>
          </w:p>
        </w:tc>
        <w:tc>
          <w:tcPr>
            <w:tcW w:w="1344" w:type="dxa"/>
            <w:vAlign w:val="center"/>
          </w:tcPr>
          <w:p w14:paraId="6C67CE05" w14:textId="77777777" w:rsidR="00C60C82" w:rsidRPr="008C1E5F" w:rsidRDefault="00C60C82" w:rsidP="0015336A">
            <w:pPr>
              <w:pStyle w:val="TableTextCentered"/>
            </w:pPr>
            <w:r w:rsidRPr="008C1E5F">
              <w:t>--</w:t>
            </w:r>
          </w:p>
        </w:tc>
        <w:tc>
          <w:tcPr>
            <w:tcW w:w="1255" w:type="dxa"/>
            <w:vAlign w:val="center"/>
          </w:tcPr>
          <w:p w14:paraId="6557793F" w14:textId="77777777" w:rsidR="00C60C82" w:rsidRPr="008C1E5F" w:rsidRDefault="00C60C82" w:rsidP="0015336A">
            <w:pPr>
              <w:pStyle w:val="TableTextCentered"/>
            </w:pPr>
            <w:r w:rsidRPr="008C1E5F">
              <w:t>--</w:t>
            </w:r>
          </w:p>
        </w:tc>
        <w:tc>
          <w:tcPr>
            <w:tcW w:w="1254" w:type="dxa"/>
            <w:vAlign w:val="center"/>
          </w:tcPr>
          <w:p w14:paraId="67D34139" w14:textId="77777777" w:rsidR="00C60C82" w:rsidRPr="008C1E5F" w:rsidRDefault="00C60C82" w:rsidP="0015336A">
            <w:pPr>
              <w:pStyle w:val="TableTextCentered"/>
            </w:pPr>
            <w:r w:rsidRPr="008C1E5F">
              <w:t>--</w:t>
            </w:r>
          </w:p>
        </w:tc>
        <w:tc>
          <w:tcPr>
            <w:tcW w:w="1255" w:type="dxa"/>
            <w:vAlign w:val="center"/>
          </w:tcPr>
          <w:p w14:paraId="2E7A11A8" w14:textId="77777777" w:rsidR="00C60C82" w:rsidRPr="008C1E5F" w:rsidRDefault="00C60C82" w:rsidP="0015336A">
            <w:pPr>
              <w:pStyle w:val="TableTextCentered"/>
            </w:pPr>
            <w:r w:rsidRPr="008C1E5F">
              <w:t>--</w:t>
            </w:r>
          </w:p>
        </w:tc>
        <w:tc>
          <w:tcPr>
            <w:tcW w:w="1255" w:type="dxa"/>
            <w:vAlign w:val="center"/>
          </w:tcPr>
          <w:p w14:paraId="1C042DBB" w14:textId="77777777" w:rsidR="00C60C82" w:rsidRPr="008C1E5F" w:rsidRDefault="00C60C82" w:rsidP="0015336A">
            <w:pPr>
              <w:pStyle w:val="TableTextCentered"/>
            </w:pPr>
            <w:r w:rsidRPr="008C1E5F">
              <w:t>89.9</w:t>
            </w:r>
          </w:p>
        </w:tc>
      </w:tr>
      <w:tr w:rsidR="00C60C82" w:rsidRPr="008C1E5F" w14:paraId="5438F03F" w14:textId="77777777" w:rsidTr="0015336A">
        <w:trPr>
          <w:jc w:val="center"/>
        </w:trPr>
        <w:tc>
          <w:tcPr>
            <w:tcW w:w="2962" w:type="dxa"/>
          </w:tcPr>
          <w:p w14:paraId="2B3FFEEE" w14:textId="77777777" w:rsidR="00C60C82" w:rsidRPr="008C1E5F" w:rsidRDefault="00C60C82" w:rsidP="0015336A">
            <w:pPr>
              <w:pStyle w:val="TableText"/>
            </w:pPr>
            <w:r w:rsidRPr="008C1E5F">
              <w:t>White</w:t>
            </w:r>
          </w:p>
        </w:tc>
        <w:tc>
          <w:tcPr>
            <w:tcW w:w="1344" w:type="dxa"/>
            <w:vAlign w:val="center"/>
          </w:tcPr>
          <w:p w14:paraId="5123C654" w14:textId="77777777" w:rsidR="00C60C82" w:rsidRPr="008C1E5F" w:rsidRDefault="00C60C82" w:rsidP="0015336A">
            <w:pPr>
              <w:pStyle w:val="TableTextCentered"/>
            </w:pPr>
            <w:r w:rsidRPr="008C1E5F">
              <w:t>349</w:t>
            </w:r>
          </w:p>
        </w:tc>
        <w:tc>
          <w:tcPr>
            <w:tcW w:w="1255" w:type="dxa"/>
            <w:vAlign w:val="center"/>
          </w:tcPr>
          <w:p w14:paraId="647C647F" w14:textId="77777777" w:rsidR="00C60C82" w:rsidRPr="008C1E5F" w:rsidRDefault="00C60C82" w:rsidP="0015336A">
            <w:pPr>
              <w:pStyle w:val="TableTextCentered"/>
            </w:pPr>
            <w:r w:rsidRPr="008C1E5F">
              <w:t>80.6</w:t>
            </w:r>
          </w:p>
        </w:tc>
        <w:tc>
          <w:tcPr>
            <w:tcW w:w="1254" w:type="dxa"/>
            <w:vAlign w:val="center"/>
          </w:tcPr>
          <w:p w14:paraId="13285021" w14:textId="77777777" w:rsidR="00C60C82" w:rsidRPr="008C1E5F" w:rsidRDefault="00C60C82" w:rsidP="0015336A">
            <w:pPr>
              <w:pStyle w:val="TableTextCentered"/>
            </w:pPr>
            <w:r w:rsidRPr="008C1E5F">
              <w:t>77.6</w:t>
            </w:r>
          </w:p>
        </w:tc>
        <w:tc>
          <w:tcPr>
            <w:tcW w:w="1255" w:type="dxa"/>
            <w:vAlign w:val="center"/>
          </w:tcPr>
          <w:p w14:paraId="0C96BC5C" w14:textId="77777777" w:rsidR="00C60C82" w:rsidRPr="008C1E5F" w:rsidRDefault="00C60C82" w:rsidP="0015336A">
            <w:pPr>
              <w:pStyle w:val="TableTextCentered"/>
            </w:pPr>
            <w:r w:rsidRPr="008C1E5F">
              <w:t>71.6</w:t>
            </w:r>
          </w:p>
        </w:tc>
        <w:tc>
          <w:tcPr>
            <w:tcW w:w="1255" w:type="dxa"/>
            <w:vAlign w:val="center"/>
          </w:tcPr>
          <w:p w14:paraId="0DC4DC02" w14:textId="77777777" w:rsidR="00C60C82" w:rsidRPr="008C1E5F" w:rsidRDefault="00C60C82" w:rsidP="0015336A">
            <w:pPr>
              <w:pStyle w:val="TableTextCentered"/>
            </w:pPr>
            <w:r w:rsidRPr="008C1E5F">
              <w:t>93.0</w:t>
            </w:r>
          </w:p>
        </w:tc>
      </w:tr>
      <w:tr w:rsidR="00C60C82" w:rsidRPr="008C1E5F" w14:paraId="1D66B3ED" w14:textId="77777777" w:rsidTr="0015336A">
        <w:trPr>
          <w:cnfStyle w:val="000000100000" w:firstRow="0" w:lastRow="0" w:firstColumn="0" w:lastColumn="0" w:oddVBand="0" w:evenVBand="0" w:oddHBand="1" w:evenHBand="0" w:firstRowFirstColumn="0" w:firstRowLastColumn="0" w:lastRowFirstColumn="0" w:lastRowLastColumn="0"/>
          <w:jc w:val="center"/>
        </w:trPr>
        <w:tc>
          <w:tcPr>
            <w:tcW w:w="2962" w:type="dxa"/>
          </w:tcPr>
          <w:p w14:paraId="27659195" w14:textId="77777777" w:rsidR="00C60C82" w:rsidRPr="008C1E5F" w:rsidRDefault="00C60C82" w:rsidP="0015336A">
            <w:pPr>
              <w:pStyle w:val="TableText"/>
            </w:pPr>
            <w:r w:rsidRPr="008C1E5F">
              <w:t>High needs</w:t>
            </w:r>
          </w:p>
        </w:tc>
        <w:tc>
          <w:tcPr>
            <w:tcW w:w="1344" w:type="dxa"/>
            <w:vAlign w:val="center"/>
          </w:tcPr>
          <w:p w14:paraId="7E8EBBCB" w14:textId="77777777" w:rsidR="00C60C82" w:rsidRPr="008C1E5F" w:rsidRDefault="00C60C82" w:rsidP="0015336A">
            <w:pPr>
              <w:pStyle w:val="TableTextCentered"/>
            </w:pPr>
            <w:r w:rsidRPr="008C1E5F">
              <w:t>643</w:t>
            </w:r>
          </w:p>
        </w:tc>
        <w:tc>
          <w:tcPr>
            <w:tcW w:w="1255" w:type="dxa"/>
            <w:vAlign w:val="center"/>
          </w:tcPr>
          <w:p w14:paraId="44C76391" w14:textId="77777777" w:rsidR="00C60C82" w:rsidRPr="008C1E5F" w:rsidRDefault="00C60C82" w:rsidP="0015336A">
            <w:pPr>
              <w:pStyle w:val="TableTextCentered"/>
            </w:pPr>
            <w:r w:rsidRPr="008C1E5F">
              <w:t>76.5</w:t>
            </w:r>
          </w:p>
        </w:tc>
        <w:tc>
          <w:tcPr>
            <w:tcW w:w="1254" w:type="dxa"/>
            <w:vAlign w:val="center"/>
          </w:tcPr>
          <w:p w14:paraId="30437F3A" w14:textId="77777777" w:rsidR="00C60C82" w:rsidRPr="008C1E5F" w:rsidRDefault="00C60C82" w:rsidP="0015336A">
            <w:pPr>
              <w:pStyle w:val="TableTextCentered"/>
            </w:pPr>
            <w:r w:rsidRPr="008C1E5F">
              <w:t>76.2</w:t>
            </w:r>
          </w:p>
        </w:tc>
        <w:tc>
          <w:tcPr>
            <w:tcW w:w="1255" w:type="dxa"/>
            <w:vAlign w:val="center"/>
          </w:tcPr>
          <w:p w14:paraId="2874ADD6" w14:textId="77777777" w:rsidR="00C60C82" w:rsidRPr="008C1E5F" w:rsidRDefault="00C60C82" w:rsidP="0015336A">
            <w:pPr>
              <w:pStyle w:val="TableTextCentered"/>
            </w:pPr>
            <w:r w:rsidRPr="008C1E5F">
              <w:t>72.8</w:t>
            </w:r>
          </w:p>
        </w:tc>
        <w:tc>
          <w:tcPr>
            <w:tcW w:w="1255" w:type="dxa"/>
            <w:vAlign w:val="center"/>
          </w:tcPr>
          <w:p w14:paraId="1F3DB573" w14:textId="77777777" w:rsidR="00C60C82" w:rsidRPr="008C1E5F" w:rsidRDefault="00C60C82" w:rsidP="0015336A">
            <w:pPr>
              <w:pStyle w:val="TableTextCentered"/>
            </w:pPr>
            <w:r w:rsidRPr="008C1E5F">
              <w:t>82.8</w:t>
            </w:r>
          </w:p>
        </w:tc>
      </w:tr>
      <w:tr w:rsidR="00C60C82" w:rsidRPr="008C1E5F" w14:paraId="5B43AAD7" w14:textId="77777777" w:rsidTr="0015336A">
        <w:trPr>
          <w:jc w:val="center"/>
        </w:trPr>
        <w:tc>
          <w:tcPr>
            <w:tcW w:w="2962" w:type="dxa"/>
          </w:tcPr>
          <w:p w14:paraId="081158F4" w14:textId="77777777" w:rsidR="00C60C82" w:rsidRPr="008C1E5F" w:rsidRDefault="00C60C82" w:rsidP="0015336A">
            <w:pPr>
              <w:pStyle w:val="TableText"/>
            </w:pPr>
            <w:r w:rsidRPr="008C1E5F">
              <w:t>Low income</w:t>
            </w:r>
          </w:p>
        </w:tc>
        <w:tc>
          <w:tcPr>
            <w:tcW w:w="1344" w:type="dxa"/>
            <w:vAlign w:val="center"/>
          </w:tcPr>
          <w:p w14:paraId="1C8E318E" w14:textId="77777777" w:rsidR="00C60C82" w:rsidRPr="008C1E5F" w:rsidRDefault="00C60C82" w:rsidP="0015336A">
            <w:pPr>
              <w:pStyle w:val="TableTextCentered"/>
            </w:pPr>
            <w:r w:rsidRPr="008C1E5F">
              <w:t>626</w:t>
            </w:r>
          </w:p>
        </w:tc>
        <w:tc>
          <w:tcPr>
            <w:tcW w:w="1255" w:type="dxa"/>
            <w:vAlign w:val="center"/>
          </w:tcPr>
          <w:p w14:paraId="160FCECF" w14:textId="77777777" w:rsidR="00C60C82" w:rsidRPr="008C1E5F" w:rsidRDefault="00C60C82" w:rsidP="0015336A">
            <w:pPr>
              <w:pStyle w:val="TableTextCentered"/>
            </w:pPr>
            <w:r w:rsidRPr="008C1E5F">
              <w:t>77.0</w:t>
            </w:r>
          </w:p>
        </w:tc>
        <w:tc>
          <w:tcPr>
            <w:tcW w:w="1254" w:type="dxa"/>
            <w:vAlign w:val="center"/>
          </w:tcPr>
          <w:p w14:paraId="777D93D8" w14:textId="77777777" w:rsidR="00C60C82" w:rsidRPr="008C1E5F" w:rsidRDefault="00C60C82" w:rsidP="0015336A">
            <w:pPr>
              <w:pStyle w:val="TableTextCentered"/>
            </w:pPr>
            <w:r w:rsidRPr="008C1E5F">
              <w:t>76.5</w:t>
            </w:r>
          </w:p>
        </w:tc>
        <w:tc>
          <w:tcPr>
            <w:tcW w:w="1255" w:type="dxa"/>
            <w:vAlign w:val="center"/>
          </w:tcPr>
          <w:p w14:paraId="279DAB99" w14:textId="77777777" w:rsidR="00C60C82" w:rsidRPr="008C1E5F" w:rsidRDefault="00C60C82" w:rsidP="0015336A">
            <w:pPr>
              <w:pStyle w:val="TableTextCentered"/>
            </w:pPr>
            <w:r w:rsidRPr="008C1E5F">
              <w:t>72.7</w:t>
            </w:r>
          </w:p>
        </w:tc>
        <w:tc>
          <w:tcPr>
            <w:tcW w:w="1255" w:type="dxa"/>
            <w:vAlign w:val="center"/>
          </w:tcPr>
          <w:p w14:paraId="66CCD63C" w14:textId="77777777" w:rsidR="00C60C82" w:rsidRPr="008C1E5F" w:rsidRDefault="00C60C82" w:rsidP="0015336A">
            <w:pPr>
              <w:pStyle w:val="TableTextCentered"/>
            </w:pPr>
            <w:r w:rsidRPr="008C1E5F">
              <w:t>82.2</w:t>
            </w:r>
          </w:p>
        </w:tc>
      </w:tr>
      <w:tr w:rsidR="00C60C82" w:rsidRPr="008C1E5F" w14:paraId="187FC9E3" w14:textId="77777777" w:rsidTr="0015336A">
        <w:trPr>
          <w:cnfStyle w:val="000000100000" w:firstRow="0" w:lastRow="0" w:firstColumn="0" w:lastColumn="0" w:oddVBand="0" w:evenVBand="0" w:oddHBand="1" w:evenHBand="0" w:firstRowFirstColumn="0" w:firstRowLastColumn="0" w:lastRowFirstColumn="0" w:lastRowLastColumn="0"/>
          <w:jc w:val="center"/>
        </w:trPr>
        <w:tc>
          <w:tcPr>
            <w:tcW w:w="2962" w:type="dxa"/>
          </w:tcPr>
          <w:p w14:paraId="4DFDDB49" w14:textId="77777777" w:rsidR="00C60C82" w:rsidRPr="008C1E5F" w:rsidRDefault="00C60C82" w:rsidP="0015336A">
            <w:pPr>
              <w:pStyle w:val="TableText"/>
            </w:pPr>
            <w:r w:rsidRPr="008C1E5F">
              <w:rPr>
                <w:spacing w:val="-4"/>
              </w:rPr>
              <w:t>English learners</w:t>
            </w:r>
          </w:p>
        </w:tc>
        <w:tc>
          <w:tcPr>
            <w:tcW w:w="1344" w:type="dxa"/>
            <w:vAlign w:val="center"/>
          </w:tcPr>
          <w:p w14:paraId="1ED26FEA" w14:textId="77777777" w:rsidR="00C60C82" w:rsidRPr="008C1E5F" w:rsidRDefault="00C60C82" w:rsidP="0015336A">
            <w:pPr>
              <w:pStyle w:val="TableTextCentered"/>
            </w:pPr>
            <w:r w:rsidRPr="008C1E5F">
              <w:t>172</w:t>
            </w:r>
          </w:p>
        </w:tc>
        <w:tc>
          <w:tcPr>
            <w:tcW w:w="1255" w:type="dxa"/>
            <w:vAlign w:val="center"/>
          </w:tcPr>
          <w:p w14:paraId="0A1C292C" w14:textId="77777777" w:rsidR="00C60C82" w:rsidRPr="008C1E5F" w:rsidRDefault="00C60C82" w:rsidP="0015336A">
            <w:pPr>
              <w:pStyle w:val="TableTextCentered"/>
            </w:pPr>
            <w:r w:rsidRPr="008C1E5F">
              <w:t>74.8</w:t>
            </w:r>
          </w:p>
        </w:tc>
        <w:tc>
          <w:tcPr>
            <w:tcW w:w="1254" w:type="dxa"/>
            <w:vAlign w:val="center"/>
          </w:tcPr>
          <w:p w14:paraId="75642332" w14:textId="77777777" w:rsidR="00C60C82" w:rsidRPr="008C1E5F" w:rsidRDefault="00C60C82" w:rsidP="0015336A">
            <w:pPr>
              <w:pStyle w:val="TableTextCentered"/>
            </w:pPr>
            <w:r w:rsidRPr="008C1E5F">
              <w:t>76.9</w:t>
            </w:r>
          </w:p>
        </w:tc>
        <w:tc>
          <w:tcPr>
            <w:tcW w:w="1255" w:type="dxa"/>
            <w:vAlign w:val="center"/>
          </w:tcPr>
          <w:p w14:paraId="1DA7276F" w14:textId="77777777" w:rsidR="00C60C82" w:rsidRPr="008C1E5F" w:rsidRDefault="00C60C82" w:rsidP="0015336A">
            <w:pPr>
              <w:pStyle w:val="TableTextCentered"/>
            </w:pPr>
            <w:r w:rsidRPr="008C1E5F">
              <w:t>74.4</w:t>
            </w:r>
          </w:p>
        </w:tc>
        <w:tc>
          <w:tcPr>
            <w:tcW w:w="1255" w:type="dxa"/>
            <w:vAlign w:val="center"/>
          </w:tcPr>
          <w:p w14:paraId="30A080F3" w14:textId="77777777" w:rsidR="00C60C82" w:rsidRPr="008C1E5F" w:rsidRDefault="00C60C82" w:rsidP="0015336A">
            <w:pPr>
              <w:pStyle w:val="TableTextCentered"/>
            </w:pPr>
            <w:r w:rsidRPr="008C1E5F">
              <w:t>67.3</w:t>
            </w:r>
          </w:p>
        </w:tc>
      </w:tr>
      <w:tr w:rsidR="00C60C82" w:rsidRPr="008C1E5F" w14:paraId="4B3587F6" w14:textId="77777777" w:rsidTr="0015336A">
        <w:trPr>
          <w:jc w:val="center"/>
        </w:trPr>
        <w:tc>
          <w:tcPr>
            <w:tcW w:w="2962" w:type="dxa"/>
          </w:tcPr>
          <w:p w14:paraId="7970DA9C" w14:textId="77777777" w:rsidR="00C60C82" w:rsidRPr="008C1E5F" w:rsidRDefault="00C60C82" w:rsidP="0015336A">
            <w:pPr>
              <w:pStyle w:val="TableText"/>
            </w:pPr>
            <w:r w:rsidRPr="008C1E5F">
              <w:t>Students w/disabilities</w:t>
            </w:r>
          </w:p>
        </w:tc>
        <w:tc>
          <w:tcPr>
            <w:tcW w:w="1344" w:type="dxa"/>
            <w:vAlign w:val="center"/>
          </w:tcPr>
          <w:p w14:paraId="797F8802" w14:textId="77777777" w:rsidR="00C60C82" w:rsidRPr="008C1E5F" w:rsidRDefault="00C60C82" w:rsidP="0015336A">
            <w:pPr>
              <w:pStyle w:val="TableTextCentered"/>
            </w:pPr>
            <w:r w:rsidRPr="008C1E5F">
              <w:t>142</w:t>
            </w:r>
          </w:p>
        </w:tc>
        <w:tc>
          <w:tcPr>
            <w:tcW w:w="1255" w:type="dxa"/>
            <w:vAlign w:val="center"/>
          </w:tcPr>
          <w:p w14:paraId="2C919FF3" w14:textId="77777777" w:rsidR="00C60C82" w:rsidRPr="008C1E5F" w:rsidRDefault="00C60C82" w:rsidP="0015336A">
            <w:pPr>
              <w:pStyle w:val="TableTextCentered"/>
            </w:pPr>
            <w:r w:rsidRPr="008C1E5F">
              <w:t>58.1</w:t>
            </w:r>
          </w:p>
        </w:tc>
        <w:tc>
          <w:tcPr>
            <w:tcW w:w="1254" w:type="dxa"/>
            <w:vAlign w:val="center"/>
          </w:tcPr>
          <w:p w14:paraId="69B2046B" w14:textId="77777777" w:rsidR="00C60C82" w:rsidRPr="008C1E5F" w:rsidRDefault="00C60C82" w:rsidP="0015336A">
            <w:pPr>
              <w:pStyle w:val="TableTextCentered"/>
            </w:pPr>
            <w:r w:rsidRPr="008C1E5F">
              <w:t>61.3</w:t>
            </w:r>
          </w:p>
        </w:tc>
        <w:tc>
          <w:tcPr>
            <w:tcW w:w="1255" w:type="dxa"/>
            <w:vAlign w:val="center"/>
          </w:tcPr>
          <w:p w14:paraId="6D606039" w14:textId="77777777" w:rsidR="00C60C82" w:rsidRPr="008C1E5F" w:rsidRDefault="00C60C82" w:rsidP="0015336A">
            <w:pPr>
              <w:pStyle w:val="TableTextCentered"/>
            </w:pPr>
            <w:r w:rsidRPr="008C1E5F">
              <w:t>48.6</w:t>
            </w:r>
          </w:p>
        </w:tc>
        <w:tc>
          <w:tcPr>
            <w:tcW w:w="1255" w:type="dxa"/>
            <w:vAlign w:val="center"/>
          </w:tcPr>
          <w:p w14:paraId="2558655E" w14:textId="77777777" w:rsidR="00C60C82" w:rsidRPr="008C1E5F" w:rsidRDefault="00C60C82" w:rsidP="0015336A">
            <w:pPr>
              <w:pStyle w:val="TableTextCentered"/>
            </w:pPr>
            <w:r w:rsidRPr="008C1E5F">
              <w:t>76.4</w:t>
            </w:r>
          </w:p>
        </w:tc>
      </w:tr>
    </w:tbl>
    <w:p w14:paraId="4B298B01" w14:textId="77777777" w:rsidR="00C60C82" w:rsidRPr="008C1E5F" w:rsidRDefault="00C60C82" w:rsidP="00305BFA">
      <w:pPr>
        <w:pStyle w:val="TableETitles"/>
        <w:spacing w:before="240" w:after="60"/>
      </w:pPr>
      <w:bookmarkStart w:id="295" w:name="_Toc195024285"/>
      <w:bookmarkStart w:id="296" w:name="_Hlk138323648"/>
      <w:r w:rsidRPr="008C1E5F">
        <w:lastRenderedPageBreak/>
        <w:t>Table E17. Five-Year Cohort Graduation Rates by Student Group, 2020-2022</w:t>
      </w:r>
      <w:bookmarkEnd w:id="295"/>
    </w:p>
    <w:tbl>
      <w:tblPr>
        <w:tblStyle w:val="MSVTable1"/>
        <w:tblW w:w="5000" w:type="pct"/>
        <w:tblLook w:val="04A0" w:firstRow="1" w:lastRow="0" w:firstColumn="1" w:lastColumn="0" w:noHBand="0" w:noVBand="1"/>
      </w:tblPr>
      <w:tblGrid>
        <w:gridCol w:w="2934"/>
        <w:gridCol w:w="1286"/>
        <w:gridCol w:w="1280"/>
        <w:gridCol w:w="1281"/>
        <w:gridCol w:w="1280"/>
        <w:gridCol w:w="1283"/>
      </w:tblGrid>
      <w:tr w:rsidR="00C60C82" w:rsidRPr="008C1E5F" w14:paraId="0F09371B" w14:textId="77777777" w:rsidTr="0015336A">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13C6808E" w14:textId="77777777" w:rsidR="00C60C82" w:rsidRPr="008C1E5F" w:rsidRDefault="00C60C82" w:rsidP="0015336A">
            <w:pPr>
              <w:pStyle w:val="TableColHeadingCenter"/>
            </w:pPr>
            <w:r w:rsidRPr="008C1E5F">
              <w:t>Group</w:t>
            </w:r>
          </w:p>
        </w:tc>
        <w:tc>
          <w:tcPr>
            <w:tcW w:w="1295" w:type="dxa"/>
            <w:vAlign w:val="center"/>
          </w:tcPr>
          <w:p w14:paraId="413E7D3C" w14:textId="77777777" w:rsidR="00C60C82" w:rsidRPr="008C1E5F" w:rsidRDefault="00C60C82" w:rsidP="0015336A">
            <w:pPr>
              <w:pStyle w:val="TableColHeadingCenter"/>
            </w:pPr>
            <w:r w:rsidRPr="008C1E5F">
              <w:t># Included (2022)</w:t>
            </w:r>
          </w:p>
        </w:tc>
        <w:tc>
          <w:tcPr>
            <w:tcW w:w="1295" w:type="dxa"/>
            <w:vAlign w:val="center"/>
          </w:tcPr>
          <w:p w14:paraId="155742BD" w14:textId="77777777" w:rsidR="00C60C82" w:rsidRPr="008C1E5F" w:rsidRDefault="00C60C82" w:rsidP="0015336A">
            <w:pPr>
              <w:pStyle w:val="TableColHeadingCenter"/>
            </w:pPr>
            <w:r w:rsidRPr="008C1E5F">
              <w:t>2020</w:t>
            </w:r>
          </w:p>
        </w:tc>
        <w:tc>
          <w:tcPr>
            <w:tcW w:w="1296" w:type="dxa"/>
            <w:vAlign w:val="center"/>
          </w:tcPr>
          <w:p w14:paraId="4FA7FB44" w14:textId="77777777" w:rsidR="00C60C82" w:rsidRPr="008C1E5F" w:rsidRDefault="00C60C82" w:rsidP="0015336A">
            <w:pPr>
              <w:pStyle w:val="TableColHeadingCenter"/>
            </w:pPr>
            <w:r w:rsidRPr="008C1E5F">
              <w:t>2021</w:t>
            </w:r>
          </w:p>
        </w:tc>
        <w:tc>
          <w:tcPr>
            <w:tcW w:w="1295" w:type="dxa"/>
            <w:vAlign w:val="center"/>
          </w:tcPr>
          <w:p w14:paraId="7A5F38CA" w14:textId="77777777" w:rsidR="00C60C82" w:rsidRPr="008C1E5F" w:rsidRDefault="00C60C82" w:rsidP="0015336A">
            <w:pPr>
              <w:pStyle w:val="TableColHeadingCenter"/>
            </w:pPr>
            <w:r w:rsidRPr="008C1E5F">
              <w:t>2022</w:t>
            </w:r>
          </w:p>
        </w:tc>
        <w:tc>
          <w:tcPr>
            <w:tcW w:w="1296" w:type="dxa"/>
            <w:vAlign w:val="center"/>
          </w:tcPr>
          <w:p w14:paraId="32129C76" w14:textId="77777777" w:rsidR="00C60C82" w:rsidRPr="008C1E5F" w:rsidRDefault="00C60C82" w:rsidP="0015336A">
            <w:pPr>
              <w:pStyle w:val="TableColHeadingCenter"/>
            </w:pPr>
            <w:r w:rsidRPr="008C1E5F">
              <w:t>State (2022)</w:t>
            </w:r>
          </w:p>
        </w:tc>
      </w:tr>
      <w:tr w:rsidR="00C60C82" w:rsidRPr="008C1E5F" w14:paraId="2D0BD02A" w14:textId="77777777" w:rsidTr="0015336A">
        <w:trPr>
          <w:cnfStyle w:val="000000100000" w:firstRow="0" w:lastRow="0" w:firstColumn="0" w:lastColumn="0" w:oddVBand="0" w:evenVBand="0" w:oddHBand="1" w:evenHBand="0" w:firstRowFirstColumn="0" w:firstRowLastColumn="0" w:lastRowFirstColumn="0" w:lastRowLastColumn="0"/>
        </w:trPr>
        <w:tc>
          <w:tcPr>
            <w:tcW w:w="2965" w:type="dxa"/>
          </w:tcPr>
          <w:p w14:paraId="6F93D149" w14:textId="77777777" w:rsidR="00C60C82" w:rsidRPr="008C1E5F" w:rsidRDefault="00C60C82" w:rsidP="0015336A">
            <w:pPr>
              <w:pStyle w:val="TableText"/>
            </w:pPr>
            <w:r w:rsidRPr="008C1E5F">
              <w:t>All</w:t>
            </w:r>
          </w:p>
        </w:tc>
        <w:tc>
          <w:tcPr>
            <w:tcW w:w="1295" w:type="dxa"/>
            <w:vAlign w:val="center"/>
          </w:tcPr>
          <w:p w14:paraId="14D0CC7E" w14:textId="77777777" w:rsidR="00C60C82" w:rsidRPr="008C1E5F" w:rsidRDefault="00C60C82" w:rsidP="0015336A">
            <w:pPr>
              <w:pStyle w:val="TableTextCentered"/>
            </w:pPr>
            <w:r w:rsidRPr="008C1E5F">
              <w:t>647</w:t>
            </w:r>
          </w:p>
        </w:tc>
        <w:tc>
          <w:tcPr>
            <w:tcW w:w="1295" w:type="dxa"/>
            <w:vAlign w:val="center"/>
          </w:tcPr>
          <w:p w14:paraId="2941B1B3" w14:textId="77777777" w:rsidR="00C60C82" w:rsidRPr="008C1E5F" w:rsidRDefault="00C60C82" w:rsidP="0015336A">
            <w:pPr>
              <w:pStyle w:val="TableTextCentered"/>
            </w:pPr>
            <w:r w:rsidRPr="008C1E5F">
              <w:t>73.6</w:t>
            </w:r>
          </w:p>
        </w:tc>
        <w:tc>
          <w:tcPr>
            <w:tcW w:w="1296" w:type="dxa"/>
            <w:vAlign w:val="center"/>
          </w:tcPr>
          <w:p w14:paraId="584AF525" w14:textId="77777777" w:rsidR="00C60C82" w:rsidRPr="008C1E5F" w:rsidRDefault="00C60C82" w:rsidP="0015336A">
            <w:pPr>
              <w:pStyle w:val="TableTextCentered"/>
            </w:pPr>
            <w:r w:rsidRPr="008C1E5F">
              <w:t>81.8</w:t>
            </w:r>
          </w:p>
        </w:tc>
        <w:tc>
          <w:tcPr>
            <w:tcW w:w="1295" w:type="dxa"/>
            <w:vAlign w:val="center"/>
          </w:tcPr>
          <w:p w14:paraId="4EAB7378" w14:textId="77777777" w:rsidR="00C60C82" w:rsidRPr="008C1E5F" w:rsidRDefault="00C60C82" w:rsidP="0015336A">
            <w:pPr>
              <w:pStyle w:val="TableTextCentered"/>
            </w:pPr>
            <w:r w:rsidRPr="008C1E5F">
              <w:t>80.4</w:t>
            </w:r>
          </w:p>
        </w:tc>
        <w:tc>
          <w:tcPr>
            <w:tcW w:w="1296" w:type="dxa"/>
            <w:vAlign w:val="center"/>
          </w:tcPr>
          <w:p w14:paraId="22799312" w14:textId="77777777" w:rsidR="00C60C82" w:rsidRPr="008C1E5F" w:rsidRDefault="00C60C82" w:rsidP="0015336A">
            <w:pPr>
              <w:pStyle w:val="TableTextCentered"/>
            </w:pPr>
            <w:r w:rsidRPr="008C1E5F">
              <w:t>91.9</w:t>
            </w:r>
          </w:p>
        </w:tc>
      </w:tr>
      <w:tr w:rsidR="00C60C82" w:rsidRPr="008C1E5F" w14:paraId="26BE9995" w14:textId="77777777" w:rsidTr="0015336A">
        <w:tc>
          <w:tcPr>
            <w:tcW w:w="2965" w:type="dxa"/>
          </w:tcPr>
          <w:p w14:paraId="393D9EB2" w14:textId="77777777" w:rsidR="00C60C82" w:rsidRPr="008C1E5F" w:rsidRDefault="00C60C82" w:rsidP="0015336A">
            <w:pPr>
              <w:pStyle w:val="TableText"/>
            </w:pPr>
            <w:r w:rsidRPr="008C1E5F">
              <w:t>African American/Black</w:t>
            </w:r>
          </w:p>
        </w:tc>
        <w:tc>
          <w:tcPr>
            <w:tcW w:w="1295" w:type="dxa"/>
            <w:vAlign w:val="center"/>
          </w:tcPr>
          <w:p w14:paraId="0BFDD86D" w14:textId="77777777" w:rsidR="00C60C82" w:rsidRPr="008C1E5F" w:rsidRDefault="00C60C82" w:rsidP="0015336A">
            <w:pPr>
              <w:pStyle w:val="TableTextCentered"/>
            </w:pPr>
            <w:r w:rsidRPr="008C1E5F">
              <w:t>74</w:t>
            </w:r>
          </w:p>
        </w:tc>
        <w:tc>
          <w:tcPr>
            <w:tcW w:w="1295" w:type="dxa"/>
            <w:vAlign w:val="center"/>
          </w:tcPr>
          <w:p w14:paraId="24648532" w14:textId="77777777" w:rsidR="00C60C82" w:rsidRPr="008C1E5F" w:rsidRDefault="00C60C82" w:rsidP="0015336A">
            <w:pPr>
              <w:pStyle w:val="TableTextCentered"/>
            </w:pPr>
            <w:r w:rsidRPr="008C1E5F">
              <w:t>69.8</w:t>
            </w:r>
          </w:p>
        </w:tc>
        <w:tc>
          <w:tcPr>
            <w:tcW w:w="1296" w:type="dxa"/>
            <w:vAlign w:val="center"/>
          </w:tcPr>
          <w:p w14:paraId="3F56A076" w14:textId="77777777" w:rsidR="00C60C82" w:rsidRPr="008C1E5F" w:rsidRDefault="00C60C82" w:rsidP="0015336A">
            <w:pPr>
              <w:pStyle w:val="TableTextCentered"/>
            </w:pPr>
            <w:r w:rsidRPr="008C1E5F">
              <w:t>82.5</w:t>
            </w:r>
          </w:p>
        </w:tc>
        <w:tc>
          <w:tcPr>
            <w:tcW w:w="1295" w:type="dxa"/>
            <w:vAlign w:val="center"/>
          </w:tcPr>
          <w:p w14:paraId="7956ABC6" w14:textId="77777777" w:rsidR="00C60C82" w:rsidRPr="008C1E5F" w:rsidRDefault="00C60C82" w:rsidP="0015336A">
            <w:pPr>
              <w:pStyle w:val="TableTextCentered"/>
            </w:pPr>
            <w:r w:rsidRPr="008C1E5F">
              <w:t>83.8</w:t>
            </w:r>
          </w:p>
        </w:tc>
        <w:tc>
          <w:tcPr>
            <w:tcW w:w="1296" w:type="dxa"/>
            <w:vAlign w:val="center"/>
          </w:tcPr>
          <w:p w14:paraId="0D08D420" w14:textId="77777777" w:rsidR="00C60C82" w:rsidRPr="008C1E5F" w:rsidRDefault="00C60C82" w:rsidP="0015336A">
            <w:pPr>
              <w:pStyle w:val="TableTextCentered"/>
            </w:pPr>
            <w:r w:rsidRPr="008C1E5F">
              <w:t>90.1</w:t>
            </w:r>
          </w:p>
        </w:tc>
      </w:tr>
      <w:tr w:rsidR="00C60C82" w:rsidRPr="008C1E5F" w14:paraId="0951C10C" w14:textId="77777777" w:rsidTr="0015336A">
        <w:trPr>
          <w:cnfStyle w:val="000000100000" w:firstRow="0" w:lastRow="0" w:firstColumn="0" w:lastColumn="0" w:oddVBand="0" w:evenVBand="0" w:oddHBand="1" w:evenHBand="0" w:firstRowFirstColumn="0" w:firstRowLastColumn="0" w:lastRowFirstColumn="0" w:lastRowLastColumn="0"/>
        </w:trPr>
        <w:tc>
          <w:tcPr>
            <w:tcW w:w="2965" w:type="dxa"/>
          </w:tcPr>
          <w:p w14:paraId="7916A751" w14:textId="77777777" w:rsidR="00C60C82" w:rsidRPr="008C1E5F" w:rsidRDefault="00C60C82" w:rsidP="0015336A">
            <w:pPr>
              <w:pStyle w:val="TableText"/>
            </w:pPr>
            <w:r w:rsidRPr="008C1E5F">
              <w:t>Asian</w:t>
            </w:r>
          </w:p>
        </w:tc>
        <w:tc>
          <w:tcPr>
            <w:tcW w:w="1295" w:type="dxa"/>
            <w:vAlign w:val="center"/>
          </w:tcPr>
          <w:p w14:paraId="751DC57C" w14:textId="77777777" w:rsidR="00C60C82" w:rsidRPr="008C1E5F" w:rsidRDefault="00C60C82" w:rsidP="0015336A">
            <w:pPr>
              <w:pStyle w:val="TableTextCentered"/>
            </w:pPr>
            <w:r w:rsidRPr="008C1E5F">
              <w:t>30</w:t>
            </w:r>
          </w:p>
        </w:tc>
        <w:tc>
          <w:tcPr>
            <w:tcW w:w="1295" w:type="dxa"/>
            <w:vAlign w:val="center"/>
          </w:tcPr>
          <w:p w14:paraId="122E1804" w14:textId="77777777" w:rsidR="00C60C82" w:rsidRPr="008C1E5F" w:rsidRDefault="00C60C82" w:rsidP="0015336A">
            <w:pPr>
              <w:pStyle w:val="TableTextCentered"/>
            </w:pPr>
            <w:r w:rsidRPr="008C1E5F">
              <w:t>84.8</w:t>
            </w:r>
          </w:p>
        </w:tc>
        <w:tc>
          <w:tcPr>
            <w:tcW w:w="1296" w:type="dxa"/>
            <w:vAlign w:val="center"/>
          </w:tcPr>
          <w:p w14:paraId="0D5C0F92" w14:textId="77777777" w:rsidR="00C60C82" w:rsidRPr="008C1E5F" w:rsidRDefault="00C60C82" w:rsidP="0015336A">
            <w:pPr>
              <w:pStyle w:val="TableTextCentered"/>
            </w:pPr>
            <w:r w:rsidRPr="008C1E5F">
              <w:t>96.6</w:t>
            </w:r>
          </w:p>
        </w:tc>
        <w:tc>
          <w:tcPr>
            <w:tcW w:w="1295" w:type="dxa"/>
            <w:vAlign w:val="center"/>
          </w:tcPr>
          <w:p w14:paraId="1FCE1DC5" w14:textId="77777777" w:rsidR="00C60C82" w:rsidRPr="008C1E5F" w:rsidRDefault="00C60C82" w:rsidP="0015336A">
            <w:pPr>
              <w:pStyle w:val="TableTextCentered"/>
            </w:pPr>
            <w:r w:rsidRPr="008C1E5F">
              <w:t>93.3</w:t>
            </w:r>
          </w:p>
        </w:tc>
        <w:tc>
          <w:tcPr>
            <w:tcW w:w="1296" w:type="dxa"/>
            <w:vAlign w:val="center"/>
          </w:tcPr>
          <w:p w14:paraId="4158DE37" w14:textId="77777777" w:rsidR="00C60C82" w:rsidRPr="008C1E5F" w:rsidRDefault="00C60C82" w:rsidP="0015336A">
            <w:pPr>
              <w:pStyle w:val="TableTextCentered"/>
            </w:pPr>
            <w:r w:rsidRPr="008C1E5F">
              <w:t>96.9</w:t>
            </w:r>
          </w:p>
        </w:tc>
      </w:tr>
      <w:tr w:rsidR="00C60C82" w:rsidRPr="008C1E5F" w14:paraId="7DDA9953" w14:textId="77777777" w:rsidTr="0015336A">
        <w:tc>
          <w:tcPr>
            <w:tcW w:w="2965" w:type="dxa"/>
          </w:tcPr>
          <w:p w14:paraId="20678D67" w14:textId="77777777" w:rsidR="00C60C82" w:rsidRPr="008C1E5F" w:rsidRDefault="00C60C82" w:rsidP="0015336A">
            <w:pPr>
              <w:pStyle w:val="TableText"/>
            </w:pPr>
            <w:r w:rsidRPr="008C1E5F">
              <w:t>Hispanic/Latino</w:t>
            </w:r>
          </w:p>
        </w:tc>
        <w:tc>
          <w:tcPr>
            <w:tcW w:w="1295" w:type="dxa"/>
            <w:vAlign w:val="center"/>
          </w:tcPr>
          <w:p w14:paraId="3FA86A0E" w14:textId="77777777" w:rsidR="00C60C82" w:rsidRPr="008C1E5F" w:rsidRDefault="00C60C82" w:rsidP="0015336A">
            <w:pPr>
              <w:pStyle w:val="TableTextCentered"/>
            </w:pPr>
            <w:r w:rsidRPr="008C1E5F">
              <w:t>181</w:t>
            </w:r>
          </w:p>
        </w:tc>
        <w:tc>
          <w:tcPr>
            <w:tcW w:w="1295" w:type="dxa"/>
            <w:vAlign w:val="center"/>
          </w:tcPr>
          <w:p w14:paraId="3AF9796C" w14:textId="77777777" w:rsidR="00C60C82" w:rsidRPr="008C1E5F" w:rsidRDefault="00C60C82" w:rsidP="0015336A">
            <w:pPr>
              <w:pStyle w:val="TableTextCentered"/>
            </w:pPr>
            <w:r w:rsidRPr="008C1E5F">
              <w:t>68.2</w:t>
            </w:r>
          </w:p>
        </w:tc>
        <w:tc>
          <w:tcPr>
            <w:tcW w:w="1296" w:type="dxa"/>
            <w:vAlign w:val="center"/>
          </w:tcPr>
          <w:p w14:paraId="0FB3F203" w14:textId="77777777" w:rsidR="00C60C82" w:rsidRPr="008C1E5F" w:rsidRDefault="00C60C82" w:rsidP="0015336A">
            <w:pPr>
              <w:pStyle w:val="TableTextCentered"/>
            </w:pPr>
            <w:r w:rsidRPr="008C1E5F">
              <w:t>76.7</w:t>
            </w:r>
          </w:p>
        </w:tc>
        <w:tc>
          <w:tcPr>
            <w:tcW w:w="1295" w:type="dxa"/>
            <w:vAlign w:val="center"/>
          </w:tcPr>
          <w:p w14:paraId="05582566" w14:textId="77777777" w:rsidR="00C60C82" w:rsidRPr="008C1E5F" w:rsidRDefault="00C60C82" w:rsidP="0015336A">
            <w:pPr>
              <w:pStyle w:val="TableTextCentered"/>
            </w:pPr>
            <w:r w:rsidRPr="008C1E5F">
              <w:t>79.0</w:t>
            </w:r>
          </w:p>
        </w:tc>
        <w:tc>
          <w:tcPr>
            <w:tcW w:w="1296" w:type="dxa"/>
            <w:vAlign w:val="center"/>
          </w:tcPr>
          <w:p w14:paraId="219F7866" w14:textId="77777777" w:rsidR="00C60C82" w:rsidRPr="008C1E5F" w:rsidRDefault="00C60C82" w:rsidP="0015336A">
            <w:pPr>
              <w:pStyle w:val="TableTextCentered"/>
            </w:pPr>
            <w:r w:rsidRPr="008C1E5F">
              <w:t>84.4</w:t>
            </w:r>
          </w:p>
        </w:tc>
      </w:tr>
      <w:tr w:rsidR="00C60C82" w:rsidRPr="008C1E5F" w14:paraId="016C1576" w14:textId="77777777" w:rsidTr="0015336A">
        <w:trPr>
          <w:cnfStyle w:val="000000100000" w:firstRow="0" w:lastRow="0" w:firstColumn="0" w:lastColumn="0" w:oddVBand="0" w:evenVBand="0" w:oddHBand="1" w:evenHBand="0" w:firstRowFirstColumn="0" w:firstRowLastColumn="0" w:lastRowFirstColumn="0" w:lastRowLastColumn="0"/>
        </w:trPr>
        <w:tc>
          <w:tcPr>
            <w:tcW w:w="2965" w:type="dxa"/>
          </w:tcPr>
          <w:p w14:paraId="4638EECD" w14:textId="77777777" w:rsidR="00C60C82" w:rsidRPr="008C1E5F" w:rsidRDefault="00C60C82" w:rsidP="0015336A">
            <w:pPr>
              <w:pStyle w:val="TableText"/>
            </w:pPr>
            <w:r w:rsidRPr="008C1E5F">
              <w:rPr>
                <w:rFonts w:cstheme="minorHAnsi"/>
              </w:rPr>
              <w:t>Multi-Race, non-Hispanic/Latino</w:t>
            </w:r>
          </w:p>
        </w:tc>
        <w:tc>
          <w:tcPr>
            <w:tcW w:w="1295" w:type="dxa"/>
            <w:vAlign w:val="center"/>
          </w:tcPr>
          <w:p w14:paraId="112E0CD0" w14:textId="77777777" w:rsidR="00C60C82" w:rsidRPr="008C1E5F" w:rsidRDefault="00C60C82" w:rsidP="0015336A">
            <w:pPr>
              <w:pStyle w:val="TableTextCentered"/>
            </w:pPr>
            <w:r w:rsidRPr="008C1E5F">
              <w:t>34</w:t>
            </w:r>
          </w:p>
        </w:tc>
        <w:tc>
          <w:tcPr>
            <w:tcW w:w="1295" w:type="dxa"/>
            <w:vAlign w:val="center"/>
          </w:tcPr>
          <w:p w14:paraId="2EAE2EFA" w14:textId="77777777" w:rsidR="00C60C82" w:rsidRPr="008C1E5F" w:rsidRDefault="00C60C82" w:rsidP="0015336A">
            <w:pPr>
              <w:pStyle w:val="TableTextCentered"/>
            </w:pPr>
            <w:r w:rsidRPr="008C1E5F">
              <w:t>80.0</w:t>
            </w:r>
          </w:p>
        </w:tc>
        <w:tc>
          <w:tcPr>
            <w:tcW w:w="1296" w:type="dxa"/>
            <w:vAlign w:val="center"/>
          </w:tcPr>
          <w:p w14:paraId="6B4CF520" w14:textId="77777777" w:rsidR="00C60C82" w:rsidRPr="008C1E5F" w:rsidRDefault="00C60C82" w:rsidP="0015336A">
            <w:pPr>
              <w:pStyle w:val="TableTextCentered"/>
            </w:pPr>
            <w:r w:rsidRPr="008C1E5F">
              <w:t>76.0</w:t>
            </w:r>
          </w:p>
        </w:tc>
        <w:tc>
          <w:tcPr>
            <w:tcW w:w="1295" w:type="dxa"/>
            <w:vAlign w:val="center"/>
          </w:tcPr>
          <w:p w14:paraId="0264B155" w14:textId="77777777" w:rsidR="00C60C82" w:rsidRPr="008C1E5F" w:rsidRDefault="00C60C82" w:rsidP="0015336A">
            <w:pPr>
              <w:pStyle w:val="TableTextCentered"/>
            </w:pPr>
            <w:r w:rsidRPr="008C1E5F">
              <w:t>73.5</w:t>
            </w:r>
          </w:p>
        </w:tc>
        <w:tc>
          <w:tcPr>
            <w:tcW w:w="1296" w:type="dxa"/>
            <w:vAlign w:val="center"/>
          </w:tcPr>
          <w:p w14:paraId="6BF3C226" w14:textId="77777777" w:rsidR="00C60C82" w:rsidRPr="008C1E5F" w:rsidRDefault="00C60C82" w:rsidP="0015336A">
            <w:pPr>
              <w:pStyle w:val="TableTextCentered"/>
            </w:pPr>
            <w:r w:rsidRPr="008C1E5F">
              <w:t>90.8</w:t>
            </w:r>
          </w:p>
        </w:tc>
      </w:tr>
      <w:tr w:rsidR="00C60C82" w:rsidRPr="008C1E5F" w14:paraId="795E686E" w14:textId="77777777" w:rsidTr="0015336A">
        <w:tc>
          <w:tcPr>
            <w:tcW w:w="2965" w:type="dxa"/>
          </w:tcPr>
          <w:p w14:paraId="2A7FF868" w14:textId="77777777" w:rsidR="00C60C82" w:rsidRPr="008C1E5F" w:rsidRDefault="00C60C82" w:rsidP="0015336A">
            <w:pPr>
              <w:pStyle w:val="TableText"/>
            </w:pPr>
            <w:r w:rsidRPr="008C1E5F">
              <w:t>Native American</w:t>
            </w:r>
          </w:p>
        </w:tc>
        <w:tc>
          <w:tcPr>
            <w:tcW w:w="1295" w:type="dxa"/>
            <w:vAlign w:val="center"/>
          </w:tcPr>
          <w:p w14:paraId="0A696B87" w14:textId="77777777" w:rsidR="00C60C82" w:rsidRPr="008C1E5F" w:rsidRDefault="00C60C82" w:rsidP="0015336A">
            <w:pPr>
              <w:pStyle w:val="TableTextCentered"/>
            </w:pPr>
            <w:r w:rsidRPr="008C1E5F">
              <w:t>2</w:t>
            </w:r>
          </w:p>
        </w:tc>
        <w:tc>
          <w:tcPr>
            <w:tcW w:w="1295" w:type="dxa"/>
            <w:vAlign w:val="center"/>
          </w:tcPr>
          <w:p w14:paraId="094ECC70" w14:textId="77777777" w:rsidR="00C60C82" w:rsidRPr="008C1E5F" w:rsidRDefault="00C60C82" w:rsidP="0015336A">
            <w:pPr>
              <w:pStyle w:val="TableTextCentered"/>
            </w:pPr>
            <w:r w:rsidRPr="008C1E5F">
              <w:t>--</w:t>
            </w:r>
          </w:p>
        </w:tc>
        <w:tc>
          <w:tcPr>
            <w:tcW w:w="1296" w:type="dxa"/>
            <w:vAlign w:val="center"/>
          </w:tcPr>
          <w:p w14:paraId="2F058ADD" w14:textId="77777777" w:rsidR="00C60C82" w:rsidRPr="008C1E5F" w:rsidRDefault="00C60C82" w:rsidP="0015336A">
            <w:pPr>
              <w:pStyle w:val="TableTextCentered"/>
            </w:pPr>
            <w:r w:rsidRPr="008C1E5F">
              <w:t>--</w:t>
            </w:r>
          </w:p>
        </w:tc>
        <w:tc>
          <w:tcPr>
            <w:tcW w:w="1295" w:type="dxa"/>
            <w:vAlign w:val="center"/>
          </w:tcPr>
          <w:p w14:paraId="02AD1BE4" w14:textId="77777777" w:rsidR="00C60C82" w:rsidRPr="008C1E5F" w:rsidRDefault="00C60C82" w:rsidP="0015336A">
            <w:pPr>
              <w:pStyle w:val="TableTextCentered"/>
            </w:pPr>
            <w:r w:rsidRPr="008C1E5F">
              <w:t>--</w:t>
            </w:r>
          </w:p>
        </w:tc>
        <w:tc>
          <w:tcPr>
            <w:tcW w:w="1296" w:type="dxa"/>
            <w:vAlign w:val="center"/>
          </w:tcPr>
          <w:p w14:paraId="46139C42" w14:textId="77777777" w:rsidR="00C60C82" w:rsidRPr="008C1E5F" w:rsidRDefault="00C60C82" w:rsidP="0015336A">
            <w:pPr>
              <w:pStyle w:val="TableTextCentered"/>
            </w:pPr>
            <w:r w:rsidRPr="008C1E5F">
              <w:t>87.1</w:t>
            </w:r>
          </w:p>
        </w:tc>
      </w:tr>
      <w:tr w:rsidR="00C60C82" w:rsidRPr="008C1E5F" w14:paraId="028C6AD1" w14:textId="77777777" w:rsidTr="0015336A">
        <w:trPr>
          <w:cnfStyle w:val="000000100000" w:firstRow="0" w:lastRow="0" w:firstColumn="0" w:lastColumn="0" w:oddVBand="0" w:evenVBand="0" w:oddHBand="1" w:evenHBand="0" w:firstRowFirstColumn="0" w:firstRowLastColumn="0" w:lastRowFirstColumn="0" w:lastRowLastColumn="0"/>
        </w:trPr>
        <w:tc>
          <w:tcPr>
            <w:tcW w:w="2965" w:type="dxa"/>
          </w:tcPr>
          <w:p w14:paraId="35D931F5" w14:textId="77777777" w:rsidR="00C60C82" w:rsidRPr="008C1E5F" w:rsidRDefault="00C60C82" w:rsidP="0015336A">
            <w:pPr>
              <w:pStyle w:val="TableText"/>
            </w:pPr>
            <w:r w:rsidRPr="008C1E5F">
              <w:rPr>
                <w:rFonts w:eastAsia="Times New Roman"/>
                <w:spacing w:val="-4"/>
              </w:rPr>
              <w:t>Native Hawaiian, Pacific Islander</w:t>
            </w:r>
          </w:p>
        </w:tc>
        <w:tc>
          <w:tcPr>
            <w:tcW w:w="1295" w:type="dxa"/>
            <w:vAlign w:val="center"/>
          </w:tcPr>
          <w:p w14:paraId="685E505B" w14:textId="77777777" w:rsidR="00C60C82" w:rsidRPr="008C1E5F" w:rsidRDefault="00C60C82" w:rsidP="0015336A">
            <w:pPr>
              <w:pStyle w:val="TableTextCentered"/>
            </w:pPr>
            <w:r w:rsidRPr="008C1E5F">
              <w:t>--</w:t>
            </w:r>
          </w:p>
        </w:tc>
        <w:tc>
          <w:tcPr>
            <w:tcW w:w="1295" w:type="dxa"/>
            <w:vAlign w:val="center"/>
          </w:tcPr>
          <w:p w14:paraId="053D906C" w14:textId="77777777" w:rsidR="00C60C82" w:rsidRPr="008C1E5F" w:rsidRDefault="00C60C82" w:rsidP="0015336A">
            <w:pPr>
              <w:pStyle w:val="TableTextCentered"/>
            </w:pPr>
            <w:r w:rsidRPr="008C1E5F">
              <w:t>--</w:t>
            </w:r>
          </w:p>
        </w:tc>
        <w:tc>
          <w:tcPr>
            <w:tcW w:w="1296" w:type="dxa"/>
            <w:vAlign w:val="center"/>
          </w:tcPr>
          <w:p w14:paraId="25DA3F26" w14:textId="77777777" w:rsidR="00C60C82" w:rsidRPr="008C1E5F" w:rsidRDefault="00C60C82" w:rsidP="0015336A">
            <w:pPr>
              <w:pStyle w:val="TableTextCentered"/>
            </w:pPr>
            <w:r w:rsidRPr="008C1E5F">
              <w:t>--</w:t>
            </w:r>
          </w:p>
        </w:tc>
        <w:tc>
          <w:tcPr>
            <w:tcW w:w="1295" w:type="dxa"/>
            <w:vAlign w:val="center"/>
          </w:tcPr>
          <w:p w14:paraId="40B56C52" w14:textId="77777777" w:rsidR="00C60C82" w:rsidRPr="008C1E5F" w:rsidRDefault="00C60C82" w:rsidP="0015336A">
            <w:pPr>
              <w:pStyle w:val="TableTextCentered"/>
            </w:pPr>
            <w:r w:rsidRPr="008C1E5F">
              <w:t>--</w:t>
            </w:r>
          </w:p>
        </w:tc>
        <w:tc>
          <w:tcPr>
            <w:tcW w:w="1296" w:type="dxa"/>
            <w:vAlign w:val="center"/>
          </w:tcPr>
          <w:p w14:paraId="0B0965A0" w14:textId="77777777" w:rsidR="00C60C82" w:rsidRPr="008C1E5F" w:rsidRDefault="00C60C82" w:rsidP="0015336A">
            <w:pPr>
              <w:pStyle w:val="TableTextCentered"/>
            </w:pPr>
            <w:r w:rsidRPr="008C1E5F">
              <w:t>81.3</w:t>
            </w:r>
          </w:p>
        </w:tc>
      </w:tr>
      <w:tr w:rsidR="00C60C82" w:rsidRPr="008C1E5F" w14:paraId="1582D6CA" w14:textId="77777777" w:rsidTr="0015336A">
        <w:tc>
          <w:tcPr>
            <w:tcW w:w="2965" w:type="dxa"/>
          </w:tcPr>
          <w:p w14:paraId="5FEA9689" w14:textId="77777777" w:rsidR="00C60C82" w:rsidRPr="008C1E5F" w:rsidRDefault="00C60C82" w:rsidP="0015336A">
            <w:pPr>
              <w:pStyle w:val="TableText"/>
            </w:pPr>
            <w:r w:rsidRPr="008C1E5F">
              <w:t>White</w:t>
            </w:r>
          </w:p>
        </w:tc>
        <w:tc>
          <w:tcPr>
            <w:tcW w:w="1295" w:type="dxa"/>
            <w:vAlign w:val="center"/>
          </w:tcPr>
          <w:p w14:paraId="459DF1F8" w14:textId="77777777" w:rsidR="00C60C82" w:rsidRPr="008C1E5F" w:rsidRDefault="00C60C82" w:rsidP="0015336A">
            <w:pPr>
              <w:pStyle w:val="TableTextCentered"/>
            </w:pPr>
            <w:r w:rsidRPr="008C1E5F">
              <w:t>326</w:t>
            </w:r>
          </w:p>
        </w:tc>
        <w:tc>
          <w:tcPr>
            <w:tcW w:w="1295" w:type="dxa"/>
            <w:vAlign w:val="center"/>
          </w:tcPr>
          <w:p w14:paraId="57588CA9" w14:textId="77777777" w:rsidR="00C60C82" w:rsidRPr="008C1E5F" w:rsidRDefault="00C60C82" w:rsidP="0015336A">
            <w:pPr>
              <w:pStyle w:val="TableTextCentered"/>
            </w:pPr>
            <w:r w:rsidRPr="008C1E5F">
              <w:t>74.6</w:t>
            </w:r>
          </w:p>
        </w:tc>
        <w:tc>
          <w:tcPr>
            <w:tcW w:w="1296" w:type="dxa"/>
            <w:vAlign w:val="center"/>
          </w:tcPr>
          <w:p w14:paraId="7B1919DD" w14:textId="77777777" w:rsidR="00C60C82" w:rsidRPr="008C1E5F" w:rsidRDefault="00C60C82" w:rsidP="0015336A">
            <w:pPr>
              <w:pStyle w:val="TableTextCentered"/>
            </w:pPr>
            <w:r w:rsidRPr="008C1E5F">
              <w:t>83.7</w:t>
            </w:r>
          </w:p>
        </w:tc>
        <w:tc>
          <w:tcPr>
            <w:tcW w:w="1295" w:type="dxa"/>
            <w:vAlign w:val="center"/>
          </w:tcPr>
          <w:p w14:paraId="0D0237C3" w14:textId="77777777" w:rsidR="00C60C82" w:rsidRPr="008C1E5F" w:rsidRDefault="00C60C82" w:rsidP="0015336A">
            <w:pPr>
              <w:pStyle w:val="TableTextCentered"/>
            </w:pPr>
            <w:r w:rsidRPr="008C1E5F">
              <w:t>79.8</w:t>
            </w:r>
          </w:p>
        </w:tc>
        <w:tc>
          <w:tcPr>
            <w:tcW w:w="1296" w:type="dxa"/>
            <w:vAlign w:val="center"/>
          </w:tcPr>
          <w:p w14:paraId="2921ECB6" w14:textId="77777777" w:rsidR="00C60C82" w:rsidRPr="008C1E5F" w:rsidRDefault="00C60C82" w:rsidP="0015336A">
            <w:pPr>
              <w:pStyle w:val="TableTextCentered"/>
            </w:pPr>
            <w:r w:rsidRPr="008C1E5F">
              <w:t>94.4</w:t>
            </w:r>
          </w:p>
        </w:tc>
      </w:tr>
      <w:tr w:rsidR="00C60C82" w:rsidRPr="008C1E5F" w14:paraId="3A44343E" w14:textId="77777777" w:rsidTr="0015336A">
        <w:trPr>
          <w:cnfStyle w:val="000000100000" w:firstRow="0" w:lastRow="0" w:firstColumn="0" w:lastColumn="0" w:oddVBand="0" w:evenVBand="0" w:oddHBand="1" w:evenHBand="0" w:firstRowFirstColumn="0" w:firstRowLastColumn="0" w:lastRowFirstColumn="0" w:lastRowLastColumn="0"/>
        </w:trPr>
        <w:tc>
          <w:tcPr>
            <w:tcW w:w="2965" w:type="dxa"/>
          </w:tcPr>
          <w:p w14:paraId="5776C099" w14:textId="77777777" w:rsidR="00C60C82" w:rsidRPr="008C1E5F" w:rsidRDefault="00C60C82" w:rsidP="0015336A">
            <w:pPr>
              <w:pStyle w:val="TableText"/>
            </w:pPr>
            <w:r w:rsidRPr="008C1E5F">
              <w:t>High needs</w:t>
            </w:r>
          </w:p>
        </w:tc>
        <w:tc>
          <w:tcPr>
            <w:tcW w:w="1295" w:type="dxa"/>
            <w:vAlign w:val="center"/>
          </w:tcPr>
          <w:p w14:paraId="01C796C9" w14:textId="77777777" w:rsidR="00C60C82" w:rsidRPr="008C1E5F" w:rsidRDefault="00C60C82" w:rsidP="0015336A">
            <w:pPr>
              <w:pStyle w:val="TableTextCentered"/>
            </w:pPr>
            <w:r w:rsidRPr="008C1E5F">
              <w:t>568</w:t>
            </w:r>
          </w:p>
        </w:tc>
        <w:tc>
          <w:tcPr>
            <w:tcW w:w="1295" w:type="dxa"/>
            <w:vAlign w:val="center"/>
          </w:tcPr>
          <w:p w14:paraId="60F05165" w14:textId="77777777" w:rsidR="00C60C82" w:rsidRPr="008C1E5F" w:rsidRDefault="00C60C82" w:rsidP="0015336A">
            <w:pPr>
              <w:pStyle w:val="TableTextCentered"/>
            </w:pPr>
            <w:r w:rsidRPr="008C1E5F">
              <w:t>67.9</w:t>
            </w:r>
          </w:p>
        </w:tc>
        <w:tc>
          <w:tcPr>
            <w:tcW w:w="1296" w:type="dxa"/>
            <w:vAlign w:val="center"/>
          </w:tcPr>
          <w:p w14:paraId="7E6F6841" w14:textId="77777777" w:rsidR="00C60C82" w:rsidRPr="008C1E5F" w:rsidRDefault="00C60C82" w:rsidP="0015336A">
            <w:pPr>
              <w:pStyle w:val="TableTextCentered"/>
            </w:pPr>
            <w:r w:rsidRPr="008C1E5F">
              <w:t>78.9</w:t>
            </w:r>
          </w:p>
        </w:tc>
        <w:tc>
          <w:tcPr>
            <w:tcW w:w="1295" w:type="dxa"/>
            <w:vAlign w:val="center"/>
          </w:tcPr>
          <w:p w14:paraId="12FF9148" w14:textId="77777777" w:rsidR="00C60C82" w:rsidRPr="008C1E5F" w:rsidRDefault="00C60C82" w:rsidP="0015336A">
            <w:pPr>
              <w:pStyle w:val="TableTextCentered"/>
            </w:pPr>
            <w:r w:rsidRPr="008C1E5F">
              <w:t>78.0</w:t>
            </w:r>
          </w:p>
        </w:tc>
        <w:tc>
          <w:tcPr>
            <w:tcW w:w="1296" w:type="dxa"/>
            <w:vAlign w:val="center"/>
          </w:tcPr>
          <w:p w14:paraId="717540CF" w14:textId="77777777" w:rsidR="00C60C82" w:rsidRPr="008C1E5F" w:rsidRDefault="00C60C82" w:rsidP="0015336A">
            <w:pPr>
              <w:pStyle w:val="TableTextCentered"/>
            </w:pPr>
            <w:r w:rsidRPr="008C1E5F">
              <w:t>86.8</w:t>
            </w:r>
          </w:p>
        </w:tc>
      </w:tr>
      <w:tr w:rsidR="00C60C82" w:rsidRPr="008C1E5F" w14:paraId="369878C6" w14:textId="77777777" w:rsidTr="0015336A">
        <w:tc>
          <w:tcPr>
            <w:tcW w:w="2965" w:type="dxa"/>
          </w:tcPr>
          <w:p w14:paraId="65950FDA" w14:textId="77777777" w:rsidR="00C60C82" w:rsidRPr="008C1E5F" w:rsidRDefault="00C60C82" w:rsidP="0015336A">
            <w:pPr>
              <w:pStyle w:val="TableText"/>
            </w:pPr>
            <w:r w:rsidRPr="008C1E5F">
              <w:t>Low income</w:t>
            </w:r>
          </w:p>
        </w:tc>
        <w:tc>
          <w:tcPr>
            <w:tcW w:w="1295" w:type="dxa"/>
            <w:vAlign w:val="center"/>
          </w:tcPr>
          <w:p w14:paraId="228E1C87" w14:textId="77777777" w:rsidR="00C60C82" w:rsidRPr="008C1E5F" w:rsidRDefault="00C60C82" w:rsidP="0015336A">
            <w:pPr>
              <w:pStyle w:val="TableTextCentered"/>
            </w:pPr>
            <w:r w:rsidRPr="008C1E5F">
              <w:t>557</w:t>
            </w:r>
          </w:p>
        </w:tc>
        <w:tc>
          <w:tcPr>
            <w:tcW w:w="1295" w:type="dxa"/>
            <w:vAlign w:val="center"/>
          </w:tcPr>
          <w:p w14:paraId="40E923F6" w14:textId="77777777" w:rsidR="00C60C82" w:rsidRPr="008C1E5F" w:rsidRDefault="00C60C82" w:rsidP="0015336A">
            <w:pPr>
              <w:pStyle w:val="TableTextCentered"/>
            </w:pPr>
            <w:r w:rsidRPr="008C1E5F">
              <w:t>69.1</w:t>
            </w:r>
          </w:p>
        </w:tc>
        <w:tc>
          <w:tcPr>
            <w:tcW w:w="1296" w:type="dxa"/>
            <w:vAlign w:val="center"/>
          </w:tcPr>
          <w:p w14:paraId="4B1561B1" w14:textId="77777777" w:rsidR="00C60C82" w:rsidRPr="008C1E5F" w:rsidRDefault="00C60C82" w:rsidP="0015336A">
            <w:pPr>
              <w:pStyle w:val="TableTextCentered"/>
            </w:pPr>
            <w:r w:rsidRPr="008C1E5F">
              <w:t>79.6</w:t>
            </w:r>
          </w:p>
        </w:tc>
        <w:tc>
          <w:tcPr>
            <w:tcW w:w="1295" w:type="dxa"/>
            <w:vAlign w:val="center"/>
          </w:tcPr>
          <w:p w14:paraId="0E51AE87" w14:textId="77777777" w:rsidR="00C60C82" w:rsidRPr="008C1E5F" w:rsidRDefault="00C60C82" w:rsidP="0015336A">
            <w:pPr>
              <w:pStyle w:val="TableTextCentered"/>
            </w:pPr>
            <w:r w:rsidRPr="008C1E5F">
              <w:t>78.3</w:t>
            </w:r>
          </w:p>
        </w:tc>
        <w:tc>
          <w:tcPr>
            <w:tcW w:w="1296" w:type="dxa"/>
            <w:vAlign w:val="center"/>
          </w:tcPr>
          <w:p w14:paraId="6EA121BE" w14:textId="77777777" w:rsidR="00C60C82" w:rsidRPr="008C1E5F" w:rsidRDefault="00C60C82" w:rsidP="0015336A">
            <w:pPr>
              <w:pStyle w:val="TableTextCentered"/>
            </w:pPr>
            <w:r w:rsidRPr="008C1E5F">
              <w:t>86.3</w:t>
            </w:r>
          </w:p>
        </w:tc>
      </w:tr>
      <w:tr w:rsidR="00C60C82" w:rsidRPr="008C1E5F" w14:paraId="3B177DB4" w14:textId="77777777" w:rsidTr="0015336A">
        <w:trPr>
          <w:cnfStyle w:val="000000100000" w:firstRow="0" w:lastRow="0" w:firstColumn="0" w:lastColumn="0" w:oddVBand="0" w:evenVBand="0" w:oddHBand="1" w:evenHBand="0" w:firstRowFirstColumn="0" w:firstRowLastColumn="0" w:lastRowFirstColumn="0" w:lastRowLastColumn="0"/>
        </w:trPr>
        <w:tc>
          <w:tcPr>
            <w:tcW w:w="2965" w:type="dxa"/>
          </w:tcPr>
          <w:p w14:paraId="125E1C6C" w14:textId="77777777" w:rsidR="00C60C82" w:rsidRPr="008C1E5F" w:rsidRDefault="00C60C82" w:rsidP="0015336A">
            <w:pPr>
              <w:pStyle w:val="TableText"/>
            </w:pPr>
            <w:r w:rsidRPr="008C1E5F">
              <w:rPr>
                <w:spacing w:val="-4"/>
              </w:rPr>
              <w:t>English learners</w:t>
            </w:r>
          </w:p>
        </w:tc>
        <w:tc>
          <w:tcPr>
            <w:tcW w:w="1295" w:type="dxa"/>
            <w:vAlign w:val="center"/>
          </w:tcPr>
          <w:p w14:paraId="3F752291" w14:textId="77777777" w:rsidR="00C60C82" w:rsidRPr="008C1E5F" w:rsidRDefault="00C60C82" w:rsidP="0015336A">
            <w:pPr>
              <w:pStyle w:val="TableTextCentered"/>
            </w:pPr>
            <w:r w:rsidRPr="008C1E5F">
              <w:t>117</w:t>
            </w:r>
          </w:p>
        </w:tc>
        <w:tc>
          <w:tcPr>
            <w:tcW w:w="1295" w:type="dxa"/>
            <w:vAlign w:val="center"/>
          </w:tcPr>
          <w:p w14:paraId="0BBBEB85" w14:textId="77777777" w:rsidR="00C60C82" w:rsidRPr="008C1E5F" w:rsidRDefault="00C60C82" w:rsidP="0015336A">
            <w:pPr>
              <w:pStyle w:val="TableTextCentered"/>
            </w:pPr>
            <w:r w:rsidRPr="008C1E5F">
              <w:t>55.4</w:t>
            </w:r>
          </w:p>
        </w:tc>
        <w:tc>
          <w:tcPr>
            <w:tcW w:w="1296" w:type="dxa"/>
            <w:vAlign w:val="center"/>
          </w:tcPr>
          <w:p w14:paraId="434714CC" w14:textId="77777777" w:rsidR="00C60C82" w:rsidRPr="008C1E5F" w:rsidRDefault="00C60C82" w:rsidP="0015336A">
            <w:pPr>
              <w:pStyle w:val="TableTextCentered"/>
            </w:pPr>
            <w:r w:rsidRPr="008C1E5F">
              <w:t>77.0</w:t>
            </w:r>
          </w:p>
        </w:tc>
        <w:tc>
          <w:tcPr>
            <w:tcW w:w="1295" w:type="dxa"/>
            <w:vAlign w:val="center"/>
          </w:tcPr>
          <w:p w14:paraId="18F5BAE4" w14:textId="77777777" w:rsidR="00C60C82" w:rsidRPr="008C1E5F" w:rsidRDefault="00C60C82" w:rsidP="0015336A">
            <w:pPr>
              <w:pStyle w:val="TableTextCentered"/>
            </w:pPr>
            <w:r w:rsidRPr="008C1E5F">
              <w:t>77.8</w:t>
            </w:r>
          </w:p>
        </w:tc>
        <w:tc>
          <w:tcPr>
            <w:tcW w:w="1296" w:type="dxa"/>
            <w:vAlign w:val="center"/>
          </w:tcPr>
          <w:p w14:paraId="260F7C12" w14:textId="77777777" w:rsidR="00C60C82" w:rsidRPr="008C1E5F" w:rsidRDefault="00C60C82" w:rsidP="0015336A">
            <w:pPr>
              <w:pStyle w:val="TableTextCentered"/>
            </w:pPr>
            <w:r w:rsidRPr="008C1E5F">
              <w:t>78.0</w:t>
            </w:r>
          </w:p>
        </w:tc>
      </w:tr>
      <w:tr w:rsidR="00C60C82" w:rsidRPr="008C1E5F" w14:paraId="40E26D93" w14:textId="77777777" w:rsidTr="0015336A">
        <w:tc>
          <w:tcPr>
            <w:tcW w:w="2965" w:type="dxa"/>
          </w:tcPr>
          <w:p w14:paraId="0F3E40F4" w14:textId="77777777" w:rsidR="00C60C82" w:rsidRPr="008C1E5F" w:rsidRDefault="00C60C82" w:rsidP="0015336A">
            <w:pPr>
              <w:pStyle w:val="TableText"/>
            </w:pPr>
            <w:r w:rsidRPr="008C1E5F">
              <w:t>Students w/disabilities</w:t>
            </w:r>
          </w:p>
        </w:tc>
        <w:tc>
          <w:tcPr>
            <w:tcW w:w="1295" w:type="dxa"/>
            <w:vAlign w:val="center"/>
          </w:tcPr>
          <w:p w14:paraId="624E8CF5" w14:textId="77777777" w:rsidR="00C60C82" w:rsidRPr="008C1E5F" w:rsidRDefault="00C60C82" w:rsidP="0015336A">
            <w:pPr>
              <w:pStyle w:val="TableTextCentered"/>
            </w:pPr>
            <w:r w:rsidRPr="008C1E5F">
              <w:t>142</w:t>
            </w:r>
          </w:p>
        </w:tc>
        <w:tc>
          <w:tcPr>
            <w:tcW w:w="1295" w:type="dxa"/>
            <w:vAlign w:val="center"/>
          </w:tcPr>
          <w:p w14:paraId="7A82754E" w14:textId="77777777" w:rsidR="00C60C82" w:rsidRPr="008C1E5F" w:rsidRDefault="00C60C82" w:rsidP="0015336A">
            <w:pPr>
              <w:pStyle w:val="TableTextCentered"/>
            </w:pPr>
            <w:r w:rsidRPr="008C1E5F">
              <w:t>48.1</w:t>
            </w:r>
          </w:p>
        </w:tc>
        <w:tc>
          <w:tcPr>
            <w:tcW w:w="1296" w:type="dxa"/>
            <w:vAlign w:val="center"/>
          </w:tcPr>
          <w:p w14:paraId="79DB3D86" w14:textId="77777777" w:rsidR="00C60C82" w:rsidRPr="008C1E5F" w:rsidRDefault="00C60C82" w:rsidP="0015336A">
            <w:pPr>
              <w:pStyle w:val="TableTextCentered"/>
            </w:pPr>
            <w:r w:rsidRPr="008C1E5F">
              <w:t>62.9</w:t>
            </w:r>
          </w:p>
        </w:tc>
        <w:tc>
          <w:tcPr>
            <w:tcW w:w="1295" w:type="dxa"/>
            <w:vAlign w:val="center"/>
          </w:tcPr>
          <w:p w14:paraId="6AD4382F" w14:textId="77777777" w:rsidR="00C60C82" w:rsidRPr="008C1E5F" w:rsidRDefault="00C60C82" w:rsidP="0015336A">
            <w:pPr>
              <w:pStyle w:val="TableTextCentered"/>
            </w:pPr>
            <w:r w:rsidRPr="008C1E5F">
              <w:t>64.8</w:t>
            </w:r>
          </w:p>
        </w:tc>
        <w:tc>
          <w:tcPr>
            <w:tcW w:w="1296" w:type="dxa"/>
            <w:vAlign w:val="center"/>
          </w:tcPr>
          <w:p w14:paraId="6A7C62AD" w14:textId="77777777" w:rsidR="00C60C82" w:rsidRPr="008C1E5F" w:rsidRDefault="00C60C82" w:rsidP="0015336A">
            <w:pPr>
              <w:pStyle w:val="TableTextCentered"/>
            </w:pPr>
            <w:r w:rsidRPr="008C1E5F">
              <w:t>81.8</w:t>
            </w:r>
          </w:p>
        </w:tc>
      </w:tr>
    </w:tbl>
    <w:p w14:paraId="13938C42" w14:textId="77777777" w:rsidR="00C60C82" w:rsidRPr="008C1E5F" w:rsidRDefault="00C60C82" w:rsidP="00305BFA">
      <w:pPr>
        <w:pStyle w:val="TableETitles"/>
        <w:spacing w:before="240" w:after="60"/>
      </w:pPr>
      <w:bookmarkStart w:id="297" w:name="_Toc195024286"/>
      <w:r w:rsidRPr="008C1E5F">
        <w:t>Table E18. Annual Dropout Rates by Student Group, 2021-2023</w:t>
      </w:r>
      <w:bookmarkEnd w:id="297"/>
    </w:p>
    <w:tbl>
      <w:tblPr>
        <w:tblStyle w:val="MSVTable1"/>
        <w:tblW w:w="5000" w:type="pct"/>
        <w:tblLook w:val="04A0" w:firstRow="1" w:lastRow="0" w:firstColumn="1" w:lastColumn="0" w:noHBand="0" w:noVBand="1"/>
      </w:tblPr>
      <w:tblGrid>
        <w:gridCol w:w="2934"/>
        <w:gridCol w:w="1286"/>
        <w:gridCol w:w="1280"/>
        <w:gridCol w:w="1281"/>
        <w:gridCol w:w="1280"/>
        <w:gridCol w:w="1283"/>
      </w:tblGrid>
      <w:tr w:rsidR="00C60C82" w:rsidRPr="008C1E5F" w14:paraId="394D6C76" w14:textId="77777777" w:rsidTr="0015336A">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1E7881EA" w14:textId="77777777" w:rsidR="00C60C82" w:rsidRPr="001E1AFB" w:rsidRDefault="00C60C82" w:rsidP="0015336A">
            <w:pPr>
              <w:pStyle w:val="TableColHeadingCenter"/>
            </w:pPr>
            <w:r w:rsidRPr="001E1AFB">
              <w:t>Group</w:t>
            </w:r>
          </w:p>
        </w:tc>
        <w:tc>
          <w:tcPr>
            <w:tcW w:w="1295" w:type="dxa"/>
            <w:vAlign w:val="center"/>
          </w:tcPr>
          <w:p w14:paraId="101CC1DB" w14:textId="77777777" w:rsidR="00C60C82" w:rsidRPr="008C1E5F" w:rsidRDefault="00C60C82" w:rsidP="0015336A">
            <w:pPr>
              <w:pStyle w:val="TableColHeadingCenter"/>
            </w:pPr>
            <w:r w:rsidRPr="008C1E5F">
              <w:t># Included (2023)</w:t>
            </w:r>
          </w:p>
        </w:tc>
        <w:tc>
          <w:tcPr>
            <w:tcW w:w="1295" w:type="dxa"/>
            <w:vAlign w:val="center"/>
          </w:tcPr>
          <w:p w14:paraId="3A45ABDA" w14:textId="77777777" w:rsidR="00C60C82" w:rsidRPr="008C1E5F" w:rsidRDefault="00C60C82" w:rsidP="0015336A">
            <w:pPr>
              <w:pStyle w:val="TableColHeadingCenter"/>
            </w:pPr>
            <w:r w:rsidRPr="008C1E5F">
              <w:t>2021</w:t>
            </w:r>
          </w:p>
        </w:tc>
        <w:tc>
          <w:tcPr>
            <w:tcW w:w="1296" w:type="dxa"/>
            <w:vAlign w:val="center"/>
          </w:tcPr>
          <w:p w14:paraId="1DDE9401" w14:textId="77777777" w:rsidR="00C60C82" w:rsidRPr="008C1E5F" w:rsidRDefault="00C60C82" w:rsidP="0015336A">
            <w:pPr>
              <w:pStyle w:val="TableColHeadingCenter"/>
            </w:pPr>
            <w:r w:rsidRPr="008C1E5F">
              <w:t>2022</w:t>
            </w:r>
          </w:p>
        </w:tc>
        <w:tc>
          <w:tcPr>
            <w:tcW w:w="1295" w:type="dxa"/>
            <w:vAlign w:val="center"/>
          </w:tcPr>
          <w:p w14:paraId="7EE09A9D" w14:textId="77777777" w:rsidR="00C60C82" w:rsidRPr="008C1E5F" w:rsidRDefault="00C60C82" w:rsidP="0015336A">
            <w:pPr>
              <w:pStyle w:val="TableColHeadingCenter"/>
            </w:pPr>
            <w:r w:rsidRPr="008C1E5F">
              <w:t>2023</w:t>
            </w:r>
          </w:p>
        </w:tc>
        <w:tc>
          <w:tcPr>
            <w:tcW w:w="1296" w:type="dxa"/>
            <w:vAlign w:val="center"/>
          </w:tcPr>
          <w:p w14:paraId="09987858" w14:textId="77777777" w:rsidR="00C60C82" w:rsidRPr="008C1E5F" w:rsidRDefault="00C60C82" w:rsidP="0015336A">
            <w:pPr>
              <w:pStyle w:val="TableColHeadingCenter"/>
            </w:pPr>
            <w:r w:rsidRPr="008C1E5F">
              <w:t>State (2023)</w:t>
            </w:r>
          </w:p>
        </w:tc>
      </w:tr>
      <w:tr w:rsidR="00C60C82" w:rsidRPr="008C1E5F" w14:paraId="4EDC2F59" w14:textId="77777777" w:rsidTr="0015336A">
        <w:trPr>
          <w:cnfStyle w:val="000000100000" w:firstRow="0" w:lastRow="0" w:firstColumn="0" w:lastColumn="0" w:oddVBand="0" w:evenVBand="0" w:oddHBand="1" w:evenHBand="0" w:firstRowFirstColumn="0" w:firstRowLastColumn="0" w:lastRowFirstColumn="0" w:lastRowLastColumn="0"/>
        </w:trPr>
        <w:tc>
          <w:tcPr>
            <w:tcW w:w="2965" w:type="dxa"/>
          </w:tcPr>
          <w:p w14:paraId="6A46AFF3" w14:textId="77777777" w:rsidR="00C60C82" w:rsidRPr="008C1E5F" w:rsidRDefault="00C60C82" w:rsidP="0015336A">
            <w:pPr>
              <w:pStyle w:val="TableText"/>
            </w:pPr>
            <w:r w:rsidRPr="008C1E5F">
              <w:t>All</w:t>
            </w:r>
          </w:p>
        </w:tc>
        <w:tc>
          <w:tcPr>
            <w:tcW w:w="1295" w:type="dxa"/>
            <w:vAlign w:val="center"/>
          </w:tcPr>
          <w:p w14:paraId="34D8E940" w14:textId="77777777" w:rsidR="00C60C82" w:rsidRPr="008C1E5F" w:rsidRDefault="00C60C82" w:rsidP="0015336A">
            <w:pPr>
              <w:pStyle w:val="TableTextCentered"/>
            </w:pPr>
            <w:r w:rsidRPr="008C1E5F">
              <w:t>2,660</w:t>
            </w:r>
          </w:p>
        </w:tc>
        <w:tc>
          <w:tcPr>
            <w:tcW w:w="1295" w:type="dxa"/>
            <w:vAlign w:val="center"/>
          </w:tcPr>
          <w:p w14:paraId="00790C47" w14:textId="77777777" w:rsidR="00C60C82" w:rsidRPr="008C1E5F" w:rsidRDefault="00C60C82" w:rsidP="0015336A">
            <w:pPr>
              <w:pStyle w:val="TableTextCentered"/>
            </w:pPr>
            <w:r w:rsidRPr="008C1E5F">
              <w:t>3.7</w:t>
            </w:r>
          </w:p>
        </w:tc>
        <w:tc>
          <w:tcPr>
            <w:tcW w:w="1296" w:type="dxa"/>
            <w:vAlign w:val="center"/>
          </w:tcPr>
          <w:p w14:paraId="3ED8B2F8" w14:textId="77777777" w:rsidR="00C60C82" w:rsidRPr="008C1E5F" w:rsidRDefault="00C60C82" w:rsidP="0015336A">
            <w:pPr>
              <w:pStyle w:val="TableTextCentered"/>
            </w:pPr>
            <w:r w:rsidRPr="008C1E5F">
              <w:t>6.7</w:t>
            </w:r>
          </w:p>
        </w:tc>
        <w:tc>
          <w:tcPr>
            <w:tcW w:w="1295" w:type="dxa"/>
            <w:vAlign w:val="center"/>
          </w:tcPr>
          <w:p w14:paraId="1A56B042" w14:textId="77777777" w:rsidR="00C60C82" w:rsidRPr="008C1E5F" w:rsidRDefault="00C60C82" w:rsidP="0015336A">
            <w:pPr>
              <w:pStyle w:val="TableTextCentered"/>
            </w:pPr>
            <w:r w:rsidRPr="008C1E5F">
              <w:t>5.0</w:t>
            </w:r>
          </w:p>
        </w:tc>
        <w:tc>
          <w:tcPr>
            <w:tcW w:w="1296" w:type="dxa"/>
            <w:vAlign w:val="center"/>
          </w:tcPr>
          <w:p w14:paraId="0AB4A2F4" w14:textId="77777777" w:rsidR="00C60C82" w:rsidRPr="008C1E5F" w:rsidRDefault="00C60C82" w:rsidP="0015336A">
            <w:pPr>
              <w:pStyle w:val="TableTextCentered"/>
            </w:pPr>
            <w:r w:rsidRPr="008C1E5F">
              <w:t>2.1</w:t>
            </w:r>
          </w:p>
        </w:tc>
      </w:tr>
      <w:tr w:rsidR="00C60C82" w:rsidRPr="008C1E5F" w14:paraId="13001B8D" w14:textId="77777777" w:rsidTr="0015336A">
        <w:tc>
          <w:tcPr>
            <w:tcW w:w="2965" w:type="dxa"/>
          </w:tcPr>
          <w:p w14:paraId="701158D3" w14:textId="77777777" w:rsidR="00C60C82" w:rsidRPr="008C1E5F" w:rsidRDefault="00C60C82" w:rsidP="0015336A">
            <w:pPr>
              <w:pStyle w:val="TableText"/>
            </w:pPr>
            <w:r w:rsidRPr="008C1E5F">
              <w:t>African American/Black</w:t>
            </w:r>
          </w:p>
        </w:tc>
        <w:tc>
          <w:tcPr>
            <w:tcW w:w="1295" w:type="dxa"/>
            <w:vAlign w:val="center"/>
          </w:tcPr>
          <w:p w14:paraId="64897B47" w14:textId="77777777" w:rsidR="00C60C82" w:rsidRPr="008C1E5F" w:rsidRDefault="00C60C82" w:rsidP="0015336A">
            <w:pPr>
              <w:pStyle w:val="TableTextCentered"/>
            </w:pPr>
            <w:r w:rsidRPr="008C1E5F">
              <w:t>291</w:t>
            </w:r>
          </w:p>
        </w:tc>
        <w:tc>
          <w:tcPr>
            <w:tcW w:w="1295" w:type="dxa"/>
            <w:vAlign w:val="center"/>
          </w:tcPr>
          <w:p w14:paraId="094B50E7" w14:textId="77777777" w:rsidR="00C60C82" w:rsidRPr="008C1E5F" w:rsidRDefault="00C60C82" w:rsidP="0015336A">
            <w:pPr>
              <w:pStyle w:val="TableTextCentered"/>
            </w:pPr>
            <w:r w:rsidRPr="008C1E5F">
              <w:t>5.1</w:t>
            </w:r>
          </w:p>
        </w:tc>
        <w:tc>
          <w:tcPr>
            <w:tcW w:w="1296" w:type="dxa"/>
            <w:vAlign w:val="center"/>
          </w:tcPr>
          <w:p w14:paraId="296B55EE" w14:textId="77777777" w:rsidR="00C60C82" w:rsidRPr="008C1E5F" w:rsidRDefault="00C60C82" w:rsidP="0015336A">
            <w:pPr>
              <w:pStyle w:val="TableTextCentered"/>
            </w:pPr>
            <w:r w:rsidRPr="008C1E5F">
              <w:t>5.5</w:t>
            </w:r>
          </w:p>
        </w:tc>
        <w:tc>
          <w:tcPr>
            <w:tcW w:w="1295" w:type="dxa"/>
            <w:vAlign w:val="center"/>
          </w:tcPr>
          <w:p w14:paraId="15CC6527" w14:textId="77777777" w:rsidR="00C60C82" w:rsidRPr="008C1E5F" w:rsidRDefault="00C60C82" w:rsidP="0015336A">
            <w:pPr>
              <w:pStyle w:val="TableTextCentered"/>
            </w:pPr>
            <w:r w:rsidRPr="008C1E5F">
              <w:t>3.4</w:t>
            </w:r>
          </w:p>
        </w:tc>
        <w:tc>
          <w:tcPr>
            <w:tcW w:w="1296" w:type="dxa"/>
            <w:vAlign w:val="center"/>
          </w:tcPr>
          <w:p w14:paraId="5D514CE7" w14:textId="77777777" w:rsidR="00C60C82" w:rsidRPr="008C1E5F" w:rsidRDefault="00C60C82" w:rsidP="0015336A">
            <w:pPr>
              <w:pStyle w:val="TableTextCentered"/>
            </w:pPr>
            <w:r w:rsidRPr="008C1E5F">
              <w:t>2.8</w:t>
            </w:r>
          </w:p>
        </w:tc>
      </w:tr>
      <w:tr w:rsidR="00C60C82" w:rsidRPr="008C1E5F" w14:paraId="4EAF5436" w14:textId="77777777" w:rsidTr="0015336A">
        <w:trPr>
          <w:cnfStyle w:val="000000100000" w:firstRow="0" w:lastRow="0" w:firstColumn="0" w:lastColumn="0" w:oddVBand="0" w:evenVBand="0" w:oddHBand="1" w:evenHBand="0" w:firstRowFirstColumn="0" w:firstRowLastColumn="0" w:lastRowFirstColumn="0" w:lastRowLastColumn="0"/>
        </w:trPr>
        <w:tc>
          <w:tcPr>
            <w:tcW w:w="2965" w:type="dxa"/>
          </w:tcPr>
          <w:p w14:paraId="062DBDB4" w14:textId="77777777" w:rsidR="00C60C82" w:rsidRPr="008C1E5F" w:rsidRDefault="00C60C82" w:rsidP="0015336A">
            <w:pPr>
              <w:pStyle w:val="TableText"/>
            </w:pPr>
            <w:r w:rsidRPr="008C1E5F">
              <w:t>Asian</w:t>
            </w:r>
          </w:p>
        </w:tc>
        <w:tc>
          <w:tcPr>
            <w:tcW w:w="1295" w:type="dxa"/>
            <w:vAlign w:val="center"/>
          </w:tcPr>
          <w:p w14:paraId="23D34ED3" w14:textId="77777777" w:rsidR="00C60C82" w:rsidRPr="008C1E5F" w:rsidRDefault="00C60C82" w:rsidP="0015336A">
            <w:pPr>
              <w:pStyle w:val="TableTextCentered"/>
            </w:pPr>
            <w:r w:rsidRPr="008C1E5F">
              <w:t>107</w:t>
            </w:r>
          </w:p>
        </w:tc>
        <w:tc>
          <w:tcPr>
            <w:tcW w:w="1295" w:type="dxa"/>
            <w:vAlign w:val="center"/>
          </w:tcPr>
          <w:p w14:paraId="7C83C379" w14:textId="77777777" w:rsidR="00C60C82" w:rsidRPr="008C1E5F" w:rsidRDefault="00C60C82" w:rsidP="0015336A">
            <w:pPr>
              <w:pStyle w:val="TableTextCentered"/>
            </w:pPr>
            <w:r w:rsidRPr="008C1E5F">
              <w:t>0.0</w:t>
            </w:r>
          </w:p>
        </w:tc>
        <w:tc>
          <w:tcPr>
            <w:tcW w:w="1296" w:type="dxa"/>
            <w:vAlign w:val="center"/>
          </w:tcPr>
          <w:p w14:paraId="65EEFC74" w14:textId="77777777" w:rsidR="00C60C82" w:rsidRPr="008C1E5F" w:rsidRDefault="00C60C82" w:rsidP="0015336A">
            <w:pPr>
              <w:pStyle w:val="TableTextCentered"/>
            </w:pPr>
            <w:r w:rsidRPr="008C1E5F">
              <w:t>1.8</w:t>
            </w:r>
          </w:p>
        </w:tc>
        <w:tc>
          <w:tcPr>
            <w:tcW w:w="1295" w:type="dxa"/>
            <w:vAlign w:val="center"/>
          </w:tcPr>
          <w:p w14:paraId="1C57E5F4" w14:textId="77777777" w:rsidR="00C60C82" w:rsidRPr="008C1E5F" w:rsidRDefault="00C60C82" w:rsidP="0015336A">
            <w:pPr>
              <w:pStyle w:val="TableTextCentered"/>
            </w:pPr>
            <w:r w:rsidRPr="008C1E5F">
              <w:t>0.0</w:t>
            </w:r>
          </w:p>
        </w:tc>
        <w:tc>
          <w:tcPr>
            <w:tcW w:w="1296" w:type="dxa"/>
            <w:vAlign w:val="center"/>
          </w:tcPr>
          <w:p w14:paraId="731D861F" w14:textId="77777777" w:rsidR="00C60C82" w:rsidRPr="008C1E5F" w:rsidRDefault="00C60C82" w:rsidP="0015336A">
            <w:pPr>
              <w:pStyle w:val="TableTextCentered"/>
            </w:pPr>
            <w:r w:rsidRPr="008C1E5F">
              <w:t>0.6</w:t>
            </w:r>
          </w:p>
        </w:tc>
      </w:tr>
      <w:tr w:rsidR="00C60C82" w:rsidRPr="008C1E5F" w14:paraId="20919E9F" w14:textId="77777777" w:rsidTr="0015336A">
        <w:tc>
          <w:tcPr>
            <w:tcW w:w="2965" w:type="dxa"/>
          </w:tcPr>
          <w:p w14:paraId="373E8CAF" w14:textId="77777777" w:rsidR="00C60C82" w:rsidRPr="008C1E5F" w:rsidRDefault="00C60C82" w:rsidP="0015336A">
            <w:pPr>
              <w:pStyle w:val="TableText"/>
            </w:pPr>
            <w:r w:rsidRPr="008C1E5F">
              <w:t>Hispanic/Latino</w:t>
            </w:r>
          </w:p>
        </w:tc>
        <w:tc>
          <w:tcPr>
            <w:tcW w:w="1295" w:type="dxa"/>
            <w:vAlign w:val="center"/>
          </w:tcPr>
          <w:p w14:paraId="75A7F315" w14:textId="77777777" w:rsidR="00C60C82" w:rsidRPr="008C1E5F" w:rsidRDefault="00C60C82" w:rsidP="0015336A">
            <w:pPr>
              <w:pStyle w:val="TableTextCentered"/>
            </w:pPr>
            <w:r w:rsidRPr="008C1E5F">
              <w:t>812</w:t>
            </w:r>
          </w:p>
        </w:tc>
        <w:tc>
          <w:tcPr>
            <w:tcW w:w="1295" w:type="dxa"/>
            <w:vAlign w:val="center"/>
          </w:tcPr>
          <w:p w14:paraId="472560D8" w14:textId="77777777" w:rsidR="00C60C82" w:rsidRPr="008C1E5F" w:rsidRDefault="00C60C82" w:rsidP="0015336A">
            <w:pPr>
              <w:pStyle w:val="TableTextCentered"/>
            </w:pPr>
            <w:r w:rsidRPr="008C1E5F">
              <w:t>4.0</w:t>
            </w:r>
          </w:p>
        </w:tc>
        <w:tc>
          <w:tcPr>
            <w:tcW w:w="1296" w:type="dxa"/>
            <w:vAlign w:val="center"/>
          </w:tcPr>
          <w:p w14:paraId="00010DD2" w14:textId="77777777" w:rsidR="00C60C82" w:rsidRPr="008C1E5F" w:rsidRDefault="00C60C82" w:rsidP="0015336A">
            <w:pPr>
              <w:pStyle w:val="TableTextCentered"/>
            </w:pPr>
            <w:r w:rsidRPr="008C1E5F">
              <w:t>5.9</w:t>
            </w:r>
          </w:p>
        </w:tc>
        <w:tc>
          <w:tcPr>
            <w:tcW w:w="1295" w:type="dxa"/>
            <w:vAlign w:val="center"/>
          </w:tcPr>
          <w:p w14:paraId="437BF27A" w14:textId="77777777" w:rsidR="00C60C82" w:rsidRPr="008C1E5F" w:rsidRDefault="00C60C82" w:rsidP="0015336A">
            <w:pPr>
              <w:pStyle w:val="TableTextCentered"/>
            </w:pPr>
            <w:r w:rsidRPr="008C1E5F">
              <w:t>4.9</w:t>
            </w:r>
          </w:p>
        </w:tc>
        <w:tc>
          <w:tcPr>
            <w:tcW w:w="1296" w:type="dxa"/>
            <w:vAlign w:val="center"/>
          </w:tcPr>
          <w:p w14:paraId="05120D37" w14:textId="77777777" w:rsidR="00C60C82" w:rsidRPr="008C1E5F" w:rsidRDefault="00C60C82" w:rsidP="0015336A">
            <w:pPr>
              <w:pStyle w:val="TableTextCentered"/>
            </w:pPr>
            <w:r w:rsidRPr="008C1E5F">
              <w:t>4.4</w:t>
            </w:r>
          </w:p>
        </w:tc>
      </w:tr>
      <w:tr w:rsidR="00C60C82" w:rsidRPr="008C1E5F" w14:paraId="1D508A28" w14:textId="77777777" w:rsidTr="0015336A">
        <w:trPr>
          <w:cnfStyle w:val="000000100000" w:firstRow="0" w:lastRow="0" w:firstColumn="0" w:lastColumn="0" w:oddVBand="0" w:evenVBand="0" w:oddHBand="1" w:evenHBand="0" w:firstRowFirstColumn="0" w:firstRowLastColumn="0" w:lastRowFirstColumn="0" w:lastRowLastColumn="0"/>
        </w:trPr>
        <w:tc>
          <w:tcPr>
            <w:tcW w:w="2965" w:type="dxa"/>
          </w:tcPr>
          <w:p w14:paraId="0D7EF09D" w14:textId="77777777" w:rsidR="00C60C82" w:rsidRPr="008C1E5F" w:rsidRDefault="00C60C82" w:rsidP="0015336A">
            <w:pPr>
              <w:pStyle w:val="TableText"/>
            </w:pPr>
            <w:r w:rsidRPr="008C1E5F">
              <w:rPr>
                <w:rFonts w:cstheme="minorHAnsi"/>
              </w:rPr>
              <w:t>Multi-Race, non-Hispanic/Latino</w:t>
            </w:r>
          </w:p>
        </w:tc>
        <w:tc>
          <w:tcPr>
            <w:tcW w:w="1295" w:type="dxa"/>
            <w:vAlign w:val="center"/>
          </w:tcPr>
          <w:p w14:paraId="59E16903" w14:textId="77777777" w:rsidR="00C60C82" w:rsidRPr="008C1E5F" w:rsidRDefault="00C60C82" w:rsidP="0015336A">
            <w:pPr>
              <w:pStyle w:val="TableTextCentered"/>
            </w:pPr>
            <w:r w:rsidRPr="008C1E5F">
              <w:t>209</w:t>
            </w:r>
          </w:p>
        </w:tc>
        <w:tc>
          <w:tcPr>
            <w:tcW w:w="1295" w:type="dxa"/>
            <w:vAlign w:val="center"/>
          </w:tcPr>
          <w:p w14:paraId="378677D9" w14:textId="77777777" w:rsidR="00C60C82" w:rsidRPr="008C1E5F" w:rsidRDefault="00C60C82" w:rsidP="0015336A">
            <w:pPr>
              <w:pStyle w:val="TableTextCentered"/>
            </w:pPr>
            <w:r w:rsidRPr="008C1E5F">
              <w:t>3.1</w:t>
            </w:r>
          </w:p>
        </w:tc>
        <w:tc>
          <w:tcPr>
            <w:tcW w:w="1296" w:type="dxa"/>
            <w:vAlign w:val="center"/>
          </w:tcPr>
          <w:p w14:paraId="3CB09EEB" w14:textId="77777777" w:rsidR="00C60C82" w:rsidRPr="008C1E5F" w:rsidRDefault="00C60C82" w:rsidP="0015336A">
            <w:pPr>
              <w:pStyle w:val="TableTextCentered"/>
            </w:pPr>
            <w:r w:rsidRPr="008C1E5F">
              <w:t>13.0</w:t>
            </w:r>
          </w:p>
        </w:tc>
        <w:tc>
          <w:tcPr>
            <w:tcW w:w="1295" w:type="dxa"/>
            <w:vAlign w:val="center"/>
          </w:tcPr>
          <w:p w14:paraId="5ECD641A" w14:textId="77777777" w:rsidR="00C60C82" w:rsidRPr="008C1E5F" w:rsidRDefault="00C60C82" w:rsidP="0015336A">
            <w:pPr>
              <w:pStyle w:val="TableTextCentered"/>
            </w:pPr>
            <w:r w:rsidRPr="008C1E5F">
              <w:t>4.8</w:t>
            </w:r>
          </w:p>
        </w:tc>
        <w:tc>
          <w:tcPr>
            <w:tcW w:w="1296" w:type="dxa"/>
            <w:vAlign w:val="center"/>
          </w:tcPr>
          <w:p w14:paraId="08862545" w14:textId="77777777" w:rsidR="00C60C82" w:rsidRPr="008C1E5F" w:rsidRDefault="00C60C82" w:rsidP="0015336A">
            <w:pPr>
              <w:pStyle w:val="TableTextCentered"/>
            </w:pPr>
            <w:r w:rsidRPr="008C1E5F">
              <w:t>1.9</w:t>
            </w:r>
          </w:p>
        </w:tc>
      </w:tr>
      <w:tr w:rsidR="00C60C82" w:rsidRPr="008C1E5F" w14:paraId="4D1AECD0" w14:textId="77777777" w:rsidTr="0015336A">
        <w:tc>
          <w:tcPr>
            <w:tcW w:w="2965" w:type="dxa"/>
          </w:tcPr>
          <w:p w14:paraId="35D0DBF3" w14:textId="77777777" w:rsidR="00C60C82" w:rsidRPr="008C1E5F" w:rsidRDefault="00C60C82" w:rsidP="0015336A">
            <w:pPr>
              <w:pStyle w:val="TableText"/>
            </w:pPr>
            <w:r w:rsidRPr="008C1E5F">
              <w:t>Native American</w:t>
            </w:r>
          </w:p>
        </w:tc>
        <w:tc>
          <w:tcPr>
            <w:tcW w:w="1295" w:type="dxa"/>
            <w:vAlign w:val="center"/>
          </w:tcPr>
          <w:p w14:paraId="2892D4B1" w14:textId="77777777" w:rsidR="00C60C82" w:rsidRPr="008C1E5F" w:rsidRDefault="00C60C82" w:rsidP="0015336A">
            <w:pPr>
              <w:pStyle w:val="TableTextCentered"/>
            </w:pPr>
            <w:r w:rsidRPr="008C1E5F">
              <w:t>6</w:t>
            </w:r>
          </w:p>
        </w:tc>
        <w:tc>
          <w:tcPr>
            <w:tcW w:w="1295" w:type="dxa"/>
            <w:vAlign w:val="center"/>
          </w:tcPr>
          <w:p w14:paraId="23F654DB" w14:textId="77777777" w:rsidR="00C60C82" w:rsidRPr="008C1E5F" w:rsidRDefault="00C60C82" w:rsidP="0015336A">
            <w:pPr>
              <w:pStyle w:val="TableTextCentered"/>
            </w:pPr>
            <w:r w:rsidRPr="008C1E5F">
              <w:t>--</w:t>
            </w:r>
          </w:p>
        </w:tc>
        <w:tc>
          <w:tcPr>
            <w:tcW w:w="1296" w:type="dxa"/>
            <w:vAlign w:val="center"/>
          </w:tcPr>
          <w:p w14:paraId="3C222522" w14:textId="77777777" w:rsidR="00C60C82" w:rsidRPr="008C1E5F" w:rsidRDefault="00C60C82" w:rsidP="0015336A">
            <w:pPr>
              <w:pStyle w:val="TableTextCentered"/>
            </w:pPr>
            <w:r w:rsidRPr="008C1E5F">
              <w:t>--</w:t>
            </w:r>
          </w:p>
        </w:tc>
        <w:tc>
          <w:tcPr>
            <w:tcW w:w="1295" w:type="dxa"/>
            <w:vAlign w:val="center"/>
          </w:tcPr>
          <w:p w14:paraId="04F75F73" w14:textId="77777777" w:rsidR="00C60C82" w:rsidRPr="008C1E5F" w:rsidRDefault="00C60C82" w:rsidP="0015336A">
            <w:pPr>
              <w:pStyle w:val="TableTextCentered"/>
            </w:pPr>
            <w:r w:rsidRPr="008C1E5F">
              <w:t>0.0</w:t>
            </w:r>
          </w:p>
        </w:tc>
        <w:tc>
          <w:tcPr>
            <w:tcW w:w="1296" w:type="dxa"/>
            <w:vAlign w:val="center"/>
          </w:tcPr>
          <w:p w14:paraId="211566F1" w14:textId="77777777" w:rsidR="00C60C82" w:rsidRPr="008C1E5F" w:rsidRDefault="00C60C82" w:rsidP="0015336A">
            <w:pPr>
              <w:pStyle w:val="TableTextCentered"/>
            </w:pPr>
            <w:r w:rsidRPr="008C1E5F">
              <w:t>4.1</w:t>
            </w:r>
          </w:p>
        </w:tc>
      </w:tr>
      <w:tr w:rsidR="00C60C82" w:rsidRPr="008C1E5F" w14:paraId="4C2CE844" w14:textId="77777777" w:rsidTr="0015336A">
        <w:trPr>
          <w:cnfStyle w:val="000000100000" w:firstRow="0" w:lastRow="0" w:firstColumn="0" w:lastColumn="0" w:oddVBand="0" w:evenVBand="0" w:oddHBand="1" w:evenHBand="0" w:firstRowFirstColumn="0" w:firstRowLastColumn="0" w:lastRowFirstColumn="0" w:lastRowLastColumn="0"/>
        </w:trPr>
        <w:tc>
          <w:tcPr>
            <w:tcW w:w="2965" w:type="dxa"/>
          </w:tcPr>
          <w:p w14:paraId="1CFBC96C" w14:textId="77777777" w:rsidR="00C60C82" w:rsidRPr="008C1E5F" w:rsidRDefault="00C60C82" w:rsidP="0015336A">
            <w:pPr>
              <w:pStyle w:val="TableText"/>
            </w:pPr>
            <w:r w:rsidRPr="008C1E5F">
              <w:rPr>
                <w:rFonts w:eastAsia="Times New Roman"/>
                <w:spacing w:val="-4"/>
              </w:rPr>
              <w:t>Native Hawaiian, Pacific Islander</w:t>
            </w:r>
          </w:p>
        </w:tc>
        <w:tc>
          <w:tcPr>
            <w:tcW w:w="1295" w:type="dxa"/>
            <w:vAlign w:val="center"/>
          </w:tcPr>
          <w:p w14:paraId="026AF042" w14:textId="77777777" w:rsidR="00C60C82" w:rsidRPr="008C1E5F" w:rsidRDefault="00C60C82" w:rsidP="0015336A">
            <w:pPr>
              <w:pStyle w:val="TableTextCentered"/>
            </w:pPr>
            <w:r w:rsidRPr="008C1E5F">
              <w:t>2</w:t>
            </w:r>
          </w:p>
        </w:tc>
        <w:tc>
          <w:tcPr>
            <w:tcW w:w="1295" w:type="dxa"/>
            <w:vAlign w:val="center"/>
          </w:tcPr>
          <w:p w14:paraId="5B8FB40B" w14:textId="77777777" w:rsidR="00C60C82" w:rsidRPr="008C1E5F" w:rsidRDefault="00C60C82" w:rsidP="0015336A">
            <w:pPr>
              <w:pStyle w:val="TableTextCentered"/>
            </w:pPr>
            <w:r w:rsidRPr="008C1E5F">
              <w:t>--</w:t>
            </w:r>
          </w:p>
        </w:tc>
        <w:tc>
          <w:tcPr>
            <w:tcW w:w="1296" w:type="dxa"/>
            <w:vAlign w:val="center"/>
          </w:tcPr>
          <w:p w14:paraId="32FB0050" w14:textId="77777777" w:rsidR="00C60C82" w:rsidRPr="008C1E5F" w:rsidRDefault="00C60C82" w:rsidP="0015336A">
            <w:pPr>
              <w:pStyle w:val="TableTextCentered"/>
            </w:pPr>
            <w:r w:rsidRPr="008C1E5F">
              <w:t>--</w:t>
            </w:r>
          </w:p>
        </w:tc>
        <w:tc>
          <w:tcPr>
            <w:tcW w:w="1295" w:type="dxa"/>
            <w:vAlign w:val="center"/>
          </w:tcPr>
          <w:p w14:paraId="6247C045" w14:textId="77777777" w:rsidR="00C60C82" w:rsidRPr="008C1E5F" w:rsidRDefault="00C60C82" w:rsidP="0015336A">
            <w:pPr>
              <w:pStyle w:val="TableTextCentered"/>
            </w:pPr>
            <w:r w:rsidRPr="008C1E5F">
              <w:t>--</w:t>
            </w:r>
          </w:p>
        </w:tc>
        <w:tc>
          <w:tcPr>
            <w:tcW w:w="1296" w:type="dxa"/>
            <w:vAlign w:val="center"/>
          </w:tcPr>
          <w:p w14:paraId="75A814A5" w14:textId="77777777" w:rsidR="00C60C82" w:rsidRPr="008C1E5F" w:rsidRDefault="00C60C82" w:rsidP="0015336A">
            <w:pPr>
              <w:pStyle w:val="TableTextCentered"/>
            </w:pPr>
            <w:r w:rsidRPr="008C1E5F">
              <w:t>3.9</w:t>
            </w:r>
          </w:p>
        </w:tc>
      </w:tr>
      <w:tr w:rsidR="00C60C82" w:rsidRPr="008C1E5F" w14:paraId="694FF2FD" w14:textId="77777777" w:rsidTr="0015336A">
        <w:tc>
          <w:tcPr>
            <w:tcW w:w="2965" w:type="dxa"/>
          </w:tcPr>
          <w:p w14:paraId="71D748F3" w14:textId="77777777" w:rsidR="00C60C82" w:rsidRPr="008C1E5F" w:rsidRDefault="00C60C82" w:rsidP="0015336A">
            <w:pPr>
              <w:pStyle w:val="TableText"/>
            </w:pPr>
            <w:r w:rsidRPr="008C1E5F">
              <w:t>White</w:t>
            </w:r>
          </w:p>
        </w:tc>
        <w:tc>
          <w:tcPr>
            <w:tcW w:w="1295" w:type="dxa"/>
            <w:vAlign w:val="center"/>
          </w:tcPr>
          <w:p w14:paraId="6B1680B8" w14:textId="77777777" w:rsidR="00C60C82" w:rsidRPr="008C1E5F" w:rsidRDefault="00C60C82" w:rsidP="0015336A">
            <w:pPr>
              <w:pStyle w:val="TableTextCentered"/>
            </w:pPr>
            <w:r w:rsidRPr="008C1E5F">
              <w:t>1,233</w:t>
            </w:r>
          </w:p>
        </w:tc>
        <w:tc>
          <w:tcPr>
            <w:tcW w:w="1295" w:type="dxa"/>
            <w:vAlign w:val="center"/>
          </w:tcPr>
          <w:p w14:paraId="59550928" w14:textId="77777777" w:rsidR="00C60C82" w:rsidRPr="008C1E5F" w:rsidRDefault="00C60C82" w:rsidP="0015336A">
            <w:pPr>
              <w:pStyle w:val="TableTextCentered"/>
            </w:pPr>
            <w:r w:rsidRPr="008C1E5F">
              <w:t>3.6</w:t>
            </w:r>
          </w:p>
        </w:tc>
        <w:tc>
          <w:tcPr>
            <w:tcW w:w="1296" w:type="dxa"/>
            <w:vAlign w:val="center"/>
          </w:tcPr>
          <w:p w14:paraId="2E4D162E" w14:textId="77777777" w:rsidR="00C60C82" w:rsidRPr="008C1E5F" w:rsidRDefault="00C60C82" w:rsidP="0015336A">
            <w:pPr>
              <w:pStyle w:val="TableTextCentered"/>
            </w:pPr>
            <w:r w:rsidRPr="008C1E5F">
              <w:t>7.1</w:t>
            </w:r>
          </w:p>
        </w:tc>
        <w:tc>
          <w:tcPr>
            <w:tcW w:w="1295" w:type="dxa"/>
            <w:vAlign w:val="center"/>
          </w:tcPr>
          <w:p w14:paraId="5E58A399" w14:textId="77777777" w:rsidR="00C60C82" w:rsidRPr="008C1E5F" w:rsidRDefault="00C60C82" w:rsidP="0015336A">
            <w:pPr>
              <w:pStyle w:val="TableTextCentered"/>
            </w:pPr>
            <w:r w:rsidRPr="008C1E5F">
              <w:t>6.0</w:t>
            </w:r>
          </w:p>
        </w:tc>
        <w:tc>
          <w:tcPr>
            <w:tcW w:w="1296" w:type="dxa"/>
            <w:vAlign w:val="center"/>
          </w:tcPr>
          <w:p w14:paraId="098909F7" w14:textId="77777777" w:rsidR="00C60C82" w:rsidRPr="008C1E5F" w:rsidRDefault="00C60C82" w:rsidP="0015336A">
            <w:pPr>
              <w:pStyle w:val="TableTextCentered"/>
            </w:pPr>
            <w:r w:rsidRPr="008C1E5F">
              <w:t>1.1</w:t>
            </w:r>
          </w:p>
        </w:tc>
      </w:tr>
      <w:tr w:rsidR="00C60C82" w:rsidRPr="008C1E5F" w14:paraId="334C2336" w14:textId="77777777" w:rsidTr="0015336A">
        <w:trPr>
          <w:cnfStyle w:val="000000100000" w:firstRow="0" w:lastRow="0" w:firstColumn="0" w:lastColumn="0" w:oddVBand="0" w:evenVBand="0" w:oddHBand="1" w:evenHBand="0" w:firstRowFirstColumn="0" w:firstRowLastColumn="0" w:lastRowFirstColumn="0" w:lastRowLastColumn="0"/>
        </w:trPr>
        <w:tc>
          <w:tcPr>
            <w:tcW w:w="2965" w:type="dxa"/>
          </w:tcPr>
          <w:p w14:paraId="3B29BED5" w14:textId="77777777" w:rsidR="00C60C82" w:rsidRPr="008C1E5F" w:rsidRDefault="00C60C82" w:rsidP="0015336A">
            <w:pPr>
              <w:pStyle w:val="TableText"/>
            </w:pPr>
            <w:r w:rsidRPr="008C1E5F">
              <w:t>High needs</w:t>
            </w:r>
          </w:p>
        </w:tc>
        <w:tc>
          <w:tcPr>
            <w:tcW w:w="1295" w:type="dxa"/>
            <w:vAlign w:val="center"/>
          </w:tcPr>
          <w:p w14:paraId="4B8AD2EF" w14:textId="77777777" w:rsidR="00C60C82" w:rsidRPr="008C1E5F" w:rsidRDefault="00C60C82" w:rsidP="0015336A">
            <w:pPr>
              <w:pStyle w:val="TableTextCentered"/>
            </w:pPr>
            <w:r w:rsidRPr="008C1E5F">
              <w:t>2,160</w:t>
            </w:r>
          </w:p>
        </w:tc>
        <w:tc>
          <w:tcPr>
            <w:tcW w:w="1295" w:type="dxa"/>
            <w:vAlign w:val="center"/>
          </w:tcPr>
          <w:p w14:paraId="27CB07B2" w14:textId="77777777" w:rsidR="00C60C82" w:rsidRPr="008C1E5F" w:rsidRDefault="00C60C82" w:rsidP="0015336A">
            <w:pPr>
              <w:pStyle w:val="TableTextCentered"/>
            </w:pPr>
            <w:r w:rsidRPr="008C1E5F">
              <w:t>4.4</w:t>
            </w:r>
          </w:p>
        </w:tc>
        <w:tc>
          <w:tcPr>
            <w:tcW w:w="1296" w:type="dxa"/>
            <w:vAlign w:val="center"/>
          </w:tcPr>
          <w:p w14:paraId="32F30E95" w14:textId="77777777" w:rsidR="00C60C82" w:rsidRPr="008C1E5F" w:rsidRDefault="00C60C82" w:rsidP="0015336A">
            <w:pPr>
              <w:pStyle w:val="TableTextCentered"/>
            </w:pPr>
            <w:r w:rsidRPr="008C1E5F">
              <w:t>7.6</w:t>
            </w:r>
          </w:p>
        </w:tc>
        <w:tc>
          <w:tcPr>
            <w:tcW w:w="1295" w:type="dxa"/>
            <w:vAlign w:val="center"/>
          </w:tcPr>
          <w:p w14:paraId="31833894" w14:textId="77777777" w:rsidR="00C60C82" w:rsidRPr="008C1E5F" w:rsidRDefault="00C60C82" w:rsidP="0015336A">
            <w:pPr>
              <w:pStyle w:val="TableTextCentered"/>
            </w:pPr>
            <w:r w:rsidRPr="008C1E5F">
              <w:t>5.7</w:t>
            </w:r>
          </w:p>
        </w:tc>
        <w:tc>
          <w:tcPr>
            <w:tcW w:w="1296" w:type="dxa"/>
            <w:vAlign w:val="center"/>
          </w:tcPr>
          <w:p w14:paraId="121E666D" w14:textId="77777777" w:rsidR="00C60C82" w:rsidRPr="008C1E5F" w:rsidRDefault="00C60C82" w:rsidP="0015336A">
            <w:pPr>
              <w:pStyle w:val="TableTextCentered"/>
            </w:pPr>
            <w:r w:rsidRPr="008C1E5F">
              <w:t>3.5</w:t>
            </w:r>
          </w:p>
        </w:tc>
      </w:tr>
      <w:tr w:rsidR="00C60C82" w:rsidRPr="008C1E5F" w14:paraId="1EB85C82" w14:textId="77777777" w:rsidTr="0015336A">
        <w:tc>
          <w:tcPr>
            <w:tcW w:w="2965" w:type="dxa"/>
          </w:tcPr>
          <w:p w14:paraId="0AEFB0A1" w14:textId="77777777" w:rsidR="00C60C82" w:rsidRPr="008C1E5F" w:rsidRDefault="00C60C82" w:rsidP="0015336A">
            <w:pPr>
              <w:pStyle w:val="TableText"/>
            </w:pPr>
            <w:r w:rsidRPr="008C1E5F">
              <w:t>Low income</w:t>
            </w:r>
          </w:p>
        </w:tc>
        <w:tc>
          <w:tcPr>
            <w:tcW w:w="1295" w:type="dxa"/>
            <w:vAlign w:val="center"/>
          </w:tcPr>
          <w:p w14:paraId="2857B415" w14:textId="77777777" w:rsidR="00C60C82" w:rsidRPr="008C1E5F" w:rsidRDefault="00C60C82" w:rsidP="0015336A">
            <w:pPr>
              <w:pStyle w:val="TableTextCentered"/>
            </w:pPr>
            <w:r w:rsidRPr="008C1E5F">
              <w:t>2,029</w:t>
            </w:r>
          </w:p>
        </w:tc>
        <w:tc>
          <w:tcPr>
            <w:tcW w:w="1295" w:type="dxa"/>
            <w:vAlign w:val="center"/>
          </w:tcPr>
          <w:p w14:paraId="47A447D2" w14:textId="77777777" w:rsidR="00C60C82" w:rsidRPr="008C1E5F" w:rsidRDefault="00C60C82" w:rsidP="0015336A">
            <w:pPr>
              <w:pStyle w:val="TableTextCentered"/>
            </w:pPr>
            <w:r w:rsidRPr="008C1E5F">
              <w:t>--</w:t>
            </w:r>
          </w:p>
        </w:tc>
        <w:tc>
          <w:tcPr>
            <w:tcW w:w="1296" w:type="dxa"/>
            <w:vAlign w:val="center"/>
          </w:tcPr>
          <w:p w14:paraId="046413FE" w14:textId="77777777" w:rsidR="00C60C82" w:rsidRPr="008C1E5F" w:rsidRDefault="00C60C82" w:rsidP="0015336A">
            <w:pPr>
              <w:pStyle w:val="TableTextCentered"/>
            </w:pPr>
            <w:r w:rsidRPr="008C1E5F">
              <w:t>7.5</w:t>
            </w:r>
          </w:p>
        </w:tc>
        <w:tc>
          <w:tcPr>
            <w:tcW w:w="1295" w:type="dxa"/>
            <w:vAlign w:val="center"/>
          </w:tcPr>
          <w:p w14:paraId="0E5F9C71" w14:textId="77777777" w:rsidR="00C60C82" w:rsidRPr="008C1E5F" w:rsidRDefault="00C60C82" w:rsidP="0015336A">
            <w:pPr>
              <w:pStyle w:val="TableTextCentered"/>
            </w:pPr>
            <w:r w:rsidRPr="008C1E5F">
              <w:t>5.7</w:t>
            </w:r>
          </w:p>
        </w:tc>
        <w:tc>
          <w:tcPr>
            <w:tcW w:w="1296" w:type="dxa"/>
            <w:vAlign w:val="center"/>
          </w:tcPr>
          <w:p w14:paraId="05015221" w14:textId="77777777" w:rsidR="00C60C82" w:rsidRPr="008C1E5F" w:rsidRDefault="00C60C82" w:rsidP="0015336A">
            <w:pPr>
              <w:pStyle w:val="TableTextCentered"/>
            </w:pPr>
            <w:r w:rsidRPr="008C1E5F">
              <w:t>3.8</w:t>
            </w:r>
          </w:p>
        </w:tc>
      </w:tr>
      <w:tr w:rsidR="00C60C82" w:rsidRPr="008C1E5F" w14:paraId="6579259F" w14:textId="77777777" w:rsidTr="0015336A">
        <w:trPr>
          <w:cnfStyle w:val="000000100000" w:firstRow="0" w:lastRow="0" w:firstColumn="0" w:lastColumn="0" w:oddVBand="0" w:evenVBand="0" w:oddHBand="1" w:evenHBand="0" w:firstRowFirstColumn="0" w:firstRowLastColumn="0" w:lastRowFirstColumn="0" w:lastRowLastColumn="0"/>
        </w:trPr>
        <w:tc>
          <w:tcPr>
            <w:tcW w:w="2965" w:type="dxa"/>
          </w:tcPr>
          <w:p w14:paraId="21C1BAA0" w14:textId="77777777" w:rsidR="00C60C82" w:rsidRPr="008C1E5F" w:rsidRDefault="00C60C82" w:rsidP="0015336A">
            <w:pPr>
              <w:pStyle w:val="TableText"/>
            </w:pPr>
            <w:r w:rsidRPr="008C1E5F">
              <w:rPr>
                <w:spacing w:val="-4"/>
              </w:rPr>
              <w:t>English learners</w:t>
            </w:r>
          </w:p>
        </w:tc>
        <w:tc>
          <w:tcPr>
            <w:tcW w:w="1295" w:type="dxa"/>
            <w:vAlign w:val="center"/>
          </w:tcPr>
          <w:p w14:paraId="202145F9" w14:textId="77777777" w:rsidR="00C60C82" w:rsidRPr="008C1E5F" w:rsidRDefault="00C60C82" w:rsidP="0015336A">
            <w:pPr>
              <w:pStyle w:val="TableTextCentered"/>
            </w:pPr>
            <w:r w:rsidRPr="008C1E5F">
              <w:t>527</w:t>
            </w:r>
          </w:p>
        </w:tc>
        <w:tc>
          <w:tcPr>
            <w:tcW w:w="1295" w:type="dxa"/>
            <w:vAlign w:val="center"/>
          </w:tcPr>
          <w:p w14:paraId="37861DA0" w14:textId="77777777" w:rsidR="00C60C82" w:rsidRPr="008C1E5F" w:rsidRDefault="00C60C82" w:rsidP="0015336A">
            <w:pPr>
              <w:pStyle w:val="TableTextCentered"/>
            </w:pPr>
            <w:r w:rsidRPr="008C1E5F">
              <w:t>4.7</w:t>
            </w:r>
          </w:p>
        </w:tc>
        <w:tc>
          <w:tcPr>
            <w:tcW w:w="1296" w:type="dxa"/>
            <w:vAlign w:val="center"/>
          </w:tcPr>
          <w:p w14:paraId="2F2B577F" w14:textId="77777777" w:rsidR="00C60C82" w:rsidRPr="008C1E5F" w:rsidRDefault="00C60C82" w:rsidP="0015336A">
            <w:pPr>
              <w:pStyle w:val="TableTextCentered"/>
            </w:pPr>
            <w:r w:rsidRPr="008C1E5F">
              <w:t>8.6</w:t>
            </w:r>
          </w:p>
        </w:tc>
        <w:tc>
          <w:tcPr>
            <w:tcW w:w="1295" w:type="dxa"/>
            <w:vAlign w:val="center"/>
          </w:tcPr>
          <w:p w14:paraId="2CC86AD8" w14:textId="77777777" w:rsidR="00C60C82" w:rsidRPr="008C1E5F" w:rsidRDefault="00C60C82" w:rsidP="0015336A">
            <w:pPr>
              <w:pStyle w:val="TableTextCentered"/>
            </w:pPr>
            <w:r w:rsidRPr="008C1E5F">
              <w:t>5.9</w:t>
            </w:r>
          </w:p>
        </w:tc>
        <w:tc>
          <w:tcPr>
            <w:tcW w:w="1296" w:type="dxa"/>
            <w:vAlign w:val="center"/>
          </w:tcPr>
          <w:p w14:paraId="1FB7B3CB" w14:textId="77777777" w:rsidR="00C60C82" w:rsidRPr="008C1E5F" w:rsidRDefault="00C60C82" w:rsidP="0015336A">
            <w:pPr>
              <w:pStyle w:val="TableTextCentered"/>
            </w:pPr>
            <w:r w:rsidRPr="008C1E5F">
              <w:t>8.0</w:t>
            </w:r>
          </w:p>
        </w:tc>
      </w:tr>
      <w:tr w:rsidR="00C60C82" w:rsidRPr="008C1E5F" w14:paraId="7B4F5710" w14:textId="77777777" w:rsidTr="0015336A">
        <w:tc>
          <w:tcPr>
            <w:tcW w:w="2965" w:type="dxa"/>
          </w:tcPr>
          <w:p w14:paraId="73A52B69" w14:textId="77777777" w:rsidR="00C60C82" w:rsidRPr="008C1E5F" w:rsidRDefault="00C60C82" w:rsidP="0015336A">
            <w:pPr>
              <w:pStyle w:val="TableText"/>
            </w:pPr>
            <w:r w:rsidRPr="008C1E5F">
              <w:t>Students w/disabilities</w:t>
            </w:r>
          </w:p>
        </w:tc>
        <w:tc>
          <w:tcPr>
            <w:tcW w:w="1295" w:type="dxa"/>
            <w:vAlign w:val="center"/>
          </w:tcPr>
          <w:p w14:paraId="227F5581" w14:textId="77777777" w:rsidR="00C60C82" w:rsidRPr="008C1E5F" w:rsidRDefault="00C60C82" w:rsidP="0015336A">
            <w:pPr>
              <w:pStyle w:val="TableTextCentered"/>
            </w:pPr>
            <w:r w:rsidRPr="008C1E5F">
              <w:t>502</w:t>
            </w:r>
          </w:p>
        </w:tc>
        <w:tc>
          <w:tcPr>
            <w:tcW w:w="1295" w:type="dxa"/>
            <w:vAlign w:val="center"/>
          </w:tcPr>
          <w:p w14:paraId="0A00012B" w14:textId="77777777" w:rsidR="00C60C82" w:rsidRPr="008C1E5F" w:rsidRDefault="00C60C82" w:rsidP="0015336A">
            <w:pPr>
              <w:pStyle w:val="TableTextCentered"/>
            </w:pPr>
            <w:r w:rsidRPr="008C1E5F">
              <w:t>5.1</w:t>
            </w:r>
          </w:p>
        </w:tc>
        <w:tc>
          <w:tcPr>
            <w:tcW w:w="1296" w:type="dxa"/>
            <w:vAlign w:val="center"/>
          </w:tcPr>
          <w:p w14:paraId="3D399727" w14:textId="77777777" w:rsidR="00C60C82" w:rsidRPr="008C1E5F" w:rsidRDefault="00C60C82" w:rsidP="0015336A">
            <w:pPr>
              <w:pStyle w:val="TableTextCentered"/>
            </w:pPr>
            <w:r w:rsidRPr="008C1E5F">
              <w:t>9.4</w:t>
            </w:r>
          </w:p>
        </w:tc>
        <w:tc>
          <w:tcPr>
            <w:tcW w:w="1295" w:type="dxa"/>
            <w:vAlign w:val="center"/>
          </w:tcPr>
          <w:p w14:paraId="65688669" w14:textId="77777777" w:rsidR="00C60C82" w:rsidRPr="008C1E5F" w:rsidRDefault="00C60C82" w:rsidP="0015336A">
            <w:pPr>
              <w:pStyle w:val="TableTextCentered"/>
            </w:pPr>
            <w:r w:rsidRPr="008C1E5F">
              <w:t>8.6</w:t>
            </w:r>
          </w:p>
        </w:tc>
        <w:tc>
          <w:tcPr>
            <w:tcW w:w="1296" w:type="dxa"/>
            <w:vAlign w:val="center"/>
          </w:tcPr>
          <w:p w14:paraId="75F962C7" w14:textId="77777777" w:rsidR="00C60C82" w:rsidRPr="008C1E5F" w:rsidRDefault="00C60C82" w:rsidP="0015336A">
            <w:pPr>
              <w:pStyle w:val="TableTextCentered"/>
            </w:pPr>
            <w:r w:rsidRPr="008C1E5F">
              <w:t>3.0</w:t>
            </w:r>
          </w:p>
        </w:tc>
      </w:tr>
      <w:bookmarkEnd w:id="296"/>
    </w:tbl>
    <w:p w14:paraId="7E9112FB" w14:textId="77777777" w:rsidR="00C60C82" w:rsidRPr="008C1E5F" w:rsidRDefault="00C60C82">
      <w:pPr>
        <w:spacing w:line="240" w:lineRule="auto"/>
        <w:rPr>
          <w:rFonts w:ascii="Franklin Gothic Book" w:hAnsi="Franklin Gothic Book"/>
          <w:sz w:val="20"/>
          <w:szCs w:val="20"/>
        </w:rPr>
      </w:pPr>
    </w:p>
    <w:p w14:paraId="1E921EA0" w14:textId="77777777" w:rsidR="00C60C82" w:rsidRPr="008C1E5F" w:rsidRDefault="00C60C82">
      <w:pPr>
        <w:spacing w:line="240" w:lineRule="auto"/>
        <w:rPr>
          <w:rFonts w:ascii="Franklin Gothic Book" w:hAnsi="Franklin Gothic Book"/>
          <w:sz w:val="20"/>
          <w:szCs w:val="20"/>
        </w:rPr>
      </w:pPr>
      <w:r w:rsidRPr="008C1E5F">
        <w:rPr>
          <w:rFonts w:ascii="Franklin Gothic Book" w:hAnsi="Franklin Gothic Book"/>
          <w:sz w:val="20"/>
          <w:szCs w:val="20"/>
        </w:rPr>
        <w:br w:type="page"/>
      </w:r>
    </w:p>
    <w:p w14:paraId="2CCD8391" w14:textId="77777777" w:rsidR="00C60C82" w:rsidRPr="008C1E5F" w:rsidRDefault="00C60C82" w:rsidP="00305BFA">
      <w:pPr>
        <w:pStyle w:val="TableETitles"/>
        <w:spacing w:before="240" w:after="60"/>
      </w:pPr>
      <w:bookmarkStart w:id="298" w:name="_Toc195024287"/>
      <w:r w:rsidRPr="008C1E5F">
        <w:lastRenderedPageBreak/>
        <w:t>Table E19. In-School Suspension Rates by Student Group, 2022-2024</w:t>
      </w:r>
      <w:bookmarkEnd w:id="298"/>
    </w:p>
    <w:tbl>
      <w:tblPr>
        <w:tblStyle w:val="MSVTable1"/>
        <w:tblW w:w="5000" w:type="pct"/>
        <w:tblLook w:val="04A0" w:firstRow="1" w:lastRow="0" w:firstColumn="1" w:lastColumn="0" w:noHBand="0" w:noVBand="1"/>
      </w:tblPr>
      <w:tblGrid>
        <w:gridCol w:w="3057"/>
        <w:gridCol w:w="1256"/>
        <w:gridCol w:w="1258"/>
        <w:gridCol w:w="1257"/>
        <w:gridCol w:w="1258"/>
        <w:gridCol w:w="1258"/>
      </w:tblGrid>
      <w:tr w:rsidR="00C60C82" w:rsidRPr="008C1E5F" w14:paraId="15AF5E20" w14:textId="77777777" w:rsidTr="0015336A">
        <w:trPr>
          <w:cnfStyle w:val="100000000000" w:firstRow="1" w:lastRow="0" w:firstColumn="0" w:lastColumn="0" w:oddVBand="0" w:evenVBand="0" w:oddHBand="0" w:evenHBand="0" w:firstRowFirstColumn="0" w:firstRowLastColumn="0" w:lastRowFirstColumn="0" w:lastRowLastColumn="0"/>
        </w:trPr>
        <w:tc>
          <w:tcPr>
            <w:tcW w:w="3052" w:type="dxa"/>
            <w:vAlign w:val="center"/>
          </w:tcPr>
          <w:p w14:paraId="633D1722" w14:textId="77777777" w:rsidR="00C60C82" w:rsidRPr="008C1E5F" w:rsidRDefault="00C60C82" w:rsidP="0015336A">
            <w:pPr>
              <w:pStyle w:val="TableColHeadingCenter"/>
            </w:pPr>
            <w:r w:rsidRPr="008C1E5F">
              <w:t>Group</w:t>
            </w:r>
          </w:p>
        </w:tc>
        <w:tc>
          <w:tcPr>
            <w:tcW w:w="1254" w:type="dxa"/>
            <w:vAlign w:val="center"/>
          </w:tcPr>
          <w:p w14:paraId="39AD5BCD" w14:textId="77777777" w:rsidR="00C60C82" w:rsidRPr="008C1E5F" w:rsidRDefault="00C60C82" w:rsidP="0015336A">
            <w:pPr>
              <w:pStyle w:val="TableColHeadingCenter"/>
            </w:pPr>
            <w:r w:rsidRPr="008C1E5F">
              <w:t># Included (2024)</w:t>
            </w:r>
          </w:p>
        </w:tc>
        <w:tc>
          <w:tcPr>
            <w:tcW w:w="1255" w:type="dxa"/>
            <w:vAlign w:val="center"/>
          </w:tcPr>
          <w:p w14:paraId="4AA7A941" w14:textId="77777777" w:rsidR="00C60C82" w:rsidRPr="008C1E5F" w:rsidRDefault="00C60C82" w:rsidP="0015336A">
            <w:pPr>
              <w:pStyle w:val="TableColHeadingCenter"/>
            </w:pPr>
            <w:r w:rsidRPr="008C1E5F">
              <w:t>2022</w:t>
            </w:r>
          </w:p>
        </w:tc>
        <w:tc>
          <w:tcPr>
            <w:tcW w:w="1254" w:type="dxa"/>
            <w:vAlign w:val="center"/>
          </w:tcPr>
          <w:p w14:paraId="1D14FE07" w14:textId="77777777" w:rsidR="00C60C82" w:rsidRPr="008C1E5F" w:rsidRDefault="00C60C82" w:rsidP="0015336A">
            <w:pPr>
              <w:pStyle w:val="TableColHeadingCenter"/>
            </w:pPr>
            <w:r w:rsidRPr="008C1E5F">
              <w:t>2023</w:t>
            </w:r>
          </w:p>
        </w:tc>
        <w:tc>
          <w:tcPr>
            <w:tcW w:w="1255" w:type="dxa"/>
            <w:vAlign w:val="center"/>
          </w:tcPr>
          <w:p w14:paraId="49621D19" w14:textId="77777777" w:rsidR="00C60C82" w:rsidRPr="008C1E5F" w:rsidRDefault="00C60C82" w:rsidP="0015336A">
            <w:pPr>
              <w:pStyle w:val="TableColHeadingCenter"/>
            </w:pPr>
            <w:r w:rsidRPr="008C1E5F">
              <w:t>2024</w:t>
            </w:r>
          </w:p>
        </w:tc>
        <w:tc>
          <w:tcPr>
            <w:tcW w:w="1255" w:type="dxa"/>
            <w:vAlign w:val="center"/>
          </w:tcPr>
          <w:p w14:paraId="540317A8" w14:textId="77777777" w:rsidR="00C60C82" w:rsidRPr="008C1E5F" w:rsidRDefault="00C60C82" w:rsidP="0015336A">
            <w:pPr>
              <w:pStyle w:val="TableColHeadingCenter"/>
            </w:pPr>
            <w:r w:rsidRPr="008C1E5F">
              <w:t>State (2024)</w:t>
            </w:r>
          </w:p>
        </w:tc>
      </w:tr>
      <w:tr w:rsidR="00C60C82" w:rsidRPr="008C1E5F" w14:paraId="3DF73F8B" w14:textId="77777777" w:rsidTr="0015336A">
        <w:trPr>
          <w:cnfStyle w:val="000000100000" w:firstRow="0" w:lastRow="0" w:firstColumn="0" w:lastColumn="0" w:oddVBand="0" w:evenVBand="0" w:oddHBand="1" w:evenHBand="0" w:firstRowFirstColumn="0" w:firstRowLastColumn="0" w:lastRowFirstColumn="0" w:lastRowLastColumn="0"/>
        </w:trPr>
        <w:tc>
          <w:tcPr>
            <w:tcW w:w="3052" w:type="dxa"/>
          </w:tcPr>
          <w:p w14:paraId="03BAC027" w14:textId="77777777" w:rsidR="00C60C82" w:rsidRPr="008C1E5F" w:rsidRDefault="00C60C82" w:rsidP="0015336A">
            <w:pPr>
              <w:pStyle w:val="TableText"/>
            </w:pPr>
            <w:r w:rsidRPr="008C1E5F">
              <w:t>All</w:t>
            </w:r>
          </w:p>
        </w:tc>
        <w:tc>
          <w:tcPr>
            <w:tcW w:w="1254" w:type="dxa"/>
          </w:tcPr>
          <w:p w14:paraId="2E6A596F" w14:textId="77777777" w:rsidR="00C60C82" w:rsidRPr="008C1E5F" w:rsidRDefault="00C60C82" w:rsidP="0015336A">
            <w:pPr>
              <w:pStyle w:val="TableTextCentered"/>
              <w:rPr>
                <w:szCs w:val="20"/>
              </w:rPr>
            </w:pPr>
            <w:r w:rsidRPr="008C1E5F">
              <w:t>11,754</w:t>
            </w:r>
          </w:p>
        </w:tc>
        <w:tc>
          <w:tcPr>
            <w:tcW w:w="1255" w:type="dxa"/>
          </w:tcPr>
          <w:p w14:paraId="40F5B2D1" w14:textId="77777777" w:rsidR="00C60C82" w:rsidRPr="008C1E5F" w:rsidRDefault="00C60C82" w:rsidP="0015336A">
            <w:pPr>
              <w:pStyle w:val="TableTextCentered"/>
              <w:rPr>
                <w:szCs w:val="20"/>
              </w:rPr>
            </w:pPr>
            <w:r w:rsidRPr="008C1E5F">
              <w:t>2.7</w:t>
            </w:r>
          </w:p>
        </w:tc>
        <w:tc>
          <w:tcPr>
            <w:tcW w:w="1254" w:type="dxa"/>
          </w:tcPr>
          <w:p w14:paraId="2CD9DE4F" w14:textId="77777777" w:rsidR="00C60C82" w:rsidRPr="008C1E5F" w:rsidRDefault="00C60C82" w:rsidP="0015336A">
            <w:pPr>
              <w:pStyle w:val="TableTextCentered"/>
              <w:rPr>
                <w:szCs w:val="20"/>
              </w:rPr>
            </w:pPr>
            <w:r w:rsidRPr="008C1E5F">
              <w:t>0.4</w:t>
            </w:r>
          </w:p>
        </w:tc>
        <w:tc>
          <w:tcPr>
            <w:tcW w:w="1255" w:type="dxa"/>
          </w:tcPr>
          <w:p w14:paraId="3D324322" w14:textId="77777777" w:rsidR="00C60C82" w:rsidRPr="008C1E5F" w:rsidRDefault="00C60C82" w:rsidP="0015336A">
            <w:pPr>
              <w:pStyle w:val="TableTextCentered"/>
              <w:rPr>
                <w:szCs w:val="20"/>
              </w:rPr>
            </w:pPr>
            <w:r w:rsidRPr="008C1E5F">
              <w:t>1.6</w:t>
            </w:r>
          </w:p>
        </w:tc>
        <w:tc>
          <w:tcPr>
            <w:tcW w:w="1255" w:type="dxa"/>
          </w:tcPr>
          <w:p w14:paraId="4C463F4D" w14:textId="77777777" w:rsidR="00C60C82" w:rsidRPr="008C1E5F" w:rsidRDefault="00C60C82" w:rsidP="0015336A">
            <w:pPr>
              <w:pStyle w:val="TableTextCentered"/>
              <w:rPr>
                <w:szCs w:val="20"/>
              </w:rPr>
            </w:pPr>
            <w:r w:rsidRPr="008C1E5F">
              <w:t>1.4</w:t>
            </w:r>
          </w:p>
        </w:tc>
      </w:tr>
      <w:tr w:rsidR="00C60C82" w:rsidRPr="008C1E5F" w14:paraId="052586CD" w14:textId="77777777" w:rsidTr="0015336A">
        <w:tc>
          <w:tcPr>
            <w:tcW w:w="3052" w:type="dxa"/>
          </w:tcPr>
          <w:p w14:paraId="514D97C7" w14:textId="77777777" w:rsidR="00C60C82" w:rsidRPr="008C1E5F" w:rsidRDefault="00C60C82" w:rsidP="0015336A">
            <w:pPr>
              <w:pStyle w:val="TableText"/>
            </w:pPr>
            <w:r w:rsidRPr="008C1E5F">
              <w:t>African American/Black</w:t>
            </w:r>
          </w:p>
        </w:tc>
        <w:tc>
          <w:tcPr>
            <w:tcW w:w="1254" w:type="dxa"/>
          </w:tcPr>
          <w:p w14:paraId="28C496CB" w14:textId="77777777" w:rsidR="00C60C82" w:rsidRPr="008C1E5F" w:rsidRDefault="00C60C82" w:rsidP="0015336A">
            <w:pPr>
              <w:pStyle w:val="TableTextCentered"/>
              <w:rPr>
                <w:szCs w:val="20"/>
              </w:rPr>
            </w:pPr>
            <w:r w:rsidRPr="008C1E5F">
              <w:t>1,549</w:t>
            </w:r>
          </w:p>
        </w:tc>
        <w:tc>
          <w:tcPr>
            <w:tcW w:w="1255" w:type="dxa"/>
          </w:tcPr>
          <w:p w14:paraId="18D9B9FF" w14:textId="77777777" w:rsidR="00C60C82" w:rsidRPr="008C1E5F" w:rsidRDefault="00C60C82" w:rsidP="0015336A">
            <w:pPr>
              <w:pStyle w:val="TableTextCentered"/>
              <w:rPr>
                <w:szCs w:val="20"/>
              </w:rPr>
            </w:pPr>
            <w:r w:rsidRPr="008C1E5F">
              <w:t>3.6</w:t>
            </w:r>
          </w:p>
        </w:tc>
        <w:tc>
          <w:tcPr>
            <w:tcW w:w="1254" w:type="dxa"/>
          </w:tcPr>
          <w:p w14:paraId="73C133B7" w14:textId="77777777" w:rsidR="00C60C82" w:rsidRPr="008C1E5F" w:rsidRDefault="00C60C82" w:rsidP="0015336A">
            <w:pPr>
              <w:pStyle w:val="TableTextCentered"/>
              <w:rPr>
                <w:szCs w:val="20"/>
              </w:rPr>
            </w:pPr>
            <w:r w:rsidRPr="008C1E5F">
              <w:t>0.4</w:t>
            </w:r>
          </w:p>
        </w:tc>
        <w:tc>
          <w:tcPr>
            <w:tcW w:w="1255" w:type="dxa"/>
          </w:tcPr>
          <w:p w14:paraId="55E9E9A4" w14:textId="77777777" w:rsidR="00C60C82" w:rsidRPr="008C1E5F" w:rsidRDefault="00C60C82" w:rsidP="0015336A">
            <w:pPr>
              <w:pStyle w:val="TableTextCentered"/>
              <w:rPr>
                <w:szCs w:val="20"/>
              </w:rPr>
            </w:pPr>
            <w:r w:rsidRPr="008C1E5F">
              <w:t>2.1</w:t>
            </w:r>
          </w:p>
        </w:tc>
        <w:tc>
          <w:tcPr>
            <w:tcW w:w="1255" w:type="dxa"/>
          </w:tcPr>
          <w:p w14:paraId="09B523A7" w14:textId="77777777" w:rsidR="00C60C82" w:rsidRPr="008C1E5F" w:rsidRDefault="00C60C82" w:rsidP="0015336A">
            <w:pPr>
              <w:pStyle w:val="TableTextCentered"/>
              <w:rPr>
                <w:szCs w:val="20"/>
              </w:rPr>
            </w:pPr>
            <w:r w:rsidRPr="008C1E5F">
              <w:t>2.1</w:t>
            </w:r>
          </w:p>
        </w:tc>
      </w:tr>
      <w:tr w:rsidR="00C60C82" w:rsidRPr="008C1E5F" w14:paraId="101F1739" w14:textId="77777777" w:rsidTr="0015336A">
        <w:trPr>
          <w:cnfStyle w:val="000000100000" w:firstRow="0" w:lastRow="0" w:firstColumn="0" w:lastColumn="0" w:oddVBand="0" w:evenVBand="0" w:oddHBand="1" w:evenHBand="0" w:firstRowFirstColumn="0" w:firstRowLastColumn="0" w:lastRowFirstColumn="0" w:lastRowLastColumn="0"/>
        </w:trPr>
        <w:tc>
          <w:tcPr>
            <w:tcW w:w="3052" w:type="dxa"/>
          </w:tcPr>
          <w:p w14:paraId="0BB124BE" w14:textId="77777777" w:rsidR="00C60C82" w:rsidRPr="008C1E5F" w:rsidRDefault="00C60C82" w:rsidP="0015336A">
            <w:pPr>
              <w:pStyle w:val="TableText"/>
            </w:pPr>
            <w:r w:rsidRPr="008C1E5F">
              <w:t>Asian</w:t>
            </w:r>
          </w:p>
        </w:tc>
        <w:tc>
          <w:tcPr>
            <w:tcW w:w="1254" w:type="dxa"/>
          </w:tcPr>
          <w:p w14:paraId="25DB3E54" w14:textId="77777777" w:rsidR="00C60C82" w:rsidRPr="008C1E5F" w:rsidRDefault="00C60C82" w:rsidP="0015336A">
            <w:pPr>
              <w:pStyle w:val="TableTextCentered"/>
              <w:rPr>
                <w:szCs w:val="20"/>
              </w:rPr>
            </w:pPr>
            <w:r w:rsidRPr="008C1E5F">
              <w:t>338</w:t>
            </w:r>
          </w:p>
        </w:tc>
        <w:tc>
          <w:tcPr>
            <w:tcW w:w="1255" w:type="dxa"/>
          </w:tcPr>
          <w:p w14:paraId="66F2E3EC" w14:textId="77777777" w:rsidR="00C60C82" w:rsidRPr="008C1E5F" w:rsidRDefault="00C60C82" w:rsidP="0015336A">
            <w:pPr>
              <w:pStyle w:val="TableTextCentered"/>
              <w:rPr>
                <w:szCs w:val="20"/>
              </w:rPr>
            </w:pPr>
            <w:r w:rsidRPr="008C1E5F">
              <w:t>1.1</w:t>
            </w:r>
          </w:p>
        </w:tc>
        <w:tc>
          <w:tcPr>
            <w:tcW w:w="1254" w:type="dxa"/>
          </w:tcPr>
          <w:p w14:paraId="0F1EB28C" w14:textId="77777777" w:rsidR="00C60C82" w:rsidRPr="008C1E5F" w:rsidRDefault="00C60C82" w:rsidP="0015336A">
            <w:pPr>
              <w:pStyle w:val="TableTextCentered"/>
              <w:rPr>
                <w:szCs w:val="20"/>
              </w:rPr>
            </w:pPr>
            <w:r w:rsidRPr="008C1E5F">
              <w:t>--</w:t>
            </w:r>
          </w:p>
        </w:tc>
        <w:tc>
          <w:tcPr>
            <w:tcW w:w="1255" w:type="dxa"/>
          </w:tcPr>
          <w:p w14:paraId="27B46839" w14:textId="77777777" w:rsidR="00C60C82" w:rsidRPr="008C1E5F" w:rsidRDefault="00C60C82" w:rsidP="0015336A">
            <w:pPr>
              <w:pStyle w:val="TableTextCentered"/>
              <w:rPr>
                <w:szCs w:val="20"/>
              </w:rPr>
            </w:pPr>
            <w:r w:rsidRPr="008C1E5F">
              <w:t>0.9</w:t>
            </w:r>
          </w:p>
        </w:tc>
        <w:tc>
          <w:tcPr>
            <w:tcW w:w="1255" w:type="dxa"/>
          </w:tcPr>
          <w:p w14:paraId="4F0F117F" w14:textId="77777777" w:rsidR="00C60C82" w:rsidRPr="008C1E5F" w:rsidRDefault="00C60C82" w:rsidP="0015336A">
            <w:pPr>
              <w:pStyle w:val="TableTextCentered"/>
              <w:rPr>
                <w:szCs w:val="20"/>
              </w:rPr>
            </w:pPr>
            <w:r w:rsidRPr="008C1E5F">
              <w:t>0.3</w:t>
            </w:r>
          </w:p>
        </w:tc>
      </w:tr>
      <w:tr w:rsidR="00C60C82" w:rsidRPr="008C1E5F" w14:paraId="09D7DB75" w14:textId="77777777" w:rsidTr="0015336A">
        <w:tc>
          <w:tcPr>
            <w:tcW w:w="3052" w:type="dxa"/>
          </w:tcPr>
          <w:p w14:paraId="13CA9045" w14:textId="77777777" w:rsidR="00C60C82" w:rsidRPr="008C1E5F" w:rsidRDefault="00C60C82" w:rsidP="0015336A">
            <w:pPr>
              <w:pStyle w:val="TableText"/>
            </w:pPr>
            <w:r w:rsidRPr="008C1E5F">
              <w:t>Hispanic/Latino</w:t>
            </w:r>
          </w:p>
        </w:tc>
        <w:tc>
          <w:tcPr>
            <w:tcW w:w="1254" w:type="dxa"/>
          </w:tcPr>
          <w:p w14:paraId="5D0D6122" w14:textId="77777777" w:rsidR="00C60C82" w:rsidRPr="008C1E5F" w:rsidRDefault="00C60C82" w:rsidP="0015336A">
            <w:pPr>
              <w:pStyle w:val="TableTextCentered"/>
              <w:rPr>
                <w:szCs w:val="20"/>
              </w:rPr>
            </w:pPr>
            <w:r w:rsidRPr="008C1E5F">
              <w:t>3,960</w:t>
            </w:r>
          </w:p>
        </w:tc>
        <w:tc>
          <w:tcPr>
            <w:tcW w:w="1255" w:type="dxa"/>
          </w:tcPr>
          <w:p w14:paraId="65544CC9" w14:textId="77777777" w:rsidR="00C60C82" w:rsidRPr="008C1E5F" w:rsidRDefault="00C60C82" w:rsidP="0015336A">
            <w:pPr>
              <w:pStyle w:val="TableTextCentered"/>
              <w:rPr>
                <w:szCs w:val="20"/>
              </w:rPr>
            </w:pPr>
            <w:r w:rsidRPr="008C1E5F">
              <w:t>2.7</w:t>
            </w:r>
          </w:p>
        </w:tc>
        <w:tc>
          <w:tcPr>
            <w:tcW w:w="1254" w:type="dxa"/>
          </w:tcPr>
          <w:p w14:paraId="6E12A963" w14:textId="77777777" w:rsidR="00C60C82" w:rsidRPr="008C1E5F" w:rsidRDefault="00C60C82" w:rsidP="0015336A">
            <w:pPr>
              <w:pStyle w:val="TableTextCentered"/>
              <w:rPr>
                <w:szCs w:val="20"/>
              </w:rPr>
            </w:pPr>
            <w:r w:rsidRPr="008C1E5F">
              <w:t>0.4</w:t>
            </w:r>
          </w:p>
        </w:tc>
        <w:tc>
          <w:tcPr>
            <w:tcW w:w="1255" w:type="dxa"/>
          </w:tcPr>
          <w:p w14:paraId="5CF92A28" w14:textId="77777777" w:rsidR="00C60C82" w:rsidRPr="008C1E5F" w:rsidRDefault="00C60C82" w:rsidP="0015336A">
            <w:pPr>
              <w:pStyle w:val="TableTextCentered"/>
              <w:rPr>
                <w:szCs w:val="20"/>
              </w:rPr>
            </w:pPr>
            <w:r w:rsidRPr="008C1E5F">
              <w:t>1.8</w:t>
            </w:r>
          </w:p>
        </w:tc>
        <w:tc>
          <w:tcPr>
            <w:tcW w:w="1255" w:type="dxa"/>
          </w:tcPr>
          <w:p w14:paraId="5DD32FA6" w14:textId="77777777" w:rsidR="00C60C82" w:rsidRPr="008C1E5F" w:rsidRDefault="00C60C82" w:rsidP="0015336A">
            <w:pPr>
              <w:pStyle w:val="TableTextCentered"/>
              <w:rPr>
                <w:szCs w:val="20"/>
              </w:rPr>
            </w:pPr>
            <w:r w:rsidRPr="008C1E5F">
              <w:t>1.9</w:t>
            </w:r>
          </w:p>
        </w:tc>
      </w:tr>
      <w:tr w:rsidR="00C60C82" w:rsidRPr="008C1E5F" w14:paraId="4470C0F5" w14:textId="77777777" w:rsidTr="0015336A">
        <w:trPr>
          <w:cnfStyle w:val="000000100000" w:firstRow="0" w:lastRow="0" w:firstColumn="0" w:lastColumn="0" w:oddVBand="0" w:evenVBand="0" w:oddHBand="1" w:evenHBand="0" w:firstRowFirstColumn="0" w:firstRowLastColumn="0" w:lastRowFirstColumn="0" w:lastRowLastColumn="0"/>
        </w:trPr>
        <w:tc>
          <w:tcPr>
            <w:tcW w:w="3052" w:type="dxa"/>
          </w:tcPr>
          <w:p w14:paraId="390ADD6A" w14:textId="77777777" w:rsidR="00C60C82" w:rsidRPr="008C1E5F" w:rsidRDefault="00C60C82" w:rsidP="0015336A">
            <w:pPr>
              <w:pStyle w:val="TableText"/>
            </w:pPr>
            <w:r w:rsidRPr="008C1E5F">
              <w:rPr>
                <w:rFonts w:cstheme="minorHAnsi"/>
              </w:rPr>
              <w:t>Multi-Race, non-Hispanic/Latino</w:t>
            </w:r>
          </w:p>
        </w:tc>
        <w:tc>
          <w:tcPr>
            <w:tcW w:w="1254" w:type="dxa"/>
          </w:tcPr>
          <w:p w14:paraId="70DCF10A" w14:textId="77777777" w:rsidR="00C60C82" w:rsidRPr="008C1E5F" w:rsidRDefault="00C60C82" w:rsidP="0015336A">
            <w:pPr>
              <w:pStyle w:val="TableTextCentered"/>
              <w:rPr>
                <w:szCs w:val="20"/>
              </w:rPr>
            </w:pPr>
            <w:r w:rsidRPr="008C1E5F">
              <w:t>1,026</w:t>
            </w:r>
          </w:p>
        </w:tc>
        <w:tc>
          <w:tcPr>
            <w:tcW w:w="1255" w:type="dxa"/>
          </w:tcPr>
          <w:p w14:paraId="6717FC0D" w14:textId="77777777" w:rsidR="00C60C82" w:rsidRPr="008C1E5F" w:rsidRDefault="00C60C82" w:rsidP="0015336A">
            <w:pPr>
              <w:pStyle w:val="TableTextCentered"/>
              <w:rPr>
                <w:szCs w:val="20"/>
              </w:rPr>
            </w:pPr>
            <w:r w:rsidRPr="008C1E5F">
              <w:t>4.1</w:t>
            </w:r>
          </w:p>
        </w:tc>
        <w:tc>
          <w:tcPr>
            <w:tcW w:w="1254" w:type="dxa"/>
          </w:tcPr>
          <w:p w14:paraId="1E2D5C76" w14:textId="77777777" w:rsidR="00C60C82" w:rsidRPr="008C1E5F" w:rsidRDefault="00C60C82" w:rsidP="0015336A">
            <w:pPr>
              <w:pStyle w:val="TableTextCentered"/>
              <w:rPr>
                <w:szCs w:val="20"/>
              </w:rPr>
            </w:pPr>
            <w:r w:rsidRPr="008C1E5F">
              <w:t>1.1</w:t>
            </w:r>
          </w:p>
        </w:tc>
        <w:tc>
          <w:tcPr>
            <w:tcW w:w="1255" w:type="dxa"/>
          </w:tcPr>
          <w:p w14:paraId="4D40D742" w14:textId="77777777" w:rsidR="00C60C82" w:rsidRPr="008C1E5F" w:rsidRDefault="00C60C82" w:rsidP="0015336A">
            <w:pPr>
              <w:pStyle w:val="TableTextCentered"/>
              <w:rPr>
                <w:szCs w:val="20"/>
              </w:rPr>
            </w:pPr>
            <w:r w:rsidRPr="008C1E5F">
              <w:t>1.7</w:t>
            </w:r>
          </w:p>
        </w:tc>
        <w:tc>
          <w:tcPr>
            <w:tcW w:w="1255" w:type="dxa"/>
          </w:tcPr>
          <w:p w14:paraId="4B8EE840" w14:textId="77777777" w:rsidR="00C60C82" w:rsidRPr="008C1E5F" w:rsidRDefault="00C60C82" w:rsidP="0015336A">
            <w:pPr>
              <w:pStyle w:val="TableTextCentered"/>
              <w:rPr>
                <w:szCs w:val="20"/>
              </w:rPr>
            </w:pPr>
            <w:r w:rsidRPr="008C1E5F">
              <w:t>1.6</w:t>
            </w:r>
          </w:p>
        </w:tc>
      </w:tr>
      <w:tr w:rsidR="00C60C82" w:rsidRPr="008C1E5F" w14:paraId="443B6238" w14:textId="77777777" w:rsidTr="0015336A">
        <w:tc>
          <w:tcPr>
            <w:tcW w:w="3052" w:type="dxa"/>
          </w:tcPr>
          <w:p w14:paraId="34A74B73" w14:textId="77777777" w:rsidR="00C60C82" w:rsidRPr="008C1E5F" w:rsidRDefault="00C60C82" w:rsidP="0015336A">
            <w:pPr>
              <w:pStyle w:val="TableText"/>
            </w:pPr>
            <w:r w:rsidRPr="008C1E5F">
              <w:t>Native American</w:t>
            </w:r>
          </w:p>
        </w:tc>
        <w:tc>
          <w:tcPr>
            <w:tcW w:w="1254" w:type="dxa"/>
          </w:tcPr>
          <w:p w14:paraId="11064975" w14:textId="77777777" w:rsidR="00C60C82" w:rsidRPr="008C1E5F" w:rsidRDefault="00C60C82" w:rsidP="0015336A">
            <w:pPr>
              <w:pStyle w:val="TableTextCentered"/>
              <w:rPr>
                <w:szCs w:val="20"/>
              </w:rPr>
            </w:pPr>
            <w:r w:rsidRPr="008C1E5F">
              <w:t>25</w:t>
            </w:r>
          </w:p>
        </w:tc>
        <w:tc>
          <w:tcPr>
            <w:tcW w:w="1255" w:type="dxa"/>
          </w:tcPr>
          <w:p w14:paraId="393CB657" w14:textId="77777777" w:rsidR="00C60C82" w:rsidRPr="008C1E5F" w:rsidRDefault="00C60C82" w:rsidP="0015336A">
            <w:pPr>
              <w:pStyle w:val="TableTextCentered"/>
              <w:rPr>
                <w:szCs w:val="20"/>
              </w:rPr>
            </w:pPr>
            <w:r w:rsidRPr="008C1E5F">
              <w:t>--</w:t>
            </w:r>
          </w:p>
        </w:tc>
        <w:tc>
          <w:tcPr>
            <w:tcW w:w="1254" w:type="dxa"/>
          </w:tcPr>
          <w:p w14:paraId="692C0138" w14:textId="77777777" w:rsidR="00C60C82" w:rsidRPr="008C1E5F" w:rsidRDefault="00C60C82" w:rsidP="0015336A">
            <w:pPr>
              <w:pStyle w:val="TableTextCentered"/>
              <w:rPr>
                <w:szCs w:val="20"/>
              </w:rPr>
            </w:pPr>
            <w:r w:rsidRPr="008C1E5F">
              <w:t>--</w:t>
            </w:r>
          </w:p>
        </w:tc>
        <w:tc>
          <w:tcPr>
            <w:tcW w:w="1255" w:type="dxa"/>
          </w:tcPr>
          <w:p w14:paraId="5837A479" w14:textId="77777777" w:rsidR="00C60C82" w:rsidRPr="008C1E5F" w:rsidRDefault="00C60C82" w:rsidP="0015336A">
            <w:pPr>
              <w:pStyle w:val="TableTextCentered"/>
              <w:rPr>
                <w:szCs w:val="20"/>
              </w:rPr>
            </w:pPr>
            <w:r w:rsidRPr="008C1E5F">
              <w:t>--</w:t>
            </w:r>
          </w:p>
        </w:tc>
        <w:tc>
          <w:tcPr>
            <w:tcW w:w="1255" w:type="dxa"/>
          </w:tcPr>
          <w:p w14:paraId="69AD9BB5" w14:textId="77777777" w:rsidR="00C60C82" w:rsidRPr="008C1E5F" w:rsidRDefault="00C60C82" w:rsidP="0015336A">
            <w:pPr>
              <w:pStyle w:val="TableTextCentered"/>
              <w:rPr>
                <w:szCs w:val="20"/>
              </w:rPr>
            </w:pPr>
            <w:r w:rsidRPr="008C1E5F">
              <w:t>1.8</w:t>
            </w:r>
          </w:p>
        </w:tc>
      </w:tr>
      <w:tr w:rsidR="00C60C82" w:rsidRPr="008C1E5F" w14:paraId="29250D94" w14:textId="77777777" w:rsidTr="0015336A">
        <w:trPr>
          <w:cnfStyle w:val="000000100000" w:firstRow="0" w:lastRow="0" w:firstColumn="0" w:lastColumn="0" w:oddVBand="0" w:evenVBand="0" w:oddHBand="1" w:evenHBand="0" w:firstRowFirstColumn="0" w:firstRowLastColumn="0" w:lastRowFirstColumn="0" w:lastRowLastColumn="0"/>
        </w:trPr>
        <w:tc>
          <w:tcPr>
            <w:tcW w:w="3052" w:type="dxa"/>
          </w:tcPr>
          <w:p w14:paraId="3533D4AA" w14:textId="77777777" w:rsidR="00C60C82" w:rsidRPr="008C1E5F" w:rsidRDefault="00C60C82" w:rsidP="0015336A">
            <w:pPr>
              <w:pStyle w:val="TableText"/>
            </w:pPr>
            <w:r w:rsidRPr="008C1E5F">
              <w:rPr>
                <w:rFonts w:eastAsia="Times New Roman"/>
                <w:spacing w:val="-4"/>
              </w:rPr>
              <w:t>Native Hawaiian, Pacific Islander</w:t>
            </w:r>
          </w:p>
        </w:tc>
        <w:tc>
          <w:tcPr>
            <w:tcW w:w="1254" w:type="dxa"/>
          </w:tcPr>
          <w:p w14:paraId="20723AD4" w14:textId="77777777" w:rsidR="00C60C82" w:rsidRPr="008C1E5F" w:rsidRDefault="00C60C82" w:rsidP="0015336A">
            <w:pPr>
              <w:pStyle w:val="TableTextCentered"/>
              <w:rPr>
                <w:szCs w:val="20"/>
              </w:rPr>
            </w:pPr>
            <w:r w:rsidRPr="008C1E5F">
              <w:t>11</w:t>
            </w:r>
          </w:p>
        </w:tc>
        <w:tc>
          <w:tcPr>
            <w:tcW w:w="1255" w:type="dxa"/>
          </w:tcPr>
          <w:p w14:paraId="59478BEA" w14:textId="77777777" w:rsidR="00C60C82" w:rsidRPr="008C1E5F" w:rsidRDefault="00C60C82" w:rsidP="0015336A">
            <w:pPr>
              <w:pStyle w:val="TableTextCentered"/>
              <w:rPr>
                <w:szCs w:val="20"/>
              </w:rPr>
            </w:pPr>
            <w:r w:rsidRPr="008C1E5F">
              <w:t>--</w:t>
            </w:r>
          </w:p>
        </w:tc>
        <w:tc>
          <w:tcPr>
            <w:tcW w:w="1254" w:type="dxa"/>
          </w:tcPr>
          <w:p w14:paraId="28CF72FD" w14:textId="77777777" w:rsidR="00C60C82" w:rsidRPr="008C1E5F" w:rsidRDefault="00C60C82" w:rsidP="0015336A">
            <w:pPr>
              <w:pStyle w:val="TableTextCentered"/>
              <w:rPr>
                <w:szCs w:val="20"/>
              </w:rPr>
            </w:pPr>
            <w:r w:rsidRPr="008C1E5F">
              <w:t>--</w:t>
            </w:r>
          </w:p>
        </w:tc>
        <w:tc>
          <w:tcPr>
            <w:tcW w:w="1255" w:type="dxa"/>
          </w:tcPr>
          <w:p w14:paraId="397B2BBA" w14:textId="77777777" w:rsidR="00C60C82" w:rsidRPr="008C1E5F" w:rsidRDefault="00C60C82" w:rsidP="0015336A">
            <w:pPr>
              <w:pStyle w:val="TableTextCentered"/>
              <w:rPr>
                <w:szCs w:val="20"/>
              </w:rPr>
            </w:pPr>
            <w:r w:rsidRPr="008C1E5F">
              <w:t>--</w:t>
            </w:r>
          </w:p>
        </w:tc>
        <w:tc>
          <w:tcPr>
            <w:tcW w:w="1255" w:type="dxa"/>
          </w:tcPr>
          <w:p w14:paraId="454953EA" w14:textId="77777777" w:rsidR="00C60C82" w:rsidRPr="008C1E5F" w:rsidRDefault="00C60C82" w:rsidP="0015336A">
            <w:pPr>
              <w:pStyle w:val="TableTextCentered"/>
              <w:rPr>
                <w:szCs w:val="20"/>
              </w:rPr>
            </w:pPr>
            <w:r w:rsidRPr="008C1E5F">
              <w:t>1.9</w:t>
            </w:r>
          </w:p>
        </w:tc>
      </w:tr>
      <w:tr w:rsidR="00C60C82" w:rsidRPr="008C1E5F" w14:paraId="5FF01706" w14:textId="77777777" w:rsidTr="0015336A">
        <w:tc>
          <w:tcPr>
            <w:tcW w:w="3052" w:type="dxa"/>
          </w:tcPr>
          <w:p w14:paraId="0D86AAE1" w14:textId="77777777" w:rsidR="00C60C82" w:rsidRPr="008C1E5F" w:rsidRDefault="00C60C82" w:rsidP="0015336A">
            <w:pPr>
              <w:pStyle w:val="TableText"/>
            </w:pPr>
            <w:r w:rsidRPr="008C1E5F">
              <w:t>White</w:t>
            </w:r>
          </w:p>
        </w:tc>
        <w:tc>
          <w:tcPr>
            <w:tcW w:w="1254" w:type="dxa"/>
          </w:tcPr>
          <w:p w14:paraId="0256317D" w14:textId="77777777" w:rsidR="00C60C82" w:rsidRPr="008C1E5F" w:rsidRDefault="00C60C82" w:rsidP="0015336A">
            <w:pPr>
              <w:pStyle w:val="TableTextCentered"/>
              <w:rPr>
                <w:szCs w:val="20"/>
              </w:rPr>
            </w:pPr>
            <w:r w:rsidRPr="008C1E5F">
              <w:t>4,845</w:t>
            </w:r>
          </w:p>
        </w:tc>
        <w:tc>
          <w:tcPr>
            <w:tcW w:w="1255" w:type="dxa"/>
          </w:tcPr>
          <w:p w14:paraId="3FB54148" w14:textId="77777777" w:rsidR="00C60C82" w:rsidRPr="008C1E5F" w:rsidRDefault="00C60C82" w:rsidP="0015336A">
            <w:pPr>
              <w:pStyle w:val="TableTextCentered"/>
              <w:rPr>
                <w:szCs w:val="20"/>
              </w:rPr>
            </w:pPr>
            <w:r w:rsidRPr="008C1E5F">
              <w:t>2.3</w:t>
            </w:r>
          </w:p>
        </w:tc>
        <w:tc>
          <w:tcPr>
            <w:tcW w:w="1254" w:type="dxa"/>
          </w:tcPr>
          <w:p w14:paraId="27963BD4" w14:textId="77777777" w:rsidR="00C60C82" w:rsidRPr="008C1E5F" w:rsidRDefault="00C60C82" w:rsidP="0015336A">
            <w:pPr>
              <w:pStyle w:val="TableTextCentered"/>
              <w:rPr>
                <w:szCs w:val="20"/>
              </w:rPr>
            </w:pPr>
            <w:r w:rsidRPr="008C1E5F">
              <w:t>0.2</w:t>
            </w:r>
          </w:p>
        </w:tc>
        <w:tc>
          <w:tcPr>
            <w:tcW w:w="1255" w:type="dxa"/>
          </w:tcPr>
          <w:p w14:paraId="4982083C" w14:textId="77777777" w:rsidR="00C60C82" w:rsidRPr="008C1E5F" w:rsidRDefault="00C60C82" w:rsidP="0015336A">
            <w:pPr>
              <w:pStyle w:val="TableTextCentered"/>
              <w:rPr>
                <w:szCs w:val="20"/>
              </w:rPr>
            </w:pPr>
            <w:r w:rsidRPr="008C1E5F">
              <w:t>1.2</w:t>
            </w:r>
          </w:p>
        </w:tc>
        <w:tc>
          <w:tcPr>
            <w:tcW w:w="1255" w:type="dxa"/>
          </w:tcPr>
          <w:p w14:paraId="1C82C5EF" w14:textId="77777777" w:rsidR="00C60C82" w:rsidRPr="008C1E5F" w:rsidRDefault="00C60C82" w:rsidP="0015336A">
            <w:pPr>
              <w:pStyle w:val="TableTextCentered"/>
              <w:rPr>
                <w:szCs w:val="20"/>
              </w:rPr>
            </w:pPr>
            <w:r w:rsidRPr="008C1E5F">
              <w:t>1.1</w:t>
            </w:r>
          </w:p>
        </w:tc>
      </w:tr>
      <w:tr w:rsidR="00C60C82" w:rsidRPr="008C1E5F" w14:paraId="091D38F5" w14:textId="77777777" w:rsidTr="0015336A">
        <w:trPr>
          <w:cnfStyle w:val="000000100000" w:firstRow="0" w:lastRow="0" w:firstColumn="0" w:lastColumn="0" w:oddVBand="0" w:evenVBand="0" w:oddHBand="1" w:evenHBand="0" w:firstRowFirstColumn="0" w:firstRowLastColumn="0" w:lastRowFirstColumn="0" w:lastRowLastColumn="0"/>
        </w:trPr>
        <w:tc>
          <w:tcPr>
            <w:tcW w:w="3052" w:type="dxa"/>
          </w:tcPr>
          <w:p w14:paraId="18B019AC" w14:textId="77777777" w:rsidR="00C60C82" w:rsidRPr="008C1E5F" w:rsidRDefault="00C60C82" w:rsidP="0015336A">
            <w:pPr>
              <w:pStyle w:val="TableText"/>
            </w:pPr>
            <w:r w:rsidRPr="008C1E5F">
              <w:t>High needs</w:t>
            </w:r>
          </w:p>
        </w:tc>
        <w:tc>
          <w:tcPr>
            <w:tcW w:w="1254" w:type="dxa"/>
          </w:tcPr>
          <w:p w14:paraId="36D5A2D1" w14:textId="77777777" w:rsidR="00C60C82" w:rsidRPr="008C1E5F" w:rsidRDefault="00C60C82" w:rsidP="0015336A">
            <w:pPr>
              <w:pStyle w:val="TableTextCentered"/>
              <w:rPr>
                <w:szCs w:val="20"/>
              </w:rPr>
            </w:pPr>
            <w:r w:rsidRPr="008C1E5F">
              <w:t>10,405</w:t>
            </w:r>
          </w:p>
        </w:tc>
        <w:tc>
          <w:tcPr>
            <w:tcW w:w="1255" w:type="dxa"/>
          </w:tcPr>
          <w:p w14:paraId="3CD402C5" w14:textId="77777777" w:rsidR="00C60C82" w:rsidRPr="008C1E5F" w:rsidRDefault="00C60C82" w:rsidP="0015336A">
            <w:pPr>
              <w:pStyle w:val="TableTextCentered"/>
              <w:rPr>
                <w:szCs w:val="20"/>
              </w:rPr>
            </w:pPr>
            <w:r w:rsidRPr="008C1E5F">
              <w:t>3.0</w:t>
            </w:r>
          </w:p>
        </w:tc>
        <w:tc>
          <w:tcPr>
            <w:tcW w:w="1254" w:type="dxa"/>
          </w:tcPr>
          <w:p w14:paraId="2C7B070D" w14:textId="77777777" w:rsidR="00C60C82" w:rsidRPr="008C1E5F" w:rsidRDefault="00C60C82" w:rsidP="0015336A">
            <w:pPr>
              <w:pStyle w:val="TableTextCentered"/>
              <w:rPr>
                <w:szCs w:val="20"/>
              </w:rPr>
            </w:pPr>
            <w:r w:rsidRPr="008C1E5F">
              <w:t>0.4</w:t>
            </w:r>
          </w:p>
        </w:tc>
        <w:tc>
          <w:tcPr>
            <w:tcW w:w="1255" w:type="dxa"/>
          </w:tcPr>
          <w:p w14:paraId="06CA3C24" w14:textId="77777777" w:rsidR="00C60C82" w:rsidRPr="008C1E5F" w:rsidRDefault="00C60C82" w:rsidP="0015336A">
            <w:pPr>
              <w:pStyle w:val="TableTextCentered"/>
              <w:rPr>
                <w:szCs w:val="20"/>
              </w:rPr>
            </w:pPr>
            <w:r w:rsidRPr="008C1E5F">
              <w:t>1.7</w:t>
            </w:r>
          </w:p>
        </w:tc>
        <w:tc>
          <w:tcPr>
            <w:tcW w:w="1255" w:type="dxa"/>
          </w:tcPr>
          <w:p w14:paraId="1771F052" w14:textId="77777777" w:rsidR="00C60C82" w:rsidRPr="008C1E5F" w:rsidRDefault="00C60C82" w:rsidP="0015336A">
            <w:pPr>
              <w:pStyle w:val="TableTextCentered"/>
              <w:rPr>
                <w:szCs w:val="20"/>
              </w:rPr>
            </w:pPr>
            <w:r w:rsidRPr="008C1E5F">
              <w:t>1.9</w:t>
            </w:r>
          </w:p>
        </w:tc>
      </w:tr>
      <w:tr w:rsidR="00C60C82" w:rsidRPr="008C1E5F" w14:paraId="5DDA56FD" w14:textId="77777777" w:rsidTr="0015336A">
        <w:tc>
          <w:tcPr>
            <w:tcW w:w="3052" w:type="dxa"/>
          </w:tcPr>
          <w:p w14:paraId="411EC733" w14:textId="77777777" w:rsidR="00C60C82" w:rsidRPr="008C1E5F" w:rsidRDefault="00C60C82" w:rsidP="0015336A">
            <w:pPr>
              <w:pStyle w:val="TableText"/>
            </w:pPr>
            <w:r w:rsidRPr="008C1E5F">
              <w:t>Low income</w:t>
            </w:r>
          </w:p>
        </w:tc>
        <w:tc>
          <w:tcPr>
            <w:tcW w:w="1254" w:type="dxa"/>
          </w:tcPr>
          <w:p w14:paraId="54CCD235" w14:textId="77777777" w:rsidR="00C60C82" w:rsidRPr="008C1E5F" w:rsidRDefault="00C60C82" w:rsidP="0015336A">
            <w:pPr>
              <w:pStyle w:val="TableTextCentered"/>
              <w:rPr>
                <w:szCs w:val="20"/>
              </w:rPr>
            </w:pPr>
            <w:r w:rsidRPr="008C1E5F">
              <w:t>9,746</w:t>
            </w:r>
          </w:p>
        </w:tc>
        <w:tc>
          <w:tcPr>
            <w:tcW w:w="1255" w:type="dxa"/>
          </w:tcPr>
          <w:p w14:paraId="50A91D8F" w14:textId="77777777" w:rsidR="00C60C82" w:rsidRPr="008C1E5F" w:rsidRDefault="00C60C82" w:rsidP="0015336A">
            <w:pPr>
              <w:pStyle w:val="TableTextCentered"/>
              <w:rPr>
                <w:szCs w:val="20"/>
              </w:rPr>
            </w:pPr>
            <w:r w:rsidRPr="008C1E5F">
              <w:t>3.0</w:t>
            </w:r>
          </w:p>
        </w:tc>
        <w:tc>
          <w:tcPr>
            <w:tcW w:w="1254" w:type="dxa"/>
          </w:tcPr>
          <w:p w14:paraId="02DFDCC8" w14:textId="77777777" w:rsidR="00C60C82" w:rsidRPr="008C1E5F" w:rsidRDefault="00C60C82" w:rsidP="0015336A">
            <w:pPr>
              <w:pStyle w:val="TableTextCentered"/>
              <w:rPr>
                <w:szCs w:val="20"/>
              </w:rPr>
            </w:pPr>
            <w:r w:rsidRPr="008C1E5F">
              <w:t>0.4</w:t>
            </w:r>
          </w:p>
        </w:tc>
        <w:tc>
          <w:tcPr>
            <w:tcW w:w="1255" w:type="dxa"/>
          </w:tcPr>
          <w:p w14:paraId="6125925C" w14:textId="77777777" w:rsidR="00C60C82" w:rsidRPr="008C1E5F" w:rsidRDefault="00C60C82" w:rsidP="0015336A">
            <w:pPr>
              <w:pStyle w:val="TableTextCentered"/>
              <w:rPr>
                <w:szCs w:val="20"/>
              </w:rPr>
            </w:pPr>
            <w:r w:rsidRPr="008C1E5F">
              <w:t>1.8</w:t>
            </w:r>
          </w:p>
        </w:tc>
        <w:tc>
          <w:tcPr>
            <w:tcW w:w="1255" w:type="dxa"/>
          </w:tcPr>
          <w:p w14:paraId="796CCBFB" w14:textId="77777777" w:rsidR="00C60C82" w:rsidRPr="008C1E5F" w:rsidRDefault="00C60C82" w:rsidP="0015336A">
            <w:pPr>
              <w:pStyle w:val="TableTextCentered"/>
              <w:rPr>
                <w:szCs w:val="20"/>
              </w:rPr>
            </w:pPr>
            <w:r w:rsidRPr="008C1E5F">
              <w:t>2.1</w:t>
            </w:r>
          </w:p>
        </w:tc>
      </w:tr>
      <w:tr w:rsidR="00C60C82" w:rsidRPr="008C1E5F" w14:paraId="5A886C37" w14:textId="77777777" w:rsidTr="0015336A">
        <w:trPr>
          <w:cnfStyle w:val="000000100000" w:firstRow="0" w:lastRow="0" w:firstColumn="0" w:lastColumn="0" w:oddVBand="0" w:evenVBand="0" w:oddHBand="1" w:evenHBand="0" w:firstRowFirstColumn="0" w:firstRowLastColumn="0" w:lastRowFirstColumn="0" w:lastRowLastColumn="0"/>
        </w:trPr>
        <w:tc>
          <w:tcPr>
            <w:tcW w:w="3052" w:type="dxa"/>
          </w:tcPr>
          <w:p w14:paraId="1C481D07" w14:textId="77777777" w:rsidR="00C60C82" w:rsidRPr="008C1E5F" w:rsidRDefault="00C60C82" w:rsidP="0015336A">
            <w:pPr>
              <w:pStyle w:val="TableText"/>
            </w:pPr>
            <w:r w:rsidRPr="008C1E5F">
              <w:rPr>
                <w:spacing w:val="-4"/>
              </w:rPr>
              <w:t>English learners</w:t>
            </w:r>
          </w:p>
        </w:tc>
        <w:tc>
          <w:tcPr>
            <w:tcW w:w="1254" w:type="dxa"/>
          </w:tcPr>
          <w:p w14:paraId="158E455A" w14:textId="77777777" w:rsidR="00C60C82" w:rsidRPr="008C1E5F" w:rsidRDefault="00C60C82" w:rsidP="0015336A">
            <w:pPr>
              <w:pStyle w:val="TableTextCentered"/>
              <w:rPr>
                <w:szCs w:val="20"/>
              </w:rPr>
            </w:pPr>
            <w:r w:rsidRPr="008C1E5F">
              <w:t>2,957</w:t>
            </w:r>
          </w:p>
        </w:tc>
        <w:tc>
          <w:tcPr>
            <w:tcW w:w="1255" w:type="dxa"/>
          </w:tcPr>
          <w:p w14:paraId="0E073CD4" w14:textId="77777777" w:rsidR="00C60C82" w:rsidRPr="008C1E5F" w:rsidRDefault="00C60C82" w:rsidP="0015336A">
            <w:pPr>
              <w:pStyle w:val="TableTextCentered"/>
              <w:rPr>
                <w:szCs w:val="20"/>
              </w:rPr>
            </w:pPr>
            <w:r w:rsidRPr="008C1E5F">
              <w:t>2.7</w:t>
            </w:r>
          </w:p>
        </w:tc>
        <w:tc>
          <w:tcPr>
            <w:tcW w:w="1254" w:type="dxa"/>
          </w:tcPr>
          <w:p w14:paraId="46B54E28" w14:textId="77777777" w:rsidR="00C60C82" w:rsidRPr="008C1E5F" w:rsidRDefault="00C60C82" w:rsidP="0015336A">
            <w:pPr>
              <w:pStyle w:val="TableTextCentered"/>
              <w:rPr>
                <w:szCs w:val="20"/>
              </w:rPr>
            </w:pPr>
            <w:r w:rsidRPr="008C1E5F">
              <w:t>0.4</w:t>
            </w:r>
          </w:p>
        </w:tc>
        <w:tc>
          <w:tcPr>
            <w:tcW w:w="1255" w:type="dxa"/>
          </w:tcPr>
          <w:p w14:paraId="348436C3" w14:textId="77777777" w:rsidR="00C60C82" w:rsidRPr="008C1E5F" w:rsidRDefault="00C60C82" w:rsidP="0015336A">
            <w:pPr>
              <w:pStyle w:val="TableTextCentered"/>
              <w:rPr>
                <w:szCs w:val="20"/>
              </w:rPr>
            </w:pPr>
            <w:r w:rsidRPr="008C1E5F">
              <w:t>1.0</w:t>
            </w:r>
          </w:p>
        </w:tc>
        <w:tc>
          <w:tcPr>
            <w:tcW w:w="1255" w:type="dxa"/>
          </w:tcPr>
          <w:p w14:paraId="4F35B5B3" w14:textId="77777777" w:rsidR="00C60C82" w:rsidRPr="008C1E5F" w:rsidRDefault="00C60C82" w:rsidP="0015336A">
            <w:pPr>
              <w:pStyle w:val="TableTextCentered"/>
              <w:rPr>
                <w:szCs w:val="20"/>
              </w:rPr>
            </w:pPr>
            <w:r w:rsidRPr="008C1E5F">
              <w:t>1.4</w:t>
            </w:r>
          </w:p>
        </w:tc>
      </w:tr>
      <w:tr w:rsidR="00C60C82" w:rsidRPr="008C1E5F" w14:paraId="714876B6" w14:textId="77777777" w:rsidTr="0015336A">
        <w:tc>
          <w:tcPr>
            <w:tcW w:w="3052" w:type="dxa"/>
          </w:tcPr>
          <w:p w14:paraId="3EAC722A" w14:textId="77777777" w:rsidR="00C60C82" w:rsidRPr="008C1E5F" w:rsidRDefault="00C60C82" w:rsidP="0015336A">
            <w:pPr>
              <w:pStyle w:val="TableText"/>
            </w:pPr>
            <w:r w:rsidRPr="008C1E5F">
              <w:t>Students w/disabilities</w:t>
            </w:r>
          </w:p>
        </w:tc>
        <w:tc>
          <w:tcPr>
            <w:tcW w:w="1254" w:type="dxa"/>
          </w:tcPr>
          <w:p w14:paraId="78A49C95" w14:textId="77777777" w:rsidR="00C60C82" w:rsidRPr="008C1E5F" w:rsidRDefault="00C60C82" w:rsidP="0015336A">
            <w:pPr>
              <w:pStyle w:val="TableTextCentered"/>
              <w:rPr>
                <w:szCs w:val="20"/>
              </w:rPr>
            </w:pPr>
            <w:r w:rsidRPr="008C1E5F">
              <w:t>2,975</w:t>
            </w:r>
          </w:p>
        </w:tc>
        <w:tc>
          <w:tcPr>
            <w:tcW w:w="1255" w:type="dxa"/>
          </w:tcPr>
          <w:p w14:paraId="5E17EC79" w14:textId="77777777" w:rsidR="00C60C82" w:rsidRPr="008C1E5F" w:rsidRDefault="00C60C82" w:rsidP="0015336A">
            <w:pPr>
              <w:pStyle w:val="TableTextCentered"/>
              <w:rPr>
                <w:szCs w:val="20"/>
              </w:rPr>
            </w:pPr>
            <w:r w:rsidRPr="008C1E5F">
              <w:t>4.6</w:t>
            </w:r>
          </w:p>
        </w:tc>
        <w:tc>
          <w:tcPr>
            <w:tcW w:w="1254" w:type="dxa"/>
          </w:tcPr>
          <w:p w14:paraId="56D7D0F9" w14:textId="77777777" w:rsidR="00C60C82" w:rsidRPr="008C1E5F" w:rsidRDefault="00C60C82" w:rsidP="0015336A">
            <w:pPr>
              <w:pStyle w:val="TableTextCentered"/>
              <w:rPr>
                <w:szCs w:val="20"/>
              </w:rPr>
            </w:pPr>
            <w:r w:rsidRPr="008C1E5F">
              <w:t>0.5</w:t>
            </w:r>
          </w:p>
        </w:tc>
        <w:tc>
          <w:tcPr>
            <w:tcW w:w="1255" w:type="dxa"/>
          </w:tcPr>
          <w:p w14:paraId="3078B354" w14:textId="77777777" w:rsidR="00C60C82" w:rsidRPr="008C1E5F" w:rsidRDefault="00C60C82" w:rsidP="0015336A">
            <w:pPr>
              <w:pStyle w:val="TableTextCentered"/>
              <w:rPr>
                <w:szCs w:val="20"/>
              </w:rPr>
            </w:pPr>
            <w:r w:rsidRPr="008C1E5F">
              <w:t>2.6</w:t>
            </w:r>
          </w:p>
        </w:tc>
        <w:tc>
          <w:tcPr>
            <w:tcW w:w="1255" w:type="dxa"/>
          </w:tcPr>
          <w:p w14:paraId="21847350" w14:textId="77777777" w:rsidR="00C60C82" w:rsidRPr="008C1E5F" w:rsidRDefault="00C60C82" w:rsidP="0015336A">
            <w:pPr>
              <w:pStyle w:val="TableTextCentered"/>
              <w:rPr>
                <w:szCs w:val="20"/>
              </w:rPr>
            </w:pPr>
            <w:r w:rsidRPr="008C1E5F">
              <w:t>2.4</w:t>
            </w:r>
          </w:p>
        </w:tc>
      </w:tr>
    </w:tbl>
    <w:p w14:paraId="6CEABD80" w14:textId="77777777" w:rsidR="00C60C82" w:rsidRPr="008C1E5F" w:rsidRDefault="00C60C82" w:rsidP="00305BFA">
      <w:pPr>
        <w:pStyle w:val="TableETitles"/>
        <w:spacing w:before="240" w:after="60"/>
      </w:pPr>
      <w:bookmarkStart w:id="299" w:name="_Toc195024288"/>
      <w:r w:rsidRPr="008C1E5F">
        <w:t>Table E20. Out-of-School Suspension Rates by Student Group, 2022-2024</w:t>
      </w:r>
      <w:bookmarkEnd w:id="299"/>
    </w:p>
    <w:tbl>
      <w:tblPr>
        <w:tblStyle w:val="MSVTable1"/>
        <w:tblW w:w="5000" w:type="pct"/>
        <w:tblLook w:val="04A0" w:firstRow="1" w:lastRow="0" w:firstColumn="1" w:lastColumn="0" w:noHBand="0" w:noVBand="1"/>
      </w:tblPr>
      <w:tblGrid>
        <w:gridCol w:w="3057"/>
        <w:gridCol w:w="1256"/>
        <w:gridCol w:w="1258"/>
        <w:gridCol w:w="1257"/>
        <w:gridCol w:w="1258"/>
        <w:gridCol w:w="1258"/>
      </w:tblGrid>
      <w:tr w:rsidR="00C60C82" w:rsidRPr="008C1E5F" w14:paraId="5B530CA4" w14:textId="77777777" w:rsidTr="0015336A">
        <w:trPr>
          <w:cnfStyle w:val="100000000000" w:firstRow="1" w:lastRow="0" w:firstColumn="0" w:lastColumn="0" w:oddVBand="0" w:evenVBand="0" w:oddHBand="0" w:evenHBand="0" w:firstRowFirstColumn="0" w:firstRowLastColumn="0" w:lastRowFirstColumn="0" w:lastRowLastColumn="0"/>
        </w:trPr>
        <w:tc>
          <w:tcPr>
            <w:tcW w:w="3052" w:type="dxa"/>
            <w:vAlign w:val="center"/>
          </w:tcPr>
          <w:p w14:paraId="0474CEF1" w14:textId="77777777" w:rsidR="00C60C82" w:rsidRPr="008C1E5F" w:rsidRDefault="00C60C82" w:rsidP="0015336A">
            <w:pPr>
              <w:pStyle w:val="TableColHeadingCenter"/>
            </w:pPr>
            <w:r w:rsidRPr="008C1E5F">
              <w:t>Group</w:t>
            </w:r>
          </w:p>
        </w:tc>
        <w:tc>
          <w:tcPr>
            <w:tcW w:w="1254" w:type="dxa"/>
            <w:vAlign w:val="center"/>
          </w:tcPr>
          <w:p w14:paraId="10339559" w14:textId="77777777" w:rsidR="00C60C82" w:rsidRPr="008C1E5F" w:rsidRDefault="00C60C82" w:rsidP="0015336A">
            <w:pPr>
              <w:pStyle w:val="TableColHeadingCenter"/>
            </w:pPr>
            <w:r w:rsidRPr="008C1E5F">
              <w:t># Included (2024)</w:t>
            </w:r>
          </w:p>
        </w:tc>
        <w:tc>
          <w:tcPr>
            <w:tcW w:w="1255" w:type="dxa"/>
            <w:vAlign w:val="center"/>
          </w:tcPr>
          <w:p w14:paraId="25F527BD" w14:textId="77777777" w:rsidR="00C60C82" w:rsidRPr="008C1E5F" w:rsidRDefault="00C60C82" w:rsidP="0015336A">
            <w:pPr>
              <w:pStyle w:val="TableColHeadingCenter"/>
            </w:pPr>
            <w:r w:rsidRPr="008C1E5F">
              <w:t>2022</w:t>
            </w:r>
          </w:p>
        </w:tc>
        <w:tc>
          <w:tcPr>
            <w:tcW w:w="1254" w:type="dxa"/>
            <w:vAlign w:val="center"/>
          </w:tcPr>
          <w:p w14:paraId="49023E2C" w14:textId="77777777" w:rsidR="00C60C82" w:rsidRPr="008C1E5F" w:rsidRDefault="00C60C82" w:rsidP="0015336A">
            <w:pPr>
              <w:pStyle w:val="TableColHeadingCenter"/>
            </w:pPr>
            <w:r w:rsidRPr="008C1E5F">
              <w:t>2023</w:t>
            </w:r>
          </w:p>
        </w:tc>
        <w:tc>
          <w:tcPr>
            <w:tcW w:w="1255" w:type="dxa"/>
            <w:vAlign w:val="center"/>
          </w:tcPr>
          <w:p w14:paraId="761806E2" w14:textId="77777777" w:rsidR="00C60C82" w:rsidRPr="008C1E5F" w:rsidRDefault="00C60C82" w:rsidP="0015336A">
            <w:pPr>
              <w:pStyle w:val="TableColHeadingCenter"/>
            </w:pPr>
            <w:r w:rsidRPr="008C1E5F">
              <w:t>2024</w:t>
            </w:r>
          </w:p>
        </w:tc>
        <w:tc>
          <w:tcPr>
            <w:tcW w:w="1255" w:type="dxa"/>
            <w:vAlign w:val="center"/>
          </w:tcPr>
          <w:p w14:paraId="12CCF155" w14:textId="77777777" w:rsidR="00C60C82" w:rsidRPr="008C1E5F" w:rsidRDefault="00C60C82" w:rsidP="0015336A">
            <w:pPr>
              <w:pStyle w:val="TableColHeadingCenter"/>
            </w:pPr>
            <w:r w:rsidRPr="008C1E5F">
              <w:t>State (2024)</w:t>
            </w:r>
          </w:p>
        </w:tc>
      </w:tr>
      <w:tr w:rsidR="00C60C82" w:rsidRPr="008C1E5F" w14:paraId="04EBD730" w14:textId="77777777" w:rsidTr="0015336A">
        <w:trPr>
          <w:cnfStyle w:val="000000100000" w:firstRow="0" w:lastRow="0" w:firstColumn="0" w:lastColumn="0" w:oddVBand="0" w:evenVBand="0" w:oddHBand="1" w:evenHBand="0" w:firstRowFirstColumn="0" w:firstRowLastColumn="0" w:lastRowFirstColumn="0" w:lastRowLastColumn="0"/>
        </w:trPr>
        <w:tc>
          <w:tcPr>
            <w:tcW w:w="3052" w:type="dxa"/>
          </w:tcPr>
          <w:p w14:paraId="1C18C35A" w14:textId="77777777" w:rsidR="00C60C82" w:rsidRPr="008C1E5F" w:rsidRDefault="00C60C82" w:rsidP="0015336A">
            <w:pPr>
              <w:pStyle w:val="TableText"/>
            </w:pPr>
            <w:r w:rsidRPr="008C1E5F">
              <w:t>All</w:t>
            </w:r>
          </w:p>
        </w:tc>
        <w:tc>
          <w:tcPr>
            <w:tcW w:w="1254" w:type="dxa"/>
          </w:tcPr>
          <w:p w14:paraId="7D0B0A04" w14:textId="77777777" w:rsidR="00C60C82" w:rsidRPr="008C1E5F" w:rsidRDefault="00C60C82" w:rsidP="0015336A">
            <w:pPr>
              <w:pStyle w:val="TableTextCentered"/>
              <w:rPr>
                <w:szCs w:val="20"/>
              </w:rPr>
            </w:pPr>
            <w:r w:rsidRPr="008C1E5F">
              <w:t>11,754</w:t>
            </w:r>
          </w:p>
        </w:tc>
        <w:tc>
          <w:tcPr>
            <w:tcW w:w="1255" w:type="dxa"/>
          </w:tcPr>
          <w:p w14:paraId="2B8C2FBE" w14:textId="77777777" w:rsidR="00C60C82" w:rsidRPr="008C1E5F" w:rsidRDefault="00C60C82" w:rsidP="0015336A">
            <w:pPr>
              <w:pStyle w:val="TableTextCentered"/>
              <w:rPr>
                <w:szCs w:val="20"/>
              </w:rPr>
            </w:pPr>
            <w:r w:rsidRPr="008C1E5F">
              <w:t>8.5</w:t>
            </w:r>
          </w:p>
        </w:tc>
        <w:tc>
          <w:tcPr>
            <w:tcW w:w="1254" w:type="dxa"/>
          </w:tcPr>
          <w:p w14:paraId="3C106244" w14:textId="77777777" w:rsidR="00C60C82" w:rsidRPr="008C1E5F" w:rsidRDefault="00C60C82" w:rsidP="0015336A">
            <w:pPr>
              <w:pStyle w:val="TableTextCentered"/>
              <w:rPr>
                <w:szCs w:val="20"/>
              </w:rPr>
            </w:pPr>
            <w:r w:rsidRPr="008C1E5F">
              <w:t>2.5</w:t>
            </w:r>
          </w:p>
        </w:tc>
        <w:tc>
          <w:tcPr>
            <w:tcW w:w="1255" w:type="dxa"/>
          </w:tcPr>
          <w:p w14:paraId="5B96A72A" w14:textId="77777777" w:rsidR="00C60C82" w:rsidRPr="008C1E5F" w:rsidRDefault="00C60C82" w:rsidP="0015336A">
            <w:pPr>
              <w:pStyle w:val="TableTextCentered"/>
              <w:rPr>
                <w:szCs w:val="20"/>
              </w:rPr>
            </w:pPr>
            <w:r w:rsidRPr="008C1E5F">
              <w:t>2.9</w:t>
            </w:r>
          </w:p>
        </w:tc>
        <w:tc>
          <w:tcPr>
            <w:tcW w:w="1255" w:type="dxa"/>
          </w:tcPr>
          <w:p w14:paraId="3D97D5A4" w14:textId="77777777" w:rsidR="00C60C82" w:rsidRPr="008C1E5F" w:rsidRDefault="00C60C82" w:rsidP="0015336A">
            <w:pPr>
              <w:pStyle w:val="TableTextCentered"/>
              <w:rPr>
                <w:szCs w:val="20"/>
              </w:rPr>
            </w:pPr>
            <w:r w:rsidRPr="008C1E5F">
              <w:t>2.4</w:t>
            </w:r>
          </w:p>
        </w:tc>
      </w:tr>
      <w:tr w:rsidR="00C60C82" w:rsidRPr="008C1E5F" w14:paraId="2CA52930" w14:textId="77777777" w:rsidTr="0015336A">
        <w:tc>
          <w:tcPr>
            <w:tcW w:w="3052" w:type="dxa"/>
          </w:tcPr>
          <w:p w14:paraId="66AB0169" w14:textId="77777777" w:rsidR="00C60C82" w:rsidRPr="008C1E5F" w:rsidRDefault="00C60C82" w:rsidP="0015336A">
            <w:pPr>
              <w:pStyle w:val="TableText"/>
            </w:pPr>
            <w:r w:rsidRPr="008C1E5F">
              <w:t>African American/Black</w:t>
            </w:r>
          </w:p>
        </w:tc>
        <w:tc>
          <w:tcPr>
            <w:tcW w:w="1254" w:type="dxa"/>
          </w:tcPr>
          <w:p w14:paraId="49620318" w14:textId="77777777" w:rsidR="00C60C82" w:rsidRPr="008C1E5F" w:rsidRDefault="00C60C82" w:rsidP="0015336A">
            <w:pPr>
              <w:pStyle w:val="TableTextCentered"/>
              <w:rPr>
                <w:szCs w:val="20"/>
              </w:rPr>
            </w:pPr>
            <w:r w:rsidRPr="008C1E5F">
              <w:t>1,549</w:t>
            </w:r>
          </w:p>
        </w:tc>
        <w:tc>
          <w:tcPr>
            <w:tcW w:w="1255" w:type="dxa"/>
          </w:tcPr>
          <w:p w14:paraId="501D836A" w14:textId="77777777" w:rsidR="00C60C82" w:rsidRPr="008C1E5F" w:rsidRDefault="00C60C82" w:rsidP="0015336A">
            <w:pPr>
              <w:pStyle w:val="TableTextCentered"/>
              <w:rPr>
                <w:szCs w:val="20"/>
              </w:rPr>
            </w:pPr>
            <w:r w:rsidRPr="008C1E5F">
              <w:t>11.8</w:t>
            </w:r>
          </w:p>
        </w:tc>
        <w:tc>
          <w:tcPr>
            <w:tcW w:w="1254" w:type="dxa"/>
          </w:tcPr>
          <w:p w14:paraId="17474F3B" w14:textId="77777777" w:rsidR="00C60C82" w:rsidRPr="008C1E5F" w:rsidRDefault="00C60C82" w:rsidP="0015336A">
            <w:pPr>
              <w:pStyle w:val="TableTextCentered"/>
              <w:rPr>
                <w:szCs w:val="20"/>
              </w:rPr>
            </w:pPr>
            <w:r w:rsidRPr="008C1E5F">
              <w:t>2.8</w:t>
            </w:r>
          </w:p>
        </w:tc>
        <w:tc>
          <w:tcPr>
            <w:tcW w:w="1255" w:type="dxa"/>
          </w:tcPr>
          <w:p w14:paraId="25B7361E" w14:textId="77777777" w:rsidR="00C60C82" w:rsidRPr="008C1E5F" w:rsidRDefault="00C60C82" w:rsidP="0015336A">
            <w:pPr>
              <w:pStyle w:val="TableTextCentered"/>
              <w:rPr>
                <w:szCs w:val="20"/>
              </w:rPr>
            </w:pPr>
            <w:r w:rsidRPr="008C1E5F">
              <w:t>4.0</w:t>
            </w:r>
          </w:p>
        </w:tc>
        <w:tc>
          <w:tcPr>
            <w:tcW w:w="1255" w:type="dxa"/>
          </w:tcPr>
          <w:p w14:paraId="00A3F2C5" w14:textId="77777777" w:rsidR="00C60C82" w:rsidRPr="008C1E5F" w:rsidRDefault="00C60C82" w:rsidP="0015336A">
            <w:pPr>
              <w:pStyle w:val="TableTextCentered"/>
              <w:rPr>
                <w:szCs w:val="20"/>
              </w:rPr>
            </w:pPr>
            <w:r w:rsidRPr="008C1E5F">
              <w:t>4.6</w:t>
            </w:r>
          </w:p>
        </w:tc>
      </w:tr>
      <w:tr w:rsidR="00C60C82" w:rsidRPr="008C1E5F" w14:paraId="400C003B" w14:textId="77777777" w:rsidTr="0015336A">
        <w:trPr>
          <w:cnfStyle w:val="000000100000" w:firstRow="0" w:lastRow="0" w:firstColumn="0" w:lastColumn="0" w:oddVBand="0" w:evenVBand="0" w:oddHBand="1" w:evenHBand="0" w:firstRowFirstColumn="0" w:firstRowLastColumn="0" w:lastRowFirstColumn="0" w:lastRowLastColumn="0"/>
        </w:trPr>
        <w:tc>
          <w:tcPr>
            <w:tcW w:w="3052" w:type="dxa"/>
          </w:tcPr>
          <w:p w14:paraId="5729E410" w14:textId="77777777" w:rsidR="00C60C82" w:rsidRPr="008C1E5F" w:rsidRDefault="00C60C82" w:rsidP="0015336A">
            <w:pPr>
              <w:pStyle w:val="TableText"/>
            </w:pPr>
            <w:r w:rsidRPr="008C1E5F">
              <w:t>Asian</w:t>
            </w:r>
          </w:p>
        </w:tc>
        <w:tc>
          <w:tcPr>
            <w:tcW w:w="1254" w:type="dxa"/>
          </w:tcPr>
          <w:p w14:paraId="7D1F260B" w14:textId="77777777" w:rsidR="00C60C82" w:rsidRPr="008C1E5F" w:rsidRDefault="00C60C82" w:rsidP="0015336A">
            <w:pPr>
              <w:pStyle w:val="TableTextCentered"/>
              <w:rPr>
                <w:szCs w:val="20"/>
              </w:rPr>
            </w:pPr>
            <w:r w:rsidRPr="008C1E5F">
              <w:t>338</w:t>
            </w:r>
          </w:p>
        </w:tc>
        <w:tc>
          <w:tcPr>
            <w:tcW w:w="1255" w:type="dxa"/>
          </w:tcPr>
          <w:p w14:paraId="2F036FA1" w14:textId="77777777" w:rsidR="00C60C82" w:rsidRPr="008C1E5F" w:rsidRDefault="00C60C82" w:rsidP="0015336A">
            <w:pPr>
              <w:pStyle w:val="TableTextCentered"/>
              <w:rPr>
                <w:szCs w:val="20"/>
              </w:rPr>
            </w:pPr>
            <w:r w:rsidRPr="008C1E5F">
              <w:t>4.2</w:t>
            </w:r>
          </w:p>
        </w:tc>
        <w:tc>
          <w:tcPr>
            <w:tcW w:w="1254" w:type="dxa"/>
          </w:tcPr>
          <w:p w14:paraId="31DE423D" w14:textId="77777777" w:rsidR="00C60C82" w:rsidRPr="008C1E5F" w:rsidRDefault="00C60C82" w:rsidP="0015336A">
            <w:pPr>
              <w:pStyle w:val="TableTextCentered"/>
              <w:rPr>
                <w:szCs w:val="20"/>
              </w:rPr>
            </w:pPr>
            <w:r w:rsidRPr="008C1E5F">
              <w:t>--</w:t>
            </w:r>
          </w:p>
        </w:tc>
        <w:tc>
          <w:tcPr>
            <w:tcW w:w="1255" w:type="dxa"/>
          </w:tcPr>
          <w:p w14:paraId="369FF454" w14:textId="77777777" w:rsidR="00C60C82" w:rsidRPr="008C1E5F" w:rsidRDefault="00C60C82" w:rsidP="0015336A">
            <w:pPr>
              <w:pStyle w:val="TableTextCentered"/>
              <w:rPr>
                <w:szCs w:val="20"/>
              </w:rPr>
            </w:pPr>
            <w:r w:rsidRPr="008C1E5F">
              <w:t>1.8</w:t>
            </w:r>
          </w:p>
        </w:tc>
        <w:tc>
          <w:tcPr>
            <w:tcW w:w="1255" w:type="dxa"/>
          </w:tcPr>
          <w:p w14:paraId="316D1003" w14:textId="77777777" w:rsidR="00C60C82" w:rsidRPr="008C1E5F" w:rsidRDefault="00C60C82" w:rsidP="0015336A">
            <w:pPr>
              <w:pStyle w:val="TableTextCentered"/>
              <w:rPr>
                <w:szCs w:val="20"/>
              </w:rPr>
            </w:pPr>
            <w:r w:rsidRPr="008C1E5F">
              <w:t>0.6</w:t>
            </w:r>
          </w:p>
        </w:tc>
      </w:tr>
      <w:tr w:rsidR="00C60C82" w:rsidRPr="008C1E5F" w14:paraId="20684962" w14:textId="77777777" w:rsidTr="0015336A">
        <w:tc>
          <w:tcPr>
            <w:tcW w:w="3052" w:type="dxa"/>
          </w:tcPr>
          <w:p w14:paraId="2771B9AB" w14:textId="77777777" w:rsidR="00C60C82" w:rsidRPr="008C1E5F" w:rsidRDefault="00C60C82" w:rsidP="0015336A">
            <w:pPr>
              <w:pStyle w:val="TableText"/>
            </w:pPr>
            <w:r w:rsidRPr="008C1E5F">
              <w:t>Hispanic/Latino</w:t>
            </w:r>
          </w:p>
        </w:tc>
        <w:tc>
          <w:tcPr>
            <w:tcW w:w="1254" w:type="dxa"/>
          </w:tcPr>
          <w:p w14:paraId="50EC8D9E" w14:textId="77777777" w:rsidR="00C60C82" w:rsidRPr="008C1E5F" w:rsidRDefault="00C60C82" w:rsidP="0015336A">
            <w:pPr>
              <w:pStyle w:val="TableTextCentered"/>
              <w:rPr>
                <w:szCs w:val="20"/>
              </w:rPr>
            </w:pPr>
            <w:r w:rsidRPr="008C1E5F">
              <w:t>3,960</w:t>
            </w:r>
          </w:p>
        </w:tc>
        <w:tc>
          <w:tcPr>
            <w:tcW w:w="1255" w:type="dxa"/>
          </w:tcPr>
          <w:p w14:paraId="1E01BE97" w14:textId="77777777" w:rsidR="00C60C82" w:rsidRPr="008C1E5F" w:rsidRDefault="00C60C82" w:rsidP="0015336A">
            <w:pPr>
              <w:pStyle w:val="TableTextCentered"/>
              <w:rPr>
                <w:szCs w:val="20"/>
              </w:rPr>
            </w:pPr>
            <w:r w:rsidRPr="008C1E5F">
              <w:t>8.8</w:t>
            </w:r>
          </w:p>
        </w:tc>
        <w:tc>
          <w:tcPr>
            <w:tcW w:w="1254" w:type="dxa"/>
          </w:tcPr>
          <w:p w14:paraId="43F978AD" w14:textId="77777777" w:rsidR="00C60C82" w:rsidRPr="008C1E5F" w:rsidRDefault="00C60C82" w:rsidP="0015336A">
            <w:pPr>
              <w:pStyle w:val="TableTextCentered"/>
              <w:rPr>
                <w:szCs w:val="20"/>
              </w:rPr>
            </w:pPr>
            <w:r w:rsidRPr="008C1E5F">
              <w:t>2.4</w:t>
            </w:r>
          </w:p>
        </w:tc>
        <w:tc>
          <w:tcPr>
            <w:tcW w:w="1255" w:type="dxa"/>
          </w:tcPr>
          <w:p w14:paraId="54976C2C" w14:textId="77777777" w:rsidR="00C60C82" w:rsidRPr="008C1E5F" w:rsidRDefault="00C60C82" w:rsidP="0015336A">
            <w:pPr>
              <w:pStyle w:val="TableTextCentered"/>
              <w:rPr>
                <w:szCs w:val="20"/>
              </w:rPr>
            </w:pPr>
            <w:r w:rsidRPr="008C1E5F">
              <w:t>2.9</w:t>
            </w:r>
          </w:p>
        </w:tc>
        <w:tc>
          <w:tcPr>
            <w:tcW w:w="1255" w:type="dxa"/>
          </w:tcPr>
          <w:p w14:paraId="501DC054" w14:textId="77777777" w:rsidR="00C60C82" w:rsidRPr="008C1E5F" w:rsidRDefault="00C60C82" w:rsidP="0015336A">
            <w:pPr>
              <w:pStyle w:val="TableTextCentered"/>
              <w:rPr>
                <w:szCs w:val="20"/>
              </w:rPr>
            </w:pPr>
            <w:r w:rsidRPr="008C1E5F">
              <w:t>3.8</w:t>
            </w:r>
          </w:p>
        </w:tc>
      </w:tr>
      <w:tr w:rsidR="00C60C82" w:rsidRPr="008C1E5F" w14:paraId="5EF47697" w14:textId="77777777" w:rsidTr="0015336A">
        <w:trPr>
          <w:cnfStyle w:val="000000100000" w:firstRow="0" w:lastRow="0" w:firstColumn="0" w:lastColumn="0" w:oddVBand="0" w:evenVBand="0" w:oddHBand="1" w:evenHBand="0" w:firstRowFirstColumn="0" w:firstRowLastColumn="0" w:lastRowFirstColumn="0" w:lastRowLastColumn="0"/>
        </w:trPr>
        <w:tc>
          <w:tcPr>
            <w:tcW w:w="3052" w:type="dxa"/>
          </w:tcPr>
          <w:p w14:paraId="5BD3F989" w14:textId="77777777" w:rsidR="00C60C82" w:rsidRPr="008C1E5F" w:rsidRDefault="00C60C82" w:rsidP="0015336A">
            <w:pPr>
              <w:pStyle w:val="TableText"/>
            </w:pPr>
            <w:r w:rsidRPr="008C1E5F">
              <w:rPr>
                <w:rFonts w:cstheme="minorHAnsi"/>
              </w:rPr>
              <w:t>Multi-Race, non-Hispanic/Latino</w:t>
            </w:r>
          </w:p>
        </w:tc>
        <w:tc>
          <w:tcPr>
            <w:tcW w:w="1254" w:type="dxa"/>
          </w:tcPr>
          <w:p w14:paraId="6E18DACD" w14:textId="77777777" w:rsidR="00C60C82" w:rsidRPr="008C1E5F" w:rsidRDefault="00C60C82" w:rsidP="0015336A">
            <w:pPr>
              <w:pStyle w:val="TableTextCentered"/>
              <w:rPr>
                <w:szCs w:val="20"/>
              </w:rPr>
            </w:pPr>
            <w:r w:rsidRPr="008C1E5F">
              <w:t>1,026</w:t>
            </w:r>
          </w:p>
        </w:tc>
        <w:tc>
          <w:tcPr>
            <w:tcW w:w="1255" w:type="dxa"/>
          </w:tcPr>
          <w:p w14:paraId="4A8EE91A" w14:textId="77777777" w:rsidR="00C60C82" w:rsidRPr="008C1E5F" w:rsidRDefault="00C60C82" w:rsidP="0015336A">
            <w:pPr>
              <w:pStyle w:val="TableTextCentered"/>
              <w:rPr>
                <w:szCs w:val="20"/>
              </w:rPr>
            </w:pPr>
            <w:r w:rsidRPr="008C1E5F">
              <w:t>10.9</w:t>
            </w:r>
          </w:p>
        </w:tc>
        <w:tc>
          <w:tcPr>
            <w:tcW w:w="1254" w:type="dxa"/>
          </w:tcPr>
          <w:p w14:paraId="67916362" w14:textId="77777777" w:rsidR="00C60C82" w:rsidRPr="008C1E5F" w:rsidRDefault="00C60C82" w:rsidP="0015336A">
            <w:pPr>
              <w:pStyle w:val="TableTextCentered"/>
              <w:rPr>
                <w:szCs w:val="20"/>
              </w:rPr>
            </w:pPr>
            <w:r w:rsidRPr="008C1E5F">
              <w:t>3.6</w:t>
            </w:r>
          </w:p>
        </w:tc>
        <w:tc>
          <w:tcPr>
            <w:tcW w:w="1255" w:type="dxa"/>
          </w:tcPr>
          <w:p w14:paraId="4F9E97BE" w14:textId="77777777" w:rsidR="00C60C82" w:rsidRPr="008C1E5F" w:rsidRDefault="00C60C82" w:rsidP="0015336A">
            <w:pPr>
              <w:pStyle w:val="TableTextCentered"/>
              <w:rPr>
                <w:szCs w:val="20"/>
              </w:rPr>
            </w:pPr>
            <w:r w:rsidRPr="008C1E5F">
              <w:t>3.1</w:t>
            </w:r>
          </w:p>
        </w:tc>
        <w:tc>
          <w:tcPr>
            <w:tcW w:w="1255" w:type="dxa"/>
          </w:tcPr>
          <w:p w14:paraId="12303881" w14:textId="77777777" w:rsidR="00C60C82" w:rsidRPr="008C1E5F" w:rsidRDefault="00C60C82" w:rsidP="0015336A">
            <w:pPr>
              <w:pStyle w:val="TableTextCentered"/>
              <w:rPr>
                <w:szCs w:val="20"/>
              </w:rPr>
            </w:pPr>
            <w:r w:rsidRPr="008C1E5F">
              <w:t>2.6</w:t>
            </w:r>
          </w:p>
        </w:tc>
      </w:tr>
      <w:tr w:rsidR="00C60C82" w:rsidRPr="008C1E5F" w14:paraId="3D668BB4" w14:textId="77777777" w:rsidTr="0015336A">
        <w:tc>
          <w:tcPr>
            <w:tcW w:w="3052" w:type="dxa"/>
          </w:tcPr>
          <w:p w14:paraId="637674DE" w14:textId="77777777" w:rsidR="00C60C82" w:rsidRPr="008C1E5F" w:rsidRDefault="00C60C82" w:rsidP="0015336A">
            <w:pPr>
              <w:pStyle w:val="TableText"/>
            </w:pPr>
            <w:r w:rsidRPr="008C1E5F">
              <w:t>Native American</w:t>
            </w:r>
          </w:p>
        </w:tc>
        <w:tc>
          <w:tcPr>
            <w:tcW w:w="1254" w:type="dxa"/>
          </w:tcPr>
          <w:p w14:paraId="526E45B5" w14:textId="77777777" w:rsidR="00C60C82" w:rsidRPr="008C1E5F" w:rsidRDefault="00C60C82" w:rsidP="0015336A">
            <w:pPr>
              <w:pStyle w:val="TableTextCentered"/>
              <w:rPr>
                <w:szCs w:val="20"/>
              </w:rPr>
            </w:pPr>
            <w:r w:rsidRPr="008C1E5F">
              <w:t>25</w:t>
            </w:r>
          </w:p>
        </w:tc>
        <w:tc>
          <w:tcPr>
            <w:tcW w:w="1255" w:type="dxa"/>
          </w:tcPr>
          <w:p w14:paraId="6B752185" w14:textId="77777777" w:rsidR="00C60C82" w:rsidRPr="008C1E5F" w:rsidRDefault="00C60C82" w:rsidP="0015336A">
            <w:pPr>
              <w:pStyle w:val="TableTextCentered"/>
              <w:rPr>
                <w:szCs w:val="20"/>
              </w:rPr>
            </w:pPr>
            <w:r w:rsidRPr="008C1E5F">
              <w:t>--</w:t>
            </w:r>
          </w:p>
        </w:tc>
        <w:tc>
          <w:tcPr>
            <w:tcW w:w="1254" w:type="dxa"/>
          </w:tcPr>
          <w:p w14:paraId="0793D352" w14:textId="77777777" w:rsidR="00C60C82" w:rsidRPr="008C1E5F" w:rsidRDefault="00C60C82" w:rsidP="0015336A">
            <w:pPr>
              <w:pStyle w:val="TableTextCentered"/>
              <w:rPr>
                <w:szCs w:val="20"/>
              </w:rPr>
            </w:pPr>
            <w:r w:rsidRPr="008C1E5F">
              <w:t>--</w:t>
            </w:r>
          </w:p>
        </w:tc>
        <w:tc>
          <w:tcPr>
            <w:tcW w:w="1255" w:type="dxa"/>
          </w:tcPr>
          <w:p w14:paraId="4D1EA8C3" w14:textId="77777777" w:rsidR="00C60C82" w:rsidRPr="008C1E5F" w:rsidRDefault="00C60C82" w:rsidP="0015336A">
            <w:pPr>
              <w:pStyle w:val="TableTextCentered"/>
              <w:rPr>
                <w:szCs w:val="20"/>
              </w:rPr>
            </w:pPr>
            <w:r w:rsidRPr="008C1E5F">
              <w:t>--</w:t>
            </w:r>
          </w:p>
        </w:tc>
        <w:tc>
          <w:tcPr>
            <w:tcW w:w="1255" w:type="dxa"/>
          </w:tcPr>
          <w:p w14:paraId="2C3D0E9E" w14:textId="77777777" w:rsidR="00C60C82" w:rsidRPr="008C1E5F" w:rsidRDefault="00C60C82" w:rsidP="0015336A">
            <w:pPr>
              <w:pStyle w:val="TableTextCentered"/>
              <w:rPr>
                <w:szCs w:val="20"/>
              </w:rPr>
            </w:pPr>
            <w:r w:rsidRPr="008C1E5F">
              <w:t>3.5</w:t>
            </w:r>
          </w:p>
        </w:tc>
      </w:tr>
      <w:tr w:rsidR="00C60C82" w:rsidRPr="008C1E5F" w14:paraId="1380B2B6" w14:textId="77777777" w:rsidTr="0015336A">
        <w:trPr>
          <w:cnfStyle w:val="000000100000" w:firstRow="0" w:lastRow="0" w:firstColumn="0" w:lastColumn="0" w:oddVBand="0" w:evenVBand="0" w:oddHBand="1" w:evenHBand="0" w:firstRowFirstColumn="0" w:firstRowLastColumn="0" w:lastRowFirstColumn="0" w:lastRowLastColumn="0"/>
        </w:trPr>
        <w:tc>
          <w:tcPr>
            <w:tcW w:w="3052" w:type="dxa"/>
          </w:tcPr>
          <w:p w14:paraId="220A5D19" w14:textId="77777777" w:rsidR="00C60C82" w:rsidRPr="008C1E5F" w:rsidRDefault="00C60C82" w:rsidP="0015336A">
            <w:pPr>
              <w:pStyle w:val="TableText"/>
            </w:pPr>
            <w:r w:rsidRPr="008C1E5F">
              <w:rPr>
                <w:rFonts w:eastAsia="Times New Roman"/>
                <w:spacing w:val="-4"/>
              </w:rPr>
              <w:t>Native Hawaiian, Pacific Islander</w:t>
            </w:r>
          </w:p>
        </w:tc>
        <w:tc>
          <w:tcPr>
            <w:tcW w:w="1254" w:type="dxa"/>
          </w:tcPr>
          <w:p w14:paraId="02A2405B" w14:textId="77777777" w:rsidR="00C60C82" w:rsidRPr="008C1E5F" w:rsidRDefault="00C60C82" w:rsidP="0015336A">
            <w:pPr>
              <w:pStyle w:val="TableTextCentered"/>
              <w:rPr>
                <w:szCs w:val="20"/>
              </w:rPr>
            </w:pPr>
            <w:r w:rsidRPr="008C1E5F">
              <w:t>11</w:t>
            </w:r>
          </w:p>
        </w:tc>
        <w:tc>
          <w:tcPr>
            <w:tcW w:w="1255" w:type="dxa"/>
          </w:tcPr>
          <w:p w14:paraId="258BA659" w14:textId="77777777" w:rsidR="00C60C82" w:rsidRPr="008C1E5F" w:rsidRDefault="00C60C82" w:rsidP="0015336A">
            <w:pPr>
              <w:pStyle w:val="TableTextCentered"/>
              <w:rPr>
                <w:szCs w:val="20"/>
              </w:rPr>
            </w:pPr>
            <w:r w:rsidRPr="008C1E5F">
              <w:t>--</w:t>
            </w:r>
          </w:p>
        </w:tc>
        <w:tc>
          <w:tcPr>
            <w:tcW w:w="1254" w:type="dxa"/>
          </w:tcPr>
          <w:p w14:paraId="79795C27" w14:textId="77777777" w:rsidR="00C60C82" w:rsidRPr="008C1E5F" w:rsidRDefault="00C60C82" w:rsidP="0015336A">
            <w:pPr>
              <w:pStyle w:val="TableTextCentered"/>
              <w:rPr>
                <w:szCs w:val="20"/>
              </w:rPr>
            </w:pPr>
            <w:r w:rsidRPr="008C1E5F">
              <w:t>--</w:t>
            </w:r>
          </w:p>
        </w:tc>
        <w:tc>
          <w:tcPr>
            <w:tcW w:w="1255" w:type="dxa"/>
          </w:tcPr>
          <w:p w14:paraId="3FD14160" w14:textId="77777777" w:rsidR="00C60C82" w:rsidRPr="008C1E5F" w:rsidRDefault="00C60C82" w:rsidP="0015336A">
            <w:pPr>
              <w:pStyle w:val="TableTextCentered"/>
              <w:rPr>
                <w:szCs w:val="20"/>
              </w:rPr>
            </w:pPr>
            <w:r w:rsidRPr="008C1E5F">
              <w:t>--</w:t>
            </w:r>
          </w:p>
        </w:tc>
        <w:tc>
          <w:tcPr>
            <w:tcW w:w="1255" w:type="dxa"/>
          </w:tcPr>
          <w:p w14:paraId="59C5C76E" w14:textId="77777777" w:rsidR="00C60C82" w:rsidRPr="008C1E5F" w:rsidRDefault="00C60C82" w:rsidP="0015336A">
            <w:pPr>
              <w:pStyle w:val="TableTextCentered"/>
              <w:rPr>
                <w:szCs w:val="20"/>
              </w:rPr>
            </w:pPr>
            <w:r w:rsidRPr="008C1E5F">
              <w:t>2.5</w:t>
            </w:r>
          </w:p>
        </w:tc>
      </w:tr>
      <w:tr w:rsidR="00C60C82" w:rsidRPr="008C1E5F" w14:paraId="50CBE5A0" w14:textId="77777777" w:rsidTr="0015336A">
        <w:tc>
          <w:tcPr>
            <w:tcW w:w="3052" w:type="dxa"/>
          </w:tcPr>
          <w:p w14:paraId="4B54AB3C" w14:textId="77777777" w:rsidR="00C60C82" w:rsidRPr="008C1E5F" w:rsidRDefault="00C60C82" w:rsidP="0015336A">
            <w:pPr>
              <w:pStyle w:val="TableText"/>
            </w:pPr>
            <w:r w:rsidRPr="008C1E5F">
              <w:t>White</w:t>
            </w:r>
          </w:p>
        </w:tc>
        <w:tc>
          <w:tcPr>
            <w:tcW w:w="1254" w:type="dxa"/>
          </w:tcPr>
          <w:p w14:paraId="0A3A02B4" w14:textId="77777777" w:rsidR="00C60C82" w:rsidRPr="008C1E5F" w:rsidRDefault="00C60C82" w:rsidP="0015336A">
            <w:pPr>
              <w:pStyle w:val="TableTextCentered"/>
              <w:rPr>
                <w:szCs w:val="20"/>
              </w:rPr>
            </w:pPr>
            <w:r w:rsidRPr="008C1E5F">
              <w:t>4,845</w:t>
            </w:r>
          </w:p>
        </w:tc>
        <w:tc>
          <w:tcPr>
            <w:tcW w:w="1255" w:type="dxa"/>
          </w:tcPr>
          <w:p w14:paraId="6E866810" w14:textId="77777777" w:rsidR="00C60C82" w:rsidRPr="008C1E5F" w:rsidRDefault="00C60C82" w:rsidP="0015336A">
            <w:pPr>
              <w:pStyle w:val="TableTextCentered"/>
              <w:rPr>
                <w:szCs w:val="20"/>
              </w:rPr>
            </w:pPr>
            <w:r w:rsidRPr="008C1E5F">
              <w:t>7.4</w:t>
            </w:r>
          </w:p>
        </w:tc>
        <w:tc>
          <w:tcPr>
            <w:tcW w:w="1254" w:type="dxa"/>
          </w:tcPr>
          <w:p w14:paraId="35532241" w14:textId="77777777" w:rsidR="00C60C82" w:rsidRPr="008C1E5F" w:rsidRDefault="00C60C82" w:rsidP="0015336A">
            <w:pPr>
              <w:pStyle w:val="TableTextCentered"/>
              <w:rPr>
                <w:szCs w:val="20"/>
              </w:rPr>
            </w:pPr>
            <w:r w:rsidRPr="008C1E5F">
              <w:t>2.2</w:t>
            </w:r>
          </w:p>
        </w:tc>
        <w:tc>
          <w:tcPr>
            <w:tcW w:w="1255" w:type="dxa"/>
          </w:tcPr>
          <w:p w14:paraId="5155D594" w14:textId="77777777" w:rsidR="00C60C82" w:rsidRPr="008C1E5F" w:rsidRDefault="00C60C82" w:rsidP="0015336A">
            <w:pPr>
              <w:pStyle w:val="TableTextCentered"/>
              <w:rPr>
                <w:szCs w:val="20"/>
              </w:rPr>
            </w:pPr>
            <w:r w:rsidRPr="008C1E5F">
              <w:t>2.4</w:t>
            </w:r>
          </w:p>
        </w:tc>
        <w:tc>
          <w:tcPr>
            <w:tcW w:w="1255" w:type="dxa"/>
          </w:tcPr>
          <w:p w14:paraId="64EF70EB" w14:textId="77777777" w:rsidR="00C60C82" w:rsidRPr="008C1E5F" w:rsidRDefault="00C60C82" w:rsidP="0015336A">
            <w:pPr>
              <w:pStyle w:val="TableTextCentered"/>
              <w:rPr>
                <w:szCs w:val="20"/>
              </w:rPr>
            </w:pPr>
            <w:r w:rsidRPr="008C1E5F">
              <w:t>1.5</w:t>
            </w:r>
          </w:p>
        </w:tc>
      </w:tr>
      <w:tr w:rsidR="00C60C82" w:rsidRPr="008C1E5F" w14:paraId="1C08F977" w14:textId="77777777" w:rsidTr="0015336A">
        <w:trPr>
          <w:cnfStyle w:val="000000100000" w:firstRow="0" w:lastRow="0" w:firstColumn="0" w:lastColumn="0" w:oddVBand="0" w:evenVBand="0" w:oddHBand="1" w:evenHBand="0" w:firstRowFirstColumn="0" w:firstRowLastColumn="0" w:lastRowFirstColumn="0" w:lastRowLastColumn="0"/>
        </w:trPr>
        <w:tc>
          <w:tcPr>
            <w:tcW w:w="3052" w:type="dxa"/>
          </w:tcPr>
          <w:p w14:paraId="39350770" w14:textId="77777777" w:rsidR="00C60C82" w:rsidRPr="008C1E5F" w:rsidRDefault="00C60C82" w:rsidP="0015336A">
            <w:pPr>
              <w:pStyle w:val="TableText"/>
            </w:pPr>
            <w:r w:rsidRPr="008C1E5F">
              <w:t>High needs</w:t>
            </w:r>
          </w:p>
        </w:tc>
        <w:tc>
          <w:tcPr>
            <w:tcW w:w="1254" w:type="dxa"/>
          </w:tcPr>
          <w:p w14:paraId="426B2522" w14:textId="77777777" w:rsidR="00C60C82" w:rsidRPr="008C1E5F" w:rsidRDefault="00C60C82" w:rsidP="0015336A">
            <w:pPr>
              <w:pStyle w:val="TableTextCentered"/>
              <w:rPr>
                <w:szCs w:val="20"/>
              </w:rPr>
            </w:pPr>
            <w:r w:rsidRPr="008C1E5F">
              <w:t>10,405</w:t>
            </w:r>
          </w:p>
        </w:tc>
        <w:tc>
          <w:tcPr>
            <w:tcW w:w="1255" w:type="dxa"/>
          </w:tcPr>
          <w:p w14:paraId="237C7434" w14:textId="77777777" w:rsidR="00C60C82" w:rsidRPr="008C1E5F" w:rsidRDefault="00C60C82" w:rsidP="0015336A">
            <w:pPr>
              <w:pStyle w:val="TableTextCentered"/>
              <w:rPr>
                <w:szCs w:val="20"/>
              </w:rPr>
            </w:pPr>
            <w:r w:rsidRPr="008C1E5F">
              <w:t>9.2</w:t>
            </w:r>
          </w:p>
        </w:tc>
        <w:tc>
          <w:tcPr>
            <w:tcW w:w="1254" w:type="dxa"/>
          </w:tcPr>
          <w:p w14:paraId="7882A31D" w14:textId="77777777" w:rsidR="00C60C82" w:rsidRPr="008C1E5F" w:rsidRDefault="00C60C82" w:rsidP="0015336A">
            <w:pPr>
              <w:pStyle w:val="TableTextCentered"/>
              <w:rPr>
                <w:szCs w:val="20"/>
              </w:rPr>
            </w:pPr>
            <w:r w:rsidRPr="008C1E5F">
              <w:t>2.6</w:t>
            </w:r>
          </w:p>
        </w:tc>
        <w:tc>
          <w:tcPr>
            <w:tcW w:w="1255" w:type="dxa"/>
          </w:tcPr>
          <w:p w14:paraId="46B88087" w14:textId="77777777" w:rsidR="00C60C82" w:rsidRPr="008C1E5F" w:rsidRDefault="00C60C82" w:rsidP="0015336A">
            <w:pPr>
              <w:pStyle w:val="TableTextCentered"/>
              <w:rPr>
                <w:szCs w:val="20"/>
              </w:rPr>
            </w:pPr>
            <w:r w:rsidRPr="008C1E5F">
              <w:t>3.1</w:t>
            </w:r>
          </w:p>
        </w:tc>
        <w:tc>
          <w:tcPr>
            <w:tcW w:w="1255" w:type="dxa"/>
          </w:tcPr>
          <w:p w14:paraId="2F279196" w14:textId="77777777" w:rsidR="00C60C82" w:rsidRPr="008C1E5F" w:rsidRDefault="00C60C82" w:rsidP="0015336A">
            <w:pPr>
              <w:pStyle w:val="TableTextCentered"/>
              <w:rPr>
                <w:szCs w:val="20"/>
              </w:rPr>
            </w:pPr>
            <w:r w:rsidRPr="008C1E5F">
              <w:t>3.6</w:t>
            </w:r>
          </w:p>
        </w:tc>
      </w:tr>
      <w:tr w:rsidR="00C60C82" w:rsidRPr="008C1E5F" w14:paraId="6F74E7A7" w14:textId="77777777" w:rsidTr="0015336A">
        <w:tc>
          <w:tcPr>
            <w:tcW w:w="3052" w:type="dxa"/>
          </w:tcPr>
          <w:p w14:paraId="1F571922" w14:textId="77777777" w:rsidR="00C60C82" w:rsidRPr="008C1E5F" w:rsidRDefault="00C60C82" w:rsidP="0015336A">
            <w:pPr>
              <w:pStyle w:val="TableText"/>
            </w:pPr>
            <w:r w:rsidRPr="008C1E5F">
              <w:t>Low income</w:t>
            </w:r>
          </w:p>
        </w:tc>
        <w:tc>
          <w:tcPr>
            <w:tcW w:w="1254" w:type="dxa"/>
          </w:tcPr>
          <w:p w14:paraId="6B6BEB17" w14:textId="77777777" w:rsidR="00C60C82" w:rsidRPr="008C1E5F" w:rsidRDefault="00C60C82" w:rsidP="0015336A">
            <w:pPr>
              <w:pStyle w:val="TableTextCentered"/>
              <w:rPr>
                <w:szCs w:val="20"/>
              </w:rPr>
            </w:pPr>
            <w:r w:rsidRPr="008C1E5F">
              <w:t>9,746</w:t>
            </w:r>
          </w:p>
        </w:tc>
        <w:tc>
          <w:tcPr>
            <w:tcW w:w="1255" w:type="dxa"/>
          </w:tcPr>
          <w:p w14:paraId="2626C4F9" w14:textId="77777777" w:rsidR="00C60C82" w:rsidRPr="008C1E5F" w:rsidRDefault="00C60C82" w:rsidP="0015336A">
            <w:pPr>
              <w:pStyle w:val="TableTextCentered"/>
              <w:rPr>
                <w:szCs w:val="20"/>
              </w:rPr>
            </w:pPr>
            <w:r w:rsidRPr="008C1E5F">
              <w:t>9.4</w:t>
            </w:r>
          </w:p>
        </w:tc>
        <w:tc>
          <w:tcPr>
            <w:tcW w:w="1254" w:type="dxa"/>
          </w:tcPr>
          <w:p w14:paraId="385F426C" w14:textId="77777777" w:rsidR="00C60C82" w:rsidRPr="008C1E5F" w:rsidRDefault="00C60C82" w:rsidP="0015336A">
            <w:pPr>
              <w:pStyle w:val="TableTextCentered"/>
              <w:rPr>
                <w:szCs w:val="20"/>
              </w:rPr>
            </w:pPr>
            <w:r w:rsidRPr="008C1E5F">
              <w:t>2.7</w:t>
            </w:r>
          </w:p>
        </w:tc>
        <w:tc>
          <w:tcPr>
            <w:tcW w:w="1255" w:type="dxa"/>
          </w:tcPr>
          <w:p w14:paraId="39840B64" w14:textId="77777777" w:rsidR="00C60C82" w:rsidRPr="008C1E5F" w:rsidRDefault="00C60C82" w:rsidP="0015336A">
            <w:pPr>
              <w:pStyle w:val="TableTextCentered"/>
              <w:rPr>
                <w:szCs w:val="20"/>
              </w:rPr>
            </w:pPr>
            <w:r w:rsidRPr="008C1E5F">
              <w:t>3.2</w:t>
            </w:r>
          </w:p>
        </w:tc>
        <w:tc>
          <w:tcPr>
            <w:tcW w:w="1255" w:type="dxa"/>
          </w:tcPr>
          <w:p w14:paraId="19B5D339" w14:textId="77777777" w:rsidR="00C60C82" w:rsidRPr="008C1E5F" w:rsidRDefault="00C60C82" w:rsidP="0015336A">
            <w:pPr>
              <w:pStyle w:val="TableTextCentered"/>
              <w:rPr>
                <w:szCs w:val="20"/>
              </w:rPr>
            </w:pPr>
            <w:r w:rsidRPr="008C1E5F">
              <w:t>4.0</w:t>
            </w:r>
          </w:p>
        </w:tc>
      </w:tr>
      <w:tr w:rsidR="00C60C82" w:rsidRPr="008C1E5F" w14:paraId="2BCCE000" w14:textId="77777777" w:rsidTr="0015336A">
        <w:trPr>
          <w:cnfStyle w:val="000000100000" w:firstRow="0" w:lastRow="0" w:firstColumn="0" w:lastColumn="0" w:oddVBand="0" w:evenVBand="0" w:oddHBand="1" w:evenHBand="0" w:firstRowFirstColumn="0" w:firstRowLastColumn="0" w:lastRowFirstColumn="0" w:lastRowLastColumn="0"/>
        </w:trPr>
        <w:tc>
          <w:tcPr>
            <w:tcW w:w="3052" w:type="dxa"/>
          </w:tcPr>
          <w:p w14:paraId="72E7E97A" w14:textId="77777777" w:rsidR="00C60C82" w:rsidRPr="008C1E5F" w:rsidRDefault="00C60C82" w:rsidP="0015336A">
            <w:pPr>
              <w:pStyle w:val="TableText"/>
            </w:pPr>
            <w:r w:rsidRPr="008C1E5F">
              <w:rPr>
                <w:spacing w:val="-4"/>
              </w:rPr>
              <w:t>English learners</w:t>
            </w:r>
          </w:p>
        </w:tc>
        <w:tc>
          <w:tcPr>
            <w:tcW w:w="1254" w:type="dxa"/>
          </w:tcPr>
          <w:p w14:paraId="45F4D83E" w14:textId="77777777" w:rsidR="00C60C82" w:rsidRPr="008C1E5F" w:rsidRDefault="00C60C82" w:rsidP="0015336A">
            <w:pPr>
              <w:pStyle w:val="TableTextCentered"/>
              <w:rPr>
                <w:szCs w:val="20"/>
              </w:rPr>
            </w:pPr>
            <w:r w:rsidRPr="008C1E5F">
              <w:t>2,957</w:t>
            </w:r>
          </w:p>
        </w:tc>
        <w:tc>
          <w:tcPr>
            <w:tcW w:w="1255" w:type="dxa"/>
          </w:tcPr>
          <w:p w14:paraId="5D18A427" w14:textId="77777777" w:rsidR="00C60C82" w:rsidRPr="008C1E5F" w:rsidRDefault="00C60C82" w:rsidP="0015336A">
            <w:pPr>
              <w:pStyle w:val="TableTextCentered"/>
              <w:rPr>
                <w:szCs w:val="20"/>
              </w:rPr>
            </w:pPr>
            <w:r w:rsidRPr="008C1E5F">
              <w:t>6.7</w:t>
            </w:r>
          </w:p>
        </w:tc>
        <w:tc>
          <w:tcPr>
            <w:tcW w:w="1254" w:type="dxa"/>
          </w:tcPr>
          <w:p w14:paraId="155E6003" w14:textId="77777777" w:rsidR="00C60C82" w:rsidRPr="008C1E5F" w:rsidRDefault="00C60C82" w:rsidP="0015336A">
            <w:pPr>
              <w:pStyle w:val="TableTextCentered"/>
              <w:rPr>
                <w:szCs w:val="20"/>
              </w:rPr>
            </w:pPr>
            <w:r w:rsidRPr="008C1E5F">
              <w:t>1.3</w:t>
            </w:r>
          </w:p>
        </w:tc>
        <w:tc>
          <w:tcPr>
            <w:tcW w:w="1255" w:type="dxa"/>
          </w:tcPr>
          <w:p w14:paraId="6095FF85" w14:textId="77777777" w:rsidR="00C60C82" w:rsidRPr="008C1E5F" w:rsidRDefault="00C60C82" w:rsidP="0015336A">
            <w:pPr>
              <w:pStyle w:val="TableTextCentered"/>
              <w:rPr>
                <w:szCs w:val="20"/>
              </w:rPr>
            </w:pPr>
            <w:r w:rsidRPr="008C1E5F">
              <w:t>1.9</w:t>
            </w:r>
          </w:p>
        </w:tc>
        <w:tc>
          <w:tcPr>
            <w:tcW w:w="1255" w:type="dxa"/>
          </w:tcPr>
          <w:p w14:paraId="75788680" w14:textId="77777777" w:rsidR="00C60C82" w:rsidRPr="008C1E5F" w:rsidRDefault="00C60C82" w:rsidP="0015336A">
            <w:pPr>
              <w:pStyle w:val="TableTextCentered"/>
              <w:rPr>
                <w:szCs w:val="20"/>
              </w:rPr>
            </w:pPr>
            <w:r w:rsidRPr="008C1E5F">
              <w:t>2.6</w:t>
            </w:r>
          </w:p>
        </w:tc>
      </w:tr>
      <w:tr w:rsidR="00C60C82" w:rsidRPr="008C1E5F" w14:paraId="46E1FBAE" w14:textId="77777777" w:rsidTr="0015336A">
        <w:tc>
          <w:tcPr>
            <w:tcW w:w="3052" w:type="dxa"/>
          </w:tcPr>
          <w:p w14:paraId="6DBA3172" w14:textId="77777777" w:rsidR="00C60C82" w:rsidRPr="008C1E5F" w:rsidRDefault="00C60C82" w:rsidP="0015336A">
            <w:pPr>
              <w:pStyle w:val="TableText"/>
            </w:pPr>
            <w:r w:rsidRPr="008C1E5F">
              <w:t>Students w/disabilities</w:t>
            </w:r>
          </w:p>
        </w:tc>
        <w:tc>
          <w:tcPr>
            <w:tcW w:w="1254" w:type="dxa"/>
          </w:tcPr>
          <w:p w14:paraId="1B07CD44" w14:textId="77777777" w:rsidR="00C60C82" w:rsidRPr="008C1E5F" w:rsidRDefault="00C60C82" w:rsidP="0015336A">
            <w:pPr>
              <w:pStyle w:val="TableTextCentered"/>
              <w:rPr>
                <w:szCs w:val="20"/>
              </w:rPr>
            </w:pPr>
            <w:r w:rsidRPr="008C1E5F">
              <w:t>2,975</w:t>
            </w:r>
          </w:p>
        </w:tc>
        <w:tc>
          <w:tcPr>
            <w:tcW w:w="1255" w:type="dxa"/>
          </w:tcPr>
          <w:p w14:paraId="155A5E15" w14:textId="77777777" w:rsidR="00C60C82" w:rsidRPr="008C1E5F" w:rsidRDefault="00C60C82" w:rsidP="0015336A">
            <w:pPr>
              <w:pStyle w:val="TableTextCentered"/>
              <w:rPr>
                <w:szCs w:val="20"/>
              </w:rPr>
            </w:pPr>
            <w:r w:rsidRPr="008C1E5F">
              <w:t>14.1</w:t>
            </w:r>
          </w:p>
        </w:tc>
        <w:tc>
          <w:tcPr>
            <w:tcW w:w="1254" w:type="dxa"/>
          </w:tcPr>
          <w:p w14:paraId="46D7FDD5" w14:textId="77777777" w:rsidR="00C60C82" w:rsidRPr="008C1E5F" w:rsidRDefault="00C60C82" w:rsidP="0015336A">
            <w:pPr>
              <w:pStyle w:val="TableTextCentered"/>
              <w:rPr>
                <w:szCs w:val="20"/>
              </w:rPr>
            </w:pPr>
            <w:r w:rsidRPr="008C1E5F">
              <w:t>3.7</w:t>
            </w:r>
          </w:p>
        </w:tc>
        <w:tc>
          <w:tcPr>
            <w:tcW w:w="1255" w:type="dxa"/>
          </w:tcPr>
          <w:p w14:paraId="6731A2AD" w14:textId="77777777" w:rsidR="00C60C82" w:rsidRPr="008C1E5F" w:rsidRDefault="00C60C82" w:rsidP="0015336A">
            <w:pPr>
              <w:pStyle w:val="TableTextCentered"/>
              <w:rPr>
                <w:szCs w:val="20"/>
              </w:rPr>
            </w:pPr>
            <w:r w:rsidRPr="008C1E5F">
              <w:t>4.8</w:t>
            </w:r>
          </w:p>
        </w:tc>
        <w:tc>
          <w:tcPr>
            <w:tcW w:w="1255" w:type="dxa"/>
          </w:tcPr>
          <w:p w14:paraId="763ABFEE" w14:textId="77777777" w:rsidR="00C60C82" w:rsidRPr="008C1E5F" w:rsidRDefault="00C60C82" w:rsidP="0015336A">
            <w:pPr>
              <w:pStyle w:val="TableTextCentered"/>
              <w:rPr>
                <w:szCs w:val="20"/>
              </w:rPr>
            </w:pPr>
            <w:r w:rsidRPr="008C1E5F">
              <w:t>4.5</w:t>
            </w:r>
          </w:p>
        </w:tc>
      </w:tr>
    </w:tbl>
    <w:p w14:paraId="6681238A" w14:textId="77777777" w:rsidR="00C60C82" w:rsidRPr="008C1E5F" w:rsidRDefault="00C60C82">
      <w:pPr>
        <w:spacing w:line="240" w:lineRule="auto"/>
        <w:rPr>
          <w:rFonts w:ascii="Franklin Gothic Book" w:hAnsi="Franklin Gothic Book"/>
          <w:sz w:val="20"/>
          <w:szCs w:val="20"/>
        </w:rPr>
      </w:pPr>
    </w:p>
    <w:p w14:paraId="033D6377" w14:textId="77777777" w:rsidR="00C60C82" w:rsidRPr="008C1E5F" w:rsidRDefault="00C60C82">
      <w:pPr>
        <w:spacing w:line="240" w:lineRule="auto"/>
        <w:rPr>
          <w:rFonts w:ascii="Franklin Gothic Book" w:hAnsi="Franklin Gothic Book"/>
          <w:sz w:val="20"/>
          <w:szCs w:val="20"/>
        </w:rPr>
      </w:pPr>
      <w:bookmarkStart w:id="300" w:name="_Hlk138323870"/>
    </w:p>
    <w:p w14:paraId="651D8925" w14:textId="77777777" w:rsidR="00C60C82" w:rsidRPr="008C1E5F" w:rsidRDefault="00C60C82">
      <w:pPr>
        <w:spacing w:line="240" w:lineRule="auto"/>
        <w:rPr>
          <w:rFonts w:ascii="Franklin Gothic Book" w:hAnsi="Franklin Gothic Book"/>
          <w:sz w:val="20"/>
          <w:szCs w:val="20"/>
        </w:rPr>
      </w:pPr>
      <w:r w:rsidRPr="008C1E5F">
        <w:rPr>
          <w:rFonts w:ascii="Franklin Gothic Book" w:hAnsi="Franklin Gothic Book"/>
          <w:sz w:val="20"/>
          <w:szCs w:val="20"/>
        </w:rPr>
        <w:br w:type="page"/>
      </w:r>
    </w:p>
    <w:p w14:paraId="18F9A837" w14:textId="77777777" w:rsidR="00C60C82" w:rsidRPr="008C1E5F" w:rsidRDefault="00C60C82" w:rsidP="00305BFA">
      <w:pPr>
        <w:pStyle w:val="TableETitles"/>
        <w:spacing w:before="240" w:after="60"/>
      </w:pPr>
      <w:bookmarkStart w:id="301" w:name="_Toc192148881"/>
      <w:bookmarkStart w:id="302" w:name="_Toc195024289"/>
      <w:r w:rsidRPr="008C1E5F">
        <w:lastRenderedPageBreak/>
        <w:t>Table E21. Advanced Coursework Completion Rates by Student Group, 2022-2024</w:t>
      </w:r>
      <w:bookmarkEnd w:id="301"/>
      <w:bookmarkEnd w:id="302"/>
    </w:p>
    <w:tbl>
      <w:tblPr>
        <w:tblStyle w:val="MSVTable1"/>
        <w:tblW w:w="5000" w:type="pct"/>
        <w:tblLook w:val="04A0" w:firstRow="1" w:lastRow="0" w:firstColumn="1" w:lastColumn="0" w:noHBand="0" w:noVBand="1"/>
      </w:tblPr>
      <w:tblGrid>
        <w:gridCol w:w="3049"/>
        <w:gridCol w:w="1259"/>
        <w:gridCol w:w="1259"/>
        <w:gridCol w:w="1259"/>
        <w:gridCol w:w="1259"/>
        <w:gridCol w:w="1259"/>
      </w:tblGrid>
      <w:tr w:rsidR="00C60C82" w:rsidRPr="008C1E5F" w14:paraId="2967FF22" w14:textId="77777777" w:rsidTr="0015336A">
        <w:trPr>
          <w:cnfStyle w:val="100000000000" w:firstRow="1" w:lastRow="0" w:firstColumn="0" w:lastColumn="0" w:oddVBand="0" w:evenVBand="0" w:oddHBand="0" w:evenHBand="0" w:firstRowFirstColumn="0" w:firstRowLastColumn="0" w:lastRowFirstColumn="0" w:lastRowLastColumn="0"/>
        </w:trPr>
        <w:tc>
          <w:tcPr>
            <w:tcW w:w="3052" w:type="dxa"/>
            <w:vAlign w:val="center"/>
          </w:tcPr>
          <w:p w14:paraId="3CB713FB" w14:textId="77777777" w:rsidR="00C60C82" w:rsidRPr="008C1E5F" w:rsidRDefault="00C60C82" w:rsidP="0015336A">
            <w:pPr>
              <w:pStyle w:val="TableColHeadingCenter"/>
            </w:pPr>
            <w:r w:rsidRPr="008C1E5F">
              <w:t>Group</w:t>
            </w:r>
          </w:p>
        </w:tc>
        <w:tc>
          <w:tcPr>
            <w:tcW w:w="1260" w:type="dxa"/>
            <w:vAlign w:val="center"/>
          </w:tcPr>
          <w:p w14:paraId="56866165" w14:textId="77777777" w:rsidR="00C60C82" w:rsidRPr="008C1E5F" w:rsidRDefault="00C60C82" w:rsidP="0015336A">
            <w:pPr>
              <w:pStyle w:val="TableColHeadingCenter"/>
            </w:pPr>
            <w:r w:rsidRPr="008C1E5F">
              <w:t># Included (2024)</w:t>
            </w:r>
          </w:p>
        </w:tc>
        <w:tc>
          <w:tcPr>
            <w:tcW w:w="1260" w:type="dxa"/>
            <w:vAlign w:val="center"/>
          </w:tcPr>
          <w:p w14:paraId="7C533807" w14:textId="77777777" w:rsidR="00C60C82" w:rsidRPr="008C1E5F" w:rsidRDefault="00C60C82" w:rsidP="0015336A">
            <w:pPr>
              <w:pStyle w:val="TableColHeadingCenter"/>
            </w:pPr>
            <w:r w:rsidRPr="008C1E5F">
              <w:t>2022</w:t>
            </w:r>
          </w:p>
        </w:tc>
        <w:tc>
          <w:tcPr>
            <w:tcW w:w="1260" w:type="dxa"/>
            <w:vAlign w:val="center"/>
          </w:tcPr>
          <w:p w14:paraId="1F996AAB" w14:textId="77777777" w:rsidR="00C60C82" w:rsidRPr="008C1E5F" w:rsidRDefault="00C60C82" w:rsidP="0015336A">
            <w:pPr>
              <w:pStyle w:val="TableColHeadingCenter"/>
            </w:pPr>
            <w:r w:rsidRPr="008C1E5F">
              <w:t>2023</w:t>
            </w:r>
          </w:p>
        </w:tc>
        <w:tc>
          <w:tcPr>
            <w:tcW w:w="1260" w:type="dxa"/>
            <w:vAlign w:val="center"/>
          </w:tcPr>
          <w:p w14:paraId="5B9DDAFE" w14:textId="77777777" w:rsidR="00C60C82" w:rsidRPr="008C1E5F" w:rsidRDefault="00C60C82" w:rsidP="0015336A">
            <w:pPr>
              <w:pStyle w:val="TableColHeadingCenter"/>
            </w:pPr>
            <w:r w:rsidRPr="008C1E5F">
              <w:t>2024</w:t>
            </w:r>
          </w:p>
        </w:tc>
        <w:tc>
          <w:tcPr>
            <w:tcW w:w="1260" w:type="dxa"/>
            <w:vAlign w:val="center"/>
          </w:tcPr>
          <w:p w14:paraId="51E716F1" w14:textId="77777777" w:rsidR="00C60C82" w:rsidRPr="008C1E5F" w:rsidRDefault="00C60C82" w:rsidP="0015336A">
            <w:pPr>
              <w:pStyle w:val="TableColHeadingCenter"/>
            </w:pPr>
            <w:r w:rsidRPr="008C1E5F">
              <w:t>State (2024)</w:t>
            </w:r>
          </w:p>
        </w:tc>
      </w:tr>
      <w:tr w:rsidR="00C60C82" w:rsidRPr="008C1E5F" w14:paraId="166D6482" w14:textId="77777777" w:rsidTr="0015336A">
        <w:trPr>
          <w:cnfStyle w:val="000000100000" w:firstRow="0" w:lastRow="0" w:firstColumn="0" w:lastColumn="0" w:oddVBand="0" w:evenVBand="0" w:oddHBand="1" w:evenHBand="0" w:firstRowFirstColumn="0" w:firstRowLastColumn="0" w:lastRowFirstColumn="0" w:lastRowLastColumn="0"/>
        </w:trPr>
        <w:tc>
          <w:tcPr>
            <w:tcW w:w="3052" w:type="dxa"/>
          </w:tcPr>
          <w:p w14:paraId="15B37E31" w14:textId="77777777" w:rsidR="00C60C82" w:rsidRPr="008C1E5F" w:rsidRDefault="00C60C82" w:rsidP="0015336A">
            <w:pPr>
              <w:pStyle w:val="TableText"/>
            </w:pPr>
            <w:r w:rsidRPr="008C1E5F">
              <w:t>All</w:t>
            </w:r>
          </w:p>
        </w:tc>
        <w:tc>
          <w:tcPr>
            <w:tcW w:w="1260" w:type="dxa"/>
            <w:vAlign w:val="center"/>
          </w:tcPr>
          <w:p w14:paraId="21FCD22E" w14:textId="77777777" w:rsidR="00C60C82" w:rsidRPr="008C1E5F" w:rsidRDefault="00C60C82" w:rsidP="0015336A">
            <w:pPr>
              <w:pStyle w:val="TableTextCentered"/>
            </w:pPr>
            <w:r w:rsidRPr="008C1E5F">
              <w:t>1,228</w:t>
            </w:r>
          </w:p>
        </w:tc>
        <w:tc>
          <w:tcPr>
            <w:tcW w:w="1260" w:type="dxa"/>
            <w:vAlign w:val="center"/>
          </w:tcPr>
          <w:p w14:paraId="7B17E0E9" w14:textId="77777777" w:rsidR="00C60C82" w:rsidRPr="008C1E5F" w:rsidRDefault="00C60C82" w:rsidP="0015336A">
            <w:pPr>
              <w:pStyle w:val="TableTextCentered"/>
            </w:pPr>
            <w:r w:rsidRPr="008C1E5F">
              <w:t>51.3</w:t>
            </w:r>
          </w:p>
        </w:tc>
        <w:tc>
          <w:tcPr>
            <w:tcW w:w="1260" w:type="dxa"/>
            <w:vAlign w:val="center"/>
          </w:tcPr>
          <w:p w14:paraId="5E1C3F4E" w14:textId="77777777" w:rsidR="00C60C82" w:rsidRPr="008C1E5F" w:rsidRDefault="00C60C82" w:rsidP="0015336A">
            <w:pPr>
              <w:pStyle w:val="TableTextCentered"/>
            </w:pPr>
            <w:r w:rsidRPr="008C1E5F">
              <w:t>63.0</w:t>
            </w:r>
          </w:p>
        </w:tc>
        <w:tc>
          <w:tcPr>
            <w:tcW w:w="1260" w:type="dxa"/>
            <w:vAlign w:val="center"/>
          </w:tcPr>
          <w:p w14:paraId="7CB58C7E" w14:textId="77777777" w:rsidR="00C60C82" w:rsidRPr="008C1E5F" w:rsidRDefault="00C60C82" w:rsidP="0015336A">
            <w:pPr>
              <w:pStyle w:val="TableTextCentered"/>
            </w:pPr>
            <w:r w:rsidRPr="008C1E5F">
              <w:t>56.8</w:t>
            </w:r>
          </w:p>
        </w:tc>
        <w:tc>
          <w:tcPr>
            <w:tcW w:w="1260" w:type="dxa"/>
            <w:vAlign w:val="center"/>
          </w:tcPr>
          <w:p w14:paraId="5BDBB2F6" w14:textId="77777777" w:rsidR="00C60C82" w:rsidRPr="008C1E5F" w:rsidRDefault="00C60C82" w:rsidP="0015336A">
            <w:pPr>
              <w:pStyle w:val="TableTextCentered"/>
            </w:pPr>
            <w:r w:rsidRPr="008C1E5F">
              <w:t>67.2</w:t>
            </w:r>
          </w:p>
        </w:tc>
      </w:tr>
      <w:tr w:rsidR="00C60C82" w:rsidRPr="008C1E5F" w14:paraId="76BB11BC" w14:textId="77777777" w:rsidTr="0015336A">
        <w:tc>
          <w:tcPr>
            <w:tcW w:w="3052" w:type="dxa"/>
          </w:tcPr>
          <w:p w14:paraId="7DB57A3B" w14:textId="77777777" w:rsidR="00C60C82" w:rsidRPr="008C1E5F" w:rsidRDefault="00C60C82" w:rsidP="0015336A">
            <w:pPr>
              <w:pStyle w:val="TableText"/>
            </w:pPr>
            <w:r w:rsidRPr="008C1E5F">
              <w:t>African American/Black</w:t>
            </w:r>
          </w:p>
        </w:tc>
        <w:tc>
          <w:tcPr>
            <w:tcW w:w="1260" w:type="dxa"/>
            <w:vAlign w:val="center"/>
          </w:tcPr>
          <w:p w14:paraId="361F33AD" w14:textId="77777777" w:rsidR="00C60C82" w:rsidRPr="008C1E5F" w:rsidRDefault="00C60C82" w:rsidP="0015336A">
            <w:pPr>
              <w:pStyle w:val="TableTextCentered"/>
            </w:pPr>
            <w:r w:rsidRPr="008C1E5F">
              <w:t>156</w:t>
            </w:r>
          </w:p>
        </w:tc>
        <w:tc>
          <w:tcPr>
            <w:tcW w:w="1260" w:type="dxa"/>
            <w:vAlign w:val="center"/>
          </w:tcPr>
          <w:p w14:paraId="660E52A1" w14:textId="77777777" w:rsidR="00C60C82" w:rsidRPr="008C1E5F" w:rsidRDefault="00C60C82" w:rsidP="0015336A">
            <w:pPr>
              <w:pStyle w:val="TableTextCentered"/>
            </w:pPr>
            <w:r w:rsidRPr="008C1E5F">
              <w:t>54.7</w:t>
            </w:r>
          </w:p>
        </w:tc>
        <w:tc>
          <w:tcPr>
            <w:tcW w:w="1260" w:type="dxa"/>
            <w:vAlign w:val="center"/>
          </w:tcPr>
          <w:p w14:paraId="4E84E213" w14:textId="77777777" w:rsidR="00C60C82" w:rsidRPr="008C1E5F" w:rsidRDefault="00C60C82" w:rsidP="0015336A">
            <w:pPr>
              <w:pStyle w:val="TableTextCentered"/>
            </w:pPr>
            <w:r w:rsidRPr="008C1E5F">
              <w:t>58.5</w:t>
            </w:r>
          </w:p>
        </w:tc>
        <w:tc>
          <w:tcPr>
            <w:tcW w:w="1260" w:type="dxa"/>
            <w:vAlign w:val="center"/>
          </w:tcPr>
          <w:p w14:paraId="5AE1C8D8" w14:textId="77777777" w:rsidR="00C60C82" w:rsidRPr="008C1E5F" w:rsidRDefault="00C60C82" w:rsidP="0015336A">
            <w:pPr>
              <w:pStyle w:val="TableTextCentered"/>
            </w:pPr>
            <w:r w:rsidRPr="008C1E5F">
              <w:t>50.6</w:t>
            </w:r>
          </w:p>
        </w:tc>
        <w:tc>
          <w:tcPr>
            <w:tcW w:w="1260" w:type="dxa"/>
            <w:vAlign w:val="center"/>
          </w:tcPr>
          <w:p w14:paraId="22E2ED6C" w14:textId="77777777" w:rsidR="00C60C82" w:rsidRPr="008C1E5F" w:rsidRDefault="00C60C82" w:rsidP="0015336A">
            <w:pPr>
              <w:pStyle w:val="TableTextCentered"/>
            </w:pPr>
            <w:r w:rsidRPr="008C1E5F">
              <w:t>58.2</w:t>
            </w:r>
          </w:p>
        </w:tc>
      </w:tr>
      <w:tr w:rsidR="00C60C82" w:rsidRPr="008C1E5F" w14:paraId="3A353BEB" w14:textId="77777777" w:rsidTr="0015336A">
        <w:trPr>
          <w:cnfStyle w:val="000000100000" w:firstRow="0" w:lastRow="0" w:firstColumn="0" w:lastColumn="0" w:oddVBand="0" w:evenVBand="0" w:oddHBand="1" w:evenHBand="0" w:firstRowFirstColumn="0" w:firstRowLastColumn="0" w:lastRowFirstColumn="0" w:lastRowLastColumn="0"/>
        </w:trPr>
        <w:tc>
          <w:tcPr>
            <w:tcW w:w="3052" w:type="dxa"/>
          </w:tcPr>
          <w:p w14:paraId="01A460C5" w14:textId="77777777" w:rsidR="00C60C82" w:rsidRPr="008C1E5F" w:rsidRDefault="00C60C82" w:rsidP="0015336A">
            <w:pPr>
              <w:pStyle w:val="TableText"/>
            </w:pPr>
            <w:r w:rsidRPr="008C1E5F">
              <w:t>Asian</w:t>
            </w:r>
          </w:p>
        </w:tc>
        <w:tc>
          <w:tcPr>
            <w:tcW w:w="1260" w:type="dxa"/>
            <w:vAlign w:val="center"/>
          </w:tcPr>
          <w:p w14:paraId="1A2128A1" w14:textId="77777777" w:rsidR="00C60C82" w:rsidRPr="008C1E5F" w:rsidRDefault="00C60C82" w:rsidP="0015336A">
            <w:pPr>
              <w:pStyle w:val="TableTextCentered"/>
            </w:pPr>
            <w:r w:rsidRPr="008C1E5F">
              <w:t>56</w:t>
            </w:r>
          </w:p>
        </w:tc>
        <w:tc>
          <w:tcPr>
            <w:tcW w:w="1260" w:type="dxa"/>
            <w:vAlign w:val="center"/>
          </w:tcPr>
          <w:p w14:paraId="052071C6" w14:textId="77777777" w:rsidR="00C60C82" w:rsidRPr="008C1E5F" w:rsidRDefault="00C60C82" w:rsidP="0015336A">
            <w:pPr>
              <w:pStyle w:val="TableTextCentered"/>
            </w:pPr>
            <w:r w:rsidRPr="008C1E5F">
              <w:t>67.8</w:t>
            </w:r>
          </w:p>
        </w:tc>
        <w:tc>
          <w:tcPr>
            <w:tcW w:w="1260" w:type="dxa"/>
            <w:vAlign w:val="center"/>
          </w:tcPr>
          <w:p w14:paraId="48B96A45" w14:textId="77777777" w:rsidR="00C60C82" w:rsidRPr="008C1E5F" w:rsidRDefault="00C60C82" w:rsidP="0015336A">
            <w:pPr>
              <w:pStyle w:val="TableTextCentered"/>
            </w:pPr>
            <w:r w:rsidRPr="008C1E5F">
              <w:t>77.0</w:t>
            </w:r>
          </w:p>
        </w:tc>
        <w:tc>
          <w:tcPr>
            <w:tcW w:w="1260" w:type="dxa"/>
            <w:vAlign w:val="center"/>
          </w:tcPr>
          <w:p w14:paraId="0C2EB724" w14:textId="77777777" w:rsidR="00C60C82" w:rsidRPr="008C1E5F" w:rsidRDefault="00C60C82" w:rsidP="0015336A">
            <w:pPr>
              <w:pStyle w:val="TableTextCentered"/>
            </w:pPr>
            <w:r w:rsidRPr="008C1E5F">
              <w:t>67.9</w:t>
            </w:r>
          </w:p>
        </w:tc>
        <w:tc>
          <w:tcPr>
            <w:tcW w:w="1260" w:type="dxa"/>
            <w:vAlign w:val="center"/>
          </w:tcPr>
          <w:p w14:paraId="7734A89B" w14:textId="77777777" w:rsidR="00C60C82" w:rsidRPr="008C1E5F" w:rsidRDefault="00C60C82" w:rsidP="0015336A">
            <w:pPr>
              <w:pStyle w:val="TableTextCentered"/>
            </w:pPr>
            <w:r w:rsidRPr="008C1E5F">
              <w:t>86.4</w:t>
            </w:r>
          </w:p>
        </w:tc>
      </w:tr>
      <w:tr w:rsidR="00C60C82" w:rsidRPr="008C1E5F" w14:paraId="7A065E38" w14:textId="77777777" w:rsidTr="0015336A">
        <w:tc>
          <w:tcPr>
            <w:tcW w:w="3052" w:type="dxa"/>
          </w:tcPr>
          <w:p w14:paraId="274878B8" w14:textId="77777777" w:rsidR="00C60C82" w:rsidRPr="008C1E5F" w:rsidRDefault="00C60C82" w:rsidP="0015336A">
            <w:pPr>
              <w:pStyle w:val="TableText"/>
            </w:pPr>
            <w:r w:rsidRPr="008C1E5F">
              <w:t>Hispanic/Latino</w:t>
            </w:r>
          </w:p>
        </w:tc>
        <w:tc>
          <w:tcPr>
            <w:tcW w:w="1260" w:type="dxa"/>
            <w:vAlign w:val="center"/>
          </w:tcPr>
          <w:p w14:paraId="224BF639" w14:textId="77777777" w:rsidR="00C60C82" w:rsidRPr="008C1E5F" w:rsidRDefault="00C60C82" w:rsidP="0015336A">
            <w:pPr>
              <w:pStyle w:val="TableTextCentered"/>
            </w:pPr>
            <w:r w:rsidRPr="008C1E5F">
              <w:t>388</w:t>
            </w:r>
          </w:p>
        </w:tc>
        <w:tc>
          <w:tcPr>
            <w:tcW w:w="1260" w:type="dxa"/>
            <w:vAlign w:val="center"/>
          </w:tcPr>
          <w:p w14:paraId="5731B834" w14:textId="77777777" w:rsidR="00C60C82" w:rsidRPr="008C1E5F" w:rsidRDefault="00C60C82" w:rsidP="0015336A">
            <w:pPr>
              <w:pStyle w:val="TableTextCentered"/>
            </w:pPr>
            <w:r w:rsidRPr="008C1E5F">
              <w:t>45.0</w:t>
            </w:r>
          </w:p>
        </w:tc>
        <w:tc>
          <w:tcPr>
            <w:tcW w:w="1260" w:type="dxa"/>
            <w:vAlign w:val="center"/>
          </w:tcPr>
          <w:p w14:paraId="29749861" w14:textId="77777777" w:rsidR="00C60C82" w:rsidRPr="008C1E5F" w:rsidRDefault="00C60C82" w:rsidP="0015336A">
            <w:pPr>
              <w:pStyle w:val="TableTextCentered"/>
            </w:pPr>
            <w:r w:rsidRPr="008C1E5F">
              <w:t>58.7</w:t>
            </w:r>
          </w:p>
        </w:tc>
        <w:tc>
          <w:tcPr>
            <w:tcW w:w="1260" w:type="dxa"/>
            <w:vAlign w:val="center"/>
          </w:tcPr>
          <w:p w14:paraId="790693E2" w14:textId="77777777" w:rsidR="00C60C82" w:rsidRPr="008C1E5F" w:rsidRDefault="00C60C82" w:rsidP="0015336A">
            <w:pPr>
              <w:pStyle w:val="TableTextCentered"/>
            </w:pPr>
            <w:r w:rsidRPr="008C1E5F">
              <w:t>49.5</w:t>
            </w:r>
          </w:p>
        </w:tc>
        <w:tc>
          <w:tcPr>
            <w:tcW w:w="1260" w:type="dxa"/>
            <w:vAlign w:val="center"/>
          </w:tcPr>
          <w:p w14:paraId="0C642C5B" w14:textId="77777777" w:rsidR="00C60C82" w:rsidRPr="008C1E5F" w:rsidRDefault="00C60C82" w:rsidP="0015336A">
            <w:pPr>
              <w:pStyle w:val="TableTextCentered"/>
            </w:pPr>
            <w:r w:rsidRPr="008C1E5F">
              <w:t>53.7</w:t>
            </w:r>
          </w:p>
        </w:tc>
      </w:tr>
      <w:tr w:rsidR="00C60C82" w:rsidRPr="008C1E5F" w14:paraId="53C71F76" w14:textId="77777777" w:rsidTr="0015336A">
        <w:trPr>
          <w:cnfStyle w:val="000000100000" w:firstRow="0" w:lastRow="0" w:firstColumn="0" w:lastColumn="0" w:oddVBand="0" w:evenVBand="0" w:oddHBand="1" w:evenHBand="0" w:firstRowFirstColumn="0" w:firstRowLastColumn="0" w:lastRowFirstColumn="0" w:lastRowLastColumn="0"/>
        </w:trPr>
        <w:tc>
          <w:tcPr>
            <w:tcW w:w="3052" w:type="dxa"/>
          </w:tcPr>
          <w:p w14:paraId="61598F44" w14:textId="77777777" w:rsidR="00C60C82" w:rsidRPr="008C1E5F" w:rsidRDefault="00C60C82" w:rsidP="0015336A">
            <w:pPr>
              <w:pStyle w:val="TableText"/>
            </w:pPr>
            <w:r w:rsidRPr="008C1E5F">
              <w:rPr>
                <w:rFonts w:cstheme="minorHAnsi"/>
              </w:rPr>
              <w:t>Multi-Race, non-Hispanic/Latino</w:t>
            </w:r>
          </w:p>
        </w:tc>
        <w:tc>
          <w:tcPr>
            <w:tcW w:w="1260" w:type="dxa"/>
            <w:vAlign w:val="center"/>
          </w:tcPr>
          <w:p w14:paraId="43DA0689" w14:textId="77777777" w:rsidR="00C60C82" w:rsidRPr="008C1E5F" w:rsidRDefault="00C60C82" w:rsidP="0015336A">
            <w:pPr>
              <w:pStyle w:val="TableTextCentered"/>
            </w:pPr>
            <w:r w:rsidRPr="008C1E5F">
              <w:t>93</w:t>
            </w:r>
          </w:p>
        </w:tc>
        <w:tc>
          <w:tcPr>
            <w:tcW w:w="1260" w:type="dxa"/>
            <w:vAlign w:val="center"/>
          </w:tcPr>
          <w:p w14:paraId="1E397FA7" w14:textId="77777777" w:rsidR="00C60C82" w:rsidRPr="008C1E5F" w:rsidRDefault="00C60C82" w:rsidP="0015336A">
            <w:pPr>
              <w:pStyle w:val="TableTextCentered"/>
            </w:pPr>
            <w:r w:rsidRPr="008C1E5F">
              <w:t>55.6</w:t>
            </w:r>
          </w:p>
        </w:tc>
        <w:tc>
          <w:tcPr>
            <w:tcW w:w="1260" w:type="dxa"/>
            <w:vAlign w:val="center"/>
          </w:tcPr>
          <w:p w14:paraId="1EE2E0E4" w14:textId="77777777" w:rsidR="00C60C82" w:rsidRPr="008C1E5F" w:rsidRDefault="00C60C82" w:rsidP="0015336A">
            <w:pPr>
              <w:pStyle w:val="TableTextCentered"/>
            </w:pPr>
            <w:r w:rsidRPr="008C1E5F">
              <w:t>68.0</w:t>
            </w:r>
          </w:p>
        </w:tc>
        <w:tc>
          <w:tcPr>
            <w:tcW w:w="1260" w:type="dxa"/>
            <w:vAlign w:val="center"/>
          </w:tcPr>
          <w:p w14:paraId="00DA5FA7" w14:textId="77777777" w:rsidR="00C60C82" w:rsidRPr="008C1E5F" w:rsidRDefault="00C60C82" w:rsidP="0015336A">
            <w:pPr>
              <w:pStyle w:val="TableTextCentered"/>
            </w:pPr>
            <w:r w:rsidRPr="008C1E5F">
              <w:t>61.3</w:t>
            </w:r>
          </w:p>
        </w:tc>
        <w:tc>
          <w:tcPr>
            <w:tcW w:w="1260" w:type="dxa"/>
            <w:vAlign w:val="center"/>
          </w:tcPr>
          <w:p w14:paraId="54942E75" w14:textId="77777777" w:rsidR="00C60C82" w:rsidRPr="008C1E5F" w:rsidRDefault="00C60C82" w:rsidP="0015336A">
            <w:pPr>
              <w:pStyle w:val="TableTextCentered"/>
            </w:pPr>
            <w:r w:rsidRPr="008C1E5F">
              <w:t>68.4</w:t>
            </w:r>
          </w:p>
        </w:tc>
      </w:tr>
      <w:tr w:rsidR="00C60C82" w:rsidRPr="008C1E5F" w14:paraId="580057F3" w14:textId="77777777" w:rsidTr="0015336A">
        <w:tc>
          <w:tcPr>
            <w:tcW w:w="3052" w:type="dxa"/>
          </w:tcPr>
          <w:p w14:paraId="190ED8D2" w14:textId="77777777" w:rsidR="00C60C82" w:rsidRPr="008C1E5F" w:rsidRDefault="00C60C82" w:rsidP="0015336A">
            <w:pPr>
              <w:pStyle w:val="TableText"/>
            </w:pPr>
            <w:r w:rsidRPr="008C1E5F">
              <w:t>Native American</w:t>
            </w:r>
          </w:p>
        </w:tc>
        <w:tc>
          <w:tcPr>
            <w:tcW w:w="1260" w:type="dxa"/>
            <w:vAlign w:val="center"/>
          </w:tcPr>
          <w:p w14:paraId="69A0B9CB" w14:textId="77777777" w:rsidR="00C60C82" w:rsidRPr="008C1E5F" w:rsidRDefault="00C60C82" w:rsidP="0015336A">
            <w:pPr>
              <w:pStyle w:val="TableTextCentered"/>
            </w:pPr>
            <w:r w:rsidRPr="008C1E5F">
              <w:t>3</w:t>
            </w:r>
          </w:p>
        </w:tc>
        <w:tc>
          <w:tcPr>
            <w:tcW w:w="1260" w:type="dxa"/>
            <w:vAlign w:val="center"/>
          </w:tcPr>
          <w:p w14:paraId="560481DA" w14:textId="77777777" w:rsidR="00C60C82" w:rsidRPr="008C1E5F" w:rsidRDefault="00C60C82" w:rsidP="0015336A">
            <w:pPr>
              <w:pStyle w:val="TableTextCentered"/>
            </w:pPr>
            <w:r w:rsidRPr="008C1E5F">
              <w:t>--</w:t>
            </w:r>
          </w:p>
        </w:tc>
        <w:tc>
          <w:tcPr>
            <w:tcW w:w="1260" w:type="dxa"/>
            <w:vAlign w:val="center"/>
          </w:tcPr>
          <w:p w14:paraId="05F671A0" w14:textId="77777777" w:rsidR="00C60C82" w:rsidRPr="008C1E5F" w:rsidRDefault="00C60C82" w:rsidP="0015336A">
            <w:pPr>
              <w:pStyle w:val="TableTextCentered"/>
            </w:pPr>
            <w:r w:rsidRPr="008C1E5F">
              <w:t>--</w:t>
            </w:r>
          </w:p>
        </w:tc>
        <w:tc>
          <w:tcPr>
            <w:tcW w:w="1260" w:type="dxa"/>
            <w:vAlign w:val="center"/>
          </w:tcPr>
          <w:p w14:paraId="5A71AA0A" w14:textId="77777777" w:rsidR="00C60C82" w:rsidRPr="008C1E5F" w:rsidRDefault="00C60C82" w:rsidP="0015336A">
            <w:pPr>
              <w:pStyle w:val="TableTextCentered"/>
            </w:pPr>
            <w:r w:rsidRPr="008C1E5F">
              <w:t>--</w:t>
            </w:r>
          </w:p>
        </w:tc>
        <w:tc>
          <w:tcPr>
            <w:tcW w:w="1260" w:type="dxa"/>
            <w:vAlign w:val="center"/>
          </w:tcPr>
          <w:p w14:paraId="55953432" w14:textId="77777777" w:rsidR="00C60C82" w:rsidRPr="008C1E5F" w:rsidRDefault="00C60C82" w:rsidP="0015336A">
            <w:pPr>
              <w:pStyle w:val="TableTextCentered"/>
            </w:pPr>
            <w:r w:rsidRPr="008C1E5F">
              <w:t>57.1</w:t>
            </w:r>
          </w:p>
        </w:tc>
      </w:tr>
      <w:tr w:rsidR="00C60C82" w:rsidRPr="008C1E5F" w14:paraId="2BD05CCF" w14:textId="77777777" w:rsidTr="0015336A">
        <w:trPr>
          <w:cnfStyle w:val="000000100000" w:firstRow="0" w:lastRow="0" w:firstColumn="0" w:lastColumn="0" w:oddVBand="0" w:evenVBand="0" w:oddHBand="1" w:evenHBand="0" w:firstRowFirstColumn="0" w:firstRowLastColumn="0" w:lastRowFirstColumn="0" w:lastRowLastColumn="0"/>
        </w:trPr>
        <w:tc>
          <w:tcPr>
            <w:tcW w:w="3052" w:type="dxa"/>
          </w:tcPr>
          <w:p w14:paraId="203AF3CD" w14:textId="77777777" w:rsidR="00C60C82" w:rsidRPr="008C1E5F" w:rsidRDefault="00C60C82" w:rsidP="0015336A">
            <w:pPr>
              <w:pStyle w:val="TableText"/>
            </w:pPr>
            <w:r w:rsidRPr="008C1E5F">
              <w:rPr>
                <w:rFonts w:eastAsia="Times New Roman"/>
                <w:spacing w:val="-4"/>
              </w:rPr>
              <w:t>Native Hawaiian, Pacific Islander</w:t>
            </w:r>
          </w:p>
        </w:tc>
        <w:tc>
          <w:tcPr>
            <w:tcW w:w="1260" w:type="dxa"/>
            <w:vAlign w:val="center"/>
          </w:tcPr>
          <w:p w14:paraId="10A7AFE1" w14:textId="77777777" w:rsidR="00C60C82" w:rsidRPr="008C1E5F" w:rsidRDefault="00C60C82" w:rsidP="0015336A">
            <w:pPr>
              <w:pStyle w:val="TableTextCentered"/>
            </w:pPr>
            <w:r w:rsidRPr="008C1E5F">
              <w:t>1</w:t>
            </w:r>
          </w:p>
        </w:tc>
        <w:tc>
          <w:tcPr>
            <w:tcW w:w="1260" w:type="dxa"/>
            <w:vAlign w:val="center"/>
          </w:tcPr>
          <w:p w14:paraId="0C130B41" w14:textId="77777777" w:rsidR="00C60C82" w:rsidRPr="008C1E5F" w:rsidRDefault="00C60C82" w:rsidP="0015336A">
            <w:pPr>
              <w:pStyle w:val="TableTextCentered"/>
            </w:pPr>
            <w:r w:rsidRPr="008C1E5F">
              <w:t>--</w:t>
            </w:r>
          </w:p>
        </w:tc>
        <w:tc>
          <w:tcPr>
            <w:tcW w:w="1260" w:type="dxa"/>
            <w:vAlign w:val="center"/>
          </w:tcPr>
          <w:p w14:paraId="51A37F26" w14:textId="77777777" w:rsidR="00C60C82" w:rsidRPr="008C1E5F" w:rsidRDefault="00C60C82" w:rsidP="0015336A">
            <w:pPr>
              <w:pStyle w:val="TableTextCentered"/>
            </w:pPr>
            <w:r w:rsidRPr="008C1E5F">
              <w:t>--</w:t>
            </w:r>
          </w:p>
        </w:tc>
        <w:tc>
          <w:tcPr>
            <w:tcW w:w="1260" w:type="dxa"/>
            <w:vAlign w:val="center"/>
          </w:tcPr>
          <w:p w14:paraId="0851BA09" w14:textId="77777777" w:rsidR="00C60C82" w:rsidRPr="008C1E5F" w:rsidRDefault="00C60C82" w:rsidP="0015336A">
            <w:pPr>
              <w:pStyle w:val="TableTextCentered"/>
            </w:pPr>
            <w:r w:rsidRPr="008C1E5F">
              <w:t>--</w:t>
            </w:r>
          </w:p>
        </w:tc>
        <w:tc>
          <w:tcPr>
            <w:tcW w:w="1260" w:type="dxa"/>
            <w:vAlign w:val="center"/>
          </w:tcPr>
          <w:p w14:paraId="425AADF5" w14:textId="77777777" w:rsidR="00C60C82" w:rsidRPr="008C1E5F" w:rsidRDefault="00C60C82" w:rsidP="0015336A">
            <w:pPr>
              <w:pStyle w:val="TableTextCentered"/>
            </w:pPr>
            <w:r w:rsidRPr="008C1E5F">
              <w:t>59.8</w:t>
            </w:r>
          </w:p>
        </w:tc>
      </w:tr>
      <w:tr w:rsidR="00C60C82" w:rsidRPr="008C1E5F" w14:paraId="48ABD2E0" w14:textId="77777777" w:rsidTr="0015336A">
        <w:tc>
          <w:tcPr>
            <w:tcW w:w="3052" w:type="dxa"/>
          </w:tcPr>
          <w:p w14:paraId="73852BA4" w14:textId="77777777" w:rsidR="00C60C82" w:rsidRPr="008C1E5F" w:rsidRDefault="00C60C82" w:rsidP="0015336A">
            <w:pPr>
              <w:pStyle w:val="TableText"/>
            </w:pPr>
            <w:r w:rsidRPr="008C1E5F">
              <w:t>White</w:t>
            </w:r>
          </w:p>
        </w:tc>
        <w:tc>
          <w:tcPr>
            <w:tcW w:w="1260" w:type="dxa"/>
            <w:vAlign w:val="center"/>
          </w:tcPr>
          <w:p w14:paraId="56E8267E" w14:textId="77777777" w:rsidR="00C60C82" w:rsidRPr="008C1E5F" w:rsidRDefault="00C60C82" w:rsidP="0015336A">
            <w:pPr>
              <w:pStyle w:val="TableTextCentered"/>
            </w:pPr>
            <w:r w:rsidRPr="008C1E5F">
              <w:t>531</w:t>
            </w:r>
          </w:p>
        </w:tc>
        <w:tc>
          <w:tcPr>
            <w:tcW w:w="1260" w:type="dxa"/>
            <w:vAlign w:val="center"/>
          </w:tcPr>
          <w:p w14:paraId="2319899D" w14:textId="77777777" w:rsidR="00C60C82" w:rsidRPr="008C1E5F" w:rsidRDefault="00C60C82" w:rsidP="0015336A">
            <w:pPr>
              <w:pStyle w:val="TableTextCentered"/>
            </w:pPr>
            <w:r w:rsidRPr="008C1E5F">
              <w:t>52.1</w:t>
            </w:r>
          </w:p>
        </w:tc>
        <w:tc>
          <w:tcPr>
            <w:tcW w:w="1260" w:type="dxa"/>
            <w:vAlign w:val="center"/>
          </w:tcPr>
          <w:p w14:paraId="25C11DB5" w14:textId="77777777" w:rsidR="00C60C82" w:rsidRPr="008C1E5F" w:rsidRDefault="00C60C82" w:rsidP="0015336A">
            <w:pPr>
              <w:pStyle w:val="TableTextCentered"/>
            </w:pPr>
            <w:r w:rsidRPr="008C1E5F">
              <w:t>64.8</w:t>
            </w:r>
          </w:p>
        </w:tc>
        <w:tc>
          <w:tcPr>
            <w:tcW w:w="1260" w:type="dxa"/>
            <w:vAlign w:val="center"/>
          </w:tcPr>
          <w:p w14:paraId="7C9D8224" w14:textId="77777777" w:rsidR="00C60C82" w:rsidRPr="008C1E5F" w:rsidRDefault="00C60C82" w:rsidP="0015336A">
            <w:pPr>
              <w:pStyle w:val="TableTextCentered"/>
            </w:pPr>
            <w:r w:rsidRPr="008C1E5F">
              <w:t>61.8</w:t>
            </w:r>
          </w:p>
        </w:tc>
        <w:tc>
          <w:tcPr>
            <w:tcW w:w="1260" w:type="dxa"/>
            <w:vAlign w:val="center"/>
          </w:tcPr>
          <w:p w14:paraId="419693AB" w14:textId="77777777" w:rsidR="00C60C82" w:rsidRPr="008C1E5F" w:rsidRDefault="00C60C82" w:rsidP="0015336A">
            <w:pPr>
              <w:pStyle w:val="TableTextCentered"/>
            </w:pPr>
            <w:r w:rsidRPr="008C1E5F">
              <w:t>71.9</w:t>
            </w:r>
          </w:p>
        </w:tc>
      </w:tr>
      <w:tr w:rsidR="00C60C82" w:rsidRPr="008C1E5F" w14:paraId="13C30C7F" w14:textId="77777777" w:rsidTr="0015336A">
        <w:trPr>
          <w:cnfStyle w:val="000000100000" w:firstRow="0" w:lastRow="0" w:firstColumn="0" w:lastColumn="0" w:oddVBand="0" w:evenVBand="0" w:oddHBand="1" w:evenHBand="0" w:firstRowFirstColumn="0" w:firstRowLastColumn="0" w:lastRowFirstColumn="0" w:lastRowLastColumn="0"/>
        </w:trPr>
        <w:tc>
          <w:tcPr>
            <w:tcW w:w="3052" w:type="dxa"/>
          </w:tcPr>
          <w:p w14:paraId="02C5A75B" w14:textId="77777777" w:rsidR="00C60C82" w:rsidRPr="008C1E5F" w:rsidRDefault="00C60C82" w:rsidP="0015336A">
            <w:pPr>
              <w:pStyle w:val="TableText"/>
            </w:pPr>
            <w:r w:rsidRPr="008C1E5F">
              <w:t>High needs</w:t>
            </w:r>
          </w:p>
        </w:tc>
        <w:tc>
          <w:tcPr>
            <w:tcW w:w="1260" w:type="dxa"/>
            <w:vAlign w:val="center"/>
          </w:tcPr>
          <w:p w14:paraId="73B20893" w14:textId="77777777" w:rsidR="00C60C82" w:rsidRPr="008C1E5F" w:rsidRDefault="00C60C82" w:rsidP="0015336A">
            <w:pPr>
              <w:pStyle w:val="TableTextCentered"/>
            </w:pPr>
            <w:r w:rsidRPr="008C1E5F">
              <w:t>970</w:t>
            </w:r>
          </w:p>
        </w:tc>
        <w:tc>
          <w:tcPr>
            <w:tcW w:w="1260" w:type="dxa"/>
            <w:vAlign w:val="center"/>
          </w:tcPr>
          <w:p w14:paraId="0FFFEA4A" w14:textId="77777777" w:rsidR="00C60C82" w:rsidRPr="008C1E5F" w:rsidRDefault="00C60C82" w:rsidP="0015336A">
            <w:pPr>
              <w:pStyle w:val="TableTextCentered"/>
            </w:pPr>
            <w:r w:rsidRPr="008C1E5F">
              <w:t>47.1</w:t>
            </w:r>
          </w:p>
        </w:tc>
        <w:tc>
          <w:tcPr>
            <w:tcW w:w="1260" w:type="dxa"/>
            <w:vAlign w:val="center"/>
          </w:tcPr>
          <w:p w14:paraId="67CBDF3D" w14:textId="77777777" w:rsidR="00C60C82" w:rsidRPr="008C1E5F" w:rsidRDefault="00C60C82" w:rsidP="0015336A">
            <w:pPr>
              <w:pStyle w:val="TableTextCentered"/>
            </w:pPr>
            <w:r w:rsidRPr="008C1E5F">
              <w:t>58.5</w:t>
            </w:r>
          </w:p>
        </w:tc>
        <w:tc>
          <w:tcPr>
            <w:tcW w:w="1260" w:type="dxa"/>
            <w:vAlign w:val="center"/>
          </w:tcPr>
          <w:p w14:paraId="13401682" w14:textId="77777777" w:rsidR="00C60C82" w:rsidRPr="008C1E5F" w:rsidRDefault="00C60C82" w:rsidP="0015336A">
            <w:pPr>
              <w:pStyle w:val="TableTextCentered"/>
            </w:pPr>
            <w:r w:rsidRPr="008C1E5F">
              <w:t>52.0</w:t>
            </w:r>
          </w:p>
        </w:tc>
        <w:tc>
          <w:tcPr>
            <w:tcW w:w="1260" w:type="dxa"/>
            <w:vAlign w:val="center"/>
          </w:tcPr>
          <w:p w14:paraId="1CAC298F" w14:textId="77777777" w:rsidR="00C60C82" w:rsidRPr="008C1E5F" w:rsidRDefault="00C60C82" w:rsidP="0015336A">
            <w:pPr>
              <w:pStyle w:val="TableTextCentered"/>
            </w:pPr>
            <w:r w:rsidRPr="008C1E5F">
              <w:t>52.0</w:t>
            </w:r>
          </w:p>
        </w:tc>
      </w:tr>
      <w:tr w:rsidR="00C60C82" w:rsidRPr="008C1E5F" w14:paraId="13610E1F" w14:textId="77777777" w:rsidTr="0015336A">
        <w:tc>
          <w:tcPr>
            <w:tcW w:w="3052" w:type="dxa"/>
          </w:tcPr>
          <w:p w14:paraId="3CC32ACB" w14:textId="77777777" w:rsidR="00C60C82" w:rsidRPr="008C1E5F" w:rsidRDefault="00C60C82" w:rsidP="0015336A">
            <w:pPr>
              <w:pStyle w:val="TableText"/>
            </w:pPr>
            <w:r w:rsidRPr="008C1E5F">
              <w:t>Low income</w:t>
            </w:r>
          </w:p>
        </w:tc>
        <w:tc>
          <w:tcPr>
            <w:tcW w:w="1260" w:type="dxa"/>
            <w:vAlign w:val="center"/>
          </w:tcPr>
          <w:p w14:paraId="264D929A" w14:textId="77777777" w:rsidR="00C60C82" w:rsidRPr="008C1E5F" w:rsidRDefault="00C60C82" w:rsidP="0015336A">
            <w:pPr>
              <w:pStyle w:val="TableTextCentered"/>
            </w:pPr>
            <w:r w:rsidRPr="008C1E5F">
              <w:t>907</w:t>
            </w:r>
          </w:p>
        </w:tc>
        <w:tc>
          <w:tcPr>
            <w:tcW w:w="1260" w:type="dxa"/>
            <w:vAlign w:val="center"/>
          </w:tcPr>
          <w:p w14:paraId="08FDE428" w14:textId="77777777" w:rsidR="00C60C82" w:rsidRPr="008C1E5F" w:rsidRDefault="00C60C82" w:rsidP="0015336A">
            <w:pPr>
              <w:pStyle w:val="TableTextCentered"/>
            </w:pPr>
            <w:r w:rsidRPr="008C1E5F">
              <w:t>47.5</w:t>
            </w:r>
          </w:p>
        </w:tc>
        <w:tc>
          <w:tcPr>
            <w:tcW w:w="1260" w:type="dxa"/>
            <w:vAlign w:val="center"/>
          </w:tcPr>
          <w:p w14:paraId="0F268D94" w14:textId="77777777" w:rsidR="00C60C82" w:rsidRPr="008C1E5F" w:rsidRDefault="00C60C82" w:rsidP="0015336A">
            <w:pPr>
              <w:pStyle w:val="TableTextCentered"/>
            </w:pPr>
            <w:r w:rsidRPr="008C1E5F">
              <w:t>59.1</w:t>
            </w:r>
          </w:p>
        </w:tc>
        <w:tc>
          <w:tcPr>
            <w:tcW w:w="1260" w:type="dxa"/>
            <w:vAlign w:val="center"/>
          </w:tcPr>
          <w:p w14:paraId="55121F56" w14:textId="77777777" w:rsidR="00C60C82" w:rsidRPr="008C1E5F" w:rsidRDefault="00C60C82" w:rsidP="0015336A">
            <w:pPr>
              <w:pStyle w:val="TableTextCentered"/>
            </w:pPr>
            <w:r w:rsidRPr="008C1E5F">
              <w:t>53.5</w:t>
            </w:r>
          </w:p>
        </w:tc>
        <w:tc>
          <w:tcPr>
            <w:tcW w:w="1260" w:type="dxa"/>
            <w:vAlign w:val="center"/>
          </w:tcPr>
          <w:p w14:paraId="33490567" w14:textId="77777777" w:rsidR="00C60C82" w:rsidRPr="008C1E5F" w:rsidRDefault="00C60C82" w:rsidP="0015336A">
            <w:pPr>
              <w:pStyle w:val="TableTextCentered"/>
            </w:pPr>
            <w:r w:rsidRPr="008C1E5F">
              <w:t>53.1</w:t>
            </w:r>
          </w:p>
        </w:tc>
      </w:tr>
      <w:tr w:rsidR="00C60C82" w:rsidRPr="008C1E5F" w14:paraId="1B164548" w14:textId="77777777" w:rsidTr="0015336A">
        <w:trPr>
          <w:cnfStyle w:val="000000100000" w:firstRow="0" w:lastRow="0" w:firstColumn="0" w:lastColumn="0" w:oddVBand="0" w:evenVBand="0" w:oddHBand="1" w:evenHBand="0" w:firstRowFirstColumn="0" w:firstRowLastColumn="0" w:lastRowFirstColumn="0" w:lastRowLastColumn="0"/>
        </w:trPr>
        <w:tc>
          <w:tcPr>
            <w:tcW w:w="3052" w:type="dxa"/>
          </w:tcPr>
          <w:p w14:paraId="0D677C9A" w14:textId="77777777" w:rsidR="00C60C82" w:rsidRPr="008C1E5F" w:rsidRDefault="00C60C82" w:rsidP="0015336A">
            <w:pPr>
              <w:pStyle w:val="TableText"/>
            </w:pPr>
            <w:r w:rsidRPr="008C1E5F">
              <w:rPr>
                <w:spacing w:val="-4"/>
              </w:rPr>
              <w:t>English learners</w:t>
            </w:r>
          </w:p>
        </w:tc>
        <w:tc>
          <w:tcPr>
            <w:tcW w:w="1260" w:type="dxa"/>
            <w:vAlign w:val="center"/>
          </w:tcPr>
          <w:p w14:paraId="5623E268" w14:textId="77777777" w:rsidR="00C60C82" w:rsidRPr="008C1E5F" w:rsidRDefault="00C60C82" w:rsidP="0015336A">
            <w:pPr>
              <w:pStyle w:val="TableTextCentered"/>
            </w:pPr>
            <w:r w:rsidRPr="008C1E5F">
              <w:t>267</w:t>
            </w:r>
          </w:p>
        </w:tc>
        <w:tc>
          <w:tcPr>
            <w:tcW w:w="1260" w:type="dxa"/>
            <w:vAlign w:val="center"/>
          </w:tcPr>
          <w:p w14:paraId="39B18E0B" w14:textId="77777777" w:rsidR="00C60C82" w:rsidRPr="008C1E5F" w:rsidRDefault="00C60C82" w:rsidP="0015336A">
            <w:pPr>
              <w:pStyle w:val="TableTextCentered"/>
            </w:pPr>
            <w:r w:rsidRPr="008C1E5F">
              <w:t>41.7</w:t>
            </w:r>
          </w:p>
        </w:tc>
        <w:tc>
          <w:tcPr>
            <w:tcW w:w="1260" w:type="dxa"/>
            <w:vAlign w:val="center"/>
          </w:tcPr>
          <w:p w14:paraId="6BA302CD" w14:textId="77777777" w:rsidR="00C60C82" w:rsidRPr="008C1E5F" w:rsidRDefault="00C60C82" w:rsidP="0015336A">
            <w:pPr>
              <w:pStyle w:val="TableTextCentered"/>
            </w:pPr>
            <w:r w:rsidRPr="008C1E5F">
              <w:t>50.0</w:t>
            </w:r>
          </w:p>
        </w:tc>
        <w:tc>
          <w:tcPr>
            <w:tcW w:w="1260" w:type="dxa"/>
            <w:vAlign w:val="center"/>
          </w:tcPr>
          <w:p w14:paraId="67AF6543" w14:textId="77777777" w:rsidR="00C60C82" w:rsidRPr="008C1E5F" w:rsidRDefault="00C60C82" w:rsidP="0015336A">
            <w:pPr>
              <w:pStyle w:val="TableTextCentered"/>
            </w:pPr>
            <w:r w:rsidRPr="008C1E5F">
              <w:t>29.6</w:t>
            </w:r>
          </w:p>
        </w:tc>
        <w:tc>
          <w:tcPr>
            <w:tcW w:w="1260" w:type="dxa"/>
            <w:vAlign w:val="center"/>
          </w:tcPr>
          <w:p w14:paraId="4ECC9FAB" w14:textId="77777777" w:rsidR="00C60C82" w:rsidRPr="008C1E5F" w:rsidRDefault="00C60C82" w:rsidP="0015336A">
            <w:pPr>
              <w:pStyle w:val="TableTextCentered"/>
            </w:pPr>
            <w:r w:rsidRPr="008C1E5F">
              <w:t>31.8</w:t>
            </w:r>
          </w:p>
        </w:tc>
      </w:tr>
      <w:tr w:rsidR="00C60C82" w:rsidRPr="008C1E5F" w14:paraId="38EBE5D5" w14:textId="77777777" w:rsidTr="0015336A">
        <w:tc>
          <w:tcPr>
            <w:tcW w:w="3052" w:type="dxa"/>
          </w:tcPr>
          <w:p w14:paraId="406C8CAF" w14:textId="77777777" w:rsidR="00C60C82" w:rsidRPr="008C1E5F" w:rsidRDefault="00C60C82" w:rsidP="0015336A">
            <w:pPr>
              <w:pStyle w:val="TableText"/>
            </w:pPr>
            <w:r w:rsidRPr="008C1E5F">
              <w:t>Students w/disabilities</w:t>
            </w:r>
          </w:p>
        </w:tc>
        <w:tc>
          <w:tcPr>
            <w:tcW w:w="1260" w:type="dxa"/>
            <w:vAlign w:val="center"/>
          </w:tcPr>
          <w:p w14:paraId="1F5DF1E3" w14:textId="77777777" w:rsidR="00C60C82" w:rsidRPr="008C1E5F" w:rsidRDefault="00C60C82" w:rsidP="0015336A">
            <w:pPr>
              <w:pStyle w:val="TableTextCentered"/>
            </w:pPr>
            <w:r w:rsidRPr="008C1E5F">
              <w:t>209</w:t>
            </w:r>
          </w:p>
        </w:tc>
        <w:tc>
          <w:tcPr>
            <w:tcW w:w="1260" w:type="dxa"/>
            <w:vAlign w:val="center"/>
          </w:tcPr>
          <w:p w14:paraId="721562E9" w14:textId="77777777" w:rsidR="00C60C82" w:rsidRPr="008C1E5F" w:rsidRDefault="00C60C82" w:rsidP="0015336A">
            <w:pPr>
              <w:pStyle w:val="TableTextCentered"/>
            </w:pPr>
            <w:r w:rsidRPr="008C1E5F">
              <w:t>18.8</w:t>
            </w:r>
          </w:p>
        </w:tc>
        <w:tc>
          <w:tcPr>
            <w:tcW w:w="1260" w:type="dxa"/>
            <w:vAlign w:val="center"/>
          </w:tcPr>
          <w:p w14:paraId="39806F7E" w14:textId="77777777" w:rsidR="00C60C82" w:rsidRPr="008C1E5F" w:rsidRDefault="00C60C82" w:rsidP="0015336A">
            <w:pPr>
              <w:pStyle w:val="TableTextCentered"/>
            </w:pPr>
            <w:r w:rsidRPr="008C1E5F">
              <w:t>29.7</w:t>
            </w:r>
          </w:p>
        </w:tc>
        <w:tc>
          <w:tcPr>
            <w:tcW w:w="1260" w:type="dxa"/>
            <w:vAlign w:val="center"/>
          </w:tcPr>
          <w:p w14:paraId="0F420F84" w14:textId="77777777" w:rsidR="00C60C82" w:rsidRPr="008C1E5F" w:rsidRDefault="00C60C82" w:rsidP="0015336A">
            <w:pPr>
              <w:pStyle w:val="TableTextCentered"/>
            </w:pPr>
            <w:r w:rsidRPr="008C1E5F">
              <w:t>29.7</w:t>
            </w:r>
          </w:p>
        </w:tc>
        <w:tc>
          <w:tcPr>
            <w:tcW w:w="1260" w:type="dxa"/>
            <w:vAlign w:val="center"/>
          </w:tcPr>
          <w:p w14:paraId="7459ED27" w14:textId="77777777" w:rsidR="00C60C82" w:rsidRPr="008C1E5F" w:rsidRDefault="00C60C82" w:rsidP="0015336A">
            <w:pPr>
              <w:pStyle w:val="TableTextCentered"/>
            </w:pPr>
            <w:r w:rsidRPr="008C1E5F">
              <w:t>38.5</w:t>
            </w:r>
          </w:p>
        </w:tc>
      </w:tr>
    </w:tbl>
    <w:p w14:paraId="52D0602C" w14:textId="2716463B" w:rsidR="00C60C82" w:rsidRPr="008C1E5F" w:rsidRDefault="00C60C82" w:rsidP="00305BFA">
      <w:pPr>
        <w:pStyle w:val="TableETitles"/>
        <w:spacing w:before="240" w:after="60"/>
      </w:pPr>
      <w:bookmarkStart w:id="303" w:name="_Toc192148882"/>
      <w:bookmarkStart w:id="304" w:name="_Toc195024290"/>
      <w:r w:rsidRPr="008C1E5F">
        <w:t xml:space="preserve">Table E22. Accountability </w:t>
      </w:r>
      <w:r w:rsidR="00D91225">
        <w:t>Results</w:t>
      </w:r>
      <w:r w:rsidRPr="008C1E5F">
        <w:t>, 2024</w:t>
      </w:r>
      <w:bookmarkEnd w:id="303"/>
      <w:bookmarkEnd w:id="304"/>
    </w:p>
    <w:tbl>
      <w:tblPr>
        <w:tblStyle w:val="MSVTable1"/>
        <w:tblW w:w="5000" w:type="pct"/>
        <w:jc w:val="center"/>
        <w:tblLook w:val="04A0" w:firstRow="1" w:lastRow="0" w:firstColumn="1" w:lastColumn="0" w:noHBand="0" w:noVBand="1"/>
      </w:tblPr>
      <w:tblGrid>
        <w:gridCol w:w="2062"/>
        <w:gridCol w:w="1620"/>
        <w:gridCol w:w="1080"/>
        <w:gridCol w:w="2190"/>
        <w:gridCol w:w="2392"/>
      </w:tblGrid>
      <w:tr w:rsidR="00C60C82" w:rsidRPr="008C1E5F" w14:paraId="5C4A293A" w14:textId="77777777" w:rsidTr="0015336A">
        <w:trPr>
          <w:cnfStyle w:val="100000000000" w:firstRow="1" w:lastRow="0" w:firstColumn="0" w:lastColumn="0" w:oddVBand="0" w:evenVBand="0" w:oddHBand="0" w:evenHBand="0" w:firstRowFirstColumn="0" w:firstRowLastColumn="0" w:lastRowFirstColumn="0" w:lastRowLastColumn="0"/>
          <w:tblHeader/>
          <w:jc w:val="center"/>
        </w:trPr>
        <w:tc>
          <w:tcPr>
            <w:tcW w:w="2062" w:type="dxa"/>
            <w:vAlign w:val="center"/>
          </w:tcPr>
          <w:p w14:paraId="1F06551F" w14:textId="77777777" w:rsidR="00C60C82" w:rsidRPr="008C1E5F" w:rsidRDefault="00C60C82" w:rsidP="0015336A">
            <w:pPr>
              <w:pStyle w:val="TableColHeadingCenter"/>
              <w:spacing w:before="30" w:after="30"/>
            </w:pPr>
            <w:r w:rsidRPr="008C1E5F">
              <w:t>School</w:t>
            </w:r>
          </w:p>
        </w:tc>
        <w:tc>
          <w:tcPr>
            <w:tcW w:w="1620" w:type="dxa"/>
          </w:tcPr>
          <w:p w14:paraId="50FC57A2" w14:textId="6DB213AA" w:rsidR="00C60C82" w:rsidRPr="008C1E5F" w:rsidRDefault="00C60C82" w:rsidP="0015336A">
            <w:pPr>
              <w:pStyle w:val="TableColHeadingCenter"/>
              <w:spacing w:before="30" w:after="30"/>
            </w:pPr>
            <w:r w:rsidRPr="008C1E5F">
              <w:t>Cumulative Progress Toward Improvement Targets (%)</w:t>
            </w:r>
          </w:p>
        </w:tc>
        <w:tc>
          <w:tcPr>
            <w:tcW w:w="1080" w:type="dxa"/>
            <w:vAlign w:val="center"/>
          </w:tcPr>
          <w:p w14:paraId="7BBAC5BA" w14:textId="77777777" w:rsidR="00C60C82" w:rsidRPr="008C1E5F" w:rsidRDefault="00C60C82" w:rsidP="0015336A">
            <w:pPr>
              <w:pStyle w:val="TableColHeadingCenter"/>
              <w:spacing w:before="30" w:after="30"/>
            </w:pPr>
            <w:r w:rsidRPr="008C1E5F">
              <w:t>Percentile</w:t>
            </w:r>
          </w:p>
        </w:tc>
        <w:tc>
          <w:tcPr>
            <w:tcW w:w="2190" w:type="dxa"/>
            <w:vAlign w:val="center"/>
          </w:tcPr>
          <w:p w14:paraId="474075A5" w14:textId="5FC7516A" w:rsidR="00C60C82" w:rsidRPr="008C1E5F" w:rsidRDefault="00C60C82" w:rsidP="0015336A">
            <w:pPr>
              <w:pStyle w:val="TableColHeadingCenter"/>
              <w:spacing w:before="30" w:after="30"/>
            </w:pPr>
            <w:r w:rsidRPr="008C1E5F">
              <w:t>Overall Classification</w:t>
            </w:r>
          </w:p>
        </w:tc>
        <w:tc>
          <w:tcPr>
            <w:tcW w:w="2392" w:type="dxa"/>
            <w:vAlign w:val="center"/>
          </w:tcPr>
          <w:p w14:paraId="0EEE0533" w14:textId="5FB28048" w:rsidR="00C60C82" w:rsidRPr="008C1E5F" w:rsidRDefault="00C60C82" w:rsidP="0015336A">
            <w:pPr>
              <w:pStyle w:val="TableColHeadingCenter"/>
              <w:spacing w:before="30" w:after="30"/>
            </w:pPr>
            <w:r w:rsidRPr="008C1E5F">
              <w:t>Reason for Classification</w:t>
            </w:r>
          </w:p>
        </w:tc>
      </w:tr>
      <w:tr w:rsidR="00C60C82" w:rsidRPr="008C1E5F" w14:paraId="696E6391" w14:textId="77777777" w:rsidTr="0015336A">
        <w:trPr>
          <w:cnfStyle w:val="000000100000" w:firstRow="0" w:lastRow="0" w:firstColumn="0" w:lastColumn="0" w:oddVBand="0" w:evenVBand="0" w:oddHBand="1" w:evenHBand="0" w:firstRowFirstColumn="0" w:firstRowLastColumn="0" w:lastRowFirstColumn="0" w:lastRowLastColumn="0"/>
          <w:jc w:val="center"/>
        </w:trPr>
        <w:tc>
          <w:tcPr>
            <w:tcW w:w="2062" w:type="dxa"/>
            <w:vAlign w:val="center"/>
          </w:tcPr>
          <w:p w14:paraId="241C7CA6" w14:textId="77777777" w:rsidR="00C60C82" w:rsidRPr="008C1E5F" w:rsidRDefault="00C60C82" w:rsidP="0015336A">
            <w:pPr>
              <w:pStyle w:val="TableText"/>
              <w:spacing w:before="30" w:after="30"/>
              <w:rPr>
                <w:szCs w:val="20"/>
              </w:rPr>
            </w:pPr>
            <w:r w:rsidRPr="008C1E5F">
              <w:t>District</w:t>
            </w:r>
          </w:p>
        </w:tc>
        <w:tc>
          <w:tcPr>
            <w:tcW w:w="1620" w:type="dxa"/>
            <w:vAlign w:val="center"/>
          </w:tcPr>
          <w:p w14:paraId="73E6B954" w14:textId="77777777" w:rsidR="00C60C82" w:rsidRPr="008C1E5F" w:rsidRDefault="00C60C82" w:rsidP="0015336A">
            <w:pPr>
              <w:pStyle w:val="TableTextCentered"/>
              <w:spacing w:before="30" w:after="30"/>
            </w:pPr>
            <w:r w:rsidRPr="008C1E5F">
              <w:t>46</w:t>
            </w:r>
          </w:p>
        </w:tc>
        <w:tc>
          <w:tcPr>
            <w:tcW w:w="1080" w:type="dxa"/>
            <w:vAlign w:val="center"/>
          </w:tcPr>
          <w:p w14:paraId="7560C13A" w14:textId="77777777" w:rsidR="00C60C82" w:rsidRPr="008C1E5F" w:rsidRDefault="00C60C82" w:rsidP="0015336A">
            <w:pPr>
              <w:pStyle w:val="TableTextCentered"/>
              <w:spacing w:before="30" w:after="30"/>
              <w:rPr>
                <w:szCs w:val="20"/>
              </w:rPr>
            </w:pPr>
            <w:r w:rsidRPr="008C1E5F">
              <w:t>--</w:t>
            </w:r>
          </w:p>
        </w:tc>
        <w:tc>
          <w:tcPr>
            <w:tcW w:w="2190" w:type="dxa"/>
            <w:vAlign w:val="center"/>
          </w:tcPr>
          <w:p w14:paraId="1BE1B5B3" w14:textId="77777777" w:rsidR="00C60C82" w:rsidRPr="008C1E5F" w:rsidRDefault="00C60C82" w:rsidP="0015336A">
            <w:pPr>
              <w:pStyle w:val="TableTextCentered"/>
              <w:spacing w:before="30" w:after="30"/>
              <w:rPr>
                <w:szCs w:val="20"/>
              </w:rPr>
            </w:pPr>
            <w:r w:rsidRPr="008C1E5F">
              <w:t>Not requiring assistance or intervention</w:t>
            </w:r>
          </w:p>
        </w:tc>
        <w:tc>
          <w:tcPr>
            <w:tcW w:w="2392" w:type="dxa"/>
            <w:vAlign w:val="center"/>
          </w:tcPr>
          <w:p w14:paraId="3D044F99" w14:textId="77777777" w:rsidR="00C60C82" w:rsidRPr="008C1E5F" w:rsidRDefault="00C60C82" w:rsidP="0015336A">
            <w:pPr>
              <w:pStyle w:val="TableTextCentered"/>
              <w:spacing w:before="30" w:after="30"/>
              <w:rPr>
                <w:szCs w:val="20"/>
              </w:rPr>
            </w:pPr>
            <w:r w:rsidRPr="008C1E5F">
              <w:t>Moderate progress toward targets</w:t>
            </w:r>
          </w:p>
        </w:tc>
      </w:tr>
      <w:tr w:rsidR="00C60C82" w:rsidRPr="008C1E5F" w14:paraId="4177CDAF" w14:textId="77777777" w:rsidTr="0015336A">
        <w:trPr>
          <w:jc w:val="center"/>
        </w:trPr>
        <w:tc>
          <w:tcPr>
            <w:tcW w:w="2062" w:type="dxa"/>
            <w:vAlign w:val="center"/>
          </w:tcPr>
          <w:p w14:paraId="4AEE9A5A" w14:textId="77777777" w:rsidR="00C60C82" w:rsidRPr="008C1E5F" w:rsidRDefault="00C60C82" w:rsidP="0015336A">
            <w:pPr>
              <w:pStyle w:val="TableText"/>
              <w:spacing w:before="30" w:after="30"/>
              <w:rPr>
                <w:szCs w:val="20"/>
              </w:rPr>
            </w:pPr>
            <w:r w:rsidRPr="008C1E5F">
              <w:rPr>
                <w:szCs w:val="20"/>
              </w:rPr>
              <w:t>Early Learning Center</w:t>
            </w:r>
          </w:p>
        </w:tc>
        <w:tc>
          <w:tcPr>
            <w:tcW w:w="1620" w:type="dxa"/>
            <w:vAlign w:val="center"/>
          </w:tcPr>
          <w:p w14:paraId="3EA43F05" w14:textId="77777777" w:rsidR="00C60C82" w:rsidRPr="008C1E5F" w:rsidRDefault="00C60C82" w:rsidP="0015336A">
            <w:pPr>
              <w:pStyle w:val="TableTextCentered"/>
              <w:spacing w:before="30" w:after="30"/>
              <w:rPr>
                <w:szCs w:val="20"/>
              </w:rPr>
            </w:pPr>
            <w:r w:rsidRPr="008C1E5F">
              <w:rPr>
                <w:szCs w:val="20"/>
              </w:rPr>
              <w:t>--</w:t>
            </w:r>
          </w:p>
        </w:tc>
        <w:tc>
          <w:tcPr>
            <w:tcW w:w="1080" w:type="dxa"/>
            <w:vAlign w:val="center"/>
          </w:tcPr>
          <w:p w14:paraId="3E1271DE" w14:textId="77777777" w:rsidR="00C60C82" w:rsidRPr="008C1E5F" w:rsidRDefault="00C60C82" w:rsidP="0015336A">
            <w:pPr>
              <w:pStyle w:val="TableTextCentered"/>
              <w:spacing w:before="30" w:after="30"/>
              <w:rPr>
                <w:szCs w:val="20"/>
              </w:rPr>
            </w:pPr>
            <w:r w:rsidRPr="008C1E5F">
              <w:rPr>
                <w:szCs w:val="20"/>
              </w:rPr>
              <w:t>--</w:t>
            </w:r>
          </w:p>
        </w:tc>
        <w:tc>
          <w:tcPr>
            <w:tcW w:w="2190" w:type="dxa"/>
            <w:vAlign w:val="center"/>
          </w:tcPr>
          <w:p w14:paraId="64A71D53" w14:textId="77777777" w:rsidR="00C60C82" w:rsidRPr="008C1E5F" w:rsidRDefault="00C60C82" w:rsidP="0015336A">
            <w:pPr>
              <w:pStyle w:val="TableTextCentered"/>
              <w:spacing w:before="30" w:after="30"/>
              <w:rPr>
                <w:szCs w:val="20"/>
              </w:rPr>
            </w:pPr>
            <w:r w:rsidRPr="008C1E5F">
              <w:rPr>
                <w:szCs w:val="20"/>
              </w:rPr>
              <w:t>Insufficient data</w:t>
            </w:r>
          </w:p>
        </w:tc>
        <w:tc>
          <w:tcPr>
            <w:tcW w:w="2392" w:type="dxa"/>
            <w:vAlign w:val="center"/>
          </w:tcPr>
          <w:p w14:paraId="7A1CE485" w14:textId="77777777" w:rsidR="00C60C82" w:rsidRPr="008C1E5F" w:rsidRDefault="00C60C82" w:rsidP="0015336A">
            <w:pPr>
              <w:pStyle w:val="TableTextCentered"/>
              <w:spacing w:before="30" w:after="30"/>
              <w:rPr>
                <w:szCs w:val="20"/>
              </w:rPr>
            </w:pPr>
            <w:r w:rsidRPr="008C1E5F">
              <w:rPr>
                <w:szCs w:val="20"/>
              </w:rPr>
              <w:t>Insufficient data</w:t>
            </w:r>
          </w:p>
        </w:tc>
      </w:tr>
      <w:tr w:rsidR="00C60C82" w:rsidRPr="008C1E5F" w14:paraId="0CBDEE40" w14:textId="77777777" w:rsidTr="0015336A">
        <w:trPr>
          <w:cnfStyle w:val="000000100000" w:firstRow="0" w:lastRow="0" w:firstColumn="0" w:lastColumn="0" w:oddVBand="0" w:evenVBand="0" w:oddHBand="1" w:evenHBand="0" w:firstRowFirstColumn="0" w:firstRowLastColumn="0" w:lastRowFirstColumn="0" w:lastRowLastColumn="0"/>
          <w:jc w:val="center"/>
        </w:trPr>
        <w:tc>
          <w:tcPr>
            <w:tcW w:w="2062" w:type="dxa"/>
            <w:vAlign w:val="center"/>
          </w:tcPr>
          <w:p w14:paraId="2C1A86B8" w14:textId="77777777" w:rsidR="00C60C82" w:rsidRPr="008C1E5F" w:rsidRDefault="00C60C82" w:rsidP="0015336A">
            <w:pPr>
              <w:pStyle w:val="TableText"/>
              <w:spacing w:before="30" w:after="30"/>
              <w:rPr>
                <w:szCs w:val="20"/>
              </w:rPr>
            </w:pPr>
            <w:r w:rsidRPr="008C1E5F">
              <w:rPr>
                <w:szCs w:val="20"/>
              </w:rPr>
              <w:t>FRPS Early Learning Center</w:t>
            </w:r>
          </w:p>
        </w:tc>
        <w:tc>
          <w:tcPr>
            <w:tcW w:w="1620" w:type="dxa"/>
            <w:vAlign w:val="center"/>
          </w:tcPr>
          <w:p w14:paraId="10AF1A03" w14:textId="77777777" w:rsidR="00C60C82" w:rsidRPr="008C1E5F" w:rsidRDefault="00C60C82" w:rsidP="0015336A">
            <w:pPr>
              <w:pStyle w:val="TableTextCentered"/>
              <w:spacing w:before="30" w:after="30"/>
              <w:rPr>
                <w:szCs w:val="20"/>
              </w:rPr>
            </w:pPr>
            <w:r w:rsidRPr="008C1E5F">
              <w:rPr>
                <w:szCs w:val="20"/>
              </w:rPr>
              <w:t>--</w:t>
            </w:r>
          </w:p>
        </w:tc>
        <w:tc>
          <w:tcPr>
            <w:tcW w:w="1080" w:type="dxa"/>
            <w:vAlign w:val="center"/>
          </w:tcPr>
          <w:p w14:paraId="28859E69" w14:textId="77777777" w:rsidR="00C60C82" w:rsidRPr="008C1E5F" w:rsidRDefault="00C60C82" w:rsidP="0015336A">
            <w:pPr>
              <w:pStyle w:val="TableTextCentered"/>
              <w:spacing w:before="30" w:after="30"/>
              <w:rPr>
                <w:szCs w:val="20"/>
              </w:rPr>
            </w:pPr>
            <w:r w:rsidRPr="008C1E5F">
              <w:rPr>
                <w:szCs w:val="20"/>
              </w:rPr>
              <w:t>--</w:t>
            </w:r>
          </w:p>
        </w:tc>
        <w:tc>
          <w:tcPr>
            <w:tcW w:w="2190" w:type="dxa"/>
            <w:vAlign w:val="center"/>
          </w:tcPr>
          <w:p w14:paraId="291AFA43" w14:textId="77777777" w:rsidR="00C60C82" w:rsidRPr="008C1E5F" w:rsidRDefault="00C60C82" w:rsidP="0015336A">
            <w:pPr>
              <w:pStyle w:val="TableTextCentered"/>
              <w:spacing w:before="30" w:after="30"/>
              <w:rPr>
                <w:szCs w:val="20"/>
              </w:rPr>
            </w:pPr>
            <w:r w:rsidRPr="008C1E5F">
              <w:rPr>
                <w:szCs w:val="20"/>
              </w:rPr>
              <w:t>Insufficient data</w:t>
            </w:r>
          </w:p>
        </w:tc>
        <w:tc>
          <w:tcPr>
            <w:tcW w:w="2392" w:type="dxa"/>
            <w:vAlign w:val="center"/>
          </w:tcPr>
          <w:p w14:paraId="0AFFA732" w14:textId="77777777" w:rsidR="00C60C82" w:rsidRPr="008C1E5F" w:rsidRDefault="00C60C82" w:rsidP="0015336A">
            <w:pPr>
              <w:pStyle w:val="TableTextCentered"/>
              <w:spacing w:before="30" w:after="30"/>
              <w:rPr>
                <w:szCs w:val="20"/>
              </w:rPr>
            </w:pPr>
            <w:r w:rsidRPr="008C1E5F">
              <w:rPr>
                <w:szCs w:val="20"/>
              </w:rPr>
              <w:t>Insufficient data</w:t>
            </w:r>
          </w:p>
        </w:tc>
      </w:tr>
      <w:tr w:rsidR="00C60C82" w:rsidRPr="008C1E5F" w14:paraId="7AE8F84C" w14:textId="77777777" w:rsidTr="0015336A">
        <w:trPr>
          <w:jc w:val="center"/>
        </w:trPr>
        <w:tc>
          <w:tcPr>
            <w:tcW w:w="2062" w:type="dxa"/>
            <w:shd w:val="clear" w:color="auto" w:fill="auto"/>
            <w:vAlign w:val="center"/>
          </w:tcPr>
          <w:p w14:paraId="6D69D2DB" w14:textId="77777777" w:rsidR="00C60C82" w:rsidRPr="008C1E5F" w:rsidRDefault="00C60C82" w:rsidP="0015336A">
            <w:pPr>
              <w:pStyle w:val="TableText"/>
              <w:spacing w:before="30" w:after="30"/>
              <w:rPr>
                <w:szCs w:val="20"/>
              </w:rPr>
            </w:pPr>
            <w:r w:rsidRPr="008C1E5F">
              <w:rPr>
                <w:szCs w:val="20"/>
              </w:rPr>
              <w:t>Carlton M. Viveiros Elementary School</w:t>
            </w:r>
          </w:p>
        </w:tc>
        <w:tc>
          <w:tcPr>
            <w:tcW w:w="1620" w:type="dxa"/>
            <w:vAlign w:val="center"/>
          </w:tcPr>
          <w:p w14:paraId="0FCB11F3" w14:textId="77777777" w:rsidR="00C60C82" w:rsidRPr="008C1E5F" w:rsidRDefault="00C60C82" w:rsidP="0015336A">
            <w:pPr>
              <w:pStyle w:val="TableTextCentered"/>
              <w:spacing w:before="30" w:after="30"/>
              <w:rPr>
                <w:szCs w:val="20"/>
              </w:rPr>
            </w:pPr>
            <w:r w:rsidRPr="008C1E5F">
              <w:rPr>
                <w:szCs w:val="20"/>
              </w:rPr>
              <w:t>47</w:t>
            </w:r>
          </w:p>
        </w:tc>
        <w:tc>
          <w:tcPr>
            <w:tcW w:w="1080" w:type="dxa"/>
            <w:vAlign w:val="center"/>
          </w:tcPr>
          <w:p w14:paraId="7C7C4A73" w14:textId="77777777" w:rsidR="00C60C82" w:rsidRPr="008C1E5F" w:rsidRDefault="00C60C82" w:rsidP="0015336A">
            <w:pPr>
              <w:pStyle w:val="TableTextCentered"/>
              <w:spacing w:before="30" w:after="30"/>
              <w:rPr>
                <w:szCs w:val="20"/>
              </w:rPr>
            </w:pPr>
            <w:r w:rsidRPr="008C1E5F">
              <w:rPr>
                <w:szCs w:val="20"/>
              </w:rPr>
              <w:t>12</w:t>
            </w:r>
          </w:p>
        </w:tc>
        <w:tc>
          <w:tcPr>
            <w:tcW w:w="2190" w:type="dxa"/>
            <w:vAlign w:val="center"/>
          </w:tcPr>
          <w:p w14:paraId="4741204D" w14:textId="77777777" w:rsidR="00C60C82" w:rsidRPr="008C1E5F" w:rsidRDefault="00C60C82" w:rsidP="0015336A">
            <w:pPr>
              <w:pStyle w:val="TableTextCentered"/>
              <w:spacing w:before="30" w:after="30"/>
              <w:rPr>
                <w:szCs w:val="20"/>
              </w:rPr>
            </w:pPr>
            <w:r w:rsidRPr="008C1E5F">
              <w:rPr>
                <w:szCs w:val="20"/>
              </w:rPr>
              <w:t>Requiring assistance or intervention</w:t>
            </w:r>
          </w:p>
        </w:tc>
        <w:tc>
          <w:tcPr>
            <w:tcW w:w="2392" w:type="dxa"/>
            <w:vAlign w:val="center"/>
          </w:tcPr>
          <w:p w14:paraId="288113FF" w14:textId="77777777" w:rsidR="00C60C82" w:rsidRPr="008C1E5F" w:rsidRDefault="00C60C82" w:rsidP="0015336A">
            <w:pPr>
              <w:pStyle w:val="TableTextCentered"/>
              <w:spacing w:before="30" w:after="30"/>
              <w:rPr>
                <w:szCs w:val="20"/>
              </w:rPr>
            </w:pPr>
            <w:r w:rsidRPr="008C1E5F">
              <w:rPr>
                <w:szCs w:val="20"/>
              </w:rPr>
              <w:t>Low student group performance: White</w:t>
            </w:r>
          </w:p>
        </w:tc>
      </w:tr>
      <w:tr w:rsidR="00C60C82" w:rsidRPr="008C1E5F" w14:paraId="108D6C3B" w14:textId="77777777" w:rsidTr="0015336A">
        <w:trPr>
          <w:cnfStyle w:val="000000100000" w:firstRow="0" w:lastRow="0" w:firstColumn="0" w:lastColumn="0" w:oddVBand="0" w:evenVBand="0" w:oddHBand="1" w:evenHBand="0" w:firstRowFirstColumn="0" w:firstRowLastColumn="0" w:lastRowFirstColumn="0" w:lastRowLastColumn="0"/>
          <w:jc w:val="center"/>
        </w:trPr>
        <w:tc>
          <w:tcPr>
            <w:tcW w:w="2062" w:type="dxa"/>
            <w:vAlign w:val="center"/>
          </w:tcPr>
          <w:p w14:paraId="568A7392" w14:textId="77777777" w:rsidR="00C60C82" w:rsidRPr="008C1E5F" w:rsidRDefault="00C60C82" w:rsidP="0015336A">
            <w:pPr>
              <w:pStyle w:val="TableText"/>
              <w:spacing w:before="30" w:after="30"/>
              <w:rPr>
                <w:szCs w:val="20"/>
              </w:rPr>
            </w:pPr>
            <w:r w:rsidRPr="008C1E5F">
              <w:rPr>
                <w:szCs w:val="20"/>
              </w:rPr>
              <w:t>Henry Lord Community School</w:t>
            </w:r>
          </w:p>
        </w:tc>
        <w:tc>
          <w:tcPr>
            <w:tcW w:w="1620" w:type="dxa"/>
            <w:vAlign w:val="center"/>
          </w:tcPr>
          <w:p w14:paraId="18807A8A" w14:textId="77777777" w:rsidR="00C60C82" w:rsidRPr="008C1E5F" w:rsidRDefault="00C60C82" w:rsidP="0015336A">
            <w:pPr>
              <w:pStyle w:val="TableTextCentered"/>
              <w:spacing w:before="30" w:after="30"/>
              <w:rPr>
                <w:szCs w:val="20"/>
              </w:rPr>
            </w:pPr>
            <w:r w:rsidRPr="008C1E5F">
              <w:rPr>
                <w:szCs w:val="20"/>
              </w:rPr>
              <w:t>44</w:t>
            </w:r>
          </w:p>
        </w:tc>
        <w:tc>
          <w:tcPr>
            <w:tcW w:w="1080" w:type="dxa"/>
            <w:vAlign w:val="center"/>
          </w:tcPr>
          <w:p w14:paraId="13E9B316" w14:textId="77777777" w:rsidR="00C60C82" w:rsidRPr="008C1E5F" w:rsidRDefault="00C60C82" w:rsidP="0015336A">
            <w:pPr>
              <w:pStyle w:val="TableTextCentered"/>
              <w:spacing w:before="30" w:after="30"/>
              <w:rPr>
                <w:szCs w:val="20"/>
              </w:rPr>
            </w:pPr>
            <w:r w:rsidRPr="008C1E5F">
              <w:rPr>
                <w:szCs w:val="20"/>
              </w:rPr>
              <w:t>12</w:t>
            </w:r>
          </w:p>
        </w:tc>
        <w:tc>
          <w:tcPr>
            <w:tcW w:w="2190" w:type="dxa"/>
            <w:vAlign w:val="center"/>
          </w:tcPr>
          <w:p w14:paraId="07881A41" w14:textId="77777777" w:rsidR="00C60C82" w:rsidRPr="008C1E5F" w:rsidRDefault="00C60C82" w:rsidP="0015336A">
            <w:pPr>
              <w:pStyle w:val="TableTextCentered"/>
              <w:spacing w:before="30" w:after="30"/>
              <w:rPr>
                <w:szCs w:val="20"/>
              </w:rPr>
            </w:pPr>
            <w:r w:rsidRPr="008C1E5F">
              <w:rPr>
                <w:szCs w:val="20"/>
              </w:rPr>
              <w:t>Requiring assistance or intervention</w:t>
            </w:r>
          </w:p>
        </w:tc>
        <w:tc>
          <w:tcPr>
            <w:tcW w:w="2392" w:type="dxa"/>
            <w:vAlign w:val="center"/>
          </w:tcPr>
          <w:p w14:paraId="0B63D921" w14:textId="77777777" w:rsidR="00C60C82" w:rsidRPr="008C1E5F" w:rsidRDefault="00C60C82" w:rsidP="0015336A">
            <w:pPr>
              <w:pStyle w:val="TableTextCentered"/>
              <w:spacing w:before="30" w:after="30"/>
              <w:rPr>
                <w:szCs w:val="20"/>
              </w:rPr>
            </w:pPr>
            <w:r w:rsidRPr="008C1E5F">
              <w:rPr>
                <w:szCs w:val="20"/>
              </w:rPr>
              <w:t>Low student group performance: White</w:t>
            </w:r>
          </w:p>
        </w:tc>
      </w:tr>
      <w:bookmarkEnd w:id="300"/>
      <w:tr w:rsidR="00C60C82" w:rsidRPr="008C1E5F" w14:paraId="57911085" w14:textId="77777777" w:rsidTr="0015336A">
        <w:trPr>
          <w:jc w:val="center"/>
        </w:trPr>
        <w:tc>
          <w:tcPr>
            <w:tcW w:w="2062" w:type="dxa"/>
            <w:vAlign w:val="center"/>
          </w:tcPr>
          <w:p w14:paraId="1C7DD17A" w14:textId="77777777" w:rsidR="00C60C82" w:rsidRPr="008C1E5F" w:rsidRDefault="00C60C82" w:rsidP="0015336A">
            <w:pPr>
              <w:pStyle w:val="TableText"/>
              <w:spacing w:before="30" w:after="30"/>
              <w:rPr>
                <w:szCs w:val="20"/>
              </w:rPr>
            </w:pPr>
            <w:r w:rsidRPr="008C1E5F">
              <w:rPr>
                <w:szCs w:val="20"/>
              </w:rPr>
              <w:t>James Tansey</w:t>
            </w:r>
          </w:p>
        </w:tc>
        <w:tc>
          <w:tcPr>
            <w:tcW w:w="1620" w:type="dxa"/>
            <w:vAlign w:val="center"/>
          </w:tcPr>
          <w:p w14:paraId="21D9F815" w14:textId="77777777" w:rsidR="00C60C82" w:rsidRPr="008C1E5F" w:rsidRDefault="00C60C82" w:rsidP="0015336A">
            <w:pPr>
              <w:pStyle w:val="TableTextCentered"/>
              <w:spacing w:before="30" w:after="30"/>
              <w:rPr>
                <w:szCs w:val="20"/>
              </w:rPr>
            </w:pPr>
            <w:r w:rsidRPr="008C1E5F">
              <w:rPr>
                <w:szCs w:val="20"/>
              </w:rPr>
              <w:t>37</w:t>
            </w:r>
          </w:p>
        </w:tc>
        <w:tc>
          <w:tcPr>
            <w:tcW w:w="1080" w:type="dxa"/>
            <w:vAlign w:val="center"/>
          </w:tcPr>
          <w:p w14:paraId="420F1166" w14:textId="77777777" w:rsidR="00C60C82" w:rsidRPr="008C1E5F" w:rsidRDefault="00C60C82" w:rsidP="0015336A">
            <w:pPr>
              <w:pStyle w:val="TableTextCentered"/>
              <w:spacing w:before="30" w:after="30"/>
              <w:rPr>
                <w:szCs w:val="20"/>
              </w:rPr>
            </w:pPr>
            <w:r w:rsidRPr="008C1E5F">
              <w:rPr>
                <w:szCs w:val="20"/>
              </w:rPr>
              <w:t>39</w:t>
            </w:r>
          </w:p>
        </w:tc>
        <w:tc>
          <w:tcPr>
            <w:tcW w:w="2190" w:type="dxa"/>
            <w:vAlign w:val="center"/>
          </w:tcPr>
          <w:p w14:paraId="571B52BD" w14:textId="77777777" w:rsidR="00C60C82" w:rsidRPr="008C1E5F" w:rsidRDefault="00C60C82" w:rsidP="0015336A">
            <w:pPr>
              <w:pStyle w:val="TableTextCentered"/>
              <w:spacing w:before="30" w:after="30"/>
              <w:rPr>
                <w:szCs w:val="20"/>
              </w:rPr>
            </w:pPr>
            <w:r w:rsidRPr="008C1E5F">
              <w:t>Not requiring assistance or intervention</w:t>
            </w:r>
          </w:p>
        </w:tc>
        <w:tc>
          <w:tcPr>
            <w:tcW w:w="2392" w:type="dxa"/>
            <w:vAlign w:val="center"/>
          </w:tcPr>
          <w:p w14:paraId="4E4210F3" w14:textId="77777777" w:rsidR="00C60C82" w:rsidRPr="008C1E5F" w:rsidRDefault="00C60C82" w:rsidP="0015336A">
            <w:pPr>
              <w:pStyle w:val="TableTextCentered"/>
              <w:spacing w:before="30" w:after="30"/>
              <w:rPr>
                <w:szCs w:val="20"/>
              </w:rPr>
            </w:pPr>
            <w:r w:rsidRPr="008C1E5F">
              <w:t>Moderate progress toward targets</w:t>
            </w:r>
          </w:p>
        </w:tc>
      </w:tr>
      <w:tr w:rsidR="00C60C82" w:rsidRPr="008C1E5F" w14:paraId="6454A7F6" w14:textId="77777777" w:rsidTr="0015336A">
        <w:trPr>
          <w:cnfStyle w:val="000000100000" w:firstRow="0" w:lastRow="0" w:firstColumn="0" w:lastColumn="0" w:oddVBand="0" w:evenVBand="0" w:oddHBand="1" w:evenHBand="0" w:firstRowFirstColumn="0" w:firstRowLastColumn="0" w:lastRowFirstColumn="0" w:lastRowLastColumn="0"/>
          <w:jc w:val="center"/>
        </w:trPr>
        <w:tc>
          <w:tcPr>
            <w:tcW w:w="2062" w:type="dxa"/>
            <w:vAlign w:val="center"/>
          </w:tcPr>
          <w:p w14:paraId="73339AC6" w14:textId="77777777" w:rsidR="00C60C82" w:rsidRPr="008C1E5F" w:rsidRDefault="00C60C82" w:rsidP="0015336A">
            <w:pPr>
              <w:pStyle w:val="TableText"/>
              <w:spacing w:before="30" w:after="30"/>
              <w:rPr>
                <w:szCs w:val="20"/>
              </w:rPr>
            </w:pPr>
            <w:r w:rsidRPr="008C1E5F">
              <w:rPr>
                <w:szCs w:val="20"/>
              </w:rPr>
              <w:t>John J. Doran</w:t>
            </w:r>
          </w:p>
        </w:tc>
        <w:tc>
          <w:tcPr>
            <w:tcW w:w="1620" w:type="dxa"/>
            <w:vAlign w:val="center"/>
          </w:tcPr>
          <w:p w14:paraId="1DC5A3AE" w14:textId="77777777" w:rsidR="00C60C82" w:rsidRPr="008C1E5F" w:rsidRDefault="00C60C82" w:rsidP="0015336A">
            <w:pPr>
              <w:pStyle w:val="TableTextCentered"/>
              <w:spacing w:before="30" w:after="30"/>
              <w:rPr>
                <w:szCs w:val="20"/>
              </w:rPr>
            </w:pPr>
            <w:r w:rsidRPr="008C1E5F">
              <w:rPr>
                <w:szCs w:val="20"/>
              </w:rPr>
              <w:t>51</w:t>
            </w:r>
          </w:p>
        </w:tc>
        <w:tc>
          <w:tcPr>
            <w:tcW w:w="1080" w:type="dxa"/>
            <w:vAlign w:val="center"/>
          </w:tcPr>
          <w:p w14:paraId="42250687" w14:textId="77777777" w:rsidR="00C60C82" w:rsidRPr="008C1E5F" w:rsidRDefault="00C60C82" w:rsidP="0015336A">
            <w:pPr>
              <w:pStyle w:val="TableTextCentered"/>
              <w:spacing w:before="30" w:after="30"/>
              <w:rPr>
                <w:szCs w:val="20"/>
              </w:rPr>
            </w:pPr>
            <w:r w:rsidRPr="008C1E5F">
              <w:rPr>
                <w:szCs w:val="20"/>
              </w:rPr>
              <w:t>18</w:t>
            </w:r>
          </w:p>
        </w:tc>
        <w:tc>
          <w:tcPr>
            <w:tcW w:w="2190" w:type="dxa"/>
            <w:vAlign w:val="center"/>
          </w:tcPr>
          <w:p w14:paraId="21784B5A" w14:textId="77777777" w:rsidR="00C60C82" w:rsidRPr="008C1E5F" w:rsidRDefault="00C60C82" w:rsidP="0015336A">
            <w:pPr>
              <w:pStyle w:val="TableTextCentered"/>
              <w:spacing w:before="30" w:after="30"/>
              <w:rPr>
                <w:szCs w:val="20"/>
              </w:rPr>
            </w:pPr>
            <w:r w:rsidRPr="008C1E5F">
              <w:t>Not requiring assistance or intervention</w:t>
            </w:r>
          </w:p>
        </w:tc>
        <w:tc>
          <w:tcPr>
            <w:tcW w:w="2392" w:type="dxa"/>
            <w:vAlign w:val="center"/>
          </w:tcPr>
          <w:p w14:paraId="1EEF7B29" w14:textId="77777777" w:rsidR="00C60C82" w:rsidRPr="008C1E5F" w:rsidRDefault="00C60C82" w:rsidP="0015336A">
            <w:pPr>
              <w:pStyle w:val="TableTextCentered"/>
              <w:spacing w:before="30" w:after="30"/>
              <w:rPr>
                <w:szCs w:val="20"/>
              </w:rPr>
            </w:pPr>
            <w:r w:rsidRPr="008C1E5F">
              <w:t>Substantial progress toward targets</w:t>
            </w:r>
          </w:p>
        </w:tc>
      </w:tr>
      <w:tr w:rsidR="00C60C82" w:rsidRPr="008C1E5F" w14:paraId="52B4B374" w14:textId="77777777" w:rsidTr="0015336A">
        <w:trPr>
          <w:jc w:val="center"/>
        </w:trPr>
        <w:tc>
          <w:tcPr>
            <w:tcW w:w="2062" w:type="dxa"/>
            <w:vAlign w:val="center"/>
          </w:tcPr>
          <w:p w14:paraId="1EBC80EE" w14:textId="77777777" w:rsidR="00C60C82" w:rsidRPr="008C1E5F" w:rsidRDefault="00C60C82" w:rsidP="0015336A">
            <w:pPr>
              <w:pStyle w:val="TableText"/>
              <w:spacing w:before="30" w:after="30"/>
              <w:rPr>
                <w:szCs w:val="20"/>
              </w:rPr>
            </w:pPr>
            <w:r w:rsidRPr="008C1E5F">
              <w:rPr>
                <w:szCs w:val="20"/>
              </w:rPr>
              <w:t>Letourneau Elementary School</w:t>
            </w:r>
          </w:p>
        </w:tc>
        <w:tc>
          <w:tcPr>
            <w:tcW w:w="1620" w:type="dxa"/>
            <w:vAlign w:val="center"/>
          </w:tcPr>
          <w:p w14:paraId="40AAE7E7" w14:textId="77777777" w:rsidR="00C60C82" w:rsidRPr="008C1E5F" w:rsidRDefault="00C60C82" w:rsidP="0015336A">
            <w:pPr>
              <w:pStyle w:val="TableTextCentered"/>
              <w:spacing w:before="30" w:after="30"/>
              <w:rPr>
                <w:szCs w:val="20"/>
              </w:rPr>
            </w:pPr>
            <w:r w:rsidRPr="008C1E5F">
              <w:rPr>
                <w:szCs w:val="20"/>
              </w:rPr>
              <w:t>53</w:t>
            </w:r>
          </w:p>
        </w:tc>
        <w:tc>
          <w:tcPr>
            <w:tcW w:w="1080" w:type="dxa"/>
            <w:vAlign w:val="center"/>
          </w:tcPr>
          <w:p w14:paraId="778F60A8" w14:textId="77777777" w:rsidR="00C60C82" w:rsidRPr="008C1E5F" w:rsidRDefault="00C60C82" w:rsidP="0015336A">
            <w:pPr>
              <w:pStyle w:val="TableTextCentered"/>
              <w:spacing w:before="30" w:after="30"/>
              <w:rPr>
                <w:szCs w:val="20"/>
              </w:rPr>
            </w:pPr>
            <w:r w:rsidRPr="008C1E5F">
              <w:rPr>
                <w:szCs w:val="20"/>
              </w:rPr>
              <w:t>20</w:t>
            </w:r>
          </w:p>
        </w:tc>
        <w:tc>
          <w:tcPr>
            <w:tcW w:w="2190" w:type="dxa"/>
            <w:vAlign w:val="center"/>
          </w:tcPr>
          <w:p w14:paraId="527C01C5" w14:textId="77777777" w:rsidR="00C60C82" w:rsidRPr="008C1E5F" w:rsidRDefault="00C60C82" w:rsidP="0015336A">
            <w:pPr>
              <w:pStyle w:val="TableTextCentered"/>
              <w:spacing w:before="30" w:after="30"/>
              <w:rPr>
                <w:szCs w:val="20"/>
              </w:rPr>
            </w:pPr>
            <w:r w:rsidRPr="008C1E5F">
              <w:t>Not requiring assistance or intervention</w:t>
            </w:r>
          </w:p>
        </w:tc>
        <w:tc>
          <w:tcPr>
            <w:tcW w:w="2392" w:type="dxa"/>
            <w:vAlign w:val="center"/>
          </w:tcPr>
          <w:p w14:paraId="7A5CBC67" w14:textId="77777777" w:rsidR="00C60C82" w:rsidRPr="008C1E5F" w:rsidRDefault="00C60C82" w:rsidP="0015336A">
            <w:pPr>
              <w:pStyle w:val="TableTextCentered"/>
              <w:spacing w:before="30" w:after="30"/>
              <w:rPr>
                <w:szCs w:val="20"/>
              </w:rPr>
            </w:pPr>
            <w:r w:rsidRPr="008C1E5F">
              <w:t>Substantial progress toward targets</w:t>
            </w:r>
          </w:p>
        </w:tc>
      </w:tr>
      <w:tr w:rsidR="00C60C82" w:rsidRPr="008C1E5F" w14:paraId="3CE830E1" w14:textId="77777777" w:rsidTr="0015336A">
        <w:trPr>
          <w:cnfStyle w:val="000000100000" w:firstRow="0" w:lastRow="0" w:firstColumn="0" w:lastColumn="0" w:oddVBand="0" w:evenVBand="0" w:oddHBand="1" w:evenHBand="0" w:firstRowFirstColumn="0" w:firstRowLastColumn="0" w:lastRowFirstColumn="0" w:lastRowLastColumn="0"/>
          <w:jc w:val="center"/>
        </w:trPr>
        <w:tc>
          <w:tcPr>
            <w:tcW w:w="2062" w:type="dxa"/>
            <w:vAlign w:val="center"/>
          </w:tcPr>
          <w:p w14:paraId="795542AD" w14:textId="77777777" w:rsidR="00C60C82" w:rsidRPr="008C1E5F" w:rsidRDefault="00C60C82" w:rsidP="0015336A">
            <w:pPr>
              <w:pStyle w:val="TableText"/>
              <w:spacing w:before="30" w:after="30"/>
            </w:pPr>
            <w:r w:rsidRPr="008C1E5F">
              <w:t>Mary Fonseca Elementary School</w:t>
            </w:r>
          </w:p>
        </w:tc>
        <w:tc>
          <w:tcPr>
            <w:tcW w:w="1620" w:type="dxa"/>
            <w:vAlign w:val="center"/>
          </w:tcPr>
          <w:p w14:paraId="56EBE95F" w14:textId="77777777" w:rsidR="00C60C82" w:rsidRPr="008C1E5F" w:rsidRDefault="00C60C82" w:rsidP="0015336A">
            <w:pPr>
              <w:pStyle w:val="TableTextCentered"/>
              <w:spacing w:before="30" w:after="30"/>
            </w:pPr>
            <w:r w:rsidRPr="008C1E5F">
              <w:t>58</w:t>
            </w:r>
          </w:p>
        </w:tc>
        <w:tc>
          <w:tcPr>
            <w:tcW w:w="1080" w:type="dxa"/>
            <w:vAlign w:val="center"/>
          </w:tcPr>
          <w:p w14:paraId="3364CB89" w14:textId="77777777" w:rsidR="00C60C82" w:rsidRPr="008C1E5F" w:rsidRDefault="00C60C82" w:rsidP="0015336A">
            <w:pPr>
              <w:pStyle w:val="TableTextCentered"/>
              <w:spacing w:before="30" w:after="30"/>
            </w:pPr>
            <w:r w:rsidRPr="008C1E5F">
              <w:t>6</w:t>
            </w:r>
          </w:p>
        </w:tc>
        <w:tc>
          <w:tcPr>
            <w:tcW w:w="2190" w:type="dxa"/>
            <w:vAlign w:val="center"/>
          </w:tcPr>
          <w:p w14:paraId="3CE1216F" w14:textId="77777777" w:rsidR="00C60C82" w:rsidRPr="008C1E5F" w:rsidRDefault="00C60C82" w:rsidP="0015336A">
            <w:pPr>
              <w:pStyle w:val="TableTextCentered"/>
              <w:spacing w:before="30" w:after="30"/>
            </w:pPr>
            <w:r w:rsidRPr="008C1E5F">
              <w:t>Requiring assistance or intervention</w:t>
            </w:r>
          </w:p>
        </w:tc>
        <w:tc>
          <w:tcPr>
            <w:tcW w:w="2392" w:type="dxa"/>
            <w:vAlign w:val="center"/>
          </w:tcPr>
          <w:p w14:paraId="23CC70EC" w14:textId="77777777" w:rsidR="00C60C82" w:rsidRPr="008C1E5F" w:rsidRDefault="00C60C82" w:rsidP="0015336A">
            <w:pPr>
              <w:pStyle w:val="TableTextCentered"/>
              <w:spacing w:before="30" w:after="30"/>
            </w:pPr>
            <w:r w:rsidRPr="008C1E5F">
              <w:t>In need of broad/comprehensive support: Underperforming school</w:t>
            </w:r>
          </w:p>
          <w:p w14:paraId="7514E027" w14:textId="77777777" w:rsidR="00C60C82" w:rsidRPr="008C1E5F" w:rsidRDefault="00C60C82" w:rsidP="0015336A">
            <w:pPr>
              <w:pStyle w:val="TableTextCentered"/>
              <w:spacing w:before="30" w:after="30"/>
            </w:pPr>
            <w:r w:rsidRPr="008C1E5F">
              <w:t>Low student group performance: White</w:t>
            </w:r>
          </w:p>
        </w:tc>
      </w:tr>
      <w:tr w:rsidR="00C60C82" w:rsidRPr="008C1E5F" w14:paraId="6C3A6256" w14:textId="77777777" w:rsidTr="0015336A">
        <w:trPr>
          <w:jc w:val="center"/>
        </w:trPr>
        <w:tc>
          <w:tcPr>
            <w:tcW w:w="2062" w:type="dxa"/>
            <w:vAlign w:val="center"/>
          </w:tcPr>
          <w:p w14:paraId="32A7F331" w14:textId="77777777" w:rsidR="00C60C82" w:rsidRPr="008C1E5F" w:rsidRDefault="00C60C82" w:rsidP="0015336A">
            <w:pPr>
              <w:pStyle w:val="TableText"/>
              <w:spacing w:before="30" w:after="30"/>
            </w:pPr>
            <w:r w:rsidRPr="008C1E5F">
              <w:lastRenderedPageBreak/>
              <w:t>North End Elementary</w:t>
            </w:r>
          </w:p>
        </w:tc>
        <w:tc>
          <w:tcPr>
            <w:tcW w:w="1620" w:type="dxa"/>
            <w:vAlign w:val="center"/>
          </w:tcPr>
          <w:p w14:paraId="70297544" w14:textId="77777777" w:rsidR="00C60C82" w:rsidRPr="008C1E5F" w:rsidRDefault="00C60C82" w:rsidP="0015336A">
            <w:pPr>
              <w:pStyle w:val="TableTextCentered"/>
              <w:spacing w:before="30" w:after="30"/>
            </w:pPr>
            <w:r w:rsidRPr="008C1E5F">
              <w:t>61</w:t>
            </w:r>
          </w:p>
        </w:tc>
        <w:tc>
          <w:tcPr>
            <w:tcW w:w="1080" w:type="dxa"/>
            <w:vAlign w:val="center"/>
          </w:tcPr>
          <w:p w14:paraId="0184A313" w14:textId="77777777" w:rsidR="00C60C82" w:rsidRPr="008C1E5F" w:rsidRDefault="00C60C82" w:rsidP="0015336A">
            <w:pPr>
              <w:pStyle w:val="TableTextCentered"/>
              <w:spacing w:before="30" w:after="30"/>
            </w:pPr>
            <w:r w:rsidRPr="008C1E5F">
              <w:t>40</w:t>
            </w:r>
          </w:p>
        </w:tc>
        <w:tc>
          <w:tcPr>
            <w:tcW w:w="2190" w:type="dxa"/>
            <w:vAlign w:val="center"/>
          </w:tcPr>
          <w:p w14:paraId="5870BCA2" w14:textId="77777777" w:rsidR="00C60C82" w:rsidRPr="008C1E5F" w:rsidRDefault="00C60C82" w:rsidP="0015336A">
            <w:pPr>
              <w:pStyle w:val="TableTextCentered"/>
              <w:spacing w:before="30" w:after="30"/>
            </w:pPr>
            <w:r w:rsidRPr="008C1E5F">
              <w:t>Not requiring assistance or intervention</w:t>
            </w:r>
          </w:p>
        </w:tc>
        <w:tc>
          <w:tcPr>
            <w:tcW w:w="2392" w:type="dxa"/>
            <w:vAlign w:val="center"/>
          </w:tcPr>
          <w:p w14:paraId="78017D8C" w14:textId="77777777" w:rsidR="00C60C82" w:rsidRPr="008C1E5F" w:rsidRDefault="00C60C82" w:rsidP="0015336A">
            <w:pPr>
              <w:pStyle w:val="TableTextCentered"/>
              <w:spacing w:before="30" w:after="30"/>
            </w:pPr>
            <w:r w:rsidRPr="008C1E5F">
              <w:t>Substantial progress toward targets</w:t>
            </w:r>
          </w:p>
        </w:tc>
      </w:tr>
      <w:tr w:rsidR="00C60C82" w:rsidRPr="008C1E5F" w14:paraId="3F771547" w14:textId="77777777" w:rsidTr="0015336A">
        <w:trPr>
          <w:cnfStyle w:val="000000100000" w:firstRow="0" w:lastRow="0" w:firstColumn="0" w:lastColumn="0" w:oddVBand="0" w:evenVBand="0" w:oddHBand="1" w:evenHBand="0" w:firstRowFirstColumn="0" w:firstRowLastColumn="0" w:lastRowFirstColumn="0" w:lastRowLastColumn="0"/>
          <w:jc w:val="center"/>
        </w:trPr>
        <w:tc>
          <w:tcPr>
            <w:tcW w:w="2062" w:type="dxa"/>
            <w:vAlign w:val="center"/>
          </w:tcPr>
          <w:p w14:paraId="16DB6E76" w14:textId="77777777" w:rsidR="00C60C82" w:rsidRPr="008C1E5F" w:rsidRDefault="00C60C82" w:rsidP="0015336A">
            <w:pPr>
              <w:pStyle w:val="TableText"/>
              <w:spacing w:before="30" w:after="30"/>
            </w:pPr>
            <w:r w:rsidRPr="008C1E5F">
              <w:t>Samuel Watson</w:t>
            </w:r>
          </w:p>
        </w:tc>
        <w:tc>
          <w:tcPr>
            <w:tcW w:w="1620" w:type="dxa"/>
            <w:vAlign w:val="center"/>
          </w:tcPr>
          <w:p w14:paraId="7B296A06" w14:textId="77777777" w:rsidR="00C60C82" w:rsidRPr="008C1E5F" w:rsidRDefault="00C60C82" w:rsidP="0015336A">
            <w:pPr>
              <w:pStyle w:val="TableTextCentered"/>
              <w:spacing w:before="30" w:after="30"/>
            </w:pPr>
            <w:r w:rsidRPr="008C1E5F">
              <w:t>32</w:t>
            </w:r>
          </w:p>
        </w:tc>
        <w:tc>
          <w:tcPr>
            <w:tcW w:w="1080" w:type="dxa"/>
            <w:vAlign w:val="center"/>
          </w:tcPr>
          <w:p w14:paraId="7ED55B1E" w14:textId="77777777" w:rsidR="00C60C82" w:rsidRPr="008C1E5F" w:rsidRDefault="00C60C82" w:rsidP="0015336A">
            <w:pPr>
              <w:pStyle w:val="TableTextCentered"/>
              <w:spacing w:before="30" w:after="30"/>
            </w:pPr>
            <w:r w:rsidRPr="008C1E5F">
              <w:t>11</w:t>
            </w:r>
          </w:p>
        </w:tc>
        <w:tc>
          <w:tcPr>
            <w:tcW w:w="2190" w:type="dxa"/>
            <w:vAlign w:val="center"/>
          </w:tcPr>
          <w:p w14:paraId="5A158050" w14:textId="77777777" w:rsidR="00C60C82" w:rsidRPr="008C1E5F" w:rsidRDefault="00C60C82" w:rsidP="0015336A">
            <w:pPr>
              <w:pStyle w:val="TableTextCentered"/>
              <w:spacing w:before="30" w:after="30"/>
            </w:pPr>
            <w:r w:rsidRPr="008C1E5F">
              <w:t>Requiring assistance or intervention</w:t>
            </w:r>
          </w:p>
        </w:tc>
        <w:tc>
          <w:tcPr>
            <w:tcW w:w="2392" w:type="dxa"/>
            <w:vAlign w:val="center"/>
          </w:tcPr>
          <w:p w14:paraId="05E864FE" w14:textId="77777777" w:rsidR="00C60C82" w:rsidRPr="008C1E5F" w:rsidRDefault="00C60C82" w:rsidP="0015336A">
            <w:pPr>
              <w:pStyle w:val="TableTextCentered"/>
              <w:spacing w:before="30" w:after="30"/>
            </w:pPr>
            <w:r w:rsidRPr="008C1E5F">
              <w:t>Low student group performance: White</w:t>
            </w:r>
          </w:p>
        </w:tc>
      </w:tr>
      <w:tr w:rsidR="00C60C82" w:rsidRPr="008C1E5F" w14:paraId="1AD394E7" w14:textId="77777777" w:rsidTr="0015336A">
        <w:trPr>
          <w:jc w:val="center"/>
        </w:trPr>
        <w:tc>
          <w:tcPr>
            <w:tcW w:w="2062" w:type="dxa"/>
            <w:vAlign w:val="center"/>
          </w:tcPr>
          <w:p w14:paraId="567816B0" w14:textId="77777777" w:rsidR="00C60C82" w:rsidRPr="008C1E5F" w:rsidRDefault="00C60C82" w:rsidP="0015336A">
            <w:pPr>
              <w:pStyle w:val="TableText"/>
              <w:spacing w:before="30" w:after="30"/>
            </w:pPr>
            <w:r w:rsidRPr="008C1E5F">
              <w:t>Spencer Borden</w:t>
            </w:r>
          </w:p>
        </w:tc>
        <w:tc>
          <w:tcPr>
            <w:tcW w:w="1620" w:type="dxa"/>
            <w:vAlign w:val="center"/>
          </w:tcPr>
          <w:p w14:paraId="580B4C3B" w14:textId="77777777" w:rsidR="00C60C82" w:rsidRPr="008C1E5F" w:rsidRDefault="00C60C82" w:rsidP="0015336A">
            <w:pPr>
              <w:pStyle w:val="TableTextCentered"/>
              <w:spacing w:before="30" w:after="30"/>
            </w:pPr>
            <w:r w:rsidRPr="008C1E5F">
              <w:t>56</w:t>
            </w:r>
          </w:p>
        </w:tc>
        <w:tc>
          <w:tcPr>
            <w:tcW w:w="1080" w:type="dxa"/>
            <w:vAlign w:val="center"/>
          </w:tcPr>
          <w:p w14:paraId="44785BA9" w14:textId="77777777" w:rsidR="00C60C82" w:rsidRPr="008C1E5F" w:rsidRDefault="00C60C82" w:rsidP="0015336A">
            <w:pPr>
              <w:pStyle w:val="TableTextCentered"/>
              <w:spacing w:before="30" w:after="30"/>
            </w:pPr>
            <w:r w:rsidRPr="008C1E5F">
              <w:t>51</w:t>
            </w:r>
          </w:p>
        </w:tc>
        <w:tc>
          <w:tcPr>
            <w:tcW w:w="2190" w:type="dxa"/>
            <w:vAlign w:val="center"/>
          </w:tcPr>
          <w:p w14:paraId="58612F45" w14:textId="77777777" w:rsidR="00C60C82" w:rsidRPr="008C1E5F" w:rsidRDefault="00C60C82" w:rsidP="0015336A">
            <w:pPr>
              <w:pStyle w:val="TableTextCentered"/>
              <w:spacing w:before="30" w:after="30"/>
            </w:pPr>
            <w:r w:rsidRPr="008C1E5F">
              <w:t>Not requiring assistance or intervention</w:t>
            </w:r>
          </w:p>
        </w:tc>
        <w:tc>
          <w:tcPr>
            <w:tcW w:w="2392" w:type="dxa"/>
            <w:vAlign w:val="center"/>
          </w:tcPr>
          <w:p w14:paraId="235F51D8" w14:textId="77777777" w:rsidR="00C60C82" w:rsidRPr="008C1E5F" w:rsidRDefault="00C60C82" w:rsidP="0015336A">
            <w:pPr>
              <w:pStyle w:val="TableTextCentered"/>
              <w:spacing w:before="30" w:after="30"/>
            </w:pPr>
            <w:r w:rsidRPr="008C1E5F">
              <w:t>Substantial progress toward targets</w:t>
            </w:r>
          </w:p>
        </w:tc>
      </w:tr>
      <w:tr w:rsidR="00C60C82" w:rsidRPr="008C1E5F" w14:paraId="75672FB9" w14:textId="77777777" w:rsidTr="0015336A">
        <w:trPr>
          <w:cnfStyle w:val="000000100000" w:firstRow="0" w:lastRow="0" w:firstColumn="0" w:lastColumn="0" w:oddVBand="0" w:evenVBand="0" w:oddHBand="1" w:evenHBand="0" w:firstRowFirstColumn="0" w:firstRowLastColumn="0" w:lastRowFirstColumn="0" w:lastRowLastColumn="0"/>
          <w:jc w:val="center"/>
        </w:trPr>
        <w:tc>
          <w:tcPr>
            <w:tcW w:w="2062" w:type="dxa"/>
            <w:vAlign w:val="center"/>
          </w:tcPr>
          <w:p w14:paraId="420415B2" w14:textId="77777777" w:rsidR="00C60C82" w:rsidRPr="008C1E5F" w:rsidRDefault="00C60C82" w:rsidP="0015336A">
            <w:pPr>
              <w:pStyle w:val="TableText"/>
              <w:spacing w:before="30" w:after="30"/>
            </w:pPr>
            <w:r w:rsidRPr="008C1E5F">
              <w:t>William S. Greene</w:t>
            </w:r>
          </w:p>
        </w:tc>
        <w:tc>
          <w:tcPr>
            <w:tcW w:w="1620" w:type="dxa"/>
            <w:vAlign w:val="center"/>
          </w:tcPr>
          <w:p w14:paraId="31C114D9" w14:textId="77777777" w:rsidR="00C60C82" w:rsidRPr="008C1E5F" w:rsidRDefault="00C60C82" w:rsidP="0015336A">
            <w:pPr>
              <w:pStyle w:val="TableTextCentered"/>
              <w:spacing w:before="30" w:after="30"/>
            </w:pPr>
            <w:r w:rsidRPr="008C1E5F">
              <w:t>44</w:t>
            </w:r>
          </w:p>
        </w:tc>
        <w:tc>
          <w:tcPr>
            <w:tcW w:w="1080" w:type="dxa"/>
            <w:vAlign w:val="center"/>
          </w:tcPr>
          <w:p w14:paraId="574991BC" w14:textId="77777777" w:rsidR="00C60C82" w:rsidRPr="008C1E5F" w:rsidRDefault="00C60C82" w:rsidP="0015336A">
            <w:pPr>
              <w:pStyle w:val="TableTextCentered"/>
              <w:spacing w:before="30" w:after="30"/>
            </w:pPr>
            <w:r w:rsidRPr="008C1E5F">
              <w:t>7</w:t>
            </w:r>
          </w:p>
        </w:tc>
        <w:tc>
          <w:tcPr>
            <w:tcW w:w="2190" w:type="dxa"/>
            <w:vAlign w:val="center"/>
          </w:tcPr>
          <w:p w14:paraId="3C68CF62" w14:textId="77777777" w:rsidR="00C60C82" w:rsidRPr="008C1E5F" w:rsidRDefault="00C60C82" w:rsidP="0015336A">
            <w:pPr>
              <w:pStyle w:val="TableTextCentered"/>
              <w:spacing w:before="30" w:after="30"/>
            </w:pPr>
            <w:r w:rsidRPr="008C1E5F">
              <w:t>Requiring assistance or intervention</w:t>
            </w:r>
          </w:p>
        </w:tc>
        <w:tc>
          <w:tcPr>
            <w:tcW w:w="2392" w:type="dxa"/>
            <w:vAlign w:val="center"/>
          </w:tcPr>
          <w:p w14:paraId="1BE8C6A2" w14:textId="77777777" w:rsidR="00C60C82" w:rsidRPr="008C1E5F" w:rsidRDefault="00C60C82" w:rsidP="0015336A">
            <w:pPr>
              <w:pStyle w:val="TableTextCentered"/>
              <w:spacing w:before="30" w:after="30"/>
            </w:pPr>
            <w:r w:rsidRPr="008C1E5F">
              <w:t>Among the lowest performing 10% of schools</w:t>
            </w:r>
          </w:p>
          <w:p w14:paraId="4C18FB22" w14:textId="77777777" w:rsidR="00C60C82" w:rsidRPr="008C1E5F" w:rsidRDefault="00C60C82" w:rsidP="0015336A">
            <w:pPr>
              <w:pStyle w:val="TableTextCentered"/>
              <w:spacing w:before="30" w:after="30"/>
            </w:pPr>
            <w:r w:rsidRPr="008C1E5F">
              <w:t>Low student group performance: White</w:t>
            </w:r>
          </w:p>
        </w:tc>
      </w:tr>
      <w:tr w:rsidR="00C60C82" w:rsidRPr="008C1E5F" w14:paraId="289DB0EA" w14:textId="77777777" w:rsidTr="0015336A">
        <w:trPr>
          <w:jc w:val="center"/>
        </w:trPr>
        <w:tc>
          <w:tcPr>
            <w:tcW w:w="2062" w:type="dxa"/>
            <w:vAlign w:val="center"/>
          </w:tcPr>
          <w:p w14:paraId="129ECD63" w14:textId="77777777" w:rsidR="00C60C82" w:rsidRPr="008C1E5F" w:rsidRDefault="00C60C82" w:rsidP="0015336A">
            <w:pPr>
              <w:pStyle w:val="TableText"/>
              <w:spacing w:before="30" w:after="30"/>
            </w:pPr>
            <w:r w:rsidRPr="008C1E5F">
              <w:t>Matthew J. Kuss</w:t>
            </w:r>
          </w:p>
        </w:tc>
        <w:tc>
          <w:tcPr>
            <w:tcW w:w="1620" w:type="dxa"/>
            <w:vAlign w:val="center"/>
          </w:tcPr>
          <w:p w14:paraId="713A0822" w14:textId="77777777" w:rsidR="00C60C82" w:rsidRPr="008C1E5F" w:rsidRDefault="00C60C82" w:rsidP="0015336A">
            <w:pPr>
              <w:pStyle w:val="TableTextCentered"/>
              <w:spacing w:before="30" w:after="30"/>
            </w:pPr>
            <w:r w:rsidRPr="008C1E5F">
              <w:t>53</w:t>
            </w:r>
          </w:p>
        </w:tc>
        <w:tc>
          <w:tcPr>
            <w:tcW w:w="1080" w:type="dxa"/>
            <w:vAlign w:val="center"/>
          </w:tcPr>
          <w:p w14:paraId="5A56F0E5" w14:textId="77777777" w:rsidR="00C60C82" w:rsidRPr="008C1E5F" w:rsidRDefault="00C60C82" w:rsidP="0015336A">
            <w:pPr>
              <w:pStyle w:val="TableTextCentered"/>
              <w:spacing w:before="30" w:after="30"/>
            </w:pPr>
            <w:r w:rsidRPr="008C1E5F">
              <w:t>3</w:t>
            </w:r>
          </w:p>
        </w:tc>
        <w:tc>
          <w:tcPr>
            <w:tcW w:w="2190" w:type="dxa"/>
            <w:vAlign w:val="center"/>
          </w:tcPr>
          <w:p w14:paraId="54645470" w14:textId="77777777" w:rsidR="00C60C82" w:rsidRPr="008C1E5F" w:rsidRDefault="00C60C82" w:rsidP="0015336A">
            <w:pPr>
              <w:pStyle w:val="TableTextCentered"/>
              <w:spacing w:before="30" w:after="30"/>
            </w:pPr>
            <w:r w:rsidRPr="008C1E5F">
              <w:t>Requiring assistance or intervention</w:t>
            </w:r>
          </w:p>
        </w:tc>
        <w:tc>
          <w:tcPr>
            <w:tcW w:w="2392" w:type="dxa"/>
            <w:vAlign w:val="center"/>
          </w:tcPr>
          <w:p w14:paraId="28081EF6" w14:textId="77777777" w:rsidR="00C60C82" w:rsidRPr="008C1E5F" w:rsidRDefault="00C60C82" w:rsidP="0015336A">
            <w:pPr>
              <w:pStyle w:val="TableTextCentered"/>
              <w:spacing w:before="30" w:after="30"/>
            </w:pPr>
            <w:r w:rsidRPr="008C1E5F">
              <w:t>Among the lowest performing 10% of schools</w:t>
            </w:r>
          </w:p>
          <w:p w14:paraId="5A9887C7" w14:textId="77777777" w:rsidR="00C60C82" w:rsidRPr="008C1E5F" w:rsidRDefault="00C60C82" w:rsidP="0015336A">
            <w:pPr>
              <w:pStyle w:val="TableTextCentered"/>
              <w:spacing w:before="30" w:after="30"/>
            </w:pPr>
            <w:r w:rsidRPr="008C1E5F">
              <w:t>Low student group performance: Asian, White, Students with disabilities, Low income, Hispanic/Latino, EL and former EL, and High needs</w:t>
            </w:r>
          </w:p>
        </w:tc>
      </w:tr>
      <w:tr w:rsidR="00C60C82" w:rsidRPr="008C1E5F" w14:paraId="074EA0BB" w14:textId="77777777" w:rsidTr="0015336A">
        <w:trPr>
          <w:cnfStyle w:val="000000100000" w:firstRow="0" w:lastRow="0" w:firstColumn="0" w:lastColumn="0" w:oddVBand="0" w:evenVBand="0" w:oddHBand="1" w:evenHBand="0" w:firstRowFirstColumn="0" w:firstRowLastColumn="0" w:lastRowFirstColumn="0" w:lastRowLastColumn="0"/>
          <w:jc w:val="center"/>
        </w:trPr>
        <w:tc>
          <w:tcPr>
            <w:tcW w:w="2062" w:type="dxa"/>
            <w:vAlign w:val="center"/>
          </w:tcPr>
          <w:p w14:paraId="4498CFC2" w14:textId="77777777" w:rsidR="00C60C82" w:rsidRPr="008C1E5F" w:rsidRDefault="00C60C82" w:rsidP="0015336A">
            <w:pPr>
              <w:pStyle w:val="TableText"/>
              <w:spacing w:before="30" w:after="30"/>
            </w:pPr>
            <w:r w:rsidRPr="008C1E5F">
              <w:t>Morton Middle</w:t>
            </w:r>
          </w:p>
        </w:tc>
        <w:tc>
          <w:tcPr>
            <w:tcW w:w="1620" w:type="dxa"/>
            <w:vAlign w:val="center"/>
          </w:tcPr>
          <w:p w14:paraId="35671BA5" w14:textId="77777777" w:rsidR="00C60C82" w:rsidRPr="008C1E5F" w:rsidRDefault="00C60C82" w:rsidP="0015336A">
            <w:pPr>
              <w:pStyle w:val="TableTextCentered"/>
              <w:spacing w:before="30" w:after="30"/>
            </w:pPr>
            <w:r w:rsidRPr="008C1E5F">
              <w:t>28</w:t>
            </w:r>
          </w:p>
        </w:tc>
        <w:tc>
          <w:tcPr>
            <w:tcW w:w="1080" w:type="dxa"/>
            <w:vAlign w:val="center"/>
          </w:tcPr>
          <w:p w14:paraId="4F9C5E6F" w14:textId="77777777" w:rsidR="00C60C82" w:rsidRPr="008C1E5F" w:rsidRDefault="00C60C82" w:rsidP="0015336A">
            <w:pPr>
              <w:pStyle w:val="TableTextCentered"/>
              <w:spacing w:before="30" w:after="30"/>
            </w:pPr>
            <w:r w:rsidRPr="008C1E5F">
              <w:t>2</w:t>
            </w:r>
          </w:p>
        </w:tc>
        <w:tc>
          <w:tcPr>
            <w:tcW w:w="2190" w:type="dxa"/>
            <w:vAlign w:val="center"/>
          </w:tcPr>
          <w:p w14:paraId="3CDFABD4" w14:textId="77777777" w:rsidR="00C60C82" w:rsidRPr="008C1E5F" w:rsidRDefault="00C60C82" w:rsidP="0015336A">
            <w:pPr>
              <w:pStyle w:val="TableTextCentered"/>
              <w:spacing w:before="30" w:after="30"/>
            </w:pPr>
            <w:r w:rsidRPr="008C1E5F">
              <w:t>Requiring assistance or intervention</w:t>
            </w:r>
          </w:p>
        </w:tc>
        <w:tc>
          <w:tcPr>
            <w:tcW w:w="2392" w:type="dxa"/>
            <w:vAlign w:val="center"/>
          </w:tcPr>
          <w:p w14:paraId="6BCFC63F" w14:textId="77777777" w:rsidR="00C60C82" w:rsidRPr="008C1E5F" w:rsidRDefault="00C60C82" w:rsidP="0015336A">
            <w:pPr>
              <w:pStyle w:val="TableTextCentered"/>
              <w:spacing w:before="30" w:after="30"/>
            </w:pPr>
            <w:r w:rsidRPr="008C1E5F">
              <w:t>Among the lowest performing 10% of schools</w:t>
            </w:r>
          </w:p>
          <w:p w14:paraId="1CF53DC0" w14:textId="77777777" w:rsidR="00C60C82" w:rsidRPr="008C1E5F" w:rsidRDefault="00C60C82" w:rsidP="0015336A">
            <w:pPr>
              <w:pStyle w:val="TableTextCentered"/>
              <w:spacing w:before="30" w:after="30"/>
            </w:pPr>
            <w:r w:rsidRPr="008C1E5F">
              <w:t>Low student group performance: African American/Black, White, Students with disabilities, Low income, Hispanic/Latino, EL and former EL, and High needs</w:t>
            </w:r>
          </w:p>
        </w:tc>
      </w:tr>
      <w:tr w:rsidR="00C60C82" w:rsidRPr="008C1E5F" w14:paraId="47DAB712" w14:textId="77777777" w:rsidTr="0015336A">
        <w:trPr>
          <w:jc w:val="center"/>
        </w:trPr>
        <w:tc>
          <w:tcPr>
            <w:tcW w:w="2062" w:type="dxa"/>
            <w:vAlign w:val="center"/>
          </w:tcPr>
          <w:p w14:paraId="6E78DF53" w14:textId="77777777" w:rsidR="00C60C82" w:rsidRPr="008C1E5F" w:rsidRDefault="00C60C82" w:rsidP="0015336A">
            <w:pPr>
              <w:pStyle w:val="TableText"/>
              <w:spacing w:before="30" w:after="30"/>
            </w:pPr>
            <w:r w:rsidRPr="008C1E5F">
              <w:t>Talbot Innovation School</w:t>
            </w:r>
          </w:p>
        </w:tc>
        <w:tc>
          <w:tcPr>
            <w:tcW w:w="1620" w:type="dxa"/>
            <w:vAlign w:val="center"/>
          </w:tcPr>
          <w:p w14:paraId="2E1C789A" w14:textId="77777777" w:rsidR="00C60C82" w:rsidRPr="008C1E5F" w:rsidRDefault="00C60C82" w:rsidP="0015336A">
            <w:pPr>
              <w:pStyle w:val="TableTextCentered"/>
              <w:spacing w:before="30" w:after="30"/>
            </w:pPr>
            <w:r w:rsidRPr="008C1E5F">
              <w:t>72</w:t>
            </w:r>
          </w:p>
        </w:tc>
        <w:tc>
          <w:tcPr>
            <w:tcW w:w="1080" w:type="dxa"/>
            <w:vAlign w:val="center"/>
          </w:tcPr>
          <w:p w14:paraId="154B72C1" w14:textId="77777777" w:rsidR="00C60C82" w:rsidRPr="008C1E5F" w:rsidRDefault="00C60C82" w:rsidP="0015336A">
            <w:pPr>
              <w:pStyle w:val="TableTextCentered"/>
              <w:spacing w:before="30" w:after="30"/>
            </w:pPr>
            <w:r w:rsidRPr="008C1E5F">
              <w:t>7</w:t>
            </w:r>
          </w:p>
        </w:tc>
        <w:tc>
          <w:tcPr>
            <w:tcW w:w="2190" w:type="dxa"/>
            <w:vAlign w:val="center"/>
          </w:tcPr>
          <w:p w14:paraId="0A7E228B" w14:textId="77777777" w:rsidR="00C60C82" w:rsidRPr="008C1E5F" w:rsidRDefault="00C60C82" w:rsidP="0015336A">
            <w:pPr>
              <w:pStyle w:val="TableTextCentered"/>
              <w:spacing w:before="30" w:after="30"/>
            </w:pPr>
            <w:r w:rsidRPr="008C1E5F">
              <w:t>Requiring assistance or intervention</w:t>
            </w:r>
          </w:p>
        </w:tc>
        <w:tc>
          <w:tcPr>
            <w:tcW w:w="2392" w:type="dxa"/>
            <w:vAlign w:val="center"/>
          </w:tcPr>
          <w:p w14:paraId="23FFEC77" w14:textId="77777777" w:rsidR="00C60C82" w:rsidRPr="008C1E5F" w:rsidRDefault="00C60C82" w:rsidP="0015336A">
            <w:pPr>
              <w:pStyle w:val="TableTextCentered"/>
              <w:spacing w:before="30" w:after="30"/>
            </w:pPr>
            <w:r w:rsidRPr="008C1E5F">
              <w:t>Among the lowest performing 10% of schools</w:t>
            </w:r>
          </w:p>
          <w:p w14:paraId="2C1F4D06" w14:textId="77777777" w:rsidR="00C60C82" w:rsidRPr="008C1E5F" w:rsidRDefault="00C60C82" w:rsidP="0015336A">
            <w:pPr>
              <w:pStyle w:val="TableTextCentered"/>
              <w:spacing w:before="30" w:after="30"/>
            </w:pPr>
            <w:r w:rsidRPr="008C1E5F">
              <w:t>Low student group performance: White, and Students with disabilities</w:t>
            </w:r>
          </w:p>
        </w:tc>
      </w:tr>
      <w:tr w:rsidR="00C60C82" w:rsidRPr="008C1E5F" w14:paraId="6DE255D0" w14:textId="77777777" w:rsidTr="0015336A">
        <w:trPr>
          <w:cnfStyle w:val="000000100000" w:firstRow="0" w:lastRow="0" w:firstColumn="0" w:lastColumn="0" w:oddVBand="0" w:evenVBand="0" w:oddHBand="1" w:evenHBand="0" w:firstRowFirstColumn="0" w:firstRowLastColumn="0" w:lastRowFirstColumn="0" w:lastRowLastColumn="0"/>
          <w:jc w:val="center"/>
        </w:trPr>
        <w:tc>
          <w:tcPr>
            <w:tcW w:w="2062" w:type="dxa"/>
            <w:vAlign w:val="center"/>
          </w:tcPr>
          <w:p w14:paraId="2CAE09DA" w14:textId="77777777" w:rsidR="00C60C82" w:rsidRPr="008C1E5F" w:rsidRDefault="00C60C82" w:rsidP="0015336A">
            <w:pPr>
              <w:pStyle w:val="TableText"/>
              <w:spacing w:before="30" w:after="30"/>
            </w:pPr>
            <w:r w:rsidRPr="008C1E5F">
              <w:t>B.M.C. Durfee High</w:t>
            </w:r>
          </w:p>
        </w:tc>
        <w:tc>
          <w:tcPr>
            <w:tcW w:w="1620" w:type="dxa"/>
            <w:vAlign w:val="center"/>
          </w:tcPr>
          <w:p w14:paraId="2BBCC1A5" w14:textId="77777777" w:rsidR="00C60C82" w:rsidRPr="008C1E5F" w:rsidRDefault="00C60C82" w:rsidP="0015336A">
            <w:pPr>
              <w:pStyle w:val="TableTextCentered"/>
              <w:spacing w:before="30" w:after="30"/>
            </w:pPr>
            <w:r w:rsidRPr="008C1E5F">
              <w:t>24</w:t>
            </w:r>
          </w:p>
        </w:tc>
        <w:tc>
          <w:tcPr>
            <w:tcW w:w="1080" w:type="dxa"/>
            <w:vAlign w:val="center"/>
          </w:tcPr>
          <w:p w14:paraId="035D9B6E" w14:textId="77777777" w:rsidR="00C60C82" w:rsidRPr="008C1E5F" w:rsidRDefault="00C60C82" w:rsidP="0015336A">
            <w:pPr>
              <w:pStyle w:val="TableTextCentered"/>
              <w:spacing w:before="30" w:after="30"/>
            </w:pPr>
            <w:r w:rsidRPr="008C1E5F">
              <w:t>6</w:t>
            </w:r>
          </w:p>
        </w:tc>
        <w:tc>
          <w:tcPr>
            <w:tcW w:w="2190" w:type="dxa"/>
            <w:vAlign w:val="center"/>
          </w:tcPr>
          <w:p w14:paraId="39207F30" w14:textId="77777777" w:rsidR="00C60C82" w:rsidRPr="008C1E5F" w:rsidRDefault="00C60C82" w:rsidP="0015336A">
            <w:pPr>
              <w:pStyle w:val="TableTextCentered"/>
              <w:spacing w:before="30" w:after="30"/>
            </w:pPr>
            <w:r w:rsidRPr="008C1E5F">
              <w:t>Requiring assistance or intervention</w:t>
            </w:r>
          </w:p>
        </w:tc>
        <w:tc>
          <w:tcPr>
            <w:tcW w:w="2392" w:type="dxa"/>
            <w:vAlign w:val="center"/>
          </w:tcPr>
          <w:p w14:paraId="2EBC1F11" w14:textId="77777777" w:rsidR="00C60C82" w:rsidRPr="008C1E5F" w:rsidRDefault="00C60C82" w:rsidP="0015336A">
            <w:pPr>
              <w:pStyle w:val="TableTextCentered"/>
              <w:spacing w:before="30" w:after="30"/>
            </w:pPr>
            <w:r w:rsidRPr="008C1E5F">
              <w:t>Among the lowest performing 10% of schools</w:t>
            </w:r>
          </w:p>
          <w:p w14:paraId="0200A5B9" w14:textId="77777777" w:rsidR="00C60C82" w:rsidRPr="008C1E5F" w:rsidRDefault="00C60C82" w:rsidP="0015336A">
            <w:pPr>
              <w:pStyle w:val="TableTextCentered"/>
              <w:spacing w:before="30" w:after="30"/>
            </w:pPr>
            <w:r w:rsidRPr="008C1E5F">
              <w:t>Low student group performance: White</w:t>
            </w:r>
          </w:p>
        </w:tc>
      </w:tr>
      <w:tr w:rsidR="00C60C82" w:rsidRPr="008C1E5F" w14:paraId="6A56D466" w14:textId="77777777" w:rsidTr="0015336A">
        <w:trPr>
          <w:jc w:val="center"/>
        </w:trPr>
        <w:tc>
          <w:tcPr>
            <w:tcW w:w="2062" w:type="dxa"/>
            <w:vAlign w:val="center"/>
          </w:tcPr>
          <w:p w14:paraId="1F0301D4" w14:textId="77777777" w:rsidR="00C60C82" w:rsidRPr="008C1E5F" w:rsidRDefault="00C60C82" w:rsidP="0015336A">
            <w:pPr>
              <w:pStyle w:val="TableText"/>
              <w:spacing w:before="30" w:after="30"/>
              <w:rPr>
                <w:rFonts w:ascii="Franklin Gothic Book" w:hAnsi="Franklin Gothic Book"/>
                <w:szCs w:val="20"/>
              </w:rPr>
            </w:pPr>
            <w:r w:rsidRPr="008C1E5F">
              <w:rPr>
                <w:rFonts w:ascii="Franklin Gothic Book" w:hAnsi="Franklin Gothic Book"/>
                <w:szCs w:val="20"/>
              </w:rPr>
              <w:t>Resiliency Preparatory Academy</w:t>
            </w:r>
          </w:p>
        </w:tc>
        <w:tc>
          <w:tcPr>
            <w:tcW w:w="1620" w:type="dxa"/>
            <w:vAlign w:val="center"/>
          </w:tcPr>
          <w:p w14:paraId="5169F6C2" w14:textId="77777777" w:rsidR="00C60C82" w:rsidRPr="008C1E5F" w:rsidRDefault="00C60C82" w:rsidP="0015336A">
            <w:pPr>
              <w:pStyle w:val="TableTextCentered"/>
              <w:spacing w:before="30" w:after="30"/>
              <w:rPr>
                <w:rFonts w:ascii="Franklin Gothic Book" w:hAnsi="Franklin Gothic Book"/>
                <w:szCs w:val="20"/>
              </w:rPr>
            </w:pPr>
            <w:r w:rsidRPr="008C1E5F">
              <w:rPr>
                <w:rFonts w:ascii="Franklin Gothic Book" w:hAnsi="Franklin Gothic Book"/>
                <w:szCs w:val="20"/>
              </w:rPr>
              <w:t>--</w:t>
            </w:r>
          </w:p>
        </w:tc>
        <w:tc>
          <w:tcPr>
            <w:tcW w:w="1080" w:type="dxa"/>
            <w:vAlign w:val="center"/>
          </w:tcPr>
          <w:p w14:paraId="692C5B06" w14:textId="77777777" w:rsidR="00C60C82" w:rsidRPr="008C1E5F" w:rsidRDefault="00C60C82" w:rsidP="0015336A">
            <w:pPr>
              <w:pStyle w:val="TableTextCentered"/>
              <w:spacing w:before="30" w:after="30"/>
              <w:rPr>
                <w:rFonts w:ascii="Franklin Gothic Book" w:hAnsi="Franklin Gothic Book"/>
                <w:szCs w:val="20"/>
              </w:rPr>
            </w:pPr>
            <w:r w:rsidRPr="008C1E5F">
              <w:rPr>
                <w:rFonts w:ascii="Franklin Gothic Book" w:hAnsi="Franklin Gothic Book"/>
                <w:szCs w:val="20"/>
              </w:rPr>
              <w:t>--</w:t>
            </w:r>
          </w:p>
        </w:tc>
        <w:tc>
          <w:tcPr>
            <w:tcW w:w="2190" w:type="dxa"/>
            <w:vAlign w:val="center"/>
          </w:tcPr>
          <w:p w14:paraId="65ACDA42" w14:textId="77777777" w:rsidR="00C60C82" w:rsidRPr="008C1E5F" w:rsidRDefault="00C60C82" w:rsidP="0015336A">
            <w:pPr>
              <w:pStyle w:val="TableTextCentered"/>
              <w:spacing w:before="30" w:after="30"/>
              <w:rPr>
                <w:rFonts w:ascii="Franklin Gothic Book" w:hAnsi="Franklin Gothic Book"/>
                <w:szCs w:val="20"/>
              </w:rPr>
            </w:pPr>
            <w:r w:rsidRPr="008C1E5F">
              <w:rPr>
                <w:rFonts w:ascii="Franklin Gothic Book" w:hAnsi="Franklin Gothic Book"/>
                <w:szCs w:val="20"/>
              </w:rPr>
              <w:t>Requiring assistance or intervention</w:t>
            </w:r>
          </w:p>
        </w:tc>
        <w:tc>
          <w:tcPr>
            <w:tcW w:w="2392" w:type="dxa"/>
            <w:vAlign w:val="center"/>
          </w:tcPr>
          <w:p w14:paraId="333DF117" w14:textId="77777777" w:rsidR="00C60C82" w:rsidRPr="008C1E5F" w:rsidRDefault="00C60C82" w:rsidP="0015336A">
            <w:pPr>
              <w:pStyle w:val="TableTextCentered"/>
              <w:spacing w:before="30" w:after="30"/>
              <w:rPr>
                <w:rFonts w:ascii="Franklin Gothic Book" w:hAnsi="Franklin Gothic Book"/>
                <w:szCs w:val="20"/>
              </w:rPr>
            </w:pPr>
            <w:r w:rsidRPr="008C1E5F">
              <w:rPr>
                <w:rFonts w:ascii="Franklin Gothic Book" w:hAnsi="Franklin Gothic Book"/>
                <w:szCs w:val="20"/>
              </w:rPr>
              <w:t>Low participation rate: Low income, High needs, and All students</w:t>
            </w:r>
          </w:p>
        </w:tc>
      </w:tr>
      <w:tr w:rsidR="00C60C82" w:rsidRPr="008C1E5F" w14:paraId="0890D43F" w14:textId="77777777" w:rsidTr="0015336A">
        <w:trPr>
          <w:cnfStyle w:val="000000100000" w:firstRow="0" w:lastRow="0" w:firstColumn="0" w:lastColumn="0" w:oddVBand="0" w:evenVBand="0" w:oddHBand="1" w:evenHBand="0" w:firstRowFirstColumn="0" w:firstRowLastColumn="0" w:lastRowFirstColumn="0" w:lastRowLastColumn="0"/>
          <w:jc w:val="center"/>
        </w:trPr>
        <w:tc>
          <w:tcPr>
            <w:tcW w:w="2062" w:type="dxa"/>
            <w:vAlign w:val="center"/>
          </w:tcPr>
          <w:p w14:paraId="201F2D1D" w14:textId="77777777" w:rsidR="00C60C82" w:rsidRPr="008C1E5F" w:rsidRDefault="00C60C82" w:rsidP="0015336A">
            <w:pPr>
              <w:pStyle w:val="TableText"/>
              <w:spacing w:before="30" w:after="30"/>
              <w:rPr>
                <w:rFonts w:ascii="Franklin Gothic Book" w:hAnsi="Franklin Gothic Book"/>
                <w:szCs w:val="20"/>
              </w:rPr>
            </w:pPr>
            <w:r w:rsidRPr="008C1E5F">
              <w:rPr>
                <w:rFonts w:ascii="Franklin Gothic Book" w:hAnsi="Franklin Gothic Book"/>
                <w:szCs w:val="20"/>
              </w:rPr>
              <w:t>Stone PK-12 School</w:t>
            </w:r>
          </w:p>
        </w:tc>
        <w:tc>
          <w:tcPr>
            <w:tcW w:w="1620" w:type="dxa"/>
            <w:vAlign w:val="center"/>
          </w:tcPr>
          <w:p w14:paraId="67128621" w14:textId="77777777" w:rsidR="00C60C82" w:rsidRPr="008C1E5F" w:rsidRDefault="00C60C82" w:rsidP="0015336A">
            <w:pPr>
              <w:pStyle w:val="TableTextCentered"/>
              <w:spacing w:before="30" w:after="30"/>
              <w:rPr>
                <w:rFonts w:ascii="Franklin Gothic Book" w:hAnsi="Franklin Gothic Book"/>
                <w:szCs w:val="20"/>
              </w:rPr>
            </w:pPr>
            <w:r w:rsidRPr="008C1E5F">
              <w:rPr>
                <w:rFonts w:ascii="Franklin Gothic Book" w:hAnsi="Franklin Gothic Book"/>
                <w:szCs w:val="20"/>
              </w:rPr>
              <w:t>5</w:t>
            </w:r>
          </w:p>
        </w:tc>
        <w:tc>
          <w:tcPr>
            <w:tcW w:w="1080" w:type="dxa"/>
            <w:vAlign w:val="center"/>
          </w:tcPr>
          <w:p w14:paraId="4CB07C99" w14:textId="77777777" w:rsidR="00C60C82" w:rsidRPr="008C1E5F" w:rsidRDefault="00C60C82" w:rsidP="0015336A">
            <w:pPr>
              <w:pStyle w:val="TableTextCentered"/>
              <w:spacing w:before="30" w:after="30"/>
              <w:rPr>
                <w:rFonts w:ascii="Franklin Gothic Book" w:hAnsi="Franklin Gothic Book"/>
                <w:szCs w:val="20"/>
              </w:rPr>
            </w:pPr>
            <w:r w:rsidRPr="008C1E5F">
              <w:rPr>
                <w:rFonts w:ascii="Franklin Gothic Book" w:hAnsi="Franklin Gothic Book"/>
                <w:szCs w:val="20"/>
              </w:rPr>
              <w:t>--</w:t>
            </w:r>
          </w:p>
        </w:tc>
        <w:tc>
          <w:tcPr>
            <w:tcW w:w="2190" w:type="dxa"/>
            <w:vAlign w:val="center"/>
          </w:tcPr>
          <w:p w14:paraId="29A8E6E7" w14:textId="77777777" w:rsidR="00C60C82" w:rsidRPr="008C1E5F" w:rsidRDefault="00C60C82" w:rsidP="0015336A">
            <w:pPr>
              <w:pStyle w:val="TableTextCentered"/>
              <w:spacing w:before="30" w:after="30"/>
              <w:rPr>
                <w:rFonts w:ascii="Franklin Gothic Book" w:hAnsi="Franklin Gothic Book"/>
                <w:szCs w:val="20"/>
              </w:rPr>
            </w:pPr>
            <w:r w:rsidRPr="008C1E5F">
              <w:rPr>
                <w:rFonts w:ascii="Franklin Gothic Book" w:hAnsi="Franklin Gothic Book"/>
                <w:szCs w:val="20"/>
              </w:rPr>
              <w:t>Requiring assistance or intervention</w:t>
            </w:r>
          </w:p>
        </w:tc>
        <w:tc>
          <w:tcPr>
            <w:tcW w:w="2392" w:type="dxa"/>
            <w:vAlign w:val="center"/>
          </w:tcPr>
          <w:p w14:paraId="4FAF0648" w14:textId="77777777" w:rsidR="00C60C82" w:rsidRPr="008C1E5F" w:rsidRDefault="00C60C82" w:rsidP="0015336A">
            <w:pPr>
              <w:pStyle w:val="TableTextCentered"/>
              <w:spacing w:before="30" w:after="30"/>
              <w:rPr>
                <w:rFonts w:ascii="Franklin Gothic Book" w:hAnsi="Franklin Gothic Book"/>
                <w:szCs w:val="20"/>
              </w:rPr>
            </w:pPr>
            <w:r w:rsidRPr="008C1E5F">
              <w:rPr>
                <w:rFonts w:ascii="Franklin Gothic Book" w:hAnsi="Franklin Gothic Book"/>
                <w:szCs w:val="20"/>
              </w:rPr>
              <w:t>Low participation rate: Students with disabilities, Low income, High needs, and All students</w:t>
            </w:r>
          </w:p>
        </w:tc>
      </w:tr>
    </w:tbl>
    <w:p w14:paraId="48D9DDBB" w14:textId="77777777" w:rsidR="00C60C82" w:rsidRPr="008C1E5F" w:rsidRDefault="00C60C82" w:rsidP="0015336A">
      <w:pPr>
        <w:pStyle w:val="BodyText"/>
        <w:spacing w:before="0"/>
      </w:pPr>
    </w:p>
    <w:sectPr w:rsidR="00C60C82" w:rsidRPr="008C1E5F" w:rsidSect="00305BFA">
      <w:footerReference w:type="default" r:id="rId119"/>
      <w:headerReference w:type="first" r:id="rId1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E4551" w14:textId="77777777" w:rsidR="00191483" w:rsidRDefault="00191483" w:rsidP="00B93273">
      <w:pPr>
        <w:spacing w:line="240" w:lineRule="auto"/>
      </w:pPr>
      <w:r>
        <w:separator/>
      </w:r>
    </w:p>
  </w:endnote>
  <w:endnote w:type="continuationSeparator" w:id="0">
    <w:p w14:paraId="587E2F14" w14:textId="77777777" w:rsidR="00191483" w:rsidRDefault="00191483" w:rsidP="00B93273">
      <w:pPr>
        <w:spacing w:line="240" w:lineRule="auto"/>
      </w:pPr>
      <w:r>
        <w:continuationSeparator/>
      </w:r>
    </w:p>
  </w:endnote>
  <w:endnote w:type="continuationNotice" w:id="1">
    <w:p w14:paraId="01441D2A" w14:textId="77777777" w:rsidR="00191483" w:rsidRDefault="001914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panose1 w:val="020B0909000000000000"/>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GSoeiKakugothicUB">
    <w:panose1 w:val="020B0909000000000000"/>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Menlo">
    <w:altName w:val="DokChampa"/>
    <w:charset w:val="00"/>
    <w:family w:val="modern"/>
    <w:pitch w:val="fixed"/>
    <w:sig w:usb0="E60022FF" w:usb1="D200F9FB" w:usb2="02000028" w:usb3="00000000" w:csb0="000001DF" w:csb1="00000000"/>
  </w:font>
  <w:font w:name="Helvetica Neue">
    <w:altName w:val="Sylfaen"/>
    <w:charset w:val="00"/>
    <w:family w:val="auto"/>
    <w:pitch w:val="variable"/>
    <w:sig w:usb0="E50002FF" w:usb1="500079DB" w:usb2="00000010" w:usb3="00000000" w:csb0="00000001"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33C60" w14:textId="740DCB80" w:rsidR="00486B55" w:rsidRPr="004668E7" w:rsidRDefault="07B613A1" w:rsidP="002E7525">
    <w:pPr>
      <w:pStyle w:val="Footer"/>
    </w:pPr>
    <w:r w:rsidRPr="00B3679E">
      <w:rPr>
        <w:rStyle w:val="FranklinGothicDemi"/>
        <w:color w:val="44546A" w:themeColor="text2"/>
      </w:rPr>
      <w:t>Fall River</w:t>
    </w:r>
    <w:r w:rsidR="00486B55" w:rsidRPr="00B3679E">
      <w:rPr>
        <w:rStyle w:val="FranklinGothicDemi"/>
        <w:color w:val="44546A" w:themeColor="text2"/>
      </w:rPr>
      <w:t xml:space="preserve"> Public Schools</w:t>
    </w:r>
    <w:r w:rsidR="00486B55" w:rsidRPr="0055077E">
      <w:rPr>
        <w:rStyle w:val="FranklinGothicDemi"/>
        <w:color w:val="7698D4"/>
      </w:rPr>
      <w:t xml:space="preserve"> </w:t>
    </w:r>
    <w:r w:rsidR="00486B55">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 xml:space="preserve">page </w:t>
    </w:r>
    <w:r w:rsidR="006E1875">
      <w:rPr>
        <w:rStyle w:val="FranklinGothicDemi"/>
        <w:color w:val="44546A" w:themeColor="text2"/>
      </w:rPr>
      <w:t>C</w:t>
    </w:r>
    <w:r w:rsidR="00486B55" w:rsidRPr="00B3679E">
      <w:rPr>
        <w:rStyle w:val="FranklinGothicDemi"/>
        <w:color w:val="44546A" w:themeColor="text2"/>
      </w:rPr>
      <w:t>-</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1</w:t>
    </w:r>
    <w:r w:rsidR="00486B55" w:rsidRPr="00B3679E">
      <w:rPr>
        <w:rStyle w:val="FranklinGothicDemi"/>
        <w:noProof/>
        <w:color w:val="44546A" w:themeColor="text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86B55" w:rsidRPr="006750C1" w14:paraId="2B733083" w14:textId="77777777" w:rsidTr="00D84CF0">
      <w:tc>
        <w:tcPr>
          <w:tcW w:w="3120" w:type="dxa"/>
        </w:tcPr>
        <w:p w14:paraId="38956C90" w14:textId="77777777" w:rsidR="00486B55" w:rsidRPr="006750C1" w:rsidRDefault="00486B55" w:rsidP="00D84CF0">
          <w:pPr>
            <w:pStyle w:val="Header"/>
            <w:ind w:left="-115"/>
            <w:rPr>
              <w:rFonts w:ascii="Franklin Gothic Book" w:eastAsia="Calibri" w:hAnsi="Franklin Gothic Book" w:cs="Arial"/>
            </w:rPr>
          </w:pPr>
        </w:p>
      </w:tc>
      <w:tc>
        <w:tcPr>
          <w:tcW w:w="3120" w:type="dxa"/>
        </w:tcPr>
        <w:p w14:paraId="5772A608" w14:textId="77777777" w:rsidR="00486B55" w:rsidRPr="006750C1" w:rsidRDefault="00486B55" w:rsidP="00D84CF0">
          <w:pPr>
            <w:pStyle w:val="Header"/>
            <w:jc w:val="center"/>
            <w:rPr>
              <w:rFonts w:ascii="Franklin Gothic Book" w:eastAsia="Calibri" w:hAnsi="Franklin Gothic Book" w:cs="Arial"/>
            </w:rPr>
          </w:pPr>
        </w:p>
      </w:tc>
      <w:tc>
        <w:tcPr>
          <w:tcW w:w="3120" w:type="dxa"/>
        </w:tcPr>
        <w:p w14:paraId="645852F3" w14:textId="77777777" w:rsidR="00486B55" w:rsidRPr="006750C1" w:rsidRDefault="00486B55" w:rsidP="00D84CF0">
          <w:pPr>
            <w:pStyle w:val="Header"/>
            <w:ind w:right="-115"/>
            <w:jc w:val="right"/>
            <w:rPr>
              <w:rFonts w:ascii="Franklin Gothic Book" w:eastAsia="Calibri" w:hAnsi="Franklin Gothic Book" w:cs="Arial"/>
            </w:rPr>
          </w:pPr>
        </w:p>
      </w:tc>
    </w:tr>
  </w:tbl>
  <w:p w14:paraId="7D18CB35" w14:textId="77777777" w:rsidR="00486B55" w:rsidRDefault="00486B55" w:rsidP="002D30A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AF40" w14:textId="7A8CE8D2" w:rsidR="002E7525" w:rsidRPr="004668E7" w:rsidRDefault="3D2F29E3" w:rsidP="002E7525">
    <w:pPr>
      <w:pStyle w:val="Footer"/>
    </w:pPr>
    <w:r w:rsidRPr="00B3679E">
      <w:rPr>
        <w:rStyle w:val="FranklinGothicDemi"/>
        <w:color w:val="44546A" w:themeColor="text2"/>
      </w:rPr>
      <w:t xml:space="preserve">Fall </w:t>
    </w:r>
    <w:r w:rsidR="07B613A1" w:rsidRPr="00B3679E">
      <w:rPr>
        <w:rStyle w:val="FranklinGothicDemi"/>
        <w:color w:val="44546A" w:themeColor="text2"/>
      </w:rPr>
      <w:t>River Public</w:t>
    </w:r>
    <w:r w:rsidR="00946862" w:rsidRPr="00B3679E">
      <w:rPr>
        <w:rStyle w:val="FranklinGothicDemi"/>
        <w:color w:val="44546A" w:themeColor="text2"/>
      </w:rPr>
      <w:t xml:space="preserve"> Schools</w:t>
    </w:r>
    <w:r w:rsidR="002E7525" w:rsidRPr="0055077E">
      <w:rPr>
        <w:rStyle w:val="FranklinGothicDemi"/>
        <w:color w:val="7698D4"/>
      </w:rPr>
      <w:t xml:space="preserve"> </w:t>
    </w:r>
    <w:r w:rsidR="002E7525">
      <w:ptab w:relativeTo="margin" w:alignment="right" w:leader="none"/>
    </w:r>
    <w:r w:rsidR="002E7525" w:rsidRPr="0055077E">
      <w:t xml:space="preserve"> Comprehensive District Review Report</w:t>
    </w:r>
    <w:r w:rsidR="002E7525">
      <w:t xml:space="preserve"> </w:t>
    </w:r>
    <w:r w:rsidR="002E7525" w:rsidRPr="00B3679E">
      <w:rPr>
        <w:color w:val="44546A" w:themeColor="text2"/>
      </w:rPr>
      <w:t xml:space="preserve">■ </w:t>
    </w:r>
    <w:r w:rsidR="002E7525" w:rsidRPr="00B3679E">
      <w:rPr>
        <w:rStyle w:val="FranklinGothicDemi"/>
        <w:color w:val="44546A" w:themeColor="text2"/>
      </w:rPr>
      <w:t xml:space="preserve">page </w:t>
    </w:r>
    <w:r w:rsidR="00CC52F1">
      <w:rPr>
        <w:rStyle w:val="FranklinGothicDemi"/>
        <w:color w:val="44546A" w:themeColor="text2"/>
      </w:rPr>
      <w:t>D</w:t>
    </w:r>
    <w:r w:rsidR="002E7525" w:rsidRPr="00B3679E">
      <w:rPr>
        <w:rStyle w:val="FranklinGothicDemi"/>
        <w:color w:val="44546A" w:themeColor="text2"/>
      </w:rPr>
      <w:t>-</w:t>
    </w:r>
    <w:r w:rsidR="002E7525" w:rsidRPr="00B3679E">
      <w:rPr>
        <w:rStyle w:val="FranklinGothicDemi"/>
        <w:color w:val="44546A" w:themeColor="text2"/>
      </w:rPr>
      <w:fldChar w:fldCharType="begin"/>
    </w:r>
    <w:r w:rsidR="002E7525" w:rsidRPr="00B3679E">
      <w:rPr>
        <w:rStyle w:val="FranklinGothicDemi"/>
        <w:color w:val="44546A" w:themeColor="text2"/>
      </w:rPr>
      <w:instrText xml:space="preserve"> PAGE   \* MERGEFORMAT </w:instrText>
    </w:r>
    <w:r w:rsidR="002E7525" w:rsidRPr="00B3679E">
      <w:rPr>
        <w:rStyle w:val="FranklinGothicDemi"/>
        <w:color w:val="44546A" w:themeColor="text2"/>
      </w:rPr>
      <w:fldChar w:fldCharType="separate"/>
    </w:r>
    <w:r w:rsidR="002E7525" w:rsidRPr="00B3679E">
      <w:rPr>
        <w:rStyle w:val="FranklinGothicDemi"/>
        <w:color w:val="44546A" w:themeColor="text2"/>
      </w:rPr>
      <w:t>1</w:t>
    </w:r>
    <w:r w:rsidR="002E7525" w:rsidRPr="00B3679E">
      <w:rPr>
        <w:rStyle w:val="FranklinGothicDemi"/>
        <w:noProof/>
        <w:color w:val="44546A" w:themeColor="text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980838" w:rsidRPr="006750C1" w14:paraId="35ED83F6" w14:textId="77777777" w:rsidTr="00D84CF0">
      <w:tc>
        <w:tcPr>
          <w:tcW w:w="3120" w:type="dxa"/>
        </w:tcPr>
        <w:p w14:paraId="2A6580CD" w14:textId="4A982FAA" w:rsidR="52980838" w:rsidRPr="006750C1" w:rsidRDefault="52980838" w:rsidP="00D84CF0">
          <w:pPr>
            <w:pStyle w:val="Header"/>
            <w:ind w:left="-115"/>
            <w:rPr>
              <w:rFonts w:ascii="Franklin Gothic Book" w:eastAsia="Calibri" w:hAnsi="Franklin Gothic Book" w:cs="Arial"/>
            </w:rPr>
          </w:pPr>
        </w:p>
      </w:tc>
      <w:tc>
        <w:tcPr>
          <w:tcW w:w="3120" w:type="dxa"/>
        </w:tcPr>
        <w:p w14:paraId="4C480F35" w14:textId="5A8F9814" w:rsidR="52980838" w:rsidRPr="006750C1" w:rsidRDefault="52980838" w:rsidP="00D84CF0">
          <w:pPr>
            <w:pStyle w:val="Header"/>
            <w:jc w:val="center"/>
            <w:rPr>
              <w:rFonts w:ascii="Franklin Gothic Book" w:eastAsia="Calibri" w:hAnsi="Franklin Gothic Book" w:cs="Arial"/>
            </w:rPr>
          </w:pPr>
        </w:p>
      </w:tc>
      <w:tc>
        <w:tcPr>
          <w:tcW w:w="3120" w:type="dxa"/>
        </w:tcPr>
        <w:p w14:paraId="2F3AF003" w14:textId="394D1CC5" w:rsidR="52980838" w:rsidRPr="006750C1" w:rsidRDefault="52980838" w:rsidP="00D84CF0">
          <w:pPr>
            <w:pStyle w:val="Header"/>
            <w:ind w:right="-115"/>
            <w:jc w:val="right"/>
            <w:rPr>
              <w:rFonts w:ascii="Franklin Gothic Book" w:eastAsia="Calibri" w:hAnsi="Franklin Gothic Book" w:cs="Arial"/>
            </w:rPr>
          </w:pPr>
        </w:p>
      </w:tc>
    </w:tr>
  </w:tbl>
  <w:p w14:paraId="62189066" w14:textId="201E9458" w:rsidR="52980838" w:rsidRDefault="52980838" w:rsidP="002D30A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9DDF2" w14:textId="1D02E7EC" w:rsidR="00C60C82" w:rsidRPr="004668E7" w:rsidRDefault="00C60C82" w:rsidP="00C60C82">
    <w:pPr>
      <w:pStyle w:val="Footer"/>
    </w:pPr>
    <w:r w:rsidRPr="00B3679E">
      <w:rPr>
        <w:rStyle w:val="FranklinGothicDemi"/>
        <w:color w:val="44546A" w:themeColor="text2"/>
      </w:rPr>
      <w:t>Fall River Public Schools</w:t>
    </w:r>
    <w:r w:rsidRPr="0055077E">
      <w:rPr>
        <w:rStyle w:val="FranklinGothicDemi"/>
        <w:color w:val="7698D4"/>
      </w:rPr>
      <w:t xml:space="preserve"> </w:t>
    </w:r>
    <w:r>
      <w:ptab w:relativeTo="margin" w:alignment="right" w:leader="none"/>
    </w:r>
    <w:r w:rsidRPr="0055077E">
      <w:t xml:space="preserve"> Comprehensive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E</w:t>
    </w:r>
    <w:r w:rsidRPr="00B3679E">
      <w:rPr>
        <w:rStyle w:val="FranklinGothicDemi"/>
        <w:color w:val="44546A" w:themeColor="text2"/>
      </w:rPr>
      <w:t>-</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1</w:t>
    </w:r>
    <w:r w:rsidRPr="00B3679E">
      <w:rPr>
        <w:rStyle w:val="FranklinGothicDemi"/>
        <w:noProof/>
        <w:color w:val="44546A" w:themeColor="text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C43E" w14:textId="174840B9" w:rsidR="00CC52F1" w:rsidRPr="004668E7" w:rsidRDefault="3D5003E4" w:rsidP="002E7525">
    <w:pPr>
      <w:pStyle w:val="Footer"/>
    </w:pPr>
    <w:r w:rsidRPr="00B3679E">
      <w:rPr>
        <w:rStyle w:val="FranklinGothicDemi"/>
        <w:color w:val="44546A" w:themeColor="text2"/>
      </w:rPr>
      <w:t>Fall River Public</w:t>
    </w:r>
    <w:r w:rsidR="00CC52F1" w:rsidRPr="00B3679E">
      <w:rPr>
        <w:rStyle w:val="FranklinGothicDemi"/>
        <w:color w:val="44546A" w:themeColor="text2"/>
      </w:rPr>
      <w:t xml:space="preserve"> Schools</w:t>
    </w:r>
    <w:r w:rsidR="00CC52F1" w:rsidRPr="0055077E">
      <w:rPr>
        <w:rStyle w:val="FranklinGothicDemi"/>
        <w:color w:val="7698D4"/>
      </w:rPr>
      <w:t xml:space="preserve"> </w:t>
    </w:r>
    <w:r w:rsidR="00CC52F1">
      <w:ptab w:relativeTo="margin" w:alignment="right" w:leader="none"/>
    </w:r>
    <w:r w:rsidR="00CC52F1" w:rsidRPr="0055077E">
      <w:t xml:space="preserve"> Comprehensive District Review Report</w:t>
    </w:r>
    <w:r w:rsidR="00CC52F1">
      <w:t xml:space="preserve"> </w:t>
    </w:r>
    <w:r w:rsidR="00CC52F1" w:rsidRPr="00B3679E">
      <w:rPr>
        <w:color w:val="44546A" w:themeColor="text2"/>
      </w:rPr>
      <w:t xml:space="preserve">■ </w:t>
    </w:r>
    <w:r w:rsidR="00CC52F1" w:rsidRPr="00B3679E">
      <w:rPr>
        <w:rStyle w:val="FranklinGothicDemi"/>
        <w:color w:val="44546A" w:themeColor="text2"/>
      </w:rPr>
      <w:t xml:space="preserve">page </w:t>
    </w:r>
    <w:r w:rsidR="00CC52F1">
      <w:rPr>
        <w:rStyle w:val="FranklinGothicDemi"/>
        <w:color w:val="44546A" w:themeColor="text2"/>
      </w:rPr>
      <w:t>E</w:t>
    </w:r>
    <w:r w:rsidR="00CC52F1" w:rsidRPr="00B3679E">
      <w:rPr>
        <w:rStyle w:val="FranklinGothicDemi"/>
        <w:color w:val="44546A" w:themeColor="text2"/>
      </w:rPr>
      <w:t>-</w:t>
    </w:r>
    <w:r w:rsidR="00CC52F1" w:rsidRPr="00B3679E">
      <w:rPr>
        <w:rStyle w:val="FranklinGothicDemi"/>
        <w:color w:val="44546A" w:themeColor="text2"/>
      </w:rPr>
      <w:fldChar w:fldCharType="begin"/>
    </w:r>
    <w:r w:rsidR="00CC52F1" w:rsidRPr="00B3679E">
      <w:rPr>
        <w:rStyle w:val="FranklinGothicDemi"/>
        <w:color w:val="44546A" w:themeColor="text2"/>
      </w:rPr>
      <w:instrText xml:space="preserve"> PAGE   \* MERGEFORMAT </w:instrText>
    </w:r>
    <w:r w:rsidR="00CC52F1" w:rsidRPr="00B3679E">
      <w:rPr>
        <w:rStyle w:val="FranklinGothicDemi"/>
        <w:color w:val="44546A" w:themeColor="text2"/>
      </w:rPr>
      <w:fldChar w:fldCharType="separate"/>
    </w:r>
    <w:r w:rsidR="00CC52F1" w:rsidRPr="00B3679E">
      <w:rPr>
        <w:rStyle w:val="FranklinGothicDemi"/>
        <w:color w:val="44546A" w:themeColor="text2"/>
      </w:rPr>
      <w:t>1</w:t>
    </w:r>
    <w:r w:rsidR="00CC52F1" w:rsidRPr="00B3679E">
      <w:rPr>
        <w:rStyle w:val="FranklinGothicDemi"/>
        <w:noProof/>
        <w:color w:val="44546A" w:themeColor="tex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7480" w14:textId="3D3D6334" w:rsidR="00E315A4" w:rsidRPr="004668E7" w:rsidRDefault="00881466" w:rsidP="00E315A4">
    <w:pPr>
      <w:pStyle w:val="Footer"/>
    </w:pPr>
    <w:r>
      <w:rPr>
        <w:rStyle w:val="FranklinGothicDemi"/>
        <w:color w:val="44546A" w:themeColor="text2"/>
      </w:rPr>
      <w:t>Fall River</w:t>
    </w:r>
    <w:r w:rsidR="00946862" w:rsidRPr="00B3679E">
      <w:rPr>
        <w:rStyle w:val="FranklinGothicDemi"/>
        <w:color w:val="44546A" w:themeColor="text2"/>
      </w:rPr>
      <w:t xml:space="preserve"> Public Schools</w:t>
    </w:r>
    <w:r w:rsidR="00E315A4" w:rsidRPr="0055077E">
      <w:rPr>
        <w:rStyle w:val="FranklinGothicDemi"/>
        <w:color w:val="7698D4"/>
      </w:rPr>
      <w:t xml:space="preserve"> </w:t>
    </w:r>
    <w:r w:rsidR="00E315A4">
      <w:ptab w:relativeTo="margin" w:alignment="right" w:leader="none"/>
    </w:r>
    <w:r w:rsidR="00E315A4" w:rsidRPr="0055077E">
      <w:t xml:space="preserve"> Comprehensive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39</w:t>
    </w:r>
    <w:r w:rsidR="00E315A4"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52980838" w:rsidRPr="006750C1" w14:paraId="0FE0BEC9" w14:textId="77777777" w:rsidTr="00D84CF0">
      <w:tc>
        <w:tcPr>
          <w:tcW w:w="3405" w:type="dxa"/>
        </w:tcPr>
        <w:p w14:paraId="7D8BB104" w14:textId="6911F537" w:rsidR="52980838" w:rsidRPr="006750C1" w:rsidRDefault="52980838" w:rsidP="00D84CF0">
          <w:pPr>
            <w:pStyle w:val="Header"/>
            <w:ind w:left="-115"/>
            <w:rPr>
              <w:rFonts w:ascii="Franklin Gothic Book" w:eastAsia="Calibri" w:hAnsi="Franklin Gothic Book" w:cs="Arial"/>
            </w:rPr>
          </w:pPr>
        </w:p>
      </w:tc>
      <w:tc>
        <w:tcPr>
          <w:tcW w:w="3405" w:type="dxa"/>
        </w:tcPr>
        <w:p w14:paraId="19F88C15" w14:textId="57B18B69" w:rsidR="52980838" w:rsidRPr="006750C1" w:rsidRDefault="52980838" w:rsidP="00D84CF0">
          <w:pPr>
            <w:pStyle w:val="Header"/>
            <w:jc w:val="center"/>
            <w:rPr>
              <w:rFonts w:ascii="Franklin Gothic Book" w:eastAsia="Calibri" w:hAnsi="Franklin Gothic Book" w:cs="Arial"/>
            </w:rPr>
          </w:pPr>
        </w:p>
      </w:tc>
      <w:tc>
        <w:tcPr>
          <w:tcW w:w="3405" w:type="dxa"/>
        </w:tcPr>
        <w:p w14:paraId="7199C7CD" w14:textId="3498740B" w:rsidR="52980838" w:rsidRPr="006750C1" w:rsidRDefault="52980838" w:rsidP="00D84CF0">
          <w:pPr>
            <w:pStyle w:val="Header"/>
            <w:ind w:right="-115"/>
            <w:jc w:val="right"/>
            <w:rPr>
              <w:rFonts w:ascii="Franklin Gothic Book" w:eastAsia="Calibri" w:hAnsi="Franklin Gothic Book" w:cs="Arial"/>
            </w:rPr>
          </w:pPr>
        </w:p>
      </w:tc>
    </w:tr>
  </w:tbl>
  <w:p w14:paraId="5FBC8903" w14:textId="10DFD94B" w:rsidR="52980838" w:rsidRDefault="52980838" w:rsidP="002D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A2F2" w14:textId="7DE5EA27" w:rsidR="00FF48CB" w:rsidRPr="004668E7" w:rsidRDefault="781BBB2A" w:rsidP="00E315A4">
    <w:pPr>
      <w:pStyle w:val="Footer"/>
    </w:pPr>
    <w:r w:rsidRPr="00B3679E">
      <w:rPr>
        <w:rStyle w:val="FranklinGothicDemi"/>
        <w:color w:val="44546A" w:themeColor="text2"/>
      </w:rPr>
      <w:t>Fall River Public</w:t>
    </w:r>
    <w:r w:rsidR="00946862" w:rsidRPr="00B3679E">
      <w:rPr>
        <w:rStyle w:val="FranklinGothicDemi"/>
        <w:color w:val="44546A" w:themeColor="text2"/>
      </w:rPr>
      <w:t xml:space="preserve"> Schools</w:t>
    </w:r>
    <w:r w:rsidR="00FF48CB" w:rsidRPr="0055077E">
      <w:rPr>
        <w:rStyle w:val="FranklinGothicDemi"/>
        <w:color w:val="7698D4"/>
      </w:rPr>
      <w:t xml:space="preserve"> </w:t>
    </w:r>
    <w:r w:rsidR="00FF48CB">
      <w:ptab w:relativeTo="margin" w:alignment="right" w:leader="none"/>
    </w:r>
    <w:r w:rsidR="00FF48CB" w:rsidRPr="0055077E">
      <w:t xml:space="preserve"> Comprehensive District Review Report</w:t>
    </w:r>
    <w:r w:rsidR="00FF48CB">
      <w:t xml:space="preserve"> </w:t>
    </w:r>
    <w:r w:rsidR="00FF48CB" w:rsidRPr="00B3679E">
      <w:rPr>
        <w:color w:val="44546A" w:themeColor="text2"/>
      </w:rPr>
      <w:t xml:space="preserve">■ </w:t>
    </w:r>
    <w:r w:rsidR="00FF48CB" w:rsidRPr="00B3679E">
      <w:rPr>
        <w:rStyle w:val="FranklinGothicDemi"/>
        <w:color w:val="44546A" w:themeColor="text2"/>
      </w:rPr>
      <w:t>page A-</w:t>
    </w:r>
    <w:r w:rsidR="00FF48CB" w:rsidRPr="00B3679E">
      <w:rPr>
        <w:rStyle w:val="FranklinGothicDemi"/>
        <w:color w:val="44546A" w:themeColor="text2"/>
      </w:rPr>
      <w:fldChar w:fldCharType="begin"/>
    </w:r>
    <w:r w:rsidR="00FF48CB" w:rsidRPr="00B3679E">
      <w:rPr>
        <w:rStyle w:val="FranklinGothicDemi"/>
        <w:color w:val="44546A" w:themeColor="text2"/>
      </w:rPr>
      <w:instrText xml:space="preserve"> PAGE   \* MERGEFORMAT </w:instrText>
    </w:r>
    <w:r w:rsidR="00FF48CB" w:rsidRPr="00B3679E">
      <w:rPr>
        <w:rStyle w:val="FranklinGothicDemi"/>
        <w:color w:val="44546A" w:themeColor="text2"/>
      </w:rPr>
      <w:fldChar w:fldCharType="separate"/>
    </w:r>
    <w:r w:rsidR="00FF48CB" w:rsidRPr="00B3679E">
      <w:rPr>
        <w:rStyle w:val="FranklinGothicDemi"/>
        <w:color w:val="44546A" w:themeColor="text2"/>
      </w:rPr>
      <w:t>39</w:t>
    </w:r>
    <w:r w:rsidR="00FF48CB" w:rsidRPr="00B3679E">
      <w:rPr>
        <w:rStyle w:val="FranklinGothicDemi"/>
        <w:noProof/>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44929" w14:textId="79F196A2" w:rsidR="00486B55" w:rsidRPr="004668E7" w:rsidRDefault="0AF6C2F1" w:rsidP="00E315A4">
    <w:pPr>
      <w:pStyle w:val="Footer"/>
    </w:pPr>
    <w:r w:rsidRPr="00B3679E">
      <w:rPr>
        <w:rStyle w:val="FranklinGothicDemi"/>
        <w:color w:val="44546A" w:themeColor="text2"/>
      </w:rPr>
      <w:t>Fall River Public</w:t>
    </w:r>
    <w:r w:rsidR="00486B55" w:rsidRPr="00B3679E">
      <w:rPr>
        <w:rStyle w:val="FranklinGothicDemi"/>
        <w:color w:val="44546A" w:themeColor="text2"/>
      </w:rPr>
      <w:t xml:space="preserve"> Schools</w:t>
    </w:r>
    <w:r w:rsidR="00486B55" w:rsidRPr="0055077E">
      <w:rPr>
        <w:rStyle w:val="FranklinGothicDemi"/>
        <w:color w:val="7698D4"/>
      </w:rPr>
      <w:t xml:space="preserve"> </w:t>
    </w:r>
    <w:r w:rsidR="00486B55">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page B-</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2</w:t>
    </w:r>
    <w:r w:rsidR="00486B55" w:rsidRPr="00B3679E">
      <w:rPr>
        <w:rStyle w:val="FranklinGothicDemi"/>
        <w:noProof/>
        <w:color w:val="44546A" w:themeColor="text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6CCF3" w14:textId="77777777" w:rsidR="00900CF1" w:rsidRPr="00F31A73" w:rsidRDefault="00900CF1">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3C77B" w14:textId="47FBD924" w:rsidR="001E1795" w:rsidRPr="001E1795" w:rsidRDefault="001E1795" w:rsidP="001E179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49F30" w14:textId="77777777" w:rsidR="001E1795" w:rsidRPr="005C53D8" w:rsidRDefault="001E1795" w:rsidP="001E1795">
    <w:pPr>
      <w:pStyle w:val="Footer"/>
      <w:spacing w:before="120"/>
    </w:pPr>
    <w:r>
      <w:t xml:space="preserve">Districtwide Instructional </w:t>
    </w:r>
    <w:r w:rsidRPr="006339DB">
      <w:t>Observation Report</w:t>
    </w:r>
    <w:r>
      <w:t xml:space="preserve">: </w:t>
    </w:r>
    <w:r>
      <w:rPr>
        <w:rFonts w:cs="Calibri"/>
      </w:rPr>
      <w:t>Fall River Public Schools</w:t>
    </w:r>
    <w:r>
      <w:rPr>
        <w:rFonts w:cs="Calibri"/>
      </w:rPr>
      <w:tab/>
      <w:t>B-</w:t>
    </w:r>
    <w:r w:rsidRPr="006339DB">
      <w:fldChar w:fldCharType="begin"/>
    </w:r>
    <w:r w:rsidRPr="006339DB">
      <w:instrText xml:space="preserve"> PAGE </w:instrText>
    </w:r>
    <w:r w:rsidRPr="006339DB">
      <w:fldChar w:fldCharType="separate"/>
    </w:r>
    <w:r>
      <w:t>4</w:t>
    </w:r>
    <w:r w:rsidRPr="006339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57F87" w14:textId="77777777" w:rsidR="00191483" w:rsidRDefault="00191483" w:rsidP="00B93273">
      <w:pPr>
        <w:spacing w:line="240" w:lineRule="auto"/>
      </w:pPr>
      <w:r>
        <w:separator/>
      </w:r>
    </w:p>
  </w:footnote>
  <w:footnote w:type="continuationSeparator" w:id="0">
    <w:p w14:paraId="4861A780" w14:textId="77777777" w:rsidR="00191483" w:rsidRDefault="00191483" w:rsidP="00B93273">
      <w:pPr>
        <w:spacing w:line="240" w:lineRule="auto"/>
      </w:pPr>
      <w:r>
        <w:continuationSeparator/>
      </w:r>
    </w:p>
  </w:footnote>
  <w:footnote w:type="continuationNotice" w:id="1">
    <w:p w14:paraId="3CF241A2" w14:textId="77777777" w:rsidR="00191483" w:rsidRDefault="00191483">
      <w:pPr>
        <w:spacing w:line="240" w:lineRule="auto"/>
      </w:pPr>
    </w:p>
  </w:footnote>
  <w:footnote w:id="2">
    <w:p w14:paraId="5A814D50" w14:textId="30289367" w:rsidR="00F73AF8" w:rsidRDefault="00F73AF8">
      <w:pPr>
        <w:pStyle w:val="FootnoteText"/>
      </w:pPr>
      <w:r>
        <w:rPr>
          <w:rStyle w:val="FootnoteReference"/>
        </w:rPr>
        <w:footnoteRef/>
      </w:r>
      <w:r>
        <w:t xml:space="preserve"> </w:t>
      </w:r>
      <w:r w:rsidRPr="00F73AF8">
        <w:t>DESE’s District Standards and Indicators are at http://www.doe.mass.edu/accountability/district-review/district-standards-indicators.pdf.</w:t>
      </w:r>
    </w:p>
  </w:footnote>
  <w:footnote w:id="3">
    <w:p w14:paraId="4D3EF6CC" w14:textId="77777777" w:rsidR="008672D4" w:rsidRDefault="008672D4" w:rsidP="008672D4">
      <w:pPr>
        <w:pStyle w:val="FootnoteText"/>
      </w:pPr>
      <w:r>
        <w:rPr>
          <w:rStyle w:val="FootnoteReference"/>
        </w:rPr>
        <w:footnoteRef/>
      </w:r>
      <w:r>
        <w:t xml:space="preserve"> </w:t>
      </w:r>
      <w:r w:rsidRPr="00B408CF">
        <w:rPr>
          <w:szCs w:val="18"/>
        </w:rPr>
        <w:t xml:space="preserve">For more information on the Teachstone CLASS protocol, visit </w:t>
      </w:r>
      <w:hyperlink r:id="rId1" w:history="1">
        <w:r w:rsidRPr="00B408CF">
          <w:rPr>
            <w:rStyle w:val="Hyperlink"/>
            <w:szCs w:val="18"/>
          </w:rPr>
          <w:t>https://teachstone.com/class/</w:t>
        </w:r>
      </w:hyperlink>
      <w:r w:rsidRPr="00B408CF">
        <w:rPr>
          <w:szCs w:val="18"/>
        </w:rPr>
        <w:t>.</w:t>
      </w:r>
    </w:p>
  </w:footnote>
  <w:footnote w:id="4">
    <w:p w14:paraId="13AB0394" w14:textId="2BF6BCDD" w:rsidR="003D6ECF" w:rsidRPr="00B408CF" w:rsidRDefault="003D6ECF" w:rsidP="003D6ECF">
      <w:pPr>
        <w:pStyle w:val="FootnoteText"/>
        <w:rPr>
          <w:szCs w:val="18"/>
        </w:rPr>
      </w:pPr>
      <w:r w:rsidRPr="00361461">
        <w:rPr>
          <w:rStyle w:val="FootnoteReference"/>
          <w:sz w:val="19"/>
          <w:szCs w:val="19"/>
        </w:rPr>
        <w:footnoteRef/>
      </w:r>
      <w:r w:rsidRPr="00361461">
        <w:t xml:space="preserve"> </w:t>
      </w:r>
      <w:r w:rsidR="00D30A74">
        <w:rPr>
          <w:szCs w:val="18"/>
        </w:rPr>
        <w:t>DESE’s</w:t>
      </w:r>
      <w:r w:rsidR="00D30A74" w:rsidRPr="00B408CF">
        <w:rPr>
          <w:szCs w:val="18"/>
        </w:rPr>
        <w:t xml:space="preserve"> </w:t>
      </w:r>
      <w:r w:rsidRPr="00B408CF">
        <w:rPr>
          <w:szCs w:val="18"/>
        </w:rPr>
        <w:t xml:space="preserve">District Standards and Indicators are </w:t>
      </w:r>
      <w:r w:rsidR="00FE16E0">
        <w:rPr>
          <w:szCs w:val="18"/>
        </w:rPr>
        <w:t xml:space="preserve">available </w:t>
      </w:r>
      <w:r w:rsidRPr="00B408CF">
        <w:rPr>
          <w:szCs w:val="18"/>
        </w:rPr>
        <w:t>at</w:t>
      </w:r>
      <w:r w:rsidR="00FE16E0">
        <w:rPr>
          <w:szCs w:val="18"/>
        </w:rPr>
        <w:t>:</w:t>
      </w:r>
      <w:r w:rsidR="00E30257">
        <w:rPr>
          <w:szCs w:val="18"/>
        </w:rPr>
        <w:t xml:space="preserve"> </w:t>
      </w:r>
      <w:hyperlink r:id="rId2" w:history="1">
        <w:r w:rsidR="00686917" w:rsidRPr="00A25FBA">
          <w:rPr>
            <w:rStyle w:val="Hyperlink"/>
            <w:szCs w:val="18"/>
          </w:rPr>
          <w:t>https://www.doe.mass.edu/accountability/district-review/district-standards-indicators.docx</w:t>
        </w:r>
      </w:hyperlink>
      <w:r w:rsidRPr="00B408CF">
        <w:rPr>
          <w:szCs w:val="18"/>
        </w:rPr>
        <w:t>.</w:t>
      </w:r>
      <w:r w:rsidR="00686917">
        <w:rPr>
          <w:szCs w:val="18"/>
        </w:rPr>
        <w:t xml:space="preserve"> </w:t>
      </w:r>
    </w:p>
  </w:footnote>
  <w:footnote w:id="5">
    <w:p w14:paraId="659A1534" w14:textId="14680402" w:rsidR="00887EA8" w:rsidRDefault="00887EA8">
      <w:pPr>
        <w:pStyle w:val="FootnoteText"/>
      </w:pPr>
      <w:r>
        <w:rPr>
          <w:rStyle w:val="FootnoteReference"/>
        </w:rPr>
        <w:footnoteRef/>
      </w:r>
      <w:r>
        <w:t xml:space="preserve"> Districts with similar demographics and similar wealth are based on </w:t>
      </w:r>
      <w:hyperlink r:id="rId3" w:tgtFrame="_blank" w:history="1">
        <w:r>
          <w:rPr>
            <w:rStyle w:val="Hyperlink"/>
          </w:rPr>
          <w:t>Resource Allocation and District Action Reports (RADAR)</w:t>
        </w:r>
      </w:hyperlink>
      <w:r>
        <w:t xml:space="preserve"> (retrieved February 2024). </w:t>
      </w:r>
    </w:p>
  </w:footnote>
  <w:footnote w:id="6">
    <w:p w14:paraId="3C3699CB" w14:textId="794F1F8D" w:rsidR="00900CF1" w:rsidRPr="00F008EE" w:rsidRDefault="00900CF1">
      <w:pPr>
        <w:pStyle w:val="FootnoteText"/>
      </w:pPr>
      <w:r w:rsidRPr="00F008EE">
        <w:rPr>
          <w:rStyle w:val="FootnoteReference"/>
          <w:rFonts w:cs="Calibri"/>
        </w:rPr>
        <w:footnoteRef/>
      </w:r>
      <w:r w:rsidRPr="00F008EE">
        <w:t xml:space="preserve"> When observers rate this </w:t>
      </w:r>
      <w:r w:rsidR="00F86E34" w:rsidRPr="00F008EE">
        <w:t>dimension,</w:t>
      </w:r>
      <w:r w:rsidRPr="00F008EE">
        <w:t xml:space="preserve">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 w:id="7">
    <w:p w14:paraId="316A6579" w14:textId="3EF169FC" w:rsidR="004D4E14" w:rsidRDefault="004D4E14">
      <w:pPr>
        <w:pStyle w:val="FootnoteText"/>
      </w:pPr>
      <w:r>
        <w:rPr>
          <w:rStyle w:val="FootnoteReference"/>
        </w:rPr>
        <w:footnoteRef/>
      </w:r>
      <w:r>
        <w:t xml:space="preserve"> </w:t>
      </w:r>
      <w:r w:rsidRPr="00381109">
        <w:rPr>
          <w:rFonts w:ascii="Franklin Gothic Book" w:hAnsi="Franklin Gothic Book"/>
        </w:rPr>
        <w:t>Column labels for Tables E1-E9: M/E=Percent meeting or exceeding expectations, PME=Partially meeting expectations, NM= Not meeting expectations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0CC1" w14:textId="0747232D" w:rsidR="00075F0D" w:rsidRDefault="00075F0D" w:rsidP="002F1EBE">
    <w:pPr>
      <w:spacing w:after="24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4CA2C1" w14:paraId="5FA7455E" w14:textId="77777777" w:rsidTr="005D0BDD">
      <w:trPr>
        <w:trHeight w:val="300"/>
      </w:trPr>
      <w:tc>
        <w:tcPr>
          <w:tcW w:w="3120" w:type="dxa"/>
        </w:tcPr>
        <w:p w14:paraId="26129AD0" w14:textId="2287C1B7" w:rsidR="4C4CA2C1" w:rsidRDefault="4C4CA2C1" w:rsidP="005D0BDD">
          <w:pPr>
            <w:pStyle w:val="Header"/>
            <w:ind w:left="-115"/>
          </w:pPr>
        </w:p>
      </w:tc>
      <w:tc>
        <w:tcPr>
          <w:tcW w:w="3120" w:type="dxa"/>
        </w:tcPr>
        <w:p w14:paraId="375BECEC" w14:textId="4D17F434" w:rsidR="4C4CA2C1" w:rsidRDefault="4C4CA2C1" w:rsidP="005D0BDD">
          <w:pPr>
            <w:pStyle w:val="Header"/>
            <w:jc w:val="center"/>
          </w:pPr>
        </w:p>
      </w:tc>
      <w:tc>
        <w:tcPr>
          <w:tcW w:w="3120" w:type="dxa"/>
        </w:tcPr>
        <w:p w14:paraId="78BD1017" w14:textId="7A1F4879" w:rsidR="4C4CA2C1" w:rsidRDefault="4C4CA2C1" w:rsidP="005D0BDD">
          <w:pPr>
            <w:pStyle w:val="Header"/>
            <w:ind w:right="-115"/>
            <w:jc w:val="right"/>
          </w:pPr>
        </w:p>
      </w:tc>
    </w:tr>
  </w:tbl>
  <w:p w14:paraId="4C1CE0A1" w14:textId="6503D99F" w:rsidR="00734EAC" w:rsidRDefault="00734EAC" w:rsidP="00734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552D" w14:textId="77777777" w:rsidR="002434C0" w:rsidRDefault="002434C0" w:rsidP="00B46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4CA2C1" w14:paraId="65C5E66D" w14:textId="77777777" w:rsidTr="005D0BDD">
      <w:trPr>
        <w:trHeight w:val="300"/>
      </w:trPr>
      <w:tc>
        <w:tcPr>
          <w:tcW w:w="3120" w:type="dxa"/>
        </w:tcPr>
        <w:p w14:paraId="33297F36" w14:textId="20B26FED" w:rsidR="4C4CA2C1" w:rsidRDefault="4C4CA2C1" w:rsidP="002D7A4C">
          <w:pPr>
            <w:pStyle w:val="Header"/>
            <w:ind w:left="-115"/>
          </w:pPr>
        </w:p>
      </w:tc>
      <w:tc>
        <w:tcPr>
          <w:tcW w:w="3120" w:type="dxa"/>
        </w:tcPr>
        <w:p w14:paraId="32E0AE79" w14:textId="4DA782A3" w:rsidR="4C4CA2C1" w:rsidRDefault="4C4CA2C1" w:rsidP="002D7A4C">
          <w:pPr>
            <w:pStyle w:val="Header"/>
            <w:jc w:val="center"/>
          </w:pPr>
        </w:p>
      </w:tc>
      <w:tc>
        <w:tcPr>
          <w:tcW w:w="3120" w:type="dxa"/>
        </w:tcPr>
        <w:p w14:paraId="26F0D7C5" w14:textId="419059DC" w:rsidR="4C4CA2C1" w:rsidRDefault="4C4CA2C1" w:rsidP="005D0BDD">
          <w:pPr>
            <w:pStyle w:val="Header"/>
            <w:ind w:right="-115"/>
            <w:jc w:val="right"/>
          </w:pPr>
        </w:p>
      </w:tc>
    </w:tr>
  </w:tbl>
  <w:p w14:paraId="556BBDAF" w14:textId="216A936F" w:rsidR="00734EAC" w:rsidRDefault="00734EAC" w:rsidP="00734E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4CA2C1" w14:paraId="13C81CAB" w14:textId="77777777" w:rsidTr="005D0BDD">
      <w:trPr>
        <w:trHeight w:val="300"/>
      </w:trPr>
      <w:tc>
        <w:tcPr>
          <w:tcW w:w="3120" w:type="dxa"/>
        </w:tcPr>
        <w:p w14:paraId="7D3D6212" w14:textId="11C7DAFF" w:rsidR="4C4CA2C1" w:rsidRDefault="4C4CA2C1" w:rsidP="005D0BDD">
          <w:pPr>
            <w:pStyle w:val="Header"/>
            <w:ind w:left="-115"/>
          </w:pPr>
        </w:p>
      </w:tc>
      <w:tc>
        <w:tcPr>
          <w:tcW w:w="3120" w:type="dxa"/>
        </w:tcPr>
        <w:p w14:paraId="4E3D995E" w14:textId="5F085BC4" w:rsidR="4C4CA2C1" w:rsidRDefault="4C4CA2C1" w:rsidP="005D0BDD">
          <w:pPr>
            <w:pStyle w:val="Header"/>
            <w:jc w:val="center"/>
          </w:pPr>
        </w:p>
      </w:tc>
      <w:tc>
        <w:tcPr>
          <w:tcW w:w="3120" w:type="dxa"/>
        </w:tcPr>
        <w:p w14:paraId="6C1DF4CD" w14:textId="2CD5502A" w:rsidR="4C4CA2C1" w:rsidRDefault="4C4CA2C1" w:rsidP="005D0BDD">
          <w:pPr>
            <w:pStyle w:val="Header"/>
            <w:ind w:right="-115"/>
            <w:jc w:val="right"/>
          </w:pPr>
        </w:p>
      </w:tc>
    </w:tr>
  </w:tbl>
  <w:p w14:paraId="4A0627A0" w14:textId="4EA3495B" w:rsidR="00734EAC" w:rsidRDefault="00734EAC" w:rsidP="00734E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4CA2C1" w14:paraId="7FC173B9" w14:textId="77777777" w:rsidTr="005D0BDD">
      <w:trPr>
        <w:trHeight w:val="300"/>
      </w:trPr>
      <w:tc>
        <w:tcPr>
          <w:tcW w:w="3120" w:type="dxa"/>
        </w:tcPr>
        <w:p w14:paraId="4DE40FBF" w14:textId="0A307B71" w:rsidR="4C4CA2C1" w:rsidRDefault="4C4CA2C1" w:rsidP="005D0BDD">
          <w:pPr>
            <w:pStyle w:val="Header"/>
            <w:ind w:left="-115"/>
          </w:pPr>
        </w:p>
      </w:tc>
      <w:tc>
        <w:tcPr>
          <w:tcW w:w="3120" w:type="dxa"/>
        </w:tcPr>
        <w:p w14:paraId="023BDCBC" w14:textId="259192E4" w:rsidR="4C4CA2C1" w:rsidRDefault="4C4CA2C1" w:rsidP="005D0BDD">
          <w:pPr>
            <w:pStyle w:val="Header"/>
            <w:jc w:val="center"/>
          </w:pPr>
        </w:p>
      </w:tc>
      <w:tc>
        <w:tcPr>
          <w:tcW w:w="3120" w:type="dxa"/>
        </w:tcPr>
        <w:p w14:paraId="57936B32" w14:textId="0E7E4D66" w:rsidR="4C4CA2C1" w:rsidRDefault="4C4CA2C1" w:rsidP="005D0BDD">
          <w:pPr>
            <w:pStyle w:val="Header"/>
            <w:ind w:right="-115"/>
            <w:jc w:val="right"/>
          </w:pPr>
        </w:p>
      </w:tc>
    </w:tr>
  </w:tbl>
  <w:p w14:paraId="2C28F3C7" w14:textId="1545A1F2" w:rsidR="00734EAC" w:rsidRDefault="00734EAC" w:rsidP="00734E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A28B" w14:textId="77777777" w:rsidR="00900CF1" w:rsidRPr="00FF6528" w:rsidRDefault="00900CF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4CA2C1" w14:paraId="08F57937" w14:textId="77777777" w:rsidTr="005D0BDD">
      <w:trPr>
        <w:trHeight w:val="300"/>
      </w:trPr>
      <w:tc>
        <w:tcPr>
          <w:tcW w:w="3120" w:type="dxa"/>
        </w:tcPr>
        <w:p w14:paraId="26109151" w14:textId="3215D43A" w:rsidR="4C4CA2C1" w:rsidRDefault="4C4CA2C1" w:rsidP="005D0BDD">
          <w:pPr>
            <w:pStyle w:val="Header"/>
            <w:ind w:left="-115"/>
          </w:pPr>
        </w:p>
      </w:tc>
      <w:tc>
        <w:tcPr>
          <w:tcW w:w="3120" w:type="dxa"/>
        </w:tcPr>
        <w:p w14:paraId="4A99E0FF" w14:textId="44964E14" w:rsidR="4C4CA2C1" w:rsidRDefault="4C4CA2C1" w:rsidP="005D0BDD">
          <w:pPr>
            <w:pStyle w:val="Header"/>
            <w:jc w:val="center"/>
          </w:pPr>
        </w:p>
      </w:tc>
      <w:tc>
        <w:tcPr>
          <w:tcW w:w="3120" w:type="dxa"/>
        </w:tcPr>
        <w:p w14:paraId="748585C7" w14:textId="29170E1C" w:rsidR="4C4CA2C1" w:rsidRDefault="4C4CA2C1" w:rsidP="005D0BDD">
          <w:pPr>
            <w:pStyle w:val="Header"/>
            <w:ind w:right="-115"/>
            <w:jc w:val="right"/>
          </w:pPr>
        </w:p>
      </w:tc>
    </w:tr>
  </w:tbl>
  <w:p w14:paraId="078F5238" w14:textId="60E162A4" w:rsidR="00734EAC" w:rsidRDefault="00734EAC" w:rsidP="00734EA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0D1F2" w14:textId="77777777" w:rsidR="0047269F" w:rsidRDefault="0047269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4CA2C1" w14:paraId="5B9BC51D" w14:textId="77777777" w:rsidTr="005D0BDD">
      <w:trPr>
        <w:trHeight w:val="300"/>
      </w:trPr>
      <w:tc>
        <w:tcPr>
          <w:tcW w:w="3120" w:type="dxa"/>
        </w:tcPr>
        <w:p w14:paraId="2B143A8B" w14:textId="2891F3B0" w:rsidR="4C4CA2C1" w:rsidRDefault="4C4CA2C1" w:rsidP="005D0BDD">
          <w:pPr>
            <w:pStyle w:val="Header"/>
            <w:ind w:left="-115"/>
          </w:pPr>
        </w:p>
      </w:tc>
      <w:tc>
        <w:tcPr>
          <w:tcW w:w="3120" w:type="dxa"/>
        </w:tcPr>
        <w:p w14:paraId="2215326E" w14:textId="4B5CBDAA" w:rsidR="4C4CA2C1" w:rsidRDefault="4C4CA2C1" w:rsidP="005D0BDD">
          <w:pPr>
            <w:pStyle w:val="Header"/>
            <w:jc w:val="center"/>
          </w:pPr>
        </w:p>
      </w:tc>
      <w:tc>
        <w:tcPr>
          <w:tcW w:w="3120" w:type="dxa"/>
        </w:tcPr>
        <w:p w14:paraId="7CB94C42" w14:textId="14FF4DFE" w:rsidR="4C4CA2C1" w:rsidRDefault="4C4CA2C1" w:rsidP="005D0BDD">
          <w:pPr>
            <w:pStyle w:val="Header"/>
            <w:ind w:right="-115"/>
            <w:jc w:val="right"/>
          </w:pPr>
        </w:p>
      </w:tc>
    </w:tr>
  </w:tbl>
  <w:p w14:paraId="226007F6" w14:textId="6EE04375" w:rsidR="00734EAC" w:rsidRDefault="00734EAC" w:rsidP="00734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10DD3"/>
    <w:multiLevelType w:val="hybridMultilevel"/>
    <w:tmpl w:val="C336A244"/>
    <w:lvl w:ilvl="0" w:tplc="AF9A29D0">
      <w:start w:val="1"/>
      <w:numFmt w:val="decimal"/>
      <w:pStyle w:val="NumberedLis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B12EF"/>
    <w:multiLevelType w:val="multilevel"/>
    <w:tmpl w:val="3802ECC0"/>
    <w:styleLink w:val="Level2Bullet1"/>
    <w:lvl w:ilvl="0">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start w:val="1"/>
      <w:numFmt w:val="bullet"/>
      <w:pStyle w:val="TableBullet2"/>
      <w:lvlText w:val="o"/>
      <w:lvlJc w:val="left"/>
      <w:pPr>
        <w:ind w:left="576" w:hanging="288"/>
      </w:pPr>
      <w:rPr>
        <w:rFonts w:ascii="Courier New" w:hAnsi="Courier New" w:hint="default"/>
      </w:rPr>
    </w:lvl>
    <w:lvl w:ilvl="2">
      <w:start w:val="1"/>
      <w:numFmt w:val="bullet"/>
      <w:lvlText w:val="•"/>
      <w:lvlJc w:val="left"/>
      <w:pPr>
        <w:ind w:left="864" w:hanging="288"/>
      </w:pPr>
      <w:rPr>
        <w:rFonts w:ascii="Franklin Gothic Book" w:hAnsi="Franklin Gothic Book"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41C1F44"/>
    <w:multiLevelType w:val="hybridMultilevel"/>
    <w:tmpl w:val="EB04B120"/>
    <w:lvl w:ilvl="0" w:tplc="A67672A0">
      <w:numFmt w:val="bullet"/>
      <w:lvlText w:val=""/>
      <w:lvlJc w:val="left"/>
      <w:pPr>
        <w:ind w:left="720" w:hanging="360"/>
      </w:pPr>
      <w:rPr>
        <w:rFonts w:ascii="Symbol" w:eastAsiaTheme="minorHAnsi" w:hAnsi="Symbol"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6604C1"/>
    <w:multiLevelType w:val="hybridMultilevel"/>
    <w:tmpl w:val="96907EE0"/>
    <w:lvl w:ilvl="0" w:tplc="BA8E5772">
      <w:numFmt w:val="bullet"/>
      <w:lvlText w:val=""/>
      <w:lvlJc w:val="left"/>
      <w:pPr>
        <w:ind w:left="720" w:hanging="360"/>
      </w:pPr>
      <w:rPr>
        <w:rFonts w:ascii="Symbol" w:eastAsiaTheme="minorHAnsi" w:hAnsi="Symbol"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7"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69C035D"/>
    <w:multiLevelType w:val="multilevel"/>
    <w:tmpl w:val="DECAA0F0"/>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D05083"/>
    <w:multiLevelType w:val="hybridMultilevel"/>
    <w:tmpl w:val="EE584850"/>
    <w:lvl w:ilvl="0" w:tplc="717ACA62">
      <w:start w:val="1"/>
      <w:numFmt w:val="decimal"/>
      <w:lvlText w:val="%1)"/>
      <w:lvlJc w:val="left"/>
      <w:pPr>
        <w:ind w:left="1020" w:hanging="360"/>
      </w:pPr>
    </w:lvl>
    <w:lvl w:ilvl="1" w:tplc="A7E44798">
      <w:start w:val="1"/>
      <w:numFmt w:val="decimal"/>
      <w:lvlText w:val="%2)"/>
      <w:lvlJc w:val="left"/>
      <w:pPr>
        <w:ind w:left="1020" w:hanging="360"/>
      </w:pPr>
    </w:lvl>
    <w:lvl w:ilvl="2" w:tplc="1A2084B4">
      <w:start w:val="1"/>
      <w:numFmt w:val="decimal"/>
      <w:lvlText w:val="%3)"/>
      <w:lvlJc w:val="left"/>
      <w:pPr>
        <w:ind w:left="1020" w:hanging="360"/>
      </w:pPr>
    </w:lvl>
    <w:lvl w:ilvl="3" w:tplc="89D2DACE">
      <w:start w:val="1"/>
      <w:numFmt w:val="decimal"/>
      <w:lvlText w:val="%4)"/>
      <w:lvlJc w:val="left"/>
      <w:pPr>
        <w:ind w:left="1020" w:hanging="360"/>
      </w:pPr>
    </w:lvl>
    <w:lvl w:ilvl="4" w:tplc="8FCC22B0">
      <w:start w:val="1"/>
      <w:numFmt w:val="decimal"/>
      <w:lvlText w:val="%5)"/>
      <w:lvlJc w:val="left"/>
      <w:pPr>
        <w:ind w:left="1020" w:hanging="360"/>
      </w:pPr>
    </w:lvl>
    <w:lvl w:ilvl="5" w:tplc="FBC6873C">
      <w:start w:val="1"/>
      <w:numFmt w:val="decimal"/>
      <w:lvlText w:val="%6)"/>
      <w:lvlJc w:val="left"/>
      <w:pPr>
        <w:ind w:left="1020" w:hanging="360"/>
      </w:pPr>
    </w:lvl>
    <w:lvl w:ilvl="6" w:tplc="95E03CAA">
      <w:start w:val="1"/>
      <w:numFmt w:val="decimal"/>
      <w:lvlText w:val="%7)"/>
      <w:lvlJc w:val="left"/>
      <w:pPr>
        <w:ind w:left="1020" w:hanging="360"/>
      </w:pPr>
    </w:lvl>
    <w:lvl w:ilvl="7" w:tplc="9F621148">
      <w:start w:val="1"/>
      <w:numFmt w:val="decimal"/>
      <w:lvlText w:val="%8)"/>
      <w:lvlJc w:val="left"/>
      <w:pPr>
        <w:ind w:left="1020" w:hanging="360"/>
      </w:pPr>
    </w:lvl>
    <w:lvl w:ilvl="8" w:tplc="39805624">
      <w:start w:val="1"/>
      <w:numFmt w:val="decimal"/>
      <w:lvlText w:val="%9)"/>
      <w:lvlJc w:val="left"/>
      <w:pPr>
        <w:ind w:left="1020" w:hanging="360"/>
      </w:pPr>
    </w:lvl>
  </w:abstractNum>
  <w:abstractNum w:abstractNumId="11" w15:restartNumberingAfterBreak="0">
    <w:nsid w:val="59E31DA1"/>
    <w:multiLevelType w:val="hybridMultilevel"/>
    <w:tmpl w:val="C758FCBC"/>
    <w:styleLink w:val="TableBulletList"/>
    <w:lvl w:ilvl="0" w:tplc="72F6C980">
      <w:start w:val="1"/>
      <w:numFmt w:val="bullet"/>
      <w:lvlText w:val=""/>
      <w:lvlJc w:val="left"/>
      <w:pPr>
        <w:ind w:left="720" w:hanging="360"/>
      </w:pPr>
      <w:rPr>
        <w:rFonts w:ascii="Symbol" w:hAnsi="Symbol"/>
      </w:rPr>
    </w:lvl>
    <w:lvl w:ilvl="1" w:tplc="B3925C78">
      <w:start w:val="1"/>
      <w:numFmt w:val="bullet"/>
      <w:lvlText w:val=""/>
      <w:lvlJc w:val="left"/>
      <w:pPr>
        <w:ind w:left="720" w:hanging="360"/>
      </w:pPr>
      <w:rPr>
        <w:rFonts w:ascii="Symbol" w:hAnsi="Symbol"/>
      </w:rPr>
    </w:lvl>
    <w:lvl w:ilvl="2" w:tplc="B978B334">
      <w:start w:val="1"/>
      <w:numFmt w:val="bullet"/>
      <w:lvlText w:val=""/>
      <w:lvlJc w:val="left"/>
      <w:pPr>
        <w:ind w:left="720" w:hanging="360"/>
      </w:pPr>
      <w:rPr>
        <w:rFonts w:ascii="Symbol" w:hAnsi="Symbol"/>
      </w:rPr>
    </w:lvl>
    <w:lvl w:ilvl="3" w:tplc="82FEC73C">
      <w:start w:val="1"/>
      <w:numFmt w:val="bullet"/>
      <w:lvlText w:val=""/>
      <w:lvlJc w:val="left"/>
      <w:pPr>
        <w:ind w:left="720" w:hanging="360"/>
      </w:pPr>
      <w:rPr>
        <w:rFonts w:ascii="Symbol" w:hAnsi="Symbol"/>
      </w:rPr>
    </w:lvl>
    <w:lvl w:ilvl="4" w:tplc="E46ED6B6">
      <w:start w:val="1"/>
      <w:numFmt w:val="bullet"/>
      <w:lvlText w:val=""/>
      <w:lvlJc w:val="left"/>
      <w:pPr>
        <w:ind w:left="720" w:hanging="360"/>
      </w:pPr>
      <w:rPr>
        <w:rFonts w:ascii="Symbol" w:hAnsi="Symbol"/>
      </w:rPr>
    </w:lvl>
    <w:lvl w:ilvl="5" w:tplc="7E60A280">
      <w:start w:val="1"/>
      <w:numFmt w:val="bullet"/>
      <w:lvlText w:val=""/>
      <w:lvlJc w:val="left"/>
      <w:pPr>
        <w:ind w:left="720" w:hanging="360"/>
      </w:pPr>
      <w:rPr>
        <w:rFonts w:ascii="Symbol" w:hAnsi="Symbol"/>
      </w:rPr>
    </w:lvl>
    <w:lvl w:ilvl="6" w:tplc="9F562218">
      <w:start w:val="1"/>
      <w:numFmt w:val="bullet"/>
      <w:lvlText w:val=""/>
      <w:lvlJc w:val="left"/>
      <w:pPr>
        <w:ind w:left="720" w:hanging="360"/>
      </w:pPr>
      <w:rPr>
        <w:rFonts w:ascii="Symbol" w:hAnsi="Symbol"/>
      </w:rPr>
    </w:lvl>
    <w:lvl w:ilvl="7" w:tplc="5A48F0B2">
      <w:start w:val="1"/>
      <w:numFmt w:val="bullet"/>
      <w:lvlText w:val=""/>
      <w:lvlJc w:val="left"/>
      <w:pPr>
        <w:ind w:left="720" w:hanging="360"/>
      </w:pPr>
      <w:rPr>
        <w:rFonts w:ascii="Symbol" w:hAnsi="Symbol"/>
      </w:rPr>
    </w:lvl>
    <w:lvl w:ilvl="8" w:tplc="8A324AFE">
      <w:start w:val="1"/>
      <w:numFmt w:val="bullet"/>
      <w:lvlText w:val=""/>
      <w:lvlJc w:val="left"/>
      <w:pPr>
        <w:ind w:left="720" w:hanging="360"/>
      </w:pPr>
      <w:rPr>
        <w:rFonts w:ascii="Symbol" w:hAnsi="Symbol"/>
      </w:rPr>
    </w:lvl>
  </w:abstractNum>
  <w:abstractNum w:abstractNumId="12" w15:restartNumberingAfterBreak="0">
    <w:nsid w:val="5AA40F37"/>
    <w:multiLevelType w:val="hybridMultilevel"/>
    <w:tmpl w:val="C81C6B52"/>
    <w:lvl w:ilvl="0" w:tplc="9416A930">
      <w:start w:val="1"/>
      <w:numFmt w:val="decimal"/>
      <w:lvlText w:val="%1)"/>
      <w:lvlJc w:val="left"/>
      <w:pPr>
        <w:ind w:left="1020" w:hanging="360"/>
      </w:pPr>
    </w:lvl>
    <w:lvl w:ilvl="1" w:tplc="0C547780">
      <w:start w:val="1"/>
      <w:numFmt w:val="decimal"/>
      <w:lvlText w:val="%2)"/>
      <w:lvlJc w:val="left"/>
      <w:pPr>
        <w:ind w:left="1020" w:hanging="360"/>
      </w:pPr>
    </w:lvl>
    <w:lvl w:ilvl="2" w:tplc="CC9880F6">
      <w:start w:val="1"/>
      <w:numFmt w:val="decimal"/>
      <w:lvlText w:val="%3)"/>
      <w:lvlJc w:val="left"/>
      <w:pPr>
        <w:ind w:left="1020" w:hanging="360"/>
      </w:pPr>
    </w:lvl>
    <w:lvl w:ilvl="3" w:tplc="BBB0FA58">
      <w:start w:val="1"/>
      <w:numFmt w:val="decimal"/>
      <w:lvlText w:val="%4)"/>
      <w:lvlJc w:val="left"/>
      <w:pPr>
        <w:ind w:left="1020" w:hanging="360"/>
      </w:pPr>
    </w:lvl>
    <w:lvl w:ilvl="4" w:tplc="AEFC68A8">
      <w:start w:val="1"/>
      <w:numFmt w:val="decimal"/>
      <w:lvlText w:val="%5)"/>
      <w:lvlJc w:val="left"/>
      <w:pPr>
        <w:ind w:left="1020" w:hanging="360"/>
      </w:pPr>
    </w:lvl>
    <w:lvl w:ilvl="5" w:tplc="614ADB0C">
      <w:start w:val="1"/>
      <w:numFmt w:val="decimal"/>
      <w:lvlText w:val="%6)"/>
      <w:lvlJc w:val="left"/>
      <w:pPr>
        <w:ind w:left="1020" w:hanging="360"/>
      </w:pPr>
    </w:lvl>
    <w:lvl w:ilvl="6" w:tplc="E322533C">
      <w:start w:val="1"/>
      <w:numFmt w:val="decimal"/>
      <w:lvlText w:val="%7)"/>
      <w:lvlJc w:val="left"/>
      <w:pPr>
        <w:ind w:left="1020" w:hanging="360"/>
      </w:pPr>
    </w:lvl>
    <w:lvl w:ilvl="7" w:tplc="80CA405A">
      <w:start w:val="1"/>
      <w:numFmt w:val="decimal"/>
      <w:lvlText w:val="%8)"/>
      <w:lvlJc w:val="left"/>
      <w:pPr>
        <w:ind w:left="1020" w:hanging="360"/>
      </w:pPr>
    </w:lvl>
    <w:lvl w:ilvl="8" w:tplc="3E76AF02">
      <w:start w:val="1"/>
      <w:numFmt w:val="decimal"/>
      <w:lvlText w:val="%9)"/>
      <w:lvlJc w:val="left"/>
      <w:pPr>
        <w:ind w:left="1020" w:hanging="360"/>
      </w:pPr>
    </w:lvl>
  </w:abstractNum>
  <w:abstractNum w:abstractNumId="13"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723E00"/>
    <w:multiLevelType w:val="hybridMultilevel"/>
    <w:tmpl w:val="40427D78"/>
    <w:styleLink w:val="Level1Bullet1"/>
    <w:lvl w:ilvl="0" w:tplc="C15C719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DB78BC"/>
    <w:multiLevelType w:val="multilevel"/>
    <w:tmpl w:val="4C18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9153159">
    <w:abstractNumId w:val="8"/>
  </w:num>
  <w:num w:numId="2" w16cid:durableId="1081218223">
    <w:abstractNumId w:val="1"/>
  </w:num>
  <w:num w:numId="3" w16cid:durableId="1729691725">
    <w:abstractNumId w:val="13"/>
  </w:num>
  <w:num w:numId="4" w16cid:durableId="142703376">
    <w:abstractNumId w:val="9"/>
  </w:num>
  <w:num w:numId="5" w16cid:durableId="913396038">
    <w:abstractNumId w:val="14"/>
  </w:num>
  <w:num w:numId="6" w16cid:durableId="1534149646">
    <w:abstractNumId w:val="6"/>
  </w:num>
  <w:num w:numId="7" w16cid:durableId="2036345692">
    <w:abstractNumId w:val="3"/>
  </w:num>
  <w:num w:numId="8" w16cid:durableId="885028805">
    <w:abstractNumId w:val="7"/>
  </w:num>
  <w:num w:numId="9" w16cid:durableId="425224381">
    <w:abstractNumId w:val="0"/>
  </w:num>
  <w:num w:numId="10" w16cid:durableId="1153259004">
    <w:abstractNumId w:val="3"/>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1" w16cid:durableId="1930849361">
    <w:abstractNumId w:val="4"/>
  </w:num>
  <w:num w:numId="12" w16cid:durableId="900946771">
    <w:abstractNumId w:val="5"/>
  </w:num>
  <w:num w:numId="13" w16cid:durableId="47922046">
    <w:abstractNumId w:val="2"/>
  </w:num>
  <w:num w:numId="14" w16cid:durableId="1028261816">
    <w:abstractNumId w:val="11"/>
  </w:num>
  <w:num w:numId="15" w16cid:durableId="1191912103">
    <w:abstractNumId w:val="12"/>
  </w:num>
  <w:num w:numId="16" w16cid:durableId="2057508949">
    <w:abstractNumId w:val="10"/>
  </w:num>
  <w:num w:numId="17" w16cid:durableId="1247960866">
    <w:abstractNumId w:val="3"/>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8" w16cid:durableId="745222726">
    <w:abstractNumId w:val="3"/>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9" w16cid:durableId="260647247">
    <w:abstractNumId w:val="3"/>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16cid:durableId="1033845278">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237133935">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2125228805">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1313412731">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1153329169">
    <w:abstractNumId w:val="3"/>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007"/>
    <w:rsid w:val="00000018"/>
    <w:rsid w:val="000001CE"/>
    <w:rsid w:val="00000239"/>
    <w:rsid w:val="000002ED"/>
    <w:rsid w:val="00000375"/>
    <w:rsid w:val="000005C0"/>
    <w:rsid w:val="0000072F"/>
    <w:rsid w:val="0000078A"/>
    <w:rsid w:val="000007A2"/>
    <w:rsid w:val="00000848"/>
    <w:rsid w:val="00000D27"/>
    <w:rsid w:val="00000E6A"/>
    <w:rsid w:val="00000FE2"/>
    <w:rsid w:val="00001062"/>
    <w:rsid w:val="00001094"/>
    <w:rsid w:val="00001256"/>
    <w:rsid w:val="00001441"/>
    <w:rsid w:val="00001444"/>
    <w:rsid w:val="00001543"/>
    <w:rsid w:val="00001549"/>
    <w:rsid w:val="000016F8"/>
    <w:rsid w:val="00001770"/>
    <w:rsid w:val="000017DD"/>
    <w:rsid w:val="000018E9"/>
    <w:rsid w:val="000019DF"/>
    <w:rsid w:val="00001A45"/>
    <w:rsid w:val="00001A98"/>
    <w:rsid w:val="00001B15"/>
    <w:rsid w:val="00001B71"/>
    <w:rsid w:val="00001BD0"/>
    <w:rsid w:val="00001DC2"/>
    <w:rsid w:val="00001DDD"/>
    <w:rsid w:val="00001F07"/>
    <w:rsid w:val="00001F56"/>
    <w:rsid w:val="000021A0"/>
    <w:rsid w:val="000021C2"/>
    <w:rsid w:val="00002346"/>
    <w:rsid w:val="0000241C"/>
    <w:rsid w:val="0000252B"/>
    <w:rsid w:val="0000282B"/>
    <w:rsid w:val="000028CC"/>
    <w:rsid w:val="00002979"/>
    <w:rsid w:val="00002A69"/>
    <w:rsid w:val="00002AC6"/>
    <w:rsid w:val="00002B4D"/>
    <w:rsid w:val="00002D1B"/>
    <w:rsid w:val="00002D97"/>
    <w:rsid w:val="00003041"/>
    <w:rsid w:val="00003102"/>
    <w:rsid w:val="0000310F"/>
    <w:rsid w:val="00003136"/>
    <w:rsid w:val="00003177"/>
    <w:rsid w:val="000032CF"/>
    <w:rsid w:val="0000358A"/>
    <w:rsid w:val="0000360D"/>
    <w:rsid w:val="000036A3"/>
    <w:rsid w:val="000037C2"/>
    <w:rsid w:val="0000392B"/>
    <w:rsid w:val="00003B2C"/>
    <w:rsid w:val="00003B62"/>
    <w:rsid w:val="00003BDF"/>
    <w:rsid w:val="00003C7D"/>
    <w:rsid w:val="00003EE6"/>
    <w:rsid w:val="00003F17"/>
    <w:rsid w:val="00003FDA"/>
    <w:rsid w:val="000040E3"/>
    <w:rsid w:val="00004128"/>
    <w:rsid w:val="000041AB"/>
    <w:rsid w:val="00004366"/>
    <w:rsid w:val="00004663"/>
    <w:rsid w:val="00004732"/>
    <w:rsid w:val="00004839"/>
    <w:rsid w:val="00004AA3"/>
    <w:rsid w:val="00004F04"/>
    <w:rsid w:val="00004F3A"/>
    <w:rsid w:val="00005140"/>
    <w:rsid w:val="00005329"/>
    <w:rsid w:val="0000539F"/>
    <w:rsid w:val="000053D3"/>
    <w:rsid w:val="000053EB"/>
    <w:rsid w:val="0000547F"/>
    <w:rsid w:val="00005490"/>
    <w:rsid w:val="00005503"/>
    <w:rsid w:val="0000550A"/>
    <w:rsid w:val="000056CF"/>
    <w:rsid w:val="0000576D"/>
    <w:rsid w:val="00005772"/>
    <w:rsid w:val="00005788"/>
    <w:rsid w:val="00005925"/>
    <w:rsid w:val="000059F4"/>
    <w:rsid w:val="00005B9B"/>
    <w:rsid w:val="00005C07"/>
    <w:rsid w:val="00005E0C"/>
    <w:rsid w:val="00005E2A"/>
    <w:rsid w:val="00005E86"/>
    <w:rsid w:val="00006078"/>
    <w:rsid w:val="00006085"/>
    <w:rsid w:val="00006369"/>
    <w:rsid w:val="0000643D"/>
    <w:rsid w:val="00006535"/>
    <w:rsid w:val="0000691E"/>
    <w:rsid w:val="0000694B"/>
    <w:rsid w:val="00006A9E"/>
    <w:rsid w:val="00006B6E"/>
    <w:rsid w:val="00006C2E"/>
    <w:rsid w:val="00006D68"/>
    <w:rsid w:val="00006D6E"/>
    <w:rsid w:val="00006E08"/>
    <w:rsid w:val="00006F2C"/>
    <w:rsid w:val="00006F92"/>
    <w:rsid w:val="00007082"/>
    <w:rsid w:val="000071F3"/>
    <w:rsid w:val="0000723E"/>
    <w:rsid w:val="000074E9"/>
    <w:rsid w:val="00007664"/>
    <w:rsid w:val="00007724"/>
    <w:rsid w:val="00007789"/>
    <w:rsid w:val="000077D9"/>
    <w:rsid w:val="00007F19"/>
    <w:rsid w:val="0001008F"/>
    <w:rsid w:val="000101AC"/>
    <w:rsid w:val="000101C0"/>
    <w:rsid w:val="000101D1"/>
    <w:rsid w:val="000101E0"/>
    <w:rsid w:val="00010273"/>
    <w:rsid w:val="00010284"/>
    <w:rsid w:val="00010285"/>
    <w:rsid w:val="000102A6"/>
    <w:rsid w:val="0001039E"/>
    <w:rsid w:val="0001049D"/>
    <w:rsid w:val="00010577"/>
    <w:rsid w:val="000106CC"/>
    <w:rsid w:val="00010862"/>
    <w:rsid w:val="000108AB"/>
    <w:rsid w:val="000108D8"/>
    <w:rsid w:val="00010AA8"/>
    <w:rsid w:val="00010CEB"/>
    <w:rsid w:val="00010E07"/>
    <w:rsid w:val="00010E1B"/>
    <w:rsid w:val="00010E86"/>
    <w:rsid w:val="00010F5D"/>
    <w:rsid w:val="0001110A"/>
    <w:rsid w:val="00011279"/>
    <w:rsid w:val="0001129D"/>
    <w:rsid w:val="000114E1"/>
    <w:rsid w:val="0001170E"/>
    <w:rsid w:val="00011754"/>
    <w:rsid w:val="000117A3"/>
    <w:rsid w:val="0001184D"/>
    <w:rsid w:val="000118B8"/>
    <w:rsid w:val="00011935"/>
    <w:rsid w:val="0001198C"/>
    <w:rsid w:val="00011BA8"/>
    <w:rsid w:val="00011E06"/>
    <w:rsid w:val="00012235"/>
    <w:rsid w:val="00012287"/>
    <w:rsid w:val="00012404"/>
    <w:rsid w:val="0001252D"/>
    <w:rsid w:val="00012875"/>
    <w:rsid w:val="000128B0"/>
    <w:rsid w:val="000128DF"/>
    <w:rsid w:val="00012A59"/>
    <w:rsid w:val="00012C2A"/>
    <w:rsid w:val="00012CE2"/>
    <w:rsid w:val="00012D13"/>
    <w:rsid w:val="00012E1D"/>
    <w:rsid w:val="00012EF4"/>
    <w:rsid w:val="000130D7"/>
    <w:rsid w:val="00013157"/>
    <w:rsid w:val="000132E0"/>
    <w:rsid w:val="000134CC"/>
    <w:rsid w:val="000136C1"/>
    <w:rsid w:val="000136CD"/>
    <w:rsid w:val="0001388D"/>
    <w:rsid w:val="00013986"/>
    <w:rsid w:val="00013A6C"/>
    <w:rsid w:val="00013A81"/>
    <w:rsid w:val="00013A8D"/>
    <w:rsid w:val="00013B38"/>
    <w:rsid w:val="00013C83"/>
    <w:rsid w:val="00013CF4"/>
    <w:rsid w:val="00013F2B"/>
    <w:rsid w:val="00014099"/>
    <w:rsid w:val="000143B1"/>
    <w:rsid w:val="00014442"/>
    <w:rsid w:val="0001449B"/>
    <w:rsid w:val="0001469C"/>
    <w:rsid w:val="00014B12"/>
    <w:rsid w:val="00014C10"/>
    <w:rsid w:val="00014C21"/>
    <w:rsid w:val="00014C78"/>
    <w:rsid w:val="00014E60"/>
    <w:rsid w:val="000150E8"/>
    <w:rsid w:val="00015144"/>
    <w:rsid w:val="00015318"/>
    <w:rsid w:val="000153E3"/>
    <w:rsid w:val="000153F9"/>
    <w:rsid w:val="00015617"/>
    <w:rsid w:val="0001568A"/>
    <w:rsid w:val="00015692"/>
    <w:rsid w:val="0001589F"/>
    <w:rsid w:val="000158A6"/>
    <w:rsid w:val="000158B4"/>
    <w:rsid w:val="0001591A"/>
    <w:rsid w:val="00015B77"/>
    <w:rsid w:val="00015BAB"/>
    <w:rsid w:val="00015BBF"/>
    <w:rsid w:val="00015C1A"/>
    <w:rsid w:val="00015CE9"/>
    <w:rsid w:val="00015DE4"/>
    <w:rsid w:val="00015DF4"/>
    <w:rsid w:val="00015E26"/>
    <w:rsid w:val="00015E32"/>
    <w:rsid w:val="00015FB0"/>
    <w:rsid w:val="00016118"/>
    <w:rsid w:val="0001626D"/>
    <w:rsid w:val="000162AE"/>
    <w:rsid w:val="00016324"/>
    <w:rsid w:val="000167D3"/>
    <w:rsid w:val="000169D4"/>
    <w:rsid w:val="00016A1D"/>
    <w:rsid w:val="00016B2E"/>
    <w:rsid w:val="00016CF7"/>
    <w:rsid w:val="00016FA4"/>
    <w:rsid w:val="00016FA7"/>
    <w:rsid w:val="000171E2"/>
    <w:rsid w:val="000172D2"/>
    <w:rsid w:val="00017356"/>
    <w:rsid w:val="000173BA"/>
    <w:rsid w:val="00017452"/>
    <w:rsid w:val="00017555"/>
    <w:rsid w:val="00017744"/>
    <w:rsid w:val="00017759"/>
    <w:rsid w:val="0001789A"/>
    <w:rsid w:val="000178B0"/>
    <w:rsid w:val="000179B8"/>
    <w:rsid w:val="00017BE3"/>
    <w:rsid w:val="00017E51"/>
    <w:rsid w:val="0002025B"/>
    <w:rsid w:val="00020262"/>
    <w:rsid w:val="000202C7"/>
    <w:rsid w:val="000204A5"/>
    <w:rsid w:val="00020621"/>
    <w:rsid w:val="0002069B"/>
    <w:rsid w:val="000206B3"/>
    <w:rsid w:val="000207E2"/>
    <w:rsid w:val="00020811"/>
    <w:rsid w:val="00020820"/>
    <w:rsid w:val="00020AF0"/>
    <w:rsid w:val="00020B74"/>
    <w:rsid w:val="00020C6B"/>
    <w:rsid w:val="00020EF6"/>
    <w:rsid w:val="00020F57"/>
    <w:rsid w:val="000210A6"/>
    <w:rsid w:val="0002142B"/>
    <w:rsid w:val="00021474"/>
    <w:rsid w:val="000214D3"/>
    <w:rsid w:val="0002155D"/>
    <w:rsid w:val="00021845"/>
    <w:rsid w:val="00021873"/>
    <w:rsid w:val="00021945"/>
    <w:rsid w:val="000219DB"/>
    <w:rsid w:val="00021A99"/>
    <w:rsid w:val="00021ADA"/>
    <w:rsid w:val="00021AEF"/>
    <w:rsid w:val="00021C9D"/>
    <w:rsid w:val="00021D18"/>
    <w:rsid w:val="00021D88"/>
    <w:rsid w:val="00021E0E"/>
    <w:rsid w:val="00021F6B"/>
    <w:rsid w:val="00021FBE"/>
    <w:rsid w:val="00022113"/>
    <w:rsid w:val="00022324"/>
    <w:rsid w:val="0002248C"/>
    <w:rsid w:val="000225F5"/>
    <w:rsid w:val="000226AF"/>
    <w:rsid w:val="00022841"/>
    <w:rsid w:val="00022895"/>
    <w:rsid w:val="000228D9"/>
    <w:rsid w:val="000229D4"/>
    <w:rsid w:val="00022A59"/>
    <w:rsid w:val="00022AC1"/>
    <w:rsid w:val="00022C15"/>
    <w:rsid w:val="00022D66"/>
    <w:rsid w:val="0002314E"/>
    <w:rsid w:val="000231AE"/>
    <w:rsid w:val="00023229"/>
    <w:rsid w:val="00023308"/>
    <w:rsid w:val="0002337C"/>
    <w:rsid w:val="000233BD"/>
    <w:rsid w:val="00023425"/>
    <w:rsid w:val="00023452"/>
    <w:rsid w:val="000235B1"/>
    <w:rsid w:val="000235DA"/>
    <w:rsid w:val="000235E1"/>
    <w:rsid w:val="0002368B"/>
    <w:rsid w:val="00023741"/>
    <w:rsid w:val="000237DB"/>
    <w:rsid w:val="0002394E"/>
    <w:rsid w:val="00023C37"/>
    <w:rsid w:val="00023D8C"/>
    <w:rsid w:val="00023DFB"/>
    <w:rsid w:val="00023ECF"/>
    <w:rsid w:val="00023EFF"/>
    <w:rsid w:val="000241BE"/>
    <w:rsid w:val="0002420E"/>
    <w:rsid w:val="00024270"/>
    <w:rsid w:val="00024290"/>
    <w:rsid w:val="0002429B"/>
    <w:rsid w:val="000243A8"/>
    <w:rsid w:val="00024663"/>
    <w:rsid w:val="000246CC"/>
    <w:rsid w:val="0002480F"/>
    <w:rsid w:val="00024991"/>
    <w:rsid w:val="00024B1A"/>
    <w:rsid w:val="00024CAF"/>
    <w:rsid w:val="00024CFD"/>
    <w:rsid w:val="00024DB6"/>
    <w:rsid w:val="00024EE9"/>
    <w:rsid w:val="00024F71"/>
    <w:rsid w:val="000252B0"/>
    <w:rsid w:val="000252D1"/>
    <w:rsid w:val="000254C0"/>
    <w:rsid w:val="00025573"/>
    <w:rsid w:val="000257CC"/>
    <w:rsid w:val="00025889"/>
    <w:rsid w:val="000258AE"/>
    <w:rsid w:val="0002599D"/>
    <w:rsid w:val="00025B2A"/>
    <w:rsid w:val="00025B81"/>
    <w:rsid w:val="00025C70"/>
    <w:rsid w:val="00025CBC"/>
    <w:rsid w:val="00025EC1"/>
    <w:rsid w:val="0002601B"/>
    <w:rsid w:val="0002610D"/>
    <w:rsid w:val="00026149"/>
    <w:rsid w:val="0002621A"/>
    <w:rsid w:val="00026585"/>
    <w:rsid w:val="000265FF"/>
    <w:rsid w:val="000266F9"/>
    <w:rsid w:val="00026781"/>
    <w:rsid w:val="00026849"/>
    <w:rsid w:val="000269CC"/>
    <w:rsid w:val="00026ACA"/>
    <w:rsid w:val="00026AE0"/>
    <w:rsid w:val="00026AF9"/>
    <w:rsid w:val="00026B5D"/>
    <w:rsid w:val="00026BB3"/>
    <w:rsid w:val="00027064"/>
    <w:rsid w:val="0002706A"/>
    <w:rsid w:val="00027120"/>
    <w:rsid w:val="0002717A"/>
    <w:rsid w:val="0002743C"/>
    <w:rsid w:val="00027461"/>
    <w:rsid w:val="00027474"/>
    <w:rsid w:val="00027590"/>
    <w:rsid w:val="0002760D"/>
    <w:rsid w:val="00027914"/>
    <w:rsid w:val="00027986"/>
    <w:rsid w:val="00027B14"/>
    <w:rsid w:val="00027B29"/>
    <w:rsid w:val="00027C7F"/>
    <w:rsid w:val="00027D38"/>
    <w:rsid w:val="00027E02"/>
    <w:rsid w:val="00030389"/>
    <w:rsid w:val="000303C3"/>
    <w:rsid w:val="00030566"/>
    <w:rsid w:val="000305D1"/>
    <w:rsid w:val="000306D1"/>
    <w:rsid w:val="00030930"/>
    <w:rsid w:val="0003096C"/>
    <w:rsid w:val="000309B0"/>
    <w:rsid w:val="00030B72"/>
    <w:rsid w:val="00030C0B"/>
    <w:rsid w:val="00030CBA"/>
    <w:rsid w:val="00030DDE"/>
    <w:rsid w:val="00030F73"/>
    <w:rsid w:val="0003102F"/>
    <w:rsid w:val="00031081"/>
    <w:rsid w:val="000311A9"/>
    <w:rsid w:val="000312DC"/>
    <w:rsid w:val="000318B3"/>
    <w:rsid w:val="000318D2"/>
    <w:rsid w:val="000319AA"/>
    <w:rsid w:val="00031ACE"/>
    <w:rsid w:val="00031D11"/>
    <w:rsid w:val="00031E6C"/>
    <w:rsid w:val="00031F78"/>
    <w:rsid w:val="0003201F"/>
    <w:rsid w:val="000321CD"/>
    <w:rsid w:val="00032415"/>
    <w:rsid w:val="0003247A"/>
    <w:rsid w:val="00032527"/>
    <w:rsid w:val="00032818"/>
    <w:rsid w:val="00032A5D"/>
    <w:rsid w:val="00032BBB"/>
    <w:rsid w:val="00032C71"/>
    <w:rsid w:val="0003301A"/>
    <w:rsid w:val="00033204"/>
    <w:rsid w:val="0003332F"/>
    <w:rsid w:val="00033392"/>
    <w:rsid w:val="00033417"/>
    <w:rsid w:val="00033443"/>
    <w:rsid w:val="00033456"/>
    <w:rsid w:val="00033594"/>
    <w:rsid w:val="000335F7"/>
    <w:rsid w:val="00033716"/>
    <w:rsid w:val="000337EC"/>
    <w:rsid w:val="00033A37"/>
    <w:rsid w:val="00033A41"/>
    <w:rsid w:val="00033AB9"/>
    <w:rsid w:val="00033C8E"/>
    <w:rsid w:val="00033DAA"/>
    <w:rsid w:val="00033F3D"/>
    <w:rsid w:val="0003415B"/>
    <w:rsid w:val="000344FD"/>
    <w:rsid w:val="00034633"/>
    <w:rsid w:val="000346E6"/>
    <w:rsid w:val="000347C9"/>
    <w:rsid w:val="000349A7"/>
    <w:rsid w:val="000349C1"/>
    <w:rsid w:val="000349CD"/>
    <w:rsid w:val="00034A8C"/>
    <w:rsid w:val="00034B0E"/>
    <w:rsid w:val="00034C7D"/>
    <w:rsid w:val="00034D65"/>
    <w:rsid w:val="00034DBA"/>
    <w:rsid w:val="00034F23"/>
    <w:rsid w:val="00034F62"/>
    <w:rsid w:val="00035008"/>
    <w:rsid w:val="000351D5"/>
    <w:rsid w:val="00035345"/>
    <w:rsid w:val="000355DC"/>
    <w:rsid w:val="000357C6"/>
    <w:rsid w:val="000358BF"/>
    <w:rsid w:val="000359B1"/>
    <w:rsid w:val="00035A30"/>
    <w:rsid w:val="00035AAB"/>
    <w:rsid w:val="00035AFA"/>
    <w:rsid w:val="00035B43"/>
    <w:rsid w:val="00035CD8"/>
    <w:rsid w:val="00035DCC"/>
    <w:rsid w:val="00035E0C"/>
    <w:rsid w:val="00035F9E"/>
    <w:rsid w:val="000360FB"/>
    <w:rsid w:val="0003622C"/>
    <w:rsid w:val="000362F1"/>
    <w:rsid w:val="00036310"/>
    <w:rsid w:val="00036417"/>
    <w:rsid w:val="00036461"/>
    <w:rsid w:val="00036600"/>
    <w:rsid w:val="00036622"/>
    <w:rsid w:val="000367BE"/>
    <w:rsid w:val="00036818"/>
    <w:rsid w:val="000368B6"/>
    <w:rsid w:val="00036A25"/>
    <w:rsid w:val="00036A39"/>
    <w:rsid w:val="00036AEC"/>
    <w:rsid w:val="00036D02"/>
    <w:rsid w:val="00036D85"/>
    <w:rsid w:val="00036EC6"/>
    <w:rsid w:val="00036FB7"/>
    <w:rsid w:val="00036FCF"/>
    <w:rsid w:val="0003704C"/>
    <w:rsid w:val="000370AF"/>
    <w:rsid w:val="00037239"/>
    <w:rsid w:val="00037299"/>
    <w:rsid w:val="00037357"/>
    <w:rsid w:val="00037467"/>
    <w:rsid w:val="0003759E"/>
    <w:rsid w:val="000376BC"/>
    <w:rsid w:val="00037709"/>
    <w:rsid w:val="00037736"/>
    <w:rsid w:val="0003783A"/>
    <w:rsid w:val="000378D0"/>
    <w:rsid w:val="00037911"/>
    <w:rsid w:val="0003791F"/>
    <w:rsid w:val="000379AC"/>
    <w:rsid w:val="00037A59"/>
    <w:rsid w:val="00037E44"/>
    <w:rsid w:val="00040018"/>
    <w:rsid w:val="00040051"/>
    <w:rsid w:val="00040166"/>
    <w:rsid w:val="00040544"/>
    <w:rsid w:val="00040629"/>
    <w:rsid w:val="00040643"/>
    <w:rsid w:val="0004074D"/>
    <w:rsid w:val="000407F1"/>
    <w:rsid w:val="000408FA"/>
    <w:rsid w:val="000409A5"/>
    <w:rsid w:val="00040A0C"/>
    <w:rsid w:val="00040A22"/>
    <w:rsid w:val="00040A41"/>
    <w:rsid w:val="00040A52"/>
    <w:rsid w:val="00040AC3"/>
    <w:rsid w:val="00040B36"/>
    <w:rsid w:val="00040D81"/>
    <w:rsid w:val="00040E44"/>
    <w:rsid w:val="00040F10"/>
    <w:rsid w:val="00041000"/>
    <w:rsid w:val="00041066"/>
    <w:rsid w:val="00041094"/>
    <w:rsid w:val="000410AF"/>
    <w:rsid w:val="00041118"/>
    <w:rsid w:val="00041162"/>
    <w:rsid w:val="0004134A"/>
    <w:rsid w:val="0004150D"/>
    <w:rsid w:val="000415A0"/>
    <w:rsid w:val="000416E4"/>
    <w:rsid w:val="00041849"/>
    <w:rsid w:val="00041BC4"/>
    <w:rsid w:val="00041E39"/>
    <w:rsid w:val="00041E7F"/>
    <w:rsid w:val="00041E9B"/>
    <w:rsid w:val="00041EA9"/>
    <w:rsid w:val="000420E4"/>
    <w:rsid w:val="00042155"/>
    <w:rsid w:val="00042249"/>
    <w:rsid w:val="000425A4"/>
    <w:rsid w:val="000425B6"/>
    <w:rsid w:val="0004293E"/>
    <w:rsid w:val="000429AC"/>
    <w:rsid w:val="00042D1F"/>
    <w:rsid w:val="00042FCC"/>
    <w:rsid w:val="0004306F"/>
    <w:rsid w:val="00043079"/>
    <w:rsid w:val="00043158"/>
    <w:rsid w:val="000431C1"/>
    <w:rsid w:val="00043361"/>
    <w:rsid w:val="000435A4"/>
    <w:rsid w:val="0004364F"/>
    <w:rsid w:val="00043656"/>
    <w:rsid w:val="0004368C"/>
    <w:rsid w:val="00043905"/>
    <w:rsid w:val="000439C3"/>
    <w:rsid w:val="00043A2E"/>
    <w:rsid w:val="00043ADD"/>
    <w:rsid w:val="00043B1B"/>
    <w:rsid w:val="00043C2A"/>
    <w:rsid w:val="00043D71"/>
    <w:rsid w:val="00043DD3"/>
    <w:rsid w:val="0004405F"/>
    <w:rsid w:val="00044478"/>
    <w:rsid w:val="00044507"/>
    <w:rsid w:val="00044528"/>
    <w:rsid w:val="0004453B"/>
    <w:rsid w:val="000445F8"/>
    <w:rsid w:val="0004490A"/>
    <w:rsid w:val="0004491D"/>
    <w:rsid w:val="00044ACC"/>
    <w:rsid w:val="00044BE9"/>
    <w:rsid w:val="00044D17"/>
    <w:rsid w:val="00044D82"/>
    <w:rsid w:val="00044E26"/>
    <w:rsid w:val="000451E7"/>
    <w:rsid w:val="00045304"/>
    <w:rsid w:val="00045376"/>
    <w:rsid w:val="000453AC"/>
    <w:rsid w:val="00045425"/>
    <w:rsid w:val="0004554F"/>
    <w:rsid w:val="00045618"/>
    <w:rsid w:val="000456A3"/>
    <w:rsid w:val="000459C1"/>
    <w:rsid w:val="00045A04"/>
    <w:rsid w:val="00045A92"/>
    <w:rsid w:val="00045C34"/>
    <w:rsid w:val="00045CDF"/>
    <w:rsid w:val="00045DE1"/>
    <w:rsid w:val="00045FF5"/>
    <w:rsid w:val="000460A6"/>
    <w:rsid w:val="000461A6"/>
    <w:rsid w:val="000462A3"/>
    <w:rsid w:val="000462B6"/>
    <w:rsid w:val="00046731"/>
    <w:rsid w:val="00046776"/>
    <w:rsid w:val="000467D3"/>
    <w:rsid w:val="0004682F"/>
    <w:rsid w:val="000468DB"/>
    <w:rsid w:val="00046A17"/>
    <w:rsid w:val="00046AEB"/>
    <w:rsid w:val="00046C3A"/>
    <w:rsid w:val="00046DED"/>
    <w:rsid w:val="00046E99"/>
    <w:rsid w:val="00046F02"/>
    <w:rsid w:val="0004722E"/>
    <w:rsid w:val="0004731B"/>
    <w:rsid w:val="0004748F"/>
    <w:rsid w:val="0004761D"/>
    <w:rsid w:val="0004775E"/>
    <w:rsid w:val="00047BAE"/>
    <w:rsid w:val="00047BFC"/>
    <w:rsid w:val="00047CB5"/>
    <w:rsid w:val="00047CFA"/>
    <w:rsid w:val="000500CF"/>
    <w:rsid w:val="0005027A"/>
    <w:rsid w:val="000504D7"/>
    <w:rsid w:val="000506F6"/>
    <w:rsid w:val="0005080E"/>
    <w:rsid w:val="00050875"/>
    <w:rsid w:val="000508E8"/>
    <w:rsid w:val="00050BDF"/>
    <w:rsid w:val="00050D30"/>
    <w:rsid w:val="0005111C"/>
    <w:rsid w:val="000513BE"/>
    <w:rsid w:val="00051441"/>
    <w:rsid w:val="00051545"/>
    <w:rsid w:val="000515E2"/>
    <w:rsid w:val="00051687"/>
    <w:rsid w:val="00051776"/>
    <w:rsid w:val="00051784"/>
    <w:rsid w:val="000517D1"/>
    <w:rsid w:val="00051916"/>
    <w:rsid w:val="0005197C"/>
    <w:rsid w:val="000519CC"/>
    <w:rsid w:val="00051A06"/>
    <w:rsid w:val="00051B3C"/>
    <w:rsid w:val="00051C0E"/>
    <w:rsid w:val="00051CD1"/>
    <w:rsid w:val="00051CDF"/>
    <w:rsid w:val="00051EA1"/>
    <w:rsid w:val="000521E4"/>
    <w:rsid w:val="000523CB"/>
    <w:rsid w:val="000524EC"/>
    <w:rsid w:val="00052503"/>
    <w:rsid w:val="00052A00"/>
    <w:rsid w:val="00052A73"/>
    <w:rsid w:val="00052BE3"/>
    <w:rsid w:val="00052C57"/>
    <w:rsid w:val="00052C95"/>
    <w:rsid w:val="00052E4D"/>
    <w:rsid w:val="00052FFF"/>
    <w:rsid w:val="0005312C"/>
    <w:rsid w:val="000531A4"/>
    <w:rsid w:val="00053366"/>
    <w:rsid w:val="000535F4"/>
    <w:rsid w:val="000538C4"/>
    <w:rsid w:val="000538C7"/>
    <w:rsid w:val="00053A02"/>
    <w:rsid w:val="00053B52"/>
    <w:rsid w:val="00053BBD"/>
    <w:rsid w:val="00053C2F"/>
    <w:rsid w:val="00053C32"/>
    <w:rsid w:val="0005406C"/>
    <w:rsid w:val="000540C3"/>
    <w:rsid w:val="000540C4"/>
    <w:rsid w:val="000540F2"/>
    <w:rsid w:val="00054120"/>
    <w:rsid w:val="0005426F"/>
    <w:rsid w:val="00054348"/>
    <w:rsid w:val="00054520"/>
    <w:rsid w:val="00054534"/>
    <w:rsid w:val="0005490F"/>
    <w:rsid w:val="00054A0C"/>
    <w:rsid w:val="00054A2B"/>
    <w:rsid w:val="00054BA1"/>
    <w:rsid w:val="00054C4B"/>
    <w:rsid w:val="00054CD1"/>
    <w:rsid w:val="00054D1E"/>
    <w:rsid w:val="00054E3C"/>
    <w:rsid w:val="00054F37"/>
    <w:rsid w:val="000550F5"/>
    <w:rsid w:val="000552B1"/>
    <w:rsid w:val="00055311"/>
    <w:rsid w:val="0005532E"/>
    <w:rsid w:val="0005568C"/>
    <w:rsid w:val="0005572C"/>
    <w:rsid w:val="00055886"/>
    <w:rsid w:val="000559BE"/>
    <w:rsid w:val="00055A63"/>
    <w:rsid w:val="00055A9E"/>
    <w:rsid w:val="00055B2E"/>
    <w:rsid w:val="00055B97"/>
    <w:rsid w:val="00055C62"/>
    <w:rsid w:val="00055DB0"/>
    <w:rsid w:val="00055E11"/>
    <w:rsid w:val="00055EC5"/>
    <w:rsid w:val="00055F30"/>
    <w:rsid w:val="00055F46"/>
    <w:rsid w:val="00056169"/>
    <w:rsid w:val="000563F4"/>
    <w:rsid w:val="00056419"/>
    <w:rsid w:val="00056538"/>
    <w:rsid w:val="0005673D"/>
    <w:rsid w:val="000568B5"/>
    <w:rsid w:val="00056BD6"/>
    <w:rsid w:val="00056DA8"/>
    <w:rsid w:val="00056F48"/>
    <w:rsid w:val="0005704A"/>
    <w:rsid w:val="0005713B"/>
    <w:rsid w:val="0005715C"/>
    <w:rsid w:val="00057311"/>
    <w:rsid w:val="0005731E"/>
    <w:rsid w:val="00057465"/>
    <w:rsid w:val="000577E3"/>
    <w:rsid w:val="0005789D"/>
    <w:rsid w:val="00057923"/>
    <w:rsid w:val="00057ACB"/>
    <w:rsid w:val="00057C1F"/>
    <w:rsid w:val="00057C2C"/>
    <w:rsid w:val="00057D64"/>
    <w:rsid w:val="00057D65"/>
    <w:rsid w:val="000601CE"/>
    <w:rsid w:val="000602C3"/>
    <w:rsid w:val="000603E9"/>
    <w:rsid w:val="00060449"/>
    <w:rsid w:val="00060586"/>
    <w:rsid w:val="00060891"/>
    <w:rsid w:val="00060911"/>
    <w:rsid w:val="000609F9"/>
    <w:rsid w:val="00060A1E"/>
    <w:rsid w:val="00060A3D"/>
    <w:rsid w:val="00060CBA"/>
    <w:rsid w:val="00060E4C"/>
    <w:rsid w:val="00060EE3"/>
    <w:rsid w:val="00060F62"/>
    <w:rsid w:val="00060FA4"/>
    <w:rsid w:val="0006119A"/>
    <w:rsid w:val="0006120B"/>
    <w:rsid w:val="00061364"/>
    <w:rsid w:val="00061374"/>
    <w:rsid w:val="00061464"/>
    <w:rsid w:val="000615CE"/>
    <w:rsid w:val="00061859"/>
    <w:rsid w:val="00061952"/>
    <w:rsid w:val="000619D3"/>
    <w:rsid w:val="00061A16"/>
    <w:rsid w:val="00061B14"/>
    <w:rsid w:val="00061C04"/>
    <w:rsid w:val="00061C22"/>
    <w:rsid w:val="00061C63"/>
    <w:rsid w:val="00061D91"/>
    <w:rsid w:val="0006204C"/>
    <w:rsid w:val="00062169"/>
    <w:rsid w:val="00062229"/>
    <w:rsid w:val="000624B0"/>
    <w:rsid w:val="000624F4"/>
    <w:rsid w:val="00062519"/>
    <w:rsid w:val="00062651"/>
    <w:rsid w:val="000626F4"/>
    <w:rsid w:val="0006270F"/>
    <w:rsid w:val="00062AEC"/>
    <w:rsid w:val="00062CB2"/>
    <w:rsid w:val="00062CCC"/>
    <w:rsid w:val="00062D70"/>
    <w:rsid w:val="00062D9F"/>
    <w:rsid w:val="00062EE4"/>
    <w:rsid w:val="00062F84"/>
    <w:rsid w:val="00063193"/>
    <w:rsid w:val="000631E5"/>
    <w:rsid w:val="000632B2"/>
    <w:rsid w:val="0006337B"/>
    <w:rsid w:val="00063401"/>
    <w:rsid w:val="000635B6"/>
    <w:rsid w:val="000635FE"/>
    <w:rsid w:val="00063694"/>
    <w:rsid w:val="000637CF"/>
    <w:rsid w:val="00063846"/>
    <w:rsid w:val="00063A5C"/>
    <w:rsid w:val="00063A68"/>
    <w:rsid w:val="00063AD9"/>
    <w:rsid w:val="00063AF1"/>
    <w:rsid w:val="00063B57"/>
    <w:rsid w:val="00063EB1"/>
    <w:rsid w:val="00064447"/>
    <w:rsid w:val="0006470F"/>
    <w:rsid w:val="00064740"/>
    <w:rsid w:val="0006475D"/>
    <w:rsid w:val="00064790"/>
    <w:rsid w:val="000647E1"/>
    <w:rsid w:val="00064A66"/>
    <w:rsid w:val="00064BDE"/>
    <w:rsid w:val="00064CA9"/>
    <w:rsid w:val="00064FE8"/>
    <w:rsid w:val="0006502E"/>
    <w:rsid w:val="0006503A"/>
    <w:rsid w:val="000650C0"/>
    <w:rsid w:val="000653B1"/>
    <w:rsid w:val="00065402"/>
    <w:rsid w:val="00065432"/>
    <w:rsid w:val="0006545F"/>
    <w:rsid w:val="000654EF"/>
    <w:rsid w:val="000657FF"/>
    <w:rsid w:val="0006580C"/>
    <w:rsid w:val="0006587A"/>
    <w:rsid w:val="00065994"/>
    <w:rsid w:val="00065B6C"/>
    <w:rsid w:val="00065B8B"/>
    <w:rsid w:val="00065C81"/>
    <w:rsid w:val="00065DF1"/>
    <w:rsid w:val="0006604B"/>
    <w:rsid w:val="00066074"/>
    <w:rsid w:val="00066242"/>
    <w:rsid w:val="00066258"/>
    <w:rsid w:val="000662B4"/>
    <w:rsid w:val="00066404"/>
    <w:rsid w:val="000664E3"/>
    <w:rsid w:val="00066696"/>
    <w:rsid w:val="0006679F"/>
    <w:rsid w:val="000668AA"/>
    <w:rsid w:val="0006696A"/>
    <w:rsid w:val="0006698F"/>
    <w:rsid w:val="00066ADA"/>
    <w:rsid w:val="00066B73"/>
    <w:rsid w:val="00066BAA"/>
    <w:rsid w:val="00066BCF"/>
    <w:rsid w:val="0006710D"/>
    <w:rsid w:val="000671A2"/>
    <w:rsid w:val="000673D6"/>
    <w:rsid w:val="00067473"/>
    <w:rsid w:val="000674BF"/>
    <w:rsid w:val="000674DF"/>
    <w:rsid w:val="000675AD"/>
    <w:rsid w:val="0006769B"/>
    <w:rsid w:val="000677BC"/>
    <w:rsid w:val="00067821"/>
    <w:rsid w:val="000679DA"/>
    <w:rsid w:val="00067A3F"/>
    <w:rsid w:val="00067A7B"/>
    <w:rsid w:val="00067C37"/>
    <w:rsid w:val="00067C61"/>
    <w:rsid w:val="00067D09"/>
    <w:rsid w:val="00067F0A"/>
    <w:rsid w:val="00067F43"/>
    <w:rsid w:val="000702DD"/>
    <w:rsid w:val="000705C1"/>
    <w:rsid w:val="000705C5"/>
    <w:rsid w:val="00070639"/>
    <w:rsid w:val="0007063A"/>
    <w:rsid w:val="0007067C"/>
    <w:rsid w:val="00070703"/>
    <w:rsid w:val="0007073B"/>
    <w:rsid w:val="00070789"/>
    <w:rsid w:val="00070945"/>
    <w:rsid w:val="0007099C"/>
    <w:rsid w:val="00070BE1"/>
    <w:rsid w:val="00070C45"/>
    <w:rsid w:val="00070D40"/>
    <w:rsid w:val="00070E17"/>
    <w:rsid w:val="00070F88"/>
    <w:rsid w:val="00071079"/>
    <w:rsid w:val="00071094"/>
    <w:rsid w:val="00071170"/>
    <w:rsid w:val="0007122C"/>
    <w:rsid w:val="000714EC"/>
    <w:rsid w:val="00071577"/>
    <w:rsid w:val="000715C5"/>
    <w:rsid w:val="000716DD"/>
    <w:rsid w:val="0007178A"/>
    <w:rsid w:val="000718E7"/>
    <w:rsid w:val="00071960"/>
    <w:rsid w:val="00071987"/>
    <w:rsid w:val="0007199A"/>
    <w:rsid w:val="00071DC6"/>
    <w:rsid w:val="00071F0F"/>
    <w:rsid w:val="000720FD"/>
    <w:rsid w:val="00072103"/>
    <w:rsid w:val="000721DA"/>
    <w:rsid w:val="00072511"/>
    <w:rsid w:val="0007278C"/>
    <w:rsid w:val="000727C0"/>
    <w:rsid w:val="00072911"/>
    <w:rsid w:val="00072A0B"/>
    <w:rsid w:val="00072A0F"/>
    <w:rsid w:val="00072B7C"/>
    <w:rsid w:val="00072C81"/>
    <w:rsid w:val="00072CC1"/>
    <w:rsid w:val="00072CF4"/>
    <w:rsid w:val="00073002"/>
    <w:rsid w:val="00073182"/>
    <w:rsid w:val="000732FF"/>
    <w:rsid w:val="0007338E"/>
    <w:rsid w:val="000733A3"/>
    <w:rsid w:val="0007348F"/>
    <w:rsid w:val="00073652"/>
    <w:rsid w:val="00073735"/>
    <w:rsid w:val="0007389D"/>
    <w:rsid w:val="00073964"/>
    <w:rsid w:val="00073A89"/>
    <w:rsid w:val="00073B95"/>
    <w:rsid w:val="00073B98"/>
    <w:rsid w:val="00073C95"/>
    <w:rsid w:val="00073E9B"/>
    <w:rsid w:val="00073EA2"/>
    <w:rsid w:val="00074019"/>
    <w:rsid w:val="000740F6"/>
    <w:rsid w:val="00074596"/>
    <w:rsid w:val="000746F1"/>
    <w:rsid w:val="00074742"/>
    <w:rsid w:val="0007483C"/>
    <w:rsid w:val="000748C8"/>
    <w:rsid w:val="000749FA"/>
    <w:rsid w:val="00074D39"/>
    <w:rsid w:val="00074F23"/>
    <w:rsid w:val="00075198"/>
    <w:rsid w:val="0007554C"/>
    <w:rsid w:val="0007559C"/>
    <w:rsid w:val="000757E4"/>
    <w:rsid w:val="000757FC"/>
    <w:rsid w:val="000759A7"/>
    <w:rsid w:val="00075AD1"/>
    <w:rsid w:val="00075C17"/>
    <w:rsid w:val="00075CC3"/>
    <w:rsid w:val="00075EE5"/>
    <w:rsid w:val="00075F0D"/>
    <w:rsid w:val="000760AD"/>
    <w:rsid w:val="000760FD"/>
    <w:rsid w:val="00076101"/>
    <w:rsid w:val="00076289"/>
    <w:rsid w:val="0007642E"/>
    <w:rsid w:val="00076A98"/>
    <w:rsid w:val="00076CB8"/>
    <w:rsid w:val="00076D2B"/>
    <w:rsid w:val="00076E84"/>
    <w:rsid w:val="00076EF7"/>
    <w:rsid w:val="00076F28"/>
    <w:rsid w:val="00077210"/>
    <w:rsid w:val="00077284"/>
    <w:rsid w:val="00077480"/>
    <w:rsid w:val="00077612"/>
    <w:rsid w:val="000776A3"/>
    <w:rsid w:val="00077769"/>
    <w:rsid w:val="00077A65"/>
    <w:rsid w:val="00077B80"/>
    <w:rsid w:val="00077BFF"/>
    <w:rsid w:val="00077C88"/>
    <w:rsid w:val="00077D44"/>
    <w:rsid w:val="00077E4F"/>
    <w:rsid w:val="0007A753"/>
    <w:rsid w:val="00080147"/>
    <w:rsid w:val="0008016F"/>
    <w:rsid w:val="00080185"/>
    <w:rsid w:val="0008029B"/>
    <w:rsid w:val="000804A2"/>
    <w:rsid w:val="00080818"/>
    <w:rsid w:val="000808AA"/>
    <w:rsid w:val="000808B4"/>
    <w:rsid w:val="000808DD"/>
    <w:rsid w:val="00080CAB"/>
    <w:rsid w:val="00080D9F"/>
    <w:rsid w:val="00080E4D"/>
    <w:rsid w:val="00080F66"/>
    <w:rsid w:val="00081075"/>
    <w:rsid w:val="000810A2"/>
    <w:rsid w:val="0008112B"/>
    <w:rsid w:val="0008116D"/>
    <w:rsid w:val="000813D3"/>
    <w:rsid w:val="0008146E"/>
    <w:rsid w:val="00081583"/>
    <w:rsid w:val="0008165A"/>
    <w:rsid w:val="0008170C"/>
    <w:rsid w:val="00081797"/>
    <w:rsid w:val="000817BC"/>
    <w:rsid w:val="00081897"/>
    <w:rsid w:val="00081A33"/>
    <w:rsid w:val="00081AB3"/>
    <w:rsid w:val="00081C18"/>
    <w:rsid w:val="00081DEA"/>
    <w:rsid w:val="00081FE1"/>
    <w:rsid w:val="000821E7"/>
    <w:rsid w:val="00082224"/>
    <w:rsid w:val="00082234"/>
    <w:rsid w:val="000824A4"/>
    <w:rsid w:val="000824BD"/>
    <w:rsid w:val="000826E0"/>
    <w:rsid w:val="000827DB"/>
    <w:rsid w:val="00082898"/>
    <w:rsid w:val="000829A5"/>
    <w:rsid w:val="00082A19"/>
    <w:rsid w:val="00082AD6"/>
    <w:rsid w:val="00082B03"/>
    <w:rsid w:val="00082BEF"/>
    <w:rsid w:val="00082C22"/>
    <w:rsid w:val="00082C41"/>
    <w:rsid w:val="00082E46"/>
    <w:rsid w:val="00082F0D"/>
    <w:rsid w:val="00082F2D"/>
    <w:rsid w:val="00083035"/>
    <w:rsid w:val="000831EE"/>
    <w:rsid w:val="000833BB"/>
    <w:rsid w:val="000833FE"/>
    <w:rsid w:val="00083571"/>
    <w:rsid w:val="00083598"/>
    <w:rsid w:val="000835FD"/>
    <w:rsid w:val="00083717"/>
    <w:rsid w:val="00083834"/>
    <w:rsid w:val="00083874"/>
    <w:rsid w:val="00083AA1"/>
    <w:rsid w:val="00083ABC"/>
    <w:rsid w:val="00083C0F"/>
    <w:rsid w:val="00083C11"/>
    <w:rsid w:val="00083CD4"/>
    <w:rsid w:val="00084056"/>
    <w:rsid w:val="00084064"/>
    <w:rsid w:val="000841EF"/>
    <w:rsid w:val="00084235"/>
    <w:rsid w:val="000843C1"/>
    <w:rsid w:val="00084518"/>
    <w:rsid w:val="00084643"/>
    <w:rsid w:val="00084777"/>
    <w:rsid w:val="0008499B"/>
    <w:rsid w:val="00084C0C"/>
    <w:rsid w:val="00084C5B"/>
    <w:rsid w:val="00084D7E"/>
    <w:rsid w:val="00084E51"/>
    <w:rsid w:val="00084EF9"/>
    <w:rsid w:val="00084F22"/>
    <w:rsid w:val="00084F9B"/>
    <w:rsid w:val="000853A4"/>
    <w:rsid w:val="000853ED"/>
    <w:rsid w:val="00085506"/>
    <w:rsid w:val="00085518"/>
    <w:rsid w:val="0008558F"/>
    <w:rsid w:val="0008578A"/>
    <w:rsid w:val="000858AF"/>
    <w:rsid w:val="00085B4C"/>
    <w:rsid w:val="00085B91"/>
    <w:rsid w:val="00085C10"/>
    <w:rsid w:val="00085C80"/>
    <w:rsid w:val="00085D4D"/>
    <w:rsid w:val="00085E05"/>
    <w:rsid w:val="00085FA0"/>
    <w:rsid w:val="00085FAA"/>
    <w:rsid w:val="0008601D"/>
    <w:rsid w:val="000862F4"/>
    <w:rsid w:val="00086317"/>
    <w:rsid w:val="000864EE"/>
    <w:rsid w:val="00086559"/>
    <w:rsid w:val="0008658D"/>
    <w:rsid w:val="00086665"/>
    <w:rsid w:val="00086735"/>
    <w:rsid w:val="000867CB"/>
    <w:rsid w:val="000867F4"/>
    <w:rsid w:val="0008680C"/>
    <w:rsid w:val="00086978"/>
    <w:rsid w:val="00086A1C"/>
    <w:rsid w:val="00086A54"/>
    <w:rsid w:val="00086B2B"/>
    <w:rsid w:val="00086B6A"/>
    <w:rsid w:val="00086BC5"/>
    <w:rsid w:val="00086D0C"/>
    <w:rsid w:val="00086D51"/>
    <w:rsid w:val="00086DA4"/>
    <w:rsid w:val="00086DB8"/>
    <w:rsid w:val="00086DD0"/>
    <w:rsid w:val="00086EBA"/>
    <w:rsid w:val="0008702A"/>
    <w:rsid w:val="00087059"/>
    <w:rsid w:val="000870F0"/>
    <w:rsid w:val="00087141"/>
    <w:rsid w:val="0008727B"/>
    <w:rsid w:val="00087448"/>
    <w:rsid w:val="0008749C"/>
    <w:rsid w:val="00087591"/>
    <w:rsid w:val="00087BF2"/>
    <w:rsid w:val="00087CCA"/>
    <w:rsid w:val="00087E28"/>
    <w:rsid w:val="00087F30"/>
    <w:rsid w:val="00087F75"/>
    <w:rsid w:val="00087FC5"/>
    <w:rsid w:val="0009000B"/>
    <w:rsid w:val="0009013A"/>
    <w:rsid w:val="00090190"/>
    <w:rsid w:val="000901B9"/>
    <w:rsid w:val="000902DF"/>
    <w:rsid w:val="00090329"/>
    <w:rsid w:val="0009049E"/>
    <w:rsid w:val="000906BE"/>
    <w:rsid w:val="00090907"/>
    <w:rsid w:val="00090A62"/>
    <w:rsid w:val="00090AA8"/>
    <w:rsid w:val="00090AFF"/>
    <w:rsid w:val="00090C4F"/>
    <w:rsid w:val="00090CA8"/>
    <w:rsid w:val="00090F3D"/>
    <w:rsid w:val="0009110B"/>
    <w:rsid w:val="000912BB"/>
    <w:rsid w:val="0009137F"/>
    <w:rsid w:val="000913D0"/>
    <w:rsid w:val="00091416"/>
    <w:rsid w:val="0009171C"/>
    <w:rsid w:val="000919B8"/>
    <w:rsid w:val="00091B5D"/>
    <w:rsid w:val="00091D52"/>
    <w:rsid w:val="00091DD8"/>
    <w:rsid w:val="00091E15"/>
    <w:rsid w:val="00091E74"/>
    <w:rsid w:val="00091FC8"/>
    <w:rsid w:val="00092014"/>
    <w:rsid w:val="000920A1"/>
    <w:rsid w:val="00092459"/>
    <w:rsid w:val="00092479"/>
    <w:rsid w:val="00092595"/>
    <w:rsid w:val="00092911"/>
    <w:rsid w:val="00092CBD"/>
    <w:rsid w:val="00092E24"/>
    <w:rsid w:val="00092ED1"/>
    <w:rsid w:val="00093111"/>
    <w:rsid w:val="00093565"/>
    <w:rsid w:val="00093671"/>
    <w:rsid w:val="000937F8"/>
    <w:rsid w:val="00093888"/>
    <w:rsid w:val="00093A9A"/>
    <w:rsid w:val="00093DA0"/>
    <w:rsid w:val="0009410A"/>
    <w:rsid w:val="000943A3"/>
    <w:rsid w:val="000943B4"/>
    <w:rsid w:val="000943BE"/>
    <w:rsid w:val="000943D8"/>
    <w:rsid w:val="00094486"/>
    <w:rsid w:val="0009453E"/>
    <w:rsid w:val="000946B5"/>
    <w:rsid w:val="000947B1"/>
    <w:rsid w:val="00094828"/>
    <w:rsid w:val="00094969"/>
    <w:rsid w:val="00094990"/>
    <w:rsid w:val="000949DA"/>
    <w:rsid w:val="00094B67"/>
    <w:rsid w:val="00094BAF"/>
    <w:rsid w:val="00094C17"/>
    <w:rsid w:val="00094C72"/>
    <w:rsid w:val="00094DAF"/>
    <w:rsid w:val="00094DCC"/>
    <w:rsid w:val="00094ECE"/>
    <w:rsid w:val="00094FBD"/>
    <w:rsid w:val="00094FD3"/>
    <w:rsid w:val="00095096"/>
    <w:rsid w:val="000950A4"/>
    <w:rsid w:val="00095189"/>
    <w:rsid w:val="000951A2"/>
    <w:rsid w:val="000951FF"/>
    <w:rsid w:val="0009522C"/>
    <w:rsid w:val="00095344"/>
    <w:rsid w:val="000953C6"/>
    <w:rsid w:val="000955BF"/>
    <w:rsid w:val="00095658"/>
    <w:rsid w:val="0009569F"/>
    <w:rsid w:val="000958BB"/>
    <w:rsid w:val="00095934"/>
    <w:rsid w:val="000959CF"/>
    <w:rsid w:val="00095B0B"/>
    <w:rsid w:val="00095B30"/>
    <w:rsid w:val="00095D02"/>
    <w:rsid w:val="00095D1E"/>
    <w:rsid w:val="00095D8A"/>
    <w:rsid w:val="00095DB9"/>
    <w:rsid w:val="00095DC4"/>
    <w:rsid w:val="00095F98"/>
    <w:rsid w:val="00095FFA"/>
    <w:rsid w:val="000960A4"/>
    <w:rsid w:val="00096184"/>
    <w:rsid w:val="000961CD"/>
    <w:rsid w:val="000962FC"/>
    <w:rsid w:val="0009633F"/>
    <w:rsid w:val="0009634B"/>
    <w:rsid w:val="00096357"/>
    <w:rsid w:val="000964BD"/>
    <w:rsid w:val="00096745"/>
    <w:rsid w:val="000967D5"/>
    <w:rsid w:val="00096830"/>
    <w:rsid w:val="00096949"/>
    <w:rsid w:val="0009694C"/>
    <w:rsid w:val="000969EA"/>
    <w:rsid w:val="00096B40"/>
    <w:rsid w:val="00096CC0"/>
    <w:rsid w:val="00096D0A"/>
    <w:rsid w:val="00096E39"/>
    <w:rsid w:val="00096E57"/>
    <w:rsid w:val="00096FA6"/>
    <w:rsid w:val="00097198"/>
    <w:rsid w:val="000971AA"/>
    <w:rsid w:val="0009726E"/>
    <w:rsid w:val="0009751C"/>
    <w:rsid w:val="000975C5"/>
    <w:rsid w:val="00097619"/>
    <w:rsid w:val="00097746"/>
    <w:rsid w:val="00097766"/>
    <w:rsid w:val="0009780C"/>
    <w:rsid w:val="00097884"/>
    <w:rsid w:val="000979B9"/>
    <w:rsid w:val="000979D0"/>
    <w:rsid w:val="000979D2"/>
    <w:rsid w:val="00097A41"/>
    <w:rsid w:val="00097AF2"/>
    <w:rsid w:val="00097AFD"/>
    <w:rsid w:val="00097DCD"/>
    <w:rsid w:val="000A0263"/>
    <w:rsid w:val="000A0391"/>
    <w:rsid w:val="000A04E5"/>
    <w:rsid w:val="000A0520"/>
    <w:rsid w:val="000A07B4"/>
    <w:rsid w:val="000A087C"/>
    <w:rsid w:val="000A089C"/>
    <w:rsid w:val="000A08AB"/>
    <w:rsid w:val="000A08C1"/>
    <w:rsid w:val="000A092D"/>
    <w:rsid w:val="000A0945"/>
    <w:rsid w:val="000A0B0E"/>
    <w:rsid w:val="000A0B16"/>
    <w:rsid w:val="000A0B62"/>
    <w:rsid w:val="000A0BC3"/>
    <w:rsid w:val="000A0BC4"/>
    <w:rsid w:val="000A0C50"/>
    <w:rsid w:val="000A0C5E"/>
    <w:rsid w:val="000A0DEB"/>
    <w:rsid w:val="000A0DFB"/>
    <w:rsid w:val="000A0EAF"/>
    <w:rsid w:val="000A0F76"/>
    <w:rsid w:val="000A1165"/>
    <w:rsid w:val="000A11D1"/>
    <w:rsid w:val="000A1225"/>
    <w:rsid w:val="000A12A3"/>
    <w:rsid w:val="000A12A6"/>
    <w:rsid w:val="000A1413"/>
    <w:rsid w:val="000A142D"/>
    <w:rsid w:val="000A14DF"/>
    <w:rsid w:val="000A158D"/>
    <w:rsid w:val="000A178B"/>
    <w:rsid w:val="000A1960"/>
    <w:rsid w:val="000A1A29"/>
    <w:rsid w:val="000A1A97"/>
    <w:rsid w:val="000A1BA5"/>
    <w:rsid w:val="000A1D3B"/>
    <w:rsid w:val="000A1D6E"/>
    <w:rsid w:val="000A1E30"/>
    <w:rsid w:val="000A2063"/>
    <w:rsid w:val="000A207B"/>
    <w:rsid w:val="000A2309"/>
    <w:rsid w:val="000A238E"/>
    <w:rsid w:val="000A23D6"/>
    <w:rsid w:val="000A24AD"/>
    <w:rsid w:val="000A2905"/>
    <w:rsid w:val="000A2989"/>
    <w:rsid w:val="000A2A37"/>
    <w:rsid w:val="000A2CA6"/>
    <w:rsid w:val="000A2D17"/>
    <w:rsid w:val="000A2D25"/>
    <w:rsid w:val="000A2D97"/>
    <w:rsid w:val="000A2F67"/>
    <w:rsid w:val="000A2F6C"/>
    <w:rsid w:val="000A2F89"/>
    <w:rsid w:val="000A32D9"/>
    <w:rsid w:val="000A32E0"/>
    <w:rsid w:val="000A34E2"/>
    <w:rsid w:val="000A362A"/>
    <w:rsid w:val="000A371B"/>
    <w:rsid w:val="000A374C"/>
    <w:rsid w:val="000A3AD4"/>
    <w:rsid w:val="000A3EAD"/>
    <w:rsid w:val="000A4000"/>
    <w:rsid w:val="000A4091"/>
    <w:rsid w:val="000A40FE"/>
    <w:rsid w:val="000A4297"/>
    <w:rsid w:val="000A4356"/>
    <w:rsid w:val="000A43A3"/>
    <w:rsid w:val="000A43DC"/>
    <w:rsid w:val="000A4494"/>
    <w:rsid w:val="000A44F2"/>
    <w:rsid w:val="000A45A4"/>
    <w:rsid w:val="000A46D0"/>
    <w:rsid w:val="000A46F9"/>
    <w:rsid w:val="000A4F3F"/>
    <w:rsid w:val="000A4FC3"/>
    <w:rsid w:val="000A5023"/>
    <w:rsid w:val="000A50B0"/>
    <w:rsid w:val="000A5155"/>
    <w:rsid w:val="000A5386"/>
    <w:rsid w:val="000A549E"/>
    <w:rsid w:val="000A5501"/>
    <w:rsid w:val="000A5626"/>
    <w:rsid w:val="000A5882"/>
    <w:rsid w:val="000A5B0E"/>
    <w:rsid w:val="000A5CB2"/>
    <w:rsid w:val="000A5FC8"/>
    <w:rsid w:val="000A6137"/>
    <w:rsid w:val="000A62B6"/>
    <w:rsid w:val="000A63CF"/>
    <w:rsid w:val="000A64DE"/>
    <w:rsid w:val="000A675E"/>
    <w:rsid w:val="000A6A90"/>
    <w:rsid w:val="000A6ACD"/>
    <w:rsid w:val="000A6B12"/>
    <w:rsid w:val="000A6B13"/>
    <w:rsid w:val="000A6CAB"/>
    <w:rsid w:val="000A6CBD"/>
    <w:rsid w:val="000A6D97"/>
    <w:rsid w:val="000A6E1D"/>
    <w:rsid w:val="000A6E41"/>
    <w:rsid w:val="000A6E79"/>
    <w:rsid w:val="000A6EA4"/>
    <w:rsid w:val="000A70B7"/>
    <w:rsid w:val="000A715B"/>
    <w:rsid w:val="000A74C3"/>
    <w:rsid w:val="000A77C6"/>
    <w:rsid w:val="000A7881"/>
    <w:rsid w:val="000A79EF"/>
    <w:rsid w:val="000A7BF3"/>
    <w:rsid w:val="000A7C1E"/>
    <w:rsid w:val="000A7C85"/>
    <w:rsid w:val="000A7E6F"/>
    <w:rsid w:val="000A7F01"/>
    <w:rsid w:val="000B00BA"/>
    <w:rsid w:val="000B0138"/>
    <w:rsid w:val="000B020D"/>
    <w:rsid w:val="000B0452"/>
    <w:rsid w:val="000B0540"/>
    <w:rsid w:val="000B0708"/>
    <w:rsid w:val="000B0798"/>
    <w:rsid w:val="000B0B03"/>
    <w:rsid w:val="000B0D37"/>
    <w:rsid w:val="000B0EDF"/>
    <w:rsid w:val="000B0F5C"/>
    <w:rsid w:val="000B0FF7"/>
    <w:rsid w:val="000B111D"/>
    <w:rsid w:val="000B1191"/>
    <w:rsid w:val="000B121B"/>
    <w:rsid w:val="000B1261"/>
    <w:rsid w:val="000B1387"/>
    <w:rsid w:val="000B14AC"/>
    <w:rsid w:val="000B1651"/>
    <w:rsid w:val="000B166C"/>
    <w:rsid w:val="000B16E8"/>
    <w:rsid w:val="000B183F"/>
    <w:rsid w:val="000B1890"/>
    <w:rsid w:val="000B1985"/>
    <w:rsid w:val="000B1A66"/>
    <w:rsid w:val="000B1B06"/>
    <w:rsid w:val="000B1B53"/>
    <w:rsid w:val="000B1BBE"/>
    <w:rsid w:val="000B1BDF"/>
    <w:rsid w:val="000B1C30"/>
    <w:rsid w:val="000B1C4E"/>
    <w:rsid w:val="000B1CBD"/>
    <w:rsid w:val="000B1D6A"/>
    <w:rsid w:val="000B1DD2"/>
    <w:rsid w:val="000B1FF5"/>
    <w:rsid w:val="000B21EC"/>
    <w:rsid w:val="000B22BD"/>
    <w:rsid w:val="000B26A1"/>
    <w:rsid w:val="000B26D9"/>
    <w:rsid w:val="000B2767"/>
    <w:rsid w:val="000B28F6"/>
    <w:rsid w:val="000B2950"/>
    <w:rsid w:val="000B29BA"/>
    <w:rsid w:val="000B2A70"/>
    <w:rsid w:val="000B2C27"/>
    <w:rsid w:val="000B2D58"/>
    <w:rsid w:val="000B2E0C"/>
    <w:rsid w:val="000B2E2B"/>
    <w:rsid w:val="000B2FE5"/>
    <w:rsid w:val="000B331A"/>
    <w:rsid w:val="000B3344"/>
    <w:rsid w:val="000B3586"/>
    <w:rsid w:val="000B35EB"/>
    <w:rsid w:val="000B360B"/>
    <w:rsid w:val="000B36D3"/>
    <w:rsid w:val="000B37FB"/>
    <w:rsid w:val="000B382B"/>
    <w:rsid w:val="000B3A08"/>
    <w:rsid w:val="000B3DD7"/>
    <w:rsid w:val="000B3ED7"/>
    <w:rsid w:val="000B3F3C"/>
    <w:rsid w:val="000B3F78"/>
    <w:rsid w:val="000B401D"/>
    <w:rsid w:val="000B4184"/>
    <w:rsid w:val="000B4247"/>
    <w:rsid w:val="000B42D8"/>
    <w:rsid w:val="000B463D"/>
    <w:rsid w:val="000B46ED"/>
    <w:rsid w:val="000B4787"/>
    <w:rsid w:val="000B481E"/>
    <w:rsid w:val="000B4AD6"/>
    <w:rsid w:val="000B4C6B"/>
    <w:rsid w:val="000B4C8E"/>
    <w:rsid w:val="000B4D66"/>
    <w:rsid w:val="000B4EDE"/>
    <w:rsid w:val="000B4FFD"/>
    <w:rsid w:val="000B50D0"/>
    <w:rsid w:val="000B50E2"/>
    <w:rsid w:val="000B5104"/>
    <w:rsid w:val="000B516F"/>
    <w:rsid w:val="000B5285"/>
    <w:rsid w:val="000B565E"/>
    <w:rsid w:val="000B5660"/>
    <w:rsid w:val="000B5676"/>
    <w:rsid w:val="000B567A"/>
    <w:rsid w:val="000B591B"/>
    <w:rsid w:val="000B5947"/>
    <w:rsid w:val="000B597D"/>
    <w:rsid w:val="000B59FA"/>
    <w:rsid w:val="000B5B29"/>
    <w:rsid w:val="000B5C75"/>
    <w:rsid w:val="000B5DD7"/>
    <w:rsid w:val="000B5E06"/>
    <w:rsid w:val="000B5F50"/>
    <w:rsid w:val="000B6022"/>
    <w:rsid w:val="000B61E2"/>
    <w:rsid w:val="000B621C"/>
    <w:rsid w:val="000B6282"/>
    <w:rsid w:val="000B6415"/>
    <w:rsid w:val="000B6429"/>
    <w:rsid w:val="000B653A"/>
    <w:rsid w:val="000B6549"/>
    <w:rsid w:val="000B6671"/>
    <w:rsid w:val="000B66C1"/>
    <w:rsid w:val="000B6723"/>
    <w:rsid w:val="000B67A7"/>
    <w:rsid w:val="000B67D3"/>
    <w:rsid w:val="000B69CB"/>
    <w:rsid w:val="000B6AA1"/>
    <w:rsid w:val="000B6BA1"/>
    <w:rsid w:val="000B6BFD"/>
    <w:rsid w:val="000B6D78"/>
    <w:rsid w:val="000B6DEE"/>
    <w:rsid w:val="000B6E5D"/>
    <w:rsid w:val="000B6EB0"/>
    <w:rsid w:val="000B7052"/>
    <w:rsid w:val="000B7384"/>
    <w:rsid w:val="000B73C3"/>
    <w:rsid w:val="000B7404"/>
    <w:rsid w:val="000B766F"/>
    <w:rsid w:val="000B774C"/>
    <w:rsid w:val="000B782E"/>
    <w:rsid w:val="000B792C"/>
    <w:rsid w:val="000B79A1"/>
    <w:rsid w:val="000B79FC"/>
    <w:rsid w:val="000B7B3D"/>
    <w:rsid w:val="000B7EE0"/>
    <w:rsid w:val="000C0127"/>
    <w:rsid w:val="000C026F"/>
    <w:rsid w:val="000C04C3"/>
    <w:rsid w:val="000C07E8"/>
    <w:rsid w:val="000C08EC"/>
    <w:rsid w:val="000C09E4"/>
    <w:rsid w:val="000C09EB"/>
    <w:rsid w:val="000C0B9B"/>
    <w:rsid w:val="000C0BE2"/>
    <w:rsid w:val="000C0C1D"/>
    <w:rsid w:val="000C0C8E"/>
    <w:rsid w:val="000C0D5D"/>
    <w:rsid w:val="000C11C8"/>
    <w:rsid w:val="000C1362"/>
    <w:rsid w:val="000C15EB"/>
    <w:rsid w:val="000C164B"/>
    <w:rsid w:val="000C1734"/>
    <w:rsid w:val="000C17D8"/>
    <w:rsid w:val="000C1803"/>
    <w:rsid w:val="000C1819"/>
    <w:rsid w:val="000C1851"/>
    <w:rsid w:val="000C194D"/>
    <w:rsid w:val="000C1B9A"/>
    <w:rsid w:val="000C1CFF"/>
    <w:rsid w:val="000C1E06"/>
    <w:rsid w:val="000C1FE0"/>
    <w:rsid w:val="000C1FE1"/>
    <w:rsid w:val="000C2127"/>
    <w:rsid w:val="000C2162"/>
    <w:rsid w:val="000C24AD"/>
    <w:rsid w:val="000C250B"/>
    <w:rsid w:val="000C2564"/>
    <w:rsid w:val="000C25E0"/>
    <w:rsid w:val="000C25E9"/>
    <w:rsid w:val="000C2734"/>
    <w:rsid w:val="000C296D"/>
    <w:rsid w:val="000C2A09"/>
    <w:rsid w:val="000C2AA9"/>
    <w:rsid w:val="000C2DBC"/>
    <w:rsid w:val="000C2E63"/>
    <w:rsid w:val="000C2F1F"/>
    <w:rsid w:val="000C3084"/>
    <w:rsid w:val="000C3250"/>
    <w:rsid w:val="000C3271"/>
    <w:rsid w:val="000C335C"/>
    <w:rsid w:val="000C34C1"/>
    <w:rsid w:val="000C3771"/>
    <w:rsid w:val="000C3A57"/>
    <w:rsid w:val="000C3B0A"/>
    <w:rsid w:val="000C3D88"/>
    <w:rsid w:val="000C3F30"/>
    <w:rsid w:val="000C3FB4"/>
    <w:rsid w:val="000C4070"/>
    <w:rsid w:val="000C4074"/>
    <w:rsid w:val="000C40E7"/>
    <w:rsid w:val="000C4171"/>
    <w:rsid w:val="000C41CD"/>
    <w:rsid w:val="000C45E8"/>
    <w:rsid w:val="000C461C"/>
    <w:rsid w:val="000C46BC"/>
    <w:rsid w:val="000C48E6"/>
    <w:rsid w:val="000C4910"/>
    <w:rsid w:val="000C4AAF"/>
    <w:rsid w:val="000C4CF6"/>
    <w:rsid w:val="000C4D5C"/>
    <w:rsid w:val="000C4F98"/>
    <w:rsid w:val="000C523A"/>
    <w:rsid w:val="000C5346"/>
    <w:rsid w:val="000C5355"/>
    <w:rsid w:val="000C53FE"/>
    <w:rsid w:val="000C5674"/>
    <w:rsid w:val="000C58DE"/>
    <w:rsid w:val="000C5BF3"/>
    <w:rsid w:val="000C5EE3"/>
    <w:rsid w:val="000C6243"/>
    <w:rsid w:val="000C6262"/>
    <w:rsid w:val="000C6286"/>
    <w:rsid w:val="000C62D2"/>
    <w:rsid w:val="000C635D"/>
    <w:rsid w:val="000C639B"/>
    <w:rsid w:val="000C6546"/>
    <w:rsid w:val="000C66DE"/>
    <w:rsid w:val="000C675A"/>
    <w:rsid w:val="000C6832"/>
    <w:rsid w:val="000C684F"/>
    <w:rsid w:val="000C68E8"/>
    <w:rsid w:val="000C68E9"/>
    <w:rsid w:val="000C6B3A"/>
    <w:rsid w:val="000C6C02"/>
    <w:rsid w:val="000C6C39"/>
    <w:rsid w:val="000C6D0C"/>
    <w:rsid w:val="000C6D80"/>
    <w:rsid w:val="000C6DDE"/>
    <w:rsid w:val="000C6E80"/>
    <w:rsid w:val="000C7117"/>
    <w:rsid w:val="000C720E"/>
    <w:rsid w:val="000C7434"/>
    <w:rsid w:val="000C75A6"/>
    <w:rsid w:val="000C76D0"/>
    <w:rsid w:val="000C776B"/>
    <w:rsid w:val="000C78F8"/>
    <w:rsid w:val="000C797B"/>
    <w:rsid w:val="000C79CA"/>
    <w:rsid w:val="000C7DCE"/>
    <w:rsid w:val="000C7E0C"/>
    <w:rsid w:val="000C7F8D"/>
    <w:rsid w:val="000C7F95"/>
    <w:rsid w:val="000D0110"/>
    <w:rsid w:val="000D026A"/>
    <w:rsid w:val="000D0310"/>
    <w:rsid w:val="000D03D9"/>
    <w:rsid w:val="000D03EB"/>
    <w:rsid w:val="000D03EC"/>
    <w:rsid w:val="000D05D9"/>
    <w:rsid w:val="000D0AB9"/>
    <w:rsid w:val="000D0C90"/>
    <w:rsid w:val="000D0CE8"/>
    <w:rsid w:val="000D0CF0"/>
    <w:rsid w:val="000D0E5E"/>
    <w:rsid w:val="000D0E64"/>
    <w:rsid w:val="000D0E6E"/>
    <w:rsid w:val="000D0F0B"/>
    <w:rsid w:val="000D0F71"/>
    <w:rsid w:val="000D0FC5"/>
    <w:rsid w:val="000D111D"/>
    <w:rsid w:val="000D12DC"/>
    <w:rsid w:val="000D1425"/>
    <w:rsid w:val="000D18BE"/>
    <w:rsid w:val="000D1A3C"/>
    <w:rsid w:val="000D1A97"/>
    <w:rsid w:val="000D1D74"/>
    <w:rsid w:val="000D1DC4"/>
    <w:rsid w:val="000D1E53"/>
    <w:rsid w:val="000D1E98"/>
    <w:rsid w:val="000D1F65"/>
    <w:rsid w:val="000D1F89"/>
    <w:rsid w:val="000D20EF"/>
    <w:rsid w:val="000D219C"/>
    <w:rsid w:val="000D22CA"/>
    <w:rsid w:val="000D2318"/>
    <w:rsid w:val="000D2561"/>
    <w:rsid w:val="000D2577"/>
    <w:rsid w:val="000D25C5"/>
    <w:rsid w:val="000D276B"/>
    <w:rsid w:val="000D28A4"/>
    <w:rsid w:val="000D28CF"/>
    <w:rsid w:val="000D2A8B"/>
    <w:rsid w:val="000D2ACC"/>
    <w:rsid w:val="000D2BEF"/>
    <w:rsid w:val="000D2C33"/>
    <w:rsid w:val="000D2DCC"/>
    <w:rsid w:val="000D2E19"/>
    <w:rsid w:val="000D2ECF"/>
    <w:rsid w:val="000D3038"/>
    <w:rsid w:val="000D3173"/>
    <w:rsid w:val="000D319B"/>
    <w:rsid w:val="000D32C5"/>
    <w:rsid w:val="000D332A"/>
    <w:rsid w:val="000D33C9"/>
    <w:rsid w:val="000D33D9"/>
    <w:rsid w:val="000D3519"/>
    <w:rsid w:val="000D3532"/>
    <w:rsid w:val="000D3556"/>
    <w:rsid w:val="000D3563"/>
    <w:rsid w:val="000D36A9"/>
    <w:rsid w:val="000D3835"/>
    <w:rsid w:val="000D3A43"/>
    <w:rsid w:val="000D3BC5"/>
    <w:rsid w:val="000D3BE3"/>
    <w:rsid w:val="000D3C55"/>
    <w:rsid w:val="000D3C78"/>
    <w:rsid w:val="000D3CED"/>
    <w:rsid w:val="000D3D04"/>
    <w:rsid w:val="000D3FF8"/>
    <w:rsid w:val="000D4177"/>
    <w:rsid w:val="000D4364"/>
    <w:rsid w:val="000D43AC"/>
    <w:rsid w:val="000D43B9"/>
    <w:rsid w:val="000D4467"/>
    <w:rsid w:val="000D450C"/>
    <w:rsid w:val="000D45C3"/>
    <w:rsid w:val="000D4612"/>
    <w:rsid w:val="000D46C3"/>
    <w:rsid w:val="000D476C"/>
    <w:rsid w:val="000D485C"/>
    <w:rsid w:val="000D488D"/>
    <w:rsid w:val="000D4905"/>
    <w:rsid w:val="000D4A02"/>
    <w:rsid w:val="000D4BAF"/>
    <w:rsid w:val="000D4C8A"/>
    <w:rsid w:val="000D4D76"/>
    <w:rsid w:val="000D4EB7"/>
    <w:rsid w:val="000D4F29"/>
    <w:rsid w:val="000D4F90"/>
    <w:rsid w:val="000D5030"/>
    <w:rsid w:val="000D50D9"/>
    <w:rsid w:val="000D514A"/>
    <w:rsid w:val="000D5217"/>
    <w:rsid w:val="000D551F"/>
    <w:rsid w:val="000D5653"/>
    <w:rsid w:val="000D5806"/>
    <w:rsid w:val="000D5900"/>
    <w:rsid w:val="000D5AA0"/>
    <w:rsid w:val="000D5B60"/>
    <w:rsid w:val="000D5B70"/>
    <w:rsid w:val="000D5BF0"/>
    <w:rsid w:val="000D5DFA"/>
    <w:rsid w:val="000D5E1B"/>
    <w:rsid w:val="000D5E21"/>
    <w:rsid w:val="000D6049"/>
    <w:rsid w:val="000D606E"/>
    <w:rsid w:val="000D6083"/>
    <w:rsid w:val="000D60D6"/>
    <w:rsid w:val="000D60DA"/>
    <w:rsid w:val="000D627A"/>
    <w:rsid w:val="000D6283"/>
    <w:rsid w:val="000D635A"/>
    <w:rsid w:val="000D638C"/>
    <w:rsid w:val="000D65CF"/>
    <w:rsid w:val="000D6920"/>
    <w:rsid w:val="000D69BE"/>
    <w:rsid w:val="000D69F5"/>
    <w:rsid w:val="000D6C06"/>
    <w:rsid w:val="000D6DA5"/>
    <w:rsid w:val="000D6E77"/>
    <w:rsid w:val="000D6F40"/>
    <w:rsid w:val="000D7033"/>
    <w:rsid w:val="000D70A7"/>
    <w:rsid w:val="000D71C1"/>
    <w:rsid w:val="000D720B"/>
    <w:rsid w:val="000D7224"/>
    <w:rsid w:val="000D7395"/>
    <w:rsid w:val="000D7419"/>
    <w:rsid w:val="000D759D"/>
    <w:rsid w:val="000D75EE"/>
    <w:rsid w:val="000D7B28"/>
    <w:rsid w:val="000D7CA4"/>
    <w:rsid w:val="000D7D5A"/>
    <w:rsid w:val="000D7F25"/>
    <w:rsid w:val="000E004E"/>
    <w:rsid w:val="000E0208"/>
    <w:rsid w:val="000E02E4"/>
    <w:rsid w:val="000E03FD"/>
    <w:rsid w:val="000E0498"/>
    <w:rsid w:val="000E0525"/>
    <w:rsid w:val="000E0690"/>
    <w:rsid w:val="000E078D"/>
    <w:rsid w:val="000E08C7"/>
    <w:rsid w:val="000E0CA5"/>
    <w:rsid w:val="000E0DF8"/>
    <w:rsid w:val="000E0E5C"/>
    <w:rsid w:val="000E0EBE"/>
    <w:rsid w:val="000E0FD7"/>
    <w:rsid w:val="000E11E1"/>
    <w:rsid w:val="000E13CE"/>
    <w:rsid w:val="000E13DA"/>
    <w:rsid w:val="000E1426"/>
    <w:rsid w:val="000E143A"/>
    <w:rsid w:val="000E14AA"/>
    <w:rsid w:val="000E14C8"/>
    <w:rsid w:val="000E152B"/>
    <w:rsid w:val="000E15D3"/>
    <w:rsid w:val="000E16CD"/>
    <w:rsid w:val="000E17C6"/>
    <w:rsid w:val="000E18A6"/>
    <w:rsid w:val="000E18D8"/>
    <w:rsid w:val="000E19D1"/>
    <w:rsid w:val="000E1ADE"/>
    <w:rsid w:val="000E1B9A"/>
    <w:rsid w:val="000E1BFD"/>
    <w:rsid w:val="000E1F12"/>
    <w:rsid w:val="000E1F7F"/>
    <w:rsid w:val="000E208A"/>
    <w:rsid w:val="000E2120"/>
    <w:rsid w:val="000E2234"/>
    <w:rsid w:val="000E249B"/>
    <w:rsid w:val="000E25C5"/>
    <w:rsid w:val="000E2633"/>
    <w:rsid w:val="000E2785"/>
    <w:rsid w:val="000E27C3"/>
    <w:rsid w:val="000E2852"/>
    <w:rsid w:val="000E2934"/>
    <w:rsid w:val="000E2C29"/>
    <w:rsid w:val="000E2D46"/>
    <w:rsid w:val="000E2DF4"/>
    <w:rsid w:val="000E2E41"/>
    <w:rsid w:val="000E2FD3"/>
    <w:rsid w:val="000E3082"/>
    <w:rsid w:val="000E3136"/>
    <w:rsid w:val="000E32F4"/>
    <w:rsid w:val="000E346C"/>
    <w:rsid w:val="000E3564"/>
    <w:rsid w:val="000E364A"/>
    <w:rsid w:val="000E3732"/>
    <w:rsid w:val="000E3981"/>
    <w:rsid w:val="000E39EE"/>
    <w:rsid w:val="000E3B00"/>
    <w:rsid w:val="000E3BAD"/>
    <w:rsid w:val="000E3DCD"/>
    <w:rsid w:val="000E3E56"/>
    <w:rsid w:val="000E3E83"/>
    <w:rsid w:val="000E43B7"/>
    <w:rsid w:val="000E43BA"/>
    <w:rsid w:val="000E4432"/>
    <w:rsid w:val="000E4688"/>
    <w:rsid w:val="000E46AE"/>
    <w:rsid w:val="000E4713"/>
    <w:rsid w:val="000E4831"/>
    <w:rsid w:val="000E483D"/>
    <w:rsid w:val="000E48C8"/>
    <w:rsid w:val="000E4AB2"/>
    <w:rsid w:val="000E4C79"/>
    <w:rsid w:val="000E4E62"/>
    <w:rsid w:val="000E4EE5"/>
    <w:rsid w:val="000E5095"/>
    <w:rsid w:val="000E50F6"/>
    <w:rsid w:val="000E5134"/>
    <w:rsid w:val="000E51B7"/>
    <w:rsid w:val="000E525A"/>
    <w:rsid w:val="000E540D"/>
    <w:rsid w:val="000E5545"/>
    <w:rsid w:val="000E568D"/>
    <w:rsid w:val="000E56A7"/>
    <w:rsid w:val="000E5998"/>
    <w:rsid w:val="000E59F2"/>
    <w:rsid w:val="000E5ACF"/>
    <w:rsid w:val="000E5B5F"/>
    <w:rsid w:val="000E5CB2"/>
    <w:rsid w:val="000E5CCA"/>
    <w:rsid w:val="000E5EA8"/>
    <w:rsid w:val="000E6188"/>
    <w:rsid w:val="000E630A"/>
    <w:rsid w:val="000E64B4"/>
    <w:rsid w:val="000E6576"/>
    <w:rsid w:val="000E663F"/>
    <w:rsid w:val="000E669E"/>
    <w:rsid w:val="000E66D2"/>
    <w:rsid w:val="000E679E"/>
    <w:rsid w:val="000E67C7"/>
    <w:rsid w:val="000E67FE"/>
    <w:rsid w:val="000E6B61"/>
    <w:rsid w:val="000E6B8D"/>
    <w:rsid w:val="000E6D55"/>
    <w:rsid w:val="000E6F15"/>
    <w:rsid w:val="000E6F65"/>
    <w:rsid w:val="000E6FB7"/>
    <w:rsid w:val="000E702F"/>
    <w:rsid w:val="000E7310"/>
    <w:rsid w:val="000E73FE"/>
    <w:rsid w:val="000E744E"/>
    <w:rsid w:val="000E74EE"/>
    <w:rsid w:val="000E7612"/>
    <w:rsid w:val="000E765D"/>
    <w:rsid w:val="000E77B8"/>
    <w:rsid w:val="000E7ACA"/>
    <w:rsid w:val="000E7BC0"/>
    <w:rsid w:val="000E7C01"/>
    <w:rsid w:val="000E7D51"/>
    <w:rsid w:val="000E7D7D"/>
    <w:rsid w:val="000F0132"/>
    <w:rsid w:val="000F0192"/>
    <w:rsid w:val="000F01A5"/>
    <w:rsid w:val="000F01D0"/>
    <w:rsid w:val="000F02A5"/>
    <w:rsid w:val="000F037B"/>
    <w:rsid w:val="000F049D"/>
    <w:rsid w:val="000F04F6"/>
    <w:rsid w:val="000F0525"/>
    <w:rsid w:val="000F0816"/>
    <w:rsid w:val="000F08C5"/>
    <w:rsid w:val="000F08FD"/>
    <w:rsid w:val="000F0ABC"/>
    <w:rsid w:val="000F0BF6"/>
    <w:rsid w:val="000F0C58"/>
    <w:rsid w:val="000F0D2B"/>
    <w:rsid w:val="000F0F1C"/>
    <w:rsid w:val="000F104C"/>
    <w:rsid w:val="000F10DB"/>
    <w:rsid w:val="000F10E5"/>
    <w:rsid w:val="000F131C"/>
    <w:rsid w:val="000F1344"/>
    <w:rsid w:val="000F14F5"/>
    <w:rsid w:val="000F161B"/>
    <w:rsid w:val="000F16BC"/>
    <w:rsid w:val="000F1A53"/>
    <w:rsid w:val="000F1AA3"/>
    <w:rsid w:val="000F1CA9"/>
    <w:rsid w:val="000F1D69"/>
    <w:rsid w:val="000F2074"/>
    <w:rsid w:val="000F21C3"/>
    <w:rsid w:val="000F223F"/>
    <w:rsid w:val="000F22F2"/>
    <w:rsid w:val="000F23B2"/>
    <w:rsid w:val="000F242C"/>
    <w:rsid w:val="000F24AE"/>
    <w:rsid w:val="000F25EC"/>
    <w:rsid w:val="000F2718"/>
    <w:rsid w:val="000F27B7"/>
    <w:rsid w:val="000F2821"/>
    <w:rsid w:val="000F2856"/>
    <w:rsid w:val="000F2930"/>
    <w:rsid w:val="000F295B"/>
    <w:rsid w:val="000F2A83"/>
    <w:rsid w:val="000F2B81"/>
    <w:rsid w:val="000F2C12"/>
    <w:rsid w:val="000F2D80"/>
    <w:rsid w:val="000F2EB6"/>
    <w:rsid w:val="000F3436"/>
    <w:rsid w:val="000F34B4"/>
    <w:rsid w:val="000F355B"/>
    <w:rsid w:val="000F36A7"/>
    <w:rsid w:val="000F38AA"/>
    <w:rsid w:val="000F38DD"/>
    <w:rsid w:val="000F39C6"/>
    <w:rsid w:val="000F3ADB"/>
    <w:rsid w:val="000F3B47"/>
    <w:rsid w:val="000F3B8A"/>
    <w:rsid w:val="000F3DDF"/>
    <w:rsid w:val="000F4034"/>
    <w:rsid w:val="000F404D"/>
    <w:rsid w:val="000F43C7"/>
    <w:rsid w:val="000F43DE"/>
    <w:rsid w:val="000F4640"/>
    <w:rsid w:val="000F46D0"/>
    <w:rsid w:val="000F4991"/>
    <w:rsid w:val="000F4E48"/>
    <w:rsid w:val="000F4F64"/>
    <w:rsid w:val="000F52FF"/>
    <w:rsid w:val="000F530C"/>
    <w:rsid w:val="000F53E6"/>
    <w:rsid w:val="000F54AF"/>
    <w:rsid w:val="000F55DC"/>
    <w:rsid w:val="000F568D"/>
    <w:rsid w:val="000F575F"/>
    <w:rsid w:val="000F57E7"/>
    <w:rsid w:val="000F5A52"/>
    <w:rsid w:val="000F5BC2"/>
    <w:rsid w:val="000F5E4B"/>
    <w:rsid w:val="000F5EFA"/>
    <w:rsid w:val="000F5FA8"/>
    <w:rsid w:val="000F628B"/>
    <w:rsid w:val="000F6448"/>
    <w:rsid w:val="000F6487"/>
    <w:rsid w:val="000F65CC"/>
    <w:rsid w:val="000F65D1"/>
    <w:rsid w:val="000F6625"/>
    <w:rsid w:val="000F669D"/>
    <w:rsid w:val="000F6703"/>
    <w:rsid w:val="000F6750"/>
    <w:rsid w:val="000F68A1"/>
    <w:rsid w:val="000F68FF"/>
    <w:rsid w:val="000F69D3"/>
    <w:rsid w:val="000F6B53"/>
    <w:rsid w:val="000F6B5A"/>
    <w:rsid w:val="000F6B5C"/>
    <w:rsid w:val="000F6BF7"/>
    <w:rsid w:val="000F6C17"/>
    <w:rsid w:val="000F719C"/>
    <w:rsid w:val="000F72A4"/>
    <w:rsid w:val="000F72EA"/>
    <w:rsid w:val="000F7394"/>
    <w:rsid w:val="000F73DA"/>
    <w:rsid w:val="000F74CE"/>
    <w:rsid w:val="000F7594"/>
    <w:rsid w:val="000F77BA"/>
    <w:rsid w:val="000F7908"/>
    <w:rsid w:val="000F7B76"/>
    <w:rsid w:val="000F7B95"/>
    <w:rsid w:val="000F7C0E"/>
    <w:rsid w:val="000F7C65"/>
    <w:rsid w:val="000F7C81"/>
    <w:rsid w:val="000F7DD9"/>
    <w:rsid w:val="000F7F71"/>
    <w:rsid w:val="00100137"/>
    <w:rsid w:val="0010015F"/>
    <w:rsid w:val="00100284"/>
    <w:rsid w:val="00100308"/>
    <w:rsid w:val="0010044E"/>
    <w:rsid w:val="001004E4"/>
    <w:rsid w:val="00100553"/>
    <w:rsid w:val="0010075A"/>
    <w:rsid w:val="001007B4"/>
    <w:rsid w:val="00100ADE"/>
    <w:rsid w:val="00100BC8"/>
    <w:rsid w:val="00100BEA"/>
    <w:rsid w:val="00100CAF"/>
    <w:rsid w:val="00100F47"/>
    <w:rsid w:val="00101088"/>
    <w:rsid w:val="00101104"/>
    <w:rsid w:val="00101258"/>
    <w:rsid w:val="001012EE"/>
    <w:rsid w:val="0010140E"/>
    <w:rsid w:val="00101624"/>
    <w:rsid w:val="0010166A"/>
    <w:rsid w:val="001017EC"/>
    <w:rsid w:val="001018D9"/>
    <w:rsid w:val="00101995"/>
    <w:rsid w:val="00101A08"/>
    <w:rsid w:val="00101A81"/>
    <w:rsid w:val="00101A9C"/>
    <w:rsid w:val="00101B28"/>
    <w:rsid w:val="00101B40"/>
    <w:rsid w:val="00101B42"/>
    <w:rsid w:val="00101E63"/>
    <w:rsid w:val="00101E75"/>
    <w:rsid w:val="00101E97"/>
    <w:rsid w:val="0010200B"/>
    <w:rsid w:val="00102038"/>
    <w:rsid w:val="00102045"/>
    <w:rsid w:val="00102418"/>
    <w:rsid w:val="00102660"/>
    <w:rsid w:val="001026AA"/>
    <w:rsid w:val="001028C7"/>
    <w:rsid w:val="00102932"/>
    <w:rsid w:val="00102CA2"/>
    <w:rsid w:val="00102D80"/>
    <w:rsid w:val="00102E57"/>
    <w:rsid w:val="001031A3"/>
    <w:rsid w:val="001031CA"/>
    <w:rsid w:val="001032C0"/>
    <w:rsid w:val="00103324"/>
    <w:rsid w:val="0010352C"/>
    <w:rsid w:val="001036B9"/>
    <w:rsid w:val="00103710"/>
    <w:rsid w:val="001037E8"/>
    <w:rsid w:val="00103854"/>
    <w:rsid w:val="00103CA7"/>
    <w:rsid w:val="00103CD7"/>
    <w:rsid w:val="00103E10"/>
    <w:rsid w:val="00103EA2"/>
    <w:rsid w:val="0010448B"/>
    <w:rsid w:val="00104495"/>
    <w:rsid w:val="001044E0"/>
    <w:rsid w:val="00104500"/>
    <w:rsid w:val="001045B7"/>
    <w:rsid w:val="001048A9"/>
    <w:rsid w:val="00104914"/>
    <w:rsid w:val="00104968"/>
    <w:rsid w:val="00104A31"/>
    <w:rsid w:val="00104AC9"/>
    <w:rsid w:val="00104B2F"/>
    <w:rsid w:val="00104B5B"/>
    <w:rsid w:val="00104D4F"/>
    <w:rsid w:val="00104FD9"/>
    <w:rsid w:val="00104FF4"/>
    <w:rsid w:val="0010502E"/>
    <w:rsid w:val="00105151"/>
    <w:rsid w:val="00105636"/>
    <w:rsid w:val="001057A6"/>
    <w:rsid w:val="001058D5"/>
    <w:rsid w:val="001059D1"/>
    <w:rsid w:val="00105ACB"/>
    <w:rsid w:val="00105B1B"/>
    <w:rsid w:val="00105FC8"/>
    <w:rsid w:val="00106007"/>
    <w:rsid w:val="0010609C"/>
    <w:rsid w:val="00106413"/>
    <w:rsid w:val="00106530"/>
    <w:rsid w:val="00106691"/>
    <w:rsid w:val="001068CB"/>
    <w:rsid w:val="0010691E"/>
    <w:rsid w:val="00106A87"/>
    <w:rsid w:val="00106B73"/>
    <w:rsid w:val="00106B8A"/>
    <w:rsid w:val="00106BA1"/>
    <w:rsid w:val="00106BAD"/>
    <w:rsid w:val="00106D28"/>
    <w:rsid w:val="00106D5C"/>
    <w:rsid w:val="00106D7A"/>
    <w:rsid w:val="00106DB3"/>
    <w:rsid w:val="00106DC7"/>
    <w:rsid w:val="00106F57"/>
    <w:rsid w:val="00106FAF"/>
    <w:rsid w:val="00107382"/>
    <w:rsid w:val="00107399"/>
    <w:rsid w:val="001073E3"/>
    <w:rsid w:val="0010746E"/>
    <w:rsid w:val="00107553"/>
    <w:rsid w:val="00107628"/>
    <w:rsid w:val="001078FE"/>
    <w:rsid w:val="00107940"/>
    <w:rsid w:val="001079B8"/>
    <w:rsid w:val="00107A53"/>
    <w:rsid w:val="00107AC9"/>
    <w:rsid w:val="00107B55"/>
    <w:rsid w:val="00107C78"/>
    <w:rsid w:val="00107EB4"/>
    <w:rsid w:val="001100C1"/>
    <w:rsid w:val="0011025A"/>
    <w:rsid w:val="0011028E"/>
    <w:rsid w:val="001102E8"/>
    <w:rsid w:val="00110370"/>
    <w:rsid w:val="00110389"/>
    <w:rsid w:val="00110397"/>
    <w:rsid w:val="001103AF"/>
    <w:rsid w:val="00110440"/>
    <w:rsid w:val="001106F5"/>
    <w:rsid w:val="0011072F"/>
    <w:rsid w:val="00110742"/>
    <w:rsid w:val="00110787"/>
    <w:rsid w:val="001107B9"/>
    <w:rsid w:val="001108F3"/>
    <w:rsid w:val="00110935"/>
    <w:rsid w:val="00110958"/>
    <w:rsid w:val="00110972"/>
    <w:rsid w:val="00110B15"/>
    <w:rsid w:val="00110B97"/>
    <w:rsid w:val="00110D8F"/>
    <w:rsid w:val="00110DC2"/>
    <w:rsid w:val="00110DD7"/>
    <w:rsid w:val="00110FFE"/>
    <w:rsid w:val="001111DA"/>
    <w:rsid w:val="001111F0"/>
    <w:rsid w:val="0011137C"/>
    <w:rsid w:val="0011148A"/>
    <w:rsid w:val="001116A0"/>
    <w:rsid w:val="00111856"/>
    <w:rsid w:val="001118A0"/>
    <w:rsid w:val="00111931"/>
    <w:rsid w:val="00111956"/>
    <w:rsid w:val="00111A9C"/>
    <w:rsid w:val="00111BDA"/>
    <w:rsid w:val="00111D43"/>
    <w:rsid w:val="00111DE7"/>
    <w:rsid w:val="001122B4"/>
    <w:rsid w:val="001123E7"/>
    <w:rsid w:val="00112516"/>
    <w:rsid w:val="00112817"/>
    <w:rsid w:val="00112C80"/>
    <w:rsid w:val="00112D0A"/>
    <w:rsid w:val="00112DC9"/>
    <w:rsid w:val="00112E5E"/>
    <w:rsid w:val="00112E67"/>
    <w:rsid w:val="00113026"/>
    <w:rsid w:val="001130E2"/>
    <w:rsid w:val="001130EB"/>
    <w:rsid w:val="00113309"/>
    <w:rsid w:val="00113339"/>
    <w:rsid w:val="0011344C"/>
    <w:rsid w:val="001136C7"/>
    <w:rsid w:val="0011384F"/>
    <w:rsid w:val="001138D2"/>
    <w:rsid w:val="00113965"/>
    <w:rsid w:val="0011397F"/>
    <w:rsid w:val="00113B27"/>
    <w:rsid w:val="00113C86"/>
    <w:rsid w:val="00113C98"/>
    <w:rsid w:val="00113CD2"/>
    <w:rsid w:val="00113EC3"/>
    <w:rsid w:val="00113FEE"/>
    <w:rsid w:val="00114069"/>
    <w:rsid w:val="0011411A"/>
    <w:rsid w:val="001141F2"/>
    <w:rsid w:val="00114242"/>
    <w:rsid w:val="001143AD"/>
    <w:rsid w:val="001143C0"/>
    <w:rsid w:val="00114414"/>
    <w:rsid w:val="0011441F"/>
    <w:rsid w:val="00114501"/>
    <w:rsid w:val="001145F4"/>
    <w:rsid w:val="00114B68"/>
    <w:rsid w:val="00114C09"/>
    <w:rsid w:val="00114CDD"/>
    <w:rsid w:val="00114D41"/>
    <w:rsid w:val="00114D53"/>
    <w:rsid w:val="00114D6C"/>
    <w:rsid w:val="00115292"/>
    <w:rsid w:val="001152A9"/>
    <w:rsid w:val="001153E5"/>
    <w:rsid w:val="001154A1"/>
    <w:rsid w:val="00115704"/>
    <w:rsid w:val="00115805"/>
    <w:rsid w:val="00115998"/>
    <w:rsid w:val="00115A7C"/>
    <w:rsid w:val="00115B82"/>
    <w:rsid w:val="00115C77"/>
    <w:rsid w:val="00115EB9"/>
    <w:rsid w:val="00116161"/>
    <w:rsid w:val="001162BD"/>
    <w:rsid w:val="0011640D"/>
    <w:rsid w:val="001165E6"/>
    <w:rsid w:val="00116673"/>
    <w:rsid w:val="001166A5"/>
    <w:rsid w:val="00116909"/>
    <w:rsid w:val="00116997"/>
    <w:rsid w:val="00116A32"/>
    <w:rsid w:val="00116A88"/>
    <w:rsid w:val="00116ACD"/>
    <w:rsid w:val="00116AED"/>
    <w:rsid w:val="00116C40"/>
    <w:rsid w:val="00116CA8"/>
    <w:rsid w:val="00116CF6"/>
    <w:rsid w:val="00116DA0"/>
    <w:rsid w:val="00116EFC"/>
    <w:rsid w:val="001171E8"/>
    <w:rsid w:val="0011729B"/>
    <w:rsid w:val="001172B0"/>
    <w:rsid w:val="00117331"/>
    <w:rsid w:val="001176F8"/>
    <w:rsid w:val="00117868"/>
    <w:rsid w:val="00117879"/>
    <w:rsid w:val="00117941"/>
    <w:rsid w:val="00117BC6"/>
    <w:rsid w:val="00117C94"/>
    <w:rsid w:val="00117D06"/>
    <w:rsid w:val="00117D14"/>
    <w:rsid w:val="00117D61"/>
    <w:rsid w:val="00117EA0"/>
    <w:rsid w:val="00117F57"/>
    <w:rsid w:val="0012008A"/>
    <w:rsid w:val="00120173"/>
    <w:rsid w:val="001202C7"/>
    <w:rsid w:val="0012035C"/>
    <w:rsid w:val="00120524"/>
    <w:rsid w:val="00120887"/>
    <w:rsid w:val="001208C1"/>
    <w:rsid w:val="001208D9"/>
    <w:rsid w:val="00120B6C"/>
    <w:rsid w:val="00120BBE"/>
    <w:rsid w:val="00120C7A"/>
    <w:rsid w:val="00120FA8"/>
    <w:rsid w:val="001210B1"/>
    <w:rsid w:val="0012128D"/>
    <w:rsid w:val="0012151B"/>
    <w:rsid w:val="001215E9"/>
    <w:rsid w:val="001215EB"/>
    <w:rsid w:val="0012161D"/>
    <w:rsid w:val="001216DA"/>
    <w:rsid w:val="00121708"/>
    <w:rsid w:val="00121956"/>
    <w:rsid w:val="00121984"/>
    <w:rsid w:val="00121A6A"/>
    <w:rsid w:val="00122198"/>
    <w:rsid w:val="001222AC"/>
    <w:rsid w:val="00122332"/>
    <w:rsid w:val="001223D7"/>
    <w:rsid w:val="0012267B"/>
    <w:rsid w:val="001227F4"/>
    <w:rsid w:val="001228D5"/>
    <w:rsid w:val="001228E5"/>
    <w:rsid w:val="00122D77"/>
    <w:rsid w:val="00122D9F"/>
    <w:rsid w:val="00122DDF"/>
    <w:rsid w:val="00122E83"/>
    <w:rsid w:val="00122E9D"/>
    <w:rsid w:val="00122F25"/>
    <w:rsid w:val="0012304B"/>
    <w:rsid w:val="001230EF"/>
    <w:rsid w:val="001231DB"/>
    <w:rsid w:val="001234AD"/>
    <w:rsid w:val="00123587"/>
    <w:rsid w:val="0012359E"/>
    <w:rsid w:val="00123609"/>
    <w:rsid w:val="00123765"/>
    <w:rsid w:val="001237C7"/>
    <w:rsid w:val="001239B2"/>
    <w:rsid w:val="00123C6E"/>
    <w:rsid w:val="00123CA4"/>
    <w:rsid w:val="00123FAD"/>
    <w:rsid w:val="001240F4"/>
    <w:rsid w:val="00124281"/>
    <w:rsid w:val="0012435A"/>
    <w:rsid w:val="001243FA"/>
    <w:rsid w:val="001245AB"/>
    <w:rsid w:val="0012487B"/>
    <w:rsid w:val="001248DE"/>
    <w:rsid w:val="00124942"/>
    <w:rsid w:val="00124A68"/>
    <w:rsid w:val="00124B89"/>
    <w:rsid w:val="00124FDE"/>
    <w:rsid w:val="0012517B"/>
    <w:rsid w:val="00125287"/>
    <w:rsid w:val="001252B9"/>
    <w:rsid w:val="00125301"/>
    <w:rsid w:val="0012534E"/>
    <w:rsid w:val="0012544B"/>
    <w:rsid w:val="00125540"/>
    <w:rsid w:val="001257A5"/>
    <w:rsid w:val="001258E0"/>
    <w:rsid w:val="00125967"/>
    <w:rsid w:val="00125ABC"/>
    <w:rsid w:val="00125AEB"/>
    <w:rsid w:val="00125D1C"/>
    <w:rsid w:val="00125D53"/>
    <w:rsid w:val="00125D7D"/>
    <w:rsid w:val="00125EE5"/>
    <w:rsid w:val="00125FB8"/>
    <w:rsid w:val="001261F7"/>
    <w:rsid w:val="00126267"/>
    <w:rsid w:val="001262C6"/>
    <w:rsid w:val="0012634C"/>
    <w:rsid w:val="00126392"/>
    <w:rsid w:val="001263C7"/>
    <w:rsid w:val="00126594"/>
    <w:rsid w:val="00126675"/>
    <w:rsid w:val="0012688F"/>
    <w:rsid w:val="001268C2"/>
    <w:rsid w:val="001268C4"/>
    <w:rsid w:val="001269E3"/>
    <w:rsid w:val="00126C51"/>
    <w:rsid w:val="00127018"/>
    <w:rsid w:val="00127187"/>
    <w:rsid w:val="001271AD"/>
    <w:rsid w:val="0012752E"/>
    <w:rsid w:val="001275F9"/>
    <w:rsid w:val="00127602"/>
    <w:rsid w:val="001276FB"/>
    <w:rsid w:val="001279EF"/>
    <w:rsid w:val="00127A3F"/>
    <w:rsid w:val="00127BD3"/>
    <w:rsid w:val="00127C9D"/>
    <w:rsid w:val="00127D7E"/>
    <w:rsid w:val="00127DEB"/>
    <w:rsid w:val="00127E88"/>
    <w:rsid w:val="0013021E"/>
    <w:rsid w:val="0013036A"/>
    <w:rsid w:val="0013049B"/>
    <w:rsid w:val="00130617"/>
    <w:rsid w:val="00130655"/>
    <w:rsid w:val="0013068B"/>
    <w:rsid w:val="00130736"/>
    <w:rsid w:val="0013078E"/>
    <w:rsid w:val="0013078F"/>
    <w:rsid w:val="001307C3"/>
    <w:rsid w:val="0013086C"/>
    <w:rsid w:val="001308DE"/>
    <w:rsid w:val="0013090E"/>
    <w:rsid w:val="00130B4D"/>
    <w:rsid w:val="00130C08"/>
    <w:rsid w:val="00130EF2"/>
    <w:rsid w:val="0013120C"/>
    <w:rsid w:val="001316C4"/>
    <w:rsid w:val="00131707"/>
    <w:rsid w:val="00131978"/>
    <w:rsid w:val="001319DE"/>
    <w:rsid w:val="00131A44"/>
    <w:rsid w:val="00131AB0"/>
    <w:rsid w:val="00131CFF"/>
    <w:rsid w:val="00131D97"/>
    <w:rsid w:val="00131DDD"/>
    <w:rsid w:val="00131E97"/>
    <w:rsid w:val="00131EB2"/>
    <w:rsid w:val="00131EEB"/>
    <w:rsid w:val="00132033"/>
    <w:rsid w:val="0013203B"/>
    <w:rsid w:val="001320CB"/>
    <w:rsid w:val="001320EB"/>
    <w:rsid w:val="00132175"/>
    <w:rsid w:val="001321D2"/>
    <w:rsid w:val="00132238"/>
    <w:rsid w:val="00132265"/>
    <w:rsid w:val="0013246C"/>
    <w:rsid w:val="0013246F"/>
    <w:rsid w:val="0013247F"/>
    <w:rsid w:val="00132526"/>
    <w:rsid w:val="00132563"/>
    <w:rsid w:val="0013268A"/>
    <w:rsid w:val="0013270C"/>
    <w:rsid w:val="00132711"/>
    <w:rsid w:val="001328E0"/>
    <w:rsid w:val="001329FD"/>
    <w:rsid w:val="00132A2B"/>
    <w:rsid w:val="00132AC8"/>
    <w:rsid w:val="00132C8D"/>
    <w:rsid w:val="00133089"/>
    <w:rsid w:val="001330C5"/>
    <w:rsid w:val="001333C2"/>
    <w:rsid w:val="001334DF"/>
    <w:rsid w:val="0013362B"/>
    <w:rsid w:val="00133854"/>
    <w:rsid w:val="0013397D"/>
    <w:rsid w:val="001339FA"/>
    <w:rsid w:val="00133B0B"/>
    <w:rsid w:val="00133BFF"/>
    <w:rsid w:val="00133C93"/>
    <w:rsid w:val="00133D51"/>
    <w:rsid w:val="00133F6E"/>
    <w:rsid w:val="00134037"/>
    <w:rsid w:val="00134108"/>
    <w:rsid w:val="00134143"/>
    <w:rsid w:val="00134299"/>
    <w:rsid w:val="00134399"/>
    <w:rsid w:val="001344C1"/>
    <w:rsid w:val="001346D9"/>
    <w:rsid w:val="00134797"/>
    <w:rsid w:val="00134998"/>
    <w:rsid w:val="001349C5"/>
    <w:rsid w:val="00134A85"/>
    <w:rsid w:val="00134B6A"/>
    <w:rsid w:val="00134B9F"/>
    <w:rsid w:val="00134C61"/>
    <w:rsid w:val="00134CBB"/>
    <w:rsid w:val="00134DBE"/>
    <w:rsid w:val="00134DDC"/>
    <w:rsid w:val="00134DE5"/>
    <w:rsid w:val="00134E2B"/>
    <w:rsid w:val="00134F23"/>
    <w:rsid w:val="00134F2C"/>
    <w:rsid w:val="00134F73"/>
    <w:rsid w:val="00134FCB"/>
    <w:rsid w:val="001350D4"/>
    <w:rsid w:val="001350F1"/>
    <w:rsid w:val="00135110"/>
    <w:rsid w:val="0013516E"/>
    <w:rsid w:val="00135185"/>
    <w:rsid w:val="001351F5"/>
    <w:rsid w:val="001352FC"/>
    <w:rsid w:val="0013535F"/>
    <w:rsid w:val="00135362"/>
    <w:rsid w:val="001354BF"/>
    <w:rsid w:val="001354E2"/>
    <w:rsid w:val="00135568"/>
    <w:rsid w:val="001355ED"/>
    <w:rsid w:val="00135737"/>
    <w:rsid w:val="00135906"/>
    <w:rsid w:val="0013594E"/>
    <w:rsid w:val="001359BB"/>
    <w:rsid w:val="00135A88"/>
    <w:rsid w:val="00135B49"/>
    <w:rsid w:val="00135C80"/>
    <w:rsid w:val="00135D2D"/>
    <w:rsid w:val="00135DC2"/>
    <w:rsid w:val="00136057"/>
    <w:rsid w:val="001360A4"/>
    <w:rsid w:val="0013616A"/>
    <w:rsid w:val="00136180"/>
    <w:rsid w:val="001362BA"/>
    <w:rsid w:val="0013644B"/>
    <w:rsid w:val="0013649A"/>
    <w:rsid w:val="0013653C"/>
    <w:rsid w:val="0013668A"/>
    <w:rsid w:val="0013692F"/>
    <w:rsid w:val="001369F1"/>
    <w:rsid w:val="00136A4C"/>
    <w:rsid w:val="00136A95"/>
    <w:rsid w:val="00136A99"/>
    <w:rsid w:val="00136BAE"/>
    <w:rsid w:val="00136CFD"/>
    <w:rsid w:val="00136D49"/>
    <w:rsid w:val="00136DB6"/>
    <w:rsid w:val="00136EF8"/>
    <w:rsid w:val="00137019"/>
    <w:rsid w:val="0013713C"/>
    <w:rsid w:val="0013746F"/>
    <w:rsid w:val="00137490"/>
    <w:rsid w:val="00137530"/>
    <w:rsid w:val="00137568"/>
    <w:rsid w:val="001375F9"/>
    <w:rsid w:val="00137809"/>
    <w:rsid w:val="0013781E"/>
    <w:rsid w:val="0013782F"/>
    <w:rsid w:val="00137898"/>
    <w:rsid w:val="00137989"/>
    <w:rsid w:val="00137C76"/>
    <w:rsid w:val="00137EC7"/>
    <w:rsid w:val="00137F78"/>
    <w:rsid w:val="00140055"/>
    <w:rsid w:val="001400D6"/>
    <w:rsid w:val="001401AC"/>
    <w:rsid w:val="001401F7"/>
    <w:rsid w:val="00140465"/>
    <w:rsid w:val="001404CA"/>
    <w:rsid w:val="00140685"/>
    <w:rsid w:val="0014077A"/>
    <w:rsid w:val="00140799"/>
    <w:rsid w:val="001407DA"/>
    <w:rsid w:val="00140848"/>
    <w:rsid w:val="00140876"/>
    <w:rsid w:val="00140BC3"/>
    <w:rsid w:val="00140C81"/>
    <w:rsid w:val="00140D72"/>
    <w:rsid w:val="00140DBC"/>
    <w:rsid w:val="00140ECF"/>
    <w:rsid w:val="0014107B"/>
    <w:rsid w:val="00141253"/>
    <w:rsid w:val="00141266"/>
    <w:rsid w:val="0014127F"/>
    <w:rsid w:val="001412CA"/>
    <w:rsid w:val="0014132A"/>
    <w:rsid w:val="00141629"/>
    <w:rsid w:val="001416F3"/>
    <w:rsid w:val="001416FE"/>
    <w:rsid w:val="001417CE"/>
    <w:rsid w:val="00141801"/>
    <w:rsid w:val="001418D7"/>
    <w:rsid w:val="00141DA8"/>
    <w:rsid w:val="00141DAB"/>
    <w:rsid w:val="00141DE7"/>
    <w:rsid w:val="00141F11"/>
    <w:rsid w:val="001420B7"/>
    <w:rsid w:val="00142159"/>
    <w:rsid w:val="001421BD"/>
    <w:rsid w:val="00142249"/>
    <w:rsid w:val="0014228B"/>
    <w:rsid w:val="00142383"/>
    <w:rsid w:val="001423D4"/>
    <w:rsid w:val="00142938"/>
    <w:rsid w:val="00142970"/>
    <w:rsid w:val="00142A9F"/>
    <w:rsid w:val="00142AB2"/>
    <w:rsid w:val="00142CF5"/>
    <w:rsid w:val="00142DBC"/>
    <w:rsid w:val="00142E67"/>
    <w:rsid w:val="001430C7"/>
    <w:rsid w:val="0014319A"/>
    <w:rsid w:val="0014322C"/>
    <w:rsid w:val="0014323A"/>
    <w:rsid w:val="00143397"/>
    <w:rsid w:val="00143462"/>
    <w:rsid w:val="0014348C"/>
    <w:rsid w:val="00143559"/>
    <w:rsid w:val="001436B3"/>
    <w:rsid w:val="001436E1"/>
    <w:rsid w:val="0014378B"/>
    <w:rsid w:val="001437EB"/>
    <w:rsid w:val="00143A6C"/>
    <w:rsid w:val="00143AA4"/>
    <w:rsid w:val="00143B01"/>
    <w:rsid w:val="00143BCD"/>
    <w:rsid w:val="00143D24"/>
    <w:rsid w:val="00143D53"/>
    <w:rsid w:val="0014401E"/>
    <w:rsid w:val="00144187"/>
    <w:rsid w:val="00144298"/>
    <w:rsid w:val="0014439E"/>
    <w:rsid w:val="00144555"/>
    <w:rsid w:val="00144983"/>
    <w:rsid w:val="001449C0"/>
    <w:rsid w:val="00144BFA"/>
    <w:rsid w:val="00144BFC"/>
    <w:rsid w:val="00144D3E"/>
    <w:rsid w:val="00145183"/>
    <w:rsid w:val="00145228"/>
    <w:rsid w:val="0014531E"/>
    <w:rsid w:val="0014554F"/>
    <w:rsid w:val="00145696"/>
    <w:rsid w:val="001456E9"/>
    <w:rsid w:val="00145774"/>
    <w:rsid w:val="00145969"/>
    <w:rsid w:val="00145C2C"/>
    <w:rsid w:val="00145C2E"/>
    <w:rsid w:val="00145DDD"/>
    <w:rsid w:val="0014600C"/>
    <w:rsid w:val="00146032"/>
    <w:rsid w:val="00146047"/>
    <w:rsid w:val="0014624B"/>
    <w:rsid w:val="0014629D"/>
    <w:rsid w:val="00146356"/>
    <w:rsid w:val="00146480"/>
    <w:rsid w:val="00146696"/>
    <w:rsid w:val="001466C4"/>
    <w:rsid w:val="001468EA"/>
    <w:rsid w:val="0014694D"/>
    <w:rsid w:val="00146AA9"/>
    <w:rsid w:val="00146BDA"/>
    <w:rsid w:val="00146BDE"/>
    <w:rsid w:val="00146C31"/>
    <w:rsid w:val="00146C43"/>
    <w:rsid w:val="00146C4C"/>
    <w:rsid w:val="00146E3C"/>
    <w:rsid w:val="00146E62"/>
    <w:rsid w:val="00146EF9"/>
    <w:rsid w:val="0014726E"/>
    <w:rsid w:val="001472C3"/>
    <w:rsid w:val="001472DE"/>
    <w:rsid w:val="00147346"/>
    <w:rsid w:val="00147362"/>
    <w:rsid w:val="001473F5"/>
    <w:rsid w:val="0014747B"/>
    <w:rsid w:val="001474C4"/>
    <w:rsid w:val="001475F9"/>
    <w:rsid w:val="0014762F"/>
    <w:rsid w:val="00147656"/>
    <w:rsid w:val="00147685"/>
    <w:rsid w:val="001478CB"/>
    <w:rsid w:val="00147A63"/>
    <w:rsid w:val="00147BA8"/>
    <w:rsid w:val="00147CAF"/>
    <w:rsid w:val="00147CE7"/>
    <w:rsid w:val="00147E03"/>
    <w:rsid w:val="00147F79"/>
    <w:rsid w:val="00150160"/>
    <w:rsid w:val="0015044B"/>
    <w:rsid w:val="001504B5"/>
    <w:rsid w:val="001505A5"/>
    <w:rsid w:val="00150604"/>
    <w:rsid w:val="001507A1"/>
    <w:rsid w:val="001508E5"/>
    <w:rsid w:val="00150915"/>
    <w:rsid w:val="00150C64"/>
    <w:rsid w:val="00150CBA"/>
    <w:rsid w:val="00150D2C"/>
    <w:rsid w:val="00150D65"/>
    <w:rsid w:val="00150E3F"/>
    <w:rsid w:val="00150F50"/>
    <w:rsid w:val="00151154"/>
    <w:rsid w:val="001511C8"/>
    <w:rsid w:val="0015123F"/>
    <w:rsid w:val="0015135A"/>
    <w:rsid w:val="0015146F"/>
    <w:rsid w:val="00151486"/>
    <w:rsid w:val="001514A0"/>
    <w:rsid w:val="001514A5"/>
    <w:rsid w:val="001515EE"/>
    <w:rsid w:val="0015166A"/>
    <w:rsid w:val="00151727"/>
    <w:rsid w:val="0015172D"/>
    <w:rsid w:val="0015184C"/>
    <w:rsid w:val="00151929"/>
    <w:rsid w:val="001519EF"/>
    <w:rsid w:val="00151DE9"/>
    <w:rsid w:val="00151E76"/>
    <w:rsid w:val="00151F8E"/>
    <w:rsid w:val="00152114"/>
    <w:rsid w:val="001522D4"/>
    <w:rsid w:val="00152665"/>
    <w:rsid w:val="0015290A"/>
    <w:rsid w:val="00152942"/>
    <w:rsid w:val="00152A30"/>
    <w:rsid w:val="00152A7F"/>
    <w:rsid w:val="00152AB4"/>
    <w:rsid w:val="00152B5F"/>
    <w:rsid w:val="00152B9E"/>
    <w:rsid w:val="00152CDA"/>
    <w:rsid w:val="00152E9E"/>
    <w:rsid w:val="00152EDE"/>
    <w:rsid w:val="00152F89"/>
    <w:rsid w:val="00152FC2"/>
    <w:rsid w:val="0015336A"/>
    <w:rsid w:val="001535A7"/>
    <w:rsid w:val="00153663"/>
    <w:rsid w:val="001536B1"/>
    <w:rsid w:val="00153726"/>
    <w:rsid w:val="0015382B"/>
    <w:rsid w:val="001538E6"/>
    <w:rsid w:val="00153940"/>
    <w:rsid w:val="001539A6"/>
    <w:rsid w:val="001539AF"/>
    <w:rsid w:val="00153ACE"/>
    <w:rsid w:val="00153B44"/>
    <w:rsid w:val="00153B70"/>
    <w:rsid w:val="00153E67"/>
    <w:rsid w:val="00153EAF"/>
    <w:rsid w:val="00153ECE"/>
    <w:rsid w:val="00153EE7"/>
    <w:rsid w:val="00153F09"/>
    <w:rsid w:val="00153F2E"/>
    <w:rsid w:val="00153FB2"/>
    <w:rsid w:val="001540A9"/>
    <w:rsid w:val="0015432D"/>
    <w:rsid w:val="00154517"/>
    <w:rsid w:val="001546F9"/>
    <w:rsid w:val="0015470D"/>
    <w:rsid w:val="001548F6"/>
    <w:rsid w:val="00154912"/>
    <w:rsid w:val="001549F1"/>
    <w:rsid w:val="00154A93"/>
    <w:rsid w:val="00154CAF"/>
    <w:rsid w:val="00154CD6"/>
    <w:rsid w:val="00154D0A"/>
    <w:rsid w:val="00154DA0"/>
    <w:rsid w:val="00154DAF"/>
    <w:rsid w:val="00154DC7"/>
    <w:rsid w:val="00154E08"/>
    <w:rsid w:val="00154E0E"/>
    <w:rsid w:val="00154E5F"/>
    <w:rsid w:val="00154EAE"/>
    <w:rsid w:val="00154FFA"/>
    <w:rsid w:val="001550BE"/>
    <w:rsid w:val="001550D9"/>
    <w:rsid w:val="001551E9"/>
    <w:rsid w:val="00155328"/>
    <w:rsid w:val="0015547A"/>
    <w:rsid w:val="001554CE"/>
    <w:rsid w:val="00155549"/>
    <w:rsid w:val="00155562"/>
    <w:rsid w:val="001555E8"/>
    <w:rsid w:val="001556ED"/>
    <w:rsid w:val="0015590E"/>
    <w:rsid w:val="001559F0"/>
    <w:rsid w:val="00155B90"/>
    <w:rsid w:val="00155C2E"/>
    <w:rsid w:val="00155C30"/>
    <w:rsid w:val="00155CF0"/>
    <w:rsid w:val="00155DA8"/>
    <w:rsid w:val="00155E6B"/>
    <w:rsid w:val="00155FF3"/>
    <w:rsid w:val="00156149"/>
    <w:rsid w:val="00156560"/>
    <w:rsid w:val="00156820"/>
    <w:rsid w:val="0015683E"/>
    <w:rsid w:val="00156B26"/>
    <w:rsid w:val="00156BC5"/>
    <w:rsid w:val="00156CE6"/>
    <w:rsid w:val="00156DA5"/>
    <w:rsid w:val="00156ECC"/>
    <w:rsid w:val="00156F85"/>
    <w:rsid w:val="00157016"/>
    <w:rsid w:val="0015720A"/>
    <w:rsid w:val="0015721D"/>
    <w:rsid w:val="00157232"/>
    <w:rsid w:val="001572A2"/>
    <w:rsid w:val="0015755E"/>
    <w:rsid w:val="0015766D"/>
    <w:rsid w:val="00157761"/>
    <w:rsid w:val="00157848"/>
    <w:rsid w:val="00157923"/>
    <w:rsid w:val="00157B2D"/>
    <w:rsid w:val="00157C2E"/>
    <w:rsid w:val="00157C3E"/>
    <w:rsid w:val="00157E48"/>
    <w:rsid w:val="00160236"/>
    <w:rsid w:val="00160263"/>
    <w:rsid w:val="001602AE"/>
    <w:rsid w:val="001604DE"/>
    <w:rsid w:val="001604FC"/>
    <w:rsid w:val="00160610"/>
    <w:rsid w:val="0016062C"/>
    <w:rsid w:val="001607B8"/>
    <w:rsid w:val="00160925"/>
    <w:rsid w:val="00160967"/>
    <w:rsid w:val="00160B1F"/>
    <w:rsid w:val="00160B73"/>
    <w:rsid w:val="00160CB7"/>
    <w:rsid w:val="00160CE1"/>
    <w:rsid w:val="00160DAC"/>
    <w:rsid w:val="00160E6A"/>
    <w:rsid w:val="00160EA8"/>
    <w:rsid w:val="00160EFF"/>
    <w:rsid w:val="00160FAD"/>
    <w:rsid w:val="00160FAF"/>
    <w:rsid w:val="00161027"/>
    <w:rsid w:val="0016104D"/>
    <w:rsid w:val="00161126"/>
    <w:rsid w:val="00161288"/>
    <w:rsid w:val="00161441"/>
    <w:rsid w:val="00161502"/>
    <w:rsid w:val="00161711"/>
    <w:rsid w:val="001619EF"/>
    <w:rsid w:val="00161C5E"/>
    <w:rsid w:val="00161CA0"/>
    <w:rsid w:val="00161CAB"/>
    <w:rsid w:val="00161DA0"/>
    <w:rsid w:val="00161ED5"/>
    <w:rsid w:val="001620D8"/>
    <w:rsid w:val="0016212F"/>
    <w:rsid w:val="001621B5"/>
    <w:rsid w:val="00162450"/>
    <w:rsid w:val="001625FD"/>
    <w:rsid w:val="001625FF"/>
    <w:rsid w:val="0016260A"/>
    <w:rsid w:val="00162624"/>
    <w:rsid w:val="0016277C"/>
    <w:rsid w:val="00162782"/>
    <w:rsid w:val="001629B0"/>
    <w:rsid w:val="00162A07"/>
    <w:rsid w:val="00162AE8"/>
    <w:rsid w:val="00162B69"/>
    <w:rsid w:val="00162C67"/>
    <w:rsid w:val="00162F63"/>
    <w:rsid w:val="001633F3"/>
    <w:rsid w:val="0016353D"/>
    <w:rsid w:val="00163547"/>
    <w:rsid w:val="00163590"/>
    <w:rsid w:val="00163705"/>
    <w:rsid w:val="001638E4"/>
    <w:rsid w:val="001639E1"/>
    <w:rsid w:val="00163AB4"/>
    <w:rsid w:val="00163AF5"/>
    <w:rsid w:val="00163C7A"/>
    <w:rsid w:val="00163D0D"/>
    <w:rsid w:val="00163D62"/>
    <w:rsid w:val="00163E92"/>
    <w:rsid w:val="00164150"/>
    <w:rsid w:val="00164250"/>
    <w:rsid w:val="0016425C"/>
    <w:rsid w:val="00164313"/>
    <w:rsid w:val="00164322"/>
    <w:rsid w:val="0016441F"/>
    <w:rsid w:val="001647A5"/>
    <w:rsid w:val="001648A2"/>
    <w:rsid w:val="00164975"/>
    <w:rsid w:val="00164B82"/>
    <w:rsid w:val="00164C58"/>
    <w:rsid w:val="00164EAF"/>
    <w:rsid w:val="00165104"/>
    <w:rsid w:val="00165140"/>
    <w:rsid w:val="00165462"/>
    <w:rsid w:val="00165535"/>
    <w:rsid w:val="001655CD"/>
    <w:rsid w:val="00165621"/>
    <w:rsid w:val="00165678"/>
    <w:rsid w:val="00165830"/>
    <w:rsid w:val="00165882"/>
    <w:rsid w:val="0016597D"/>
    <w:rsid w:val="00165D34"/>
    <w:rsid w:val="00165D89"/>
    <w:rsid w:val="00165E97"/>
    <w:rsid w:val="0016609B"/>
    <w:rsid w:val="001660BC"/>
    <w:rsid w:val="00166416"/>
    <w:rsid w:val="0016650E"/>
    <w:rsid w:val="00166513"/>
    <w:rsid w:val="001665C1"/>
    <w:rsid w:val="001665E8"/>
    <w:rsid w:val="00166661"/>
    <w:rsid w:val="001666C6"/>
    <w:rsid w:val="00166725"/>
    <w:rsid w:val="0016672B"/>
    <w:rsid w:val="001667CE"/>
    <w:rsid w:val="001668C1"/>
    <w:rsid w:val="001668F1"/>
    <w:rsid w:val="001669D9"/>
    <w:rsid w:val="001669F8"/>
    <w:rsid w:val="00166D85"/>
    <w:rsid w:val="00166F52"/>
    <w:rsid w:val="00166FA8"/>
    <w:rsid w:val="00166FB9"/>
    <w:rsid w:val="00166FF7"/>
    <w:rsid w:val="001671C4"/>
    <w:rsid w:val="0016726B"/>
    <w:rsid w:val="001673F1"/>
    <w:rsid w:val="00167540"/>
    <w:rsid w:val="00167649"/>
    <w:rsid w:val="0016774A"/>
    <w:rsid w:val="0016780E"/>
    <w:rsid w:val="00167931"/>
    <w:rsid w:val="00167AB5"/>
    <w:rsid w:val="00167E19"/>
    <w:rsid w:val="001700A9"/>
    <w:rsid w:val="0017019D"/>
    <w:rsid w:val="001701F7"/>
    <w:rsid w:val="00170218"/>
    <w:rsid w:val="0017023F"/>
    <w:rsid w:val="0017030A"/>
    <w:rsid w:val="00170315"/>
    <w:rsid w:val="0017054A"/>
    <w:rsid w:val="0017068F"/>
    <w:rsid w:val="001706AB"/>
    <w:rsid w:val="001706F9"/>
    <w:rsid w:val="00170809"/>
    <w:rsid w:val="00170825"/>
    <w:rsid w:val="00170860"/>
    <w:rsid w:val="0017094A"/>
    <w:rsid w:val="0017097D"/>
    <w:rsid w:val="00170991"/>
    <w:rsid w:val="00170A8B"/>
    <w:rsid w:val="00170AF5"/>
    <w:rsid w:val="00170B16"/>
    <w:rsid w:val="00170B40"/>
    <w:rsid w:val="00170EF5"/>
    <w:rsid w:val="00171006"/>
    <w:rsid w:val="0017109F"/>
    <w:rsid w:val="0017119D"/>
    <w:rsid w:val="0017126D"/>
    <w:rsid w:val="00171299"/>
    <w:rsid w:val="00171453"/>
    <w:rsid w:val="001716D4"/>
    <w:rsid w:val="00171751"/>
    <w:rsid w:val="001718AA"/>
    <w:rsid w:val="00171A08"/>
    <w:rsid w:val="00171AB8"/>
    <w:rsid w:val="00171C24"/>
    <w:rsid w:val="00171C31"/>
    <w:rsid w:val="00171CEC"/>
    <w:rsid w:val="00171D28"/>
    <w:rsid w:val="00171E02"/>
    <w:rsid w:val="0017200A"/>
    <w:rsid w:val="001721B5"/>
    <w:rsid w:val="00172250"/>
    <w:rsid w:val="001724DA"/>
    <w:rsid w:val="00172550"/>
    <w:rsid w:val="001725E1"/>
    <w:rsid w:val="00172682"/>
    <w:rsid w:val="001727A9"/>
    <w:rsid w:val="001727C7"/>
    <w:rsid w:val="00172AA9"/>
    <w:rsid w:val="00172AAC"/>
    <w:rsid w:val="00172BA1"/>
    <w:rsid w:val="00172CC9"/>
    <w:rsid w:val="00172D8C"/>
    <w:rsid w:val="00172F39"/>
    <w:rsid w:val="001730C9"/>
    <w:rsid w:val="001730F9"/>
    <w:rsid w:val="001734C6"/>
    <w:rsid w:val="00173585"/>
    <w:rsid w:val="00173696"/>
    <w:rsid w:val="001736E8"/>
    <w:rsid w:val="00173903"/>
    <w:rsid w:val="0017398C"/>
    <w:rsid w:val="001739EF"/>
    <w:rsid w:val="00173A31"/>
    <w:rsid w:val="00173B2E"/>
    <w:rsid w:val="00173C3C"/>
    <w:rsid w:val="00173D2E"/>
    <w:rsid w:val="00173E43"/>
    <w:rsid w:val="00173EA3"/>
    <w:rsid w:val="00173EB0"/>
    <w:rsid w:val="00173ECD"/>
    <w:rsid w:val="001740B9"/>
    <w:rsid w:val="00174381"/>
    <w:rsid w:val="001743CA"/>
    <w:rsid w:val="00174451"/>
    <w:rsid w:val="00174453"/>
    <w:rsid w:val="00174941"/>
    <w:rsid w:val="0017498F"/>
    <w:rsid w:val="00174A93"/>
    <w:rsid w:val="00174DA2"/>
    <w:rsid w:val="00174DE3"/>
    <w:rsid w:val="00175139"/>
    <w:rsid w:val="001751C0"/>
    <w:rsid w:val="0017522E"/>
    <w:rsid w:val="00175546"/>
    <w:rsid w:val="001755D4"/>
    <w:rsid w:val="00175916"/>
    <w:rsid w:val="00175B1E"/>
    <w:rsid w:val="00175B45"/>
    <w:rsid w:val="00175B60"/>
    <w:rsid w:val="00175D2C"/>
    <w:rsid w:val="00175D85"/>
    <w:rsid w:val="00175E24"/>
    <w:rsid w:val="00175F07"/>
    <w:rsid w:val="00175FA4"/>
    <w:rsid w:val="00175FB1"/>
    <w:rsid w:val="00175FE6"/>
    <w:rsid w:val="00176082"/>
    <w:rsid w:val="001760A8"/>
    <w:rsid w:val="00176159"/>
    <w:rsid w:val="00176178"/>
    <w:rsid w:val="001761E2"/>
    <w:rsid w:val="0017637E"/>
    <w:rsid w:val="0017652E"/>
    <w:rsid w:val="001765EA"/>
    <w:rsid w:val="00176C00"/>
    <w:rsid w:val="00176DCB"/>
    <w:rsid w:val="00176DE2"/>
    <w:rsid w:val="00176EC8"/>
    <w:rsid w:val="00176EF2"/>
    <w:rsid w:val="00176F49"/>
    <w:rsid w:val="00176FBE"/>
    <w:rsid w:val="00176FC7"/>
    <w:rsid w:val="00177061"/>
    <w:rsid w:val="00177557"/>
    <w:rsid w:val="00177558"/>
    <w:rsid w:val="001778F2"/>
    <w:rsid w:val="00177AB4"/>
    <w:rsid w:val="00177AD2"/>
    <w:rsid w:val="00177B5E"/>
    <w:rsid w:val="00177BDB"/>
    <w:rsid w:val="00177C94"/>
    <w:rsid w:val="00177CA3"/>
    <w:rsid w:val="00177E1E"/>
    <w:rsid w:val="00177F14"/>
    <w:rsid w:val="00177F4E"/>
    <w:rsid w:val="00177F96"/>
    <w:rsid w:val="0018005C"/>
    <w:rsid w:val="001801B6"/>
    <w:rsid w:val="00180291"/>
    <w:rsid w:val="001802D1"/>
    <w:rsid w:val="0018041A"/>
    <w:rsid w:val="00180491"/>
    <w:rsid w:val="001804B0"/>
    <w:rsid w:val="0018054F"/>
    <w:rsid w:val="001806DA"/>
    <w:rsid w:val="00180706"/>
    <w:rsid w:val="00180760"/>
    <w:rsid w:val="001807B0"/>
    <w:rsid w:val="001807F4"/>
    <w:rsid w:val="00180AD1"/>
    <w:rsid w:val="00180B5F"/>
    <w:rsid w:val="00180BA6"/>
    <w:rsid w:val="00180BAC"/>
    <w:rsid w:val="00180BAD"/>
    <w:rsid w:val="00180BC1"/>
    <w:rsid w:val="00180CFD"/>
    <w:rsid w:val="00180E45"/>
    <w:rsid w:val="00180E65"/>
    <w:rsid w:val="00180E85"/>
    <w:rsid w:val="00180F0C"/>
    <w:rsid w:val="00180F3B"/>
    <w:rsid w:val="00181092"/>
    <w:rsid w:val="001812B7"/>
    <w:rsid w:val="00181356"/>
    <w:rsid w:val="001813F8"/>
    <w:rsid w:val="0018143E"/>
    <w:rsid w:val="00181538"/>
    <w:rsid w:val="0018161E"/>
    <w:rsid w:val="00181767"/>
    <w:rsid w:val="0018177F"/>
    <w:rsid w:val="00181780"/>
    <w:rsid w:val="00181912"/>
    <w:rsid w:val="00181B36"/>
    <w:rsid w:val="00181BD9"/>
    <w:rsid w:val="00181C67"/>
    <w:rsid w:val="00181CDD"/>
    <w:rsid w:val="00181E0F"/>
    <w:rsid w:val="00181E61"/>
    <w:rsid w:val="00182038"/>
    <w:rsid w:val="0018208B"/>
    <w:rsid w:val="001820F7"/>
    <w:rsid w:val="001822C8"/>
    <w:rsid w:val="0018232B"/>
    <w:rsid w:val="0018239B"/>
    <w:rsid w:val="00182733"/>
    <w:rsid w:val="00182754"/>
    <w:rsid w:val="0018275C"/>
    <w:rsid w:val="00182872"/>
    <w:rsid w:val="001828BE"/>
    <w:rsid w:val="00182925"/>
    <w:rsid w:val="0018298F"/>
    <w:rsid w:val="00182A36"/>
    <w:rsid w:val="00182B68"/>
    <w:rsid w:val="00182B87"/>
    <w:rsid w:val="00182BE5"/>
    <w:rsid w:val="00182CC6"/>
    <w:rsid w:val="00182CD3"/>
    <w:rsid w:val="00182DE0"/>
    <w:rsid w:val="001833E1"/>
    <w:rsid w:val="001835E1"/>
    <w:rsid w:val="00183671"/>
    <w:rsid w:val="0018372E"/>
    <w:rsid w:val="00183826"/>
    <w:rsid w:val="0018382A"/>
    <w:rsid w:val="001838E7"/>
    <w:rsid w:val="001838F0"/>
    <w:rsid w:val="00183A27"/>
    <w:rsid w:val="00183A41"/>
    <w:rsid w:val="00183B22"/>
    <w:rsid w:val="00183B97"/>
    <w:rsid w:val="00183B9B"/>
    <w:rsid w:val="00183C11"/>
    <w:rsid w:val="00183C23"/>
    <w:rsid w:val="00183CFC"/>
    <w:rsid w:val="00183D49"/>
    <w:rsid w:val="00183D88"/>
    <w:rsid w:val="00183EA1"/>
    <w:rsid w:val="0018405F"/>
    <w:rsid w:val="001841DF"/>
    <w:rsid w:val="00184230"/>
    <w:rsid w:val="001843D5"/>
    <w:rsid w:val="001843EC"/>
    <w:rsid w:val="00184734"/>
    <w:rsid w:val="0018479E"/>
    <w:rsid w:val="00184921"/>
    <w:rsid w:val="00184AAF"/>
    <w:rsid w:val="00184B9C"/>
    <w:rsid w:val="00184BAA"/>
    <w:rsid w:val="00184C42"/>
    <w:rsid w:val="00184D16"/>
    <w:rsid w:val="00184D6A"/>
    <w:rsid w:val="0018509B"/>
    <w:rsid w:val="00185359"/>
    <w:rsid w:val="0018536F"/>
    <w:rsid w:val="00185B60"/>
    <w:rsid w:val="00185C08"/>
    <w:rsid w:val="00185C98"/>
    <w:rsid w:val="00185D6F"/>
    <w:rsid w:val="00185E11"/>
    <w:rsid w:val="001861BD"/>
    <w:rsid w:val="001861D6"/>
    <w:rsid w:val="00186392"/>
    <w:rsid w:val="0018648A"/>
    <w:rsid w:val="0018649A"/>
    <w:rsid w:val="001864A5"/>
    <w:rsid w:val="0018650C"/>
    <w:rsid w:val="0018656B"/>
    <w:rsid w:val="00186570"/>
    <w:rsid w:val="0018661B"/>
    <w:rsid w:val="0018676B"/>
    <w:rsid w:val="00186789"/>
    <w:rsid w:val="001867CE"/>
    <w:rsid w:val="001868A3"/>
    <w:rsid w:val="001868D2"/>
    <w:rsid w:val="001869A8"/>
    <w:rsid w:val="001869D3"/>
    <w:rsid w:val="00186CF2"/>
    <w:rsid w:val="00186DE9"/>
    <w:rsid w:val="00186E5A"/>
    <w:rsid w:val="00187074"/>
    <w:rsid w:val="001872F8"/>
    <w:rsid w:val="00187364"/>
    <w:rsid w:val="00187375"/>
    <w:rsid w:val="00187404"/>
    <w:rsid w:val="00187479"/>
    <w:rsid w:val="001874C9"/>
    <w:rsid w:val="001874DD"/>
    <w:rsid w:val="0018778F"/>
    <w:rsid w:val="00187887"/>
    <w:rsid w:val="00187988"/>
    <w:rsid w:val="00187BA3"/>
    <w:rsid w:val="00187DAD"/>
    <w:rsid w:val="00187DD4"/>
    <w:rsid w:val="00187F0D"/>
    <w:rsid w:val="00187FE7"/>
    <w:rsid w:val="00187FE9"/>
    <w:rsid w:val="0018B03B"/>
    <w:rsid w:val="001900DD"/>
    <w:rsid w:val="00190187"/>
    <w:rsid w:val="001901AA"/>
    <w:rsid w:val="001903ED"/>
    <w:rsid w:val="00190403"/>
    <w:rsid w:val="001904A8"/>
    <w:rsid w:val="001905C2"/>
    <w:rsid w:val="001906F3"/>
    <w:rsid w:val="00190743"/>
    <w:rsid w:val="00190A26"/>
    <w:rsid w:val="00190B9B"/>
    <w:rsid w:val="00190C73"/>
    <w:rsid w:val="00190DCA"/>
    <w:rsid w:val="00190EEB"/>
    <w:rsid w:val="00190F72"/>
    <w:rsid w:val="00190FFC"/>
    <w:rsid w:val="0019122C"/>
    <w:rsid w:val="0019133A"/>
    <w:rsid w:val="0019144D"/>
    <w:rsid w:val="00191483"/>
    <w:rsid w:val="00191582"/>
    <w:rsid w:val="0019170B"/>
    <w:rsid w:val="00191720"/>
    <w:rsid w:val="0019189B"/>
    <w:rsid w:val="001918E2"/>
    <w:rsid w:val="00191966"/>
    <w:rsid w:val="00191D84"/>
    <w:rsid w:val="00191E46"/>
    <w:rsid w:val="00191E81"/>
    <w:rsid w:val="00191E8C"/>
    <w:rsid w:val="00191F65"/>
    <w:rsid w:val="00191FFD"/>
    <w:rsid w:val="0019200C"/>
    <w:rsid w:val="00192102"/>
    <w:rsid w:val="001921AE"/>
    <w:rsid w:val="001922F0"/>
    <w:rsid w:val="0019238F"/>
    <w:rsid w:val="001923B5"/>
    <w:rsid w:val="0019249A"/>
    <w:rsid w:val="001924A1"/>
    <w:rsid w:val="00192593"/>
    <w:rsid w:val="00192643"/>
    <w:rsid w:val="00192671"/>
    <w:rsid w:val="0019267A"/>
    <w:rsid w:val="0019274A"/>
    <w:rsid w:val="001927FE"/>
    <w:rsid w:val="00192936"/>
    <w:rsid w:val="00192A7C"/>
    <w:rsid w:val="00192AC8"/>
    <w:rsid w:val="00192BD7"/>
    <w:rsid w:val="00192C21"/>
    <w:rsid w:val="00192E91"/>
    <w:rsid w:val="00192E95"/>
    <w:rsid w:val="00192F67"/>
    <w:rsid w:val="0019309F"/>
    <w:rsid w:val="001930AD"/>
    <w:rsid w:val="0019318B"/>
    <w:rsid w:val="001932A9"/>
    <w:rsid w:val="001933E7"/>
    <w:rsid w:val="0019340A"/>
    <w:rsid w:val="001934E3"/>
    <w:rsid w:val="0019360C"/>
    <w:rsid w:val="00193628"/>
    <w:rsid w:val="001938BD"/>
    <w:rsid w:val="00193DC0"/>
    <w:rsid w:val="00193EFE"/>
    <w:rsid w:val="00193F1E"/>
    <w:rsid w:val="00193F3A"/>
    <w:rsid w:val="00193F6E"/>
    <w:rsid w:val="00194024"/>
    <w:rsid w:val="001940FB"/>
    <w:rsid w:val="00194249"/>
    <w:rsid w:val="00194322"/>
    <w:rsid w:val="00194342"/>
    <w:rsid w:val="0019442B"/>
    <w:rsid w:val="001944A8"/>
    <w:rsid w:val="0019457E"/>
    <w:rsid w:val="0019464F"/>
    <w:rsid w:val="00194652"/>
    <w:rsid w:val="001947A9"/>
    <w:rsid w:val="001947C0"/>
    <w:rsid w:val="00194967"/>
    <w:rsid w:val="00194AE7"/>
    <w:rsid w:val="00194BC6"/>
    <w:rsid w:val="00194BFC"/>
    <w:rsid w:val="00194C83"/>
    <w:rsid w:val="0019501F"/>
    <w:rsid w:val="00195171"/>
    <w:rsid w:val="0019520F"/>
    <w:rsid w:val="00195215"/>
    <w:rsid w:val="00195235"/>
    <w:rsid w:val="001952D4"/>
    <w:rsid w:val="0019541E"/>
    <w:rsid w:val="00195441"/>
    <w:rsid w:val="0019567B"/>
    <w:rsid w:val="001957BC"/>
    <w:rsid w:val="001958A6"/>
    <w:rsid w:val="00195B31"/>
    <w:rsid w:val="00195E96"/>
    <w:rsid w:val="00195FE5"/>
    <w:rsid w:val="001962F1"/>
    <w:rsid w:val="001963A5"/>
    <w:rsid w:val="001963D4"/>
    <w:rsid w:val="001963FA"/>
    <w:rsid w:val="0019644E"/>
    <w:rsid w:val="0019678E"/>
    <w:rsid w:val="00196B54"/>
    <w:rsid w:val="00196B5C"/>
    <w:rsid w:val="00196EC9"/>
    <w:rsid w:val="001971F7"/>
    <w:rsid w:val="0019723F"/>
    <w:rsid w:val="00197264"/>
    <w:rsid w:val="00197333"/>
    <w:rsid w:val="00197735"/>
    <w:rsid w:val="001978F4"/>
    <w:rsid w:val="00197928"/>
    <w:rsid w:val="00197A10"/>
    <w:rsid w:val="00197EBF"/>
    <w:rsid w:val="00197EF7"/>
    <w:rsid w:val="00197F68"/>
    <w:rsid w:val="00197F8F"/>
    <w:rsid w:val="00197FBE"/>
    <w:rsid w:val="001A0049"/>
    <w:rsid w:val="001A00AA"/>
    <w:rsid w:val="001A010A"/>
    <w:rsid w:val="001A022C"/>
    <w:rsid w:val="001A024E"/>
    <w:rsid w:val="001A02CA"/>
    <w:rsid w:val="001A02E6"/>
    <w:rsid w:val="001A031B"/>
    <w:rsid w:val="001A03C9"/>
    <w:rsid w:val="001A05A0"/>
    <w:rsid w:val="001A0659"/>
    <w:rsid w:val="001A06BD"/>
    <w:rsid w:val="001A0844"/>
    <w:rsid w:val="001A0873"/>
    <w:rsid w:val="001A08D5"/>
    <w:rsid w:val="001A0A24"/>
    <w:rsid w:val="001A0A78"/>
    <w:rsid w:val="001A0D11"/>
    <w:rsid w:val="001A0E2B"/>
    <w:rsid w:val="001A0E74"/>
    <w:rsid w:val="001A11C3"/>
    <w:rsid w:val="001A1250"/>
    <w:rsid w:val="001A126F"/>
    <w:rsid w:val="001A14F8"/>
    <w:rsid w:val="001A15A7"/>
    <w:rsid w:val="001A1616"/>
    <w:rsid w:val="001A17D7"/>
    <w:rsid w:val="001A1903"/>
    <w:rsid w:val="001A19A3"/>
    <w:rsid w:val="001A1A65"/>
    <w:rsid w:val="001A1B32"/>
    <w:rsid w:val="001A1DBF"/>
    <w:rsid w:val="001A1E43"/>
    <w:rsid w:val="001A200C"/>
    <w:rsid w:val="001A207E"/>
    <w:rsid w:val="001A22DD"/>
    <w:rsid w:val="001A2416"/>
    <w:rsid w:val="001A2529"/>
    <w:rsid w:val="001A2547"/>
    <w:rsid w:val="001A2581"/>
    <w:rsid w:val="001A26BD"/>
    <w:rsid w:val="001A26F7"/>
    <w:rsid w:val="001A272C"/>
    <w:rsid w:val="001A283F"/>
    <w:rsid w:val="001A28B1"/>
    <w:rsid w:val="001A29AB"/>
    <w:rsid w:val="001A2A80"/>
    <w:rsid w:val="001A2A83"/>
    <w:rsid w:val="001A2B9D"/>
    <w:rsid w:val="001A2BFA"/>
    <w:rsid w:val="001A2BFB"/>
    <w:rsid w:val="001A2C4E"/>
    <w:rsid w:val="001A2C63"/>
    <w:rsid w:val="001A2CE7"/>
    <w:rsid w:val="001A2DCE"/>
    <w:rsid w:val="001A2DFF"/>
    <w:rsid w:val="001A2E2C"/>
    <w:rsid w:val="001A2F01"/>
    <w:rsid w:val="001A2F4B"/>
    <w:rsid w:val="001A3206"/>
    <w:rsid w:val="001A327A"/>
    <w:rsid w:val="001A350F"/>
    <w:rsid w:val="001A367F"/>
    <w:rsid w:val="001A3B21"/>
    <w:rsid w:val="001A3B67"/>
    <w:rsid w:val="001A3D25"/>
    <w:rsid w:val="001A3D39"/>
    <w:rsid w:val="001A3D60"/>
    <w:rsid w:val="001A3D83"/>
    <w:rsid w:val="001A3E27"/>
    <w:rsid w:val="001A3FFA"/>
    <w:rsid w:val="001A4063"/>
    <w:rsid w:val="001A407E"/>
    <w:rsid w:val="001A41A1"/>
    <w:rsid w:val="001A4365"/>
    <w:rsid w:val="001A4417"/>
    <w:rsid w:val="001A446D"/>
    <w:rsid w:val="001A44DC"/>
    <w:rsid w:val="001A45E9"/>
    <w:rsid w:val="001A472F"/>
    <w:rsid w:val="001A49CD"/>
    <w:rsid w:val="001A49FE"/>
    <w:rsid w:val="001A4ABC"/>
    <w:rsid w:val="001A4B07"/>
    <w:rsid w:val="001A4BDC"/>
    <w:rsid w:val="001A4DDB"/>
    <w:rsid w:val="001A4DFC"/>
    <w:rsid w:val="001A4EF3"/>
    <w:rsid w:val="001A4F18"/>
    <w:rsid w:val="001A4F59"/>
    <w:rsid w:val="001A4FA7"/>
    <w:rsid w:val="001A5014"/>
    <w:rsid w:val="001A50C9"/>
    <w:rsid w:val="001A52F4"/>
    <w:rsid w:val="001A5467"/>
    <w:rsid w:val="001A5473"/>
    <w:rsid w:val="001A565E"/>
    <w:rsid w:val="001A56EC"/>
    <w:rsid w:val="001A5714"/>
    <w:rsid w:val="001A59BD"/>
    <w:rsid w:val="001A5B7B"/>
    <w:rsid w:val="001A5BAD"/>
    <w:rsid w:val="001A6037"/>
    <w:rsid w:val="001A60C6"/>
    <w:rsid w:val="001A6174"/>
    <w:rsid w:val="001A61D2"/>
    <w:rsid w:val="001A61D8"/>
    <w:rsid w:val="001A621E"/>
    <w:rsid w:val="001A6290"/>
    <w:rsid w:val="001A62FB"/>
    <w:rsid w:val="001A6348"/>
    <w:rsid w:val="001A640E"/>
    <w:rsid w:val="001A6417"/>
    <w:rsid w:val="001A64E3"/>
    <w:rsid w:val="001A656F"/>
    <w:rsid w:val="001A65F7"/>
    <w:rsid w:val="001A6750"/>
    <w:rsid w:val="001A6776"/>
    <w:rsid w:val="001A6819"/>
    <w:rsid w:val="001A691F"/>
    <w:rsid w:val="001A6BED"/>
    <w:rsid w:val="001A6DB0"/>
    <w:rsid w:val="001A6E2D"/>
    <w:rsid w:val="001A6EE4"/>
    <w:rsid w:val="001A6F92"/>
    <w:rsid w:val="001A7371"/>
    <w:rsid w:val="001A741A"/>
    <w:rsid w:val="001A7447"/>
    <w:rsid w:val="001A76CC"/>
    <w:rsid w:val="001A76EE"/>
    <w:rsid w:val="001A7C1A"/>
    <w:rsid w:val="001A7C2D"/>
    <w:rsid w:val="001A7EB6"/>
    <w:rsid w:val="001A7EEE"/>
    <w:rsid w:val="001A7F25"/>
    <w:rsid w:val="001A7F75"/>
    <w:rsid w:val="001A7FE2"/>
    <w:rsid w:val="001A7FE6"/>
    <w:rsid w:val="001B000D"/>
    <w:rsid w:val="001B0118"/>
    <w:rsid w:val="001B02A8"/>
    <w:rsid w:val="001B03C1"/>
    <w:rsid w:val="001B0464"/>
    <w:rsid w:val="001B0588"/>
    <w:rsid w:val="001B05B7"/>
    <w:rsid w:val="001B062D"/>
    <w:rsid w:val="001B0AB6"/>
    <w:rsid w:val="001B0C12"/>
    <w:rsid w:val="001B0DD4"/>
    <w:rsid w:val="001B0DDE"/>
    <w:rsid w:val="001B0ED0"/>
    <w:rsid w:val="001B0F2B"/>
    <w:rsid w:val="001B0FC6"/>
    <w:rsid w:val="001B1271"/>
    <w:rsid w:val="001B12AD"/>
    <w:rsid w:val="001B14A0"/>
    <w:rsid w:val="001B14F8"/>
    <w:rsid w:val="001B1577"/>
    <w:rsid w:val="001B17C8"/>
    <w:rsid w:val="001B1805"/>
    <w:rsid w:val="001B1C4D"/>
    <w:rsid w:val="001B1E26"/>
    <w:rsid w:val="001B1EEF"/>
    <w:rsid w:val="001B1F25"/>
    <w:rsid w:val="001B2015"/>
    <w:rsid w:val="001B215E"/>
    <w:rsid w:val="001B215F"/>
    <w:rsid w:val="001B2333"/>
    <w:rsid w:val="001B2403"/>
    <w:rsid w:val="001B24B0"/>
    <w:rsid w:val="001B24E7"/>
    <w:rsid w:val="001B257A"/>
    <w:rsid w:val="001B26D5"/>
    <w:rsid w:val="001B2745"/>
    <w:rsid w:val="001B2A74"/>
    <w:rsid w:val="001B2C72"/>
    <w:rsid w:val="001B2DEB"/>
    <w:rsid w:val="001B2E5F"/>
    <w:rsid w:val="001B306C"/>
    <w:rsid w:val="001B3073"/>
    <w:rsid w:val="001B30D2"/>
    <w:rsid w:val="001B333A"/>
    <w:rsid w:val="001B349B"/>
    <w:rsid w:val="001B350D"/>
    <w:rsid w:val="001B3705"/>
    <w:rsid w:val="001B3727"/>
    <w:rsid w:val="001B376B"/>
    <w:rsid w:val="001B37A0"/>
    <w:rsid w:val="001B38A8"/>
    <w:rsid w:val="001B39F4"/>
    <w:rsid w:val="001B3A48"/>
    <w:rsid w:val="001B3D32"/>
    <w:rsid w:val="001B3E04"/>
    <w:rsid w:val="001B3F4D"/>
    <w:rsid w:val="001B3F7E"/>
    <w:rsid w:val="001B3FA0"/>
    <w:rsid w:val="001B4067"/>
    <w:rsid w:val="001B40A8"/>
    <w:rsid w:val="001B40EA"/>
    <w:rsid w:val="001B4111"/>
    <w:rsid w:val="001B4127"/>
    <w:rsid w:val="001B4145"/>
    <w:rsid w:val="001B423E"/>
    <w:rsid w:val="001B42AC"/>
    <w:rsid w:val="001B42B1"/>
    <w:rsid w:val="001B4501"/>
    <w:rsid w:val="001B455D"/>
    <w:rsid w:val="001B45FF"/>
    <w:rsid w:val="001B4681"/>
    <w:rsid w:val="001B4872"/>
    <w:rsid w:val="001B4A03"/>
    <w:rsid w:val="001B4AD2"/>
    <w:rsid w:val="001B4C36"/>
    <w:rsid w:val="001B4CB4"/>
    <w:rsid w:val="001B4CB8"/>
    <w:rsid w:val="001B4DF8"/>
    <w:rsid w:val="001B4F38"/>
    <w:rsid w:val="001B4F3D"/>
    <w:rsid w:val="001B4FC4"/>
    <w:rsid w:val="001B50D3"/>
    <w:rsid w:val="001B50ED"/>
    <w:rsid w:val="001B50F4"/>
    <w:rsid w:val="001B519E"/>
    <w:rsid w:val="001B527F"/>
    <w:rsid w:val="001B53D5"/>
    <w:rsid w:val="001B5445"/>
    <w:rsid w:val="001B5515"/>
    <w:rsid w:val="001B559C"/>
    <w:rsid w:val="001B55A9"/>
    <w:rsid w:val="001B57D8"/>
    <w:rsid w:val="001B5900"/>
    <w:rsid w:val="001B5C01"/>
    <w:rsid w:val="001B5C13"/>
    <w:rsid w:val="001B5DE4"/>
    <w:rsid w:val="001B5EB1"/>
    <w:rsid w:val="001B6014"/>
    <w:rsid w:val="001B605B"/>
    <w:rsid w:val="001B6103"/>
    <w:rsid w:val="001B634E"/>
    <w:rsid w:val="001B63D4"/>
    <w:rsid w:val="001B63DF"/>
    <w:rsid w:val="001B65D9"/>
    <w:rsid w:val="001B65EE"/>
    <w:rsid w:val="001B65FA"/>
    <w:rsid w:val="001B6659"/>
    <w:rsid w:val="001B6951"/>
    <w:rsid w:val="001B6A04"/>
    <w:rsid w:val="001B6C55"/>
    <w:rsid w:val="001B6D65"/>
    <w:rsid w:val="001B6E32"/>
    <w:rsid w:val="001B6E3E"/>
    <w:rsid w:val="001B6EA2"/>
    <w:rsid w:val="001B7006"/>
    <w:rsid w:val="001B7094"/>
    <w:rsid w:val="001B71E9"/>
    <w:rsid w:val="001B72DA"/>
    <w:rsid w:val="001B7471"/>
    <w:rsid w:val="001B7492"/>
    <w:rsid w:val="001B7495"/>
    <w:rsid w:val="001B74BA"/>
    <w:rsid w:val="001B74FD"/>
    <w:rsid w:val="001B75E1"/>
    <w:rsid w:val="001B769A"/>
    <w:rsid w:val="001B7715"/>
    <w:rsid w:val="001B774D"/>
    <w:rsid w:val="001B7866"/>
    <w:rsid w:val="001B786A"/>
    <w:rsid w:val="001B794A"/>
    <w:rsid w:val="001B7C29"/>
    <w:rsid w:val="001B7D9B"/>
    <w:rsid w:val="001B7DFE"/>
    <w:rsid w:val="001B7EB8"/>
    <w:rsid w:val="001B7FB3"/>
    <w:rsid w:val="001B7FD3"/>
    <w:rsid w:val="001B7FD6"/>
    <w:rsid w:val="001B7FE9"/>
    <w:rsid w:val="001C003E"/>
    <w:rsid w:val="001C02A7"/>
    <w:rsid w:val="001C02BD"/>
    <w:rsid w:val="001C0559"/>
    <w:rsid w:val="001C069F"/>
    <w:rsid w:val="001C07AF"/>
    <w:rsid w:val="001C07D7"/>
    <w:rsid w:val="001C0892"/>
    <w:rsid w:val="001C08EF"/>
    <w:rsid w:val="001C0A44"/>
    <w:rsid w:val="001C0AF8"/>
    <w:rsid w:val="001C0B07"/>
    <w:rsid w:val="001C0B46"/>
    <w:rsid w:val="001C0C3A"/>
    <w:rsid w:val="001C0C7B"/>
    <w:rsid w:val="001C0D28"/>
    <w:rsid w:val="001C0F47"/>
    <w:rsid w:val="001C11D4"/>
    <w:rsid w:val="001C127E"/>
    <w:rsid w:val="001C129E"/>
    <w:rsid w:val="001C12BF"/>
    <w:rsid w:val="001C1356"/>
    <w:rsid w:val="001C13B3"/>
    <w:rsid w:val="001C14B5"/>
    <w:rsid w:val="001C17F6"/>
    <w:rsid w:val="001C1822"/>
    <w:rsid w:val="001C1866"/>
    <w:rsid w:val="001C1A7A"/>
    <w:rsid w:val="001C1ACB"/>
    <w:rsid w:val="001C1C5B"/>
    <w:rsid w:val="001C1CA2"/>
    <w:rsid w:val="001C1D39"/>
    <w:rsid w:val="001C1D60"/>
    <w:rsid w:val="001C1E3D"/>
    <w:rsid w:val="001C1EC9"/>
    <w:rsid w:val="001C1FE1"/>
    <w:rsid w:val="001C2138"/>
    <w:rsid w:val="001C2224"/>
    <w:rsid w:val="001C22E9"/>
    <w:rsid w:val="001C2465"/>
    <w:rsid w:val="001C2527"/>
    <w:rsid w:val="001C26F1"/>
    <w:rsid w:val="001C289A"/>
    <w:rsid w:val="001C2975"/>
    <w:rsid w:val="001C29EC"/>
    <w:rsid w:val="001C29F7"/>
    <w:rsid w:val="001C2A51"/>
    <w:rsid w:val="001C2AE5"/>
    <w:rsid w:val="001C2D00"/>
    <w:rsid w:val="001C2D45"/>
    <w:rsid w:val="001C2F2F"/>
    <w:rsid w:val="001C2F67"/>
    <w:rsid w:val="001C2F6F"/>
    <w:rsid w:val="001C2FE6"/>
    <w:rsid w:val="001C30BF"/>
    <w:rsid w:val="001C326B"/>
    <w:rsid w:val="001C32CE"/>
    <w:rsid w:val="001C341B"/>
    <w:rsid w:val="001C3665"/>
    <w:rsid w:val="001C368F"/>
    <w:rsid w:val="001C378B"/>
    <w:rsid w:val="001C37C6"/>
    <w:rsid w:val="001C37DF"/>
    <w:rsid w:val="001C38F4"/>
    <w:rsid w:val="001C3C3A"/>
    <w:rsid w:val="001C3CAB"/>
    <w:rsid w:val="001C3D7B"/>
    <w:rsid w:val="001C3DEE"/>
    <w:rsid w:val="001C3DF5"/>
    <w:rsid w:val="001C3EA2"/>
    <w:rsid w:val="001C3F5D"/>
    <w:rsid w:val="001C3FB3"/>
    <w:rsid w:val="001C40F5"/>
    <w:rsid w:val="001C4647"/>
    <w:rsid w:val="001C4650"/>
    <w:rsid w:val="001C47A5"/>
    <w:rsid w:val="001C47F5"/>
    <w:rsid w:val="001C49DD"/>
    <w:rsid w:val="001C4B0F"/>
    <w:rsid w:val="001C4B6B"/>
    <w:rsid w:val="001C4C00"/>
    <w:rsid w:val="001C4C0B"/>
    <w:rsid w:val="001C4C6A"/>
    <w:rsid w:val="001C4DE1"/>
    <w:rsid w:val="001C4E54"/>
    <w:rsid w:val="001C4F09"/>
    <w:rsid w:val="001C507C"/>
    <w:rsid w:val="001C51FF"/>
    <w:rsid w:val="001C53E0"/>
    <w:rsid w:val="001C554A"/>
    <w:rsid w:val="001C56C8"/>
    <w:rsid w:val="001C57FE"/>
    <w:rsid w:val="001C59DD"/>
    <w:rsid w:val="001C5AB9"/>
    <w:rsid w:val="001C5C4F"/>
    <w:rsid w:val="001C5C7B"/>
    <w:rsid w:val="001C5EA5"/>
    <w:rsid w:val="001C6040"/>
    <w:rsid w:val="001C6193"/>
    <w:rsid w:val="001C629D"/>
    <w:rsid w:val="001C63B2"/>
    <w:rsid w:val="001C64A2"/>
    <w:rsid w:val="001C64C1"/>
    <w:rsid w:val="001C656C"/>
    <w:rsid w:val="001C658F"/>
    <w:rsid w:val="001C65B2"/>
    <w:rsid w:val="001C65C6"/>
    <w:rsid w:val="001C672D"/>
    <w:rsid w:val="001C67A8"/>
    <w:rsid w:val="001C68D1"/>
    <w:rsid w:val="001C6AA3"/>
    <w:rsid w:val="001C6B5C"/>
    <w:rsid w:val="001C6CA3"/>
    <w:rsid w:val="001C6F8F"/>
    <w:rsid w:val="001C7059"/>
    <w:rsid w:val="001C70B0"/>
    <w:rsid w:val="001C7101"/>
    <w:rsid w:val="001C7178"/>
    <w:rsid w:val="001C7304"/>
    <w:rsid w:val="001C733E"/>
    <w:rsid w:val="001C7364"/>
    <w:rsid w:val="001C76A6"/>
    <w:rsid w:val="001C775B"/>
    <w:rsid w:val="001C78B9"/>
    <w:rsid w:val="001C78CB"/>
    <w:rsid w:val="001C79DD"/>
    <w:rsid w:val="001C7A6B"/>
    <w:rsid w:val="001C7AE6"/>
    <w:rsid w:val="001C7B80"/>
    <w:rsid w:val="001C7B8F"/>
    <w:rsid w:val="001C7C0F"/>
    <w:rsid w:val="001C7CEB"/>
    <w:rsid w:val="001C7E5D"/>
    <w:rsid w:val="001C7E6A"/>
    <w:rsid w:val="001C7ECA"/>
    <w:rsid w:val="001C7F3F"/>
    <w:rsid w:val="001D000E"/>
    <w:rsid w:val="001D01BA"/>
    <w:rsid w:val="001D01BF"/>
    <w:rsid w:val="001D01FA"/>
    <w:rsid w:val="001D02C5"/>
    <w:rsid w:val="001D02CA"/>
    <w:rsid w:val="001D0427"/>
    <w:rsid w:val="001D04B4"/>
    <w:rsid w:val="001D056D"/>
    <w:rsid w:val="001D075E"/>
    <w:rsid w:val="001D07DA"/>
    <w:rsid w:val="001D089F"/>
    <w:rsid w:val="001D0928"/>
    <w:rsid w:val="001D0A57"/>
    <w:rsid w:val="001D0AFC"/>
    <w:rsid w:val="001D0B59"/>
    <w:rsid w:val="001D0E2E"/>
    <w:rsid w:val="001D0F42"/>
    <w:rsid w:val="001D0F52"/>
    <w:rsid w:val="001D0FBB"/>
    <w:rsid w:val="001D114E"/>
    <w:rsid w:val="001D11AA"/>
    <w:rsid w:val="001D1230"/>
    <w:rsid w:val="001D1294"/>
    <w:rsid w:val="001D132E"/>
    <w:rsid w:val="001D14AF"/>
    <w:rsid w:val="001D1589"/>
    <w:rsid w:val="001D164F"/>
    <w:rsid w:val="001D1671"/>
    <w:rsid w:val="001D16C7"/>
    <w:rsid w:val="001D1726"/>
    <w:rsid w:val="001D1752"/>
    <w:rsid w:val="001D1904"/>
    <w:rsid w:val="001D197E"/>
    <w:rsid w:val="001D1A6A"/>
    <w:rsid w:val="001D1A70"/>
    <w:rsid w:val="001D1B6E"/>
    <w:rsid w:val="001D1BAA"/>
    <w:rsid w:val="001D1C9F"/>
    <w:rsid w:val="001D1F38"/>
    <w:rsid w:val="001D1FCD"/>
    <w:rsid w:val="001D20F9"/>
    <w:rsid w:val="001D218A"/>
    <w:rsid w:val="001D2190"/>
    <w:rsid w:val="001D23DB"/>
    <w:rsid w:val="001D23E4"/>
    <w:rsid w:val="001D23EF"/>
    <w:rsid w:val="001D24B5"/>
    <w:rsid w:val="001D269F"/>
    <w:rsid w:val="001D26CA"/>
    <w:rsid w:val="001D2A23"/>
    <w:rsid w:val="001D2A8A"/>
    <w:rsid w:val="001D2AAD"/>
    <w:rsid w:val="001D2B1D"/>
    <w:rsid w:val="001D2E84"/>
    <w:rsid w:val="001D2E8A"/>
    <w:rsid w:val="001D2EF6"/>
    <w:rsid w:val="001D2F94"/>
    <w:rsid w:val="001D3019"/>
    <w:rsid w:val="001D3080"/>
    <w:rsid w:val="001D3112"/>
    <w:rsid w:val="001D32EB"/>
    <w:rsid w:val="001D33ED"/>
    <w:rsid w:val="001D33EE"/>
    <w:rsid w:val="001D36EF"/>
    <w:rsid w:val="001D37CA"/>
    <w:rsid w:val="001D3853"/>
    <w:rsid w:val="001D3945"/>
    <w:rsid w:val="001D39C9"/>
    <w:rsid w:val="001D3A9A"/>
    <w:rsid w:val="001D3AF6"/>
    <w:rsid w:val="001D3B98"/>
    <w:rsid w:val="001D3E00"/>
    <w:rsid w:val="001D3F12"/>
    <w:rsid w:val="001D3F95"/>
    <w:rsid w:val="001D4289"/>
    <w:rsid w:val="001D432F"/>
    <w:rsid w:val="001D43CC"/>
    <w:rsid w:val="001D4496"/>
    <w:rsid w:val="001D4569"/>
    <w:rsid w:val="001D45AD"/>
    <w:rsid w:val="001D46C2"/>
    <w:rsid w:val="001D4738"/>
    <w:rsid w:val="001D47CE"/>
    <w:rsid w:val="001D48E8"/>
    <w:rsid w:val="001D4A1E"/>
    <w:rsid w:val="001D4B9B"/>
    <w:rsid w:val="001D4D9F"/>
    <w:rsid w:val="001D4DD3"/>
    <w:rsid w:val="001D4EEF"/>
    <w:rsid w:val="001D502F"/>
    <w:rsid w:val="001D53B4"/>
    <w:rsid w:val="001D53C9"/>
    <w:rsid w:val="001D55E1"/>
    <w:rsid w:val="001D5600"/>
    <w:rsid w:val="001D596D"/>
    <w:rsid w:val="001D59B1"/>
    <w:rsid w:val="001D5A33"/>
    <w:rsid w:val="001D5AE4"/>
    <w:rsid w:val="001D5D1C"/>
    <w:rsid w:val="001D5E7E"/>
    <w:rsid w:val="001D606F"/>
    <w:rsid w:val="001D608F"/>
    <w:rsid w:val="001D6113"/>
    <w:rsid w:val="001D6680"/>
    <w:rsid w:val="001D668A"/>
    <w:rsid w:val="001D66B9"/>
    <w:rsid w:val="001D672A"/>
    <w:rsid w:val="001D6746"/>
    <w:rsid w:val="001D67CE"/>
    <w:rsid w:val="001D67D3"/>
    <w:rsid w:val="001D6B49"/>
    <w:rsid w:val="001D6D12"/>
    <w:rsid w:val="001D6E33"/>
    <w:rsid w:val="001D6EF0"/>
    <w:rsid w:val="001D70D1"/>
    <w:rsid w:val="001D71D8"/>
    <w:rsid w:val="001D72DC"/>
    <w:rsid w:val="001D738A"/>
    <w:rsid w:val="001D7420"/>
    <w:rsid w:val="001D7696"/>
    <w:rsid w:val="001D7746"/>
    <w:rsid w:val="001D78B5"/>
    <w:rsid w:val="001D7971"/>
    <w:rsid w:val="001D7A11"/>
    <w:rsid w:val="001D7C0B"/>
    <w:rsid w:val="001D7DC7"/>
    <w:rsid w:val="001E0010"/>
    <w:rsid w:val="001E0093"/>
    <w:rsid w:val="001E00DF"/>
    <w:rsid w:val="001E03F9"/>
    <w:rsid w:val="001E06AD"/>
    <w:rsid w:val="001E06F4"/>
    <w:rsid w:val="001E0A80"/>
    <w:rsid w:val="001E0B51"/>
    <w:rsid w:val="001E0BC4"/>
    <w:rsid w:val="001E0BCA"/>
    <w:rsid w:val="001E0CC0"/>
    <w:rsid w:val="001E0D0B"/>
    <w:rsid w:val="001E0DA7"/>
    <w:rsid w:val="001E0DBA"/>
    <w:rsid w:val="001E0DC4"/>
    <w:rsid w:val="001E10CC"/>
    <w:rsid w:val="001E1153"/>
    <w:rsid w:val="001E11E5"/>
    <w:rsid w:val="001E1244"/>
    <w:rsid w:val="001E133F"/>
    <w:rsid w:val="001E139F"/>
    <w:rsid w:val="001E147D"/>
    <w:rsid w:val="001E14B1"/>
    <w:rsid w:val="001E1502"/>
    <w:rsid w:val="001E162B"/>
    <w:rsid w:val="001E1738"/>
    <w:rsid w:val="001E176D"/>
    <w:rsid w:val="001E1795"/>
    <w:rsid w:val="001E18A9"/>
    <w:rsid w:val="001E1AFB"/>
    <w:rsid w:val="001E1AFF"/>
    <w:rsid w:val="001E1B19"/>
    <w:rsid w:val="001E1C51"/>
    <w:rsid w:val="001E1CBC"/>
    <w:rsid w:val="001E1D85"/>
    <w:rsid w:val="001E1EBF"/>
    <w:rsid w:val="001E1FC2"/>
    <w:rsid w:val="001E202B"/>
    <w:rsid w:val="001E204B"/>
    <w:rsid w:val="001E20BD"/>
    <w:rsid w:val="001E20E7"/>
    <w:rsid w:val="001E21F2"/>
    <w:rsid w:val="001E2242"/>
    <w:rsid w:val="001E23A9"/>
    <w:rsid w:val="001E24A2"/>
    <w:rsid w:val="001E24EA"/>
    <w:rsid w:val="001E276B"/>
    <w:rsid w:val="001E27E6"/>
    <w:rsid w:val="001E28C0"/>
    <w:rsid w:val="001E28E7"/>
    <w:rsid w:val="001E2A39"/>
    <w:rsid w:val="001E2AE5"/>
    <w:rsid w:val="001E2E32"/>
    <w:rsid w:val="001E2E5E"/>
    <w:rsid w:val="001E2FBA"/>
    <w:rsid w:val="001E3410"/>
    <w:rsid w:val="001E35B0"/>
    <w:rsid w:val="001E38AB"/>
    <w:rsid w:val="001E38C6"/>
    <w:rsid w:val="001E3A32"/>
    <w:rsid w:val="001E3B55"/>
    <w:rsid w:val="001E3B83"/>
    <w:rsid w:val="001E3C6B"/>
    <w:rsid w:val="001E3C7A"/>
    <w:rsid w:val="001E3CDC"/>
    <w:rsid w:val="001E3CED"/>
    <w:rsid w:val="001E3D2F"/>
    <w:rsid w:val="001E3DC6"/>
    <w:rsid w:val="001E428F"/>
    <w:rsid w:val="001E43A5"/>
    <w:rsid w:val="001E458E"/>
    <w:rsid w:val="001E465D"/>
    <w:rsid w:val="001E4726"/>
    <w:rsid w:val="001E47E0"/>
    <w:rsid w:val="001E4C50"/>
    <w:rsid w:val="001E4F2F"/>
    <w:rsid w:val="001E4F36"/>
    <w:rsid w:val="001E520A"/>
    <w:rsid w:val="001E5241"/>
    <w:rsid w:val="001E532C"/>
    <w:rsid w:val="001E53E5"/>
    <w:rsid w:val="001E5486"/>
    <w:rsid w:val="001E5578"/>
    <w:rsid w:val="001E5596"/>
    <w:rsid w:val="001E5603"/>
    <w:rsid w:val="001E565D"/>
    <w:rsid w:val="001E578D"/>
    <w:rsid w:val="001E582D"/>
    <w:rsid w:val="001E59D8"/>
    <w:rsid w:val="001E59DC"/>
    <w:rsid w:val="001E5D03"/>
    <w:rsid w:val="001E5E71"/>
    <w:rsid w:val="001E5EE3"/>
    <w:rsid w:val="001E6444"/>
    <w:rsid w:val="001E64F9"/>
    <w:rsid w:val="001E6569"/>
    <w:rsid w:val="001E6679"/>
    <w:rsid w:val="001E6683"/>
    <w:rsid w:val="001E671D"/>
    <w:rsid w:val="001E6882"/>
    <w:rsid w:val="001E68F4"/>
    <w:rsid w:val="001E6BED"/>
    <w:rsid w:val="001E6CA5"/>
    <w:rsid w:val="001E6E01"/>
    <w:rsid w:val="001E6E39"/>
    <w:rsid w:val="001E6E75"/>
    <w:rsid w:val="001E6FEE"/>
    <w:rsid w:val="001E7095"/>
    <w:rsid w:val="001E709D"/>
    <w:rsid w:val="001E71DD"/>
    <w:rsid w:val="001E7290"/>
    <w:rsid w:val="001E729A"/>
    <w:rsid w:val="001E734D"/>
    <w:rsid w:val="001E73C1"/>
    <w:rsid w:val="001E73FB"/>
    <w:rsid w:val="001E76CF"/>
    <w:rsid w:val="001E776B"/>
    <w:rsid w:val="001E778A"/>
    <w:rsid w:val="001E77AE"/>
    <w:rsid w:val="001E7A16"/>
    <w:rsid w:val="001E7A9B"/>
    <w:rsid w:val="001E7AE8"/>
    <w:rsid w:val="001E7B2D"/>
    <w:rsid w:val="001E7B92"/>
    <w:rsid w:val="001E7C8A"/>
    <w:rsid w:val="001E7D25"/>
    <w:rsid w:val="001E7D69"/>
    <w:rsid w:val="001F011C"/>
    <w:rsid w:val="001F02DE"/>
    <w:rsid w:val="001F03D5"/>
    <w:rsid w:val="001F079B"/>
    <w:rsid w:val="001F0A4C"/>
    <w:rsid w:val="001F0D07"/>
    <w:rsid w:val="001F0DEF"/>
    <w:rsid w:val="001F0E66"/>
    <w:rsid w:val="001F0E86"/>
    <w:rsid w:val="001F0F6D"/>
    <w:rsid w:val="001F0FBA"/>
    <w:rsid w:val="001F10DD"/>
    <w:rsid w:val="001F1195"/>
    <w:rsid w:val="001F125A"/>
    <w:rsid w:val="001F12C4"/>
    <w:rsid w:val="001F13D4"/>
    <w:rsid w:val="001F1407"/>
    <w:rsid w:val="001F15A6"/>
    <w:rsid w:val="001F15BC"/>
    <w:rsid w:val="001F15F6"/>
    <w:rsid w:val="001F1698"/>
    <w:rsid w:val="001F1BAE"/>
    <w:rsid w:val="001F1C17"/>
    <w:rsid w:val="001F1F4B"/>
    <w:rsid w:val="001F1FE6"/>
    <w:rsid w:val="001F2032"/>
    <w:rsid w:val="001F21A8"/>
    <w:rsid w:val="001F232F"/>
    <w:rsid w:val="001F2363"/>
    <w:rsid w:val="001F236E"/>
    <w:rsid w:val="001F2441"/>
    <w:rsid w:val="001F2667"/>
    <w:rsid w:val="001F29EF"/>
    <w:rsid w:val="001F2BB3"/>
    <w:rsid w:val="001F2C36"/>
    <w:rsid w:val="001F2C76"/>
    <w:rsid w:val="001F2DA4"/>
    <w:rsid w:val="001F2E07"/>
    <w:rsid w:val="001F2E66"/>
    <w:rsid w:val="001F2F16"/>
    <w:rsid w:val="001F302A"/>
    <w:rsid w:val="001F3045"/>
    <w:rsid w:val="001F3059"/>
    <w:rsid w:val="001F3107"/>
    <w:rsid w:val="001F31A3"/>
    <w:rsid w:val="001F3221"/>
    <w:rsid w:val="001F329B"/>
    <w:rsid w:val="001F32D9"/>
    <w:rsid w:val="001F33E3"/>
    <w:rsid w:val="001F351E"/>
    <w:rsid w:val="001F3760"/>
    <w:rsid w:val="001F37F5"/>
    <w:rsid w:val="001F3969"/>
    <w:rsid w:val="001F39FF"/>
    <w:rsid w:val="001F3A8C"/>
    <w:rsid w:val="001F3D2F"/>
    <w:rsid w:val="001F406C"/>
    <w:rsid w:val="001F41DB"/>
    <w:rsid w:val="001F42C3"/>
    <w:rsid w:val="001F441E"/>
    <w:rsid w:val="001F455B"/>
    <w:rsid w:val="001F48B1"/>
    <w:rsid w:val="001F49BA"/>
    <w:rsid w:val="001F4BB6"/>
    <w:rsid w:val="001F4CD2"/>
    <w:rsid w:val="001F4ED0"/>
    <w:rsid w:val="001F4F30"/>
    <w:rsid w:val="001F4FB1"/>
    <w:rsid w:val="001F507F"/>
    <w:rsid w:val="001F5166"/>
    <w:rsid w:val="001F5204"/>
    <w:rsid w:val="001F533B"/>
    <w:rsid w:val="001F54A8"/>
    <w:rsid w:val="001F5526"/>
    <w:rsid w:val="001F56E8"/>
    <w:rsid w:val="001F5AD8"/>
    <w:rsid w:val="001F5AF0"/>
    <w:rsid w:val="001F5BEF"/>
    <w:rsid w:val="001F5FB3"/>
    <w:rsid w:val="001F5FC7"/>
    <w:rsid w:val="001F6024"/>
    <w:rsid w:val="001F62B1"/>
    <w:rsid w:val="001F631F"/>
    <w:rsid w:val="001F6356"/>
    <w:rsid w:val="001F68EC"/>
    <w:rsid w:val="001F6907"/>
    <w:rsid w:val="001F6CBA"/>
    <w:rsid w:val="001F6E48"/>
    <w:rsid w:val="001F7018"/>
    <w:rsid w:val="001F707C"/>
    <w:rsid w:val="001F72FF"/>
    <w:rsid w:val="001F75C3"/>
    <w:rsid w:val="001F76BD"/>
    <w:rsid w:val="001F797D"/>
    <w:rsid w:val="001F7AB5"/>
    <w:rsid w:val="0020008C"/>
    <w:rsid w:val="00200091"/>
    <w:rsid w:val="002002E2"/>
    <w:rsid w:val="002003AE"/>
    <w:rsid w:val="00200489"/>
    <w:rsid w:val="002004AC"/>
    <w:rsid w:val="00200529"/>
    <w:rsid w:val="00200539"/>
    <w:rsid w:val="00200673"/>
    <w:rsid w:val="002006FA"/>
    <w:rsid w:val="00200905"/>
    <w:rsid w:val="00200964"/>
    <w:rsid w:val="002009DA"/>
    <w:rsid w:val="00200A0C"/>
    <w:rsid w:val="00200C55"/>
    <w:rsid w:val="00200C5B"/>
    <w:rsid w:val="00200CBD"/>
    <w:rsid w:val="00200D7C"/>
    <w:rsid w:val="00200EE4"/>
    <w:rsid w:val="00200FA2"/>
    <w:rsid w:val="00201036"/>
    <w:rsid w:val="00201120"/>
    <w:rsid w:val="0020147C"/>
    <w:rsid w:val="00201590"/>
    <w:rsid w:val="002016A0"/>
    <w:rsid w:val="0020171C"/>
    <w:rsid w:val="00201731"/>
    <w:rsid w:val="00201820"/>
    <w:rsid w:val="002018A4"/>
    <w:rsid w:val="00201962"/>
    <w:rsid w:val="00201A34"/>
    <w:rsid w:val="00201B91"/>
    <w:rsid w:val="00201C8C"/>
    <w:rsid w:val="00201CA4"/>
    <w:rsid w:val="00201DA9"/>
    <w:rsid w:val="00201E53"/>
    <w:rsid w:val="00202031"/>
    <w:rsid w:val="00202037"/>
    <w:rsid w:val="002021FA"/>
    <w:rsid w:val="002022B5"/>
    <w:rsid w:val="002025EB"/>
    <w:rsid w:val="0020262E"/>
    <w:rsid w:val="00202813"/>
    <w:rsid w:val="00202817"/>
    <w:rsid w:val="002028AB"/>
    <w:rsid w:val="002028EE"/>
    <w:rsid w:val="00202947"/>
    <w:rsid w:val="00202B06"/>
    <w:rsid w:val="00202BD3"/>
    <w:rsid w:val="00202C61"/>
    <w:rsid w:val="00202D72"/>
    <w:rsid w:val="00202DCB"/>
    <w:rsid w:val="00202E4E"/>
    <w:rsid w:val="00202ED7"/>
    <w:rsid w:val="00203003"/>
    <w:rsid w:val="0020319C"/>
    <w:rsid w:val="002031B2"/>
    <w:rsid w:val="0020321A"/>
    <w:rsid w:val="00203251"/>
    <w:rsid w:val="00203296"/>
    <w:rsid w:val="002032A4"/>
    <w:rsid w:val="00203317"/>
    <w:rsid w:val="00203577"/>
    <w:rsid w:val="002037A2"/>
    <w:rsid w:val="0020388F"/>
    <w:rsid w:val="002038B0"/>
    <w:rsid w:val="00203A25"/>
    <w:rsid w:val="00203B96"/>
    <w:rsid w:val="00203CD0"/>
    <w:rsid w:val="00203D5B"/>
    <w:rsid w:val="00203FB9"/>
    <w:rsid w:val="002040F8"/>
    <w:rsid w:val="00204127"/>
    <w:rsid w:val="002041D8"/>
    <w:rsid w:val="00204256"/>
    <w:rsid w:val="002042C4"/>
    <w:rsid w:val="0020433A"/>
    <w:rsid w:val="00204340"/>
    <w:rsid w:val="002043BB"/>
    <w:rsid w:val="00204575"/>
    <w:rsid w:val="00204635"/>
    <w:rsid w:val="0020474B"/>
    <w:rsid w:val="002047A4"/>
    <w:rsid w:val="002048FB"/>
    <w:rsid w:val="00204ABE"/>
    <w:rsid w:val="00204C11"/>
    <w:rsid w:val="00204C65"/>
    <w:rsid w:val="00204C8B"/>
    <w:rsid w:val="00204D03"/>
    <w:rsid w:val="00204E20"/>
    <w:rsid w:val="00204FA9"/>
    <w:rsid w:val="002050D7"/>
    <w:rsid w:val="00205100"/>
    <w:rsid w:val="00205297"/>
    <w:rsid w:val="00205482"/>
    <w:rsid w:val="002055A1"/>
    <w:rsid w:val="00205604"/>
    <w:rsid w:val="00205681"/>
    <w:rsid w:val="00205744"/>
    <w:rsid w:val="00205765"/>
    <w:rsid w:val="0020580B"/>
    <w:rsid w:val="00205990"/>
    <w:rsid w:val="00205A3B"/>
    <w:rsid w:val="00205BB8"/>
    <w:rsid w:val="00205C29"/>
    <w:rsid w:val="00205F06"/>
    <w:rsid w:val="0020620A"/>
    <w:rsid w:val="0020626F"/>
    <w:rsid w:val="00206583"/>
    <w:rsid w:val="00206654"/>
    <w:rsid w:val="0020683D"/>
    <w:rsid w:val="00206921"/>
    <w:rsid w:val="00206AFC"/>
    <w:rsid w:val="00206BE7"/>
    <w:rsid w:val="00206C34"/>
    <w:rsid w:val="00206C36"/>
    <w:rsid w:val="00206D66"/>
    <w:rsid w:val="00206E4B"/>
    <w:rsid w:val="00206FBD"/>
    <w:rsid w:val="00207056"/>
    <w:rsid w:val="00207112"/>
    <w:rsid w:val="00207170"/>
    <w:rsid w:val="00207258"/>
    <w:rsid w:val="00207320"/>
    <w:rsid w:val="0020737E"/>
    <w:rsid w:val="00207569"/>
    <w:rsid w:val="00207619"/>
    <w:rsid w:val="00207675"/>
    <w:rsid w:val="0020778D"/>
    <w:rsid w:val="002077A7"/>
    <w:rsid w:val="0020784B"/>
    <w:rsid w:val="002079D7"/>
    <w:rsid w:val="00207AF2"/>
    <w:rsid w:val="00207B70"/>
    <w:rsid w:val="00207C23"/>
    <w:rsid w:val="00207EB5"/>
    <w:rsid w:val="00207F61"/>
    <w:rsid w:val="0021006C"/>
    <w:rsid w:val="00210082"/>
    <w:rsid w:val="002100FA"/>
    <w:rsid w:val="00210173"/>
    <w:rsid w:val="0021018D"/>
    <w:rsid w:val="002101A3"/>
    <w:rsid w:val="002102DC"/>
    <w:rsid w:val="00210343"/>
    <w:rsid w:val="00210410"/>
    <w:rsid w:val="00210461"/>
    <w:rsid w:val="00210473"/>
    <w:rsid w:val="002105FE"/>
    <w:rsid w:val="00210614"/>
    <w:rsid w:val="002106CA"/>
    <w:rsid w:val="002106EE"/>
    <w:rsid w:val="00210977"/>
    <w:rsid w:val="00210B80"/>
    <w:rsid w:val="00210C0C"/>
    <w:rsid w:val="00210C39"/>
    <w:rsid w:val="00210F83"/>
    <w:rsid w:val="0021116B"/>
    <w:rsid w:val="00211519"/>
    <w:rsid w:val="002116E8"/>
    <w:rsid w:val="0021178F"/>
    <w:rsid w:val="00211797"/>
    <w:rsid w:val="002118F0"/>
    <w:rsid w:val="002119DF"/>
    <w:rsid w:val="00211A63"/>
    <w:rsid w:val="00211B1B"/>
    <w:rsid w:val="00211BCD"/>
    <w:rsid w:val="00211C22"/>
    <w:rsid w:val="00211C39"/>
    <w:rsid w:val="00211D3A"/>
    <w:rsid w:val="00211DAF"/>
    <w:rsid w:val="00211F17"/>
    <w:rsid w:val="00211FE3"/>
    <w:rsid w:val="002121E6"/>
    <w:rsid w:val="00212712"/>
    <w:rsid w:val="002127E4"/>
    <w:rsid w:val="0021280B"/>
    <w:rsid w:val="00212857"/>
    <w:rsid w:val="00212BDE"/>
    <w:rsid w:val="00212C5F"/>
    <w:rsid w:val="00212CD6"/>
    <w:rsid w:val="00212DFF"/>
    <w:rsid w:val="00212E87"/>
    <w:rsid w:val="00212F4B"/>
    <w:rsid w:val="00212F5D"/>
    <w:rsid w:val="002132E3"/>
    <w:rsid w:val="00213323"/>
    <w:rsid w:val="002133B3"/>
    <w:rsid w:val="00213688"/>
    <w:rsid w:val="00213696"/>
    <w:rsid w:val="002136AB"/>
    <w:rsid w:val="00213771"/>
    <w:rsid w:val="002137B0"/>
    <w:rsid w:val="00213A07"/>
    <w:rsid w:val="00213BCA"/>
    <w:rsid w:val="00213D16"/>
    <w:rsid w:val="00213DF9"/>
    <w:rsid w:val="00213E68"/>
    <w:rsid w:val="00214121"/>
    <w:rsid w:val="00214226"/>
    <w:rsid w:val="00214340"/>
    <w:rsid w:val="002144CE"/>
    <w:rsid w:val="002144E4"/>
    <w:rsid w:val="0021463C"/>
    <w:rsid w:val="00214654"/>
    <w:rsid w:val="002146D0"/>
    <w:rsid w:val="002146EA"/>
    <w:rsid w:val="002148A5"/>
    <w:rsid w:val="00214B6C"/>
    <w:rsid w:val="00214F56"/>
    <w:rsid w:val="00215136"/>
    <w:rsid w:val="002152A7"/>
    <w:rsid w:val="002152DB"/>
    <w:rsid w:val="0021551A"/>
    <w:rsid w:val="002155B9"/>
    <w:rsid w:val="002156AE"/>
    <w:rsid w:val="0021578D"/>
    <w:rsid w:val="0021591D"/>
    <w:rsid w:val="00215965"/>
    <w:rsid w:val="00215995"/>
    <w:rsid w:val="00215AD3"/>
    <w:rsid w:val="00215B9D"/>
    <w:rsid w:val="00215CE7"/>
    <w:rsid w:val="00215D50"/>
    <w:rsid w:val="00215D76"/>
    <w:rsid w:val="002160AD"/>
    <w:rsid w:val="002160BE"/>
    <w:rsid w:val="002160D1"/>
    <w:rsid w:val="00216134"/>
    <w:rsid w:val="0021618B"/>
    <w:rsid w:val="002163B2"/>
    <w:rsid w:val="00216484"/>
    <w:rsid w:val="002164B6"/>
    <w:rsid w:val="00216566"/>
    <w:rsid w:val="002166D7"/>
    <w:rsid w:val="002166E1"/>
    <w:rsid w:val="002166F3"/>
    <w:rsid w:val="00216BD3"/>
    <w:rsid w:val="00216D67"/>
    <w:rsid w:val="00217022"/>
    <w:rsid w:val="00217027"/>
    <w:rsid w:val="00217159"/>
    <w:rsid w:val="002174B0"/>
    <w:rsid w:val="00217500"/>
    <w:rsid w:val="0021751C"/>
    <w:rsid w:val="0021798D"/>
    <w:rsid w:val="00217A66"/>
    <w:rsid w:val="00217AB6"/>
    <w:rsid w:val="00217AFE"/>
    <w:rsid w:val="00217B13"/>
    <w:rsid w:val="00217B64"/>
    <w:rsid w:val="00220105"/>
    <w:rsid w:val="0022051D"/>
    <w:rsid w:val="0022064A"/>
    <w:rsid w:val="002206DA"/>
    <w:rsid w:val="00220849"/>
    <w:rsid w:val="00220B4F"/>
    <w:rsid w:val="00220B84"/>
    <w:rsid w:val="00220BC1"/>
    <w:rsid w:val="00220C6F"/>
    <w:rsid w:val="00220DA9"/>
    <w:rsid w:val="00220E30"/>
    <w:rsid w:val="00220EF3"/>
    <w:rsid w:val="002212E6"/>
    <w:rsid w:val="0022141F"/>
    <w:rsid w:val="002214FE"/>
    <w:rsid w:val="002215C9"/>
    <w:rsid w:val="002218BF"/>
    <w:rsid w:val="00221966"/>
    <w:rsid w:val="00221A62"/>
    <w:rsid w:val="00221A99"/>
    <w:rsid w:val="00221B2F"/>
    <w:rsid w:val="00221B30"/>
    <w:rsid w:val="00221B32"/>
    <w:rsid w:val="00221BBA"/>
    <w:rsid w:val="00221C13"/>
    <w:rsid w:val="00221CB6"/>
    <w:rsid w:val="00221DFD"/>
    <w:rsid w:val="00221E44"/>
    <w:rsid w:val="00221E76"/>
    <w:rsid w:val="0022220E"/>
    <w:rsid w:val="0022225D"/>
    <w:rsid w:val="0022226D"/>
    <w:rsid w:val="00222436"/>
    <w:rsid w:val="002225A6"/>
    <w:rsid w:val="002225F4"/>
    <w:rsid w:val="0022265B"/>
    <w:rsid w:val="00222AF3"/>
    <w:rsid w:val="00222B7E"/>
    <w:rsid w:val="00222C7B"/>
    <w:rsid w:val="00222D31"/>
    <w:rsid w:val="00222D3E"/>
    <w:rsid w:val="00222F8A"/>
    <w:rsid w:val="00222FFC"/>
    <w:rsid w:val="0022310F"/>
    <w:rsid w:val="0022340F"/>
    <w:rsid w:val="0022349B"/>
    <w:rsid w:val="002234D6"/>
    <w:rsid w:val="00223823"/>
    <w:rsid w:val="0022388C"/>
    <w:rsid w:val="0022396E"/>
    <w:rsid w:val="002239CB"/>
    <w:rsid w:val="00223ABE"/>
    <w:rsid w:val="00223C32"/>
    <w:rsid w:val="00223E72"/>
    <w:rsid w:val="00223E77"/>
    <w:rsid w:val="00223F79"/>
    <w:rsid w:val="002241B3"/>
    <w:rsid w:val="00224345"/>
    <w:rsid w:val="00224397"/>
    <w:rsid w:val="00224677"/>
    <w:rsid w:val="00224831"/>
    <w:rsid w:val="00224888"/>
    <w:rsid w:val="00224895"/>
    <w:rsid w:val="00224974"/>
    <w:rsid w:val="0022497F"/>
    <w:rsid w:val="002249C4"/>
    <w:rsid w:val="00224AC5"/>
    <w:rsid w:val="00224B97"/>
    <w:rsid w:val="00224FB4"/>
    <w:rsid w:val="00225014"/>
    <w:rsid w:val="00225060"/>
    <w:rsid w:val="00225088"/>
    <w:rsid w:val="002250FC"/>
    <w:rsid w:val="002251B9"/>
    <w:rsid w:val="0022521D"/>
    <w:rsid w:val="002254D7"/>
    <w:rsid w:val="0022553A"/>
    <w:rsid w:val="002256C8"/>
    <w:rsid w:val="002258E9"/>
    <w:rsid w:val="002259F4"/>
    <w:rsid w:val="00225A29"/>
    <w:rsid w:val="00225A31"/>
    <w:rsid w:val="00225B37"/>
    <w:rsid w:val="00225B62"/>
    <w:rsid w:val="00225CAA"/>
    <w:rsid w:val="00225E96"/>
    <w:rsid w:val="00225F74"/>
    <w:rsid w:val="00226022"/>
    <w:rsid w:val="0022608D"/>
    <w:rsid w:val="002260AC"/>
    <w:rsid w:val="0022615C"/>
    <w:rsid w:val="002262A8"/>
    <w:rsid w:val="00226307"/>
    <w:rsid w:val="0022637F"/>
    <w:rsid w:val="002263D4"/>
    <w:rsid w:val="00226452"/>
    <w:rsid w:val="00226473"/>
    <w:rsid w:val="0022647E"/>
    <w:rsid w:val="002264EE"/>
    <w:rsid w:val="0022670E"/>
    <w:rsid w:val="0022679A"/>
    <w:rsid w:val="0022688D"/>
    <w:rsid w:val="002268EB"/>
    <w:rsid w:val="00226AB6"/>
    <w:rsid w:val="00226B71"/>
    <w:rsid w:val="00226C86"/>
    <w:rsid w:val="00226C9E"/>
    <w:rsid w:val="00226CF1"/>
    <w:rsid w:val="00226D5C"/>
    <w:rsid w:val="00226DFF"/>
    <w:rsid w:val="00226E0A"/>
    <w:rsid w:val="00226E31"/>
    <w:rsid w:val="00226EA9"/>
    <w:rsid w:val="00226ECF"/>
    <w:rsid w:val="00227293"/>
    <w:rsid w:val="0022735C"/>
    <w:rsid w:val="00227562"/>
    <w:rsid w:val="002275EB"/>
    <w:rsid w:val="002276BE"/>
    <w:rsid w:val="002277DA"/>
    <w:rsid w:val="002279A8"/>
    <w:rsid w:val="00227A22"/>
    <w:rsid w:val="00227A9B"/>
    <w:rsid w:val="00227C96"/>
    <w:rsid w:val="00227D1D"/>
    <w:rsid w:val="00227ECB"/>
    <w:rsid w:val="00227EDD"/>
    <w:rsid w:val="00227F62"/>
    <w:rsid w:val="0022D535"/>
    <w:rsid w:val="00230101"/>
    <w:rsid w:val="00230113"/>
    <w:rsid w:val="0023014A"/>
    <w:rsid w:val="002302D6"/>
    <w:rsid w:val="00230386"/>
    <w:rsid w:val="00230474"/>
    <w:rsid w:val="00230563"/>
    <w:rsid w:val="0023067E"/>
    <w:rsid w:val="002307A3"/>
    <w:rsid w:val="002307F6"/>
    <w:rsid w:val="0023089D"/>
    <w:rsid w:val="00230977"/>
    <w:rsid w:val="00230B40"/>
    <w:rsid w:val="00230B5E"/>
    <w:rsid w:val="00230CD5"/>
    <w:rsid w:val="00230E3D"/>
    <w:rsid w:val="00231040"/>
    <w:rsid w:val="00231113"/>
    <w:rsid w:val="00231515"/>
    <w:rsid w:val="002315B4"/>
    <w:rsid w:val="00231602"/>
    <w:rsid w:val="00231813"/>
    <w:rsid w:val="002318C1"/>
    <w:rsid w:val="00231923"/>
    <w:rsid w:val="00231A4E"/>
    <w:rsid w:val="00231AB5"/>
    <w:rsid w:val="00231BFC"/>
    <w:rsid w:val="00231CF7"/>
    <w:rsid w:val="00231DEB"/>
    <w:rsid w:val="00231E24"/>
    <w:rsid w:val="00231F2A"/>
    <w:rsid w:val="00231FBE"/>
    <w:rsid w:val="0023202A"/>
    <w:rsid w:val="0023206D"/>
    <w:rsid w:val="002320F8"/>
    <w:rsid w:val="0023212E"/>
    <w:rsid w:val="0023216F"/>
    <w:rsid w:val="00232177"/>
    <w:rsid w:val="002322A9"/>
    <w:rsid w:val="00232670"/>
    <w:rsid w:val="00232883"/>
    <w:rsid w:val="002328A0"/>
    <w:rsid w:val="00232A2F"/>
    <w:rsid w:val="00232B73"/>
    <w:rsid w:val="00232B97"/>
    <w:rsid w:val="00232D03"/>
    <w:rsid w:val="00232D1B"/>
    <w:rsid w:val="00232D96"/>
    <w:rsid w:val="00232FA8"/>
    <w:rsid w:val="00232FC2"/>
    <w:rsid w:val="00233073"/>
    <w:rsid w:val="002330CB"/>
    <w:rsid w:val="00233138"/>
    <w:rsid w:val="002332A7"/>
    <w:rsid w:val="002333D1"/>
    <w:rsid w:val="0023348B"/>
    <w:rsid w:val="00233579"/>
    <w:rsid w:val="0023364A"/>
    <w:rsid w:val="00233888"/>
    <w:rsid w:val="00233A21"/>
    <w:rsid w:val="00233B17"/>
    <w:rsid w:val="00233B26"/>
    <w:rsid w:val="00233B5D"/>
    <w:rsid w:val="00233B64"/>
    <w:rsid w:val="00233C46"/>
    <w:rsid w:val="00233CFD"/>
    <w:rsid w:val="00233D88"/>
    <w:rsid w:val="00234098"/>
    <w:rsid w:val="0023436C"/>
    <w:rsid w:val="00234418"/>
    <w:rsid w:val="002344E3"/>
    <w:rsid w:val="002345D6"/>
    <w:rsid w:val="00234722"/>
    <w:rsid w:val="00234755"/>
    <w:rsid w:val="0023476E"/>
    <w:rsid w:val="002347DF"/>
    <w:rsid w:val="002348ED"/>
    <w:rsid w:val="00234927"/>
    <w:rsid w:val="00234B4C"/>
    <w:rsid w:val="00234CC1"/>
    <w:rsid w:val="00234D03"/>
    <w:rsid w:val="00234D5E"/>
    <w:rsid w:val="00234EA0"/>
    <w:rsid w:val="00234EBB"/>
    <w:rsid w:val="00235116"/>
    <w:rsid w:val="00235416"/>
    <w:rsid w:val="00235433"/>
    <w:rsid w:val="002354B2"/>
    <w:rsid w:val="0023551F"/>
    <w:rsid w:val="0023555E"/>
    <w:rsid w:val="002355A1"/>
    <w:rsid w:val="002355A3"/>
    <w:rsid w:val="0023568D"/>
    <w:rsid w:val="002357A3"/>
    <w:rsid w:val="002358A8"/>
    <w:rsid w:val="00235976"/>
    <w:rsid w:val="00235977"/>
    <w:rsid w:val="002359C5"/>
    <w:rsid w:val="00235B21"/>
    <w:rsid w:val="00235C78"/>
    <w:rsid w:val="00235DA4"/>
    <w:rsid w:val="00235E0D"/>
    <w:rsid w:val="00235F2B"/>
    <w:rsid w:val="002360E5"/>
    <w:rsid w:val="002361CD"/>
    <w:rsid w:val="00236461"/>
    <w:rsid w:val="00236477"/>
    <w:rsid w:val="002364E7"/>
    <w:rsid w:val="00236637"/>
    <w:rsid w:val="002366B9"/>
    <w:rsid w:val="0023672D"/>
    <w:rsid w:val="00236765"/>
    <w:rsid w:val="002368BF"/>
    <w:rsid w:val="0023693C"/>
    <w:rsid w:val="0023695F"/>
    <w:rsid w:val="00236A8C"/>
    <w:rsid w:val="00236A96"/>
    <w:rsid w:val="00236C98"/>
    <w:rsid w:val="00236CFC"/>
    <w:rsid w:val="00236D4B"/>
    <w:rsid w:val="00236F4A"/>
    <w:rsid w:val="0023706C"/>
    <w:rsid w:val="00237220"/>
    <w:rsid w:val="002372A2"/>
    <w:rsid w:val="00237845"/>
    <w:rsid w:val="00237901"/>
    <w:rsid w:val="00237985"/>
    <w:rsid w:val="002379E2"/>
    <w:rsid w:val="002379FE"/>
    <w:rsid w:val="00237AD8"/>
    <w:rsid w:val="00237B30"/>
    <w:rsid w:val="00237B33"/>
    <w:rsid w:val="00237B71"/>
    <w:rsid w:val="00237B94"/>
    <w:rsid w:val="00237FCD"/>
    <w:rsid w:val="00240010"/>
    <w:rsid w:val="00240153"/>
    <w:rsid w:val="00240998"/>
    <w:rsid w:val="002409E1"/>
    <w:rsid w:val="00240B66"/>
    <w:rsid w:val="00240B67"/>
    <w:rsid w:val="00240B6A"/>
    <w:rsid w:val="00240B84"/>
    <w:rsid w:val="00240BEE"/>
    <w:rsid w:val="00240C56"/>
    <w:rsid w:val="00240EDF"/>
    <w:rsid w:val="002410F5"/>
    <w:rsid w:val="002411D5"/>
    <w:rsid w:val="002412A6"/>
    <w:rsid w:val="002413C7"/>
    <w:rsid w:val="002414F4"/>
    <w:rsid w:val="00241539"/>
    <w:rsid w:val="002415E6"/>
    <w:rsid w:val="00241750"/>
    <w:rsid w:val="0024175C"/>
    <w:rsid w:val="00241810"/>
    <w:rsid w:val="00241AEB"/>
    <w:rsid w:val="00241B67"/>
    <w:rsid w:val="00241C83"/>
    <w:rsid w:val="00241CAC"/>
    <w:rsid w:val="00241CAD"/>
    <w:rsid w:val="00241D17"/>
    <w:rsid w:val="00241D68"/>
    <w:rsid w:val="00241DC4"/>
    <w:rsid w:val="00241DC7"/>
    <w:rsid w:val="00241FB4"/>
    <w:rsid w:val="002422F3"/>
    <w:rsid w:val="0024230A"/>
    <w:rsid w:val="0024237F"/>
    <w:rsid w:val="002423A0"/>
    <w:rsid w:val="002424FF"/>
    <w:rsid w:val="0024252D"/>
    <w:rsid w:val="00242548"/>
    <w:rsid w:val="0024264F"/>
    <w:rsid w:val="0024280C"/>
    <w:rsid w:val="002428A0"/>
    <w:rsid w:val="002428A9"/>
    <w:rsid w:val="00242A0F"/>
    <w:rsid w:val="00242BC6"/>
    <w:rsid w:val="00242DD1"/>
    <w:rsid w:val="00242DE6"/>
    <w:rsid w:val="00242EFD"/>
    <w:rsid w:val="00243094"/>
    <w:rsid w:val="002430EC"/>
    <w:rsid w:val="00243133"/>
    <w:rsid w:val="002431A3"/>
    <w:rsid w:val="0024322B"/>
    <w:rsid w:val="002432F7"/>
    <w:rsid w:val="0024337E"/>
    <w:rsid w:val="002434C0"/>
    <w:rsid w:val="002435F5"/>
    <w:rsid w:val="0024373C"/>
    <w:rsid w:val="00243755"/>
    <w:rsid w:val="00243847"/>
    <w:rsid w:val="002438B3"/>
    <w:rsid w:val="00243BA3"/>
    <w:rsid w:val="00243C2E"/>
    <w:rsid w:val="00243CA1"/>
    <w:rsid w:val="00243D3F"/>
    <w:rsid w:val="00243D94"/>
    <w:rsid w:val="00243D98"/>
    <w:rsid w:val="00243DC8"/>
    <w:rsid w:val="00243F95"/>
    <w:rsid w:val="002440F5"/>
    <w:rsid w:val="0024416A"/>
    <w:rsid w:val="002441FE"/>
    <w:rsid w:val="002442D3"/>
    <w:rsid w:val="00244364"/>
    <w:rsid w:val="0024455A"/>
    <w:rsid w:val="002447C3"/>
    <w:rsid w:val="002448F7"/>
    <w:rsid w:val="0024492D"/>
    <w:rsid w:val="00244A51"/>
    <w:rsid w:val="00244A7F"/>
    <w:rsid w:val="00244C08"/>
    <w:rsid w:val="00244C41"/>
    <w:rsid w:val="00244CF5"/>
    <w:rsid w:val="00244D18"/>
    <w:rsid w:val="00244F1C"/>
    <w:rsid w:val="0024506C"/>
    <w:rsid w:val="00245359"/>
    <w:rsid w:val="002453B2"/>
    <w:rsid w:val="002455DF"/>
    <w:rsid w:val="00245665"/>
    <w:rsid w:val="0024570B"/>
    <w:rsid w:val="002458A7"/>
    <w:rsid w:val="002458CD"/>
    <w:rsid w:val="0024599A"/>
    <w:rsid w:val="00245AF7"/>
    <w:rsid w:val="00245BF8"/>
    <w:rsid w:val="00245C2A"/>
    <w:rsid w:val="00245EA4"/>
    <w:rsid w:val="00245F0D"/>
    <w:rsid w:val="00245FE9"/>
    <w:rsid w:val="0024600C"/>
    <w:rsid w:val="0024607D"/>
    <w:rsid w:val="00246161"/>
    <w:rsid w:val="00246391"/>
    <w:rsid w:val="00246394"/>
    <w:rsid w:val="002463A3"/>
    <w:rsid w:val="002463D6"/>
    <w:rsid w:val="00246482"/>
    <w:rsid w:val="002464A5"/>
    <w:rsid w:val="0024682B"/>
    <w:rsid w:val="00246A24"/>
    <w:rsid w:val="00246C27"/>
    <w:rsid w:val="00247002"/>
    <w:rsid w:val="0024741F"/>
    <w:rsid w:val="00247492"/>
    <w:rsid w:val="0024752B"/>
    <w:rsid w:val="00247601"/>
    <w:rsid w:val="00247702"/>
    <w:rsid w:val="00247721"/>
    <w:rsid w:val="002477B3"/>
    <w:rsid w:val="0024784F"/>
    <w:rsid w:val="0024788D"/>
    <w:rsid w:val="002478D5"/>
    <w:rsid w:val="00247911"/>
    <w:rsid w:val="00247A62"/>
    <w:rsid w:val="00247E51"/>
    <w:rsid w:val="00247E94"/>
    <w:rsid w:val="00247F91"/>
    <w:rsid w:val="00247FDF"/>
    <w:rsid w:val="00250077"/>
    <w:rsid w:val="00250153"/>
    <w:rsid w:val="002502D2"/>
    <w:rsid w:val="00250472"/>
    <w:rsid w:val="0025047A"/>
    <w:rsid w:val="002506CA"/>
    <w:rsid w:val="00250742"/>
    <w:rsid w:val="002507EF"/>
    <w:rsid w:val="00250A50"/>
    <w:rsid w:val="00250A60"/>
    <w:rsid w:val="00250DA7"/>
    <w:rsid w:val="00250EB7"/>
    <w:rsid w:val="00250F96"/>
    <w:rsid w:val="00251046"/>
    <w:rsid w:val="00251073"/>
    <w:rsid w:val="002512C1"/>
    <w:rsid w:val="00251335"/>
    <w:rsid w:val="0025148E"/>
    <w:rsid w:val="0025167E"/>
    <w:rsid w:val="00251813"/>
    <w:rsid w:val="002518E3"/>
    <w:rsid w:val="0025197F"/>
    <w:rsid w:val="00251A1A"/>
    <w:rsid w:val="00251BA7"/>
    <w:rsid w:val="00251BE9"/>
    <w:rsid w:val="00251CFB"/>
    <w:rsid w:val="00252196"/>
    <w:rsid w:val="002523CB"/>
    <w:rsid w:val="00252469"/>
    <w:rsid w:val="00252520"/>
    <w:rsid w:val="0025253D"/>
    <w:rsid w:val="0025293B"/>
    <w:rsid w:val="00252989"/>
    <w:rsid w:val="00252A12"/>
    <w:rsid w:val="00252A20"/>
    <w:rsid w:val="00252A47"/>
    <w:rsid w:val="00252CC7"/>
    <w:rsid w:val="00252D5E"/>
    <w:rsid w:val="00252E12"/>
    <w:rsid w:val="00253350"/>
    <w:rsid w:val="00253366"/>
    <w:rsid w:val="0025349D"/>
    <w:rsid w:val="00253681"/>
    <w:rsid w:val="0025374A"/>
    <w:rsid w:val="0025377B"/>
    <w:rsid w:val="00253900"/>
    <w:rsid w:val="0025398D"/>
    <w:rsid w:val="00253B91"/>
    <w:rsid w:val="00253B94"/>
    <w:rsid w:val="00253BE2"/>
    <w:rsid w:val="00253C53"/>
    <w:rsid w:val="00253FC3"/>
    <w:rsid w:val="00253FE9"/>
    <w:rsid w:val="00254140"/>
    <w:rsid w:val="00254360"/>
    <w:rsid w:val="002544B2"/>
    <w:rsid w:val="00254505"/>
    <w:rsid w:val="002545C5"/>
    <w:rsid w:val="00254605"/>
    <w:rsid w:val="0025461C"/>
    <w:rsid w:val="002547AD"/>
    <w:rsid w:val="0025489B"/>
    <w:rsid w:val="002548A1"/>
    <w:rsid w:val="002548F6"/>
    <w:rsid w:val="002549DF"/>
    <w:rsid w:val="00254CCB"/>
    <w:rsid w:val="00254E7B"/>
    <w:rsid w:val="00254EBB"/>
    <w:rsid w:val="00254F72"/>
    <w:rsid w:val="00254FB5"/>
    <w:rsid w:val="00255065"/>
    <w:rsid w:val="002550C8"/>
    <w:rsid w:val="002551D8"/>
    <w:rsid w:val="002551E6"/>
    <w:rsid w:val="00255247"/>
    <w:rsid w:val="0025539B"/>
    <w:rsid w:val="00255438"/>
    <w:rsid w:val="002555D4"/>
    <w:rsid w:val="0025568C"/>
    <w:rsid w:val="00255811"/>
    <w:rsid w:val="002559D0"/>
    <w:rsid w:val="00255A8A"/>
    <w:rsid w:val="00255D65"/>
    <w:rsid w:val="00255DAD"/>
    <w:rsid w:val="00255DDC"/>
    <w:rsid w:val="00255E05"/>
    <w:rsid w:val="00255E9B"/>
    <w:rsid w:val="00255F63"/>
    <w:rsid w:val="00255F83"/>
    <w:rsid w:val="00256080"/>
    <w:rsid w:val="0025611B"/>
    <w:rsid w:val="002561C4"/>
    <w:rsid w:val="00256485"/>
    <w:rsid w:val="00256710"/>
    <w:rsid w:val="00256802"/>
    <w:rsid w:val="00256833"/>
    <w:rsid w:val="0025696A"/>
    <w:rsid w:val="00256A62"/>
    <w:rsid w:val="00256AB2"/>
    <w:rsid w:val="00256BCF"/>
    <w:rsid w:val="00256CC2"/>
    <w:rsid w:val="00256F7C"/>
    <w:rsid w:val="00257272"/>
    <w:rsid w:val="002572F6"/>
    <w:rsid w:val="0025747A"/>
    <w:rsid w:val="00257554"/>
    <w:rsid w:val="002576C2"/>
    <w:rsid w:val="002576F1"/>
    <w:rsid w:val="00257735"/>
    <w:rsid w:val="002578B9"/>
    <w:rsid w:val="002578CE"/>
    <w:rsid w:val="002579CC"/>
    <w:rsid w:val="002579CD"/>
    <w:rsid w:val="00257C21"/>
    <w:rsid w:val="00257CB0"/>
    <w:rsid w:val="002600D9"/>
    <w:rsid w:val="00260175"/>
    <w:rsid w:val="002601C6"/>
    <w:rsid w:val="002601CA"/>
    <w:rsid w:val="00260258"/>
    <w:rsid w:val="00260455"/>
    <w:rsid w:val="0026048C"/>
    <w:rsid w:val="0026053D"/>
    <w:rsid w:val="00260861"/>
    <w:rsid w:val="002608C5"/>
    <w:rsid w:val="002609F6"/>
    <w:rsid w:val="00260A21"/>
    <w:rsid w:val="00260ACF"/>
    <w:rsid w:val="00260D21"/>
    <w:rsid w:val="00260EFF"/>
    <w:rsid w:val="00260FCC"/>
    <w:rsid w:val="00261146"/>
    <w:rsid w:val="002611F4"/>
    <w:rsid w:val="002615C3"/>
    <w:rsid w:val="00261766"/>
    <w:rsid w:val="002617CA"/>
    <w:rsid w:val="00261946"/>
    <w:rsid w:val="0026194E"/>
    <w:rsid w:val="00261A70"/>
    <w:rsid w:val="00261C83"/>
    <w:rsid w:val="00261CA6"/>
    <w:rsid w:val="00261CDA"/>
    <w:rsid w:val="00261FA6"/>
    <w:rsid w:val="0026235F"/>
    <w:rsid w:val="00262496"/>
    <w:rsid w:val="00262573"/>
    <w:rsid w:val="00262683"/>
    <w:rsid w:val="00262775"/>
    <w:rsid w:val="00262792"/>
    <w:rsid w:val="002627DF"/>
    <w:rsid w:val="002627E7"/>
    <w:rsid w:val="0026284F"/>
    <w:rsid w:val="002629B0"/>
    <w:rsid w:val="00262A6A"/>
    <w:rsid w:val="00262BF8"/>
    <w:rsid w:val="00262C0D"/>
    <w:rsid w:val="00262D59"/>
    <w:rsid w:val="00263162"/>
    <w:rsid w:val="00263256"/>
    <w:rsid w:val="002632C3"/>
    <w:rsid w:val="0026338E"/>
    <w:rsid w:val="00263576"/>
    <w:rsid w:val="00263651"/>
    <w:rsid w:val="00263688"/>
    <w:rsid w:val="002637ED"/>
    <w:rsid w:val="00263808"/>
    <w:rsid w:val="00263848"/>
    <w:rsid w:val="00263A23"/>
    <w:rsid w:val="00263A7E"/>
    <w:rsid w:val="00263B07"/>
    <w:rsid w:val="00263BC6"/>
    <w:rsid w:val="00263C36"/>
    <w:rsid w:val="00263D44"/>
    <w:rsid w:val="00263DF5"/>
    <w:rsid w:val="00263E6F"/>
    <w:rsid w:val="00263EA5"/>
    <w:rsid w:val="00264186"/>
    <w:rsid w:val="002643C7"/>
    <w:rsid w:val="0026444E"/>
    <w:rsid w:val="002647F7"/>
    <w:rsid w:val="0026492C"/>
    <w:rsid w:val="00264C8D"/>
    <w:rsid w:val="00265028"/>
    <w:rsid w:val="0026536C"/>
    <w:rsid w:val="0026551C"/>
    <w:rsid w:val="002655B2"/>
    <w:rsid w:val="002656AE"/>
    <w:rsid w:val="00265941"/>
    <w:rsid w:val="00265A60"/>
    <w:rsid w:val="00265B15"/>
    <w:rsid w:val="00265B23"/>
    <w:rsid w:val="00265B94"/>
    <w:rsid w:val="00265BA8"/>
    <w:rsid w:val="00265C4D"/>
    <w:rsid w:val="00265D23"/>
    <w:rsid w:val="00265DAB"/>
    <w:rsid w:val="00265DE3"/>
    <w:rsid w:val="00265E4D"/>
    <w:rsid w:val="00265E55"/>
    <w:rsid w:val="0026600B"/>
    <w:rsid w:val="002660EC"/>
    <w:rsid w:val="002662AF"/>
    <w:rsid w:val="00266428"/>
    <w:rsid w:val="00266457"/>
    <w:rsid w:val="0026648D"/>
    <w:rsid w:val="002669BC"/>
    <w:rsid w:val="00266BAF"/>
    <w:rsid w:val="00266D5C"/>
    <w:rsid w:val="00266D65"/>
    <w:rsid w:val="00266F55"/>
    <w:rsid w:val="00266F68"/>
    <w:rsid w:val="00266F71"/>
    <w:rsid w:val="00266FE5"/>
    <w:rsid w:val="00267229"/>
    <w:rsid w:val="00267294"/>
    <w:rsid w:val="002672DC"/>
    <w:rsid w:val="002672F7"/>
    <w:rsid w:val="0026747E"/>
    <w:rsid w:val="0026748C"/>
    <w:rsid w:val="0026751B"/>
    <w:rsid w:val="0026753E"/>
    <w:rsid w:val="00267600"/>
    <w:rsid w:val="002678A0"/>
    <w:rsid w:val="002679AE"/>
    <w:rsid w:val="00267CDF"/>
    <w:rsid w:val="00267DF0"/>
    <w:rsid w:val="00267DF5"/>
    <w:rsid w:val="00267EAF"/>
    <w:rsid w:val="00267EDA"/>
    <w:rsid w:val="00267F8F"/>
    <w:rsid w:val="00268E49"/>
    <w:rsid w:val="00270568"/>
    <w:rsid w:val="0027065C"/>
    <w:rsid w:val="002707A1"/>
    <w:rsid w:val="00270988"/>
    <w:rsid w:val="002709F3"/>
    <w:rsid w:val="00270DD7"/>
    <w:rsid w:val="00270E83"/>
    <w:rsid w:val="00271013"/>
    <w:rsid w:val="0027105B"/>
    <w:rsid w:val="002710A5"/>
    <w:rsid w:val="00271342"/>
    <w:rsid w:val="00271493"/>
    <w:rsid w:val="002715E0"/>
    <w:rsid w:val="002717FB"/>
    <w:rsid w:val="0027189E"/>
    <w:rsid w:val="002718EB"/>
    <w:rsid w:val="002719F7"/>
    <w:rsid w:val="00271A13"/>
    <w:rsid w:val="00271AFE"/>
    <w:rsid w:val="00271B61"/>
    <w:rsid w:val="00271C65"/>
    <w:rsid w:val="00271DFB"/>
    <w:rsid w:val="00271E85"/>
    <w:rsid w:val="00271F40"/>
    <w:rsid w:val="00271FB1"/>
    <w:rsid w:val="00272183"/>
    <w:rsid w:val="0027221E"/>
    <w:rsid w:val="00272235"/>
    <w:rsid w:val="0027253F"/>
    <w:rsid w:val="0027269F"/>
    <w:rsid w:val="002726E5"/>
    <w:rsid w:val="0027276E"/>
    <w:rsid w:val="002727C7"/>
    <w:rsid w:val="002727D0"/>
    <w:rsid w:val="002729D5"/>
    <w:rsid w:val="00272B3C"/>
    <w:rsid w:val="00272DE5"/>
    <w:rsid w:val="00272E8F"/>
    <w:rsid w:val="00273230"/>
    <w:rsid w:val="002733C3"/>
    <w:rsid w:val="00273806"/>
    <w:rsid w:val="00273A82"/>
    <w:rsid w:val="00273AD6"/>
    <w:rsid w:val="00273B6B"/>
    <w:rsid w:val="00273BE4"/>
    <w:rsid w:val="00273C4C"/>
    <w:rsid w:val="00273E21"/>
    <w:rsid w:val="00273E5F"/>
    <w:rsid w:val="00273EEC"/>
    <w:rsid w:val="00273FF3"/>
    <w:rsid w:val="00274038"/>
    <w:rsid w:val="00274096"/>
    <w:rsid w:val="002741A8"/>
    <w:rsid w:val="002741E4"/>
    <w:rsid w:val="002743AB"/>
    <w:rsid w:val="00274427"/>
    <w:rsid w:val="00274636"/>
    <w:rsid w:val="00274743"/>
    <w:rsid w:val="00274A30"/>
    <w:rsid w:val="00274AAF"/>
    <w:rsid w:val="00274B3D"/>
    <w:rsid w:val="00274BEF"/>
    <w:rsid w:val="00274E57"/>
    <w:rsid w:val="00274E91"/>
    <w:rsid w:val="00274F08"/>
    <w:rsid w:val="00274F16"/>
    <w:rsid w:val="00275093"/>
    <w:rsid w:val="00275194"/>
    <w:rsid w:val="0027524A"/>
    <w:rsid w:val="0027525D"/>
    <w:rsid w:val="0027528A"/>
    <w:rsid w:val="002753D6"/>
    <w:rsid w:val="0027544F"/>
    <w:rsid w:val="0027551C"/>
    <w:rsid w:val="002756F7"/>
    <w:rsid w:val="00275822"/>
    <w:rsid w:val="002758B5"/>
    <w:rsid w:val="00275994"/>
    <w:rsid w:val="002759E2"/>
    <w:rsid w:val="00275A0B"/>
    <w:rsid w:val="00275AEE"/>
    <w:rsid w:val="00275F4D"/>
    <w:rsid w:val="00275F52"/>
    <w:rsid w:val="00275FB8"/>
    <w:rsid w:val="00276022"/>
    <w:rsid w:val="002760F7"/>
    <w:rsid w:val="0027610E"/>
    <w:rsid w:val="0027614F"/>
    <w:rsid w:val="002762DC"/>
    <w:rsid w:val="00276309"/>
    <w:rsid w:val="00276334"/>
    <w:rsid w:val="002763F4"/>
    <w:rsid w:val="00276443"/>
    <w:rsid w:val="00276495"/>
    <w:rsid w:val="00276795"/>
    <w:rsid w:val="0027683A"/>
    <w:rsid w:val="00276851"/>
    <w:rsid w:val="002768F6"/>
    <w:rsid w:val="00276CB3"/>
    <w:rsid w:val="00276E2E"/>
    <w:rsid w:val="00277382"/>
    <w:rsid w:val="002774B4"/>
    <w:rsid w:val="00277618"/>
    <w:rsid w:val="0027761B"/>
    <w:rsid w:val="00277762"/>
    <w:rsid w:val="002778A8"/>
    <w:rsid w:val="00277964"/>
    <w:rsid w:val="00277A68"/>
    <w:rsid w:val="00277A97"/>
    <w:rsid w:val="00277AD8"/>
    <w:rsid w:val="00277B51"/>
    <w:rsid w:val="00277BC3"/>
    <w:rsid w:val="00277CED"/>
    <w:rsid w:val="00277D34"/>
    <w:rsid w:val="00280004"/>
    <w:rsid w:val="002800FE"/>
    <w:rsid w:val="002802BF"/>
    <w:rsid w:val="0028033D"/>
    <w:rsid w:val="002803C4"/>
    <w:rsid w:val="002804D6"/>
    <w:rsid w:val="00280569"/>
    <w:rsid w:val="002805CB"/>
    <w:rsid w:val="00280979"/>
    <w:rsid w:val="00280E95"/>
    <w:rsid w:val="00280F17"/>
    <w:rsid w:val="002810AD"/>
    <w:rsid w:val="00281176"/>
    <w:rsid w:val="002815C4"/>
    <w:rsid w:val="00281A87"/>
    <w:rsid w:val="00281D22"/>
    <w:rsid w:val="002820DA"/>
    <w:rsid w:val="00282196"/>
    <w:rsid w:val="002821D5"/>
    <w:rsid w:val="0028224D"/>
    <w:rsid w:val="002822A1"/>
    <w:rsid w:val="002825F0"/>
    <w:rsid w:val="00282685"/>
    <w:rsid w:val="002828C7"/>
    <w:rsid w:val="002828F3"/>
    <w:rsid w:val="00282986"/>
    <w:rsid w:val="00282D4A"/>
    <w:rsid w:val="00282D6F"/>
    <w:rsid w:val="00282DB8"/>
    <w:rsid w:val="00282E0C"/>
    <w:rsid w:val="00282F21"/>
    <w:rsid w:val="002830E3"/>
    <w:rsid w:val="002831DE"/>
    <w:rsid w:val="0028325D"/>
    <w:rsid w:val="002833ED"/>
    <w:rsid w:val="00283545"/>
    <w:rsid w:val="002836B6"/>
    <w:rsid w:val="00283727"/>
    <w:rsid w:val="00283A79"/>
    <w:rsid w:val="00283ADA"/>
    <w:rsid w:val="00283B08"/>
    <w:rsid w:val="00283C49"/>
    <w:rsid w:val="00284126"/>
    <w:rsid w:val="0028453D"/>
    <w:rsid w:val="002846AD"/>
    <w:rsid w:val="002848B5"/>
    <w:rsid w:val="00284ABA"/>
    <w:rsid w:val="00284C04"/>
    <w:rsid w:val="00284C51"/>
    <w:rsid w:val="00284CF1"/>
    <w:rsid w:val="002850C8"/>
    <w:rsid w:val="002850D4"/>
    <w:rsid w:val="00285163"/>
    <w:rsid w:val="0028523C"/>
    <w:rsid w:val="00285240"/>
    <w:rsid w:val="002854AF"/>
    <w:rsid w:val="002855A4"/>
    <w:rsid w:val="002856EE"/>
    <w:rsid w:val="00285813"/>
    <w:rsid w:val="00285838"/>
    <w:rsid w:val="00285B68"/>
    <w:rsid w:val="00285B81"/>
    <w:rsid w:val="00285E9C"/>
    <w:rsid w:val="00285F0C"/>
    <w:rsid w:val="0028603E"/>
    <w:rsid w:val="00286183"/>
    <w:rsid w:val="00286323"/>
    <w:rsid w:val="002863CD"/>
    <w:rsid w:val="002864D7"/>
    <w:rsid w:val="0028690C"/>
    <w:rsid w:val="002869BA"/>
    <w:rsid w:val="00286AC9"/>
    <w:rsid w:val="00286AD0"/>
    <w:rsid w:val="00286AEB"/>
    <w:rsid w:val="00286BAA"/>
    <w:rsid w:val="00286C14"/>
    <w:rsid w:val="00286C20"/>
    <w:rsid w:val="00286CED"/>
    <w:rsid w:val="00286D0E"/>
    <w:rsid w:val="00286DC3"/>
    <w:rsid w:val="00286DCD"/>
    <w:rsid w:val="00286E5C"/>
    <w:rsid w:val="00286F5C"/>
    <w:rsid w:val="00287138"/>
    <w:rsid w:val="00287209"/>
    <w:rsid w:val="00287311"/>
    <w:rsid w:val="00287363"/>
    <w:rsid w:val="0028754A"/>
    <w:rsid w:val="002875EE"/>
    <w:rsid w:val="00287627"/>
    <w:rsid w:val="0028766A"/>
    <w:rsid w:val="0028773F"/>
    <w:rsid w:val="002877BD"/>
    <w:rsid w:val="00287841"/>
    <w:rsid w:val="00287954"/>
    <w:rsid w:val="00287979"/>
    <w:rsid w:val="00287A64"/>
    <w:rsid w:val="00287CFF"/>
    <w:rsid w:val="00287DE5"/>
    <w:rsid w:val="00287E85"/>
    <w:rsid w:val="00287EFD"/>
    <w:rsid w:val="00290014"/>
    <w:rsid w:val="00290196"/>
    <w:rsid w:val="00290250"/>
    <w:rsid w:val="00290360"/>
    <w:rsid w:val="00290368"/>
    <w:rsid w:val="002903CE"/>
    <w:rsid w:val="002904EB"/>
    <w:rsid w:val="002908B1"/>
    <w:rsid w:val="00290901"/>
    <w:rsid w:val="00290B22"/>
    <w:rsid w:val="00290BCC"/>
    <w:rsid w:val="00290D2C"/>
    <w:rsid w:val="00290DB7"/>
    <w:rsid w:val="00290E4D"/>
    <w:rsid w:val="00290E61"/>
    <w:rsid w:val="00290FE4"/>
    <w:rsid w:val="0029120D"/>
    <w:rsid w:val="0029192C"/>
    <w:rsid w:val="00291958"/>
    <w:rsid w:val="002919F4"/>
    <w:rsid w:val="00291AC5"/>
    <w:rsid w:val="00291BFE"/>
    <w:rsid w:val="00291F23"/>
    <w:rsid w:val="0029200E"/>
    <w:rsid w:val="0029222B"/>
    <w:rsid w:val="002923BC"/>
    <w:rsid w:val="002923EC"/>
    <w:rsid w:val="00292B67"/>
    <w:rsid w:val="00292C00"/>
    <w:rsid w:val="00292C19"/>
    <w:rsid w:val="00292E85"/>
    <w:rsid w:val="00292ECB"/>
    <w:rsid w:val="002931B3"/>
    <w:rsid w:val="00293241"/>
    <w:rsid w:val="00293369"/>
    <w:rsid w:val="00293388"/>
    <w:rsid w:val="002933A9"/>
    <w:rsid w:val="0029353B"/>
    <w:rsid w:val="002937B5"/>
    <w:rsid w:val="0029387F"/>
    <w:rsid w:val="002938B9"/>
    <w:rsid w:val="0029399F"/>
    <w:rsid w:val="00294087"/>
    <w:rsid w:val="00294350"/>
    <w:rsid w:val="00294364"/>
    <w:rsid w:val="002944F8"/>
    <w:rsid w:val="0029455E"/>
    <w:rsid w:val="00294650"/>
    <w:rsid w:val="002947C0"/>
    <w:rsid w:val="002947E9"/>
    <w:rsid w:val="00294902"/>
    <w:rsid w:val="0029498E"/>
    <w:rsid w:val="002949FE"/>
    <w:rsid w:val="00294A2A"/>
    <w:rsid w:val="00294C7E"/>
    <w:rsid w:val="00294C86"/>
    <w:rsid w:val="00294CFE"/>
    <w:rsid w:val="00294F55"/>
    <w:rsid w:val="002950B8"/>
    <w:rsid w:val="00295171"/>
    <w:rsid w:val="00295242"/>
    <w:rsid w:val="00295329"/>
    <w:rsid w:val="00295714"/>
    <w:rsid w:val="00295764"/>
    <w:rsid w:val="002957A6"/>
    <w:rsid w:val="00295881"/>
    <w:rsid w:val="00295B60"/>
    <w:rsid w:val="00295C5A"/>
    <w:rsid w:val="00295D56"/>
    <w:rsid w:val="00295ED0"/>
    <w:rsid w:val="00296089"/>
    <w:rsid w:val="002962EC"/>
    <w:rsid w:val="00296304"/>
    <w:rsid w:val="00296482"/>
    <w:rsid w:val="00296596"/>
    <w:rsid w:val="002965B7"/>
    <w:rsid w:val="002965CE"/>
    <w:rsid w:val="002969E8"/>
    <w:rsid w:val="00296AEA"/>
    <w:rsid w:val="00296B07"/>
    <w:rsid w:val="00296BDD"/>
    <w:rsid w:val="00296C5D"/>
    <w:rsid w:val="00296D99"/>
    <w:rsid w:val="00296E36"/>
    <w:rsid w:val="00296EAA"/>
    <w:rsid w:val="0029705F"/>
    <w:rsid w:val="0029723D"/>
    <w:rsid w:val="0029758E"/>
    <w:rsid w:val="00297682"/>
    <w:rsid w:val="002977C8"/>
    <w:rsid w:val="00297915"/>
    <w:rsid w:val="00297B13"/>
    <w:rsid w:val="00297C92"/>
    <w:rsid w:val="00297CE5"/>
    <w:rsid w:val="00297D7A"/>
    <w:rsid w:val="00297E7C"/>
    <w:rsid w:val="002A01D2"/>
    <w:rsid w:val="002A023D"/>
    <w:rsid w:val="002A02C7"/>
    <w:rsid w:val="002A08A4"/>
    <w:rsid w:val="002A08C0"/>
    <w:rsid w:val="002A0A33"/>
    <w:rsid w:val="002A0A5C"/>
    <w:rsid w:val="002A0A70"/>
    <w:rsid w:val="002A0A8B"/>
    <w:rsid w:val="002A0AD2"/>
    <w:rsid w:val="002A0B00"/>
    <w:rsid w:val="002A0D66"/>
    <w:rsid w:val="002A0F30"/>
    <w:rsid w:val="002A1214"/>
    <w:rsid w:val="002A136B"/>
    <w:rsid w:val="002A1373"/>
    <w:rsid w:val="002A14EE"/>
    <w:rsid w:val="002A171A"/>
    <w:rsid w:val="002A18CE"/>
    <w:rsid w:val="002A1996"/>
    <w:rsid w:val="002A19D6"/>
    <w:rsid w:val="002A1AF2"/>
    <w:rsid w:val="002A1C2E"/>
    <w:rsid w:val="002A1E73"/>
    <w:rsid w:val="002A1EC3"/>
    <w:rsid w:val="002A1EF8"/>
    <w:rsid w:val="002A1FE1"/>
    <w:rsid w:val="002A201A"/>
    <w:rsid w:val="002A206B"/>
    <w:rsid w:val="002A2080"/>
    <w:rsid w:val="002A20FE"/>
    <w:rsid w:val="002A2199"/>
    <w:rsid w:val="002A2330"/>
    <w:rsid w:val="002A242C"/>
    <w:rsid w:val="002A252D"/>
    <w:rsid w:val="002A25BD"/>
    <w:rsid w:val="002A2766"/>
    <w:rsid w:val="002A27B4"/>
    <w:rsid w:val="002A28B1"/>
    <w:rsid w:val="002A2965"/>
    <w:rsid w:val="002A29C6"/>
    <w:rsid w:val="002A2ACB"/>
    <w:rsid w:val="002A2B5F"/>
    <w:rsid w:val="002A2B60"/>
    <w:rsid w:val="002A2B93"/>
    <w:rsid w:val="002A2C60"/>
    <w:rsid w:val="002A2D12"/>
    <w:rsid w:val="002A2E63"/>
    <w:rsid w:val="002A2EE9"/>
    <w:rsid w:val="002A3295"/>
    <w:rsid w:val="002A3324"/>
    <w:rsid w:val="002A3337"/>
    <w:rsid w:val="002A36F3"/>
    <w:rsid w:val="002A37AA"/>
    <w:rsid w:val="002A390D"/>
    <w:rsid w:val="002A3C8A"/>
    <w:rsid w:val="002A3D40"/>
    <w:rsid w:val="002A3D63"/>
    <w:rsid w:val="002A3DCA"/>
    <w:rsid w:val="002A3F11"/>
    <w:rsid w:val="002A3F2B"/>
    <w:rsid w:val="002A3F7F"/>
    <w:rsid w:val="002A3FE8"/>
    <w:rsid w:val="002A40FF"/>
    <w:rsid w:val="002A4100"/>
    <w:rsid w:val="002A4402"/>
    <w:rsid w:val="002A4510"/>
    <w:rsid w:val="002A45F1"/>
    <w:rsid w:val="002A45FE"/>
    <w:rsid w:val="002A464E"/>
    <w:rsid w:val="002A465D"/>
    <w:rsid w:val="002A47BD"/>
    <w:rsid w:val="002A4805"/>
    <w:rsid w:val="002A4943"/>
    <w:rsid w:val="002A4A4F"/>
    <w:rsid w:val="002A4AE7"/>
    <w:rsid w:val="002A4BE4"/>
    <w:rsid w:val="002A4CB1"/>
    <w:rsid w:val="002A4D43"/>
    <w:rsid w:val="002A4ED6"/>
    <w:rsid w:val="002A5058"/>
    <w:rsid w:val="002A5188"/>
    <w:rsid w:val="002A51D6"/>
    <w:rsid w:val="002A5367"/>
    <w:rsid w:val="002A54B1"/>
    <w:rsid w:val="002A55C4"/>
    <w:rsid w:val="002A5651"/>
    <w:rsid w:val="002A5833"/>
    <w:rsid w:val="002A5A1B"/>
    <w:rsid w:val="002A5DEC"/>
    <w:rsid w:val="002A5EB1"/>
    <w:rsid w:val="002A5EB8"/>
    <w:rsid w:val="002A5FA1"/>
    <w:rsid w:val="002A5FA6"/>
    <w:rsid w:val="002A60D3"/>
    <w:rsid w:val="002A6270"/>
    <w:rsid w:val="002A6629"/>
    <w:rsid w:val="002A676F"/>
    <w:rsid w:val="002A680A"/>
    <w:rsid w:val="002A6928"/>
    <w:rsid w:val="002A6959"/>
    <w:rsid w:val="002A6979"/>
    <w:rsid w:val="002A6A0A"/>
    <w:rsid w:val="002A6CC0"/>
    <w:rsid w:val="002A6DE0"/>
    <w:rsid w:val="002A6E0C"/>
    <w:rsid w:val="002A6E0D"/>
    <w:rsid w:val="002A6E0E"/>
    <w:rsid w:val="002A6FC0"/>
    <w:rsid w:val="002A701F"/>
    <w:rsid w:val="002A7352"/>
    <w:rsid w:val="002A7599"/>
    <w:rsid w:val="002A761C"/>
    <w:rsid w:val="002A765B"/>
    <w:rsid w:val="002A7729"/>
    <w:rsid w:val="002A7798"/>
    <w:rsid w:val="002A77CF"/>
    <w:rsid w:val="002A7805"/>
    <w:rsid w:val="002A7B1D"/>
    <w:rsid w:val="002A7BFC"/>
    <w:rsid w:val="002A7D5B"/>
    <w:rsid w:val="002A7E15"/>
    <w:rsid w:val="002A7F0B"/>
    <w:rsid w:val="002B0000"/>
    <w:rsid w:val="002B019E"/>
    <w:rsid w:val="002B0288"/>
    <w:rsid w:val="002B0301"/>
    <w:rsid w:val="002B051B"/>
    <w:rsid w:val="002B056C"/>
    <w:rsid w:val="002B059F"/>
    <w:rsid w:val="002B0627"/>
    <w:rsid w:val="002B0737"/>
    <w:rsid w:val="002B08CE"/>
    <w:rsid w:val="002B08FF"/>
    <w:rsid w:val="002B0911"/>
    <w:rsid w:val="002B0C5B"/>
    <w:rsid w:val="002B0E85"/>
    <w:rsid w:val="002B0EB0"/>
    <w:rsid w:val="002B0ED3"/>
    <w:rsid w:val="002B11EE"/>
    <w:rsid w:val="002B12E3"/>
    <w:rsid w:val="002B14C6"/>
    <w:rsid w:val="002B1548"/>
    <w:rsid w:val="002B157D"/>
    <w:rsid w:val="002B16C1"/>
    <w:rsid w:val="002B1726"/>
    <w:rsid w:val="002B181B"/>
    <w:rsid w:val="002B1959"/>
    <w:rsid w:val="002B1A5A"/>
    <w:rsid w:val="002B1AAB"/>
    <w:rsid w:val="002B1B1A"/>
    <w:rsid w:val="002B1B77"/>
    <w:rsid w:val="002B1BE4"/>
    <w:rsid w:val="002B1C8D"/>
    <w:rsid w:val="002B1D46"/>
    <w:rsid w:val="002B1DFF"/>
    <w:rsid w:val="002B1EA2"/>
    <w:rsid w:val="002B1EAB"/>
    <w:rsid w:val="002B1EC3"/>
    <w:rsid w:val="002B1FD0"/>
    <w:rsid w:val="002B20D9"/>
    <w:rsid w:val="002B2298"/>
    <w:rsid w:val="002B23A6"/>
    <w:rsid w:val="002B2464"/>
    <w:rsid w:val="002B24C6"/>
    <w:rsid w:val="002B2679"/>
    <w:rsid w:val="002B27DB"/>
    <w:rsid w:val="002B2867"/>
    <w:rsid w:val="002B2A99"/>
    <w:rsid w:val="002B2BD5"/>
    <w:rsid w:val="002B2BFE"/>
    <w:rsid w:val="002B2CD7"/>
    <w:rsid w:val="002B3220"/>
    <w:rsid w:val="002B3250"/>
    <w:rsid w:val="002B3252"/>
    <w:rsid w:val="002B336B"/>
    <w:rsid w:val="002B3436"/>
    <w:rsid w:val="002B351B"/>
    <w:rsid w:val="002B3583"/>
    <w:rsid w:val="002B35E4"/>
    <w:rsid w:val="002B35FD"/>
    <w:rsid w:val="002B3763"/>
    <w:rsid w:val="002B3776"/>
    <w:rsid w:val="002B3882"/>
    <w:rsid w:val="002B388E"/>
    <w:rsid w:val="002B3A90"/>
    <w:rsid w:val="002B3D7A"/>
    <w:rsid w:val="002B3E86"/>
    <w:rsid w:val="002B3EA4"/>
    <w:rsid w:val="002B402C"/>
    <w:rsid w:val="002B412A"/>
    <w:rsid w:val="002B41BE"/>
    <w:rsid w:val="002B42AA"/>
    <w:rsid w:val="002B4344"/>
    <w:rsid w:val="002B43C2"/>
    <w:rsid w:val="002B4404"/>
    <w:rsid w:val="002B445E"/>
    <w:rsid w:val="002B4556"/>
    <w:rsid w:val="002B45D3"/>
    <w:rsid w:val="002B46B4"/>
    <w:rsid w:val="002B4805"/>
    <w:rsid w:val="002B480A"/>
    <w:rsid w:val="002B484C"/>
    <w:rsid w:val="002B4954"/>
    <w:rsid w:val="002B4A7E"/>
    <w:rsid w:val="002B4CC2"/>
    <w:rsid w:val="002B4CEF"/>
    <w:rsid w:val="002B4F12"/>
    <w:rsid w:val="002B4F2D"/>
    <w:rsid w:val="002B4FCB"/>
    <w:rsid w:val="002B5158"/>
    <w:rsid w:val="002B53D2"/>
    <w:rsid w:val="002B55EE"/>
    <w:rsid w:val="002B5711"/>
    <w:rsid w:val="002B57B1"/>
    <w:rsid w:val="002B5A9C"/>
    <w:rsid w:val="002B5B3C"/>
    <w:rsid w:val="002B5EB1"/>
    <w:rsid w:val="002B5FA1"/>
    <w:rsid w:val="002B603F"/>
    <w:rsid w:val="002B6073"/>
    <w:rsid w:val="002B62F9"/>
    <w:rsid w:val="002B634C"/>
    <w:rsid w:val="002B636E"/>
    <w:rsid w:val="002B6442"/>
    <w:rsid w:val="002B6598"/>
    <w:rsid w:val="002B67FA"/>
    <w:rsid w:val="002B6853"/>
    <w:rsid w:val="002B68AB"/>
    <w:rsid w:val="002B694A"/>
    <w:rsid w:val="002B6A0C"/>
    <w:rsid w:val="002B6C0C"/>
    <w:rsid w:val="002B6CBA"/>
    <w:rsid w:val="002B6D64"/>
    <w:rsid w:val="002B716D"/>
    <w:rsid w:val="002B7287"/>
    <w:rsid w:val="002B753E"/>
    <w:rsid w:val="002B75A9"/>
    <w:rsid w:val="002B7640"/>
    <w:rsid w:val="002B7665"/>
    <w:rsid w:val="002B76B0"/>
    <w:rsid w:val="002B76CE"/>
    <w:rsid w:val="002B7955"/>
    <w:rsid w:val="002B7972"/>
    <w:rsid w:val="002B7981"/>
    <w:rsid w:val="002B7C9E"/>
    <w:rsid w:val="002B7DDB"/>
    <w:rsid w:val="002B7E68"/>
    <w:rsid w:val="002C0051"/>
    <w:rsid w:val="002C01B2"/>
    <w:rsid w:val="002C0345"/>
    <w:rsid w:val="002C041F"/>
    <w:rsid w:val="002C0462"/>
    <w:rsid w:val="002C04A7"/>
    <w:rsid w:val="002C04B5"/>
    <w:rsid w:val="002C04B7"/>
    <w:rsid w:val="002C0612"/>
    <w:rsid w:val="002C06B6"/>
    <w:rsid w:val="002C0724"/>
    <w:rsid w:val="002C07E9"/>
    <w:rsid w:val="002C0B42"/>
    <w:rsid w:val="002C0C31"/>
    <w:rsid w:val="002C0CFA"/>
    <w:rsid w:val="002C0DDE"/>
    <w:rsid w:val="002C0E11"/>
    <w:rsid w:val="002C10AE"/>
    <w:rsid w:val="002C1216"/>
    <w:rsid w:val="002C1222"/>
    <w:rsid w:val="002C12A3"/>
    <w:rsid w:val="002C14AF"/>
    <w:rsid w:val="002C14B3"/>
    <w:rsid w:val="002C14CE"/>
    <w:rsid w:val="002C1671"/>
    <w:rsid w:val="002C16B1"/>
    <w:rsid w:val="002C16CD"/>
    <w:rsid w:val="002C16F3"/>
    <w:rsid w:val="002C1792"/>
    <w:rsid w:val="002C18A1"/>
    <w:rsid w:val="002C18F2"/>
    <w:rsid w:val="002C1913"/>
    <w:rsid w:val="002C19EB"/>
    <w:rsid w:val="002C1A40"/>
    <w:rsid w:val="002C1A79"/>
    <w:rsid w:val="002C1AAB"/>
    <w:rsid w:val="002C1BD9"/>
    <w:rsid w:val="002C1C19"/>
    <w:rsid w:val="002C1C66"/>
    <w:rsid w:val="002C1D1B"/>
    <w:rsid w:val="002C1DBF"/>
    <w:rsid w:val="002C1EA3"/>
    <w:rsid w:val="002C2054"/>
    <w:rsid w:val="002C208B"/>
    <w:rsid w:val="002C23FF"/>
    <w:rsid w:val="002C2459"/>
    <w:rsid w:val="002C2513"/>
    <w:rsid w:val="002C2593"/>
    <w:rsid w:val="002C2645"/>
    <w:rsid w:val="002C2715"/>
    <w:rsid w:val="002C2A25"/>
    <w:rsid w:val="002C2CC9"/>
    <w:rsid w:val="002C2E00"/>
    <w:rsid w:val="002C2E1A"/>
    <w:rsid w:val="002C2EA8"/>
    <w:rsid w:val="002C2F17"/>
    <w:rsid w:val="002C2F20"/>
    <w:rsid w:val="002C2F38"/>
    <w:rsid w:val="002C301B"/>
    <w:rsid w:val="002C30AA"/>
    <w:rsid w:val="002C30BA"/>
    <w:rsid w:val="002C30C7"/>
    <w:rsid w:val="002C30CA"/>
    <w:rsid w:val="002C32BD"/>
    <w:rsid w:val="002C32ED"/>
    <w:rsid w:val="002C33B0"/>
    <w:rsid w:val="002C34FF"/>
    <w:rsid w:val="002C36B6"/>
    <w:rsid w:val="002C378D"/>
    <w:rsid w:val="002C3DD2"/>
    <w:rsid w:val="002C3F1A"/>
    <w:rsid w:val="002C3FAA"/>
    <w:rsid w:val="002C4047"/>
    <w:rsid w:val="002C40BD"/>
    <w:rsid w:val="002C40C9"/>
    <w:rsid w:val="002C4365"/>
    <w:rsid w:val="002C47BD"/>
    <w:rsid w:val="002C48DB"/>
    <w:rsid w:val="002C4A1D"/>
    <w:rsid w:val="002C4E6B"/>
    <w:rsid w:val="002C4FA3"/>
    <w:rsid w:val="002C500D"/>
    <w:rsid w:val="002C500F"/>
    <w:rsid w:val="002C50BA"/>
    <w:rsid w:val="002C51F0"/>
    <w:rsid w:val="002C539F"/>
    <w:rsid w:val="002C54BB"/>
    <w:rsid w:val="002C554A"/>
    <w:rsid w:val="002C5570"/>
    <w:rsid w:val="002C5820"/>
    <w:rsid w:val="002C59FA"/>
    <w:rsid w:val="002C5B26"/>
    <w:rsid w:val="002C5CCE"/>
    <w:rsid w:val="002C5E32"/>
    <w:rsid w:val="002C5F13"/>
    <w:rsid w:val="002C626C"/>
    <w:rsid w:val="002C62DD"/>
    <w:rsid w:val="002C63A4"/>
    <w:rsid w:val="002C6526"/>
    <w:rsid w:val="002C6802"/>
    <w:rsid w:val="002C684B"/>
    <w:rsid w:val="002C6A8C"/>
    <w:rsid w:val="002C6ACF"/>
    <w:rsid w:val="002C6ADF"/>
    <w:rsid w:val="002C6BC7"/>
    <w:rsid w:val="002C6BEF"/>
    <w:rsid w:val="002C6C56"/>
    <w:rsid w:val="002C6C59"/>
    <w:rsid w:val="002C6E1C"/>
    <w:rsid w:val="002C6F2C"/>
    <w:rsid w:val="002C6FCE"/>
    <w:rsid w:val="002C6FDB"/>
    <w:rsid w:val="002C702C"/>
    <w:rsid w:val="002C7042"/>
    <w:rsid w:val="002C7048"/>
    <w:rsid w:val="002C72A2"/>
    <w:rsid w:val="002C7331"/>
    <w:rsid w:val="002C7395"/>
    <w:rsid w:val="002C7570"/>
    <w:rsid w:val="002C7618"/>
    <w:rsid w:val="002C7737"/>
    <w:rsid w:val="002C780B"/>
    <w:rsid w:val="002C7856"/>
    <w:rsid w:val="002C78E6"/>
    <w:rsid w:val="002C78F7"/>
    <w:rsid w:val="002C7957"/>
    <w:rsid w:val="002C7CA2"/>
    <w:rsid w:val="002C7FBB"/>
    <w:rsid w:val="002C7FFB"/>
    <w:rsid w:val="002D0061"/>
    <w:rsid w:val="002D007E"/>
    <w:rsid w:val="002D037D"/>
    <w:rsid w:val="002D0381"/>
    <w:rsid w:val="002D03BD"/>
    <w:rsid w:val="002D043A"/>
    <w:rsid w:val="002D054C"/>
    <w:rsid w:val="002D071A"/>
    <w:rsid w:val="002D08D8"/>
    <w:rsid w:val="002D0950"/>
    <w:rsid w:val="002D0CF3"/>
    <w:rsid w:val="002D0D10"/>
    <w:rsid w:val="002D0E01"/>
    <w:rsid w:val="002D1163"/>
    <w:rsid w:val="002D1167"/>
    <w:rsid w:val="002D1750"/>
    <w:rsid w:val="002D178B"/>
    <w:rsid w:val="002D17F5"/>
    <w:rsid w:val="002D1C00"/>
    <w:rsid w:val="002D1C79"/>
    <w:rsid w:val="002D1CB9"/>
    <w:rsid w:val="002D1CC8"/>
    <w:rsid w:val="002D1D84"/>
    <w:rsid w:val="002D2014"/>
    <w:rsid w:val="002D216F"/>
    <w:rsid w:val="002D21CF"/>
    <w:rsid w:val="002D22EB"/>
    <w:rsid w:val="002D23BE"/>
    <w:rsid w:val="002D23DB"/>
    <w:rsid w:val="002D2508"/>
    <w:rsid w:val="002D2534"/>
    <w:rsid w:val="002D2549"/>
    <w:rsid w:val="002D25C3"/>
    <w:rsid w:val="002D269A"/>
    <w:rsid w:val="002D2706"/>
    <w:rsid w:val="002D2728"/>
    <w:rsid w:val="002D27C8"/>
    <w:rsid w:val="002D2823"/>
    <w:rsid w:val="002D2A31"/>
    <w:rsid w:val="002D2AC4"/>
    <w:rsid w:val="002D2B16"/>
    <w:rsid w:val="002D2D03"/>
    <w:rsid w:val="002D2E6D"/>
    <w:rsid w:val="002D2EDA"/>
    <w:rsid w:val="002D2F79"/>
    <w:rsid w:val="002D2FE3"/>
    <w:rsid w:val="002D3061"/>
    <w:rsid w:val="002D3078"/>
    <w:rsid w:val="002D30A8"/>
    <w:rsid w:val="002D3124"/>
    <w:rsid w:val="002D314E"/>
    <w:rsid w:val="002D3225"/>
    <w:rsid w:val="002D3273"/>
    <w:rsid w:val="002D3351"/>
    <w:rsid w:val="002D38B1"/>
    <w:rsid w:val="002D3B2D"/>
    <w:rsid w:val="002D3CEA"/>
    <w:rsid w:val="002D3D06"/>
    <w:rsid w:val="002D3DAD"/>
    <w:rsid w:val="002D3DBC"/>
    <w:rsid w:val="002D3E61"/>
    <w:rsid w:val="002D3FD9"/>
    <w:rsid w:val="002D435D"/>
    <w:rsid w:val="002D4454"/>
    <w:rsid w:val="002D4577"/>
    <w:rsid w:val="002D467A"/>
    <w:rsid w:val="002D483F"/>
    <w:rsid w:val="002D485C"/>
    <w:rsid w:val="002D4B66"/>
    <w:rsid w:val="002D4D52"/>
    <w:rsid w:val="002D4E5A"/>
    <w:rsid w:val="002D4ED2"/>
    <w:rsid w:val="002D52FE"/>
    <w:rsid w:val="002D5348"/>
    <w:rsid w:val="002D5529"/>
    <w:rsid w:val="002D5682"/>
    <w:rsid w:val="002D5716"/>
    <w:rsid w:val="002D5799"/>
    <w:rsid w:val="002D58DB"/>
    <w:rsid w:val="002D58F3"/>
    <w:rsid w:val="002D594E"/>
    <w:rsid w:val="002D59DB"/>
    <w:rsid w:val="002D5A33"/>
    <w:rsid w:val="002D5B1F"/>
    <w:rsid w:val="002D5B2F"/>
    <w:rsid w:val="002D5C15"/>
    <w:rsid w:val="002D5C5F"/>
    <w:rsid w:val="002D5D83"/>
    <w:rsid w:val="002D5DFA"/>
    <w:rsid w:val="002D5EF4"/>
    <w:rsid w:val="002D5F00"/>
    <w:rsid w:val="002D5F4B"/>
    <w:rsid w:val="002D6062"/>
    <w:rsid w:val="002D626A"/>
    <w:rsid w:val="002D62BD"/>
    <w:rsid w:val="002D637B"/>
    <w:rsid w:val="002D6445"/>
    <w:rsid w:val="002D64DC"/>
    <w:rsid w:val="002D66F9"/>
    <w:rsid w:val="002D6764"/>
    <w:rsid w:val="002D6860"/>
    <w:rsid w:val="002D691E"/>
    <w:rsid w:val="002D692D"/>
    <w:rsid w:val="002D6A99"/>
    <w:rsid w:val="002D6B64"/>
    <w:rsid w:val="002D6BDC"/>
    <w:rsid w:val="002D6D76"/>
    <w:rsid w:val="002D6ED7"/>
    <w:rsid w:val="002D704B"/>
    <w:rsid w:val="002D7116"/>
    <w:rsid w:val="002D7254"/>
    <w:rsid w:val="002D732A"/>
    <w:rsid w:val="002D75DC"/>
    <w:rsid w:val="002D76F0"/>
    <w:rsid w:val="002D7A4C"/>
    <w:rsid w:val="002D7DBB"/>
    <w:rsid w:val="002D7F57"/>
    <w:rsid w:val="002D7F9D"/>
    <w:rsid w:val="002D7FCA"/>
    <w:rsid w:val="002E01A9"/>
    <w:rsid w:val="002E0213"/>
    <w:rsid w:val="002E040D"/>
    <w:rsid w:val="002E059C"/>
    <w:rsid w:val="002E087E"/>
    <w:rsid w:val="002E08DD"/>
    <w:rsid w:val="002E0981"/>
    <w:rsid w:val="002E0A7B"/>
    <w:rsid w:val="002E0A83"/>
    <w:rsid w:val="002E0AB5"/>
    <w:rsid w:val="002E0B2D"/>
    <w:rsid w:val="002E0C28"/>
    <w:rsid w:val="002E0D5D"/>
    <w:rsid w:val="002E0D6A"/>
    <w:rsid w:val="002E136A"/>
    <w:rsid w:val="002E13E4"/>
    <w:rsid w:val="002E140F"/>
    <w:rsid w:val="002E154B"/>
    <w:rsid w:val="002E1587"/>
    <w:rsid w:val="002E15DB"/>
    <w:rsid w:val="002E1710"/>
    <w:rsid w:val="002E1C4C"/>
    <w:rsid w:val="002E1D55"/>
    <w:rsid w:val="002E1E77"/>
    <w:rsid w:val="002E20D5"/>
    <w:rsid w:val="002E2286"/>
    <w:rsid w:val="002E24A0"/>
    <w:rsid w:val="002E289D"/>
    <w:rsid w:val="002E28BE"/>
    <w:rsid w:val="002E297C"/>
    <w:rsid w:val="002E2ADE"/>
    <w:rsid w:val="002E2B20"/>
    <w:rsid w:val="002E2BC6"/>
    <w:rsid w:val="002E2CC7"/>
    <w:rsid w:val="002E2CCF"/>
    <w:rsid w:val="002E2CFC"/>
    <w:rsid w:val="002E2D12"/>
    <w:rsid w:val="002E2D27"/>
    <w:rsid w:val="002E2E30"/>
    <w:rsid w:val="002E308A"/>
    <w:rsid w:val="002E3110"/>
    <w:rsid w:val="002E313F"/>
    <w:rsid w:val="002E348E"/>
    <w:rsid w:val="002E3897"/>
    <w:rsid w:val="002E3969"/>
    <w:rsid w:val="002E396B"/>
    <w:rsid w:val="002E3ADF"/>
    <w:rsid w:val="002E3B09"/>
    <w:rsid w:val="002E3B8D"/>
    <w:rsid w:val="002E3E2F"/>
    <w:rsid w:val="002E3F18"/>
    <w:rsid w:val="002E3FB6"/>
    <w:rsid w:val="002E403E"/>
    <w:rsid w:val="002E41CB"/>
    <w:rsid w:val="002E42D2"/>
    <w:rsid w:val="002E434F"/>
    <w:rsid w:val="002E43B9"/>
    <w:rsid w:val="002E4544"/>
    <w:rsid w:val="002E467C"/>
    <w:rsid w:val="002E4683"/>
    <w:rsid w:val="002E476E"/>
    <w:rsid w:val="002E4793"/>
    <w:rsid w:val="002E47AE"/>
    <w:rsid w:val="002E47B0"/>
    <w:rsid w:val="002E4873"/>
    <w:rsid w:val="002E49DF"/>
    <w:rsid w:val="002E49FF"/>
    <w:rsid w:val="002E4B13"/>
    <w:rsid w:val="002E4B5C"/>
    <w:rsid w:val="002E4B78"/>
    <w:rsid w:val="002E4BF1"/>
    <w:rsid w:val="002E4C93"/>
    <w:rsid w:val="002E4DD2"/>
    <w:rsid w:val="002E4F0B"/>
    <w:rsid w:val="002E509A"/>
    <w:rsid w:val="002E50C1"/>
    <w:rsid w:val="002E5103"/>
    <w:rsid w:val="002E511B"/>
    <w:rsid w:val="002E536D"/>
    <w:rsid w:val="002E5393"/>
    <w:rsid w:val="002E5497"/>
    <w:rsid w:val="002E55C3"/>
    <w:rsid w:val="002E5637"/>
    <w:rsid w:val="002E5990"/>
    <w:rsid w:val="002E599A"/>
    <w:rsid w:val="002E5B4C"/>
    <w:rsid w:val="002E5CE4"/>
    <w:rsid w:val="002E5D0C"/>
    <w:rsid w:val="002E5D5A"/>
    <w:rsid w:val="002E5D61"/>
    <w:rsid w:val="002E5D9A"/>
    <w:rsid w:val="002E6018"/>
    <w:rsid w:val="002E6322"/>
    <w:rsid w:val="002E6375"/>
    <w:rsid w:val="002E6414"/>
    <w:rsid w:val="002E64A5"/>
    <w:rsid w:val="002E6554"/>
    <w:rsid w:val="002E6588"/>
    <w:rsid w:val="002E658E"/>
    <w:rsid w:val="002E65AB"/>
    <w:rsid w:val="002E67A6"/>
    <w:rsid w:val="002E696A"/>
    <w:rsid w:val="002E6AD6"/>
    <w:rsid w:val="002E6BC0"/>
    <w:rsid w:val="002E6BD4"/>
    <w:rsid w:val="002E6C45"/>
    <w:rsid w:val="002E6D5A"/>
    <w:rsid w:val="002E6F9D"/>
    <w:rsid w:val="002E7063"/>
    <w:rsid w:val="002E71A1"/>
    <w:rsid w:val="002E7233"/>
    <w:rsid w:val="002E723A"/>
    <w:rsid w:val="002E735D"/>
    <w:rsid w:val="002E7396"/>
    <w:rsid w:val="002E74E6"/>
    <w:rsid w:val="002E7525"/>
    <w:rsid w:val="002E7651"/>
    <w:rsid w:val="002E7699"/>
    <w:rsid w:val="002E777A"/>
    <w:rsid w:val="002E781D"/>
    <w:rsid w:val="002E78B9"/>
    <w:rsid w:val="002E7A00"/>
    <w:rsid w:val="002E7B79"/>
    <w:rsid w:val="002E7BF2"/>
    <w:rsid w:val="002E7C51"/>
    <w:rsid w:val="002E7CFB"/>
    <w:rsid w:val="002E7D0E"/>
    <w:rsid w:val="002E7DD7"/>
    <w:rsid w:val="002E7FFB"/>
    <w:rsid w:val="002F0389"/>
    <w:rsid w:val="002F0452"/>
    <w:rsid w:val="002F046A"/>
    <w:rsid w:val="002F0722"/>
    <w:rsid w:val="002F0736"/>
    <w:rsid w:val="002F07D6"/>
    <w:rsid w:val="002F082A"/>
    <w:rsid w:val="002F0841"/>
    <w:rsid w:val="002F089A"/>
    <w:rsid w:val="002F08EA"/>
    <w:rsid w:val="002F0A43"/>
    <w:rsid w:val="002F0D49"/>
    <w:rsid w:val="002F0EA3"/>
    <w:rsid w:val="002F0F60"/>
    <w:rsid w:val="002F0FAE"/>
    <w:rsid w:val="002F0FD3"/>
    <w:rsid w:val="002F1199"/>
    <w:rsid w:val="002F11B1"/>
    <w:rsid w:val="002F13CA"/>
    <w:rsid w:val="002F13DA"/>
    <w:rsid w:val="002F14DD"/>
    <w:rsid w:val="002F150C"/>
    <w:rsid w:val="002F160B"/>
    <w:rsid w:val="002F17A0"/>
    <w:rsid w:val="002F1907"/>
    <w:rsid w:val="002F1A9E"/>
    <w:rsid w:val="002F1C59"/>
    <w:rsid w:val="002F1D39"/>
    <w:rsid w:val="002F1E27"/>
    <w:rsid w:val="002F1EBE"/>
    <w:rsid w:val="002F20B1"/>
    <w:rsid w:val="002F20FD"/>
    <w:rsid w:val="002F2219"/>
    <w:rsid w:val="002F24CD"/>
    <w:rsid w:val="002F275D"/>
    <w:rsid w:val="002F2863"/>
    <w:rsid w:val="002F2896"/>
    <w:rsid w:val="002F28C0"/>
    <w:rsid w:val="002F28FE"/>
    <w:rsid w:val="002F291F"/>
    <w:rsid w:val="002F2994"/>
    <w:rsid w:val="002F29B3"/>
    <w:rsid w:val="002F2A1C"/>
    <w:rsid w:val="002F2AC4"/>
    <w:rsid w:val="002F2EF5"/>
    <w:rsid w:val="002F2F35"/>
    <w:rsid w:val="002F2F74"/>
    <w:rsid w:val="002F30AB"/>
    <w:rsid w:val="002F3101"/>
    <w:rsid w:val="002F31C2"/>
    <w:rsid w:val="002F3271"/>
    <w:rsid w:val="002F3418"/>
    <w:rsid w:val="002F3515"/>
    <w:rsid w:val="002F35EB"/>
    <w:rsid w:val="002F3688"/>
    <w:rsid w:val="002F373F"/>
    <w:rsid w:val="002F37FF"/>
    <w:rsid w:val="002F3CE6"/>
    <w:rsid w:val="002F3E5A"/>
    <w:rsid w:val="002F3F06"/>
    <w:rsid w:val="002F3F36"/>
    <w:rsid w:val="002F413D"/>
    <w:rsid w:val="002F42A3"/>
    <w:rsid w:val="002F4341"/>
    <w:rsid w:val="002F44BC"/>
    <w:rsid w:val="002F467E"/>
    <w:rsid w:val="002F4749"/>
    <w:rsid w:val="002F477B"/>
    <w:rsid w:val="002F47B2"/>
    <w:rsid w:val="002F486C"/>
    <w:rsid w:val="002F48AD"/>
    <w:rsid w:val="002F4A6A"/>
    <w:rsid w:val="002F4AC6"/>
    <w:rsid w:val="002F4BB8"/>
    <w:rsid w:val="002F4C25"/>
    <w:rsid w:val="002F4D66"/>
    <w:rsid w:val="002F4EE7"/>
    <w:rsid w:val="002F5070"/>
    <w:rsid w:val="002F5215"/>
    <w:rsid w:val="002F528E"/>
    <w:rsid w:val="002F5353"/>
    <w:rsid w:val="002F542C"/>
    <w:rsid w:val="002F5508"/>
    <w:rsid w:val="002F55A7"/>
    <w:rsid w:val="002F57B8"/>
    <w:rsid w:val="002F57C2"/>
    <w:rsid w:val="002F58F2"/>
    <w:rsid w:val="002F590D"/>
    <w:rsid w:val="002F5939"/>
    <w:rsid w:val="002F5992"/>
    <w:rsid w:val="002F5C90"/>
    <w:rsid w:val="002F5D13"/>
    <w:rsid w:val="002F5E17"/>
    <w:rsid w:val="002F5F2F"/>
    <w:rsid w:val="002F609B"/>
    <w:rsid w:val="002F60F3"/>
    <w:rsid w:val="002F6282"/>
    <w:rsid w:val="002F634E"/>
    <w:rsid w:val="002F6479"/>
    <w:rsid w:val="002F6535"/>
    <w:rsid w:val="002F674C"/>
    <w:rsid w:val="002F6BE5"/>
    <w:rsid w:val="002F6CEC"/>
    <w:rsid w:val="002F6CEF"/>
    <w:rsid w:val="002F6E6E"/>
    <w:rsid w:val="002F6EE9"/>
    <w:rsid w:val="002F6F14"/>
    <w:rsid w:val="002F704B"/>
    <w:rsid w:val="002F7084"/>
    <w:rsid w:val="002F709B"/>
    <w:rsid w:val="002F71B7"/>
    <w:rsid w:val="002F71BD"/>
    <w:rsid w:val="002F7268"/>
    <w:rsid w:val="002F7368"/>
    <w:rsid w:val="002F737C"/>
    <w:rsid w:val="002F74D2"/>
    <w:rsid w:val="002F757E"/>
    <w:rsid w:val="002F75C5"/>
    <w:rsid w:val="002F76FE"/>
    <w:rsid w:val="002F7904"/>
    <w:rsid w:val="002F7978"/>
    <w:rsid w:val="002F7BCD"/>
    <w:rsid w:val="002F7D59"/>
    <w:rsid w:val="002F7ED1"/>
    <w:rsid w:val="002F7F70"/>
    <w:rsid w:val="003001D0"/>
    <w:rsid w:val="003001FC"/>
    <w:rsid w:val="0030027C"/>
    <w:rsid w:val="00300311"/>
    <w:rsid w:val="00300345"/>
    <w:rsid w:val="003003FE"/>
    <w:rsid w:val="0030040A"/>
    <w:rsid w:val="003005B5"/>
    <w:rsid w:val="00300970"/>
    <w:rsid w:val="00300996"/>
    <w:rsid w:val="00300CFD"/>
    <w:rsid w:val="00300D7F"/>
    <w:rsid w:val="00300DEB"/>
    <w:rsid w:val="00300EAD"/>
    <w:rsid w:val="00300FE3"/>
    <w:rsid w:val="00300FFF"/>
    <w:rsid w:val="00301011"/>
    <w:rsid w:val="00301081"/>
    <w:rsid w:val="0030109A"/>
    <w:rsid w:val="0030116D"/>
    <w:rsid w:val="0030149B"/>
    <w:rsid w:val="003014D7"/>
    <w:rsid w:val="00301524"/>
    <w:rsid w:val="003016BA"/>
    <w:rsid w:val="003017F7"/>
    <w:rsid w:val="00301883"/>
    <w:rsid w:val="003018C5"/>
    <w:rsid w:val="00301A26"/>
    <w:rsid w:val="00301B03"/>
    <w:rsid w:val="00301D4C"/>
    <w:rsid w:val="00301E54"/>
    <w:rsid w:val="00301EEA"/>
    <w:rsid w:val="003021D3"/>
    <w:rsid w:val="003022B7"/>
    <w:rsid w:val="0030267D"/>
    <w:rsid w:val="0030275F"/>
    <w:rsid w:val="00302891"/>
    <w:rsid w:val="003028FA"/>
    <w:rsid w:val="00302958"/>
    <w:rsid w:val="00302AE3"/>
    <w:rsid w:val="00302AEB"/>
    <w:rsid w:val="00302E29"/>
    <w:rsid w:val="00302EEB"/>
    <w:rsid w:val="00302F5A"/>
    <w:rsid w:val="00303117"/>
    <w:rsid w:val="00303119"/>
    <w:rsid w:val="003031FF"/>
    <w:rsid w:val="0030335A"/>
    <w:rsid w:val="003033A8"/>
    <w:rsid w:val="003034A1"/>
    <w:rsid w:val="00303542"/>
    <w:rsid w:val="0030371A"/>
    <w:rsid w:val="00303736"/>
    <w:rsid w:val="0030393F"/>
    <w:rsid w:val="0030398C"/>
    <w:rsid w:val="00303A82"/>
    <w:rsid w:val="00303AD4"/>
    <w:rsid w:val="00303B13"/>
    <w:rsid w:val="00303CDF"/>
    <w:rsid w:val="00303D95"/>
    <w:rsid w:val="00303EFA"/>
    <w:rsid w:val="00303FD3"/>
    <w:rsid w:val="0030409D"/>
    <w:rsid w:val="0030439A"/>
    <w:rsid w:val="003043F1"/>
    <w:rsid w:val="00304692"/>
    <w:rsid w:val="0030482F"/>
    <w:rsid w:val="003048A1"/>
    <w:rsid w:val="00304AA4"/>
    <w:rsid w:val="00304B40"/>
    <w:rsid w:val="00304B93"/>
    <w:rsid w:val="00304E49"/>
    <w:rsid w:val="003051F0"/>
    <w:rsid w:val="00305393"/>
    <w:rsid w:val="00305673"/>
    <w:rsid w:val="003058C3"/>
    <w:rsid w:val="00305B1C"/>
    <w:rsid w:val="00305BFA"/>
    <w:rsid w:val="00305C7D"/>
    <w:rsid w:val="00305CE7"/>
    <w:rsid w:val="00305F81"/>
    <w:rsid w:val="0030604D"/>
    <w:rsid w:val="00306269"/>
    <w:rsid w:val="003062B2"/>
    <w:rsid w:val="003062DC"/>
    <w:rsid w:val="00306423"/>
    <w:rsid w:val="00306602"/>
    <w:rsid w:val="0030664F"/>
    <w:rsid w:val="00306662"/>
    <w:rsid w:val="00306829"/>
    <w:rsid w:val="003068C5"/>
    <w:rsid w:val="003068D8"/>
    <w:rsid w:val="003068F5"/>
    <w:rsid w:val="00306950"/>
    <w:rsid w:val="003069B4"/>
    <w:rsid w:val="00306A2E"/>
    <w:rsid w:val="00306DD7"/>
    <w:rsid w:val="00306EDB"/>
    <w:rsid w:val="00307156"/>
    <w:rsid w:val="003073BD"/>
    <w:rsid w:val="0030740F"/>
    <w:rsid w:val="0030746B"/>
    <w:rsid w:val="0030752A"/>
    <w:rsid w:val="0030778D"/>
    <w:rsid w:val="00307D78"/>
    <w:rsid w:val="00307D8A"/>
    <w:rsid w:val="00307E55"/>
    <w:rsid w:val="00307FC1"/>
    <w:rsid w:val="00310173"/>
    <w:rsid w:val="0031056D"/>
    <w:rsid w:val="003105BD"/>
    <w:rsid w:val="003105EE"/>
    <w:rsid w:val="00310675"/>
    <w:rsid w:val="00310826"/>
    <w:rsid w:val="003108D7"/>
    <w:rsid w:val="00310913"/>
    <w:rsid w:val="00310E4B"/>
    <w:rsid w:val="00310F2B"/>
    <w:rsid w:val="00310F76"/>
    <w:rsid w:val="00311275"/>
    <w:rsid w:val="003112C7"/>
    <w:rsid w:val="00311302"/>
    <w:rsid w:val="0031143D"/>
    <w:rsid w:val="003114CC"/>
    <w:rsid w:val="003114CF"/>
    <w:rsid w:val="00311551"/>
    <w:rsid w:val="0031158F"/>
    <w:rsid w:val="00311650"/>
    <w:rsid w:val="003119BC"/>
    <w:rsid w:val="003119D6"/>
    <w:rsid w:val="00311B71"/>
    <w:rsid w:val="00311EFF"/>
    <w:rsid w:val="00312070"/>
    <w:rsid w:val="0031214D"/>
    <w:rsid w:val="00312246"/>
    <w:rsid w:val="00312451"/>
    <w:rsid w:val="003124B5"/>
    <w:rsid w:val="00312594"/>
    <w:rsid w:val="003125BD"/>
    <w:rsid w:val="003125C3"/>
    <w:rsid w:val="003125CE"/>
    <w:rsid w:val="00312623"/>
    <w:rsid w:val="00312796"/>
    <w:rsid w:val="0031285E"/>
    <w:rsid w:val="00312933"/>
    <w:rsid w:val="00312BE0"/>
    <w:rsid w:val="00312D01"/>
    <w:rsid w:val="00312DDE"/>
    <w:rsid w:val="00312E96"/>
    <w:rsid w:val="003132C5"/>
    <w:rsid w:val="00313326"/>
    <w:rsid w:val="0031349A"/>
    <w:rsid w:val="003134D2"/>
    <w:rsid w:val="0031378F"/>
    <w:rsid w:val="0031380D"/>
    <w:rsid w:val="00313896"/>
    <w:rsid w:val="00313919"/>
    <w:rsid w:val="00313A44"/>
    <w:rsid w:val="00313C05"/>
    <w:rsid w:val="00313C24"/>
    <w:rsid w:val="00313E54"/>
    <w:rsid w:val="003140CE"/>
    <w:rsid w:val="00314127"/>
    <w:rsid w:val="00314340"/>
    <w:rsid w:val="00314420"/>
    <w:rsid w:val="00314547"/>
    <w:rsid w:val="003148F4"/>
    <w:rsid w:val="00314CCF"/>
    <w:rsid w:val="00314D14"/>
    <w:rsid w:val="00314D1C"/>
    <w:rsid w:val="00314D91"/>
    <w:rsid w:val="00314E12"/>
    <w:rsid w:val="00315250"/>
    <w:rsid w:val="00315274"/>
    <w:rsid w:val="003152C3"/>
    <w:rsid w:val="00315330"/>
    <w:rsid w:val="00315341"/>
    <w:rsid w:val="003154BD"/>
    <w:rsid w:val="003154E3"/>
    <w:rsid w:val="00315577"/>
    <w:rsid w:val="00315607"/>
    <w:rsid w:val="00315717"/>
    <w:rsid w:val="00315847"/>
    <w:rsid w:val="0031584D"/>
    <w:rsid w:val="003158DA"/>
    <w:rsid w:val="0031592E"/>
    <w:rsid w:val="0031594E"/>
    <w:rsid w:val="00315B34"/>
    <w:rsid w:val="00315B4D"/>
    <w:rsid w:val="00315CD9"/>
    <w:rsid w:val="00315F4E"/>
    <w:rsid w:val="00316022"/>
    <w:rsid w:val="00316067"/>
    <w:rsid w:val="00316192"/>
    <w:rsid w:val="003162DA"/>
    <w:rsid w:val="0031631E"/>
    <w:rsid w:val="0031639E"/>
    <w:rsid w:val="0031639F"/>
    <w:rsid w:val="003163D8"/>
    <w:rsid w:val="0031647A"/>
    <w:rsid w:val="00316556"/>
    <w:rsid w:val="003165C1"/>
    <w:rsid w:val="003165D7"/>
    <w:rsid w:val="003165FD"/>
    <w:rsid w:val="003167A0"/>
    <w:rsid w:val="003169F6"/>
    <w:rsid w:val="00316A14"/>
    <w:rsid w:val="00316AA7"/>
    <w:rsid w:val="00316BAE"/>
    <w:rsid w:val="00316D1A"/>
    <w:rsid w:val="00316DC0"/>
    <w:rsid w:val="00316DDD"/>
    <w:rsid w:val="00316E1A"/>
    <w:rsid w:val="00317141"/>
    <w:rsid w:val="00317270"/>
    <w:rsid w:val="003172ED"/>
    <w:rsid w:val="00317501"/>
    <w:rsid w:val="00317ABF"/>
    <w:rsid w:val="00317C07"/>
    <w:rsid w:val="00317C5C"/>
    <w:rsid w:val="00317E63"/>
    <w:rsid w:val="00317FF2"/>
    <w:rsid w:val="003200A7"/>
    <w:rsid w:val="0032017C"/>
    <w:rsid w:val="003201F9"/>
    <w:rsid w:val="0032025F"/>
    <w:rsid w:val="00320303"/>
    <w:rsid w:val="00320331"/>
    <w:rsid w:val="00320410"/>
    <w:rsid w:val="0032049D"/>
    <w:rsid w:val="00320588"/>
    <w:rsid w:val="003206B2"/>
    <w:rsid w:val="00320743"/>
    <w:rsid w:val="00320766"/>
    <w:rsid w:val="0032086E"/>
    <w:rsid w:val="00320A00"/>
    <w:rsid w:val="00320A03"/>
    <w:rsid w:val="00320B7D"/>
    <w:rsid w:val="00320BDF"/>
    <w:rsid w:val="00320E3E"/>
    <w:rsid w:val="003211A0"/>
    <w:rsid w:val="003211BC"/>
    <w:rsid w:val="0032120E"/>
    <w:rsid w:val="003212DE"/>
    <w:rsid w:val="003215A3"/>
    <w:rsid w:val="003215C5"/>
    <w:rsid w:val="0032161D"/>
    <w:rsid w:val="00321663"/>
    <w:rsid w:val="00321709"/>
    <w:rsid w:val="0032174D"/>
    <w:rsid w:val="00321A7A"/>
    <w:rsid w:val="00321B0C"/>
    <w:rsid w:val="00321BCD"/>
    <w:rsid w:val="00321BFC"/>
    <w:rsid w:val="00321C2C"/>
    <w:rsid w:val="00321C3B"/>
    <w:rsid w:val="00321C8A"/>
    <w:rsid w:val="00321C8E"/>
    <w:rsid w:val="00321D4A"/>
    <w:rsid w:val="00321D66"/>
    <w:rsid w:val="00321DE2"/>
    <w:rsid w:val="00321DEE"/>
    <w:rsid w:val="00321F68"/>
    <w:rsid w:val="003221D9"/>
    <w:rsid w:val="003221EC"/>
    <w:rsid w:val="0032225D"/>
    <w:rsid w:val="00322286"/>
    <w:rsid w:val="003223C2"/>
    <w:rsid w:val="00322834"/>
    <w:rsid w:val="00322C01"/>
    <w:rsid w:val="00322C7E"/>
    <w:rsid w:val="00322C8D"/>
    <w:rsid w:val="00322E18"/>
    <w:rsid w:val="00323244"/>
    <w:rsid w:val="0032333D"/>
    <w:rsid w:val="003233D7"/>
    <w:rsid w:val="00323458"/>
    <w:rsid w:val="0032360A"/>
    <w:rsid w:val="003237C0"/>
    <w:rsid w:val="00323A7F"/>
    <w:rsid w:val="00323FDD"/>
    <w:rsid w:val="003241B8"/>
    <w:rsid w:val="0032451E"/>
    <w:rsid w:val="00324596"/>
    <w:rsid w:val="003245EC"/>
    <w:rsid w:val="003245EF"/>
    <w:rsid w:val="00324642"/>
    <w:rsid w:val="00324906"/>
    <w:rsid w:val="003249A7"/>
    <w:rsid w:val="00324DE2"/>
    <w:rsid w:val="0032515B"/>
    <w:rsid w:val="003252DC"/>
    <w:rsid w:val="0032542C"/>
    <w:rsid w:val="0032547F"/>
    <w:rsid w:val="003254D1"/>
    <w:rsid w:val="003254D7"/>
    <w:rsid w:val="0032552F"/>
    <w:rsid w:val="00325630"/>
    <w:rsid w:val="003256B4"/>
    <w:rsid w:val="00325733"/>
    <w:rsid w:val="00325763"/>
    <w:rsid w:val="0032577A"/>
    <w:rsid w:val="00325851"/>
    <w:rsid w:val="003258EC"/>
    <w:rsid w:val="00325AEB"/>
    <w:rsid w:val="00325F0B"/>
    <w:rsid w:val="00325F4F"/>
    <w:rsid w:val="00325FE0"/>
    <w:rsid w:val="003260C1"/>
    <w:rsid w:val="00326331"/>
    <w:rsid w:val="0032644C"/>
    <w:rsid w:val="003264B4"/>
    <w:rsid w:val="003264F1"/>
    <w:rsid w:val="00326726"/>
    <w:rsid w:val="0032696A"/>
    <w:rsid w:val="003269C2"/>
    <w:rsid w:val="003269E5"/>
    <w:rsid w:val="00326A86"/>
    <w:rsid w:val="00326A9C"/>
    <w:rsid w:val="00326B14"/>
    <w:rsid w:val="00326B2E"/>
    <w:rsid w:val="00326B33"/>
    <w:rsid w:val="00326D27"/>
    <w:rsid w:val="00326D94"/>
    <w:rsid w:val="00327139"/>
    <w:rsid w:val="00327398"/>
    <w:rsid w:val="003273BA"/>
    <w:rsid w:val="003273D4"/>
    <w:rsid w:val="00327567"/>
    <w:rsid w:val="00327787"/>
    <w:rsid w:val="00327890"/>
    <w:rsid w:val="0032794B"/>
    <w:rsid w:val="00327A0E"/>
    <w:rsid w:val="00327CE6"/>
    <w:rsid w:val="00327D35"/>
    <w:rsid w:val="00327D4B"/>
    <w:rsid w:val="00327F22"/>
    <w:rsid w:val="00330326"/>
    <w:rsid w:val="0033036C"/>
    <w:rsid w:val="003304C7"/>
    <w:rsid w:val="003307A9"/>
    <w:rsid w:val="0033087C"/>
    <w:rsid w:val="00330A11"/>
    <w:rsid w:val="00330AAB"/>
    <w:rsid w:val="00330B67"/>
    <w:rsid w:val="00330C05"/>
    <w:rsid w:val="00330C3D"/>
    <w:rsid w:val="00330C91"/>
    <w:rsid w:val="00330D65"/>
    <w:rsid w:val="00330E12"/>
    <w:rsid w:val="00330FB6"/>
    <w:rsid w:val="00331083"/>
    <w:rsid w:val="0033114E"/>
    <w:rsid w:val="0033147B"/>
    <w:rsid w:val="00331546"/>
    <w:rsid w:val="003315A7"/>
    <w:rsid w:val="0033166C"/>
    <w:rsid w:val="003316BE"/>
    <w:rsid w:val="0033171A"/>
    <w:rsid w:val="00331AB7"/>
    <w:rsid w:val="00331F2F"/>
    <w:rsid w:val="00331F6C"/>
    <w:rsid w:val="00331F7A"/>
    <w:rsid w:val="0033216C"/>
    <w:rsid w:val="0033230A"/>
    <w:rsid w:val="00332324"/>
    <w:rsid w:val="00332660"/>
    <w:rsid w:val="00332842"/>
    <w:rsid w:val="00332858"/>
    <w:rsid w:val="00332ADA"/>
    <w:rsid w:val="00332AF5"/>
    <w:rsid w:val="00332CCD"/>
    <w:rsid w:val="00332D0E"/>
    <w:rsid w:val="00332D8F"/>
    <w:rsid w:val="00332E2B"/>
    <w:rsid w:val="00332E80"/>
    <w:rsid w:val="00332EC7"/>
    <w:rsid w:val="0033304E"/>
    <w:rsid w:val="003331A5"/>
    <w:rsid w:val="003331A9"/>
    <w:rsid w:val="003331F3"/>
    <w:rsid w:val="0033333A"/>
    <w:rsid w:val="003333DB"/>
    <w:rsid w:val="00333546"/>
    <w:rsid w:val="003335A1"/>
    <w:rsid w:val="0033363C"/>
    <w:rsid w:val="0033368F"/>
    <w:rsid w:val="00333705"/>
    <w:rsid w:val="00333748"/>
    <w:rsid w:val="0033374D"/>
    <w:rsid w:val="003337CF"/>
    <w:rsid w:val="0033391F"/>
    <w:rsid w:val="00333B63"/>
    <w:rsid w:val="00333C5F"/>
    <w:rsid w:val="00333D20"/>
    <w:rsid w:val="00333FB8"/>
    <w:rsid w:val="00333FE2"/>
    <w:rsid w:val="00334214"/>
    <w:rsid w:val="0033422D"/>
    <w:rsid w:val="00334296"/>
    <w:rsid w:val="003343C8"/>
    <w:rsid w:val="0033440D"/>
    <w:rsid w:val="00334439"/>
    <w:rsid w:val="0033471C"/>
    <w:rsid w:val="00334788"/>
    <w:rsid w:val="00334828"/>
    <w:rsid w:val="00334A0B"/>
    <w:rsid w:val="00334A21"/>
    <w:rsid w:val="00334A9B"/>
    <w:rsid w:val="00334ABD"/>
    <w:rsid w:val="00334AE5"/>
    <w:rsid w:val="00334CE5"/>
    <w:rsid w:val="00334CF5"/>
    <w:rsid w:val="00334F0B"/>
    <w:rsid w:val="00334F3D"/>
    <w:rsid w:val="0033508B"/>
    <w:rsid w:val="003350D5"/>
    <w:rsid w:val="0033521B"/>
    <w:rsid w:val="003353FB"/>
    <w:rsid w:val="00335464"/>
    <w:rsid w:val="00335643"/>
    <w:rsid w:val="00335737"/>
    <w:rsid w:val="003357CF"/>
    <w:rsid w:val="0033587E"/>
    <w:rsid w:val="003358D2"/>
    <w:rsid w:val="00335A13"/>
    <w:rsid w:val="00335A28"/>
    <w:rsid w:val="00335AB9"/>
    <w:rsid w:val="00335AC8"/>
    <w:rsid w:val="00335C0C"/>
    <w:rsid w:val="00335EE2"/>
    <w:rsid w:val="00335F5E"/>
    <w:rsid w:val="0033656F"/>
    <w:rsid w:val="0033660F"/>
    <w:rsid w:val="00336690"/>
    <w:rsid w:val="003368AB"/>
    <w:rsid w:val="00336937"/>
    <w:rsid w:val="0033698B"/>
    <w:rsid w:val="00336C5E"/>
    <w:rsid w:val="00336CA8"/>
    <w:rsid w:val="00336CEB"/>
    <w:rsid w:val="00337002"/>
    <w:rsid w:val="0033708C"/>
    <w:rsid w:val="00337104"/>
    <w:rsid w:val="00337175"/>
    <w:rsid w:val="00337185"/>
    <w:rsid w:val="003371B8"/>
    <w:rsid w:val="00337219"/>
    <w:rsid w:val="00337289"/>
    <w:rsid w:val="003373E3"/>
    <w:rsid w:val="00337556"/>
    <w:rsid w:val="00337578"/>
    <w:rsid w:val="00337763"/>
    <w:rsid w:val="00337927"/>
    <w:rsid w:val="00337BB3"/>
    <w:rsid w:val="00337F08"/>
    <w:rsid w:val="00337FA0"/>
    <w:rsid w:val="00340094"/>
    <w:rsid w:val="003401F4"/>
    <w:rsid w:val="00340220"/>
    <w:rsid w:val="00340438"/>
    <w:rsid w:val="00340562"/>
    <w:rsid w:val="00340683"/>
    <w:rsid w:val="0034068B"/>
    <w:rsid w:val="003406A6"/>
    <w:rsid w:val="0034074C"/>
    <w:rsid w:val="0034083D"/>
    <w:rsid w:val="003409D6"/>
    <w:rsid w:val="00340B2B"/>
    <w:rsid w:val="00340B3E"/>
    <w:rsid w:val="00340B45"/>
    <w:rsid w:val="00340C94"/>
    <w:rsid w:val="00340D43"/>
    <w:rsid w:val="00340E34"/>
    <w:rsid w:val="00340F1E"/>
    <w:rsid w:val="00341115"/>
    <w:rsid w:val="00341134"/>
    <w:rsid w:val="0034118B"/>
    <w:rsid w:val="003412AC"/>
    <w:rsid w:val="00341339"/>
    <w:rsid w:val="0034134E"/>
    <w:rsid w:val="00341399"/>
    <w:rsid w:val="003413C3"/>
    <w:rsid w:val="00341410"/>
    <w:rsid w:val="00341411"/>
    <w:rsid w:val="003414D2"/>
    <w:rsid w:val="0034154F"/>
    <w:rsid w:val="0034156E"/>
    <w:rsid w:val="00341688"/>
    <w:rsid w:val="003417C1"/>
    <w:rsid w:val="00341814"/>
    <w:rsid w:val="00341891"/>
    <w:rsid w:val="00341A31"/>
    <w:rsid w:val="00341D48"/>
    <w:rsid w:val="00342193"/>
    <w:rsid w:val="003421C5"/>
    <w:rsid w:val="003421DD"/>
    <w:rsid w:val="00342289"/>
    <w:rsid w:val="00342350"/>
    <w:rsid w:val="00342355"/>
    <w:rsid w:val="00342479"/>
    <w:rsid w:val="00342670"/>
    <w:rsid w:val="0034269B"/>
    <w:rsid w:val="003427AC"/>
    <w:rsid w:val="00342923"/>
    <w:rsid w:val="0034298C"/>
    <w:rsid w:val="003429C8"/>
    <w:rsid w:val="00342B51"/>
    <w:rsid w:val="00342B7E"/>
    <w:rsid w:val="00342BFE"/>
    <w:rsid w:val="00342D4A"/>
    <w:rsid w:val="00342E92"/>
    <w:rsid w:val="00342F29"/>
    <w:rsid w:val="00343008"/>
    <w:rsid w:val="00343106"/>
    <w:rsid w:val="00343226"/>
    <w:rsid w:val="0034337D"/>
    <w:rsid w:val="0034354E"/>
    <w:rsid w:val="003436D2"/>
    <w:rsid w:val="0034372B"/>
    <w:rsid w:val="0034374F"/>
    <w:rsid w:val="00343A8F"/>
    <w:rsid w:val="00343AC4"/>
    <w:rsid w:val="00343B30"/>
    <w:rsid w:val="00343BF5"/>
    <w:rsid w:val="00343D7D"/>
    <w:rsid w:val="003440B3"/>
    <w:rsid w:val="00344180"/>
    <w:rsid w:val="00344395"/>
    <w:rsid w:val="00344397"/>
    <w:rsid w:val="003443CA"/>
    <w:rsid w:val="003444E8"/>
    <w:rsid w:val="00344508"/>
    <w:rsid w:val="00344895"/>
    <w:rsid w:val="00344F2F"/>
    <w:rsid w:val="00344F33"/>
    <w:rsid w:val="00344FBA"/>
    <w:rsid w:val="0034507E"/>
    <w:rsid w:val="003450ED"/>
    <w:rsid w:val="0034534F"/>
    <w:rsid w:val="00345570"/>
    <w:rsid w:val="00345582"/>
    <w:rsid w:val="0034576D"/>
    <w:rsid w:val="00345797"/>
    <w:rsid w:val="00345882"/>
    <w:rsid w:val="00345A28"/>
    <w:rsid w:val="00345A50"/>
    <w:rsid w:val="00345C31"/>
    <w:rsid w:val="00345C39"/>
    <w:rsid w:val="00345CD1"/>
    <w:rsid w:val="00345EE3"/>
    <w:rsid w:val="0034605B"/>
    <w:rsid w:val="003461DF"/>
    <w:rsid w:val="00346291"/>
    <w:rsid w:val="003462B1"/>
    <w:rsid w:val="00346302"/>
    <w:rsid w:val="00346507"/>
    <w:rsid w:val="003465FC"/>
    <w:rsid w:val="003466A4"/>
    <w:rsid w:val="00346791"/>
    <w:rsid w:val="0034687F"/>
    <w:rsid w:val="00346911"/>
    <w:rsid w:val="003469FD"/>
    <w:rsid w:val="00346B09"/>
    <w:rsid w:val="00346B15"/>
    <w:rsid w:val="00346D1C"/>
    <w:rsid w:val="00346D45"/>
    <w:rsid w:val="00346D4C"/>
    <w:rsid w:val="00346DFC"/>
    <w:rsid w:val="00347021"/>
    <w:rsid w:val="003470C6"/>
    <w:rsid w:val="0034722B"/>
    <w:rsid w:val="003473C2"/>
    <w:rsid w:val="003475B7"/>
    <w:rsid w:val="00347989"/>
    <w:rsid w:val="00347A94"/>
    <w:rsid w:val="00347BAE"/>
    <w:rsid w:val="00347D4E"/>
    <w:rsid w:val="00347D9D"/>
    <w:rsid w:val="00347E88"/>
    <w:rsid w:val="00347F05"/>
    <w:rsid w:val="00350014"/>
    <w:rsid w:val="00350132"/>
    <w:rsid w:val="00350384"/>
    <w:rsid w:val="0035039A"/>
    <w:rsid w:val="003503ED"/>
    <w:rsid w:val="00350466"/>
    <w:rsid w:val="00350684"/>
    <w:rsid w:val="003506AF"/>
    <w:rsid w:val="00350844"/>
    <w:rsid w:val="00350D97"/>
    <w:rsid w:val="00350EEF"/>
    <w:rsid w:val="00350F19"/>
    <w:rsid w:val="00351121"/>
    <w:rsid w:val="0035154B"/>
    <w:rsid w:val="00351698"/>
    <w:rsid w:val="00351838"/>
    <w:rsid w:val="003519FC"/>
    <w:rsid w:val="00351A15"/>
    <w:rsid w:val="00351A24"/>
    <w:rsid w:val="00351D10"/>
    <w:rsid w:val="00351E26"/>
    <w:rsid w:val="00351F35"/>
    <w:rsid w:val="003520E7"/>
    <w:rsid w:val="00352286"/>
    <w:rsid w:val="0035237B"/>
    <w:rsid w:val="0035255E"/>
    <w:rsid w:val="00352582"/>
    <w:rsid w:val="00352583"/>
    <w:rsid w:val="00352615"/>
    <w:rsid w:val="003526BA"/>
    <w:rsid w:val="00352A2C"/>
    <w:rsid w:val="00352B2D"/>
    <w:rsid w:val="00352BB8"/>
    <w:rsid w:val="00352C16"/>
    <w:rsid w:val="00352ED1"/>
    <w:rsid w:val="00352FBF"/>
    <w:rsid w:val="00352FD9"/>
    <w:rsid w:val="00352FDD"/>
    <w:rsid w:val="00352FE6"/>
    <w:rsid w:val="003530B9"/>
    <w:rsid w:val="0035345A"/>
    <w:rsid w:val="003534D6"/>
    <w:rsid w:val="003534FB"/>
    <w:rsid w:val="00353734"/>
    <w:rsid w:val="003537C7"/>
    <w:rsid w:val="00353949"/>
    <w:rsid w:val="00353C98"/>
    <w:rsid w:val="00353D09"/>
    <w:rsid w:val="00353F42"/>
    <w:rsid w:val="0035409A"/>
    <w:rsid w:val="003540B7"/>
    <w:rsid w:val="003542F3"/>
    <w:rsid w:val="00354306"/>
    <w:rsid w:val="00354456"/>
    <w:rsid w:val="003544AC"/>
    <w:rsid w:val="003544AE"/>
    <w:rsid w:val="003545EB"/>
    <w:rsid w:val="00354608"/>
    <w:rsid w:val="003546A6"/>
    <w:rsid w:val="0035487F"/>
    <w:rsid w:val="003549A3"/>
    <w:rsid w:val="003549DE"/>
    <w:rsid w:val="00355367"/>
    <w:rsid w:val="003553B9"/>
    <w:rsid w:val="0035571E"/>
    <w:rsid w:val="00355760"/>
    <w:rsid w:val="00355967"/>
    <w:rsid w:val="00355E1B"/>
    <w:rsid w:val="00355E2B"/>
    <w:rsid w:val="00355E4A"/>
    <w:rsid w:val="00355F16"/>
    <w:rsid w:val="00355F33"/>
    <w:rsid w:val="003560B2"/>
    <w:rsid w:val="00356104"/>
    <w:rsid w:val="0035611A"/>
    <w:rsid w:val="00356142"/>
    <w:rsid w:val="003561DA"/>
    <w:rsid w:val="003562AD"/>
    <w:rsid w:val="00356313"/>
    <w:rsid w:val="00356347"/>
    <w:rsid w:val="00356497"/>
    <w:rsid w:val="0035660A"/>
    <w:rsid w:val="0035669A"/>
    <w:rsid w:val="003566FE"/>
    <w:rsid w:val="003568E7"/>
    <w:rsid w:val="003568F4"/>
    <w:rsid w:val="00356904"/>
    <w:rsid w:val="00356B39"/>
    <w:rsid w:val="00356C6A"/>
    <w:rsid w:val="00356DCE"/>
    <w:rsid w:val="0035700C"/>
    <w:rsid w:val="0035707C"/>
    <w:rsid w:val="0035712C"/>
    <w:rsid w:val="003571E3"/>
    <w:rsid w:val="0035737D"/>
    <w:rsid w:val="003573B8"/>
    <w:rsid w:val="003575AD"/>
    <w:rsid w:val="0035769B"/>
    <w:rsid w:val="0035770A"/>
    <w:rsid w:val="00357906"/>
    <w:rsid w:val="00357A9C"/>
    <w:rsid w:val="00357C7C"/>
    <w:rsid w:val="00357C9A"/>
    <w:rsid w:val="00357D0E"/>
    <w:rsid w:val="00357E75"/>
    <w:rsid w:val="00357F45"/>
    <w:rsid w:val="00357F79"/>
    <w:rsid w:val="00360105"/>
    <w:rsid w:val="0036039A"/>
    <w:rsid w:val="003605A7"/>
    <w:rsid w:val="003605DE"/>
    <w:rsid w:val="0036061A"/>
    <w:rsid w:val="00360637"/>
    <w:rsid w:val="003606E8"/>
    <w:rsid w:val="00360731"/>
    <w:rsid w:val="003608EF"/>
    <w:rsid w:val="00360913"/>
    <w:rsid w:val="00360A51"/>
    <w:rsid w:val="00360A71"/>
    <w:rsid w:val="00360A84"/>
    <w:rsid w:val="00360AFD"/>
    <w:rsid w:val="00360CA2"/>
    <w:rsid w:val="00360D0F"/>
    <w:rsid w:val="00360D39"/>
    <w:rsid w:val="00361085"/>
    <w:rsid w:val="003612F3"/>
    <w:rsid w:val="00361461"/>
    <w:rsid w:val="003617A3"/>
    <w:rsid w:val="003617F7"/>
    <w:rsid w:val="00361AAA"/>
    <w:rsid w:val="00361B6F"/>
    <w:rsid w:val="00361C3A"/>
    <w:rsid w:val="00361D41"/>
    <w:rsid w:val="00361DC5"/>
    <w:rsid w:val="00361F25"/>
    <w:rsid w:val="00362016"/>
    <w:rsid w:val="0036212B"/>
    <w:rsid w:val="00362133"/>
    <w:rsid w:val="00362197"/>
    <w:rsid w:val="0036224D"/>
    <w:rsid w:val="00362390"/>
    <w:rsid w:val="003624F8"/>
    <w:rsid w:val="0036273D"/>
    <w:rsid w:val="00362A3F"/>
    <w:rsid w:val="00362AAC"/>
    <w:rsid w:val="00362AC6"/>
    <w:rsid w:val="00362AEF"/>
    <w:rsid w:val="00362E74"/>
    <w:rsid w:val="00362FE3"/>
    <w:rsid w:val="00363022"/>
    <w:rsid w:val="003630B7"/>
    <w:rsid w:val="00363207"/>
    <w:rsid w:val="003633C0"/>
    <w:rsid w:val="00363461"/>
    <w:rsid w:val="00363563"/>
    <w:rsid w:val="003636C1"/>
    <w:rsid w:val="0036379F"/>
    <w:rsid w:val="0036385C"/>
    <w:rsid w:val="003638EE"/>
    <w:rsid w:val="0036391F"/>
    <w:rsid w:val="00363A1F"/>
    <w:rsid w:val="00363CE9"/>
    <w:rsid w:val="00363D60"/>
    <w:rsid w:val="00363DF9"/>
    <w:rsid w:val="00364283"/>
    <w:rsid w:val="00364288"/>
    <w:rsid w:val="003642A8"/>
    <w:rsid w:val="0036432C"/>
    <w:rsid w:val="003643EA"/>
    <w:rsid w:val="00364592"/>
    <w:rsid w:val="00364725"/>
    <w:rsid w:val="0036482B"/>
    <w:rsid w:val="003648EF"/>
    <w:rsid w:val="0036494F"/>
    <w:rsid w:val="00364BB4"/>
    <w:rsid w:val="00364CDF"/>
    <w:rsid w:val="00364D55"/>
    <w:rsid w:val="00364E24"/>
    <w:rsid w:val="00364E28"/>
    <w:rsid w:val="00364E4B"/>
    <w:rsid w:val="003650BE"/>
    <w:rsid w:val="003650F6"/>
    <w:rsid w:val="003651DD"/>
    <w:rsid w:val="0036533B"/>
    <w:rsid w:val="0036542B"/>
    <w:rsid w:val="00365473"/>
    <w:rsid w:val="003654C0"/>
    <w:rsid w:val="00365732"/>
    <w:rsid w:val="00365749"/>
    <w:rsid w:val="0036582D"/>
    <w:rsid w:val="00365841"/>
    <w:rsid w:val="00365941"/>
    <w:rsid w:val="0036598D"/>
    <w:rsid w:val="00365BDF"/>
    <w:rsid w:val="00365C6E"/>
    <w:rsid w:val="00365CC6"/>
    <w:rsid w:val="00365D61"/>
    <w:rsid w:val="00365D79"/>
    <w:rsid w:val="00365E33"/>
    <w:rsid w:val="00365F3D"/>
    <w:rsid w:val="00365FA4"/>
    <w:rsid w:val="00366050"/>
    <w:rsid w:val="003660E2"/>
    <w:rsid w:val="0036632D"/>
    <w:rsid w:val="00366622"/>
    <w:rsid w:val="0036671F"/>
    <w:rsid w:val="00366777"/>
    <w:rsid w:val="0036694E"/>
    <w:rsid w:val="003669B1"/>
    <w:rsid w:val="00366B75"/>
    <w:rsid w:val="00366B81"/>
    <w:rsid w:val="00366EBB"/>
    <w:rsid w:val="00366ECB"/>
    <w:rsid w:val="00366F80"/>
    <w:rsid w:val="00367029"/>
    <w:rsid w:val="00367091"/>
    <w:rsid w:val="003671A1"/>
    <w:rsid w:val="003673E9"/>
    <w:rsid w:val="0036742F"/>
    <w:rsid w:val="003674E8"/>
    <w:rsid w:val="00367625"/>
    <w:rsid w:val="00367738"/>
    <w:rsid w:val="00367780"/>
    <w:rsid w:val="0036781B"/>
    <w:rsid w:val="00367820"/>
    <w:rsid w:val="00367937"/>
    <w:rsid w:val="00367ACD"/>
    <w:rsid w:val="00367B38"/>
    <w:rsid w:val="00367B75"/>
    <w:rsid w:val="00367FD2"/>
    <w:rsid w:val="003701F0"/>
    <w:rsid w:val="0037032A"/>
    <w:rsid w:val="00370343"/>
    <w:rsid w:val="00370344"/>
    <w:rsid w:val="00370643"/>
    <w:rsid w:val="00370789"/>
    <w:rsid w:val="0037090D"/>
    <w:rsid w:val="00370BCA"/>
    <w:rsid w:val="00370CED"/>
    <w:rsid w:val="00370F70"/>
    <w:rsid w:val="00370F99"/>
    <w:rsid w:val="003710A4"/>
    <w:rsid w:val="0037113D"/>
    <w:rsid w:val="00371448"/>
    <w:rsid w:val="003716C5"/>
    <w:rsid w:val="003716DB"/>
    <w:rsid w:val="0037173F"/>
    <w:rsid w:val="00371A78"/>
    <w:rsid w:val="00371E1C"/>
    <w:rsid w:val="00371E2D"/>
    <w:rsid w:val="00371F56"/>
    <w:rsid w:val="00371FE4"/>
    <w:rsid w:val="00372185"/>
    <w:rsid w:val="00372310"/>
    <w:rsid w:val="00372475"/>
    <w:rsid w:val="003724BE"/>
    <w:rsid w:val="003724FF"/>
    <w:rsid w:val="00372521"/>
    <w:rsid w:val="00372693"/>
    <w:rsid w:val="0037269D"/>
    <w:rsid w:val="003727CB"/>
    <w:rsid w:val="0037284E"/>
    <w:rsid w:val="00372D9D"/>
    <w:rsid w:val="00372DC3"/>
    <w:rsid w:val="00372E0F"/>
    <w:rsid w:val="00372E5B"/>
    <w:rsid w:val="0037303C"/>
    <w:rsid w:val="003730C8"/>
    <w:rsid w:val="003731DB"/>
    <w:rsid w:val="00373216"/>
    <w:rsid w:val="00373294"/>
    <w:rsid w:val="003733B6"/>
    <w:rsid w:val="003733DD"/>
    <w:rsid w:val="0037374D"/>
    <w:rsid w:val="00373921"/>
    <w:rsid w:val="00373C05"/>
    <w:rsid w:val="00373C54"/>
    <w:rsid w:val="00373C88"/>
    <w:rsid w:val="00373FA0"/>
    <w:rsid w:val="0037406F"/>
    <w:rsid w:val="003740ED"/>
    <w:rsid w:val="003741E9"/>
    <w:rsid w:val="0037461C"/>
    <w:rsid w:val="0037471E"/>
    <w:rsid w:val="003747B1"/>
    <w:rsid w:val="003747CD"/>
    <w:rsid w:val="003747F9"/>
    <w:rsid w:val="003748E7"/>
    <w:rsid w:val="00374904"/>
    <w:rsid w:val="0037497B"/>
    <w:rsid w:val="003749C2"/>
    <w:rsid w:val="00374A46"/>
    <w:rsid w:val="00374AF5"/>
    <w:rsid w:val="00374C03"/>
    <w:rsid w:val="00374C36"/>
    <w:rsid w:val="00374D01"/>
    <w:rsid w:val="00374E8F"/>
    <w:rsid w:val="00374F65"/>
    <w:rsid w:val="00374FF3"/>
    <w:rsid w:val="00375061"/>
    <w:rsid w:val="00375069"/>
    <w:rsid w:val="003751DB"/>
    <w:rsid w:val="003753A0"/>
    <w:rsid w:val="00375462"/>
    <w:rsid w:val="00375528"/>
    <w:rsid w:val="0037552C"/>
    <w:rsid w:val="00375625"/>
    <w:rsid w:val="003756BF"/>
    <w:rsid w:val="003758ED"/>
    <w:rsid w:val="00375DC3"/>
    <w:rsid w:val="00375DF6"/>
    <w:rsid w:val="00375FC5"/>
    <w:rsid w:val="00375FD6"/>
    <w:rsid w:val="00376186"/>
    <w:rsid w:val="00376236"/>
    <w:rsid w:val="00376571"/>
    <w:rsid w:val="003767F9"/>
    <w:rsid w:val="00376A06"/>
    <w:rsid w:val="00376BE1"/>
    <w:rsid w:val="00376C0F"/>
    <w:rsid w:val="00376D74"/>
    <w:rsid w:val="00376F89"/>
    <w:rsid w:val="0037706C"/>
    <w:rsid w:val="00377145"/>
    <w:rsid w:val="0037716C"/>
    <w:rsid w:val="0037732A"/>
    <w:rsid w:val="003775E5"/>
    <w:rsid w:val="003776A5"/>
    <w:rsid w:val="0037777A"/>
    <w:rsid w:val="00377B4A"/>
    <w:rsid w:val="00377DEE"/>
    <w:rsid w:val="00377E81"/>
    <w:rsid w:val="00377ED4"/>
    <w:rsid w:val="00377EED"/>
    <w:rsid w:val="0038001B"/>
    <w:rsid w:val="0038001F"/>
    <w:rsid w:val="0038009B"/>
    <w:rsid w:val="003801EE"/>
    <w:rsid w:val="00380318"/>
    <w:rsid w:val="0038039A"/>
    <w:rsid w:val="00380422"/>
    <w:rsid w:val="003804C8"/>
    <w:rsid w:val="003804CC"/>
    <w:rsid w:val="00380790"/>
    <w:rsid w:val="003808B5"/>
    <w:rsid w:val="003808D3"/>
    <w:rsid w:val="0038095D"/>
    <w:rsid w:val="00380969"/>
    <w:rsid w:val="00380A2B"/>
    <w:rsid w:val="00380AA8"/>
    <w:rsid w:val="00380AB9"/>
    <w:rsid w:val="00380EA4"/>
    <w:rsid w:val="0038100B"/>
    <w:rsid w:val="003810B2"/>
    <w:rsid w:val="0038110D"/>
    <w:rsid w:val="0038111C"/>
    <w:rsid w:val="00381357"/>
    <w:rsid w:val="003813CA"/>
    <w:rsid w:val="00381555"/>
    <w:rsid w:val="0038156D"/>
    <w:rsid w:val="00381651"/>
    <w:rsid w:val="00381702"/>
    <w:rsid w:val="003819F4"/>
    <w:rsid w:val="00381AB2"/>
    <w:rsid w:val="00381AB6"/>
    <w:rsid w:val="00381B97"/>
    <w:rsid w:val="00381BD5"/>
    <w:rsid w:val="00381BF7"/>
    <w:rsid w:val="00381C92"/>
    <w:rsid w:val="00381CAF"/>
    <w:rsid w:val="00381CC2"/>
    <w:rsid w:val="00381D38"/>
    <w:rsid w:val="00381F3D"/>
    <w:rsid w:val="00382005"/>
    <w:rsid w:val="00382129"/>
    <w:rsid w:val="00382280"/>
    <w:rsid w:val="003823FE"/>
    <w:rsid w:val="00382433"/>
    <w:rsid w:val="00382587"/>
    <w:rsid w:val="003825EE"/>
    <w:rsid w:val="0038271A"/>
    <w:rsid w:val="00382726"/>
    <w:rsid w:val="003828A8"/>
    <w:rsid w:val="003829D2"/>
    <w:rsid w:val="00382B57"/>
    <w:rsid w:val="00382D24"/>
    <w:rsid w:val="00382E37"/>
    <w:rsid w:val="00382E81"/>
    <w:rsid w:val="00382E98"/>
    <w:rsid w:val="00382FCA"/>
    <w:rsid w:val="0038312A"/>
    <w:rsid w:val="0038314E"/>
    <w:rsid w:val="00383251"/>
    <w:rsid w:val="0038338C"/>
    <w:rsid w:val="003833AD"/>
    <w:rsid w:val="00383527"/>
    <w:rsid w:val="00383601"/>
    <w:rsid w:val="003836C6"/>
    <w:rsid w:val="0038390B"/>
    <w:rsid w:val="00383BDD"/>
    <w:rsid w:val="00383C95"/>
    <w:rsid w:val="00383EAC"/>
    <w:rsid w:val="00383EE1"/>
    <w:rsid w:val="00383F4B"/>
    <w:rsid w:val="00383F6D"/>
    <w:rsid w:val="00384110"/>
    <w:rsid w:val="0038420C"/>
    <w:rsid w:val="003843D4"/>
    <w:rsid w:val="00384414"/>
    <w:rsid w:val="00384540"/>
    <w:rsid w:val="0038489B"/>
    <w:rsid w:val="003848FD"/>
    <w:rsid w:val="0038494D"/>
    <w:rsid w:val="00384A85"/>
    <w:rsid w:val="00384B1C"/>
    <w:rsid w:val="00384BA5"/>
    <w:rsid w:val="00384C14"/>
    <w:rsid w:val="00384D91"/>
    <w:rsid w:val="00384EB1"/>
    <w:rsid w:val="00384FB2"/>
    <w:rsid w:val="0038503B"/>
    <w:rsid w:val="00385100"/>
    <w:rsid w:val="00385399"/>
    <w:rsid w:val="003853E3"/>
    <w:rsid w:val="003855B4"/>
    <w:rsid w:val="003855E9"/>
    <w:rsid w:val="003855EF"/>
    <w:rsid w:val="0038561A"/>
    <w:rsid w:val="00385654"/>
    <w:rsid w:val="00385704"/>
    <w:rsid w:val="0038570A"/>
    <w:rsid w:val="003857B8"/>
    <w:rsid w:val="003858B7"/>
    <w:rsid w:val="003858ED"/>
    <w:rsid w:val="00385ABD"/>
    <w:rsid w:val="00385ADF"/>
    <w:rsid w:val="00385B60"/>
    <w:rsid w:val="00385CCE"/>
    <w:rsid w:val="00385DD6"/>
    <w:rsid w:val="00385E6B"/>
    <w:rsid w:val="00385FB2"/>
    <w:rsid w:val="003860E8"/>
    <w:rsid w:val="00386168"/>
    <w:rsid w:val="00386357"/>
    <w:rsid w:val="003863B2"/>
    <w:rsid w:val="00386730"/>
    <w:rsid w:val="003868F1"/>
    <w:rsid w:val="00386979"/>
    <w:rsid w:val="00386980"/>
    <w:rsid w:val="0038699A"/>
    <w:rsid w:val="00386ACC"/>
    <w:rsid w:val="00386C9E"/>
    <w:rsid w:val="00386DB6"/>
    <w:rsid w:val="00386DF4"/>
    <w:rsid w:val="00386F17"/>
    <w:rsid w:val="0038703A"/>
    <w:rsid w:val="0038753B"/>
    <w:rsid w:val="0038757F"/>
    <w:rsid w:val="003875DF"/>
    <w:rsid w:val="00387611"/>
    <w:rsid w:val="0038767C"/>
    <w:rsid w:val="003876E9"/>
    <w:rsid w:val="00387777"/>
    <w:rsid w:val="003878A2"/>
    <w:rsid w:val="00387930"/>
    <w:rsid w:val="00387A27"/>
    <w:rsid w:val="00387AAF"/>
    <w:rsid w:val="00387AEA"/>
    <w:rsid w:val="00387BB5"/>
    <w:rsid w:val="00387C54"/>
    <w:rsid w:val="00387ED1"/>
    <w:rsid w:val="0039008A"/>
    <w:rsid w:val="00390133"/>
    <w:rsid w:val="003901B6"/>
    <w:rsid w:val="00390236"/>
    <w:rsid w:val="00390406"/>
    <w:rsid w:val="00390577"/>
    <w:rsid w:val="00390790"/>
    <w:rsid w:val="003907BA"/>
    <w:rsid w:val="003908B8"/>
    <w:rsid w:val="003909DD"/>
    <w:rsid w:val="00390A79"/>
    <w:rsid w:val="00390AD1"/>
    <w:rsid w:val="00390B36"/>
    <w:rsid w:val="00390BBD"/>
    <w:rsid w:val="00390C80"/>
    <w:rsid w:val="00390C9F"/>
    <w:rsid w:val="00390E17"/>
    <w:rsid w:val="00390E2E"/>
    <w:rsid w:val="00390EB5"/>
    <w:rsid w:val="00390FD6"/>
    <w:rsid w:val="00391083"/>
    <w:rsid w:val="00391087"/>
    <w:rsid w:val="0039121C"/>
    <w:rsid w:val="003913F1"/>
    <w:rsid w:val="003915B4"/>
    <w:rsid w:val="003915B8"/>
    <w:rsid w:val="0039164A"/>
    <w:rsid w:val="00391671"/>
    <w:rsid w:val="003917B3"/>
    <w:rsid w:val="00391847"/>
    <w:rsid w:val="00391899"/>
    <w:rsid w:val="0039190E"/>
    <w:rsid w:val="003919E9"/>
    <w:rsid w:val="00391BD4"/>
    <w:rsid w:val="00391F9D"/>
    <w:rsid w:val="0039230F"/>
    <w:rsid w:val="00392414"/>
    <w:rsid w:val="003925CE"/>
    <w:rsid w:val="003926CA"/>
    <w:rsid w:val="00392744"/>
    <w:rsid w:val="003928D6"/>
    <w:rsid w:val="00392981"/>
    <w:rsid w:val="00392B63"/>
    <w:rsid w:val="00392E0B"/>
    <w:rsid w:val="00392FCE"/>
    <w:rsid w:val="00393156"/>
    <w:rsid w:val="00393197"/>
    <w:rsid w:val="003931B9"/>
    <w:rsid w:val="003931E9"/>
    <w:rsid w:val="003932C1"/>
    <w:rsid w:val="003932C8"/>
    <w:rsid w:val="00393316"/>
    <w:rsid w:val="00393463"/>
    <w:rsid w:val="0039349A"/>
    <w:rsid w:val="003936C6"/>
    <w:rsid w:val="0039370B"/>
    <w:rsid w:val="00393805"/>
    <w:rsid w:val="00393A33"/>
    <w:rsid w:val="00393A3A"/>
    <w:rsid w:val="00393B47"/>
    <w:rsid w:val="00393B70"/>
    <w:rsid w:val="00393BE9"/>
    <w:rsid w:val="00393DFF"/>
    <w:rsid w:val="00393E6D"/>
    <w:rsid w:val="00393EDC"/>
    <w:rsid w:val="00393FEB"/>
    <w:rsid w:val="0039416E"/>
    <w:rsid w:val="003941DE"/>
    <w:rsid w:val="003941E6"/>
    <w:rsid w:val="003941F2"/>
    <w:rsid w:val="0039422E"/>
    <w:rsid w:val="0039457E"/>
    <w:rsid w:val="0039459B"/>
    <w:rsid w:val="003946FC"/>
    <w:rsid w:val="00394701"/>
    <w:rsid w:val="00394778"/>
    <w:rsid w:val="00394925"/>
    <w:rsid w:val="00394B9F"/>
    <w:rsid w:val="00394DB6"/>
    <w:rsid w:val="00394DE8"/>
    <w:rsid w:val="003951C4"/>
    <w:rsid w:val="00395327"/>
    <w:rsid w:val="00395428"/>
    <w:rsid w:val="0039558D"/>
    <w:rsid w:val="00395895"/>
    <w:rsid w:val="003958DA"/>
    <w:rsid w:val="00395A5A"/>
    <w:rsid w:val="00395A8B"/>
    <w:rsid w:val="00395B17"/>
    <w:rsid w:val="00395C79"/>
    <w:rsid w:val="00395CDB"/>
    <w:rsid w:val="00395D7E"/>
    <w:rsid w:val="0039602C"/>
    <w:rsid w:val="0039621E"/>
    <w:rsid w:val="003962CC"/>
    <w:rsid w:val="00396307"/>
    <w:rsid w:val="0039649A"/>
    <w:rsid w:val="003964CD"/>
    <w:rsid w:val="00396557"/>
    <w:rsid w:val="003965F6"/>
    <w:rsid w:val="0039670B"/>
    <w:rsid w:val="00396782"/>
    <w:rsid w:val="003967F1"/>
    <w:rsid w:val="00396887"/>
    <w:rsid w:val="003968BD"/>
    <w:rsid w:val="00396A0D"/>
    <w:rsid w:val="00396A58"/>
    <w:rsid w:val="00396A9A"/>
    <w:rsid w:val="00396ADD"/>
    <w:rsid w:val="00396B71"/>
    <w:rsid w:val="00396D90"/>
    <w:rsid w:val="00396E71"/>
    <w:rsid w:val="00396EDC"/>
    <w:rsid w:val="00397322"/>
    <w:rsid w:val="00397399"/>
    <w:rsid w:val="00397560"/>
    <w:rsid w:val="003976A4"/>
    <w:rsid w:val="00397736"/>
    <w:rsid w:val="003978C5"/>
    <w:rsid w:val="00397A7B"/>
    <w:rsid w:val="00397C27"/>
    <w:rsid w:val="00397D37"/>
    <w:rsid w:val="00397EE6"/>
    <w:rsid w:val="003A011A"/>
    <w:rsid w:val="003A02AD"/>
    <w:rsid w:val="003A0376"/>
    <w:rsid w:val="003A0538"/>
    <w:rsid w:val="003A07FC"/>
    <w:rsid w:val="003A098F"/>
    <w:rsid w:val="003A0CC0"/>
    <w:rsid w:val="003A0D93"/>
    <w:rsid w:val="003A0DAC"/>
    <w:rsid w:val="003A0EE2"/>
    <w:rsid w:val="003A0FFF"/>
    <w:rsid w:val="003A1037"/>
    <w:rsid w:val="003A11F7"/>
    <w:rsid w:val="003A12BC"/>
    <w:rsid w:val="003A17C8"/>
    <w:rsid w:val="003A19E8"/>
    <w:rsid w:val="003A1DE3"/>
    <w:rsid w:val="003A1E95"/>
    <w:rsid w:val="003A20DF"/>
    <w:rsid w:val="003A215D"/>
    <w:rsid w:val="003A21B3"/>
    <w:rsid w:val="003A2207"/>
    <w:rsid w:val="003A22B9"/>
    <w:rsid w:val="003A22FD"/>
    <w:rsid w:val="003A232E"/>
    <w:rsid w:val="003A234C"/>
    <w:rsid w:val="003A2478"/>
    <w:rsid w:val="003A24EA"/>
    <w:rsid w:val="003A255B"/>
    <w:rsid w:val="003A266F"/>
    <w:rsid w:val="003A271F"/>
    <w:rsid w:val="003A2745"/>
    <w:rsid w:val="003A29B5"/>
    <w:rsid w:val="003A2B7A"/>
    <w:rsid w:val="003A2EC6"/>
    <w:rsid w:val="003A2F3F"/>
    <w:rsid w:val="003A2F4C"/>
    <w:rsid w:val="003A2FE9"/>
    <w:rsid w:val="003A3055"/>
    <w:rsid w:val="003A30E0"/>
    <w:rsid w:val="003A31B1"/>
    <w:rsid w:val="003A31D1"/>
    <w:rsid w:val="003A32F5"/>
    <w:rsid w:val="003A32FA"/>
    <w:rsid w:val="003A3326"/>
    <w:rsid w:val="003A33C2"/>
    <w:rsid w:val="003A3491"/>
    <w:rsid w:val="003A34A2"/>
    <w:rsid w:val="003A36D4"/>
    <w:rsid w:val="003A380A"/>
    <w:rsid w:val="003A3825"/>
    <w:rsid w:val="003A3889"/>
    <w:rsid w:val="003A390A"/>
    <w:rsid w:val="003A3A0C"/>
    <w:rsid w:val="003A3A42"/>
    <w:rsid w:val="003A3A4D"/>
    <w:rsid w:val="003A3B0D"/>
    <w:rsid w:val="003A3B59"/>
    <w:rsid w:val="003A3DD7"/>
    <w:rsid w:val="003A3F8C"/>
    <w:rsid w:val="003A4188"/>
    <w:rsid w:val="003A422C"/>
    <w:rsid w:val="003A4533"/>
    <w:rsid w:val="003A45D7"/>
    <w:rsid w:val="003A47CA"/>
    <w:rsid w:val="003A482A"/>
    <w:rsid w:val="003A49D9"/>
    <w:rsid w:val="003A4A72"/>
    <w:rsid w:val="003A4B4F"/>
    <w:rsid w:val="003A4B57"/>
    <w:rsid w:val="003A4CA5"/>
    <w:rsid w:val="003A4DDD"/>
    <w:rsid w:val="003A4DEE"/>
    <w:rsid w:val="003A4F2B"/>
    <w:rsid w:val="003A4FA5"/>
    <w:rsid w:val="003A5085"/>
    <w:rsid w:val="003A51F4"/>
    <w:rsid w:val="003A53C3"/>
    <w:rsid w:val="003A550D"/>
    <w:rsid w:val="003A56AB"/>
    <w:rsid w:val="003A56DB"/>
    <w:rsid w:val="003A5813"/>
    <w:rsid w:val="003A585C"/>
    <w:rsid w:val="003A5867"/>
    <w:rsid w:val="003A593D"/>
    <w:rsid w:val="003A593F"/>
    <w:rsid w:val="003A59D8"/>
    <w:rsid w:val="003A5A76"/>
    <w:rsid w:val="003A5B9E"/>
    <w:rsid w:val="003A5C68"/>
    <w:rsid w:val="003A5D0A"/>
    <w:rsid w:val="003A5D58"/>
    <w:rsid w:val="003A5DE1"/>
    <w:rsid w:val="003A5E64"/>
    <w:rsid w:val="003A5F1D"/>
    <w:rsid w:val="003A606A"/>
    <w:rsid w:val="003A60C6"/>
    <w:rsid w:val="003A6101"/>
    <w:rsid w:val="003A626E"/>
    <w:rsid w:val="003A62AC"/>
    <w:rsid w:val="003A6333"/>
    <w:rsid w:val="003A636B"/>
    <w:rsid w:val="003A647A"/>
    <w:rsid w:val="003A6482"/>
    <w:rsid w:val="003A655B"/>
    <w:rsid w:val="003A664E"/>
    <w:rsid w:val="003A6933"/>
    <w:rsid w:val="003A6A62"/>
    <w:rsid w:val="003A6A6B"/>
    <w:rsid w:val="003A6A77"/>
    <w:rsid w:val="003A6D50"/>
    <w:rsid w:val="003A6D7B"/>
    <w:rsid w:val="003A6D8A"/>
    <w:rsid w:val="003A6D98"/>
    <w:rsid w:val="003A6E85"/>
    <w:rsid w:val="003A703C"/>
    <w:rsid w:val="003A7188"/>
    <w:rsid w:val="003A72A5"/>
    <w:rsid w:val="003A72BC"/>
    <w:rsid w:val="003A7437"/>
    <w:rsid w:val="003A75C4"/>
    <w:rsid w:val="003A796C"/>
    <w:rsid w:val="003A7A30"/>
    <w:rsid w:val="003A7A5D"/>
    <w:rsid w:val="003A7BA4"/>
    <w:rsid w:val="003A7BC2"/>
    <w:rsid w:val="003A7D15"/>
    <w:rsid w:val="003A7DF0"/>
    <w:rsid w:val="003B0210"/>
    <w:rsid w:val="003B0260"/>
    <w:rsid w:val="003B03A4"/>
    <w:rsid w:val="003B03C2"/>
    <w:rsid w:val="003B0461"/>
    <w:rsid w:val="003B0572"/>
    <w:rsid w:val="003B0620"/>
    <w:rsid w:val="003B0865"/>
    <w:rsid w:val="003B0866"/>
    <w:rsid w:val="003B09F5"/>
    <w:rsid w:val="003B0CB5"/>
    <w:rsid w:val="003B0E15"/>
    <w:rsid w:val="003B0E30"/>
    <w:rsid w:val="003B0F47"/>
    <w:rsid w:val="003B0F55"/>
    <w:rsid w:val="003B1071"/>
    <w:rsid w:val="003B1188"/>
    <w:rsid w:val="003B11B1"/>
    <w:rsid w:val="003B12B2"/>
    <w:rsid w:val="003B13EC"/>
    <w:rsid w:val="003B15CB"/>
    <w:rsid w:val="003B1854"/>
    <w:rsid w:val="003B197E"/>
    <w:rsid w:val="003B1CAF"/>
    <w:rsid w:val="003B1D5D"/>
    <w:rsid w:val="003B1E37"/>
    <w:rsid w:val="003B1E80"/>
    <w:rsid w:val="003B1E8F"/>
    <w:rsid w:val="003B2059"/>
    <w:rsid w:val="003B20DD"/>
    <w:rsid w:val="003B20DE"/>
    <w:rsid w:val="003B216A"/>
    <w:rsid w:val="003B228A"/>
    <w:rsid w:val="003B22BF"/>
    <w:rsid w:val="003B240F"/>
    <w:rsid w:val="003B26A7"/>
    <w:rsid w:val="003B2705"/>
    <w:rsid w:val="003B275E"/>
    <w:rsid w:val="003B27ED"/>
    <w:rsid w:val="003B2803"/>
    <w:rsid w:val="003B2829"/>
    <w:rsid w:val="003B2880"/>
    <w:rsid w:val="003B294B"/>
    <w:rsid w:val="003B29AD"/>
    <w:rsid w:val="003B2DC0"/>
    <w:rsid w:val="003B2ED7"/>
    <w:rsid w:val="003B2EEC"/>
    <w:rsid w:val="003B2F6E"/>
    <w:rsid w:val="003B30A1"/>
    <w:rsid w:val="003B31E7"/>
    <w:rsid w:val="003B320E"/>
    <w:rsid w:val="003B3265"/>
    <w:rsid w:val="003B3409"/>
    <w:rsid w:val="003B3727"/>
    <w:rsid w:val="003B3771"/>
    <w:rsid w:val="003B3777"/>
    <w:rsid w:val="003B3829"/>
    <w:rsid w:val="003B3AA4"/>
    <w:rsid w:val="003B3AEE"/>
    <w:rsid w:val="003B3B4A"/>
    <w:rsid w:val="003B3B64"/>
    <w:rsid w:val="003B3CE6"/>
    <w:rsid w:val="003B3E64"/>
    <w:rsid w:val="003B3F4D"/>
    <w:rsid w:val="003B4040"/>
    <w:rsid w:val="003B43AB"/>
    <w:rsid w:val="003B4467"/>
    <w:rsid w:val="003B459B"/>
    <w:rsid w:val="003B4667"/>
    <w:rsid w:val="003B46C5"/>
    <w:rsid w:val="003B471A"/>
    <w:rsid w:val="003B478B"/>
    <w:rsid w:val="003B48D9"/>
    <w:rsid w:val="003B4910"/>
    <w:rsid w:val="003B49CD"/>
    <w:rsid w:val="003B4A83"/>
    <w:rsid w:val="003B4AD2"/>
    <w:rsid w:val="003B4BD3"/>
    <w:rsid w:val="003B4BED"/>
    <w:rsid w:val="003B4C63"/>
    <w:rsid w:val="003B4C6B"/>
    <w:rsid w:val="003B4E12"/>
    <w:rsid w:val="003B4FA7"/>
    <w:rsid w:val="003B4FC7"/>
    <w:rsid w:val="003B4FF1"/>
    <w:rsid w:val="003B51F7"/>
    <w:rsid w:val="003B53FA"/>
    <w:rsid w:val="003B55BD"/>
    <w:rsid w:val="003B5601"/>
    <w:rsid w:val="003B5B5A"/>
    <w:rsid w:val="003B5C17"/>
    <w:rsid w:val="003B5C68"/>
    <w:rsid w:val="003B5F52"/>
    <w:rsid w:val="003B6018"/>
    <w:rsid w:val="003B6181"/>
    <w:rsid w:val="003B62E5"/>
    <w:rsid w:val="003B62EA"/>
    <w:rsid w:val="003B63C7"/>
    <w:rsid w:val="003B6498"/>
    <w:rsid w:val="003B64E6"/>
    <w:rsid w:val="003B650E"/>
    <w:rsid w:val="003B6582"/>
    <w:rsid w:val="003B65B9"/>
    <w:rsid w:val="003B65FA"/>
    <w:rsid w:val="003B660A"/>
    <w:rsid w:val="003B66E1"/>
    <w:rsid w:val="003B67B2"/>
    <w:rsid w:val="003B6955"/>
    <w:rsid w:val="003B69B6"/>
    <w:rsid w:val="003B6BAD"/>
    <w:rsid w:val="003B6BF7"/>
    <w:rsid w:val="003B6C16"/>
    <w:rsid w:val="003B6D84"/>
    <w:rsid w:val="003B6D94"/>
    <w:rsid w:val="003B6F73"/>
    <w:rsid w:val="003B6FF1"/>
    <w:rsid w:val="003B71D4"/>
    <w:rsid w:val="003B71D7"/>
    <w:rsid w:val="003B71E8"/>
    <w:rsid w:val="003B7241"/>
    <w:rsid w:val="003B73B8"/>
    <w:rsid w:val="003B73E7"/>
    <w:rsid w:val="003B73F8"/>
    <w:rsid w:val="003B744C"/>
    <w:rsid w:val="003B74BC"/>
    <w:rsid w:val="003B7537"/>
    <w:rsid w:val="003B75B0"/>
    <w:rsid w:val="003B78B6"/>
    <w:rsid w:val="003B7943"/>
    <w:rsid w:val="003B79A3"/>
    <w:rsid w:val="003B7A39"/>
    <w:rsid w:val="003B7AE9"/>
    <w:rsid w:val="003B7BB0"/>
    <w:rsid w:val="003B7BD8"/>
    <w:rsid w:val="003B7E55"/>
    <w:rsid w:val="003B7F77"/>
    <w:rsid w:val="003C0048"/>
    <w:rsid w:val="003C0262"/>
    <w:rsid w:val="003C03CE"/>
    <w:rsid w:val="003C03DE"/>
    <w:rsid w:val="003C04DB"/>
    <w:rsid w:val="003C0513"/>
    <w:rsid w:val="003C060C"/>
    <w:rsid w:val="003C0613"/>
    <w:rsid w:val="003C0738"/>
    <w:rsid w:val="003C0750"/>
    <w:rsid w:val="003C0781"/>
    <w:rsid w:val="003C0794"/>
    <w:rsid w:val="003C086F"/>
    <w:rsid w:val="003C0877"/>
    <w:rsid w:val="003C091A"/>
    <w:rsid w:val="003C0A8F"/>
    <w:rsid w:val="003C0AD8"/>
    <w:rsid w:val="003C0BF1"/>
    <w:rsid w:val="003C0C1D"/>
    <w:rsid w:val="003C106A"/>
    <w:rsid w:val="003C10A0"/>
    <w:rsid w:val="003C117D"/>
    <w:rsid w:val="003C12AD"/>
    <w:rsid w:val="003C136E"/>
    <w:rsid w:val="003C15C8"/>
    <w:rsid w:val="003C1799"/>
    <w:rsid w:val="003C1A55"/>
    <w:rsid w:val="003C1B4E"/>
    <w:rsid w:val="003C1C4F"/>
    <w:rsid w:val="003C1C70"/>
    <w:rsid w:val="003C1D64"/>
    <w:rsid w:val="003C1E0D"/>
    <w:rsid w:val="003C1E7A"/>
    <w:rsid w:val="003C2100"/>
    <w:rsid w:val="003C214A"/>
    <w:rsid w:val="003C2213"/>
    <w:rsid w:val="003C2503"/>
    <w:rsid w:val="003C26AE"/>
    <w:rsid w:val="003C26F1"/>
    <w:rsid w:val="003C27B8"/>
    <w:rsid w:val="003C28E5"/>
    <w:rsid w:val="003C2968"/>
    <w:rsid w:val="003C29C4"/>
    <w:rsid w:val="003C29E9"/>
    <w:rsid w:val="003C2ADC"/>
    <w:rsid w:val="003C2B13"/>
    <w:rsid w:val="003C2BA2"/>
    <w:rsid w:val="003C2BD1"/>
    <w:rsid w:val="003C2CE6"/>
    <w:rsid w:val="003C2CEC"/>
    <w:rsid w:val="003C2DDD"/>
    <w:rsid w:val="003C2DFA"/>
    <w:rsid w:val="003C306C"/>
    <w:rsid w:val="003C355A"/>
    <w:rsid w:val="003C3946"/>
    <w:rsid w:val="003C3A15"/>
    <w:rsid w:val="003C3A9A"/>
    <w:rsid w:val="003C3D4F"/>
    <w:rsid w:val="003C3EA0"/>
    <w:rsid w:val="003C407F"/>
    <w:rsid w:val="003C4283"/>
    <w:rsid w:val="003C4339"/>
    <w:rsid w:val="003C43D7"/>
    <w:rsid w:val="003C43E2"/>
    <w:rsid w:val="003C4531"/>
    <w:rsid w:val="003C4565"/>
    <w:rsid w:val="003C46C1"/>
    <w:rsid w:val="003C474F"/>
    <w:rsid w:val="003C4764"/>
    <w:rsid w:val="003C4846"/>
    <w:rsid w:val="003C4B09"/>
    <w:rsid w:val="003C4E60"/>
    <w:rsid w:val="003C52A5"/>
    <w:rsid w:val="003C5448"/>
    <w:rsid w:val="003C5510"/>
    <w:rsid w:val="003C5791"/>
    <w:rsid w:val="003C59AB"/>
    <w:rsid w:val="003C59CA"/>
    <w:rsid w:val="003C5A83"/>
    <w:rsid w:val="003C5C1A"/>
    <w:rsid w:val="003C5C7F"/>
    <w:rsid w:val="003C5D08"/>
    <w:rsid w:val="003C5D38"/>
    <w:rsid w:val="003C5DB4"/>
    <w:rsid w:val="003C5F25"/>
    <w:rsid w:val="003C5FAF"/>
    <w:rsid w:val="003C6021"/>
    <w:rsid w:val="003C60FB"/>
    <w:rsid w:val="003C63C0"/>
    <w:rsid w:val="003C63F1"/>
    <w:rsid w:val="003C6420"/>
    <w:rsid w:val="003C661A"/>
    <w:rsid w:val="003C6649"/>
    <w:rsid w:val="003C6884"/>
    <w:rsid w:val="003C6911"/>
    <w:rsid w:val="003C69E4"/>
    <w:rsid w:val="003C6B00"/>
    <w:rsid w:val="003C6FE4"/>
    <w:rsid w:val="003C6FF5"/>
    <w:rsid w:val="003C70D3"/>
    <w:rsid w:val="003C71DB"/>
    <w:rsid w:val="003C7297"/>
    <w:rsid w:val="003C72A6"/>
    <w:rsid w:val="003C72CF"/>
    <w:rsid w:val="003C735D"/>
    <w:rsid w:val="003C7636"/>
    <w:rsid w:val="003C7A75"/>
    <w:rsid w:val="003C7A7E"/>
    <w:rsid w:val="003C7A9D"/>
    <w:rsid w:val="003C7AF2"/>
    <w:rsid w:val="003C7B47"/>
    <w:rsid w:val="003C7C10"/>
    <w:rsid w:val="003C7C5D"/>
    <w:rsid w:val="003C7C72"/>
    <w:rsid w:val="003C7D1F"/>
    <w:rsid w:val="003C7D87"/>
    <w:rsid w:val="003C7D89"/>
    <w:rsid w:val="003C7EF4"/>
    <w:rsid w:val="003D0122"/>
    <w:rsid w:val="003D02A5"/>
    <w:rsid w:val="003D0319"/>
    <w:rsid w:val="003D0496"/>
    <w:rsid w:val="003D0887"/>
    <w:rsid w:val="003D08E3"/>
    <w:rsid w:val="003D09FD"/>
    <w:rsid w:val="003D0A66"/>
    <w:rsid w:val="003D0B90"/>
    <w:rsid w:val="003D0BB5"/>
    <w:rsid w:val="003D0CEC"/>
    <w:rsid w:val="003D0D4C"/>
    <w:rsid w:val="003D0DC6"/>
    <w:rsid w:val="003D0FB5"/>
    <w:rsid w:val="003D1158"/>
    <w:rsid w:val="003D115C"/>
    <w:rsid w:val="003D1279"/>
    <w:rsid w:val="003D13D7"/>
    <w:rsid w:val="003D1413"/>
    <w:rsid w:val="003D1509"/>
    <w:rsid w:val="003D1511"/>
    <w:rsid w:val="003D15EB"/>
    <w:rsid w:val="003D1844"/>
    <w:rsid w:val="003D19B4"/>
    <w:rsid w:val="003D1B12"/>
    <w:rsid w:val="003D1B92"/>
    <w:rsid w:val="003D1D07"/>
    <w:rsid w:val="003D1FDD"/>
    <w:rsid w:val="003D2081"/>
    <w:rsid w:val="003D208F"/>
    <w:rsid w:val="003D20A1"/>
    <w:rsid w:val="003D20A3"/>
    <w:rsid w:val="003D20AD"/>
    <w:rsid w:val="003D20D1"/>
    <w:rsid w:val="003D20F6"/>
    <w:rsid w:val="003D2254"/>
    <w:rsid w:val="003D2498"/>
    <w:rsid w:val="003D2677"/>
    <w:rsid w:val="003D28ED"/>
    <w:rsid w:val="003D2A54"/>
    <w:rsid w:val="003D2CD1"/>
    <w:rsid w:val="003D2DE8"/>
    <w:rsid w:val="003D3091"/>
    <w:rsid w:val="003D340F"/>
    <w:rsid w:val="003D34AB"/>
    <w:rsid w:val="003D3752"/>
    <w:rsid w:val="003D3787"/>
    <w:rsid w:val="003D379A"/>
    <w:rsid w:val="003D3998"/>
    <w:rsid w:val="003D3DA2"/>
    <w:rsid w:val="003D3E81"/>
    <w:rsid w:val="003D40C7"/>
    <w:rsid w:val="003D4103"/>
    <w:rsid w:val="003D414A"/>
    <w:rsid w:val="003D4155"/>
    <w:rsid w:val="003D41D8"/>
    <w:rsid w:val="003D4230"/>
    <w:rsid w:val="003D4331"/>
    <w:rsid w:val="003D439A"/>
    <w:rsid w:val="003D43A0"/>
    <w:rsid w:val="003D440B"/>
    <w:rsid w:val="003D452E"/>
    <w:rsid w:val="003D4537"/>
    <w:rsid w:val="003D4581"/>
    <w:rsid w:val="003D479B"/>
    <w:rsid w:val="003D49E3"/>
    <w:rsid w:val="003D4AB6"/>
    <w:rsid w:val="003D4C56"/>
    <w:rsid w:val="003D4CE2"/>
    <w:rsid w:val="003D4D0A"/>
    <w:rsid w:val="003D4EB3"/>
    <w:rsid w:val="003D52E2"/>
    <w:rsid w:val="003D54AC"/>
    <w:rsid w:val="003D550D"/>
    <w:rsid w:val="003D56F5"/>
    <w:rsid w:val="003D5906"/>
    <w:rsid w:val="003D5A2F"/>
    <w:rsid w:val="003D5CA8"/>
    <w:rsid w:val="003D5F12"/>
    <w:rsid w:val="003D6070"/>
    <w:rsid w:val="003D6190"/>
    <w:rsid w:val="003D649C"/>
    <w:rsid w:val="003D661F"/>
    <w:rsid w:val="003D6647"/>
    <w:rsid w:val="003D674B"/>
    <w:rsid w:val="003D69EB"/>
    <w:rsid w:val="003D6A5E"/>
    <w:rsid w:val="003D6A84"/>
    <w:rsid w:val="003D6B43"/>
    <w:rsid w:val="003D6BE8"/>
    <w:rsid w:val="003D6C59"/>
    <w:rsid w:val="003D6C9A"/>
    <w:rsid w:val="003D6CBC"/>
    <w:rsid w:val="003D6CCF"/>
    <w:rsid w:val="003D6D82"/>
    <w:rsid w:val="003D6DB4"/>
    <w:rsid w:val="003D6E65"/>
    <w:rsid w:val="003D6ECF"/>
    <w:rsid w:val="003D6F17"/>
    <w:rsid w:val="003D70A8"/>
    <w:rsid w:val="003D70F7"/>
    <w:rsid w:val="003D7139"/>
    <w:rsid w:val="003D7243"/>
    <w:rsid w:val="003D726B"/>
    <w:rsid w:val="003D734D"/>
    <w:rsid w:val="003D739C"/>
    <w:rsid w:val="003D73F5"/>
    <w:rsid w:val="003D773F"/>
    <w:rsid w:val="003D7791"/>
    <w:rsid w:val="003D779B"/>
    <w:rsid w:val="003D790F"/>
    <w:rsid w:val="003D7937"/>
    <w:rsid w:val="003D7BE9"/>
    <w:rsid w:val="003D7C68"/>
    <w:rsid w:val="003D7C6D"/>
    <w:rsid w:val="003D7D5A"/>
    <w:rsid w:val="003D7D78"/>
    <w:rsid w:val="003D7DC7"/>
    <w:rsid w:val="003D7DE4"/>
    <w:rsid w:val="003D7EBF"/>
    <w:rsid w:val="003D7F57"/>
    <w:rsid w:val="003E004A"/>
    <w:rsid w:val="003E017C"/>
    <w:rsid w:val="003E022B"/>
    <w:rsid w:val="003E02FC"/>
    <w:rsid w:val="003E0399"/>
    <w:rsid w:val="003E04FC"/>
    <w:rsid w:val="003E07A6"/>
    <w:rsid w:val="003E082A"/>
    <w:rsid w:val="003E09D4"/>
    <w:rsid w:val="003E0A58"/>
    <w:rsid w:val="003E0A91"/>
    <w:rsid w:val="003E0E3D"/>
    <w:rsid w:val="003E0E63"/>
    <w:rsid w:val="003E149B"/>
    <w:rsid w:val="003E14A0"/>
    <w:rsid w:val="003E1546"/>
    <w:rsid w:val="003E15FA"/>
    <w:rsid w:val="003E16DD"/>
    <w:rsid w:val="003E1A80"/>
    <w:rsid w:val="003E1BC9"/>
    <w:rsid w:val="003E1C9D"/>
    <w:rsid w:val="003E1DE5"/>
    <w:rsid w:val="003E1E92"/>
    <w:rsid w:val="003E1FC9"/>
    <w:rsid w:val="003E20BE"/>
    <w:rsid w:val="003E2126"/>
    <w:rsid w:val="003E214D"/>
    <w:rsid w:val="003E2157"/>
    <w:rsid w:val="003E2268"/>
    <w:rsid w:val="003E232A"/>
    <w:rsid w:val="003E2380"/>
    <w:rsid w:val="003E25C5"/>
    <w:rsid w:val="003E268F"/>
    <w:rsid w:val="003E285D"/>
    <w:rsid w:val="003E2A49"/>
    <w:rsid w:val="003E2A6F"/>
    <w:rsid w:val="003E2A8F"/>
    <w:rsid w:val="003E2D33"/>
    <w:rsid w:val="003E2D60"/>
    <w:rsid w:val="003E2DE9"/>
    <w:rsid w:val="003E327D"/>
    <w:rsid w:val="003E329B"/>
    <w:rsid w:val="003E32FD"/>
    <w:rsid w:val="003E33BD"/>
    <w:rsid w:val="003E33EC"/>
    <w:rsid w:val="003E3476"/>
    <w:rsid w:val="003E34DA"/>
    <w:rsid w:val="003E3538"/>
    <w:rsid w:val="003E353F"/>
    <w:rsid w:val="003E356D"/>
    <w:rsid w:val="003E35B8"/>
    <w:rsid w:val="003E361D"/>
    <w:rsid w:val="003E366F"/>
    <w:rsid w:val="003E370B"/>
    <w:rsid w:val="003E3830"/>
    <w:rsid w:val="003E38A3"/>
    <w:rsid w:val="003E38C7"/>
    <w:rsid w:val="003E38E8"/>
    <w:rsid w:val="003E3955"/>
    <w:rsid w:val="003E3988"/>
    <w:rsid w:val="003E3BCB"/>
    <w:rsid w:val="003E3CDC"/>
    <w:rsid w:val="003E3D34"/>
    <w:rsid w:val="003E3D65"/>
    <w:rsid w:val="003E3EEB"/>
    <w:rsid w:val="003E40D2"/>
    <w:rsid w:val="003E4228"/>
    <w:rsid w:val="003E42EF"/>
    <w:rsid w:val="003E4362"/>
    <w:rsid w:val="003E45F8"/>
    <w:rsid w:val="003E46DA"/>
    <w:rsid w:val="003E49EC"/>
    <w:rsid w:val="003E4B20"/>
    <w:rsid w:val="003E4E16"/>
    <w:rsid w:val="003E4E3F"/>
    <w:rsid w:val="003E4E41"/>
    <w:rsid w:val="003E4F1D"/>
    <w:rsid w:val="003E4FE0"/>
    <w:rsid w:val="003E5011"/>
    <w:rsid w:val="003E5325"/>
    <w:rsid w:val="003E540B"/>
    <w:rsid w:val="003E54D6"/>
    <w:rsid w:val="003E553F"/>
    <w:rsid w:val="003E5876"/>
    <w:rsid w:val="003E5A4F"/>
    <w:rsid w:val="003E5AE9"/>
    <w:rsid w:val="003E5B4D"/>
    <w:rsid w:val="003E5CF7"/>
    <w:rsid w:val="003E5F2A"/>
    <w:rsid w:val="003E6043"/>
    <w:rsid w:val="003E60AA"/>
    <w:rsid w:val="003E6299"/>
    <w:rsid w:val="003E6302"/>
    <w:rsid w:val="003E63C4"/>
    <w:rsid w:val="003E66C0"/>
    <w:rsid w:val="003E6809"/>
    <w:rsid w:val="003E6891"/>
    <w:rsid w:val="003E690F"/>
    <w:rsid w:val="003E69D3"/>
    <w:rsid w:val="003E6A7D"/>
    <w:rsid w:val="003E6AC0"/>
    <w:rsid w:val="003E6C14"/>
    <w:rsid w:val="003E6C45"/>
    <w:rsid w:val="003E6D98"/>
    <w:rsid w:val="003E6DB3"/>
    <w:rsid w:val="003E6E47"/>
    <w:rsid w:val="003E6EA5"/>
    <w:rsid w:val="003E700B"/>
    <w:rsid w:val="003E70D2"/>
    <w:rsid w:val="003E71B1"/>
    <w:rsid w:val="003E71C3"/>
    <w:rsid w:val="003E7382"/>
    <w:rsid w:val="003E7404"/>
    <w:rsid w:val="003E7496"/>
    <w:rsid w:val="003E7534"/>
    <w:rsid w:val="003E7724"/>
    <w:rsid w:val="003E7893"/>
    <w:rsid w:val="003E79B9"/>
    <w:rsid w:val="003E7B60"/>
    <w:rsid w:val="003E7C69"/>
    <w:rsid w:val="003E7DC4"/>
    <w:rsid w:val="003E7F85"/>
    <w:rsid w:val="003F007F"/>
    <w:rsid w:val="003F00C6"/>
    <w:rsid w:val="003F0288"/>
    <w:rsid w:val="003F02C5"/>
    <w:rsid w:val="003F032C"/>
    <w:rsid w:val="003F04C4"/>
    <w:rsid w:val="003F04D3"/>
    <w:rsid w:val="003F050D"/>
    <w:rsid w:val="003F0529"/>
    <w:rsid w:val="003F063E"/>
    <w:rsid w:val="003F072E"/>
    <w:rsid w:val="003F0B79"/>
    <w:rsid w:val="003F0BCE"/>
    <w:rsid w:val="003F0C0A"/>
    <w:rsid w:val="003F0C21"/>
    <w:rsid w:val="003F0C84"/>
    <w:rsid w:val="003F0DB7"/>
    <w:rsid w:val="003F0FA1"/>
    <w:rsid w:val="003F1042"/>
    <w:rsid w:val="003F1227"/>
    <w:rsid w:val="003F1252"/>
    <w:rsid w:val="003F1607"/>
    <w:rsid w:val="003F186D"/>
    <w:rsid w:val="003F1CF9"/>
    <w:rsid w:val="003F1E05"/>
    <w:rsid w:val="003F1F2D"/>
    <w:rsid w:val="003F1FC0"/>
    <w:rsid w:val="003F200F"/>
    <w:rsid w:val="003F2172"/>
    <w:rsid w:val="003F21E3"/>
    <w:rsid w:val="003F21F7"/>
    <w:rsid w:val="003F22B8"/>
    <w:rsid w:val="003F2488"/>
    <w:rsid w:val="003F27A5"/>
    <w:rsid w:val="003F28A6"/>
    <w:rsid w:val="003F29D4"/>
    <w:rsid w:val="003F29E7"/>
    <w:rsid w:val="003F2BBF"/>
    <w:rsid w:val="003F2BE2"/>
    <w:rsid w:val="003F2E41"/>
    <w:rsid w:val="003F2E90"/>
    <w:rsid w:val="003F2EBD"/>
    <w:rsid w:val="003F2F1A"/>
    <w:rsid w:val="003F31F8"/>
    <w:rsid w:val="003F3224"/>
    <w:rsid w:val="003F33EE"/>
    <w:rsid w:val="003F34D5"/>
    <w:rsid w:val="003F3588"/>
    <w:rsid w:val="003F3599"/>
    <w:rsid w:val="003F35D2"/>
    <w:rsid w:val="003F3818"/>
    <w:rsid w:val="003F381A"/>
    <w:rsid w:val="003F3859"/>
    <w:rsid w:val="003F39A3"/>
    <w:rsid w:val="003F3A32"/>
    <w:rsid w:val="003F3AA1"/>
    <w:rsid w:val="003F3D31"/>
    <w:rsid w:val="003F3FCB"/>
    <w:rsid w:val="003F4086"/>
    <w:rsid w:val="003F41A9"/>
    <w:rsid w:val="003F41DB"/>
    <w:rsid w:val="003F4204"/>
    <w:rsid w:val="003F4463"/>
    <w:rsid w:val="003F4641"/>
    <w:rsid w:val="003F4827"/>
    <w:rsid w:val="003F48AC"/>
    <w:rsid w:val="003F4A74"/>
    <w:rsid w:val="003F4E5D"/>
    <w:rsid w:val="003F4F43"/>
    <w:rsid w:val="003F4F7E"/>
    <w:rsid w:val="003F4FAF"/>
    <w:rsid w:val="003F5076"/>
    <w:rsid w:val="003F509B"/>
    <w:rsid w:val="003F5178"/>
    <w:rsid w:val="003F543A"/>
    <w:rsid w:val="003F5716"/>
    <w:rsid w:val="003F5B70"/>
    <w:rsid w:val="003F5BBD"/>
    <w:rsid w:val="003F5BE7"/>
    <w:rsid w:val="003F5E56"/>
    <w:rsid w:val="003F5EAC"/>
    <w:rsid w:val="003F61FE"/>
    <w:rsid w:val="003F6536"/>
    <w:rsid w:val="003F65B2"/>
    <w:rsid w:val="003F65B9"/>
    <w:rsid w:val="003F677A"/>
    <w:rsid w:val="003F6AC7"/>
    <w:rsid w:val="003F6AD2"/>
    <w:rsid w:val="003F6C7D"/>
    <w:rsid w:val="003F6C8D"/>
    <w:rsid w:val="003F6E32"/>
    <w:rsid w:val="003F70B8"/>
    <w:rsid w:val="003F71DA"/>
    <w:rsid w:val="003F7287"/>
    <w:rsid w:val="003F72D3"/>
    <w:rsid w:val="003F7476"/>
    <w:rsid w:val="003F7541"/>
    <w:rsid w:val="003F759A"/>
    <w:rsid w:val="003F7651"/>
    <w:rsid w:val="003F7794"/>
    <w:rsid w:val="003F77C9"/>
    <w:rsid w:val="003F79E9"/>
    <w:rsid w:val="003F7A71"/>
    <w:rsid w:val="003F7C5A"/>
    <w:rsid w:val="003F7CB9"/>
    <w:rsid w:val="003F7DC1"/>
    <w:rsid w:val="003F7E14"/>
    <w:rsid w:val="003F7FC4"/>
    <w:rsid w:val="0040004F"/>
    <w:rsid w:val="004000AE"/>
    <w:rsid w:val="0040016B"/>
    <w:rsid w:val="00400295"/>
    <w:rsid w:val="004002C2"/>
    <w:rsid w:val="00400392"/>
    <w:rsid w:val="0040096C"/>
    <w:rsid w:val="00400AD7"/>
    <w:rsid w:val="00400B97"/>
    <w:rsid w:val="00400C05"/>
    <w:rsid w:val="00400DC3"/>
    <w:rsid w:val="0040119D"/>
    <w:rsid w:val="00401200"/>
    <w:rsid w:val="00401491"/>
    <w:rsid w:val="004016EF"/>
    <w:rsid w:val="00401729"/>
    <w:rsid w:val="00401784"/>
    <w:rsid w:val="00401892"/>
    <w:rsid w:val="00401898"/>
    <w:rsid w:val="004019B5"/>
    <w:rsid w:val="004019BA"/>
    <w:rsid w:val="00401C3E"/>
    <w:rsid w:val="00401DAE"/>
    <w:rsid w:val="00401FCE"/>
    <w:rsid w:val="0040206B"/>
    <w:rsid w:val="00402132"/>
    <w:rsid w:val="0040213C"/>
    <w:rsid w:val="004021EC"/>
    <w:rsid w:val="00402203"/>
    <w:rsid w:val="00402228"/>
    <w:rsid w:val="004025E1"/>
    <w:rsid w:val="004026A7"/>
    <w:rsid w:val="004029B2"/>
    <w:rsid w:val="004029BC"/>
    <w:rsid w:val="00402C1B"/>
    <w:rsid w:val="00402EEF"/>
    <w:rsid w:val="00402F1B"/>
    <w:rsid w:val="00402F47"/>
    <w:rsid w:val="00402F59"/>
    <w:rsid w:val="0040318D"/>
    <w:rsid w:val="004031E0"/>
    <w:rsid w:val="0040321A"/>
    <w:rsid w:val="00403282"/>
    <w:rsid w:val="00403311"/>
    <w:rsid w:val="004033E7"/>
    <w:rsid w:val="0040342A"/>
    <w:rsid w:val="00403467"/>
    <w:rsid w:val="00403589"/>
    <w:rsid w:val="00403729"/>
    <w:rsid w:val="00403906"/>
    <w:rsid w:val="00403F6C"/>
    <w:rsid w:val="00404078"/>
    <w:rsid w:val="004041F7"/>
    <w:rsid w:val="00404220"/>
    <w:rsid w:val="0040426E"/>
    <w:rsid w:val="00404319"/>
    <w:rsid w:val="00404384"/>
    <w:rsid w:val="00404434"/>
    <w:rsid w:val="0040444E"/>
    <w:rsid w:val="004046D8"/>
    <w:rsid w:val="00404796"/>
    <w:rsid w:val="00404D0E"/>
    <w:rsid w:val="00404D5C"/>
    <w:rsid w:val="00404FEE"/>
    <w:rsid w:val="004050FE"/>
    <w:rsid w:val="0040519C"/>
    <w:rsid w:val="00405208"/>
    <w:rsid w:val="00405279"/>
    <w:rsid w:val="004052B0"/>
    <w:rsid w:val="004052DE"/>
    <w:rsid w:val="004052E6"/>
    <w:rsid w:val="00405364"/>
    <w:rsid w:val="0040537B"/>
    <w:rsid w:val="004053A7"/>
    <w:rsid w:val="004056A5"/>
    <w:rsid w:val="004058C3"/>
    <w:rsid w:val="00405B0F"/>
    <w:rsid w:val="00405CC0"/>
    <w:rsid w:val="00405D30"/>
    <w:rsid w:val="00405D74"/>
    <w:rsid w:val="00405EFB"/>
    <w:rsid w:val="004061C6"/>
    <w:rsid w:val="00406241"/>
    <w:rsid w:val="004064E1"/>
    <w:rsid w:val="0040668A"/>
    <w:rsid w:val="00406752"/>
    <w:rsid w:val="0040677B"/>
    <w:rsid w:val="004067DA"/>
    <w:rsid w:val="004068DA"/>
    <w:rsid w:val="0040695E"/>
    <w:rsid w:val="0040698E"/>
    <w:rsid w:val="00406C46"/>
    <w:rsid w:val="00406DCF"/>
    <w:rsid w:val="00406DDA"/>
    <w:rsid w:val="00406E73"/>
    <w:rsid w:val="00406EC5"/>
    <w:rsid w:val="00406F54"/>
    <w:rsid w:val="004071A2"/>
    <w:rsid w:val="004071AF"/>
    <w:rsid w:val="004071B3"/>
    <w:rsid w:val="004071E5"/>
    <w:rsid w:val="004072FE"/>
    <w:rsid w:val="0040733D"/>
    <w:rsid w:val="004073BA"/>
    <w:rsid w:val="00407460"/>
    <w:rsid w:val="0040753B"/>
    <w:rsid w:val="004077CA"/>
    <w:rsid w:val="00407951"/>
    <w:rsid w:val="0040797C"/>
    <w:rsid w:val="00407A14"/>
    <w:rsid w:val="00407C43"/>
    <w:rsid w:val="00407C62"/>
    <w:rsid w:val="00407DAC"/>
    <w:rsid w:val="00407E41"/>
    <w:rsid w:val="00407F2A"/>
    <w:rsid w:val="00407FE5"/>
    <w:rsid w:val="00410194"/>
    <w:rsid w:val="004101C7"/>
    <w:rsid w:val="0041049F"/>
    <w:rsid w:val="0041058B"/>
    <w:rsid w:val="0041070F"/>
    <w:rsid w:val="00410866"/>
    <w:rsid w:val="00410A9E"/>
    <w:rsid w:val="00410B31"/>
    <w:rsid w:val="00410E0E"/>
    <w:rsid w:val="00411161"/>
    <w:rsid w:val="00411205"/>
    <w:rsid w:val="004112B8"/>
    <w:rsid w:val="004112DB"/>
    <w:rsid w:val="00411321"/>
    <w:rsid w:val="00411332"/>
    <w:rsid w:val="00411476"/>
    <w:rsid w:val="004114A9"/>
    <w:rsid w:val="00411575"/>
    <w:rsid w:val="004116CE"/>
    <w:rsid w:val="00411705"/>
    <w:rsid w:val="0041180D"/>
    <w:rsid w:val="004119E7"/>
    <w:rsid w:val="00411A24"/>
    <w:rsid w:val="00411AB2"/>
    <w:rsid w:val="00411CA1"/>
    <w:rsid w:val="00411F5E"/>
    <w:rsid w:val="00412030"/>
    <w:rsid w:val="00412108"/>
    <w:rsid w:val="00412155"/>
    <w:rsid w:val="0041224D"/>
    <w:rsid w:val="0041247C"/>
    <w:rsid w:val="0041267F"/>
    <w:rsid w:val="004126D5"/>
    <w:rsid w:val="004129FA"/>
    <w:rsid w:val="00412C5D"/>
    <w:rsid w:val="00412E50"/>
    <w:rsid w:val="00412EF7"/>
    <w:rsid w:val="00413080"/>
    <w:rsid w:val="0041308E"/>
    <w:rsid w:val="0041315D"/>
    <w:rsid w:val="0041323A"/>
    <w:rsid w:val="004134E4"/>
    <w:rsid w:val="0041390D"/>
    <w:rsid w:val="00413A30"/>
    <w:rsid w:val="00413A73"/>
    <w:rsid w:val="00413B36"/>
    <w:rsid w:val="00413B46"/>
    <w:rsid w:val="00413C50"/>
    <w:rsid w:val="00413D41"/>
    <w:rsid w:val="00413DB7"/>
    <w:rsid w:val="00413DCB"/>
    <w:rsid w:val="00413DFF"/>
    <w:rsid w:val="00413E29"/>
    <w:rsid w:val="00413E70"/>
    <w:rsid w:val="00414155"/>
    <w:rsid w:val="004141E3"/>
    <w:rsid w:val="00414233"/>
    <w:rsid w:val="00414310"/>
    <w:rsid w:val="0041437D"/>
    <w:rsid w:val="00414475"/>
    <w:rsid w:val="004144FD"/>
    <w:rsid w:val="00414517"/>
    <w:rsid w:val="0041459B"/>
    <w:rsid w:val="004145AF"/>
    <w:rsid w:val="004147D9"/>
    <w:rsid w:val="0041480F"/>
    <w:rsid w:val="00414873"/>
    <w:rsid w:val="00414C8F"/>
    <w:rsid w:val="00414C95"/>
    <w:rsid w:val="00414CE5"/>
    <w:rsid w:val="00414E31"/>
    <w:rsid w:val="00414F75"/>
    <w:rsid w:val="00415016"/>
    <w:rsid w:val="004150C3"/>
    <w:rsid w:val="004150D0"/>
    <w:rsid w:val="004150DC"/>
    <w:rsid w:val="004150E7"/>
    <w:rsid w:val="00415148"/>
    <w:rsid w:val="00415198"/>
    <w:rsid w:val="004151D5"/>
    <w:rsid w:val="00415248"/>
    <w:rsid w:val="004152B7"/>
    <w:rsid w:val="004152BF"/>
    <w:rsid w:val="004155F8"/>
    <w:rsid w:val="0041565D"/>
    <w:rsid w:val="0041567D"/>
    <w:rsid w:val="004156B1"/>
    <w:rsid w:val="00415955"/>
    <w:rsid w:val="00415965"/>
    <w:rsid w:val="004159F0"/>
    <w:rsid w:val="004159F4"/>
    <w:rsid w:val="00415A68"/>
    <w:rsid w:val="00415B4D"/>
    <w:rsid w:val="00415EA5"/>
    <w:rsid w:val="00416084"/>
    <w:rsid w:val="004160AF"/>
    <w:rsid w:val="004160C1"/>
    <w:rsid w:val="004160D5"/>
    <w:rsid w:val="00416186"/>
    <w:rsid w:val="00416253"/>
    <w:rsid w:val="004162D3"/>
    <w:rsid w:val="004165C2"/>
    <w:rsid w:val="00416606"/>
    <w:rsid w:val="00416688"/>
    <w:rsid w:val="004166A6"/>
    <w:rsid w:val="00416756"/>
    <w:rsid w:val="004168DE"/>
    <w:rsid w:val="004169F8"/>
    <w:rsid w:val="00416B41"/>
    <w:rsid w:val="00416B5B"/>
    <w:rsid w:val="00416B5E"/>
    <w:rsid w:val="00416C0B"/>
    <w:rsid w:val="00416C1C"/>
    <w:rsid w:val="00416C27"/>
    <w:rsid w:val="00416CDA"/>
    <w:rsid w:val="00416D5E"/>
    <w:rsid w:val="00416E66"/>
    <w:rsid w:val="004170E3"/>
    <w:rsid w:val="0041711D"/>
    <w:rsid w:val="0041720C"/>
    <w:rsid w:val="00417300"/>
    <w:rsid w:val="004174FF"/>
    <w:rsid w:val="00417613"/>
    <w:rsid w:val="0041769E"/>
    <w:rsid w:val="004176CB"/>
    <w:rsid w:val="004176E5"/>
    <w:rsid w:val="00417A08"/>
    <w:rsid w:val="00417D95"/>
    <w:rsid w:val="00417DF2"/>
    <w:rsid w:val="00417E1E"/>
    <w:rsid w:val="00417FA4"/>
    <w:rsid w:val="00417FEB"/>
    <w:rsid w:val="0042003C"/>
    <w:rsid w:val="0042053B"/>
    <w:rsid w:val="00420686"/>
    <w:rsid w:val="004206F6"/>
    <w:rsid w:val="0042093C"/>
    <w:rsid w:val="00420947"/>
    <w:rsid w:val="004209DE"/>
    <w:rsid w:val="00420B63"/>
    <w:rsid w:val="00420B9E"/>
    <w:rsid w:val="00420BB1"/>
    <w:rsid w:val="00420BC8"/>
    <w:rsid w:val="00420D88"/>
    <w:rsid w:val="00420D8A"/>
    <w:rsid w:val="00420E40"/>
    <w:rsid w:val="00420FEE"/>
    <w:rsid w:val="004210F9"/>
    <w:rsid w:val="00421125"/>
    <w:rsid w:val="0042113D"/>
    <w:rsid w:val="004211B4"/>
    <w:rsid w:val="004211BF"/>
    <w:rsid w:val="00421273"/>
    <w:rsid w:val="00421421"/>
    <w:rsid w:val="0042150F"/>
    <w:rsid w:val="00421563"/>
    <w:rsid w:val="004215D0"/>
    <w:rsid w:val="00421BC0"/>
    <w:rsid w:val="00421C1C"/>
    <w:rsid w:val="00421C79"/>
    <w:rsid w:val="0042216F"/>
    <w:rsid w:val="0042225A"/>
    <w:rsid w:val="00422273"/>
    <w:rsid w:val="0042230F"/>
    <w:rsid w:val="0042234A"/>
    <w:rsid w:val="00422495"/>
    <w:rsid w:val="0042252A"/>
    <w:rsid w:val="004225D0"/>
    <w:rsid w:val="004226AC"/>
    <w:rsid w:val="004227E8"/>
    <w:rsid w:val="0042285F"/>
    <w:rsid w:val="004228B7"/>
    <w:rsid w:val="00422924"/>
    <w:rsid w:val="004229DF"/>
    <w:rsid w:val="00422BCC"/>
    <w:rsid w:val="00422CF6"/>
    <w:rsid w:val="00422E70"/>
    <w:rsid w:val="00422E88"/>
    <w:rsid w:val="00422FF0"/>
    <w:rsid w:val="0042306D"/>
    <w:rsid w:val="00423136"/>
    <w:rsid w:val="0042316E"/>
    <w:rsid w:val="0042350A"/>
    <w:rsid w:val="004237B4"/>
    <w:rsid w:val="00423926"/>
    <w:rsid w:val="00423A1E"/>
    <w:rsid w:val="00423B33"/>
    <w:rsid w:val="00423BCC"/>
    <w:rsid w:val="00423C17"/>
    <w:rsid w:val="00423D91"/>
    <w:rsid w:val="00423E0C"/>
    <w:rsid w:val="00423F4D"/>
    <w:rsid w:val="004242E2"/>
    <w:rsid w:val="004246D4"/>
    <w:rsid w:val="00424859"/>
    <w:rsid w:val="00424862"/>
    <w:rsid w:val="0042489E"/>
    <w:rsid w:val="00424990"/>
    <w:rsid w:val="00424AE5"/>
    <w:rsid w:val="00424B45"/>
    <w:rsid w:val="00424B9E"/>
    <w:rsid w:val="00424EF7"/>
    <w:rsid w:val="004252C0"/>
    <w:rsid w:val="004254B7"/>
    <w:rsid w:val="004254E8"/>
    <w:rsid w:val="00425500"/>
    <w:rsid w:val="00425A6C"/>
    <w:rsid w:val="00425A8C"/>
    <w:rsid w:val="00425BB6"/>
    <w:rsid w:val="00425BC3"/>
    <w:rsid w:val="00425CF8"/>
    <w:rsid w:val="00425DE5"/>
    <w:rsid w:val="00425E69"/>
    <w:rsid w:val="00425EDC"/>
    <w:rsid w:val="0042602A"/>
    <w:rsid w:val="0042623A"/>
    <w:rsid w:val="004263CB"/>
    <w:rsid w:val="00426407"/>
    <w:rsid w:val="004265C4"/>
    <w:rsid w:val="004266BA"/>
    <w:rsid w:val="004267E3"/>
    <w:rsid w:val="0042680A"/>
    <w:rsid w:val="00426939"/>
    <w:rsid w:val="0042693D"/>
    <w:rsid w:val="00426B52"/>
    <w:rsid w:val="00426D4F"/>
    <w:rsid w:val="00426DA9"/>
    <w:rsid w:val="00426E34"/>
    <w:rsid w:val="00426ED9"/>
    <w:rsid w:val="00427103"/>
    <w:rsid w:val="0042713E"/>
    <w:rsid w:val="0042728C"/>
    <w:rsid w:val="00427384"/>
    <w:rsid w:val="004273BD"/>
    <w:rsid w:val="004274DA"/>
    <w:rsid w:val="004274FB"/>
    <w:rsid w:val="004275D0"/>
    <w:rsid w:val="00427822"/>
    <w:rsid w:val="00427C3A"/>
    <w:rsid w:val="00427F2A"/>
    <w:rsid w:val="00427F3B"/>
    <w:rsid w:val="0043011F"/>
    <w:rsid w:val="00430189"/>
    <w:rsid w:val="0043026F"/>
    <w:rsid w:val="00430433"/>
    <w:rsid w:val="004306BB"/>
    <w:rsid w:val="00430730"/>
    <w:rsid w:val="0043076D"/>
    <w:rsid w:val="00430A63"/>
    <w:rsid w:val="00430AA2"/>
    <w:rsid w:val="00430BD9"/>
    <w:rsid w:val="00430D82"/>
    <w:rsid w:val="00430DAC"/>
    <w:rsid w:val="00430EDC"/>
    <w:rsid w:val="00430F57"/>
    <w:rsid w:val="00430F62"/>
    <w:rsid w:val="00430FEA"/>
    <w:rsid w:val="00430FF9"/>
    <w:rsid w:val="00431034"/>
    <w:rsid w:val="004310D5"/>
    <w:rsid w:val="00431163"/>
    <w:rsid w:val="004313E1"/>
    <w:rsid w:val="004315FC"/>
    <w:rsid w:val="00431608"/>
    <w:rsid w:val="0043163D"/>
    <w:rsid w:val="004316EE"/>
    <w:rsid w:val="0043177B"/>
    <w:rsid w:val="00431AED"/>
    <w:rsid w:val="00431B14"/>
    <w:rsid w:val="00431BA7"/>
    <w:rsid w:val="00431CE7"/>
    <w:rsid w:val="00431CF3"/>
    <w:rsid w:val="00431D9F"/>
    <w:rsid w:val="00431DF2"/>
    <w:rsid w:val="00431E16"/>
    <w:rsid w:val="00431F4E"/>
    <w:rsid w:val="004320D2"/>
    <w:rsid w:val="004320EF"/>
    <w:rsid w:val="00432231"/>
    <w:rsid w:val="004323AF"/>
    <w:rsid w:val="00432463"/>
    <w:rsid w:val="004324FF"/>
    <w:rsid w:val="0043251D"/>
    <w:rsid w:val="004326EC"/>
    <w:rsid w:val="0043279C"/>
    <w:rsid w:val="00432842"/>
    <w:rsid w:val="00432AB0"/>
    <w:rsid w:val="00432ADB"/>
    <w:rsid w:val="00432C90"/>
    <w:rsid w:val="00432FDD"/>
    <w:rsid w:val="00433021"/>
    <w:rsid w:val="004330F6"/>
    <w:rsid w:val="0043310B"/>
    <w:rsid w:val="00433452"/>
    <w:rsid w:val="0043356C"/>
    <w:rsid w:val="00433581"/>
    <w:rsid w:val="004335A8"/>
    <w:rsid w:val="0043362E"/>
    <w:rsid w:val="00433855"/>
    <w:rsid w:val="004338A5"/>
    <w:rsid w:val="00433994"/>
    <w:rsid w:val="00433BC1"/>
    <w:rsid w:val="00433BF0"/>
    <w:rsid w:val="00433BF2"/>
    <w:rsid w:val="00433E2E"/>
    <w:rsid w:val="00433EA3"/>
    <w:rsid w:val="00434073"/>
    <w:rsid w:val="004343A7"/>
    <w:rsid w:val="004343C7"/>
    <w:rsid w:val="004344B7"/>
    <w:rsid w:val="004344C5"/>
    <w:rsid w:val="0043478F"/>
    <w:rsid w:val="00434824"/>
    <w:rsid w:val="004348C4"/>
    <w:rsid w:val="00434C7F"/>
    <w:rsid w:val="00434DAB"/>
    <w:rsid w:val="00434F22"/>
    <w:rsid w:val="00435332"/>
    <w:rsid w:val="00435342"/>
    <w:rsid w:val="0043543C"/>
    <w:rsid w:val="00435476"/>
    <w:rsid w:val="0043548E"/>
    <w:rsid w:val="004355C3"/>
    <w:rsid w:val="004355EB"/>
    <w:rsid w:val="0043566B"/>
    <w:rsid w:val="0043571A"/>
    <w:rsid w:val="004357C8"/>
    <w:rsid w:val="00435803"/>
    <w:rsid w:val="0043591C"/>
    <w:rsid w:val="00435986"/>
    <w:rsid w:val="00435A01"/>
    <w:rsid w:val="00435A0D"/>
    <w:rsid w:val="00435AFB"/>
    <w:rsid w:val="00435C87"/>
    <w:rsid w:val="00435DED"/>
    <w:rsid w:val="00435FAA"/>
    <w:rsid w:val="00435FB0"/>
    <w:rsid w:val="00435FBA"/>
    <w:rsid w:val="0043604B"/>
    <w:rsid w:val="00436354"/>
    <w:rsid w:val="004364E4"/>
    <w:rsid w:val="00436563"/>
    <w:rsid w:val="004365C9"/>
    <w:rsid w:val="00436667"/>
    <w:rsid w:val="00436727"/>
    <w:rsid w:val="004367DB"/>
    <w:rsid w:val="0043694A"/>
    <w:rsid w:val="004369EE"/>
    <w:rsid w:val="00436CB7"/>
    <w:rsid w:val="00436DA6"/>
    <w:rsid w:val="00436E27"/>
    <w:rsid w:val="00436F8C"/>
    <w:rsid w:val="00437213"/>
    <w:rsid w:val="004372AA"/>
    <w:rsid w:val="004375B9"/>
    <w:rsid w:val="00437758"/>
    <w:rsid w:val="00437850"/>
    <w:rsid w:val="00437BD6"/>
    <w:rsid w:val="00437CD9"/>
    <w:rsid w:val="00437D50"/>
    <w:rsid w:val="00437DAC"/>
    <w:rsid w:val="00437E47"/>
    <w:rsid w:val="00437F6F"/>
    <w:rsid w:val="004400A3"/>
    <w:rsid w:val="004400B0"/>
    <w:rsid w:val="0044012E"/>
    <w:rsid w:val="004402D6"/>
    <w:rsid w:val="0044036C"/>
    <w:rsid w:val="00440427"/>
    <w:rsid w:val="00440465"/>
    <w:rsid w:val="004404F0"/>
    <w:rsid w:val="0044058E"/>
    <w:rsid w:val="00440591"/>
    <w:rsid w:val="00440641"/>
    <w:rsid w:val="004406C5"/>
    <w:rsid w:val="0044074F"/>
    <w:rsid w:val="00440A0A"/>
    <w:rsid w:val="00440A94"/>
    <w:rsid w:val="00440B99"/>
    <w:rsid w:val="00440B9A"/>
    <w:rsid w:val="00440BFC"/>
    <w:rsid w:val="00440EB2"/>
    <w:rsid w:val="00440EE4"/>
    <w:rsid w:val="00440EF9"/>
    <w:rsid w:val="00440F3D"/>
    <w:rsid w:val="004411EA"/>
    <w:rsid w:val="004417DE"/>
    <w:rsid w:val="004417ED"/>
    <w:rsid w:val="0044192D"/>
    <w:rsid w:val="00441E12"/>
    <w:rsid w:val="00441E83"/>
    <w:rsid w:val="004421A2"/>
    <w:rsid w:val="00442274"/>
    <w:rsid w:val="004422DF"/>
    <w:rsid w:val="004422EE"/>
    <w:rsid w:val="004423D0"/>
    <w:rsid w:val="00442426"/>
    <w:rsid w:val="004425BE"/>
    <w:rsid w:val="004426C2"/>
    <w:rsid w:val="004427B4"/>
    <w:rsid w:val="0044282C"/>
    <w:rsid w:val="00442895"/>
    <w:rsid w:val="004429C4"/>
    <w:rsid w:val="00442B68"/>
    <w:rsid w:val="00442C31"/>
    <w:rsid w:val="00442C47"/>
    <w:rsid w:val="00442D03"/>
    <w:rsid w:val="00442D1C"/>
    <w:rsid w:val="00442D6A"/>
    <w:rsid w:val="00442DE2"/>
    <w:rsid w:val="00442EF4"/>
    <w:rsid w:val="004432F8"/>
    <w:rsid w:val="00443314"/>
    <w:rsid w:val="00443320"/>
    <w:rsid w:val="00443546"/>
    <w:rsid w:val="00443685"/>
    <w:rsid w:val="0044392B"/>
    <w:rsid w:val="00443949"/>
    <w:rsid w:val="004439BC"/>
    <w:rsid w:val="00443AF3"/>
    <w:rsid w:val="00443B3F"/>
    <w:rsid w:val="00443C8E"/>
    <w:rsid w:val="00443CE3"/>
    <w:rsid w:val="00443EAD"/>
    <w:rsid w:val="00443F3A"/>
    <w:rsid w:val="00443F8B"/>
    <w:rsid w:val="00444055"/>
    <w:rsid w:val="00444081"/>
    <w:rsid w:val="00444168"/>
    <w:rsid w:val="00444346"/>
    <w:rsid w:val="0044461E"/>
    <w:rsid w:val="004446AC"/>
    <w:rsid w:val="004449A0"/>
    <w:rsid w:val="00444B9B"/>
    <w:rsid w:val="00444BF3"/>
    <w:rsid w:val="00444C6C"/>
    <w:rsid w:val="00444CD8"/>
    <w:rsid w:val="00444D08"/>
    <w:rsid w:val="00444D59"/>
    <w:rsid w:val="00444DFA"/>
    <w:rsid w:val="00444E65"/>
    <w:rsid w:val="00444FC8"/>
    <w:rsid w:val="00444FEB"/>
    <w:rsid w:val="00445066"/>
    <w:rsid w:val="0044543D"/>
    <w:rsid w:val="004454CC"/>
    <w:rsid w:val="00445596"/>
    <w:rsid w:val="004455FA"/>
    <w:rsid w:val="00445A08"/>
    <w:rsid w:val="00445B64"/>
    <w:rsid w:val="00445D06"/>
    <w:rsid w:val="00445DD6"/>
    <w:rsid w:val="00445E09"/>
    <w:rsid w:val="00445E6F"/>
    <w:rsid w:val="0044612B"/>
    <w:rsid w:val="0044614C"/>
    <w:rsid w:val="00446199"/>
    <w:rsid w:val="004461BB"/>
    <w:rsid w:val="00446250"/>
    <w:rsid w:val="00446255"/>
    <w:rsid w:val="0044625E"/>
    <w:rsid w:val="00446304"/>
    <w:rsid w:val="00446367"/>
    <w:rsid w:val="004463D7"/>
    <w:rsid w:val="0044645F"/>
    <w:rsid w:val="00446483"/>
    <w:rsid w:val="004465D0"/>
    <w:rsid w:val="004468E1"/>
    <w:rsid w:val="00446995"/>
    <w:rsid w:val="00446D26"/>
    <w:rsid w:val="00446D3B"/>
    <w:rsid w:val="00446FD3"/>
    <w:rsid w:val="004470BE"/>
    <w:rsid w:val="004471A0"/>
    <w:rsid w:val="004471B1"/>
    <w:rsid w:val="00447699"/>
    <w:rsid w:val="0044772B"/>
    <w:rsid w:val="00447895"/>
    <w:rsid w:val="004479DB"/>
    <w:rsid w:val="00447A93"/>
    <w:rsid w:val="00447B8D"/>
    <w:rsid w:val="00447CC2"/>
    <w:rsid w:val="00447F27"/>
    <w:rsid w:val="00447F8D"/>
    <w:rsid w:val="00447FBC"/>
    <w:rsid w:val="00447FF2"/>
    <w:rsid w:val="00450192"/>
    <w:rsid w:val="00450254"/>
    <w:rsid w:val="004502CB"/>
    <w:rsid w:val="00450499"/>
    <w:rsid w:val="0045062B"/>
    <w:rsid w:val="004507A7"/>
    <w:rsid w:val="00450949"/>
    <w:rsid w:val="00450AA4"/>
    <w:rsid w:val="00450B02"/>
    <w:rsid w:val="00450B6A"/>
    <w:rsid w:val="00450BC1"/>
    <w:rsid w:val="00450C46"/>
    <w:rsid w:val="00450D29"/>
    <w:rsid w:val="00450E02"/>
    <w:rsid w:val="00450EC9"/>
    <w:rsid w:val="00450F47"/>
    <w:rsid w:val="00451213"/>
    <w:rsid w:val="00451248"/>
    <w:rsid w:val="0045128D"/>
    <w:rsid w:val="00451482"/>
    <w:rsid w:val="00451572"/>
    <w:rsid w:val="00451627"/>
    <w:rsid w:val="004516CD"/>
    <w:rsid w:val="004518EA"/>
    <w:rsid w:val="00451A8A"/>
    <w:rsid w:val="00451B35"/>
    <w:rsid w:val="00451BE3"/>
    <w:rsid w:val="00451C1D"/>
    <w:rsid w:val="00451C5F"/>
    <w:rsid w:val="00451CE3"/>
    <w:rsid w:val="00451E00"/>
    <w:rsid w:val="0045204F"/>
    <w:rsid w:val="004520AE"/>
    <w:rsid w:val="004520C5"/>
    <w:rsid w:val="0045215D"/>
    <w:rsid w:val="0045221C"/>
    <w:rsid w:val="004522D0"/>
    <w:rsid w:val="004523C3"/>
    <w:rsid w:val="004524EC"/>
    <w:rsid w:val="004525FC"/>
    <w:rsid w:val="00452649"/>
    <w:rsid w:val="004528A5"/>
    <w:rsid w:val="00452A0B"/>
    <w:rsid w:val="00452A12"/>
    <w:rsid w:val="00452A5D"/>
    <w:rsid w:val="00452AE0"/>
    <w:rsid w:val="00452C83"/>
    <w:rsid w:val="00452D57"/>
    <w:rsid w:val="00452E3C"/>
    <w:rsid w:val="0045300B"/>
    <w:rsid w:val="00453114"/>
    <w:rsid w:val="00453192"/>
    <w:rsid w:val="004531FA"/>
    <w:rsid w:val="00453252"/>
    <w:rsid w:val="004532F6"/>
    <w:rsid w:val="0045340E"/>
    <w:rsid w:val="00453650"/>
    <w:rsid w:val="0045367C"/>
    <w:rsid w:val="00453699"/>
    <w:rsid w:val="004536C7"/>
    <w:rsid w:val="0045375D"/>
    <w:rsid w:val="004537DC"/>
    <w:rsid w:val="004537E8"/>
    <w:rsid w:val="00453973"/>
    <w:rsid w:val="004539F7"/>
    <w:rsid w:val="00453A1C"/>
    <w:rsid w:val="00453A2E"/>
    <w:rsid w:val="00453B7B"/>
    <w:rsid w:val="00453C06"/>
    <w:rsid w:val="00453DF8"/>
    <w:rsid w:val="00453F94"/>
    <w:rsid w:val="0045400D"/>
    <w:rsid w:val="0045434D"/>
    <w:rsid w:val="00454422"/>
    <w:rsid w:val="004544B0"/>
    <w:rsid w:val="004544C5"/>
    <w:rsid w:val="004544E5"/>
    <w:rsid w:val="0045451C"/>
    <w:rsid w:val="004546F1"/>
    <w:rsid w:val="0045477C"/>
    <w:rsid w:val="004548E4"/>
    <w:rsid w:val="00454A9E"/>
    <w:rsid w:val="00454BC6"/>
    <w:rsid w:val="00454C20"/>
    <w:rsid w:val="00454C52"/>
    <w:rsid w:val="00454D15"/>
    <w:rsid w:val="00454DD9"/>
    <w:rsid w:val="00454FF2"/>
    <w:rsid w:val="0045511C"/>
    <w:rsid w:val="00455358"/>
    <w:rsid w:val="004553E8"/>
    <w:rsid w:val="0045549C"/>
    <w:rsid w:val="00455548"/>
    <w:rsid w:val="0045577B"/>
    <w:rsid w:val="004557D4"/>
    <w:rsid w:val="0045583D"/>
    <w:rsid w:val="00455B85"/>
    <w:rsid w:val="00455D9D"/>
    <w:rsid w:val="00455E95"/>
    <w:rsid w:val="00455F53"/>
    <w:rsid w:val="00455FDA"/>
    <w:rsid w:val="00455FDE"/>
    <w:rsid w:val="00456095"/>
    <w:rsid w:val="004561AC"/>
    <w:rsid w:val="004564BC"/>
    <w:rsid w:val="004566A8"/>
    <w:rsid w:val="004566EF"/>
    <w:rsid w:val="00456815"/>
    <w:rsid w:val="004568E3"/>
    <w:rsid w:val="00456BBC"/>
    <w:rsid w:val="00456DD3"/>
    <w:rsid w:val="00456E84"/>
    <w:rsid w:val="00456E86"/>
    <w:rsid w:val="0045713B"/>
    <w:rsid w:val="004572D3"/>
    <w:rsid w:val="00457320"/>
    <w:rsid w:val="00457341"/>
    <w:rsid w:val="00457347"/>
    <w:rsid w:val="00457385"/>
    <w:rsid w:val="00457420"/>
    <w:rsid w:val="00457610"/>
    <w:rsid w:val="004576CB"/>
    <w:rsid w:val="00457876"/>
    <w:rsid w:val="00457CDA"/>
    <w:rsid w:val="00457CF9"/>
    <w:rsid w:val="00457F05"/>
    <w:rsid w:val="00457F14"/>
    <w:rsid w:val="00457F6C"/>
    <w:rsid w:val="0045E612"/>
    <w:rsid w:val="00460062"/>
    <w:rsid w:val="00460235"/>
    <w:rsid w:val="0046056D"/>
    <w:rsid w:val="0046074D"/>
    <w:rsid w:val="004608DC"/>
    <w:rsid w:val="00460A4B"/>
    <w:rsid w:val="00460BCD"/>
    <w:rsid w:val="00460CC2"/>
    <w:rsid w:val="00460D72"/>
    <w:rsid w:val="00460DCD"/>
    <w:rsid w:val="00460E5A"/>
    <w:rsid w:val="00460F1D"/>
    <w:rsid w:val="00460F77"/>
    <w:rsid w:val="00460FA1"/>
    <w:rsid w:val="0046109C"/>
    <w:rsid w:val="004612AF"/>
    <w:rsid w:val="004613E2"/>
    <w:rsid w:val="00461490"/>
    <w:rsid w:val="004615ED"/>
    <w:rsid w:val="00461657"/>
    <w:rsid w:val="004616A3"/>
    <w:rsid w:val="004616D9"/>
    <w:rsid w:val="004617A5"/>
    <w:rsid w:val="00461861"/>
    <w:rsid w:val="00461BBB"/>
    <w:rsid w:val="00461BED"/>
    <w:rsid w:val="00461CBA"/>
    <w:rsid w:val="00461D7C"/>
    <w:rsid w:val="00461E3C"/>
    <w:rsid w:val="00461E71"/>
    <w:rsid w:val="00461FE7"/>
    <w:rsid w:val="004622DD"/>
    <w:rsid w:val="00462329"/>
    <w:rsid w:val="00462368"/>
    <w:rsid w:val="0046247B"/>
    <w:rsid w:val="004624B1"/>
    <w:rsid w:val="0046251A"/>
    <w:rsid w:val="00462530"/>
    <w:rsid w:val="004627DF"/>
    <w:rsid w:val="0046283A"/>
    <w:rsid w:val="004629D4"/>
    <w:rsid w:val="004629F6"/>
    <w:rsid w:val="00462A26"/>
    <w:rsid w:val="00462AE9"/>
    <w:rsid w:val="00462CDF"/>
    <w:rsid w:val="00462D74"/>
    <w:rsid w:val="00462DEB"/>
    <w:rsid w:val="00462E15"/>
    <w:rsid w:val="00462E22"/>
    <w:rsid w:val="00462EBE"/>
    <w:rsid w:val="00463008"/>
    <w:rsid w:val="00463090"/>
    <w:rsid w:val="00463147"/>
    <w:rsid w:val="0046321F"/>
    <w:rsid w:val="004632F0"/>
    <w:rsid w:val="0046335C"/>
    <w:rsid w:val="00463434"/>
    <w:rsid w:val="004635D5"/>
    <w:rsid w:val="0046363E"/>
    <w:rsid w:val="00463692"/>
    <w:rsid w:val="00463ADC"/>
    <w:rsid w:val="00463CDE"/>
    <w:rsid w:val="00463D4B"/>
    <w:rsid w:val="00463F5F"/>
    <w:rsid w:val="004642E8"/>
    <w:rsid w:val="0046431A"/>
    <w:rsid w:val="004643E5"/>
    <w:rsid w:val="004644ED"/>
    <w:rsid w:val="00464506"/>
    <w:rsid w:val="0046456F"/>
    <w:rsid w:val="0046463F"/>
    <w:rsid w:val="004646D8"/>
    <w:rsid w:val="00464AA1"/>
    <w:rsid w:val="00464C47"/>
    <w:rsid w:val="00464CA2"/>
    <w:rsid w:val="00464FD0"/>
    <w:rsid w:val="004650B1"/>
    <w:rsid w:val="004650BC"/>
    <w:rsid w:val="00465118"/>
    <w:rsid w:val="004651C8"/>
    <w:rsid w:val="00465369"/>
    <w:rsid w:val="004653F6"/>
    <w:rsid w:val="0046540A"/>
    <w:rsid w:val="004654C2"/>
    <w:rsid w:val="0046558B"/>
    <w:rsid w:val="004655F0"/>
    <w:rsid w:val="00465902"/>
    <w:rsid w:val="00465B29"/>
    <w:rsid w:val="00465B2E"/>
    <w:rsid w:val="00465BC9"/>
    <w:rsid w:val="00465E4B"/>
    <w:rsid w:val="00466031"/>
    <w:rsid w:val="004661C7"/>
    <w:rsid w:val="004662B7"/>
    <w:rsid w:val="0046630D"/>
    <w:rsid w:val="0046640C"/>
    <w:rsid w:val="004667B1"/>
    <w:rsid w:val="004668DC"/>
    <w:rsid w:val="00466A5A"/>
    <w:rsid w:val="00466AEE"/>
    <w:rsid w:val="00466B06"/>
    <w:rsid w:val="00466B73"/>
    <w:rsid w:val="00466BEE"/>
    <w:rsid w:val="00466C28"/>
    <w:rsid w:val="004670AD"/>
    <w:rsid w:val="00467146"/>
    <w:rsid w:val="00467170"/>
    <w:rsid w:val="00467323"/>
    <w:rsid w:val="00467365"/>
    <w:rsid w:val="00467390"/>
    <w:rsid w:val="0046756F"/>
    <w:rsid w:val="00467655"/>
    <w:rsid w:val="00467A01"/>
    <w:rsid w:val="00467A41"/>
    <w:rsid w:val="00467D04"/>
    <w:rsid w:val="00467D23"/>
    <w:rsid w:val="00467DBD"/>
    <w:rsid w:val="00467F04"/>
    <w:rsid w:val="0047019E"/>
    <w:rsid w:val="004701D1"/>
    <w:rsid w:val="0047020A"/>
    <w:rsid w:val="004702FF"/>
    <w:rsid w:val="0047034D"/>
    <w:rsid w:val="004703F7"/>
    <w:rsid w:val="0047054A"/>
    <w:rsid w:val="00470576"/>
    <w:rsid w:val="00470AD3"/>
    <w:rsid w:val="00470BB5"/>
    <w:rsid w:val="00470C45"/>
    <w:rsid w:val="00470C86"/>
    <w:rsid w:val="00470CFC"/>
    <w:rsid w:val="00470E36"/>
    <w:rsid w:val="00470ECA"/>
    <w:rsid w:val="00470FC2"/>
    <w:rsid w:val="00470FFC"/>
    <w:rsid w:val="0047113E"/>
    <w:rsid w:val="00471203"/>
    <w:rsid w:val="00471445"/>
    <w:rsid w:val="004715BF"/>
    <w:rsid w:val="004717C0"/>
    <w:rsid w:val="004717D0"/>
    <w:rsid w:val="00471919"/>
    <w:rsid w:val="00471A91"/>
    <w:rsid w:val="00471B46"/>
    <w:rsid w:val="00471B56"/>
    <w:rsid w:val="00471C6F"/>
    <w:rsid w:val="004723BB"/>
    <w:rsid w:val="0047244E"/>
    <w:rsid w:val="00472494"/>
    <w:rsid w:val="004725FA"/>
    <w:rsid w:val="0047269F"/>
    <w:rsid w:val="004726B4"/>
    <w:rsid w:val="004727A1"/>
    <w:rsid w:val="004727F3"/>
    <w:rsid w:val="00472807"/>
    <w:rsid w:val="00472876"/>
    <w:rsid w:val="004728CB"/>
    <w:rsid w:val="0047294D"/>
    <w:rsid w:val="00472A1F"/>
    <w:rsid w:val="00472D73"/>
    <w:rsid w:val="00472D92"/>
    <w:rsid w:val="00472FBA"/>
    <w:rsid w:val="00473009"/>
    <w:rsid w:val="0047311B"/>
    <w:rsid w:val="00473308"/>
    <w:rsid w:val="00473396"/>
    <w:rsid w:val="004733C1"/>
    <w:rsid w:val="004735D6"/>
    <w:rsid w:val="00473633"/>
    <w:rsid w:val="00473777"/>
    <w:rsid w:val="004738CC"/>
    <w:rsid w:val="00473C0F"/>
    <w:rsid w:val="00473CF3"/>
    <w:rsid w:val="00473DEA"/>
    <w:rsid w:val="00473E03"/>
    <w:rsid w:val="00473E2B"/>
    <w:rsid w:val="00473E4B"/>
    <w:rsid w:val="00473FEE"/>
    <w:rsid w:val="00473FF2"/>
    <w:rsid w:val="004741D8"/>
    <w:rsid w:val="0047421F"/>
    <w:rsid w:val="00474279"/>
    <w:rsid w:val="004742CF"/>
    <w:rsid w:val="00474461"/>
    <w:rsid w:val="00474540"/>
    <w:rsid w:val="0047455C"/>
    <w:rsid w:val="004746CE"/>
    <w:rsid w:val="004747DD"/>
    <w:rsid w:val="0047497C"/>
    <w:rsid w:val="004749BF"/>
    <w:rsid w:val="00474AA6"/>
    <w:rsid w:val="00474B70"/>
    <w:rsid w:val="00474B83"/>
    <w:rsid w:val="00474CBF"/>
    <w:rsid w:val="00474DEA"/>
    <w:rsid w:val="00474E80"/>
    <w:rsid w:val="00474F8E"/>
    <w:rsid w:val="004750C8"/>
    <w:rsid w:val="004754F2"/>
    <w:rsid w:val="004756BC"/>
    <w:rsid w:val="00475753"/>
    <w:rsid w:val="004757E8"/>
    <w:rsid w:val="0047580D"/>
    <w:rsid w:val="00475883"/>
    <w:rsid w:val="004758D9"/>
    <w:rsid w:val="0047591F"/>
    <w:rsid w:val="00475B23"/>
    <w:rsid w:val="00475BAE"/>
    <w:rsid w:val="00475C67"/>
    <w:rsid w:val="00475DFF"/>
    <w:rsid w:val="00475E17"/>
    <w:rsid w:val="00475F56"/>
    <w:rsid w:val="004760AC"/>
    <w:rsid w:val="00476446"/>
    <w:rsid w:val="004764C7"/>
    <w:rsid w:val="0047662B"/>
    <w:rsid w:val="004767E8"/>
    <w:rsid w:val="00476847"/>
    <w:rsid w:val="00476935"/>
    <w:rsid w:val="00476940"/>
    <w:rsid w:val="00476A01"/>
    <w:rsid w:val="00476A32"/>
    <w:rsid w:val="00476A44"/>
    <w:rsid w:val="00476AE7"/>
    <w:rsid w:val="00476B32"/>
    <w:rsid w:val="00476B80"/>
    <w:rsid w:val="00476D87"/>
    <w:rsid w:val="00476F39"/>
    <w:rsid w:val="00476F59"/>
    <w:rsid w:val="00476FD6"/>
    <w:rsid w:val="004770B8"/>
    <w:rsid w:val="00477142"/>
    <w:rsid w:val="00477227"/>
    <w:rsid w:val="0047723D"/>
    <w:rsid w:val="004773B8"/>
    <w:rsid w:val="0047740B"/>
    <w:rsid w:val="004774CF"/>
    <w:rsid w:val="00477635"/>
    <w:rsid w:val="00477658"/>
    <w:rsid w:val="00477719"/>
    <w:rsid w:val="00477926"/>
    <w:rsid w:val="0047794C"/>
    <w:rsid w:val="00477C3E"/>
    <w:rsid w:val="00477D0C"/>
    <w:rsid w:val="00477D7D"/>
    <w:rsid w:val="00477DAB"/>
    <w:rsid w:val="00477E07"/>
    <w:rsid w:val="004800F5"/>
    <w:rsid w:val="00480185"/>
    <w:rsid w:val="00480328"/>
    <w:rsid w:val="00480460"/>
    <w:rsid w:val="00480464"/>
    <w:rsid w:val="004805F5"/>
    <w:rsid w:val="00480619"/>
    <w:rsid w:val="004807BE"/>
    <w:rsid w:val="004807E4"/>
    <w:rsid w:val="004808F3"/>
    <w:rsid w:val="004809CF"/>
    <w:rsid w:val="004809DF"/>
    <w:rsid w:val="00480CAB"/>
    <w:rsid w:val="00480DD3"/>
    <w:rsid w:val="00481061"/>
    <w:rsid w:val="00481403"/>
    <w:rsid w:val="00481424"/>
    <w:rsid w:val="004814B6"/>
    <w:rsid w:val="00481568"/>
    <w:rsid w:val="00481659"/>
    <w:rsid w:val="0048170A"/>
    <w:rsid w:val="004817F6"/>
    <w:rsid w:val="00481889"/>
    <w:rsid w:val="00481929"/>
    <w:rsid w:val="004819BF"/>
    <w:rsid w:val="00481A58"/>
    <w:rsid w:val="00481B24"/>
    <w:rsid w:val="00481BDE"/>
    <w:rsid w:val="00481C18"/>
    <w:rsid w:val="00481F13"/>
    <w:rsid w:val="00481F1A"/>
    <w:rsid w:val="00481FB7"/>
    <w:rsid w:val="00481FDE"/>
    <w:rsid w:val="00482028"/>
    <w:rsid w:val="0048240C"/>
    <w:rsid w:val="004825B3"/>
    <w:rsid w:val="00482BB9"/>
    <w:rsid w:val="00482C25"/>
    <w:rsid w:val="00482CD9"/>
    <w:rsid w:val="00482D7F"/>
    <w:rsid w:val="00482DD8"/>
    <w:rsid w:val="00482F31"/>
    <w:rsid w:val="00482F33"/>
    <w:rsid w:val="00482FCD"/>
    <w:rsid w:val="0048307D"/>
    <w:rsid w:val="004831C7"/>
    <w:rsid w:val="004831FA"/>
    <w:rsid w:val="0048321D"/>
    <w:rsid w:val="004832E5"/>
    <w:rsid w:val="00483371"/>
    <w:rsid w:val="004833E8"/>
    <w:rsid w:val="004835E0"/>
    <w:rsid w:val="00483831"/>
    <w:rsid w:val="00483972"/>
    <w:rsid w:val="00483A34"/>
    <w:rsid w:val="00483A81"/>
    <w:rsid w:val="00483BAD"/>
    <w:rsid w:val="00483EE9"/>
    <w:rsid w:val="00483F49"/>
    <w:rsid w:val="0048409F"/>
    <w:rsid w:val="004840D5"/>
    <w:rsid w:val="004843B5"/>
    <w:rsid w:val="00484403"/>
    <w:rsid w:val="00484507"/>
    <w:rsid w:val="0048488C"/>
    <w:rsid w:val="00484950"/>
    <w:rsid w:val="00484AB2"/>
    <w:rsid w:val="00484B26"/>
    <w:rsid w:val="00484B2D"/>
    <w:rsid w:val="00484B63"/>
    <w:rsid w:val="00484C80"/>
    <w:rsid w:val="00484CD6"/>
    <w:rsid w:val="00485003"/>
    <w:rsid w:val="0048515C"/>
    <w:rsid w:val="00485186"/>
    <w:rsid w:val="00485192"/>
    <w:rsid w:val="0048527A"/>
    <w:rsid w:val="00485331"/>
    <w:rsid w:val="00485554"/>
    <w:rsid w:val="0048561B"/>
    <w:rsid w:val="00485654"/>
    <w:rsid w:val="004856A8"/>
    <w:rsid w:val="004856AB"/>
    <w:rsid w:val="00485844"/>
    <w:rsid w:val="00485993"/>
    <w:rsid w:val="004859A7"/>
    <w:rsid w:val="00485A9D"/>
    <w:rsid w:val="00485C7A"/>
    <w:rsid w:val="00485F98"/>
    <w:rsid w:val="004860E1"/>
    <w:rsid w:val="004860FD"/>
    <w:rsid w:val="00486118"/>
    <w:rsid w:val="004861DB"/>
    <w:rsid w:val="00486402"/>
    <w:rsid w:val="004864CC"/>
    <w:rsid w:val="0048650B"/>
    <w:rsid w:val="004867AC"/>
    <w:rsid w:val="00486AA8"/>
    <w:rsid w:val="00486B55"/>
    <w:rsid w:val="00486CD1"/>
    <w:rsid w:val="00486DCF"/>
    <w:rsid w:val="00486F79"/>
    <w:rsid w:val="004870E2"/>
    <w:rsid w:val="00487170"/>
    <w:rsid w:val="004871F1"/>
    <w:rsid w:val="00487423"/>
    <w:rsid w:val="0048759C"/>
    <w:rsid w:val="00487662"/>
    <w:rsid w:val="004876B5"/>
    <w:rsid w:val="00487763"/>
    <w:rsid w:val="004877D0"/>
    <w:rsid w:val="00487866"/>
    <w:rsid w:val="00487932"/>
    <w:rsid w:val="0048797F"/>
    <w:rsid w:val="00487A0F"/>
    <w:rsid w:val="00487A18"/>
    <w:rsid w:val="00487A5F"/>
    <w:rsid w:val="00487A70"/>
    <w:rsid w:val="00487B6A"/>
    <w:rsid w:val="00487EF8"/>
    <w:rsid w:val="00487F3F"/>
    <w:rsid w:val="004900E0"/>
    <w:rsid w:val="004900F1"/>
    <w:rsid w:val="00490416"/>
    <w:rsid w:val="0049075B"/>
    <w:rsid w:val="0049076F"/>
    <w:rsid w:val="00490773"/>
    <w:rsid w:val="00490A2F"/>
    <w:rsid w:val="00490B11"/>
    <w:rsid w:val="00490B85"/>
    <w:rsid w:val="00490F48"/>
    <w:rsid w:val="00490FA1"/>
    <w:rsid w:val="0049105C"/>
    <w:rsid w:val="00491187"/>
    <w:rsid w:val="00491233"/>
    <w:rsid w:val="0049152E"/>
    <w:rsid w:val="004915AC"/>
    <w:rsid w:val="004915D7"/>
    <w:rsid w:val="00491749"/>
    <w:rsid w:val="0049178D"/>
    <w:rsid w:val="004919A7"/>
    <w:rsid w:val="00491A3B"/>
    <w:rsid w:val="00491AC5"/>
    <w:rsid w:val="00491ACB"/>
    <w:rsid w:val="00491C7B"/>
    <w:rsid w:val="00491E2D"/>
    <w:rsid w:val="00492013"/>
    <w:rsid w:val="00492067"/>
    <w:rsid w:val="004920DC"/>
    <w:rsid w:val="00492534"/>
    <w:rsid w:val="004928CE"/>
    <w:rsid w:val="00492A3A"/>
    <w:rsid w:val="00492AA2"/>
    <w:rsid w:val="00492B81"/>
    <w:rsid w:val="00492C2E"/>
    <w:rsid w:val="00492CAF"/>
    <w:rsid w:val="00492D46"/>
    <w:rsid w:val="00492E72"/>
    <w:rsid w:val="00492E7B"/>
    <w:rsid w:val="00493015"/>
    <w:rsid w:val="00493497"/>
    <w:rsid w:val="00493582"/>
    <w:rsid w:val="00493712"/>
    <w:rsid w:val="00493713"/>
    <w:rsid w:val="004937EC"/>
    <w:rsid w:val="004938F7"/>
    <w:rsid w:val="004939EC"/>
    <w:rsid w:val="00493D29"/>
    <w:rsid w:val="00493EEE"/>
    <w:rsid w:val="00493F52"/>
    <w:rsid w:val="00493F6B"/>
    <w:rsid w:val="00493F7C"/>
    <w:rsid w:val="00493F95"/>
    <w:rsid w:val="00493FA2"/>
    <w:rsid w:val="00493FA3"/>
    <w:rsid w:val="004940DD"/>
    <w:rsid w:val="00494110"/>
    <w:rsid w:val="0049417D"/>
    <w:rsid w:val="0049435A"/>
    <w:rsid w:val="00494416"/>
    <w:rsid w:val="00494443"/>
    <w:rsid w:val="00494538"/>
    <w:rsid w:val="00494546"/>
    <w:rsid w:val="00494549"/>
    <w:rsid w:val="00494638"/>
    <w:rsid w:val="00494669"/>
    <w:rsid w:val="004946A3"/>
    <w:rsid w:val="0049477A"/>
    <w:rsid w:val="00494789"/>
    <w:rsid w:val="004949EA"/>
    <w:rsid w:val="00494A86"/>
    <w:rsid w:val="00494A89"/>
    <w:rsid w:val="00494BE2"/>
    <w:rsid w:val="00495044"/>
    <w:rsid w:val="004952C0"/>
    <w:rsid w:val="0049542D"/>
    <w:rsid w:val="0049573A"/>
    <w:rsid w:val="00495767"/>
    <w:rsid w:val="00495A8B"/>
    <w:rsid w:val="00495F59"/>
    <w:rsid w:val="00495FAD"/>
    <w:rsid w:val="00495FF3"/>
    <w:rsid w:val="00496010"/>
    <w:rsid w:val="00496201"/>
    <w:rsid w:val="00496277"/>
    <w:rsid w:val="00496392"/>
    <w:rsid w:val="00496702"/>
    <w:rsid w:val="00496752"/>
    <w:rsid w:val="00496761"/>
    <w:rsid w:val="00496850"/>
    <w:rsid w:val="0049686A"/>
    <w:rsid w:val="00496996"/>
    <w:rsid w:val="00496B37"/>
    <w:rsid w:val="00496B6C"/>
    <w:rsid w:val="00496EE3"/>
    <w:rsid w:val="00497048"/>
    <w:rsid w:val="00497189"/>
    <w:rsid w:val="0049738D"/>
    <w:rsid w:val="004973F0"/>
    <w:rsid w:val="0049751C"/>
    <w:rsid w:val="0049753A"/>
    <w:rsid w:val="0049758C"/>
    <w:rsid w:val="00497656"/>
    <w:rsid w:val="004977AF"/>
    <w:rsid w:val="00497839"/>
    <w:rsid w:val="0049783E"/>
    <w:rsid w:val="00497907"/>
    <w:rsid w:val="00497911"/>
    <w:rsid w:val="004979ED"/>
    <w:rsid w:val="00497AEF"/>
    <w:rsid w:val="00497DAE"/>
    <w:rsid w:val="00497E07"/>
    <w:rsid w:val="00497F88"/>
    <w:rsid w:val="004A0377"/>
    <w:rsid w:val="004A0486"/>
    <w:rsid w:val="004A0596"/>
    <w:rsid w:val="004A0847"/>
    <w:rsid w:val="004A089C"/>
    <w:rsid w:val="004A0925"/>
    <w:rsid w:val="004A0A1D"/>
    <w:rsid w:val="004A0A27"/>
    <w:rsid w:val="004A0BF3"/>
    <w:rsid w:val="004A0EC0"/>
    <w:rsid w:val="004A0EF2"/>
    <w:rsid w:val="004A0F91"/>
    <w:rsid w:val="004A105E"/>
    <w:rsid w:val="004A10D5"/>
    <w:rsid w:val="004A13C7"/>
    <w:rsid w:val="004A1436"/>
    <w:rsid w:val="004A144E"/>
    <w:rsid w:val="004A157F"/>
    <w:rsid w:val="004A18F8"/>
    <w:rsid w:val="004A1986"/>
    <w:rsid w:val="004A1C8C"/>
    <w:rsid w:val="004A1DA4"/>
    <w:rsid w:val="004A1E62"/>
    <w:rsid w:val="004A20F8"/>
    <w:rsid w:val="004A2238"/>
    <w:rsid w:val="004A229C"/>
    <w:rsid w:val="004A233A"/>
    <w:rsid w:val="004A2367"/>
    <w:rsid w:val="004A237A"/>
    <w:rsid w:val="004A2548"/>
    <w:rsid w:val="004A2673"/>
    <w:rsid w:val="004A2679"/>
    <w:rsid w:val="004A26C6"/>
    <w:rsid w:val="004A2719"/>
    <w:rsid w:val="004A2745"/>
    <w:rsid w:val="004A288B"/>
    <w:rsid w:val="004A29CA"/>
    <w:rsid w:val="004A2A01"/>
    <w:rsid w:val="004A2A24"/>
    <w:rsid w:val="004A2AF6"/>
    <w:rsid w:val="004A2BD4"/>
    <w:rsid w:val="004A2D0D"/>
    <w:rsid w:val="004A2FBA"/>
    <w:rsid w:val="004A3308"/>
    <w:rsid w:val="004A3448"/>
    <w:rsid w:val="004A380D"/>
    <w:rsid w:val="004A390B"/>
    <w:rsid w:val="004A39ED"/>
    <w:rsid w:val="004A3AD8"/>
    <w:rsid w:val="004A3E9C"/>
    <w:rsid w:val="004A3F22"/>
    <w:rsid w:val="004A3FB4"/>
    <w:rsid w:val="004A3FC2"/>
    <w:rsid w:val="004A3FD2"/>
    <w:rsid w:val="004A4087"/>
    <w:rsid w:val="004A40E2"/>
    <w:rsid w:val="004A4110"/>
    <w:rsid w:val="004A43BF"/>
    <w:rsid w:val="004A43E7"/>
    <w:rsid w:val="004A45BE"/>
    <w:rsid w:val="004A46CB"/>
    <w:rsid w:val="004A47C6"/>
    <w:rsid w:val="004A47D3"/>
    <w:rsid w:val="004A4988"/>
    <w:rsid w:val="004A4A3F"/>
    <w:rsid w:val="004A4B47"/>
    <w:rsid w:val="004A4C99"/>
    <w:rsid w:val="004A4F11"/>
    <w:rsid w:val="004A5217"/>
    <w:rsid w:val="004A5228"/>
    <w:rsid w:val="004A5568"/>
    <w:rsid w:val="004A55D5"/>
    <w:rsid w:val="004A560E"/>
    <w:rsid w:val="004A57AE"/>
    <w:rsid w:val="004A5810"/>
    <w:rsid w:val="004A5839"/>
    <w:rsid w:val="004A5851"/>
    <w:rsid w:val="004A5873"/>
    <w:rsid w:val="004A5899"/>
    <w:rsid w:val="004A58E2"/>
    <w:rsid w:val="004A5D3E"/>
    <w:rsid w:val="004A6109"/>
    <w:rsid w:val="004A618D"/>
    <w:rsid w:val="004A6231"/>
    <w:rsid w:val="004A634D"/>
    <w:rsid w:val="004A654D"/>
    <w:rsid w:val="004A65C4"/>
    <w:rsid w:val="004A6600"/>
    <w:rsid w:val="004A66B5"/>
    <w:rsid w:val="004A67AB"/>
    <w:rsid w:val="004A6A91"/>
    <w:rsid w:val="004A6B18"/>
    <w:rsid w:val="004A6E4B"/>
    <w:rsid w:val="004A6ED2"/>
    <w:rsid w:val="004A718F"/>
    <w:rsid w:val="004A71A9"/>
    <w:rsid w:val="004A7484"/>
    <w:rsid w:val="004A7533"/>
    <w:rsid w:val="004A78AC"/>
    <w:rsid w:val="004A7A12"/>
    <w:rsid w:val="004A7AEB"/>
    <w:rsid w:val="004A7C33"/>
    <w:rsid w:val="004A7D67"/>
    <w:rsid w:val="004A7DBF"/>
    <w:rsid w:val="004A7F30"/>
    <w:rsid w:val="004A7FC8"/>
    <w:rsid w:val="004B001A"/>
    <w:rsid w:val="004B042F"/>
    <w:rsid w:val="004B0479"/>
    <w:rsid w:val="004B0485"/>
    <w:rsid w:val="004B04A3"/>
    <w:rsid w:val="004B04BF"/>
    <w:rsid w:val="004B052C"/>
    <w:rsid w:val="004B06C9"/>
    <w:rsid w:val="004B089E"/>
    <w:rsid w:val="004B08A2"/>
    <w:rsid w:val="004B08C4"/>
    <w:rsid w:val="004B0A09"/>
    <w:rsid w:val="004B0AA4"/>
    <w:rsid w:val="004B0B29"/>
    <w:rsid w:val="004B0BCF"/>
    <w:rsid w:val="004B0C18"/>
    <w:rsid w:val="004B0C55"/>
    <w:rsid w:val="004B0F79"/>
    <w:rsid w:val="004B116A"/>
    <w:rsid w:val="004B11D0"/>
    <w:rsid w:val="004B12D3"/>
    <w:rsid w:val="004B1448"/>
    <w:rsid w:val="004B1D00"/>
    <w:rsid w:val="004B1D87"/>
    <w:rsid w:val="004B1DDD"/>
    <w:rsid w:val="004B1F05"/>
    <w:rsid w:val="004B2099"/>
    <w:rsid w:val="004B21FC"/>
    <w:rsid w:val="004B22D6"/>
    <w:rsid w:val="004B23C7"/>
    <w:rsid w:val="004B2714"/>
    <w:rsid w:val="004B29B6"/>
    <w:rsid w:val="004B2A1C"/>
    <w:rsid w:val="004B2B12"/>
    <w:rsid w:val="004B30BF"/>
    <w:rsid w:val="004B3361"/>
    <w:rsid w:val="004B33FC"/>
    <w:rsid w:val="004B3469"/>
    <w:rsid w:val="004B35A1"/>
    <w:rsid w:val="004B3701"/>
    <w:rsid w:val="004B3836"/>
    <w:rsid w:val="004B3BBA"/>
    <w:rsid w:val="004B3BF2"/>
    <w:rsid w:val="004B3C00"/>
    <w:rsid w:val="004B3EB0"/>
    <w:rsid w:val="004B3F89"/>
    <w:rsid w:val="004B4093"/>
    <w:rsid w:val="004B4216"/>
    <w:rsid w:val="004B4229"/>
    <w:rsid w:val="004B42F9"/>
    <w:rsid w:val="004B4420"/>
    <w:rsid w:val="004B460B"/>
    <w:rsid w:val="004B48C3"/>
    <w:rsid w:val="004B4AF3"/>
    <w:rsid w:val="004B4B18"/>
    <w:rsid w:val="004B4B7B"/>
    <w:rsid w:val="004B4C49"/>
    <w:rsid w:val="004B4CC5"/>
    <w:rsid w:val="004B4ED9"/>
    <w:rsid w:val="004B4F33"/>
    <w:rsid w:val="004B4F6F"/>
    <w:rsid w:val="004B4FD9"/>
    <w:rsid w:val="004B5152"/>
    <w:rsid w:val="004B5468"/>
    <w:rsid w:val="004B55CB"/>
    <w:rsid w:val="004B564B"/>
    <w:rsid w:val="004B56B7"/>
    <w:rsid w:val="004B582A"/>
    <w:rsid w:val="004B5915"/>
    <w:rsid w:val="004B59AA"/>
    <w:rsid w:val="004B5A00"/>
    <w:rsid w:val="004B5A44"/>
    <w:rsid w:val="004B5A73"/>
    <w:rsid w:val="004B5BAE"/>
    <w:rsid w:val="004B5C95"/>
    <w:rsid w:val="004B5CC6"/>
    <w:rsid w:val="004B5CF2"/>
    <w:rsid w:val="004B5F16"/>
    <w:rsid w:val="004B604C"/>
    <w:rsid w:val="004B62B4"/>
    <w:rsid w:val="004B62CE"/>
    <w:rsid w:val="004B6325"/>
    <w:rsid w:val="004B633B"/>
    <w:rsid w:val="004B63EE"/>
    <w:rsid w:val="004B6612"/>
    <w:rsid w:val="004B66BC"/>
    <w:rsid w:val="004B6702"/>
    <w:rsid w:val="004B68A6"/>
    <w:rsid w:val="004B6B62"/>
    <w:rsid w:val="004B6B98"/>
    <w:rsid w:val="004B6CC6"/>
    <w:rsid w:val="004B6D90"/>
    <w:rsid w:val="004B6DA7"/>
    <w:rsid w:val="004B6E65"/>
    <w:rsid w:val="004B6F1A"/>
    <w:rsid w:val="004B6F31"/>
    <w:rsid w:val="004B6F35"/>
    <w:rsid w:val="004B741D"/>
    <w:rsid w:val="004B7458"/>
    <w:rsid w:val="004B7470"/>
    <w:rsid w:val="004B766C"/>
    <w:rsid w:val="004B78F7"/>
    <w:rsid w:val="004B79AE"/>
    <w:rsid w:val="004B7AE6"/>
    <w:rsid w:val="004B7C54"/>
    <w:rsid w:val="004B7CC3"/>
    <w:rsid w:val="004B7D26"/>
    <w:rsid w:val="004B7D54"/>
    <w:rsid w:val="004B7DCA"/>
    <w:rsid w:val="004B7EB5"/>
    <w:rsid w:val="004B7F03"/>
    <w:rsid w:val="004B7FD8"/>
    <w:rsid w:val="004BA3E2"/>
    <w:rsid w:val="004C01D1"/>
    <w:rsid w:val="004C0336"/>
    <w:rsid w:val="004C0402"/>
    <w:rsid w:val="004C04DC"/>
    <w:rsid w:val="004C05A0"/>
    <w:rsid w:val="004C05B1"/>
    <w:rsid w:val="004C068A"/>
    <w:rsid w:val="004C06AF"/>
    <w:rsid w:val="004C0789"/>
    <w:rsid w:val="004C07EC"/>
    <w:rsid w:val="004C09D9"/>
    <w:rsid w:val="004C0CC0"/>
    <w:rsid w:val="004C0D45"/>
    <w:rsid w:val="004C11BE"/>
    <w:rsid w:val="004C1270"/>
    <w:rsid w:val="004C1353"/>
    <w:rsid w:val="004C144D"/>
    <w:rsid w:val="004C1478"/>
    <w:rsid w:val="004C14A2"/>
    <w:rsid w:val="004C1505"/>
    <w:rsid w:val="004C156A"/>
    <w:rsid w:val="004C159A"/>
    <w:rsid w:val="004C1845"/>
    <w:rsid w:val="004C1B9A"/>
    <w:rsid w:val="004C1BFB"/>
    <w:rsid w:val="004C1CF3"/>
    <w:rsid w:val="004C1D10"/>
    <w:rsid w:val="004C1D36"/>
    <w:rsid w:val="004C1E5C"/>
    <w:rsid w:val="004C1F09"/>
    <w:rsid w:val="004C1F25"/>
    <w:rsid w:val="004C214B"/>
    <w:rsid w:val="004C21A1"/>
    <w:rsid w:val="004C2343"/>
    <w:rsid w:val="004C238D"/>
    <w:rsid w:val="004C242A"/>
    <w:rsid w:val="004C2469"/>
    <w:rsid w:val="004C264E"/>
    <w:rsid w:val="004C2ADF"/>
    <w:rsid w:val="004C2AE1"/>
    <w:rsid w:val="004C2B70"/>
    <w:rsid w:val="004C2C2C"/>
    <w:rsid w:val="004C2D64"/>
    <w:rsid w:val="004C2F61"/>
    <w:rsid w:val="004C2FBD"/>
    <w:rsid w:val="004C2FD4"/>
    <w:rsid w:val="004C3075"/>
    <w:rsid w:val="004C30A6"/>
    <w:rsid w:val="004C33F7"/>
    <w:rsid w:val="004C3455"/>
    <w:rsid w:val="004C35CC"/>
    <w:rsid w:val="004C3AE7"/>
    <w:rsid w:val="004C3B0D"/>
    <w:rsid w:val="004C3B78"/>
    <w:rsid w:val="004C3BF7"/>
    <w:rsid w:val="004C3CB3"/>
    <w:rsid w:val="004C3E69"/>
    <w:rsid w:val="004C3E8C"/>
    <w:rsid w:val="004C3F53"/>
    <w:rsid w:val="004C3FEA"/>
    <w:rsid w:val="004C410E"/>
    <w:rsid w:val="004C417A"/>
    <w:rsid w:val="004C4390"/>
    <w:rsid w:val="004C43F1"/>
    <w:rsid w:val="004C4657"/>
    <w:rsid w:val="004C479C"/>
    <w:rsid w:val="004C490B"/>
    <w:rsid w:val="004C49B5"/>
    <w:rsid w:val="004C4A4F"/>
    <w:rsid w:val="004C4B73"/>
    <w:rsid w:val="004C4B77"/>
    <w:rsid w:val="004C4BF6"/>
    <w:rsid w:val="004C4CC2"/>
    <w:rsid w:val="004C4D30"/>
    <w:rsid w:val="004C4EE4"/>
    <w:rsid w:val="004C502F"/>
    <w:rsid w:val="004C5042"/>
    <w:rsid w:val="004C51A8"/>
    <w:rsid w:val="004C5238"/>
    <w:rsid w:val="004C5274"/>
    <w:rsid w:val="004C52AA"/>
    <w:rsid w:val="004C52BE"/>
    <w:rsid w:val="004C5309"/>
    <w:rsid w:val="004C5347"/>
    <w:rsid w:val="004C535F"/>
    <w:rsid w:val="004C546A"/>
    <w:rsid w:val="004C5647"/>
    <w:rsid w:val="004C56D9"/>
    <w:rsid w:val="004C570C"/>
    <w:rsid w:val="004C571E"/>
    <w:rsid w:val="004C574B"/>
    <w:rsid w:val="004C57EB"/>
    <w:rsid w:val="004C5863"/>
    <w:rsid w:val="004C5AF9"/>
    <w:rsid w:val="004C5C10"/>
    <w:rsid w:val="004C5CC3"/>
    <w:rsid w:val="004C5E5A"/>
    <w:rsid w:val="004C5EDD"/>
    <w:rsid w:val="004C6310"/>
    <w:rsid w:val="004C6352"/>
    <w:rsid w:val="004C6480"/>
    <w:rsid w:val="004C6497"/>
    <w:rsid w:val="004C64F0"/>
    <w:rsid w:val="004C664F"/>
    <w:rsid w:val="004C675A"/>
    <w:rsid w:val="004C67D8"/>
    <w:rsid w:val="004C67E5"/>
    <w:rsid w:val="004C6897"/>
    <w:rsid w:val="004C69F2"/>
    <w:rsid w:val="004C6B82"/>
    <w:rsid w:val="004C6C47"/>
    <w:rsid w:val="004C6C93"/>
    <w:rsid w:val="004C6E53"/>
    <w:rsid w:val="004C6E94"/>
    <w:rsid w:val="004C6F02"/>
    <w:rsid w:val="004C6F1B"/>
    <w:rsid w:val="004C6F73"/>
    <w:rsid w:val="004C6FA0"/>
    <w:rsid w:val="004C7002"/>
    <w:rsid w:val="004C7135"/>
    <w:rsid w:val="004C718D"/>
    <w:rsid w:val="004C7200"/>
    <w:rsid w:val="004C722C"/>
    <w:rsid w:val="004C7497"/>
    <w:rsid w:val="004C7AEE"/>
    <w:rsid w:val="004C7B7C"/>
    <w:rsid w:val="004C7BCB"/>
    <w:rsid w:val="004C7BFE"/>
    <w:rsid w:val="004C7E4E"/>
    <w:rsid w:val="004D01F4"/>
    <w:rsid w:val="004D02E6"/>
    <w:rsid w:val="004D030D"/>
    <w:rsid w:val="004D0445"/>
    <w:rsid w:val="004D04BB"/>
    <w:rsid w:val="004D0517"/>
    <w:rsid w:val="004D057F"/>
    <w:rsid w:val="004D0635"/>
    <w:rsid w:val="004D0666"/>
    <w:rsid w:val="004D070E"/>
    <w:rsid w:val="004D0732"/>
    <w:rsid w:val="004D0851"/>
    <w:rsid w:val="004D0858"/>
    <w:rsid w:val="004D0859"/>
    <w:rsid w:val="004D08CE"/>
    <w:rsid w:val="004D09AC"/>
    <w:rsid w:val="004D0A20"/>
    <w:rsid w:val="004D0A6C"/>
    <w:rsid w:val="004D0A79"/>
    <w:rsid w:val="004D0BDD"/>
    <w:rsid w:val="004D0C41"/>
    <w:rsid w:val="004D0FBC"/>
    <w:rsid w:val="004D124B"/>
    <w:rsid w:val="004D1582"/>
    <w:rsid w:val="004D178F"/>
    <w:rsid w:val="004D17F5"/>
    <w:rsid w:val="004D1839"/>
    <w:rsid w:val="004D1B69"/>
    <w:rsid w:val="004D1BB6"/>
    <w:rsid w:val="004D1BC8"/>
    <w:rsid w:val="004D1CE7"/>
    <w:rsid w:val="004D1D22"/>
    <w:rsid w:val="004D1D45"/>
    <w:rsid w:val="004D1EAB"/>
    <w:rsid w:val="004D1EDB"/>
    <w:rsid w:val="004D1EFF"/>
    <w:rsid w:val="004D2083"/>
    <w:rsid w:val="004D208A"/>
    <w:rsid w:val="004D20A6"/>
    <w:rsid w:val="004D2106"/>
    <w:rsid w:val="004D21B1"/>
    <w:rsid w:val="004D237A"/>
    <w:rsid w:val="004D25B4"/>
    <w:rsid w:val="004D27AA"/>
    <w:rsid w:val="004D28CE"/>
    <w:rsid w:val="004D2946"/>
    <w:rsid w:val="004D2A26"/>
    <w:rsid w:val="004D2A71"/>
    <w:rsid w:val="004D2B2B"/>
    <w:rsid w:val="004D2C6B"/>
    <w:rsid w:val="004D2CBE"/>
    <w:rsid w:val="004D2E74"/>
    <w:rsid w:val="004D328C"/>
    <w:rsid w:val="004D35E8"/>
    <w:rsid w:val="004D3635"/>
    <w:rsid w:val="004D374B"/>
    <w:rsid w:val="004D385F"/>
    <w:rsid w:val="004D3950"/>
    <w:rsid w:val="004D3982"/>
    <w:rsid w:val="004D3A81"/>
    <w:rsid w:val="004D3AA1"/>
    <w:rsid w:val="004D3C1C"/>
    <w:rsid w:val="004D3CBB"/>
    <w:rsid w:val="004D3CE1"/>
    <w:rsid w:val="004D3D46"/>
    <w:rsid w:val="004D3D5C"/>
    <w:rsid w:val="004D3DEE"/>
    <w:rsid w:val="004D3E77"/>
    <w:rsid w:val="004D3EA3"/>
    <w:rsid w:val="004D3F38"/>
    <w:rsid w:val="004D403D"/>
    <w:rsid w:val="004D4083"/>
    <w:rsid w:val="004D41F5"/>
    <w:rsid w:val="004D41F8"/>
    <w:rsid w:val="004D42AC"/>
    <w:rsid w:val="004D42C5"/>
    <w:rsid w:val="004D43A2"/>
    <w:rsid w:val="004D4482"/>
    <w:rsid w:val="004D462F"/>
    <w:rsid w:val="004D4755"/>
    <w:rsid w:val="004D4820"/>
    <w:rsid w:val="004D4862"/>
    <w:rsid w:val="004D48B7"/>
    <w:rsid w:val="004D4903"/>
    <w:rsid w:val="004D4986"/>
    <w:rsid w:val="004D4A80"/>
    <w:rsid w:val="004D4AC6"/>
    <w:rsid w:val="004D4AEC"/>
    <w:rsid w:val="004D4B6A"/>
    <w:rsid w:val="004D4B9E"/>
    <w:rsid w:val="004D4C49"/>
    <w:rsid w:val="004D4C98"/>
    <w:rsid w:val="004D4E14"/>
    <w:rsid w:val="004D4EFC"/>
    <w:rsid w:val="004D4F19"/>
    <w:rsid w:val="004D4FEC"/>
    <w:rsid w:val="004D5125"/>
    <w:rsid w:val="004D51A4"/>
    <w:rsid w:val="004D525F"/>
    <w:rsid w:val="004D52C6"/>
    <w:rsid w:val="004D53DE"/>
    <w:rsid w:val="004D5460"/>
    <w:rsid w:val="004D560F"/>
    <w:rsid w:val="004D5623"/>
    <w:rsid w:val="004D56FC"/>
    <w:rsid w:val="004D57DD"/>
    <w:rsid w:val="004D58D0"/>
    <w:rsid w:val="004D59CD"/>
    <w:rsid w:val="004D5A4B"/>
    <w:rsid w:val="004D5AA2"/>
    <w:rsid w:val="004D5C7E"/>
    <w:rsid w:val="004D5D9C"/>
    <w:rsid w:val="004D5DE2"/>
    <w:rsid w:val="004D5EA0"/>
    <w:rsid w:val="004D5F24"/>
    <w:rsid w:val="004D5F53"/>
    <w:rsid w:val="004D5FA7"/>
    <w:rsid w:val="004D63B5"/>
    <w:rsid w:val="004D6478"/>
    <w:rsid w:val="004D653E"/>
    <w:rsid w:val="004D6688"/>
    <w:rsid w:val="004D6814"/>
    <w:rsid w:val="004D6915"/>
    <w:rsid w:val="004D6C21"/>
    <w:rsid w:val="004D6C40"/>
    <w:rsid w:val="004D6DF8"/>
    <w:rsid w:val="004D70B7"/>
    <w:rsid w:val="004D71A3"/>
    <w:rsid w:val="004D71E5"/>
    <w:rsid w:val="004D72DD"/>
    <w:rsid w:val="004D73CB"/>
    <w:rsid w:val="004D75A3"/>
    <w:rsid w:val="004D77CC"/>
    <w:rsid w:val="004D7A40"/>
    <w:rsid w:val="004D7ACC"/>
    <w:rsid w:val="004D7C7C"/>
    <w:rsid w:val="004E0103"/>
    <w:rsid w:val="004E0177"/>
    <w:rsid w:val="004E01A9"/>
    <w:rsid w:val="004E02D4"/>
    <w:rsid w:val="004E02D5"/>
    <w:rsid w:val="004E0539"/>
    <w:rsid w:val="004E06BC"/>
    <w:rsid w:val="004E06C5"/>
    <w:rsid w:val="004E0779"/>
    <w:rsid w:val="004E0895"/>
    <w:rsid w:val="004E0AA8"/>
    <w:rsid w:val="004E0B1A"/>
    <w:rsid w:val="004E0CCD"/>
    <w:rsid w:val="004E0CFD"/>
    <w:rsid w:val="004E0E11"/>
    <w:rsid w:val="004E1015"/>
    <w:rsid w:val="004E105B"/>
    <w:rsid w:val="004E1079"/>
    <w:rsid w:val="004E111B"/>
    <w:rsid w:val="004E1130"/>
    <w:rsid w:val="004E1206"/>
    <w:rsid w:val="004E1246"/>
    <w:rsid w:val="004E15CC"/>
    <w:rsid w:val="004E1634"/>
    <w:rsid w:val="004E172B"/>
    <w:rsid w:val="004E1737"/>
    <w:rsid w:val="004E1794"/>
    <w:rsid w:val="004E197F"/>
    <w:rsid w:val="004E1A16"/>
    <w:rsid w:val="004E1A7B"/>
    <w:rsid w:val="004E1B3D"/>
    <w:rsid w:val="004E1FEF"/>
    <w:rsid w:val="004E205D"/>
    <w:rsid w:val="004E22B5"/>
    <w:rsid w:val="004E23C7"/>
    <w:rsid w:val="004E2596"/>
    <w:rsid w:val="004E25C2"/>
    <w:rsid w:val="004E27B5"/>
    <w:rsid w:val="004E285E"/>
    <w:rsid w:val="004E288A"/>
    <w:rsid w:val="004E2899"/>
    <w:rsid w:val="004E2918"/>
    <w:rsid w:val="004E2927"/>
    <w:rsid w:val="004E2A3F"/>
    <w:rsid w:val="004E2C83"/>
    <w:rsid w:val="004E2CCA"/>
    <w:rsid w:val="004E2D37"/>
    <w:rsid w:val="004E2DF7"/>
    <w:rsid w:val="004E2ED5"/>
    <w:rsid w:val="004E2EDD"/>
    <w:rsid w:val="004E2F03"/>
    <w:rsid w:val="004E3054"/>
    <w:rsid w:val="004E307F"/>
    <w:rsid w:val="004E31E5"/>
    <w:rsid w:val="004E3260"/>
    <w:rsid w:val="004E3271"/>
    <w:rsid w:val="004E3507"/>
    <w:rsid w:val="004E3550"/>
    <w:rsid w:val="004E35A2"/>
    <w:rsid w:val="004E366E"/>
    <w:rsid w:val="004E380C"/>
    <w:rsid w:val="004E39A8"/>
    <w:rsid w:val="004E3AEB"/>
    <w:rsid w:val="004E3DB4"/>
    <w:rsid w:val="004E40A5"/>
    <w:rsid w:val="004E415D"/>
    <w:rsid w:val="004E416E"/>
    <w:rsid w:val="004E41AF"/>
    <w:rsid w:val="004E4216"/>
    <w:rsid w:val="004E4258"/>
    <w:rsid w:val="004E4364"/>
    <w:rsid w:val="004E4671"/>
    <w:rsid w:val="004E47ED"/>
    <w:rsid w:val="004E4B48"/>
    <w:rsid w:val="004E4BA8"/>
    <w:rsid w:val="004E4EA3"/>
    <w:rsid w:val="004E4EC1"/>
    <w:rsid w:val="004E4F0C"/>
    <w:rsid w:val="004E4F24"/>
    <w:rsid w:val="004E51BA"/>
    <w:rsid w:val="004E51CE"/>
    <w:rsid w:val="004E51D2"/>
    <w:rsid w:val="004E540C"/>
    <w:rsid w:val="004E5430"/>
    <w:rsid w:val="004E54B8"/>
    <w:rsid w:val="004E579E"/>
    <w:rsid w:val="004E58A2"/>
    <w:rsid w:val="004E5B18"/>
    <w:rsid w:val="004E5E61"/>
    <w:rsid w:val="004E5E9D"/>
    <w:rsid w:val="004E5F88"/>
    <w:rsid w:val="004E6060"/>
    <w:rsid w:val="004E61FA"/>
    <w:rsid w:val="004E6212"/>
    <w:rsid w:val="004E62A4"/>
    <w:rsid w:val="004E62B6"/>
    <w:rsid w:val="004E642A"/>
    <w:rsid w:val="004E671B"/>
    <w:rsid w:val="004E69CE"/>
    <w:rsid w:val="004E6A56"/>
    <w:rsid w:val="004E6C2D"/>
    <w:rsid w:val="004E6C53"/>
    <w:rsid w:val="004E6DE8"/>
    <w:rsid w:val="004E6E62"/>
    <w:rsid w:val="004E6E81"/>
    <w:rsid w:val="004E7003"/>
    <w:rsid w:val="004E701D"/>
    <w:rsid w:val="004E706C"/>
    <w:rsid w:val="004E71B3"/>
    <w:rsid w:val="004E7215"/>
    <w:rsid w:val="004E727B"/>
    <w:rsid w:val="004E72F6"/>
    <w:rsid w:val="004E7350"/>
    <w:rsid w:val="004E736C"/>
    <w:rsid w:val="004E73C4"/>
    <w:rsid w:val="004E750B"/>
    <w:rsid w:val="004E75F6"/>
    <w:rsid w:val="004E7601"/>
    <w:rsid w:val="004E77A3"/>
    <w:rsid w:val="004E785D"/>
    <w:rsid w:val="004E796D"/>
    <w:rsid w:val="004E79B4"/>
    <w:rsid w:val="004E7A86"/>
    <w:rsid w:val="004E7BBD"/>
    <w:rsid w:val="004E7D45"/>
    <w:rsid w:val="004E7D47"/>
    <w:rsid w:val="004E7E51"/>
    <w:rsid w:val="004F0016"/>
    <w:rsid w:val="004F0267"/>
    <w:rsid w:val="004F028F"/>
    <w:rsid w:val="004F030D"/>
    <w:rsid w:val="004F034D"/>
    <w:rsid w:val="004F03AE"/>
    <w:rsid w:val="004F03DB"/>
    <w:rsid w:val="004F049A"/>
    <w:rsid w:val="004F04EA"/>
    <w:rsid w:val="004F06DD"/>
    <w:rsid w:val="004F0737"/>
    <w:rsid w:val="004F0771"/>
    <w:rsid w:val="004F0801"/>
    <w:rsid w:val="004F09B7"/>
    <w:rsid w:val="004F0AFB"/>
    <w:rsid w:val="004F0C6A"/>
    <w:rsid w:val="004F0DDE"/>
    <w:rsid w:val="004F0E68"/>
    <w:rsid w:val="004F0E72"/>
    <w:rsid w:val="004F0EFC"/>
    <w:rsid w:val="004F0F11"/>
    <w:rsid w:val="004F0F18"/>
    <w:rsid w:val="004F130B"/>
    <w:rsid w:val="004F1672"/>
    <w:rsid w:val="004F1750"/>
    <w:rsid w:val="004F1891"/>
    <w:rsid w:val="004F1A00"/>
    <w:rsid w:val="004F1B37"/>
    <w:rsid w:val="004F1B6F"/>
    <w:rsid w:val="004F1C7B"/>
    <w:rsid w:val="004F1E16"/>
    <w:rsid w:val="004F1E80"/>
    <w:rsid w:val="004F1EB1"/>
    <w:rsid w:val="004F1FE5"/>
    <w:rsid w:val="004F2025"/>
    <w:rsid w:val="004F209C"/>
    <w:rsid w:val="004F22A0"/>
    <w:rsid w:val="004F2626"/>
    <w:rsid w:val="004F2787"/>
    <w:rsid w:val="004F2798"/>
    <w:rsid w:val="004F27F7"/>
    <w:rsid w:val="004F28A8"/>
    <w:rsid w:val="004F2AFB"/>
    <w:rsid w:val="004F2B46"/>
    <w:rsid w:val="004F2B75"/>
    <w:rsid w:val="004F2C8C"/>
    <w:rsid w:val="004F2EB5"/>
    <w:rsid w:val="004F315F"/>
    <w:rsid w:val="004F31A4"/>
    <w:rsid w:val="004F3218"/>
    <w:rsid w:val="004F3225"/>
    <w:rsid w:val="004F343E"/>
    <w:rsid w:val="004F34C9"/>
    <w:rsid w:val="004F34FF"/>
    <w:rsid w:val="004F36AC"/>
    <w:rsid w:val="004F36B5"/>
    <w:rsid w:val="004F36CE"/>
    <w:rsid w:val="004F36FD"/>
    <w:rsid w:val="004F3724"/>
    <w:rsid w:val="004F38AA"/>
    <w:rsid w:val="004F3A21"/>
    <w:rsid w:val="004F3A6C"/>
    <w:rsid w:val="004F3B2E"/>
    <w:rsid w:val="004F3C39"/>
    <w:rsid w:val="004F3C51"/>
    <w:rsid w:val="004F3D04"/>
    <w:rsid w:val="004F3DB6"/>
    <w:rsid w:val="004F3E4A"/>
    <w:rsid w:val="004F3EF8"/>
    <w:rsid w:val="004F40CF"/>
    <w:rsid w:val="004F437E"/>
    <w:rsid w:val="004F4503"/>
    <w:rsid w:val="004F45F0"/>
    <w:rsid w:val="004F4602"/>
    <w:rsid w:val="004F460D"/>
    <w:rsid w:val="004F4637"/>
    <w:rsid w:val="004F4792"/>
    <w:rsid w:val="004F4825"/>
    <w:rsid w:val="004F48BD"/>
    <w:rsid w:val="004F4AC0"/>
    <w:rsid w:val="004F4B7E"/>
    <w:rsid w:val="004F4CC9"/>
    <w:rsid w:val="004F4E2A"/>
    <w:rsid w:val="004F4F64"/>
    <w:rsid w:val="004F4FA5"/>
    <w:rsid w:val="004F4FFD"/>
    <w:rsid w:val="004F503C"/>
    <w:rsid w:val="004F51EA"/>
    <w:rsid w:val="004F521C"/>
    <w:rsid w:val="004F524E"/>
    <w:rsid w:val="004F5298"/>
    <w:rsid w:val="004F546B"/>
    <w:rsid w:val="004F55B2"/>
    <w:rsid w:val="004F56E2"/>
    <w:rsid w:val="004F56F6"/>
    <w:rsid w:val="004F57CF"/>
    <w:rsid w:val="004F58DE"/>
    <w:rsid w:val="004F5AC1"/>
    <w:rsid w:val="004F5B17"/>
    <w:rsid w:val="004F625B"/>
    <w:rsid w:val="004F6654"/>
    <w:rsid w:val="004F693E"/>
    <w:rsid w:val="004F6A00"/>
    <w:rsid w:val="004F6ABD"/>
    <w:rsid w:val="004F6B0E"/>
    <w:rsid w:val="004F6C8B"/>
    <w:rsid w:val="004F6D28"/>
    <w:rsid w:val="004F6D7C"/>
    <w:rsid w:val="004F6EBF"/>
    <w:rsid w:val="004F6FB1"/>
    <w:rsid w:val="004F70B3"/>
    <w:rsid w:val="004F714E"/>
    <w:rsid w:val="004F7236"/>
    <w:rsid w:val="004F738F"/>
    <w:rsid w:val="004F73C6"/>
    <w:rsid w:val="004F73D7"/>
    <w:rsid w:val="004F74E4"/>
    <w:rsid w:val="004F77CA"/>
    <w:rsid w:val="004F793D"/>
    <w:rsid w:val="004F7A84"/>
    <w:rsid w:val="004F7AB7"/>
    <w:rsid w:val="004F7C00"/>
    <w:rsid w:val="004F7CCD"/>
    <w:rsid w:val="004F7E3A"/>
    <w:rsid w:val="00500073"/>
    <w:rsid w:val="005001C1"/>
    <w:rsid w:val="005002BF"/>
    <w:rsid w:val="005002E5"/>
    <w:rsid w:val="00500504"/>
    <w:rsid w:val="0050054F"/>
    <w:rsid w:val="00500681"/>
    <w:rsid w:val="005006D3"/>
    <w:rsid w:val="005009DA"/>
    <w:rsid w:val="005009DC"/>
    <w:rsid w:val="00500A5F"/>
    <w:rsid w:val="00500A75"/>
    <w:rsid w:val="00500AC3"/>
    <w:rsid w:val="00500B41"/>
    <w:rsid w:val="00500F08"/>
    <w:rsid w:val="00500F1F"/>
    <w:rsid w:val="00501167"/>
    <w:rsid w:val="00501406"/>
    <w:rsid w:val="005014A3"/>
    <w:rsid w:val="005014E4"/>
    <w:rsid w:val="0050155E"/>
    <w:rsid w:val="00501571"/>
    <w:rsid w:val="0050163B"/>
    <w:rsid w:val="00501819"/>
    <w:rsid w:val="005018A3"/>
    <w:rsid w:val="005018D7"/>
    <w:rsid w:val="00501B94"/>
    <w:rsid w:val="00501D28"/>
    <w:rsid w:val="00501DC5"/>
    <w:rsid w:val="00501EAA"/>
    <w:rsid w:val="00501EB3"/>
    <w:rsid w:val="00501F05"/>
    <w:rsid w:val="0050206B"/>
    <w:rsid w:val="005021C0"/>
    <w:rsid w:val="005022C1"/>
    <w:rsid w:val="00502376"/>
    <w:rsid w:val="00502407"/>
    <w:rsid w:val="00502507"/>
    <w:rsid w:val="005025E1"/>
    <w:rsid w:val="00502653"/>
    <w:rsid w:val="005026BE"/>
    <w:rsid w:val="005026C8"/>
    <w:rsid w:val="0050299B"/>
    <w:rsid w:val="005029C8"/>
    <w:rsid w:val="00502D25"/>
    <w:rsid w:val="00502D70"/>
    <w:rsid w:val="00502D92"/>
    <w:rsid w:val="00502E38"/>
    <w:rsid w:val="00502E98"/>
    <w:rsid w:val="005030F4"/>
    <w:rsid w:val="005035FC"/>
    <w:rsid w:val="005037B1"/>
    <w:rsid w:val="00503AD6"/>
    <w:rsid w:val="00503C7C"/>
    <w:rsid w:val="00503CCD"/>
    <w:rsid w:val="00503E26"/>
    <w:rsid w:val="00503E6D"/>
    <w:rsid w:val="00503EC6"/>
    <w:rsid w:val="00503F40"/>
    <w:rsid w:val="00503FA2"/>
    <w:rsid w:val="0050402B"/>
    <w:rsid w:val="0050402C"/>
    <w:rsid w:val="0050415D"/>
    <w:rsid w:val="0050419A"/>
    <w:rsid w:val="00504252"/>
    <w:rsid w:val="0050442F"/>
    <w:rsid w:val="00504457"/>
    <w:rsid w:val="005046F1"/>
    <w:rsid w:val="00504741"/>
    <w:rsid w:val="00504885"/>
    <w:rsid w:val="00504935"/>
    <w:rsid w:val="005049F1"/>
    <w:rsid w:val="00504A85"/>
    <w:rsid w:val="00504ACB"/>
    <w:rsid w:val="00504B40"/>
    <w:rsid w:val="00504BD6"/>
    <w:rsid w:val="00504C5A"/>
    <w:rsid w:val="00504E77"/>
    <w:rsid w:val="00504F52"/>
    <w:rsid w:val="00504FF1"/>
    <w:rsid w:val="005050D7"/>
    <w:rsid w:val="005051CE"/>
    <w:rsid w:val="00505213"/>
    <w:rsid w:val="005052B5"/>
    <w:rsid w:val="00505366"/>
    <w:rsid w:val="005053D5"/>
    <w:rsid w:val="00505516"/>
    <w:rsid w:val="0050553B"/>
    <w:rsid w:val="0050555C"/>
    <w:rsid w:val="005055EA"/>
    <w:rsid w:val="005055F9"/>
    <w:rsid w:val="005055FF"/>
    <w:rsid w:val="00505842"/>
    <w:rsid w:val="0050599E"/>
    <w:rsid w:val="00505AC7"/>
    <w:rsid w:val="00505B54"/>
    <w:rsid w:val="00505B60"/>
    <w:rsid w:val="00505C5C"/>
    <w:rsid w:val="00505CA3"/>
    <w:rsid w:val="00505DDC"/>
    <w:rsid w:val="00505EB1"/>
    <w:rsid w:val="00505F5B"/>
    <w:rsid w:val="0050600F"/>
    <w:rsid w:val="00506186"/>
    <w:rsid w:val="00506391"/>
    <w:rsid w:val="005064C2"/>
    <w:rsid w:val="00506647"/>
    <w:rsid w:val="005066BA"/>
    <w:rsid w:val="00506791"/>
    <w:rsid w:val="005069CD"/>
    <w:rsid w:val="00506A4E"/>
    <w:rsid w:val="00506AF8"/>
    <w:rsid w:val="00506C91"/>
    <w:rsid w:val="00506D28"/>
    <w:rsid w:val="00506DAC"/>
    <w:rsid w:val="00506EB2"/>
    <w:rsid w:val="0050700F"/>
    <w:rsid w:val="0050744A"/>
    <w:rsid w:val="00507522"/>
    <w:rsid w:val="00507749"/>
    <w:rsid w:val="0050782B"/>
    <w:rsid w:val="00507A76"/>
    <w:rsid w:val="00507AF9"/>
    <w:rsid w:val="00507BD2"/>
    <w:rsid w:val="00507D00"/>
    <w:rsid w:val="00507D57"/>
    <w:rsid w:val="005101F3"/>
    <w:rsid w:val="00510327"/>
    <w:rsid w:val="00510423"/>
    <w:rsid w:val="00510484"/>
    <w:rsid w:val="00510A4C"/>
    <w:rsid w:val="00510BDE"/>
    <w:rsid w:val="00510CFD"/>
    <w:rsid w:val="00510DD7"/>
    <w:rsid w:val="00511057"/>
    <w:rsid w:val="005110AA"/>
    <w:rsid w:val="0051121A"/>
    <w:rsid w:val="005112A7"/>
    <w:rsid w:val="00511367"/>
    <w:rsid w:val="005113AA"/>
    <w:rsid w:val="00511553"/>
    <w:rsid w:val="0051168D"/>
    <w:rsid w:val="00511753"/>
    <w:rsid w:val="005117DB"/>
    <w:rsid w:val="005118E7"/>
    <w:rsid w:val="00511973"/>
    <w:rsid w:val="00511A9B"/>
    <w:rsid w:val="00511B31"/>
    <w:rsid w:val="00511EB7"/>
    <w:rsid w:val="005125AB"/>
    <w:rsid w:val="005125FC"/>
    <w:rsid w:val="005128AA"/>
    <w:rsid w:val="00512986"/>
    <w:rsid w:val="00512993"/>
    <w:rsid w:val="00512BC2"/>
    <w:rsid w:val="00513201"/>
    <w:rsid w:val="005134E1"/>
    <w:rsid w:val="0051355C"/>
    <w:rsid w:val="005136C8"/>
    <w:rsid w:val="00513836"/>
    <w:rsid w:val="00513859"/>
    <w:rsid w:val="00513914"/>
    <w:rsid w:val="00513AF2"/>
    <w:rsid w:val="00513C38"/>
    <w:rsid w:val="00513EE0"/>
    <w:rsid w:val="00513F2B"/>
    <w:rsid w:val="00513F83"/>
    <w:rsid w:val="00514177"/>
    <w:rsid w:val="005141CB"/>
    <w:rsid w:val="00514202"/>
    <w:rsid w:val="005142DA"/>
    <w:rsid w:val="00514412"/>
    <w:rsid w:val="0051449F"/>
    <w:rsid w:val="00514576"/>
    <w:rsid w:val="0051476E"/>
    <w:rsid w:val="005147B0"/>
    <w:rsid w:val="00514921"/>
    <w:rsid w:val="0051494B"/>
    <w:rsid w:val="005149C6"/>
    <w:rsid w:val="00514A4A"/>
    <w:rsid w:val="00514B52"/>
    <w:rsid w:val="00514B9A"/>
    <w:rsid w:val="00514B9B"/>
    <w:rsid w:val="00514BB0"/>
    <w:rsid w:val="00514CE9"/>
    <w:rsid w:val="00514D41"/>
    <w:rsid w:val="00514D50"/>
    <w:rsid w:val="00514E24"/>
    <w:rsid w:val="00514F08"/>
    <w:rsid w:val="00514F20"/>
    <w:rsid w:val="00514F65"/>
    <w:rsid w:val="0051504A"/>
    <w:rsid w:val="0051508D"/>
    <w:rsid w:val="005150BA"/>
    <w:rsid w:val="0051514D"/>
    <w:rsid w:val="00515292"/>
    <w:rsid w:val="005153EA"/>
    <w:rsid w:val="005155A0"/>
    <w:rsid w:val="005156D8"/>
    <w:rsid w:val="00515785"/>
    <w:rsid w:val="005157E5"/>
    <w:rsid w:val="00515968"/>
    <w:rsid w:val="005159E9"/>
    <w:rsid w:val="005159EE"/>
    <w:rsid w:val="00515A17"/>
    <w:rsid w:val="00515A4F"/>
    <w:rsid w:val="00515B48"/>
    <w:rsid w:val="00515BAD"/>
    <w:rsid w:val="00515BF7"/>
    <w:rsid w:val="00515C08"/>
    <w:rsid w:val="00515CC2"/>
    <w:rsid w:val="0051603F"/>
    <w:rsid w:val="005161C6"/>
    <w:rsid w:val="005163C1"/>
    <w:rsid w:val="0051647E"/>
    <w:rsid w:val="00516487"/>
    <w:rsid w:val="005164B0"/>
    <w:rsid w:val="0051659A"/>
    <w:rsid w:val="0051661F"/>
    <w:rsid w:val="00516B3E"/>
    <w:rsid w:val="00516E31"/>
    <w:rsid w:val="00517028"/>
    <w:rsid w:val="00517064"/>
    <w:rsid w:val="0051726E"/>
    <w:rsid w:val="005172EB"/>
    <w:rsid w:val="00517305"/>
    <w:rsid w:val="005174CE"/>
    <w:rsid w:val="0051758D"/>
    <w:rsid w:val="00517658"/>
    <w:rsid w:val="00517663"/>
    <w:rsid w:val="00517824"/>
    <w:rsid w:val="00517870"/>
    <w:rsid w:val="00517A1E"/>
    <w:rsid w:val="00517A36"/>
    <w:rsid w:val="00517AD4"/>
    <w:rsid w:val="00517B7D"/>
    <w:rsid w:val="00517F2D"/>
    <w:rsid w:val="00517FDB"/>
    <w:rsid w:val="00520180"/>
    <w:rsid w:val="005202A9"/>
    <w:rsid w:val="005202AE"/>
    <w:rsid w:val="005202E4"/>
    <w:rsid w:val="00520317"/>
    <w:rsid w:val="0052054A"/>
    <w:rsid w:val="00520652"/>
    <w:rsid w:val="00520680"/>
    <w:rsid w:val="0052082D"/>
    <w:rsid w:val="005208E2"/>
    <w:rsid w:val="00520B60"/>
    <w:rsid w:val="00520BB5"/>
    <w:rsid w:val="00520CAC"/>
    <w:rsid w:val="00520EB1"/>
    <w:rsid w:val="00520F8B"/>
    <w:rsid w:val="00521038"/>
    <w:rsid w:val="005210F3"/>
    <w:rsid w:val="00521146"/>
    <w:rsid w:val="005211EC"/>
    <w:rsid w:val="00521271"/>
    <w:rsid w:val="00521656"/>
    <w:rsid w:val="00521712"/>
    <w:rsid w:val="0052177E"/>
    <w:rsid w:val="005217D8"/>
    <w:rsid w:val="0052185C"/>
    <w:rsid w:val="0052193D"/>
    <w:rsid w:val="00521B85"/>
    <w:rsid w:val="00521E3D"/>
    <w:rsid w:val="0052213E"/>
    <w:rsid w:val="0052227E"/>
    <w:rsid w:val="0052247D"/>
    <w:rsid w:val="005224E6"/>
    <w:rsid w:val="005226A2"/>
    <w:rsid w:val="005226CA"/>
    <w:rsid w:val="0052271B"/>
    <w:rsid w:val="005227D0"/>
    <w:rsid w:val="005228BA"/>
    <w:rsid w:val="00522959"/>
    <w:rsid w:val="00522A65"/>
    <w:rsid w:val="00522CCE"/>
    <w:rsid w:val="00522D5C"/>
    <w:rsid w:val="00522D68"/>
    <w:rsid w:val="00522E27"/>
    <w:rsid w:val="00522FF8"/>
    <w:rsid w:val="00523056"/>
    <w:rsid w:val="00523057"/>
    <w:rsid w:val="00523086"/>
    <w:rsid w:val="0052320F"/>
    <w:rsid w:val="0052326A"/>
    <w:rsid w:val="00523281"/>
    <w:rsid w:val="005233D3"/>
    <w:rsid w:val="005237C7"/>
    <w:rsid w:val="00523A6F"/>
    <w:rsid w:val="00523AE2"/>
    <w:rsid w:val="00523C1B"/>
    <w:rsid w:val="00523E7A"/>
    <w:rsid w:val="00523E7C"/>
    <w:rsid w:val="005241B3"/>
    <w:rsid w:val="005242B9"/>
    <w:rsid w:val="005244D1"/>
    <w:rsid w:val="0052465A"/>
    <w:rsid w:val="005246BD"/>
    <w:rsid w:val="005246E0"/>
    <w:rsid w:val="00524738"/>
    <w:rsid w:val="00524BFD"/>
    <w:rsid w:val="00524C81"/>
    <w:rsid w:val="00524E1A"/>
    <w:rsid w:val="0052530F"/>
    <w:rsid w:val="00525720"/>
    <w:rsid w:val="00525738"/>
    <w:rsid w:val="00525B30"/>
    <w:rsid w:val="00525CE7"/>
    <w:rsid w:val="00525D0D"/>
    <w:rsid w:val="00525E85"/>
    <w:rsid w:val="00525F3F"/>
    <w:rsid w:val="0052612B"/>
    <w:rsid w:val="00526416"/>
    <w:rsid w:val="00526456"/>
    <w:rsid w:val="00526514"/>
    <w:rsid w:val="0052667D"/>
    <w:rsid w:val="00526922"/>
    <w:rsid w:val="00526C0F"/>
    <w:rsid w:val="00526C43"/>
    <w:rsid w:val="00526C9C"/>
    <w:rsid w:val="0052702C"/>
    <w:rsid w:val="005272DA"/>
    <w:rsid w:val="00527588"/>
    <w:rsid w:val="00527636"/>
    <w:rsid w:val="0052783C"/>
    <w:rsid w:val="00527847"/>
    <w:rsid w:val="00527BE5"/>
    <w:rsid w:val="00527BF1"/>
    <w:rsid w:val="00527C21"/>
    <w:rsid w:val="00527CDC"/>
    <w:rsid w:val="00527CFD"/>
    <w:rsid w:val="00527D1A"/>
    <w:rsid w:val="00527F40"/>
    <w:rsid w:val="00527F5E"/>
    <w:rsid w:val="00527F8D"/>
    <w:rsid w:val="00530085"/>
    <w:rsid w:val="00530239"/>
    <w:rsid w:val="005302F5"/>
    <w:rsid w:val="005304F8"/>
    <w:rsid w:val="00530594"/>
    <w:rsid w:val="005305F7"/>
    <w:rsid w:val="00530686"/>
    <w:rsid w:val="00530698"/>
    <w:rsid w:val="00530771"/>
    <w:rsid w:val="00530788"/>
    <w:rsid w:val="005308B6"/>
    <w:rsid w:val="00530995"/>
    <w:rsid w:val="005309D0"/>
    <w:rsid w:val="00530A46"/>
    <w:rsid w:val="00530ABF"/>
    <w:rsid w:val="00530BE3"/>
    <w:rsid w:val="00530C05"/>
    <w:rsid w:val="00530CEA"/>
    <w:rsid w:val="00530D91"/>
    <w:rsid w:val="00530EB8"/>
    <w:rsid w:val="00530FB0"/>
    <w:rsid w:val="0053102E"/>
    <w:rsid w:val="00531106"/>
    <w:rsid w:val="00531258"/>
    <w:rsid w:val="005313A3"/>
    <w:rsid w:val="005313AB"/>
    <w:rsid w:val="005315C2"/>
    <w:rsid w:val="00531729"/>
    <w:rsid w:val="005319FE"/>
    <w:rsid w:val="00531AC0"/>
    <w:rsid w:val="00531C8B"/>
    <w:rsid w:val="00531CFB"/>
    <w:rsid w:val="00531D97"/>
    <w:rsid w:val="00531F2D"/>
    <w:rsid w:val="00531FF7"/>
    <w:rsid w:val="00532222"/>
    <w:rsid w:val="0053222C"/>
    <w:rsid w:val="005322CC"/>
    <w:rsid w:val="005322E1"/>
    <w:rsid w:val="0053235B"/>
    <w:rsid w:val="0053239E"/>
    <w:rsid w:val="005323AF"/>
    <w:rsid w:val="005324D1"/>
    <w:rsid w:val="005327A8"/>
    <w:rsid w:val="005327CF"/>
    <w:rsid w:val="00532848"/>
    <w:rsid w:val="00532934"/>
    <w:rsid w:val="0053299B"/>
    <w:rsid w:val="005329C7"/>
    <w:rsid w:val="00532ACC"/>
    <w:rsid w:val="00532B46"/>
    <w:rsid w:val="00532B54"/>
    <w:rsid w:val="00532C57"/>
    <w:rsid w:val="00532C5F"/>
    <w:rsid w:val="00532C93"/>
    <w:rsid w:val="00532CE7"/>
    <w:rsid w:val="00532D91"/>
    <w:rsid w:val="00532DC5"/>
    <w:rsid w:val="00532E39"/>
    <w:rsid w:val="00532EB9"/>
    <w:rsid w:val="0053308C"/>
    <w:rsid w:val="00533178"/>
    <w:rsid w:val="00533195"/>
    <w:rsid w:val="00533277"/>
    <w:rsid w:val="005332A8"/>
    <w:rsid w:val="005332DA"/>
    <w:rsid w:val="005332DD"/>
    <w:rsid w:val="005333FA"/>
    <w:rsid w:val="00533460"/>
    <w:rsid w:val="00533564"/>
    <w:rsid w:val="00533572"/>
    <w:rsid w:val="0053361B"/>
    <w:rsid w:val="0053374D"/>
    <w:rsid w:val="00533800"/>
    <w:rsid w:val="00533845"/>
    <w:rsid w:val="005338B1"/>
    <w:rsid w:val="005338D7"/>
    <w:rsid w:val="005339C7"/>
    <w:rsid w:val="00533A55"/>
    <w:rsid w:val="00533AA8"/>
    <w:rsid w:val="00533AB2"/>
    <w:rsid w:val="00533B0A"/>
    <w:rsid w:val="00533C65"/>
    <w:rsid w:val="00533CDD"/>
    <w:rsid w:val="00533E02"/>
    <w:rsid w:val="00533FE6"/>
    <w:rsid w:val="0053415C"/>
    <w:rsid w:val="005342D7"/>
    <w:rsid w:val="00534319"/>
    <w:rsid w:val="005343BD"/>
    <w:rsid w:val="005344A9"/>
    <w:rsid w:val="00534748"/>
    <w:rsid w:val="00534915"/>
    <w:rsid w:val="00534962"/>
    <w:rsid w:val="00534B24"/>
    <w:rsid w:val="00534B8B"/>
    <w:rsid w:val="00534E49"/>
    <w:rsid w:val="00534F01"/>
    <w:rsid w:val="005350A6"/>
    <w:rsid w:val="0053516D"/>
    <w:rsid w:val="0053521D"/>
    <w:rsid w:val="005355E0"/>
    <w:rsid w:val="0053561D"/>
    <w:rsid w:val="0053587D"/>
    <w:rsid w:val="005358A4"/>
    <w:rsid w:val="0053591F"/>
    <w:rsid w:val="00535AD0"/>
    <w:rsid w:val="00535CA9"/>
    <w:rsid w:val="00535D49"/>
    <w:rsid w:val="00535E25"/>
    <w:rsid w:val="00535F02"/>
    <w:rsid w:val="00535FB7"/>
    <w:rsid w:val="00535FF7"/>
    <w:rsid w:val="0053602E"/>
    <w:rsid w:val="00536062"/>
    <w:rsid w:val="005362A8"/>
    <w:rsid w:val="005363EA"/>
    <w:rsid w:val="00536658"/>
    <w:rsid w:val="005367F8"/>
    <w:rsid w:val="0053698E"/>
    <w:rsid w:val="00536B15"/>
    <w:rsid w:val="00536B37"/>
    <w:rsid w:val="00536B67"/>
    <w:rsid w:val="00536C99"/>
    <w:rsid w:val="00536F22"/>
    <w:rsid w:val="00537240"/>
    <w:rsid w:val="00537267"/>
    <w:rsid w:val="0053749A"/>
    <w:rsid w:val="00537711"/>
    <w:rsid w:val="005377D0"/>
    <w:rsid w:val="0053780E"/>
    <w:rsid w:val="00537855"/>
    <w:rsid w:val="0053786F"/>
    <w:rsid w:val="00537CBF"/>
    <w:rsid w:val="00537CE6"/>
    <w:rsid w:val="00537D8F"/>
    <w:rsid w:val="00537ED7"/>
    <w:rsid w:val="00537F29"/>
    <w:rsid w:val="00537FA8"/>
    <w:rsid w:val="00540247"/>
    <w:rsid w:val="00540272"/>
    <w:rsid w:val="0054044D"/>
    <w:rsid w:val="00540481"/>
    <w:rsid w:val="00540657"/>
    <w:rsid w:val="00540843"/>
    <w:rsid w:val="005408F6"/>
    <w:rsid w:val="00540938"/>
    <w:rsid w:val="005409FA"/>
    <w:rsid w:val="00540C05"/>
    <w:rsid w:val="00540C6D"/>
    <w:rsid w:val="00540C74"/>
    <w:rsid w:val="00540EFA"/>
    <w:rsid w:val="00540F48"/>
    <w:rsid w:val="00540F66"/>
    <w:rsid w:val="0054101D"/>
    <w:rsid w:val="005410AC"/>
    <w:rsid w:val="005410E5"/>
    <w:rsid w:val="0054117A"/>
    <w:rsid w:val="005412D3"/>
    <w:rsid w:val="00541351"/>
    <w:rsid w:val="005413B5"/>
    <w:rsid w:val="005414EC"/>
    <w:rsid w:val="00541601"/>
    <w:rsid w:val="005416CB"/>
    <w:rsid w:val="005416D8"/>
    <w:rsid w:val="00541738"/>
    <w:rsid w:val="0054185B"/>
    <w:rsid w:val="005418B3"/>
    <w:rsid w:val="00541B3C"/>
    <w:rsid w:val="00541DC3"/>
    <w:rsid w:val="00541EBE"/>
    <w:rsid w:val="00541F5E"/>
    <w:rsid w:val="005421DA"/>
    <w:rsid w:val="0054223D"/>
    <w:rsid w:val="00542356"/>
    <w:rsid w:val="00542519"/>
    <w:rsid w:val="0054255E"/>
    <w:rsid w:val="00542587"/>
    <w:rsid w:val="00542600"/>
    <w:rsid w:val="00542620"/>
    <w:rsid w:val="00542638"/>
    <w:rsid w:val="00542743"/>
    <w:rsid w:val="005427EC"/>
    <w:rsid w:val="00542826"/>
    <w:rsid w:val="0054291F"/>
    <w:rsid w:val="00542A31"/>
    <w:rsid w:val="00542A75"/>
    <w:rsid w:val="00542BB4"/>
    <w:rsid w:val="00542C45"/>
    <w:rsid w:val="00542CAF"/>
    <w:rsid w:val="00542FE0"/>
    <w:rsid w:val="00542FED"/>
    <w:rsid w:val="00543050"/>
    <w:rsid w:val="00543103"/>
    <w:rsid w:val="0054323E"/>
    <w:rsid w:val="005432EB"/>
    <w:rsid w:val="0054347C"/>
    <w:rsid w:val="0054353B"/>
    <w:rsid w:val="005436A7"/>
    <w:rsid w:val="005438E2"/>
    <w:rsid w:val="0054391B"/>
    <w:rsid w:val="00543B01"/>
    <w:rsid w:val="00543BC0"/>
    <w:rsid w:val="00543F3F"/>
    <w:rsid w:val="00543FD6"/>
    <w:rsid w:val="005440EF"/>
    <w:rsid w:val="0054411D"/>
    <w:rsid w:val="00544280"/>
    <w:rsid w:val="005443AB"/>
    <w:rsid w:val="00544442"/>
    <w:rsid w:val="00544534"/>
    <w:rsid w:val="00544559"/>
    <w:rsid w:val="005446C1"/>
    <w:rsid w:val="00544700"/>
    <w:rsid w:val="0054484F"/>
    <w:rsid w:val="00544968"/>
    <w:rsid w:val="00544A3A"/>
    <w:rsid w:val="00544BF5"/>
    <w:rsid w:val="00544CC5"/>
    <w:rsid w:val="00544D08"/>
    <w:rsid w:val="00544D31"/>
    <w:rsid w:val="00544F74"/>
    <w:rsid w:val="00544F7A"/>
    <w:rsid w:val="00544FD2"/>
    <w:rsid w:val="00545009"/>
    <w:rsid w:val="00545179"/>
    <w:rsid w:val="0054517D"/>
    <w:rsid w:val="00545662"/>
    <w:rsid w:val="005456A7"/>
    <w:rsid w:val="00545876"/>
    <w:rsid w:val="0054588F"/>
    <w:rsid w:val="00545930"/>
    <w:rsid w:val="00545984"/>
    <w:rsid w:val="00545D21"/>
    <w:rsid w:val="00546185"/>
    <w:rsid w:val="005464A7"/>
    <w:rsid w:val="00546577"/>
    <w:rsid w:val="005467F7"/>
    <w:rsid w:val="00546833"/>
    <w:rsid w:val="005468E2"/>
    <w:rsid w:val="0054695E"/>
    <w:rsid w:val="005469FD"/>
    <w:rsid w:val="00546D7F"/>
    <w:rsid w:val="00546E0C"/>
    <w:rsid w:val="00546E59"/>
    <w:rsid w:val="00547067"/>
    <w:rsid w:val="00547097"/>
    <w:rsid w:val="005470E4"/>
    <w:rsid w:val="0054716D"/>
    <w:rsid w:val="00547175"/>
    <w:rsid w:val="00547489"/>
    <w:rsid w:val="00547513"/>
    <w:rsid w:val="0054757B"/>
    <w:rsid w:val="0054760F"/>
    <w:rsid w:val="00547639"/>
    <w:rsid w:val="005477A1"/>
    <w:rsid w:val="00547A34"/>
    <w:rsid w:val="00547ABC"/>
    <w:rsid w:val="00547B67"/>
    <w:rsid w:val="00547E9D"/>
    <w:rsid w:val="00547F2F"/>
    <w:rsid w:val="005500F9"/>
    <w:rsid w:val="0055015B"/>
    <w:rsid w:val="00550195"/>
    <w:rsid w:val="00550388"/>
    <w:rsid w:val="00550415"/>
    <w:rsid w:val="00550450"/>
    <w:rsid w:val="00550507"/>
    <w:rsid w:val="00550632"/>
    <w:rsid w:val="005506CF"/>
    <w:rsid w:val="0055077E"/>
    <w:rsid w:val="00550B9E"/>
    <w:rsid w:val="00550F80"/>
    <w:rsid w:val="0055103B"/>
    <w:rsid w:val="005513F6"/>
    <w:rsid w:val="0055145A"/>
    <w:rsid w:val="005514A9"/>
    <w:rsid w:val="0055152E"/>
    <w:rsid w:val="005517BB"/>
    <w:rsid w:val="005517FA"/>
    <w:rsid w:val="00551ACC"/>
    <w:rsid w:val="00551BB3"/>
    <w:rsid w:val="00551CFC"/>
    <w:rsid w:val="00551DA4"/>
    <w:rsid w:val="00551F02"/>
    <w:rsid w:val="0055213C"/>
    <w:rsid w:val="00552297"/>
    <w:rsid w:val="0055229D"/>
    <w:rsid w:val="005523D4"/>
    <w:rsid w:val="0055240D"/>
    <w:rsid w:val="00552439"/>
    <w:rsid w:val="005524D8"/>
    <w:rsid w:val="00552612"/>
    <w:rsid w:val="00552681"/>
    <w:rsid w:val="005526B9"/>
    <w:rsid w:val="005528C8"/>
    <w:rsid w:val="005528DB"/>
    <w:rsid w:val="005529F0"/>
    <w:rsid w:val="00552A2D"/>
    <w:rsid w:val="00552AB3"/>
    <w:rsid w:val="00552AD1"/>
    <w:rsid w:val="00552AD5"/>
    <w:rsid w:val="00552BB6"/>
    <w:rsid w:val="00552C05"/>
    <w:rsid w:val="00552C15"/>
    <w:rsid w:val="00552C34"/>
    <w:rsid w:val="00552CF9"/>
    <w:rsid w:val="00552DA7"/>
    <w:rsid w:val="00552ED0"/>
    <w:rsid w:val="00553131"/>
    <w:rsid w:val="00553181"/>
    <w:rsid w:val="00553193"/>
    <w:rsid w:val="00553196"/>
    <w:rsid w:val="005531EF"/>
    <w:rsid w:val="0055329A"/>
    <w:rsid w:val="00553318"/>
    <w:rsid w:val="00553392"/>
    <w:rsid w:val="005533CA"/>
    <w:rsid w:val="00553433"/>
    <w:rsid w:val="005537AC"/>
    <w:rsid w:val="00553A0C"/>
    <w:rsid w:val="00553BA4"/>
    <w:rsid w:val="00553D10"/>
    <w:rsid w:val="00553D91"/>
    <w:rsid w:val="00553DE4"/>
    <w:rsid w:val="00553E67"/>
    <w:rsid w:val="0055410D"/>
    <w:rsid w:val="00554170"/>
    <w:rsid w:val="005541D6"/>
    <w:rsid w:val="005543AF"/>
    <w:rsid w:val="00554418"/>
    <w:rsid w:val="005545B7"/>
    <w:rsid w:val="005545F5"/>
    <w:rsid w:val="00554612"/>
    <w:rsid w:val="00554613"/>
    <w:rsid w:val="00554664"/>
    <w:rsid w:val="00554719"/>
    <w:rsid w:val="005549BE"/>
    <w:rsid w:val="005549D5"/>
    <w:rsid w:val="00554B4D"/>
    <w:rsid w:val="00554C64"/>
    <w:rsid w:val="00554D41"/>
    <w:rsid w:val="00554D7F"/>
    <w:rsid w:val="00554DF5"/>
    <w:rsid w:val="0055503F"/>
    <w:rsid w:val="00555193"/>
    <w:rsid w:val="005551E5"/>
    <w:rsid w:val="00555330"/>
    <w:rsid w:val="005554BF"/>
    <w:rsid w:val="00555594"/>
    <w:rsid w:val="0055568F"/>
    <w:rsid w:val="005556A7"/>
    <w:rsid w:val="00555867"/>
    <w:rsid w:val="0055590B"/>
    <w:rsid w:val="0055594C"/>
    <w:rsid w:val="00555968"/>
    <w:rsid w:val="00555BE1"/>
    <w:rsid w:val="00555C64"/>
    <w:rsid w:val="00555CC1"/>
    <w:rsid w:val="00555DE9"/>
    <w:rsid w:val="00555FC5"/>
    <w:rsid w:val="00555FD4"/>
    <w:rsid w:val="0055600B"/>
    <w:rsid w:val="00556183"/>
    <w:rsid w:val="005561D7"/>
    <w:rsid w:val="00556327"/>
    <w:rsid w:val="0055634C"/>
    <w:rsid w:val="005563A9"/>
    <w:rsid w:val="0055645C"/>
    <w:rsid w:val="00556511"/>
    <w:rsid w:val="00556656"/>
    <w:rsid w:val="005566E1"/>
    <w:rsid w:val="005567EB"/>
    <w:rsid w:val="00556A6E"/>
    <w:rsid w:val="00556C7C"/>
    <w:rsid w:val="00556F22"/>
    <w:rsid w:val="00556F86"/>
    <w:rsid w:val="00556F90"/>
    <w:rsid w:val="005570E7"/>
    <w:rsid w:val="00557112"/>
    <w:rsid w:val="00557128"/>
    <w:rsid w:val="00557253"/>
    <w:rsid w:val="0055737D"/>
    <w:rsid w:val="00557396"/>
    <w:rsid w:val="00557449"/>
    <w:rsid w:val="0055763F"/>
    <w:rsid w:val="005577F0"/>
    <w:rsid w:val="00557912"/>
    <w:rsid w:val="005579AF"/>
    <w:rsid w:val="00557A6D"/>
    <w:rsid w:val="00557BEC"/>
    <w:rsid w:val="00557C92"/>
    <w:rsid w:val="00557CCF"/>
    <w:rsid w:val="00557DD7"/>
    <w:rsid w:val="00557FA6"/>
    <w:rsid w:val="0056002B"/>
    <w:rsid w:val="0056016D"/>
    <w:rsid w:val="00560301"/>
    <w:rsid w:val="005603A7"/>
    <w:rsid w:val="00560437"/>
    <w:rsid w:val="0056044E"/>
    <w:rsid w:val="00560523"/>
    <w:rsid w:val="005606D0"/>
    <w:rsid w:val="0056074A"/>
    <w:rsid w:val="0056076D"/>
    <w:rsid w:val="005607B9"/>
    <w:rsid w:val="00560890"/>
    <w:rsid w:val="00560947"/>
    <w:rsid w:val="00560A47"/>
    <w:rsid w:val="00560E70"/>
    <w:rsid w:val="00560F59"/>
    <w:rsid w:val="00560FD5"/>
    <w:rsid w:val="0056102D"/>
    <w:rsid w:val="00561261"/>
    <w:rsid w:val="005612EE"/>
    <w:rsid w:val="0056135E"/>
    <w:rsid w:val="00561444"/>
    <w:rsid w:val="00561467"/>
    <w:rsid w:val="0056167C"/>
    <w:rsid w:val="005616A1"/>
    <w:rsid w:val="00561875"/>
    <w:rsid w:val="0056199D"/>
    <w:rsid w:val="00561CC3"/>
    <w:rsid w:val="00561CC7"/>
    <w:rsid w:val="00561E94"/>
    <w:rsid w:val="00561EDD"/>
    <w:rsid w:val="00561EFC"/>
    <w:rsid w:val="00561FC4"/>
    <w:rsid w:val="00562074"/>
    <w:rsid w:val="0056208A"/>
    <w:rsid w:val="005620B4"/>
    <w:rsid w:val="005620CC"/>
    <w:rsid w:val="005620D3"/>
    <w:rsid w:val="00562114"/>
    <w:rsid w:val="00562260"/>
    <w:rsid w:val="005623AA"/>
    <w:rsid w:val="005625C4"/>
    <w:rsid w:val="0056263E"/>
    <w:rsid w:val="005626B3"/>
    <w:rsid w:val="005628A5"/>
    <w:rsid w:val="00562C0E"/>
    <w:rsid w:val="00562D3B"/>
    <w:rsid w:val="00562E01"/>
    <w:rsid w:val="00562E51"/>
    <w:rsid w:val="00562E91"/>
    <w:rsid w:val="00562ECF"/>
    <w:rsid w:val="00562FAA"/>
    <w:rsid w:val="00562FEC"/>
    <w:rsid w:val="00563125"/>
    <w:rsid w:val="0056315A"/>
    <w:rsid w:val="00563272"/>
    <w:rsid w:val="005632AC"/>
    <w:rsid w:val="00563427"/>
    <w:rsid w:val="00563776"/>
    <w:rsid w:val="005638A7"/>
    <w:rsid w:val="00563A62"/>
    <w:rsid w:val="00563B3C"/>
    <w:rsid w:val="00563C0F"/>
    <w:rsid w:val="00563C12"/>
    <w:rsid w:val="00563C8B"/>
    <w:rsid w:val="00563D2A"/>
    <w:rsid w:val="00563E46"/>
    <w:rsid w:val="0056418E"/>
    <w:rsid w:val="005641EB"/>
    <w:rsid w:val="005642BD"/>
    <w:rsid w:val="005643C5"/>
    <w:rsid w:val="0056442F"/>
    <w:rsid w:val="00564628"/>
    <w:rsid w:val="005648CB"/>
    <w:rsid w:val="00564954"/>
    <w:rsid w:val="00564AA4"/>
    <w:rsid w:val="00564AB4"/>
    <w:rsid w:val="00564B56"/>
    <w:rsid w:val="00564BBF"/>
    <w:rsid w:val="00564D15"/>
    <w:rsid w:val="00564D32"/>
    <w:rsid w:val="00564DC5"/>
    <w:rsid w:val="00564E31"/>
    <w:rsid w:val="00564E60"/>
    <w:rsid w:val="00564E6B"/>
    <w:rsid w:val="0056507C"/>
    <w:rsid w:val="00565113"/>
    <w:rsid w:val="005652B3"/>
    <w:rsid w:val="005653B9"/>
    <w:rsid w:val="0056593E"/>
    <w:rsid w:val="0056594A"/>
    <w:rsid w:val="00565959"/>
    <w:rsid w:val="005659F3"/>
    <w:rsid w:val="00565B81"/>
    <w:rsid w:val="00565B88"/>
    <w:rsid w:val="00565BE3"/>
    <w:rsid w:val="00565CE8"/>
    <w:rsid w:val="00566016"/>
    <w:rsid w:val="00566119"/>
    <w:rsid w:val="005661D3"/>
    <w:rsid w:val="00566234"/>
    <w:rsid w:val="00566269"/>
    <w:rsid w:val="00566356"/>
    <w:rsid w:val="005663ED"/>
    <w:rsid w:val="005664E5"/>
    <w:rsid w:val="005664FE"/>
    <w:rsid w:val="0056657B"/>
    <w:rsid w:val="00566660"/>
    <w:rsid w:val="005666ED"/>
    <w:rsid w:val="005668BF"/>
    <w:rsid w:val="005668EF"/>
    <w:rsid w:val="00566931"/>
    <w:rsid w:val="0056699B"/>
    <w:rsid w:val="00566AE3"/>
    <w:rsid w:val="00566AEE"/>
    <w:rsid w:val="00566BC2"/>
    <w:rsid w:val="00566C06"/>
    <w:rsid w:val="00566C2B"/>
    <w:rsid w:val="00566D89"/>
    <w:rsid w:val="00566DB5"/>
    <w:rsid w:val="00566F9D"/>
    <w:rsid w:val="00566FA3"/>
    <w:rsid w:val="00567055"/>
    <w:rsid w:val="00567071"/>
    <w:rsid w:val="0056714B"/>
    <w:rsid w:val="00567373"/>
    <w:rsid w:val="0056741A"/>
    <w:rsid w:val="005674E0"/>
    <w:rsid w:val="005677CA"/>
    <w:rsid w:val="00567A26"/>
    <w:rsid w:val="00567B23"/>
    <w:rsid w:val="00567BA9"/>
    <w:rsid w:val="00567CAD"/>
    <w:rsid w:val="00567D22"/>
    <w:rsid w:val="00567F32"/>
    <w:rsid w:val="00570492"/>
    <w:rsid w:val="00570546"/>
    <w:rsid w:val="0057057D"/>
    <w:rsid w:val="00570592"/>
    <w:rsid w:val="005709DD"/>
    <w:rsid w:val="00570A98"/>
    <w:rsid w:val="00570ABC"/>
    <w:rsid w:val="00570B1E"/>
    <w:rsid w:val="00570B2E"/>
    <w:rsid w:val="00570BA2"/>
    <w:rsid w:val="00570C06"/>
    <w:rsid w:val="00570E26"/>
    <w:rsid w:val="00570F0B"/>
    <w:rsid w:val="0057103E"/>
    <w:rsid w:val="00571125"/>
    <w:rsid w:val="0057126C"/>
    <w:rsid w:val="0057129E"/>
    <w:rsid w:val="005716A0"/>
    <w:rsid w:val="00571718"/>
    <w:rsid w:val="0057174A"/>
    <w:rsid w:val="00571766"/>
    <w:rsid w:val="005718CF"/>
    <w:rsid w:val="005718EE"/>
    <w:rsid w:val="00571B41"/>
    <w:rsid w:val="00571B67"/>
    <w:rsid w:val="00571C59"/>
    <w:rsid w:val="00571C92"/>
    <w:rsid w:val="00571D48"/>
    <w:rsid w:val="00571DCC"/>
    <w:rsid w:val="00571DFD"/>
    <w:rsid w:val="00571EB0"/>
    <w:rsid w:val="00571F2B"/>
    <w:rsid w:val="00571F46"/>
    <w:rsid w:val="00572094"/>
    <w:rsid w:val="005721B8"/>
    <w:rsid w:val="005721C1"/>
    <w:rsid w:val="005721E0"/>
    <w:rsid w:val="0057221F"/>
    <w:rsid w:val="005722DC"/>
    <w:rsid w:val="0057235C"/>
    <w:rsid w:val="0057237A"/>
    <w:rsid w:val="005723BD"/>
    <w:rsid w:val="005724FE"/>
    <w:rsid w:val="00572562"/>
    <w:rsid w:val="00572646"/>
    <w:rsid w:val="005726E2"/>
    <w:rsid w:val="0057270B"/>
    <w:rsid w:val="00572972"/>
    <w:rsid w:val="00572D87"/>
    <w:rsid w:val="00572F48"/>
    <w:rsid w:val="00573316"/>
    <w:rsid w:val="00573373"/>
    <w:rsid w:val="005733A9"/>
    <w:rsid w:val="0057360B"/>
    <w:rsid w:val="005736A3"/>
    <w:rsid w:val="00573726"/>
    <w:rsid w:val="0057376D"/>
    <w:rsid w:val="00573797"/>
    <w:rsid w:val="00573948"/>
    <w:rsid w:val="0057396A"/>
    <w:rsid w:val="00573A4D"/>
    <w:rsid w:val="00573ADD"/>
    <w:rsid w:val="00573B12"/>
    <w:rsid w:val="00573E35"/>
    <w:rsid w:val="00573E8B"/>
    <w:rsid w:val="00574009"/>
    <w:rsid w:val="00574027"/>
    <w:rsid w:val="00574050"/>
    <w:rsid w:val="00574174"/>
    <w:rsid w:val="005742C4"/>
    <w:rsid w:val="00574495"/>
    <w:rsid w:val="00574741"/>
    <w:rsid w:val="00574870"/>
    <w:rsid w:val="005748B9"/>
    <w:rsid w:val="0057496F"/>
    <w:rsid w:val="00574A66"/>
    <w:rsid w:val="00574B65"/>
    <w:rsid w:val="00574D33"/>
    <w:rsid w:val="00574EFE"/>
    <w:rsid w:val="00575086"/>
    <w:rsid w:val="005751E7"/>
    <w:rsid w:val="0057521C"/>
    <w:rsid w:val="0057524A"/>
    <w:rsid w:val="00575461"/>
    <w:rsid w:val="005754EA"/>
    <w:rsid w:val="0057551C"/>
    <w:rsid w:val="005755B9"/>
    <w:rsid w:val="0057568B"/>
    <w:rsid w:val="00575978"/>
    <w:rsid w:val="00575A6F"/>
    <w:rsid w:val="00575BB8"/>
    <w:rsid w:val="00575C46"/>
    <w:rsid w:val="0057605F"/>
    <w:rsid w:val="00576207"/>
    <w:rsid w:val="0057620A"/>
    <w:rsid w:val="00576299"/>
    <w:rsid w:val="005762EA"/>
    <w:rsid w:val="005765DC"/>
    <w:rsid w:val="005767D6"/>
    <w:rsid w:val="005769EC"/>
    <w:rsid w:val="00576A61"/>
    <w:rsid w:val="00576AE2"/>
    <w:rsid w:val="00576C0B"/>
    <w:rsid w:val="00576C46"/>
    <w:rsid w:val="00576D4B"/>
    <w:rsid w:val="00577019"/>
    <w:rsid w:val="00577041"/>
    <w:rsid w:val="005770AE"/>
    <w:rsid w:val="005770E2"/>
    <w:rsid w:val="005771E5"/>
    <w:rsid w:val="0057721E"/>
    <w:rsid w:val="00577289"/>
    <w:rsid w:val="005772BD"/>
    <w:rsid w:val="0057731F"/>
    <w:rsid w:val="00577406"/>
    <w:rsid w:val="005774B3"/>
    <w:rsid w:val="00577D61"/>
    <w:rsid w:val="00577E34"/>
    <w:rsid w:val="00577E7F"/>
    <w:rsid w:val="00577F9E"/>
    <w:rsid w:val="00577FD0"/>
    <w:rsid w:val="005800DC"/>
    <w:rsid w:val="0058018B"/>
    <w:rsid w:val="005801DE"/>
    <w:rsid w:val="0058023E"/>
    <w:rsid w:val="005802CE"/>
    <w:rsid w:val="005803A6"/>
    <w:rsid w:val="005803B6"/>
    <w:rsid w:val="005803BA"/>
    <w:rsid w:val="005803DC"/>
    <w:rsid w:val="005804FD"/>
    <w:rsid w:val="0058085F"/>
    <w:rsid w:val="00580AA9"/>
    <w:rsid w:val="00580B8D"/>
    <w:rsid w:val="00580DF1"/>
    <w:rsid w:val="00580E4D"/>
    <w:rsid w:val="00580E53"/>
    <w:rsid w:val="005812A9"/>
    <w:rsid w:val="0058133B"/>
    <w:rsid w:val="005813EF"/>
    <w:rsid w:val="0058140A"/>
    <w:rsid w:val="0058149A"/>
    <w:rsid w:val="0058168A"/>
    <w:rsid w:val="00581690"/>
    <w:rsid w:val="0058172C"/>
    <w:rsid w:val="00581A43"/>
    <w:rsid w:val="00581BC8"/>
    <w:rsid w:val="00581D22"/>
    <w:rsid w:val="00581FE8"/>
    <w:rsid w:val="00582072"/>
    <w:rsid w:val="00582363"/>
    <w:rsid w:val="0058242E"/>
    <w:rsid w:val="005824F2"/>
    <w:rsid w:val="005825AC"/>
    <w:rsid w:val="00582727"/>
    <w:rsid w:val="005827CE"/>
    <w:rsid w:val="00582843"/>
    <w:rsid w:val="00582A40"/>
    <w:rsid w:val="00582B01"/>
    <w:rsid w:val="00582C1D"/>
    <w:rsid w:val="00582E3D"/>
    <w:rsid w:val="00582E48"/>
    <w:rsid w:val="00583054"/>
    <w:rsid w:val="0058319E"/>
    <w:rsid w:val="00583207"/>
    <w:rsid w:val="00583227"/>
    <w:rsid w:val="005832EC"/>
    <w:rsid w:val="0058339C"/>
    <w:rsid w:val="005833AA"/>
    <w:rsid w:val="0058355D"/>
    <w:rsid w:val="005835C2"/>
    <w:rsid w:val="005836B1"/>
    <w:rsid w:val="0058385A"/>
    <w:rsid w:val="005838BC"/>
    <w:rsid w:val="0058397A"/>
    <w:rsid w:val="005839E3"/>
    <w:rsid w:val="00583A2B"/>
    <w:rsid w:val="00583A67"/>
    <w:rsid w:val="00583C4D"/>
    <w:rsid w:val="00583F10"/>
    <w:rsid w:val="00584006"/>
    <w:rsid w:val="005840C0"/>
    <w:rsid w:val="005841E7"/>
    <w:rsid w:val="00584215"/>
    <w:rsid w:val="0058422D"/>
    <w:rsid w:val="00584322"/>
    <w:rsid w:val="00584341"/>
    <w:rsid w:val="005844D8"/>
    <w:rsid w:val="00584533"/>
    <w:rsid w:val="00584645"/>
    <w:rsid w:val="005847C4"/>
    <w:rsid w:val="005848D4"/>
    <w:rsid w:val="00584AD7"/>
    <w:rsid w:val="00584BD8"/>
    <w:rsid w:val="00584C56"/>
    <w:rsid w:val="00584C61"/>
    <w:rsid w:val="00584CF9"/>
    <w:rsid w:val="00584D31"/>
    <w:rsid w:val="00584D47"/>
    <w:rsid w:val="0058507D"/>
    <w:rsid w:val="00585080"/>
    <w:rsid w:val="00585182"/>
    <w:rsid w:val="005852E6"/>
    <w:rsid w:val="00585302"/>
    <w:rsid w:val="00585303"/>
    <w:rsid w:val="0058536B"/>
    <w:rsid w:val="0058542B"/>
    <w:rsid w:val="005854A7"/>
    <w:rsid w:val="005854D6"/>
    <w:rsid w:val="005857B7"/>
    <w:rsid w:val="00585814"/>
    <w:rsid w:val="0058581A"/>
    <w:rsid w:val="005858CB"/>
    <w:rsid w:val="00585A50"/>
    <w:rsid w:val="00585D94"/>
    <w:rsid w:val="00585DBC"/>
    <w:rsid w:val="00585DD9"/>
    <w:rsid w:val="00585E5D"/>
    <w:rsid w:val="00585EEA"/>
    <w:rsid w:val="00585F23"/>
    <w:rsid w:val="00585F91"/>
    <w:rsid w:val="00586094"/>
    <w:rsid w:val="00586113"/>
    <w:rsid w:val="00586233"/>
    <w:rsid w:val="00586291"/>
    <w:rsid w:val="005863BA"/>
    <w:rsid w:val="005864A1"/>
    <w:rsid w:val="005864F9"/>
    <w:rsid w:val="0058658A"/>
    <w:rsid w:val="005865FB"/>
    <w:rsid w:val="00586723"/>
    <w:rsid w:val="00586803"/>
    <w:rsid w:val="005868E4"/>
    <w:rsid w:val="0058695E"/>
    <w:rsid w:val="00586D7B"/>
    <w:rsid w:val="00586E19"/>
    <w:rsid w:val="00586FE3"/>
    <w:rsid w:val="00586FEF"/>
    <w:rsid w:val="005870A1"/>
    <w:rsid w:val="005871A2"/>
    <w:rsid w:val="00587241"/>
    <w:rsid w:val="005874E4"/>
    <w:rsid w:val="0058754D"/>
    <w:rsid w:val="00587732"/>
    <w:rsid w:val="00587856"/>
    <w:rsid w:val="005878F7"/>
    <w:rsid w:val="0058798F"/>
    <w:rsid w:val="005879CB"/>
    <w:rsid w:val="00587B68"/>
    <w:rsid w:val="00587B9E"/>
    <w:rsid w:val="00587CDB"/>
    <w:rsid w:val="00587DC4"/>
    <w:rsid w:val="00587E73"/>
    <w:rsid w:val="00587FA1"/>
    <w:rsid w:val="00590000"/>
    <w:rsid w:val="0059007B"/>
    <w:rsid w:val="00590343"/>
    <w:rsid w:val="005904E2"/>
    <w:rsid w:val="0059050B"/>
    <w:rsid w:val="00590645"/>
    <w:rsid w:val="00590712"/>
    <w:rsid w:val="00590810"/>
    <w:rsid w:val="0059087C"/>
    <w:rsid w:val="005908C7"/>
    <w:rsid w:val="0059099B"/>
    <w:rsid w:val="00590A23"/>
    <w:rsid w:val="00590C2E"/>
    <w:rsid w:val="00590C80"/>
    <w:rsid w:val="00590D06"/>
    <w:rsid w:val="00590D84"/>
    <w:rsid w:val="00590D98"/>
    <w:rsid w:val="00590EFB"/>
    <w:rsid w:val="00590F0D"/>
    <w:rsid w:val="00590F29"/>
    <w:rsid w:val="00591497"/>
    <w:rsid w:val="00591573"/>
    <w:rsid w:val="00591822"/>
    <w:rsid w:val="0059199F"/>
    <w:rsid w:val="00591A8C"/>
    <w:rsid w:val="00591BA0"/>
    <w:rsid w:val="00591C71"/>
    <w:rsid w:val="00591C98"/>
    <w:rsid w:val="00591DC3"/>
    <w:rsid w:val="00591EDC"/>
    <w:rsid w:val="00591F6B"/>
    <w:rsid w:val="00592052"/>
    <w:rsid w:val="005922FA"/>
    <w:rsid w:val="00592380"/>
    <w:rsid w:val="00592401"/>
    <w:rsid w:val="00592484"/>
    <w:rsid w:val="005925E9"/>
    <w:rsid w:val="005928BE"/>
    <w:rsid w:val="005929FD"/>
    <w:rsid w:val="00592A61"/>
    <w:rsid w:val="00592B11"/>
    <w:rsid w:val="00592F9E"/>
    <w:rsid w:val="00592FB0"/>
    <w:rsid w:val="00592FCB"/>
    <w:rsid w:val="00593064"/>
    <w:rsid w:val="00593084"/>
    <w:rsid w:val="005930BE"/>
    <w:rsid w:val="005933BF"/>
    <w:rsid w:val="005934BC"/>
    <w:rsid w:val="00593585"/>
    <w:rsid w:val="005935D4"/>
    <w:rsid w:val="0059369B"/>
    <w:rsid w:val="005938F7"/>
    <w:rsid w:val="00593975"/>
    <w:rsid w:val="00593C31"/>
    <w:rsid w:val="00593D68"/>
    <w:rsid w:val="00593ED1"/>
    <w:rsid w:val="00593EE3"/>
    <w:rsid w:val="00593F64"/>
    <w:rsid w:val="0059412D"/>
    <w:rsid w:val="00594165"/>
    <w:rsid w:val="005941F8"/>
    <w:rsid w:val="00594223"/>
    <w:rsid w:val="00594296"/>
    <w:rsid w:val="00594353"/>
    <w:rsid w:val="0059446E"/>
    <w:rsid w:val="00594599"/>
    <w:rsid w:val="0059461B"/>
    <w:rsid w:val="005946EF"/>
    <w:rsid w:val="005947E7"/>
    <w:rsid w:val="005947F2"/>
    <w:rsid w:val="00594932"/>
    <w:rsid w:val="005949BE"/>
    <w:rsid w:val="00594C4E"/>
    <w:rsid w:val="00594DB0"/>
    <w:rsid w:val="00594E0D"/>
    <w:rsid w:val="00594F97"/>
    <w:rsid w:val="00595154"/>
    <w:rsid w:val="0059559A"/>
    <w:rsid w:val="005955D0"/>
    <w:rsid w:val="00595642"/>
    <w:rsid w:val="00595701"/>
    <w:rsid w:val="00595953"/>
    <w:rsid w:val="00595DCF"/>
    <w:rsid w:val="00595F6F"/>
    <w:rsid w:val="00595F72"/>
    <w:rsid w:val="00595F7B"/>
    <w:rsid w:val="00595FA6"/>
    <w:rsid w:val="00595FF1"/>
    <w:rsid w:val="0059611A"/>
    <w:rsid w:val="005961B6"/>
    <w:rsid w:val="005962A3"/>
    <w:rsid w:val="0059642D"/>
    <w:rsid w:val="005964CC"/>
    <w:rsid w:val="0059655C"/>
    <w:rsid w:val="005965C5"/>
    <w:rsid w:val="00596710"/>
    <w:rsid w:val="005967F3"/>
    <w:rsid w:val="0059685C"/>
    <w:rsid w:val="005968EB"/>
    <w:rsid w:val="0059692B"/>
    <w:rsid w:val="00596A1F"/>
    <w:rsid w:val="00596AE0"/>
    <w:rsid w:val="00596B81"/>
    <w:rsid w:val="00596BA7"/>
    <w:rsid w:val="00596DF1"/>
    <w:rsid w:val="00596E44"/>
    <w:rsid w:val="00596FEE"/>
    <w:rsid w:val="005970C8"/>
    <w:rsid w:val="00597330"/>
    <w:rsid w:val="0059739A"/>
    <w:rsid w:val="00597425"/>
    <w:rsid w:val="0059747A"/>
    <w:rsid w:val="005974B3"/>
    <w:rsid w:val="005974EF"/>
    <w:rsid w:val="005974FC"/>
    <w:rsid w:val="00597527"/>
    <w:rsid w:val="00597612"/>
    <w:rsid w:val="005978A0"/>
    <w:rsid w:val="005978A1"/>
    <w:rsid w:val="00597A4A"/>
    <w:rsid w:val="00597B10"/>
    <w:rsid w:val="00597BBE"/>
    <w:rsid w:val="00597BC8"/>
    <w:rsid w:val="00597C02"/>
    <w:rsid w:val="00597D7D"/>
    <w:rsid w:val="00597E8C"/>
    <w:rsid w:val="00597ECB"/>
    <w:rsid w:val="00597FAA"/>
    <w:rsid w:val="005A02D6"/>
    <w:rsid w:val="005A0344"/>
    <w:rsid w:val="005A035B"/>
    <w:rsid w:val="005A06E6"/>
    <w:rsid w:val="005A09E7"/>
    <w:rsid w:val="005A0A00"/>
    <w:rsid w:val="005A0AF4"/>
    <w:rsid w:val="005A0B88"/>
    <w:rsid w:val="005A0CD9"/>
    <w:rsid w:val="005A0D07"/>
    <w:rsid w:val="005A0D21"/>
    <w:rsid w:val="005A0F0D"/>
    <w:rsid w:val="005A0FF8"/>
    <w:rsid w:val="005A1171"/>
    <w:rsid w:val="005A1181"/>
    <w:rsid w:val="005A1243"/>
    <w:rsid w:val="005A128E"/>
    <w:rsid w:val="005A1367"/>
    <w:rsid w:val="005A13D0"/>
    <w:rsid w:val="005A1486"/>
    <w:rsid w:val="005A1571"/>
    <w:rsid w:val="005A15C6"/>
    <w:rsid w:val="005A16AC"/>
    <w:rsid w:val="005A16FC"/>
    <w:rsid w:val="005A1719"/>
    <w:rsid w:val="005A17FE"/>
    <w:rsid w:val="005A187E"/>
    <w:rsid w:val="005A197C"/>
    <w:rsid w:val="005A1A8C"/>
    <w:rsid w:val="005A1C5D"/>
    <w:rsid w:val="005A1C72"/>
    <w:rsid w:val="005A1D44"/>
    <w:rsid w:val="005A1F42"/>
    <w:rsid w:val="005A2122"/>
    <w:rsid w:val="005A21A0"/>
    <w:rsid w:val="005A23B2"/>
    <w:rsid w:val="005A2440"/>
    <w:rsid w:val="005A24D8"/>
    <w:rsid w:val="005A2583"/>
    <w:rsid w:val="005A26EE"/>
    <w:rsid w:val="005A26F6"/>
    <w:rsid w:val="005A28A6"/>
    <w:rsid w:val="005A2A1C"/>
    <w:rsid w:val="005A2AD0"/>
    <w:rsid w:val="005A2B90"/>
    <w:rsid w:val="005A2E9B"/>
    <w:rsid w:val="005A2ED9"/>
    <w:rsid w:val="005A2F32"/>
    <w:rsid w:val="005A31B7"/>
    <w:rsid w:val="005A3261"/>
    <w:rsid w:val="005A336C"/>
    <w:rsid w:val="005A3A89"/>
    <w:rsid w:val="005A3BDD"/>
    <w:rsid w:val="005A3BE0"/>
    <w:rsid w:val="005A3BF2"/>
    <w:rsid w:val="005A3CD9"/>
    <w:rsid w:val="005A3D28"/>
    <w:rsid w:val="005A3E04"/>
    <w:rsid w:val="005A3EA2"/>
    <w:rsid w:val="005A3F5E"/>
    <w:rsid w:val="005A40B4"/>
    <w:rsid w:val="005A40E6"/>
    <w:rsid w:val="005A4200"/>
    <w:rsid w:val="005A444E"/>
    <w:rsid w:val="005A44C8"/>
    <w:rsid w:val="005A458D"/>
    <w:rsid w:val="005A45C6"/>
    <w:rsid w:val="005A46BE"/>
    <w:rsid w:val="005A473C"/>
    <w:rsid w:val="005A48D4"/>
    <w:rsid w:val="005A4DCB"/>
    <w:rsid w:val="005A4E65"/>
    <w:rsid w:val="005A4EE4"/>
    <w:rsid w:val="005A5010"/>
    <w:rsid w:val="005A5086"/>
    <w:rsid w:val="005A53BE"/>
    <w:rsid w:val="005A55CB"/>
    <w:rsid w:val="005A56A8"/>
    <w:rsid w:val="005A5777"/>
    <w:rsid w:val="005A57B2"/>
    <w:rsid w:val="005A5B55"/>
    <w:rsid w:val="005A5B9D"/>
    <w:rsid w:val="005A5D05"/>
    <w:rsid w:val="005A5F5A"/>
    <w:rsid w:val="005A60C9"/>
    <w:rsid w:val="005A61F2"/>
    <w:rsid w:val="005A6242"/>
    <w:rsid w:val="005A62B4"/>
    <w:rsid w:val="005A63F3"/>
    <w:rsid w:val="005A65A2"/>
    <w:rsid w:val="005A65AA"/>
    <w:rsid w:val="005A65B2"/>
    <w:rsid w:val="005A6752"/>
    <w:rsid w:val="005A68F5"/>
    <w:rsid w:val="005A6EDC"/>
    <w:rsid w:val="005A6F24"/>
    <w:rsid w:val="005A715E"/>
    <w:rsid w:val="005A7166"/>
    <w:rsid w:val="005A719F"/>
    <w:rsid w:val="005A7306"/>
    <w:rsid w:val="005A742A"/>
    <w:rsid w:val="005A7704"/>
    <w:rsid w:val="005A77FE"/>
    <w:rsid w:val="005A7872"/>
    <w:rsid w:val="005A78C3"/>
    <w:rsid w:val="005A7993"/>
    <w:rsid w:val="005A7BE2"/>
    <w:rsid w:val="005A7C80"/>
    <w:rsid w:val="005A7D2F"/>
    <w:rsid w:val="005A7DA2"/>
    <w:rsid w:val="005A7E93"/>
    <w:rsid w:val="005A7F65"/>
    <w:rsid w:val="005A7FCA"/>
    <w:rsid w:val="005B0052"/>
    <w:rsid w:val="005B00A0"/>
    <w:rsid w:val="005B0358"/>
    <w:rsid w:val="005B0414"/>
    <w:rsid w:val="005B047B"/>
    <w:rsid w:val="005B048A"/>
    <w:rsid w:val="005B0602"/>
    <w:rsid w:val="005B08D3"/>
    <w:rsid w:val="005B0A4A"/>
    <w:rsid w:val="005B0D5C"/>
    <w:rsid w:val="005B0ECF"/>
    <w:rsid w:val="005B0EFC"/>
    <w:rsid w:val="005B0FC7"/>
    <w:rsid w:val="005B1033"/>
    <w:rsid w:val="005B1049"/>
    <w:rsid w:val="005B1079"/>
    <w:rsid w:val="005B1257"/>
    <w:rsid w:val="005B1446"/>
    <w:rsid w:val="005B150D"/>
    <w:rsid w:val="005B1656"/>
    <w:rsid w:val="005B1682"/>
    <w:rsid w:val="005B168D"/>
    <w:rsid w:val="005B1C50"/>
    <w:rsid w:val="005B1D16"/>
    <w:rsid w:val="005B1E3C"/>
    <w:rsid w:val="005B1E6E"/>
    <w:rsid w:val="005B1E80"/>
    <w:rsid w:val="005B208D"/>
    <w:rsid w:val="005B20C4"/>
    <w:rsid w:val="005B20CE"/>
    <w:rsid w:val="005B2162"/>
    <w:rsid w:val="005B22FD"/>
    <w:rsid w:val="005B2330"/>
    <w:rsid w:val="005B2396"/>
    <w:rsid w:val="005B23BB"/>
    <w:rsid w:val="005B2619"/>
    <w:rsid w:val="005B2668"/>
    <w:rsid w:val="005B2850"/>
    <w:rsid w:val="005B29CE"/>
    <w:rsid w:val="005B2B83"/>
    <w:rsid w:val="005B2D89"/>
    <w:rsid w:val="005B2DAF"/>
    <w:rsid w:val="005B2FEC"/>
    <w:rsid w:val="005B3092"/>
    <w:rsid w:val="005B318E"/>
    <w:rsid w:val="005B328B"/>
    <w:rsid w:val="005B34AB"/>
    <w:rsid w:val="005B362A"/>
    <w:rsid w:val="005B37C6"/>
    <w:rsid w:val="005B381D"/>
    <w:rsid w:val="005B3889"/>
    <w:rsid w:val="005B38C2"/>
    <w:rsid w:val="005B394E"/>
    <w:rsid w:val="005B3ABB"/>
    <w:rsid w:val="005B3ADE"/>
    <w:rsid w:val="005B3B7E"/>
    <w:rsid w:val="005B3BEC"/>
    <w:rsid w:val="005B3FF5"/>
    <w:rsid w:val="005B40AF"/>
    <w:rsid w:val="005B411E"/>
    <w:rsid w:val="005B424A"/>
    <w:rsid w:val="005B4425"/>
    <w:rsid w:val="005B44A5"/>
    <w:rsid w:val="005B45F5"/>
    <w:rsid w:val="005B47EC"/>
    <w:rsid w:val="005B481A"/>
    <w:rsid w:val="005B4838"/>
    <w:rsid w:val="005B4AD9"/>
    <w:rsid w:val="005B4ADE"/>
    <w:rsid w:val="005B4B8D"/>
    <w:rsid w:val="005B4C08"/>
    <w:rsid w:val="005B4C51"/>
    <w:rsid w:val="005B4E40"/>
    <w:rsid w:val="005B4F99"/>
    <w:rsid w:val="005B4FB2"/>
    <w:rsid w:val="005B52AE"/>
    <w:rsid w:val="005B566A"/>
    <w:rsid w:val="005B57A5"/>
    <w:rsid w:val="005B58C0"/>
    <w:rsid w:val="005B5A52"/>
    <w:rsid w:val="005B5AEA"/>
    <w:rsid w:val="005B5D6B"/>
    <w:rsid w:val="005B5D87"/>
    <w:rsid w:val="005B5EBA"/>
    <w:rsid w:val="005B6182"/>
    <w:rsid w:val="005B627A"/>
    <w:rsid w:val="005B6369"/>
    <w:rsid w:val="005B63C4"/>
    <w:rsid w:val="005B65E9"/>
    <w:rsid w:val="005B673F"/>
    <w:rsid w:val="005B6822"/>
    <w:rsid w:val="005B6839"/>
    <w:rsid w:val="005B68EE"/>
    <w:rsid w:val="005B69FB"/>
    <w:rsid w:val="005B6A68"/>
    <w:rsid w:val="005B6AB0"/>
    <w:rsid w:val="005B6E01"/>
    <w:rsid w:val="005B6F02"/>
    <w:rsid w:val="005B6F26"/>
    <w:rsid w:val="005B7167"/>
    <w:rsid w:val="005B71C7"/>
    <w:rsid w:val="005B7225"/>
    <w:rsid w:val="005B7291"/>
    <w:rsid w:val="005B7317"/>
    <w:rsid w:val="005B7596"/>
    <w:rsid w:val="005B76E2"/>
    <w:rsid w:val="005B7904"/>
    <w:rsid w:val="005B79A8"/>
    <w:rsid w:val="005B7CBC"/>
    <w:rsid w:val="005B7DBF"/>
    <w:rsid w:val="005BA5E4"/>
    <w:rsid w:val="005C0078"/>
    <w:rsid w:val="005C0127"/>
    <w:rsid w:val="005C042A"/>
    <w:rsid w:val="005C04DD"/>
    <w:rsid w:val="005C0567"/>
    <w:rsid w:val="005C0578"/>
    <w:rsid w:val="005C0704"/>
    <w:rsid w:val="005C0727"/>
    <w:rsid w:val="005C0750"/>
    <w:rsid w:val="005C0848"/>
    <w:rsid w:val="005C08D8"/>
    <w:rsid w:val="005C0A0F"/>
    <w:rsid w:val="005C0AB6"/>
    <w:rsid w:val="005C0B47"/>
    <w:rsid w:val="005C0EB3"/>
    <w:rsid w:val="005C0FFE"/>
    <w:rsid w:val="005C1102"/>
    <w:rsid w:val="005C119C"/>
    <w:rsid w:val="005C1299"/>
    <w:rsid w:val="005C148C"/>
    <w:rsid w:val="005C14B3"/>
    <w:rsid w:val="005C14C6"/>
    <w:rsid w:val="005C14CC"/>
    <w:rsid w:val="005C1574"/>
    <w:rsid w:val="005C159C"/>
    <w:rsid w:val="005C16B8"/>
    <w:rsid w:val="005C1829"/>
    <w:rsid w:val="005C1ADA"/>
    <w:rsid w:val="005C1AE7"/>
    <w:rsid w:val="005C1F94"/>
    <w:rsid w:val="005C2102"/>
    <w:rsid w:val="005C21D4"/>
    <w:rsid w:val="005C2385"/>
    <w:rsid w:val="005C2425"/>
    <w:rsid w:val="005C24B1"/>
    <w:rsid w:val="005C2514"/>
    <w:rsid w:val="005C2529"/>
    <w:rsid w:val="005C2592"/>
    <w:rsid w:val="005C25C4"/>
    <w:rsid w:val="005C2767"/>
    <w:rsid w:val="005C2835"/>
    <w:rsid w:val="005C292B"/>
    <w:rsid w:val="005C2975"/>
    <w:rsid w:val="005C29AF"/>
    <w:rsid w:val="005C29E2"/>
    <w:rsid w:val="005C2A82"/>
    <w:rsid w:val="005C2A85"/>
    <w:rsid w:val="005C2BA5"/>
    <w:rsid w:val="005C2C1A"/>
    <w:rsid w:val="005C2F2C"/>
    <w:rsid w:val="005C3047"/>
    <w:rsid w:val="005C32C7"/>
    <w:rsid w:val="005C34CF"/>
    <w:rsid w:val="005C35A1"/>
    <w:rsid w:val="005C36E7"/>
    <w:rsid w:val="005C3796"/>
    <w:rsid w:val="005C3925"/>
    <w:rsid w:val="005C3A3F"/>
    <w:rsid w:val="005C3AB2"/>
    <w:rsid w:val="005C3AD0"/>
    <w:rsid w:val="005C3ADC"/>
    <w:rsid w:val="005C3DCF"/>
    <w:rsid w:val="005C3E21"/>
    <w:rsid w:val="005C3EE8"/>
    <w:rsid w:val="005C3FA2"/>
    <w:rsid w:val="005C404C"/>
    <w:rsid w:val="005C4254"/>
    <w:rsid w:val="005C42DF"/>
    <w:rsid w:val="005C42EF"/>
    <w:rsid w:val="005C4324"/>
    <w:rsid w:val="005C438C"/>
    <w:rsid w:val="005C45D5"/>
    <w:rsid w:val="005C4640"/>
    <w:rsid w:val="005C4788"/>
    <w:rsid w:val="005C4A87"/>
    <w:rsid w:val="005C4B9E"/>
    <w:rsid w:val="005C4C21"/>
    <w:rsid w:val="005C4C6A"/>
    <w:rsid w:val="005C4D32"/>
    <w:rsid w:val="005C4DC1"/>
    <w:rsid w:val="005C4F0C"/>
    <w:rsid w:val="005C504C"/>
    <w:rsid w:val="005C534D"/>
    <w:rsid w:val="005C535C"/>
    <w:rsid w:val="005C536E"/>
    <w:rsid w:val="005C5385"/>
    <w:rsid w:val="005C5632"/>
    <w:rsid w:val="005C56D6"/>
    <w:rsid w:val="005C575C"/>
    <w:rsid w:val="005C57FF"/>
    <w:rsid w:val="005C5B04"/>
    <w:rsid w:val="005C5C3F"/>
    <w:rsid w:val="005C5E00"/>
    <w:rsid w:val="005C5E37"/>
    <w:rsid w:val="005C5E5A"/>
    <w:rsid w:val="005C5EA3"/>
    <w:rsid w:val="005C5FC7"/>
    <w:rsid w:val="005C6061"/>
    <w:rsid w:val="005C6091"/>
    <w:rsid w:val="005C61FD"/>
    <w:rsid w:val="005C6261"/>
    <w:rsid w:val="005C630A"/>
    <w:rsid w:val="005C6350"/>
    <w:rsid w:val="005C6402"/>
    <w:rsid w:val="005C65DD"/>
    <w:rsid w:val="005C6637"/>
    <w:rsid w:val="005C69A7"/>
    <w:rsid w:val="005C6C5E"/>
    <w:rsid w:val="005C6CFB"/>
    <w:rsid w:val="005C7087"/>
    <w:rsid w:val="005C7191"/>
    <w:rsid w:val="005C7198"/>
    <w:rsid w:val="005C730D"/>
    <w:rsid w:val="005C73A8"/>
    <w:rsid w:val="005C740A"/>
    <w:rsid w:val="005C741F"/>
    <w:rsid w:val="005C7563"/>
    <w:rsid w:val="005C7591"/>
    <w:rsid w:val="005C76C9"/>
    <w:rsid w:val="005C7792"/>
    <w:rsid w:val="005C77ED"/>
    <w:rsid w:val="005C77FF"/>
    <w:rsid w:val="005C787B"/>
    <w:rsid w:val="005C7897"/>
    <w:rsid w:val="005C7948"/>
    <w:rsid w:val="005C79C9"/>
    <w:rsid w:val="005C7A4C"/>
    <w:rsid w:val="005C7B32"/>
    <w:rsid w:val="005C7B96"/>
    <w:rsid w:val="005C7CEB"/>
    <w:rsid w:val="005C7DD5"/>
    <w:rsid w:val="005C7DF9"/>
    <w:rsid w:val="005C7E8A"/>
    <w:rsid w:val="005CCE00"/>
    <w:rsid w:val="005D01BD"/>
    <w:rsid w:val="005D01F1"/>
    <w:rsid w:val="005D0256"/>
    <w:rsid w:val="005D0276"/>
    <w:rsid w:val="005D035C"/>
    <w:rsid w:val="005D03EF"/>
    <w:rsid w:val="005D04AF"/>
    <w:rsid w:val="005D0607"/>
    <w:rsid w:val="005D065E"/>
    <w:rsid w:val="005D0662"/>
    <w:rsid w:val="005D0752"/>
    <w:rsid w:val="005D0A58"/>
    <w:rsid w:val="005D0A71"/>
    <w:rsid w:val="005D0A77"/>
    <w:rsid w:val="005D0ACB"/>
    <w:rsid w:val="005D0BDD"/>
    <w:rsid w:val="005D0CF7"/>
    <w:rsid w:val="005D0D49"/>
    <w:rsid w:val="005D0D6C"/>
    <w:rsid w:val="005D0E28"/>
    <w:rsid w:val="005D0EF8"/>
    <w:rsid w:val="005D1037"/>
    <w:rsid w:val="005D106A"/>
    <w:rsid w:val="005D1202"/>
    <w:rsid w:val="005D121A"/>
    <w:rsid w:val="005D1371"/>
    <w:rsid w:val="005D1391"/>
    <w:rsid w:val="005D13E7"/>
    <w:rsid w:val="005D144C"/>
    <w:rsid w:val="005D15DF"/>
    <w:rsid w:val="005D16AB"/>
    <w:rsid w:val="005D1718"/>
    <w:rsid w:val="005D1A27"/>
    <w:rsid w:val="005D1A54"/>
    <w:rsid w:val="005D1BFB"/>
    <w:rsid w:val="005D1C1A"/>
    <w:rsid w:val="005D1CC7"/>
    <w:rsid w:val="005D1E1A"/>
    <w:rsid w:val="005D1E4E"/>
    <w:rsid w:val="005D2097"/>
    <w:rsid w:val="005D215F"/>
    <w:rsid w:val="005D2568"/>
    <w:rsid w:val="005D2602"/>
    <w:rsid w:val="005D281A"/>
    <w:rsid w:val="005D28CB"/>
    <w:rsid w:val="005D28DF"/>
    <w:rsid w:val="005D2914"/>
    <w:rsid w:val="005D292A"/>
    <w:rsid w:val="005D2A0A"/>
    <w:rsid w:val="005D2B37"/>
    <w:rsid w:val="005D2C7A"/>
    <w:rsid w:val="005D2E9B"/>
    <w:rsid w:val="005D2EAD"/>
    <w:rsid w:val="005D2F39"/>
    <w:rsid w:val="005D314E"/>
    <w:rsid w:val="005D33EC"/>
    <w:rsid w:val="005D344E"/>
    <w:rsid w:val="005D3489"/>
    <w:rsid w:val="005D35BE"/>
    <w:rsid w:val="005D368A"/>
    <w:rsid w:val="005D36B1"/>
    <w:rsid w:val="005D3933"/>
    <w:rsid w:val="005D3941"/>
    <w:rsid w:val="005D3B80"/>
    <w:rsid w:val="005D3BA1"/>
    <w:rsid w:val="005D3CA0"/>
    <w:rsid w:val="005D3CFB"/>
    <w:rsid w:val="005D3D75"/>
    <w:rsid w:val="005D3DCA"/>
    <w:rsid w:val="005D3E19"/>
    <w:rsid w:val="005D3EF9"/>
    <w:rsid w:val="005D3F1A"/>
    <w:rsid w:val="005D3F2E"/>
    <w:rsid w:val="005D3FE0"/>
    <w:rsid w:val="005D42D0"/>
    <w:rsid w:val="005D448A"/>
    <w:rsid w:val="005D44F6"/>
    <w:rsid w:val="005D47F3"/>
    <w:rsid w:val="005D4819"/>
    <w:rsid w:val="005D4951"/>
    <w:rsid w:val="005D4C6E"/>
    <w:rsid w:val="005D4EC0"/>
    <w:rsid w:val="005D50E4"/>
    <w:rsid w:val="005D51C7"/>
    <w:rsid w:val="005D524D"/>
    <w:rsid w:val="005D52B0"/>
    <w:rsid w:val="005D53BC"/>
    <w:rsid w:val="005D53D2"/>
    <w:rsid w:val="005D53DE"/>
    <w:rsid w:val="005D54EF"/>
    <w:rsid w:val="005D5606"/>
    <w:rsid w:val="005D5757"/>
    <w:rsid w:val="005D57A7"/>
    <w:rsid w:val="005D57F1"/>
    <w:rsid w:val="005D580E"/>
    <w:rsid w:val="005D5846"/>
    <w:rsid w:val="005D5991"/>
    <w:rsid w:val="005D5A5C"/>
    <w:rsid w:val="005D5ACF"/>
    <w:rsid w:val="005D5B40"/>
    <w:rsid w:val="005D5C73"/>
    <w:rsid w:val="005D5CE4"/>
    <w:rsid w:val="005D5E0F"/>
    <w:rsid w:val="005D5EFC"/>
    <w:rsid w:val="005D5FCC"/>
    <w:rsid w:val="005D5FFE"/>
    <w:rsid w:val="005D601A"/>
    <w:rsid w:val="005D6045"/>
    <w:rsid w:val="005D605A"/>
    <w:rsid w:val="005D606E"/>
    <w:rsid w:val="005D6177"/>
    <w:rsid w:val="005D64CC"/>
    <w:rsid w:val="005D64E9"/>
    <w:rsid w:val="005D65A7"/>
    <w:rsid w:val="005D66B0"/>
    <w:rsid w:val="005D673D"/>
    <w:rsid w:val="005D6789"/>
    <w:rsid w:val="005D678D"/>
    <w:rsid w:val="005D67EA"/>
    <w:rsid w:val="005D6873"/>
    <w:rsid w:val="005D6CF6"/>
    <w:rsid w:val="005D71C2"/>
    <w:rsid w:val="005D746B"/>
    <w:rsid w:val="005D7540"/>
    <w:rsid w:val="005D755D"/>
    <w:rsid w:val="005D759A"/>
    <w:rsid w:val="005D75C9"/>
    <w:rsid w:val="005D77A9"/>
    <w:rsid w:val="005D77CA"/>
    <w:rsid w:val="005D7866"/>
    <w:rsid w:val="005D792F"/>
    <w:rsid w:val="005D79B2"/>
    <w:rsid w:val="005D79DD"/>
    <w:rsid w:val="005D7A1A"/>
    <w:rsid w:val="005D7A8E"/>
    <w:rsid w:val="005D7AE1"/>
    <w:rsid w:val="005D7C9E"/>
    <w:rsid w:val="005D7D79"/>
    <w:rsid w:val="005E0056"/>
    <w:rsid w:val="005E01F6"/>
    <w:rsid w:val="005E035A"/>
    <w:rsid w:val="005E03F9"/>
    <w:rsid w:val="005E041F"/>
    <w:rsid w:val="005E0467"/>
    <w:rsid w:val="005E0608"/>
    <w:rsid w:val="005E062A"/>
    <w:rsid w:val="005E08F4"/>
    <w:rsid w:val="005E09A5"/>
    <w:rsid w:val="005E0A47"/>
    <w:rsid w:val="005E0BAA"/>
    <w:rsid w:val="005E0BE1"/>
    <w:rsid w:val="005E0CF1"/>
    <w:rsid w:val="005E0E81"/>
    <w:rsid w:val="005E0F03"/>
    <w:rsid w:val="005E0F8B"/>
    <w:rsid w:val="005E103A"/>
    <w:rsid w:val="005E116F"/>
    <w:rsid w:val="005E13C3"/>
    <w:rsid w:val="005E1402"/>
    <w:rsid w:val="005E1416"/>
    <w:rsid w:val="005E14BA"/>
    <w:rsid w:val="005E177A"/>
    <w:rsid w:val="005E17BD"/>
    <w:rsid w:val="005E1834"/>
    <w:rsid w:val="005E1961"/>
    <w:rsid w:val="005E1D84"/>
    <w:rsid w:val="005E1E9C"/>
    <w:rsid w:val="005E213A"/>
    <w:rsid w:val="005E22BE"/>
    <w:rsid w:val="005E2475"/>
    <w:rsid w:val="005E257B"/>
    <w:rsid w:val="005E2648"/>
    <w:rsid w:val="005E2747"/>
    <w:rsid w:val="005E2909"/>
    <w:rsid w:val="005E2987"/>
    <w:rsid w:val="005E2A8E"/>
    <w:rsid w:val="005E2B9B"/>
    <w:rsid w:val="005E2C79"/>
    <w:rsid w:val="005E2D75"/>
    <w:rsid w:val="005E2D8E"/>
    <w:rsid w:val="005E2E2D"/>
    <w:rsid w:val="005E2EBE"/>
    <w:rsid w:val="005E319A"/>
    <w:rsid w:val="005E3424"/>
    <w:rsid w:val="005E3549"/>
    <w:rsid w:val="005E356F"/>
    <w:rsid w:val="005E360D"/>
    <w:rsid w:val="005E3656"/>
    <w:rsid w:val="005E371D"/>
    <w:rsid w:val="005E3801"/>
    <w:rsid w:val="005E381D"/>
    <w:rsid w:val="005E3856"/>
    <w:rsid w:val="005E3866"/>
    <w:rsid w:val="005E3913"/>
    <w:rsid w:val="005E3A51"/>
    <w:rsid w:val="005E3B23"/>
    <w:rsid w:val="005E3BBB"/>
    <w:rsid w:val="005E3E2E"/>
    <w:rsid w:val="005E3E36"/>
    <w:rsid w:val="005E3E47"/>
    <w:rsid w:val="005E406A"/>
    <w:rsid w:val="005E4379"/>
    <w:rsid w:val="005E44FA"/>
    <w:rsid w:val="005E4530"/>
    <w:rsid w:val="005E4599"/>
    <w:rsid w:val="005E4609"/>
    <w:rsid w:val="005E46E8"/>
    <w:rsid w:val="005E47EC"/>
    <w:rsid w:val="005E48DB"/>
    <w:rsid w:val="005E4972"/>
    <w:rsid w:val="005E49A2"/>
    <w:rsid w:val="005E4DCA"/>
    <w:rsid w:val="005E4E7F"/>
    <w:rsid w:val="005E4E8F"/>
    <w:rsid w:val="005E4F09"/>
    <w:rsid w:val="005E502F"/>
    <w:rsid w:val="005E512D"/>
    <w:rsid w:val="005E51A7"/>
    <w:rsid w:val="005E51F9"/>
    <w:rsid w:val="005E522C"/>
    <w:rsid w:val="005E527D"/>
    <w:rsid w:val="005E540B"/>
    <w:rsid w:val="005E543D"/>
    <w:rsid w:val="005E54E6"/>
    <w:rsid w:val="005E5578"/>
    <w:rsid w:val="005E58F9"/>
    <w:rsid w:val="005E593C"/>
    <w:rsid w:val="005E5986"/>
    <w:rsid w:val="005E5A9D"/>
    <w:rsid w:val="005E5B39"/>
    <w:rsid w:val="005E5F06"/>
    <w:rsid w:val="005E60F6"/>
    <w:rsid w:val="005E61F4"/>
    <w:rsid w:val="005E6219"/>
    <w:rsid w:val="005E621F"/>
    <w:rsid w:val="005E63B1"/>
    <w:rsid w:val="005E6676"/>
    <w:rsid w:val="005E6AAA"/>
    <w:rsid w:val="005E6BEE"/>
    <w:rsid w:val="005E6C6D"/>
    <w:rsid w:val="005E6CA8"/>
    <w:rsid w:val="005E6CB7"/>
    <w:rsid w:val="005E6CF6"/>
    <w:rsid w:val="005E6E1E"/>
    <w:rsid w:val="005E6F1E"/>
    <w:rsid w:val="005E6F2F"/>
    <w:rsid w:val="005E723E"/>
    <w:rsid w:val="005E7302"/>
    <w:rsid w:val="005E73A9"/>
    <w:rsid w:val="005E74E3"/>
    <w:rsid w:val="005E75E5"/>
    <w:rsid w:val="005E76D0"/>
    <w:rsid w:val="005E77B5"/>
    <w:rsid w:val="005E7908"/>
    <w:rsid w:val="005E79FF"/>
    <w:rsid w:val="005E7A49"/>
    <w:rsid w:val="005E7B89"/>
    <w:rsid w:val="005E7C21"/>
    <w:rsid w:val="005E7D04"/>
    <w:rsid w:val="005E7E84"/>
    <w:rsid w:val="005E7F95"/>
    <w:rsid w:val="005F00F5"/>
    <w:rsid w:val="005F01DD"/>
    <w:rsid w:val="005F0277"/>
    <w:rsid w:val="005F02D2"/>
    <w:rsid w:val="005F044C"/>
    <w:rsid w:val="005F0497"/>
    <w:rsid w:val="005F0657"/>
    <w:rsid w:val="005F08D4"/>
    <w:rsid w:val="005F0941"/>
    <w:rsid w:val="005F097A"/>
    <w:rsid w:val="005F09D5"/>
    <w:rsid w:val="005F0A04"/>
    <w:rsid w:val="005F0A46"/>
    <w:rsid w:val="005F0A83"/>
    <w:rsid w:val="005F0BBA"/>
    <w:rsid w:val="005F0BCA"/>
    <w:rsid w:val="005F0CB4"/>
    <w:rsid w:val="005F0D2E"/>
    <w:rsid w:val="005F0E58"/>
    <w:rsid w:val="005F0FC5"/>
    <w:rsid w:val="005F0FEE"/>
    <w:rsid w:val="005F1027"/>
    <w:rsid w:val="005F1326"/>
    <w:rsid w:val="005F13F7"/>
    <w:rsid w:val="005F1452"/>
    <w:rsid w:val="005F14A5"/>
    <w:rsid w:val="005F14CD"/>
    <w:rsid w:val="005F1714"/>
    <w:rsid w:val="005F178E"/>
    <w:rsid w:val="005F1C0D"/>
    <w:rsid w:val="005F1C7B"/>
    <w:rsid w:val="005F1C86"/>
    <w:rsid w:val="005F1D0C"/>
    <w:rsid w:val="005F2260"/>
    <w:rsid w:val="005F2281"/>
    <w:rsid w:val="005F229C"/>
    <w:rsid w:val="005F2357"/>
    <w:rsid w:val="005F23A5"/>
    <w:rsid w:val="005F278F"/>
    <w:rsid w:val="005F28A6"/>
    <w:rsid w:val="005F2987"/>
    <w:rsid w:val="005F29F8"/>
    <w:rsid w:val="005F2A3C"/>
    <w:rsid w:val="005F2B89"/>
    <w:rsid w:val="005F2C7E"/>
    <w:rsid w:val="005F2F1E"/>
    <w:rsid w:val="005F2F8C"/>
    <w:rsid w:val="005F2FC2"/>
    <w:rsid w:val="005F329C"/>
    <w:rsid w:val="005F3602"/>
    <w:rsid w:val="005F3639"/>
    <w:rsid w:val="005F3666"/>
    <w:rsid w:val="005F376A"/>
    <w:rsid w:val="005F3A0E"/>
    <w:rsid w:val="005F3F62"/>
    <w:rsid w:val="005F403B"/>
    <w:rsid w:val="005F4202"/>
    <w:rsid w:val="005F43DA"/>
    <w:rsid w:val="005F4481"/>
    <w:rsid w:val="005F45B9"/>
    <w:rsid w:val="005F4734"/>
    <w:rsid w:val="005F4853"/>
    <w:rsid w:val="005F4898"/>
    <w:rsid w:val="005F4A9B"/>
    <w:rsid w:val="005F4C09"/>
    <w:rsid w:val="005F4D76"/>
    <w:rsid w:val="005F4F25"/>
    <w:rsid w:val="005F4F78"/>
    <w:rsid w:val="005F5003"/>
    <w:rsid w:val="005F502F"/>
    <w:rsid w:val="005F5034"/>
    <w:rsid w:val="005F50C1"/>
    <w:rsid w:val="005F5165"/>
    <w:rsid w:val="005F518F"/>
    <w:rsid w:val="005F5211"/>
    <w:rsid w:val="005F53C0"/>
    <w:rsid w:val="005F53C5"/>
    <w:rsid w:val="005F551C"/>
    <w:rsid w:val="005F557D"/>
    <w:rsid w:val="005F57BC"/>
    <w:rsid w:val="005F5991"/>
    <w:rsid w:val="005F5C2A"/>
    <w:rsid w:val="005F5D11"/>
    <w:rsid w:val="005F5ED3"/>
    <w:rsid w:val="005F6195"/>
    <w:rsid w:val="005F6212"/>
    <w:rsid w:val="005F6217"/>
    <w:rsid w:val="005F63E2"/>
    <w:rsid w:val="005F64B3"/>
    <w:rsid w:val="005F661D"/>
    <w:rsid w:val="005F671B"/>
    <w:rsid w:val="005F688A"/>
    <w:rsid w:val="005F68B1"/>
    <w:rsid w:val="005F695C"/>
    <w:rsid w:val="005F6979"/>
    <w:rsid w:val="005F6A4D"/>
    <w:rsid w:val="005F6E11"/>
    <w:rsid w:val="005F6FAC"/>
    <w:rsid w:val="005F7177"/>
    <w:rsid w:val="005F72A1"/>
    <w:rsid w:val="005F731F"/>
    <w:rsid w:val="005F736D"/>
    <w:rsid w:val="005F738C"/>
    <w:rsid w:val="005F74DD"/>
    <w:rsid w:val="005F7574"/>
    <w:rsid w:val="005F7754"/>
    <w:rsid w:val="005F7765"/>
    <w:rsid w:val="005F78F8"/>
    <w:rsid w:val="005F79B1"/>
    <w:rsid w:val="005F79D8"/>
    <w:rsid w:val="005F7A41"/>
    <w:rsid w:val="005F7DF8"/>
    <w:rsid w:val="005F7EC0"/>
    <w:rsid w:val="00600152"/>
    <w:rsid w:val="00600285"/>
    <w:rsid w:val="00600326"/>
    <w:rsid w:val="00600347"/>
    <w:rsid w:val="00600405"/>
    <w:rsid w:val="00600462"/>
    <w:rsid w:val="006004D6"/>
    <w:rsid w:val="0060055D"/>
    <w:rsid w:val="006005C6"/>
    <w:rsid w:val="006005E8"/>
    <w:rsid w:val="0060063A"/>
    <w:rsid w:val="00600737"/>
    <w:rsid w:val="00600765"/>
    <w:rsid w:val="0060079F"/>
    <w:rsid w:val="006008A5"/>
    <w:rsid w:val="0060093E"/>
    <w:rsid w:val="00600A64"/>
    <w:rsid w:val="00600B8E"/>
    <w:rsid w:val="00600D37"/>
    <w:rsid w:val="006010F7"/>
    <w:rsid w:val="006011A2"/>
    <w:rsid w:val="006012A0"/>
    <w:rsid w:val="00601346"/>
    <w:rsid w:val="0060136F"/>
    <w:rsid w:val="006014E7"/>
    <w:rsid w:val="00601594"/>
    <w:rsid w:val="006016FB"/>
    <w:rsid w:val="0060174D"/>
    <w:rsid w:val="006017B8"/>
    <w:rsid w:val="006017DE"/>
    <w:rsid w:val="00601952"/>
    <w:rsid w:val="00601970"/>
    <w:rsid w:val="00601A10"/>
    <w:rsid w:val="00601C36"/>
    <w:rsid w:val="00601C9A"/>
    <w:rsid w:val="00601CCA"/>
    <w:rsid w:val="00601D13"/>
    <w:rsid w:val="00601DAB"/>
    <w:rsid w:val="00602045"/>
    <w:rsid w:val="006022E2"/>
    <w:rsid w:val="00602476"/>
    <w:rsid w:val="00602585"/>
    <w:rsid w:val="00602618"/>
    <w:rsid w:val="006026A9"/>
    <w:rsid w:val="006028ED"/>
    <w:rsid w:val="00602A62"/>
    <w:rsid w:val="00602A6B"/>
    <w:rsid w:val="00602E41"/>
    <w:rsid w:val="00602F3B"/>
    <w:rsid w:val="00603019"/>
    <w:rsid w:val="0060310B"/>
    <w:rsid w:val="006031FD"/>
    <w:rsid w:val="0060321C"/>
    <w:rsid w:val="00603331"/>
    <w:rsid w:val="006033CE"/>
    <w:rsid w:val="006034D1"/>
    <w:rsid w:val="0060351C"/>
    <w:rsid w:val="0060365A"/>
    <w:rsid w:val="0060381A"/>
    <w:rsid w:val="00603856"/>
    <w:rsid w:val="0060387E"/>
    <w:rsid w:val="006039EE"/>
    <w:rsid w:val="00603A73"/>
    <w:rsid w:val="00603CBA"/>
    <w:rsid w:val="00603D15"/>
    <w:rsid w:val="00603DFE"/>
    <w:rsid w:val="00603EBB"/>
    <w:rsid w:val="00603EC1"/>
    <w:rsid w:val="00603FA0"/>
    <w:rsid w:val="00604047"/>
    <w:rsid w:val="00604103"/>
    <w:rsid w:val="00604210"/>
    <w:rsid w:val="00604351"/>
    <w:rsid w:val="00604419"/>
    <w:rsid w:val="0060441C"/>
    <w:rsid w:val="00604495"/>
    <w:rsid w:val="0060469C"/>
    <w:rsid w:val="0060469D"/>
    <w:rsid w:val="0060471A"/>
    <w:rsid w:val="00604736"/>
    <w:rsid w:val="006047AA"/>
    <w:rsid w:val="00604A73"/>
    <w:rsid w:val="00604AD0"/>
    <w:rsid w:val="00604AE5"/>
    <w:rsid w:val="00604BA3"/>
    <w:rsid w:val="00604CAB"/>
    <w:rsid w:val="00604CB5"/>
    <w:rsid w:val="00604CF0"/>
    <w:rsid w:val="00604E7D"/>
    <w:rsid w:val="00604F05"/>
    <w:rsid w:val="00604F72"/>
    <w:rsid w:val="00604FB2"/>
    <w:rsid w:val="006053C1"/>
    <w:rsid w:val="0060543B"/>
    <w:rsid w:val="00605669"/>
    <w:rsid w:val="006057B6"/>
    <w:rsid w:val="00605815"/>
    <w:rsid w:val="00605A79"/>
    <w:rsid w:val="00605AE7"/>
    <w:rsid w:val="00605C24"/>
    <w:rsid w:val="00605C7C"/>
    <w:rsid w:val="00605D01"/>
    <w:rsid w:val="00605D92"/>
    <w:rsid w:val="00605D9C"/>
    <w:rsid w:val="00605EA6"/>
    <w:rsid w:val="00605FC6"/>
    <w:rsid w:val="00606362"/>
    <w:rsid w:val="00606370"/>
    <w:rsid w:val="006063E1"/>
    <w:rsid w:val="006063F9"/>
    <w:rsid w:val="00606432"/>
    <w:rsid w:val="00606478"/>
    <w:rsid w:val="0060650A"/>
    <w:rsid w:val="006067AC"/>
    <w:rsid w:val="006069B7"/>
    <w:rsid w:val="00606BC4"/>
    <w:rsid w:val="00606CA6"/>
    <w:rsid w:val="00606D3C"/>
    <w:rsid w:val="00606F69"/>
    <w:rsid w:val="00606F76"/>
    <w:rsid w:val="00606FF8"/>
    <w:rsid w:val="00607014"/>
    <w:rsid w:val="006070F7"/>
    <w:rsid w:val="00607118"/>
    <w:rsid w:val="0060711A"/>
    <w:rsid w:val="00607168"/>
    <w:rsid w:val="00607370"/>
    <w:rsid w:val="006073FB"/>
    <w:rsid w:val="0060745E"/>
    <w:rsid w:val="006074DD"/>
    <w:rsid w:val="006074FC"/>
    <w:rsid w:val="00607501"/>
    <w:rsid w:val="0060756D"/>
    <w:rsid w:val="00607639"/>
    <w:rsid w:val="00607657"/>
    <w:rsid w:val="00607880"/>
    <w:rsid w:val="00607B29"/>
    <w:rsid w:val="00607D3C"/>
    <w:rsid w:val="00607E6F"/>
    <w:rsid w:val="00607EC4"/>
    <w:rsid w:val="00610078"/>
    <w:rsid w:val="006100DA"/>
    <w:rsid w:val="006100DC"/>
    <w:rsid w:val="0061021F"/>
    <w:rsid w:val="00610334"/>
    <w:rsid w:val="006103F1"/>
    <w:rsid w:val="006104FC"/>
    <w:rsid w:val="0061080A"/>
    <w:rsid w:val="006108D6"/>
    <w:rsid w:val="00610905"/>
    <w:rsid w:val="00610947"/>
    <w:rsid w:val="00610A78"/>
    <w:rsid w:val="00610AA9"/>
    <w:rsid w:val="00610B6B"/>
    <w:rsid w:val="00610F94"/>
    <w:rsid w:val="00611090"/>
    <w:rsid w:val="006111EF"/>
    <w:rsid w:val="006112D5"/>
    <w:rsid w:val="0061137C"/>
    <w:rsid w:val="006118B0"/>
    <w:rsid w:val="00611ADE"/>
    <w:rsid w:val="00611B6B"/>
    <w:rsid w:val="00611C59"/>
    <w:rsid w:val="00611CE3"/>
    <w:rsid w:val="00611F78"/>
    <w:rsid w:val="00612006"/>
    <w:rsid w:val="006120CB"/>
    <w:rsid w:val="0061215B"/>
    <w:rsid w:val="0061216C"/>
    <w:rsid w:val="00612274"/>
    <w:rsid w:val="006124FD"/>
    <w:rsid w:val="006125D5"/>
    <w:rsid w:val="006126A3"/>
    <w:rsid w:val="00612826"/>
    <w:rsid w:val="006128B4"/>
    <w:rsid w:val="006128DD"/>
    <w:rsid w:val="006129AF"/>
    <w:rsid w:val="006129B2"/>
    <w:rsid w:val="00612A5F"/>
    <w:rsid w:val="00612A93"/>
    <w:rsid w:val="00612AB1"/>
    <w:rsid w:val="00612BE6"/>
    <w:rsid w:val="00612DC5"/>
    <w:rsid w:val="00612FF8"/>
    <w:rsid w:val="006131B8"/>
    <w:rsid w:val="00613298"/>
    <w:rsid w:val="0061339E"/>
    <w:rsid w:val="00613491"/>
    <w:rsid w:val="00613522"/>
    <w:rsid w:val="006135D3"/>
    <w:rsid w:val="006135EB"/>
    <w:rsid w:val="00613714"/>
    <w:rsid w:val="00613869"/>
    <w:rsid w:val="00613ACD"/>
    <w:rsid w:val="00613B1A"/>
    <w:rsid w:val="00613D40"/>
    <w:rsid w:val="006142B9"/>
    <w:rsid w:val="00614440"/>
    <w:rsid w:val="0061444A"/>
    <w:rsid w:val="00614525"/>
    <w:rsid w:val="00614657"/>
    <w:rsid w:val="00614671"/>
    <w:rsid w:val="0061470C"/>
    <w:rsid w:val="0061474A"/>
    <w:rsid w:val="00614A86"/>
    <w:rsid w:val="00614CDA"/>
    <w:rsid w:val="00614D01"/>
    <w:rsid w:val="00614ECE"/>
    <w:rsid w:val="00614FE9"/>
    <w:rsid w:val="0061560A"/>
    <w:rsid w:val="00615651"/>
    <w:rsid w:val="0061573C"/>
    <w:rsid w:val="00615819"/>
    <w:rsid w:val="006158AD"/>
    <w:rsid w:val="00615A8C"/>
    <w:rsid w:val="00615B44"/>
    <w:rsid w:val="00615B67"/>
    <w:rsid w:val="00615BA0"/>
    <w:rsid w:val="00615C89"/>
    <w:rsid w:val="00615C98"/>
    <w:rsid w:val="00615F73"/>
    <w:rsid w:val="00616159"/>
    <w:rsid w:val="00616286"/>
    <w:rsid w:val="00616491"/>
    <w:rsid w:val="0061650E"/>
    <w:rsid w:val="00616584"/>
    <w:rsid w:val="006167AB"/>
    <w:rsid w:val="006168A4"/>
    <w:rsid w:val="006168BC"/>
    <w:rsid w:val="00616BBE"/>
    <w:rsid w:val="00616D69"/>
    <w:rsid w:val="00616E6B"/>
    <w:rsid w:val="00616E8B"/>
    <w:rsid w:val="00616F41"/>
    <w:rsid w:val="00616FC7"/>
    <w:rsid w:val="006170EA"/>
    <w:rsid w:val="0061713E"/>
    <w:rsid w:val="00617263"/>
    <w:rsid w:val="0061760C"/>
    <w:rsid w:val="006176E4"/>
    <w:rsid w:val="006178FD"/>
    <w:rsid w:val="00617A03"/>
    <w:rsid w:val="00617A72"/>
    <w:rsid w:val="00617BC3"/>
    <w:rsid w:val="00617C76"/>
    <w:rsid w:val="00617D1A"/>
    <w:rsid w:val="00617D3B"/>
    <w:rsid w:val="00617E0D"/>
    <w:rsid w:val="00617E21"/>
    <w:rsid w:val="00617F30"/>
    <w:rsid w:val="00617FF2"/>
    <w:rsid w:val="00620128"/>
    <w:rsid w:val="0062012F"/>
    <w:rsid w:val="00620193"/>
    <w:rsid w:val="006202BE"/>
    <w:rsid w:val="00620382"/>
    <w:rsid w:val="006204ED"/>
    <w:rsid w:val="0062053B"/>
    <w:rsid w:val="0062060A"/>
    <w:rsid w:val="0062085E"/>
    <w:rsid w:val="0062086F"/>
    <w:rsid w:val="006209B3"/>
    <w:rsid w:val="00620D2D"/>
    <w:rsid w:val="00620EEA"/>
    <w:rsid w:val="00620FAD"/>
    <w:rsid w:val="0062103B"/>
    <w:rsid w:val="0062110B"/>
    <w:rsid w:val="00621428"/>
    <w:rsid w:val="00621459"/>
    <w:rsid w:val="006215BB"/>
    <w:rsid w:val="006216E4"/>
    <w:rsid w:val="00621750"/>
    <w:rsid w:val="0062187A"/>
    <w:rsid w:val="006218AD"/>
    <w:rsid w:val="00621968"/>
    <w:rsid w:val="00621A88"/>
    <w:rsid w:val="00621BE6"/>
    <w:rsid w:val="00621CE8"/>
    <w:rsid w:val="00621CF1"/>
    <w:rsid w:val="00621E45"/>
    <w:rsid w:val="00621F5B"/>
    <w:rsid w:val="0062208A"/>
    <w:rsid w:val="00622231"/>
    <w:rsid w:val="0062255F"/>
    <w:rsid w:val="006226BE"/>
    <w:rsid w:val="006229A7"/>
    <w:rsid w:val="00622B1A"/>
    <w:rsid w:val="00622D11"/>
    <w:rsid w:val="00622D39"/>
    <w:rsid w:val="00622D5A"/>
    <w:rsid w:val="00622EF6"/>
    <w:rsid w:val="0062326B"/>
    <w:rsid w:val="006232DB"/>
    <w:rsid w:val="00623314"/>
    <w:rsid w:val="00623405"/>
    <w:rsid w:val="0062347A"/>
    <w:rsid w:val="006234B8"/>
    <w:rsid w:val="006234FD"/>
    <w:rsid w:val="00623681"/>
    <w:rsid w:val="0062373E"/>
    <w:rsid w:val="0062387B"/>
    <w:rsid w:val="0062388D"/>
    <w:rsid w:val="006238B0"/>
    <w:rsid w:val="006238D2"/>
    <w:rsid w:val="00623969"/>
    <w:rsid w:val="00623A7A"/>
    <w:rsid w:val="00623A84"/>
    <w:rsid w:val="00623B98"/>
    <w:rsid w:val="00623C7B"/>
    <w:rsid w:val="006240C6"/>
    <w:rsid w:val="0062413F"/>
    <w:rsid w:val="006243ED"/>
    <w:rsid w:val="006244AB"/>
    <w:rsid w:val="0062469D"/>
    <w:rsid w:val="00624710"/>
    <w:rsid w:val="0062480A"/>
    <w:rsid w:val="006248DE"/>
    <w:rsid w:val="00624938"/>
    <w:rsid w:val="0062499B"/>
    <w:rsid w:val="00624AE0"/>
    <w:rsid w:val="00624BBF"/>
    <w:rsid w:val="00624C13"/>
    <w:rsid w:val="00624C9B"/>
    <w:rsid w:val="00624D0D"/>
    <w:rsid w:val="00624E47"/>
    <w:rsid w:val="00624E62"/>
    <w:rsid w:val="0062507B"/>
    <w:rsid w:val="00625193"/>
    <w:rsid w:val="00625260"/>
    <w:rsid w:val="00625284"/>
    <w:rsid w:val="00625413"/>
    <w:rsid w:val="00625582"/>
    <w:rsid w:val="0062559B"/>
    <w:rsid w:val="006255A5"/>
    <w:rsid w:val="00625825"/>
    <w:rsid w:val="00625988"/>
    <w:rsid w:val="00625993"/>
    <w:rsid w:val="00625B41"/>
    <w:rsid w:val="00625CF2"/>
    <w:rsid w:val="00625CFB"/>
    <w:rsid w:val="00625D2D"/>
    <w:rsid w:val="00625E32"/>
    <w:rsid w:val="00625EE5"/>
    <w:rsid w:val="00625F37"/>
    <w:rsid w:val="00626048"/>
    <w:rsid w:val="0062616C"/>
    <w:rsid w:val="006261B9"/>
    <w:rsid w:val="00626272"/>
    <w:rsid w:val="0062631A"/>
    <w:rsid w:val="00626401"/>
    <w:rsid w:val="006264DA"/>
    <w:rsid w:val="00626575"/>
    <w:rsid w:val="0062661A"/>
    <w:rsid w:val="0062693C"/>
    <w:rsid w:val="00626ADA"/>
    <w:rsid w:val="00626D32"/>
    <w:rsid w:val="00626D64"/>
    <w:rsid w:val="00626D86"/>
    <w:rsid w:val="00626EF4"/>
    <w:rsid w:val="00627414"/>
    <w:rsid w:val="00627571"/>
    <w:rsid w:val="006276E9"/>
    <w:rsid w:val="00627780"/>
    <w:rsid w:val="00627AFB"/>
    <w:rsid w:val="00627BC2"/>
    <w:rsid w:val="00627BC6"/>
    <w:rsid w:val="00627CD3"/>
    <w:rsid w:val="00627DC8"/>
    <w:rsid w:val="00627E87"/>
    <w:rsid w:val="00627F4F"/>
    <w:rsid w:val="0063004A"/>
    <w:rsid w:val="0063009F"/>
    <w:rsid w:val="0063031B"/>
    <w:rsid w:val="00630368"/>
    <w:rsid w:val="00630467"/>
    <w:rsid w:val="006304B8"/>
    <w:rsid w:val="00630556"/>
    <w:rsid w:val="006305B0"/>
    <w:rsid w:val="006305DF"/>
    <w:rsid w:val="00630650"/>
    <w:rsid w:val="00630906"/>
    <w:rsid w:val="00630908"/>
    <w:rsid w:val="00630982"/>
    <w:rsid w:val="006309E4"/>
    <w:rsid w:val="00630C29"/>
    <w:rsid w:val="0063124D"/>
    <w:rsid w:val="00631514"/>
    <w:rsid w:val="006317A5"/>
    <w:rsid w:val="00631903"/>
    <w:rsid w:val="0063190E"/>
    <w:rsid w:val="0063199E"/>
    <w:rsid w:val="006319A7"/>
    <w:rsid w:val="00631C0D"/>
    <w:rsid w:val="00631D90"/>
    <w:rsid w:val="00631E55"/>
    <w:rsid w:val="00631F04"/>
    <w:rsid w:val="00631F95"/>
    <w:rsid w:val="00632110"/>
    <w:rsid w:val="006321C1"/>
    <w:rsid w:val="006321F4"/>
    <w:rsid w:val="0063221C"/>
    <w:rsid w:val="006323A5"/>
    <w:rsid w:val="00632590"/>
    <w:rsid w:val="0063261B"/>
    <w:rsid w:val="00632634"/>
    <w:rsid w:val="00632648"/>
    <w:rsid w:val="0063268A"/>
    <w:rsid w:val="0063269B"/>
    <w:rsid w:val="006326CB"/>
    <w:rsid w:val="006326EB"/>
    <w:rsid w:val="00632725"/>
    <w:rsid w:val="006327F5"/>
    <w:rsid w:val="006328FC"/>
    <w:rsid w:val="00632B46"/>
    <w:rsid w:val="00632BF2"/>
    <w:rsid w:val="00632C37"/>
    <w:rsid w:val="00632CBC"/>
    <w:rsid w:val="00632CF8"/>
    <w:rsid w:val="00632D39"/>
    <w:rsid w:val="00632DAB"/>
    <w:rsid w:val="00632DB7"/>
    <w:rsid w:val="00632F6C"/>
    <w:rsid w:val="006330C1"/>
    <w:rsid w:val="006330F7"/>
    <w:rsid w:val="00633250"/>
    <w:rsid w:val="0063352A"/>
    <w:rsid w:val="00633624"/>
    <w:rsid w:val="00633709"/>
    <w:rsid w:val="00633826"/>
    <w:rsid w:val="00633A2F"/>
    <w:rsid w:val="00633AE2"/>
    <w:rsid w:val="00633C52"/>
    <w:rsid w:val="00633DAB"/>
    <w:rsid w:val="00633DC3"/>
    <w:rsid w:val="00633E06"/>
    <w:rsid w:val="00633E8B"/>
    <w:rsid w:val="00633F20"/>
    <w:rsid w:val="00633F35"/>
    <w:rsid w:val="006342BF"/>
    <w:rsid w:val="006342EE"/>
    <w:rsid w:val="006342F3"/>
    <w:rsid w:val="006344C0"/>
    <w:rsid w:val="006344C4"/>
    <w:rsid w:val="00634502"/>
    <w:rsid w:val="006345E3"/>
    <w:rsid w:val="0063460B"/>
    <w:rsid w:val="00634639"/>
    <w:rsid w:val="00634693"/>
    <w:rsid w:val="00634782"/>
    <w:rsid w:val="0063485D"/>
    <w:rsid w:val="006349C2"/>
    <w:rsid w:val="00634A24"/>
    <w:rsid w:val="00634A57"/>
    <w:rsid w:val="00634DCB"/>
    <w:rsid w:val="00634E07"/>
    <w:rsid w:val="00634EC3"/>
    <w:rsid w:val="00634EE6"/>
    <w:rsid w:val="0063505B"/>
    <w:rsid w:val="00635069"/>
    <w:rsid w:val="0063521A"/>
    <w:rsid w:val="00635231"/>
    <w:rsid w:val="00635262"/>
    <w:rsid w:val="0063537F"/>
    <w:rsid w:val="0063553C"/>
    <w:rsid w:val="006357FA"/>
    <w:rsid w:val="00635B5E"/>
    <w:rsid w:val="00635B6D"/>
    <w:rsid w:val="00635B81"/>
    <w:rsid w:val="00635BE0"/>
    <w:rsid w:val="00635BF5"/>
    <w:rsid w:val="00635CA2"/>
    <w:rsid w:val="00635E0E"/>
    <w:rsid w:val="00635E51"/>
    <w:rsid w:val="00635F56"/>
    <w:rsid w:val="006360A6"/>
    <w:rsid w:val="006360AC"/>
    <w:rsid w:val="006361B9"/>
    <w:rsid w:val="006362CE"/>
    <w:rsid w:val="006363A7"/>
    <w:rsid w:val="00636440"/>
    <w:rsid w:val="00636858"/>
    <w:rsid w:val="006368AB"/>
    <w:rsid w:val="0063694C"/>
    <w:rsid w:val="00636955"/>
    <w:rsid w:val="00636960"/>
    <w:rsid w:val="006369BE"/>
    <w:rsid w:val="006369FB"/>
    <w:rsid w:val="00636A4A"/>
    <w:rsid w:val="00636AD9"/>
    <w:rsid w:val="00636B16"/>
    <w:rsid w:val="00636B3E"/>
    <w:rsid w:val="00636C18"/>
    <w:rsid w:val="00636F1E"/>
    <w:rsid w:val="00636F70"/>
    <w:rsid w:val="00637051"/>
    <w:rsid w:val="00637053"/>
    <w:rsid w:val="006370AE"/>
    <w:rsid w:val="00637173"/>
    <w:rsid w:val="006371C0"/>
    <w:rsid w:val="00637291"/>
    <w:rsid w:val="00637311"/>
    <w:rsid w:val="00637367"/>
    <w:rsid w:val="006374D8"/>
    <w:rsid w:val="0063751F"/>
    <w:rsid w:val="0063771A"/>
    <w:rsid w:val="00637740"/>
    <w:rsid w:val="0063774E"/>
    <w:rsid w:val="006377B8"/>
    <w:rsid w:val="006377FE"/>
    <w:rsid w:val="006378E8"/>
    <w:rsid w:val="00637974"/>
    <w:rsid w:val="00637AC1"/>
    <w:rsid w:val="00637AF9"/>
    <w:rsid w:val="00637CE5"/>
    <w:rsid w:val="00637D52"/>
    <w:rsid w:val="00637EA7"/>
    <w:rsid w:val="00637EBE"/>
    <w:rsid w:val="00640022"/>
    <w:rsid w:val="006400D2"/>
    <w:rsid w:val="0064028A"/>
    <w:rsid w:val="0064029E"/>
    <w:rsid w:val="006402B6"/>
    <w:rsid w:val="00640334"/>
    <w:rsid w:val="00640419"/>
    <w:rsid w:val="00640567"/>
    <w:rsid w:val="00640607"/>
    <w:rsid w:val="00640761"/>
    <w:rsid w:val="00640842"/>
    <w:rsid w:val="00640A06"/>
    <w:rsid w:val="00640B36"/>
    <w:rsid w:val="00640C6B"/>
    <w:rsid w:val="00640CCC"/>
    <w:rsid w:val="00640E22"/>
    <w:rsid w:val="00641195"/>
    <w:rsid w:val="006413A4"/>
    <w:rsid w:val="006413D8"/>
    <w:rsid w:val="006415AD"/>
    <w:rsid w:val="006415C7"/>
    <w:rsid w:val="006415E5"/>
    <w:rsid w:val="0064163E"/>
    <w:rsid w:val="0064182E"/>
    <w:rsid w:val="006418C5"/>
    <w:rsid w:val="00641A32"/>
    <w:rsid w:val="00641AE3"/>
    <w:rsid w:val="00641B4E"/>
    <w:rsid w:val="00641B6D"/>
    <w:rsid w:val="00641B92"/>
    <w:rsid w:val="00641BA9"/>
    <w:rsid w:val="00641D30"/>
    <w:rsid w:val="00641EF1"/>
    <w:rsid w:val="00641F89"/>
    <w:rsid w:val="00641FEA"/>
    <w:rsid w:val="006420CD"/>
    <w:rsid w:val="00642452"/>
    <w:rsid w:val="006425DB"/>
    <w:rsid w:val="00642A42"/>
    <w:rsid w:val="00642C9A"/>
    <w:rsid w:val="00642CC6"/>
    <w:rsid w:val="00642CD7"/>
    <w:rsid w:val="00642D96"/>
    <w:rsid w:val="00642FA2"/>
    <w:rsid w:val="00643219"/>
    <w:rsid w:val="00643316"/>
    <w:rsid w:val="0064352B"/>
    <w:rsid w:val="006436AF"/>
    <w:rsid w:val="00643762"/>
    <w:rsid w:val="00643891"/>
    <w:rsid w:val="00643A12"/>
    <w:rsid w:val="00643C1B"/>
    <w:rsid w:val="00643C1C"/>
    <w:rsid w:val="00643C3B"/>
    <w:rsid w:val="00643CE8"/>
    <w:rsid w:val="00643D77"/>
    <w:rsid w:val="00643D89"/>
    <w:rsid w:val="00643DF1"/>
    <w:rsid w:val="00643EE1"/>
    <w:rsid w:val="00643FA4"/>
    <w:rsid w:val="0064407E"/>
    <w:rsid w:val="006441CC"/>
    <w:rsid w:val="0064428E"/>
    <w:rsid w:val="00644568"/>
    <w:rsid w:val="00644802"/>
    <w:rsid w:val="0064496C"/>
    <w:rsid w:val="00644977"/>
    <w:rsid w:val="006449A0"/>
    <w:rsid w:val="00644A73"/>
    <w:rsid w:val="00644CA8"/>
    <w:rsid w:val="00644CE5"/>
    <w:rsid w:val="00644CF9"/>
    <w:rsid w:val="00644DB8"/>
    <w:rsid w:val="00644E2C"/>
    <w:rsid w:val="0064501F"/>
    <w:rsid w:val="00645221"/>
    <w:rsid w:val="006453FA"/>
    <w:rsid w:val="00645403"/>
    <w:rsid w:val="0064541E"/>
    <w:rsid w:val="006458D4"/>
    <w:rsid w:val="00645960"/>
    <w:rsid w:val="006459B1"/>
    <w:rsid w:val="00645A0A"/>
    <w:rsid w:val="00645BA6"/>
    <w:rsid w:val="00645CE2"/>
    <w:rsid w:val="00645CF5"/>
    <w:rsid w:val="00645DEE"/>
    <w:rsid w:val="00645F50"/>
    <w:rsid w:val="0064606C"/>
    <w:rsid w:val="006461E9"/>
    <w:rsid w:val="00646338"/>
    <w:rsid w:val="0064639E"/>
    <w:rsid w:val="00646484"/>
    <w:rsid w:val="006464D6"/>
    <w:rsid w:val="00646553"/>
    <w:rsid w:val="0064657F"/>
    <w:rsid w:val="006466B6"/>
    <w:rsid w:val="006467C0"/>
    <w:rsid w:val="00646946"/>
    <w:rsid w:val="0064694F"/>
    <w:rsid w:val="00646A15"/>
    <w:rsid w:val="00646B00"/>
    <w:rsid w:val="00646BAF"/>
    <w:rsid w:val="00646D7F"/>
    <w:rsid w:val="00646DEB"/>
    <w:rsid w:val="00647258"/>
    <w:rsid w:val="00647289"/>
    <w:rsid w:val="006472E6"/>
    <w:rsid w:val="006475C1"/>
    <w:rsid w:val="0064762C"/>
    <w:rsid w:val="00647671"/>
    <w:rsid w:val="00647720"/>
    <w:rsid w:val="0064774F"/>
    <w:rsid w:val="0064782B"/>
    <w:rsid w:val="00647896"/>
    <w:rsid w:val="006478D7"/>
    <w:rsid w:val="00647931"/>
    <w:rsid w:val="00647A0C"/>
    <w:rsid w:val="00647C49"/>
    <w:rsid w:val="00647C81"/>
    <w:rsid w:val="00647D6B"/>
    <w:rsid w:val="00647DB9"/>
    <w:rsid w:val="00647F0C"/>
    <w:rsid w:val="0064BEE4"/>
    <w:rsid w:val="0064E08B"/>
    <w:rsid w:val="00650317"/>
    <w:rsid w:val="006503B6"/>
    <w:rsid w:val="00650406"/>
    <w:rsid w:val="0065042E"/>
    <w:rsid w:val="006506E7"/>
    <w:rsid w:val="006506FF"/>
    <w:rsid w:val="0065086E"/>
    <w:rsid w:val="00650883"/>
    <w:rsid w:val="00650A00"/>
    <w:rsid w:val="00650A03"/>
    <w:rsid w:val="00650B5D"/>
    <w:rsid w:val="00650B72"/>
    <w:rsid w:val="00650BC5"/>
    <w:rsid w:val="00650CB3"/>
    <w:rsid w:val="00650CFC"/>
    <w:rsid w:val="00650F05"/>
    <w:rsid w:val="00651151"/>
    <w:rsid w:val="0065116B"/>
    <w:rsid w:val="006514D3"/>
    <w:rsid w:val="00651586"/>
    <w:rsid w:val="00651625"/>
    <w:rsid w:val="00651BD3"/>
    <w:rsid w:val="00651C27"/>
    <w:rsid w:val="00651CA8"/>
    <w:rsid w:val="00651CF8"/>
    <w:rsid w:val="00651E08"/>
    <w:rsid w:val="00651E6A"/>
    <w:rsid w:val="00651EB7"/>
    <w:rsid w:val="00652390"/>
    <w:rsid w:val="0065247D"/>
    <w:rsid w:val="0065258C"/>
    <w:rsid w:val="00652763"/>
    <w:rsid w:val="0065279B"/>
    <w:rsid w:val="006527A5"/>
    <w:rsid w:val="00652814"/>
    <w:rsid w:val="00652958"/>
    <w:rsid w:val="00652A29"/>
    <w:rsid w:val="00652B75"/>
    <w:rsid w:val="00652CBD"/>
    <w:rsid w:val="00652F1D"/>
    <w:rsid w:val="00653317"/>
    <w:rsid w:val="00653393"/>
    <w:rsid w:val="00653451"/>
    <w:rsid w:val="00653585"/>
    <w:rsid w:val="0065360D"/>
    <w:rsid w:val="0065361C"/>
    <w:rsid w:val="00653713"/>
    <w:rsid w:val="00653B4D"/>
    <w:rsid w:val="00653B9F"/>
    <w:rsid w:val="00653C08"/>
    <w:rsid w:val="00653CFF"/>
    <w:rsid w:val="00653D61"/>
    <w:rsid w:val="00653D7C"/>
    <w:rsid w:val="00653F00"/>
    <w:rsid w:val="00654126"/>
    <w:rsid w:val="006541F2"/>
    <w:rsid w:val="006542B5"/>
    <w:rsid w:val="00654483"/>
    <w:rsid w:val="006544D9"/>
    <w:rsid w:val="00654568"/>
    <w:rsid w:val="006545F4"/>
    <w:rsid w:val="0065460F"/>
    <w:rsid w:val="006548B1"/>
    <w:rsid w:val="006548E3"/>
    <w:rsid w:val="00654D2B"/>
    <w:rsid w:val="00654ED8"/>
    <w:rsid w:val="00654EF2"/>
    <w:rsid w:val="00654FEA"/>
    <w:rsid w:val="0065513A"/>
    <w:rsid w:val="00655152"/>
    <w:rsid w:val="00655427"/>
    <w:rsid w:val="00655497"/>
    <w:rsid w:val="006555A5"/>
    <w:rsid w:val="006555AA"/>
    <w:rsid w:val="006555D4"/>
    <w:rsid w:val="0065569E"/>
    <w:rsid w:val="00655723"/>
    <w:rsid w:val="0065572C"/>
    <w:rsid w:val="00655737"/>
    <w:rsid w:val="00655BE5"/>
    <w:rsid w:val="00655D5B"/>
    <w:rsid w:val="00655D8D"/>
    <w:rsid w:val="00655EA3"/>
    <w:rsid w:val="00655FAF"/>
    <w:rsid w:val="006561E7"/>
    <w:rsid w:val="00656326"/>
    <w:rsid w:val="00656334"/>
    <w:rsid w:val="00656373"/>
    <w:rsid w:val="00656399"/>
    <w:rsid w:val="00656598"/>
    <w:rsid w:val="0065660D"/>
    <w:rsid w:val="006566A3"/>
    <w:rsid w:val="00656821"/>
    <w:rsid w:val="00656874"/>
    <w:rsid w:val="00656975"/>
    <w:rsid w:val="00656ADD"/>
    <w:rsid w:val="00656C5A"/>
    <w:rsid w:val="00656D43"/>
    <w:rsid w:val="00656F47"/>
    <w:rsid w:val="00657014"/>
    <w:rsid w:val="006570E5"/>
    <w:rsid w:val="006574EC"/>
    <w:rsid w:val="0065753C"/>
    <w:rsid w:val="0065759E"/>
    <w:rsid w:val="00657628"/>
    <w:rsid w:val="00657634"/>
    <w:rsid w:val="00657653"/>
    <w:rsid w:val="00657817"/>
    <w:rsid w:val="00657898"/>
    <w:rsid w:val="00657BD3"/>
    <w:rsid w:val="00657C2B"/>
    <w:rsid w:val="00657C92"/>
    <w:rsid w:val="00657F98"/>
    <w:rsid w:val="0066006E"/>
    <w:rsid w:val="00660202"/>
    <w:rsid w:val="0066029E"/>
    <w:rsid w:val="00660423"/>
    <w:rsid w:val="006604F9"/>
    <w:rsid w:val="0066065C"/>
    <w:rsid w:val="0066068D"/>
    <w:rsid w:val="0066074A"/>
    <w:rsid w:val="00660752"/>
    <w:rsid w:val="0066091B"/>
    <w:rsid w:val="00660BAC"/>
    <w:rsid w:val="00660D41"/>
    <w:rsid w:val="0066116F"/>
    <w:rsid w:val="006612AB"/>
    <w:rsid w:val="00661419"/>
    <w:rsid w:val="00661562"/>
    <w:rsid w:val="0066164E"/>
    <w:rsid w:val="0066175F"/>
    <w:rsid w:val="00661761"/>
    <w:rsid w:val="00661ABD"/>
    <w:rsid w:val="00661B34"/>
    <w:rsid w:val="00661C15"/>
    <w:rsid w:val="00661C34"/>
    <w:rsid w:val="00661CD3"/>
    <w:rsid w:val="00661D88"/>
    <w:rsid w:val="00661DB1"/>
    <w:rsid w:val="00662048"/>
    <w:rsid w:val="006620AA"/>
    <w:rsid w:val="006620E5"/>
    <w:rsid w:val="00662111"/>
    <w:rsid w:val="0066222C"/>
    <w:rsid w:val="0066223D"/>
    <w:rsid w:val="00662313"/>
    <w:rsid w:val="0066232E"/>
    <w:rsid w:val="006623CA"/>
    <w:rsid w:val="006626C5"/>
    <w:rsid w:val="0066270C"/>
    <w:rsid w:val="006627BA"/>
    <w:rsid w:val="00662885"/>
    <w:rsid w:val="0066288E"/>
    <w:rsid w:val="00662969"/>
    <w:rsid w:val="00662ADE"/>
    <w:rsid w:val="00662DFC"/>
    <w:rsid w:val="00662E0A"/>
    <w:rsid w:val="00662EB1"/>
    <w:rsid w:val="00663037"/>
    <w:rsid w:val="006631B5"/>
    <w:rsid w:val="006632D3"/>
    <w:rsid w:val="00663327"/>
    <w:rsid w:val="00663460"/>
    <w:rsid w:val="0066376B"/>
    <w:rsid w:val="00663770"/>
    <w:rsid w:val="006638AF"/>
    <w:rsid w:val="006639AF"/>
    <w:rsid w:val="00663AC1"/>
    <w:rsid w:val="00663B5F"/>
    <w:rsid w:val="00663BCB"/>
    <w:rsid w:val="00663BEB"/>
    <w:rsid w:val="00663C2A"/>
    <w:rsid w:val="00663D6C"/>
    <w:rsid w:val="00663F6D"/>
    <w:rsid w:val="00664024"/>
    <w:rsid w:val="0066405E"/>
    <w:rsid w:val="006640AA"/>
    <w:rsid w:val="006640F2"/>
    <w:rsid w:val="00664301"/>
    <w:rsid w:val="006644D8"/>
    <w:rsid w:val="006645CD"/>
    <w:rsid w:val="00664718"/>
    <w:rsid w:val="0066474D"/>
    <w:rsid w:val="00664800"/>
    <w:rsid w:val="00664987"/>
    <w:rsid w:val="006649E4"/>
    <w:rsid w:val="00664B64"/>
    <w:rsid w:val="00664EA0"/>
    <w:rsid w:val="00664F06"/>
    <w:rsid w:val="00664FCA"/>
    <w:rsid w:val="006650D8"/>
    <w:rsid w:val="00665136"/>
    <w:rsid w:val="0066517F"/>
    <w:rsid w:val="00665196"/>
    <w:rsid w:val="006652C8"/>
    <w:rsid w:val="00665514"/>
    <w:rsid w:val="00665549"/>
    <w:rsid w:val="00665593"/>
    <w:rsid w:val="0066560B"/>
    <w:rsid w:val="00665610"/>
    <w:rsid w:val="006656BD"/>
    <w:rsid w:val="00665704"/>
    <w:rsid w:val="00665B7B"/>
    <w:rsid w:val="00665BC3"/>
    <w:rsid w:val="00665F58"/>
    <w:rsid w:val="00666071"/>
    <w:rsid w:val="0066614E"/>
    <w:rsid w:val="006664BF"/>
    <w:rsid w:val="006664C9"/>
    <w:rsid w:val="00666568"/>
    <w:rsid w:val="00666670"/>
    <w:rsid w:val="00666790"/>
    <w:rsid w:val="006667F0"/>
    <w:rsid w:val="00666926"/>
    <w:rsid w:val="00666A2D"/>
    <w:rsid w:val="00666B47"/>
    <w:rsid w:val="00666BE7"/>
    <w:rsid w:val="00666C8B"/>
    <w:rsid w:val="00666E06"/>
    <w:rsid w:val="00666E5D"/>
    <w:rsid w:val="00666EBC"/>
    <w:rsid w:val="00666F43"/>
    <w:rsid w:val="00666FF6"/>
    <w:rsid w:val="00667169"/>
    <w:rsid w:val="00667173"/>
    <w:rsid w:val="00667388"/>
    <w:rsid w:val="0066759A"/>
    <w:rsid w:val="00667636"/>
    <w:rsid w:val="0066787A"/>
    <w:rsid w:val="006678C9"/>
    <w:rsid w:val="006678E4"/>
    <w:rsid w:val="006678F4"/>
    <w:rsid w:val="00667A70"/>
    <w:rsid w:val="00667AD8"/>
    <w:rsid w:val="00667B11"/>
    <w:rsid w:val="00667B89"/>
    <w:rsid w:val="00667C94"/>
    <w:rsid w:val="00667E73"/>
    <w:rsid w:val="00670107"/>
    <w:rsid w:val="00670154"/>
    <w:rsid w:val="006703E2"/>
    <w:rsid w:val="0067054F"/>
    <w:rsid w:val="0067065F"/>
    <w:rsid w:val="00670C2E"/>
    <w:rsid w:val="00670C89"/>
    <w:rsid w:val="00670CB1"/>
    <w:rsid w:val="00670D87"/>
    <w:rsid w:val="00670DE2"/>
    <w:rsid w:val="00670E34"/>
    <w:rsid w:val="00670F59"/>
    <w:rsid w:val="00671043"/>
    <w:rsid w:val="00671124"/>
    <w:rsid w:val="006712A7"/>
    <w:rsid w:val="006713AA"/>
    <w:rsid w:val="0067145E"/>
    <w:rsid w:val="0067158D"/>
    <w:rsid w:val="006715D2"/>
    <w:rsid w:val="006715F8"/>
    <w:rsid w:val="00671626"/>
    <w:rsid w:val="00671698"/>
    <w:rsid w:val="006716D7"/>
    <w:rsid w:val="0067175E"/>
    <w:rsid w:val="00671943"/>
    <w:rsid w:val="00671949"/>
    <w:rsid w:val="00671AE2"/>
    <w:rsid w:val="00671BD0"/>
    <w:rsid w:val="00671D50"/>
    <w:rsid w:val="006720C4"/>
    <w:rsid w:val="006725C5"/>
    <w:rsid w:val="00672630"/>
    <w:rsid w:val="00672AAC"/>
    <w:rsid w:val="00672DAD"/>
    <w:rsid w:val="00672EBC"/>
    <w:rsid w:val="00672ED5"/>
    <w:rsid w:val="00672FE6"/>
    <w:rsid w:val="006730B4"/>
    <w:rsid w:val="00673103"/>
    <w:rsid w:val="00673242"/>
    <w:rsid w:val="00673256"/>
    <w:rsid w:val="006732C2"/>
    <w:rsid w:val="00673514"/>
    <w:rsid w:val="0067354E"/>
    <w:rsid w:val="00673649"/>
    <w:rsid w:val="006738C2"/>
    <w:rsid w:val="006739BB"/>
    <w:rsid w:val="00673A0B"/>
    <w:rsid w:val="00673A2C"/>
    <w:rsid w:val="00673B19"/>
    <w:rsid w:val="00673B30"/>
    <w:rsid w:val="00673B3C"/>
    <w:rsid w:val="00673F9C"/>
    <w:rsid w:val="0067402C"/>
    <w:rsid w:val="00674048"/>
    <w:rsid w:val="0067408C"/>
    <w:rsid w:val="006740FB"/>
    <w:rsid w:val="00674143"/>
    <w:rsid w:val="00674268"/>
    <w:rsid w:val="00674276"/>
    <w:rsid w:val="00674719"/>
    <w:rsid w:val="00674792"/>
    <w:rsid w:val="006747B7"/>
    <w:rsid w:val="006747D8"/>
    <w:rsid w:val="00674865"/>
    <w:rsid w:val="00674921"/>
    <w:rsid w:val="006749A9"/>
    <w:rsid w:val="00674AB9"/>
    <w:rsid w:val="00674C85"/>
    <w:rsid w:val="00674CBA"/>
    <w:rsid w:val="00674CCB"/>
    <w:rsid w:val="00674D8C"/>
    <w:rsid w:val="00674DB7"/>
    <w:rsid w:val="00674ECA"/>
    <w:rsid w:val="00674ED6"/>
    <w:rsid w:val="00674EEC"/>
    <w:rsid w:val="00674F07"/>
    <w:rsid w:val="00674F57"/>
    <w:rsid w:val="00674FF9"/>
    <w:rsid w:val="00675011"/>
    <w:rsid w:val="006750C1"/>
    <w:rsid w:val="00675202"/>
    <w:rsid w:val="00675303"/>
    <w:rsid w:val="00675682"/>
    <w:rsid w:val="006756DC"/>
    <w:rsid w:val="0067581D"/>
    <w:rsid w:val="00675839"/>
    <w:rsid w:val="00675892"/>
    <w:rsid w:val="00675A4F"/>
    <w:rsid w:val="00675C80"/>
    <w:rsid w:val="00675CFC"/>
    <w:rsid w:val="00675D1A"/>
    <w:rsid w:val="00675E31"/>
    <w:rsid w:val="00675F21"/>
    <w:rsid w:val="00675F76"/>
    <w:rsid w:val="00676057"/>
    <w:rsid w:val="006760C8"/>
    <w:rsid w:val="006761E4"/>
    <w:rsid w:val="006761F6"/>
    <w:rsid w:val="00676488"/>
    <w:rsid w:val="0067658F"/>
    <w:rsid w:val="006765B5"/>
    <w:rsid w:val="006766C5"/>
    <w:rsid w:val="006767A7"/>
    <w:rsid w:val="006767E3"/>
    <w:rsid w:val="006767E9"/>
    <w:rsid w:val="00676972"/>
    <w:rsid w:val="00676A03"/>
    <w:rsid w:val="00676ACC"/>
    <w:rsid w:val="00676CD7"/>
    <w:rsid w:val="00676D78"/>
    <w:rsid w:val="00676FE8"/>
    <w:rsid w:val="00677001"/>
    <w:rsid w:val="0067700A"/>
    <w:rsid w:val="00677091"/>
    <w:rsid w:val="00677216"/>
    <w:rsid w:val="0067725D"/>
    <w:rsid w:val="0067738F"/>
    <w:rsid w:val="00677513"/>
    <w:rsid w:val="0067756F"/>
    <w:rsid w:val="006776A2"/>
    <w:rsid w:val="006776D8"/>
    <w:rsid w:val="006777A8"/>
    <w:rsid w:val="00677827"/>
    <w:rsid w:val="0067785A"/>
    <w:rsid w:val="00677863"/>
    <w:rsid w:val="006778A9"/>
    <w:rsid w:val="0067790D"/>
    <w:rsid w:val="00677998"/>
    <w:rsid w:val="00677A47"/>
    <w:rsid w:val="00677B0A"/>
    <w:rsid w:val="00677BFD"/>
    <w:rsid w:val="00677C2A"/>
    <w:rsid w:val="00677C61"/>
    <w:rsid w:val="00677CB5"/>
    <w:rsid w:val="00677D9C"/>
    <w:rsid w:val="00677E39"/>
    <w:rsid w:val="00677F27"/>
    <w:rsid w:val="00677F2B"/>
    <w:rsid w:val="00677F36"/>
    <w:rsid w:val="00677FBE"/>
    <w:rsid w:val="00680115"/>
    <w:rsid w:val="006803E8"/>
    <w:rsid w:val="00680631"/>
    <w:rsid w:val="0068065B"/>
    <w:rsid w:val="006808FF"/>
    <w:rsid w:val="0068099D"/>
    <w:rsid w:val="00680B47"/>
    <w:rsid w:val="00680B9B"/>
    <w:rsid w:val="00680D27"/>
    <w:rsid w:val="00680DA7"/>
    <w:rsid w:val="00680E2C"/>
    <w:rsid w:val="00680E31"/>
    <w:rsid w:val="00680ED5"/>
    <w:rsid w:val="00680EF6"/>
    <w:rsid w:val="00680FD5"/>
    <w:rsid w:val="0068107B"/>
    <w:rsid w:val="00681233"/>
    <w:rsid w:val="006812FA"/>
    <w:rsid w:val="0068131D"/>
    <w:rsid w:val="006814B5"/>
    <w:rsid w:val="006814C6"/>
    <w:rsid w:val="0068156E"/>
    <w:rsid w:val="006815E6"/>
    <w:rsid w:val="006815FE"/>
    <w:rsid w:val="0068161E"/>
    <w:rsid w:val="00681626"/>
    <w:rsid w:val="0068172A"/>
    <w:rsid w:val="00681763"/>
    <w:rsid w:val="00681815"/>
    <w:rsid w:val="0068194B"/>
    <w:rsid w:val="00681A71"/>
    <w:rsid w:val="00681CFF"/>
    <w:rsid w:val="00681D98"/>
    <w:rsid w:val="00681E25"/>
    <w:rsid w:val="00682288"/>
    <w:rsid w:val="00682318"/>
    <w:rsid w:val="0068235F"/>
    <w:rsid w:val="00682416"/>
    <w:rsid w:val="0068241B"/>
    <w:rsid w:val="0068242C"/>
    <w:rsid w:val="006828E0"/>
    <w:rsid w:val="0068299C"/>
    <w:rsid w:val="00682B57"/>
    <w:rsid w:val="00682BB4"/>
    <w:rsid w:val="00682C74"/>
    <w:rsid w:val="00682E4E"/>
    <w:rsid w:val="00682E69"/>
    <w:rsid w:val="00683163"/>
    <w:rsid w:val="00683227"/>
    <w:rsid w:val="0068335A"/>
    <w:rsid w:val="00683553"/>
    <w:rsid w:val="0068355F"/>
    <w:rsid w:val="006836C2"/>
    <w:rsid w:val="0068376D"/>
    <w:rsid w:val="00683AB2"/>
    <w:rsid w:val="00683B2F"/>
    <w:rsid w:val="00683C40"/>
    <w:rsid w:val="00683C4D"/>
    <w:rsid w:val="00683EAC"/>
    <w:rsid w:val="00683F12"/>
    <w:rsid w:val="00683F69"/>
    <w:rsid w:val="00683FAD"/>
    <w:rsid w:val="006842AB"/>
    <w:rsid w:val="006842F5"/>
    <w:rsid w:val="006843E1"/>
    <w:rsid w:val="006845A0"/>
    <w:rsid w:val="006846D3"/>
    <w:rsid w:val="00684779"/>
    <w:rsid w:val="0068486C"/>
    <w:rsid w:val="00684ADD"/>
    <w:rsid w:val="00684AFB"/>
    <w:rsid w:val="00684B73"/>
    <w:rsid w:val="00684BFA"/>
    <w:rsid w:val="00684D4C"/>
    <w:rsid w:val="00684E27"/>
    <w:rsid w:val="0068503F"/>
    <w:rsid w:val="0068528D"/>
    <w:rsid w:val="006854D9"/>
    <w:rsid w:val="006854E5"/>
    <w:rsid w:val="006855A3"/>
    <w:rsid w:val="006855D9"/>
    <w:rsid w:val="00685738"/>
    <w:rsid w:val="00685746"/>
    <w:rsid w:val="00685768"/>
    <w:rsid w:val="006858D6"/>
    <w:rsid w:val="00685A59"/>
    <w:rsid w:val="00685ACA"/>
    <w:rsid w:val="00685C49"/>
    <w:rsid w:val="00685DBD"/>
    <w:rsid w:val="00685E5A"/>
    <w:rsid w:val="0068602D"/>
    <w:rsid w:val="00686140"/>
    <w:rsid w:val="0068619B"/>
    <w:rsid w:val="0068656E"/>
    <w:rsid w:val="006868AA"/>
    <w:rsid w:val="00686917"/>
    <w:rsid w:val="00686998"/>
    <w:rsid w:val="006869EC"/>
    <w:rsid w:val="00686A0D"/>
    <w:rsid w:val="00686C33"/>
    <w:rsid w:val="00686C60"/>
    <w:rsid w:val="00686D71"/>
    <w:rsid w:val="00686F1C"/>
    <w:rsid w:val="00686F58"/>
    <w:rsid w:val="0068729E"/>
    <w:rsid w:val="006874F3"/>
    <w:rsid w:val="00687611"/>
    <w:rsid w:val="00687820"/>
    <w:rsid w:val="00687A51"/>
    <w:rsid w:val="00687AB3"/>
    <w:rsid w:val="00687AC3"/>
    <w:rsid w:val="00687AD0"/>
    <w:rsid w:val="00687CDD"/>
    <w:rsid w:val="00687F59"/>
    <w:rsid w:val="00690030"/>
    <w:rsid w:val="006900B6"/>
    <w:rsid w:val="0069020E"/>
    <w:rsid w:val="006902B2"/>
    <w:rsid w:val="006902FB"/>
    <w:rsid w:val="0069039D"/>
    <w:rsid w:val="0069045D"/>
    <w:rsid w:val="0069047B"/>
    <w:rsid w:val="006904A0"/>
    <w:rsid w:val="006904E6"/>
    <w:rsid w:val="0069060E"/>
    <w:rsid w:val="0069066C"/>
    <w:rsid w:val="00690700"/>
    <w:rsid w:val="0069072D"/>
    <w:rsid w:val="006908A8"/>
    <w:rsid w:val="006909BC"/>
    <w:rsid w:val="00690B98"/>
    <w:rsid w:val="00690BD3"/>
    <w:rsid w:val="00690C7B"/>
    <w:rsid w:val="00690D97"/>
    <w:rsid w:val="00690E7A"/>
    <w:rsid w:val="00690EF5"/>
    <w:rsid w:val="00690F49"/>
    <w:rsid w:val="00690FBF"/>
    <w:rsid w:val="00691086"/>
    <w:rsid w:val="0069115B"/>
    <w:rsid w:val="006911F2"/>
    <w:rsid w:val="006912C8"/>
    <w:rsid w:val="00691376"/>
    <w:rsid w:val="0069140E"/>
    <w:rsid w:val="006914E6"/>
    <w:rsid w:val="0069166F"/>
    <w:rsid w:val="00691785"/>
    <w:rsid w:val="00691A47"/>
    <w:rsid w:val="00691BA9"/>
    <w:rsid w:val="00691D17"/>
    <w:rsid w:val="00691DFD"/>
    <w:rsid w:val="00691E5C"/>
    <w:rsid w:val="00691F65"/>
    <w:rsid w:val="00692084"/>
    <w:rsid w:val="006921DB"/>
    <w:rsid w:val="006921FA"/>
    <w:rsid w:val="0069255C"/>
    <w:rsid w:val="00692560"/>
    <w:rsid w:val="00692591"/>
    <w:rsid w:val="006926AB"/>
    <w:rsid w:val="006927A6"/>
    <w:rsid w:val="006927AC"/>
    <w:rsid w:val="006928F2"/>
    <w:rsid w:val="00692945"/>
    <w:rsid w:val="00692A9C"/>
    <w:rsid w:val="00692B93"/>
    <w:rsid w:val="00692BBC"/>
    <w:rsid w:val="00692BF0"/>
    <w:rsid w:val="00692D91"/>
    <w:rsid w:val="00692F79"/>
    <w:rsid w:val="00693032"/>
    <w:rsid w:val="006930A1"/>
    <w:rsid w:val="006930A5"/>
    <w:rsid w:val="006931BA"/>
    <w:rsid w:val="00693242"/>
    <w:rsid w:val="00693293"/>
    <w:rsid w:val="0069363F"/>
    <w:rsid w:val="006937BE"/>
    <w:rsid w:val="006939AB"/>
    <w:rsid w:val="00693CC3"/>
    <w:rsid w:val="00693E4D"/>
    <w:rsid w:val="00693E60"/>
    <w:rsid w:val="0069418F"/>
    <w:rsid w:val="006942D2"/>
    <w:rsid w:val="0069433F"/>
    <w:rsid w:val="0069435F"/>
    <w:rsid w:val="006944CA"/>
    <w:rsid w:val="006944E8"/>
    <w:rsid w:val="006945F4"/>
    <w:rsid w:val="006948FA"/>
    <w:rsid w:val="00694A4B"/>
    <w:rsid w:val="00694B85"/>
    <w:rsid w:val="00694CB1"/>
    <w:rsid w:val="00694D47"/>
    <w:rsid w:val="00694D4B"/>
    <w:rsid w:val="006950F3"/>
    <w:rsid w:val="006951D3"/>
    <w:rsid w:val="006952A8"/>
    <w:rsid w:val="00695332"/>
    <w:rsid w:val="006953AD"/>
    <w:rsid w:val="00695459"/>
    <w:rsid w:val="0069547B"/>
    <w:rsid w:val="0069554D"/>
    <w:rsid w:val="00695575"/>
    <w:rsid w:val="006955CB"/>
    <w:rsid w:val="006956F9"/>
    <w:rsid w:val="00695718"/>
    <w:rsid w:val="0069572B"/>
    <w:rsid w:val="00695980"/>
    <w:rsid w:val="00695C74"/>
    <w:rsid w:val="00695C77"/>
    <w:rsid w:val="00695D08"/>
    <w:rsid w:val="00695D49"/>
    <w:rsid w:val="00695D68"/>
    <w:rsid w:val="00695EBA"/>
    <w:rsid w:val="00695FFB"/>
    <w:rsid w:val="0069609F"/>
    <w:rsid w:val="0069621A"/>
    <w:rsid w:val="006962D6"/>
    <w:rsid w:val="006962E0"/>
    <w:rsid w:val="0069649B"/>
    <w:rsid w:val="00696630"/>
    <w:rsid w:val="00696ADE"/>
    <w:rsid w:val="00696F38"/>
    <w:rsid w:val="00697024"/>
    <w:rsid w:val="00697125"/>
    <w:rsid w:val="00697159"/>
    <w:rsid w:val="00697260"/>
    <w:rsid w:val="006972C8"/>
    <w:rsid w:val="006974FC"/>
    <w:rsid w:val="0069755A"/>
    <w:rsid w:val="006975D4"/>
    <w:rsid w:val="00697603"/>
    <w:rsid w:val="00697622"/>
    <w:rsid w:val="0069779D"/>
    <w:rsid w:val="00697829"/>
    <w:rsid w:val="006979EF"/>
    <w:rsid w:val="006979FA"/>
    <w:rsid w:val="00697D28"/>
    <w:rsid w:val="00697D7A"/>
    <w:rsid w:val="00697DFF"/>
    <w:rsid w:val="00697F78"/>
    <w:rsid w:val="006A0241"/>
    <w:rsid w:val="006A048C"/>
    <w:rsid w:val="006A068A"/>
    <w:rsid w:val="006A070E"/>
    <w:rsid w:val="006A0881"/>
    <w:rsid w:val="006A099F"/>
    <w:rsid w:val="006A09FF"/>
    <w:rsid w:val="006A0A4D"/>
    <w:rsid w:val="006A0B79"/>
    <w:rsid w:val="006A0CDD"/>
    <w:rsid w:val="006A0DB9"/>
    <w:rsid w:val="006A1039"/>
    <w:rsid w:val="006A15EC"/>
    <w:rsid w:val="006A1622"/>
    <w:rsid w:val="006A1701"/>
    <w:rsid w:val="006A1789"/>
    <w:rsid w:val="006A1A95"/>
    <w:rsid w:val="006A1AD9"/>
    <w:rsid w:val="006A1B2F"/>
    <w:rsid w:val="006A1EF6"/>
    <w:rsid w:val="006A1F71"/>
    <w:rsid w:val="006A1FA1"/>
    <w:rsid w:val="006A2038"/>
    <w:rsid w:val="006A2072"/>
    <w:rsid w:val="006A20B1"/>
    <w:rsid w:val="006A20D0"/>
    <w:rsid w:val="006A213C"/>
    <w:rsid w:val="006A21A9"/>
    <w:rsid w:val="006A22CC"/>
    <w:rsid w:val="006A2390"/>
    <w:rsid w:val="006A249D"/>
    <w:rsid w:val="006A25EB"/>
    <w:rsid w:val="006A262A"/>
    <w:rsid w:val="006A268C"/>
    <w:rsid w:val="006A26E9"/>
    <w:rsid w:val="006A2A7B"/>
    <w:rsid w:val="006A2B75"/>
    <w:rsid w:val="006A2B93"/>
    <w:rsid w:val="006A2CA3"/>
    <w:rsid w:val="006A2D5E"/>
    <w:rsid w:val="006A30B4"/>
    <w:rsid w:val="006A3103"/>
    <w:rsid w:val="006A320A"/>
    <w:rsid w:val="006A3234"/>
    <w:rsid w:val="006A3356"/>
    <w:rsid w:val="006A33FE"/>
    <w:rsid w:val="006A3581"/>
    <w:rsid w:val="006A361C"/>
    <w:rsid w:val="006A36F3"/>
    <w:rsid w:val="006A38A3"/>
    <w:rsid w:val="006A3A0E"/>
    <w:rsid w:val="006A3A5B"/>
    <w:rsid w:val="006A3BB1"/>
    <w:rsid w:val="006A3BB7"/>
    <w:rsid w:val="006A3C49"/>
    <w:rsid w:val="006A3D1B"/>
    <w:rsid w:val="006A3F0A"/>
    <w:rsid w:val="006A41AF"/>
    <w:rsid w:val="006A4325"/>
    <w:rsid w:val="006A4558"/>
    <w:rsid w:val="006A45C3"/>
    <w:rsid w:val="006A4658"/>
    <w:rsid w:val="006A46DC"/>
    <w:rsid w:val="006A4718"/>
    <w:rsid w:val="006A4760"/>
    <w:rsid w:val="006A48A6"/>
    <w:rsid w:val="006A4999"/>
    <w:rsid w:val="006A49CE"/>
    <w:rsid w:val="006A4AA9"/>
    <w:rsid w:val="006A4DC6"/>
    <w:rsid w:val="006A4F36"/>
    <w:rsid w:val="006A4F44"/>
    <w:rsid w:val="006A5005"/>
    <w:rsid w:val="006A5140"/>
    <w:rsid w:val="006A514A"/>
    <w:rsid w:val="006A514B"/>
    <w:rsid w:val="006A5387"/>
    <w:rsid w:val="006A53B0"/>
    <w:rsid w:val="006A567A"/>
    <w:rsid w:val="006A5932"/>
    <w:rsid w:val="006A5AC5"/>
    <w:rsid w:val="006A5BE2"/>
    <w:rsid w:val="006A5C2F"/>
    <w:rsid w:val="006A5EA8"/>
    <w:rsid w:val="006A5FF1"/>
    <w:rsid w:val="006A60A4"/>
    <w:rsid w:val="006A60C1"/>
    <w:rsid w:val="006A644F"/>
    <w:rsid w:val="006A6671"/>
    <w:rsid w:val="006A669B"/>
    <w:rsid w:val="006A66A7"/>
    <w:rsid w:val="006A66EC"/>
    <w:rsid w:val="006A6A01"/>
    <w:rsid w:val="006A6B0F"/>
    <w:rsid w:val="006A6B5C"/>
    <w:rsid w:val="006A6C83"/>
    <w:rsid w:val="006A6E05"/>
    <w:rsid w:val="006A6E8C"/>
    <w:rsid w:val="006A6E9F"/>
    <w:rsid w:val="006A6ED2"/>
    <w:rsid w:val="006A7327"/>
    <w:rsid w:val="006A7455"/>
    <w:rsid w:val="006A7464"/>
    <w:rsid w:val="006A75B6"/>
    <w:rsid w:val="006A776F"/>
    <w:rsid w:val="006A7771"/>
    <w:rsid w:val="006A777B"/>
    <w:rsid w:val="006A77B6"/>
    <w:rsid w:val="006A77C0"/>
    <w:rsid w:val="006A77ED"/>
    <w:rsid w:val="006A78F4"/>
    <w:rsid w:val="006A7AE4"/>
    <w:rsid w:val="006A7CDB"/>
    <w:rsid w:val="006B0006"/>
    <w:rsid w:val="006B0112"/>
    <w:rsid w:val="006B0180"/>
    <w:rsid w:val="006B01ED"/>
    <w:rsid w:val="006B03A1"/>
    <w:rsid w:val="006B0433"/>
    <w:rsid w:val="006B06D9"/>
    <w:rsid w:val="006B09BA"/>
    <w:rsid w:val="006B09D7"/>
    <w:rsid w:val="006B09E0"/>
    <w:rsid w:val="006B0AEC"/>
    <w:rsid w:val="006B0B5A"/>
    <w:rsid w:val="006B0BD5"/>
    <w:rsid w:val="006B0D24"/>
    <w:rsid w:val="006B0DDD"/>
    <w:rsid w:val="006B130B"/>
    <w:rsid w:val="006B17AD"/>
    <w:rsid w:val="006B17DD"/>
    <w:rsid w:val="006B1911"/>
    <w:rsid w:val="006B1923"/>
    <w:rsid w:val="006B1AE9"/>
    <w:rsid w:val="006B1BEA"/>
    <w:rsid w:val="006B1C22"/>
    <w:rsid w:val="006B1C8A"/>
    <w:rsid w:val="006B1F1F"/>
    <w:rsid w:val="006B1F7E"/>
    <w:rsid w:val="006B2356"/>
    <w:rsid w:val="006B2402"/>
    <w:rsid w:val="006B2709"/>
    <w:rsid w:val="006B283C"/>
    <w:rsid w:val="006B28D9"/>
    <w:rsid w:val="006B2A5C"/>
    <w:rsid w:val="006B2AD6"/>
    <w:rsid w:val="006B2CB5"/>
    <w:rsid w:val="006B2E00"/>
    <w:rsid w:val="006B2E2A"/>
    <w:rsid w:val="006B30EA"/>
    <w:rsid w:val="006B3104"/>
    <w:rsid w:val="006B32D4"/>
    <w:rsid w:val="006B32E7"/>
    <w:rsid w:val="006B3317"/>
    <w:rsid w:val="006B33FF"/>
    <w:rsid w:val="006B3506"/>
    <w:rsid w:val="006B35BB"/>
    <w:rsid w:val="006B36CC"/>
    <w:rsid w:val="006B36F7"/>
    <w:rsid w:val="006B3799"/>
    <w:rsid w:val="006B37DD"/>
    <w:rsid w:val="006B3855"/>
    <w:rsid w:val="006B3B6A"/>
    <w:rsid w:val="006B3B77"/>
    <w:rsid w:val="006B3D53"/>
    <w:rsid w:val="006B3F07"/>
    <w:rsid w:val="006B3F7F"/>
    <w:rsid w:val="006B4238"/>
    <w:rsid w:val="006B4441"/>
    <w:rsid w:val="006B444B"/>
    <w:rsid w:val="006B44A0"/>
    <w:rsid w:val="006B44CA"/>
    <w:rsid w:val="006B452F"/>
    <w:rsid w:val="006B45C3"/>
    <w:rsid w:val="006B46B7"/>
    <w:rsid w:val="006B48BA"/>
    <w:rsid w:val="006B4926"/>
    <w:rsid w:val="006B4944"/>
    <w:rsid w:val="006B4A58"/>
    <w:rsid w:val="006B4A72"/>
    <w:rsid w:val="006B4D14"/>
    <w:rsid w:val="006B4D7B"/>
    <w:rsid w:val="006B4D8B"/>
    <w:rsid w:val="006B5060"/>
    <w:rsid w:val="006B5087"/>
    <w:rsid w:val="006B5122"/>
    <w:rsid w:val="006B51C5"/>
    <w:rsid w:val="006B51DD"/>
    <w:rsid w:val="006B53EB"/>
    <w:rsid w:val="006B568F"/>
    <w:rsid w:val="006B56B3"/>
    <w:rsid w:val="006B5764"/>
    <w:rsid w:val="006B5956"/>
    <w:rsid w:val="006B5D11"/>
    <w:rsid w:val="006B6195"/>
    <w:rsid w:val="006B622D"/>
    <w:rsid w:val="006B6314"/>
    <w:rsid w:val="006B6465"/>
    <w:rsid w:val="006B64C9"/>
    <w:rsid w:val="006B64D6"/>
    <w:rsid w:val="006B65A5"/>
    <w:rsid w:val="006B660B"/>
    <w:rsid w:val="006B662A"/>
    <w:rsid w:val="006B666E"/>
    <w:rsid w:val="006B6A3D"/>
    <w:rsid w:val="006B6AE3"/>
    <w:rsid w:val="006B6B0E"/>
    <w:rsid w:val="006B6C47"/>
    <w:rsid w:val="006B6CDA"/>
    <w:rsid w:val="006B6D1E"/>
    <w:rsid w:val="006B6D66"/>
    <w:rsid w:val="006B711D"/>
    <w:rsid w:val="006B71D0"/>
    <w:rsid w:val="006B7287"/>
    <w:rsid w:val="006B7336"/>
    <w:rsid w:val="006B736A"/>
    <w:rsid w:val="006B7378"/>
    <w:rsid w:val="006B74CD"/>
    <w:rsid w:val="006B75A4"/>
    <w:rsid w:val="006B76F5"/>
    <w:rsid w:val="006B76FD"/>
    <w:rsid w:val="006B7AD0"/>
    <w:rsid w:val="006B7B22"/>
    <w:rsid w:val="006B7BA4"/>
    <w:rsid w:val="006B7C04"/>
    <w:rsid w:val="006B7F60"/>
    <w:rsid w:val="006C0032"/>
    <w:rsid w:val="006C00BE"/>
    <w:rsid w:val="006C0103"/>
    <w:rsid w:val="006C075C"/>
    <w:rsid w:val="006C0923"/>
    <w:rsid w:val="006C0993"/>
    <w:rsid w:val="006C0A7A"/>
    <w:rsid w:val="006C0B84"/>
    <w:rsid w:val="006C0D1F"/>
    <w:rsid w:val="006C0F78"/>
    <w:rsid w:val="006C0FAD"/>
    <w:rsid w:val="006C10CB"/>
    <w:rsid w:val="006C14CC"/>
    <w:rsid w:val="006C16AB"/>
    <w:rsid w:val="006C1846"/>
    <w:rsid w:val="006C186C"/>
    <w:rsid w:val="006C19E2"/>
    <w:rsid w:val="006C1A14"/>
    <w:rsid w:val="006C1B77"/>
    <w:rsid w:val="006C1B78"/>
    <w:rsid w:val="006C1C1C"/>
    <w:rsid w:val="006C1D7A"/>
    <w:rsid w:val="006C1DC5"/>
    <w:rsid w:val="006C1E72"/>
    <w:rsid w:val="006C1F3C"/>
    <w:rsid w:val="006C20CD"/>
    <w:rsid w:val="006C21CE"/>
    <w:rsid w:val="006C229A"/>
    <w:rsid w:val="006C2314"/>
    <w:rsid w:val="006C2332"/>
    <w:rsid w:val="006C23D1"/>
    <w:rsid w:val="006C2410"/>
    <w:rsid w:val="006C24B9"/>
    <w:rsid w:val="006C2796"/>
    <w:rsid w:val="006C284E"/>
    <w:rsid w:val="006C2932"/>
    <w:rsid w:val="006C2A87"/>
    <w:rsid w:val="006C2EA8"/>
    <w:rsid w:val="006C2FE2"/>
    <w:rsid w:val="006C3087"/>
    <w:rsid w:val="006C30C9"/>
    <w:rsid w:val="006C3247"/>
    <w:rsid w:val="006C324C"/>
    <w:rsid w:val="006C3295"/>
    <w:rsid w:val="006C3465"/>
    <w:rsid w:val="006C34BF"/>
    <w:rsid w:val="006C35EB"/>
    <w:rsid w:val="006C3657"/>
    <w:rsid w:val="006C3899"/>
    <w:rsid w:val="006C3A4E"/>
    <w:rsid w:val="006C3B21"/>
    <w:rsid w:val="006C3DCA"/>
    <w:rsid w:val="006C3E59"/>
    <w:rsid w:val="006C3EB8"/>
    <w:rsid w:val="006C409D"/>
    <w:rsid w:val="006C40A6"/>
    <w:rsid w:val="006C439A"/>
    <w:rsid w:val="006C43AD"/>
    <w:rsid w:val="006C4418"/>
    <w:rsid w:val="006C4486"/>
    <w:rsid w:val="006C46FE"/>
    <w:rsid w:val="006C475C"/>
    <w:rsid w:val="006C47F5"/>
    <w:rsid w:val="006C4967"/>
    <w:rsid w:val="006C49CE"/>
    <w:rsid w:val="006C49DA"/>
    <w:rsid w:val="006C4A41"/>
    <w:rsid w:val="006C4A6B"/>
    <w:rsid w:val="006C4B33"/>
    <w:rsid w:val="006C4B40"/>
    <w:rsid w:val="006C4BB2"/>
    <w:rsid w:val="006C4C6D"/>
    <w:rsid w:val="006C4D7A"/>
    <w:rsid w:val="006C4E4B"/>
    <w:rsid w:val="006C4E8B"/>
    <w:rsid w:val="006C4EA8"/>
    <w:rsid w:val="006C4F50"/>
    <w:rsid w:val="006C5323"/>
    <w:rsid w:val="006C541C"/>
    <w:rsid w:val="006C55E8"/>
    <w:rsid w:val="006C55FA"/>
    <w:rsid w:val="006C5604"/>
    <w:rsid w:val="006C560B"/>
    <w:rsid w:val="006C57DB"/>
    <w:rsid w:val="006C583F"/>
    <w:rsid w:val="006C58AD"/>
    <w:rsid w:val="006C5939"/>
    <w:rsid w:val="006C59FF"/>
    <w:rsid w:val="006C5A70"/>
    <w:rsid w:val="006C5A79"/>
    <w:rsid w:val="006C5B89"/>
    <w:rsid w:val="006C5C00"/>
    <w:rsid w:val="006C5C9D"/>
    <w:rsid w:val="006C5EC2"/>
    <w:rsid w:val="006C5F49"/>
    <w:rsid w:val="006C6055"/>
    <w:rsid w:val="006C6257"/>
    <w:rsid w:val="006C63C7"/>
    <w:rsid w:val="006C648D"/>
    <w:rsid w:val="006C686D"/>
    <w:rsid w:val="006C68C3"/>
    <w:rsid w:val="006C6C66"/>
    <w:rsid w:val="006C6D6C"/>
    <w:rsid w:val="006C7312"/>
    <w:rsid w:val="006C739A"/>
    <w:rsid w:val="006C740F"/>
    <w:rsid w:val="006C7657"/>
    <w:rsid w:val="006C7706"/>
    <w:rsid w:val="006C799F"/>
    <w:rsid w:val="006C7B12"/>
    <w:rsid w:val="006C7B7D"/>
    <w:rsid w:val="006C7D30"/>
    <w:rsid w:val="006C7EE8"/>
    <w:rsid w:val="006D0199"/>
    <w:rsid w:val="006D0267"/>
    <w:rsid w:val="006D0363"/>
    <w:rsid w:val="006D0478"/>
    <w:rsid w:val="006D04CC"/>
    <w:rsid w:val="006D06D3"/>
    <w:rsid w:val="006D06F6"/>
    <w:rsid w:val="006D07A5"/>
    <w:rsid w:val="006D085B"/>
    <w:rsid w:val="006D0897"/>
    <w:rsid w:val="006D0B00"/>
    <w:rsid w:val="006D0B48"/>
    <w:rsid w:val="006D0D95"/>
    <w:rsid w:val="006D107E"/>
    <w:rsid w:val="006D10B9"/>
    <w:rsid w:val="006D110B"/>
    <w:rsid w:val="006D1140"/>
    <w:rsid w:val="006D11D9"/>
    <w:rsid w:val="006D1393"/>
    <w:rsid w:val="006D14E2"/>
    <w:rsid w:val="006D15F7"/>
    <w:rsid w:val="006D171E"/>
    <w:rsid w:val="006D187D"/>
    <w:rsid w:val="006D1A1E"/>
    <w:rsid w:val="006D1A78"/>
    <w:rsid w:val="006D1ABB"/>
    <w:rsid w:val="006D1AF9"/>
    <w:rsid w:val="006D1B24"/>
    <w:rsid w:val="006D1B6E"/>
    <w:rsid w:val="006D1B77"/>
    <w:rsid w:val="006D1BBA"/>
    <w:rsid w:val="006D1C40"/>
    <w:rsid w:val="006D1C78"/>
    <w:rsid w:val="006D1CC4"/>
    <w:rsid w:val="006D1D65"/>
    <w:rsid w:val="006D1F8C"/>
    <w:rsid w:val="006D2203"/>
    <w:rsid w:val="006D22B5"/>
    <w:rsid w:val="006D23AA"/>
    <w:rsid w:val="006D2456"/>
    <w:rsid w:val="006D2541"/>
    <w:rsid w:val="006D2680"/>
    <w:rsid w:val="006D2818"/>
    <w:rsid w:val="006D281B"/>
    <w:rsid w:val="006D2ABF"/>
    <w:rsid w:val="006D2BCB"/>
    <w:rsid w:val="006D2C5A"/>
    <w:rsid w:val="006D2E6A"/>
    <w:rsid w:val="006D315F"/>
    <w:rsid w:val="006D32F5"/>
    <w:rsid w:val="006D330B"/>
    <w:rsid w:val="006D331B"/>
    <w:rsid w:val="006D3324"/>
    <w:rsid w:val="006D33D5"/>
    <w:rsid w:val="006D3521"/>
    <w:rsid w:val="006D36AB"/>
    <w:rsid w:val="006D36FD"/>
    <w:rsid w:val="006D376D"/>
    <w:rsid w:val="006D3798"/>
    <w:rsid w:val="006D37D9"/>
    <w:rsid w:val="006D3815"/>
    <w:rsid w:val="006D3971"/>
    <w:rsid w:val="006D3C61"/>
    <w:rsid w:val="006D3CDF"/>
    <w:rsid w:val="006D3D9A"/>
    <w:rsid w:val="006D3E10"/>
    <w:rsid w:val="006D3EA9"/>
    <w:rsid w:val="006D3FD2"/>
    <w:rsid w:val="006D4102"/>
    <w:rsid w:val="006D41DD"/>
    <w:rsid w:val="006D4269"/>
    <w:rsid w:val="006D427F"/>
    <w:rsid w:val="006D42EF"/>
    <w:rsid w:val="006D4363"/>
    <w:rsid w:val="006D4418"/>
    <w:rsid w:val="006D44B7"/>
    <w:rsid w:val="006D44C7"/>
    <w:rsid w:val="006D452F"/>
    <w:rsid w:val="006D456D"/>
    <w:rsid w:val="006D4603"/>
    <w:rsid w:val="006D469C"/>
    <w:rsid w:val="006D470F"/>
    <w:rsid w:val="006D4710"/>
    <w:rsid w:val="006D4976"/>
    <w:rsid w:val="006D4BD7"/>
    <w:rsid w:val="006D4D0F"/>
    <w:rsid w:val="006D4F93"/>
    <w:rsid w:val="006D50B0"/>
    <w:rsid w:val="006D56A1"/>
    <w:rsid w:val="006D56DF"/>
    <w:rsid w:val="006D5780"/>
    <w:rsid w:val="006D5848"/>
    <w:rsid w:val="006D588B"/>
    <w:rsid w:val="006D5B07"/>
    <w:rsid w:val="006D5C46"/>
    <w:rsid w:val="006D5C81"/>
    <w:rsid w:val="006D5CC3"/>
    <w:rsid w:val="006D5DE2"/>
    <w:rsid w:val="006D5DFF"/>
    <w:rsid w:val="006D5E2E"/>
    <w:rsid w:val="006D5E5E"/>
    <w:rsid w:val="006D5F02"/>
    <w:rsid w:val="006D6016"/>
    <w:rsid w:val="006D6122"/>
    <w:rsid w:val="006D6333"/>
    <w:rsid w:val="006D645D"/>
    <w:rsid w:val="006D64A8"/>
    <w:rsid w:val="006D64DC"/>
    <w:rsid w:val="006D670C"/>
    <w:rsid w:val="006D6714"/>
    <w:rsid w:val="006D671D"/>
    <w:rsid w:val="006D6D3C"/>
    <w:rsid w:val="006D6DDE"/>
    <w:rsid w:val="006D6F36"/>
    <w:rsid w:val="006D706F"/>
    <w:rsid w:val="006D717C"/>
    <w:rsid w:val="006D7243"/>
    <w:rsid w:val="006D7338"/>
    <w:rsid w:val="006D74FF"/>
    <w:rsid w:val="006D7946"/>
    <w:rsid w:val="006D7A3A"/>
    <w:rsid w:val="006D7B9C"/>
    <w:rsid w:val="006D7C47"/>
    <w:rsid w:val="006E00FB"/>
    <w:rsid w:val="006E0103"/>
    <w:rsid w:val="006E019B"/>
    <w:rsid w:val="006E02DE"/>
    <w:rsid w:val="006E02E5"/>
    <w:rsid w:val="006E03F3"/>
    <w:rsid w:val="006E04D0"/>
    <w:rsid w:val="006E04E0"/>
    <w:rsid w:val="006E04E2"/>
    <w:rsid w:val="006E05AD"/>
    <w:rsid w:val="006E0A12"/>
    <w:rsid w:val="006E0AC1"/>
    <w:rsid w:val="006E0B7D"/>
    <w:rsid w:val="006E0CB5"/>
    <w:rsid w:val="006E0D6C"/>
    <w:rsid w:val="006E0ED9"/>
    <w:rsid w:val="006E0EEF"/>
    <w:rsid w:val="006E0FD9"/>
    <w:rsid w:val="006E112E"/>
    <w:rsid w:val="006E113F"/>
    <w:rsid w:val="006E12F0"/>
    <w:rsid w:val="006E1301"/>
    <w:rsid w:val="006E1526"/>
    <w:rsid w:val="006E1560"/>
    <w:rsid w:val="006E17CC"/>
    <w:rsid w:val="006E1875"/>
    <w:rsid w:val="006E1911"/>
    <w:rsid w:val="006E1AFE"/>
    <w:rsid w:val="006E1B3F"/>
    <w:rsid w:val="006E1B57"/>
    <w:rsid w:val="006E1CE9"/>
    <w:rsid w:val="006E20DE"/>
    <w:rsid w:val="006E210D"/>
    <w:rsid w:val="006E214C"/>
    <w:rsid w:val="006E21A3"/>
    <w:rsid w:val="006E21EA"/>
    <w:rsid w:val="006E2297"/>
    <w:rsid w:val="006E22C5"/>
    <w:rsid w:val="006E24A1"/>
    <w:rsid w:val="006E24A8"/>
    <w:rsid w:val="006E2570"/>
    <w:rsid w:val="006E26EF"/>
    <w:rsid w:val="006E2779"/>
    <w:rsid w:val="006E282F"/>
    <w:rsid w:val="006E2A68"/>
    <w:rsid w:val="006E2AA5"/>
    <w:rsid w:val="006E2AC7"/>
    <w:rsid w:val="006E2B26"/>
    <w:rsid w:val="006E2D84"/>
    <w:rsid w:val="006E2E4B"/>
    <w:rsid w:val="006E2E8B"/>
    <w:rsid w:val="006E2EB6"/>
    <w:rsid w:val="006E3079"/>
    <w:rsid w:val="006E3212"/>
    <w:rsid w:val="006E340A"/>
    <w:rsid w:val="006E36AB"/>
    <w:rsid w:val="006E36D3"/>
    <w:rsid w:val="006E3732"/>
    <w:rsid w:val="006E37BA"/>
    <w:rsid w:val="006E3B9D"/>
    <w:rsid w:val="006E3D61"/>
    <w:rsid w:val="006E3E92"/>
    <w:rsid w:val="006E403A"/>
    <w:rsid w:val="006E4095"/>
    <w:rsid w:val="006E414D"/>
    <w:rsid w:val="006E41B1"/>
    <w:rsid w:val="006E41C5"/>
    <w:rsid w:val="006E43E2"/>
    <w:rsid w:val="006E43E7"/>
    <w:rsid w:val="006E45FA"/>
    <w:rsid w:val="006E4646"/>
    <w:rsid w:val="006E48C8"/>
    <w:rsid w:val="006E4B88"/>
    <w:rsid w:val="006E4C5C"/>
    <w:rsid w:val="006E4CC6"/>
    <w:rsid w:val="006E4F81"/>
    <w:rsid w:val="006E4FE9"/>
    <w:rsid w:val="006E5070"/>
    <w:rsid w:val="006E51B2"/>
    <w:rsid w:val="006E520C"/>
    <w:rsid w:val="006E536E"/>
    <w:rsid w:val="006E540A"/>
    <w:rsid w:val="006E5416"/>
    <w:rsid w:val="006E54DC"/>
    <w:rsid w:val="006E552D"/>
    <w:rsid w:val="006E55E1"/>
    <w:rsid w:val="006E56DE"/>
    <w:rsid w:val="006E5710"/>
    <w:rsid w:val="006E58CD"/>
    <w:rsid w:val="006E5901"/>
    <w:rsid w:val="006E5A0D"/>
    <w:rsid w:val="006E5B7D"/>
    <w:rsid w:val="006E5BEE"/>
    <w:rsid w:val="006E5C02"/>
    <w:rsid w:val="006E5E0B"/>
    <w:rsid w:val="006E5EF0"/>
    <w:rsid w:val="006E6045"/>
    <w:rsid w:val="006E6167"/>
    <w:rsid w:val="006E6250"/>
    <w:rsid w:val="006E636C"/>
    <w:rsid w:val="006E65F3"/>
    <w:rsid w:val="006E66C7"/>
    <w:rsid w:val="006E6704"/>
    <w:rsid w:val="006E670B"/>
    <w:rsid w:val="006E692F"/>
    <w:rsid w:val="006E6B00"/>
    <w:rsid w:val="006E6BC8"/>
    <w:rsid w:val="006E6BD5"/>
    <w:rsid w:val="006E6BEF"/>
    <w:rsid w:val="006E6BFE"/>
    <w:rsid w:val="006E6C27"/>
    <w:rsid w:val="006E6EE7"/>
    <w:rsid w:val="006E6F2F"/>
    <w:rsid w:val="006E6F40"/>
    <w:rsid w:val="006E7111"/>
    <w:rsid w:val="006E725B"/>
    <w:rsid w:val="006E750F"/>
    <w:rsid w:val="006E7541"/>
    <w:rsid w:val="006E75FA"/>
    <w:rsid w:val="006E7602"/>
    <w:rsid w:val="006E76C6"/>
    <w:rsid w:val="006E76DC"/>
    <w:rsid w:val="006E7857"/>
    <w:rsid w:val="006E7ACD"/>
    <w:rsid w:val="006E7B22"/>
    <w:rsid w:val="006E7B36"/>
    <w:rsid w:val="006E7DAC"/>
    <w:rsid w:val="006E7E0A"/>
    <w:rsid w:val="006E7E6E"/>
    <w:rsid w:val="006EF91E"/>
    <w:rsid w:val="006F005C"/>
    <w:rsid w:val="006F0076"/>
    <w:rsid w:val="006F00E1"/>
    <w:rsid w:val="006F0206"/>
    <w:rsid w:val="006F043A"/>
    <w:rsid w:val="006F0523"/>
    <w:rsid w:val="006F0594"/>
    <w:rsid w:val="006F0A2E"/>
    <w:rsid w:val="006F0D89"/>
    <w:rsid w:val="006F0DAB"/>
    <w:rsid w:val="006F0E2D"/>
    <w:rsid w:val="006F0E53"/>
    <w:rsid w:val="006F0ED4"/>
    <w:rsid w:val="006F11CC"/>
    <w:rsid w:val="006F128D"/>
    <w:rsid w:val="006F12B7"/>
    <w:rsid w:val="006F12E5"/>
    <w:rsid w:val="006F130C"/>
    <w:rsid w:val="006F14C2"/>
    <w:rsid w:val="006F15D2"/>
    <w:rsid w:val="006F17B4"/>
    <w:rsid w:val="006F1963"/>
    <w:rsid w:val="006F1A0C"/>
    <w:rsid w:val="006F1BB1"/>
    <w:rsid w:val="006F1BE5"/>
    <w:rsid w:val="006F1C58"/>
    <w:rsid w:val="006F1D06"/>
    <w:rsid w:val="006F1D31"/>
    <w:rsid w:val="006F1D7E"/>
    <w:rsid w:val="006F1DEE"/>
    <w:rsid w:val="006F1ED5"/>
    <w:rsid w:val="006F2032"/>
    <w:rsid w:val="006F20BF"/>
    <w:rsid w:val="006F2151"/>
    <w:rsid w:val="006F2182"/>
    <w:rsid w:val="006F21C8"/>
    <w:rsid w:val="006F21D7"/>
    <w:rsid w:val="006F2287"/>
    <w:rsid w:val="006F2340"/>
    <w:rsid w:val="006F24A1"/>
    <w:rsid w:val="006F24DD"/>
    <w:rsid w:val="006F254F"/>
    <w:rsid w:val="006F25A2"/>
    <w:rsid w:val="006F272C"/>
    <w:rsid w:val="006F277D"/>
    <w:rsid w:val="006F27F2"/>
    <w:rsid w:val="006F2856"/>
    <w:rsid w:val="006F28B9"/>
    <w:rsid w:val="006F292E"/>
    <w:rsid w:val="006F2960"/>
    <w:rsid w:val="006F29C8"/>
    <w:rsid w:val="006F2CBA"/>
    <w:rsid w:val="006F2D4C"/>
    <w:rsid w:val="006F2F5F"/>
    <w:rsid w:val="006F2F67"/>
    <w:rsid w:val="006F2FFD"/>
    <w:rsid w:val="006F304B"/>
    <w:rsid w:val="006F3060"/>
    <w:rsid w:val="006F3094"/>
    <w:rsid w:val="006F3133"/>
    <w:rsid w:val="006F3351"/>
    <w:rsid w:val="006F33E9"/>
    <w:rsid w:val="006F352F"/>
    <w:rsid w:val="006F3583"/>
    <w:rsid w:val="006F3698"/>
    <w:rsid w:val="006F36EA"/>
    <w:rsid w:val="006F37AA"/>
    <w:rsid w:val="006F3857"/>
    <w:rsid w:val="006F38C8"/>
    <w:rsid w:val="006F394A"/>
    <w:rsid w:val="006F3967"/>
    <w:rsid w:val="006F3AF2"/>
    <w:rsid w:val="006F3D5F"/>
    <w:rsid w:val="006F3F98"/>
    <w:rsid w:val="006F4108"/>
    <w:rsid w:val="006F4217"/>
    <w:rsid w:val="006F4231"/>
    <w:rsid w:val="006F4249"/>
    <w:rsid w:val="006F4256"/>
    <w:rsid w:val="006F44D5"/>
    <w:rsid w:val="006F4519"/>
    <w:rsid w:val="006F45B7"/>
    <w:rsid w:val="006F4735"/>
    <w:rsid w:val="006F4909"/>
    <w:rsid w:val="006F4A8C"/>
    <w:rsid w:val="006F4BCA"/>
    <w:rsid w:val="006F4C8C"/>
    <w:rsid w:val="006F5020"/>
    <w:rsid w:val="006F507C"/>
    <w:rsid w:val="006F5345"/>
    <w:rsid w:val="006F5348"/>
    <w:rsid w:val="006F5398"/>
    <w:rsid w:val="006F539A"/>
    <w:rsid w:val="006F566D"/>
    <w:rsid w:val="006F5674"/>
    <w:rsid w:val="006F568D"/>
    <w:rsid w:val="006F56CB"/>
    <w:rsid w:val="006F57F4"/>
    <w:rsid w:val="006F59F0"/>
    <w:rsid w:val="006F59F1"/>
    <w:rsid w:val="006F5A66"/>
    <w:rsid w:val="006F5A9B"/>
    <w:rsid w:val="006F5B00"/>
    <w:rsid w:val="006F5B19"/>
    <w:rsid w:val="006F5C36"/>
    <w:rsid w:val="006F5C88"/>
    <w:rsid w:val="006F5C91"/>
    <w:rsid w:val="006F5CF5"/>
    <w:rsid w:val="006F5D90"/>
    <w:rsid w:val="006F5E74"/>
    <w:rsid w:val="006F5EB8"/>
    <w:rsid w:val="006F6342"/>
    <w:rsid w:val="006F6344"/>
    <w:rsid w:val="006F6378"/>
    <w:rsid w:val="006F64E8"/>
    <w:rsid w:val="006F66C3"/>
    <w:rsid w:val="006F66E0"/>
    <w:rsid w:val="006F67F6"/>
    <w:rsid w:val="006F690E"/>
    <w:rsid w:val="006F69CA"/>
    <w:rsid w:val="006F69FF"/>
    <w:rsid w:val="006F6CE0"/>
    <w:rsid w:val="006F6F6C"/>
    <w:rsid w:val="006F7057"/>
    <w:rsid w:val="006F7059"/>
    <w:rsid w:val="006F70F7"/>
    <w:rsid w:val="006F7272"/>
    <w:rsid w:val="006F73FD"/>
    <w:rsid w:val="006F7621"/>
    <w:rsid w:val="006F7824"/>
    <w:rsid w:val="006F7A61"/>
    <w:rsid w:val="006F7C63"/>
    <w:rsid w:val="006F7CA7"/>
    <w:rsid w:val="006F7E71"/>
    <w:rsid w:val="006F7EBB"/>
    <w:rsid w:val="006F7F34"/>
    <w:rsid w:val="006F7FB1"/>
    <w:rsid w:val="006F7FFB"/>
    <w:rsid w:val="007000EF"/>
    <w:rsid w:val="0070018A"/>
    <w:rsid w:val="0070027B"/>
    <w:rsid w:val="007002D6"/>
    <w:rsid w:val="007002F9"/>
    <w:rsid w:val="0070033C"/>
    <w:rsid w:val="00700506"/>
    <w:rsid w:val="00700580"/>
    <w:rsid w:val="007005C0"/>
    <w:rsid w:val="007008A6"/>
    <w:rsid w:val="00700CED"/>
    <w:rsid w:val="00700D83"/>
    <w:rsid w:val="00700F8F"/>
    <w:rsid w:val="00701128"/>
    <w:rsid w:val="00701306"/>
    <w:rsid w:val="00701348"/>
    <w:rsid w:val="0070145D"/>
    <w:rsid w:val="0070156C"/>
    <w:rsid w:val="00701745"/>
    <w:rsid w:val="00701848"/>
    <w:rsid w:val="00701924"/>
    <w:rsid w:val="00701968"/>
    <w:rsid w:val="007019E6"/>
    <w:rsid w:val="00701AF7"/>
    <w:rsid w:val="00701D10"/>
    <w:rsid w:val="00701EF3"/>
    <w:rsid w:val="0070200D"/>
    <w:rsid w:val="0070219C"/>
    <w:rsid w:val="007024C6"/>
    <w:rsid w:val="00702556"/>
    <w:rsid w:val="007025FC"/>
    <w:rsid w:val="00702794"/>
    <w:rsid w:val="00702982"/>
    <w:rsid w:val="007029E2"/>
    <w:rsid w:val="00702A56"/>
    <w:rsid w:val="00702B4D"/>
    <w:rsid w:val="00702C19"/>
    <w:rsid w:val="00702C65"/>
    <w:rsid w:val="00702C80"/>
    <w:rsid w:val="00702F8C"/>
    <w:rsid w:val="00703149"/>
    <w:rsid w:val="00703491"/>
    <w:rsid w:val="00703503"/>
    <w:rsid w:val="00703559"/>
    <w:rsid w:val="007035C4"/>
    <w:rsid w:val="007035CD"/>
    <w:rsid w:val="0070365D"/>
    <w:rsid w:val="007036BC"/>
    <w:rsid w:val="0070373A"/>
    <w:rsid w:val="007037A9"/>
    <w:rsid w:val="007038F8"/>
    <w:rsid w:val="00703935"/>
    <w:rsid w:val="00703960"/>
    <w:rsid w:val="00703C98"/>
    <w:rsid w:val="00703DDE"/>
    <w:rsid w:val="00704118"/>
    <w:rsid w:val="00704363"/>
    <w:rsid w:val="007043C3"/>
    <w:rsid w:val="00704465"/>
    <w:rsid w:val="00704615"/>
    <w:rsid w:val="0070464A"/>
    <w:rsid w:val="00704751"/>
    <w:rsid w:val="00704993"/>
    <w:rsid w:val="00704B76"/>
    <w:rsid w:val="00704BCF"/>
    <w:rsid w:val="00704C36"/>
    <w:rsid w:val="00704E5E"/>
    <w:rsid w:val="00704F14"/>
    <w:rsid w:val="00704FB1"/>
    <w:rsid w:val="0070503B"/>
    <w:rsid w:val="007051E2"/>
    <w:rsid w:val="00705203"/>
    <w:rsid w:val="0070546D"/>
    <w:rsid w:val="0070582B"/>
    <w:rsid w:val="007059A7"/>
    <w:rsid w:val="00705A11"/>
    <w:rsid w:val="00705B09"/>
    <w:rsid w:val="00705BBD"/>
    <w:rsid w:val="00705CE7"/>
    <w:rsid w:val="00705E40"/>
    <w:rsid w:val="00705F18"/>
    <w:rsid w:val="0070601A"/>
    <w:rsid w:val="007060A9"/>
    <w:rsid w:val="007060FE"/>
    <w:rsid w:val="00706173"/>
    <w:rsid w:val="007061DE"/>
    <w:rsid w:val="007062A9"/>
    <w:rsid w:val="007062AB"/>
    <w:rsid w:val="007062EC"/>
    <w:rsid w:val="0070632E"/>
    <w:rsid w:val="0070647A"/>
    <w:rsid w:val="0070647C"/>
    <w:rsid w:val="0070654E"/>
    <w:rsid w:val="00706585"/>
    <w:rsid w:val="0070665A"/>
    <w:rsid w:val="00706780"/>
    <w:rsid w:val="007067E9"/>
    <w:rsid w:val="0070694E"/>
    <w:rsid w:val="00706B64"/>
    <w:rsid w:val="00706B87"/>
    <w:rsid w:val="00706E53"/>
    <w:rsid w:val="00707099"/>
    <w:rsid w:val="00707274"/>
    <w:rsid w:val="00707399"/>
    <w:rsid w:val="00707503"/>
    <w:rsid w:val="007076AA"/>
    <w:rsid w:val="00707712"/>
    <w:rsid w:val="0070778C"/>
    <w:rsid w:val="00707974"/>
    <w:rsid w:val="00707A1E"/>
    <w:rsid w:val="00707A3F"/>
    <w:rsid w:val="00707BE1"/>
    <w:rsid w:val="00707BFD"/>
    <w:rsid w:val="007100EC"/>
    <w:rsid w:val="007101C0"/>
    <w:rsid w:val="007101C5"/>
    <w:rsid w:val="00710525"/>
    <w:rsid w:val="0071057F"/>
    <w:rsid w:val="007106B4"/>
    <w:rsid w:val="00710950"/>
    <w:rsid w:val="00710A9D"/>
    <w:rsid w:val="00710CE7"/>
    <w:rsid w:val="00710EAD"/>
    <w:rsid w:val="00710EC4"/>
    <w:rsid w:val="00710F76"/>
    <w:rsid w:val="007110BC"/>
    <w:rsid w:val="007110E3"/>
    <w:rsid w:val="007114E8"/>
    <w:rsid w:val="0071158F"/>
    <w:rsid w:val="0071168E"/>
    <w:rsid w:val="00711816"/>
    <w:rsid w:val="007118BF"/>
    <w:rsid w:val="00711976"/>
    <w:rsid w:val="00711B29"/>
    <w:rsid w:val="00711B31"/>
    <w:rsid w:val="00711E19"/>
    <w:rsid w:val="00711E5B"/>
    <w:rsid w:val="00711EAA"/>
    <w:rsid w:val="00711F8E"/>
    <w:rsid w:val="007120AC"/>
    <w:rsid w:val="007121FD"/>
    <w:rsid w:val="007123A4"/>
    <w:rsid w:val="007123D3"/>
    <w:rsid w:val="00712436"/>
    <w:rsid w:val="00712462"/>
    <w:rsid w:val="007124D0"/>
    <w:rsid w:val="00712514"/>
    <w:rsid w:val="00712535"/>
    <w:rsid w:val="00712580"/>
    <w:rsid w:val="007125AE"/>
    <w:rsid w:val="0071278A"/>
    <w:rsid w:val="0071280E"/>
    <w:rsid w:val="0071281F"/>
    <w:rsid w:val="00712825"/>
    <w:rsid w:val="007129B1"/>
    <w:rsid w:val="007129C4"/>
    <w:rsid w:val="00712A1B"/>
    <w:rsid w:val="00712ACE"/>
    <w:rsid w:val="00712C5A"/>
    <w:rsid w:val="00712D22"/>
    <w:rsid w:val="00712ED6"/>
    <w:rsid w:val="00713035"/>
    <w:rsid w:val="00713108"/>
    <w:rsid w:val="0071315C"/>
    <w:rsid w:val="007131B6"/>
    <w:rsid w:val="007132BC"/>
    <w:rsid w:val="007132E7"/>
    <w:rsid w:val="0071335C"/>
    <w:rsid w:val="0071366B"/>
    <w:rsid w:val="007136DC"/>
    <w:rsid w:val="00713716"/>
    <w:rsid w:val="007137E8"/>
    <w:rsid w:val="007137F8"/>
    <w:rsid w:val="0071380E"/>
    <w:rsid w:val="00713AFF"/>
    <w:rsid w:val="00713CCA"/>
    <w:rsid w:val="00713E28"/>
    <w:rsid w:val="00713EB2"/>
    <w:rsid w:val="00713EF9"/>
    <w:rsid w:val="00714063"/>
    <w:rsid w:val="0071408F"/>
    <w:rsid w:val="0071412F"/>
    <w:rsid w:val="0071413E"/>
    <w:rsid w:val="007142D2"/>
    <w:rsid w:val="0071442D"/>
    <w:rsid w:val="0071449D"/>
    <w:rsid w:val="00714580"/>
    <w:rsid w:val="0071465E"/>
    <w:rsid w:val="0071478D"/>
    <w:rsid w:val="007149A9"/>
    <w:rsid w:val="00714A12"/>
    <w:rsid w:val="00714B12"/>
    <w:rsid w:val="00714B29"/>
    <w:rsid w:val="00714D4A"/>
    <w:rsid w:val="00714DA7"/>
    <w:rsid w:val="00714DB6"/>
    <w:rsid w:val="00714E07"/>
    <w:rsid w:val="0071501E"/>
    <w:rsid w:val="00715080"/>
    <w:rsid w:val="007150B8"/>
    <w:rsid w:val="0071516B"/>
    <w:rsid w:val="00715196"/>
    <w:rsid w:val="00715364"/>
    <w:rsid w:val="00715403"/>
    <w:rsid w:val="0071552D"/>
    <w:rsid w:val="007155E0"/>
    <w:rsid w:val="007156CC"/>
    <w:rsid w:val="0071590A"/>
    <w:rsid w:val="007159BB"/>
    <w:rsid w:val="007159CF"/>
    <w:rsid w:val="00715A59"/>
    <w:rsid w:val="00715ABF"/>
    <w:rsid w:val="00715C35"/>
    <w:rsid w:val="00715C4F"/>
    <w:rsid w:val="00715DCC"/>
    <w:rsid w:val="00715EF5"/>
    <w:rsid w:val="00715F15"/>
    <w:rsid w:val="00715F72"/>
    <w:rsid w:val="00716051"/>
    <w:rsid w:val="00716108"/>
    <w:rsid w:val="00716368"/>
    <w:rsid w:val="00716373"/>
    <w:rsid w:val="0071638D"/>
    <w:rsid w:val="00716624"/>
    <w:rsid w:val="007169EE"/>
    <w:rsid w:val="00716A39"/>
    <w:rsid w:val="00716BFC"/>
    <w:rsid w:val="00716CB4"/>
    <w:rsid w:val="00716CF6"/>
    <w:rsid w:val="00716DB0"/>
    <w:rsid w:val="00716F39"/>
    <w:rsid w:val="00716FAB"/>
    <w:rsid w:val="007172F7"/>
    <w:rsid w:val="00717353"/>
    <w:rsid w:val="007175F1"/>
    <w:rsid w:val="0071773E"/>
    <w:rsid w:val="00717744"/>
    <w:rsid w:val="00717AEE"/>
    <w:rsid w:val="00717B05"/>
    <w:rsid w:val="00717BB5"/>
    <w:rsid w:val="00717C13"/>
    <w:rsid w:val="00717FC1"/>
    <w:rsid w:val="007201C1"/>
    <w:rsid w:val="00720267"/>
    <w:rsid w:val="007203D6"/>
    <w:rsid w:val="007204B1"/>
    <w:rsid w:val="007206B5"/>
    <w:rsid w:val="0072074C"/>
    <w:rsid w:val="007207BB"/>
    <w:rsid w:val="0072094B"/>
    <w:rsid w:val="00720A1E"/>
    <w:rsid w:val="00720C0E"/>
    <w:rsid w:val="00720CDF"/>
    <w:rsid w:val="00720D18"/>
    <w:rsid w:val="00720E60"/>
    <w:rsid w:val="00720F9B"/>
    <w:rsid w:val="00720FC4"/>
    <w:rsid w:val="00721008"/>
    <w:rsid w:val="0072130C"/>
    <w:rsid w:val="007215C6"/>
    <w:rsid w:val="007216DE"/>
    <w:rsid w:val="007216E8"/>
    <w:rsid w:val="00721A9D"/>
    <w:rsid w:val="00721C26"/>
    <w:rsid w:val="00721C2D"/>
    <w:rsid w:val="00721F8E"/>
    <w:rsid w:val="00721FFE"/>
    <w:rsid w:val="00722272"/>
    <w:rsid w:val="0072250B"/>
    <w:rsid w:val="00722555"/>
    <w:rsid w:val="00722992"/>
    <w:rsid w:val="007229EC"/>
    <w:rsid w:val="00722B92"/>
    <w:rsid w:val="00722F40"/>
    <w:rsid w:val="00723130"/>
    <w:rsid w:val="00723134"/>
    <w:rsid w:val="007231F3"/>
    <w:rsid w:val="00723261"/>
    <w:rsid w:val="0072329C"/>
    <w:rsid w:val="007232A1"/>
    <w:rsid w:val="007232CC"/>
    <w:rsid w:val="00723343"/>
    <w:rsid w:val="0072344B"/>
    <w:rsid w:val="007238C4"/>
    <w:rsid w:val="00723913"/>
    <w:rsid w:val="00723CDF"/>
    <w:rsid w:val="00723EA3"/>
    <w:rsid w:val="00723FB1"/>
    <w:rsid w:val="007240C2"/>
    <w:rsid w:val="00724317"/>
    <w:rsid w:val="00724383"/>
    <w:rsid w:val="007244DF"/>
    <w:rsid w:val="007245F7"/>
    <w:rsid w:val="00724811"/>
    <w:rsid w:val="007249F9"/>
    <w:rsid w:val="00724B21"/>
    <w:rsid w:val="00724B31"/>
    <w:rsid w:val="00724BFE"/>
    <w:rsid w:val="00724D16"/>
    <w:rsid w:val="00724D33"/>
    <w:rsid w:val="00724E20"/>
    <w:rsid w:val="00724F16"/>
    <w:rsid w:val="0072508F"/>
    <w:rsid w:val="0072515C"/>
    <w:rsid w:val="007252E2"/>
    <w:rsid w:val="0072535F"/>
    <w:rsid w:val="0072546B"/>
    <w:rsid w:val="00725498"/>
    <w:rsid w:val="00725501"/>
    <w:rsid w:val="0072568A"/>
    <w:rsid w:val="007256EA"/>
    <w:rsid w:val="00725960"/>
    <w:rsid w:val="00725A28"/>
    <w:rsid w:val="00725A3D"/>
    <w:rsid w:val="00725AA1"/>
    <w:rsid w:val="00725BC3"/>
    <w:rsid w:val="00725C2A"/>
    <w:rsid w:val="00725CD5"/>
    <w:rsid w:val="00725F9B"/>
    <w:rsid w:val="0072603A"/>
    <w:rsid w:val="0072606A"/>
    <w:rsid w:val="00726128"/>
    <w:rsid w:val="0072619D"/>
    <w:rsid w:val="007262D3"/>
    <w:rsid w:val="0072632B"/>
    <w:rsid w:val="00726393"/>
    <w:rsid w:val="00726409"/>
    <w:rsid w:val="007264C3"/>
    <w:rsid w:val="00726546"/>
    <w:rsid w:val="007266FF"/>
    <w:rsid w:val="007269CC"/>
    <w:rsid w:val="00726A03"/>
    <w:rsid w:val="00726B2D"/>
    <w:rsid w:val="00726B8F"/>
    <w:rsid w:val="00726BD8"/>
    <w:rsid w:val="00726C3B"/>
    <w:rsid w:val="00726E16"/>
    <w:rsid w:val="00726E44"/>
    <w:rsid w:val="00726F20"/>
    <w:rsid w:val="007271A7"/>
    <w:rsid w:val="007273E1"/>
    <w:rsid w:val="00727548"/>
    <w:rsid w:val="007275F4"/>
    <w:rsid w:val="007275F8"/>
    <w:rsid w:val="00727831"/>
    <w:rsid w:val="00727888"/>
    <w:rsid w:val="00727889"/>
    <w:rsid w:val="00727AB5"/>
    <w:rsid w:val="00727B3F"/>
    <w:rsid w:val="00727B52"/>
    <w:rsid w:val="00727B54"/>
    <w:rsid w:val="00727CD8"/>
    <w:rsid w:val="00727DB7"/>
    <w:rsid w:val="00727E16"/>
    <w:rsid w:val="00727E1A"/>
    <w:rsid w:val="00727E62"/>
    <w:rsid w:val="00727E9C"/>
    <w:rsid w:val="00727FFD"/>
    <w:rsid w:val="007302B3"/>
    <w:rsid w:val="00730340"/>
    <w:rsid w:val="00730429"/>
    <w:rsid w:val="0073049A"/>
    <w:rsid w:val="007304FE"/>
    <w:rsid w:val="007305AB"/>
    <w:rsid w:val="0073061A"/>
    <w:rsid w:val="007306BE"/>
    <w:rsid w:val="007306DD"/>
    <w:rsid w:val="0073085A"/>
    <w:rsid w:val="00730890"/>
    <w:rsid w:val="00730A4C"/>
    <w:rsid w:val="00730DC1"/>
    <w:rsid w:val="00730F05"/>
    <w:rsid w:val="00730F40"/>
    <w:rsid w:val="007310A6"/>
    <w:rsid w:val="00731109"/>
    <w:rsid w:val="00731216"/>
    <w:rsid w:val="0073129C"/>
    <w:rsid w:val="007312EF"/>
    <w:rsid w:val="00731805"/>
    <w:rsid w:val="00731A66"/>
    <w:rsid w:val="00731B03"/>
    <w:rsid w:val="00731CA5"/>
    <w:rsid w:val="00731DDA"/>
    <w:rsid w:val="00731E6A"/>
    <w:rsid w:val="00731EBA"/>
    <w:rsid w:val="00731EDB"/>
    <w:rsid w:val="00731FB4"/>
    <w:rsid w:val="007320D1"/>
    <w:rsid w:val="0073227F"/>
    <w:rsid w:val="00732304"/>
    <w:rsid w:val="007324A9"/>
    <w:rsid w:val="00732885"/>
    <w:rsid w:val="00732914"/>
    <w:rsid w:val="00732AE9"/>
    <w:rsid w:val="00732B60"/>
    <w:rsid w:val="00732C0A"/>
    <w:rsid w:val="00732CFF"/>
    <w:rsid w:val="00732D81"/>
    <w:rsid w:val="00732EE1"/>
    <w:rsid w:val="00733474"/>
    <w:rsid w:val="00733515"/>
    <w:rsid w:val="007335E4"/>
    <w:rsid w:val="00733643"/>
    <w:rsid w:val="0073394C"/>
    <w:rsid w:val="007339C0"/>
    <w:rsid w:val="00733AB7"/>
    <w:rsid w:val="00733E15"/>
    <w:rsid w:val="00733F04"/>
    <w:rsid w:val="00733F1D"/>
    <w:rsid w:val="00734282"/>
    <w:rsid w:val="0073429F"/>
    <w:rsid w:val="00734337"/>
    <w:rsid w:val="00734402"/>
    <w:rsid w:val="00734470"/>
    <w:rsid w:val="00734506"/>
    <w:rsid w:val="0073456A"/>
    <w:rsid w:val="00734753"/>
    <w:rsid w:val="007348A3"/>
    <w:rsid w:val="00734A35"/>
    <w:rsid w:val="00734C0F"/>
    <w:rsid w:val="00734E48"/>
    <w:rsid w:val="00734EAC"/>
    <w:rsid w:val="00734FA6"/>
    <w:rsid w:val="00734FC9"/>
    <w:rsid w:val="00734FD3"/>
    <w:rsid w:val="00735035"/>
    <w:rsid w:val="007351B6"/>
    <w:rsid w:val="007355AE"/>
    <w:rsid w:val="007358F2"/>
    <w:rsid w:val="0073595A"/>
    <w:rsid w:val="00735A6C"/>
    <w:rsid w:val="00735A8F"/>
    <w:rsid w:val="00735B00"/>
    <w:rsid w:val="00735B16"/>
    <w:rsid w:val="00735C63"/>
    <w:rsid w:val="00735C83"/>
    <w:rsid w:val="00735E91"/>
    <w:rsid w:val="00735EB5"/>
    <w:rsid w:val="00735FB6"/>
    <w:rsid w:val="00736140"/>
    <w:rsid w:val="007362A6"/>
    <w:rsid w:val="0073630D"/>
    <w:rsid w:val="00736394"/>
    <w:rsid w:val="007363A9"/>
    <w:rsid w:val="007364F0"/>
    <w:rsid w:val="00736671"/>
    <w:rsid w:val="007366C1"/>
    <w:rsid w:val="007367E6"/>
    <w:rsid w:val="007367FA"/>
    <w:rsid w:val="00736841"/>
    <w:rsid w:val="00736A10"/>
    <w:rsid w:val="00736AC8"/>
    <w:rsid w:val="00736AC9"/>
    <w:rsid w:val="00736B0E"/>
    <w:rsid w:val="00736DB6"/>
    <w:rsid w:val="00736F97"/>
    <w:rsid w:val="007370A9"/>
    <w:rsid w:val="0073711E"/>
    <w:rsid w:val="00737141"/>
    <w:rsid w:val="0073725B"/>
    <w:rsid w:val="007374EF"/>
    <w:rsid w:val="00737531"/>
    <w:rsid w:val="00737743"/>
    <w:rsid w:val="007377E8"/>
    <w:rsid w:val="0073795A"/>
    <w:rsid w:val="00737967"/>
    <w:rsid w:val="007379C9"/>
    <w:rsid w:val="00737AA7"/>
    <w:rsid w:val="00737B02"/>
    <w:rsid w:val="00737BC2"/>
    <w:rsid w:val="00737C4B"/>
    <w:rsid w:val="00737F2D"/>
    <w:rsid w:val="0074007A"/>
    <w:rsid w:val="00740294"/>
    <w:rsid w:val="0074029F"/>
    <w:rsid w:val="00740331"/>
    <w:rsid w:val="00740406"/>
    <w:rsid w:val="0074056A"/>
    <w:rsid w:val="00740622"/>
    <w:rsid w:val="00740848"/>
    <w:rsid w:val="007408B3"/>
    <w:rsid w:val="007408E1"/>
    <w:rsid w:val="00740940"/>
    <w:rsid w:val="00740A67"/>
    <w:rsid w:val="00740C14"/>
    <w:rsid w:val="00740DFF"/>
    <w:rsid w:val="00740E14"/>
    <w:rsid w:val="00740E9C"/>
    <w:rsid w:val="00740EAC"/>
    <w:rsid w:val="00740F35"/>
    <w:rsid w:val="007410FB"/>
    <w:rsid w:val="00741151"/>
    <w:rsid w:val="007411F0"/>
    <w:rsid w:val="0074128B"/>
    <w:rsid w:val="007412ED"/>
    <w:rsid w:val="00741326"/>
    <w:rsid w:val="007413EA"/>
    <w:rsid w:val="00741449"/>
    <w:rsid w:val="007415B8"/>
    <w:rsid w:val="00741638"/>
    <w:rsid w:val="00741853"/>
    <w:rsid w:val="007418A7"/>
    <w:rsid w:val="007418DC"/>
    <w:rsid w:val="00741E89"/>
    <w:rsid w:val="00741EA5"/>
    <w:rsid w:val="00741F10"/>
    <w:rsid w:val="00741FF9"/>
    <w:rsid w:val="0074215D"/>
    <w:rsid w:val="007422D7"/>
    <w:rsid w:val="00742315"/>
    <w:rsid w:val="007423C1"/>
    <w:rsid w:val="00742551"/>
    <w:rsid w:val="00742579"/>
    <w:rsid w:val="0074274A"/>
    <w:rsid w:val="00742902"/>
    <w:rsid w:val="00742BA8"/>
    <w:rsid w:val="00742D7C"/>
    <w:rsid w:val="00742E3D"/>
    <w:rsid w:val="0074300D"/>
    <w:rsid w:val="0074302C"/>
    <w:rsid w:val="0074343C"/>
    <w:rsid w:val="007434AC"/>
    <w:rsid w:val="00743544"/>
    <w:rsid w:val="00743645"/>
    <w:rsid w:val="007437A8"/>
    <w:rsid w:val="0074384D"/>
    <w:rsid w:val="0074384F"/>
    <w:rsid w:val="00743B15"/>
    <w:rsid w:val="00743B2B"/>
    <w:rsid w:val="00743B81"/>
    <w:rsid w:val="00743E39"/>
    <w:rsid w:val="00743E8E"/>
    <w:rsid w:val="00743F16"/>
    <w:rsid w:val="00743FDC"/>
    <w:rsid w:val="0074426A"/>
    <w:rsid w:val="00744404"/>
    <w:rsid w:val="007446D8"/>
    <w:rsid w:val="00744857"/>
    <w:rsid w:val="00744A7E"/>
    <w:rsid w:val="00744B50"/>
    <w:rsid w:val="00744B99"/>
    <w:rsid w:val="00744C1B"/>
    <w:rsid w:val="00744CC9"/>
    <w:rsid w:val="00744D62"/>
    <w:rsid w:val="00744F65"/>
    <w:rsid w:val="0074501E"/>
    <w:rsid w:val="00745140"/>
    <w:rsid w:val="00745368"/>
    <w:rsid w:val="007455AA"/>
    <w:rsid w:val="00745732"/>
    <w:rsid w:val="007457E2"/>
    <w:rsid w:val="0074582F"/>
    <w:rsid w:val="0074586F"/>
    <w:rsid w:val="007458F2"/>
    <w:rsid w:val="00745A4F"/>
    <w:rsid w:val="00745AAF"/>
    <w:rsid w:val="00745AF8"/>
    <w:rsid w:val="00745BEE"/>
    <w:rsid w:val="00745D7A"/>
    <w:rsid w:val="00745E99"/>
    <w:rsid w:val="00745FDB"/>
    <w:rsid w:val="007462DD"/>
    <w:rsid w:val="00746365"/>
    <w:rsid w:val="00746445"/>
    <w:rsid w:val="0074653C"/>
    <w:rsid w:val="0074662D"/>
    <w:rsid w:val="00746677"/>
    <w:rsid w:val="00746685"/>
    <w:rsid w:val="00746812"/>
    <w:rsid w:val="007469F7"/>
    <w:rsid w:val="007469FC"/>
    <w:rsid w:val="00746C93"/>
    <w:rsid w:val="00746E0E"/>
    <w:rsid w:val="00746E5A"/>
    <w:rsid w:val="00746ED9"/>
    <w:rsid w:val="0074715B"/>
    <w:rsid w:val="0074725E"/>
    <w:rsid w:val="00747359"/>
    <w:rsid w:val="007473D2"/>
    <w:rsid w:val="0074740D"/>
    <w:rsid w:val="00747646"/>
    <w:rsid w:val="007476FE"/>
    <w:rsid w:val="00747957"/>
    <w:rsid w:val="00747A25"/>
    <w:rsid w:val="00747ADA"/>
    <w:rsid w:val="00747C0C"/>
    <w:rsid w:val="00747C90"/>
    <w:rsid w:val="00747C94"/>
    <w:rsid w:val="00747F1F"/>
    <w:rsid w:val="00747F55"/>
    <w:rsid w:val="007500B9"/>
    <w:rsid w:val="00750267"/>
    <w:rsid w:val="00750343"/>
    <w:rsid w:val="007503C1"/>
    <w:rsid w:val="007506DC"/>
    <w:rsid w:val="00750737"/>
    <w:rsid w:val="007507D7"/>
    <w:rsid w:val="0075093C"/>
    <w:rsid w:val="00750BE1"/>
    <w:rsid w:val="00750EA5"/>
    <w:rsid w:val="00750EE8"/>
    <w:rsid w:val="0075117A"/>
    <w:rsid w:val="00751251"/>
    <w:rsid w:val="00751412"/>
    <w:rsid w:val="00751496"/>
    <w:rsid w:val="007515F6"/>
    <w:rsid w:val="00751640"/>
    <w:rsid w:val="007517D1"/>
    <w:rsid w:val="00751874"/>
    <w:rsid w:val="0075189F"/>
    <w:rsid w:val="007519CC"/>
    <w:rsid w:val="00751D1F"/>
    <w:rsid w:val="00751D2E"/>
    <w:rsid w:val="00751DED"/>
    <w:rsid w:val="0075212E"/>
    <w:rsid w:val="00752168"/>
    <w:rsid w:val="0075218C"/>
    <w:rsid w:val="00752289"/>
    <w:rsid w:val="007522CE"/>
    <w:rsid w:val="00752333"/>
    <w:rsid w:val="00752435"/>
    <w:rsid w:val="0075253F"/>
    <w:rsid w:val="00752643"/>
    <w:rsid w:val="00752688"/>
    <w:rsid w:val="007526C1"/>
    <w:rsid w:val="007526C8"/>
    <w:rsid w:val="0075276A"/>
    <w:rsid w:val="0075293A"/>
    <w:rsid w:val="00752965"/>
    <w:rsid w:val="00752A96"/>
    <w:rsid w:val="00752B3A"/>
    <w:rsid w:val="00752B78"/>
    <w:rsid w:val="00752BF1"/>
    <w:rsid w:val="00752D11"/>
    <w:rsid w:val="00753032"/>
    <w:rsid w:val="007530B7"/>
    <w:rsid w:val="007530D1"/>
    <w:rsid w:val="0075324F"/>
    <w:rsid w:val="007532A7"/>
    <w:rsid w:val="00753311"/>
    <w:rsid w:val="0075344E"/>
    <w:rsid w:val="0075353D"/>
    <w:rsid w:val="007536A8"/>
    <w:rsid w:val="00753741"/>
    <w:rsid w:val="007537DA"/>
    <w:rsid w:val="00753876"/>
    <w:rsid w:val="0075389D"/>
    <w:rsid w:val="007539B7"/>
    <w:rsid w:val="00753A6E"/>
    <w:rsid w:val="00753CC2"/>
    <w:rsid w:val="00753D79"/>
    <w:rsid w:val="00753E60"/>
    <w:rsid w:val="00754180"/>
    <w:rsid w:val="007542E6"/>
    <w:rsid w:val="007543EA"/>
    <w:rsid w:val="00754555"/>
    <w:rsid w:val="007545DC"/>
    <w:rsid w:val="00754672"/>
    <w:rsid w:val="007546AF"/>
    <w:rsid w:val="007546CA"/>
    <w:rsid w:val="007547B8"/>
    <w:rsid w:val="007547E1"/>
    <w:rsid w:val="00754A23"/>
    <w:rsid w:val="00754B23"/>
    <w:rsid w:val="00754BE2"/>
    <w:rsid w:val="00754C3B"/>
    <w:rsid w:val="00754C7F"/>
    <w:rsid w:val="00754CBF"/>
    <w:rsid w:val="00754F0D"/>
    <w:rsid w:val="00754F41"/>
    <w:rsid w:val="00755137"/>
    <w:rsid w:val="00755146"/>
    <w:rsid w:val="007553A0"/>
    <w:rsid w:val="0075546B"/>
    <w:rsid w:val="0075552C"/>
    <w:rsid w:val="007555CF"/>
    <w:rsid w:val="0075580D"/>
    <w:rsid w:val="00755A21"/>
    <w:rsid w:val="00755ADE"/>
    <w:rsid w:val="00755E32"/>
    <w:rsid w:val="00755EF1"/>
    <w:rsid w:val="00755F67"/>
    <w:rsid w:val="00755FA0"/>
    <w:rsid w:val="007560AE"/>
    <w:rsid w:val="007560E1"/>
    <w:rsid w:val="00756173"/>
    <w:rsid w:val="00756329"/>
    <w:rsid w:val="00756444"/>
    <w:rsid w:val="0075653A"/>
    <w:rsid w:val="0075674B"/>
    <w:rsid w:val="00756787"/>
    <w:rsid w:val="00756815"/>
    <w:rsid w:val="00756874"/>
    <w:rsid w:val="00756926"/>
    <w:rsid w:val="0075698D"/>
    <w:rsid w:val="007569E9"/>
    <w:rsid w:val="00756A22"/>
    <w:rsid w:val="00756A41"/>
    <w:rsid w:val="00756BCC"/>
    <w:rsid w:val="00756CBF"/>
    <w:rsid w:val="00756CE2"/>
    <w:rsid w:val="00756DEA"/>
    <w:rsid w:val="00756DF9"/>
    <w:rsid w:val="00756FAD"/>
    <w:rsid w:val="0075712A"/>
    <w:rsid w:val="00757176"/>
    <w:rsid w:val="007571EF"/>
    <w:rsid w:val="00757242"/>
    <w:rsid w:val="00757267"/>
    <w:rsid w:val="00757353"/>
    <w:rsid w:val="007576E5"/>
    <w:rsid w:val="00757AA7"/>
    <w:rsid w:val="00757B1B"/>
    <w:rsid w:val="00757B8A"/>
    <w:rsid w:val="00757BF4"/>
    <w:rsid w:val="00757C39"/>
    <w:rsid w:val="00757E49"/>
    <w:rsid w:val="00757E74"/>
    <w:rsid w:val="00760122"/>
    <w:rsid w:val="00760254"/>
    <w:rsid w:val="0076025E"/>
    <w:rsid w:val="00760291"/>
    <w:rsid w:val="00760482"/>
    <w:rsid w:val="00760837"/>
    <w:rsid w:val="00760A41"/>
    <w:rsid w:val="00760A6C"/>
    <w:rsid w:val="00760B79"/>
    <w:rsid w:val="00760DE4"/>
    <w:rsid w:val="00760DE7"/>
    <w:rsid w:val="00760DF7"/>
    <w:rsid w:val="00760EE2"/>
    <w:rsid w:val="007611AD"/>
    <w:rsid w:val="007611B0"/>
    <w:rsid w:val="0076123E"/>
    <w:rsid w:val="007612BC"/>
    <w:rsid w:val="007612BD"/>
    <w:rsid w:val="0076136E"/>
    <w:rsid w:val="007613AE"/>
    <w:rsid w:val="007614F2"/>
    <w:rsid w:val="00761702"/>
    <w:rsid w:val="00761742"/>
    <w:rsid w:val="007618F2"/>
    <w:rsid w:val="00761A6C"/>
    <w:rsid w:val="00761A92"/>
    <w:rsid w:val="00761B2D"/>
    <w:rsid w:val="00761CF1"/>
    <w:rsid w:val="00761EBF"/>
    <w:rsid w:val="00761F7B"/>
    <w:rsid w:val="00761F85"/>
    <w:rsid w:val="00762078"/>
    <w:rsid w:val="00762110"/>
    <w:rsid w:val="0076218D"/>
    <w:rsid w:val="007622E1"/>
    <w:rsid w:val="0076236D"/>
    <w:rsid w:val="0076241E"/>
    <w:rsid w:val="007624F3"/>
    <w:rsid w:val="0076271D"/>
    <w:rsid w:val="00762766"/>
    <w:rsid w:val="0076280B"/>
    <w:rsid w:val="0076283B"/>
    <w:rsid w:val="00762880"/>
    <w:rsid w:val="00762988"/>
    <w:rsid w:val="007629D5"/>
    <w:rsid w:val="007629DE"/>
    <w:rsid w:val="00762D60"/>
    <w:rsid w:val="00762EA7"/>
    <w:rsid w:val="00763004"/>
    <w:rsid w:val="007633ED"/>
    <w:rsid w:val="00763496"/>
    <w:rsid w:val="0076355C"/>
    <w:rsid w:val="007635C1"/>
    <w:rsid w:val="00763677"/>
    <w:rsid w:val="00763745"/>
    <w:rsid w:val="00763949"/>
    <w:rsid w:val="00763BF9"/>
    <w:rsid w:val="00763D92"/>
    <w:rsid w:val="00763E0F"/>
    <w:rsid w:val="007641E9"/>
    <w:rsid w:val="00764214"/>
    <w:rsid w:val="00764294"/>
    <w:rsid w:val="007642BB"/>
    <w:rsid w:val="00764303"/>
    <w:rsid w:val="007644B5"/>
    <w:rsid w:val="00764531"/>
    <w:rsid w:val="00764537"/>
    <w:rsid w:val="0076466C"/>
    <w:rsid w:val="007648BB"/>
    <w:rsid w:val="00764B2C"/>
    <w:rsid w:val="00764B54"/>
    <w:rsid w:val="00764B5E"/>
    <w:rsid w:val="00764C39"/>
    <w:rsid w:val="00764D60"/>
    <w:rsid w:val="00764F44"/>
    <w:rsid w:val="00764F71"/>
    <w:rsid w:val="0076518C"/>
    <w:rsid w:val="0076534D"/>
    <w:rsid w:val="007655B6"/>
    <w:rsid w:val="00765700"/>
    <w:rsid w:val="00765799"/>
    <w:rsid w:val="007657F8"/>
    <w:rsid w:val="0076588C"/>
    <w:rsid w:val="00765B78"/>
    <w:rsid w:val="00765C6B"/>
    <w:rsid w:val="00765CFE"/>
    <w:rsid w:val="00765F04"/>
    <w:rsid w:val="00765F57"/>
    <w:rsid w:val="00765F69"/>
    <w:rsid w:val="0076604E"/>
    <w:rsid w:val="00766140"/>
    <w:rsid w:val="0076644F"/>
    <w:rsid w:val="00766507"/>
    <w:rsid w:val="00766518"/>
    <w:rsid w:val="007665AA"/>
    <w:rsid w:val="0076660A"/>
    <w:rsid w:val="00766618"/>
    <w:rsid w:val="0076669A"/>
    <w:rsid w:val="007666AA"/>
    <w:rsid w:val="007668E0"/>
    <w:rsid w:val="00766A4E"/>
    <w:rsid w:val="00766BFE"/>
    <w:rsid w:val="00766C3C"/>
    <w:rsid w:val="00766D13"/>
    <w:rsid w:val="00766FAB"/>
    <w:rsid w:val="007671FC"/>
    <w:rsid w:val="007672B9"/>
    <w:rsid w:val="007674D3"/>
    <w:rsid w:val="00767588"/>
    <w:rsid w:val="00767600"/>
    <w:rsid w:val="007678E0"/>
    <w:rsid w:val="00767A94"/>
    <w:rsid w:val="00767AF3"/>
    <w:rsid w:val="00767B51"/>
    <w:rsid w:val="00767BA6"/>
    <w:rsid w:val="00767D72"/>
    <w:rsid w:val="00767DF4"/>
    <w:rsid w:val="00767F4B"/>
    <w:rsid w:val="00767FAA"/>
    <w:rsid w:val="00770010"/>
    <w:rsid w:val="00770170"/>
    <w:rsid w:val="00770287"/>
    <w:rsid w:val="007702BB"/>
    <w:rsid w:val="00770328"/>
    <w:rsid w:val="00770404"/>
    <w:rsid w:val="00770532"/>
    <w:rsid w:val="00770559"/>
    <w:rsid w:val="0077071B"/>
    <w:rsid w:val="0077073E"/>
    <w:rsid w:val="00770751"/>
    <w:rsid w:val="0077092A"/>
    <w:rsid w:val="00770933"/>
    <w:rsid w:val="00770A3C"/>
    <w:rsid w:val="00771047"/>
    <w:rsid w:val="007710BC"/>
    <w:rsid w:val="00771498"/>
    <w:rsid w:val="007714A9"/>
    <w:rsid w:val="0077167C"/>
    <w:rsid w:val="0077170E"/>
    <w:rsid w:val="00771770"/>
    <w:rsid w:val="0077181F"/>
    <w:rsid w:val="00771EF2"/>
    <w:rsid w:val="0077217C"/>
    <w:rsid w:val="00772231"/>
    <w:rsid w:val="0077246E"/>
    <w:rsid w:val="00772668"/>
    <w:rsid w:val="0077269E"/>
    <w:rsid w:val="0077276E"/>
    <w:rsid w:val="00772831"/>
    <w:rsid w:val="007729AD"/>
    <w:rsid w:val="00772A22"/>
    <w:rsid w:val="00772C17"/>
    <w:rsid w:val="00772D6B"/>
    <w:rsid w:val="00772DCF"/>
    <w:rsid w:val="00772DEA"/>
    <w:rsid w:val="00772FA7"/>
    <w:rsid w:val="007730F0"/>
    <w:rsid w:val="007731CC"/>
    <w:rsid w:val="007733F6"/>
    <w:rsid w:val="0077354E"/>
    <w:rsid w:val="00773633"/>
    <w:rsid w:val="0077371F"/>
    <w:rsid w:val="00773962"/>
    <w:rsid w:val="00773AD9"/>
    <w:rsid w:val="00773E09"/>
    <w:rsid w:val="00773E0F"/>
    <w:rsid w:val="00773F5E"/>
    <w:rsid w:val="00774035"/>
    <w:rsid w:val="0077406C"/>
    <w:rsid w:val="00774117"/>
    <w:rsid w:val="00774119"/>
    <w:rsid w:val="0077422A"/>
    <w:rsid w:val="00774312"/>
    <w:rsid w:val="00774361"/>
    <w:rsid w:val="0077436A"/>
    <w:rsid w:val="00774525"/>
    <w:rsid w:val="007747DC"/>
    <w:rsid w:val="007749AE"/>
    <w:rsid w:val="00774BE5"/>
    <w:rsid w:val="00774D46"/>
    <w:rsid w:val="00774D8F"/>
    <w:rsid w:val="00774DB6"/>
    <w:rsid w:val="00774ECC"/>
    <w:rsid w:val="00774F2D"/>
    <w:rsid w:val="0077523F"/>
    <w:rsid w:val="00775376"/>
    <w:rsid w:val="0077538F"/>
    <w:rsid w:val="007753D8"/>
    <w:rsid w:val="007755E9"/>
    <w:rsid w:val="00775658"/>
    <w:rsid w:val="0077576D"/>
    <w:rsid w:val="0077577B"/>
    <w:rsid w:val="0077594A"/>
    <w:rsid w:val="00775BDC"/>
    <w:rsid w:val="00775C78"/>
    <w:rsid w:val="00775C82"/>
    <w:rsid w:val="00775D24"/>
    <w:rsid w:val="00775D41"/>
    <w:rsid w:val="00775D9A"/>
    <w:rsid w:val="00775E4B"/>
    <w:rsid w:val="00775EF6"/>
    <w:rsid w:val="00775F6E"/>
    <w:rsid w:val="00775F70"/>
    <w:rsid w:val="00776038"/>
    <w:rsid w:val="007761A3"/>
    <w:rsid w:val="00776227"/>
    <w:rsid w:val="007762C5"/>
    <w:rsid w:val="00776525"/>
    <w:rsid w:val="00776607"/>
    <w:rsid w:val="007768D2"/>
    <w:rsid w:val="00776964"/>
    <w:rsid w:val="007769FF"/>
    <w:rsid w:val="00776A52"/>
    <w:rsid w:val="00776A5F"/>
    <w:rsid w:val="00776E89"/>
    <w:rsid w:val="00776FD7"/>
    <w:rsid w:val="00777147"/>
    <w:rsid w:val="007771CF"/>
    <w:rsid w:val="00777211"/>
    <w:rsid w:val="0077727B"/>
    <w:rsid w:val="007772E8"/>
    <w:rsid w:val="00777309"/>
    <w:rsid w:val="00777525"/>
    <w:rsid w:val="0077758B"/>
    <w:rsid w:val="0077765C"/>
    <w:rsid w:val="007776B0"/>
    <w:rsid w:val="007776DE"/>
    <w:rsid w:val="00777806"/>
    <w:rsid w:val="0077788A"/>
    <w:rsid w:val="00777A7F"/>
    <w:rsid w:val="00777B17"/>
    <w:rsid w:val="00777B9A"/>
    <w:rsid w:val="00777C56"/>
    <w:rsid w:val="00777E93"/>
    <w:rsid w:val="007805C3"/>
    <w:rsid w:val="0078061E"/>
    <w:rsid w:val="007806EF"/>
    <w:rsid w:val="00780733"/>
    <w:rsid w:val="00780955"/>
    <w:rsid w:val="00780ADF"/>
    <w:rsid w:val="00780B63"/>
    <w:rsid w:val="00780DA5"/>
    <w:rsid w:val="00780DD4"/>
    <w:rsid w:val="00780E97"/>
    <w:rsid w:val="00780EA2"/>
    <w:rsid w:val="00780EE0"/>
    <w:rsid w:val="00780EE2"/>
    <w:rsid w:val="007812ED"/>
    <w:rsid w:val="007812F9"/>
    <w:rsid w:val="00781347"/>
    <w:rsid w:val="00781353"/>
    <w:rsid w:val="007813AF"/>
    <w:rsid w:val="0078147E"/>
    <w:rsid w:val="00781544"/>
    <w:rsid w:val="0078163E"/>
    <w:rsid w:val="00781644"/>
    <w:rsid w:val="00781647"/>
    <w:rsid w:val="00781791"/>
    <w:rsid w:val="007819AF"/>
    <w:rsid w:val="00781A2B"/>
    <w:rsid w:val="00781A45"/>
    <w:rsid w:val="00781A47"/>
    <w:rsid w:val="00781B06"/>
    <w:rsid w:val="00781C49"/>
    <w:rsid w:val="00781C4B"/>
    <w:rsid w:val="007820F6"/>
    <w:rsid w:val="00782242"/>
    <w:rsid w:val="0078228A"/>
    <w:rsid w:val="007822FF"/>
    <w:rsid w:val="00782582"/>
    <w:rsid w:val="0078262E"/>
    <w:rsid w:val="00782687"/>
    <w:rsid w:val="00782688"/>
    <w:rsid w:val="007827BC"/>
    <w:rsid w:val="0078287B"/>
    <w:rsid w:val="00782ABA"/>
    <w:rsid w:val="00782B20"/>
    <w:rsid w:val="00782B70"/>
    <w:rsid w:val="00782D52"/>
    <w:rsid w:val="00782D97"/>
    <w:rsid w:val="00782E87"/>
    <w:rsid w:val="00782E89"/>
    <w:rsid w:val="00782F9B"/>
    <w:rsid w:val="007830AF"/>
    <w:rsid w:val="007830FC"/>
    <w:rsid w:val="00783167"/>
    <w:rsid w:val="00783258"/>
    <w:rsid w:val="00783286"/>
    <w:rsid w:val="007832B9"/>
    <w:rsid w:val="007834C9"/>
    <w:rsid w:val="00783649"/>
    <w:rsid w:val="00783730"/>
    <w:rsid w:val="007837BF"/>
    <w:rsid w:val="007838BA"/>
    <w:rsid w:val="00783AA5"/>
    <w:rsid w:val="00783B03"/>
    <w:rsid w:val="00783CA7"/>
    <w:rsid w:val="00783CBB"/>
    <w:rsid w:val="00783E0D"/>
    <w:rsid w:val="00783E82"/>
    <w:rsid w:val="00783F0E"/>
    <w:rsid w:val="007841CB"/>
    <w:rsid w:val="00784286"/>
    <w:rsid w:val="00784496"/>
    <w:rsid w:val="007844BD"/>
    <w:rsid w:val="007845BD"/>
    <w:rsid w:val="00784742"/>
    <w:rsid w:val="007848EB"/>
    <w:rsid w:val="00784971"/>
    <w:rsid w:val="00784A1D"/>
    <w:rsid w:val="00784E39"/>
    <w:rsid w:val="0078503F"/>
    <w:rsid w:val="007851B0"/>
    <w:rsid w:val="0078527E"/>
    <w:rsid w:val="00785358"/>
    <w:rsid w:val="00785378"/>
    <w:rsid w:val="007853DB"/>
    <w:rsid w:val="007854D2"/>
    <w:rsid w:val="007854FA"/>
    <w:rsid w:val="0078554A"/>
    <w:rsid w:val="007855DF"/>
    <w:rsid w:val="0078560F"/>
    <w:rsid w:val="007856A2"/>
    <w:rsid w:val="0078578F"/>
    <w:rsid w:val="0078579F"/>
    <w:rsid w:val="007859CB"/>
    <w:rsid w:val="00785AF0"/>
    <w:rsid w:val="00785BC0"/>
    <w:rsid w:val="00785BC9"/>
    <w:rsid w:val="00785CC5"/>
    <w:rsid w:val="00785D40"/>
    <w:rsid w:val="00785D42"/>
    <w:rsid w:val="00785DD5"/>
    <w:rsid w:val="00785E3E"/>
    <w:rsid w:val="00785F37"/>
    <w:rsid w:val="00785FCA"/>
    <w:rsid w:val="0078601C"/>
    <w:rsid w:val="00786021"/>
    <w:rsid w:val="00786029"/>
    <w:rsid w:val="0078628A"/>
    <w:rsid w:val="0078631F"/>
    <w:rsid w:val="00786362"/>
    <w:rsid w:val="00786429"/>
    <w:rsid w:val="0078643B"/>
    <w:rsid w:val="00786454"/>
    <w:rsid w:val="007865B6"/>
    <w:rsid w:val="007865CE"/>
    <w:rsid w:val="007866D1"/>
    <w:rsid w:val="0078672D"/>
    <w:rsid w:val="00786A74"/>
    <w:rsid w:val="00786C41"/>
    <w:rsid w:val="00786F99"/>
    <w:rsid w:val="007871F3"/>
    <w:rsid w:val="0078755A"/>
    <w:rsid w:val="00787622"/>
    <w:rsid w:val="007876A1"/>
    <w:rsid w:val="00787824"/>
    <w:rsid w:val="0078782F"/>
    <w:rsid w:val="0078783C"/>
    <w:rsid w:val="007878D6"/>
    <w:rsid w:val="007878FC"/>
    <w:rsid w:val="00787AB6"/>
    <w:rsid w:val="00787D9A"/>
    <w:rsid w:val="00787E20"/>
    <w:rsid w:val="00787E34"/>
    <w:rsid w:val="00787E99"/>
    <w:rsid w:val="00787F40"/>
    <w:rsid w:val="00787FFE"/>
    <w:rsid w:val="0079044B"/>
    <w:rsid w:val="007904CC"/>
    <w:rsid w:val="0079052D"/>
    <w:rsid w:val="007905D6"/>
    <w:rsid w:val="00790807"/>
    <w:rsid w:val="00790886"/>
    <w:rsid w:val="007908C4"/>
    <w:rsid w:val="00790A65"/>
    <w:rsid w:val="00790A96"/>
    <w:rsid w:val="00790BE3"/>
    <w:rsid w:val="00790C9B"/>
    <w:rsid w:val="00790F25"/>
    <w:rsid w:val="00790FC4"/>
    <w:rsid w:val="0079106B"/>
    <w:rsid w:val="0079106C"/>
    <w:rsid w:val="007910DC"/>
    <w:rsid w:val="007910F7"/>
    <w:rsid w:val="007911A3"/>
    <w:rsid w:val="00791270"/>
    <w:rsid w:val="00791325"/>
    <w:rsid w:val="0079149A"/>
    <w:rsid w:val="007914DD"/>
    <w:rsid w:val="007914E2"/>
    <w:rsid w:val="0079157A"/>
    <w:rsid w:val="0079157C"/>
    <w:rsid w:val="00791891"/>
    <w:rsid w:val="007918AB"/>
    <w:rsid w:val="0079196F"/>
    <w:rsid w:val="00791AB0"/>
    <w:rsid w:val="00791B02"/>
    <w:rsid w:val="00791B4D"/>
    <w:rsid w:val="00791D5B"/>
    <w:rsid w:val="00791D67"/>
    <w:rsid w:val="00791EFF"/>
    <w:rsid w:val="00792082"/>
    <w:rsid w:val="00792118"/>
    <w:rsid w:val="0079228B"/>
    <w:rsid w:val="007924B3"/>
    <w:rsid w:val="007924DA"/>
    <w:rsid w:val="0079253E"/>
    <w:rsid w:val="0079261F"/>
    <w:rsid w:val="00792650"/>
    <w:rsid w:val="007926BB"/>
    <w:rsid w:val="00792709"/>
    <w:rsid w:val="007927C6"/>
    <w:rsid w:val="00792800"/>
    <w:rsid w:val="00792969"/>
    <w:rsid w:val="007929B9"/>
    <w:rsid w:val="007929EB"/>
    <w:rsid w:val="00792A6A"/>
    <w:rsid w:val="00792E35"/>
    <w:rsid w:val="00792F75"/>
    <w:rsid w:val="00792FBB"/>
    <w:rsid w:val="00792FE2"/>
    <w:rsid w:val="00793121"/>
    <w:rsid w:val="0079325E"/>
    <w:rsid w:val="00793298"/>
    <w:rsid w:val="007932A8"/>
    <w:rsid w:val="00793436"/>
    <w:rsid w:val="007935B5"/>
    <w:rsid w:val="00793643"/>
    <w:rsid w:val="0079388F"/>
    <w:rsid w:val="00793A61"/>
    <w:rsid w:val="00793AF5"/>
    <w:rsid w:val="00793B34"/>
    <w:rsid w:val="00793BE7"/>
    <w:rsid w:val="00793C18"/>
    <w:rsid w:val="00793D38"/>
    <w:rsid w:val="00793D57"/>
    <w:rsid w:val="00793DF1"/>
    <w:rsid w:val="00793E93"/>
    <w:rsid w:val="00793ECD"/>
    <w:rsid w:val="0079400F"/>
    <w:rsid w:val="00794045"/>
    <w:rsid w:val="0079407D"/>
    <w:rsid w:val="00794090"/>
    <w:rsid w:val="0079413D"/>
    <w:rsid w:val="00794441"/>
    <w:rsid w:val="0079466E"/>
    <w:rsid w:val="007947ED"/>
    <w:rsid w:val="007947F4"/>
    <w:rsid w:val="0079480A"/>
    <w:rsid w:val="00794838"/>
    <w:rsid w:val="00794AE4"/>
    <w:rsid w:val="00794CC8"/>
    <w:rsid w:val="00794CD2"/>
    <w:rsid w:val="00794CF9"/>
    <w:rsid w:val="00794D74"/>
    <w:rsid w:val="00794D9D"/>
    <w:rsid w:val="00794E1D"/>
    <w:rsid w:val="00794EB1"/>
    <w:rsid w:val="00794EBF"/>
    <w:rsid w:val="00794F11"/>
    <w:rsid w:val="00795015"/>
    <w:rsid w:val="007952F5"/>
    <w:rsid w:val="00795328"/>
    <w:rsid w:val="0079542D"/>
    <w:rsid w:val="007954CD"/>
    <w:rsid w:val="007957CE"/>
    <w:rsid w:val="00795A22"/>
    <w:rsid w:val="00795AE2"/>
    <w:rsid w:val="00795CB4"/>
    <w:rsid w:val="00795CE1"/>
    <w:rsid w:val="00795D7A"/>
    <w:rsid w:val="00795E99"/>
    <w:rsid w:val="00796008"/>
    <w:rsid w:val="00796312"/>
    <w:rsid w:val="00796416"/>
    <w:rsid w:val="007965C6"/>
    <w:rsid w:val="0079684E"/>
    <w:rsid w:val="00796941"/>
    <w:rsid w:val="00796BD6"/>
    <w:rsid w:val="00796BF6"/>
    <w:rsid w:val="00796C42"/>
    <w:rsid w:val="00796FEA"/>
    <w:rsid w:val="00797060"/>
    <w:rsid w:val="00797064"/>
    <w:rsid w:val="00797155"/>
    <w:rsid w:val="0079750E"/>
    <w:rsid w:val="00797529"/>
    <w:rsid w:val="00797773"/>
    <w:rsid w:val="0079784A"/>
    <w:rsid w:val="007978C8"/>
    <w:rsid w:val="007979AB"/>
    <w:rsid w:val="007979F6"/>
    <w:rsid w:val="00797AD2"/>
    <w:rsid w:val="00797B04"/>
    <w:rsid w:val="00797B26"/>
    <w:rsid w:val="00797CA0"/>
    <w:rsid w:val="00797CAF"/>
    <w:rsid w:val="00797E6D"/>
    <w:rsid w:val="00797EC5"/>
    <w:rsid w:val="00797EF9"/>
    <w:rsid w:val="00797FA7"/>
    <w:rsid w:val="00797FEA"/>
    <w:rsid w:val="007A00AF"/>
    <w:rsid w:val="007A00CA"/>
    <w:rsid w:val="007A0422"/>
    <w:rsid w:val="007A058F"/>
    <w:rsid w:val="007A069D"/>
    <w:rsid w:val="007A08C0"/>
    <w:rsid w:val="007A09C0"/>
    <w:rsid w:val="007A0B2E"/>
    <w:rsid w:val="007A0E44"/>
    <w:rsid w:val="007A0F86"/>
    <w:rsid w:val="007A1090"/>
    <w:rsid w:val="007A10E4"/>
    <w:rsid w:val="007A11D0"/>
    <w:rsid w:val="007A1326"/>
    <w:rsid w:val="007A1421"/>
    <w:rsid w:val="007A152E"/>
    <w:rsid w:val="007A16BA"/>
    <w:rsid w:val="007A16C0"/>
    <w:rsid w:val="007A190E"/>
    <w:rsid w:val="007A1A50"/>
    <w:rsid w:val="007A1E3C"/>
    <w:rsid w:val="007A1F57"/>
    <w:rsid w:val="007A20C5"/>
    <w:rsid w:val="007A2246"/>
    <w:rsid w:val="007A2267"/>
    <w:rsid w:val="007A22C5"/>
    <w:rsid w:val="007A24A9"/>
    <w:rsid w:val="007A24C0"/>
    <w:rsid w:val="007A269B"/>
    <w:rsid w:val="007A26C6"/>
    <w:rsid w:val="007A285F"/>
    <w:rsid w:val="007A2992"/>
    <w:rsid w:val="007A2BDF"/>
    <w:rsid w:val="007A2CAA"/>
    <w:rsid w:val="007A2CB8"/>
    <w:rsid w:val="007A2D09"/>
    <w:rsid w:val="007A2D78"/>
    <w:rsid w:val="007A2F0E"/>
    <w:rsid w:val="007A322C"/>
    <w:rsid w:val="007A33FE"/>
    <w:rsid w:val="007A3416"/>
    <w:rsid w:val="007A344F"/>
    <w:rsid w:val="007A34B5"/>
    <w:rsid w:val="007A34EB"/>
    <w:rsid w:val="007A3556"/>
    <w:rsid w:val="007A356B"/>
    <w:rsid w:val="007A364C"/>
    <w:rsid w:val="007A367D"/>
    <w:rsid w:val="007A36A2"/>
    <w:rsid w:val="007A3922"/>
    <w:rsid w:val="007A39C5"/>
    <w:rsid w:val="007A39FB"/>
    <w:rsid w:val="007A3D04"/>
    <w:rsid w:val="007A3D48"/>
    <w:rsid w:val="007A3EEE"/>
    <w:rsid w:val="007A3F0E"/>
    <w:rsid w:val="007A3FDD"/>
    <w:rsid w:val="007A412B"/>
    <w:rsid w:val="007A4301"/>
    <w:rsid w:val="007A441D"/>
    <w:rsid w:val="007A442E"/>
    <w:rsid w:val="007A4579"/>
    <w:rsid w:val="007A45B3"/>
    <w:rsid w:val="007A46CA"/>
    <w:rsid w:val="007A4795"/>
    <w:rsid w:val="007A4915"/>
    <w:rsid w:val="007A4A33"/>
    <w:rsid w:val="007A4ABA"/>
    <w:rsid w:val="007A4D35"/>
    <w:rsid w:val="007A4E19"/>
    <w:rsid w:val="007A4F32"/>
    <w:rsid w:val="007A4FA2"/>
    <w:rsid w:val="007A500B"/>
    <w:rsid w:val="007A5086"/>
    <w:rsid w:val="007A51A3"/>
    <w:rsid w:val="007A5260"/>
    <w:rsid w:val="007A55D0"/>
    <w:rsid w:val="007A55D8"/>
    <w:rsid w:val="007A566A"/>
    <w:rsid w:val="007A571A"/>
    <w:rsid w:val="007A5721"/>
    <w:rsid w:val="007A57A6"/>
    <w:rsid w:val="007A57B6"/>
    <w:rsid w:val="007A5803"/>
    <w:rsid w:val="007A599C"/>
    <w:rsid w:val="007A5A0E"/>
    <w:rsid w:val="007A5A2B"/>
    <w:rsid w:val="007A5BC9"/>
    <w:rsid w:val="007A5BEC"/>
    <w:rsid w:val="007A5C61"/>
    <w:rsid w:val="007A5CA2"/>
    <w:rsid w:val="007A5EBC"/>
    <w:rsid w:val="007A6340"/>
    <w:rsid w:val="007A6441"/>
    <w:rsid w:val="007A65B1"/>
    <w:rsid w:val="007A66C0"/>
    <w:rsid w:val="007A675F"/>
    <w:rsid w:val="007A67CA"/>
    <w:rsid w:val="007A67F0"/>
    <w:rsid w:val="007A6A44"/>
    <w:rsid w:val="007A6A74"/>
    <w:rsid w:val="007A6B26"/>
    <w:rsid w:val="007A6C1F"/>
    <w:rsid w:val="007A6C5F"/>
    <w:rsid w:val="007A6E30"/>
    <w:rsid w:val="007A6E80"/>
    <w:rsid w:val="007A7050"/>
    <w:rsid w:val="007A7394"/>
    <w:rsid w:val="007A73DF"/>
    <w:rsid w:val="007A780B"/>
    <w:rsid w:val="007A7884"/>
    <w:rsid w:val="007A799B"/>
    <w:rsid w:val="007A7A38"/>
    <w:rsid w:val="007A7AF8"/>
    <w:rsid w:val="007A7D40"/>
    <w:rsid w:val="007B0007"/>
    <w:rsid w:val="007B00FC"/>
    <w:rsid w:val="007B0194"/>
    <w:rsid w:val="007B0374"/>
    <w:rsid w:val="007B0488"/>
    <w:rsid w:val="007B049C"/>
    <w:rsid w:val="007B04DD"/>
    <w:rsid w:val="007B050B"/>
    <w:rsid w:val="007B0610"/>
    <w:rsid w:val="007B0689"/>
    <w:rsid w:val="007B069F"/>
    <w:rsid w:val="007B0741"/>
    <w:rsid w:val="007B0807"/>
    <w:rsid w:val="007B0D81"/>
    <w:rsid w:val="007B0D8B"/>
    <w:rsid w:val="007B0E7C"/>
    <w:rsid w:val="007B0E9E"/>
    <w:rsid w:val="007B0F2D"/>
    <w:rsid w:val="007B10B3"/>
    <w:rsid w:val="007B118D"/>
    <w:rsid w:val="007B11EF"/>
    <w:rsid w:val="007B147C"/>
    <w:rsid w:val="007B1556"/>
    <w:rsid w:val="007B165D"/>
    <w:rsid w:val="007B18BC"/>
    <w:rsid w:val="007B1929"/>
    <w:rsid w:val="007B192A"/>
    <w:rsid w:val="007B1955"/>
    <w:rsid w:val="007B1B6E"/>
    <w:rsid w:val="007B1B76"/>
    <w:rsid w:val="007B1B7F"/>
    <w:rsid w:val="007B1E0F"/>
    <w:rsid w:val="007B1EE4"/>
    <w:rsid w:val="007B1F9C"/>
    <w:rsid w:val="007B2032"/>
    <w:rsid w:val="007B20ED"/>
    <w:rsid w:val="007B2114"/>
    <w:rsid w:val="007B213A"/>
    <w:rsid w:val="007B227A"/>
    <w:rsid w:val="007B22D2"/>
    <w:rsid w:val="007B2317"/>
    <w:rsid w:val="007B23B1"/>
    <w:rsid w:val="007B23BA"/>
    <w:rsid w:val="007B24BE"/>
    <w:rsid w:val="007B2575"/>
    <w:rsid w:val="007B2714"/>
    <w:rsid w:val="007B2825"/>
    <w:rsid w:val="007B284B"/>
    <w:rsid w:val="007B2870"/>
    <w:rsid w:val="007B2A19"/>
    <w:rsid w:val="007B2C12"/>
    <w:rsid w:val="007B2E2D"/>
    <w:rsid w:val="007B2F3F"/>
    <w:rsid w:val="007B3101"/>
    <w:rsid w:val="007B31BA"/>
    <w:rsid w:val="007B3225"/>
    <w:rsid w:val="007B3244"/>
    <w:rsid w:val="007B32B0"/>
    <w:rsid w:val="007B3409"/>
    <w:rsid w:val="007B3546"/>
    <w:rsid w:val="007B3860"/>
    <w:rsid w:val="007B39B4"/>
    <w:rsid w:val="007B3A56"/>
    <w:rsid w:val="007B3ABD"/>
    <w:rsid w:val="007B3B93"/>
    <w:rsid w:val="007B3C35"/>
    <w:rsid w:val="007B3D4A"/>
    <w:rsid w:val="007B3D5E"/>
    <w:rsid w:val="007B3F99"/>
    <w:rsid w:val="007B4025"/>
    <w:rsid w:val="007B4052"/>
    <w:rsid w:val="007B4166"/>
    <w:rsid w:val="007B4213"/>
    <w:rsid w:val="007B433D"/>
    <w:rsid w:val="007B43B5"/>
    <w:rsid w:val="007B449F"/>
    <w:rsid w:val="007B46CC"/>
    <w:rsid w:val="007B4757"/>
    <w:rsid w:val="007B48F0"/>
    <w:rsid w:val="007B4A05"/>
    <w:rsid w:val="007B4AA5"/>
    <w:rsid w:val="007B4EC9"/>
    <w:rsid w:val="007B4F35"/>
    <w:rsid w:val="007B4F79"/>
    <w:rsid w:val="007B4FBD"/>
    <w:rsid w:val="007B5063"/>
    <w:rsid w:val="007B51E7"/>
    <w:rsid w:val="007B528F"/>
    <w:rsid w:val="007B547B"/>
    <w:rsid w:val="007B55D6"/>
    <w:rsid w:val="007B5683"/>
    <w:rsid w:val="007B576E"/>
    <w:rsid w:val="007B584B"/>
    <w:rsid w:val="007B5986"/>
    <w:rsid w:val="007B5BDE"/>
    <w:rsid w:val="007B5DCC"/>
    <w:rsid w:val="007B5EB1"/>
    <w:rsid w:val="007B5FBC"/>
    <w:rsid w:val="007B5FE2"/>
    <w:rsid w:val="007B6337"/>
    <w:rsid w:val="007B65FE"/>
    <w:rsid w:val="007B665D"/>
    <w:rsid w:val="007B67EA"/>
    <w:rsid w:val="007B680C"/>
    <w:rsid w:val="007B68F8"/>
    <w:rsid w:val="007B6A98"/>
    <w:rsid w:val="007B6CD2"/>
    <w:rsid w:val="007B6D07"/>
    <w:rsid w:val="007B6E90"/>
    <w:rsid w:val="007B6ED9"/>
    <w:rsid w:val="007B7035"/>
    <w:rsid w:val="007B718B"/>
    <w:rsid w:val="007B71F4"/>
    <w:rsid w:val="007B74BC"/>
    <w:rsid w:val="007B74DD"/>
    <w:rsid w:val="007B7600"/>
    <w:rsid w:val="007B76DA"/>
    <w:rsid w:val="007B770F"/>
    <w:rsid w:val="007B7781"/>
    <w:rsid w:val="007B77E1"/>
    <w:rsid w:val="007B78F0"/>
    <w:rsid w:val="007B795B"/>
    <w:rsid w:val="007B79CE"/>
    <w:rsid w:val="007B7A49"/>
    <w:rsid w:val="007B7B73"/>
    <w:rsid w:val="007B7D1D"/>
    <w:rsid w:val="007B7D34"/>
    <w:rsid w:val="007B7E8E"/>
    <w:rsid w:val="007B7F60"/>
    <w:rsid w:val="007B7FAF"/>
    <w:rsid w:val="007C0024"/>
    <w:rsid w:val="007C009A"/>
    <w:rsid w:val="007C01ED"/>
    <w:rsid w:val="007C0217"/>
    <w:rsid w:val="007C0333"/>
    <w:rsid w:val="007C04EA"/>
    <w:rsid w:val="007C0544"/>
    <w:rsid w:val="007C0752"/>
    <w:rsid w:val="007C0841"/>
    <w:rsid w:val="007C084E"/>
    <w:rsid w:val="007C0A29"/>
    <w:rsid w:val="007C0A8D"/>
    <w:rsid w:val="007C0B88"/>
    <w:rsid w:val="007C0E09"/>
    <w:rsid w:val="007C0E10"/>
    <w:rsid w:val="007C109D"/>
    <w:rsid w:val="007C1349"/>
    <w:rsid w:val="007C134D"/>
    <w:rsid w:val="007C1373"/>
    <w:rsid w:val="007C13FC"/>
    <w:rsid w:val="007C1653"/>
    <w:rsid w:val="007C167A"/>
    <w:rsid w:val="007C1703"/>
    <w:rsid w:val="007C18D2"/>
    <w:rsid w:val="007C1B1E"/>
    <w:rsid w:val="007C1B9F"/>
    <w:rsid w:val="007C1CCF"/>
    <w:rsid w:val="007C1E7A"/>
    <w:rsid w:val="007C1F0B"/>
    <w:rsid w:val="007C1FBB"/>
    <w:rsid w:val="007C20C7"/>
    <w:rsid w:val="007C240A"/>
    <w:rsid w:val="007C2584"/>
    <w:rsid w:val="007C25CB"/>
    <w:rsid w:val="007C25D7"/>
    <w:rsid w:val="007C261F"/>
    <w:rsid w:val="007C2643"/>
    <w:rsid w:val="007C286C"/>
    <w:rsid w:val="007C2926"/>
    <w:rsid w:val="007C2982"/>
    <w:rsid w:val="007C299B"/>
    <w:rsid w:val="007C2A17"/>
    <w:rsid w:val="007C2A7A"/>
    <w:rsid w:val="007C2EE4"/>
    <w:rsid w:val="007C2F6C"/>
    <w:rsid w:val="007C30D6"/>
    <w:rsid w:val="007C31BA"/>
    <w:rsid w:val="007C31F2"/>
    <w:rsid w:val="007C32A5"/>
    <w:rsid w:val="007C333A"/>
    <w:rsid w:val="007C33CB"/>
    <w:rsid w:val="007C3491"/>
    <w:rsid w:val="007C34C1"/>
    <w:rsid w:val="007C354D"/>
    <w:rsid w:val="007C358A"/>
    <w:rsid w:val="007C35E9"/>
    <w:rsid w:val="007C366D"/>
    <w:rsid w:val="007C36F8"/>
    <w:rsid w:val="007C3769"/>
    <w:rsid w:val="007C376E"/>
    <w:rsid w:val="007C37C1"/>
    <w:rsid w:val="007C3917"/>
    <w:rsid w:val="007C3AC7"/>
    <w:rsid w:val="007C3B4A"/>
    <w:rsid w:val="007C3BAB"/>
    <w:rsid w:val="007C3BF3"/>
    <w:rsid w:val="007C3C92"/>
    <w:rsid w:val="007C3C9F"/>
    <w:rsid w:val="007C3FD6"/>
    <w:rsid w:val="007C3FFB"/>
    <w:rsid w:val="007C4014"/>
    <w:rsid w:val="007C41D1"/>
    <w:rsid w:val="007C4269"/>
    <w:rsid w:val="007C432C"/>
    <w:rsid w:val="007C4555"/>
    <w:rsid w:val="007C47A1"/>
    <w:rsid w:val="007C47EB"/>
    <w:rsid w:val="007C480E"/>
    <w:rsid w:val="007C4893"/>
    <w:rsid w:val="007C49BF"/>
    <w:rsid w:val="007C4A3F"/>
    <w:rsid w:val="007C4DB1"/>
    <w:rsid w:val="007C500F"/>
    <w:rsid w:val="007C5062"/>
    <w:rsid w:val="007C5069"/>
    <w:rsid w:val="007C51C9"/>
    <w:rsid w:val="007C5207"/>
    <w:rsid w:val="007C5560"/>
    <w:rsid w:val="007C557F"/>
    <w:rsid w:val="007C55B7"/>
    <w:rsid w:val="007C55C2"/>
    <w:rsid w:val="007C56BA"/>
    <w:rsid w:val="007C56C2"/>
    <w:rsid w:val="007C5795"/>
    <w:rsid w:val="007C5849"/>
    <w:rsid w:val="007C5B8F"/>
    <w:rsid w:val="007C5C7B"/>
    <w:rsid w:val="007C5CCC"/>
    <w:rsid w:val="007C5DFC"/>
    <w:rsid w:val="007C5E02"/>
    <w:rsid w:val="007C5EDE"/>
    <w:rsid w:val="007C5F02"/>
    <w:rsid w:val="007C6323"/>
    <w:rsid w:val="007C6358"/>
    <w:rsid w:val="007C64E9"/>
    <w:rsid w:val="007C67DB"/>
    <w:rsid w:val="007C6855"/>
    <w:rsid w:val="007C68FE"/>
    <w:rsid w:val="007C68FF"/>
    <w:rsid w:val="007C6B6C"/>
    <w:rsid w:val="007C6C6C"/>
    <w:rsid w:val="007C6C85"/>
    <w:rsid w:val="007C6FC0"/>
    <w:rsid w:val="007C7072"/>
    <w:rsid w:val="007C719D"/>
    <w:rsid w:val="007C733C"/>
    <w:rsid w:val="007C749A"/>
    <w:rsid w:val="007C767C"/>
    <w:rsid w:val="007C790A"/>
    <w:rsid w:val="007C7914"/>
    <w:rsid w:val="007C7B25"/>
    <w:rsid w:val="007C7BE8"/>
    <w:rsid w:val="007C7CED"/>
    <w:rsid w:val="007CA333"/>
    <w:rsid w:val="007D016B"/>
    <w:rsid w:val="007D019A"/>
    <w:rsid w:val="007D02CD"/>
    <w:rsid w:val="007D0318"/>
    <w:rsid w:val="007D03AD"/>
    <w:rsid w:val="007D03FE"/>
    <w:rsid w:val="007D07C8"/>
    <w:rsid w:val="007D094B"/>
    <w:rsid w:val="007D0AF1"/>
    <w:rsid w:val="007D0C63"/>
    <w:rsid w:val="007D0DC1"/>
    <w:rsid w:val="007D0E03"/>
    <w:rsid w:val="007D0ED9"/>
    <w:rsid w:val="007D0F91"/>
    <w:rsid w:val="007D101E"/>
    <w:rsid w:val="007D12F8"/>
    <w:rsid w:val="007D156B"/>
    <w:rsid w:val="007D162A"/>
    <w:rsid w:val="007D16DF"/>
    <w:rsid w:val="007D1945"/>
    <w:rsid w:val="007D1F29"/>
    <w:rsid w:val="007D1FA7"/>
    <w:rsid w:val="007D1FDA"/>
    <w:rsid w:val="007D20F3"/>
    <w:rsid w:val="007D2128"/>
    <w:rsid w:val="007D21A1"/>
    <w:rsid w:val="007D2493"/>
    <w:rsid w:val="007D25A0"/>
    <w:rsid w:val="007D276C"/>
    <w:rsid w:val="007D2791"/>
    <w:rsid w:val="007D2877"/>
    <w:rsid w:val="007D2912"/>
    <w:rsid w:val="007D2B6B"/>
    <w:rsid w:val="007D2C11"/>
    <w:rsid w:val="007D2D3C"/>
    <w:rsid w:val="007D2E37"/>
    <w:rsid w:val="007D2EA1"/>
    <w:rsid w:val="007D2F3A"/>
    <w:rsid w:val="007D2FAC"/>
    <w:rsid w:val="007D3173"/>
    <w:rsid w:val="007D3197"/>
    <w:rsid w:val="007D32BE"/>
    <w:rsid w:val="007D33E0"/>
    <w:rsid w:val="007D341D"/>
    <w:rsid w:val="007D3D0F"/>
    <w:rsid w:val="007D3EB9"/>
    <w:rsid w:val="007D3EBE"/>
    <w:rsid w:val="007D3F15"/>
    <w:rsid w:val="007D3F40"/>
    <w:rsid w:val="007D3FBC"/>
    <w:rsid w:val="007D4011"/>
    <w:rsid w:val="007D4298"/>
    <w:rsid w:val="007D4355"/>
    <w:rsid w:val="007D4497"/>
    <w:rsid w:val="007D4808"/>
    <w:rsid w:val="007D4A64"/>
    <w:rsid w:val="007D4BE3"/>
    <w:rsid w:val="007D4D2B"/>
    <w:rsid w:val="007D4F01"/>
    <w:rsid w:val="007D5033"/>
    <w:rsid w:val="007D5213"/>
    <w:rsid w:val="007D52FF"/>
    <w:rsid w:val="007D532B"/>
    <w:rsid w:val="007D53AD"/>
    <w:rsid w:val="007D540A"/>
    <w:rsid w:val="007D55BE"/>
    <w:rsid w:val="007D56D9"/>
    <w:rsid w:val="007D57B2"/>
    <w:rsid w:val="007D5A7C"/>
    <w:rsid w:val="007D5DED"/>
    <w:rsid w:val="007D615C"/>
    <w:rsid w:val="007D61D1"/>
    <w:rsid w:val="007D63BE"/>
    <w:rsid w:val="007D642F"/>
    <w:rsid w:val="007D6473"/>
    <w:rsid w:val="007D64DC"/>
    <w:rsid w:val="007D6613"/>
    <w:rsid w:val="007D68D0"/>
    <w:rsid w:val="007D68E6"/>
    <w:rsid w:val="007D6904"/>
    <w:rsid w:val="007D695A"/>
    <w:rsid w:val="007D69BA"/>
    <w:rsid w:val="007D6BC9"/>
    <w:rsid w:val="007D6C50"/>
    <w:rsid w:val="007D6CE0"/>
    <w:rsid w:val="007D6CE8"/>
    <w:rsid w:val="007D6E94"/>
    <w:rsid w:val="007D6F88"/>
    <w:rsid w:val="007D71C9"/>
    <w:rsid w:val="007D73B0"/>
    <w:rsid w:val="007D74EA"/>
    <w:rsid w:val="007D7500"/>
    <w:rsid w:val="007D7567"/>
    <w:rsid w:val="007D75DB"/>
    <w:rsid w:val="007D7627"/>
    <w:rsid w:val="007D7938"/>
    <w:rsid w:val="007D79DB"/>
    <w:rsid w:val="007D7A56"/>
    <w:rsid w:val="007D7B01"/>
    <w:rsid w:val="007D7B40"/>
    <w:rsid w:val="007D7D20"/>
    <w:rsid w:val="007D7D49"/>
    <w:rsid w:val="007D7D5C"/>
    <w:rsid w:val="007D7E3C"/>
    <w:rsid w:val="007D7EC9"/>
    <w:rsid w:val="007D7FD9"/>
    <w:rsid w:val="007E005B"/>
    <w:rsid w:val="007E0170"/>
    <w:rsid w:val="007E018D"/>
    <w:rsid w:val="007E0467"/>
    <w:rsid w:val="007E054C"/>
    <w:rsid w:val="007E0614"/>
    <w:rsid w:val="007E0662"/>
    <w:rsid w:val="007E09A2"/>
    <w:rsid w:val="007E0B52"/>
    <w:rsid w:val="007E0CA7"/>
    <w:rsid w:val="007E0D84"/>
    <w:rsid w:val="007E0E2D"/>
    <w:rsid w:val="007E0E6F"/>
    <w:rsid w:val="007E0F39"/>
    <w:rsid w:val="007E0F53"/>
    <w:rsid w:val="007E0FD8"/>
    <w:rsid w:val="007E1069"/>
    <w:rsid w:val="007E1137"/>
    <w:rsid w:val="007E1197"/>
    <w:rsid w:val="007E124B"/>
    <w:rsid w:val="007E1336"/>
    <w:rsid w:val="007E138D"/>
    <w:rsid w:val="007E13C1"/>
    <w:rsid w:val="007E1489"/>
    <w:rsid w:val="007E1542"/>
    <w:rsid w:val="007E154E"/>
    <w:rsid w:val="007E1595"/>
    <w:rsid w:val="007E16F3"/>
    <w:rsid w:val="007E1791"/>
    <w:rsid w:val="007E199C"/>
    <w:rsid w:val="007E19AE"/>
    <w:rsid w:val="007E19B3"/>
    <w:rsid w:val="007E1A47"/>
    <w:rsid w:val="007E1CC8"/>
    <w:rsid w:val="007E1D77"/>
    <w:rsid w:val="007E1E87"/>
    <w:rsid w:val="007E1EAB"/>
    <w:rsid w:val="007E1F27"/>
    <w:rsid w:val="007E1FEB"/>
    <w:rsid w:val="007E2292"/>
    <w:rsid w:val="007E28FE"/>
    <w:rsid w:val="007E2AA9"/>
    <w:rsid w:val="007E2B22"/>
    <w:rsid w:val="007E2CDF"/>
    <w:rsid w:val="007E2E6B"/>
    <w:rsid w:val="007E2FBE"/>
    <w:rsid w:val="007E2FE1"/>
    <w:rsid w:val="007E31EE"/>
    <w:rsid w:val="007E32FD"/>
    <w:rsid w:val="007E3606"/>
    <w:rsid w:val="007E37F7"/>
    <w:rsid w:val="007E3A89"/>
    <w:rsid w:val="007E3B5C"/>
    <w:rsid w:val="007E3B99"/>
    <w:rsid w:val="007E3BA0"/>
    <w:rsid w:val="007E3E04"/>
    <w:rsid w:val="007E3EAF"/>
    <w:rsid w:val="007E41F3"/>
    <w:rsid w:val="007E4293"/>
    <w:rsid w:val="007E42C6"/>
    <w:rsid w:val="007E42E7"/>
    <w:rsid w:val="007E4538"/>
    <w:rsid w:val="007E463C"/>
    <w:rsid w:val="007E47BD"/>
    <w:rsid w:val="007E49DC"/>
    <w:rsid w:val="007E4A03"/>
    <w:rsid w:val="007E4B32"/>
    <w:rsid w:val="007E4BDF"/>
    <w:rsid w:val="007E4E23"/>
    <w:rsid w:val="007E4E7A"/>
    <w:rsid w:val="007E4EAD"/>
    <w:rsid w:val="007E4ECB"/>
    <w:rsid w:val="007E5041"/>
    <w:rsid w:val="007E50A4"/>
    <w:rsid w:val="007E50DF"/>
    <w:rsid w:val="007E511A"/>
    <w:rsid w:val="007E5273"/>
    <w:rsid w:val="007E5449"/>
    <w:rsid w:val="007E5496"/>
    <w:rsid w:val="007E552B"/>
    <w:rsid w:val="007E56B9"/>
    <w:rsid w:val="007E56DE"/>
    <w:rsid w:val="007E5A87"/>
    <w:rsid w:val="007E5B12"/>
    <w:rsid w:val="007E5B4C"/>
    <w:rsid w:val="007E5C61"/>
    <w:rsid w:val="007E5C8C"/>
    <w:rsid w:val="007E5D1C"/>
    <w:rsid w:val="007E5DE3"/>
    <w:rsid w:val="007E6018"/>
    <w:rsid w:val="007E60FC"/>
    <w:rsid w:val="007E61CE"/>
    <w:rsid w:val="007E636E"/>
    <w:rsid w:val="007E6544"/>
    <w:rsid w:val="007E677C"/>
    <w:rsid w:val="007E67AE"/>
    <w:rsid w:val="007E68C6"/>
    <w:rsid w:val="007E693D"/>
    <w:rsid w:val="007E6BB5"/>
    <w:rsid w:val="007E6CB1"/>
    <w:rsid w:val="007E6E14"/>
    <w:rsid w:val="007E7044"/>
    <w:rsid w:val="007E7114"/>
    <w:rsid w:val="007E7163"/>
    <w:rsid w:val="007E721C"/>
    <w:rsid w:val="007E737C"/>
    <w:rsid w:val="007E740A"/>
    <w:rsid w:val="007E75BD"/>
    <w:rsid w:val="007E7830"/>
    <w:rsid w:val="007E78BA"/>
    <w:rsid w:val="007E7A6E"/>
    <w:rsid w:val="007E7BFF"/>
    <w:rsid w:val="007E7D79"/>
    <w:rsid w:val="007E7D98"/>
    <w:rsid w:val="007E7E29"/>
    <w:rsid w:val="007E7FCF"/>
    <w:rsid w:val="007F0056"/>
    <w:rsid w:val="007F00DA"/>
    <w:rsid w:val="007F013A"/>
    <w:rsid w:val="007F0190"/>
    <w:rsid w:val="007F037D"/>
    <w:rsid w:val="007F0392"/>
    <w:rsid w:val="007F069C"/>
    <w:rsid w:val="007F0777"/>
    <w:rsid w:val="007F0833"/>
    <w:rsid w:val="007F08FF"/>
    <w:rsid w:val="007F09C2"/>
    <w:rsid w:val="007F0E06"/>
    <w:rsid w:val="007F0EBC"/>
    <w:rsid w:val="007F0F1F"/>
    <w:rsid w:val="007F0F5C"/>
    <w:rsid w:val="007F0FB3"/>
    <w:rsid w:val="007F1036"/>
    <w:rsid w:val="007F10E8"/>
    <w:rsid w:val="007F1129"/>
    <w:rsid w:val="007F11CB"/>
    <w:rsid w:val="007F11FB"/>
    <w:rsid w:val="007F12BE"/>
    <w:rsid w:val="007F12E8"/>
    <w:rsid w:val="007F13F1"/>
    <w:rsid w:val="007F1690"/>
    <w:rsid w:val="007F181C"/>
    <w:rsid w:val="007F1913"/>
    <w:rsid w:val="007F1B76"/>
    <w:rsid w:val="007F1CA7"/>
    <w:rsid w:val="007F1ED5"/>
    <w:rsid w:val="007F1FC3"/>
    <w:rsid w:val="007F2145"/>
    <w:rsid w:val="007F2327"/>
    <w:rsid w:val="007F2340"/>
    <w:rsid w:val="007F2356"/>
    <w:rsid w:val="007F236C"/>
    <w:rsid w:val="007F2519"/>
    <w:rsid w:val="007F27D1"/>
    <w:rsid w:val="007F27D8"/>
    <w:rsid w:val="007F28E1"/>
    <w:rsid w:val="007F2C9A"/>
    <w:rsid w:val="007F2CCF"/>
    <w:rsid w:val="007F2D23"/>
    <w:rsid w:val="007F2E13"/>
    <w:rsid w:val="007F2F04"/>
    <w:rsid w:val="007F2F5D"/>
    <w:rsid w:val="007F300C"/>
    <w:rsid w:val="007F31EF"/>
    <w:rsid w:val="007F3277"/>
    <w:rsid w:val="007F32F8"/>
    <w:rsid w:val="007F3468"/>
    <w:rsid w:val="007F349D"/>
    <w:rsid w:val="007F34A4"/>
    <w:rsid w:val="007F3506"/>
    <w:rsid w:val="007F3526"/>
    <w:rsid w:val="007F3687"/>
    <w:rsid w:val="007F36C4"/>
    <w:rsid w:val="007F379F"/>
    <w:rsid w:val="007F392F"/>
    <w:rsid w:val="007F3BD6"/>
    <w:rsid w:val="007F3E44"/>
    <w:rsid w:val="007F42A2"/>
    <w:rsid w:val="007F4310"/>
    <w:rsid w:val="007F436C"/>
    <w:rsid w:val="007F4390"/>
    <w:rsid w:val="007F4470"/>
    <w:rsid w:val="007F45ED"/>
    <w:rsid w:val="007F460E"/>
    <w:rsid w:val="007F462A"/>
    <w:rsid w:val="007F4672"/>
    <w:rsid w:val="007F48AA"/>
    <w:rsid w:val="007F49C5"/>
    <w:rsid w:val="007F4A7C"/>
    <w:rsid w:val="007F4C35"/>
    <w:rsid w:val="007F4D5D"/>
    <w:rsid w:val="007F503F"/>
    <w:rsid w:val="007F5160"/>
    <w:rsid w:val="007F526D"/>
    <w:rsid w:val="007F5273"/>
    <w:rsid w:val="007F5376"/>
    <w:rsid w:val="007F539A"/>
    <w:rsid w:val="007F5461"/>
    <w:rsid w:val="007F552B"/>
    <w:rsid w:val="007F5657"/>
    <w:rsid w:val="007F5783"/>
    <w:rsid w:val="007F597D"/>
    <w:rsid w:val="007F59A9"/>
    <w:rsid w:val="007F5A15"/>
    <w:rsid w:val="007F5A4C"/>
    <w:rsid w:val="007F5A85"/>
    <w:rsid w:val="007F5ED3"/>
    <w:rsid w:val="007F5FBB"/>
    <w:rsid w:val="007F609F"/>
    <w:rsid w:val="007F60F3"/>
    <w:rsid w:val="007F614D"/>
    <w:rsid w:val="007F624F"/>
    <w:rsid w:val="007F6283"/>
    <w:rsid w:val="007F629F"/>
    <w:rsid w:val="007F63C8"/>
    <w:rsid w:val="007F65E2"/>
    <w:rsid w:val="007F66E7"/>
    <w:rsid w:val="007F6752"/>
    <w:rsid w:val="007F6822"/>
    <w:rsid w:val="007F682A"/>
    <w:rsid w:val="007F6C0D"/>
    <w:rsid w:val="007F6D27"/>
    <w:rsid w:val="007F6DFD"/>
    <w:rsid w:val="007F6E18"/>
    <w:rsid w:val="007F6E99"/>
    <w:rsid w:val="007F70E4"/>
    <w:rsid w:val="007F711E"/>
    <w:rsid w:val="007F7235"/>
    <w:rsid w:val="007F7393"/>
    <w:rsid w:val="007F73D7"/>
    <w:rsid w:val="007F7552"/>
    <w:rsid w:val="007F7589"/>
    <w:rsid w:val="007F79DD"/>
    <w:rsid w:val="007F7B73"/>
    <w:rsid w:val="007F7D96"/>
    <w:rsid w:val="007F7DF1"/>
    <w:rsid w:val="007F7EC9"/>
    <w:rsid w:val="008000B6"/>
    <w:rsid w:val="008000BF"/>
    <w:rsid w:val="008002DF"/>
    <w:rsid w:val="008003A9"/>
    <w:rsid w:val="008007B1"/>
    <w:rsid w:val="008009A2"/>
    <w:rsid w:val="00800AAF"/>
    <w:rsid w:val="00800E0B"/>
    <w:rsid w:val="00800E5A"/>
    <w:rsid w:val="0080113E"/>
    <w:rsid w:val="0080123B"/>
    <w:rsid w:val="008013F6"/>
    <w:rsid w:val="00801448"/>
    <w:rsid w:val="0080153E"/>
    <w:rsid w:val="0080170C"/>
    <w:rsid w:val="008018B7"/>
    <w:rsid w:val="00801A29"/>
    <w:rsid w:val="00801AD0"/>
    <w:rsid w:val="00801AFE"/>
    <w:rsid w:val="00801C26"/>
    <w:rsid w:val="00801C7F"/>
    <w:rsid w:val="00801C98"/>
    <w:rsid w:val="00801E39"/>
    <w:rsid w:val="00801E86"/>
    <w:rsid w:val="00802145"/>
    <w:rsid w:val="00802188"/>
    <w:rsid w:val="0080222A"/>
    <w:rsid w:val="0080227C"/>
    <w:rsid w:val="008025A5"/>
    <w:rsid w:val="008026B7"/>
    <w:rsid w:val="0080274E"/>
    <w:rsid w:val="00802918"/>
    <w:rsid w:val="008029E9"/>
    <w:rsid w:val="00802AFC"/>
    <w:rsid w:val="00802B4D"/>
    <w:rsid w:val="00802CBF"/>
    <w:rsid w:val="00802EAA"/>
    <w:rsid w:val="00803102"/>
    <w:rsid w:val="0080325A"/>
    <w:rsid w:val="00803274"/>
    <w:rsid w:val="008035E5"/>
    <w:rsid w:val="00803622"/>
    <w:rsid w:val="00803646"/>
    <w:rsid w:val="008036EC"/>
    <w:rsid w:val="00803726"/>
    <w:rsid w:val="0080379E"/>
    <w:rsid w:val="008038F0"/>
    <w:rsid w:val="00803A8D"/>
    <w:rsid w:val="00803AB0"/>
    <w:rsid w:val="00803AB8"/>
    <w:rsid w:val="00803B00"/>
    <w:rsid w:val="00803C05"/>
    <w:rsid w:val="00803C53"/>
    <w:rsid w:val="00803ECD"/>
    <w:rsid w:val="00803F68"/>
    <w:rsid w:val="00803FF9"/>
    <w:rsid w:val="00804149"/>
    <w:rsid w:val="008041CD"/>
    <w:rsid w:val="0080424A"/>
    <w:rsid w:val="0080440D"/>
    <w:rsid w:val="00804541"/>
    <w:rsid w:val="00804643"/>
    <w:rsid w:val="008046A4"/>
    <w:rsid w:val="008046F7"/>
    <w:rsid w:val="008047C4"/>
    <w:rsid w:val="00804800"/>
    <w:rsid w:val="008049CA"/>
    <w:rsid w:val="00804A38"/>
    <w:rsid w:val="00804A91"/>
    <w:rsid w:val="00804D1E"/>
    <w:rsid w:val="00804DFD"/>
    <w:rsid w:val="00804ED9"/>
    <w:rsid w:val="00805017"/>
    <w:rsid w:val="00805407"/>
    <w:rsid w:val="008055B3"/>
    <w:rsid w:val="008055C9"/>
    <w:rsid w:val="008055FF"/>
    <w:rsid w:val="0080560E"/>
    <w:rsid w:val="00805718"/>
    <w:rsid w:val="00805798"/>
    <w:rsid w:val="0080599B"/>
    <w:rsid w:val="008059DB"/>
    <w:rsid w:val="00805B72"/>
    <w:rsid w:val="00805B8E"/>
    <w:rsid w:val="00805BB0"/>
    <w:rsid w:val="00805D61"/>
    <w:rsid w:val="00805DC1"/>
    <w:rsid w:val="00805E5E"/>
    <w:rsid w:val="00805F32"/>
    <w:rsid w:val="00806193"/>
    <w:rsid w:val="00806219"/>
    <w:rsid w:val="008062E2"/>
    <w:rsid w:val="0080658F"/>
    <w:rsid w:val="00806599"/>
    <w:rsid w:val="008066B1"/>
    <w:rsid w:val="008067B1"/>
    <w:rsid w:val="0080684B"/>
    <w:rsid w:val="00806901"/>
    <w:rsid w:val="00806968"/>
    <w:rsid w:val="00806A8D"/>
    <w:rsid w:val="00806B32"/>
    <w:rsid w:val="00806CCD"/>
    <w:rsid w:val="00806D35"/>
    <w:rsid w:val="00806D91"/>
    <w:rsid w:val="00806DB6"/>
    <w:rsid w:val="00807049"/>
    <w:rsid w:val="0080724E"/>
    <w:rsid w:val="008074A2"/>
    <w:rsid w:val="008075A6"/>
    <w:rsid w:val="008076A1"/>
    <w:rsid w:val="00807822"/>
    <w:rsid w:val="0080792D"/>
    <w:rsid w:val="00807A0D"/>
    <w:rsid w:val="00807A53"/>
    <w:rsid w:val="00807B55"/>
    <w:rsid w:val="00807B56"/>
    <w:rsid w:val="00807B80"/>
    <w:rsid w:val="00807F15"/>
    <w:rsid w:val="008101F0"/>
    <w:rsid w:val="0081026B"/>
    <w:rsid w:val="00810310"/>
    <w:rsid w:val="00810525"/>
    <w:rsid w:val="00810615"/>
    <w:rsid w:val="008106A7"/>
    <w:rsid w:val="008106C2"/>
    <w:rsid w:val="008107AF"/>
    <w:rsid w:val="008107BF"/>
    <w:rsid w:val="008107F8"/>
    <w:rsid w:val="00810863"/>
    <w:rsid w:val="00810AF6"/>
    <w:rsid w:val="00810D4B"/>
    <w:rsid w:val="00810FF7"/>
    <w:rsid w:val="008111AF"/>
    <w:rsid w:val="008111CB"/>
    <w:rsid w:val="00811312"/>
    <w:rsid w:val="00811408"/>
    <w:rsid w:val="008115A8"/>
    <w:rsid w:val="008115FE"/>
    <w:rsid w:val="008116B8"/>
    <w:rsid w:val="0081172A"/>
    <w:rsid w:val="00811873"/>
    <w:rsid w:val="0081193B"/>
    <w:rsid w:val="00811AFE"/>
    <w:rsid w:val="00811BDD"/>
    <w:rsid w:val="00811CBD"/>
    <w:rsid w:val="00811F1C"/>
    <w:rsid w:val="0081207A"/>
    <w:rsid w:val="0081210A"/>
    <w:rsid w:val="0081229E"/>
    <w:rsid w:val="008124C3"/>
    <w:rsid w:val="008125EF"/>
    <w:rsid w:val="0081278C"/>
    <w:rsid w:val="00812910"/>
    <w:rsid w:val="0081297D"/>
    <w:rsid w:val="00812AD7"/>
    <w:rsid w:val="00812B38"/>
    <w:rsid w:val="00812B43"/>
    <w:rsid w:val="00812CB1"/>
    <w:rsid w:val="00812CBC"/>
    <w:rsid w:val="00812D3B"/>
    <w:rsid w:val="00812D73"/>
    <w:rsid w:val="00812DB5"/>
    <w:rsid w:val="008130B8"/>
    <w:rsid w:val="0081367A"/>
    <w:rsid w:val="0081367C"/>
    <w:rsid w:val="008136E7"/>
    <w:rsid w:val="00813927"/>
    <w:rsid w:val="00813996"/>
    <w:rsid w:val="00813AA0"/>
    <w:rsid w:val="00813B46"/>
    <w:rsid w:val="00813BD9"/>
    <w:rsid w:val="00813C1F"/>
    <w:rsid w:val="00813E8A"/>
    <w:rsid w:val="00813F3B"/>
    <w:rsid w:val="00813F5B"/>
    <w:rsid w:val="008140B4"/>
    <w:rsid w:val="00814247"/>
    <w:rsid w:val="0081425A"/>
    <w:rsid w:val="008142B6"/>
    <w:rsid w:val="008143B2"/>
    <w:rsid w:val="00814562"/>
    <w:rsid w:val="008145B1"/>
    <w:rsid w:val="00814668"/>
    <w:rsid w:val="008147D6"/>
    <w:rsid w:val="00814941"/>
    <w:rsid w:val="008149DF"/>
    <w:rsid w:val="00814A90"/>
    <w:rsid w:val="00814AC7"/>
    <w:rsid w:val="00814AF4"/>
    <w:rsid w:val="00814B45"/>
    <w:rsid w:val="00814C6F"/>
    <w:rsid w:val="00814CEA"/>
    <w:rsid w:val="00814DA0"/>
    <w:rsid w:val="00814FC6"/>
    <w:rsid w:val="008150D7"/>
    <w:rsid w:val="0081513F"/>
    <w:rsid w:val="008152F8"/>
    <w:rsid w:val="00815559"/>
    <w:rsid w:val="008156A2"/>
    <w:rsid w:val="008156BE"/>
    <w:rsid w:val="00815899"/>
    <w:rsid w:val="008159FC"/>
    <w:rsid w:val="00815A5C"/>
    <w:rsid w:val="00815C49"/>
    <w:rsid w:val="00815CB5"/>
    <w:rsid w:val="00815CC4"/>
    <w:rsid w:val="00815F8C"/>
    <w:rsid w:val="00816029"/>
    <w:rsid w:val="00816072"/>
    <w:rsid w:val="008161C7"/>
    <w:rsid w:val="008164DA"/>
    <w:rsid w:val="008165C0"/>
    <w:rsid w:val="00816870"/>
    <w:rsid w:val="00816A2A"/>
    <w:rsid w:val="00816A89"/>
    <w:rsid w:val="00816AB3"/>
    <w:rsid w:val="00816BFB"/>
    <w:rsid w:val="00816D21"/>
    <w:rsid w:val="00816EEB"/>
    <w:rsid w:val="00816F4A"/>
    <w:rsid w:val="00816FE3"/>
    <w:rsid w:val="00817034"/>
    <w:rsid w:val="008170A9"/>
    <w:rsid w:val="0081743C"/>
    <w:rsid w:val="00817507"/>
    <w:rsid w:val="008175B6"/>
    <w:rsid w:val="008175B8"/>
    <w:rsid w:val="008175D9"/>
    <w:rsid w:val="008178D8"/>
    <w:rsid w:val="00817951"/>
    <w:rsid w:val="00817A50"/>
    <w:rsid w:val="00817B58"/>
    <w:rsid w:val="00817B75"/>
    <w:rsid w:val="00817BEE"/>
    <w:rsid w:val="00817CCC"/>
    <w:rsid w:val="00817D2C"/>
    <w:rsid w:val="00817D83"/>
    <w:rsid w:val="00817DD0"/>
    <w:rsid w:val="00817DE7"/>
    <w:rsid w:val="00817E78"/>
    <w:rsid w:val="00817F53"/>
    <w:rsid w:val="00820086"/>
    <w:rsid w:val="00820197"/>
    <w:rsid w:val="008203B8"/>
    <w:rsid w:val="008203D1"/>
    <w:rsid w:val="00820513"/>
    <w:rsid w:val="0082055B"/>
    <w:rsid w:val="008205A1"/>
    <w:rsid w:val="00820628"/>
    <w:rsid w:val="008206BB"/>
    <w:rsid w:val="00820707"/>
    <w:rsid w:val="0082077B"/>
    <w:rsid w:val="00820845"/>
    <w:rsid w:val="00820AAD"/>
    <w:rsid w:val="00820B3F"/>
    <w:rsid w:val="00820DBC"/>
    <w:rsid w:val="00820DFD"/>
    <w:rsid w:val="00820E99"/>
    <w:rsid w:val="00820EA2"/>
    <w:rsid w:val="00820ED6"/>
    <w:rsid w:val="008210CC"/>
    <w:rsid w:val="008211FC"/>
    <w:rsid w:val="0082135B"/>
    <w:rsid w:val="00821443"/>
    <w:rsid w:val="008214B0"/>
    <w:rsid w:val="008214DF"/>
    <w:rsid w:val="008215F4"/>
    <w:rsid w:val="008215FC"/>
    <w:rsid w:val="008216D4"/>
    <w:rsid w:val="00821833"/>
    <w:rsid w:val="0082197B"/>
    <w:rsid w:val="008219D4"/>
    <w:rsid w:val="008219E1"/>
    <w:rsid w:val="00821B2D"/>
    <w:rsid w:val="00821C24"/>
    <w:rsid w:val="00821C67"/>
    <w:rsid w:val="00821D0F"/>
    <w:rsid w:val="00821EC6"/>
    <w:rsid w:val="00821EEF"/>
    <w:rsid w:val="00822054"/>
    <w:rsid w:val="008221AF"/>
    <w:rsid w:val="0082242D"/>
    <w:rsid w:val="008225E3"/>
    <w:rsid w:val="00822697"/>
    <w:rsid w:val="00822731"/>
    <w:rsid w:val="00822748"/>
    <w:rsid w:val="00822883"/>
    <w:rsid w:val="00822A29"/>
    <w:rsid w:val="00822B9F"/>
    <w:rsid w:val="00822CC7"/>
    <w:rsid w:val="00822E4E"/>
    <w:rsid w:val="00822F02"/>
    <w:rsid w:val="00822FED"/>
    <w:rsid w:val="0082302C"/>
    <w:rsid w:val="0082312E"/>
    <w:rsid w:val="0082335A"/>
    <w:rsid w:val="00823661"/>
    <w:rsid w:val="0082376B"/>
    <w:rsid w:val="00823A01"/>
    <w:rsid w:val="00823A75"/>
    <w:rsid w:val="00823AD5"/>
    <w:rsid w:val="00823B1C"/>
    <w:rsid w:val="00823C0E"/>
    <w:rsid w:val="00823C82"/>
    <w:rsid w:val="00823D79"/>
    <w:rsid w:val="00823E24"/>
    <w:rsid w:val="00823EA2"/>
    <w:rsid w:val="00823FD3"/>
    <w:rsid w:val="008240D0"/>
    <w:rsid w:val="008241DE"/>
    <w:rsid w:val="00824297"/>
    <w:rsid w:val="0082458E"/>
    <w:rsid w:val="0082463B"/>
    <w:rsid w:val="00824811"/>
    <w:rsid w:val="00824A71"/>
    <w:rsid w:val="00824C72"/>
    <w:rsid w:val="00824C7F"/>
    <w:rsid w:val="00824D54"/>
    <w:rsid w:val="00824FAC"/>
    <w:rsid w:val="00825036"/>
    <w:rsid w:val="00825157"/>
    <w:rsid w:val="008252DC"/>
    <w:rsid w:val="00825860"/>
    <w:rsid w:val="00825865"/>
    <w:rsid w:val="00825936"/>
    <w:rsid w:val="00825956"/>
    <w:rsid w:val="00825B4F"/>
    <w:rsid w:val="00825D08"/>
    <w:rsid w:val="00825D0C"/>
    <w:rsid w:val="00825E5C"/>
    <w:rsid w:val="00825E5D"/>
    <w:rsid w:val="00825EE7"/>
    <w:rsid w:val="00826013"/>
    <w:rsid w:val="00826064"/>
    <w:rsid w:val="008260FB"/>
    <w:rsid w:val="00826601"/>
    <w:rsid w:val="00826847"/>
    <w:rsid w:val="00826903"/>
    <w:rsid w:val="00826C23"/>
    <w:rsid w:val="00826C82"/>
    <w:rsid w:val="00826D2F"/>
    <w:rsid w:val="00826E6A"/>
    <w:rsid w:val="00826EBC"/>
    <w:rsid w:val="00826EFC"/>
    <w:rsid w:val="00827018"/>
    <w:rsid w:val="008270AB"/>
    <w:rsid w:val="008270B9"/>
    <w:rsid w:val="00827152"/>
    <w:rsid w:val="00827260"/>
    <w:rsid w:val="00827326"/>
    <w:rsid w:val="00827378"/>
    <w:rsid w:val="00827483"/>
    <w:rsid w:val="008275FC"/>
    <w:rsid w:val="008276A9"/>
    <w:rsid w:val="00827829"/>
    <w:rsid w:val="008278A5"/>
    <w:rsid w:val="00827901"/>
    <w:rsid w:val="00827945"/>
    <w:rsid w:val="00827963"/>
    <w:rsid w:val="00827A31"/>
    <w:rsid w:val="00827CD4"/>
    <w:rsid w:val="00827D5A"/>
    <w:rsid w:val="00827F41"/>
    <w:rsid w:val="00827FCA"/>
    <w:rsid w:val="00830129"/>
    <w:rsid w:val="0083016D"/>
    <w:rsid w:val="008302E4"/>
    <w:rsid w:val="00830335"/>
    <w:rsid w:val="00830353"/>
    <w:rsid w:val="00830431"/>
    <w:rsid w:val="008304B0"/>
    <w:rsid w:val="008304FA"/>
    <w:rsid w:val="008305AD"/>
    <w:rsid w:val="0083071B"/>
    <w:rsid w:val="008307C9"/>
    <w:rsid w:val="00830839"/>
    <w:rsid w:val="0083090F"/>
    <w:rsid w:val="00830AC9"/>
    <w:rsid w:val="00830C08"/>
    <w:rsid w:val="00830C72"/>
    <w:rsid w:val="00830CFB"/>
    <w:rsid w:val="00830DB3"/>
    <w:rsid w:val="00830E3D"/>
    <w:rsid w:val="00830E45"/>
    <w:rsid w:val="008311B7"/>
    <w:rsid w:val="00831482"/>
    <w:rsid w:val="008314C1"/>
    <w:rsid w:val="00831552"/>
    <w:rsid w:val="00831724"/>
    <w:rsid w:val="00831747"/>
    <w:rsid w:val="00831791"/>
    <w:rsid w:val="0083179D"/>
    <w:rsid w:val="00831838"/>
    <w:rsid w:val="008319A3"/>
    <w:rsid w:val="008319FE"/>
    <w:rsid w:val="00831BC7"/>
    <w:rsid w:val="00831BD0"/>
    <w:rsid w:val="00831C04"/>
    <w:rsid w:val="00831C5E"/>
    <w:rsid w:val="00831CDA"/>
    <w:rsid w:val="00832046"/>
    <w:rsid w:val="00832162"/>
    <w:rsid w:val="008323AA"/>
    <w:rsid w:val="008323FE"/>
    <w:rsid w:val="00832587"/>
    <w:rsid w:val="008325C4"/>
    <w:rsid w:val="008328D1"/>
    <w:rsid w:val="00832926"/>
    <w:rsid w:val="00832A3A"/>
    <w:rsid w:val="00832AB1"/>
    <w:rsid w:val="00832B0C"/>
    <w:rsid w:val="00832CD7"/>
    <w:rsid w:val="00832D25"/>
    <w:rsid w:val="00832F2C"/>
    <w:rsid w:val="0083302E"/>
    <w:rsid w:val="00833348"/>
    <w:rsid w:val="0083338D"/>
    <w:rsid w:val="008333FF"/>
    <w:rsid w:val="0083344F"/>
    <w:rsid w:val="00833451"/>
    <w:rsid w:val="008335C3"/>
    <w:rsid w:val="0083364B"/>
    <w:rsid w:val="0083369C"/>
    <w:rsid w:val="00833822"/>
    <w:rsid w:val="0083383F"/>
    <w:rsid w:val="00833ADF"/>
    <w:rsid w:val="00833BF9"/>
    <w:rsid w:val="00833CE3"/>
    <w:rsid w:val="00833E3D"/>
    <w:rsid w:val="00833E8A"/>
    <w:rsid w:val="00833EB0"/>
    <w:rsid w:val="0083404B"/>
    <w:rsid w:val="0083411C"/>
    <w:rsid w:val="008342E6"/>
    <w:rsid w:val="008343F7"/>
    <w:rsid w:val="00834553"/>
    <w:rsid w:val="00834845"/>
    <w:rsid w:val="0083484D"/>
    <w:rsid w:val="00834989"/>
    <w:rsid w:val="00834A02"/>
    <w:rsid w:val="00834E5F"/>
    <w:rsid w:val="00835071"/>
    <w:rsid w:val="00835072"/>
    <w:rsid w:val="008352A6"/>
    <w:rsid w:val="00835433"/>
    <w:rsid w:val="0083549B"/>
    <w:rsid w:val="00835562"/>
    <w:rsid w:val="008358BC"/>
    <w:rsid w:val="008359F5"/>
    <w:rsid w:val="00835A90"/>
    <w:rsid w:val="00835E8B"/>
    <w:rsid w:val="00835F24"/>
    <w:rsid w:val="00836067"/>
    <w:rsid w:val="00836167"/>
    <w:rsid w:val="008364BB"/>
    <w:rsid w:val="008364C5"/>
    <w:rsid w:val="00836591"/>
    <w:rsid w:val="0083682D"/>
    <w:rsid w:val="0083687F"/>
    <w:rsid w:val="0083690C"/>
    <w:rsid w:val="00836A30"/>
    <w:rsid w:val="00836A7A"/>
    <w:rsid w:val="00836A94"/>
    <w:rsid w:val="00836B5B"/>
    <w:rsid w:val="00836B6C"/>
    <w:rsid w:val="00836C8C"/>
    <w:rsid w:val="00836C99"/>
    <w:rsid w:val="00836CA4"/>
    <w:rsid w:val="00836E13"/>
    <w:rsid w:val="00836E26"/>
    <w:rsid w:val="00836F39"/>
    <w:rsid w:val="00836F7F"/>
    <w:rsid w:val="00837207"/>
    <w:rsid w:val="00837359"/>
    <w:rsid w:val="00837512"/>
    <w:rsid w:val="00837621"/>
    <w:rsid w:val="00837759"/>
    <w:rsid w:val="008377F8"/>
    <w:rsid w:val="00837D2F"/>
    <w:rsid w:val="00837D37"/>
    <w:rsid w:val="00837D65"/>
    <w:rsid w:val="00837D70"/>
    <w:rsid w:val="00840162"/>
    <w:rsid w:val="0084022D"/>
    <w:rsid w:val="00840232"/>
    <w:rsid w:val="00840245"/>
    <w:rsid w:val="008403A7"/>
    <w:rsid w:val="008404D3"/>
    <w:rsid w:val="00840667"/>
    <w:rsid w:val="00840827"/>
    <w:rsid w:val="00840ABB"/>
    <w:rsid w:val="00840BCF"/>
    <w:rsid w:val="00840C7A"/>
    <w:rsid w:val="00840D9C"/>
    <w:rsid w:val="00840EA7"/>
    <w:rsid w:val="00840F72"/>
    <w:rsid w:val="0084105F"/>
    <w:rsid w:val="008410B2"/>
    <w:rsid w:val="008410B9"/>
    <w:rsid w:val="008411DB"/>
    <w:rsid w:val="0084123F"/>
    <w:rsid w:val="00841241"/>
    <w:rsid w:val="00841423"/>
    <w:rsid w:val="008414CB"/>
    <w:rsid w:val="008415C9"/>
    <w:rsid w:val="00841787"/>
    <w:rsid w:val="008417CF"/>
    <w:rsid w:val="00841858"/>
    <w:rsid w:val="0084188C"/>
    <w:rsid w:val="00841951"/>
    <w:rsid w:val="00841970"/>
    <w:rsid w:val="00841997"/>
    <w:rsid w:val="00841AB5"/>
    <w:rsid w:val="00841AE0"/>
    <w:rsid w:val="00841AE4"/>
    <w:rsid w:val="00841B6F"/>
    <w:rsid w:val="00841D54"/>
    <w:rsid w:val="0084215C"/>
    <w:rsid w:val="008422FE"/>
    <w:rsid w:val="008426A2"/>
    <w:rsid w:val="0084271D"/>
    <w:rsid w:val="0084288D"/>
    <w:rsid w:val="008428BE"/>
    <w:rsid w:val="00842AB5"/>
    <w:rsid w:val="00842B32"/>
    <w:rsid w:val="00842B99"/>
    <w:rsid w:val="00842BEF"/>
    <w:rsid w:val="00842C64"/>
    <w:rsid w:val="00842C72"/>
    <w:rsid w:val="00842CCE"/>
    <w:rsid w:val="00842CF4"/>
    <w:rsid w:val="00842E77"/>
    <w:rsid w:val="00842F57"/>
    <w:rsid w:val="00842FD6"/>
    <w:rsid w:val="00843023"/>
    <w:rsid w:val="008430E6"/>
    <w:rsid w:val="00843231"/>
    <w:rsid w:val="008432C1"/>
    <w:rsid w:val="00843476"/>
    <w:rsid w:val="0084361E"/>
    <w:rsid w:val="00843675"/>
    <w:rsid w:val="0084372B"/>
    <w:rsid w:val="00843781"/>
    <w:rsid w:val="00843806"/>
    <w:rsid w:val="008438A9"/>
    <w:rsid w:val="00843A09"/>
    <w:rsid w:val="00843AC3"/>
    <w:rsid w:val="00843C30"/>
    <w:rsid w:val="00843CBD"/>
    <w:rsid w:val="00843E3F"/>
    <w:rsid w:val="00843E62"/>
    <w:rsid w:val="00843F20"/>
    <w:rsid w:val="00843FC2"/>
    <w:rsid w:val="00844419"/>
    <w:rsid w:val="008446AE"/>
    <w:rsid w:val="00844886"/>
    <w:rsid w:val="008448AF"/>
    <w:rsid w:val="00844D53"/>
    <w:rsid w:val="00845211"/>
    <w:rsid w:val="0084537D"/>
    <w:rsid w:val="008453E9"/>
    <w:rsid w:val="0084553E"/>
    <w:rsid w:val="0084569D"/>
    <w:rsid w:val="008456D9"/>
    <w:rsid w:val="00845A4B"/>
    <w:rsid w:val="00845A9E"/>
    <w:rsid w:val="00845B18"/>
    <w:rsid w:val="00845BA8"/>
    <w:rsid w:val="00845C72"/>
    <w:rsid w:val="00845E2B"/>
    <w:rsid w:val="00845EFE"/>
    <w:rsid w:val="00845F06"/>
    <w:rsid w:val="00845F81"/>
    <w:rsid w:val="0084603D"/>
    <w:rsid w:val="008460A9"/>
    <w:rsid w:val="0084610D"/>
    <w:rsid w:val="00846204"/>
    <w:rsid w:val="0084623B"/>
    <w:rsid w:val="0084644A"/>
    <w:rsid w:val="00846B53"/>
    <w:rsid w:val="00846B96"/>
    <w:rsid w:val="00846E3D"/>
    <w:rsid w:val="00846E4C"/>
    <w:rsid w:val="00846EB3"/>
    <w:rsid w:val="00846F24"/>
    <w:rsid w:val="008470C2"/>
    <w:rsid w:val="00847108"/>
    <w:rsid w:val="00847174"/>
    <w:rsid w:val="0084727A"/>
    <w:rsid w:val="00847379"/>
    <w:rsid w:val="00847622"/>
    <w:rsid w:val="00847900"/>
    <w:rsid w:val="00847941"/>
    <w:rsid w:val="00847949"/>
    <w:rsid w:val="0084798F"/>
    <w:rsid w:val="008479DF"/>
    <w:rsid w:val="00847A69"/>
    <w:rsid w:val="00847A6F"/>
    <w:rsid w:val="00847BE9"/>
    <w:rsid w:val="00847C16"/>
    <w:rsid w:val="00847D3D"/>
    <w:rsid w:val="00847EC9"/>
    <w:rsid w:val="00847F82"/>
    <w:rsid w:val="00847FD5"/>
    <w:rsid w:val="0085017A"/>
    <w:rsid w:val="008501DD"/>
    <w:rsid w:val="008501FF"/>
    <w:rsid w:val="00850412"/>
    <w:rsid w:val="008504C0"/>
    <w:rsid w:val="0085058D"/>
    <w:rsid w:val="008505DD"/>
    <w:rsid w:val="0085077A"/>
    <w:rsid w:val="0085086A"/>
    <w:rsid w:val="0085094E"/>
    <w:rsid w:val="008509CA"/>
    <w:rsid w:val="008509ED"/>
    <w:rsid w:val="00850D2C"/>
    <w:rsid w:val="00850F52"/>
    <w:rsid w:val="00851031"/>
    <w:rsid w:val="008511A7"/>
    <w:rsid w:val="008511D8"/>
    <w:rsid w:val="008512F4"/>
    <w:rsid w:val="00851320"/>
    <w:rsid w:val="00851550"/>
    <w:rsid w:val="0085167F"/>
    <w:rsid w:val="00851920"/>
    <w:rsid w:val="008519ED"/>
    <w:rsid w:val="00851A01"/>
    <w:rsid w:val="00851CB5"/>
    <w:rsid w:val="00851E34"/>
    <w:rsid w:val="00851E4E"/>
    <w:rsid w:val="00851F27"/>
    <w:rsid w:val="00852232"/>
    <w:rsid w:val="00852316"/>
    <w:rsid w:val="00852373"/>
    <w:rsid w:val="0085250D"/>
    <w:rsid w:val="008525E8"/>
    <w:rsid w:val="00852643"/>
    <w:rsid w:val="00852725"/>
    <w:rsid w:val="00852945"/>
    <w:rsid w:val="00852B6B"/>
    <w:rsid w:val="00852BA1"/>
    <w:rsid w:val="00852BDE"/>
    <w:rsid w:val="00852F7E"/>
    <w:rsid w:val="00852FDB"/>
    <w:rsid w:val="0085309B"/>
    <w:rsid w:val="00853192"/>
    <w:rsid w:val="008534CE"/>
    <w:rsid w:val="008535A5"/>
    <w:rsid w:val="00853814"/>
    <w:rsid w:val="008539B2"/>
    <w:rsid w:val="00853B16"/>
    <w:rsid w:val="00853E07"/>
    <w:rsid w:val="00853F3B"/>
    <w:rsid w:val="00853F63"/>
    <w:rsid w:val="00853FDF"/>
    <w:rsid w:val="008540D8"/>
    <w:rsid w:val="0085427A"/>
    <w:rsid w:val="008542E1"/>
    <w:rsid w:val="00854579"/>
    <w:rsid w:val="0085458D"/>
    <w:rsid w:val="008545E2"/>
    <w:rsid w:val="00854BCC"/>
    <w:rsid w:val="00854C9A"/>
    <w:rsid w:val="00854CD5"/>
    <w:rsid w:val="00854D42"/>
    <w:rsid w:val="00854ECC"/>
    <w:rsid w:val="00854FDE"/>
    <w:rsid w:val="00855351"/>
    <w:rsid w:val="00855405"/>
    <w:rsid w:val="00855642"/>
    <w:rsid w:val="0085573E"/>
    <w:rsid w:val="0085597A"/>
    <w:rsid w:val="00855A6B"/>
    <w:rsid w:val="00855BA2"/>
    <w:rsid w:val="00855BCA"/>
    <w:rsid w:val="00855C0A"/>
    <w:rsid w:val="00855D16"/>
    <w:rsid w:val="00855E44"/>
    <w:rsid w:val="00855E64"/>
    <w:rsid w:val="008561F3"/>
    <w:rsid w:val="00856278"/>
    <w:rsid w:val="008562A1"/>
    <w:rsid w:val="008563E8"/>
    <w:rsid w:val="0085640E"/>
    <w:rsid w:val="00856428"/>
    <w:rsid w:val="0085643B"/>
    <w:rsid w:val="0085645D"/>
    <w:rsid w:val="00856514"/>
    <w:rsid w:val="008565D5"/>
    <w:rsid w:val="00856727"/>
    <w:rsid w:val="0085674B"/>
    <w:rsid w:val="00856BD8"/>
    <w:rsid w:val="00856EDE"/>
    <w:rsid w:val="00856FD0"/>
    <w:rsid w:val="0085701C"/>
    <w:rsid w:val="00857186"/>
    <w:rsid w:val="00857373"/>
    <w:rsid w:val="008574C0"/>
    <w:rsid w:val="0085764A"/>
    <w:rsid w:val="0085779C"/>
    <w:rsid w:val="008578BF"/>
    <w:rsid w:val="0085797A"/>
    <w:rsid w:val="0085798F"/>
    <w:rsid w:val="008579C1"/>
    <w:rsid w:val="008579EB"/>
    <w:rsid w:val="00857B15"/>
    <w:rsid w:val="00857B94"/>
    <w:rsid w:val="00857F21"/>
    <w:rsid w:val="00860071"/>
    <w:rsid w:val="008603B3"/>
    <w:rsid w:val="008603D3"/>
    <w:rsid w:val="00860663"/>
    <w:rsid w:val="0086079C"/>
    <w:rsid w:val="0086083C"/>
    <w:rsid w:val="00860BC3"/>
    <w:rsid w:val="00860C99"/>
    <w:rsid w:val="008610B0"/>
    <w:rsid w:val="008611A3"/>
    <w:rsid w:val="00861205"/>
    <w:rsid w:val="0086125F"/>
    <w:rsid w:val="008612B5"/>
    <w:rsid w:val="008615A0"/>
    <w:rsid w:val="00861695"/>
    <w:rsid w:val="008616CB"/>
    <w:rsid w:val="0086182B"/>
    <w:rsid w:val="008618F1"/>
    <w:rsid w:val="00861916"/>
    <w:rsid w:val="00861A49"/>
    <w:rsid w:val="00861AEE"/>
    <w:rsid w:val="00861BFC"/>
    <w:rsid w:val="00861D5D"/>
    <w:rsid w:val="00861E25"/>
    <w:rsid w:val="00861E59"/>
    <w:rsid w:val="00861E9A"/>
    <w:rsid w:val="00862006"/>
    <w:rsid w:val="00862098"/>
    <w:rsid w:val="00862501"/>
    <w:rsid w:val="00862536"/>
    <w:rsid w:val="008625A2"/>
    <w:rsid w:val="008627A0"/>
    <w:rsid w:val="008627E7"/>
    <w:rsid w:val="0086284D"/>
    <w:rsid w:val="008628CE"/>
    <w:rsid w:val="00862932"/>
    <w:rsid w:val="00862D32"/>
    <w:rsid w:val="00862D56"/>
    <w:rsid w:val="00862D77"/>
    <w:rsid w:val="00862DB9"/>
    <w:rsid w:val="00862DC0"/>
    <w:rsid w:val="00862EB6"/>
    <w:rsid w:val="00863193"/>
    <w:rsid w:val="00863210"/>
    <w:rsid w:val="008632C5"/>
    <w:rsid w:val="008634D0"/>
    <w:rsid w:val="008634F4"/>
    <w:rsid w:val="00863634"/>
    <w:rsid w:val="00863651"/>
    <w:rsid w:val="0086369A"/>
    <w:rsid w:val="008637FC"/>
    <w:rsid w:val="0086386D"/>
    <w:rsid w:val="00863D4E"/>
    <w:rsid w:val="00863EA6"/>
    <w:rsid w:val="00863F7F"/>
    <w:rsid w:val="008640D7"/>
    <w:rsid w:val="00864101"/>
    <w:rsid w:val="0086417B"/>
    <w:rsid w:val="00864299"/>
    <w:rsid w:val="00864322"/>
    <w:rsid w:val="008643F2"/>
    <w:rsid w:val="00864413"/>
    <w:rsid w:val="008644AD"/>
    <w:rsid w:val="008646FB"/>
    <w:rsid w:val="0086485A"/>
    <w:rsid w:val="00864D1D"/>
    <w:rsid w:val="00864ECE"/>
    <w:rsid w:val="00865035"/>
    <w:rsid w:val="00865120"/>
    <w:rsid w:val="0086515B"/>
    <w:rsid w:val="008652A8"/>
    <w:rsid w:val="00865300"/>
    <w:rsid w:val="00865304"/>
    <w:rsid w:val="0086550B"/>
    <w:rsid w:val="008658E4"/>
    <w:rsid w:val="00865944"/>
    <w:rsid w:val="00865A27"/>
    <w:rsid w:val="00865B77"/>
    <w:rsid w:val="00865BD4"/>
    <w:rsid w:val="00865BFB"/>
    <w:rsid w:val="00865C61"/>
    <w:rsid w:val="00865C95"/>
    <w:rsid w:val="00866041"/>
    <w:rsid w:val="0086617F"/>
    <w:rsid w:val="00866182"/>
    <w:rsid w:val="008661DA"/>
    <w:rsid w:val="00866388"/>
    <w:rsid w:val="00866493"/>
    <w:rsid w:val="008665B8"/>
    <w:rsid w:val="00866657"/>
    <w:rsid w:val="0086668C"/>
    <w:rsid w:val="00866690"/>
    <w:rsid w:val="008668A6"/>
    <w:rsid w:val="008672D4"/>
    <w:rsid w:val="00867305"/>
    <w:rsid w:val="00867313"/>
    <w:rsid w:val="0086744F"/>
    <w:rsid w:val="00867491"/>
    <w:rsid w:val="0086764A"/>
    <w:rsid w:val="00867710"/>
    <w:rsid w:val="0086784D"/>
    <w:rsid w:val="008678EC"/>
    <w:rsid w:val="0086797B"/>
    <w:rsid w:val="00867AE3"/>
    <w:rsid w:val="00867AFA"/>
    <w:rsid w:val="00867B80"/>
    <w:rsid w:val="00867DF9"/>
    <w:rsid w:val="008700C4"/>
    <w:rsid w:val="00870219"/>
    <w:rsid w:val="008703D8"/>
    <w:rsid w:val="00870499"/>
    <w:rsid w:val="00870505"/>
    <w:rsid w:val="00870630"/>
    <w:rsid w:val="00870765"/>
    <w:rsid w:val="00870770"/>
    <w:rsid w:val="00870792"/>
    <w:rsid w:val="008708ED"/>
    <w:rsid w:val="00870901"/>
    <w:rsid w:val="008709FE"/>
    <w:rsid w:val="00870AE0"/>
    <w:rsid w:val="00870B24"/>
    <w:rsid w:val="00870D31"/>
    <w:rsid w:val="00870E06"/>
    <w:rsid w:val="00870EA0"/>
    <w:rsid w:val="00870F24"/>
    <w:rsid w:val="00871083"/>
    <w:rsid w:val="00871161"/>
    <w:rsid w:val="00871271"/>
    <w:rsid w:val="0087140E"/>
    <w:rsid w:val="008715B4"/>
    <w:rsid w:val="00871835"/>
    <w:rsid w:val="00871961"/>
    <w:rsid w:val="00871AC7"/>
    <w:rsid w:val="00871AF9"/>
    <w:rsid w:val="00871C3B"/>
    <w:rsid w:val="00871CFA"/>
    <w:rsid w:val="00871E57"/>
    <w:rsid w:val="0087208F"/>
    <w:rsid w:val="008720CC"/>
    <w:rsid w:val="008720E1"/>
    <w:rsid w:val="00872111"/>
    <w:rsid w:val="00872125"/>
    <w:rsid w:val="008722B8"/>
    <w:rsid w:val="0087241E"/>
    <w:rsid w:val="00872422"/>
    <w:rsid w:val="0087246B"/>
    <w:rsid w:val="00872717"/>
    <w:rsid w:val="00872780"/>
    <w:rsid w:val="008727AB"/>
    <w:rsid w:val="00872963"/>
    <w:rsid w:val="00872AE7"/>
    <w:rsid w:val="00872AF1"/>
    <w:rsid w:val="00872AFF"/>
    <w:rsid w:val="00872F7E"/>
    <w:rsid w:val="00872FC0"/>
    <w:rsid w:val="00872FCF"/>
    <w:rsid w:val="008730EF"/>
    <w:rsid w:val="0087313D"/>
    <w:rsid w:val="00873274"/>
    <w:rsid w:val="0087331D"/>
    <w:rsid w:val="0087343A"/>
    <w:rsid w:val="0087357A"/>
    <w:rsid w:val="0087369F"/>
    <w:rsid w:val="0087374F"/>
    <w:rsid w:val="00873758"/>
    <w:rsid w:val="00873873"/>
    <w:rsid w:val="008738EF"/>
    <w:rsid w:val="00873BF5"/>
    <w:rsid w:val="00873C8F"/>
    <w:rsid w:val="00873CAF"/>
    <w:rsid w:val="00873D2F"/>
    <w:rsid w:val="00873F8B"/>
    <w:rsid w:val="00873F95"/>
    <w:rsid w:val="008742E8"/>
    <w:rsid w:val="008742FA"/>
    <w:rsid w:val="0087443B"/>
    <w:rsid w:val="008748B5"/>
    <w:rsid w:val="008748C8"/>
    <w:rsid w:val="008748DB"/>
    <w:rsid w:val="00874939"/>
    <w:rsid w:val="008749D9"/>
    <w:rsid w:val="00874A0D"/>
    <w:rsid w:val="00874A7B"/>
    <w:rsid w:val="00874AE8"/>
    <w:rsid w:val="00874AEE"/>
    <w:rsid w:val="00874BD0"/>
    <w:rsid w:val="00874F65"/>
    <w:rsid w:val="00874FB7"/>
    <w:rsid w:val="00874FFC"/>
    <w:rsid w:val="00875082"/>
    <w:rsid w:val="008750B4"/>
    <w:rsid w:val="0087511E"/>
    <w:rsid w:val="0087513E"/>
    <w:rsid w:val="0087538B"/>
    <w:rsid w:val="0087551A"/>
    <w:rsid w:val="008758C0"/>
    <w:rsid w:val="008758EB"/>
    <w:rsid w:val="00875AB1"/>
    <w:rsid w:val="00875C28"/>
    <w:rsid w:val="00875C2A"/>
    <w:rsid w:val="00875C76"/>
    <w:rsid w:val="00875EC4"/>
    <w:rsid w:val="00875F73"/>
    <w:rsid w:val="00875F76"/>
    <w:rsid w:val="008761B0"/>
    <w:rsid w:val="008764FF"/>
    <w:rsid w:val="0087664F"/>
    <w:rsid w:val="008766EF"/>
    <w:rsid w:val="0087684F"/>
    <w:rsid w:val="008769BD"/>
    <w:rsid w:val="008769F2"/>
    <w:rsid w:val="00876A87"/>
    <w:rsid w:val="00876AAD"/>
    <w:rsid w:val="00876AE2"/>
    <w:rsid w:val="00876B00"/>
    <w:rsid w:val="00876C43"/>
    <w:rsid w:val="00876D06"/>
    <w:rsid w:val="00876F9F"/>
    <w:rsid w:val="00877050"/>
    <w:rsid w:val="008771D0"/>
    <w:rsid w:val="008775CB"/>
    <w:rsid w:val="00877626"/>
    <w:rsid w:val="0087769F"/>
    <w:rsid w:val="008777EE"/>
    <w:rsid w:val="008778FF"/>
    <w:rsid w:val="00877946"/>
    <w:rsid w:val="00877981"/>
    <w:rsid w:val="00877A48"/>
    <w:rsid w:val="00877AB4"/>
    <w:rsid w:val="00877BFC"/>
    <w:rsid w:val="00877C50"/>
    <w:rsid w:val="00877EA4"/>
    <w:rsid w:val="00877F3D"/>
    <w:rsid w:val="00880196"/>
    <w:rsid w:val="00880280"/>
    <w:rsid w:val="00880371"/>
    <w:rsid w:val="008806CA"/>
    <w:rsid w:val="008806F2"/>
    <w:rsid w:val="0088072D"/>
    <w:rsid w:val="00880845"/>
    <w:rsid w:val="00880C8A"/>
    <w:rsid w:val="00880E62"/>
    <w:rsid w:val="00880EA0"/>
    <w:rsid w:val="00880ECF"/>
    <w:rsid w:val="00880ED8"/>
    <w:rsid w:val="00881107"/>
    <w:rsid w:val="00881127"/>
    <w:rsid w:val="0088123F"/>
    <w:rsid w:val="008812A5"/>
    <w:rsid w:val="00881466"/>
    <w:rsid w:val="0088155A"/>
    <w:rsid w:val="00881658"/>
    <w:rsid w:val="00881845"/>
    <w:rsid w:val="008818F9"/>
    <w:rsid w:val="00881AF5"/>
    <w:rsid w:val="00881B98"/>
    <w:rsid w:val="00881BAB"/>
    <w:rsid w:val="00881DCD"/>
    <w:rsid w:val="00881E5F"/>
    <w:rsid w:val="00881ED0"/>
    <w:rsid w:val="0088206B"/>
    <w:rsid w:val="00882108"/>
    <w:rsid w:val="00882311"/>
    <w:rsid w:val="00882464"/>
    <w:rsid w:val="00882A32"/>
    <w:rsid w:val="00882BBB"/>
    <w:rsid w:val="00882BCA"/>
    <w:rsid w:val="00882C22"/>
    <w:rsid w:val="00882D0C"/>
    <w:rsid w:val="00882E56"/>
    <w:rsid w:val="00882EF7"/>
    <w:rsid w:val="00882F9F"/>
    <w:rsid w:val="00883003"/>
    <w:rsid w:val="008830E0"/>
    <w:rsid w:val="0088329A"/>
    <w:rsid w:val="0088337F"/>
    <w:rsid w:val="00883896"/>
    <w:rsid w:val="00883936"/>
    <w:rsid w:val="00883965"/>
    <w:rsid w:val="00883A6F"/>
    <w:rsid w:val="00883AD0"/>
    <w:rsid w:val="00883C41"/>
    <w:rsid w:val="00883DE1"/>
    <w:rsid w:val="00883F62"/>
    <w:rsid w:val="008840C3"/>
    <w:rsid w:val="0088427A"/>
    <w:rsid w:val="008846EB"/>
    <w:rsid w:val="008847A3"/>
    <w:rsid w:val="008847E2"/>
    <w:rsid w:val="00884989"/>
    <w:rsid w:val="008849DA"/>
    <w:rsid w:val="00884ABD"/>
    <w:rsid w:val="00884B0B"/>
    <w:rsid w:val="00884B8D"/>
    <w:rsid w:val="00884BD2"/>
    <w:rsid w:val="00884C0A"/>
    <w:rsid w:val="00884C62"/>
    <w:rsid w:val="00884DD8"/>
    <w:rsid w:val="00884E81"/>
    <w:rsid w:val="00884EA9"/>
    <w:rsid w:val="00884EDA"/>
    <w:rsid w:val="0088520F"/>
    <w:rsid w:val="008853CC"/>
    <w:rsid w:val="008858FF"/>
    <w:rsid w:val="008859C8"/>
    <w:rsid w:val="008859D6"/>
    <w:rsid w:val="00885AA7"/>
    <w:rsid w:val="00885B5B"/>
    <w:rsid w:val="00885D4D"/>
    <w:rsid w:val="00885D68"/>
    <w:rsid w:val="00885E0E"/>
    <w:rsid w:val="00885E92"/>
    <w:rsid w:val="00885E96"/>
    <w:rsid w:val="00885F16"/>
    <w:rsid w:val="00885FF9"/>
    <w:rsid w:val="00886135"/>
    <w:rsid w:val="00886145"/>
    <w:rsid w:val="00886276"/>
    <w:rsid w:val="0088640E"/>
    <w:rsid w:val="0088641F"/>
    <w:rsid w:val="008864F0"/>
    <w:rsid w:val="008865FD"/>
    <w:rsid w:val="0088661A"/>
    <w:rsid w:val="00886644"/>
    <w:rsid w:val="00886762"/>
    <w:rsid w:val="0088677C"/>
    <w:rsid w:val="008867BE"/>
    <w:rsid w:val="008867D2"/>
    <w:rsid w:val="00886DCA"/>
    <w:rsid w:val="00886FCF"/>
    <w:rsid w:val="00886FF8"/>
    <w:rsid w:val="00887019"/>
    <w:rsid w:val="008870BE"/>
    <w:rsid w:val="008870C6"/>
    <w:rsid w:val="00887101"/>
    <w:rsid w:val="008871E4"/>
    <w:rsid w:val="00887263"/>
    <w:rsid w:val="00887299"/>
    <w:rsid w:val="00887396"/>
    <w:rsid w:val="008873AD"/>
    <w:rsid w:val="008873CB"/>
    <w:rsid w:val="008875D6"/>
    <w:rsid w:val="0088779C"/>
    <w:rsid w:val="008877F4"/>
    <w:rsid w:val="00887817"/>
    <w:rsid w:val="0088786A"/>
    <w:rsid w:val="00887883"/>
    <w:rsid w:val="00887900"/>
    <w:rsid w:val="008879D2"/>
    <w:rsid w:val="00887A87"/>
    <w:rsid w:val="00887CA9"/>
    <w:rsid w:val="00887CEB"/>
    <w:rsid w:val="00887D5F"/>
    <w:rsid w:val="00887D70"/>
    <w:rsid w:val="00887E59"/>
    <w:rsid w:val="00887E7D"/>
    <w:rsid w:val="00887EA8"/>
    <w:rsid w:val="00890197"/>
    <w:rsid w:val="00890215"/>
    <w:rsid w:val="008903D2"/>
    <w:rsid w:val="00890551"/>
    <w:rsid w:val="00890672"/>
    <w:rsid w:val="00890823"/>
    <w:rsid w:val="008908E7"/>
    <w:rsid w:val="00890A7B"/>
    <w:rsid w:val="00890B24"/>
    <w:rsid w:val="00890C49"/>
    <w:rsid w:val="00890E29"/>
    <w:rsid w:val="00890F87"/>
    <w:rsid w:val="0089113A"/>
    <w:rsid w:val="00891164"/>
    <w:rsid w:val="0089122A"/>
    <w:rsid w:val="0089155A"/>
    <w:rsid w:val="008915BD"/>
    <w:rsid w:val="0089180E"/>
    <w:rsid w:val="00891A07"/>
    <w:rsid w:val="00891AD2"/>
    <w:rsid w:val="00891BB3"/>
    <w:rsid w:val="00891C8C"/>
    <w:rsid w:val="00891F35"/>
    <w:rsid w:val="0089202E"/>
    <w:rsid w:val="0089239B"/>
    <w:rsid w:val="008924D7"/>
    <w:rsid w:val="008926C5"/>
    <w:rsid w:val="008926C8"/>
    <w:rsid w:val="0089270A"/>
    <w:rsid w:val="008928CB"/>
    <w:rsid w:val="008929E3"/>
    <w:rsid w:val="00892C70"/>
    <w:rsid w:val="00892C7C"/>
    <w:rsid w:val="00892FF9"/>
    <w:rsid w:val="00892FFF"/>
    <w:rsid w:val="00893284"/>
    <w:rsid w:val="0089347B"/>
    <w:rsid w:val="0089362C"/>
    <w:rsid w:val="008936AF"/>
    <w:rsid w:val="00893757"/>
    <w:rsid w:val="00893762"/>
    <w:rsid w:val="008937DF"/>
    <w:rsid w:val="00893955"/>
    <w:rsid w:val="008939A9"/>
    <w:rsid w:val="00893AD6"/>
    <w:rsid w:val="00893B0B"/>
    <w:rsid w:val="00893BEC"/>
    <w:rsid w:val="00893C33"/>
    <w:rsid w:val="00893C78"/>
    <w:rsid w:val="00893DE4"/>
    <w:rsid w:val="00893F0B"/>
    <w:rsid w:val="00894069"/>
    <w:rsid w:val="00894106"/>
    <w:rsid w:val="0089414B"/>
    <w:rsid w:val="00894319"/>
    <w:rsid w:val="00894579"/>
    <w:rsid w:val="008945D4"/>
    <w:rsid w:val="008946CE"/>
    <w:rsid w:val="008948D4"/>
    <w:rsid w:val="0089490C"/>
    <w:rsid w:val="00894B67"/>
    <w:rsid w:val="00894B7C"/>
    <w:rsid w:val="00894C24"/>
    <w:rsid w:val="00894E3A"/>
    <w:rsid w:val="00895032"/>
    <w:rsid w:val="008952D0"/>
    <w:rsid w:val="008952E0"/>
    <w:rsid w:val="0089545F"/>
    <w:rsid w:val="008955A5"/>
    <w:rsid w:val="0089570C"/>
    <w:rsid w:val="0089595A"/>
    <w:rsid w:val="00895BA4"/>
    <w:rsid w:val="00895F54"/>
    <w:rsid w:val="00895F5E"/>
    <w:rsid w:val="00895F9F"/>
    <w:rsid w:val="0089602D"/>
    <w:rsid w:val="00896040"/>
    <w:rsid w:val="008961D9"/>
    <w:rsid w:val="00896211"/>
    <w:rsid w:val="00896326"/>
    <w:rsid w:val="008964B1"/>
    <w:rsid w:val="00896650"/>
    <w:rsid w:val="008966CA"/>
    <w:rsid w:val="0089672D"/>
    <w:rsid w:val="00896ABA"/>
    <w:rsid w:val="00896B25"/>
    <w:rsid w:val="00896B6E"/>
    <w:rsid w:val="00896E09"/>
    <w:rsid w:val="00896F5C"/>
    <w:rsid w:val="008976C9"/>
    <w:rsid w:val="008978C0"/>
    <w:rsid w:val="00897A1A"/>
    <w:rsid w:val="00897ABF"/>
    <w:rsid w:val="00897B51"/>
    <w:rsid w:val="00897C87"/>
    <w:rsid w:val="00897CFF"/>
    <w:rsid w:val="00897E74"/>
    <w:rsid w:val="00897EC1"/>
    <w:rsid w:val="00897EC3"/>
    <w:rsid w:val="00897F71"/>
    <w:rsid w:val="008A0014"/>
    <w:rsid w:val="008A0170"/>
    <w:rsid w:val="008A05F9"/>
    <w:rsid w:val="008A0668"/>
    <w:rsid w:val="008A07EF"/>
    <w:rsid w:val="008A0833"/>
    <w:rsid w:val="008A0889"/>
    <w:rsid w:val="008A091D"/>
    <w:rsid w:val="008A0986"/>
    <w:rsid w:val="008A0A36"/>
    <w:rsid w:val="008A0AB3"/>
    <w:rsid w:val="008A0DD1"/>
    <w:rsid w:val="008A0FB6"/>
    <w:rsid w:val="008A0FFD"/>
    <w:rsid w:val="008A1196"/>
    <w:rsid w:val="008A1221"/>
    <w:rsid w:val="008A1498"/>
    <w:rsid w:val="008A14EF"/>
    <w:rsid w:val="008A1518"/>
    <w:rsid w:val="008A15C2"/>
    <w:rsid w:val="008A17B2"/>
    <w:rsid w:val="008A1985"/>
    <w:rsid w:val="008A19D4"/>
    <w:rsid w:val="008A1B0C"/>
    <w:rsid w:val="008A1C7E"/>
    <w:rsid w:val="008A1C8F"/>
    <w:rsid w:val="008A1F48"/>
    <w:rsid w:val="008A2022"/>
    <w:rsid w:val="008A2060"/>
    <w:rsid w:val="008A2176"/>
    <w:rsid w:val="008A228E"/>
    <w:rsid w:val="008A231D"/>
    <w:rsid w:val="008A2375"/>
    <w:rsid w:val="008A23B4"/>
    <w:rsid w:val="008A25D3"/>
    <w:rsid w:val="008A26AB"/>
    <w:rsid w:val="008A29C3"/>
    <w:rsid w:val="008A2A30"/>
    <w:rsid w:val="008A2AD5"/>
    <w:rsid w:val="008A2C61"/>
    <w:rsid w:val="008A2D70"/>
    <w:rsid w:val="008A2E0E"/>
    <w:rsid w:val="008A2E4D"/>
    <w:rsid w:val="008A2E61"/>
    <w:rsid w:val="008A2EA3"/>
    <w:rsid w:val="008A2EED"/>
    <w:rsid w:val="008A30A5"/>
    <w:rsid w:val="008A310B"/>
    <w:rsid w:val="008A314E"/>
    <w:rsid w:val="008A34EA"/>
    <w:rsid w:val="008A371F"/>
    <w:rsid w:val="008A378F"/>
    <w:rsid w:val="008A37EE"/>
    <w:rsid w:val="008A3851"/>
    <w:rsid w:val="008A39D9"/>
    <w:rsid w:val="008A3AF4"/>
    <w:rsid w:val="008A3B02"/>
    <w:rsid w:val="008A3BDA"/>
    <w:rsid w:val="008A3D6E"/>
    <w:rsid w:val="008A3DC6"/>
    <w:rsid w:val="008A3FA3"/>
    <w:rsid w:val="008A4060"/>
    <w:rsid w:val="008A4273"/>
    <w:rsid w:val="008A436B"/>
    <w:rsid w:val="008A4500"/>
    <w:rsid w:val="008A4589"/>
    <w:rsid w:val="008A4611"/>
    <w:rsid w:val="008A4619"/>
    <w:rsid w:val="008A4709"/>
    <w:rsid w:val="008A4888"/>
    <w:rsid w:val="008A488E"/>
    <w:rsid w:val="008A48CE"/>
    <w:rsid w:val="008A498E"/>
    <w:rsid w:val="008A49E4"/>
    <w:rsid w:val="008A4B22"/>
    <w:rsid w:val="008A4B6F"/>
    <w:rsid w:val="008A5095"/>
    <w:rsid w:val="008A514B"/>
    <w:rsid w:val="008A540C"/>
    <w:rsid w:val="008A5429"/>
    <w:rsid w:val="008A553D"/>
    <w:rsid w:val="008A561E"/>
    <w:rsid w:val="008A5635"/>
    <w:rsid w:val="008A5727"/>
    <w:rsid w:val="008A5916"/>
    <w:rsid w:val="008A59B0"/>
    <w:rsid w:val="008A5AB8"/>
    <w:rsid w:val="008A5B1A"/>
    <w:rsid w:val="008A5C75"/>
    <w:rsid w:val="008A5CA4"/>
    <w:rsid w:val="008A5D84"/>
    <w:rsid w:val="008A5E5C"/>
    <w:rsid w:val="008A5E74"/>
    <w:rsid w:val="008A5F56"/>
    <w:rsid w:val="008A6190"/>
    <w:rsid w:val="008A61C0"/>
    <w:rsid w:val="008A6231"/>
    <w:rsid w:val="008A623D"/>
    <w:rsid w:val="008A62AD"/>
    <w:rsid w:val="008A636B"/>
    <w:rsid w:val="008A64FA"/>
    <w:rsid w:val="008A6685"/>
    <w:rsid w:val="008A6884"/>
    <w:rsid w:val="008A6885"/>
    <w:rsid w:val="008A6962"/>
    <w:rsid w:val="008A6983"/>
    <w:rsid w:val="008A6AC5"/>
    <w:rsid w:val="008A6DFD"/>
    <w:rsid w:val="008A6E3A"/>
    <w:rsid w:val="008A6E5A"/>
    <w:rsid w:val="008A6E66"/>
    <w:rsid w:val="008A707F"/>
    <w:rsid w:val="008A70D4"/>
    <w:rsid w:val="008A7512"/>
    <w:rsid w:val="008A754B"/>
    <w:rsid w:val="008A7847"/>
    <w:rsid w:val="008A797F"/>
    <w:rsid w:val="008A7A0E"/>
    <w:rsid w:val="008A7ACC"/>
    <w:rsid w:val="008A7C28"/>
    <w:rsid w:val="008A7D39"/>
    <w:rsid w:val="008A7D40"/>
    <w:rsid w:val="008A7E89"/>
    <w:rsid w:val="008B000F"/>
    <w:rsid w:val="008B00F4"/>
    <w:rsid w:val="008B03D9"/>
    <w:rsid w:val="008B04BD"/>
    <w:rsid w:val="008B05F8"/>
    <w:rsid w:val="008B07E4"/>
    <w:rsid w:val="008B07FC"/>
    <w:rsid w:val="008B0984"/>
    <w:rsid w:val="008B0BAD"/>
    <w:rsid w:val="008B0BED"/>
    <w:rsid w:val="008B0C67"/>
    <w:rsid w:val="008B0C84"/>
    <w:rsid w:val="008B0CE4"/>
    <w:rsid w:val="008B0D69"/>
    <w:rsid w:val="008B0EB6"/>
    <w:rsid w:val="008B0F9F"/>
    <w:rsid w:val="008B10B1"/>
    <w:rsid w:val="008B11CB"/>
    <w:rsid w:val="008B1686"/>
    <w:rsid w:val="008B177A"/>
    <w:rsid w:val="008B191D"/>
    <w:rsid w:val="008B1950"/>
    <w:rsid w:val="008B1A90"/>
    <w:rsid w:val="008B1E73"/>
    <w:rsid w:val="008B1FBA"/>
    <w:rsid w:val="008B2035"/>
    <w:rsid w:val="008B21F5"/>
    <w:rsid w:val="008B2415"/>
    <w:rsid w:val="008B2567"/>
    <w:rsid w:val="008B28A8"/>
    <w:rsid w:val="008B2953"/>
    <w:rsid w:val="008B2BBE"/>
    <w:rsid w:val="008B2D7C"/>
    <w:rsid w:val="008B2F1E"/>
    <w:rsid w:val="008B30F2"/>
    <w:rsid w:val="008B31F4"/>
    <w:rsid w:val="008B32F3"/>
    <w:rsid w:val="008B3436"/>
    <w:rsid w:val="008B3437"/>
    <w:rsid w:val="008B35C8"/>
    <w:rsid w:val="008B3631"/>
    <w:rsid w:val="008B3AC1"/>
    <w:rsid w:val="008B3B1F"/>
    <w:rsid w:val="008B3B2C"/>
    <w:rsid w:val="008B3BD3"/>
    <w:rsid w:val="008B3DEF"/>
    <w:rsid w:val="008B4105"/>
    <w:rsid w:val="008B4203"/>
    <w:rsid w:val="008B428A"/>
    <w:rsid w:val="008B437A"/>
    <w:rsid w:val="008B43A6"/>
    <w:rsid w:val="008B440D"/>
    <w:rsid w:val="008B4468"/>
    <w:rsid w:val="008B4591"/>
    <w:rsid w:val="008B470B"/>
    <w:rsid w:val="008B498B"/>
    <w:rsid w:val="008B4B18"/>
    <w:rsid w:val="008B4C77"/>
    <w:rsid w:val="008B4D5E"/>
    <w:rsid w:val="008B4DAC"/>
    <w:rsid w:val="008B4DB2"/>
    <w:rsid w:val="008B4E5D"/>
    <w:rsid w:val="008B4E61"/>
    <w:rsid w:val="008B4ECB"/>
    <w:rsid w:val="008B5254"/>
    <w:rsid w:val="008B5266"/>
    <w:rsid w:val="008B52C2"/>
    <w:rsid w:val="008B5397"/>
    <w:rsid w:val="008B5531"/>
    <w:rsid w:val="008B5681"/>
    <w:rsid w:val="008B5689"/>
    <w:rsid w:val="008B56CC"/>
    <w:rsid w:val="008B57B5"/>
    <w:rsid w:val="008B587A"/>
    <w:rsid w:val="008B5A1D"/>
    <w:rsid w:val="008B5A75"/>
    <w:rsid w:val="008B5AD6"/>
    <w:rsid w:val="008B5BAE"/>
    <w:rsid w:val="008B5E9F"/>
    <w:rsid w:val="008B5F32"/>
    <w:rsid w:val="008B5FAC"/>
    <w:rsid w:val="008B60DB"/>
    <w:rsid w:val="008B6104"/>
    <w:rsid w:val="008B622F"/>
    <w:rsid w:val="008B62D0"/>
    <w:rsid w:val="008B6516"/>
    <w:rsid w:val="008B6574"/>
    <w:rsid w:val="008B6603"/>
    <w:rsid w:val="008B66B2"/>
    <w:rsid w:val="008B67AA"/>
    <w:rsid w:val="008B67BB"/>
    <w:rsid w:val="008B67BE"/>
    <w:rsid w:val="008B6800"/>
    <w:rsid w:val="008B6821"/>
    <w:rsid w:val="008B6903"/>
    <w:rsid w:val="008B69D4"/>
    <w:rsid w:val="008B6AC0"/>
    <w:rsid w:val="008B6AED"/>
    <w:rsid w:val="008B6F98"/>
    <w:rsid w:val="008B6FDE"/>
    <w:rsid w:val="008B71E6"/>
    <w:rsid w:val="008B71F8"/>
    <w:rsid w:val="008B7245"/>
    <w:rsid w:val="008B72E3"/>
    <w:rsid w:val="008B7315"/>
    <w:rsid w:val="008B76AA"/>
    <w:rsid w:val="008B7725"/>
    <w:rsid w:val="008B7826"/>
    <w:rsid w:val="008B7898"/>
    <w:rsid w:val="008B796E"/>
    <w:rsid w:val="008B7978"/>
    <w:rsid w:val="008B79A5"/>
    <w:rsid w:val="008B7A1C"/>
    <w:rsid w:val="008B7ADB"/>
    <w:rsid w:val="008B7DB1"/>
    <w:rsid w:val="008B7DC4"/>
    <w:rsid w:val="008B7DE2"/>
    <w:rsid w:val="008B7EDE"/>
    <w:rsid w:val="008C0872"/>
    <w:rsid w:val="008C0938"/>
    <w:rsid w:val="008C0A7B"/>
    <w:rsid w:val="008C0DAB"/>
    <w:rsid w:val="008C0DAF"/>
    <w:rsid w:val="008C0F0B"/>
    <w:rsid w:val="008C0FE7"/>
    <w:rsid w:val="008C13EF"/>
    <w:rsid w:val="008C156C"/>
    <w:rsid w:val="008C1590"/>
    <w:rsid w:val="008C1599"/>
    <w:rsid w:val="008C159B"/>
    <w:rsid w:val="008C1767"/>
    <w:rsid w:val="008C17A8"/>
    <w:rsid w:val="008C18CA"/>
    <w:rsid w:val="008C1A4D"/>
    <w:rsid w:val="008C1BEF"/>
    <w:rsid w:val="008C1CA3"/>
    <w:rsid w:val="008C1E5F"/>
    <w:rsid w:val="008C21D8"/>
    <w:rsid w:val="008C21E0"/>
    <w:rsid w:val="008C2356"/>
    <w:rsid w:val="008C26EB"/>
    <w:rsid w:val="008C2822"/>
    <w:rsid w:val="008C29D8"/>
    <w:rsid w:val="008C2B63"/>
    <w:rsid w:val="008C2DAA"/>
    <w:rsid w:val="008C2DEC"/>
    <w:rsid w:val="008C2E23"/>
    <w:rsid w:val="008C2E90"/>
    <w:rsid w:val="008C2ED1"/>
    <w:rsid w:val="008C2F48"/>
    <w:rsid w:val="008C30BE"/>
    <w:rsid w:val="008C3143"/>
    <w:rsid w:val="008C319D"/>
    <w:rsid w:val="008C31F6"/>
    <w:rsid w:val="008C334B"/>
    <w:rsid w:val="008C36C6"/>
    <w:rsid w:val="008C38E0"/>
    <w:rsid w:val="008C39A6"/>
    <w:rsid w:val="008C3B26"/>
    <w:rsid w:val="008C3C7F"/>
    <w:rsid w:val="008C3F8F"/>
    <w:rsid w:val="008C4088"/>
    <w:rsid w:val="008C409D"/>
    <w:rsid w:val="008C4128"/>
    <w:rsid w:val="008C447E"/>
    <w:rsid w:val="008C44D8"/>
    <w:rsid w:val="008C451B"/>
    <w:rsid w:val="008C4633"/>
    <w:rsid w:val="008C4707"/>
    <w:rsid w:val="008C48CE"/>
    <w:rsid w:val="008C493A"/>
    <w:rsid w:val="008C498B"/>
    <w:rsid w:val="008C49DE"/>
    <w:rsid w:val="008C4B30"/>
    <w:rsid w:val="008C4BFC"/>
    <w:rsid w:val="008C4DD8"/>
    <w:rsid w:val="008C55FC"/>
    <w:rsid w:val="008C5633"/>
    <w:rsid w:val="008C56E0"/>
    <w:rsid w:val="008C570A"/>
    <w:rsid w:val="008C5781"/>
    <w:rsid w:val="008C5990"/>
    <w:rsid w:val="008C59ED"/>
    <w:rsid w:val="008C5A8F"/>
    <w:rsid w:val="008C5AC5"/>
    <w:rsid w:val="008C5C24"/>
    <w:rsid w:val="008C5D68"/>
    <w:rsid w:val="008C5D6C"/>
    <w:rsid w:val="008C605E"/>
    <w:rsid w:val="008C60D7"/>
    <w:rsid w:val="008C63D0"/>
    <w:rsid w:val="008C63E2"/>
    <w:rsid w:val="008C6476"/>
    <w:rsid w:val="008C64B9"/>
    <w:rsid w:val="008C6560"/>
    <w:rsid w:val="008C656E"/>
    <w:rsid w:val="008C6614"/>
    <w:rsid w:val="008C6713"/>
    <w:rsid w:val="008C6786"/>
    <w:rsid w:val="008C69B5"/>
    <w:rsid w:val="008C6ACB"/>
    <w:rsid w:val="008C6AD4"/>
    <w:rsid w:val="008C6B28"/>
    <w:rsid w:val="008C6BC4"/>
    <w:rsid w:val="008C6C55"/>
    <w:rsid w:val="008C6C84"/>
    <w:rsid w:val="008C6D02"/>
    <w:rsid w:val="008C6E07"/>
    <w:rsid w:val="008C6E63"/>
    <w:rsid w:val="008C6F90"/>
    <w:rsid w:val="008C6FD2"/>
    <w:rsid w:val="008C7110"/>
    <w:rsid w:val="008C726A"/>
    <w:rsid w:val="008C7271"/>
    <w:rsid w:val="008C7369"/>
    <w:rsid w:val="008C737F"/>
    <w:rsid w:val="008C76D8"/>
    <w:rsid w:val="008C7781"/>
    <w:rsid w:val="008C77BD"/>
    <w:rsid w:val="008C78D2"/>
    <w:rsid w:val="008C78DD"/>
    <w:rsid w:val="008C7CE0"/>
    <w:rsid w:val="008C7D38"/>
    <w:rsid w:val="008C7DEE"/>
    <w:rsid w:val="008C7E32"/>
    <w:rsid w:val="008C7F7E"/>
    <w:rsid w:val="008D0012"/>
    <w:rsid w:val="008D029E"/>
    <w:rsid w:val="008D03DD"/>
    <w:rsid w:val="008D040B"/>
    <w:rsid w:val="008D05EF"/>
    <w:rsid w:val="008D0773"/>
    <w:rsid w:val="008D07B0"/>
    <w:rsid w:val="008D0A54"/>
    <w:rsid w:val="008D0B9B"/>
    <w:rsid w:val="008D0D35"/>
    <w:rsid w:val="008D0DA5"/>
    <w:rsid w:val="008D0DD7"/>
    <w:rsid w:val="008D0EC6"/>
    <w:rsid w:val="008D1151"/>
    <w:rsid w:val="008D15F9"/>
    <w:rsid w:val="008D1748"/>
    <w:rsid w:val="008D1756"/>
    <w:rsid w:val="008D1A86"/>
    <w:rsid w:val="008D1CCF"/>
    <w:rsid w:val="008D1E31"/>
    <w:rsid w:val="008D1E40"/>
    <w:rsid w:val="008D21A6"/>
    <w:rsid w:val="008D22DB"/>
    <w:rsid w:val="008D240F"/>
    <w:rsid w:val="008D267F"/>
    <w:rsid w:val="008D268F"/>
    <w:rsid w:val="008D2836"/>
    <w:rsid w:val="008D2907"/>
    <w:rsid w:val="008D2A1F"/>
    <w:rsid w:val="008D2ADB"/>
    <w:rsid w:val="008D2BFC"/>
    <w:rsid w:val="008D2D78"/>
    <w:rsid w:val="008D2EBA"/>
    <w:rsid w:val="008D2F8D"/>
    <w:rsid w:val="008D3019"/>
    <w:rsid w:val="008D3045"/>
    <w:rsid w:val="008D3242"/>
    <w:rsid w:val="008D3267"/>
    <w:rsid w:val="008D3330"/>
    <w:rsid w:val="008D334A"/>
    <w:rsid w:val="008D334C"/>
    <w:rsid w:val="008D361D"/>
    <w:rsid w:val="008D3633"/>
    <w:rsid w:val="008D36C5"/>
    <w:rsid w:val="008D37AF"/>
    <w:rsid w:val="008D3809"/>
    <w:rsid w:val="008D38C7"/>
    <w:rsid w:val="008D3AB3"/>
    <w:rsid w:val="008D3F0E"/>
    <w:rsid w:val="008D3F96"/>
    <w:rsid w:val="008D427F"/>
    <w:rsid w:val="008D4541"/>
    <w:rsid w:val="008D45FF"/>
    <w:rsid w:val="008D460E"/>
    <w:rsid w:val="008D47BB"/>
    <w:rsid w:val="008D47E3"/>
    <w:rsid w:val="008D4835"/>
    <w:rsid w:val="008D488B"/>
    <w:rsid w:val="008D4A49"/>
    <w:rsid w:val="008D4CC5"/>
    <w:rsid w:val="008D4DEC"/>
    <w:rsid w:val="008D5252"/>
    <w:rsid w:val="008D52C5"/>
    <w:rsid w:val="008D52FE"/>
    <w:rsid w:val="008D530A"/>
    <w:rsid w:val="008D5391"/>
    <w:rsid w:val="008D5510"/>
    <w:rsid w:val="008D576B"/>
    <w:rsid w:val="008D57C7"/>
    <w:rsid w:val="008D58C1"/>
    <w:rsid w:val="008D5917"/>
    <w:rsid w:val="008D5A84"/>
    <w:rsid w:val="008D5AE8"/>
    <w:rsid w:val="008D5B64"/>
    <w:rsid w:val="008D5BB4"/>
    <w:rsid w:val="008D5CD7"/>
    <w:rsid w:val="008D5D2E"/>
    <w:rsid w:val="008D5ECC"/>
    <w:rsid w:val="008D6098"/>
    <w:rsid w:val="008D60FA"/>
    <w:rsid w:val="008D6102"/>
    <w:rsid w:val="008D615A"/>
    <w:rsid w:val="008D6180"/>
    <w:rsid w:val="008D62A9"/>
    <w:rsid w:val="008D65EE"/>
    <w:rsid w:val="008D6815"/>
    <w:rsid w:val="008D6853"/>
    <w:rsid w:val="008D6A20"/>
    <w:rsid w:val="008D6C05"/>
    <w:rsid w:val="008D6C7A"/>
    <w:rsid w:val="008D6DA3"/>
    <w:rsid w:val="008D6DB1"/>
    <w:rsid w:val="008D6F10"/>
    <w:rsid w:val="008D705A"/>
    <w:rsid w:val="008D709F"/>
    <w:rsid w:val="008D70A4"/>
    <w:rsid w:val="008D70F6"/>
    <w:rsid w:val="008D7178"/>
    <w:rsid w:val="008D717D"/>
    <w:rsid w:val="008D7195"/>
    <w:rsid w:val="008D7309"/>
    <w:rsid w:val="008D73A4"/>
    <w:rsid w:val="008D73EE"/>
    <w:rsid w:val="008D7679"/>
    <w:rsid w:val="008D76DF"/>
    <w:rsid w:val="008D7818"/>
    <w:rsid w:val="008D7973"/>
    <w:rsid w:val="008D79C2"/>
    <w:rsid w:val="008D79C3"/>
    <w:rsid w:val="008D7C37"/>
    <w:rsid w:val="008D7E08"/>
    <w:rsid w:val="008D7ECF"/>
    <w:rsid w:val="008D7EE3"/>
    <w:rsid w:val="008E003B"/>
    <w:rsid w:val="008E0067"/>
    <w:rsid w:val="008E00D4"/>
    <w:rsid w:val="008E012C"/>
    <w:rsid w:val="008E0244"/>
    <w:rsid w:val="008E02AD"/>
    <w:rsid w:val="008E0328"/>
    <w:rsid w:val="008E05C9"/>
    <w:rsid w:val="008E07C6"/>
    <w:rsid w:val="008E07F5"/>
    <w:rsid w:val="008E09A6"/>
    <w:rsid w:val="008E0A20"/>
    <w:rsid w:val="008E0AED"/>
    <w:rsid w:val="008E0EE8"/>
    <w:rsid w:val="008E1150"/>
    <w:rsid w:val="008E12DF"/>
    <w:rsid w:val="008E13CB"/>
    <w:rsid w:val="008E13E3"/>
    <w:rsid w:val="008E15DE"/>
    <w:rsid w:val="008E160D"/>
    <w:rsid w:val="008E164F"/>
    <w:rsid w:val="008E1814"/>
    <w:rsid w:val="008E183D"/>
    <w:rsid w:val="008E1912"/>
    <w:rsid w:val="008E1933"/>
    <w:rsid w:val="008E1965"/>
    <w:rsid w:val="008E1C29"/>
    <w:rsid w:val="008E1C74"/>
    <w:rsid w:val="008E1D97"/>
    <w:rsid w:val="008E1DC9"/>
    <w:rsid w:val="008E1EFE"/>
    <w:rsid w:val="008E209C"/>
    <w:rsid w:val="008E26DB"/>
    <w:rsid w:val="008E26EA"/>
    <w:rsid w:val="008E27CD"/>
    <w:rsid w:val="008E27D0"/>
    <w:rsid w:val="008E27E4"/>
    <w:rsid w:val="008E2814"/>
    <w:rsid w:val="008E2B02"/>
    <w:rsid w:val="008E2C33"/>
    <w:rsid w:val="008E2D34"/>
    <w:rsid w:val="008E2F8B"/>
    <w:rsid w:val="008E3028"/>
    <w:rsid w:val="008E30C0"/>
    <w:rsid w:val="008E30DF"/>
    <w:rsid w:val="008E314D"/>
    <w:rsid w:val="008E3151"/>
    <w:rsid w:val="008E31F5"/>
    <w:rsid w:val="008E3488"/>
    <w:rsid w:val="008E34DE"/>
    <w:rsid w:val="008E35AD"/>
    <w:rsid w:val="008E35F7"/>
    <w:rsid w:val="008E36F1"/>
    <w:rsid w:val="008E3727"/>
    <w:rsid w:val="008E3769"/>
    <w:rsid w:val="008E37A6"/>
    <w:rsid w:val="008E3AC4"/>
    <w:rsid w:val="008E3BDC"/>
    <w:rsid w:val="008E3D17"/>
    <w:rsid w:val="008E3E0F"/>
    <w:rsid w:val="008E3E91"/>
    <w:rsid w:val="008E4120"/>
    <w:rsid w:val="008E43AF"/>
    <w:rsid w:val="008E43B8"/>
    <w:rsid w:val="008E448C"/>
    <w:rsid w:val="008E46A9"/>
    <w:rsid w:val="008E482E"/>
    <w:rsid w:val="008E48B4"/>
    <w:rsid w:val="008E4943"/>
    <w:rsid w:val="008E4A86"/>
    <w:rsid w:val="008E4BB5"/>
    <w:rsid w:val="008E4CFE"/>
    <w:rsid w:val="008E4EB0"/>
    <w:rsid w:val="008E4F24"/>
    <w:rsid w:val="008E4F25"/>
    <w:rsid w:val="008E5173"/>
    <w:rsid w:val="008E54E2"/>
    <w:rsid w:val="008E5B4F"/>
    <w:rsid w:val="008E5B94"/>
    <w:rsid w:val="008E5BEF"/>
    <w:rsid w:val="008E5C04"/>
    <w:rsid w:val="008E5C5B"/>
    <w:rsid w:val="008E5C85"/>
    <w:rsid w:val="008E5CE6"/>
    <w:rsid w:val="008E6051"/>
    <w:rsid w:val="008E6082"/>
    <w:rsid w:val="008E6108"/>
    <w:rsid w:val="008E614F"/>
    <w:rsid w:val="008E665A"/>
    <w:rsid w:val="008E66F9"/>
    <w:rsid w:val="008E6772"/>
    <w:rsid w:val="008E6967"/>
    <w:rsid w:val="008E6A18"/>
    <w:rsid w:val="008E6E79"/>
    <w:rsid w:val="008E6F75"/>
    <w:rsid w:val="008E6F7F"/>
    <w:rsid w:val="008E7123"/>
    <w:rsid w:val="008E72FB"/>
    <w:rsid w:val="008E7325"/>
    <w:rsid w:val="008E737A"/>
    <w:rsid w:val="008E73AF"/>
    <w:rsid w:val="008E743F"/>
    <w:rsid w:val="008E7473"/>
    <w:rsid w:val="008E7478"/>
    <w:rsid w:val="008E7618"/>
    <w:rsid w:val="008E7846"/>
    <w:rsid w:val="008E785F"/>
    <w:rsid w:val="008E7864"/>
    <w:rsid w:val="008E7877"/>
    <w:rsid w:val="008E78FB"/>
    <w:rsid w:val="008E7A3B"/>
    <w:rsid w:val="008E7A9E"/>
    <w:rsid w:val="008E7D3B"/>
    <w:rsid w:val="008F0099"/>
    <w:rsid w:val="008F00E0"/>
    <w:rsid w:val="008F00FE"/>
    <w:rsid w:val="008F02B4"/>
    <w:rsid w:val="008F02E2"/>
    <w:rsid w:val="008F0331"/>
    <w:rsid w:val="008F0335"/>
    <w:rsid w:val="008F041F"/>
    <w:rsid w:val="008F057C"/>
    <w:rsid w:val="008F05BF"/>
    <w:rsid w:val="008F060F"/>
    <w:rsid w:val="008F0675"/>
    <w:rsid w:val="008F091D"/>
    <w:rsid w:val="008F0AC0"/>
    <w:rsid w:val="008F0C76"/>
    <w:rsid w:val="008F0E02"/>
    <w:rsid w:val="008F0EF5"/>
    <w:rsid w:val="008F1144"/>
    <w:rsid w:val="008F14A6"/>
    <w:rsid w:val="008F1586"/>
    <w:rsid w:val="008F15FD"/>
    <w:rsid w:val="008F171A"/>
    <w:rsid w:val="008F1856"/>
    <w:rsid w:val="008F199F"/>
    <w:rsid w:val="008F1A15"/>
    <w:rsid w:val="008F1AE0"/>
    <w:rsid w:val="008F1BB2"/>
    <w:rsid w:val="008F1BD9"/>
    <w:rsid w:val="008F1D7A"/>
    <w:rsid w:val="008F1F7F"/>
    <w:rsid w:val="008F21EE"/>
    <w:rsid w:val="008F2268"/>
    <w:rsid w:val="008F231A"/>
    <w:rsid w:val="008F2481"/>
    <w:rsid w:val="008F24BF"/>
    <w:rsid w:val="008F2590"/>
    <w:rsid w:val="008F25F3"/>
    <w:rsid w:val="008F2A4E"/>
    <w:rsid w:val="008F2B08"/>
    <w:rsid w:val="008F2D5E"/>
    <w:rsid w:val="008F2EAF"/>
    <w:rsid w:val="008F2ED8"/>
    <w:rsid w:val="008F2F83"/>
    <w:rsid w:val="008F30EB"/>
    <w:rsid w:val="008F3179"/>
    <w:rsid w:val="008F3278"/>
    <w:rsid w:val="008F32DF"/>
    <w:rsid w:val="008F33C1"/>
    <w:rsid w:val="008F3629"/>
    <w:rsid w:val="008F36D2"/>
    <w:rsid w:val="008F37E9"/>
    <w:rsid w:val="008F38F3"/>
    <w:rsid w:val="008F399D"/>
    <w:rsid w:val="008F3B35"/>
    <w:rsid w:val="008F3B4F"/>
    <w:rsid w:val="008F3B8A"/>
    <w:rsid w:val="008F3BE5"/>
    <w:rsid w:val="008F3C46"/>
    <w:rsid w:val="008F3D24"/>
    <w:rsid w:val="008F3D44"/>
    <w:rsid w:val="008F3D89"/>
    <w:rsid w:val="008F4041"/>
    <w:rsid w:val="008F422A"/>
    <w:rsid w:val="008F429E"/>
    <w:rsid w:val="008F43A1"/>
    <w:rsid w:val="008F45C4"/>
    <w:rsid w:val="008F466E"/>
    <w:rsid w:val="008F46AF"/>
    <w:rsid w:val="008F46E3"/>
    <w:rsid w:val="008F46F2"/>
    <w:rsid w:val="008F47D5"/>
    <w:rsid w:val="008F47D6"/>
    <w:rsid w:val="008F4807"/>
    <w:rsid w:val="008F4AC4"/>
    <w:rsid w:val="008F4ADC"/>
    <w:rsid w:val="008F4C0F"/>
    <w:rsid w:val="008F4E07"/>
    <w:rsid w:val="008F4F5E"/>
    <w:rsid w:val="008F50BD"/>
    <w:rsid w:val="008F514F"/>
    <w:rsid w:val="008F51CB"/>
    <w:rsid w:val="008F5339"/>
    <w:rsid w:val="008F58AD"/>
    <w:rsid w:val="008F5AF2"/>
    <w:rsid w:val="008F5D07"/>
    <w:rsid w:val="008F5D0F"/>
    <w:rsid w:val="008F5DD7"/>
    <w:rsid w:val="008F60B2"/>
    <w:rsid w:val="008F60D8"/>
    <w:rsid w:val="008F63CC"/>
    <w:rsid w:val="008F6423"/>
    <w:rsid w:val="008F657E"/>
    <w:rsid w:val="008F65DE"/>
    <w:rsid w:val="008F690C"/>
    <w:rsid w:val="008F6954"/>
    <w:rsid w:val="008F6ADE"/>
    <w:rsid w:val="008F6CE1"/>
    <w:rsid w:val="008F6FD5"/>
    <w:rsid w:val="008F7103"/>
    <w:rsid w:val="008F7183"/>
    <w:rsid w:val="008F71B2"/>
    <w:rsid w:val="008F721C"/>
    <w:rsid w:val="008F72B8"/>
    <w:rsid w:val="008F762F"/>
    <w:rsid w:val="008F7EB3"/>
    <w:rsid w:val="008F7F66"/>
    <w:rsid w:val="008F7F8B"/>
    <w:rsid w:val="009001FC"/>
    <w:rsid w:val="009002F3"/>
    <w:rsid w:val="00900331"/>
    <w:rsid w:val="00900391"/>
    <w:rsid w:val="009003B2"/>
    <w:rsid w:val="0090064E"/>
    <w:rsid w:val="009006BD"/>
    <w:rsid w:val="009006BF"/>
    <w:rsid w:val="009009A1"/>
    <w:rsid w:val="00900A0E"/>
    <w:rsid w:val="00900ABE"/>
    <w:rsid w:val="00900CE2"/>
    <w:rsid w:val="00900CF1"/>
    <w:rsid w:val="00900E21"/>
    <w:rsid w:val="00901109"/>
    <w:rsid w:val="009011F0"/>
    <w:rsid w:val="00901237"/>
    <w:rsid w:val="00901305"/>
    <w:rsid w:val="00901375"/>
    <w:rsid w:val="00901447"/>
    <w:rsid w:val="0090145A"/>
    <w:rsid w:val="00901683"/>
    <w:rsid w:val="00901779"/>
    <w:rsid w:val="0090180A"/>
    <w:rsid w:val="009018C1"/>
    <w:rsid w:val="00901B18"/>
    <w:rsid w:val="00901B41"/>
    <w:rsid w:val="00902071"/>
    <w:rsid w:val="00902073"/>
    <w:rsid w:val="00902105"/>
    <w:rsid w:val="00902277"/>
    <w:rsid w:val="0090232C"/>
    <w:rsid w:val="009025A4"/>
    <w:rsid w:val="0090278A"/>
    <w:rsid w:val="0090283B"/>
    <w:rsid w:val="0090285F"/>
    <w:rsid w:val="00902897"/>
    <w:rsid w:val="009028CE"/>
    <w:rsid w:val="009028DD"/>
    <w:rsid w:val="00902AB9"/>
    <w:rsid w:val="00902B25"/>
    <w:rsid w:val="00902B3B"/>
    <w:rsid w:val="00902C16"/>
    <w:rsid w:val="00902CFA"/>
    <w:rsid w:val="00902D09"/>
    <w:rsid w:val="00902D0E"/>
    <w:rsid w:val="00902EBF"/>
    <w:rsid w:val="00902F2B"/>
    <w:rsid w:val="00902F7F"/>
    <w:rsid w:val="00903248"/>
    <w:rsid w:val="00903277"/>
    <w:rsid w:val="009035F6"/>
    <w:rsid w:val="00903615"/>
    <w:rsid w:val="0090363C"/>
    <w:rsid w:val="0090379B"/>
    <w:rsid w:val="00903860"/>
    <w:rsid w:val="00903951"/>
    <w:rsid w:val="0090397B"/>
    <w:rsid w:val="00903B11"/>
    <w:rsid w:val="00903BBA"/>
    <w:rsid w:val="00903C46"/>
    <w:rsid w:val="009040A4"/>
    <w:rsid w:val="00904123"/>
    <w:rsid w:val="00904379"/>
    <w:rsid w:val="009045A0"/>
    <w:rsid w:val="009045B8"/>
    <w:rsid w:val="009046EC"/>
    <w:rsid w:val="00904748"/>
    <w:rsid w:val="00904A7D"/>
    <w:rsid w:val="00904A89"/>
    <w:rsid w:val="00904A9D"/>
    <w:rsid w:val="00904AEC"/>
    <w:rsid w:val="00904C53"/>
    <w:rsid w:val="00904E73"/>
    <w:rsid w:val="00904E75"/>
    <w:rsid w:val="00904E8C"/>
    <w:rsid w:val="00904F3C"/>
    <w:rsid w:val="00905026"/>
    <w:rsid w:val="0090515D"/>
    <w:rsid w:val="0090516D"/>
    <w:rsid w:val="0090517F"/>
    <w:rsid w:val="00905299"/>
    <w:rsid w:val="009052A9"/>
    <w:rsid w:val="0090540A"/>
    <w:rsid w:val="00905543"/>
    <w:rsid w:val="009056D4"/>
    <w:rsid w:val="00905725"/>
    <w:rsid w:val="0090582A"/>
    <w:rsid w:val="009058C2"/>
    <w:rsid w:val="009059AB"/>
    <w:rsid w:val="00905A10"/>
    <w:rsid w:val="00905B0E"/>
    <w:rsid w:val="00905BB5"/>
    <w:rsid w:val="00905CD9"/>
    <w:rsid w:val="00905E6B"/>
    <w:rsid w:val="00905E96"/>
    <w:rsid w:val="00905F08"/>
    <w:rsid w:val="00905FC4"/>
    <w:rsid w:val="0090604D"/>
    <w:rsid w:val="009062ED"/>
    <w:rsid w:val="00906388"/>
    <w:rsid w:val="00906653"/>
    <w:rsid w:val="0090673B"/>
    <w:rsid w:val="009067D6"/>
    <w:rsid w:val="00906867"/>
    <w:rsid w:val="009068BF"/>
    <w:rsid w:val="009069A1"/>
    <w:rsid w:val="00906AF0"/>
    <w:rsid w:val="00906BF6"/>
    <w:rsid w:val="00906CC2"/>
    <w:rsid w:val="00906D53"/>
    <w:rsid w:val="00906DB0"/>
    <w:rsid w:val="00906E32"/>
    <w:rsid w:val="00906EEB"/>
    <w:rsid w:val="009070A1"/>
    <w:rsid w:val="00907272"/>
    <w:rsid w:val="009073E2"/>
    <w:rsid w:val="00907461"/>
    <w:rsid w:val="00907501"/>
    <w:rsid w:val="00907590"/>
    <w:rsid w:val="00907817"/>
    <w:rsid w:val="00907829"/>
    <w:rsid w:val="00907AB2"/>
    <w:rsid w:val="00907AEE"/>
    <w:rsid w:val="00907D1E"/>
    <w:rsid w:val="00907E49"/>
    <w:rsid w:val="00907F9D"/>
    <w:rsid w:val="009100EC"/>
    <w:rsid w:val="009100F9"/>
    <w:rsid w:val="00910194"/>
    <w:rsid w:val="009104BC"/>
    <w:rsid w:val="00910603"/>
    <w:rsid w:val="00910655"/>
    <w:rsid w:val="009106F5"/>
    <w:rsid w:val="0091079A"/>
    <w:rsid w:val="009108EF"/>
    <w:rsid w:val="00910AB3"/>
    <w:rsid w:val="00910C01"/>
    <w:rsid w:val="00910C18"/>
    <w:rsid w:val="00910C31"/>
    <w:rsid w:val="00910F95"/>
    <w:rsid w:val="00910F99"/>
    <w:rsid w:val="00911011"/>
    <w:rsid w:val="0091107A"/>
    <w:rsid w:val="00911157"/>
    <w:rsid w:val="00911175"/>
    <w:rsid w:val="009112DD"/>
    <w:rsid w:val="009113D1"/>
    <w:rsid w:val="009113E0"/>
    <w:rsid w:val="00911453"/>
    <w:rsid w:val="00911571"/>
    <w:rsid w:val="0091178A"/>
    <w:rsid w:val="009117CD"/>
    <w:rsid w:val="0091182B"/>
    <w:rsid w:val="009118E8"/>
    <w:rsid w:val="00911A0C"/>
    <w:rsid w:val="00911AA0"/>
    <w:rsid w:val="00911CFD"/>
    <w:rsid w:val="00911D37"/>
    <w:rsid w:val="00911D45"/>
    <w:rsid w:val="00911D7D"/>
    <w:rsid w:val="00911DE6"/>
    <w:rsid w:val="0091206A"/>
    <w:rsid w:val="00912209"/>
    <w:rsid w:val="00912215"/>
    <w:rsid w:val="009123C2"/>
    <w:rsid w:val="009125D0"/>
    <w:rsid w:val="00912650"/>
    <w:rsid w:val="0091269B"/>
    <w:rsid w:val="009126FD"/>
    <w:rsid w:val="0091278F"/>
    <w:rsid w:val="009128EE"/>
    <w:rsid w:val="009129B8"/>
    <w:rsid w:val="00912A0D"/>
    <w:rsid w:val="00912B9F"/>
    <w:rsid w:val="00912C27"/>
    <w:rsid w:val="00912D52"/>
    <w:rsid w:val="00913037"/>
    <w:rsid w:val="00913145"/>
    <w:rsid w:val="0091337F"/>
    <w:rsid w:val="0091342D"/>
    <w:rsid w:val="009135A1"/>
    <w:rsid w:val="00913777"/>
    <w:rsid w:val="00913862"/>
    <w:rsid w:val="00913954"/>
    <w:rsid w:val="009139D1"/>
    <w:rsid w:val="009139E8"/>
    <w:rsid w:val="00913AD6"/>
    <w:rsid w:val="00913E36"/>
    <w:rsid w:val="009140D7"/>
    <w:rsid w:val="0091410B"/>
    <w:rsid w:val="009141C8"/>
    <w:rsid w:val="00914351"/>
    <w:rsid w:val="00914368"/>
    <w:rsid w:val="00914507"/>
    <w:rsid w:val="00914551"/>
    <w:rsid w:val="00914608"/>
    <w:rsid w:val="0091465E"/>
    <w:rsid w:val="00914A69"/>
    <w:rsid w:val="00914C0B"/>
    <w:rsid w:val="00914C58"/>
    <w:rsid w:val="00914C76"/>
    <w:rsid w:val="00914D0C"/>
    <w:rsid w:val="00914F27"/>
    <w:rsid w:val="0091549D"/>
    <w:rsid w:val="009156DA"/>
    <w:rsid w:val="009158B6"/>
    <w:rsid w:val="00915AE3"/>
    <w:rsid w:val="00915C7B"/>
    <w:rsid w:val="00915CCB"/>
    <w:rsid w:val="00915FD1"/>
    <w:rsid w:val="00916034"/>
    <w:rsid w:val="009161A4"/>
    <w:rsid w:val="009161B5"/>
    <w:rsid w:val="00916375"/>
    <w:rsid w:val="009163E0"/>
    <w:rsid w:val="009164FC"/>
    <w:rsid w:val="0091659A"/>
    <w:rsid w:val="009166EA"/>
    <w:rsid w:val="009167CB"/>
    <w:rsid w:val="009167E7"/>
    <w:rsid w:val="00916852"/>
    <w:rsid w:val="00916881"/>
    <w:rsid w:val="00916956"/>
    <w:rsid w:val="009169BB"/>
    <w:rsid w:val="009169E3"/>
    <w:rsid w:val="00916A15"/>
    <w:rsid w:val="00916B67"/>
    <w:rsid w:val="00916DB6"/>
    <w:rsid w:val="00916DD3"/>
    <w:rsid w:val="00916ED5"/>
    <w:rsid w:val="00916F02"/>
    <w:rsid w:val="00916FA1"/>
    <w:rsid w:val="00916FB3"/>
    <w:rsid w:val="00916FEA"/>
    <w:rsid w:val="009170AF"/>
    <w:rsid w:val="009171A8"/>
    <w:rsid w:val="009173F3"/>
    <w:rsid w:val="00917597"/>
    <w:rsid w:val="00917610"/>
    <w:rsid w:val="009179D9"/>
    <w:rsid w:val="00917CF5"/>
    <w:rsid w:val="00917F26"/>
    <w:rsid w:val="00920367"/>
    <w:rsid w:val="0092040E"/>
    <w:rsid w:val="00920471"/>
    <w:rsid w:val="00920519"/>
    <w:rsid w:val="009206F7"/>
    <w:rsid w:val="00920770"/>
    <w:rsid w:val="0092093E"/>
    <w:rsid w:val="00920BA4"/>
    <w:rsid w:val="00920C26"/>
    <w:rsid w:val="00920D1D"/>
    <w:rsid w:val="00920EC8"/>
    <w:rsid w:val="009210D1"/>
    <w:rsid w:val="0092122E"/>
    <w:rsid w:val="00921379"/>
    <w:rsid w:val="0092160B"/>
    <w:rsid w:val="00921793"/>
    <w:rsid w:val="0092197E"/>
    <w:rsid w:val="00921A55"/>
    <w:rsid w:val="00921AC2"/>
    <w:rsid w:val="00921ACA"/>
    <w:rsid w:val="00921AFD"/>
    <w:rsid w:val="00921D04"/>
    <w:rsid w:val="00922010"/>
    <w:rsid w:val="009220DD"/>
    <w:rsid w:val="0092210E"/>
    <w:rsid w:val="00922142"/>
    <w:rsid w:val="009222A5"/>
    <w:rsid w:val="00922416"/>
    <w:rsid w:val="009224FD"/>
    <w:rsid w:val="009225A9"/>
    <w:rsid w:val="009225D4"/>
    <w:rsid w:val="009226C6"/>
    <w:rsid w:val="00922733"/>
    <w:rsid w:val="009227FE"/>
    <w:rsid w:val="00922ADF"/>
    <w:rsid w:val="00922B21"/>
    <w:rsid w:val="00922C75"/>
    <w:rsid w:val="00922F15"/>
    <w:rsid w:val="0092306E"/>
    <w:rsid w:val="009230B6"/>
    <w:rsid w:val="0092314A"/>
    <w:rsid w:val="009231EE"/>
    <w:rsid w:val="00923384"/>
    <w:rsid w:val="009234BF"/>
    <w:rsid w:val="0092372C"/>
    <w:rsid w:val="0092373F"/>
    <w:rsid w:val="009237E1"/>
    <w:rsid w:val="0092381D"/>
    <w:rsid w:val="00923978"/>
    <w:rsid w:val="00923B46"/>
    <w:rsid w:val="00923B6C"/>
    <w:rsid w:val="00923B76"/>
    <w:rsid w:val="00923C12"/>
    <w:rsid w:val="00923C4F"/>
    <w:rsid w:val="00923D02"/>
    <w:rsid w:val="00923D51"/>
    <w:rsid w:val="00923E96"/>
    <w:rsid w:val="009240DB"/>
    <w:rsid w:val="009243F7"/>
    <w:rsid w:val="00924475"/>
    <w:rsid w:val="00924566"/>
    <w:rsid w:val="0092469A"/>
    <w:rsid w:val="00924902"/>
    <w:rsid w:val="00924962"/>
    <w:rsid w:val="009249EE"/>
    <w:rsid w:val="00924A4B"/>
    <w:rsid w:val="00924B4D"/>
    <w:rsid w:val="00925463"/>
    <w:rsid w:val="00925624"/>
    <w:rsid w:val="00925657"/>
    <w:rsid w:val="00925696"/>
    <w:rsid w:val="009257C5"/>
    <w:rsid w:val="00925809"/>
    <w:rsid w:val="00925D74"/>
    <w:rsid w:val="00925E22"/>
    <w:rsid w:val="00925EEA"/>
    <w:rsid w:val="00926433"/>
    <w:rsid w:val="00926486"/>
    <w:rsid w:val="009267BA"/>
    <w:rsid w:val="009268A0"/>
    <w:rsid w:val="00926972"/>
    <w:rsid w:val="009269B2"/>
    <w:rsid w:val="00926A47"/>
    <w:rsid w:val="00926F6F"/>
    <w:rsid w:val="0092706A"/>
    <w:rsid w:val="0092707A"/>
    <w:rsid w:val="009271F9"/>
    <w:rsid w:val="0092744C"/>
    <w:rsid w:val="009274FF"/>
    <w:rsid w:val="00927546"/>
    <w:rsid w:val="00927844"/>
    <w:rsid w:val="009278E6"/>
    <w:rsid w:val="00927916"/>
    <w:rsid w:val="009279BB"/>
    <w:rsid w:val="00927AEC"/>
    <w:rsid w:val="00927BF2"/>
    <w:rsid w:val="00927C6A"/>
    <w:rsid w:val="00930076"/>
    <w:rsid w:val="009301E7"/>
    <w:rsid w:val="009303D1"/>
    <w:rsid w:val="009306D0"/>
    <w:rsid w:val="00930726"/>
    <w:rsid w:val="00930A54"/>
    <w:rsid w:val="00930BD4"/>
    <w:rsid w:val="00930C6F"/>
    <w:rsid w:val="00930CEC"/>
    <w:rsid w:val="00930F79"/>
    <w:rsid w:val="00931236"/>
    <w:rsid w:val="00931301"/>
    <w:rsid w:val="00931429"/>
    <w:rsid w:val="00931469"/>
    <w:rsid w:val="00931743"/>
    <w:rsid w:val="009317B6"/>
    <w:rsid w:val="009317F9"/>
    <w:rsid w:val="00931830"/>
    <w:rsid w:val="009318AF"/>
    <w:rsid w:val="00931979"/>
    <w:rsid w:val="00931AF4"/>
    <w:rsid w:val="00931B79"/>
    <w:rsid w:val="00931D0D"/>
    <w:rsid w:val="00931D84"/>
    <w:rsid w:val="00931DE4"/>
    <w:rsid w:val="00931E09"/>
    <w:rsid w:val="00931EA4"/>
    <w:rsid w:val="00931F16"/>
    <w:rsid w:val="00931F95"/>
    <w:rsid w:val="0093201C"/>
    <w:rsid w:val="009321CA"/>
    <w:rsid w:val="00932259"/>
    <w:rsid w:val="0093225F"/>
    <w:rsid w:val="009323EC"/>
    <w:rsid w:val="0093261E"/>
    <w:rsid w:val="009329C0"/>
    <w:rsid w:val="00932B23"/>
    <w:rsid w:val="00932CA4"/>
    <w:rsid w:val="00932E22"/>
    <w:rsid w:val="00932E2A"/>
    <w:rsid w:val="00932EBC"/>
    <w:rsid w:val="00932ED8"/>
    <w:rsid w:val="0093302E"/>
    <w:rsid w:val="0093307B"/>
    <w:rsid w:val="00933298"/>
    <w:rsid w:val="009333DA"/>
    <w:rsid w:val="0093351C"/>
    <w:rsid w:val="00933580"/>
    <w:rsid w:val="009335F1"/>
    <w:rsid w:val="009337B8"/>
    <w:rsid w:val="00933840"/>
    <w:rsid w:val="00933874"/>
    <w:rsid w:val="0093387A"/>
    <w:rsid w:val="00933988"/>
    <w:rsid w:val="00933A60"/>
    <w:rsid w:val="00933B75"/>
    <w:rsid w:val="00933BC2"/>
    <w:rsid w:val="00933BE4"/>
    <w:rsid w:val="00933F8B"/>
    <w:rsid w:val="00934079"/>
    <w:rsid w:val="00934096"/>
    <w:rsid w:val="0093409F"/>
    <w:rsid w:val="00934197"/>
    <w:rsid w:val="00934229"/>
    <w:rsid w:val="00934239"/>
    <w:rsid w:val="00934403"/>
    <w:rsid w:val="00934601"/>
    <w:rsid w:val="00934642"/>
    <w:rsid w:val="009346AC"/>
    <w:rsid w:val="00934701"/>
    <w:rsid w:val="00934772"/>
    <w:rsid w:val="009348A8"/>
    <w:rsid w:val="0093494C"/>
    <w:rsid w:val="00934BAC"/>
    <w:rsid w:val="00934D59"/>
    <w:rsid w:val="00934FCA"/>
    <w:rsid w:val="009351D1"/>
    <w:rsid w:val="00935223"/>
    <w:rsid w:val="00935277"/>
    <w:rsid w:val="009352B8"/>
    <w:rsid w:val="009352C9"/>
    <w:rsid w:val="009353EE"/>
    <w:rsid w:val="00935961"/>
    <w:rsid w:val="00935ADC"/>
    <w:rsid w:val="00935AEB"/>
    <w:rsid w:val="00935B10"/>
    <w:rsid w:val="00935B3D"/>
    <w:rsid w:val="00935B3F"/>
    <w:rsid w:val="00935B65"/>
    <w:rsid w:val="00935BB3"/>
    <w:rsid w:val="00935BC9"/>
    <w:rsid w:val="00935C42"/>
    <w:rsid w:val="00935CAD"/>
    <w:rsid w:val="00935F70"/>
    <w:rsid w:val="0093634E"/>
    <w:rsid w:val="009365DD"/>
    <w:rsid w:val="00936750"/>
    <w:rsid w:val="00936944"/>
    <w:rsid w:val="00936A0F"/>
    <w:rsid w:val="00936B03"/>
    <w:rsid w:val="00936BAC"/>
    <w:rsid w:val="00936EDF"/>
    <w:rsid w:val="00936EF3"/>
    <w:rsid w:val="00937416"/>
    <w:rsid w:val="00937423"/>
    <w:rsid w:val="0093758C"/>
    <w:rsid w:val="009376AB"/>
    <w:rsid w:val="00937799"/>
    <w:rsid w:val="009377CF"/>
    <w:rsid w:val="00937A61"/>
    <w:rsid w:val="00937AE9"/>
    <w:rsid w:val="00937B8D"/>
    <w:rsid w:val="00937E57"/>
    <w:rsid w:val="00937EC9"/>
    <w:rsid w:val="0094015A"/>
    <w:rsid w:val="009403C8"/>
    <w:rsid w:val="0094064B"/>
    <w:rsid w:val="00940709"/>
    <w:rsid w:val="00940759"/>
    <w:rsid w:val="00940787"/>
    <w:rsid w:val="00940888"/>
    <w:rsid w:val="00940994"/>
    <w:rsid w:val="00940B6F"/>
    <w:rsid w:val="00940BAA"/>
    <w:rsid w:val="00940C33"/>
    <w:rsid w:val="00940C4B"/>
    <w:rsid w:val="00940CFB"/>
    <w:rsid w:val="00940D07"/>
    <w:rsid w:val="00940D81"/>
    <w:rsid w:val="00940E9B"/>
    <w:rsid w:val="00940ECB"/>
    <w:rsid w:val="00940F34"/>
    <w:rsid w:val="00941221"/>
    <w:rsid w:val="00941274"/>
    <w:rsid w:val="00941289"/>
    <w:rsid w:val="009415E0"/>
    <w:rsid w:val="00941723"/>
    <w:rsid w:val="0094177F"/>
    <w:rsid w:val="00941829"/>
    <w:rsid w:val="00941A51"/>
    <w:rsid w:val="00941A9C"/>
    <w:rsid w:val="00941C7E"/>
    <w:rsid w:val="00941D63"/>
    <w:rsid w:val="00941D6F"/>
    <w:rsid w:val="00941E86"/>
    <w:rsid w:val="00941F37"/>
    <w:rsid w:val="00941F4F"/>
    <w:rsid w:val="00941FC2"/>
    <w:rsid w:val="00942053"/>
    <w:rsid w:val="0094213E"/>
    <w:rsid w:val="009421D5"/>
    <w:rsid w:val="0094224D"/>
    <w:rsid w:val="0094231D"/>
    <w:rsid w:val="0094234F"/>
    <w:rsid w:val="00942419"/>
    <w:rsid w:val="009425C8"/>
    <w:rsid w:val="00942799"/>
    <w:rsid w:val="009427B6"/>
    <w:rsid w:val="009427C5"/>
    <w:rsid w:val="00942800"/>
    <w:rsid w:val="009428DE"/>
    <w:rsid w:val="0094297A"/>
    <w:rsid w:val="009429AD"/>
    <w:rsid w:val="00942A04"/>
    <w:rsid w:val="00942CBD"/>
    <w:rsid w:val="00942D42"/>
    <w:rsid w:val="00942E36"/>
    <w:rsid w:val="00942FB9"/>
    <w:rsid w:val="0094300D"/>
    <w:rsid w:val="0094325C"/>
    <w:rsid w:val="009433A6"/>
    <w:rsid w:val="00943431"/>
    <w:rsid w:val="0094347A"/>
    <w:rsid w:val="009434D6"/>
    <w:rsid w:val="00943524"/>
    <w:rsid w:val="00943605"/>
    <w:rsid w:val="0094360C"/>
    <w:rsid w:val="009436B0"/>
    <w:rsid w:val="009436FA"/>
    <w:rsid w:val="0094380C"/>
    <w:rsid w:val="009438C1"/>
    <w:rsid w:val="009438D4"/>
    <w:rsid w:val="009439CC"/>
    <w:rsid w:val="00943B0C"/>
    <w:rsid w:val="00943C45"/>
    <w:rsid w:val="00943D89"/>
    <w:rsid w:val="00943DCD"/>
    <w:rsid w:val="00943EE8"/>
    <w:rsid w:val="00943F36"/>
    <w:rsid w:val="00944019"/>
    <w:rsid w:val="009440AD"/>
    <w:rsid w:val="00944194"/>
    <w:rsid w:val="009441B2"/>
    <w:rsid w:val="0094425D"/>
    <w:rsid w:val="009442C6"/>
    <w:rsid w:val="009442FD"/>
    <w:rsid w:val="00944672"/>
    <w:rsid w:val="009446D5"/>
    <w:rsid w:val="009446F5"/>
    <w:rsid w:val="009447E6"/>
    <w:rsid w:val="00944936"/>
    <w:rsid w:val="00944A63"/>
    <w:rsid w:val="00944BD9"/>
    <w:rsid w:val="00944BF0"/>
    <w:rsid w:val="00944C34"/>
    <w:rsid w:val="00944CE0"/>
    <w:rsid w:val="00944D9E"/>
    <w:rsid w:val="00944F12"/>
    <w:rsid w:val="00945115"/>
    <w:rsid w:val="0094518A"/>
    <w:rsid w:val="009451C1"/>
    <w:rsid w:val="009451D1"/>
    <w:rsid w:val="009451DB"/>
    <w:rsid w:val="00945207"/>
    <w:rsid w:val="0094521C"/>
    <w:rsid w:val="00945235"/>
    <w:rsid w:val="00945300"/>
    <w:rsid w:val="0094555E"/>
    <w:rsid w:val="00945641"/>
    <w:rsid w:val="009456D8"/>
    <w:rsid w:val="009456F7"/>
    <w:rsid w:val="00945868"/>
    <w:rsid w:val="00945A00"/>
    <w:rsid w:val="00945A91"/>
    <w:rsid w:val="00945BC0"/>
    <w:rsid w:val="00945E26"/>
    <w:rsid w:val="00945E83"/>
    <w:rsid w:val="009461FA"/>
    <w:rsid w:val="00946286"/>
    <w:rsid w:val="00946304"/>
    <w:rsid w:val="00946393"/>
    <w:rsid w:val="009466FB"/>
    <w:rsid w:val="0094675F"/>
    <w:rsid w:val="00946861"/>
    <w:rsid w:val="00946862"/>
    <w:rsid w:val="009468C0"/>
    <w:rsid w:val="009468C2"/>
    <w:rsid w:val="009468FD"/>
    <w:rsid w:val="00946ADC"/>
    <w:rsid w:val="00946DD3"/>
    <w:rsid w:val="0094700E"/>
    <w:rsid w:val="0094716B"/>
    <w:rsid w:val="0094769B"/>
    <w:rsid w:val="009476D4"/>
    <w:rsid w:val="0094778A"/>
    <w:rsid w:val="009478E9"/>
    <w:rsid w:val="009479E2"/>
    <w:rsid w:val="00947E32"/>
    <w:rsid w:val="00950068"/>
    <w:rsid w:val="00950148"/>
    <w:rsid w:val="0095016A"/>
    <w:rsid w:val="0095021B"/>
    <w:rsid w:val="00950A4D"/>
    <w:rsid w:val="00950A5A"/>
    <w:rsid w:val="00950B33"/>
    <w:rsid w:val="00950EB6"/>
    <w:rsid w:val="00950F4A"/>
    <w:rsid w:val="0095123D"/>
    <w:rsid w:val="0095141E"/>
    <w:rsid w:val="0095150C"/>
    <w:rsid w:val="00951529"/>
    <w:rsid w:val="0095180F"/>
    <w:rsid w:val="009519B3"/>
    <w:rsid w:val="009519E0"/>
    <w:rsid w:val="009519FB"/>
    <w:rsid w:val="00951A65"/>
    <w:rsid w:val="00951BA0"/>
    <w:rsid w:val="00951C91"/>
    <w:rsid w:val="00951D57"/>
    <w:rsid w:val="00951F4B"/>
    <w:rsid w:val="00951F72"/>
    <w:rsid w:val="0095227E"/>
    <w:rsid w:val="00952405"/>
    <w:rsid w:val="00952559"/>
    <w:rsid w:val="00952628"/>
    <w:rsid w:val="009526FE"/>
    <w:rsid w:val="00952741"/>
    <w:rsid w:val="009528B0"/>
    <w:rsid w:val="00952982"/>
    <w:rsid w:val="009529A9"/>
    <w:rsid w:val="00952B6C"/>
    <w:rsid w:val="00952BB0"/>
    <w:rsid w:val="00952E9C"/>
    <w:rsid w:val="00952F08"/>
    <w:rsid w:val="00953014"/>
    <w:rsid w:val="009530B0"/>
    <w:rsid w:val="0095332E"/>
    <w:rsid w:val="00953338"/>
    <w:rsid w:val="00953536"/>
    <w:rsid w:val="00953605"/>
    <w:rsid w:val="00953678"/>
    <w:rsid w:val="00953737"/>
    <w:rsid w:val="00953936"/>
    <w:rsid w:val="009539E9"/>
    <w:rsid w:val="00953A71"/>
    <w:rsid w:val="00953C3F"/>
    <w:rsid w:val="009540E0"/>
    <w:rsid w:val="009540FF"/>
    <w:rsid w:val="0095413A"/>
    <w:rsid w:val="00954247"/>
    <w:rsid w:val="00954294"/>
    <w:rsid w:val="00954386"/>
    <w:rsid w:val="00954430"/>
    <w:rsid w:val="009544AD"/>
    <w:rsid w:val="00954554"/>
    <w:rsid w:val="009545A3"/>
    <w:rsid w:val="009545D0"/>
    <w:rsid w:val="009545E2"/>
    <w:rsid w:val="009546E7"/>
    <w:rsid w:val="00954916"/>
    <w:rsid w:val="00954AB4"/>
    <w:rsid w:val="00954C13"/>
    <w:rsid w:val="00954DD6"/>
    <w:rsid w:val="00954F39"/>
    <w:rsid w:val="00955141"/>
    <w:rsid w:val="009551AA"/>
    <w:rsid w:val="009551BB"/>
    <w:rsid w:val="009552E4"/>
    <w:rsid w:val="00955324"/>
    <w:rsid w:val="00955351"/>
    <w:rsid w:val="00955479"/>
    <w:rsid w:val="0095548F"/>
    <w:rsid w:val="0095564A"/>
    <w:rsid w:val="009557D7"/>
    <w:rsid w:val="009557F9"/>
    <w:rsid w:val="009558CC"/>
    <w:rsid w:val="00955924"/>
    <w:rsid w:val="00955CDD"/>
    <w:rsid w:val="00955D30"/>
    <w:rsid w:val="00955E41"/>
    <w:rsid w:val="00955E87"/>
    <w:rsid w:val="00955F95"/>
    <w:rsid w:val="00956013"/>
    <w:rsid w:val="00956082"/>
    <w:rsid w:val="009563A9"/>
    <w:rsid w:val="0095657E"/>
    <w:rsid w:val="0095660F"/>
    <w:rsid w:val="0095672E"/>
    <w:rsid w:val="0095676E"/>
    <w:rsid w:val="009567D7"/>
    <w:rsid w:val="00956897"/>
    <w:rsid w:val="00956979"/>
    <w:rsid w:val="009569FF"/>
    <w:rsid w:val="00956E09"/>
    <w:rsid w:val="00956EBA"/>
    <w:rsid w:val="00956F40"/>
    <w:rsid w:val="0095706E"/>
    <w:rsid w:val="009570DB"/>
    <w:rsid w:val="009572CE"/>
    <w:rsid w:val="0095749A"/>
    <w:rsid w:val="00957575"/>
    <w:rsid w:val="0095762F"/>
    <w:rsid w:val="00957650"/>
    <w:rsid w:val="00957775"/>
    <w:rsid w:val="009577F9"/>
    <w:rsid w:val="0095782C"/>
    <w:rsid w:val="0095798B"/>
    <w:rsid w:val="00957A6A"/>
    <w:rsid w:val="00957E1C"/>
    <w:rsid w:val="00957E2C"/>
    <w:rsid w:val="00957F1D"/>
    <w:rsid w:val="00957F72"/>
    <w:rsid w:val="009601D0"/>
    <w:rsid w:val="009602A4"/>
    <w:rsid w:val="009602DE"/>
    <w:rsid w:val="009605CD"/>
    <w:rsid w:val="0096061F"/>
    <w:rsid w:val="00960723"/>
    <w:rsid w:val="009607F1"/>
    <w:rsid w:val="00960C77"/>
    <w:rsid w:val="00960CD2"/>
    <w:rsid w:val="00960E1F"/>
    <w:rsid w:val="00960E20"/>
    <w:rsid w:val="009610CA"/>
    <w:rsid w:val="009610EA"/>
    <w:rsid w:val="009611CB"/>
    <w:rsid w:val="00961278"/>
    <w:rsid w:val="0096135B"/>
    <w:rsid w:val="0096137B"/>
    <w:rsid w:val="00961472"/>
    <w:rsid w:val="0096159C"/>
    <w:rsid w:val="0096173D"/>
    <w:rsid w:val="009617EF"/>
    <w:rsid w:val="00961961"/>
    <w:rsid w:val="00961A89"/>
    <w:rsid w:val="00961D73"/>
    <w:rsid w:val="00961EDD"/>
    <w:rsid w:val="009620E0"/>
    <w:rsid w:val="00962109"/>
    <w:rsid w:val="009621BB"/>
    <w:rsid w:val="009621E4"/>
    <w:rsid w:val="009622CF"/>
    <w:rsid w:val="0096236A"/>
    <w:rsid w:val="0096236E"/>
    <w:rsid w:val="009624CD"/>
    <w:rsid w:val="0096250C"/>
    <w:rsid w:val="009626A8"/>
    <w:rsid w:val="00962894"/>
    <w:rsid w:val="00962B0B"/>
    <w:rsid w:val="00962CCC"/>
    <w:rsid w:val="00962D2D"/>
    <w:rsid w:val="00962DA8"/>
    <w:rsid w:val="00962E2D"/>
    <w:rsid w:val="00962F67"/>
    <w:rsid w:val="00963004"/>
    <w:rsid w:val="00963035"/>
    <w:rsid w:val="00963105"/>
    <w:rsid w:val="00963237"/>
    <w:rsid w:val="00963331"/>
    <w:rsid w:val="00963447"/>
    <w:rsid w:val="009634A8"/>
    <w:rsid w:val="009635A7"/>
    <w:rsid w:val="0096374B"/>
    <w:rsid w:val="00963865"/>
    <w:rsid w:val="00963A52"/>
    <w:rsid w:val="00963ABE"/>
    <w:rsid w:val="00963BD0"/>
    <w:rsid w:val="00963C9A"/>
    <w:rsid w:val="00963CD4"/>
    <w:rsid w:val="00963D55"/>
    <w:rsid w:val="00964024"/>
    <w:rsid w:val="00964198"/>
    <w:rsid w:val="009642FA"/>
    <w:rsid w:val="00964368"/>
    <w:rsid w:val="0096438B"/>
    <w:rsid w:val="009645A5"/>
    <w:rsid w:val="00964699"/>
    <w:rsid w:val="00964791"/>
    <w:rsid w:val="009647EE"/>
    <w:rsid w:val="0096494B"/>
    <w:rsid w:val="00964986"/>
    <w:rsid w:val="0096499B"/>
    <w:rsid w:val="009649CE"/>
    <w:rsid w:val="00964A99"/>
    <w:rsid w:val="00964B2D"/>
    <w:rsid w:val="00964D59"/>
    <w:rsid w:val="00964DC4"/>
    <w:rsid w:val="00964DE6"/>
    <w:rsid w:val="009650E0"/>
    <w:rsid w:val="0096530D"/>
    <w:rsid w:val="009654A2"/>
    <w:rsid w:val="009654EB"/>
    <w:rsid w:val="009656F1"/>
    <w:rsid w:val="00965757"/>
    <w:rsid w:val="009657F3"/>
    <w:rsid w:val="009659DA"/>
    <w:rsid w:val="00965A7C"/>
    <w:rsid w:val="00965DA7"/>
    <w:rsid w:val="00965F5E"/>
    <w:rsid w:val="0096600F"/>
    <w:rsid w:val="00966086"/>
    <w:rsid w:val="00966096"/>
    <w:rsid w:val="0096609C"/>
    <w:rsid w:val="009660FC"/>
    <w:rsid w:val="0096617B"/>
    <w:rsid w:val="00966603"/>
    <w:rsid w:val="00966649"/>
    <w:rsid w:val="00966774"/>
    <w:rsid w:val="00966958"/>
    <w:rsid w:val="00966A00"/>
    <w:rsid w:val="00966B6B"/>
    <w:rsid w:val="00966C9B"/>
    <w:rsid w:val="00966D51"/>
    <w:rsid w:val="00966E04"/>
    <w:rsid w:val="00966E65"/>
    <w:rsid w:val="00966EFF"/>
    <w:rsid w:val="00966F38"/>
    <w:rsid w:val="009670BA"/>
    <w:rsid w:val="00967195"/>
    <w:rsid w:val="00967441"/>
    <w:rsid w:val="009675D7"/>
    <w:rsid w:val="0096768E"/>
    <w:rsid w:val="009676B8"/>
    <w:rsid w:val="009678F8"/>
    <w:rsid w:val="00967974"/>
    <w:rsid w:val="00967B4A"/>
    <w:rsid w:val="00967C4F"/>
    <w:rsid w:val="00967C58"/>
    <w:rsid w:val="00967CF6"/>
    <w:rsid w:val="00967D9D"/>
    <w:rsid w:val="00967E16"/>
    <w:rsid w:val="00967E3E"/>
    <w:rsid w:val="00967FAE"/>
    <w:rsid w:val="00967FE1"/>
    <w:rsid w:val="00970006"/>
    <w:rsid w:val="00970038"/>
    <w:rsid w:val="009700F6"/>
    <w:rsid w:val="009701D6"/>
    <w:rsid w:val="009705A6"/>
    <w:rsid w:val="009705DB"/>
    <w:rsid w:val="009705F2"/>
    <w:rsid w:val="00970697"/>
    <w:rsid w:val="009706CA"/>
    <w:rsid w:val="009707CD"/>
    <w:rsid w:val="009707F4"/>
    <w:rsid w:val="00970A02"/>
    <w:rsid w:val="00970A76"/>
    <w:rsid w:val="00970B7B"/>
    <w:rsid w:val="00970B91"/>
    <w:rsid w:val="00970C46"/>
    <w:rsid w:val="00970CB5"/>
    <w:rsid w:val="00970CED"/>
    <w:rsid w:val="00970DA6"/>
    <w:rsid w:val="00970E29"/>
    <w:rsid w:val="00970ED2"/>
    <w:rsid w:val="00971036"/>
    <w:rsid w:val="00971083"/>
    <w:rsid w:val="009710AC"/>
    <w:rsid w:val="009712D0"/>
    <w:rsid w:val="0097180C"/>
    <w:rsid w:val="00971B17"/>
    <w:rsid w:val="00971B79"/>
    <w:rsid w:val="00971BEA"/>
    <w:rsid w:val="00971C81"/>
    <w:rsid w:val="00971DD8"/>
    <w:rsid w:val="00971E66"/>
    <w:rsid w:val="00971E93"/>
    <w:rsid w:val="00971ED7"/>
    <w:rsid w:val="009722D4"/>
    <w:rsid w:val="00972446"/>
    <w:rsid w:val="0097245A"/>
    <w:rsid w:val="0097247D"/>
    <w:rsid w:val="0097254C"/>
    <w:rsid w:val="009725A1"/>
    <w:rsid w:val="009725B2"/>
    <w:rsid w:val="009725F1"/>
    <w:rsid w:val="00972762"/>
    <w:rsid w:val="00972929"/>
    <w:rsid w:val="00972A5F"/>
    <w:rsid w:val="00972A73"/>
    <w:rsid w:val="00972AA7"/>
    <w:rsid w:val="00972D31"/>
    <w:rsid w:val="00972F12"/>
    <w:rsid w:val="00972F7D"/>
    <w:rsid w:val="00972F97"/>
    <w:rsid w:val="0097308E"/>
    <w:rsid w:val="00973198"/>
    <w:rsid w:val="00973510"/>
    <w:rsid w:val="009735E4"/>
    <w:rsid w:val="009736F6"/>
    <w:rsid w:val="009737B4"/>
    <w:rsid w:val="009738DB"/>
    <w:rsid w:val="0097398B"/>
    <w:rsid w:val="00973B0F"/>
    <w:rsid w:val="00973C93"/>
    <w:rsid w:val="00973F32"/>
    <w:rsid w:val="00973FD5"/>
    <w:rsid w:val="0097405C"/>
    <w:rsid w:val="009740F4"/>
    <w:rsid w:val="009741C8"/>
    <w:rsid w:val="009743AD"/>
    <w:rsid w:val="009743BF"/>
    <w:rsid w:val="00974557"/>
    <w:rsid w:val="00974961"/>
    <w:rsid w:val="00974B64"/>
    <w:rsid w:val="00974BD0"/>
    <w:rsid w:val="00974BE9"/>
    <w:rsid w:val="00974C41"/>
    <w:rsid w:val="00974E3A"/>
    <w:rsid w:val="00974E50"/>
    <w:rsid w:val="00975078"/>
    <w:rsid w:val="009750B3"/>
    <w:rsid w:val="00975200"/>
    <w:rsid w:val="00975223"/>
    <w:rsid w:val="0097529D"/>
    <w:rsid w:val="00975344"/>
    <w:rsid w:val="0097551B"/>
    <w:rsid w:val="009756C3"/>
    <w:rsid w:val="0097579A"/>
    <w:rsid w:val="0097579B"/>
    <w:rsid w:val="009757E3"/>
    <w:rsid w:val="00975DDC"/>
    <w:rsid w:val="009761D2"/>
    <w:rsid w:val="00976466"/>
    <w:rsid w:val="009764AC"/>
    <w:rsid w:val="009764B4"/>
    <w:rsid w:val="00976595"/>
    <w:rsid w:val="009766D7"/>
    <w:rsid w:val="0097673D"/>
    <w:rsid w:val="00976759"/>
    <w:rsid w:val="00976892"/>
    <w:rsid w:val="00976914"/>
    <w:rsid w:val="0097698C"/>
    <w:rsid w:val="009769B0"/>
    <w:rsid w:val="00976B12"/>
    <w:rsid w:val="00976C21"/>
    <w:rsid w:val="00976C87"/>
    <w:rsid w:val="00976C9A"/>
    <w:rsid w:val="00976E3E"/>
    <w:rsid w:val="00976E9D"/>
    <w:rsid w:val="0097700F"/>
    <w:rsid w:val="009770B2"/>
    <w:rsid w:val="009770DA"/>
    <w:rsid w:val="00977232"/>
    <w:rsid w:val="00977572"/>
    <w:rsid w:val="00977577"/>
    <w:rsid w:val="009776D0"/>
    <w:rsid w:val="009777C0"/>
    <w:rsid w:val="009778BF"/>
    <w:rsid w:val="0097796A"/>
    <w:rsid w:val="00977A49"/>
    <w:rsid w:val="00977A55"/>
    <w:rsid w:val="00977CB3"/>
    <w:rsid w:val="00977D2C"/>
    <w:rsid w:val="00977E2F"/>
    <w:rsid w:val="00977EC0"/>
    <w:rsid w:val="009802E9"/>
    <w:rsid w:val="0098054A"/>
    <w:rsid w:val="009805E4"/>
    <w:rsid w:val="009806BD"/>
    <w:rsid w:val="00980893"/>
    <w:rsid w:val="00980CB0"/>
    <w:rsid w:val="00980DB5"/>
    <w:rsid w:val="00981193"/>
    <w:rsid w:val="0098140B"/>
    <w:rsid w:val="00981603"/>
    <w:rsid w:val="00981655"/>
    <w:rsid w:val="0098171D"/>
    <w:rsid w:val="009817DA"/>
    <w:rsid w:val="0098182A"/>
    <w:rsid w:val="00981AE0"/>
    <w:rsid w:val="00981B73"/>
    <w:rsid w:val="00981B79"/>
    <w:rsid w:val="00981E73"/>
    <w:rsid w:val="0098200A"/>
    <w:rsid w:val="0098204F"/>
    <w:rsid w:val="0098206B"/>
    <w:rsid w:val="00982091"/>
    <w:rsid w:val="00982735"/>
    <w:rsid w:val="009827EE"/>
    <w:rsid w:val="00982B39"/>
    <w:rsid w:val="00982D03"/>
    <w:rsid w:val="00982D86"/>
    <w:rsid w:val="00983000"/>
    <w:rsid w:val="00983075"/>
    <w:rsid w:val="009830ED"/>
    <w:rsid w:val="0098317E"/>
    <w:rsid w:val="00983197"/>
    <w:rsid w:val="009831F7"/>
    <w:rsid w:val="00983500"/>
    <w:rsid w:val="00983589"/>
    <w:rsid w:val="00983686"/>
    <w:rsid w:val="00983688"/>
    <w:rsid w:val="0098369D"/>
    <w:rsid w:val="009837A3"/>
    <w:rsid w:val="009837FD"/>
    <w:rsid w:val="009838CA"/>
    <w:rsid w:val="00983BAD"/>
    <w:rsid w:val="00983D61"/>
    <w:rsid w:val="00983DD5"/>
    <w:rsid w:val="00983ED8"/>
    <w:rsid w:val="00983FFE"/>
    <w:rsid w:val="00984140"/>
    <w:rsid w:val="00984168"/>
    <w:rsid w:val="0098422D"/>
    <w:rsid w:val="00984249"/>
    <w:rsid w:val="0098424E"/>
    <w:rsid w:val="009842E6"/>
    <w:rsid w:val="00984593"/>
    <w:rsid w:val="00984752"/>
    <w:rsid w:val="00984878"/>
    <w:rsid w:val="00984A26"/>
    <w:rsid w:val="00984BD3"/>
    <w:rsid w:val="0098502C"/>
    <w:rsid w:val="00985336"/>
    <w:rsid w:val="00985408"/>
    <w:rsid w:val="0098548B"/>
    <w:rsid w:val="0098561C"/>
    <w:rsid w:val="0098561F"/>
    <w:rsid w:val="00985A34"/>
    <w:rsid w:val="00985AE1"/>
    <w:rsid w:val="00985B99"/>
    <w:rsid w:val="00985BA3"/>
    <w:rsid w:val="00985BB3"/>
    <w:rsid w:val="00985CCF"/>
    <w:rsid w:val="00985D67"/>
    <w:rsid w:val="00985FC5"/>
    <w:rsid w:val="00986156"/>
    <w:rsid w:val="00986198"/>
    <w:rsid w:val="0098621A"/>
    <w:rsid w:val="009863B1"/>
    <w:rsid w:val="009863E8"/>
    <w:rsid w:val="00986666"/>
    <w:rsid w:val="009866B7"/>
    <w:rsid w:val="009866B8"/>
    <w:rsid w:val="009866D2"/>
    <w:rsid w:val="00986713"/>
    <w:rsid w:val="009867D8"/>
    <w:rsid w:val="009868BD"/>
    <w:rsid w:val="009869BA"/>
    <w:rsid w:val="00986B7A"/>
    <w:rsid w:val="00986BEB"/>
    <w:rsid w:val="00986C0D"/>
    <w:rsid w:val="00986F1A"/>
    <w:rsid w:val="00986F2A"/>
    <w:rsid w:val="00986F61"/>
    <w:rsid w:val="0098712D"/>
    <w:rsid w:val="0098730E"/>
    <w:rsid w:val="00987455"/>
    <w:rsid w:val="009875D1"/>
    <w:rsid w:val="009879B0"/>
    <w:rsid w:val="009879CC"/>
    <w:rsid w:val="00987A43"/>
    <w:rsid w:val="00987ADF"/>
    <w:rsid w:val="00987BD7"/>
    <w:rsid w:val="00987D11"/>
    <w:rsid w:val="00987D17"/>
    <w:rsid w:val="00987D92"/>
    <w:rsid w:val="00987DA9"/>
    <w:rsid w:val="00987DB0"/>
    <w:rsid w:val="00987E2D"/>
    <w:rsid w:val="00987E5F"/>
    <w:rsid w:val="0099048E"/>
    <w:rsid w:val="009904C2"/>
    <w:rsid w:val="009905B6"/>
    <w:rsid w:val="009906A6"/>
    <w:rsid w:val="00990981"/>
    <w:rsid w:val="0099098D"/>
    <w:rsid w:val="00990AE4"/>
    <w:rsid w:val="00990B58"/>
    <w:rsid w:val="00990C3E"/>
    <w:rsid w:val="00990CDE"/>
    <w:rsid w:val="00990F3A"/>
    <w:rsid w:val="00990F70"/>
    <w:rsid w:val="00990FA6"/>
    <w:rsid w:val="009911E5"/>
    <w:rsid w:val="00991201"/>
    <w:rsid w:val="00991222"/>
    <w:rsid w:val="009912D3"/>
    <w:rsid w:val="009913B2"/>
    <w:rsid w:val="0099152A"/>
    <w:rsid w:val="00991572"/>
    <w:rsid w:val="009915E0"/>
    <w:rsid w:val="0099161F"/>
    <w:rsid w:val="00991803"/>
    <w:rsid w:val="00991963"/>
    <w:rsid w:val="00991973"/>
    <w:rsid w:val="00991BF6"/>
    <w:rsid w:val="00991C5B"/>
    <w:rsid w:val="00991D63"/>
    <w:rsid w:val="00991E61"/>
    <w:rsid w:val="00991EC8"/>
    <w:rsid w:val="00991F60"/>
    <w:rsid w:val="00991FF9"/>
    <w:rsid w:val="00992167"/>
    <w:rsid w:val="00992258"/>
    <w:rsid w:val="009922C9"/>
    <w:rsid w:val="009922FE"/>
    <w:rsid w:val="00992300"/>
    <w:rsid w:val="0099230B"/>
    <w:rsid w:val="0099236B"/>
    <w:rsid w:val="009923C3"/>
    <w:rsid w:val="00992453"/>
    <w:rsid w:val="00992486"/>
    <w:rsid w:val="00992556"/>
    <w:rsid w:val="009925D2"/>
    <w:rsid w:val="009925EC"/>
    <w:rsid w:val="0099279F"/>
    <w:rsid w:val="009927A0"/>
    <w:rsid w:val="00992964"/>
    <w:rsid w:val="00992A18"/>
    <w:rsid w:val="00992CFA"/>
    <w:rsid w:val="00992D4B"/>
    <w:rsid w:val="00992E4D"/>
    <w:rsid w:val="00992F50"/>
    <w:rsid w:val="00992F90"/>
    <w:rsid w:val="00993102"/>
    <w:rsid w:val="009932BA"/>
    <w:rsid w:val="0099338B"/>
    <w:rsid w:val="00993390"/>
    <w:rsid w:val="0099353A"/>
    <w:rsid w:val="00993752"/>
    <w:rsid w:val="00993819"/>
    <w:rsid w:val="0099381F"/>
    <w:rsid w:val="00993955"/>
    <w:rsid w:val="00993AD9"/>
    <w:rsid w:val="00993B0E"/>
    <w:rsid w:val="00993B5F"/>
    <w:rsid w:val="00993B90"/>
    <w:rsid w:val="00993C7E"/>
    <w:rsid w:val="00993C9D"/>
    <w:rsid w:val="00993CF1"/>
    <w:rsid w:val="00993F36"/>
    <w:rsid w:val="00993F96"/>
    <w:rsid w:val="00994053"/>
    <w:rsid w:val="00994170"/>
    <w:rsid w:val="009941AE"/>
    <w:rsid w:val="00994304"/>
    <w:rsid w:val="009943D4"/>
    <w:rsid w:val="00994610"/>
    <w:rsid w:val="0099469A"/>
    <w:rsid w:val="0099473E"/>
    <w:rsid w:val="009948AC"/>
    <w:rsid w:val="00994AA1"/>
    <w:rsid w:val="00994D3A"/>
    <w:rsid w:val="00994F78"/>
    <w:rsid w:val="00994F8D"/>
    <w:rsid w:val="00994FEA"/>
    <w:rsid w:val="0099524D"/>
    <w:rsid w:val="0099527B"/>
    <w:rsid w:val="0099528E"/>
    <w:rsid w:val="0099545D"/>
    <w:rsid w:val="009956EA"/>
    <w:rsid w:val="0099571F"/>
    <w:rsid w:val="009957C9"/>
    <w:rsid w:val="0099586D"/>
    <w:rsid w:val="009958AE"/>
    <w:rsid w:val="009959D5"/>
    <w:rsid w:val="009959F4"/>
    <w:rsid w:val="00995B52"/>
    <w:rsid w:val="00995B78"/>
    <w:rsid w:val="00995C93"/>
    <w:rsid w:val="00995C97"/>
    <w:rsid w:val="00995CC2"/>
    <w:rsid w:val="00995E59"/>
    <w:rsid w:val="00995E76"/>
    <w:rsid w:val="00996195"/>
    <w:rsid w:val="0099636A"/>
    <w:rsid w:val="00996388"/>
    <w:rsid w:val="009966AB"/>
    <w:rsid w:val="00996714"/>
    <w:rsid w:val="009969AF"/>
    <w:rsid w:val="00996BD4"/>
    <w:rsid w:val="00996C19"/>
    <w:rsid w:val="00996D15"/>
    <w:rsid w:val="00996D89"/>
    <w:rsid w:val="00996D8E"/>
    <w:rsid w:val="00996DF8"/>
    <w:rsid w:val="00996E4D"/>
    <w:rsid w:val="00996F62"/>
    <w:rsid w:val="009971A6"/>
    <w:rsid w:val="009971DD"/>
    <w:rsid w:val="0099738D"/>
    <w:rsid w:val="009973DB"/>
    <w:rsid w:val="009974B9"/>
    <w:rsid w:val="0099763B"/>
    <w:rsid w:val="00997817"/>
    <w:rsid w:val="0099786E"/>
    <w:rsid w:val="00997899"/>
    <w:rsid w:val="00997A78"/>
    <w:rsid w:val="00997A84"/>
    <w:rsid w:val="00997B71"/>
    <w:rsid w:val="00997E12"/>
    <w:rsid w:val="009A000D"/>
    <w:rsid w:val="009A0147"/>
    <w:rsid w:val="009A0326"/>
    <w:rsid w:val="009A0385"/>
    <w:rsid w:val="009A038F"/>
    <w:rsid w:val="009A03F0"/>
    <w:rsid w:val="009A0471"/>
    <w:rsid w:val="009A0544"/>
    <w:rsid w:val="009A0589"/>
    <w:rsid w:val="009A05F7"/>
    <w:rsid w:val="009A0603"/>
    <w:rsid w:val="009A06A1"/>
    <w:rsid w:val="009A077C"/>
    <w:rsid w:val="009A0987"/>
    <w:rsid w:val="009A0A39"/>
    <w:rsid w:val="009A0AC6"/>
    <w:rsid w:val="009A0B28"/>
    <w:rsid w:val="009A0BBC"/>
    <w:rsid w:val="009A0BE7"/>
    <w:rsid w:val="009A0E78"/>
    <w:rsid w:val="009A0F8B"/>
    <w:rsid w:val="009A1009"/>
    <w:rsid w:val="009A1064"/>
    <w:rsid w:val="009A10E6"/>
    <w:rsid w:val="009A1122"/>
    <w:rsid w:val="009A11A6"/>
    <w:rsid w:val="009A1378"/>
    <w:rsid w:val="009A137E"/>
    <w:rsid w:val="009A13B6"/>
    <w:rsid w:val="009A149E"/>
    <w:rsid w:val="009A1543"/>
    <w:rsid w:val="009A1672"/>
    <w:rsid w:val="009A1804"/>
    <w:rsid w:val="009A18DA"/>
    <w:rsid w:val="009A1AC2"/>
    <w:rsid w:val="009A1B54"/>
    <w:rsid w:val="009A1B5B"/>
    <w:rsid w:val="009A1C64"/>
    <w:rsid w:val="009A1DA0"/>
    <w:rsid w:val="009A1EC0"/>
    <w:rsid w:val="009A2233"/>
    <w:rsid w:val="009A2453"/>
    <w:rsid w:val="009A2640"/>
    <w:rsid w:val="009A269C"/>
    <w:rsid w:val="009A27F6"/>
    <w:rsid w:val="009A280B"/>
    <w:rsid w:val="009A284D"/>
    <w:rsid w:val="009A2AC8"/>
    <w:rsid w:val="009A2B3F"/>
    <w:rsid w:val="009A2B6A"/>
    <w:rsid w:val="009A2BC2"/>
    <w:rsid w:val="009A2C45"/>
    <w:rsid w:val="009A2DBB"/>
    <w:rsid w:val="009A2E56"/>
    <w:rsid w:val="009A2EA6"/>
    <w:rsid w:val="009A2EE8"/>
    <w:rsid w:val="009A2F17"/>
    <w:rsid w:val="009A300A"/>
    <w:rsid w:val="009A3058"/>
    <w:rsid w:val="009A3221"/>
    <w:rsid w:val="009A33C0"/>
    <w:rsid w:val="009A39D7"/>
    <w:rsid w:val="009A3AA7"/>
    <w:rsid w:val="009A3AB3"/>
    <w:rsid w:val="009A3C00"/>
    <w:rsid w:val="009A3C13"/>
    <w:rsid w:val="009A3F95"/>
    <w:rsid w:val="009A3FF6"/>
    <w:rsid w:val="009A4234"/>
    <w:rsid w:val="009A42EF"/>
    <w:rsid w:val="009A42F3"/>
    <w:rsid w:val="009A4315"/>
    <w:rsid w:val="009A43DC"/>
    <w:rsid w:val="009A43E4"/>
    <w:rsid w:val="009A4521"/>
    <w:rsid w:val="009A456C"/>
    <w:rsid w:val="009A4578"/>
    <w:rsid w:val="009A4591"/>
    <w:rsid w:val="009A469D"/>
    <w:rsid w:val="009A46BB"/>
    <w:rsid w:val="009A46CA"/>
    <w:rsid w:val="009A47D9"/>
    <w:rsid w:val="009A4A36"/>
    <w:rsid w:val="009A4B44"/>
    <w:rsid w:val="009A4B71"/>
    <w:rsid w:val="009A4D9A"/>
    <w:rsid w:val="009A4DBE"/>
    <w:rsid w:val="009A4E85"/>
    <w:rsid w:val="009A4F4B"/>
    <w:rsid w:val="009A4F5E"/>
    <w:rsid w:val="009A4F7C"/>
    <w:rsid w:val="009A4FDD"/>
    <w:rsid w:val="009A50BB"/>
    <w:rsid w:val="009A518C"/>
    <w:rsid w:val="009A5248"/>
    <w:rsid w:val="009A5407"/>
    <w:rsid w:val="009A557C"/>
    <w:rsid w:val="009A5595"/>
    <w:rsid w:val="009A55C0"/>
    <w:rsid w:val="009A5758"/>
    <w:rsid w:val="009A588F"/>
    <w:rsid w:val="009A59A6"/>
    <w:rsid w:val="009A5A2A"/>
    <w:rsid w:val="009A5A97"/>
    <w:rsid w:val="009A5AA1"/>
    <w:rsid w:val="009A5B28"/>
    <w:rsid w:val="009A5BB3"/>
    <w:rsid w:val="009A5BEF"/>
    <w:rsid w:val="009A5C15"/>
    <w:rsid w:val="009A5C6A"/>
    <w:rsid w:val="009A5CE8"/>
    <w:rsid w:val="009A6105"/>
    <w:rsid w:val="009A618A"/>
    <w:rsid w:val="009A623B"/>
    <w:rsid w:val="009A63F6"/>
    <w:rsid w:val="009A64AD"/>
    <w:rsid w:val="009A65F4"/>
    <w:rsid w:val="009A6717"/>
    <w:rsid w:val="009A67F6"/>
    <w:rsid w:val="009A68BF"/>
    <w:rsid w:val="009A68C4"/>
    <w:rsid w:val="009A6982"/>
    <w:rsid w:val="009A69B8"/>
    <w:rsid w:val="009A6BE8"/>
    <w:rsid w:val="009A7087"/>
    <w:rsid w:val="009A70DC"/>
    <w:rsid w:val="009A72A4"/>
    <w:rsid w:val="009A736E"/>
    <w:rsid w:val="009A744E"/>
    <w:rsid w:val="009A74ED"/>
    <w:rsid w:val="009A756F"/>
    <w:rsid w:val="009A7A4F"/>
    <w:rsid w:val="009A7A53"/>
    <w:rsid w:val="009A7B17"/>
    <w:rsid w:val="009A7E49"/>
    <w:rsid w:val="009A7F9B"/>
    <w:rsid w:val="009B0002"/>
    <w:rsid w:val="009B0349"/>
    <w:rsid w:val="009B0354"/>
    <w:rsid w:val="009B03DB"/>
    <w:rsid w:val="009B051F"/>
    <w:rsid w:val="009B056F"/>
    <w:rsid w:val="009B064C"/>
    <w:rsid w:val="009B071D"/>
    <w:rsid w:val="009B076F"/>
    <w:rsid w:val="009B08C8"/>
    <w:rsid w:val="009B1379"/>
    <w:rsid w:val="009B14A0"/>
    <w:rsid w:val="009B1508"/>
    <w:rsid w:val="009B161C"/>
    <w:rsid w:val="009B16C8"/>
    <w:rsid w:val="009B1841"/>
    <w:rsid w:val="009B1A6C"/>
    <w:rsid w:val="009B1A76"/>
    <w:rsid w:val="009B1ABA"/>
    <w:rsid w:val="009B1B60"/>
    <w:rsid w:val="009B1B8C"/>
    <w:rsid w:val="009B1BEB"/>
    <w:rsid w:val="009B1E1D"/>
    <w:rsid w:val="009B1F75"/>
    <w:rsid w:val="009B1F81"/>
    <w:rsid w:val="009B1FAA"/>
    <w:rsid w:val="009B21FD"/>
    <w:rsid w:val="009B23F7"/>
    <w:rsid w:val="009B2679"/>
    <w:rsid w:val="009B2806"/>
    <w:rsid w:val="009B28B6"/>
    <w:rsid w:val="009B28FD"/>
    <w:rsid w:val="009B2AEB"/>
    <w:rsid w:val="009B2B02"/>
    <w:rsid w:val="009B2BE3"/>
    <w:rsid w:val="009B2D64"/>
    <w:rsid w:val="009B2EB5"/>
    <w:rsid w:val="009B2F81"/>
    <w:rsid w:val="009B2FD8"/>
    <w:rsid w:val="009B303E"/>
    <w:rsid w:val="009B305F"/>
    <w:rsid w:val="009B3346"/>
    <w:rsid w:val="009B35F5"/>
    <w:rsid w:val="009B3616"/>
    <w:rsid w:val="009B3642"/>
    <w:rsid w:val="009B36E2"/>
    <w:rsid w:val="009B374A"/>
    <w:rsid w:val="009B37A3"/>
    <w:rsid w:val="009B37DF"/>
    <w:rsid w:val="009B38B7"/>
    <w:rsid w:val="009B3942"/>
    <w:rsid w:val="009B395F"/>
    <w:rsid w:val="009B3A2A"/>
    <w:rsid w:val="009B3A86"/>
    <w:rsid w:val="009B3CC1"/>
    <w:rsid w:val="009B3D10"/>
    <w:rsid w:val="009B3DD4"/>
    <w:rsid w:val="009B3DE8"/>
    <w:rsid w:val="009B3E23"/>
    <w:rsid w:val="009B3E64"/>
    <w:rsid w:val="009B3E77"/>
    <w:rsid w:val="009B3F3A"/>
    <w:rsid w:val="009B3F8F"/>
    <w:rsid w:val="009B3FFE"/>
    <w:rsid w:val="009B4028"/>
    <w:rsid w:val="009B408B"/>
    <w:rsid w:val="009B40A6"/>
    <w:rsid w:val="009B410E"/>
    <w:rsid w:val="009B4198"/>
    <w:rsid w:val="009B41F8"/>
    <w:rsid w:val="009B42A1"/>
    <w:rsid w:val="009B43B5"/>
    <w:rsid w:val="009B4494"/>
    <w:rsid w:val="009B45FB"/>
    <w:rsid w:val="009B462A"/>
    <w:rsid w:val="009B4643"/>
    <w:rsid w:val="009B470F"/>
    <w:rsid w:val="009B4756"/>
    <w:rsid w:val="009B4902"/>
    <w:rsid w:val="009B4944"/>
    <w:rsid w:val="009B4B42"/>
    <w:rsid w:val="009B4B8B"/>
    <w:rsid w:val="009B4E05"/>
    <w:rsid w:val="009B4EDC"/>
    <w:rsid w:val="009B4EDF"/>
    <w:rsid w:val="009B4F2D"/>
    <w:rsid w:val="009B507A"/>
    <w:rsid w:val="009B50C7"/>
    <w:rsid w:val="009B515E"/>
    <w:rsid w:val="009B518C"/>
    <w:rsid w:val="009B546D"/>
    <w:rsid w:val="009B54B7"/>
    <w:rsid w:val="009B55DC"/>
    <w:rsid w:val="009B55F1"/>
    <w:rsid w:val="009B5615"/>
    <w:rsid w:val="009B56AF"/>
    <w:rsid w:val="009B56F7"/>
    <w:rsid w:val="009B59D2"/>
    <w:rsid w:val="009B5A16"/>
    <w:rsid w:val="009B5A5E"/>
    <w:rsid w:val="009B5A5F"/>
    <w:rsid w:val="009B5B96"/>
    <w:rsid w:val="009B5D18"/>
    <w:rsid w:val="009B5DC6"/>
    <w:rsid w:val="009B5DF3"/>
    <w:rsid w:val="009B6093"/>
    <w:rsid w:val="009B60A1"/>
    <w:rsid w:val="009B61E1"/>
    <w:rsid w:val="009B61F2"/>
    <w:rsid w:val="009B62BC"/>
    <w:rsid w:val="009B62FD"/>
    <w:rsid w:val="009B631F"/>
    <w:rsid w:val="009B6398"/>
    <w:rsid w:val="009B63FD"/>
    <w:rsid w:val="009B6481"/>
    <w:rsid w:val="009B67F1"/>
    <w:rsid w:val="009B6812"/>
    <w:rsid w:val="009B6919"/>
    <w:rsid w:val="009B6995"/>
    <w:rsid w:val="009B69C7"/>
    <w:rsid w:val="009B6AEC"/>
    <w:rsid w:val="009B6CAE"/>
    <w:rsid w:val="009B6EAD"/>
    <w:rsid w:val="009B6F18"/>
    <w:rsid w:val="009B713E"/>
    <w:rsid w:val="009B71BA"/>
    <w:rsid w:val="009B72CA"/>
    <w:rsid w:val="009B738B"/>
    <w:rsid w:val="009B7471"/>
    <w:rsid w:val="009B7535"/>
    <w:rsid w:val="009B7614"/>
    <w:rsid w:val="009B785D"/>
    <w:rsid w:val="009B788E"/>
    <w:rsid w:val="009B78B0"/>
    <w:rsid w:val="009B7AD1"/>
    <w:rsid w:val="009B7B2C"/>
    <w:rsid w:val="009B7D04"/>
    <w:rsid w:val="009B7FD3"/>
    <w:rsid w:val="009C02E7"/>
    <w:rsid w:val="009C0361"/>
    <w:rsid w:val="009C0368"/>
    <w:rsid w:val="009C0403"/>
    <w:rsid w:val="009C076F"/>
    <w:rsid w:val="009C08C3"/>
    <w:rsid w:val="009C0914"/>
    <w:rsid w:val="009C096B"/>
    <w:rsid w:val="009C0992"/>
    <w:rsid w:val="009C09C1"/>
    <w:rsid w:val="009C0A41"/>
    <w:rsid w:val="009C0A66"/>
    <w:rsid w:val="009C0B1E"/>
    <w:rsid w:val="009C0C82"/>
    <w:rsid w:val="009C0D42"/>
    <w:rsid w:val="009C0F46"/>
    <w:rsid w:val="009C1088"/>
    <w:rsid w:val="009C1216"/>
    <w:rsid w:val="009C1373"/>
    <w:rsid w:val="009C1394"/>
    <w:rsid w:val="009C1503"/>
    <w:rsid w:val="009C18A7"/>
    <w:rsid w:val="009C19C2"/>
    <w:rsid w:val="009C1A58"/>
    <w:rsid w:val="009C1B34"/>
    <w:rsid w:val="009C1D6E"/>
    <w:rsid w:val="009C1EB9"/>
    <w:rsid w:val="009C1F04"/>
    <w:rsid w:val="009C2008"/>
    <w:rsid w:val="009C22AE"/>
    <w:rsid w:val="009C22E1"/>
    <w:rsid w:val="009C234C"/>
    <w:rsid w:val="009C2545"/>
    <w:rsid w:val="009C2573"/>
    <w:rsid w:val="009C2870"/>
    <w:rsid w:val="009C290C"/>
    <w:rsid w:val="009C2A68"/>
    <w:rsid w:val="009C2C97"/>
    <w:rsid w:val="009C2E73"/>
    <w:rsid w:val="009C3000"/>
    <w:rsid w:val="009C3054"/>
    <w:rsid w:val="009C3110"/>
    <w:rsid w:val="009C315C"/>
    <w:rsid w:val="009C3170"/>
    <w:rsid w:val="009C31A0"/>
    <w:rsid w:val="009C32C1"/>
    <w:rsid w:val="009C33B2"/>
    <w:rsid w:val="009C33FC"/>
    <w:rsid w:val="009C345F"/>
    <w:rsid w:val="009C3483"/>
    <w:rsid w:val="009C357F"/>
    <w:rsid w:val="009C360B"/>
    <w:rsid w:val="009C3914"/>
    <w:rsid w:val="009C3AC8"/>
    <w:rsid w:val="009C3B4A"/>
    <w:rsid w:val="009C3C16"/>
    <w:rsid w:val="009C3C2F"/>
    <w:rsid w:val="009C3C93"/>
    <w:rsid w:val="009C3D97"/>
    <w:rsid w:val="009C3DF6"/>
    <w:rsid w:val="009C3DF9"/>
    <w:rsid w:val="009C4040"/>
    <w:rsid w:val="009C4067"/>
    <w:rsid w:val="009C4088"/>
    <w:rsid w:val="009C40A6"/>
    <w:rsid w:val="009C40CD"/>
    <w:rsid w:val="009C40F8"/>
    <w:rsid w:val="009C426E"/>
    <w:rsid w:val="009C42C1"/>
    <w:rsid w:val="009C4499"/>
    <w:rsid w:val="009C4550"/>
    <w:rsid w:val="009C4928"/>
    <w:rsid w:val="009C4C4D"/>
    <w:rsid w:val="009C4F56"/>
    <w:rsid w:val="009C4F5C"/>
    <w:rsid w:val="009C504A"/>
    <w:rsid w:val="009C52A6"/>
    <w:rsid w:val="009C53DB"/>
    <w:rsid w:val="009C53FA"/>
    <w:rsid w:val="009C54A8"/>
    <w:rsid w:val="009C55F8"/>
    <w:rsid w:val="009C56A4"/>
    <w:rsid w:val="009C5794"/>
    <w:rsid w:val="009C582D"/>
    <w:rsid w:val="009C584C"/>
    <w:rsid w:val="009C5889"/>
    <w:rsid w:val="009C5893"/>
    <w:rsid w:val="009C5995"/>
    <w:rsid w:val="009C5BC2"/>
    <w:rsid w:val="009C5C5B"/>
    <w:rsid w:val="009C5DD6"/>
    <w:rsid w:val="009C5EFE"/>
    <w:rsid w:val="009C5FE0"/>
    <w:rsid w:val="009C60D3"/>
    <w:rsid w:val="009C62DC"/>
    <w:rsid w:val="009C638F"/>
    <w:rsid w:val="009C64C4"/>
    <w:rsid w:val="009C66CE"/>
    <w:rsid w:val="009C696F"/>
    <w:rsid w:val="009C6B26"/>
    <w:rsid w:val="009C6BB0"/>
    <w:rsid w:val="009C6BED"/>
    <w:rsid w:val="009C6BF6"/>
    <w:rsid w:val="009C6CA1"/>
    <w:rsid w:val="009C6E10"/>
    <w:rsid w:val="009C6EA3"/>
    <w:rsid w:val="009C7215"/>
    <w:rsid w:val="009C7354"/>
    <w:rsid w:val="009C74C9"/>
    <w:rsid w:val="009C7506"/>
    <w:rsid w:val="009C7578"/>
    <w:rsid w:val="009C75AA"/>
    <w:rsid w:val="009C76C2"/>
    <w:rsid w:val="009C7A4E"/>
    <w:rsid w:val="009C7AD0"/>
    <w:rsid w:val="009C7B18"/>
    <w:rsid w:val="009C7B9C"/>
    <w:rsid w:val="009C7C6F"/>
    <w:rsid w:val="009C7C72"/>
    <w:rsid w:val="009C7E40"/>
    <w:rsid w:val="009C7EAC"/>
    <w:rsid w:val="009C7FF5"/>
    <w:rsid w:val="009D0554"/>
    <w:rsid w:val="009D0804"/>
    <w:rsid w:val="009D081C"/>
    <w:rsid w:val="009D0B0B"/>
    <w:rsid w:val="009D0B4F"/>
    <w:rsid w:val="009D0C0E"/>
    <w:rsid w:val="009D0D49"/>
    <w:rsid w:val="009D0F9D"/>
    <w:rsid w:val="009D1013"/>
    <w:rsid w:val="009D141F"/>
    <w:rsid w:val="009D15AF"/>
    <w:rsid w:val="009D1741"/>
    <w:rsid w:val="009D1798"/>
    <w:rsid w:val="009D187E"/>
    <w:rsid w:val="009D18AE"/>
    <w:rsid w:val="009D1906"/>
    <w:rsid w:val="009D1B31"/>
    <w:rsid w:val="009D1C03"/>
    <w:rsid w:val="009D1D37"/>
    <w:rsid w:val="009D1DD6"/>
    <w:rsid w:val="009D1FDB"/>
    <w:rsid w:val="009D214C"/>
    <w:rsid w:val="009D216D"/>
    <w:rsid w:val="009D21A2"/>
    <w:rsid w:val="009D2231"/>
    <w:rsid w:val="009D2277"/>
    <w:rsid w:val="009D2332"/>
    <w:rsid w:val="009D2385"/>
    <w:rsid w:val="009D26BA"/>
    <w:rsid w:val="009D27B9"/>
    <w:rsid w:val="009D2A70"/>
    <w:rsid w:val="009D2B03"/>
    <w:rsid w:val="009D2C53"/>
    <w:rsid w:val="009D2DBC"/>
    <w:rsid w:val="009D2DEF"/>
    <w:rsid w:val="009D2F3C"/>
    <w:rsid w:val="009D3057"/>
    <w:rsid w:val="009D3147"/>
    <w:rsid w:val="009D3198"/>
    <w:rsid w:val="009D320C"/>
    <w:rsid w:val="009D33BE"/>
    <w:rsid w:val="009D34FD"/>
    <w:rsid w:val="009D354C"/>
    <w:rsid w:val="009D3569"/>
    <w:rsid w:val="009D38F8"/>
    <w:rsid w:val="009D3990"/>
    <w:rsid w:val="009D3A2D"/>
    <w:rsid w:val="009D3A5A"/>
    <w:rsid w:val="009D3BFF"/>
    <w:rsid w:val="009D3C8C"/>
    <w:rsid w:val="009D3E34"/>
    <w:rsid w:val="009D3E70"/>
    <w:rsid w:val="009D3EFF"/>
    <w:rsid w:val="009D3FC8"/>
    <w:rsid w:val="009D406A"/>
    <w:rsid w:val="009D437D"/>
    <w:rsid w:val="009D43A2"/>
    <w:rsid w:val="009D4450"/>
    <w:rsid w:val="009D4508"/>
    <w:rsid w:val="009D4537"/>
    <w:rsid w:val="009D45AA"/>
    <w:rsid w:val="009D4711"/>
    <w:rsid w:val="009D49A7"/>
    <w:rsid w:val="009D4A61"/>
    <w:rsid w:val="009D5056"/>
    <w:rsid w:val="009D506A"/>
    <w:rsid w:val="009D5175"/>
    <w:rsid w:val="009D53E2"/>
    <w:rsid w:val="009D564A"/>
    <w:rsid w:val="009D5739"/>
    <w:rsid w:val="009D57C7"/>
    <w:rsid w:val="009D57E0"/>
    <w:rsid w:val="009D5856"/>
    <w:rsid w:val="009D5974"/>
    <w:rsid w:val="009D5A19"/>
    <w:rsid w:val="009D5A4F"/>
    <w:rsid w:val="009D5D56"/>
    <w:rsid w:val="009D5D7B"/>
    <w:rsid w:val="009D5DF5"/>
    <w:rsid w:val="009D5E24"/>
    <w:rsid w:val="009D5FB3"/>
    <w:rsid w:val="009D6099"/>
    <w:rsid w:val="009D60A7"/>
    <w:rsid w:val="009D610F"/>
    <w:rsid w:val="009D61C1"/>
    <w:rsid w:val="009D644F"/>
    <w:rsid w:val="009D64B2"/>
    <w:rsid w:val="009D64BD"/>
    <w:rsid w:val="009D68A3"/>
    <w:rsid w:val="009D6920"/>
    <w:rsid w:val="009D6A3C"/>
    <w:rsid w:val="009D6B72"/>
    <w:rsid w:val="009D6D05"/>
    <w:rsid w:val="009D6D2E"/>
    <w:rsid w:val="009D6EA0"/>
    <w:rsid w:val="009D6F86"/>
    <w:rsid w:val="009D7106"/>
    <w:rsid w:val="009D71FE"/>
    <w:rsid w:val="009D728C"/>
    <w:rsid w:val="009D72E0"/>
    <w:rsid w:val="009D74D3"/>
    <w:rsid w:val="009D7521"/>
    <w:rsid w:val="009D7BD1"/>
    <w:rsid w:val="009D7D8C"/>
    <w:rsid w:val="009D7E4A"/>
    <w:rsid w:val="009D7E8E"/>
    <w:rsid w:val="009D7F38"/>
    <w:rsid w:val="009D7F91"/>
    <w:rsid w:val="009E02F6"/>
    <w:rsid w:val="009E0529"/>
    <w:rsid w:val="009E05DA"/>
    <w:rsid w:val="009E0602"/>
    <w:rsid w:val="009E065D"/>
    <w:rsid w:val="009E0A3E"/>
    <w:rsid w:val="009E0B6F"/>
    <w:rsid w:val="009E0C7F"/>
    <w:rsid w:val="009E0D61"/>
    <w:rsid w:val="009E0E3A"/>
    <w:rsid w:val="009E0F3C"/>
    <w:rsid w:val="009E10BC"/>
    <w:rsid w:val="009E116F"/>
    <w:rsid w:val="009E11A0"/>
    <w:rsid w:val="009E11E7"/>
    <w:rsid w:val="009E1200"/>
    <w:rsid w:val="009E1225"/>
    <w:rsid w:val="009E1270"/>
    <w:rsid w:val="009E14AC"/>
    <w:rsid w:val="009E1512"/>
    <w:rsid w:val="009E1569"/>
    <w:rsid w:val="009E159D"/>
    <w:rsid w:val="009E1695"/>
    <w:rsid w:val="009E16F3"/>
    <w:rsid w:val="009E17F3"/>
    <w:rsid w:val="009E1941"/>
    <w:rsid w:val="009E19BA"/>
    <w:rsid w:val="009E19EE"/>
    <w:rsid w:val="009E1BB7"/>
    <w:rsid w:val="009E1BE6"/>
    <w:rsid w:val="009E1C56"/>
    <w:rsid w:val="009E1D06"/>
    <w:rsid w:val="009E1E27"/>
    <w:rsid w:val="009E1F0E"/>
    <w:rsid w:val="009E1FD4"/>
    <w:rsid w:val="009E2203"/>
    <w:rsid w:val="009E226C"/>
    <w:rsid w:val="009E22D8"/>
    <w:rsid w:val="009E23C1"/>
    <w:rsid w:val="009E23E8"/>
    <w:rsid w:val="009E24F4"/>
    <w:rsid w:val="009E2534"/>
    <w:rsid w:val="009E27B3"/>
    <w:rsid w:val="009E27DC"/>
    <w:rsid w:val="009E28B1"/>
    <w:rsid w:val="009E2A71"/>
    <w:rsid w:val="009E2A83"/>
    <w:rsid w:val="009E2C38"/>
    <w:rsid w:val="009E2C95"/>
    <w:rsid w:val="009E2E27"/>
    <w:rsid w:val="009E2FF3"/>
    <w:rsid w:val="009E3072"/>
    <w:rsid w:val="009E30AD"/>
    <w:rsid w:val="009E31ED"/>
    <w:rsid w:val="009E3214"/>
    <w:rsid w:val="009E32B1"/>
    <w:rsid w:val="009E3369"/>
    <w:rsid w:val="009E34B4"/>
    <w:rsid w:val="009E37AF"/>
    <w:rsid w:val="009E37D5"/>
    <w:rsid w:val="009E38FC"/>
    <w:rsid w:val="009E398C"/>
    <w:rsid w:val="009E39D5"/>
    <w:rsid w:val="009E3B35"/>
    <w:rsid w:val="009E3BEC"/>
    <w:rsid w:val="009E3CC5"/>
    <w:rsid w:val="009E3D4C"/>
    <w:rsid w:val="009E4020"/>
    <w:rsid w:val="009E405B"/>
    <w:rsid w:val="009E4104"/>
    <w:rsid w:val="009E415B"/>
    <w:rsid w:val="009E4191"/>
    <w:rsid w:val="009E434F"/>
    <w:rsid w:val="009E45C3"/>
    <w:rsid w:val="009E48A6"/>
    <w:rsid w:val="009E4B3D"/>
    <w:rsid w:val="009E4CF7"/>
    <w:rsid w:val="009E4D9D"/>
    <w:rsid w:val="009E4DF3"/>
    <w:rsid w:val="009E4FD2"/>
    <w:rsid w:val="009E5040"/>
    <w:rsid w:val="009E50EB"/>
    <w:rsid w:val="009E5151"/>
    <w:rsid w:val="009E5373"/>
    <w:rsid w:val="009E5382"/>
    <w:rsid w:val="009E53D3"/>
    <w:rsid w:val="009E560B"/>
    <w:rsid w:val="009E56F1"/>
    <w:rsid w:val="009E578A"/>
    <w:rsid w:val="009E584D"/>
    <w:rsid w:val="009E5977"/>
    <w:rsid w:val="009E5CB2"/>
    <w:rsid w:val="009E5E7A"/>
    <w:rsid w:val="009E5EA5"/>
    <w:rsid w:val="009E5F51"/>
    <w:rsid w:val="009E606E"/>
    <w:rsid w:val="009E613D"/>
    <w:rsid w:val="009E6280"/>
    <w:rsid w:val="009E6334"/>
    <w:rsid w:val="009E66CC"/>
    <w:rsid w:val="009E6859"/>
    <w:rsid w:val="009E69F9"/>
    <w:rsid w:val="009E6A1D"/>
    <w:rsid w:val="009E6A63"/>
    <w:rsid w:val="009E6C87"/>
    <w:rsid w:val="009E6CA1"/>
    <w:rsid w:val="009E6D2A"/>
    <w:rsid w:val="009E6DCF"/>
    <w:rsid w:val="009E6EF0"/>
    <w:rsid w:val="009E6F6B"/>
    <w:rsid w:val="009E6FDD"/>
    <w:rsid w:val="009E7048"/>
    <w:rsid w:val="009E7143"/>
    <w:rsid w:val="009E724C"/>
    <w:rsid w:val="009E7515"/>
    <w:rsid w:val="009E7731"/>
    <w:rsid w:val="009E7A17"/>
    <w:rsid w:val="009E7D74"/>
    <w:rsid w:val="009E7D81"/>
    <w:rsid w:val="009E7E49"/>
    <w:rsid w:val="009E7E4E"/>
    <w:rsid w:val="009E7E83"/>
    <w:rsid w:val="009E7F6F"/>
    <w:rsid w:val="009ECC2C"/>
    <w:rsid w:val="009F005E"/>
    <w:rsid w:val="009F0156"/>
    <w:rsid w:val="009F018A"/>
    <w:rsid w:val="009F026E"/>
    <w:rsid w:val="009F03CD"/>
    <w:rsid w:val="009F044A"/>
    <w:rsid w:val="009F0502"/>
    <w:rsid w:val="009F05D3"/>
    <w:rsid w:val="009F05EC"/>
    <w:rsid w:val="009F0852"/>
    <w:rsid w:val="009F085F"/>
    <w:rsid w:val="009F0892"/>
    <w:rsid w:val="009F0978"/>
    <w:rsid w:val="009F0A54"/>
    <w:rsid w:val="009F0ABC"/>
    <w:rsid w:val="009F0B02"/>
    <w:rsid w:val="009F0D72"/>
    <w:rsid w:val="009F0E16"/>
    <w:rsid w:val="009F0EF7"/>
    <w:rsid w:val="009F10B8"/>
    <w:rsid w:val="009F1423"/>
    <w:rsid w:val="009F1465"/>
    <w:rsid w:val="009F1495"/>
    <w:rsid w:val="009F1500"/>
    <w:rsid w:val="009F15F1"/>
    <w:rsid w:val="009F1A6D"/>
    <w:rsid w:val="009F1BA4"/>
    <w:rsid w:val="009F1E4B"/>
    <w:rsid w:val="009F1E74"/>
    <w:rsid w:val="009F21DE"/>
    <w:rsid w:val="009F223A"/>
    <w:rsid w:val="009F230E"/>
    <w:rsid w:val="009F235D"/>
    <w:rsid w:val="009F24B9"/>
    <w:rsid w:val="009F2561"/>
    <w:rsid w:val="009F2608"/>
    <w:rsid w:val="009F2654"/>
    <w:rsid w:val="009F26AB"/>
    <w:rsid w:val="009F29BF"/>
    <w:rsid w:val="009F2BD6"/>
    <w:rsid w:val="009F2CF5"/>
    <w:rsid w:val="009F3397"/>
    <w:rsid w:val="009F3427"/>
    <w:rsid w:val="009F358F"/>
    <w:rsid w:val="009F3733"/>
    <w:rsid w:val="009F378D"/>
    <w:rsid w:val="009F3945"/>
    <w:rsid w:val="009F3A6C"/>
    <w:rsid w:val="009F3B27"/>
    <w:rsid w:val="009F3BEF"/>
    <w:rsid w:val="009F3C70"/>
    <w:rsid w:val="009F3C9E"/>
    <w:rsid w:val="009F3D72"/>
    <w:rsid w:val="009F3F2A"/>
    <w:rsid w:val="009F4021"/>
    <w:rsid w:val="009F40E1"/>
    <w:rsid w:val="009F429D"/>
    <w:rsid w:val="009F44A6"/>
    <w:rsid w:val="009F456C"/>
    <w:rsid w:val="009F4814"/>
    <w:rsid w:val="009F48C8"/>
    <w:rsid w:val="009F4904"/>
    <w:rsid w:val="009F4A7A"/>
    <w:rsid w:val="009F4C03"/>
    <w:rsid w:val="009F4C87"/>
    <w:rsid w:val="009F4D43"/>
    <w:rsid w:val="009F4F17"/>
    <w:rsid w:val="009F50B1"/>
    <w:rsid w:val="009F5222"/>
    <w:rsid w:val="009F54FE"/>
    <w:rsid w:val="009F55EB"/>
    <w:rsid w:val="009F56EB"/>
    <w:rsid w:val="009F5892"/>
    <w:rsid w:val="009F5927"/>
    <w:rsid w:val="009F599D"/>
    <w:rsid w:val="009F5AA5"/>
    <w:rsid w:val="009F5D97"/>
    <w:rsid w:val="009F5ED6"/>
    <w:rsid w:val="009F619C"/>
    <w:rsid w:val="009F6339"/>
    <w:rsid w:val="009F64C5"/>
    <w:rsid w:val="009F650A"/>
    <w:rsid w:val="009F652D"/>
    <w:rsid w:val="009F6570"/>
    <w:rsid w:val="009F66D6"/>
    <w:rsid w:val="009F66F5"/>
    <w:rsid w:val="009F68C1"/>
    <w:rsid w:val="009F68E4"/>
    <w:rsid w:val="009F6924"/>
    <w:rsid w:val="009F6A73"/>
    <w:rsid w:val="009F6AFF"/>
    <w:rsid w:val="009F6BD8"/>
    <w:rsid w:val="009F6C27"/>
    <w:rsid w:val="009F6C97"/>
    <w:rsid w:val="009F6CC8"/>
    <w:rsid w:val="009F6EB4"/>
    <w:rsid w:val="009F6EEB"/>
    <w:rsid w:val="009F6FF6"/>
    <w:rsid w:val="009F724F"/>
    <w:rsid w:val="009F73A1"/>
    <w:rsid w:val="009F7562"/>
    <w:rsid w:val="009F7592"/>
    <w:rsid w:val="009F76A8"/>
    <w:rsid w:val="009F776D"/>
    <w:rsid w:val="009F7815"/>
    <w:rsid w:val="009F781D"/>
    <w:rsid w:val="009F782D"/>
    <w:rsid w:val="009F794E"/>
    <w:rsid w:val="009F7965"/>
    <w:rsid w:val="009F7E4E"/>
    <w:rsid w:val="009F7FCF"/>
    <w:rsid w:val="00A00037"/>
    <w:rsid w:val="00A0005B"/>
    <w:rsid w:val="00A000CA"/>
    <w:rsid w:val="00A00142"/>
    <w:rsid w:val="00A0032F"/>
    <w:rsid w:val="00A00358"/>
    <w:rsid w:val="00A0041C"/>
    <w:rsid w:val="00A0049D"/>
    <w:rsid w:val="00A005F8"/>
    <w:rsid w:val="00A0073B"/>
    <w:rsid w:val="00A00804"/>
    <w:rsid w:val="00A00AC4"/>
    <w:rsid w:val="00A00B10"/>
    <w:rsid w:val="00A00B26"/>
    <w:rsid w:val="00A00ED0"/>
    <w:rsid w:val="00A0110F"/>
    <w:rsid w:val="00A01243"/>
    <w:rsid w:val="00A01307"/>
    <w:rsid w:val="00A0141A"/>
    <w:rsid w:val="00A0149E"/>
    <w:rsid w:val="00A01599"/>
    <w:rsid w:val="00A01665"/>
    <w:rsid w:val="00A016E0"/>
    <w:rsid w:val="00A016F7"/>
    <w:rsid w:val="00A019DA"/>
    <w:rsid w:val="00A01AB7"/>
    <w:rsid w:val="00A01D89"/>
    <w:rsid w:val="00A01F38"/>
    <w:rsid w:val="00A020BB"/>
    <w:rsid w:val="00A0214D"/>
    <w:rsid w:val="00A02150"/>
    <w:rsid w:val="00A021FF"/>
    <w:rsid w:val="00A0222C"/>
    <w:rsid w:val="00A0223E"/>
    <w:rsid w:val="00A02369"/>
    <w:rsid w:val="00A023DC"/>
    <w:rsid w:val="00A023E5"/>
    <w:rsid w:val="00A02436"/>
    <w:rsid w:val="00A028B4"/>
    <w:rsid w:val="00A028E4"/>
    <w:rsid w:val="00A02923"/>
    <w:rsid w:val="00A02C73"/>
    <w:rsid w:val="00A02D4C"/>
    <w:rsid w:val="00A02DAB"/>
    <w:rsid w:val="00A02E1B"/>
    <w:rsid w:val="00A02F6B"/>
    <w:rsid w:val="00A02FF4"/>
    <w:rsid w:val="00A03017"/>
    <w:rsid w:val="00A03158"/>
    <w:rsid w:val="00A03184"/>
    <w:rsid w:val="00A03668"/>
    <w:rsid w:val="00A0375C"/>
    <w:rsid w:val="00A03772"/>
    <w:rsid w:val="00A038B3"/>
    <w:rsid w:val="00A038DB"/>
    <w:rsid w:val="00A038FE"/>
    <w:rsid w:val="00A03A39"/>
    <w:rsid w:val="00A03E2B"/>
    <w:rsid w:val="00A03EE3"/>
    <w:rsid w:val="00A03EF1"/>
    <w:rsid w:val="00A03F30"/>
    <w:rsid w:val="00A03F80"/>
    <w:rsid w:val="00A041F7"/>
    <w:rsid w:val="00A04234"/>
    <w:rsid w:val="00A04239"/>
    <w:rsid w:val="00A0426A"/>
    <w:rsid w:val="00A0426C"/>
    <w:rsid w:val="00A043C6"/>
    <w:rsid w:val="00A04434"/>
    <w:rsid w:val="00A04552"/>
    <w:rsid w:val="00A0482B"/>
    <w:rsid w:val="00A048A1"/>
    <w:rsid w:val="00A049FB"/>
    <w:rsid w:val="00A04A01"/>
    <w:rsid w:val="00A04B12"/>
    <w:rsid w:val="00A04B34"/>
    <w:rsid w:val="00A053FD"/>
    <w:rsid w:val="00A056EF"/>
    <w:rsid w:val="00A0574D"/>
    <w:rsid w:val="00A05808"/>
    <w:rsid w:val="00A05822"/>
    <w:rsid w:val="00A05952"/>
    <w:rsid w:val="00A059CB"/>
    <w:rsid w:val="00A05B5A"/>
    <w:rsid w:val="00A05B5E"/>
    <w:rsid w:val="00A05B95"/>
    <w:rsid w:val="00A05CF3"/>
    <w:rsid w:val="00A05DEC"/>
    <w:rsid w:val="00A060D8"/>
    <w:rsid w:val="00A0613C"/>
    <w:rsid w:val="00A0632E"/>
    <w:rsid w:val="00A063F5"/>
    <w:rsid w:val="00A0669A"/>
    <w:rsid w:val="00A066B0"/>
    <w:rsid w:val="00A06924"/>
    <w:rsid w:val="00A06983"/>
    <w:rsid w:val="00A06B5F"/>
    <w:rsid w:val="00A06C66"/>
    <w:rsid w:val="00A06FB5"/>
    <w:rsid w:val="00A0707A"/>
    <w:rsid w:val="00A07089"/>
    <w:rsid w:val="00A07172"/>
    <w:rsid w:val="00A0720C"/>
    <w:rsid w:val="00A0729F"/>
    <w:rsid w:val="00A0756E"/>
    <w:rsid w:val="00A075C0"/>
    <w:rsid w:val="00A075DD"/>
    <w:rsid w:val="00A07794"/>
    <w:rsid w:val="00A07843"/>
    <w:rsid w:val="00A078AD"/>
    <w:rsid w:val="00A07C53"/>
    <w:rsid w:val="00A07CD2"/>
    <w:rsid w:val="00A07EA5"/>
    <w:rsid w:val="00A07EC2"/>
    <w:rsid w:val="00A07FEE"/>
    <w:rsid w:val="00A10257"/>
    <w:rsid w:val="00A10346"/>
    <w:rsid w:val="00A103F0"/>
    <w:rsid w:val="00A10416"/>
    <w:rsid w:val="00A104D7"/>
    <w:rsid w:val="00A104DA"/>
    <w:rsid w:val="00A10559"/>
    <w:rsid w:val="00A10615"/>
    <w:rsid w:val="00A1072D"/>
    <w:rsid w:val="00A107B9"/>
    <w:rsid w:val="00A107BB"/>
    <w:rsid w:val="00A10967"/>
    <w:rsid w:val="00A10B0F"/>
    <w:rsid w:val="00A10B61"/>
    <w:rsid w:val="00A10BFD"/>
    <w:rsid w:val="00A10C15"/>
    <w:rsid w:val="00A10D69"/>
    <w:rsid w:val="00A10DB8"/>
    <w:rsid w:val="00A110E9"/>
    <w:rsid w:val="00A11160"/>
    <w:rsid w:val="00A1117D"/>
    <w:rsid w:val="00A11251"/>
    <w:rsid w:val="00A11332"/>
    <w:rsid w:val="00A1162F"/>
    <w:rsid w:val="00A11632"/>
    <w:rsid w:val="00A11701"/>
    <w:rsid w:val="00A1183E"/>
    <w:rsid w:val="00A1190B"/>
    <w:rsid w:val="00A11F45"/>
    <w:rsid w:val="00A11F9A"/>
    <w:rsid w:val="00A11FE9"/>
    <w:rsid w:val="00A12002"/>
    <w:rsid w:val="00A12036"/>
    <w:rsid w:val="00A1213D"/>
    <w:rsid w:val="00A1226E"/>
    <w:rsid w:val="00A122D9"/>
    <w:rsid w:val="00A123FF"/>
    <w:rsid w:val="00A125B0"/>
    <w:rsid w:val="00A125E8"/>
    <w:rsid w:val="00A126B5"/>
    <w:rsid w:val="00A127CC"/>
    <w:rsid w:val="00A1287F"/>
    <w:rsid w:val="00A12B06"/>
    <w:rsid w:val="00A12DB9"/>
    <w:rsid w:val="00A12EFB"/>
    <w:rsid w:val="00A130FF"/>
    <w:rsid w:val="00A13204"/>
    <w:rsid w:val="00A13292"/>
    <w:rsid w:val="00A133D4"/>
    <w:rsid w:val="00A134DB"/>
    <w:rsid w:val="00A13505"/>
    <w:rsid w:val="00A1362F"/>
    <w:rsid w:val="00A137C5"/>
    <w:rsid w:val="00A1385C"/>
    <w:rsid w:val="00A13CC8"/>
    <w:rsid w:val="00A13CE6"/>
    <w:rsid w:val="00A13D01"/>
    <w:rsid w:val="00A13E5E"/>
    <w:rsid w:val="00A13F29"/>
    <w:rsid w:val="00A13F8B"/>
    <w:rsid w:val="00A14062"/>
    <w:rsid w:val="00A142BC"/>
    <w:rsid w:val="00A142C3"/>
    <w:rsid w:val="00A14520"/>
    <w:rsid w:val="00A14529"/>
    <w:rsid w:val="00A14592"/>
    <w:rsid w:val="00A14B2E"/>
    <w:rsid w:val="00A14CB9"/>
    <w:rsid w:val="00A14CEE"/>
    <w:rsid w:val="00A14D7A"/>
    <w:rsid w:val="00A14E7A"/>
    <w:rsid w:val="00A1521C"/>
    <w:rsid w:val="00A15225"/>
    <w:rsid w:val="00A154D6"/>
    <w:rsid w:val="00A155A9"/>
    <w:rsid w:val="00A156C3"/>
    <w:rsid w:val="00A157F5"/>
    <w:rsid w:val="00A15892"/>
    <w:rsid w:val="00A15931"/>
    <w:rsid w:val="00A15B07"/>
    <w:rsid w:val="00A1603D"/>
    <w:rsid w:val="00A16121"/>
    <w:rsid w:val="00A16127"/>
    <w:rsid w:val="00A16154"/>
    <w:rsid w:val="00A161A0"/>
    <w:rsid w:val="00A1634E"/>
    <w:rsid w:val="00A163C5"/>
    <w:rsid w:val="00A16541"/>
    <w:rsid w:val="00A1654F"/>
    <w:rsid w:val="00A1660E"/>
    <w:rsid w:val="00A1662C"/>
    <w:rsid w:val="00A168F8"/>
    <w:rsid w:val="00A169F8"/>
    <w:rsid w:val="00A16B02"/>
    <w:rsid w:val="00A16B08"/>
    <w:rsid w:val="00A16B3D"/>
    <w:rsid w:val="00A16CB4"/>
    <w:rsid w:val="00A16D19"/>
    <w:rsid w:val="00A16D3B"/>
    <w:rsid w:val="00A16D50"/>
    <w:rsid w:val="00A16DBF"/>
    <w:rsid w:val="00A1701B"/>
    <w:rsid w:val="00A17304"/>
    <w:rsid w:val="00A17357"/>
    <w:rsid w:val="00A173BC"/>
    <w:rsid w:val="00A1764A"/>
    <w:rsid w:val="00A176C6"/>
    <w:rsid w:val="00A177F3"/>
    <w:rsid w:val="00A17C02"/>
    <w:rsid w:val="00A17DD2"/>
    <w:rsid w:val="00A17DF8"/>
    <w:rsid w:val="00A17DFD"/>
    <w:rsid w:val="00A17ED8"/>
    <w:rsid w:val="00A2004A"/>
    <w:rsid w:val="00A200DD"/>
    <w:rsid w:val="00A202B9"/>
    <w:rsid w:val="00A2031C"/>
    <w:rsid w:val="00A20325"/>
    <w:rsid w:val="00A2041B"/>
    <w:rsid w:val="00A20443"/>
    <w:rsid w:val="00A2045C"/>
    <w:rsid w:val="00A204D1"/>
    <w:rsid w:val="00A20565"/>
    <w:rsid w:val="00A2058A"/>
    <w:rsid w:val="00A2081F"/>
    <w:rsid w:val="00A20868"/>
    <w:rsid w:val="00A208C9"/>
    <w:rsid w:val="00A20973"/>
    <w:rsid w:val="00A20AAF"/>
    <w:rsid w:val="00A20D7D"/>
    <w:rsid w:val="00A20DC8"/>
    <w:rsid w:val="00A20F1D"/>
    <w:rsid w:val="00A20F27"/>
    <w:rsid w:val="00A211DB"/>
    <w:rsid w:val="00A211EE"/>
    <w:rsid w:val="00A2123F"/>
    <w:rsid w:val="00A21558"/>
    <w:rsid w:val="00A218AE"/>
    <w:rsid w:val="00A21A9C"/>
    <w:rsid w:val="00A21AE4"/>
    <w:rsid w:val="00A21B8E"/>
    <w:rsid w:val="00A21BA6"/>
    <w:rsid w:val="00A21C57"/>
    <w:rsid w:val="00A21C93"/>
    <w:rsid w:val="00A21D31"/>
    <w:rsid w:val="00A21DEC"/>
    <w:rsid w:val="00A21E26"/>
    <w:rsid w:val="00A21F0A"/>
    <w:rsid w:val="00A21F3C"/>
    <w:rsid w:val="00A22045"/>
    <w:rsid w:val="00A22074"/>
    <w:rsid w:val="00A221C4"/>
    <w:rsid w:val="00A22276"/>
    <w:rsid w:val="00A222B4"/>
    <w:rsid w:val="00A2230D"/>
    <w:rsid w:val="00A22385"/>
    <w:rsid w:val="00A2267B"/>
    <w:rsid w:val="00A226A1"/>
    <w:rsid w:val="00A22768"/>
    <w:rsid w:val="00A22894"/>
    <w:rsid w:val="00A2293A"/>
    <w:rsid w:val="00A2298C"/>
    <w:rsid w:val="00A22A2B"/>
    <w:rsid w:val="00A22ADF"/>
    <w:rsid w:val="00A22B1A"/>
    <w:rsid w:val="00A22B70"/>
    <w:rsid w:val="00A22BDD"/>
    <w:rsid w:val="00A22C69"/>
    <w:rsid w:val="00A2318F"/>
    <w:rsid w:val="00A231CB"/>
    <w:rsid w:val="00A231CE"/>
    <w:rsid w:val="00A23283"/>
    <w:rsid w:val="00A232D2"/>
    <w:rsid w:val="00A23305"/>
    <w:rsid w:val="00A2355A"/>
    <w:rsid w:val="00A23808"/>
    <w:rsid w:val="00A238AE"/>
    <w:rsid w:val="00A238F5"/>
    <w:rsid w:val="00A2395E"/>
    <w:rsid w:val="00A23964"/>
    <w:rsid w:val="00A23984"/>
    <w:rsid w:val="00A23991"/>
    <w:rsid w:val="00A23A06"/>
    <w:rsid w:val="00A23B6D"/>
    <w:rsid w:val="00A23B8F"/>
    <w:rsid w:val="00A23D94"/>
    <w:rsid w:val="00A23DD1"/>
    <w:rsid w:val="00A23FE7"/>
    <w:rsid w:val="00A243F3"/>
    <w:rsid w:val="00A24455"/>
    <w:rsid w:val="00A24468"/>
    <w:rsid w:val="00A24761"/>
    <w:rsid w:val="00A247B5"/>
    <w:rsid w:val="00A24809"/>
    <w:rsid w:val="00A24915"/>
    <w:rsid w:val="00A24B3F"/>
    <w:rsid w:val="00A24B74"/>
    <w:rsid w:val="00A24BCE"/>
    <w:rsid w:val="00A24BFB"/>
    <w:rsid w:val="00A24DD5"/>
    <w:rsid w:val="00A24FB4"/>
    <w:rsid w:val="00A25130"/>
    <w:rsid w:val="00A25188"/>
    <w:rsid w:val="00A2532D"/>
    <w:rsid w:val="00A25414"/>
    <w:rsid w:val="00A254C4"/>
    <w:rsid w:val="00A254C7"/>
    <w:rsid w:val="00A25570"/>
    <w:rsid w:val="00A256BE"/>
    <w:rsid w:val="00A2572B"/>
    <w:rsid w:val="00A2587F"/>
    <w:rsid w:val="00A259A6"/>
    <w:rsid w:val="00A259EC"/>
    <w:rsid w:val="00A25A11"/>
    <w:rsid w:val="00A25A5A"/>
    <w:rsid w:val="00A25AAD"/>
    <w:rsid w:val="00A25BA8"/>
    <w:rsid w:val="00A25D37"/>
    <w:rsid w:val="00A25EF6"/>
    <w:rsid w:val="00A25F35"/>
    <w:rsid w:val="00A263C8"/>
    <w:rsid w:val="00A265F4"/>
    <w:rsid w:val="00A2662D"/>
    <w:rsid w:val="00A26918"/>
    <w:rsid w:val="00A26BA9"/>
    <w:rsid w:val="00A26BF5"/>
    <w:rsid w:val="00A26CFF"/>
    <w:rsid w:val="00A27150"/>
    <w:rsid w:val="00A27203"/>
    <w:rsid w:val="00A2729D"/>
    <w:rsid w:val="00A27341"/>
    <w:rsid w:val="00A2742D"/>
    <w:rsid w:val="00A27489"/>
    <w:rsid w:val="00A27581"/>
    <w:rsid w:val="00A27848"/>
    <w:rsid w:val="00A278FD"/>
    <w:rsid w:val="00A279BB"/>
    <w:rsid w:val="00A27A13"/>
    <w:rsid w:val="00A27D6D"/>
    <w:rsid w:val="00A27D80"/>
    <w:rsid w:val="00A27DB2"/>
    <w:rsid w:val="00A27DF6"/>
    <w:rsid w:val="00A27EC2"/>
    <w:rsid w:val="00A300F3"/>
    <w:rsid w:val="00A30178"/>
    <w:rsid w:val="00A302AB"/>
    <w:rsid w:val="00A303A6"/>
    <w:rsid w:val="00A305AD"/>
    <w:rsid w:val="00A3078B"/>
    <w:rsid w:val="00A307B6"/>
    <w:rsid w:val="00A30816"/>
    <w:rsid w:val="00A30823"/>
    <w:rsid w:val="00A308C3"/>
    <w:rsid w:val="00A30CBD"/>
    <w:rsid w:val="00A30CCA"/>
    <w:rsid w:val="00A30D36"/>
    <w:rsid w:val="00A30DBF"/>
    <w:rsid w:val="00A30DF9"/>
    <w:rsid w:val="00A30E01"/>
    <w:rsid w:val="00A30FAF"/>
    <w:rsid w:val="00A3111C"/>
    <w:rsid w:val="00A3115B"/>
    <w:rsid w:val="00A31188"/>
    <w:rsid w:val="00A31296"/>
    <w:rsid w:val="00A314C6"/>
    <w:rsid w:val="00A31511"/>
    <w:rsid w:val="00A3162C"/>
    <w:rsid w:val="00A3193A"/>
    <w:rsid w:val="00A319A4"/>
    <w:rsid w:val="00A31A39"/>
    <w:rsid w:val="00A31ABD"/>
    <w:rsid w:val="00A31B36"/>
    <w:rsid w:val="00A31BCD"/>
    <w:rsid w:val="00A31D90"/>
    <w:rsid w:val="00A31DD1"/>
    <w:rsid w:val="00A31FCF"/>
    <w:rsid w:val="00A3226A"/>
    <w:rsid w:val="00A3229C"/>
    <w:rsid w:val="00A32372"/>
    <w:rsid w:val="00A32421"/>
    <w:rsid w:val="00A3274F"/>
    <w:rsid w:val="00A327E0"/>
    <w:rsid w:val="00A3281F"/>
    <w:rsid w:val="00A3286D"/>
    <w:rsid w:val="00A32A17"/>
    <w:rsid w:val="00A32CAC"/>
    <w:rsid w:val="00A32D68"/>
    <w:rsid w:val="00A32DC4"/>
    <w:rsid w:val="00A32E6E"/>
    <w:rsid w:val="00A32EDA"/>
    <w:rsid w:val="00A32F75"/>
    <w:rsid w:val="00A3313C"/>
    <w:rsid w:val="00A3341E"/>
    <w:rsid w:val="00A33B78"/>
    <w:rsid w:val="00A33F31"/>
    <w:rsid w:val="00A3402E"/>
    <w:rsid w:val="00A34059"/>
    <w:rsid w:val="00A3415D"/>
    <w:rsid w:val="00A341B9"/>
    <w:rsid w:val="00A341F9"/>
    <w:rsid w:val="00A34292"/>
    <w:rsid w:val="00A343EB"/>
    <w:rsid w:val="00A343F1"/>
    <w:rsid w:val="00A34797"/>
    <w:rsid w:val="00A347BA"/>
    <w:rsid w:val="00A347E3"/>
    <w:rsid w:val="00A34892"/>
    <w:rsid w:val="00A348BD"/>
    <w:rsid w:val="00A34A19"/>
    <w:rsid w:val="00A34B83"/>
    <w:rsid w:val="00A34D13"/>
    <w:rsid w:val="00A34D35"/>
    <w:rsid w:val="00A34DF4"/>
    <w:rsid w:val="00A34F85"/>
    <w:rsid w:val="00A3500E"/>
    <w:rsid w:val="00A350D8"/>
    <w:rsid w:val="00A3539F"/>
    <w:rsid w:val="00A3559B"/>
    <w:rsid w:val="00A3561F"/>
    <w:rsid w:val="00A3591A"/>
    <w:rsid w:val="00A35AEC"/>
    <w:rsid w:val="00A35B5D"/>
    <w:rsid w:val="00A35BAA"/>
    <w:rsid w:val="00A35BEC"/>
    <w:rsid w:val="00A35DAD"/>
    <w:rsid w:val="00A35DEC"/>
    <w:rsid w:val="00A35E2D"/>
    <w:rsid w:val="00A35E75"/>
    <w:rsid w:val="00A36005"/>
    <w:rsid w:val="00A36052"/>
    <w:rsid w:val="00A361F0"/>
    <w:rsid w:val="00A364D2"/>
    <w:rsid w:val="00A364FF"/>
    <w:rsid w:val="00A36554"/>
    <w:rsid w:val="00A36574"/>
    <w:rsid w:val="00A3660F"/>
    <w:rsid w:val="00A36687"/>
    <w:rsid w:val="00A366CB"/>
    <w:rsid w:val="00A36839"/>
    <w:rsid w:val="00A36A47"/>
    <w:rsid w:val="00A36BF1"/>
    <w:rsid w:val="00A36E0A"/>
    <w:rsid w:val="00A36E2F"/>
    <w:rsid w:val="00A36E39"/>
    <w:rsid w:val="00A36E46"/>
    <w:rsid w:val="00A36ECE"/>
    <w:rsid w:val="00A36EEE"/>
    <w:rsid w:val="00A36EF3"/>
    <w:rsid w:val="00A36F77"/>
    <w:rsid w:val="00A3710D"/>
    <w:rsid w:val="00A376B9"/>
    <w:rsid w:val="00A37716"/>
    <w:rsid w:val="00A37893"/>
    <w:rsid w:val="00A378C7"/>
    <w:rsid w:val="00A379EF"/>
    <w:rsid w:val="00A37BE5"/>
    <w:rsid w:val="00A37C7E"/>
    <w:rsid w:val="00A37CE8"/>
    <w:rsid w:val="00A37E5A"/>
    <w:rsid w:val="00A37FE8"/>
    <w:rsid w:val="00A400DB"/>
    <w:rsid w:val="00A402AF"/>
    <w:rsid w:val="00A403F7"/>
    <w:rsid w:val="00A40513"/>
    <w:rsid w:val="00A4057E"/>
    <w:rsid w:val="00A405D6"/>
    <w:rsid w:val="00A407D8"/>
    <w:rsid w:val="00A4093A"/>
    <w:rsid w:val="00A409EC"/>
    <w:rsid w:val="00A40B35"/>
    <w:rsid w:val="00A40B82"/>
    <w:rsid w:val="00A40DBB"/>
    <w:rsid w:val="00A40E9E"/>
    <w:rsid w:val="00A40F57"/>
    <w:rsid w:val="00A4101B"/>
    <w:rsid w:val="00A410CF"/>
    <w:rsid w:val="00A410DF"/>
    <w:rsid w:val="00A41247"/>
    <w:rsid w:val="00A412C0"/>
    <w:rsid w:val="00A41451"/>
    <w:rsid w:val="00A414B9"/>
    <w:rsid w:val="00A415CF"/>
    <w:rsid w:val="00A41706"/>
    <w:rsid w:val="00A41746"/>
    <w:rsid w:val="00A41756"/>
    <w:rsid w:val="00A4197C"/>
    <w:rsid w:val="00A41A68"/>
    <w:rsid w:val="00A41ADB"/>
    <w:rsid w:val="00A41BB8"/>
    <w:rsid w:val="00A41C2E"/>
    <w:rsid w:val="00A41DCA"/>
    <w:rsid w:val="00A41FEE"/>
    <w:rsid w:val="00A42103"/>
    <w:rsid w:val="00A421A5"/>
    <w:rsid w:val="00A42203"/>
    <w:rsid w:val="00A42341"/>
    <w:rsid w:val="00A42514"/>
    <w:rsid w:val="00A4253A"/>
    <w:rsid w:val="00A42597"/>
    <w:rsid w:val="00A425DE"/>
    <w:rsid w:val="00A42869"/>
    <w:rsid w:val="00A429C5"/>
    <w:rsid w:val="00A429CB"/>
    <w:rsid w:val="00A42A4D"/>
    <w:rsid w:val="00A42B1B"/>
    <w:rsid w:val="00A42BE7"/>
    <w:rsid w:val="00A42C57"/>
    <w:rsid w:val="00A42CC9"/>
    <w:rsid w:val="00A42D2C"/>
    <w:rsid w:val="00A42DAD"/>
    <w:rsid w:val="00A42EF2"/>
    <w:rsid w:val="00A430D0"/>
    <w:rsid w:val="00A432DA"/>
    <w:rsid w:val="00A432E4"/>
    <w:rsid w:val="00A4333E"/>
    <w:rsid w:val="00A4335C"/>
    <w:rsid w:val="00A437DD"/>
    <w:rsid w:val="00A4390D"/>
    <w:rsid w:val="00A43AAB"/>
    <w:rsid w:val="00A43C72"/>
    <w:rsid w:val="00A43C91"/>
    <w:rsid w:val="00A43E1D"/>
    <w:rsid w:val="00A43F17"/>
    <w:rsid w:val="00A44010"/>
    <w:rsid w:val="00A44219"/>
    <w:rsid w:val="00A4435F"/>
    <w:rsid w:val="00A443AD"/>
    <w:rsid w:val="00A443CE"/>
    <w:rsid w:val="00A44690"/>
    <w:rsid w:val="00A446CF"/>
    <w:rsid w:val="00A4470B"/>
    <w:rsid w:val="00A4491E"/>
    <w:rsid w:val="00A44968"/>
    <w:rsid w:val="00A44BA1"/>
    <w:rsid w:val="00A44C37"/>
    <w:rsid w:val="00A44C84"/>
    <w:rsid w:val="00A44CD3"/>
    <w:rsid w:val="00A44CD6"/>
    <w:rsid w:val="00A44EC3"/>
    <w:rsid w:val="00A44FA0"/>
    <w:rsid w:val="00A44FAF"/>
    <w:rsid w:val="00A44FFA"/>
    <w:rsid w:val="00A45021"/>
    <w:rsid w:val="00A45115"/>
    <w:rsid w:val="00A452D7"/>
    <w:rsid w:val="00A4536F"/>
    <w:rsid w:val="00A45585"/>
    <w:rsid w:val="00A4566B"/>
    <w:rsid w:val="00A456E8"/>
    <w:rsid w:val="00A456F0"/>
    <w:rsid w:val="00A45976"/>
    <w:rsid w:val="00A45AC1"/>
    <w:rsid w:val="00A45BA9"/>
    <w:rsid w:val="00A45C81"/>
    <w:rsid w:val="00A45E11"/>
    <w:rsid w:val="00A45F1E"/>
    <w:rsid w:val="00A4600A"/>
    <w:rsid w:val="00A4609D"/>
    <w:rsid w:val="00A460CB"/>
    <w:rsid w:val="00A461C1"/>
    <w:rsid w:val="00A461CE"/>
    <w:rsid w:val="00A462E1"/>
    <w:rsid w:val="00A46414"/>
    <w:rsid w:val="00A46771"/>
    <w:rsid w:val="00A4677A"/>
    <w:rsid w:val="00A46891"/>
    <w:rsid w:val="00A4692F"/>
    <w:rsid w:val="00A46991"/>
    <w:rsid w:val="00A46B56"/>
    <w:rsid w:val="00A46FEE"/>
    <w:rsid w:val="00A4722D"/>
    <w:rsid w:val="00A47250"/>
    <w:rsid w:val="00A47296"/>
    <w:rsid w:val="00A47703"/>
    <w:rsid w:val="00A47719"/>
    <w:rsid w:val="00A4775C"/>
    <w:rsid w:val="00A477D8"/>
    <w:rsid w:val="00A47A59"/>
    <w:rsid w:val="00A47BC2"/>
    <w:rsid w:val="00A47C2A"/>
    <w:rsid w:val="00A47D0F"/>
    <w:rsid w:val="00A47D4E"/>
    <w:rsid w:val="00A47F93"/>
    <w:rsid w:val="00A50269"/>
    <w:rsid w:val="00A503CD"/>
    <w:rsid w:val="00A507BC"/>
    <w:rsid w:val="00A50880"/>
    <w:rsid w:val="00A50A86"/>
    <w:rsid w:val="00A50AC3"/>
    <w:rsid w:val="00A50B6F"/>
    <w:rsid w:val="00A50B9B"/>
    <w:rsid w:val="00A50B9E"/>
    <w:rsid w:val="00A50BB6"/>
    <w:rsid w:val="00A50EEB"/>
    <w:rsid w:val="00A510A0"/>
    <w:rsid w:val="00A510D5"/>
    <w:rsid w:val="00A5121D"/>
    <w:rsid w:val="00A5123A"/>
    <w:rsid w:val="00A512C2"/>
    <w:rsid w:val="00A5130F"/>
    <w:rsid w:val="00A5137A"/>
    <w:rsid w:val="00A5138D"/>
    <w:rsid w:val="00A513D2"/>
    <w:rsid w:val="00A5144E"/>
    <w:rsid w:val="00A515D5"/>
    <w:rsid w:val="00A515DB"/>
    <w:rsid w:val="00A51790"/>
    <w:rsid w:val="00A518E6"/>
    <w:rsid w:val="00A518F3"/>
    <w:rsid w:val="00A51954"/>
    <w:rsid w:val="00A519F2"/>
    <w:rsid w:val="00A51D07"/>
    <w:rsid w:val="00A51D7C"/>
    <w:rsid w:val="00A51D9F"/>
    <w:rsid w:val="00A51DAA"/>
    <w:rsid w:val="00A51EA1"/>
    <w:rsid w:val="00A52081"/>
    <w:rsid w:val="00A5215A"/>
    <w:rsid w:val="00A52264"/>
    <w:rsid w:val="00A523E5"/>
    <w:rsid w:val="00A524C8"/>
    <w:rsid w:val="00A525BA"/>
    <w:rsid w:val="00A526B9"/>
    <w:rsid w:val="00A529F8"/>
    <w:rsid w:val="00A52AFE"/>
    <w:rsid w:val="00A52C27"/>
    <w:rsid w:val="00A52CD1"/>
    <w:rsid w:val="00A52CD9"/>
    <w:rsid w:val="00A52D33"/>
    <w:rsid w:val="00A53084"/>
    <w:rsid w:val="00A53095"/>
    <w:rsid w:val="00A5324F"/>
    <w:rsid w:val="00A532FB"/>
    <w:rsid w:val="00A5337D"/>
    <w:rsid w:val="00A5354F"/>
    <w:rsid w:val="00A535CD"/>
    <w:rsid w:val="00A53707"/>
    <w:rsid w:val="00A53809"/>
    <w:rsid w:val="00A53BA9"/>
    <w:rsid w:val="00A53BB9"/>
    <w:rsid w:val="00A53BF2"/>
    <w:rsid w:val="00A53D3A"/>
    <w:rsid w:val="00A53D4B"/>
    <w:rsid w:val="00A53DFE"/>
    <w:rsid w:val="00A53E6D"/>
    <w:rsid w:val="00A53E72"/>
    <w:rsid w:val="00A540A6"/>
    <w:rsid w:val="00A5421E"/>
    <w:rsid w:val="00A54308"/>
    <w:rsid w:val="00A54310"/>
    <w:rsid w:val="00A54410"/>
    <w:rsid w:val="00A545DB"/>
    <w:rsid w:val="00A54636"/>
    <w:rsid w:val="00A54669"/>
    <w:rsid w:val="00A54830"/>
    <w:rsid w:val="00A54903"/>
    <w:rsid w:val="00A5491D"/>
    <w:rsid w:val="00A54C6D"/>
    <w:rsid w:val="00A54FA3"/>
    <w:rsid w:val="00A5516E"/>
    <w:rsid w:val="00A553E9"/>
    <w:rsid w:val="00A5547E"/>
    <w:rsid w:val="00A5570D"/>
    <w:rsid w:val="00A557B6"/>
    <w:rsid w:val="00A5582B"/>
    <w:rsid w:val="00A55B12"/>
    <w:rsid w:val="00A55BD8"/>
    <w:rsid w:val="00A55C1D"/>
    <w:rsid w:val="00A55DCF"/>
    <w:rsid w:val="00A55E0A"/>
    <w:rsid w:val="00A55E50"/>
    <w:rsid w:val="00A55E72"/>
    <w:rsid w:val="00A55F9A"/>
    <w:rsid w:val="00A56069"/>
    <w:rsid w:val="00A565EC"/>
    <w:rsid w:val="00A5660F"/>
    <w:rsid w:val="00A56774"/>
    <w:rsid w:val="00A56888"/>
    <w:rsid w:val="00A56C7E"/>
    <w:rsid w:val="00A56DAD"/>
    <w:rsid w:val="00A56FF0"/>
    <w:rsid w:val="00A570B0"/>
    <w:rsid w:val="00A57259"/>
    <w:rsid w:val="00A57494"/>
    <w:rsid w:val="00A57519"/>
    <w:rsid w:val="00A57586"/>
    <w:rsid w:val="00A57587"/>
    <w:rsid w:val="00A577EF"/>
    <w:rsid w:val="00A57808"/>
    <w:rsid w:val="00A57A0F"/>
    <w:rsid w:val="00A57BDE"/>
    <w:rsid w:val="00A57D41"/>
    <w:rsid w:val="00A57E3F"/>
    <w:rsid w:val="00A600F8"/>
    <w:rsid w:val="00A60110"/>
    <w:rsid w:val="00A60242"/>
    <w:rsid w:val="00A60306"/>
    <w:rsid w:val="00A60328"/>
    <w:rsid w:val="00A60334"/>
    <w:rsid w:val="00A60505"/>
    <w:rsid w:val="00A60697"/>
    <w:rsid w:val="00A606B1"/>
    <w:rsid w:val="00A60AA7"/>
    <w:rsid w:val="00A60AC7"/>
    <w:rsid w:val="00A60B46"/>
    <w:rsid w:val="00A60C01"/>
    <w:rsid w:val="00A60C4B"/>
    <w:rsid w:val="00A60E5A"/>
    <w:rsid w:val="00A60E67"/>
    <w:rsid w:val="00A60EA6"/>
    <w:rsid w:val="00A60EE7"/>
    <w:rsid w:val="00A6109D"/>
    <w:rsid w:val="00A610FE"/>
    <w:rsid w:val="00A61166"/>
    <w:rsid w:val="00A612C8"/>
    <w:rsid w:val="00A614A4"/>
    <w:rsid w:val="00A6167F"/>
    <w:rsid w:val="00A6191B"/>
    <w:rsid w:val="00A61965"/>
    <w:rsid w:val="00A61968"/>
    <w:rsid w:val="00A619DD"/>
    <w:rsid w:val="00A61B36"/>
    <w:rsid w:val="00A61B92"/>
    <w:rsid w:val="00A61DA7"/>
    <w:rsid w:val="00A6216F"/>
    <w:rsid w:val="00A62209"/>
    <w:rsid w:val="00A622E1"/>
    <w:rsid w:val="00A623E1"/>
    <w:rsid w:val="00A62479"/>
    <w:rsid w:val="00A624F8"/>
    <w:rsid w:val="00A6256F"/>
    <w:rsid w:val="00A62ACF"/>
    <w:rsid w:val="00A62C37"/>
    <w:rsid w:val="00A62CAB"/>
    <w:rsid w:val="00A62D0D"/>
    <w:rsid w:val="00A62DE9"/>
    <w:rsid w:val="00A62DF4"/>
    <w:rsid w:val="00A62DFD"/>
    <w:rsid w:val="00A62DFE"/>
    <w:rsid w:val="00A63098"/>
    <w:rsid w:val="00A6339F"/>
    <w:rsid w:val="00A633D7"/>
    <w:rsid w:val="00A635A5"/>
    <w:rsid w:val="00A63787"/>
    <w:rsid w:val="00A637A8"/>
    <w:rsid w:val="00A63A01"/>
    <w:rsid w:val="00A63AA1"/>
    <w:rsid w:val="00A63B9A"/>
    <w:rsid w:val="00A63C97"/>
    <w:rsid w:val="00A63D9A"/>
    <w:rsid w:val="00A63F58"/>
    <w:rsid w:val="00A63F5D"/>
    <w:rsid w:val="00A64031"/>
    <w:rsid w:val="00A640C2"/>
    <w:rsid w:val="00A642B3"/>
    <w:rsid w:val="00A644FA"/>
    <w:rsid w:val="00A64637"/>
    <w:rsid w:val="00A64A5B"/>
    <w:rsid w:val="00A64A7D"/>
    <w:rsid w:val="00A64B93"/>
    <w:rsid w:val="00A64C2B"/>
    <w:rsid w:val="00A6500D"/>
    <w:rsid w:val="00A650A4"/>
    <w:rsid w:val="00A651E0"/>
    <w:rsid w:val="00A652EA"/>
    <w:rsid w:val="00A65503"/>
    <w:rsid w:val="00A656C8"/>
    <w:rsid w:val="00A65840"/>
    <w:rsid w:val="00A65A73"/>
    <w:rsid w:val="00A65AF5"/>
    <w:rsid w:val="00A65B49"/>
    <w:rsid w:val="00A65CA2"/>
    <w:rsid w:val="00A65DB7"/>
    <w:rsid w:val="00A65F73"/>
    <w:rsid w:val="00A6604B"/>
    <w:rsid w:val="00A66209"/>
    <w:rsid w:val="00A66322"/>
    <w:rsid w:val="00A664E2"/>
    <w:rsid w:val="00A6668F"/>
    <w:rsid w:val="00A667A3"/>
    <w:rsid w:val="00A667F8"/>
    <w:rsid w:val="00A6681D"/>
    <w:rsid w:val="00A66A28"/>
    <w:rsid w:val="00A66A40"/>
    <w:rsid w:val="00A66AEE"/>
    <w:rsid w:val="00A66C80"/>
    <w:rsid w:val="00A66E80"/>
    <w:rsid w:val="00A66F94"/>
    <w:rsid w:val="00A6710D"/>
    <w:rsid w:val="00A672A0"/>
    <w:rsid w:val="00A672F1"/>
    <w:rsid w:val="00A6736B"/>
    <w:rsid w:val="00A673AA"/>
    <w:rsid w:val="00A678A1"/>
    <w:rsid w:val="00A678C1"/>
    <w:rsid w:val="00A679D0"/>
    <w:rsid w:val="00A67BD1"/>
    <w:rsid w:val="00A67C17"/>
    <w:rsid w:val="00A67C7F"/>
    <w:rsid w:val="00A67CC8"/>
    <w:rsid w:val="00A67D60"/>
    <w:rsid w:val="00A67DA7"/>
    <w:rsid w:val="00A67E18"/>
    <w:rsid w:val="00A67EA1"/>
    <w:rsid w:val="00A67F8D"/>
    <w:rsid w:val="00A70002"/>
    <w:rsid w:val="00A70132"/>
    <w:rsid w:val="00A701CA"/>
    <w:rsid w:val="00A70310"/>
    <w:rsid w:val="00A70321"/>
    <w:rsid w:val="00A70383"/>
    <w:rsid w:val="00A7047D"/>
    <w:rsid w:val="00A706CE"/>
    <w:rsid w:val="00A70874"/>
    <w:rsid w:val="00A70876"/>
    <w:rsid w:val="00A70946"/>
    <w:rsid w:val="00A709EE"/>
    <w:rsid w:val="00A70A7A"/>
    <w:rsid w:val="00A70B1A"/>
    <w:rsid w:val="00A70C05"/>
    <w:rsid w:val="00A70C9B"/>
    <w:rsid w:val="00A70D60"/>
    <w:rsid w:val="00A70E49"/>
    <w:rsid w:val="00A70F72"/>
    <w:rsid w:val="00A70FD4"/>
    <w:rsid w:val="00A710AB"/>
    <w:rsid w:val="00A71235"/>
    <w:rsid w:val="00A71454"/>
    <w:rsid w:val="00A7163B"/>
    <w:rsid w:val="00A71834"/>
    <w:rsid w:val="00A71979"/>
    <w:rsid w:val="00A71ACB"/>
    <w:rsid w:val="00A71C1A"/>
    <w:rsid w:val="00A71F03"/>
    <w:rsid w:val="00A71F0D"/>
    <w:rsid w:val="00A71F58"/>
    <w:rsid w:val="00A72009"/>
    <w:rsid w:val="00A722DF"/>
    <w:rsid w:val="00A72345"/>
    <w:rsid w:val="00A724F8"/>
    <w:rsid w:val="00A725DE"/>
    <w:rsid w:val="00A727CA"/>
    <w:rsid w:val="00A728C8"/>
    <w:rsid w:val="00A72994"/>
    <w:rsid w:val="00A72BBB"/>
    <w:rsid w:val="00A72C7D"/>
    <w:rsid w:val="00A72DB4"/>
    <w:rsid w:val="00A72DC5"/>
    <w:rsid w:val="00A72DFE"/>
    <w:rsid w:val="00A72F62"/>
    <w:rsid w:val="00A73070"/>
    <w:rsid w:val="00A73088"/>
    <w:rsid w:val="00A732BA"/>
    <w:rsid w:val="00A732F2"/>
    <w:rsid w:val="00A735A3"/>
    <w:rsid w:val="00A738FC"/>
    <w:rsid w:val="00A7390F"/>
    <w:rsid w:val="00A73A56"/>
    <w:rsid w:val="00A73ACE"/>
    <w:rsid w:val="00A73C59"/>
    <w:rsid w:val="00A73D21"/>
    <w:rsid w:val="00A73E64"/>
    <w:rsid w:val="00A73E94"/>
    <w:rsid w:val="00A73F77"/>
    <w:rsid w:val="00A7402B"/>
    <w:rsid w:val="00A7445A"/>
    <w:rsid w:val="00A74476"/>
    <w:rsid w:val="00A744B3"/>
    <w:rsid w:val="00A744DF"/>
    <w:rsid w:val="00A7454C"/>
    <w:rsid w:val="00A745B5"/>
    <w:rsid w:val="00A745B7"/>
    <w:rsid w:val="00A746E9"/>
    <w:rsid w:val="00A747ED"/>
    <w:rsid w:val="00A7487D"/>
    <w:rsid w:val="00A748FB"/>
    <w:rsid w:val="00A74948"/>
    <w:rsid w:val="00A74AF6"/>
    <w:rsid w:val="00A74BB5"/>
    <w:rsid w:val="00A74DFB"/>
    <w:rsid w:val="00A751E6"/>
    <w:rsid w:val="00A7526B"/>
    <w:rsid w:val="00A7531D"/>
    <w:rsid w:val="00A7536B"/>
    <w:rsid w:val="00A75403"/>
    <w:rsid w:val="00A75418"/>
    <w:rsid w:val="00A754F3"/>
    <w:rsid w:val="00A756F5"/>
    <w:rsid w:val="00A7573A"/>
    <w:rsid w:val="00A7581C"/>
    <w:rsid w:val="00A75957"/>
    <w:rsid w:val="00A7596A"/>
    <w:rsid w:val="00A75A01"/>
    <w:rsid w:val="00A75A36"/>
    <w:rsid w:val="00A75BAE"/>
    <w:rsid w:val="00A75BF3"/>
    <w:rsid w:val="00A75C4E"/>
    <w:rsid w:val="00A75D38"/>
    <w:rsid w:val="00A75E1E"/>
    <w:rsid w:val="00A75E53"/>
    <w:rsid w:val="00A7613E"/>
    <w:rsid w:val="00A762CF"/>
    <w:rsid w:val="00A76402"/>
    <w:rsid w:val="00A76459"/>
    <w:rsid w:val="00A7649C"/>
    <w:rsid w:val="00A764BF"/>
    <w:rsid w:val="00A764E1"/>
    <w:rsid w:val="00A765D5"/>
    <w:rsid w:val="00A765DB"/>
    <w:rsid w:val="00A765F3"/>
    <w:rsid w:val="00A76696"/>
    <w:rsid w:val="00A76817"/>
    <w:rsid w:val="00A76837"/>
    <w:rsid w:val="00A769CF"/>
    <w:rsid w:val="00A769F0"/>
    <w:rsid w:val="00A76B9A"/>
    <w:rsid w:val="00A76C93"/>
    <w:rsid w:val="00A76DDA"/>
    <w:rsid w:val="00A76E35"/>
    <w:rsid w:val="00A76F0F"/>
    <w:rsid w:val="00A76FD9"/>
    <w:rsid w:val="00A7718B"/>
    <w:rsid w:val="00A77195"/>
    <w:rsid w:val="00A77409"/>
    <w:rsid w:val="00A774F4"/>
    <w:rsid w:val="00A774F9"/>
    <w:rsid w:val="00A775EA"/>
    <w:rsid w:val="00A776E5"/>
    <w:rsid w:val="00A7775B"/>
    <w:rsid w:val="00A77761"/>
    <w:rsid w:val="00A7777E"/>
    <w:rsid w:val="00A77791"/>
    <w:rsid w:val="00A777AE"/>
    <w:rsid w:val="00A777B4"/>
    <w:rsid w:val="00A7793A"/>
    <w:rsid w:val="00A8000E"/>
    <w:rsid w:val="00A80016"/>
    <w:rsid w:val="00A8028B"/>
    <w:rsid w:val="00A802D9"/>
    <w:rsid w:val="00A803ED"/>
    <w:rsid w:val="00A804BA"/>
    <w:rsid w:val="00A805AB"/>
    <w:rsid w:val="00A8060F"/>
    <w:rsid w:val="00A80636"/>
    <w:rsid w:val="00A80671"/>
    <w:rsid w:val="00A807A4"/>
    <w:rsid w:val="00A80A09"/>
    <w:rsid w:val="00A80AAA"/>
    <w:rsid w:val="00A80AE1"/>
    <w:rsid w:val="00A80C5A"/>
    <w:rsid w:val="00A80CD5"/>
    <w:rsid w:val="00A80CDB"/>
    <w:rsid w:val="00A80D40"/>
    <w:rsid w:val="00A80E4A"/>
    <w:rsid w:val="00A80F98"/>
    <w:rsid w:val="00A80FDD"/>
    <w:rsid w:val="00A80FE5"/>
    <w:rsid w:val="00A81204"/>
    <w:rsid w:val="00A8122D"/>
    <w:rsid w:val="00A815C8"/>
    <w:rsid w:val="00A8170B"/>
    <w:rsid w:val="00A81726"/>
    <w:rsid w:val="00A81824"/>
    <w:rsid w:val="00A81898"/>
    <w:rsid w:val="00A8189C"/>
    <w:rsid w:val="00A819F1"/>
    <w:rsid w:val="00A81A72"/>
    <w:rsid w:val="00A81B27"/>
    <w:rsid w:val="00A81BC9"/>
    <w:rsid w:val="00A81C46"/>
    <w:rsid w:val="00A81D80"/>
    <w:rsid w:val="00A81DA3"/>
    <w:rsid w:val="00A81DF1"/>
    <w:rsid w:val="00A81FC2"/>
    <w:rsid w:val="00A8202B"/>
    <w:rsid w:val="00A820F7"/>
    <w:rsid w:val="00A821E0"/>
    <w:rsid w:val="00A825BC"/>
    <w:rsid w:val="00A82675"/>
    <w:rsid w:val="00A82821"/>
    <w:rsid w:val="00A8291D"/>
    <w:rsid w:val="00A82991"/>
    <w:rsid w:val="00A82D25"/>
    <w:rsid w:val="00A82D45"/>
    <w:rsid w:val="00A82DC1"/>
    <w:rsid w:val="00A8311E"/>
    <w:rsid w:val="00A8321A"/>
    <w:rsid w:val="00A833A1"/>
    <w:rsid w:val="00A83559"/>
    <w:rsid w:val="00A83835"/>
    <w:rsid w:val="00A838E2"/>
    <w:rsid w:val="00A83912"/>
    <w:rsid w:val="00A83A09"/>
    <w:rsid w:val="00A83ACD"/>
    <w:rsid w:val="00A83CA9"/>
    <w:rsid w:val="00A83E63"/>
    <w:rsid w:val="00A8404C"/>
    <w:rsid w:val="00A840F3"/>
    <w:rsid w:val="00A8415F"/>
    <w:rsid w:val="00A842D7"/>
    <w:rsid w:val="00A843F7"/>
    <w:rsid w:val="00A84549"/>
    <w:rsid w:val="00A845DD"/>
    <w:rsid w:val="00A846A2"/>
    <w:rsid w:val="00A8478A"/>
    <w:rsid w:val="00A84A45"/>
    <w:rsid w:val="00A84A98"/>
    <w:rsid w:val="00A84B0F"/>
    <w:rsid w:val="00A84C8E"/>
    <w:rsid w:val="00A84D5A"/>
    <w:rsid w:val="00A85202"/>
    <w:rsid w:val="00A8523B"/>
    <w:rsid w:val="00A852D3"/>
    <w:rsid w:val="00A85469"/>
    <w:rsid w:val="00A855B0"/>
    <w:rsid w:val="00A857CD"/>
    <w:rsid w:val="00A85864"/>
    <w:rsid w:val="00A8594B"/>
    <w:rsid w:val="00A85A57"/>
    <w:rsid w:val="00A85E51"/>
    <w:rsid w:val="00A860C8"/>
    <w:rsid w:val="00A861F5"/>
    <w:rsid w:val="00A86314"/>
    <w:rsid w:val="00A86336"/>
    <w:rsid w:val="00A863A5"/>
    <w:rsid w:val="00A86531"/>
    <w:rsid w:val="00A86542"/>
    <w:rsid w:val="00A866A7"/>
    <w:rsid w:val="00A86992"/>
    <w:rsid w:val="00A86A0A"/>
    <w:rsid w:val="00A86AD5"/>
    <w:rsid w:val="00A86BBA"/>
    <w:rsid w:val="00A86BFF"/>
    <w:rsid w:val="00A86F31"/>
    <w:rsid w:val="00A86FB6"/>
    <w:rsid w:val="00A870E5"/>
    <w:rsid w:val="00A8725F"/>
    <w:rsid w:val="00A87309"/>
    <w:rsid w:val="00A873EE"/>
    <w:rsid w:val="00A8742C"/>
    <w:rsid w:val="00A87436"/>
    <w:rsid w:val="00A874B8"/>
    <w:rsid w:val="00A874D8"/>
    <w:rsid w:val="00A8750F"/>
    <w:rsid w:val="00A876FE"/>
    <w:rsid w:val="00A8795A"/>
    <w:rsid w:val="00A87ABD"/>
    <w:rsid w:val="00A87B4B"/>
    <w:rsid w:val="00A87BAE"/>
    <w:rsid w:val="00A87D0B"/>
    <w:rsid w:val="00A87D21"/>
    <w:rsid w:val="00A87E94"/>
    <w:rsid w:val="00A87FD8"/>
    <w:rsid w:val="00A901F3"/>
    <w:rsid w:val="00A9025E"/>
    <w:rsid w:val="00A90275"/>
    <w:rsid w:val="00A90296"/>
    <w:rsid w:val="00A903B2"/>
    <w:rsid w:val="00A9040E"/>
    <w:rsid w:val="00A90766"/>
    <w:rsid w:val="00A9085D"/>
    <w:rsid w:val="00A909DF"/>
    <w:rsid w:val="00A90B45"/>
    <w:rsid w:val="00A90B86"/>
    <w:rsid w:val="00A90C41"/>
    <w:rsid w:val="00A90C80"/>
    <w:rsid w:val="00A90EAD"/>
    <w:rsid w:val="00A90F50"/>
    <w:rsid w:val="00A910A0"/>
    <w:rsid w:val="00A9110B"/>
    <w:rsid w:val="00A9113A"/>
    <w:rsid w:val="00A9116F"/>
    <w:rsid w:val="00A911F6"/>
    <w:rsid w:val="00A91307"/>
    <w:rsid w:val="00A91317"/>
    <w:rsid w:val="00A91347"/>
    <w:rsid w:val="00A91570"/>
    <w:rsid w:val="00A915EC"/>
    <w:rsid w:val="00A91765"/>
    <w:rsid w:val="00A917CC"/>
    <w:rsid w:val="00A9187D"/>
    <w:rsid w:val="00A918F1"/>
    <w:rsid w:val="00A91984"/>
    <w:rsid w:val="00A91C8C"/>
    <w:rsid w:val="00A91C99"/>
    <w:rsid w:val="00A91DDD"/>
    <w:rsid w:val="00A91FDA"/>
    <w:rsid w:val="00A9219C"/>
    <w:rsid w:val="00A9279A"/>
    <w:rsid w:val="00A927B0"/>
    <w:rsid w:val="00A9299A"/>
    <w:rsid w:val="00A929F4"/>
    <w:rsid w:val="00A92A3F"/>
    <w:rsid w:val="00A92BCF"/>
    <w:rsid w:val="00A92FC8"/>
    <w:rsid w:val="00A93130"/>
    <w:rsid w:val="00A93172"/>
    <w:rsid w:val="00A9318E"/>
    <w:rsid w:val="00A93345"/>
    <w:rsid w:val="00A933B1"/>
    <w:rsid w:val="00A93468"/>
    <w:rsid w:val="00A9357A"/>
    <w:rsid w:val="00A9380C"/>
    <w:rsid w:val="00A939DC"/>
    <w:rsid w:val="00A93A1D"/>
    <w:rsid w:val="00A93A32"/>
    <w:rsid w:val="00A93A50"/>
    <w:rsid w:val="00A93A8D"/>
    <w:rsid w:val="00A93C59"/>
    <w:rsid w:val="00A93C9F"/>
    <w:rsid w:val="00A93D82"/>
    <w:rsid w:val="00A93EB7"/>
    <w:rsid w:val="00A942D3"/>
    <w:rsid w:val="00A94341"/>
    <w:rsid w:val="00A94386"/>
    <w:rsid w:val="00A9452B"/>
    <w:rsid w:val="00A94577"/>
    <w:rsid w:val="00A945B7"/>
    <w:rsid w:val="00A946B3"/>
    <w:rsid w:val="00A946CE"/>
    <w:rsid w:val="00A9491D"/>
    <w:rsid w:val="00A949D5"/>
    <w:rsid w:val="00A94B75"/>
    <w:rsid w:val="00A94CE7"/>
    <w:rsid w:val="00A94D1B"/>
    <w:rsid w:val="00A9509A"/>
    <w:rsid w:val="00A950EC"/>
    <w:rsid w:val="00A9510D"/>
    <w:rsid w:val="00A95185"/>
    <w:rsid w:val="00A953FA"/>
    <w:rsid w:val="00A95401"/>
    <w:rsid w:val="00A95563"/>
    <w:rsid w:val="00A955D3"/>
    <w:rsid w:val="00A95642"/>
    <w:rsid w:val="00A95A55"/>
    <w:rsid w:val="00A95BAB"/>
    <w:rsid w:val="00A95C53"/>
    <w:rsid w:val="00A95D4E"/>
    <w:rsid w:val="00A95DFB"/>
    <w:rsid w:val="00A95F74"/>
    <w:rsid w:val="00A95FC9"/>
    <w:rsid w:val="00A960A7"/>
    <w:rsid w:val="00A963D3"/>
    <w:rsid w:val="00A96532"/>
    <w:rsid w:val="00A96695"/>
    <w:rsid w:val="00A9692D"/>
    <w:rsid w:val="00A96CE4"/>
    <w:rsid w:val="00A96E69"/>
    <w:rsid w:val="00A96EF8"/>
    <w:rsid w:val="00A970B3"/>
    <w:rsid w:val="00A970D4"/>
    <w:rsid w:val="00A97166"/>
    <w:rsid w:val="00A97200"/>
    <w:rsid w:val="00A972C4"/>
    <w:rsid w:val="00A97437"/>
    <w:rsid w:val="00A975D7"/>
    <w:rsid w:val="00A97651"/>
    <w:rsid w:val="00A9766A"/>
    <w:rsid w:val="00A976A8"/>
    <w:rsid w:val="00A977DD"/>
    <w:rsid w:val="00A97860"/>
    <w:rsid w:val="00A97A3C"/>
    <w:rsid w:val="00A97B3A"/>
    <w:rsid w:val="00AA01D7"/>
    <w:rsid w:val="00AA0486"/>
    <w:rsid w:val="00AA050E"/>
    <w:rsid w:val="00AA0515"/>
    <w:rsid w:val="00AA051C"/>
    <w:rsid w:val="00AA051D"/>
    <w:rsid w:val="00AA0528"/>
    <w:rsid w:val="00AA058F"/>
    <w:rsid w:val="00AA071D"/>
    <w:rsid w:val="00AA072B"/>
    <w:rsid w:val="00AA09CA"/>
    <w:rsid w:val="00AA0C37"/>
    <w:rsid w:val="00AA0D44"/>
    <w:rsid w:val="00AA0EE9"/>
    <w:rsid w:val="00AA0F44"/>
    <w:rsid w:val="00AA102A"/>
    <w:rsid w:val="00AA115E"/>
    <w:rsid w:val="00AA12F7"/>
    <w:rsid w:val="00AA135B"/>
    <w:rsid w:val="00AA13E4"/>
    <w:rsid w:val="00AA169B"/>
    <w:rsid w:val="00AA16DB"/>
    <w:rsid w:val="00AA1780"/>
    <w:rsid w:val="00AA1910"/>
    <w:rsid w:val="00AA1965"/>
    <w:rsid w:val="00AA1B76"/>
    <w:rsid w:val="00AA1CFF"/>
    <w:rsid w:val="00AA1DBF"/>
    <w:rsid w:val="00AA1E62"/>
    <w:rsid w:val="00AA1F61"/>
    <w:rsid w:val="00AA20C7"/>
    <w:rsid w:val="00AA20FB"/>
    <w:rsid w:val="00AA22A4"/>
    <w:rsid w:val="00AA2372"/>
    <w:rsid w:val="00AA247B"/>
    <w:rsid w:val="00AA275D"/>
    <w:rsid w:val="00AA277C"/>
    <w:rsid w:val="00AA2827"/>
    <w:rsid w:val="00AA2A0C"/>
    <w:rsid w:val="00AA2B2D"/>
    <w:rsid w:val="00AA2B57"/>
    <w:rsid w:val="00AA2E9C"/>
    <w:rsid w:val="00AA2FAB"/>
    <w:rsid w:val="00AA306F"/>
    <w:rsid w:val="00AA30D6"/>
    <w:rsid w:val="00AA31DF"/>
    <w:rsid w:val="00AA3277"/>
    <w:rsid w:val="00AA3309"/>
    <w:rsid w:val="00AA35D3"/>
    <w:rsid w:val="00AA35F1"/>
    <w:rsid w:val="00AA3832"/>
    <w:rsid w:val="00AA39A5"/>
    <w:rsid w:val="00AA39DB"/>
    <w:rsid w:val="00AA3A5A"/>
    <w:rsid w:val="00AA3CE6"/>
    <w:rsid w:val="00AA3CEE"/>
    <w:rsid w:val="00AA3D31"/>
    <w:rsid w:val="00AA3D71"/>
    <w:rsid w:val="00AA3E5C"/>
    <w:rsid w:val="00AA3EB3"/>
    <w:rsid w:val="00AA4220"/>
    <w:rsid w:val="00AA44B0"/>
    <w:rsid w:val="00AA456D"/>
    <w:rsid w:val="00AA45AB"/>
    <w:rsid w:val="00AA45B9"/>
    <w:rsid w:val="00AA46CC"/>
    <w:rsid w:val="00AA47D7"/>
    <w:rsid w:val="00AA488F"/>
    <w:rsid w:val="00AA4904"/>
    <w:rsid w:val="00AA4916"/>
    <w:rsid w:val="00AA4998"/>
    <w:rsid w:val="00AA49FF"/>
    <w:rsid w:val="00AA4A74"/>
    <w:rsid w:val="00AA4CA8"/>
    <w:rsid w:val="00AA4D56"/>
    <w:rsid w:val="00AA4D87"/>
    <w:rsid w:val="00AA4D89"/>
    <w:rsid w:val="00AA4DA8"/>
    <w:rsid w:val="00AA4EAB"/>
    <w:rsid w:val="00AA5243"/>
    <w:rsid w:val="00AA52CB"/>
    <w:rsid w:val="00AA52E3"/>
    <w:rsid w:val="00AA530B"/>
    <w:rsid w:val="00AA539B"/>
    <w:rsid w:val="00AA554A"/>
    <w:rsid w:val="00AA5773"/>
    <w:rsid w:val="00AA580C"/>
    <w:rsid w:val="00AA58B8"/>
    <w:rsid w:val="00AA5977"/>
    <w:rsid w:val="00AA5B65"/>
    <w:rsid w:val="00AA5C5E"/>
    <w:rsid w:val="00AA5C74"/>
    <w:rsid w:val="00AA5E24"/>
    <w:rsid w:val="00AA606E"/>
    <w:rsid w:val="00AA6358"/>
    <w:rsid w:val="00AA63C7"/>
    <w:rsid w:val="00AA64E5"/>
    <w:rsid w:val="00AA653C"/>
    <w:rsid w:val="00AA6748"/>
    <w:rsid w:val="00AA68B0"/>
    <w:rsid w:val="00AA6A10"/>
    <w:rsid w:val="00AA6CE8"/>
    <w:rsid w:val="00AA6EFA"/>
    <w:rsid w:val="00AA71ED"/>
    <w:rsid w:val="00AA7281"/>
    <w:rsid w:val="00AA735D"/>
    <w:rsid w:val="00AA73D3"/>
    <w:rsid w:val="00AA7460"/>
    <w:rsid w:val="00AA7495"/>
    <w:rsid w:val="00AA7554"/>
    <w:rsid w:val="00AA75D0"/>
    <w:rsid w:val="00AA78F2"/>
    <w:rsid w:val="00AA7946"/>
    <w:rsid w:val="00AA7A31"/>
    <w:rsid w:val="00AA7A42"/>
    <w:rsid w:val="00AA7A6F"/>
    <w:rsid w:val="00AA7ACA"/>
    <w:rsid w:val="00AA7BFF"/>
    <w:rsid w:val="00AA7CFC"/>
    <w:rsid w:val="00AA7D8A"/>
    <w:rsid w:val="00AA7DBB"/>
    <w:rsid w:val="00AA7F3C"/>
    <w:rsid w:val="00AB0060"/>
    <w:rsid w:val="00AB0132"/>
    <w:rsid w:val="00AB01DD"/>
    <w:rsid w:val="00AB0323"/>
    <w:rsid w:val="00AB034D"/>
    <w:rsid w:val="00AB0374"/>
    <w:rsid w:val="00AB037F"/>
    <w:rsid w:val="00AB03E2"/>
    <w:rsid w:val="00AB04B9"/>
    <w:rsid w:val="00AB08C3"/>
    <w:rsid w:val="00AB0A0A"/>
    <w:rsid w:val="00AB0A76"/>
    <w:rsid w:val="00AB0AD9"/>
    <w:rsid w:val="00AB0BBC"/>
    <w:rsid w:val="00AB0D6A"/>
    <w:rsid w:val="00AB0DA0"/>
    <w:rsid w:val="00AB0F77"/>
    <w:rsid w:val="00AB1036"/>
    <w:rsid w:val="00AB114C"/>
    <w:rsid w:val="00AB121B"/>
    <w:rsid w:val="00AB123B"/>
    <w:rsid w:val="00AB1310"/>
    <w:rsid w:val="00AB13E4"/>
    <w:rsid w:val="00AB14FB"/>
    <w:rsid w:val="00AB1874"/>
    <w:rsid w:val="00AB1B3B"/>
    <w:rsid w:val="00AB1B47"/>
    <w:rsid w:val="00AB1C71"/>
    <w:rsid w:val="00AB1DB8"/>
    <w:rsid w:val="00AB1ED0"/>
    <w:rsid w:val="00AB20AF"/>
    <w:rsid w:val="00AB2156"/>
    <w:rsid w:val="00AB2505"/>
    <w:rsid w:val="00AB2589"/>
    <w:rsid w:val="00AB25BE"/>
    <w:rsid w:val="00AB264B"/>
    <w:rsid w:val="00AB2656"/>
    <w:rsid w:val="00AB297C"/>
    <w:rsid w:val="00AB2B39"/>
    <w:rsid w:val="00AB2B72"/>
    <w:rsid w:val="00AB2CBB"/>
    <w:rsid w:val="00AB2DCF"/>
    <w:rsid w:val="00AB32C6"/>
    <w:rsid w:val="00AB33A4"/>
    <w:rsid w:val="00AB345A"/>
    <w:rsid w:val="00AB34E3"/>
    <w:rsid w:val="00AB361D"/>
    <w:rsid w:val="00AB3623"/>
    <w:rsid w:val="00AB37A3"/>
    <w:rsid w:val="00AB38E5"/>
    <w:rsid w:val="00AB3BDB"/>
    <w:rsid w:val="00AB3C36"/>
    <w:rsid w:val="00AB3C75"/>
    <w:rsid w:val="00AB3CD4"/>
    <w:rsid w:val="00AB3CF9"/>
    <w:rsid w:val="00AB3D7B"/>
    <w:rsid w:val="00AB3E28"/>
    <w:rsid w:val="00AB3EA0"/>
    <w:rsid w:val="00AB3F57"/>
    <w:rsid w:val="00AB427B"/>
    <w:rsid w:val="00AB4295"/>
    <w:rsid w:val="00AB4613"/>
    <w:rsid w:val="00AB47D9"/>
    <w:rsid w:val="00AB4849"/>
    <w:rsid w:val="00AB49A2"/>
    <w:rsid w:val="00AB49FB"/>
    <w:rsid w:val="00AB4A0F"/>
    <w:rsid w:val="00AB4A30"/>
    <w:rsid w:val="00AB4AC2"/>
    <w:rsid w:val="00AB4B01"/>
    <w:rsid w:val="00AB4B1C"/>
    <w:rsid w:val="00AB4B31"/>
    <w:rsid w:val="00AB4C76"/>
    <w:rsid w:val="00AB4D2E"/>
    <w:rsid w:val="00AB4F6A"/>
    <w:rsid w:val="00AB5213"/>
    <w:rsid w:val="00AB5219"/>
    <w:rsid w:val="00AB54B3"/>
    <w:rsid w:val="00AB5562"/>
    <w:rsid w:val="00AB557B"/>
    <w:rsid w:val="00AB56C2"/>
    <w:rsid w:val="00AB594C"/>
    <w:rsid w:val="00AB59D1"/>
    <w:rsid w:val="00AB5AE4"/>
    <w:rsid w:val="00AB5B94"/>
    <w:rsid w:val="00AB5FB6"/>
    <w:rsid w:val="00AB5FC6"/>
    <w:rsid w:val="00AB60A0"/>
    <w:rsid w:val="00AB6289"/>
    <w:rsid w:val="00AB638A"/>
    <w:rsid w:val="00AB64AA"/>
    <w:rsid w:val="00AB654B"/>
    <w:rsid w:val="00AB6714"/>
    <w:rsid w:val="00AB6733"/>
    <w:rsid w:val="00AB6752"/>
    <w:rsid w:val="00AB69C1"/>
    <w:rsid w:val="00AB6A4D"/>
    <w:rsid w:val="00AB6AC1"/>
    <w:rsid w:val="00AB6BB3"/>
    <w:rsid w:val="00AB6CED"/>
    <w:rsid w:val="00AB6DB8"/>
    <w:rsid w:val="00AB6DFD"/>
    <w:rsid w:val="00AB6EFA"/>
    <w:rsid w:val="00AB700D"/>
    <w:rsid w:val="00AB709B"/>
    <w:rsid w:val="00AB72B5"/>
    <w:rsid w:val="00AB72D9"/>
    <w:rsid w:val="00AB7476"/>
    <w:rsid w:val="00AB754F"/>
    <w:rsid w:val="00AB7623"/>
    <w:rsid w:val="00AB776C"/>
    <w:rsid w:val="00AB79DD"/>
    <w:rsid w:val="00AB7F53"/>
    <w:rsid w:val="00AC013E"/>
    <w:rsid w:val="00AC0305"/>
    <w:rsid w:val="00AC032E"/>
    <w:rsid w:val="00AC05A8"/>
    <w:rsid w:val="00AC06A1"/>
    <w:rsid w:val="00AC06F4"/>
    <w:rsid w:val="00AC076C"/>
    <w:rsid w:val="00AC087B"/>
    <w:rsid w:val="00AC0951"/>
    <w:rsid w:val="00AC0A04"/>
    <w:rsid w:val="00AC0A06"/>
    <w:rsid w:val="00AC0A3E"/>
    <w:rsid w:val="00AC0A78"/>
    <w:rsid w:val="00AC0E2D"/>
    <w:rsid w:val="00AC0E8A"/>
    <w:rsid w:val="00AC0FD7"/>
    <w:rsid w:val="00AC107E"/>
    <w:rsid w:val="00AC11E7"/>
    <w:rsid w:val="00AC12E9"/>
    <w:rsid w:val="00AC13FA"/>
    <w:rsid w:val="00AC1494"/>
    <w:rsid w:val="00AC158A"/>
    <w:rsid w:val="00AC1630"/>
    <w:rsid w:val="00AC1844"/>
    <w:rsid w:val="00AC1891"/>
    <w:rsid w:val="00AC1956"/>
    <w:rsid w:val="00AC196D"/>
    <w:rsid w:val="00AC19AE"/>
    <w:rsid w:val="00AC1A5F"/>
    <w:rsid w:val="00AC1DAD"/>
    <w:rsid w:val="00AC1F9D"/>
    <w:rsid w:val="00AC20BA"/>
    <w:rsid w:val="00AC20C6"/>
    <w:rsid w:val="00AC23E9"/>
    <w:rsid w:val="00AC23FF"/>
    <w:rsid w:val="00AC24E8"/>
    <w:rsid w:val="00AC2523"/>
    <w:rsid w:val="00AC255D"/>
    <w:rsid w:val="00AC2593"/>
    <w:rsid w:val="00AC2631"/>
    <w:rsid w:val="00AC2697"/>
    <w:rsid w:val="00AC2711"/>
    <w:rsid w:val="00AC2719"/>
    <w:rsid w:val="00AC27EE"/>
    <w:rsid w:val="00AC2944"/>
    <w:rsid w:val="00AC2B01"/>
    <w:rsid w:val="00AC2BEC"/>
    <w:rsid w:val="00AC2ECF"/>
    <w:rsid w:val="00AC2F7D"/>
    <w:rsid w:val="00AC32B0"/>
    <w:rsid w:val="00AC32EA"/>
    <w:rsid w:val="00AC340B"/>
    <w:rsid w:val="00AC353D"/>
    <w:rsid w:val="00AC3796"/>
    <w:rsid w:val="00AC386A"/>
    <w:rsid w:val="00AC38FF"/>
    <w:rsid w:val="00AC3A54"/>
    <w:rsid w:val="00AC3AC5"/>
    <w:rsid w:val="00AC3BD4"/>
    <w:rsid w:val="00AC3C71"/>
    <w:rsid w:val="00AC3EC9"/>
    <w:rsid w:val="00AC4134"/>
    <w:rsid w:val="00AC4420"/>
    <w:rsid w:val="00AC45A5"/>
    <w:rsid w:val="00AC474E"/>
    <w:rsid w:val="00AC4857"/>
    <w:rsid w:val="00AC486A"/>
    <w:rsid w:val="00AC48A2"/>
    <w:rsid w:val="00AC48EC"/>
    <w:rsid w:val="00AC497E"/>
    <w:rsid w:val="00AC4992"/>
    <w:rsid w:val="00AC4A7A"/>
    <w:rsid w:val="00AC4C17"/>
    <w:rsid w:val="00AC4CA1"/>
    <w:rsid w:val="00AC4CE2"/>
    <w:rsid w:val="00AC4D66"/>
    <w:rsid w:val="00AC4ED0"/>
    <w:rsid w:val="00AC4F33"/>
    <w:rsid w:val="00AC4FA5"/>
    <w:rsid w:val="00AC4FDC"/>
    <w:rsid w:val="00AC5386"/>
    <w:rsid w:val="00AC5452"/>
    <w:rsid w:val="00AC56B6"/>
    <w:rsid w:val="00AC56C2"/>
    <w:rsid w:val="00AC573B"/>
    <w:rsid w:val="00AC5740"/>
    <w:rsid w:val="00AC581D"/>
    <w:rsid w:val="00AC5920"/>
    <w:rsid w:val="00AC5A74"/>
    <w:rsid w:val="00AC5AB7"/>
    <w:rsid w:val="00AC5B09"/>
    <w:rsid w:val="00AC5B17"/>
    <w:rsid w:val="00AC5BA7"/>
    <w:rsid w:val="00AC5BBD"/>
    <w:rsid w:val="00AC5E08"/>
    <w:rsid w:val="00AC5E19"/>
    <w:rsid w:val="00AC6255"/>
    <w:rsid w:val="00AC6258"/>
    <w:rsid w:val="00AC62B4"/>
    <w:rsid w:val="00AC637B"/>
    <w:rsid w:val="00AC6547"/>
    <w:rsid w:val="00AC66D9"/>
    <w:rsid w:val="00AC66E7"/>
    <w:rsid w:val="00AC6B56"/>
    <w:rsid w:val="00AC6E1D"/>
    <w:rsid w:val="00AC6E55"/>
    <w:rsid w:val="00AC6ED9"/>
    <w:rsid w:val="00AC6F08"/>
    <w:rsid w:val="00AC6F89"/>
    <w:rsid w:val="00AC6FB4"/>
    <w:rsid w:val="00AC6FD4"/>
    <w:rsid w:val="00AC7339"/>
    <w:rsid w:val="00AC7395"/>
    <w:rsid w:val="00AC7511"/>
    <w:rsid w:val="00AC75E2"/>
    <w:rsid w:val="00AC780F"/>
    <w:rsid w:val="00AC7A93"/>
    <w:rsid w:val="00AC7B2D"/>
    <w:rsid w:val="00AC7C35"/>
    <w:rsid w:val="00AC7DA2"/>
    <w:rsid w:val="00AC7DAD"/>
    <w:rsid w:val="00AC7E71"/>
    <w:rsid w:val="00AD01B6"/>
    <w:rsid w:val="00AD021D"/>
    <w:rsid w:val="00AD02D4"/>
    <w:rsid w:val="00AD0348"/>
    <w:rsid w:val="00AD0424"/>
    <w:rsid w:val="00AD05A2"/>
    <w:rsid w:val="00AD05F4"/>
    <w:rsid w:val="00AD06C9"/>
    <w:rsid w:val="00AD0798"/>
    <w:rsid w:val="00AD0925"/>
    <w:rsid w:val="00AD0A72"/>
    <w:rsid w:val="00AD0AEF"/>
    <w:rsid w:val="00AD0B48"/>
    <w:rsid w:val="00AD0C33"/>
    <w:rsid w:val="00AD0C95"/>
    <w:rsid w:val="00AD113A"/>
    <w:rsid w:val="00AD120A"/>
    <w:rsid w:val="00AD12C9"/>
    <w:rsid w:val="00AD12E7"/>
    <w:rsid w:val="00AD1587"/>
    <w:rsid w:val="00AD197A"/>
    <w:rsid w:val="00AD1B40"/>
    <w:rsid w:val="00AD1E69"/>
    <w:rsid w:val="00AD20CD"/>
    <w:rsid w:val="00AD20D0"/>
    <w:rsid w:val="00AD2143"/>
    <w:rsid w:val="00AD21E4"/>
    <w:rsid w:val="00AD228D"/>
    <w:rsid w:val="00AD22A8"/>
    <w:rsid w:val="00AD23DF"/>
    <w:rsid w:val="00AD248A"/>
    <w:rsid w:val="00AD24C7"/>
    <w:rsid w:val="00AD2687"/>
    <w:rsid w:val="00AD275F"/>
    <w:rsid w:val="00AD2783"/>
    <w:rsid w:val="00AD2795"/>
    <w:rsid w:val="00AD27B7"/>
    <w:rsid w:val="00AD27C0"/>
    <w:rsid w:val="00AD27C7"/>
    <w:rsid w:val="00AD29CD"/>
    <w:rsid w:val="00AD29FA"/>
    <w:rsid w:val="00AD2A3F"/>
    <w:rsid w:val="00AD2C92"/>
    <w:rsid w:val="00AD2D4E"/>
    <w:rsid w:val="00AD2E05"/>
    <w:rsid w:val="00AD302D"/>
    <w:rsid w:val="00AD3291"/>
    <w:rsid w:val="00AD34ED"/>
    <w:rsid w:val="00AD3579"/>
    <w:rsid w:val="00AD358F"/>
    <w:rsid w:val="00AD369A"/>
    <w:rsid w:val="00AD3783"/>
    <w:rsid w:val="00AD394A"/>
    <w:rsid w:val="00AD39C0"/>
    <w:rsid w:val="00AD3AC9"/>
    <w:rsid w:val="00AD3BAD"/>
    <w:rsid w:val="00AD3BE6"/>
    <w:rsid w:val="00AD3C5E"/>
    <w:rsid w:val="00AD3C73"/>
    <w:rsid w:val="00AD3C7C"/>
    <w:rsid w:val="00AD3D81"/>
    <w:rsid w:val="00AD3F87"/>
    <w:rsid w:val="00AD3F94"/>
    <w:rsid w:val="00AD4006"/>
    <w:rsid w:val="00AD40C4"/>
    <w:rsid w:val="00AD4149"/>
    <w:rsid w:val="00AD41A5"/>
    <w:rsid w:val="00AD41DD"/>
    <w:rsid w:val="00AD41FF"/>
    <w:rsid w:val="00AD439A"/>
    <w:rsid w:val="00AD4415"/>
    <w:rsid w:val="00AD4439"/>
    <w:rsid w:val="00AD45D0"/>
    <w:rsid w:val="00AD4744"/>
    <w:rsid w:val="00AD4771"/>
    <w:rsid w:val="00AD48E2"/>
    <w:rsid w:val="00AD4944"/>
    <w:rsid w:val="00AD4A3E"/>
    <w:rsid w:val="00AD4AFD"/>
    <w:rsid w:val="00AD4C0C"/>
    <w:rsid w:val="00AD4C10"/>
    <w:rsid w:val="00AD4C7E"/>
    <w:rsid w:val="00AD4CAF"/>
    <w:rsid w:val="00AD4CDB"/>
    <w:rsid w:val="00AD5077"/>
    <w:rsid w:val="00AD50E1"/>
    <w:rsid w:val="00AD51A9"/>
    <w:rsid w:val="00AD51FC"/>
    <w:rsid w:val="00AD542E"/>
    <w:rsid w:val="00AD55B9"/>
    <w:rsid w:val="00AD56DD"/>
    <w:rsid w:val="00AD577E"/>
    <w:rsid w:val="00AD586E"/>
    <w:rsid w:val="00AD5983"/>
    <w:rsid w:val="00AD5A1E"/>
    <w:rsid w:val="00AD5C38"/>
    <w:rsid w:val="00AD5C8B"/>
    <w:rsid w:val="00AD5CC1"/>
    <w:rsid w:val="00AD5CCE"/>
    <w:rsid w:val="00AD5DB8"/>
    <w:rsid w:val="00AD5EB1"/>
    <w:rsid w:val="00AD5FA2"/>
    <w:rsid w:val="00AD60D5"/>
    <w:rsid w:val="00AD6147"/>
    <w:rsid w:val="00AD6171"/>
    <w:rsid w:val="00AD61C4"/>
    <w:rsid w:val="00AD6314"/>
    <w:rsid w:val="00AD6329"/>
    <w:rsid w:val="00AD6454"/>
    <w:rsid w:val="00AD652A"/>
    <w:rsid w:val="00AD6634"/>
    <w:rsid w:val="00AD6636"/>
    <w:rsid w:val="00AD66D5"/>
    <w:rsid w:val="00AD67D4"/>
    <w:rsid w:val="00AD6A51"/>
    <w:rsid w:val="00AD6A74"/>
    <w:rsid w:val="00AD6B39"/>
    <w:rsid w:val="00AD6BB1"/>
    <w:rsid w:val="00AD719F"/>
    <w:rsid w:val="00AD73AB"/>
    <w:rsid w:val="00AD74DE"/>
    <w:rsid w:val="00AD778D"/>
    <w:rsid w:val="00AD779A"/>
    <w:rsid w:val="00AD77D0"/>
    <w:rsid w:val="00AD77FB"/>
    <w:rsid w:val="00AD788E"/>
    <w:rsid w:val="00AD7951"/>
    <w:rsid w:val="00AD7AAD"/>
    <w:rsid w:val="00AE0081"/>
    <w:rsid w:val="00AE01A6"/>
    <w:rsid w:val="00AE01B9"/>
    <w:rsid w:val="00AE01D9"/>
    <w:rsid w:val="00AE0283"/>
    <w:rsid w:val="00AE035C"/>
    <w:rsid w:val="00AE078B"/>
    <w:rsid w:val="00AE0817"/>
    <w:rsid w:val="00AE0889"/>
    <w:rsid w:val="00AE08D0"/>
    <w:rsid w:val="00AE0910"/>
    <w:rsid w:val="00AE0958"/>
    <w:rsid w:val="00AE09E7"/>
    <w:rsid w:val="00AE0A38"/>
    <w:rsid w:val="00AE0A7D"/>
    <w:rsid w:val="00AE0B94"/>
    <w:rsid w:val="00AE0C8F"/>
    <w:rsid w:val="00AE0CE2"/>
    <w:rsid w:val="00AE0DAF"/>
    <w:rsid w:val="00AE0E2A"/>
    <w:rsid w:val="00AE11AD"/>
    <w:rsid w:val="00AE11D0"/>
    <w:rsid w:val="00AE12B3"/>
    <w:rsid w:val="00AE13D6"/>
    <w:rsid w:val="00AE1414"/>
    <w:rsid w:val="00AE1538"/>
    <w:rsid w:val="00AE155F"/>
    <w:rsid w:val="00AE15A5"/>
    <w:rsid w:val="00AE15E6"/>
    <w:rsid w:val="00AE16B0"/>
    <w:rsid w:val="00AE17C7"/>
    <w:rsid w:val="00AE17CC"/>
    <w:rsid w:val="00AE1829"/>
    <w:rsid w:val="00AE199B"/>
    <w:rsid w:val="00AE1C88"/>
    <w:rsid w:val="00AE1D17"/>
    <w:rsid w:val="00AE1DCD"/>
    <w:rsid w:val="00AE1E06"/>
    <w:rsid w:val="00AE1E55"/>
    <w:rsid w:val="00AE1F48"/>
    <w:rsid w:val="00AE2012"/>
    <w:rsid w:val="00AE2049"/>
    <w:rsid w:val="00AE22FE"/>
    <w:rsid w:val="00AE23AD"/>
    <w:rsid w:val="00AE2591"/>
    <w:rsid w:val="00AE27E1"/>
    <w:rsid w:val="00AE2B57"/>
    <w:rsid w:val="00AE303E"/>
    <w:rsid w:val="00AE328D"/>
    <w:rsid w:val="00AE3298"/>
    <w:rsid w:val="00AE3307"/>
    <w:rsid w:val="00AE3313"/>
    <w:rsid w:val="00AE3322"/>
    <w:rsid w:val="00AE339C"/>
    <w:rsid w:val="00AE3559"/>
    <w:rsid w:val="00AE35CC"/>
    <w:rsid w:val="00AE3657"/>
    <w:rsid w:val="00AE3F1B"/>
    <w:rsid w:val="00AE3FDE"/>
    <w:rsid w:val="00AE40BA"/>
    <w:rsid w:val="00AE4122"/>
    <w:rsid w:val="00AE4482"/>
    <w:rsid w:val="00AE45D8"/>
    <w:rsid w:val="00AE45FE"/>
    <w:rsid w:val="00AE467F"/>
    <w:rsid w:val="00AE480E"/>
    <w:rsid w:val="00AE4841"/>
    <w:rsid w:val="00AE4B07"/>
    <w:rsid w:val="00AE4CD9"/>
    <w:rsid w:val="00AE4D56"/>
    <w:rsid w:val="00AE4E18"/>
    <w:rsid w:val="00AE4F1B"/>
    <w:rsid w:val="00AE501C"/>
    <w:rsid w:val="00AE52A1"/>
    <w:rsid w:val="00AE52F6"/>
    <w:rsid w:val="00AE5307"/>
    <w:rsid w:val="00AE5331"/>
    <w:rsid w:val="00AE5348"/>
    <w:rsid w:val="00AE5401"/>
    <w:rsid w:val="00AE5402"/>
    <w:rsid w:val="00AE54F0"/>
    <w:rsid w:val="00AE54FB"/>
    <w:rsid w:val="00AE56BF"/>
    <w:rsid w:val="00AE56C1"/>
    <w:rsid w:val="00AE5A32"/>
    <w:rsid w:val="00AE5A43"/>
    <w:rsid w:val="00AE5A6B"/>
    <w:rsid w:val="00AE5C0D"/>
    <w:rsid w:val="00AE5C77"/>
    <w:rsid w:val="00AE5D7B"/>
    <w:rsid w:val="00AE5E6D"/>
    <w:rsid w:val="00AE5E9A"/>
    <w:rsid w:val="00AE6038"/>
    <w:rsid w:val="00AE6167"/>
    <w:rsid w:val="00AE6286"/>
    <w:rsid w:val="00AE62A7"/>
    <w:rsid w:val="00AE62EF"/>
    <w:rsid w:val="00AE632C"/>
    <w:rsid w:val="00AE6342"/>
    <w:rsid w:val="00AE63A2"/>
    <w:rsid w:val="00AE65F9"/>
    <w:rsid w:val="00AE690D"/>
    <w:rsid w:val="00AE6B18"/>
    <w:rsid w:val="00AE6B19"/>
    <w:rsid w:val="00AE6D6D"/>
    <w:rsid w:val="00AE6FCC"/>
    <w:rsid w:val="00AE70B8"/>
    <w:rsid w:val="00AE7124"/>
    <w:rsid w:val="00AE713A"/>
    <w:rsid w:val="00AE727F"/>
    <w:rsid w:val="00AE72A0"/>
    <w:rsid w:val="00AE731B"/>
    <w:rsid w:val="00AE73F7"/>
    <w:rsid w:val="00AE745A"/>
    <w:rsid w:val="00AE7536"/>
    <w:rsid w:val="00AE766D"/>
    <w:rsid w:val="00AE770A"/>
    <w:rsid w:val="00AE797F"/>
    <w:rsid w:val="00AE7D79"/>
    <w:rsid w:val="00AE7E49"/>
    <w:rsid w:val="00AE7F3D"/>
    <w:rsid w:val="00AE7FA4"/>
    <w:rsid w:val="00AE7FB7"/>
    <w:rsid w:val="00AF0052"/>
    <w:rsid w:val="00AF005C"/>
    <w:rsid w:val="00AF007B"/>
    <w:rsid w:val="00AF0090"/>
    <w:rsid w:val="00AF018F"/>
    <w:rsid w:val="00AF01D2"/>
    <w:rsid w:val="00AF0267"/>
    <w:rsid w:val="00AF0308"/>
    <w:rsid w:val="00AF0386"/>
    <w:rsid w:val="00AF039E"/>
    <w:rsid w:val="00AF048E"/>
    <w:rsid w:val="00AF05EA"/>
    <w:rsid w:val="00AF0684"/>
    <w:rsid w:val="00AF0779"/>
    <w:rsid w:val="00AF0A3C"/>
    <w:rsid w:val="00AF0FE0"/>
    <w:rsid w:val="00AF1178"/>
    <w:rsid w:val="00AF11A3"/>
    <w:rsid w:val="00AF11BC"/>
    <w:rsid w:val="00AF1372"/>
    <w:rsid w:val="00AF140A"/>
    <w:rsid w:val="00AF143D"/>
    <w:rsid w:val="00AF150B"/>
    <w:rsid w:val="00AF19B5"/>
    <w:rsid w:val="00AF1A47"/>
    <w:rsid w:val="00AF1B19"/>
    <w:rsid w:val="00AF1B84"/>
    <w:rsid w:val="00AF1BAE"/>
    <w:rsid w:val="00AF1BEE"/>
    <w:rsid w:val="00AF1C7F"/>
    <w:rsid w:val="00AF1F53"/>
    <w:rsid w:val="00AF21DC"/>
    <w:rsid w:val="00AF21DF"/>
    <w:rsid w:val="00AF2284"/>
    <w:rsid w:val="00AF22BC"/>
    <w:rsid w:val="00AF256A"/>
    <w:rsid w:val="00AF27E1"/>
    <w:rsid w:val="00AF2819"/>
    <w:rsid w:val="00AF296A"/>
    <w:rsid w:val="00AF29BA"/>
    <w:rsid w:val="00AF2A32"/>
    <w:rsid w:val="00AF2A4E"/>
    <w:rsid w:val="00AF2A84"/>
    <w:rsid w:val="00AF2A91"/>
    <w:rsid w:val="00AF2B6E"/>
    <w:rsid w:val="00AF2CD9"/>
    <w:rsid w:val="00AF2F3B"/>
    <w:rsid w:val="00AF304D"/>
    <w:rsid w:val="00AF30D0"/>
    <w:rsid w:val="00AF3348"/>
    <w:rsid w:val="00AF36C6"/>
    <w:rsid w:val="00AF38ED"/>
    <w:rsid w:val="00AF3968"/>
    <w:rsid w:val="00AF3B99"/>
    <w:rsid w:val="00AF3C54"/>
    <w:rsid w:val="00AF3D75"/>
    <w:rsid w:val="00AF3FE6"/>
    <w:rsid w:val="00AF400A"/>
    <w:rsid w:val="00AF422B"/>
    <w:rsid w:val="00AF4264"/>
    <w:rsid w:val="00AF427F"/>
    <w:rsid w:val="00AF429A"/>
    <w:rsid w:val="00AF43E1"/>
    <w:rsid w:val="00AF43E5"/>
    <w:rsid w:val="00AF45C7"/>
    <w:rsid w:val="00AF46EB"/>
    <w:rsid w:val="00AF476B"/>
    <w:rsid w:val="00AF49BF"/>
    <w:rsid w:val="00AF49E3"/>
    <w:rsid w:val="00AF4A04"/>
    <w:rsid w:val="00AF4AC1"/>
    <w:rsid w:val="00AF4ACE"/>
    <w:rsid w:val="00AF4B60"/>
    <w:rsid w:val="00AF4C2E"/>
    <w:rsid w:val="00AF4CCC"/>
    <w:rsid w:val="00AF4CD4"/>
    <w:rsid w:val="00AF4E46"/>
    <w:rsid w:val="00AF5097"/>
    <w:rsid w:val="00AF52EE"/>
    <w:rsid w:val="00AF53BA"/>
    <w:rsid w:val="00AF5464"/>
    <w:rsid w:val="00AF5663"/>
    <w:rsid w:val="00AF5748"/>
    <w:rsid w:val="00AF576F"/>
    <w:rsid w:val="00AF5803"/>
    <w:rsid w:val="00AF5838"/>
    <w:rsid w:val="00AF5880"/>
    <w:rsid w:val="00AF588F"/>
    <w:rsid w:val="00AF58D2"/>
    <w:rsid w:val="00AF58EF"/>
    <w:rsid w:val="00AF5C66"/>
    <w:rsid w:val="00AF5E87"/>
    <w:rsid w:val="00AF5EE4"/>
    <w:rsid w:val="00AF5F16"/>
    <w:rsid w:val="00AF5FBD"/>
    <w:rsid w:val="00AF6229"/>
    <w:rsid w:val="00AF6254"/>
    <w:rsid w:val="00AF62AA"/>
    <w:rsid w:val="00AF62BC"/>
    <w:rsid w:val="00AF657E"/>
    <w:rsid w:val="00AF65DA"/>
    <w:rsid w:val="00AF685D"/>
    <w:rsid w:val="00AF6862"/>
    <w:rsid w:val="00AF68BC"/>
    <w:rsid w:val="00AF693D"/>
    <w:rsid w:val="00AF6988"/>
    <w:rsid w:val="00AF69E3"/>
    <w:rsid w:val="00AF6A61"/>
    <w:rsid w:val="00AF6A7B"/>
    <w:rsid w:val="00AF6AE1"/>
    <w:rsid w:val="00AF6B78"/>
    <w:rsid w:val="00AF6CA4"/>
    <w:rsid w:val="00AF6E24"/>
    <w:rsid w:val="00AF7085"/>
    <w:rsid w:val="00AF70A7"/>
    <w:rsid w:val="00AF7127"/>
    <w:rsid w:val="00AF71F2"/>
    <w:rsid w:val="00AF7212"/>
    <w:rsid w:val="00AF723B"/>
    <w:rsid w:val="00AF7263"/>
    <w:rsid w:val="00AF73ED"/>
    <w:rsid w:val="00AF74A7"/>
    <w:rsid w:val="00AF7540"/>
    <w:rsid w:val="00AF755F"/>
    <w:rsid w:val="00AF78D8"/>
    <w:rsid w:val="00AF78E3"/>
    <w:rsid w:val="00AF7B77"/>
    <w:rsid w:val="00AF7CD1"/>
    <w:rsid w:val="00AF7D81"/>
    <w:rsid w:val="00AF7E28"/>
    <w:rsid w:val="00AF7F32"/>
    <w:rsid w:val="00B001D9"/>
    <w:rsid w:val="00B00246"/>
    <w:rsid w:val="00B0024C"/>
    <w:rsid w:val="00B00704"/>
    <w:rsid w:val="00B0073F"/>
    <w:rsid w:val="00B00928"/>
    <w:rsid w:val="00B00934"/>
    <w:rsid w:val="00B0098C"/>
    <w:rsid w:val="00B009F0"/>
    <w:rsid w:val="00B00A96"/>
    <w:rsid w:val="00B00CCA"/>
    <w:rsid w:val="00B00CE9"/>
    <w:rsid w:val="00B00EB2"/>
    <w:rsid w:val="00B00FD4"/>
    <w:rsid w:val="00B00FD9"/>
    <w:rsid w:val="00B01044"/>
    <w:rsid w:val="00B01048"/>
    <w:rsid w:val="00B01069"/>
    <w:rsid w:val="00B0113F"/>
    <w:rsid w:val="00B011EC"/>
    <w:rsid w:val="00B0126E"/>
    <w:rsid w:val="00B01295"/>
    <w:rsid w:val="00B0133E"/>
    <w:rsid w:val="00B01371"/>
    <w:rsid w:val="00B013AF"/>
    <w:rsid w:val="00B014C4"/>
    <w:rsid w:val="00B01541"/>
    <w:rsid w:val="00B016D5"/>
    <w:rsid w:val="00B01916"/>
    <w:rsid w:val="00B0191A"/>
    <w:rsid w:val="00B01A9E"/>
    <w:rsid w:val="00B01C20"/>
    <w:rsid w:val="00B01F11"/>
    <w:rsid w:val="00B01F42"/>
    <w:rsid w:val="00B020B5"/>
    <w:rsid w:val="00B02204"/>
    <w:rsid w:val="00B025B0"/>
    <w:rsid w:val="00B02834"/>
    <w:rsid w:val="00B028AD"/>
    <w:rsid w:val="00B02AA6"/>
    <w:rsid w:val="00B02ADB"/>
    <w:rsid w:val="00B02B00"/>
    <w:rsid w:val="00B02D02"/>
    <w:rsid w:val="00B02D37"/>
    <w:rsid w:val="00B02D88"/>
    <w:rsid w:val="00B03342"/>
    <w:rsid w:val="00B033EB"/>
    <w:rsid w:val="00B03435"/>
    <w:rsid w:val="00B0343D"/>
    <w:rsid w:val="00B0358E"/>
    <w:rsid w:val="00B035C5"/>
    <w:rsid w:val="00B0367A"/>
    <w:rsid w:val="00B037AB"/>
    <w:rsid w:val="00B037B4"/>
    <w:rsid w:val="00B03A1A"/>
    <w:rsid w:val="00B03A1B"/>
    <w:rsid w:val="00B03A6A"/>
    <w:rsid w:val="00B03A93"/>
    <w:rsid w:val="00B03B24"/>
    <w:rsid w:val="00B03B61"/>
    <w:rsid w:val="00B0411E"/>
    <w:rsid w:val="00B0431F"/>
    <w:rsid w:val="00B043A2"/>
    <w:rsid w:val="00B043C0"/>
    <w:rsid w:val="00B0440D"/>
    <w:rsid w:val="00B04611"/>
    <w:rsid w:val="00B046CD"/>
    <w:rsid w:val="00B047C0"/>
    <w:rsid w:val="00B047C1"/>
    <w:rsid w:val="00B04880"/>
    <w:rsid w:val="00B048BD"/>
    <w:rsid w:val="00B0490F"/>
    <w:rsid w:val="00B04AB4"/>
    <w:rsid w:val="00B04E61"/>
    <w:rsid w:val="00B04E90"/>
    <w:rsid w:val="00B04F63"/>
    <w:rsid w:val="00B04F6F"/>
    <w:rsid w:val="00B0524B"/>
    <w:rsid w:val="00B05281"/>
    <w:rsid w:val="00B05322"/>
    <w:rsid w:val="00B05336"/>
    <w:rsid w:val="00B053EB"/>
    <w:rsid w:val="00B0555A"/>
    <w:rsid w:val="00B0555B"/>
    <w:rsid w:val="00B057A0"/>
    <w:rsid w:val="00B058A8"/>
    <w:rsid w:val="00B05B2B"/>
    <w:rsid w:val="00B05B67"/>
    <w:rsid w:val="00B05D2E"/>
    <w:rsid w:val="00B060B4"/>
    <w:rsid w:val="00B06100"/>
    <w:rsid w:val="00B061EC"/>
    <w:rsid w:val="00B0629B"/>
    <w:rsid w:val="00B06453"/>
    <w:rsid w:val="00B06457"/>
    <w:rsid w:val="00B06546"/>
    <w:rsid w:val="00B065DF"/>
    <w:rsid w:val="00B06642"/>
    <w:rsid w:val="00B0684F"/>
    <w:rsid w:val="00B06982"/>
    <w:rsid w:val="00B06A75"/>
    <w:rsid w:val="00B06AA4"/>
    <w:rsid w:val="00B06B19"/>
    <w:rsid w:val="00B06BCC"/>
    <w:rsid w:val="00B06CAE"/>
    <w:rsid w:val="00B06DAB"/>
    <w:rsid w:val="00B06E77"/>
    <w:rsid w:val="00B06F46"/>
    <w:rsid w:val="00B06FA1"/>
    <w:rsid w:val="00B06FAA"/>
    <w:rsid w:val="00B070DB"/>
    <w:rsid w:val="00B071BE"/>
    <w:rsid w:val="00B0721D"/>
    <w:rsid w:val="00B07432"/>
    <w:rsid w:val="00B074C3"/>
    <w:rsid w:val="00B0769D"/>
    <w:rsid w:val="00B076CE"/>
    <w:rsid w:val="00B076E8"/>
    <w:rsid w:val="00B07794"/>
    <w:rsid w:val="00B07807"/>
    <w:rsid w:val="00B07AB4"/>
    <w:rsid w:val="00B07CC7"/>
    <w:rsid w:val="00B07CF7"/>
    <w:rsid w:val="00B07D0B"/>
    <w:rsid w:val="00B07DC8"/>
    <w:rsid w:val="00B07DDB"/>
    <w:rsid w:val="00B07E99"/>
    <w:rsid w:val="00B0FF64"/>
    <w:rsid w:val="00B10055"/>
    <w:rsid w:val="00B102F2"/>
    <w:rsid w:val="00B10438"/>
    <w:rsid w:val="00B10674"/>
    <w:rsid w:val="00B106CD"/>
    <w:rsid w:val="00B10827"/>
    <w:rsid w:val="00B10A7B"/>
    <w:rsid w:val="00B10B1A"/>
    <w:rsid w:val="00B10E5A"/>
    <w:rsid w:val="00B10E82"/>
    <w:rsid w:val="00B10E9D"/>
    <w:rsid w:val="00B10F3E"/>
    <w:rsid w:val="00B10FB2"/>
    <w:rsid w:val="00B11250"/>
    <w:rsid w:val="00B1135E"/>
    <w:rsid w:val="00B11378"/>
    <w:rsid w:val="00B114DF"/>
    <w:rsid w:val="00B11522"/>
    <w:rsid w:val="00B119F1"/>
    <w:rsid w:val="00B11A03"/>
    <w:rsid w:val="00B11CB2"/>
    <w:rsid w:val="00B11CC3"/>
    <w:rsid w:val="00B11E08"/>
    <w:rsid w:val="00B11FEC"/>
    <w:rsid w:val="00B12009"/>
    <w:rsid w:val="00B120C2"/>
    <w:rsid w:val="00B122A5"/>
    <w:rsid w:val="00B122B6"/>
    <w:rsid w:val="00B123E9"/>
    <w:rsid w:val="00B126C0"/>
    <w:rsid w:val="00B126C1"/>
    <w:rsid w:val="00B12752"/>
    <w:rsid w:val="00B127F0"/>
    <w:rsid w:val="00B128F1"/>
    <w:rsid w:val="00B12DE5"/>
    <w:rsid w:val="00B13040"/>
    <w:rsid w:val="00B13092"/>
    <w:rsid w:val="00B13096"/>
    <w:rsid w:val="00B1327F"/>
    <w:rsid w:val="00B1331C"/>
    <w:rsid w:val="00B13390"/>
    <w:rsid w:val="00B135A4"/>
    <w:rsid w:val="00B135AE"/>
    <w:rsid w:val="00B1364E"/>
    <w:rsid w:val="00B13698"/>
    <w:rsid w:val="00B137BE"/>
    <w:rsid w:val="00B13880"/>
    <w:rsid w:val="00B139D1"/>
    <w:rsid w:val="00B13A5E"/>
    <w:rsid w:val="00B13B77"/>
    <w:rsid w:val="00B13FDE"/>
    <w:rsid w:val="00B141ED"/>
    <w:rsid w:val="00B1444A"/>
    <w:rsid w:val="00B14480"/>
    <w:rsid w:val="00B1468D"/>
    <w:rsid w:val="00B147CC"/>
    <w:rsid w:val="00B147E7"/>
    <w:rsid w:val="00B14B4F"/>
    <w:rsid w:val="00B14E9D"/>
    <w:rsid w:val="00B1500A"/>
    <w:rsid w:val="00B151C0"/>
    <w:rsid w:val="00B152B8"/>
    <w:rsid w:val="00B153AB"/>
    <w:rsid w:val="00B15578"/>
    <w:rsid w:val="00B15665"/>
    <w:rsid w:val="00B15675"/>
    <w:rsid w:val="00B156CA"/>
    <w:rsid w:val="00B15719"/>
    <w:rsid w:val="00B1574B"/>
    <w:rsid w:val="00B157F9"/>
    <w:rsid w:val="00B15A3A"/>
    <w:rsid w:val="00B15CE6"/>
    <w:rsid w:val="00B15ECC"/>
    <w:rsid w:val="00B16621"/>
    <w:rsid w:val="00B1664A"/>
    <w:rsid w:val="00B16681"/>
    <w:rsid w:val="00B167FE"/>
    <w:rsid w:val="00B168C9"/>
    <w:rsid w:val="00B16958"/>
    <w:rsid w:val="00B16A1B"/>
    <w:rsid w:val="00B16C3A"/>
    <w:rsid w:val="00B16C68"/>
    <w:rsid w:val="00B16CFC"/>
    <w:rsid w:val="00B16D11"/>
    <w:rsid w:val="00B16DA1"/>
    <w:rsid w:val="00B16EA2"/>
    <w:rsid w:val="00B16F9C"/>
    <w:rsid w:val="00B16FFC"/>
    <w:rsid w:val="00B1702F"/>
    <w:rsid w:val="00B1703B"/>
    <w:rsid w:val="00B1703C"/>
    <w:rsid w:val="00B171EE"/>
    <w:rsid w:val="00B1720C"/>
    <w:rsid w:val="00B172D1"/>
    <w:rsid w:val="00B17394"/>
    <w:rsid w:val="00B173FC"/>
    <w:rsid w:val="00B17890"/>
    <w:rsid w:val="00B17B33"/>
    <w:rsid w:val="00B17B4C"/>
    <w:rsid w:val="00B17B57"/>
    <w:rsid w:val="00B17B7B"/>
    <w:rsid w:val="00B17C68"/>
    <w:rsid w:val="00B17ED1"/>
    <w:rsid w:val="00B17F22"/>
    <w:rsid w:val="00B17F63"/>
    <w:rsid w:val="00B17F99"/>
    <w:rsid w:val="00B20194"/>
    <w:rsid w:val="00B20397"/>
    <w:rsid w:val="00B20850"/>
    <w:rsid w:val="00B208EE"/>
    <w:rsid w:val="00B20931"/>
    <w:rsid w:val="00B20A0B"/>
    <w:rsid w:val="00B20AE0"/>
    <w:rsid w:val="00B20B2F"/>
    <w:rsid w:val="00B20B43"/>
    <w:rsid w:val="00B20C08"/>
    <w:rsid w:val="00B20ED1"/>
    <w:rsid w:val="00B20F74"/>
    <w:rsid w:val="00B211C0"/>
    <w:rsid w:val="00B21392"/>
    <w:rsid w:val="00B21579"/>
    <w:rsid w:val="00B21590"/>
    <w:rsid w:val="00B21610"/>
    <w:rsid w:val="00B21750"/>
    <w:rsid w:val="00B21975"/>
    <w:rsid w:val="00B219E9"/>
    <w:rsid w:val="00B21B35"/>
    <w:rsid w:val="00B21BE9"/>
    <w:rsid w:val="00B21C67"/>
    <w:rsid w:val="00B21D0F"/>
    <w:rsid w:val="00B22025"/>
    <w:rsid w:val="00B22257"/>
    <w:rsid w:val="00B22457"/>
    <w:rsid w:val="00B224CA"/>
    <w:rsid w:val="00B22644"/>
    <w:rsid w:val="00B226B1"/>
    <w:rsid w:val="00B22790"/>
    <w:rsid w:val="00B22805"/>
    <w:rsid w:val="00B22997"/>
    <w:rsid w:val="00B22A4A"/>
    <w:rsid w:val="00B22B74"/>
    <w:rsid w:val="00B22DB8"/>
    <w:rsid w:val="00B22E14"/>
    <w:rsid w:val="00B22F45"/>
    <w:rsid w:val="00B22F92"/>
    <w:rsid w:val="00B22FC3"/>
    <w:rsid w:val="00B23057"/>
    <w:rsid w:val="00B2305F"/>
    <w:rsid w:val="00B230BC"/>
    <w:rsid w:val="00B231E4"/>
    <w:rsid w:val="00B23319"/>
    <w:rsid w:val="00B233FD"/>
    <w:rsid w:val="00B23410"/>
    <w:rsid w:val="00B23437"/>
    <w:rsid w:val="00B235AD"/>
    <w:rsid w:val="00B237AB"/>
    <w:rsid w:val="00B23A2B"/>
    <w:rsid w:val="00B23A7F"/>
    <w:rsid w:val="00B23C39"/>
    <w:rsid w:val="00B23C6E"/>
    <w:rsid w:val="00B23EF7"/>
    <w:rsid w:val="00B23FD4"/>
    <w:rsid w:val="00B24223"/>
    <w:rsid w:val="00B24243"/>
    <w:rsid w:val="00B243B7"/>
    <w:rsid w:val="00B24574"/>
    <w:rsid w:val="00B2469A"/>
    <w:rsid w:val="00B246CE"/>
    <w:rsid w:val="00B24842"/>
    <w:rsid w:val="00B24935"/>
    <w:rsid w:val="00B24B4A"/>
    <w:rsid w:val="00B24C43"/>
    <w:rsid w:val="00B24E43"/>
    <w:rsid w:val="00B24EC1"/>
    <w:rsid w:val="00B24F75"/>
    <w:rsid w:val="00B2502E"/>
    <w:rsid w:val="00B250A0"/>
    <w:rsid w:val="00B250BB"/>
    <w:rsid w:val="00B2520A"/>
    <w:rsid w:val="00B25211"/>
    <w:rsid w:val="00B25240"/>
    <w:rsid w:val="00B2532E"/>
    <w:rsid w:val="00B25346"/>
    <w:rsid w:val="00B255C2"/>
    <w:rsid w:val="00B25805"/>
    <w:rsid w:val="00B259E1"/>
    <w:rsid w:val="00B25ABF"/>
    <w:rsid w:val="00B25C0F"/>
    <w:rsid w:val="00B25E7D"/>
    <w:rsid w:val="00B25E97"/>
    <w:rsid w:val="00B25FEF"/>
    <w:rsid w:val="00B2627A"/>
    <w:rsid w:val="00B26369"/>
    <w:rsid w:val="00B26388"/>
    <w:rsid w:val="00B26390"/>
    <w:rsid w:val="00B263FD"/>
    <w:rsid w:val="00B2650C"/>
    <w:rsid w:val="00B26590"/>
    <w:rsid w:val="00B26699"/>
    <w:rsid w:val="00B2676A"/>
    <w:rsid w:val="00B268EC"/>
    <w:rsid w:val="00B269AE"/>
    <w:rsid w:val="00B269BE"/>
    <w:rsid w:val="00B26B57"/>
    <w:rsid w:val="00B26BE1"/>
    <w:rsid w:val="00B26C48"/>
    <w:rsid w:val="00B26D29"/>
    <w:rsid w:val="00B26EEC"/>
    <w:rsid w:val="00B26F0A"/>
    <w:rsid w:val="00B27022"/>
    <w:rsid w:val="00B27058"/>
    <w:rsid w:val="00B27179"/>
    <w:rsid w:val="00B2727F"/>
    <w:rsid w:val="00B27338"/>
    <w:rsid w:val="00B27369"/>
    <w:rsid w:val="00B273E7"/>
    <w:rsid w:val="00B274D9"/>
    <w:rsid w:val="00B2753B"/>
    <w:rsid w:val="00B276C5"/>
    <w:rsid w:val="00B27812"/>
    <w:rsid w:val="00B278F4"/>
    <w:rsid w:val="00B279F9"/>
    <w:rsid w:val="00B27BE9"/>
    <w:rsid w:val="00B27F2E"/>
    <w:rsid w:val="00B27F6E"/>
    <w:rsid w:val="00B27FA3"/>
    <w:rsid w:val="00B27FD0"/>
    <w:rsid w:val="00B3000A"/>
    <w:rsid w:val="00B3022A"/>
    <w:rsid w:val="00B30547"/>
    <w:rsid w:val="00B30614"/>
    <w:rsid w:val="00B30651"/>
    <w:rsid w:val="00B30676"/>
    <w:rsid w:val="00B3070F"/>
    <w:rsid w:val="00B30838"/>
    <w:rsid w:val="00B30842"/>
    <w:rsid w:val="00B30A55"/>
    <w:rsid w:val="00B30AAB"/>
    <w:rsid w:val="00B30AEF"/>
    <w:rsid w:val="00B30B30"/>
    <w:rsid w:val="00B30C52"/>
    <w:rsid w:val="00B30D5B"/>
    <w:rsid w:val="00B30EA4"/>
    <w:rsid w:val="00B30FAE"/>
    <w:rsid w:val="00B31025"/>
    <w:rsid w:val="00B31028"/>
    <w:rsid w:val="00B3128D"/>
    <w:rsid w:val="00B3134C"/>
    <w:rsid w:val="00B31355"/>
    <w:rsid w:val="00B31424"/>
    <w:rsid w:val="00B31533"/>
    <w:rsid w:val="00B31597"/>
    <w:rsid w:val="00B3161A"/>
    <w:rsid w:val="00B316CD"/>
    <w:rsid w:val="00B317B7"/>
    <w:rsid w:val="00B31AA7"/>
    <w:rsid w:val="00B31B7A"/>
    <w:rsid w:val="00B31C0A"/>
    <w:rsid w:val="00B31C98"/>
    <w:rsid w:val="00B31EE5"/>
    <w:rsid w:val="00B321F3"/>
    <w:rsid w:val="00B3228B"/>
    <w:rsid w:val="00B322DF"/>
    <w:rsid w:val="00B324C4"/>
    <w:rsid w:val="00B32514"/>
    <w:rsid w:val="00B3253A"/>
    <w:rsid w:val="00B325C3"/>
    <w:rsid w:val="00B32672"/>
    <w:rsid w:val="00B327D9"/>
    <w:rsid w:val="00B32850"/>
    <w:rsid w:val="00B3289F"/>
    <w:rsid w:val="00B32952"/>
    <w:rsid w:val="00B32A2D"/>
    <w:rsid w:val="00B32BC1"/>
    <w:rsid w:val="00B32C36"/>
    <w:rsid w:val="00B32D56"/>
    <w:rsid w:val="00B33152"/>
    <w:rsid w:val="00B33379"/>
    <w:rsid w:val="00B333F7"/>
    <w:rsid w:val="00B3382B"/>
    <w:rsid w:val="00B33ADE"/>
    <w:rsid w:val="00B33B56"/>
    <w:rsid w:val="00B33BF1"/>
    <w:rsid w:val="00B33C4F"/>
    <w:rsid w:val="00B33C64"/>
    <w:rsid w:val="00B33D27"/>
    <w:rsid w:val="00B33F58"/>
    <w:rsid w:val="00B33FC6"/>
    <w:rsid w:val="00B340C8"/>
    <w:rsid w:val="00B34387"/>
    <w:rsid w:val="00B3442A"/>
    <w:rsid w:val="00B3444A"/>
    <w:rsid w:val="00B34561"/>
    <w:rsid w:val="00B34667"/>
    <w:rsid w:val="00B34844"/>
    <w:rsid w:val="00B348DC"/>
    <w:rsid w:val="00B349E9"/>
    <w:rsid w:val="00B349F2"/>
    <w:rsid w:val="00B34B93"/>
    <w:rsid w:val="00B34C0A"/>
    <w:rsid w:val="00B34C6B"/>
    <w:rsid w:val="00B34C71"/>
    <w:rsid w:val="00B34C77"/>
    <w:rsid w:val="00B34D91"/>
    <w:rsid w:val="00B34E6C"/>
    <w:rsid w:val="00B34EB2"/>
    <w:rsid w:val="00B34F2B"/>
    <w:rsid w:val="00B3533B"/>
    <w:rsid w:val="00B35349"/>
    <w:rsid w:val="00B35423"/>
    <w:rsid w:val="00B354F4"/>
    <w:rsid w:val="00B35524"/>
    <w:rsid w:val="00B356E0"/>
    <w:rsid w:val="00B356E8"/>
    <w:rsid w:val="00B3574F"/>
    <w:rsid w:val="00B35858"/>
    <w:rsid w:val="00B35A79"/>
    <w:rsid w:val="00B35B9A"/>
    <w:rsid w:val="00B35BAD"/>
    <w:rsid w:val="00B35BF8"/>
    <w:rsid w:val="00B35C16"/>
    <w:rsid w:val="00B35CD0"/>
    <w:rsid w:val="00B35D0A"/>
    <w:rsid w:val="00B35E88"/>
    <w:rsid w:val="00B360DB"/>
    <w:rsid w:val="00B36108"/>
    <w:rsid w:val="00B36191"/>
    <w:rsid w:val="00B36226"/>
    <w:rsid w:val="00B365B6"/>
    <w:rsid w:val="00B3679E"/>
    <w:rsid w:val="00B3693A"/>
    <w:rsid w:val="00B369C0"/>
    <w:rsid w:val="00B36A2E"/>
    <w:rsid w:val="00B36A94"/>
    <w:rsid w:val="00B36DB4"/>
    <w:rsid w:val="00B36E7A"/>
    <w:rsid w:val="00B37084"/>
    <w:rsid w:val="00B370D8"/>
    <w:rsid w:val="00B370E6"/>
    <w:rsid w:val="00B3728E"/>
    <w:rsid w:val="00B3732B"/>
    <w:rsid w:val="00B373A3"/>
    <w:rsid w:val="00B37438"/>
    <w:rsid w:val="00B37482"/>
    <w:rsid w:val="00B374B6"/>
    <w:rsid w:val="00B37593"/>
    <w:rsid w:val="00B375C0"/>
    <w:rsid w:val="00B3765B"/>
    <w:rsid w:val="00B376F2"/>
    <w:rsid w:val="00B37768"/>
    <w:rsid w:val="00B377A7"/>
    <w:rsid w:val="00B3792C"/>
    <w:rsid w:val="00B37964"/>
    <w:rsid w:val="00B379A8"/>
    <w:rsid w:val="00B379CF"/>
    <w:rsid w:val="00B379FF"/>
    <w:rsid w:val="00B37A08"/>
    <w:rsid w:val="00B37A25"/>
    <w:rsid w:val="00B37AF5"/>
    <w:rsid w:val="00B37B90"/>
    <w:rsid w:val="00B37BEB"/>
    <w:rsid w:val="00B37C9A"/>
    <w:rsid w:val="00B37D17"/>
    <w:rsid w:val="00B37D53"/>
    <w:rsid w:val="00B37DF3"/>
    <w:rsid w:val="00B37FB7"/>
    <w:rsid w:val="00B40040"/>
    <w:rsid w:val="00B401AD"/>
    <w:rsid w:val="00B40275"/>
    <w:rsid w:val="00B40530"/>
    <w:rsid w:val="00B40636"/>
    <w:rsid w:val="00B406E0"/>
    <w:rsid w:val="00B406F7"/>
    <w:rsid w:val="00B40826"/>
    <w:rsid w:val="00B4092D"/>
    <w:rsid w:val="00B409DE"/>
    <w:rsid w:val="00B409E7"/>
    <w:rsid w:val="00B40CF0"/>
    <w:rsid w:val="00B40D3B"/>
    <w:rsid w:val="00B4144F"/>
    <w:rsid w:val="00B4170D"/>
    <w:rsid w:val="00B41825"/>
    <w:rsid w:val="00B418EE"/>
    <w:rsid w:val="00B419A4"/>
    <w:rsid w:val="00B41A0F"/>
    <w:rsid w:val="00B41A9A"/>
    <w:rsid w:val="00B41C3C"/>
    <w:rsid w:val="00B41CE3"/>
    <w:rsid w:val="00B41D5C"/>
    <w:rsid w:val="00B41D7D"/>
    <w:rsid w:val="00B41E0D"/>
    <w:rsid w:val="00B41E5D"/>
    <w:rsid w:val="00B41E9B"/>
    <w:rsid w:val="00B4228F"/>
    <w:rsid w:val="00B422A6"/>
    <w:rsid w:val="00B42402"/>
    <w:rsid w:val="00B4246D"/>
    <w:rsid w:val="00B4251B"/>
    <w:rsid w:val="00B4263E"/>
    <w:rsid w:val="00B426C6"/>
    <w:rsid w:val="00B426EA"/>
    <w:rsid w:val="00B427D4"/>
    <w:rsid w:val="00B4285D"/>
    <w:rsid w:val="00B42A25"/>
    <w:rsid w:val="00B42A49"/>
    <w:rsid w:val="00B42A7D"/>
    <w:rsid w:val="00B42BE3"/>
    <w:rsid w:val="00B42C15"/>
    <w:rsid w:val="00B42C79"/>
    <w:rsid w:val="00B42D2A"/>
    <w:rsid w:val="00B42D7A"/>
    <w:rsid w:val="00B42F62"/>
    <w:rsid w:val="00B42FAE"/>
    <w:rsid w:val="00B42FC2"/>
    <w:rsid w:val="00B42FFC"/>
    <w:rsid w:val="00B43103"/>
    <w:rsid w:val="00B4339C"/>
    <w:rsid w:val="00B433F0"/>
    <w:rsid w:val="00B4344B"/>
    <w:rsid w:val="00B4375E"/>
    <w:rsid w:val="00B439E0"/>
    <w:rsid w:val="00B43CB1"/>
    <w:rsid w:val="00B43CFD"/>
    <w:rsid w:val="00B44014"/>
    <w:rsid w:val="00B440AD"/>
    <w:rsid w:val="00B440FB"/>
    <w:rsid w:val="00B44108"/>
    <w:rsid w:val="00B444D7"/>
    <w:rsid w:val="00B4458C"/>
    <w:rsid w:val="00B44769"/>
    <w:rsid w:val="00B44A95"/>
    <w:rsid w:val="00B44E21"/>
    <w:rsid w:val="00B44E4A"/>
    <w:rsid w:val="00B44E8C"/>
    <w:rsid w:val="00B44F22"/>
    <w:rsid w:val="00B4517E"/>
    <w:rsid w:val="00B4534A"/>
    <w:rsid w:val="00B455BC"/>
    <w:rsid w:val="00B45822"/>
    <w:rsid w:val="00B45896"/>
    <w:rsid w:val="00B459C4"/>
    <w:rsid w:val="00B45B22"/>
    <w:rsid w:val="00B45C67"/>
    <w:rsid w:val="00B45C81"/>
    <w:rsid w:val="00B45CEE"/>
    <w:rsid w:val="00B461F9"/>
    <w:rsid w:val="00B464C0"/>
    <w:rsid w:val="00B46631"/>
    <w:rsid w:val="00B46697"/>
    <w:rsid w:val="00B46704"/>
    <w:rsid w:val="00B46744"/>
    <w:rsid w:val="00B4675D"/>
    <w:rsid w:val="00B46820"/>
    <w:rsid w:val="00B46848"/>
    <w:rsid w:val="00B46914"/>
    <w:rsid w:val="00B46996"/>
    <w:rsid w:val="00B469CF"/>
    <w:rsid w:val="00B469EB"/>
    <w:rsid w:val="00B470A9"/>
    <w:rsid w:val="00B47171"/>
    <w:rsid w:val="00B47195"/>
    <w:rsid w:val="00B471D8"/>
    <w:rsid w:val="00B4723B"/>
    <w:rsid w:val="00B472F0"/>
    <w:rsid w:val="00B4734D"/>
    <w:rsid w:val="00B47495"/>
    <w:rsid w:val="00B474F3"/>
    <w:rsid w:val="00B475B7"/>
    <w:rsid w:val="00B47683"/>
    <w:rsid w:val="00B4774D"/>
    <w:rsid w:val="00B477E4"/>
    <w:rsid w:val="00B47B69"/>
    <w:rsid w:val="00B47BA2"/>
    <w:rsid w:val="00B47C79"/>
    <w:rsid w:val="00B47CAA"/>
    <w:rsid w:val="00B47CF8"/>
    <w:rsid w:val="00B47DBC"/>
    <w:rsid w:val="00B47DD9"/>
    <w:rsid w:val="00B500B2"/>
    <w:rsid w:val="00B50102"/>
    <w:rsid w:val="00B50134"/>
    <w:rsid w:val="00B5042D"/>
    <w:rsid w:val="00B5055F"/>
    <w:rsid w:val="00B5061A"/>
    <w:rsid w:val="00B507B6"/>
    <w:rsid w:val="00B50834"/>
    <w:rsid w:val="00B50A22"/>
    <w:rsid w:val="00B50A81"/>
    <w:rsid w:val="00B50A9C"/>
    <w:rsid w:val="00B50B33"/>
    <w:rsid w:val="00B50B84"/>
    <w:rsid w:val="00B50CB8"/>
    <w:rsid w:val="00B50E99"/>
    <w:rsid w:val="00B50F98"/>
    <w:rsid w:val="00B50FFD"/>
    <w:rsid w:val="00B51023"/>
    <w:rsid w:val="00B511B1"/>
    <w:rsid w:val="00B512C0"/>
    <w:rsid w:val="00B513C1"/>
    <w:rsid w:val="00B51514"/>
    <w:rsid w:val="00B517CD"/>
    <w:rsid w:val="00B51909"/>
    <w:rsid w:val="00B5194A"/>
    <w:rsid w:val="00B51A00"/>
    <w:rsid w:val="00B51AC0"/>
    <w:rsid w:val="00B51AF9"/>
    <w:rsid w:val="00B51BDE"/>
    <w:rsid w:val="00B51D93"/>
    <w:rsid w:val="00B51DCF"/>
    <w:rsid w:val="00B51DE6"/>
    <w:rsid w:val="00B5208D"/>
    <w:rsid w:val="00B52293"/>
    <w:rsid w:val="00B52504"/>
    <w:rsid w:val="00B5255E"/>
    <w:rsid w:val="00B52627"/>
    <w:rsid w:val="00B5279D"/>
    <w:rsid w:val="00B5279F"/>
    <w:rsid w:val="00B527CE"/>
    <w:rsid w:val="00B528C7"/>
    <w:rsid w:val="00B529B8"/>
    <w:rsid w:val="00B529EF"/>
    <w:rsid w:val="00B52D58"/>
    <w:rsid w:val="00B52D82"/>
    <w:rsid w:val="00B52E2B"/>
    <w:rsid w:val="00B52EC6"/>
    <w:rsid w:val="00B5309C"/>
    <w:rsid w:val="00B5328D"/>
    <w:rsid w:val="00B53316"/>
    <w:rsid w:val="00B53334"/>
    <w:rsid w:val="00B53A27"/>
    <w:rsid w:val="00B53B25"/>
    <w:rsid w:val="00B53C53"/>
    <w:rsid w:val="00B53D54"/>
    <w:rsid w:val="00B53D6D"/>
    <w:rsid w:val="00B53EED"/>
    <w:rsid w:val="00B53F1B"/>
    <w:rsid w:val="00B53F76"/>
    <w:rsid w:val="00B53F86"/>
    <w:rsid w:val="00B53FED"/>
    <w:rsid w:val="00B54784"/>
    <w:rsid w:val="00B54880"/>
    <w:rsid w:val="00B54967"/>
    <w:rsid w:val="00B54B18"/>
    <w:rsid w:val="00B55057"/>
    <w:rsid w:val="00B55085"/>
    <w:rsid w:val="00B550D7"/>
    <w:rsid w:val="00B55226"/>
    <w:rsid w:val="00B5528C"/>
    <w:rsid w:val="00B55478"/>
    <w:rsid w:val="00B5558B"/>
    <w:rsid w:val="00B555F8"/>
    <w:rsid w:val="00B5562A"/>
    <w:rsid w:val="00B5562C"/>
    <w:rsid w:val="00B55751"/>
    <w:rsid w:val="00B558E3"/>
    <w:rsid w:val="00B558ED"/>
    <w:rsid w:val="00B55A00"/>
    <w:rsid w:val="00B55AA7"/>
    <w:rsid w:val="00B55AE1"/>
    <w:rsid w:val="00B55C3D"/>
    <w:rsid w:val="00B55E13"/>
    <w:rsid w:val="00B55F6C"/>
    <w:rsid w:val="00B56015"/>
    <w:rsid w:val="00B56082"/>
    <w:rsid w:val="00B561BD"/>
    <w:rsid w:val="00B561CA"/>
    <w:rsid w:val="00B5627D"/>
    <w:rsid w:val="00B562A3"/>
    <w:rsid w:val="00B563EF"/>
    <w:rsid w:val="00B564EF"/>
    <w:rsid w:val="00B565C1"/>
    <w:rsid w:val="00B56726"/>
    <w:rsid w:val="00B568CE"/>
    <w:rsid w:val="00B56B16"/>
    <w:rsid w:val="00B56BD3"/>
    <w:rsid w:val="00B56FAB"/>
    <w:rsid w:val="00B5709E"/>
    <w:rsid w:val="00B5717B"/>
    <w:rsid w:val="00B5766F"/>
    <w:rsid w:val="00B57702"/>
    <w:rsid w:val="00B5770B"/>
    <w:rsid w:val="00B57745"/>
    <w:rsid w:val="00B578BF"/>
    <w:rsid w:val="00B578DC"/>
    <w:rsid w:val="00B579AC"/>
    <w:rsid w:val="00B57A23"/>
    <w:rsid w:val="00B57B17"/>
    <w:rsid w:val="00B57CC0"/>
    <w:rsid w:val="00B57DBB"/>
    <w:rsid w:val="00B57E01"/>
    <w:rsid w:val="00B60107"/>
    <w:rsid w:val="00B601F5"/>
    <w:rsid w:val="00B602B6"/>
    <w:rsid w:val="00B60533"/>
    <w:rsid w:val="00B609BD"/>
    <w:rsid w:val="00B609E7"/>
    <w:rsid w:val="00B60B72"/>
    <w:rsid w:val="00B60BEC"/>
    <w:rsid w:val="00B60E86"/>
    <w:rsid w:val="00B61193"/>
    <w:rsid w:val="00B61197"/>
    <w:rsid w:val="00B6128B"/>
    <w:rsid w:val="00B612BE"/>
    <w:rsid w:val="00B61335"/>
    <w:rsid w:val="00B614C6"/>
    <w:rsid w:val="00B6163F"/>
    <w:rsid w:val="00B616DC"/>
    <w:rsid w:val="00B61716"/>
    <w:rsid w:val="00B6179E"/>
    <w:rsid w:val="00B617AB"/>
    <w:rsid w:val="00B6181E"/>
    <w:rsid w:val="00B61911"/>
    <w:rsid w:val="00B6194D"/>
    <w:rsid w:val="00B61A4A"/>
    <w:rsid w:val="00B61A8C"/>
    <w:rsid w:val="00B61D29"/>
    <w:rsid w:val="00B61D86"/>
    <w:rsid w:val="00B620BB"/>
    <w:rsid w:val="00B6213E"/>
    <w:rsid w:val="00B62142"/>
    <w:rsid w:val="00B6223E"/>
    <w:rsid w:val="00B62330"/>
    <w:rsid w:val="00B6239D"/>
    <w:rsid w:val="00B624FB"/>
    <w:rsid w:val="00B62504"/>
    <w:rsid w:val="00B626DF"/>
    <w:rsid w:val="00B627B9"/>
    <w:rsid w:val="00B62823"/>
    <w:rsid w:val="00B62836"/>
    <w:rsid w:val="00B628AC"/>
    <w:rsid w:val="00B62A19"/>
    <w:rsid w:val="00B62A85"/>
    <w:rsid w:val="00B62A9F"/>
    <w:rsid w:val="00B62D8D"/>
    <w:rsid w:val="00B62DB4"/>
    <w:rsid w:val="00B62DCA"/>
    <w:rsid w:val="00B62DF7"/>
    <w:rsid w:val="00B62E52"/>
    <w:rsid w:val="00B62F30"/>
    <w:rsid w:val="00B62F41"/>
    <w:rsid w:val="00B63128"/>
    <w:rsid w:val="00B632E4"/>
    <w:rsid w:val="00B634BD"/>
    <w:rsid w:val="00B636D2"/>
    <w:rsid w:val="00B63734"/>
    <w:rsid w:val="00B6382C"/>
    <w:rsid w:val="00B639B5"/>
    <w:rsid w:val="00B63AD7"/>
    <w:rsid w:val="00B63B31"/>
    <w:rsid w:val="00B63B64"/>
    <w:rsid w:val="00B63B92"/>
    <w:rsid w:val="00B63C7C"/>
    <w:rsid w:val="00B63DB8"/>
    <w:rsid w:val="00B63FB2"/>
    <w:rsid w:val="00B63FC3"/>
    <w:rsid w:val="00B64144"/>
    <w:rsid w:val="00B641AD"/>
    <w:rsid w:val="00B642D6"/>
    <w:rsid w:val="00B64455"/>
    <w:rsid w:val="00B64470"/>
    <w:rsid w:val="00B64471"/>
    <w:rsid w:val="00B644B4"/>
    <w:rsid w:val="00B644E2"/>
    <w:rsid w:val="00B646F1"/>
    <w:rsid w:val="00B649B4"/>
    <w:rsid w:val="00B649F3"/>
    <w:rsid w:val="00B64B0F"/>
    <w:rsid w:val="00B64D7A"/>
    <w:rsid w:val="00B64FB4"/>
    <w:rsid w:val="00B64FDC"/>
    <w:rsid w:val="00B650EC"/>
    <w:rsid w:val="00B65149"/>
    <w:rsid w:val="00B6519F"/>
    <w:rsid w:val="00B652DF"/>
    <w:rsid w:val="00B65433"/>
    <w:rsid w:val="00B65456"/>
    <w:rsid w:val="00B65578"/>
    <w:rsid w:val="00B65629"/>
    <w:rsid w:val="00B6568E"/>
    <w:rsid w:val="00B65A21"/>
    <w:rsid w:val="00B65C78"/>
    <w:rsid w:val="00B65CF3"/>
    <w:rsid w:val="00B65D08"/>
    <w:rsid w:val="00B65D0C"/>
    <w:rsid w:val="00B65D5D"/>
    <w:rsid w:val="00B65D6C"/>
    <w:rsid w:val="00B65DBB"/>
    <w:rsid w:val="00B65ED7"/>
    <w:rsid w:val="00B66012"/>
    <w:rsid w:val="00B660A8"/>
    <w:rsid w:val="00B660D1"/>
    <w:rsid w:val="00B66249"/>
    <w:rsid w:val="00B66687"/>
    <w:rsid w:val="00B666AE"/>
    <w:rsid w:val="00B66827"/>
    <w:rsid w:val="00B66917"/>
    <w:rsid w:val="00B66B4D"/>
    <w:rsid w:val="00B66B87"/>
    <w:rsid w:val="00B66D3B"/>
    <w:rsid w:val="00B66E03"/>
    <w:rsid w:val="00B66F35"/>
    <w:rsid w:val="00B66F8A"/>
    <w:rsid w:val="00B673EC"/>
    <w:rsid w:val="00B67501"/>
    <w:rsid w:val="00B67686"/>
    <w:rsid w:val="00B67804"/>
    <w:rsid w:val="00B6785D"/>
    <w:rsid w:val="00B67925"/>
    <w:rsid w:val="00B679EB"/>
    <w:rsid w:val="00B67C56"/>
    <w:rsid w:val="00B67CEE"/>
    <w:rsid w:val="00B67DA0"/>
    <w:rsid w:val="00B67EC8"/>
    <w:rsid w:val="00B70115"/>
    <w:rsid w:val="00B70212"/>
    <w:rsid w:val="00B70302"/>
    <w:rsid w:val="00B7046D"/>
    <w:rsid w:val="00B7047B"/>
    <w:rsid w:val="00B704BA"/>
    <w:rsid w:val="00B70515"/>
    <w:rsid w:val="00B7056B"/>
    <w:rsid w:val="00B7068A"/>
    <w:rsid w:val="00B707DB"/>
    <w:rsid w:val="00B70926"/>
    <w:rsid w:val="00B70994"/>
    <w:rsid w:val="00B70B16"/>
    <w:rsid w:val="00B70B91"/>
    <w:rsid w:val="00B70D7C"/>
    <w:rsid w:val="00B70DB6"/>
    <w:rsid w:val="00B70F6D"/>
    <w:rsid w:val="00B70FE2"/>
    <w:rsid w:val="00B712C5"/>
    <w:rsid w:val="00B71372"/>
    <w:rsid w:val="00B714A1"/>
    <w:rsid w:val="00B714C3"/>
    <w:rsid w:val="00B7150D"/>
    <w:rsid w:val="00B71517"/>
    <w:rsid w:val="00B71560"/>
    <w:rsid w:val="00B71602"/>
    <w:rsid w:val="00B71634"/>
    <w:rsid w:val="00B71664"/>
    <w:rsid w:val="00B71AD7"/>
    <w:rsid w:val="00B71B14"/>
    <w:rsid w:val="00B71B20"/>
    <w:rsid w:val="00B71D53"/>
    <w:rsid w:val="00B71DBB"/>
    <w:rsid w:val="00B720C8"/>
    <w:rsid w:val="00B721A2"/>
    <w:rsid w:val="00B721F5"/>
    <w:rsid w:val="00B72202"/>
    <w:rsid w:val="00B72229"/>
    <w:rsid w:val="00B72241"/>
    <w:rsid w:val="00B722F8"/>
    <w:rsid w:val="00B72349"/>
    <w:rsid w:val="00B729F0"/>
    <w:rsid w:val="00B729F2"/>
    <w:rsid w:val="00B72A56"/>
    <w:rsid w:val="00B72A6D"/>
    <w:rsid w:val="00B72C59"/>
    <w:rsid w:val="00B72D05"/>
    <w:rsid w:val="00B72DBC"/>
    <w:rsid w:val="00B72EEE"/>
    <w:rsid w:val="00B7314F"/>
    <w:rsid w:val="00B7316E"/>
    <w:rsid w:val="00B73205"/>
    <w:rsid w:val="00B73733"/>
    <w:rsid w:val="00B73874"/>
    <w:rsid w:val="00B738DF"/>
    <w:rsid w:val="00B739D0"/>
    <w:rsid w:val="00B73B41"/>
    <w:rsid w:val="00B73D11"/>
    <w:rsid w:val="00B73E8A"/>
    <w:rsid w:val="00B73ECA"/>
    <w:rsid w:val="00B73EFE"/>
    <w:rsid w:val="00B73F69"/>
    <w:rsid w:val="00B741DC"/>
    <w:rsid w:val="00B742A4"/>
    <w:rsid w:val="00B742FA"/>
    <w:rsid w:val="00B744E8"/>
    <w:rsid w:val="00B74664"/>
    <w:rsid w:val="00B746DD"/>
    <w:rsid w:val="00B747C8"/>
    <w:rsid w:val="00B747E0"/>
    <w:rsid w:val="00B7496C"/>
    <w:rsid w:val="00B74A23"/>
    <w:rsid w:val="00B74B20"/>
    <w:rsid w:val="00B74B3F"/>
    <w:rsid w:val="00B74C1F"/>
    <w:rsid w:val="00B74C9B"/>
    <w:rsid w:val="00B74F93"/>
    <w:rsid w:val="00B7500F"/>
    <w:rsid w:val="00B75038"/>
    <w:rsid w:val="00B75044"/>
    <w:rsid w:val="00B751F7"/>
    <w:rsid w:val="00B75271"/>
    <w:rsid w:val="00B752C7"/>
    <w:rsid w:val="00B75361"/>
    <w:rsid w:val="00B7552B"/>
    <w:rsid w:val="00B75588"/>
    <w:rsid w:val="00B755B3"/>
    <w:rsid w:val="00B756CA"/>
    <w:rsid w:val="00B758AC"/>
    <w:rsid w:val="00B75BD2"/>
    <w:rsid w:val="00B75C71"/>
    <w:rsid w:val="00B75CA2"/>
    <w:rsid w:val="00B75CD3"/>
    <w:rsid w:val="00B75CF4"/>
    <w:rsid w:val="00B75D1B"/>
    <w:rsid w:val="00B75DB6"/>
    <w:rsid w:val="00B75E9D"/>
    <w:rsid w:val="00B75EC7"/>
    <w:rsid w:val="00B75EF1"/>
    <w:rsid w:val="00B75F05"/>
    <w:rsid w:val="00B76051"/>
    <w:rsid w:val="00B760D8"/>
    <w:rsid w:val="00B7614E"/>
    <w:rsid w:val="00B762DF"/>
    <w:rsid w:val="00B76313"/>
    <w:rsid w:val="00B763E1"/>
    <w:rsid w:val="00B76427"/>
    <w:rsid w:val="00B76601"/>
    <w:rsid w:val="00B76746"/>
    <w:rsid w:val="00B76756"/>
    <w:rsid w:val="00B7675E"/>
    <w:rsid w:val="00B7676C"/>
    <w:rsid w:val="00B76B5D"/>
    <w:rsid w:val="00B76BC9"/>
    <w:rsid w:val="00B76F33"/>
    <w:rsid w:val="00B76F7C"/>
    <w:rsid w:val="00B770A3"/>
    <w:rsid w:val="00B771C2"/>
    <w:rsid w:val="00B77245"/>
    <w:rsid w:val="00B77275"/>
    <w:rsid w:val="00B77285"/>
    <w:rsid w:val="00B77653"/>
    <w:rsid w:val="00B7768E"/>
    <w:rsid w:val="00B77702"/>
    <w:rsid w:val="00B77738"/>
    <w:rsid w:val="00B7773E"/>
    <w:rsid w:val="00B77A99"/>
    <w:rsid w:val="00B77E1E"/>
    <w:rsid w:val="00B77EAC"/>
    <w:rsid w:val="00B77F2A"/>
    <w:rsid w:val="00B77F2F"/>
    <w:rsid w:val="00B80354"/>
    <w:rsid w:val="00B803D4"/>
    <w:rsid w:val="00B803DA"/>
    <w:rsid w:val="00B8043F"/>
    <w:rsid w:val="00B80528"/>
    <w:rsid w:val="00B805E3"/>
    <w:rsid w:val="00B80731"/>
    <w:rsid w:val="00B80748"/>
    <w:rsid w:val="00B80769"/>
    <w:rsid w:val="00B809F9"/>
    <w:rsid w:val="00B80A64"/>
    <w:rsid w:val="00B80D28"/>
    <w:rsid w:val="00B80D8A"/>
    <w:rsid w:val="00B80DB5"/>
    <w:rsid w:val="00B80EE7"/>
    <w:rsid w:val="00B8104F"/>
    <w:rsid w:val="00B811E3"/>
    <w:rsid w:val="00B81232"/>
    <w:rsid w:val="00B81339"/>
    <w:rsid w:val="00B81359"/>
    <w:rsid w:val="00B81666"/>
    <w:rsid w:val="00B81917"/>
    <w:rsid w:val="00B8194B"/>
    <w:rsid w:val="00B81986"/>
    <w:rsid w:val="00B819EA"/>
    <w:rsid w:val="00B81A38"/>
    <w:rsid w:val="00B81AA6"/>
    <w:rsid w:val="00B81AAE"/>
    <w:rsid w:val="00B81D99"/>
    <w:rsid w:val="00B820C6"/>
    <w:rsid w:val="00B822E9"/>
    <w:rsid w:val="00B82414"/>
    <w:rsid w:val="00B8257A"/>
    <w:rsid w:val="00B8259E"/>
    <w:rsid w:val="00B827DE"/>
    <w:rsid w:val="00B829C6"/>
    <w:rsid w:val="00B829E6"/>
    <w:rsid w:val="00B82A61"/>
    <w:rsid w:val="00B82A67"/>
    <w:rsid w:val="00B82BD1"/>
    <w:rsid w:val="00B82D09"/>
    <w:rsid w:val="00B82DD5"/>
    <w:rsid w:val="00B82FEE"/>
    <w:rsid w:val="00B83468"/>
    <w:rsid w:val="00B8346F"/>
    <w:rsid w:val="00B834A7"/>
    <w:rsid w:val="00B83559"/>
    <w:rsid w:val="00B837DF"/>
    <w:rsid w:val="00B8383D"/>
    <w:rsid w:val="00B8389D"/>
    <w:rsid w:val="00B83977"/>
    <w:rsid w:val="00B83986"/>
    <w:rsid w:val="00B83A79"/>
    <w:rsid w:val="00B83B1C"/>
    <w:rsid w:val="00B83C18"/>
    <w:rsid w:val="00B83E44"/>
    <w:rsid w:val="00B83E9D"/>
    <w:rsid w:val="00B84042"/>
    <w:rsid w:val="00B840AF"/>
    <w:rsid w:val="00B841A7"/>
    <w:rsid w:val="00B841E3"/>
    <w:rsid w:val="00B84202"/>
    <w:rsid w:val="00B84220"/>
    <w:rsid w:val="00B8434F"/>
    <w:rsid w:val="00B8452B"/>
    <w:rsid w:val="00B845B6"/>
    <w:rsid w:val="00B84603"/>
    <w:rsid w:val="00B84785"/>
    <w:rsid w:val="00B847A2"/>
    <w:rsid w:val="00B847F4"/>
    <w:rsid w:val="00B8498E"/>
    <w:rsid w:val="00B84A99"/>
    <w:rsid w:val="00B84B71"/>
    <w:rsid w:val="00B84BE1"/>
    <w:rsid w:val="00B84D67"/>
    <w:rsid w:val="00B84F06"/>
    <w:rsid w:val="00B85168"/>
    <w:rsid w:val="00B8541E"/>
    <w:rsid w:val="00B854A7"/>
    <w:rsid w:val="00B854E3"/>
    <w:rsid w:val="00B8551B"/>
    <w:rsid w:val="00B855BF"/>
    <w:rsid w:val="00B855FE"/>
    <w:rsid w:val="00B856C9"/>
    <w:rsid w:val="00B856EF"/>
    <w:rsid w:val="00B857D2"/>
    <w:rsid w:val="00B85896"/>
    <w:rsid w:val="00B858B6"/>
    <w:rsid w:val="00B85AB2"/>
    <w:rsid w:val="00B85D2D"/>
    <w:rsid w:val="00B85DBD"/>
    <w:rsid w:val="00B85DE9"/>
    <w:rsid w:val="00B85E29"/>
    <w:rsid w:val="00B85E2D"/>
    <w:rsid w:val="00B85E4D"/>
    <w:rsid w:val="00B860D0"/>
    <w:rsid w:val="00B86263"/>
    <w:rsid w:val="00B86465"/>
    <w:rsid w:val="00B86643"/>
    <w:rsid w:val="00B869B8"/>
    <w:rsid w:val="00B86A28"/>
    <w:rsid w:val="00B86A9F"/>
    <w:rsid w:val="00B86ADE"/>
    <w:rsid w:val="00B86AE5"/>
    <w:rsid w:val="00B86B2E"/>
    <w:rsid w:val="00B86B87"/>
    <w:rsid w:val="00B86C3F"/>
    <w:rsid w:val="00B86C60"/>
    <w:rsid w:val="00B86C7B"/>
    <w:rsid w:val="00B86DA3"/>
    <w:rsid w:val="00B86DBB"/>
    <w:rsid w:val="00B86E08"/>
    <w:rsid w:val="00B86E4B"/>
    <w:rsid w:val="00B86F0D"/>
    <w:rsid w:val="00B8710A"/>
    <w:rsid w:val="00B8725B"/>
    <w:rsid w:val="00B8737E"/>
    <w:rsid w:val="00B8744E"/>
    <w:rsid w:val="00B8749B"/>
    <w:rsid w:val="00B87509"/>
    <w:rsid w:val="00B87605"/>
    <w:rsid w:val="00B8768A"/>
    <w:rsid w:val="00B87866"/>
    <w:rsid w:val="00B87890"/>
    <w:rsid w:val="00B87A39"/>
    <w:rsid w:val="00B87B92"/>
    <w:rsid w:val="00B87C93"/>
    <w:rsid w:val="00B87CD0"/>
    <w:rsid w:val="00B87DC6"/>
    <w:rsid w:val="00B87F66"/>
    <w:rsid w:val="00B87F8E"/>
    <w:rsid w:val="00B87FFC"/>
    <w:rsid w:val="00B90105"/>
    <w:rsid w:val="00B90120"/>
    <w:rsid w:val="00B90142"/>
    <w:rsid w:val="00B901BF"/>
    <w:rsid w:val="00B90279"/>
    <w:rsid w:val="00B902E6"/>
    <w:rsid w:val="00B905C7"/>
    <w:rsid w:val="00B906BF"/>
    <w:rsid w:val="00B90719"/>
    <w:rsid w:val="00B90764"/>
    <w:rsid w:val="00B9085F"/>
    <w:rsid w:val="00B90941"/>
    <w:rsid w:val="00B90B9D"/>
    <w:rsid w:val="00B90D08"/>
    <w:rsid w:val="00B90D88"/>
    <w:rsid w:val="00B90EFE"/>
    <w:rsid w:val="00B90F21"/>
    <w:rsid w:val="00B90F63"/>
    <w:rsid w:val="00B91079"/>
    <w:rsid w:val="00B911FF"/>
    <w:rsid w:val="00B91394"/>
    <w:rsid w:val="00B91493"/>
    <w:rsid w:val="00B918A2"/>
    <w:rsid w:val="00B918CD"/>
    <w:rsid w:val="00B918F8"/>
    <w:rsid w:val="00B91905"/>
    <w:rsid w:val="00B91F6A"/>
    <w:rsid w:val="00B9216A"/>
    <w:rsid w:val="00B92413"/>
    <w:rsid w:val="00B924F0"/>
    <w:rsid w:val="00B92507"/>
    <w:rsid w:val="00B92530"/>
    <w:rsid w:val="00B92AD1"/>
    <w:rsid w:val="00B92BDF"/>
    <w:rsid w:val="00B92D78"/>
    <w:rsid w:val="00B92E6A"/>
    <w:rsid w:val="00B931A0"/>
    <w:rsid w:val="00B93273"/>
    <w:rsid w:val="00B938D2"/>
    <w:rsid w:val="00B93A51"/>
    <w:rsid w:val="00B93B41"/>
    <w:rsid w:val="00B93D47"/>
    <w:rsid w:val="00B93D48"/>
    <w:rsid w:val="00B93E95"/>
    <w:rsid w:val="00B93F91"/>
    <w:rsid w:val="00B942D0"/>
    <w:rsid w:val="00B9461E"/>
    <w:rsid w:val="00B94716"/>
    <w:rsid w:val="00B94756"/>
    <w:rsid w:val="00B94870"/>
    <w:rsid w:val="00B9497A"/>
    <w:rsid w:val="00B94A09"/>
    <w:rsid w:val="00B94B00"/>
    <w:rsid w:val="00B94B1E"/>
    <w:rsid w:val="00B94CAE"/>
    <w:rsid w:val="00B94CDD"/>
    <w:rsid w:val="00B94DF5"/>
    <w:rsid w:val="00B94F21"/>
    <w:rsid w:val="00B9502B"/>
    <w:rsid w:val="00B950A3"/>
    <w:rsid w:val="00B9512A"/>
    <w:rsid w:val="00B9514E"/>
    <w:rsid w:val="00B951C5"/>
    <w:rsid w:val="00B9537E"/>
    <w:rsid w:val="00B954F0"/>
    <w:rsid w:val="00B9579C"/>
    <w:rsid w:val="00B95A0A"/>
    <w:rsid w:val="00B95A8D"/>
    <w:rsid w:val="00B95BD1"/>
    <w:rsid w:val="00B95D4A"/>
    <w:rsid w:val="00B95DA0"/>
    <w:rsid w:val="00B95E18"/>
    <w:rsid w:val="00B95EBF"/>
    <w:rsid w:val="00B95F79"/>
    <w:rsid w:val="00B95FAA"/>
    <w:rsid w:val="00B96176"/>
    <w:rsid w:val="00B96183"/>
    <w:rsid w:val="00B965C1"/>
    <w:rsid w:val="00B96657"/>
    <w:rsid w:val="00B9668D"/>
    <w:rsid w:val="00B9669F"/>
    <w:rsid w:val="00B966EF"/>
    <w:rsid w:val="00B9672F"/>
    <w:rsid w:val="00B967E8"/>
    <w:rsid w:val="00B96936"/>
    <w:rsid w:val="00B969D8"/>
    <w:rsid w:val="00B96AA2"/>
    <w:rsid w:val="00B96B18"/>
    <w:rsid w:val="00B96BC2"/>
    <w:rsid w:val="00B96BC8"/>
    <w:rsid w:val="00B96BDD"/>
    <w:rsid w:val="00B96C33"/>
    <w:rsid w:val="00B96CAC"/>
    <w:rsid w:val="00B96FA7"/>
    <w:rsid w:val="00B971AC"/>
    <w:rsid w:val="00B971EC"/>
    <w:rsid w:val="00B97207"/>
    <w:rsid w:val="00B97246"/>
    <w:rsid w:val="00B9767E"/>
    <w:rsid w:val="00B976DC"/>
    <w:rsid w:val="00B97705"/>
    <w:rsid w:val="00B97742"/>
    <w:rsid w:val="00B97753"/>
    <w:rsid w:val="00B97840"/>
    <w:rsid w:val="00B97870"/>
    <w:rsid w:val="00B979A4"/>
    <w:rsid w:val="00B979DA"/>
    <w:rsid w:val="00B97CB3"/>
    <w:rsid w:val="00B97D80"/>
    <w:rsid w:val="00B97DA1"/>
    <w:rsid w:val="00B97FB4"/>
    <w:rsid w:val="00BA008E"/>
    <w:rsid w:val="00BA01FF"/>
    <w:rsid w:val="00BA03BB"/>
    <w:rsid w:val="00BA0444"/>
    <w:rsid w:val="00BA046E"/>
    <w:rsid w:val="00BA0720"/>
    <w:rsid w:val="00BA0749"/>
    <w:rsid w:val="00BA0777"/>
    <w:rsid w:val="00BA0864"/>
    <w:rsid w:val="00BA087A"/>
    <w:rsid w:val="00BA08B6"/>
    <w:rsid w:val="00BA0AEF"/>
    <w:rsid w:val="00BA0BB7"/>
    <w:rsid w:val="00BA0CD6"/>
    <w:rsid w:val="00BA0D4C"/>
    <w:rsid w:val="00BA1136"/>
    <w:rsid w:val="00BA123D"/>
    <w:rsid w:val="00BA127C"/>
    <w:rsid w:val="00BA128F"/>
    <w:rsid w:val="00BA1424"/>
    <w:rsid w:val="00BA14F6"/>
    <w:rsid w:val="00BA182F"/>
    <w:rsid w:val="00BA1C0C"/>
    <w:rsid w:val="00BA1CA4"/>
    <w:rsid w:val="00BA1CDD"/>
    <w:rsid w:val="00BA1E60"/>
    <w:rsid w:val="00BA1E99"/>
    <w:rsid w:val="00BA1F1F"/>
    <w:rsid w:val="00BA1F2D"/>
    <w:rsid w:val="00BA1FA6"/>
    <w:rsid w:val="00BA2000"/>
    <w:rsid w:val="00BA20D9"/>
    <w:rsid w:val="00BA213A"/>
    <w:rsid w:val="00BA2341"/>
    <w:rsid w:val="00BA24CD"/>
    <w:rsid w:val="00BA26FF"/>
    <w:rsid w:val="00BA2710"/>
    <w:rsid w:val="00BA279D"/>
    <w:rsid w:val="00BA27BA"/>
    <w:rsid w:val="00BA27CD"/>
    <w:rsid w:val="00BA2924"/>
    <w:rsid w:val="00BA2929"/>
    <w:rsid w:val="00BA2979"/>
    <w:rsid w:val="00BA2A66"/>
    <w:rsid w:val="00BA2A96"/>
    <w:rsid w:val="00BA2C31"/>
    <w:rsid w:val="00BA2C74"/>
    <w:rsid w:val="00BA2D05"/>
    <w:rsid w:val="00BA2E7A"/>
    <w:rsid w:val="00BA2EC3"/>
    <w:rsid w:val="00BA2FB8"/>
    <w:rsid w:val="00BA3458"/>
    <w:rsid w:val="00BA359A"/>
    <w:rsid w:val="00BA367F"/>
    <w:rsid w:val="00BA3C7E"/>
    <w:rsid w:val="00BA3D03"/>
    <w:rsid w:val="00BA3D7A"/>
    <w:rsid w:val="00BA3E5B"/>
    <w:rsid w:val="00BA3F6C"/>
    <w:rsid w:val="00BA4073"/>
    <w:rsid w:val="00BA415D"/>
    <w:rsid w:val="00BA43E9"/>
    <w:rsid w:val="00BA44E5"/>
    <w:rsid w:val="00BA45B6"/>
    <w:rsid w:val="00BA4A10"/>
    <w:rsid w:val="00BA4B78"/>
    <w:rsid w:val="00BA4B87"/>
    <w:rsid w:val="00BA4BC7"/>
    <w:rsid w:val="00BA4D14"/>
    <w:rsid w:val="00BA4EAB"/>
    <w:rsid w:val="00BA4EFC"/>
    <w:rsid w:val="00BA4FFB"/>
    <w:rsid w:val="00BA5077"/>
    <w:rsid w:val="00BA50AB"/>
    <w:rsid w:val="00BA50CD"/>
    <w:rsid w:val="00BA50ED"/>
    <w:rsid w:val="00BA52AF"/>
    <w:rsid w:val="00BA53D6"/>
    <w:rsid w:val="00BA548C"/>
    <w:rsid w:val="00BA55ED"/>
    <w:rsid w:val="00BA5877"/>
    <w:rsid w:val="00BA5B72"/>
    <w:rsid w:val="00BA5BAE"/>
    <w:rsid w:val="00BA5BD3"/>
    <w:rsid w:val="00BA5CCC"/>
    <w:rsid w:val="00BA5CCD"/>
    <w:rsid w:val="00BA5D84"/>
    <w:rsid w:val="00BA5DEB"/>
    <w:rsid w:val="00BA5FD3"/>
    <w:rsid w:val="00BA60ED"/>
    <w:rsid w:val="00BA6285"/>
    <w:rsid w:val="00BA62D9"/>
    <w:rsid w:val="00BA6339"/>
    <w:rsid w:val="00BA64E0"/>
    <w:rsid w:val="00BA664D"/>
    <w:rsid w:val="00BA691D"/>
    <w:rsid w:val="00BA6A34"/>
    <w:rsid w:val="00BA7118"/>
    <w:rsid w:val="00BA7259"/>
    <w:rsid w:val="00BA7269"/>
    <w:rsid w:val="00BA745B"/>
    <w:rsid w:val="00BA7534"/>
    <w:rsid w:val="00BA755C"/>
    <w:rsid w:val="00BA75B8"/>
    <w:rsid w:val="00BA75BE"/>
    <w:rsid w:val="00BA75D4"/>
    <w:rsid w:val="00BA76D1"/>
    <w:rsid w:val="00BA7772"/>
    <w:rsid w:val="00BA7787"/>
    <w:rsid w:val="00BA784D"/>
    <w:rsid w:val="00BA7906"/>
    <w:rsid w:val="00BA7907"/>
    <w:rsid w:val="00BA79D1"/>
    <w:rsid w:val="00BA7BCE"/>
    <w:rsid w:val="00BA7C7A"/>
    <w:rsid w:val="00BA7CE7"/>
    <w:rsid w:val="00BA7E93"/>
    <w:rsid w:val="00BA7E9B"/>
    <w:rsid w:val="00BA7F37"/>
    <w:rsid w:val="00BA7F6E"/>
    <w:rsid w:val="00BA7FBE"/>
    <w:rsid w:val="00BA7FEE"/>
    <w:rsid w:val="00BA8E51"/>
    <w:rsid w:val="00BAB652"/>
    <w:rsid w:val="00BAF463"/>
    <w:rsid w:val="00BB0057"/>
    <w:rsid w:val="00BB00D6"/>
    <w:rsid w:val="00BB0103"/>
    <w:rsid w:val="00BB0282"/>
    <w:rsid w:val="00BB0339"/>
    <w:rsid w:val="00BB0386"/>
    <w:rsid w:val="00BB0387"/>
    <w:rsid w:val="00BB03CA"/>
    <w:rsid w:val="00BB04EE"/>
    <w:rsid w:val="00BB0591"/>
    <w:rsid w:val="00BB05FB"/>
    <w:rsid w:val="00BB08FE"/>
    <w:rsid w:val="00BB0979"/>
    <w:rsid w:val="00BB0AEE"/>
    <w:rsid w:val="00BB0B7A"/>
    <w:rsid w:val="00BB0B80"/>
    <w:rsid w:val="00BB0C48"/>
    <w:rsid w:val="00BB0C55"/>
    <w:rsid w:val="00BB0CC3"/>
    <w:rsid w:val="00BB0E4D"/>
    <w:rsid w:val="00BB0ED3"/>
    <w:rsid w:val="00BB111B"/>
    <w:rsid w:val="00BB116A"/>
    <w:rsid w:val="00BB120F"/>
    <w:rsid w:val="00BB13DC"/>
    <w:rsid w:val="00BB1421"/>
    <w:rsid w:val="00BB1546"/>
    <w:rsid w:val="00BB159B"/>
    <w:rsid w:val="00BB17EC"/>
    <w:rsid w:val="00BB183D"/>
    <w:rsid w:val="00BB1A80"/>
    <w:rsid w:val="00BB1E56"/>
    <w:rsid w:val="00BB1F39"/>
    <w:rsid w:val="00BB1FA8"/>
    <w:rsid w:val="00BB20D4"/>
    <w:rsid w:val="00BB22CF"/>
    <w:rsid w:val="00BB2360"/>
    <w:rsid w:val="00BB2539"/>
    <w:rsid w:val="00BB2597"/>
    <w:rsid w:val="00BB261B"/>
    <w:rsid w:val="00BB267D"/>
    <w:rsid w:val="00BB2902"/>
    <w:rsid w:val="00BB2A13"/>
    <w:rsid w:val="00BB2A6D"/>
    <w:rsid w:val="00BB2D44"/>
    <w:rsid w:val="00BB2EAD"/>
    <w:rsid w:val="00BB303A"/>
    <w:rsid w:val="00BB3410"/>
    <w:rsid w:val="00BB35B5"/>
    <w:rsid w:val="00BB36C4"/>
    <w:rsid w:val="00BB3738"/>
    <w:rsid w:val="00BB3790"/>
    <w:rsid w:val="00BB3896"/>
    <w:rsid w:val="00BB38F0"/>
    <w:rsid w:val="00BB38FE"/>
    <w:rsid w:val="00BB3907"/>
    <w:rsid w:val="00BB3A16"/>
    <w:rsid w:val="00BB3B27"/>
    <w:rsid w:val="00BB3BA9"/>
    <w:rsid w:val="00BB3D2E"/>
    <w:rsid w:val="00BB3E1A"/>
    <w:rsid w:val="00BB4104"/>
    <w:rsid w:val="00BB41FD"/>
    <w:rsid w:val="00BB42F5"/>
    <w:rsid w:val="00BB4597"/>
    <w:rsid w:val="00BB45F6"/>
    <w:rsid w:val="00BB476D"/>
    <w:rsid w:val="00BB4875"/>
    <w:rsid w:val="00BB4DE1"/>
    <w:rsid w:val="00BB5130"/>
    <w:rsid w:val="00BB53E0"/>
    <w:rsid w:val="00BB5432"/>
    <w:rsid w:val="00BB5541"/>
    <w:rsid w:val="00BB559D"/>
    <w:rsid w:val="00BB561C"/>
    <w:rsid w:val="00BB5908"/>
    <w:rsid w:val="00BB5911"/>
    <w:rsid w:val="00BB5AF6"/>
    <w:rsid w:val="00BB5B03"/>
    <w:rsid w:val="00BB5BE9"/>
    <w:rsid w:val="00BB5CDC"/>
    <w:rsid w:val="00BB5D39"/>
    <w:rsid w:val="00BB5D4B"/>
    <w:rsid w:val="00BB5E8D"/>
    <w:rsid w:val="00BB5EE7"/>
    <w:rsid w:val="00BB5F00"/>
    <w:rsid w:val="00BB5F04"/>
    <w:rsid w:val="00BB5F56"/>
    <w:rsid w:val="00BB622B"/>
    <w:rsid w:val="00BB6315"/>
    <w:rsid w:val="00BB6708"/>
    <w:rsid w:val="00BB675D"/>
    <w:rsid w:val="00BB68FE"/>
    <w:rsid w:val="00BB697A"/>
    <w:rsid w:val="00BB69B3"/>
    <w:rsid w:val="00BB6B26"/>
    <w:rsid w:val="00BB6B79"/>
    <w:rsid w:val="00BB6D32"/>
    <w:rsid w:val="00BB6DDD"/>
    <w:rsid w:val="00BB6F6F"/>
    <w:rsid w:val="00BB6F99"/>
    <w:rsid w:val="00BB709A"/>
    <w:rsid w:val="00BB7156"/>
    <w:rsid w:val="00BB72FD"/>
    <w:rsid w:val="00BB7318"/>
    <w:rsid w:val="00BB732D"/>
    <w:rsid w:val="00BB7386"/>
    <w:rsid w:val="00BB75CA"/>
    <w:rsid w:val="00BB7624"/>
    <w:rsid w:val="00BB76DE"/>
    <w:rsid w:val="00BB776A"/>
    <w:rsid w:val="00BB78E8"/>
    <w:rsid w:val="00BB7AF1"/>
    <w:rsid w:val="00BB7CDB"/>
    <w:rsid w:val="00BB7ED1"/>
    <w:rsid w:val="00BB7ED7"/>
    <w:rsid w:val="00BC02B1"/>
    <w:rsid w:val="00BC0443"/>
    <w:rsid w:val="00BC0593"/>
    <w:rsid w:val="00BC05EB"/>
    <w:rsid w:val="00BC06FC"/>
    <w:rsid w:val="00BC072B"/>
    <w:rsid w:val="00BC074D"/>
    <w:rsid w:val="00BC0773"/>
    <w:rsid w:val="00BC094C"/>
    <w:rsid w:val="00BC0A8C"/>
    <w:rsid w:val="00BC0A9F"/>
    <w:rsid w:val="00BC0D51"/>
    <w:rsid w:val="00BC0DA2"/>
    <w:rsid w:val="00BC0F36"/>
    <w:rsid w:val="00BC1079"/>
    <w:rsid w:val="00BC116C"/>
    <w:rsid w:val="00BC11A5"/>
    <w:rsid w:val="00BC1306"/>
    <w:rsid w:val="00BC13AB"/>
    <w:rsid w:val="00BC154E"/>
    <w:rsid w:val="00BC1731"/>
    <w:rsid w:val="00BC19F9"/>
    <w:rsid w:val="00BC1A26"/>
    <w:rsid w:val="00BC1C28"/>
    <w:rsid w:val="00BC1CC5"/>
    <w:rsid w:val="00BC1DB1"/>
    <w:rsid w:val="00BC1DBC"/>
    <w:rsid w:val="00BC1F51"/>
    <w:rsid w:val="00BC1F74"/>
    <w:rsid w:val="00BC21B3"/>
    <w:rsid w:val="00BC21C1"/>
    <w:rsid w:val="00BC22A5"/>
    <w:rsid w:val="00BC22E0"/>
    <w:rsid w:val="00BC242F"/>
    <w:rsid w:val="00BC2474"/>
    <w:rsid w:val="00BC2533"/>
    <w:rsid w:val="00BC2764"/>
    <w:rsid w:val="00BC2932"/>
    <w:rsid w:val="00BC2DDC"/>
    <w:rsid w:val="00BC2E0D"/>
    <w:rsid w:val="00BC2E19"/>
    <w:rsid w:val="00BC2E34"/>
    <w:rsid w:val="00BC2E4A"/>
    <w:rsid w:val="00BC2F5A"/>
    <w:rsid w:val="00BC30DF"/>
    <w:rsid w:val="00BC34C1"/>
    <w:rsid w:val="00BC350B"/>
    <w:rsid w:val="00BC35C9"/>
    <w:rsid w:val="00BC382F"/>
    <w:rsid w:val="00BC3A5A"/>
    <w:rsid w:val="00BC3DE4"/>
    <w:rsid w:val="00BC3DFA"/>
    <w:rsid w:val="00BC3E3A"/>
    <w:rsid w:val="00BC3F77"/>
    <w:rsid w:val="00BC40F0"/>
    <w:rsid w:val="00BC40F9"/>
    <w:rsid w:val="00BC4303"/>
    <w:rsid w:val="00BC436A"/>
    <w:rsid w:val="00BC45F5"/>
    <w:rsid w:val="00BC4774"/>
    <w:rsid w:val="00BC4A2B"/>
    <w:rsid w:val="00BC4A96"/>
    <w:rsid w:val="00BC4C32"/>
    <w:rsid w:val="00BC4ECA"/>
    <w:rsid w:val="00BC4EED"/>
    <w:rsid w:val="00BC4F61"/>
    <w:rsid w:val="00BC5189"/>
    <w:rsid w:val="00BC522C"/>
    <w:rsid w:val="00BC5235"/>
    <w:rsid w:val="00BC5331"/>
    <w:rsid w:val="00BC584C"/>
    <w:rsid w:val="00BC5AD4"/>
    <w:rsid w:val="00BC5AE0"/>
    <w:rsid w:val="00BC5C84"/>
    <w:rsid w:val="00BC5CFF"/>
    <w:rsid w:val="00BC5EBD"/>
    <w:rsid w:val="00BC6009"/>
    <w:rsid w:val="00BC6484"/>
    <w:rsid w:val="00BC648F"/>
    <w:rsid w:val="00BC6A57"/>
    <w:rsid w:val="00BC6B3E"/>
    <w:rsid w:val="00BC6F2A"/>
    <w:rsid w:val="00BC6FDB"/>
    <w:rsid w:val="00BC7132"/>
    <w:rsid w:val="00BC7201"/>
    <w:rsid w:val="00BC7302"/>
    <w:rsid w:val="00BC73BB"/>
    <w:rsid w:val="00BC74AB"/>
    <w:rsid w:val="00BC74E9"/>
    <w:rsid w:val="00BC7554"/>
    <w:rsid w:val="00BC77D4"/>
    <w:rsid w:val="00BC7A1B"/>
    <w:rsid w:val="00BC7E64"/>
    <w:rsid w:val="00BC7EBA"/>
    <w:rsid w:val="00BCA269"/>
    <w:rsid w:val="00BD0050"/>
    <w:rsid w:val="00BD0097"/>
    <w:rsid w:val="00BD036D"/>
    <w:rsid w:val="00BD0409"/>
    <w:rsid w:val="00BD0438"/>
    <w:rsid w:val="00BD049B"/>
    <w:rsid w:val="00BD05F6"/>
    <w:rsid w:val="00BD070C"/>
    <w:rsid w:val="00BD0A11"/>
    <w:rsid w:val="00BD0B1A"/>
    <w:rsid w:val="00BD0BD2"/>
    <w:rsid w:val="00BD0C34"/>
    <w:rsid w:val="00BD0D67"/>
    <w:rsid w:val="00BD0F41"/>
    <w:rsid w:val="00BD13AF"/>
    <w:rsid w:val="00BD14D4"/>
    <w:rsid w:val="00BD1553"/>
    <w:rsid w:val="00BD156A"/>
    <w:rsid w:val="00BD168C"/>
    <w:rsid w:val="00BD16BF"/>
    <w:rsid w:val="00BD17F1"/>
    <w:rsid w:val="00BD1923"/>
    <w:rsid w:val="00BD1961"/>
    <w:rsid w:val="00BD1976"/>
    <w:rsid w:val="00BD197E"/>
    <w:rsid w:val="00BD19FE"/>
    <w:rsid w:val="00BD1A09"/>
    <w:rsid w:val="00BD1A76"/>
    <w:rsid w:val="00BD1E5E"/>
    <w:rsid w:val="00BD1E8D"/>
    <w:rsid w:val="00BD20D8"/>
    <w:rsid w:val="00BD2183"/>
    <w:rsid w:val="00BD22C6"/>
    <w:rsid w:val="00BD235B"/>
    <w:rsid w:val="00BD241B"/>
    <w:rsid w:val="00BD258A"/>
    <w:rsid w:val="00BD2749"/>
    <w:rsid w:val="00BD2796"/>
    <w:rsid w:val="00BD27D6"/>
    <w:rsid w:val="00BD27F3"/>
    <w:rsid w:val="00BD2813"/>
    <w:rsid w:val="00BD2881"/>
    <w:rsid w:val="00BD2B36"/>
    <w:rsid w:val="00BD2D39"/>
    <w:rsid w:val="00BD2D74"/>
    <w:rsid w:val="00BD2FD8"/>
    <w:rsid w:val="00BD304D"/>
    <w:rsid w:val="00BD3117"/>
    <w:rsid w:val="00BD3130"/>
    <w:rsid w:val="00BD31CD"/>
    <w:rsid w:val="00BD34DC"/>
    <w:rsid w:val="00BD3620"/>
    <w:rsid w:val="00BD3656"/>
    <w:rsid w:val="00BD365D"/>
    <w:rsid w:val="00BD3A78"/>
    <w:rsid w:val="00BD3ADA"/>
    <w:rsid w:val="00BD3DCD"/>
    <w:rsid w:val="00BD3DE9"/>
    <w:rsid w:val="00BD3EEB"/>
    <w:rsid w:val="00BD4001"/>
    <w:rsid w:val="00BD4073"/>
    <w:rsid w:val="00BD4118"/>
    <w:rsid w:val="00BD412D"/>
    <w:rsid w:val="00BD41FB"/>
    <w:rsid w:val="00BD45FB"/>
    <w:rsid w:val="00BD4637"/>
    <w:rsid w:val="00BD467C"/>
    <w:rsid w:val="00BD46A0"/>
    <w:rsid w:val="00BD4F33"/>
    <w:rsid w:val="00BD4FCA"/>
    <w:rsid w:val="00BD5146"/>
    <w:rsid w:val="00BD519D"/>
    <w:rsid w:val="00BD51BE"/>
    <w:rsid w:val="00BD5394"/>
    <w:rsid w:val="00BD5435"/>
    <w:rsid w:val="00BD55B8"/>
    <w:rsid w:val="00BD5A19"/>
    <w:rsid w:val="00BD5C65"/>
    <w:rsid w:val="00BD5CA7"/>
    <w:rsid w:val="00BD5DBD"/>
    <w:rsid w:val="00BD5DD8"/>
    <w:rsid w:val="00BD60FB"/>
    <w:rsid w:val="00BD62F1"/>
    <w:rsid w:val="00BD6301"/>
    <w:rsid w:val="00BD6508"/>
    <w:rsid w:val="00BD6676"/>
    <w:rsid w:val="00BD6884"/>
    <w:rsid w:val="00BD6DAD"/>
    <w:rsid w:val="00BD6DF8"/>
    <w:rsid w:val="00BD6E82"/>
    <w:rsid w:val="00BD6F33"/>
    <w:rsid w:val="00BD7041"/>
    <w:rsid w:val="00BD704E"/>
    <w:rsid w:val="00BD709E"/>
    <w:rsid w:val="00BD70CA"/>
    <w:rsid w:val="00BD723C"/>
    <w:rsid w:val="00BD7393"/>
    <w:rsid w:val="00BD743E"/>
    <w:rsid w:val="00BD75EB"/>
    <w:rsid w:val="00BD7774"/>
    <w:rsid w:val="00BD7847"/>
    <w:rsid w:val="00BD79FA"/>
    <w:rsid w:val="00BD7B38"/>
    <w:rsid w:val="00BD7DA4"/>
    <w:rsid w:val="00BD7E13"/>
    <w:rsid w:val="00BD7F06"/>
    <w:rsid w:val="00BDE5C3"/>
    <w:rsid w:val="00BE024E"/>
    <w:rsid w:val="00BE0259"/>
    <w:rsid w:val="00BE02C5"/>
    <w:rsid w:val="00BE03EB"/>
    <w:rsid w:val="00BE05D3"/>
    <w:rsid w:val="00BE0607"/>
    <w:rsid w:val="00BE0652"/>
    <w:rsid w:val="00BE0A40"/>
    <w:rsid w:val="00BE0C29"/>
    <w:rsid w:val="00BE0CC3"/>
    <w:rsid w:val="00BE0F38"/>
    <w:rsid w:val="00BE0F4E"/>
    <w:rsid w:val="00BE0FEC"/>
    <w:rsid w:val="00BE1231"/>
    <w:rsid w:val="00BE14FA"/>
    <w:rsid w:val="00BE158D"/>
    <w:rsid w:val="00BE1695"/>
    <w:rsid w:val="00BE178A"/>
    <w:rsid w:val="00BE1974"/>
    <w:rsid w:val="00BE198E"/>
    <w:rsid w:val="00BE19F0"/>
    <w:rsid w:val="00BE1ACA"/>
    <w:rsid w:val="00BE1C1D"/>
    <w:rsid w:val="00BE1DB2"/>
    <w:rsid w:val="00BE1EB0"/>
    <w:rsid w:val="00BE1F3A"/>
    <w:rsid w:val="00BE1F55"/>
    <w:rsid w:val="00BE1FE7"/>
    <w:rsid w:val="00BE2344"/>
    <w:rsid w:val="00BE24B5"/>
    <w:rsid w:val="00BE2502"/>
    <w:rsid w:val="00BE2589"/>
    <w:rsid w:val="00BE2957"/>
    <w:rsid w:val="00BE2B69"/>
    <w:rsid w:val="00BE2F5A"/>
    <w:rsid w:val="00BE2F9D"/>
    <w:rsid w:val="00BE2FF1"/>
    <w:rsid w:val="00BE30D6"/>
    <w:rsid w:val="00BE3265"/>
    <w:rsid w:val="00BE3493"/>
    <w:rsid w:val="00BE3516"/>
    <w:rsid w:val="00BE3592"/>
    <w:rsid w:val="00BE35BC"/>
    <w:rsid w:val="00BE396F"/>
    <w:rsid w:val="00BE3AD3"/>
    <w:rsid w:val="00BE3B94"/>
    <w:rsid w:val="00BE3D83"/>
    <w:rsid w:val="00BE3E59"/>
    <w:rsid w:val="00BE3F09"/>
    <w:rsid w:val="00BE441F"/>
    <w:rsid w:val="00BE44C5"/>
    <w:rsid w:val="00BE4664"/>
    <w:rsid w:val="00BE488F"/>
    <w:rsid w:val="00BE4BDD"/>
    <w:rsid w:val="00BE4C04"/>
    <w:rsid w:val="00BE4CBA"/>
    <w:rsid w:val="00BE4D59"/>
    <w:rsid w:val="00BE4E78"/>
    <w:rsid w:val="00BE4F13"/>
    <w:rsid w:val="00BE4F96"/>
    <w:rsid w:val="00BE50C1"/>
    <w:rsid w:val="00BE5132"/>
    <w:rsid w:val="00BE517A"/>
    <w:rsid w:val="00BE530E"/>
    <w:rsid w:val="00BE53B7"/>
    <w:rsid w:val="00BE53C4"/>
    <w:rsid w:val="00BE54C3"/>
    <w:rsid w:val="00BE550F"/>
    <w:rsid w:val="00BE5563"/>
    <w:rsid w:val="00BE56D3"/>
    <w:rsid w:val="00BE56FD"/>
    <w:rsid w:val="00BE5705"/>
    <w:rsid w:val="00BE594B"/>
    <w:rsid w:val="00BE59E1"/>
    <w:rsid w:val="00BE5E7B"/>
    <w:rsid w:val="00BE6044"/>
    <w:rsid w:val="00BE616E"/>
    <w:rsid w:val="00BE63AB"/>
    <w:rsid w:val="00BE6408"/>
    <w:rsid w:val="00BE6519"/>
    <w:rsid w:val="00BE67A1"/>
    <w:rsid w:val="00BE67FC"/>
    <w:rsid w:val="00BE6A4E"/>
    <w:rsid w:val="00BE6B00"/>
    <w:rsid w:val="00BE6B5F"/>
    <w:rsid w:val="00BE6FE7"/>
    <w:rsid w:val="00BE7164"/>
    <w:rsid w:val="00BE71A5"/>
    <w:rsid w:val="00BE7273"/>
    <w:rsid w:val="00BE732A"/>
    <w:rsid w:val="00BE7346"/>
    <w:rsid w:val="00BE7380"/>
    <w:rsid w:val="00BE742A"/>
    <w:rsid w:val="00BE76FD"/>
    <w:rsid w:val="00BE78BB"/>
    <w:rsid w:val="00BE7900"/>
    <w:rsid w:val="00BE798E"/>
    <w:rsid w:val="00BE7A32"/>
    <w:rsid w:val="00BE7A33"/>
    <w:rsid w:val="00BE7A77"/>
    <w:rsid w:val="00BE7C5C"/>
    <w:rsid w:val="00BE7DE2"/>
    <w:rsid w:val="00BE7E8C"/>
    <w:rsid w:val="00BF02E7"/>
    <w:rsid w:val="00BF0608"/>
    <w:rsid w:val="00BF0651"/>
    <w:rsid w:val="00BF0695"/>
    <w:rsid w:val="00BF0829"/>
    <w:rsid w:val="00BF0AB0"/>
    <w:rsid w:val="00BF0ABE"/>
    <w:rsid w:val="00BF0AF1"/>
    <w:rsid w:val="00BF0CAE"/>
    <w:rsid w:val="00BF0D78"/>
    <w:rsid w:val="00BF1011"/>
    <w:rsid w:val="00BF106B"/>
    <w:rsid w:val="00BF1127"/>
    <w:rsid w:val="00BF121D"/>
    <w:rsid w:val="00BF125C"/>
    <w:rsid w:val="00BF1335"/>
    <w:rsid w:val="00BF1378"/>
    <w:rsid w:val="00BF1391"/>
    <w:rsid w:val="00BF14BE"/>
    <w:rsid w:val="00BF17BE"/>
    <w:rsid w:val="00BF17DF"/>
    <w:rsid w:val="00BF19E9"/>
    <w:rsid w:val="00BF1C55"/>
    <w:rsid w:val="00BF1CA7"/>
    <w:rsid w:val="00BF1FFD"/>
    <w:rsid w:val="00BF21F4"/>
    <w:rsid w:val="00BF2259"/>
    <w:rsid w:val="00BF2291"/>
    <w:rsid w:val="00BF231F"/>
    <w:rsid w:val="00BF2408"/>
    <w:rsid w:val="00BF25EB"/>
    <w:rsid w:val="00BF2708"/>
    <w:rsid w:val="00BF2767"/>
    <w:rsid w:val="00BF286D"/>
    <w:rsid w:val="00BF29AD"/>
    <w:rsid w:val="00BF2C24"/>
    <w:rsid w:val="00BF2D58"/>
    <w:rsid w:val="00BF2D61"/>
    <w:rsid w:val="00BF2E4C"/>
    <w:rsid w:val="00BF307B"/>
    <w:rsid w:val="00BF3139"/>
    <w:rsid w:val="00BF3267"/>
    <w:rsid w:val="00BF3269"/>
    <w:rsid w:val="00BF330F"/>
    <w:rsid w:val="00BF3335"/>
    <w:rsid w:val="00BF33A4"/>
    <w:rsid w:val="00BF33AA"/>
    <w:rsid w:val="00BF3504"/>
    <w:rsid w:val="00BF352F"/>
    <w:rsid w:val="00BF3581"/>
    <w:rsid w:val="00BF37E0"/>
    <w:rsid w:val="00BF393C"/>
    <w:rsid w:val="00BF3A83"/>
    <w:rsid w:val="00BF3AFC"/>
    <w:rsid w:val="00BF3BC1"/>
    <w:rsid w:val="00BF3BE7"/>
    <w:rsid w:val="00BF3E0A"/>
    <w:rsid w:val="00BF3E68"/>
    <w:rsid w:val="00BF42DE"/>
    <w:rsid w:val="00BF4681"/>
    <w:rsid w:val="00BF4748"/>
    <w:rsid w:val="00BF492F"/>
    <w:rsid w:val="00BF4BF1"/>
    <w:rsid w:val="00BF4C55"/>
    <w:rsid w:val="00BF4DCF"/>
    <w:rsid w:val="00BF4E52"/>
    <w:rsid w:val="00BF4E9C"/>
    <w:rsid w:val="00BF50A7"/>
    <w:rsid w:val="00BF527F"/>
    <w:rsid w:val="00BF52CD"/>
    <w:rsid w:val="00BF541B"/>
    <w:rsid w:val="00BF559C"/>
    <w:rsid w:val="00BF5629"/>
    <w:rsid w:val="00BF56F6"/>
    <w:rsid w:val="00BF575E"/>
    <w:rsid w:val="00BF5946"/>
    <w:rsid w:val="00BF59A7"/>
    <w:rsid w:val="00BF5A38"/>
    <w:rsid w:val="00BF5A65"/>
    <w:rsid w:val="00BF5BCA"/>
    <w:rsid w:val="00BF5C16"/>
    <w:rsid w:val="00BF5C37"/>
    <w:rsid w:val="00BF5D3B"/>
    <w:rsid w:val="00BF5D9D"/>
    <w:rsid w:val="00BF5DD8"/>
    <w:rsid w:val="00BF5FD9"/>
    <w:rsid w:val="00BF603B"/>
    <w:rsid w:val="00BF6060"/>
    <w:rsid w:val="00BF6070"/>
    <w:rsid w:val="00BF620B"/>
    <w:rsid w:val="00BF6236"/>
    <w:rsid w:val="00BF6390"/>
    <w:rsid w:val="00BF6399"/>
    <w:rsid w:val="00BF66D1"/>
    <w:rsid w:val="00BF68BC"/>
    <w:rsid w:val="00BF6D18"/>
    <w:rsid w:val="00BF6EC2"/>
    <w:rsid w:val="00BF6F7D"/>
    <w:rsid w:val="00BF7189"/>
    <w:rsid w:val="00BF71B2"/>
    <w:rsid w:val="00BF75BF"/>
    <w:rsid w:val="00BF7648"/>
    <w:rsid w:val="00BF7770"/>
    <w:rsid w:val="00BF78DE"/>
    <w:rsid w:val="00BF799B"/>
    <w:rsid w:val="00BF7A04"/>
    <w:rsid w:val="00BF7A59"/>
    <w:rsid w:val="00BF7C33"/>
    <w:rsid w:val="00BF7CB0"/>
    <w:rsid w:val="00BF7CC0"/>
    <w:rsid w:val="00BF7E4E"/>
    <w:rsid w:val="00BF7EA9"/>
    <w:rsid w:val="00C00018"/>
    <w:rsid w:val="00C0009C"/>
    <w:rsid w:val="00C000A9"/>
    <w:rsid w:val="00C000C7"/>
    <w:rsid w:val="00C000E7"/>
    <w:rsid w:val="00C00171"/>
    <w:rsid w:val="00C00245"/>
    <w:rsid w:val="00C00347"/>
    <w:rsid w:val="00C004B0"/>
    <w:rsid w:val="00C0063C"/>
    <w:rsid w:val="00C007A0"/>
    <w:rsid w:val="00C007B4"/>
    <w:rsid w:val="00C007BD"/>
    <w:rsid w:val="00C00A21"/>
    <w:rsid w:val="00C00B08"/>
    <w:rsid w:val="00C00B83"/>
    <w:rsid w:val="00C00BCE"/>
    <w:rsid w:val="00C00C48"/>
    <w:rsid w:val="00C00CEC"/>
    <w:rsid w:val="00C00E4B"/>
    <w:rsid w:val="00C010B3"/>
    <w:rsid w:val="00C0122B"/>
    <w:rsid w:val="00C01266"/>
    <w:rsid w:val="00C01292"/>
    <w:rsid w:val="00C013B4"/>
    <w:rsid w:val="00C01744"/>
    <w:rsid w:val="00C0174F"/>
    <w:rsid w:val="00C017FF"/>
    <w:rsid w:val="00C018E8"/>
    <w:rsid w:val="00C01962"/>
    <w:rsid w:val="00C01BCE"/>
    <w:rsid w:val="00C0209C"/>
    <w:rsid w:val="00C021EF"/>
    <w:rsid w:val="00C0228B"/>
    <w:rsid w:val="00C025DC"/>
    <w:rsid w:val="00C027B6"/>
    <w:rsid w:val="00C027C7"/>
    <w:rsid w:val="00C028CF"/>
    <w:rsid w:val="00C02C30"/>
    <w:rsid w:val="00C02CB9"/>
    <w:rsid w:val="00C02DFF"/>
    <w:rsid w:val="00C02F0C"/>
    <w:rsid w:val="00C03008"/>
    <w:rsid w:val="00C0316E"/>
    <w:rsid w:val="00C03200"/>
    <w:rsid w:val="00C0338B"/>
    <w:rsid w:val="00C033C7"/>
    <w:rsid w:val="00C037CB"/>
    <w:rsid w:val="00C03867"/>
    <w:rsid w:val="00C03894"/>
    <w:rsid w:val="00C03AD5"/>
    <w:rsid w:val="00C03B8F"/>
    <w:rsid w:val="00C03ED6"/>
    <w:rsid w:val="00C03F46"/>
    <w:rsid w:val="00C03F98"/>
    <w:rsid w:val="00C040A6"/>
    <w:rsid w:val="00C04159"/>
    <w:rsid w:val="00C042D8"/>
    <w:rsid w:val="00C0435B"/>
    <w:rsid w:val="00C043E5"/>
    <w:rsid w:val="00C044BC"/>
    <w:rsid w:val="00C04505"/>
    <w:rsid w:val="00C04531"/>
    <w:rsid w:val="00C0457B"/>
    <w:rsid w:val="00C045D3"/>
    <w:rsid w:val="00C04901"/>
    <w:rsid w:val="00C04A75"/>
    <w:rsid w:val="00C04A80"/>
    <w:rsid w:val="00C04AE8"/>
    <w:rsid w:val="00C04B02"/>
    <w:rsid w:val="00C04B74"/>
    <w:rsid w:val="00C04CA6"/>
    <w:rsid w:val="00C04DFC"/>
    <w:rsid w:val="00C05038"/>
    <w:rsid w:val="00C05059"/>
    <w:rsid w:val="00C050F1"/>
    <w:rsid w:val="00C05230"/>
    <w:rsid w:val="00C052C3"/>
    <w:rsid w:val="00C052EF"/>
    <w:rsid w:val="00C0555D"/>
    <w:rsid w:val="00C0559D"/>
    <w:rsid w:val="00C05629"/>
    <w:rsid w:val="00C05673"/>
    <w:rsid w:val="00C0575E"/>
    <w:rsid w:val="00C05AFE"/>
    <w:rsid w:val="00C05B8B"/>
    <w:rsid w:val="00C05CAD"/>
    <w:rsid w:val="00C05D1E"/>
    <w:rsid w:val="00C05D37"/>
    <w:rsid w:val="00C05E31"/>
    <w:rsid w:val="00C061F2"/>
    <w:rsid w:val="00C0621C"/>
    <w:rsid w:val="00C06588"/>
    <w:rsid w:val="00C06786"/>
    <w:rsid w:val="00C069AC"/>
    <w:rsid w:val="00C06A67"/>
    <w:rsid w:val="00C0716B"/>
    <w:rsid w:val="00C07182"/>
    <w:rsid w:val="00C073DA"/>
    <w:rsid w:val="00C0755D"/>
    <w:rsid w:val="00C075C0"/>
    <w:rsid w:val="00C075CB"/>
    <w:rsid w:val="00C0766E"/>
    <w:rsid w:val="00C077E8"/>
    <w:rsid w:val="00C077FB"/>
    <w:rsid w:val="00C0790D"/>
    <w:rsid w:val="00C079DD"/>
    <w:rsid w:val="00C079FD"/>
    <w:rsid w:val="00C07A6E"/>
    <w:rsid w:val="00C07AFE"/>
    <w:rsid w:val="00C07B2E"/>
    <w:rsid w:val="00C07B5B"/>
    <w:rsid w:val="00C07B76"/>
    <w:rsid w:val="00C07CBA"/>
    <w:rsid w:val="00C07DAC"/>
    <w:rsid w:val="00C07DEF"/>
    <w:rsid w:val="00C07E5E"/>
    <w:rsid w:val="00C07EA8"/>
    <w:rsid w:val="00C100CB"/>
    <w:rsid w:val="00C10152"/>
    <w:rsid w:val="00C102CC"/>
    <w:rsid w:val="00C1037F"/>
    <w:rsid w:val="00C10383"/>
    <w:rsid w:val="00C10600"/>
    <w:rsid w:val="00C1066A"/>
    <w:rsid w:val="00C106A2"/>
    <w:rsid w:val="00C106FA"/>
    <w:rsid w:val="00C106FE"/>
    <w:rsid w:val="00C10708"/>
    <w:rsid w:val="00C10742"/>
    <w:rsid w:val="00C1084C"/>
    <w:rsid w:val="00C10B4D"/>
    <w:rsid w:val="00C10BEB"/>
    <w:rsid w:val="00C10D1E"/>
    <w:rsid w:val="00C11254"/>
    <w:rsid w:val="00C11381"/>
    <w:rsid w:val="00C11383"/>
    <w:rsid w:val="00C11505"/>
    <w:rsid w:val="00C1155B"/>
    <w:rsid w:val="00C118D5"/>
    <w:rsid w:val="00C11A35"/>
    <w:rsid w:val="00C11A91"/>
    <w:rsid w:val="00C11B41"/>
    <w:rsid w:val="00C11BDE"/>
    <w:rsid w:val="00C11BEA"/>
    <w:rsid w:val="00C11C07"/>
    <w:rsid w:val="00C11C4E"/>
    <w:rsid w:val="00C11DE0"/>
    <w:rsid w:val="00C121E5"/>
    <w:rsid w:val="00C12256"/>
    <w:rsid w:val="00C122DA"/>
    <w:rsid w:val="00C12318"/>
    <w:rsid w:val="00C1238A"/>
    <w:rsid w:val="00C1252D"/>
    <w:rsid w:val="00C125C1"/>
    <w:rsid w:val="00C1261D"/>
    <w:rsid w:val="00C12712"/>
    <w:rsid w:val="00C127CD"/>
    <w:rsid w:val="00C12874"/>
    <w:rsid w:val="00C12A94"/>
    <w:rsid w:val="00C12ACF"/>
    <w:rsid w:val="00C12CC4"/>
    <w:rsid w:val="00C12DF3"/>
    <w:rsid w:val="00C12E58"/>
    <w:rsid w:val="00C12FC9"/>
    <w:rsid w:val="00C12FF4"/>
    <w:rsid w:val="00C130CB"/>
    <w:rsid w:val="00C130D0"/>
    <w:rsid w:val="00C1312C"/>
    <w:rsid w:val="00C1340F"/>
    <w:rsid w:val="00C13477"/>
    <w:rsid w:val="00C134DA"/>
    <w:rsid w:val="00C136D9"/>
    <w:rsid w:val="00C13700"/>
    <w:rsid w:val="00C137C1"/>
    <w:rsid w:val="00C13832"/>
    <w:rsid w:val="00C13940"/>
    <w:rsid w:val="00C139BE"/>
    <w:rsid w:val="00C139D1"/>
    <w:rsid w:val="00C13B57"/>
    <w:rsid w:val="00C13C35"/>
    <w:rsid w:val="00C14103"/>
    <w:rsid w:val="00C14225"/>
    <w:rsid w:val="00C1429F"/>
    <w:rsid w:val="00C142A1"/>
    <w:rsid w:val="00C143A4"/>
    <w:rsid w:val="00C143E3"/>
    <w:rsid w:val="00C14422"/>
    <w:rsid w:val="00C14476"/>
    <w:rsid w:val="00C144B8"/>
    <w:rsid w:val="00C145C7"/>
    <w:rsid w:val="00C145FE"/>
    <w:rsid w:val="00C14609"/>
    <w:rsid w:val="00C1490D"/>
    <w:rsid w:val="00C1492B"/>
    <w:rsid w:val="00C1492D"/>
    <w:rsid w:val="00C14A09"/>
    <w:rsid w:val="00C14B4D"/>
    <w:rsid w:val="00C14BEC"/>
    <w:rsid w:val="00C14C87"/>
    <w:rsid w:val="00C14DE5"/>
    <w:rsid w:val="00C14EE9"/>
    <w:rsid w:val="00C15133"/>
    <w:rsid w:val="00C15289"/>
    <w:rsid w:val="00C152C4"/>
    <w:rsid w:val="00C1550A"/>
    <w:rsid w:val="00C15669"/>
    <w:rsid w:val="00C1577A"/>
    <w:rsid w:val="00C1577F"/>
    <w:rsid w:val="00C15A71"/>
    <w:rsid w:val="00C15B64"/>
    <w:rsid w:val="00C15BCB"/>
    <w:rsid w:val="00C15BD8"/>
    <w:rsid w:val="00C15BEA"/>
    <w:rsid w:val="00C15D2F"/>
    <w:rsid w:val="00C15D5F"/>
    <w:rsid w:val="00C15EFA"/>
    <w:rsid w:val="00C163ED"/>
    <w:rsid w:val="00C165B3"/>
    <w:rsid w:val="00C165CD"/>
    <w:rsid w:val="00C1668B"/>
    <w:rsid w:val="00C1671D"/>
    <w:rsid w:val="00C16729"/>
    <w:rsid w:val="00C1673A"/>
    <w:rsid w:val="00C167A4"/>
    <w:rsid w:val="00C169F0"/>
    <w:rsid w:val="00C16A61"/>
    <w:rsid w:val="00C16CC9"/>
    <w:rsid w:val="00C16D41"/>
    <w:rsid w:val="00C16F34"/>
    <w:rsid w:val="00C17020"/>
    <w:rsid w:val="00C17303"/>
    <w:rsid w:val="00C17349"/>
    <w:rsid w:val="00C173E5"/>
    <w:rsid w:val="00C174CD"/>
    <w:rsid w:val="00C177A3"/>
    <w:rsid w:val="00C17811"/>
    <w:rsid w:val="00C1787A"/>
    <w:rsid w:val="00C17955"/>
    <w:rsid w:val="00C17979"/>
    <w:rsid w:val="00C179A2"/>
    <w:rsid w:val="00C179E1"/>
    <w:rsid w:val="00C17A49"/>
    <w:rsid w:val="00C17AB8"/>
    <w:rsid w:val="00C17B4C"/>
    <w:rsid w:val="00C17C9C"/>
    <w:rsid w:val="00C17CB3"/>
    <w:rsid w:val="00C17D00"/>
    <w:rsid w:val="00C17D5A"/>
    <w:rsid w:val="00C17E65"/>
    <w:rsid w:val="00C17EB0"/>
    <w:rsid w:val="00C17EBF"/>
    <w:rsid w:val="00C17FAC"/>
    <w:rsid w:val="00C200A3"/>
    <w:rsid w:val="00C201C0"/>
    <w:rsid w:val="00C202D1"/>
    <w:rsid w:val="00C204E1"/>
    <w:rsid w:val="00C208D4"/>
    <w:rsid w:val="00C20CB0"/>
    <w:rsid w:val="00C20E40"/>
    <w:rsid w:val="00C20FB9"/>
    <w:rsid w:val="00C210F2"/>
    <w:rsid w:val="00C211B2"/>
    <w:rsid w:val="00C21397"/>
    <w:rsid w:val="00C213C5"/>
    <w:rsid w:val="00C21473"/>
    <w:rsid w:val="00C21523"/>
    <w:rsid w:val="00C215BC"/>
    <w:rsid w:val="00C21636"/>
    <w:rsid w:val="00C21828"/>
    <w:rsid w:val="00C2195D"/>
    <w:rsid w:val="00C21965"/>
    <w:rsid w:val="00C2196D"/>
    <w:rsid w:val="00C21AC8"/>
    <w:rsid w:val="00C21CAE"/>
    <w:rsid w:val="00C21CEA"/>
    <w:rsid w:val="00C21DA7"/>
    <w:rsid w:val="00C22191"/>
    <w:rsid w:val="00C221EC"/>
    <w:rsid w:val="00C2222B"/>
    <w:rsid w:val="00C22257"/>
    <w:rsid w:val="00C223CD"/>
    <w:rsid w:val="00C22660"/>
    <w:rsid w:val="00C22669"/>
    <w:rsid w:val="00C227FE"/>
    <w:rsid w:val="00C229AF"/>
    <w:rsid w:val="00C22A30"/>
    <w:rsid w:val="00C22A36"/>
    <w:rsid w:val="00C22B8E"/>
    <w:rsid w:val="00C22CAC"/>
    <w:rsid w:val="00C22CCD"/>
    <w:rsid w:val="00C22D46"/>
    <w:rsid w:val="00C22DC2"/>
    <w:rsid w:val="00C22F0C"/>
    <w:rsid w:val="00C230BE"/>
    <w:rsid w:val="00C232B9"/>
    <w:rsid w:val="00C2345E"/>
    <w:rsid w:val="00C23491"/>
    <w:rsid w:val="00C234E0"/>
    <w:rsid w:val="00C23995"/>
    <w:rsid w:val="00C23A3B"/>
    <w:rsid w:val="00C23AF7"/>
    <w:rsid w:val="00C23BEA"/>
    <w:rsid w:val="00C23C34"/>
    <w:rsid w:val="00C23CD2"/>
    <w:rsid w:val="00C23D6B"/>
    <w:rsid w:val="00C24007"/>
    <w:rsid w:val="00C241EA"/>
    <w:rsid w:val="00C244D0"/>
    <w:rsid w:val="00C24702"/>
    <w:rsid w:val="00C24920"/>
    <w:rsid w:val="00C24947"/>
    <w:rsid w:val="00C249DA"/>
    <w:rsid w:val="00C24E25"/>
    <w:rsid w:val="00C24EC1"/>
    <w:rsid w:val="00C25081"/>
    <w:rsid w:val="00C250B9"/>
    <w:rsid w:val="00C250C5"/>
    <w:rsid w:val="00C251FB"/>
    <w:rsid w:val="00C2550C"/>
    <w:rsid w:val="00C25581"/>
    <w:rsid w:val="00C2579D"/>
    <w:rsid w:val="00C258D1"/>
    <w:rsid w:val="00C259D5"/>
    <w:rsid w:val="00C25AD2"/>
    <w:rsid w:val="00C25B84"/>
    <w:rsid w:val="00C25B8F"/>
    <w:rsid w:val="00C25BC5"/>
    <w:rsid w:val="00C25BCD"/>
    <w:rsid w:val="00C25D54"/>
    <w:rsid w:val="00C25EAA"/>
    <w:rsid w:val="00C26238"/>
    <w:rsid w:val="00C263C7"/>
    <w:rsid w:val="00C2642E"/>
    <w:rsid w:val="00C2644F"/>
    <w:rsid w:val="00C264FE"/>
    <w:rsid w:val="00C2674A"/>
    <w:rsid w:val="00C268FD"/>
    <w:rsid w:val="00C26905"/>
    <w:rsid w:val="00C26960"/>
    <w:rsid w:val="00C269BE"/>
    <w:rsid w:val="00C26A59"/>
    <w:rsid w:val="00C26AC7"/>
    <w:rsid w:val="00C26C95"/>
    <w:rsid w:val="00C26C98"/>
    <w:rsid w:val="00C26D82"/>
    <w:rsid w:val="00C26FE2"/>
    <w:rsid w:val="00C26FEB"/>
    <w:rsid w:val="00C27224"/>
    <w:rsid w:val="00C272C4"/>
    <w:rsid w:val="00C27459"/>
    <w:rsid w:val="00C276BF"/>
    <w:rsid w:val="00C27725"/>
    <w:rsid w:val="00C27804"/>
    <w:rsid w:val="00C278BC"/>
    <w:rsid w:val="00C279CB"/>
    <w:rsid w:val="00C27BAB"/>
    <w:rsid w:val="00C27DDA"/>
    <w:rsid w:val="00C27E02"/>
    <w:rsid w:val="00C27E27"/>
    <w:rsid w:val="00C27F1C"/>
    <w:rsid w:val="00C30077"/>
    <w:rsid w:val="00C30164"/>
    <w:rsid w:val="00C302D7"/>
    <w:rsid w:val="00C30376"/>
    <w:rsid w:val="00C3047D"/>
    <w:rsid w:val="00C308B3"/>
    <w:rsid w:val="00C3093A"/>
    <w:rsid w:val="00C30973"/>
    <w:rsid w:val="00C309A9"/>
    <w:rsid w:val="00C30B5B"/>
    <w:rsid w:val="00C30C43"/>
    <w:rsid w:val="00C31010"/>
    <w:rsid w:val="00C31053"/>
    <w:rsid w:val="00C31125"/>
    <w:rsid w:val="00C3121F"/>
    <w:rsid w:val="00C31267"/>
    <w:rsid w:val="00C31272"/>
    <w:rsid w:val="00C314EC"/>
    <w:rsid w:val="00C31525"/>
    <w:rsid w:val="00C3178A"/>
    <w:rsid w:val="00C31798"/>
    <w:rsid w:val="00C3188D"/>
    <w:rsid w:val="00C31892"/>
    <w:rsid w:val="00C319C7"/>
    <w:rsid w:val="00C31CC2"/>
    <w:rsid w:val="00C31DCC"/>
    <w:rsid w:val="00C31E81"/>
    <w:rsid w:val="00C31F83"/>
    <w:rsid w:val="00C320A1"/>
    <w:rsid w:val="00C321F5"/>
    <w:rsid w:val="00C3223B"/>
    <w:rsid w:val="00C32331"/>
    <w:rsid w:val="00C32456"/>
    <w:rsid w:val="00C32687"/>
    <w:rsid w:val="00C3268B"/>
    <w:rsid w:val="00C3286F"/>
    <w:rsid w:val="00C328E0"/>
    <w:rsid w:val="00C329EA"/>
    <w:rsid w:val="00C32B49"/>
    <w:rsid w:val="00C32CC1"/>
    <w:rsid w:val="00C32D1A"/>
    <w:rsid w:val="00C32FEB"/>
    <w:rsid w:val="00C330AF"/>
    <w:rsid w:val="00C3316A"/>
    <w:rsid w:val="00C33204"/>
    <w:rsid w:val="00C33245"/>
    <w:rsid w:val="00C33246"/>
    <w:rsid w:val="00C332C1"/>
    <w:rsid w:val="00C335F0"/>
    <w:rsid w:val="00C3362B"/>
    <w:rsid w:val="00C33630"/>
    <w:rsid w:val="00C3397B"/>
    <w:rsid w:val="00C33A19"/>
    <w:rsid w:val="00C33B06"/>
    <w:rsid w:val="00C33BD7"/>
    <w:rsid w:val="00C33DDF"/>
    <w:rsid w:val="00C33F40"/>
    <w:rsid w:val="00C33FE5"/>
    <w:rsid w:val="00C33FFB"/>
    <w:rsid w:val="00C34106"/>
    <w:rsid w:val="00C34223"/>
    <w:rsid w:val="00C3426F"/>
    <w:rsid w:val="00C342BE"/>
    <w:rsid w:val="00C342FE"/>
    <w:rsid w:val="00C3457F"/>
    <w:rsid w:val="00C3464F"/>
    <w:rsid w:val="00C34670"/>
    <w:rsid w:val="00C34A02"/>
    <w:rsid w:val="00C34A06"/>
    <w:rsid w:val="00C34ADF"/>
    <w:rsid w:val="00C34B19"/>
    <w:rsid w:val="00C34B38"/>
    <w:rsid w:val="00C34CA6"/>
    <w:rsid w:val="00C34D2A"/>
    <w:rsid w:val="00C34D3C"/>
    <w:rsid w:val="00C35021"/>
    <w:rsid w:val="00C35059"/>
    <w:rsid w:val="00C350B9"/>
    <w:rsid w:val="00C351C9"/>
    <w:rsid w:val="00C352C1"/>
    <w:rsid w:val="00C3530A"/>
    <w:rsid w:val="00C354BD"/>
    <w:rsid w:val="00C354EE"/>
    <w:rsid w:val="00C3554E"/>
    <w:rsid w:val="00C355E1"/>
    <w:rsid w:val="00C355E6"/>
    <w:rsid w:val="00C355EF"/>
    <w:rsid w:val="00C356B5"/>
    <w:rsid w:val="00C358E2"/>
    <w:rsid w:val="00C35AB4"/>
    <w:rsid w:val="00C360F9"/>
    <w:rsid w:val="00C362B6"/>
    <w:rsid w:val="00C363D8"/>
    <w:rsid w:val="00C364DF"/>
    <w:rsid w:val="00C36619"/>
    <w:rsid w:val="00C3662E"/>
    <w:rsid w:val="00C367A9"/>
    <w:rsid w:val="00C36810"/>
    <w:rsid w:val="00C36A7D"/>
    <w:rsid w:val="00C36C18"/>
    <w:rsid w:val="00C36C73"/>
    <w:rsid w:val="00C36D76"/>
    <w:rsid w:val="00C36D83"/>
    <w:rsid w:val="00C36E72"/>
    <w:rsid w:val="00C37033"/>
    <w:rsid w:val="00C37256"/>
    <w:rsid w:val="00C37535"/>
    <w:rsid w:val="00C37692"/>
    <w:rsid w:val="00C376C6"/>
    <w:rsid w:val="00C3781A"/>
    <w:rsid w:val="00C37868"/>
    <w:rsid w:val="00C37997"/>
    <w:rsid w:val="00C3799B"/>
    <w:rsid w:val="00C37A93"/>
    <w:rsid w:val="00C37B3B"/>
    <w:rsid w:val="00C37B4C"/>
    <w:rsid w:val="00C37B6F"/>
    <w:rsid w:val="00C37C58"/>
    <w:rsid w:val="00C37D83"/>
    <w:rsid w:val="00C37E31"/>
    <w:rsid w:val="00C37F46"/>
    <w:rsid w:val="00C4025B"/>
    <w:rsid w:val="00C40309"/>
    <w:rsid w:val="00C40336"/>
    <w:rsid w:val="00C40373"/>
    <w:rsid w:val="00C4045B"/>
    <w:rsid w:val="00C4078E"/>
    <w:rsid w:val="00C408F0"/>
    <w:rsid w:val="00C4090A"/>
    <w:rsid w:val="00C40A34"/>
    <w:rsid w:val="00C40A81"/>
    <w:rsid w:val="00C40BB9"/>
    <w:rsid w:val="00C40BDA"/>
    <w:rsid w:val="00C40D63"/>
    <w:rsid w:val="00C40FAD"/>
    <w:rsid w:val="00C41020"/>
    <w:rsid w:val="00C411C6"/>
    <w:rsid w:val="00C412C4"/>
    <w:rsid w:val="00C412FD"/>
    <w:rsid w:val="00C41513"/>
    <w:rsid w:val="00C41566"/>
    <w:rsid w:val="00C417B8"/>
    <w:rsid w:val="00C41843"/>
    <w:rsid w:val="00C41870"/>
    <w:rsid w:val="00C418F9"/>
    <w:rsid w:val="00C41951"/>
    <w:rsid w:val="00C41A56"/>
    <w:rsid w:val="00C41B9B"/>
    <w:rsid w:val="00C41D9B"/>
    <w:rsid w:val="00C41E63"/>
    <w:rsid w:val="00C41FA4"/>
    <w:rsid w:val="00C421D4"/>
    <w:rsid w:val="00C423B6"/>
    <w:rsid w:val="00C4275F"/>
    <w:rsid w:val="00C42782"/>
    <w:rsid w:val="00C427B7"/>
    <w:rsid w:val="00C428FD"/>
    <w:rsid w:val="00C42ACC"/>
    <w:rsid w:val="00C42B04"/>
    <w:rsid w:val="00C42B6A"/>
    <w:rsid w:val="00C42C14"/>
    <w:rsid w:val="00C42CA3"/>
    <w:rsid w:val="00C42E34"/>
    <w:rsid w:val="00C431E2"/>
    <w:rsid w:val="00C43375"/>
    <w:rsid w:val="00C4346F"/>
    <w:rsid w:val="00C43494"/>
    <w:rsid w:val="00C43519"/>
    <w:rsid w:val="00C43598"/>
    <w:rsid w:val="00C4359A"/>
    <w:rsid w:val="00C43791"/>
    <w:rsid w:val="00C43858"/>
    <w:rsid w:val="00C4385F"/>
    <w:rsid w:val="00C4391E"/>
    <w:rsid w:val="00C439AC"/>
    <w:rsid w:val="00C439CA"/>
    <w:rsid w:val="00C43AA8"/>
    <w:rsid w:val="00C43BA4"/>
    <w:rsid w:val="00C4433F"/>
    <w:rsid w:val="00C445B0"/>
    <w:rsid w:val="00C445CF"/>
    <w:rsid w:val="00C44646"/>
    <w:rsid w:val="00C44954"/>
    <w:rsid w:val="00C449F4"/>
    <w:rsid w:val="00C44A0D"/>
    <w:rsid w:val="00C44AE8"/>
    <w:rsid w:val="00C44CC5"/>
    <w:rsid w:val="00C44D45"/>
    <w:rsid w:val="00C44D7F"/>
    <w:rsid w:val="00C44DF8"/>
    <w:rsid w:val="00C44F75"/>
    <w:rsid w:val="00C44FC5"/>
    <w:rsid w:val="00C44FDF"/>
    <w:rsid w:val="00C450E8"/>
    <w:rsid w:val="00C45391"/>
    <w:rsid w:val="00C45440"/>
    <w:rsid w:val="00C45546"/>
    <w:rsid w:val="00C455FE"/>
    <w:rsid w:val="00C457C8"/>
    <w:rsid w:val="00C45A26"/>
    <w:rsid w:val="00C45A64"/>
    <w:rsid w:val="00C45A90"/>
    <w:rsid w:val="00C45B6E"/>
    <w:rsid w:val="00C45BC0"/>
    <w:rsid w:val="00C45E16"/>
    <w:rsid w:val="00C4606A"/>
    <w:rsid w:val="00C46137"/>
    <w:rsid w:val="00C461F1"/>
    <w:rsid w:val="00C462F5"/>
    <w:rsid w:val="00C4647C"/>
    <w:rsid w:val="00C464C7"/>
    <w:rsid w:val="00C464E0"/>
    <w:rsid w:val="00C465E7"/>
    <w:rsid w:val="00C466C8"/>
    <w:rsid w:val="00C46974"/>
    <w:rsid w:val="00C4698E"/>
    <w:rsid w:val="00C4699B"/>
    <w:rsid w:val="00C46A0F"/>
    <w:rsid w:val="00C46CD2"/>
    <w:rsid w:val="00C46E34"/>
    <w:rsid w:val="00C46FCF"/>
    <w:rsid w:val="00C471D3"/>
    <w:rsid w:val="00C47224"/>
    <w:rsid w:val="00C47469"/>
    <w:rsid w:val="00C475E1"/>
    <w:rsid w:val="00C47847"/>
    <w:rsid w:val="00C47A98"/>
    <w:rsid w:val="00C47B4F"/>
    <w:rsid w:val="00C47C9C"/>
    <w:rsid w:val="00C47D57"/>
    <w:rsid w:val="00C47DE6"/>
    <w:rsid w:val="00C47E8F"/>
    <w:rsid w:val="00C47EC6"/>
    <w:rsid w:val="00C47EE4"/>
    <w:rsid w:val="00C47F03"/>
    <w:rsid w:val="00C47F59"/>
    <w:rsid w:val="00C47FC7"/>
    <w:rsid w:val="00C501A2"/>
    <w:rsid w:val="00C503FE"/>
    <w:rsid w:val="00C50884"/>
    <w:rsid w:val="00C50889"/>
    <w:rsid w:val="00C508A4"/>
    <w:rsid w:val="00C5098B"/>
    <w:rsid w:val="00C50CC4"/>
    <w:rsid w:val="00C50E95"/>
    <w:rsid w:val="00C50EB3"/>
    <w:rsid w:val="00C50FFB"/>
    <w:rsid w:val="00C51005"/>
    <w:rsid w:val="00C5108D"/>
    <w:rsid w:val="00C510FE"/>
    <w:rsid w:val="00C51278"/>
    <w:rsid w:val="00C512F7"/>
    <w:rsid w:val="00C51374"/>
    <w:rsid w:val="00C513B4"/>
    <w:rsid w:val="00C514D3"/>
    <w:rsid w:val="00C517F2"/>
    <w:rsid w:val="00C519C9"/>
    <w:rsid w:val="00C519D9"/>
    <w:rsid w:val="00C51BA8"/>
    <w:rsid w:val="00C51C4F"/>
    <w:rsid w:val="00C51CC5"/>
    <w:rsid w:val="00C51D0B"/>
    <w:rsid w:val="00C51D40"/>
    <w:rsid w:val="00C51EB8"/>
    <w:rsid w:val="00C52011"/>
    <w:rsid w:val="00C521A1"/>
    <w:rsid w:val="00C522BF"/>
    <w:rsid w:val="00C52315"/>
    <w:rsid w:val="00C52411"/>
    <w:rsid w:val="00C52628"/>
    <w:rsid w:val="00C526A0"/>
    <w:rsid w:val="00C5273E"/>
    <w:rsid w:val="00C52894"/>
    <w:rsid w:val="00C528B2"/>
    <w:rsid w:val="00C528D0"/>
    <w:rsid w:val="00C52958"/>
    <w:rsid w:val="00C529DD"/>
    <w:rsid w:val="00C52AC2"/>
    <w:rsid w:val="00C52B9A"/>
    <w:rsid w:val="00C52BDB"/>
    <w:rsid w:val="00C52C65"/>
    <w:rsid w:val="00C53299"/>
    <w:rsid w:val="00C533D4"/>
    <w:rsid w:val="00C5349C"/>
    <w:rsid w:val="00C53710"/>
    <w:rsid w:val="00C539D0"/>
    <w:rsid w:val="00C53A2C"/>
    <w:rsid w:val="00C53C04"/>
    <w:rsid w:val="00C53D84"/>
    <w:rsid w:val="00C53D93"/>
    <w:rsid w:val="00C53E75"/>
    <w:rsid w:val="00C53ED0"/>
    <w:rsid w:val="00C5404D"/>
    <w:rsid w:val="00C5410D"/>
    <w:rsid w:val="00C54154"/>
    <w:rsid w:val="00C54312"/>
    <w:rsid w:val="00C5442E"/>
    <w:rsid w:val="00C54440"/>
    <w:rsid w:val="00C54453"/>
    <w:rsid w:val="00C54471"/>
    <w:rsid w:val="00C545A8"/>
    <w:rsid w:val="00C54668"/>
    <w:rsid w:val="00C546B6"/>
    <w:rsid w:val="00C5484F"/>
    <w:rsid w:val="00C5485C"/>
    <w:rsid w:val="00C54AA1"/>
    <w:rsid w:val="00C54AD9"/>
    <w:rsid w:val="00C54BC0"/>
    <w:rsid w:val="00C54CF3"/>
    <w:rsid w:val="00C54D8A"/>
    <w:rsid w:val="00C54DAA"/>
    <w:rsid w:val="00C54E53"/>
    <w:rsid w:val="00C54E74"/>
    <w:rsid w:val="00C54E8F"/>
    <w:rsid w:val="00C54FAD"/>
    <w:rsid w:val="00C55032"/>
    <w:rsid w:val="00C5510B"/>
    <w:rsid w:val="00C5521A"/>
    <w:rsid w:val="00C5523F"/>
    <w:rsid w:val="00C5524C"/>
    <w:rsid w:val="00C5531F"/>
    <w:rsid w:val="00C55500"/>
    <w:rsid w:val="00C5564B"/>
    <w:rsid w:val="00C55689"/>
    <w:rsid w:val="00C556A9"/>
    <w:rsid w:val="00C556D6"/>
    <w:rsid w:val="00C5570C"/>
    <w:rsid w:val="00C55847"/>
    <w:rsid w:val="00C55888"/>
    <w:rsid w:val="00C558BE"/>
    <w:rsid w:val="00C55903"/>
    <w:rsid w:val="00C55A21"/>
    <w:rsid w:val="00C55A9F"/>
    <w:rsid w:val="00C55ADC"/>
    <w:rsid w:val="00C55B8D"/>
    <w:rsid w:val="00C55BA8"/>
    <w:rsid w:val="00C55C1C"/>
    <w:rsid w:val="00C55C38"/>
    <w:rsid w:val="00C55C91"/>
    <w:rsid w:val="00C55D85"/>
    <w:rsid w:val="00C55E0E"/>
    <w:rsid w:val="00C55EB6"/>
    <w:rsid w:val="00C56020"/>
    <w:rsid w:val="00C56093"/>
    <w:rsid w:val="00C5609B"/>
    <w:rsid w:val="00C562BC"/>
    <w:rsid w:val="00C565AA"/>
    <w:rsid w:val="00C565BE"/>
    <w:rsid w:val="00C56825"/>
    <w:rsid w:val="00C568AE"/>
    <w:rsid w:val="00C569AB"/>
    <w:rsid w:val="00C56C80"/>
    <w:rsid w:val="00C56D80"/>
    <w:rsid w:val="00C56E71"/>
    <w:rsid w:val="00C56F14"/>
    <w:rsid w:val="00C56FC8"/>
    <w:rsid w:val="00C5713C"/>
    <w:rsid w:val="00C57198"/>
    <w:rsid w:val="00C574A6"/>
    <w:rsid w:val="00C574BF"/>
    <w:rsid w:val="00C574ED"/>
    <w:rsid w:val="00C5752C"/>
    <w:rsid w:val="00C575CF"/>
    <w:rsid w:val="00C575FE"/>
    <w:rsid w:val="00C577A5"/>
    <w:rsid w:val="00C577AD"/>
    <w:rsid w:val="00C57CE1"/>
    <w:rsid w:val="00C57CF8"/>
    <w:rsid w:val="00C57E16"/>
    <w:rsid w:val="00C57EAB"/>
    <w:rsid w:val="00C57FA8"/>
    <w:rsid w:val="00C600B4"/>
    <w:rsid w:val="00C6010C"/>
    <w:rsid w:val="00C601E9"/>
    <w:rsid w:val="00C601ED"/>
    <w:rsid w:val="00C6039F"/>
    <w:rsid w:val="00C603B8"/>
    <w:rsid w:val="00C604A3"/>
    <w:rsid w:val="00C604CB"/>
    <w:rsid w:val="00C604F3"/>
    <w:rsid w:val="00C6061D"/>
    <w:rsid w:val="00C6066A"/>
    <w:rsid w:val="00C60996"/>
    <w:rsid w:val="00C60999"/>
    <w:rsid w:val="00C60C14"/>
    <w:rsid w:val="00C60C82"/>
    <w:rsid w:val="00C60D5D"/>
    <w:rsid w:val="00C60DAD"/>
    <w:rsid w:val="00C60E0B"/>
    <w:rsid w:val="00C6101B"/>
    <w:rsid w:val="00C610A5"/>
    <w:rsid w:val="00C61134"/>
    <w:rsid w:val="00C612A7"/>
    <w:rsid w:val="00C61344"/>
    <w:rsid w:val="00C613F5"/>
    <w:rsid w:val="00C61577"/>
    <w:rsid w:val="00C61621"/>
    <w:rsid w:val="00C6163A"/>
    <w:rsid w:val="00C61651"/>
    <w:rsid w:val="00C616B7"/>
    <w:rsid w:val="00C616B8"/>
    <w:rsid w:val="00C617B6"/>
    <w:rsid w:val="00C619DD"/>
    <w:rsid w:val="00C61B07"/>
    <w:rsid w:val="00C61C88"/>
    <w:rsid w:val="00C61D37"/>
    <w:rsid w:val="00C61DC6"/>
    <w:rsid w:val="00C61EB1"/>
    <w:rsid w:val="00C6212F"/>
    <w:rsid w:val="00C621C6"/>
    <w:rsid w:val="00C62271"/>
    <w:rsid w:val="00C622A6"/>
    <w:rsid w:val="00C624FF"/>
    <w:rsid w:val="00C62551"/>
    <w:rsid w:val="00C6276D"/>
    <w:rsid w:val="00C627E7"/>
    <w:rsid w:val="00C6289C"/>
    <w:rsid w:val="00C628BF"/>
    <w:rsid w:val="00C629B0"/>
    <w:rsid w:val="00C629EC"/>
    <w:rsid w:val="00C62A04"/>
    <w:rsid w:val="00C62B0A"/>
    <w:rsid w:val="00C62CAF"/>
    <w:rsid w:val="00C62F16"/>
    <w:rsid w:val="00C6321D"/>
    <w:rsid w:val="00C632C0"/>
    <w:rsid w:val="00C63321"/>
    <w:rsid w:val="00C6349B"/>
    <w:rsid w:val="00C6354F"/>
    <w:rsid w:val="00C6366F"/>
    <w:rsid w:val="00C636C8"/>
    <w:rsid w:val="00C6373D"/>
    <w:rsid w:val="00C6375F"/>
    <w:rsid w:val="00C6395D"/>
    <w:rsid w:val="00C63A85"/>
    <w:rsid w:val="00C63B05"/>
    <w:rsid w:val="00C63B7C"/>
    <w:rsid w:val="00C63B88"/>
    <w:rsid w:val="00C63BB9"/>
    <w:rsid w:val="00C63D56"/>
    <w:rsid w:val="00C63D7E"/>
    <w:rsid w:val="00C63EA4"/>
    <w:rsid w:val="00C63EBE"/>
    <w:rsid w:val="00C63F0C"/>
    <w:rsid w:val="00C63F63"/>
    <w:rsid w:val="00C6413D"/>
    <w:rsid w:val="00C64310"/>
    <w:rsid w:val="00C64320"/>
    <w:rsid w:val="00C643B0"/>
    <w:rsid w:val="00C64463"/>
    <w:rsid w:val="00C6450A"/>
    <w:rsid w:val="00C64536"/>
    <w:rsid w:val="00C64663"/>
    <w:rsid w:val="00C646CA"/>
    <w:rsid w:val="00C648AF"/>
    <w:rsid w:val="00C648B5"/>
    <w:rsid w:val="00C649AA"/>
    <w:rsid w:val="00C649E2"/>
    <w:rsid w:val="00C649E5"/>
    <w:rsid w:val="00C64A0D"/>
    <w:rsid w:val="00C64B6A"/>
    <w:rsid w:val="00C64BA7"/>
    <w:rsid w:val="00C64BC3"/>
    <w:rsid w:val="00C64E14"/>
    <w:rsid w:val="00C64FE5"/>
    <w:rsid w:val="00C650A7"/>
    <w:rsid w:val="00C650F2"/>
    <w:rsid w:val="00C650FC"/>
    <w:rsid w:val="00C65208"/>
    <w:rsid w:val="00C65427"/>
    <w:rsid w:val="00C656E4"/>
    <w:rsid w:val="00C65821"/>
    <w:rsid w:val="00C65B69"/>
    <w:rsid w:val="00C65BB9"/>
    <w:rsid w:val="00C65BE5"/>
    <w:rsid w:val="00C65CCD"/>
    <w:rsid w:val="00C65D1D"/>
    <w:rsid w:val="00C65FFE"/>
    <w:rsid w:val="00C66041"/>
    <w:rsid w:val="00C6604A"/>
    <w:rsid w:val="00C661F3"/>
    <w:rsid w:val="00C66471"/>
    <w:rsid w:val="00C664E0"/>
    <w:rsid w:val="00C66563"/>
    <w:rsid w:val="00C665CB"/>
    <w:rsid w:val="00C66816"/>
    <w:rsid w:val="00C66B41"/>
    <w:rsid w:val="00C66B8C"/>
    <w:rsid w:val="00C66B9B"/>
    <w:rsid w:val="00C66D9C"/>
    <w:rsid w:val="00C66F98"/>
    <w:rsid w:val="00C67130"/>
    <w:rsid w:val="00C6722B"/>
    <w:rsid w:val="00C67245"/>
    <w:rsid w:val="00C67308"/>
    <w:rsid w:val="00C6731A"/>
    <w:rsid w:val="00C673D0"/>
    <w:rsid w:val="00C675B9"/>
    <w:rsid w:val="00C67852"/>
    <w:rsid w:val="00C678CF"/>
    <w:rsid w:val="00C67A67"/>
    <w:rsid w:val="00C67B03"/>
    <w:rsid w:val="00C700F3"/>
    <w:rsid w:val="00C70141"/>
    <w:rsid w:val="00C701DC"/>
    <w:rsid w:val="00C7026D"/>
    <w:rsid w:val="00C704EE"/>
    <w:rsid w:val="00C709B2"/>
    <w:rsid w:val="00C70AA9"/>
    <w:rsid w:val="00C70AEC"/>
    <w:rsid w:val="00C70BB4"/>
    <w:rsid w:val="00C70C0F"/>
    <w:rsid w:val="00C70E36"/>
    <w:rsid w:val="00C70EA8"/>
    <w:rsid w:val="00C70EDC"/>
    <w:rsid w:val="00C710A6"/>
    <w:rsid w:val="00C7117A"/>
    <w:rsid w:val="00C71218"/>
    <w:rsid w:val="00C71307"/>
    <w:rsid w:val="00C71543"/>
    <w:rsid w:val="00C71586"/>
    <w:rsid w:val="00C7163D"/>
    <w:rsid w:val="00C71698"/>
    <w:rsid w:val="00C71728"/>
    <w:rsid w:val="00C718F2"/>
    <w:rsid w:val="00C71B57"/>
    <w:rsid w:val="00C71BFC"/>
    <w:rsid w:val="00C71CE2"/>
    <w:rsid w:val="00C71D66"/>
    <w:rsid w:val="00C71D77"/>
    <w:rsid w:val="00C71DE1"/>
    <w:rsid w:val="00C71E3F"/>
    <w:rsid w:val="00C71E9E"/>
    <w:rsid w:val="00C71FC9"/>
    <w:rsid w:val="00C7216F"/>
    <w:rsid w:val="00C72199"/>
    <w:rsid w:val="00C7227B"/>
    <w:rsid w:val="00C72291"/>
    <w:rsid w:val="00C723EA"/>
    <w:rsid w:val="00C72593"/>
    <w:rsid w:val="00C726CA"/>
    <w:rsid w:val="00C726D2"/>
    <w:rsid w:val="00C72730"/>
    <w:rsid w:val="00C728B4"/>
    <w:rsid w:val="00C72A64"/>
    <w:rsid w:val="00C72A86"/>
    <w:rsid w:val="00C72C22"/>
    <w:rsid w:val="00C72D68"/>
    <w:rsid w:val="00C72DFA"/>
    <w:rsid w:val="00C73025"/>
    <w:rsid w:val="00C7304E"/>
    <w:rsid w:val="00C73545"/>
    <w:rsid w:val="00C7366F"/>
    <w:rsid w:val="00C736F2"/>
    <w:rsid w:val="00C73746"/>
    <w:rsid w:val="00C73777"/>
    <w:rsid w:val="00C737AB"/>
    <w:rsid w:val="00C73826"/>
    <w:rsid w:val="00C738D9"/>
    <w:rsid w:val="00C73AC0"/>
    <w:rsid w:val="00C73B19"/>
    <w:rsid w:val="00C73D83"/>
    <w:rsid w:val="00C73E23"/>
    <w:rsid w:val="00C73E5E"/>
    <w:rsid w:val="00C73E7B"/>
    <w:rsid w:val="00C73ED9"/>
    <w:rsid w:val="00C73F60"/>
    <w:rsid w:val="00C73F78"/>
    <w:rsid w:val="00C742CA"/>
    <w:rsid w:val="00C74591"/>
    <w:rsid w:val="00C74768"/>
    <w:rsid w:val="00C748F0"/>
    <w:rsid w:val="00C749D0"/>
    <w:rsid w:val="00C74A0C"/>
    <w:rsid w:val="00C74A8A"/>
    <w:rsid w:val="00C74A98"/>
    <w:rsid w:val="00C74B6B"/>
    <w:rsid w:val="00C74E2D"/>
    <w:rsid w:val="00C74E85"/>
    <w:rsid w:val="00C74E9D"/>
    <w:rsid w:val="00C75105"/>
    <w:rsid w:val="00C75287"/>
    <w:rsid w:val="00C75300"/>
    <w:rsid w:val="00C75686"/>
    <w:rsid w:val="00C757B9"/>
    <w:rsid w:val="00C758B5"/>
    <w:rsid w:val="00C759D8"/>
    <w:rsid w:val="00C75A99"/>
    <w:rsid w:val="00C75B0A"/>
    <w:rsid w:val="00C75C92"/>
    <w:rsid w:val="00C75DB3"/>
    <w:rsid w:val="00C75F5E"/>
    <w:rsid w:val="00C75FD4"/>
    <w:rsid w:val="00C7602B"/>
    <w:rsid w:val="00C76117"/>
    <w:rsid w:val="00C76156"/>
    <w:rsid w:val="00C76352"/>
    <w:rsid w:val="00C763B5"/>
    <w:rsid w:val="00C764E7"/>
    <w:rsid w:val="00C766EE"/>
    <w:rsid w:val="00C766F4"/>
    <w:rsid w:val="00C76765"/>
    <w:rsid w:val="00C76CB5"/>
    <w:rsid w:val="00C76D0C"/>
    <w:rsid w:val="00C76EE0"/>
    <w:rsid w:val="00C770A7"/>
    <w:rsid w:val="00C77139"/>
    <w:rsid w:val="00C771A7"/>
    <w:rsid w:val="00C77644"/>
    <w:rsid w:val="00C7786C"/>
    <w:rsid w:val="00C77906"/>
    <w:rsid w:val="00C77939"/>
    <w:rsid w:val="00C77BC3"/>
    <w:rsid w:val="00C77D2E"/>
    <w:rsid w:val="00C77FC6"/>
    <w:rsid w:val="00C800F1"/>
    <w:rsid w:val="00C80540"/>
    <w:rsid w:val="00C8057E"/>
    <w:rsid w:val="00C80768"/>
    <w:rsid w:val="00C8076A"/>
    <w:rsid w:val="00C80910"/>
    <w:rsid w:val="00C80D9C"/>
    <w:rsid w:val="00C81063"/>
    <w:rsid w:val="00C81508"/>
    <w:rsid w:val="00C81593"/>
    <w:rsid w:val="00C8159F"/>
    <w:rsid w:val="00C81636"/>
    <w:rsid w:val="00C816E6"/>
    <w:rsid w:val="00C81726"/>
    <w:rsid w:val="00C8172F"/>
    <w:rsid w:val="00C81830"/>
    <w:rsid w:val="00C81A4F"/>
    <w:rsid w:val="00C81A8C"/>
    <w:rsid w:val="00C81B45"/>
    <w:rsid w:val="00C81BC3"/>
    <w:rsid w:val="00C81C12"/>
    <w:rsid w:val="00C81E2A"/>
    <w:rsid w:val="00C81F8D"/>
    <w:rsid w:val="00C8207C"/>
    <w:rsid w:val="00C8209F"/>
    <w:rsid w:val="00C820B1"/>
    <w:rsid w:val="00C82289"/>
    <w:rsid w:val="00C8228A"/>
    <w:rsid w:val="00C82448"/>
    <w:rsid w:val="00C82485"/>
    <w:rsid w:val="00C824D9"/>
    <w:rsid w:val="00C8252A"/>
    <w:rsid w:val="00C8259B"/>
    <w:rsid w:val="00C8259E"/>
    <w:rsid w:val="00C826D7"/>
    <w:rsid w:val="00C82886"/>
    <w:rsid w:val="00C82BE1"/>
    <w:rsid w:val="00C82BE4"/>
    <w:rsid w:val="00C82E37"/>
    <w:rsid w:val="00C832A5"/>
    <w:rsid w:val="00C832A6"/>
    <w:rsid w:val="00C834C1"/>
    <w:rsid w:val="00C834FB"/>
    <w:rsid w:val="00C8352C"/>
    <w:rsid w:val="00C83544"/>
    <w:rsid w:val="00C835CE"/>
    <w:rsid w:val="00C8369D"/>
    <w:rsid w:val="00C83928"/>
    <w:rsid w:val="00C8398D"/>
    <w:rsid w:val="00C83A5F"/>
    <w:rsid w:val="00C83B92"/>
    <w:rsid w:val="00C83CC4"/>
    <w:rsid w:val="00C83D18"/>
    <w:rsid w:val="00C83DA7"/>
    <w:rsid w:val="00C840C6"/>
    <w:rsid w:val="00C84346"/>
    <w:rsid w:val="00C8444D"/>
    <w:rsid w:val="00C844AA"/>
    <w:rsid w:val="00C84890"/>
    <w:rsid w:val="00C84993"/>
    <w:rsid w:val="00C84B78"/>
    <w:rsid w:val="00C84CAF"/>
    <w:rsid w:val="00C84D71"/>
    <w:rsid w:val="00C84E6E"/>
    <w:rsid w:val="00C85208"/>
    <w:rsid w:val="00C8527D"/>
    <w:rsid w:val="00C854EF"/>
    <w:rsid w:val="00C85566"/>
    <w:rsid w:val="00C856CE"/>
    <w:rsid w:val="00C85793"/>
    <w:rsid w:val="00C857FA"/>
    <w:rsid w:val="00C85828"/>
    <w:rsid w:val="00C8584F"/>
    <w:rsid w:val="00C85900"/>
    <w:rsid w:val="00C85A5C"/>
    <w:rsid w:val="00C85CD0"/>
    <w:rsid w:val="00C85E8F"/>
    <w:rsid w:val="00C85EA4"/>
    <w:rsid w:val="00C86047"/>
    <w:rsid w:val="00C8605F"/>
    <w:rsid w:val="00C86144"/>
    <w:rsid w:val="00C861A0"/>
    <w:rsid w:val="00C86336"/>
    <w:rsid w:val="00C863EF"/>
    <w:rsid w:val="00C864E6"/>
    <w:rsid w:val="00C865FC"/>
    <w:rsid w:val="00C86637"/>
    <w:rsid w:val="00C866BC"/>
    <w:rsid w:val="00C867B5"/>
    <w:rsid w:val="00C8697E"/>
    <w:rsid w:val="00C8698C"/>
    <w:rsid w:val="00C86A97"/>
    <w:rsid w:val="00C86ABC"/>
    <w:rsid w:val="00C86AF8"/>
    <w:rsid w:val="00C86BC6"/>
    <w:rsid w:val="00C86C07"/>
    <w:rsid w:val="00C86C97"/>
    <w:rsid w:val="00C86D08"/>
    <w:rsid w:val="00C86DAF"/>
    <w:rsid w:val="00C86E9C"/>
    <w:rsid w:val="00C86F8B"/>
    <w:rsid w:val="00C870C4"/>
    <w:rsid w:val="00C87259"/>
    <w:rsid w:val="00C8736F"/>
    <w:rsid w:val="00C87380"/>
    <w:rsid w:val="00C873DF"/>
    <w:rsid w:val="00C8760E"/>
    <w:rsid w:val="00C877EB"/>
    <w:rsid w:val="00C879D9"/>
    <w:rsid w:val="00C87A1C"/>
    <w:rsid w:val="00C87A5A"/>
    <w:rsid w:val="00C87C57"/>
    <w:rsid w:val="00C87DB8"/>
    <w:rsid w:val="00C87DF9"/>
    <w:rsid w:val="00C900A5"/>
    <w:rsid w:val="00C900DC"/>
    <w:rsid w:val="00C906D3"/>
    <w:rsid w:val="00C9086D"/>
    <w:rsid w:val="00C909CE"/>
    <w:rsid w:val="00C909DE"/>
    <w:rsid w:val="00C90A5B"/>
    <w:rsid w:val="00C90B02"/>
    <w:rsid w:val="00C90B2A"/>
    <w:rsid w:val="00C90D48"/>
    <w:rsid w:val="00C90D63"/>
    <w:rsid w:val="00C91260"/>
    <w:rsid w:val="00C91389"/>
    <w:rsid w:val="00C91479"/>
    <w:rsid w:val="00C91C63"/>
    <w:rsid w:val="00C91CEA"/>
    <w:rsid w:val="00C91DF1"/>
    <w:rsid w:val="00C91E62"/>
    <w:rsid w:val="00C91E7B"/>
    <w:rsid w:val="00C920C9"/>
    <w:rsid w:val="00C9217C"/>
    <w:rsid w:val="00C923A1"/>
    <w:rsid w:val="00C923A7"/>
    <w:rsid w:val="00C92502"/>
    <w:rsid w:val="00C926F7"/>
    <w:rsid w:val="00C92791"/>
    <w:rsid w:val="00C927AE"/>
    <w:rsid w:val="00C929DC"/>
    <w:rsid w:val="00C92AEC"/>
    <w:rsid w:val="00C92D38"/>
    <w:rsid w:val="00C92D3F"/>
    <w:rsid w:val="00C92E96"/>
    <w:rsid w:val="00C92F80"/>
    <w:rsid w:val="00C92F99"/>
    <w:rsid w:val="00C92FE5"/>
    <w:rsid w:val="00C931BF"/>
    <w:rsid w:val="00C93239"/>
    <w:rsid w:val="00C932B4"/>
    <w:rsid w:val="00C933D5"/>
    <w:rsid w:val="00C935A4"/>
    <w:rsid w:val="00C93635"/>
    <w:rsid w:val="00C93641"/>
    <w:rsid w:val="00C93818"/>
    <w:rsid w:val="00C9394B"/>
    <w:rsid w:val="00C93954"/>
    <w:rsid w:val="00C93970"/>
    <w:rsid w:val="00C93A83"/>
    <w:rsid w:val="00C93ED8"/>
    <w:rsid w:val="00C947C2"/>
    <w:rsid w:val="00C947C9"/>
    <w:rsid w:val="00C94A51"/>
    <w:rsid w:val="00C94A5B"/>
    <w:rsid w:val="00C94B9D"/>
    <w:rsid w:val="00C94BB6"/>
    <w:rsid w:val="00C94BEA"/>
    <w:rsid w:val="00C94D58"/>
    <w:rsid w:val="00C94DC1"/>
    <w:rsid w:val="00C94E12"/>
    <w:rsid w:val="00C94E36"/>
    <w:rsid w:val="00C94F88"/>
    <w:rsid w:val="00C94F92"/>
    <w:rsid w:val="00C951E3"/>
    <w:rsid w:val="00C952BF"/>
    <w:rsid w:val="00C95316"/>
    <w:rsid w:val="00C9561C"/>
    <w:rsid w:val="00C9571F"/>
    <w:rsid w:val="00C95A42"/>
    <w:rsid w:val="00C95B3B"/>
    <w:rsid w:val="00C95CB9"/>
    <w:rsid w:val="00C95DB4"/>
    <w:rsid w:val="00C95DD4"/>
    <w:rsid w:val="00C95E52"/>
    <w:rsid w:val="00C95F57"/>
    <w:rsid w:val="00C9600D"/>
    <w:rsid w:val="00C96086"/>
    <w:rsid w:val="00C961F6"/>
    <w:rsid w:val="00C96350"/>
    <w:rsid w:val="00C963A3"/>
    <w:rsid w:val="00C9659C"/>
    <w:rsid w:val="00C965BA"/>
    <w:rsid w:val="00C9694E"/>
    <w:rsid w:val="00C96A38"/>
    <w:rsid w:val="00C96A86"/>
    <w:rsid w:val="00C96AD3"/>
    <w:rsid w:val="00C96AFA"/>
    <w:rsid w:val="00C96B08"/>
    <w:rsid w:val="00C96C0F"/>
    <w:rsid w:val="00C96D19"/>
    <w:rsid w:val="00C96E5A"/>
    <w:rsid w:val="00C96EDE"/>
    <w:rsid w:val="00C96FF7"/>
    <w:rsid w:val="00C97008"/>
    <w:rsid w:val="00C9702D"/>
    <w:rsid w:val="00C97060"/>
    <w:rsid w:val="00C970B7"/>
    <w:rsid w:val="00C97252"/>
    <w:rsid w:val="00C972C2"/>
    <w:rsid w:val="00C972D4"/>
    <w:rsid w:val="00C97422"/>
    <w:rsid w:val="00C9748D"/>
    <w:rsid w:val="00C9768B"/>
    <w:rsid w:val="00C97880"/>
    <w:rsid w:val="00C97AB3"/>
    <w:rsid w:val="00C97AC9"/>
    <w:rsid w:val="00C97C41"/>
    <w:rsid w:val="00C97D4E"/>
    <w:rsid w:val="00C97ED6"/>
    <w:rsid w:val="00CA00C8"/>
    <w:rsid w:val="00CA01CC"/>
    <w:rsid w:val="00CA0220"/>
    <w:rsid w:val="00CA028B"/>
    <w:rsid w:val="00CA02B9"/>
    <w:rsid w:val="00CA0302"/>
    <w:rsid w:val="00CA0337"/>
    <w:rsid w:val="00CA03FA"/>
    <w:rsid w:val="00CA0514"/>
    <w:rsid w:val="00CA05AB"/>
    <w:rsid w:val="00CA0856"/>
    <w:rsid w:val="00CA098C"/>
    <w:rsid w:val="00CA09E4"/>
    <w:rsid w:val="00CA0A70"/>
    <w:rsid w:val="00CA0AAC"/>
    <w:rsid w:val="00CA0AFB"/>
    <w:rsid w:val="00CA0B31"/>
    <w:rsid w:val="00CA0BA6"/>
    <w:rsid w:val="00CA0BD6"/>
    <w:rsid w:val="00CA0BE2"/>
    <w:rsid w:val="00CA0C85"/>
    <w:rsid w:val="00CA0C95"/>
    <w:rsid w:val="00CA0CA0"/>
    <w:rsid w:val="00CA0DBC"/>
    <w:rsid w:val="00CA0E03"/>
    <w:rsid w:val="00CA0E4B"/>
    <w:rsid w:val="00CA11BE"/>
    <w:rsid w:val="00CA1203"/>
    <w:rsid w:val="00CA12D4"/>
    <w:rsid w:val="00CA133C"/>
    <w:rsid w:val="00CA13AF"/>
    <w:rsid w:val="00CA15EE"/>
    <w:rsid w:val="00CA1650"/>
    <w:rsid w:val="00CA16B3"/>
    <w:rsid w:val="00CA1738"/>
    <w:rsid w:val="00CA175A"/>
    <w:rsid w:val="00CA175C"/>
    <w:rsid w:val="00CA17BD"/>
    <w:rsid w:val="00CA1BA1"/>
    <w:rsid w:val="00CA1BCE"/>
    <w:rsid w:val="00CA1D3B"/>
    <w:rsid w:val="00CA25A3"/>
    <w:rsid w:val="00CA25B7"/>
    <w:rsid w:val="00CA265B"/>
    <w:rsid w:val="00CA266A"/>
    <w:rsid w:val="00CA2AD4"/>
    <w:rsid w:val="00CA2D37"/>
    <w:rsid w:val="00CA2E03"/>
    <w:rsid w:val="00CA2E09"/>
    <w:rsid w:val="00CA2E71"/>
    <w:rsid w:val="00CA2F8C"/>
    <w:rsid w:val="00CA30E0"/>
    <w:rsid w:val="00CA30EE"/>
    <w:rsid w:val="00CA3248"/>
    <w:rsid w:val="00CA352B"/>
    <w:rsid w:val="00CA3559"/>
    <w:rsid w:val="00CA38E4"/>
    <w:rsid w:val="00CA3910"/>
    <w:rsid w:val="00CA39AD"/>
    <w:rsid w:val="00CA3A56"/>
    <w:rsid w:val="00CA3A7A"/>
    <w:rsid w:val="00CA3BF0"/>
    <w:rsid w:val="00CA3C03"/>
    <w:rsid w:val="00CA3D77"/>
    <w:rsid w:val="00CA3F02"/>
    <w:rsid w:val="00CA3FB4"/>
    <w:rsid w:val="00CA3FBD"/>
    <w:rsid w:val="00CA3FFD"/>
    <w:rsid w:val="00CA40A5"/>
    <w:rsid w:val="00CA4370"/>
    <w:rsid w:val="00CA44BB"/>
    <w:rsid w:val="00CA44CF"/>
    <w:rsid w:val="00CA4719"/>
    <w:rsid w:val="00CA4933"/>
    <w:rsid w:val="00CA4A4D"/>
    <w:rsid w:val="00CA4A59"/>
    <w:rsid w:val="00CA4AA9"/>
    <w:rsid w:val="00CA4B0B"/>
    <w:rsid w:val="00CA4B85"/>
    <w:rsid w:val="00CA4EF5"/>
    <w:rsid w:val="00CA4FB8"/>
    <w:rsid w:val="00CA5110"/>
    <w:rsid w:val="00CA52C2"/>
    <w:rsid w:val="00CA57D2"/>
    <w:rsid w:val="00CA5A68"/>
    <w:rsid w:val="00CA5AEA"/>
    <w:rsid w:val="00CA5DF2"/>
    <w:rsid w:val="00CA5E83"/>
    <w:rsid w:val="00CA5EF0"/>
    <w:rsid w:val="00CA608B"/>
    <w:rsid w:val="00CA61CE"/>
    <w:rsid w:val="00CA636E"/>
    <w:rsid w:val="00CA670C"/>
    <w:rsid w:val="00CA6813"/>
    <w:rsid w:val="00CA6949"/>
    <w:rsid w:val="00CA6A14"/>
    <w:rsid w:val="00CA6B07"/>
    <w:rsid w:val="00CA6CE1"/>
    <w:rsid w:val="00CA6D13"/>
    <w:rsid w:val="00CA6F8F"/>
    <w:rsid w:val="00CA6FC2"/>
    <w:rsid w:val="00CA7057"/>
    <w:rsid w:val="00CA70AA"/>
    <w:rsid w:val="00CA70DC"/>
    <w:rsid w:val="00CA73F6"/>
    <w:rsid w:val="00CA7534"/>
    <w:rsid w:val="00CA794F"/>
    <w:rsid w:val="00CA79D7"/>
    <w:rsid w:val="00CA7AA6"/>
    <w:rsid w:val="00CA7DDA"/>
    <w:rsid w:val="00CA7F34"/>
    <w:rsid w:val="00CB01D2"/>
    <w:rsid w:val="00CB0326"/>
    <w:rsid w:val="00CB035B"/>
    <w:rsid w:val="00CB04A2"/>
    <w:rsid w:val="00CB0607"/>
    <w:rsid w:val="00CB0622"/>
    <w:rsid w:val="00CB0703"/>
    <w:rsid w:val="00CB0802"/>
    <w:rsid w:val="00CB0823"/>
    <w:rsid w:val="00CB0825"/>
    <w:rsid w:val="00CB0996"/>
    <w:rsid w:val="00CB0A09"/>
    <w:rsid w:val="00CB0A53"/>
    <w:rsid w:val="00CB0AC5"/>
    <w:rsid w:val="00CB0BFA"/>
    <w:rsid w:val="00CB0C61"/>
    <w:rsid w:val="00CB0CE9"/>
    <w:rsid w:val="00CB0DDC"/>
    <w:rsid w:val="00CB0EC0"/>
    <w:rsid w:val="00CB1142"/>
    <w:rsid w:val="00CB11DD"/>
    <w:rsid w:val="00CB13BE"/>
    <w:rsid w:val="00CB13BF"/>
    <w:rsid w:val="00CB16AA"/>
    <w:rsid w:val="00CB16C3"/>
    <w:rsid w:val="00CB1A91"/>
    <w:rsid w:val="00CB1B65"/>
    <w:rsid w:val="00CB1C5D"/>
    <w:rsid w:val="00CB1D8B"/>
    <w:rsid w:val="00CB1D95"/>
    <w:rsid w:val="00CB1E32"/>
    <w:rsid w:val="00CB1F34"/>
    <w:rsid w:val="00CB1FD7"/>
    <w:rsid w:val="00CB20C1"/>
    <w:rsid w:val="00CB218B"/>
    <w:rsid w:val="00CB2236"/>
    <w:rsid w:val="00CB225F"/>
    <w:rsid w:val="00CB2521"/>
    <w:rsid w:val="00CB25A7"/>
    <w:rsid w:val="00CB268A"/>
    <w:rsid w:val="00CB26E0"/>
    <w:rsid w:val="00CB2981"/>
    <w:rsid w:val="00CB2B31"/>
    <w:rsid w:val="00CB2C3B"/>
    <w:rsid w:val="00CB2CC6"/>
    <w:rsid w:val="00CB2D04"/>
    <w:rsid w:val="00CB2E2F"/>
    <w:rsid w:val="00CB2EBF"/>
    <w:rsid w:val="00CB2FE9"/>
    <w:rsid w:val="00CB3009"/>
    <w:rsid w:val="00CB30EA"/>
    <w:rsid w:val="00CB326D"/>
    <w:rsid w:val="00CB32A1"/>
    <w:rsid w:val="00CB3451"/>
    <w:rsid w:val="00CB3709"/>
    <w:rsid w:val="00CB3726"/>
    <w:rsid w:val="00CB383B"/>
    <w:rsid w:val="00CB38C3"/>
    <w:rsid w:val="00CB38C5"/>
    <w:rsid w:val="00CB38D9"/>
    <w:rsid w:val="00CB3B10"/>
    <w:rsid w:val="00CB3B1C"/>
    <w:rsid w:val="00CB3BE1"/>
    <w:rsid w:val="00CB3C34"/>
    <w:rsid w:val="00CB3D04"/>
    <w:rsid w:val="00CB3D84"/>
    <w:rsid w:val="00CB3D8C"/>
    <w:rsid w:val="00CB3D97"/>
    <w:rsid w:val="00CB3E04"/>
    <w:rsid w:val="00CB40E8"/>
    <w:rsid w:val="00CB4197"/>
    <w:rsid w:val="00CB448A"/>
    <w:rsid w:val="00CB4599"/>
    <w:rsid w:val="00CB466D"/>
    <w:rsid w:val="00CB49C4"/>
    <w:rsid w:val="00CB4A0C"/>
    <w:rsid w:val="00CB4A3D"/>
    <w:rsid w:val="00CB4AAC"/>
    <w:rsid w:val="00CB4D7D"/>
    <w:rsid w:val="00CB4E50"/>
    <w:rsid w:val="00CB4E85"/>
    <w:rsid w:val="00CB4E9D"/>
    <w:rsid w:val="00CB4EC3"/>
    <w:rsid w:val="00CB4FF0"/>
    <w:rsid w:val="00CB5101"/>
    <w:rsid w:val="00CB5222"/>
    <w:rsid w:val="00CB53AF"/>
    <w:rsid w:val="00CB53CF"/>
    <w:rsid w:val="00CB54F1"/>
    <w:rsid w:val="00CB55FD"/>
    <w:rsid w:val="00CB564A"/>
    <w:rsid w:val="00CB572F"/>
    <w:rsid w:val="00CB57B3"/>
    <w:rsid w:val="00CB5865"/>
    <w:rsid w:val="00CB58CD"/>
    <w:rsid w:val="00CB5A4E"/>
    <w:rsid w:val="00CB5B14"/>
    <w:rsid w:val="00CB5B4D"/>
    <w:rsid w:val="00CB5B72"/>
    <w:rsid w:val="00CB5DD8"/>
    <w:rsid w:val="00CB605E"/>
    <w:rsid w:val="00CB60D2"/>
    <w:rsid w:val="00CB6252"/>
    <w:rsid w:val="00CB631E"/>
    <w:rsid w:val="00CB6360"/>
    <w:rsid w:val="00CB63DB"/>
    <w:rsid w:val="00CB63FA"/>
    <w:rsid w:val="00CB64C3"/>
    <w:rsid w:val="00CB64C7"/>
    <w:rsid w:val="00CB64E6"/>
    <w:rsid w:val="00CB65DD"/>
    <w:rsid w:val="00CB660C"/>
    <w:rsid w:val="00CB66B0"/>
    <w:rsid w:val="00CB6707"/>
    <w:rsid w:val="00CB675D"/>
    <w:rsid w:val="00CB694E"/>
    <w:rsid w:val="00CB6A0B"/>
    <w:rsid w:val="00CB6C4B"/>
    <w:rsid w:val="00CB6CA0"/>
    <w:rsid w:val="00CB6CA5"/>
    <w:rsid w:val="00CB6D9C"/>
    <w:rsid w:val="00CB6E16"/>
    <w:rsid w:val="00CB6F10"/>
    <w:rsid w:val="00CB6FAE"/>
    <w:rsid w:val="00CB735B"/>
    <w:rsid w:val="00CB73F2"/>
    <w:rsid w:val="00CB73F5"/>
    <w:rsid w:val="00CB76C8"/>
    <w:rsid w:val="00CB775B"/>
    <w:rsid w:val="00CB7980"/>
    <w:rsid w:val="00CB7989"/>
    <w:rsid w:val="00CB79A0"/>
    <w:rsid w:val="00CB79C0"/>
    <w:rsid w:val="00CB7A04"/>
    <w:rsid w:val="00CB7A63"/>
    <w:rsid w:val="00CB7C48"/>
    <w:rsid w:val="00CB7C56"/>
    <w:rsid w:val="00CC0008"/>
    <w:rsid w:val="00CC01FD"/>
    <w:rsid w:val="00CC0241"/>
    <w:rsid w:val="00CC02A9"/>
    <w:rsid w:val="00CC03EC"/>
    <w:rsid w:val="00CC04C4"/>
    <w:rsid w:val="00CC05EE"/>
    <w:rsid w:val="00CC0620"/>
    <w:rsid w:val="00CC06D8"/>
    <w:rsid w:val="00CC06E7"/>
    <w:rsid w:val="00CC0965"/>
    <w:rsid w:val="00CC0ADC"/>
    <w:rsid w:val="00CC0AE4"/>
    <w:rsid w:val="00CC0B0C"/>
    <w:rsid w:val="00CC0C40"/>
    <w:rsid w:val="00CC0C84"/>
    <w:rsid w:val="00CC0D1F"/>
    <w:rsid w:val="00CC0EA5"/>
    <w:rsid w:val="00CC0F1F"/>
    <w:rsid w:val="00CC0FA0"/>
    <w:rsid w:val="00CC0FA2"/>
    <w:rsid w:val="00CC0FCC"/>
    <w:rsid w:val="00CC13AC"/>
    <w:rsid w:val="00CC17B8"/>
    <w:rsid w:val="00CC181E"/>
    <w:rsid w:val="00CC182C"/>
    <w:rsid w:val="00CC1D06"/>
    <w:rsid w:val="00CC1F1A"/>
    <w:rsid w:val="00CC1F3E"/>
    <w:rsid w:val="00CC1F61"/>
    <w:rsid w:val="00CC1F65"/>
    <w:rsid w:val="00CC2112"/>
    <w:rsid w:val="00CC2135"/>
    <w:rsid w:val="00CC21CC"/>
    <w:rsid w:val="00CC21E9"/>
    <w:rsid w:val="00CC22ED"/>
    <w:rsid w:val="00CC23E7"/>
    <w:rsid w:val="00CC240E"/>
    <w:rsid w:val="00CC2444"/>
    <w:rsid w:val="00CC24D0"/>
    <w:rsid w:val="00CC2528"/>
    <w:rsid w:val="00CC2531"/>
    <w:rsid w:val="00CC27EF"/>
    <w:rsid w:val="00CC285F"/>
    <w:rsid w:val="00CC2A4C"/>
    <w:rsid w:val="00CC2C54"/>
    <w:rsid w:val="00CC2D11"/>
    <w:rsid w:val="00CC2EE0"/>
    <w:rsid w:val="00CC3013"/>
    <w:rsid w:val="00CC306F"/>
    <w:rsid w:val="00CC30C4"/>
    <w:rsid w:val="00CC316A"/>
    <w:rsid w:val="00CC325E"/>
    <w:rsid w:val="00CC32BE"/>
    <w:rsid w:val="00CC3643"/>
    <w:rsid w:val="00CC365E"/>
    <w:rsid w:val="00CC3A98"/>
    <w:rsid w:val="00CC3BF0"/>
    <w:rsid w:val="00CC3C35"/>
    <w:rsid w:val="00CC3E81"/>
    <w:rsid w:val="00CC3F44"/>
    <w:rsid w:val="00CC4065"/>
    <w:rsid w:val="00CC409B"/>
    <w:rsid w:val="00CC411D"/>
    <w:rsid w:val="00CC41A9"/>
    <w:rsid w:val="00CC4203"/>
    <w:rsid w:val="00CC421C"/>
    <w:rsid w:val="00CC4291"/>
    <w:rsid w:val="00CC4809"/>
    <w:rsid w:val="00CC4B09"/>
    <w:rsid w:val="00CC4BF3"/>
    <w:rsid w:val="00CC4C27"/>
    <w:rsid w:val="00CC4C53"/>
    <w:rsid w:val="00CC4C69"/>
    <w:rsid w:val="00CC4D9E"/>
    <w:rsid w:val="00CC4EBF"/>
    <w:rsid w:val="00CC4F4C"/>
    <w:rsid w:val="00CC4F6C"/>
    <w:rsid w:val="00CC5131"/>
    <w:rsid w:val="00CC5246"/>
    <w:rsid w:val="00CC52A7"/>
    <w:rsid w:val="00CC52F1"/>
    <w:rsid w:val="00CC534A"/>
    <w:rsid w:val="00CC54BE"/>
    <w:rsid w:val="00CC5535"/>
    <w:rsid w:val="00CC5551"/>
    <w:rsid w:val="00CC55B0"/>
    <w:rsid w:val="00CC59C0"/>
    <w:rsid w:val="00CC59CF"/>
    <w:rsid w:val="00CC5B0A"/>
    <w:rsid w:val="00CC5C41"/>
    <w:rsid w:val="00CC5D5B"/>
    <w:rsid w:val="00CC5E6B"/>
    <w:rsid w:val="00CC5E6F"/>
    <w:rsid w:val="00CC5F5A"/>
    <w:rsid w:val="00CC60A8"/>
    <w:rsid w:val="00CC61D7"/>
    <w:rsid w:val="00CC6391"/>
    <w:rsid w:val="00CC65E4"/>
    <w:rsid w:val="00CC669D"/>
    <w:rsid w:val="00CC680B"/>
    <w:rsid w:val="00CC69AD"/>
    <w:rsid w:val="00CC6A98"/>
    <w:rsid w:val="00CC6C26"/>
    <w:rsid w:val="00CC6C28"/>
    <w:rsid w:val="00CC6FEC"/>
    <w:rsid w:val="00CC73E7"/>
    <w:rsid w:val="00CC741F"/>
    <w:rsid w:val="00CC74B7"/>
    <w:rsid w:val="00CC764B"/>
    <w:rsid w:val="00CC7675"/>
    <w:rsid w:val="00CC7786"/>
    <w:rsid w:val="00CC7985"/>
    <w:rsid w:val="00CC7B1E"/>
    <w:rsid w:val="00CC7B2F"/>
    <w:rsid w:val="00CC7BAF"/>
    <w:rsid w:val="00CC7C02"/>
    <w:rsid w:val="00CC7EBB"/>
    <w:rsid w:val="00CD000B"/>
    <w:rsid w:val="00CD01EF"/>
    <w:rsid w:val="00CD02E0"/>
    <w:rsid w:val="00CD02F4"/>
    <w:rsid w:val="00CD034E"/>
    <w:rsid w:val="00CD04F8"/>
    <w:rsid w:val="00CD0574"/>
    <w:rsid w:val="00CD063F"/>
    <w:rsid w:val="00CD06B2"/>
    <w:rsid w:val="00CD078D"/>
    <w:rsid w:val="00CD07B8"/>
    <w:rsid w:val="00CD09C7"/>
    <w:rsid w:val="00CD0A4B"/>
    <w:rsid w:val="00CD0D47"/>
    <w:rsid w:val="00CD0DC3"/>
    <w:rsid w:val="00CD0FA6"/>
    <w:rsid w:val="00CD0FAB"/>
    <w:rsid w:val="00CD0FDB"/>
    <w:rsid w:val="00CD11EF"/>
    <w:rsid w:val="00CD124A"/>
    <w:rsid w:val="00CD1345"/>
    <w:rsid w:val="00CD13EF"/>
    <w:rsid w:val="00CD148C"/>
    <w:rsid w:val="00CD15F4"/>
    <w:rsid w:val="00CD17CF"/>
    <w:rsid w:val="00CD183B"/>
    <w:rsid w:val="00CD1939"/>
    <w:rsid w:val="00CD1A07"/>
    <w:rsid w:val="00CD1A14"/>
    <w:rsid w:val="00CD1A26"/>
    <w:rsid w:val="00CD1BE5"/>
    <w:rsid w:val="00CD1C19"/>
    <w:rsid w:val="00CD1C54"/>
    <w:rsid w:val="00CD1DF7"/>
    <w:rsid w:val="00CD1F03"/>
    <w:rsid w:val="00CD2005"/>
    <w:rsid w:val="00CD2054"/>
    <w:rsid w:val="00CD22D3"/>
    <w:rsid w:val="00CD243E"/>
    <w:rsid w:val="00CD24A7"/>
    <w:rsid w:val="00CD24C6"/>
    <w:rsid w:val="00CD259B"/>
    <w:rsid w:val="00CD2717"/>
    <w:rsid w:val="00CD2893"/>
    <w:rsid w:val="00CD29AF"/>
    <w:rsid w:val="00CD2B20"/>
    <w:rsid w:val="00CD2C98"/>
    <w:rsid w:val="00CD2C99"/>
    <w:rsid w:val="00CD2E43"/>
    <w:rsid w:val="00CD306B"/>
    <w:rsid w:val="00CD30FC"/>
    <w:rsid w:val="00CD31E2"/>
    <w:rsid w:val="00CD3222"/>
    <w:rsid w:val="00CD3272"/>
    <w:rsid w:val="00CD33B5"/>
    <w:rsid w:val="00CD33FC"/>
    <w:rsid w:val="00CD347E"/>
    <w:rsid w:val="00CD3696"/>
    <w:rsid w:val="00CD36DB"/>
    <w:rsid w:val="00CD388E"/>
    <w:rsid w:val="00CD38A9"/>
    <w:rsid w:val="00CD3945"/>
    <w:rsid w:val="00CD3968"/>
    <w:rsid w:val="00CD3AE0"/>
    <w:rsid w:val="00CD3B4C"/>
    <w:rsid w:val="00CD3F86"/>
    <w:rsid w:val="00CD402B"/>
    <w:rsid w:val="00CD417C"/>
    <w:rsid w:val="00CD4198"/>
    <w:rsid w:val="00CD41BD"/>
    <w:rsid w:val="00CD44BE"/>
    <w:rsid w:val="00CD44D4"/>
    <w:rsid w:val="00CD45F5"/>
    <w:rsid w:val="00CD4638"/>
    <w:rsid w:val="00CD470A"/>
    <w:rsid w:val="00CD490D"/>
    <w:rsid w:val="00CD4929"/>
    <w:rsid w:val="00CD4ABF"/>
    <w:rsid w:val="00CD4C35"/>
    <w:rsid w:val="00CD4E14"/>
    <w:rsid w:val="00CD4E55"/>
    <w:rsid w:val="00CD4EAA"/>
    <w:rsid w:val="00CD5074"/>
    <w:rsid w:val="00CD508D"/>
    <w:rsid w:val="00CD516F"/>
    <w:rsid w:val="00CD5185"/>
    <w:rsid w:val="00CD5233"/>
    <w:rsid w:val="00CD529D"/>
    <w:rsid w:val="00CD52A8"/>
    <w:rsid w:val="00CD561C"/>
    <w:rsid w:val="00CD5823"/>
    <w:rsid w:val="00CD5D3A"/>
    <w:rsid w:val="00CD5ED9"/>
    <w:rsid w:val="00CD5F7C"/>
    <w:rsid w:val="00CD6043"/>
    <w:rsid w:val="00CD60E7"/>
    <w:rsid w:val="00CD61CE"/>
    <w:rsid w:val="00CD6270"/>
    <w:rsid w:val="00CD64B0"/>
    <w:rsid w:val="00CD6568"/>
    <w:rsid w:val="00CD666A"/>
    <w:rsid w:val="00CD6736"/>
    <w:rsid w:val="00CD6A95"/>
    <w:rsid w:val="00CD6B5E"/>
    <w:rsid w:val="00CD6CB2"/>
    <w:rsid w:val="00CD6FAF"/>
    <w:rsid w:val="00CD6FD5"/>
    <w:rsid w:val="00CD6FEE"/>
    <w:rsid w:val="00CD7118"/>
    <w:rsid w:val="00CD716B"/>
    <w:rsid w:val="00CD7273"/>
    <w:rsid w:val="00CD7355"/>
    <w:rsid w:val="00CD768D"/>
    <w:rsid w:val="00CD7725"/>
    <w:rsid w:val="00CD7791"/>
    <w:rsid w:val="00CD77CD"/>
    <w:rsid w:val="00CD77E9"/>
    <w:rsid w:val="00CD77F5"/>
    <w:rsid w:val="00CD798C"/>
    <w:rsid w:val="00CD7AE4"/>
    <w:rsid w:val="00CD7D1B"/>
    <w:rsid w:val="00CD7D47"/>
    <w:rsid w:val="00CD7F68"/>
    <w:rsid w:val="00CE00B0"/>
    <w:rsid w:val="00CE0359"/>
    <w:rsid w:val="00CE0509"/>
    <w:rsid w:val="00CE0581"/>
    <w:rsid w:val="00CE06A6"/>
    <w:rsid w:val="00CE0727"/>
    <w:rsid w:val="00CE0AFD"/>
    <w:rsid w:val="00CE0B36"/>
    <w:rsid w:val="00CE0D95"/>
    <w:rsid w:val="00CE0F0F"/>
    <w:rsid w:val="00CE0FF0"/>
    <w:rsid w:val="00CE10A3"/>
    <w:rsid w:val="00CE114C"/>
    <w:rsid w:val="00CE12D5"/>
    <w:rsid w:val="00CE1393"/>
    <w:rsid w:val="00CE1792"/>
    <w:rsid w:val="00CE17DF"/>
    <w:rsid w:val="00CE1840"/>
    <w:rsid w:val="00CE1A72"/>
    <w:rsid w:val="00CE1AA6"/>
    <w:rsid w:val="00CE1B17"/>
    <w:rsid w:val="00CE1E20"/>
    <w:rsid w:val="00CE1EC0"/>
    <w:rsid w:val="00CE1F81"/>
    <w:rsid w:val="00CE2077"/>
    <w:rsid w:val="00CE20F9"/>
    <w:rsid w:val="00CE229F"/>
    <w:rsid w:val="00CE2441"/>
    <w:rsid w:val="00CE245B"/>
    <w:rsid w:val="00CE26D8"/>
    <w:rsid w:val="00CE2724"/>
    <w:rsid w:val="00CE284D"/>
    <w:rsid w:val="00CE2894"/>
    <w:rsid w:val="00CE294E"/>
    <w:rsid w:val="00CE2A45"/>
    <w:rsid w:val="00CE2AD0"/>
    <w:rsid w:val="00CE2AF9"/>
    <w:rsid w:val="00CE2DC8"/>
    <w:rsid w:val="00CE301E"/>
    <w:rsid w:val="00CE3345"/>
    <w:rsid w:val="00CE33D2"/>
    <w:rsid w:val="00CE33EF"/>
    <w:rsid w:val="00CE3402"/>
    <w:rsid w:val="00CE3419"/>
    <w:rsid w:val="00CE355D"/>
    <w:rsid w:val="00CE35F5"/>
    <w:rsid w:val="00CE3702"/>
    <w:rsid w:val="00CE376F"/>
    <w:rsid w:val="00CE3A0C"/>
    <w:rsid w:val="00CE3AA8"/>
    <w:rsid w:val="00CE3ABA"/>
    <w:rsid w:val="00CE3BB6"/>
    <w:rsid w:val="00CE3BF7"/>
    <w:rsid w:val="00CE3D35"/>
    <w:rsid w:val="00CE3F29"/>
    <w:rsid w:val="00CE3FB3"/>
    <w:rsid w:val="00CE3FD5"/>
    <w:rsid w:val="00CE42FD"/>
    <w:rsid w:val="00CE4340"/>
    <w:rsid w:val="00CE4466"/>
    <w:rsid w:val="00CE447C"/>
    <w:rsid w:val="00CE44A6"/>
    <w:rsid w:val="00CE45A2"/>
    <w:rsid w:val="00CE478A"/>
    <w:rsid w:val="00CE4A20"/>
    <w:rsid w:val="00CE4D1C"/>
    <w:rsid w:val="00CE4D6A"/>
    <w:rsid w:val="00CE4DBD"/>
    <w:rsid w:val="00CE4E61"/>
    <w:rsid w:val="00CE4ECD"/>
    <w:rsid w:val="00CE4F47"/>
    <w:rsid w:val="00CE4FD2"/>
    <w:rsid w:val="00CE50BF"/>
    <w:rsid w:val="00CE52DD"/>
    <w:rsid w:val="00CE5326"/>
    <w:rsid w:val="00CE537B"/>
    <w:rsid w:val="00CE58BD"/>
    <w:rsid w:val="00CE58CA"/>
    <w:rsid w:val="00CE5926"/>
    <w:rsid w:val="00CE5980"/>
    <w:rsid w:val="00CE59E0"/>
    <w:rsid w:val="00CE59E5"/>
    <w:rsid w:val="00CE5C69"/>
    <w:rsid w:val="00CE5D8C"/>
    <w:rsid w:val="00CE5E19"/>
    <w:rsid w:val="00CE6020"/>
    <w:rsid w:val="00CE6178"/>
    <w:rsid w:val="00CE61BE"/>
    <w:rsid w:val="00CE61E9"/>
    <w:rsid w:val="00CE6234"/>
    <w:rsid w:val="00CE62DF"/>
    <w:rsid w:val="00CE6616"/>
    <w:rsid w:val="00CE677A"/>
    <w:rsid w:val="00CE6843"/>
    <w:rsid w:val="00CE68B2"/>
    <w:rsid w:val="00CE69A7"/>
    <w:rsid w:val="00CE6B13"/>
    <w:rsid w:val="00CE6B35"/>
    <w:rsid w:val="00CE6B5E"/>
    <w:rsid w:val="00CE6C2D"/>
    <w:rsid w:val="00CE6DFB"/>
    <w:rsid w:val="00CE6F4D"/>
    <w:rsid w:val="00CE706D"/>
    <w:rsid w:val="00CE708D"/>
    <w:rsid w:val="00CE728C"/>
    <w:rsid w:val="00CE7395"/>
    <w:rsid w:val="00CE7466"/>
    <w:rsid w:val="00CE747D"/>
    <w:rsid w:val="00CE7806"/>
    <w:rsid w:val="00CE78C1"/>
    <w:rsid w:val="00CE7925"/>
    <w:rsid w:val="00CE7995"/>
    <w:rsid w:val="00CE7ACC"/>
    <w:rsid w:val="00CE7B14"/>
    <w:rsid w:val="00CE7C06"/>
    <w:rsid w:val="00CE7C0E"/>
    <w:rsid w:val="00CE7CC9"/>
    <w:rsid w:val="00CED590"/>
    <w:rsid w:val="00CF00AE"/>
    <w:rsid w:val="00CF00BF"/>
    <w:rsid w:val="00CF018B"/>
    <w:rsid w:val="00CF0814"/>
    <w:rsid w:val="00CF084B"/>
    <w:rsid w:val="00CF0859"/>
    <w:rsid w:val="00CF0B0F"/>
    <w:rsid w:val="00CF0DA7"/>
    <w:rsid w:val="00CF0E31"/>
    <w:rsid w:val="00CF0EC0"/>
    <w:rsid w:val="00CF0EE8"/>
    <w:rsid w:val="00CF1058"/>
    <w:rsid w:val="00CF1226"/>
    <w:rsid w:val="00CF12FF"/>
    <w:rsid w:val="00CF13CE"/>
    <w:rsid w:val="00CF14B5"/>
    <w:rsid w:val="00CF14FC"/>
    <w:rsid w:val="00CF170E"/>
    <w:rsid w:val="00CF184A"/>
    <w:rsid w:val="00CF184B"/>
    <w:rsid w:val="00CF1862"/>
    <w:rsid w:val="00CF1A4E"/>
    <w:rsid w:val="00CF1B5B"/>
    <w:rsid w:val="00CF1D7A"/>
    <w:rsid w:val="00CF1F34"/>
    <w:rsid w:val="00CF1FBC"/>
    <w:rsid w:val="00CF203D"/>
    <w:rsid w:val="00CF203F"/>
    <w:rsid w:val="00CF227A"/>
    <w:rsid w:val="00CF230D"/>
    <w:rsid w:val="00CF2417"/>
    <w:rsid w:val="00CF241B"/>
    <w:rsid w:val="00CF24E8"/>
    <w:rsid w:val="00CF2581"/>
    <w:rsid w:val="00CF2629"/>
    <w:rsid w:val="00CF27AE"/>
    <w:rsid w:val="00CF28FF"/>
    <w:rsid w:val="00CF2992"/>
    <w:rsid w:val="00CF2ABA"/>
    <w:rsid w:val="00CF2AC3"/>
    <w:rsid w:val="00CF2AE8"/>
    <w:rsid w:val="00CF2C78"/>
    <w:rsid w:val="00CF2D1A"/>
    <w:rsid w:val="00CF2D44"/>
    <w:rsid w:val="00CF3015"/>
    <w:rsid w:val="00CF33C9"/>
    <w:rsid w:val="00CF33D8"/>
    <w:rsid w:val="00CF35A1"/>
    <w:rsid w:val="00CF3961"/>
    <w:rsid w:val="00CF3BAA"/>
    <w:rsid w:val="00CF3C61"/>
    <w:rsid w:val="00CF3C8D"/>
    <w:rsid w:val="00CF3CCC"/>
    <w:rsid w:val="00CF3D43"/>
    <w:rsid w:val="00CF3F6C"/>
    <w:rsid w:val="00CF3F6D"/>
    <w:rsid w:val="00CF406F"/>
    <w:rsid w:val="00CF4081"/>
    <w:rsid w:val="00CF4295"/>
    <w:rsid w:val="00CF43CB"/>
    <w:rsid w:val="00CF44ED"/>
    <w:rsid w:val="00CF4600"/>
    <w:rsid w:val="00CF4724"/>
    <w:rsid w:val="00CF4973"/>
    <w:rsid w:val="00CF49E8"/>
    <w:rsid w:val="00CF4A89"/>
    <w:rsid w:val="00CF4C2C"/>
    <w:rsid w:val="00CF4D64"/>
    <w:rsid w:val="00CF4D68"/>
    <w:rsid w:val="00CF4D74"/>
    <w:rsid w:val="00CF4E2F"/>
    <w:rsid w:val="00CF5112"/>
    <w:rsid w:val="00CF52F6"/>
    <w:rsid w:val="00CF540B"/>
    <w:rsid w:val="00CF57DE"/>
    <w:rsid w:val="00CF5892"/>
    <w:rsid w:val="00CF5AC9"/>
    <w:rsid w:val="00CF5C82"/>
    <w:rsid w:val="00CF5D37"/>
    <w:rsid w:val="00CF5E1D"/>
    <w:rsid w:val="00CF5E3C"/>
    <w:rsid w:val="00CF5F93"/>
    <w:rsid w:val="00CF6002"/>
    <w:rsid w:val="00CF6057"/>
    <w:rsid w:val="00CF64A0"/>
    <w:rsid w:val="00CF656C"/>
    <w:rsid w:val="00CF6626"/>
    <w:rsid w:val="00CF6767"/>
    <w:rsid w:val="00CF684A"/>
    <w:rsid w:val="00CF69E8"/>
    <w:rsid w:val="00CF6B46"/>
    <w:rsid w:val="00CF6C94"/>
    <w:rsid w:val="00CF6DBB"/>
    <w:rsid w:val="00CF6DDC"/>
    <w:rsid w:val="00CF6F5F"/>
    <w:rsid w:val="00CF70DF"/>
    <w:rsid w:val="00CF7169"/>
    <w:rsid w:val="00CF71C5"/>
    <w:rsid w:val="00CF72A0"/>
    <w:rsid w:val="00CF7445"/>
    <w:rsid w:val="00CF7540"/>
    <w:rsid w:val="00CF770C"/>
    <w:rsid w:val="00CF771C"/>
    <w:rsid w:val="00CF77AF"/>
    <w:rsid w:val="00CF77BA"/>
    <w:rsid w:val="00CF7914"/>
    <w:rsid w:val="00CF7CB5"/>
    <w:rsid w:val="00CF7E4B"/>
    <w:rsid w:val="00CF7F49"/>
    <w:rsid w:val="00D00015"/>
    <w:rsid w:val="00D001C9"/>
    <w:rsid w:val="00D0080A"/>
    <w:rsid w:val="00D00F90"/>
    <w:rsid w:val="00D00FE0"/>
    <w:rsid w:val="00D0101C"/>
    <w:rsid w:val="00D010A7"/>
    <w:rsid w:val="00D01181"/>
    <w:rsid w:val="00D011F3"/>
    <w:rsid w:val="00D01462"/>
    <w:rsid w:val="00D014D1"/>
    <w:rsid w:val="00D01582"/>
    <w:rsid w:val="00D01743"/>
    <w:rsid w:val="00D01797"/>
    <w:rsid w:val="00D019C3"/>
    <w:rsid w:val="00D01BD7"/>
    <w:rsid w:val="00D01CCE"/>
    <w:rsid w:val="00D01CFE"/>
    <w:rsid w:val="00D01E6E"/>
    <w:rsid w:val="00D02170"/>
    <w:rsid w:val="00D021BD"/>
    <w:rsid w:val="00D0238E"/>
    <w:rsid w:val="00D027BB"/>
    <w:rsid w:val="00D02851"/>
    <w:rsid w:val="00D02869"/>
    <w:rsid w:val="00D029B5"/>
    <w:rsid w:val="00D029C8"/>
    <w:rsid w:val="00D02A24"/>
    <w:rsid w:val="00D02A31"/>
    <w:rsid w:val="00D02A4D"/>
    <w:rsid w:val="00D02BCA"/>
    <w:rsid w:val="00D02CA0"/>
    <w:rsid w:val="00D02CA3"/>
    <w:rsid w:val="00D02EA4"/>
    <w:rsid w:val="00D02EF6"/>
    <w:rsid w:val="00D03001"/>
    <w:rsid w:val="00D0323B"/>
    <w:rsid w:val="00D0325A"/>
    <w:rsid w:val="00D03347"/>
    <w:rsid w:val="00D03358"/>
    <w:rsid w:val="00D033D0"/>
    <w:rsid w:val="00D0362D"/>
    <w:rsid w:val="00D03725"/>
    <w:rsid w:val="00D03736"/>
    <w:rsid w:val="00D037DF"/>
    <w:rsid w:val="00D03928"/>
    <w:rsid w:val="00D03983"/>
    <w:rsid w:val="00D03A8E"/>
    <w:rsid w:val="00D03B0C"/>
    <w:rsid w:val="00D03C02"/>
    <w:rsid w:val="00D03C2E"/>
    <w:rsid w:val="00D03CA1"/>
    <w:rsid w:val="00D03CA3"/>
    <w:rsid w:val="00D03D42"/>
    <w:rsid w:val="00D03E53"/>
    <w:rsid w:val="00D03E6D"/>
    <w:rsid w:val="00D0405B"/>
    <w:rsid w:val="00D04148"/>
    <w:rsid w:val="00D0421E"/>
    <w:rsid w:val="00D0460C"/>
    <w:rsid w:val="00D0463D"/>
    <w:rsid w:val="00D046BD"/>
    <w:rsid w:val="00D0471A"/>
    <w:rsid w:val="00D04740"/>
    <w:rsid w:val="00D04792"/>
    <w:rsid w:val="00D04B41"/>
    <w:rsid w:val="00D04BAB"/>
    <w:rsid w:val="00D04E52"/>
    <w:rsid w:val="00D04E5D"/>
    <w:rsid w:val="00D04E7A"/>
    <w:rsid w:val="00D051B3"/>
    <w:rsid w:val="00D051DD"/>
    <w:rsid w:val="00D0520A"/>
    <w:rsid w:val="00D052D8"/>
    <w:rsid w:val="00D052F3"/>
    <w:rsid w:val="00D0534C"/>
    <w:rsid w:val="00D053A5"/>
    <w:rsid w:val="00D053B6"/>
    <w:rsid w:val="00D053DE"/>
    <w:rsid w:val="00D0547E"/>
    <w:rsid w:val="00D054AA"/>
    <w:rsid w:val="00D056A6"/>
    <w:rsid w:val="00D0570A"/>
    <w:rsid w:val="00D057C5"/>
    <w:rsid w:val="00D0580E"/>
    <w:rsid w:val="00D0582B"/>
    <w:rsid w:val="00D05858"/>
    <w:rsid w:val="00D05978"/>
    <w:rsid w:val="00D05A64"/>
    <w:rsid w:val="00D05A95"/>
    <w:rsid w:val="00D05E02"/>
    <w:rsid w:val="00D05E07"/>
    <w:rsid w:val="00D05E9E"/>
    <w:rsid w:val="00D05ECC"/>
    <w:rsid w:val="00D05ED8"/>
    <w:rsid w:val="00D05FE1"/>
    <w:rsid w:val="00D05FF6"/>
    <w:rsid w:val="00D0608A"/>
    <w:rsid w:val="00D0613C"/>
    <w:rsid w:val="00D06229"/>
    <w:rsid w:val="00D0635D"/>
    <w:rsid w:val="00D0642D"/>
    <w:rsid w:val="00D06446"/>
    <w:rsid w:val="00D06484"/>
    <w:rsid w:val="00D06494"/>
    <w:rsid w:val="00D064C7"/>
    <w:rsid w:val="00D06581"/>
    <w:rsid w:val="00D065B2"/>
    <w:rsid w:val="00D065BA"/>
    <w:rsid w:val="00D06771"/>
    <w:rsid w:val="00D068AF"/>
    <w:rsid w:val="00D069B9"/>
    <w:rsid w:val="00D06A68"/>
    <w:rsid w:val="00D06C9F"/>
    <w:rsid w:val="00D06DBB"/>
    <w:rsid w:val="00D06DD3"/>
    <w:rsid w:val="00D06E5E"/>
    <w:rsid w:val="00D06FC1"/>
    <w:rsid w:val="00D06FD3"/>
    <w:rsid w:val="00D0722E"/>
    <w:rsid w:val="00D0725D"/>
    <w:rsid w:val="00D072BB"/>
    <w:rsid w:val="00D072EE"/>
    <w:rsid w:val="00D07317"/>
    <w:rsid w:val="00D074B5"/>
    <w:rsid w:val="00D0783C"/>
    <w:rsid w:val="00D07A05"/>
    <w:rsid w:val="00D07A26"/>
    <w:rsid w:val="00D07A78"/>
    <w:rsid w:val="00D07BF5"/>
    <w:rsid w:val="00D07CA3"/>
    <w:rsid w:val="00D07D61"/>
    <w:rsid w:val="00D07D63"/>
    <w:rsid w:val="00D07ED5"/>
    <w:rsid w:val="00D07F0F"/>
    <w:rsid w:val="00D1004C"/>
    <w:rsid w:val="00D10098"/>
    <w:rsid w:val="00D1016F"/>
    <w:rsid w:val="00D1025C"/>
    <w:rsid w:val="00D102C0"/>
    <w:rsid w:val="00D10571"/>
    <w:rsid w:val="00D105EF"/>
    <w:rsid w:val="00D10AFF"/>
    <w:rsid w:val="00D10B82"/>
    <w:rsid w:val="00D10C27"/>
    <w:rsid w:val="00D10C56"/>
    <w:rsid w:val="00D10EA0"/>
    <w:rsid w:val="00D10F0C"/>
    <w:rsid w:val="00D10F27"/>
    <w:rsid w:val="00D10F31"/>
    <w:rsid w:val="00D11168"/>
    <w:rsid w:val="00D1116C"/>
    <w:rsid w:val="00D11264"/>
    <w:rsid w:val="00D11316"/>
    <w:rsid w:val="00D1162E"/>
    <w:rsid w:val="00D11A67"/>
    <w:rsid w:val="00D11BAC"/>
    <w:rsid w:val="00D11C12"/>
    <w:rsid w:val="00D11C2F"/>
    <w:rsid w:val="00D11CC9"/>
    <w:rsid w:val="00D120FE"/>
    <w:rsid w:val="00D1232F"/>
    <w:rsid w:val="00D123B9"/>
    <w:rsid w:val="00D123DD"/>
    <w:rsid w:val="00D1244B"/>
    <w:rsid w:val="00D12592"/>
    <w:rsid w:val="00D127AB"/>
    <w:rsid w:val="00D127FB"/>
    <w:rsid w:val="00D128BA"/>
    <w:rsid w:val="00D12A44"/>
    <w:rsid w:val="00D12B19"/>
    <w:rsid w:val="00D12CD3"/>
    <w:rsid w:val="00D12E54"/>
    <w:rsid w:val="00D12F37"/>
    <w:rsid w:val="00D12FCA"/>
    <w:rsid w:val="00D1306D"/>
    <w:rsid w:val="00D131AC"/>
    <w:rsid w:val="00D135BE"/>
    <w:rsid w:val="00D136FE"/>
    <w:rsid w:val="00D13895"/>
    <w:rsid w:val="00D13A45"/>
    <w:rsid w:val="00D13A86"/>
    <w:rsid w:val="00D13DC3"/>
    <w:rsid w:val="00D13E3B"/>
    <w:rsid w:val="00D13F48"/>
    <w:rsid w:val="00D14011"/>
    <w:rsid w:val="00D14173"/>
    <w:rsid w:val="00D14271"/>
    <w:rsid w:val="00D1431B"/>
    <w:rsid w:val="00D1440F"/>
    <w:rsid w:val="00D1441D"/>
    <w:rsid w:val="00D14741"/>
    <w:rsid w:val="00D1483E"/>
    <w:rsid w:val="00D14A76"/>
    <w:rsid w:val="00D14BE1"/>
    <w:rsid w:val="00D14C36"/>
    <w:rsid w:val="00D14C63"/>
    <w:rsid w:val="00D14E17"/>
    <w:rsid w:val="00D14FFD"/>
    <w:rsid w:val="00D15111"/>
    <w:rsid w:val="00D15209"/>
    <w:rsid w:val="00D1526C"/>
    <w:rsid w:val="00D152F4"/>
    <w:rsid w:val="00D153AD"/>
    <w:rsid w:val="00D15548"/>
    <w:rsid w:val="00D15660"/>
    <w:rsid w:val="00D1566F"/>
    <w:rsid w:val="00D156C1"/>
    <w:rsid w:val="00D15927"/>
    <w:rsid w:val="00D15931"/>
    <w:rsid w:val="00D159CF"/>
    <w:rsid w:val="00D15C0C"/>
    <w:rsid w:val="00D15D85"/>
    <w:rsid w:val="00D15E18"/>
    <w:rsid w:val="00D1613B"/>
    <w:rsid w:val="00D16178"/>
    <w:rsid w:val="00D1636D"/>
    <w:rsid w:val="00D16387"/>
    <w:rsid w:val="00D163AE"/>
    <w:rsid w:val="00D164DB"/>
    <w:rsid w:val="00D16565"/>
    <w:rsid w:val="00D16588"/>
    <w:rsid w:val="00D1661D"/>
    <w:rsid w:val="00D16767"/>
    <w:rsid w:val="00D16949"/>
    <w:rsid w:val="00D1694F"/>
    <w:rsid w:val="00D16A08"/>
    <w:rsid w:val="00D16A59"/>
    <w:rsid w:val="00D16AC2"/>
    <w:rsid w:val="00D16B0B"/>
    <w:rsid w:val="00D16C1C"/>
    <w:rsid w:val="00D16CBB"/>
    <w:rsid w:val="00D16D76"/>
    <w:rsid w:val="00D16DEE"/>
    <w:rsid w:val="00D16F11"/>
    <w:rsid w:val="00D1730F"/>
    <w:rsid w:val="00D17376"/>
    <w:rsid w:val="00D17398"/>
    <w:rsid w:val="00D177FB"/>
    <w:rsid w:val="00D17863"/>
    <w:rsid w:val="00D17897"/>
    <w:rsid w:val="00D178E0"/>
    <w:rsid w:val="00D17C66"/>
    <w:rsid w:val="00D17CFC"/>
    <w:rsid w:val="00D17DD7"/>
    <w:rsid w:val="00D17E58"/>
    <w:rsid w:val="00D17E74"/>
    <w:rsid w:val="00D200C6"/>
    <w:rsid w:val="00D20147"/>
    <w:rsid w:val="00D202BE"/>
    <w:rsid w:val="00D20530"/>
    <w:rsid w:val="00D2070F"/>
    <w:rsid w:val="00D20946"/>
    <w:rsid w:val="00D20B61"/>
    <w:rsid w:val="00D20B6A"/>
    <w:rsid w:val="00D20BFC"/>
    <w:rsid w:val="00D20C85"/>
    <w:rsid w:val="00D20CC2"/>
    <w:rsid w:val="00D20D0A"/>
    <w:rsid w:val="00D20D69"/>
    <w:rsid w:val="00D20DE2"/>
    <w:rsid w:val="00D20E3C"/>
    <w:rsid w:val="00D20EC6"/>
    <w:rsid w:val="00D20F83"/>
    <w:rsid w:val="00D20FE5"/>
    <w:rsid w:val="00D2106F"/>
    <w:rsid w:val="00D21070"/>
    <w:rsid w:val="00D2109E"/>
    <w:rsid w:val="00D210B1"/>
    <w:rsid w:val="00D2117E"/>
    <w:rsid w:val="00D2125F"/>
    <w:rsid w:val="00D21297"/>
    <w:rsid w:val="00D21365"/>
    <w:rsid w:val="00D21657"/>
    <w:rsid w:val="00D21747"/>
    <w:rsid w:val="00D21A6E"/>
    <w:rsid w:val="00D21A86"/>
    <w:rsid w:val="00D21B89"/>
    <w:rsid w:val="00D21BCE"/>
    <w:rsid w:val="00D21EB0"/>
    <w:rsid w:val="00D21FFB"/>
    <w:rsid w:val="00D22114"/>
    <w:rsid w:val="00D221C9"/>
    <w:rsid w:val="00D22445"/>
    <w:rsid w:val="00D2278E"/>
    <w:rsid w:val="00D2287C"/>
    <w:rsid w:val="00D228F3"/>
    <w:rsid w:val="00D22A0F"/>
    <w:rsid w:val="00D22A48"/>
    <w:rsid w:val="00D22F6B"/>
    <w:rsid w:val="00D22FD5"/>
    <w:rsid w:val="00D230CA"/>
    <w:rsid w:val="00D23128"/>
    <w:rsid w:val="00D23253"/>
    <w:rsid w:val="00D232AE"/>
    <w:rsid w:val="00D23377"/>
    <w:rsid w:val="00D23387"/>
    <w:rsid w:val="00D235A2"/>
    <w:rsid w:val="00D23663"/>
    <w:rsid w:val="00D23798"/>
    <w:rsid w:val="00D23976"/>
    <w:rsid w:val="00D239FE"/>
    <w:rsid w:val="00D23B20"/>
    <w:rsid w:val="00D23CF8"/>
    <w:rsid w:val="00D23E63"/>
    <w:rsid w:val="00D24188"/>
    <w:rsid w:val="00D24267"/>
    <w:rsid w:val="00D2452E"/>
    <w:rsid w:val="00D2458A"/>
    <w:rsid w:val="00D245A7"/>
    <w:rsid w:val="00D24764"/>
    <w:rsid w:val="00D24894"/>
    <w:rsid w:val="00D248FC"/>
    <w:rsid w:val="00D2495E"/>
    <w:rsid w:val="00D24B41"/>
    <w:rsid w:val="00D24DD3"/>
    <w:rsid w:val="00D24E90"/>
    <w:rsid w:val="00D24F11"/>
    <w:rsid w:val="00D250DB"/>
    <w:rsid w:val="00D25290"/>
    <w:rsid w:val="00D252FA"/>
    <w:rsid w:val="00D253B0"/>
    <w:rsid w:val="00D25484"/>
    <w:rsid w:val="00D25517"/>
    <w:rsid w:val="00D25520"/>
    <w:rsid w:val="00D255EB"/>
    <w:rsid w:val="00D256CD"/>
    <w:rsid w:val="00D2575C"/>
    <w:rsid w:val="00D2576E"/>
    <w:rsid w:val="00D25B6A"/>
    <w:rsid w:val="00D25C43"/>
    <w:rsid w:val="00D25C6D"/>
    <w:rsid w:val="00D25DA9"/>
    <w:rsid w:val="00D25F22"/>
    <w:rsid w:val="00D25F62"/>
    <w:rsid w:val="00D25FCC"/>
    <w:rsid w:val="00D2602B"/>
    <w:rsid w:val="00D260F8"/>
    <w:rsid w:val="00D26358"/>
    <w:rsid w:val="00D26403"/>
    <w:rsid w:val="00D26510"/>
    <w:rsid w:val="00D26533"/>
    <w:rsid w:val="00D2665A"/>
    <w:rsid w:val="00D2668C"/>
    <w:rsid w:val="00D26789"/>
    <w:rsid w:val="00D26879"/>
    <w:rsid w:val="00D26AA2"/>
    <w:rsid w:val="00D26CB6"/>
    <w:rsid w:val="00D26CBD"/>
    <w:rsid w:val="00D26DB9"/>
    <w:rsid w:val="00D26E25"/>
    <w:rsid w:val="00D26F10"/>
    <w:rsid w:val="00D270BC"/>
    <w:rsid w:val="00D271EB"/>
    <w:rsid w:val="00D27212"/>
    <w:rsid w:val="00D2755F"/>
    <w:rsid w:val="00D27BD1"/>
    <w:rsid w:val="00D27D04"/>
    <w:rsid w:val="00D27DF7"/>
    <w:rsid w:val="00D27FF2"/>
    <w:rsid w:val="00D3025F"/>
    <w:rsid w:val="00D302CF"/>
    <w:rsid w:val="00D302D8"/>
    <w:rsid w:val="00D3050A"/>
    <w:rsid w:val="00D3062F"/>
    <w:rsid w:val="00D30690"/>
    <w:rsid w:val="00D306C6"/>
    <w:rsid w:val="00D306EE"/>
    <w:rsid w:val="00D30798"/>
    <w:rsid w:val="00D30850"/>
    <w:rsid w:val="00D309BA"/>
    <w:rsid w:val="00D30A6D"/>
    <w:rsid w:val="00D30A74"/>
    <w:rsid w:val="00D30ACE"/>
    <w:rsid w:val="00D30AE2"/>
    <w:rsid w:val="00D30C4D"/>
    <w:rsid w:val="00D30C60"/>
    <w:rsid w:val="00D30C9F"/>
    <w:rsid w:val="00D30F37"/>
    <w:rsid w:val="00D30F7E"/>
    <w:rsid w:val="00D31307"/>
    <w:rsid w:val="00D313B1"/>
    <w:rsid w:val="00D313C5"/>
    <w:rsid w:val="00D31537"/>
    <w:rsid w:val="00D3160A"/>
    <w:rsid w:val="00D31758"/>
    <w:rsid w:val="00D3179E"/>
    <w:rsid w:val="00D3180B"/>
    <w:rsid w:val="00D3183C"/>
    <w:rsid w:val="00D3199A"/>
    <w:rsid w:val="00D31AB7"/>
    <w:rsid w:val="00D31CF0"/>
    <w:rsid w:val="00D31E3B"/>
    <w:rsid w:val="00D31E82"/>
    <w:rsid w:val="00D320E5"/>
    <w:rsid w:val="00D3226C"/>
    <w:rsid w:val="00D326BD"/>
    <w:rsid w:val="00D327FC"/>
    <w:rsid w:val="00D328D1"/>
    <w:rsid w:val="00D32AFE"/>
    <w:rsid w:val="00D32B8A"/>
    <w:rsid w:val="00D32B8C"/>
    <w:rsid w:val="00D32C48"/>
    <w:rsid w:val="00D32D3A"/>
    <w:rsid w:val="00D32D46"/>
    <w:rsid w:val="00D32EC9"/>
    <w:rsid w:val="00D32FD3"/>
    <w:rsid w:val="00D33075"/>
    <w:rsid w:val="00D330D9"/>
    <w:rsid w:val="00D332BD"/>
    <w:rsid w:val="00D3333A"/>
    <w:rsid w:val="00D3346A"/>
    <w:rsid w:val="00D335B9"/>
    <w:rsid w:val="00D33612"/>
    <w:rsid w:val="00D336DC"/>
    <w:rsid w:val="00D33746"/>
    <w:rsid w:val="00D3375B"/>
    <w:rsid w:val="00D337A6"/>
    <w:rsid w:val="00D33869"/>
    <w:rsid w:val="00D3387E"/>
    <w:rsid w:val="00D33A95"/>
    <w:rsid w:val="00D33B90"/>
    <w:rsid w:val="00D33BE1"/>
    <w:rsid w:val="00D33C1E"/>
    <w:rsid w:val="00D33C3E"/>
    <w:rsid w:val="00D33CEB"/>
    <w:rsid w:val="00D33E1D"/>
    <w:rsid w:val="00D34004"/>
    <w:rsid w:val="00D342CC"/>
    <w:rsid w:val="00D34379"/>
    <w:rsid w:val="00D344AB"/>
    <w:rsid w:val="00D344E1"/>
    <w:rsid w:val="00D345B8"/>
    <w:rsid w:val="00D3469E"/>
    <w:rsid w:val="00D348B7"/>
    <w:rsid w:val="00D34907"/>
    <w:rsid w:val="00D34ACD"/>
    <w:rsid w:val="00D34B93"/>
    <w:rsid w:val="00D34C91"/>
    <w:rsid w:val="00D34D14"/>
    <w:rsid w:val="00D34E12"/>
    <w:rsid w:val="00D34F98"/>
    <w:rsid w:val="00D35007"/>
    <w:rsid w:val="00D351C1"/>
    <w:rsid w:val="00D354A2"/>
    <w:rsid w:val="00D355C4"/>
    <w:rsid w:val="00D3563B"/>
    <w:rsid w:val="00D35648"/>
    <w:rsid w:val="00D356A1"/>
    <w:rsid w:val="00D356DF"/>
    <w:rsid w:val="00D3572F"/>
    <w:rsid w:val="00D35737"/>
    <w:rsid w:val="00D357CD"/>
    <w:rsid w:val="00D35824"/>
    <w:rsid w:val="00D35969"/>
    <w:rsid w:val="00D35A2E"/>
    <w:rsid w:val="00D35AF4"/>
    <w:rsid w:val="00D35C52"/>
    <w:rsid w:val="00D35EDE"/>
    <w:rsid w:val="00D3638C"/>
    <w:rsid w:val="00D36682"/>
    <w:rsid w:val="00D36916"/>
    <w:rsid w:val="00D3692B"/>
    <w:rsid w:val="00D36B4F"/>
    <w:rsid w:val="00D36CAB"/>
    <w:rsid w:val="00D36DD1"/>
    <w:rsid w:val="00D36EF0"/>
    <w:rsid w:val="00D37126"/>
    <w:rsid w:val="00D37157"/>
    <w:rsid w:val="00D3715F"/>
    <w:rsid w:val="00D372C3"/>
    <w:rsid w:val="00D372F3"/>
    <w:rsid w:val="00D3736D"/>
    <w:rsid w:val="00D375AA"/>
    <w:rsid w:val="00D377D7"/>
    <w:rsid w:val="00D37877"/>
    <w:rsid w:val="00D378CF"/>
    <w:rsid w:val="00D37E56"/>
    <w:rsid w:val="00D37E77"/>
    <w:rsid w:val="00D37FC2"/>
    <w:rsid w:val="00D40061"/>
    <w:rsid w:val="00D4012E"/>
    <w:rsid w:val="00D40179"/>
    <w:rsid w:val="00D401B0"/>
    <w:rsid w:val="00D402A3"/>
    <w:rsid w:val="00D4039C"/>
    <w:rsid w:val="00D405A2"/>
    <w:rsid w:val="00D40653"/>
    <w:rsid w:val="00D406CC"/>
    <w:rsid w:val="00D407E2"/>
    <w:rsid w:val="00D408BE"/>
    <w:rsid w:val="00D408E8"/>
    <w:rsid w:val="00D40924"/>
    <w:rsid w:val="00D40E8B"/>
    <w:rsid w:val="00D40E9D"/>
    <w:rsid w:val="00D40EA6"/>
    <w:rsid w:val="00D40EBE"/>
    <w:rsid w:val="00D40F17"/>
    <w:rsid w:val="00D40F69"/>
    <w:rsid w:val="00D40FEF"/>
    <w:rsid w:val="00D4139A"/>
    <w:rsid w:val="00D41610"/>
    <w:rsid w:val="00D41654"/>
    <w:rsid w:val="00D417B6"/>
    <w:rsid w:val="00D41C4C"/>
    <w:rsid w:val="00D41D07"/>
    <w:rsid w:val="00D41DA9"/>
    <w:rsid w:val="00D41F22"/>
    <w:rsid w:val="00D41FCE"/>
    <w:rsid w:val="00D420A2"/>
    <w:rsid w:val="00D4214C"/>
    <w:rsid w:val="00D421AF"/>
    <w:rsid w:val="00D422D6"/>
    <w:rsid w:val="00D4258A"/>
    <w:rsid w:val="00D4261C"/>
    <w:rsid w:val="00D42686"/>
    <w:rsid w:val="00D427DB"/>
    <w:rsid w:val="00D42913"/>
    <w:rsid w:val="00D42931"/>
    <w:rsid w:val="00D4296A"/>
    <w:rsid w:val="00D42A22"/>
    <w:rsid w:val="00D42F0A"/>
    <w:rsid w:val="00D42FE5"/>
    <w:rsid w:val="00D430B0"/>
    <w:rsid w:val="00D430D3"/>
    <w:rsid w:val="00D43123"/>
    <w:rsid w:val="00D4315A"/>
    <w:rsid w:val="00D43184"/>
    <w:rsid w:val="00D4338E"/>
    <w:rsid w:val="00D435C9"/>
    <w:rsid w:val="00D43624"/>
    <w:rsid w:val="00D43646"/>
    <w:rsid w:val="00D4368C"/>
    <w:rsid w:val="00D43799"/>
    <w:rsid w:val="00D437D9"/>
    <w:rsid w:val="00D437FE"/>
    <w:rsid w:val="00D43827"/>
    <w:rsid w:val="00D4384B"/>
    <w:rsid w:val="00D43861"/>
    <w:rsid w:val="00D43CAC"/>
    <w:rsid w:val="00D43E8F"/>
    <w:rsid w:val="00D43ED8"/>
    <w:rsid w:val="00D43F15"/>
    <w:rsid w:val="00D43F28"/>
    <w:rsid w:val="00D442FD"/>
    <w:rsid w:val="00D44314"/>
    <w:rsid w:val="00D443C9"/>
    <w:rsid w:val="00D443CE"/>
    <w:rsid w:val="00D4440A"/>
    <w:rsid w:val="00D4441A"/>
    <w:rsid w:val="00D4446F"/>
    <w:rsid w:val="00D44496"/>
    <w:rsid w:val="00D44669"/>
    <w:rsid w:val="00D44689"/>
    <w:rsid w:val="00D446CF"/>
    <w:rsid w:val="00D44A89"/>
    <w:rsid w:val="00D44E20"/>
    <w:rsid w:val="00D44E5E"/>
    <w:rsid w:val="00D44F43"/>
    <w:rsid w:val="00D45127"/>
    <w:rsid w:val="00D45143"/>
    <w:rsid w:val="00D45163"/>
    <w:rsid w:val="00D45193"/>
    <w:rsid w:val="00D45443"/>
    <w:rsid w:val="00D4548F"/>
    <w:rsid w:val="00D45539"/>
    <w:rsid w:val="00D45544"/>
    <w:rsid w:val="00D45588"/>
    <w:rsid w:val="00D4559C"/>
    <w:rsid w:val="00D455E7"/>
    <w:rsid w:val="00D45629"/>
    <w:rsid w:val="00D4576A"/>
    <w:rsid w:val="00D457C1"/>
    <w:rsid w:val="00D45860"/>
    <w:rsid w:val="00D45AAF"/>
    <w:rsid w:val="00D45B27"/>
    <w:rsid w:val="00D45BAD"/>
    <w:rsid w:val="00D45BB3"/>
    <w:rsid w:val="00D45BD9"/>
    <w:rsid w:val="00D45CA3"/>
    <w:rsid w:val="00D45DAD"/>
    <w:rsid w:val="00D46069"/>
    <w:rsid w:val="00D460A4"/>
    <w:rsid w:val="00D460A6"/>
    <w:rsid w:val="00D461FD"/>
    <w:rsid w:val="00D4637E"/>
    <w:rsid w:val="00D463B0"/>
    <w:rsid w:val="00D464B7"/>
    <w:rsid w:val="00D4682C"/>
    <w:rsid w:val="00D46853"/>
    <w:rsid w:val="00D468C8"/>
    <w:rsid w:val="00D46943"/>
    <w:rsid w:val="00D46C46"/>
    <w:rsid w:val="00D46D04"/>
    <w:rsid w:val="00D46D0A"/>
    <w:rsid w:val="00D46F82"/>
    <w:rsid w:val="00D46FFF"/>
    <w:rsid w:val="00D4700D"/>
    <w:rsid w:val="00D4712D"/>
    <w:rsid w:val="00D47242"/>
    <w:rsid w:val="00D4745E"/>
    <w:rsid w:val="00D474B9"/>
    <w:rsid w:val="00D47662"/>
    <w:rsid w:val="00D478B7"/>
    <w:rsid w:val="00D47A97"/>
    <w:rsid w:val="00D47CEF"/>
    <w:rsid w:val="00D47EBB"/>
    <w:rsid w:val="00D47EE8"/>
    <w:rsid w:val="00D500F2"/>
    <w:rsid w:val="00D50423"/>
    <w:rsid w:val="00D50432"/>
    <w:rsid w:val="00D504E5"/>
    <w:rsid w:val="00D5053A"/>
    <w:rsid w:val="00D50725"/>
    <w:rsid w:val="00D5073A"/>
    <w:rsid w:val="00D507C6"/>
    <w:rsid w:val="00D508D3"/>
    <w:rsid w:val="00D508FE"/>
    <w:rsid w:val="00D50AA1"/>
    <w:rsid w:val="00D50C7D"/>
    <w:rsid w:val="00D50CBF"/>
    <w:rsid w:val="00D50DF4"/>
    <w:rsid w:val="00D50FC9"/>
    <w:rsid w:val="00D50FEA"/>
    <w:rsid w:val="00D51059"/>
    <w:rsid w:val="00D510B8"/>
    <w:rsid w:val="00D5111E"/>
    <w:rsid w:val="00D511D4"/>
    <w:rsid w:val="00D51264"/>
    <w:rsid w:val="00D51278"/>
    <w:rsid w:val="00D5130D"/>
    <w:rsid w:val="00D51474"/>
    <w:rsid w:val="00D5148F"/>
    <w:rsid w:val="00D51617"/>
    <w:rsid w:val="00D5164E"/>
    <w:rsid w:val="00D517B9"/>
    <w:rsid w:val="00D517F1"/>
    <w:rsid w:val="00D517FE"/>
    <w:rsid w:val="00D518A9"/>
    <w:rsid w:val="00D51CFE"/>
    <w:rsid w:val="00D51E13"/>
    <w:rsid w:val="00D51ED7"/>
    <w:rsid w:val="00D51FD5"/>
    <w:rsid w:val="00D51FE3"/>
    <w:rsid w:val="00D5200B"/>
    <w:rsid w:val="00D520A3"/>
    <w:rsid w:val="00D52198"/>
    <w:rsid w:val="00D52448"/>
    <w:rsid w:val="00D525CC"/>
    <w:rsid w:val="00D52958"/>
    <w:rsid w:val="00D52C5D"/>
    <w:rsid w:val="00D52C6E"/>
    <w:rsid w:val="00D52C7B"/>
    <w:rsid w:val="00D52CED"/>
    <w:rsid w:val="00D52D73"/>
    <w:rsid w:val="00D52D75"/>
    <w:rsid w:val="00D52DEA"/>
    <w:rsid w:val="00D52E22"/>
    <w:rsid w:val="00D52FBA"/>
    <w:rsid w:val="00D5329E"/>
    <w:rsid w:val="00D5332A"/>
    <w:rsid w:val="00D53355"/>
    <w:rsid w:val="00D53542"/>
    <w:rsid w:val="00D53A1E"/>
    <w:rsid w:val="00D53CD2"/>
    <w:rsid w:val="00D53FA0"/>
    <w:rsid w:val="00D540E1"/>
    <w:rsid w:val="00D544DA"/>
    <w:rsid w:val="00D54568"/>
    <w:rsid w:val="00D54631"/>
    <w:rsid w:val="00D546CA"/>
    <w:rsid w:val="00D54794"/>
    <w:rsid w:val="00D5480E"/>
    <w:rsid w:val="00D54875"/>
    <w:rsid w:val="00D549BC"/>
    <w:rsid w:val="00D54A10"/>
    <w:rsid w:val="00D54B5B"/>
    <w:rsid w:val="00D54B7D"/>
    <w:rsid w:val="00D54CCA"/>
    <w:rsid w:val="00D54CE6"/>
    <w:rsid w:val="00D54FF0"/>
    <w:rsid w:val="00D5503E"/>
    <w:rsid w:val="00D5505C"/>
    <w:rsid w:val="00D550DB"/>
    <w:rsid w:val="00D55145"/>
    <w:rsid w:val="00D554C2"/>
    <w:rsid w:val="00D555D6"/>
    <w:rsid w:val="00D5592F"/>
    <w:rsid w:val="00D55959"/>
    <w:rsid w:val="00D55983"/>
    <w:rsid w:val="00D55A5E"/>
    <w:rsid w:val="00D55B3C"/>
    <w:rsid w:val="00D55CBD"/>
    <w:rsid w:val="00D55D7A"/>
    <w:rsid w:val="00D55ED6"/>
    <w:rsid w:val="00D56049"/>
    <w:rsid w:val="00D56213"/>
    <w:rsid w:val="00D56388"/>
    <w:rsid w:val="00D563CD"/>
    <w:rsid w:val="00D5653D"/>
    <w:rsid w:val="00D5666E"/>
    <w:rsid w:val="00D566C8"/>
    <w:rsid w:val="00D5678B"/>
    <w:rsid w:val="00D567B3"/>
    <w:rsid w:val="00D567E1"/>
    <w:rsid w:val="00D568E0"/>
    <w:rsid w:val="00D56961"/>
    <w:rsid w:val="00D569C9"/>
    <w:rsid w:val="00D56C6C"/>
    <w:rsid w:val="00D56D72"/>
    <w:rsid w:val="00D56F33"/>
    <w:rsid w:val="00D56F57"/>
    <w:rsid w:val="00D56FA8"/>
    <w:rsid w:val="00D570D5"/>
    <w:rsid w:val="00D570F6"/>
    <w:rsid w:val="00D571C1"/>
    <w:rsid w:val="00D571C9"/>
    <w:rsid w:val="00D571FE"/>
    <w:rsid w:val="00D57200"/>
    <w:rsid w:val="00D572BC"/>
    <w:rsid w:val="00D575C4"/>
    <w:rsid w:val="00D5774B"/>
    <w:rsid w:val="00D5779A"/>
    <w:rsid w:val="00D577F1"/>
    <w:rsid w:val="00D57945"/>
    <w:rsid w:val="00D5795C"/>
    <w:rsid w:val="00D57D9C"/>
    <w:rsid w:val="00D600C6"/>
    <w:rsid w:val="00D60278"/>
    <w:rsid w:val="00D6032B"/>
    <w:rsid w:val="00D60333"/>
    <w:rsid w:val="00D60439"/>
    <w:rsid w:val="00D604A7"/>
    <w:rsid w:val="00D606DF"/>
    <w:rsid w:val="00D607C1"/>
    <w:rsid w:val="00D60875"/>
    <w:rsid w:val="00D608AE"/>
    <w:rsid w:val="00D608C5"/>
    <w:rsid w:val="00D60AB9"/>
    <w:rsid w:val="00D60C06"/>
    <w:rsid w:val="00D60C1E"/>
    <w:rsid w:val="00D60C7B"/>
    <w:rsid w:val="00D60D26"/>
    <w:rsid w:val="00D60E58"/>
    <w:rsid w:val="00D60E90"/>
    <w:rsid w:val="00D60F09"/>
    <w:rsid w:val="00D60F51"/>
    <w:rsid w:val="00D6113D"/>
    <w:rsid w:val="00D61329"/>
    <w:rsid w:val="00D613C8"/>
    <w:rsid w:val="00D61522"/>
    <w:rsid w:val="00D6157C"/>
    <w:rsid w:val="00D61699"/>
    <w:rsid w:val="00D616F3"/>
    <w:rsid w:val="00D6180E"/>
    <w:rsid w:val="00D6191E"/>
    <w:rsid w:val="00D61A21"/>
    <w:rsid w:val="00D61AB1"/>
    <w:rsid w:val="00D61B41"/>
    <w:rsid w:val="00D62041"/>
    <w:rsid w:val="00D622FA"/>
    <w:rsid w:val="00D6241C"/>
    <w:rsid w:val="00D62783"/>
    <w:rsid w:val="00D627AF"/>
    <w:rsid w:val="00D62E61"/>
    <w:rsid w:val="00D62FA2"/>
    <w:rsid w:val="00D63062"/>
    <w:rsid w:val="00D63121"/>
    <w:rsid w:val="00D633A4"/>
    <w:rsid w:val="00D634E9"/>
    <w:rsid w:val="00D63736"/>
    <w:rsid w:val="00D63963"/>
    <w:rsid w:val="00D63964"/>
    <w:rsid w:val="00D63C67"/>
    <w:rsid w:val="00D63C95"/>
    <w:rsid w:val="00D63D91"/>
    <w:rsid w:val="00D63E9C"/>
    <w:rsid w:val="00D6402D"/>
    <w:rsid w:val="00D64175"/>
    <w:rsid w:val="00D6419C"/>
    <w:rsid w:val="00D64390"/>
    <w:rsid w:val="00D643B0"/>
    <w:rsid w:val="00D64500"/>
    <w:rsid w:val="00D6451D"/>
    <w:rsid w:val="00D64619"/>
    <w:rsid w:val="00D64690"/>
    <w:rsid w:val="00D647A2"/>
    <w:rsid w:val="00D64D3F"/>
    <w:rsid w:val="00D64D5F"/>
    <w:rsid w:val="00D64DB3"/>
    <w:rsid w:val="00D64E22"/>
    <w:rsid w:val="00D64F3A"/>
    <w:rsid w:val="00D64FD9"/>
    <w:rsid w:val="00D650BE"/>
    <w:rsid w:val="00D6510A"/>
    <w:rsid w:val="00D652DD"/>
    <w:rsid w:val="00D653D4"/>
    <w:rsid w:val="00D653EC"/>
    <w:rsid w:val="00D65438"/>
    <w:rsid w:val="00D65518"/>
    <w:rsid w:val="00D6552D"/>
    <w:rsid w:val="00D656A9"/>
    <w:rsid w:val="00D65738"/>
    <w:rsid w:val="00D657E7"/>
    <w:rsid w:val="00D658B4"/>
    <w:rsid w:val="00D65986"/>
    <w:rsid w:val="00D659A5"/>
    <w:rsid w:val="00D65C85"/>
    <w:rsid w:val="00D65C8A"/>
    <w:rsid w:val="00D65F07"/>
    <w:rsid w:val="00D65F7D"/>
    <w:rsid w:val="00D660CE"/>
    <w:rsid w:val="00D661AE"/>
    <w:rsid w:val="00D6643A"/>
    <w:rsid w:val="00D66442"/>
    <w:rsid w:val="00D66479"/>
    <w:rsid w:val="00D66755"/>
    <w:rsid w:val="00D66933"/>
    <w:rsid w:val="00D66BD6"/>
    <w:rsid w:val="00D66D36"/>
    <w:rsid w:val="00D66E9E"/>
    <w:rsid w:val="00D66EF2"/>
    <w:rsid w:val="00D66F3A"/>
    <w:rsid w:val="00D67013"/>
    <w:rsid w:val="00D67198"/>
    <w:rsid w:val="00D671DB"/>
    <w:rsid w:val="00D671E5"/>
    <w:rsid w:val="00D67217"/>
    <w:rsid w:val="00D6738B"/>
    <w:rsid w:val="00D67649"/>
    <w:rsid w:val="00D676CB"/>
    <w:rsid w:val="00D67764"/>
    <w:rsid w:val="00D67779"/>
    <w:rsid w:val="00D677B0"/>
    <w:rsid w:val="00D6790B"/>
    <w:rsid w:val="00D6794D"/>
    <w:rsid w:val="00D6797F"/>
    <w:rsid w:val="00D67A53"/>
    <w:rsid w:val="00D67AD2"/>
    <w:rsid w:val="00D67BBD"/>
    <w:rsid w:val="00D67D6E"/>
    <w:rsid w:val="00D67D80"/>
    <w:rsid w:val="00D67E0D"/>
    <w:rsid w:val="00D67FD3"/>
    <w:rsid w:val="00D7003A"/>
    <w:rsid w:val="00D701E9"/>
    <w:rsid w:val="00D704DD"/>
    <w:rsid w:val="00D70585"/>
    <w:rsid w:val="00D70635"/>
    <w:rsid w:val="00D70671"/>
    <w:rsid w:val="00D70768"/>
    <w:rsid w:val="00D70915"/>
    <w:rsid w:val="00D70A48"/>
    <w:rsid w:val="00D70BE1"/>
    <w:rsid w:val="00D70E08"/>
    <w:rsid w:val="00D70EB8"/>
    <w:rsid w:val="00D712B3"/>
    <w:rsid w:val="00D7134E"/>
    <w:rsid w:val="00D7148A"/>
    <w:rsid w:val="00D71C59"/>
    <w:rsid w:val="00D71C5A"/>
    <w:rsid w:val="00D71D8E"/>
    <w:rsid w:val="00D71E4D"/>
    <w:rsid w:val="00D71F56"/>
    <w:rsid w:val="00D71FE0"/>
    <w:rsid w:val="00D72098"/>
    <w:rsid w:val="00D720AB"/>
    <w:rsid w:val="00D7211B"/>
    <w:rsid w:val="00D72127"/>
    <w:rsid w:val="00D721F5"/>
    <w:rsid w:val="00D722AD"/>
    <w:rsid w:val="00D7247F"/>
    <w:rsid w:val="00D725F5"/>
    <w:rsid w:val="00D72613"/>
    <w:rsid w:val="00D726CF"/>
    <w:rsid w:val="00D72748"/>
    <w:rsid w:val="00D72896"/>
    <w:rsid w:val="00D729B5"/>
    <w:rsid w:val="00D72A33"/>
    <w:rsid w:val="00D72A36"/>
    <w:rsid w:val="00D72AFD"/>
    <w:rsid w:val="00D72B16"/>
    <w:rsid w:val="00D72C57"/>
    <w:rsid w:val="00D72C6A"/>
    <w:rsid w:val="00D72C6C"/>
    <w:rsid w:val="00D72D7A"/>
    <w:rsid w:val="00D72DB6"/>
    <w:rsid w:val="00D72DBD"/>
    <w:rsid w:val="00D72EAE"/>
    <w:rsid w:val="00D72EF3"/>
    <w:rsid w:val="00D7309A"/>
    <w:rsid w:val="00D73114"/>
    <w:rsid w:val="00D73146"/>
    <w:rsid w:val="00D73184"/>
    <w:rsid w:val="00D731C8"/>
    <w:rsid w:val="00D7326D"/>
    <w:rsid w:val="00D732E3"/>
    <w:rsid w:val="00D7350C"/>
    <w:rsid w:val="00D73532"/>
    <w:rsid w:val="00D735FF"/>
    <w:rsid w:val="00D73656"/>
    <w:rsid w:val="00D73767"/>
    <w:rsid w:val="00D737BA"/>
    <w:rsid w:val="00D738DC"/>
    <w:rsid w:val="00D73C07"/>
    <w:rsid w:val="00D73C31"/>
    <w:rsid w:val="00D73CBA"/>
    <w:rsid w:val="00D73DD5"/>
    <w:rsid w:val="00D740FB"/>
    <w:rsid w:val="00D740FC"/>
    <w:rsid w:val="00D74441"/>
    <w:rsid w:val="00D744B8"/>
    <w:rsid w:val="00D7456C"/>
    <w:rsid w:val="00D7461B"/>
    <w:rsid w:val="00D74726"/>
    <w:rsid w:val="00D74759"/>
    <w:rsid w:val="00D74923"/>
    <w:rsid w:val="00D74A0C"/>
    <w:rsid w:val="00D74AEF"/>
    <w:rsid w:val="00D74B00"/>
    <w:rsid w:val="00D74C0D"/>
    <w:rsid w:val="00D74C9A"/>
    <w:rsid w:val="00D74CC9"/>
    <w:rsid w:val="00D74D0A"/>
    <w:rsid w:val="00D74F44"/>
    <w:rsid w:val="00D74F90"/>
    <w:rsid w:val="00D751B0"/>
    <w:rsid w:val="00D751BE"/>
    <w:rsid w:val="00D75211"/>
    <w:rsid w:val="00D7523C"/>
    <w:rsid w:val="00D7566F"/>
    <w:rsid w:val="00D7572B"/>
    <w:rsid w:val="00D7573F"/>
    <w:rsid w:val="00D757C1"/>
    <w:rsid w:val="00D75810"/>
    <w:rsid w:val="00D75955"/>
    <w:rsid w:val="00D759CA"/>
    <w:rsid w:val="00D75ACF"/>
    <w:rsid w:val="00D75B69"/>
    <w:rsid w:val="00D75C47"/>
    <w:rsid w:val="00D75E73"/>
    <w:rsid w:val="00D75F01"/>
    <w:rsid w:val="00D75FA6"/>
    <w:rsid w:val="00D760EF"/>
    <w:rsid w:val="00D762E8"/>
    <w:rsid w:val="00D76622"/>
    <w:rsid w:val="00D766F2"/>
    <w:rsid w:val="00D76718"/>
    <w:rsid w:val="00D76767"/>
    <w:rsid w:val="00D7680C"/>
    <w:rsid w:val="00D76BD4"/>
    <w:rsid w:val="00D76BF2"/>
    <w:rsid w:val="00D76BFC"/>
    <w:rsid w:val="00D76DEE"/>
    <w:rsid w:val="00D7710A"/>
    <w:rsid w:val="00D77209"/>
    <w:rsid w:val="00D772EE"/>
    <w:rsid w:val="00D77399"/>
    <w:rsid w:val="00D77422"/>
    <w:rsid w:val="00D77457"/>
    <w:rsid w:val="00D774F7"/>
    <w:rsid w:val="00D775B6"/>
    <w:rsid w:val="00D775ED"/>
    <w:rsid w:val="00D77777"/>
    <w:rsid w:val="00D779FC"/>
    <w:rsid w:val="00D77B06"/>
    <w:rsid w:val="00D77E41"/>
    <w:rsid w:val="00D77EEE"/>
    <w:rsid w:val="00D77F91"/>
    <w:rsid w:val="00D77FAC"/>
    <w:rsid w:val="00D803C9"/>
    <w:rsid w:val="00D80527"/>
    <w:rsid w:val="00D805B9"/>
    <w:rsid w:val="00D80600"/>
    <w:rsid w:val="00D8063D"/>
    <w:rsid w:val="00D806BB"/>
    <w:rsid w:val="00D80768"/>
    <w:rsid w:val="00D808F0"/>
    <w:rsid w:val="00D80965"/>
    <w:rsid w:val="00D80E15"/>
    <w:rsid w:val="00D80FBF"/>
    <w:rsid w:val="00D81088"/>
    <w:rsid w:val="00D812BF"/>
    <w:rsid w:val="00D8135B"/>
    <w:rsid w:val="00D81368"/>
    <w:rsid w:val="00D8139C"/>
    <w:rsid w:val="00D8139E"/>
    <w:rsid w:val="00D81515"/>
    <w:rsid w:val="00D81571"/>
    <w:rsid w:val="00D815ED"/>
    <w:rsid w:val="00D815F6"/>
    <w:rsid w:val="00D81604"/>
    <w:rsid w:val="00D81695"/>
    <w:rsid w:val="00D8170B"/>
    <w:rsid w:val="00D81935"/>
    <w:rsid w:val="00D8194A"/>
    <w:rsid w:val="00D81955"/>
    <w:rsid w:val="00D819A8"/>
    <w:rsid w:val="00D819BC"/>
    <w:rsid w:val="00D81B50"/>
    <w:rsid w:val="00D81DD6"/>
    <w:rsid w:val="00D81E3E"/>
    <w:rsid w:val="00D81EA1"/>
    <w:rsid w:val="00D81FDF"/>
    <w:rsid w:val="00D82030"/>
    <w:rsid w:val="00D82052"/>
    <w:rsid w:val="00D822A9"/>
    <w:rsid w:val="00D82405"/>
    <w:rsid w:val="00D827CF"/>
    <w:rsid w:val="00D827E3"/>
    <w:rsid w:val="00D8284A"/>
    <w:rsid w:val="00D828A6"/>
    <w:rsid w:val="00D8293C"/>
    <w:rsid w:val="00D8293F"/>
    <w:rsid w:val="00D82954"/>
    <w:rsid w:val="00D82AA2"/>
    <w:rsid w:val="00D82B8D"/>
    <w:rsid w:val="00D82CD2"/>
    <w:rsid w:val="00D82D6B"/>
    <w:rsid w:val="00D82EE0"/>
    <w:rsid w:val="00D83110"/>
    <w:rsid w:val="00D8311C"/>
    <w:rsid w:val="00D832FD"/>
    <w:rsid w:val="00D8346A"/>
    <w:rsid w:val="00D83530"/>
    <w:rsid w:val="00D835FE"/>
    <w:rsid w:val="00D837A5"/>
    <w:rsid w:val="00D83A62"/>
    <w:rsid w:val="00D83CA9"/>
    <w:rsid w:val="00D83F38"/>
    <w:rsid w:val="00D83FE8"/>
    <w:rsid w:val="00D84040"/>
    <w:rsid w:val="00D84291"/>
    <w:rsid w:val="00D84293"/>
    <w:rsid w:val="00D84342"/>
    <w:rsid w:val="00D84386"/>
    <w:rsid w:val="00D844A2"/>
    <w:rsid w:val="00D847CD"/>
    <w:rsid w:val="00D847F6"/>
    <w:rsid w:val="00D84819"/>
    <w:rsid w:val="00D84867"/>
    <w:rsid w:val="00D84897"/>
    <w:rsid w:val="00D84912"/>
    <w:rsid w:val="00D8498E"/>
    <w:rsid w:val="00D84A4E"/>
    <w:rsid w:val="00D84A63"/>
    <w:rsid w:val="00D84B5F"/>
    <w:rsid w:val="00D84C82"/>
    <w:rsid w:val="00D84CF0"/>
    <w:rsid w:val="00D84E41"/>
    <w:rsid w:val="00D84ECE"/>
    <w:rsid w:val="00D84EE6"/>
    <w:rsid w:val="00D84F5D"/>
    <w:rsid w:val="00D84FC6"/>
    <w:rsid w:val="00D85196"/>
    <w:rsid w:val="00D851D6"/>
    <w:rsid w:val="00D85227"/>
    <w:rsid w:val="00D852C9"/>
    <w:rsid w:val="00D852DA"/>
    <w:rsid w:val="00D8530E"/>
    <w:rsid w:val="00D855BA"/>
    <w:rsid w:val="00D856E9"/>
    <w:rsid w:val="00D85849"/>
    <w:rsid w:val="00D85880"/>
    <w:rsid w:val="00D858F8"/>
    <w:rsid w:val="00D859EC"/>
    <w:rsid w:val="00D85AB7"/>
    <w:rsid w:val="00D85AE2"/>
    <w:rsid w:val="00D85B2A"/>
    <w:rsid w:val="00D85B2D"/>
    <w:rsid w:val="00D85BF3"/>
    <w:rsid w:val="00D85CE6"/>
    <w:rsid w:val="00D85E79"/>
    <w:rsid w:val="00D85F28"/>
    <w:rsid w:val="00D861BE"/>
    <w:rsid w:val="00D86200"/>
    <w:rsid w:val="00D862A9"/>
    <w:rsid w:val="00D86352"/>
    <w:rsid w:val="00D8638B"/>
    <w:rsid w:val="00D863A2"/>
    <w:rsid w:val="00D86514"/>
    <w:rsid w:val="00D865E9"/>
    <w:rsid w:val="00D866AD"/>
    <w:rsid w:val="00D866C7"/>
    <w:rsid w:val="00D869B1"/>
    <w:rsid w:val="00D86A94"/>
    <w:rsid w:val="00D86AD4"/>
    <w:rsid w:val="00D86B04"/>
    <w:rsid w:val="00D86B80"/>
    <w:rsid w:val="00D86E85"/>
    <w:rsid w:val="00D86F71"/>
    <w:rsid w:val="00D870E0"/>
    <w:rsid w:val="00D8715A"/>
    <w:rsid w:val="00D871AD"/>
    <w:rsid w:val="00D872CB"/>
    <w:rsid w:val="00D87414"/>
    <w:rsid w:val="00D874FB"/>
    <w:rsid w:val="00D8765D"/>
    <w:rsid w:val="00D8768D"/>
    <w:rsid w:val="00D876C6"/>
    <w:rsid w:val="00D878F9"/>
    <w:rsid w:val="00D87B55"/>
    <w:rsid w:val="00D87C8C"/>
    <w:rsid w:val="00D87D49"/>
    <w:rsid w:val="00D87D66"/>
    <w:rsid w:val="00D87D84"/>
    <w:rsid w:val="00D87EAC"/>
    <w:rsid w:val="00D87EE5"/>
    <w:rsid w:val="00D87EE8"/>
    <w:rsid w:val="00D9002D"/>
    <w:rsid w:val="00D90096"/>
    <w:rsid w:val="00D901B2"/>
    <w:rsid w:val="00D9036C"/>
    <w:rsid w:val="00D90655"/>
    <w:rsid w:val="00D908AE"/>
    <w:rsid w:val="00D90A07"/>
    <w:rsid w:val="00D90A74"/>
    <w:rsid w:val="00D90C4F"/>
    <w:rsid w:val="00D90DEB"/>
    <w:rsid w:val="00D90E48"/>
    <w:rsid w:val="00D91040"/>
    <w:rsid w:val="00D9113F"/>
    <w:rsid w:val="00D911AC"/>
    <w:rsid w:val="00D91225"/>
    <w:rsid w:val="00D91282"/>
    <w:rsid w:val="00D91411"/>
    <w:rsid w:val="00D91426"/>
    <w:rsid w:val="00D91605"/>
    <w:rsid w:val="00D91A3B"/>
    <w:rsid w:val="00D91B23"/>
    <w:rsid w:val="00D91B2D"/>
    <w:rsid w:val="00D91CF2"/>
    <w:rsid w:val="00D91D07"/>
    <w:rsid w:val="00D91D08"/>
    <w:rsid w:val="00D92074"/>
    <w:rsid w:val="00D92159"/>
    <w:rsid w:val="00D92279"/>
    <w:rsid w:val="00D922E1"/>
    <w:rsid w:val="00D92412"/>
    <w:rsid w:val="00D9243A"/>
    <w:rsid w:val="00D92714"/>
    <w:rsid w:val="00D9271A"/>
    <w:rsid w:val="00D92783"/>
    <w:rsid w:val="00D927F9"/>
    <w:rsid w:val="00D92808"/>
    <w:rsid w:val="00D9280D"/>
    <w:rsid w:val="00D92824"/>
    <w:rsid w:val="00D92A18"/>
    <w:rsid w:val="00D92DB2"/>
    <w:rsid w:val="00D92EA5"/>
    <w:rsid w:val="00D93015"/>
    <w:rsid w:val="00D93224"/>
    <w:rsid w:val="00D93410"/>
    <w:rsid w:val="00D934CF"/>
    <w:rsid w:val="00D935BE"/>
    <w:rsid w:val="00D93689"/>
    <w:rsid w:val="00D93A4B"/>
    <w:rsid w:val="00D93B74"/>
    <w:rsid w:val="00D93C12"/>
    <w:rsid w:val="00D93C95"/>
    <w:rsid w:val="00D93DF9"/>
    <w:rsid w:val="00D93ECA"/>
    <w:rsid w:val="00D93F03"/>
    <w:rsid w:val="00D94099"/>
    <w:rsid w:val="00D94278"/>
    <w:rsid w:val="00D942A2"/>
    <w:rsid w:val="00D9447A"/>
    <w:rsid w:val="00D945B2"/>
    <w:rsid w:val="00D945BD"/>
    <w:rsid w:val="00D94880"/>
    <w:rsid w:val="00D94940"/>
    <w:rsid w:val="00D94AB2"/>
    <w:rsid w:val="00D94D25"/>
    <w:rsid w:val="00D951A2"/>
    <w:rsid w:val="00D952CE"/>
    <w:rsid w:val="00D953BA"/>
    <w:rsid w:val="00D954BE"/>
    <w:rsid w:val="00D95669"/>
    <w:rsid w:val="00D959B0"/>
    <w:rsid w:val="00D95A1A"/>
    <w:rsid w:val="00D95BB4"/>
    <w:rsid w:val="00D95E68"/>
    <w:rsid w:val="00D95F66"/>
    <w:rsid w:val="00D96163"/>
    <w:rsid w:val="00D962ED"/>
    <w:rsid w:val="00D9637D"/>
    <w:rsid w:val="00D963E0"/>
    <w:rsid w:val="00D96407"/>
    <w:rsid w:val="00D9645E"/>
    <w:rsid w:val="00D96554"/>
    <w:rsid w:val="00D9656C"/>
    <w:rsid w:val="00D96578"/>
    <w:rsid w:val="00D96584"/>
    <w:rsid w:val="00D9677B"/>
    <w:rsid w:val="00D9678A"/>
    <w:rsid w:val="00D96893"/>
    <w:rsid w:val="00D96981"/>
    <w:rsid w:val="00D96C4F"/>
    <w:rsid w:val="00D96D60"/>
    <w:rsid w:val="00D96DD7"/>
    <w:rsid w:val="00D96E23"/>
    <w:rsid w:val="00D96F1E"/>
    <w:rsid w:val="00D972D6"/>
    <w:rsid w:val="00D97471"/>
    <w:rsid w:val="00D9766D"/>
    <w:rsid w:val="00D97917"/>
    <w:rsid w:val="00D97920"/>
    <w:rsid w:val="00D97A53"/>
    <w:rsid w:val="00D97B22"/>
    <w:rsid w:val="00D97BE9"/>
    <w:rsid w:val="00D97C69"/>
    <w:rsid w:val="00D97C9C"/>
    <w:rsid w:val="00D97D34"/>
    <w:rsid w:val="00D97DA0"/>
    <w:rsid w:val="00D97E75"/>
    <w:rsid w:val="00D97E7A"/>
    <w:rsid w:val="00DA0072"/>
    <w:rsid w:val="00DA0094"/>
    <w:rsid w:val="00DA017F"/>
    <w:rsid w:val="00DA0286"/>
    <w:rsid w:val="00DA0442"/>
    <w:rsid w:val="00DA047C"/>
    <w:rsid w:val="00DA047E"/>
    <w:rsid w:val="00DA0564"/>
    <w:rsid w:val="00DA063B"/>
    <w:rsid w:val="00DA06AA"/>
    <w:rsid w:val="00DA06F8"/>
    <w:rsid w:val="00DA0739"/>
    <w:rsid w:val="00DA0957"/>
    <w:rsid w:val="00DA0A68"/>
    <w:rsid w:val="00DA0D59"/>
    <w:rsid w:val="00DA0EC8"/>
    <w:rsid w:val="00DA0F24"/>
    <w:rsid w:val="00DA0F6C"/>
    <w:rsid w:val="00DA0F75"/>
    <w:rsid w:val="00DA0FCF"/>
    <w:rsid w:val="00DA1135"/>
    <w:rsid w:val="00DA11AD"/>
    <w:rsid w:val="00DA1259"/>
    <w:rsid w:val="00DA1279"/>
    <w:rsid w:val="00DA1293"/>
    <w:rsid w:val="00DA1375"/>
    <w:rsid w:val="00DA13B0"/>
    <w:rsid w:val="00DA14E3"/>
    <w:rsid w:val="00DA1B8B"/>
    <w:rsid w:val="00DA1C54"/>
    <w:rsid w:val="00DA1EDD"/>
    <w:rsid w:val="00DA2042"/>
    <w:rsid w:val="00DA2242"/>
    <w:rsid w:val="00DA2378"/>
    <w:rsid w:val="00DA2528"/>
    <w:rsid w:val="00DA26AB"/>
    <w:rsid w:val="00DA27ED"/>
    <w:rsid w:val="00DA2ACC"/>
    <w:rsid w:val="00DA2C76"/>
    <w:rsid w:val="00DA2D15"/>
    <w:rsid w:val="00DA2DD6"/>
    <w:rsid w:val="00DA2E0C"/>
    <w:rsid w:val="00DA2FC4"/>
    <w:rsid w:val="00DA3045"/>
    <w:rsid w:val="00DA308E"/>
    <w:rsid w:val="00DA31FA"/>
    <w:rsid w:val="00DA3308"/>
    <w:rsid w:val="00DA3323"/>
    <w:rsid w:val="00DA33F8"/>
    <w:rsid w:val="00DA3556"/>
    <w:rsid w:val="00DA35AF"/>
    <w:rsid w:val="00DA36E6"/>
    <w:rsid w:val="00DA381A"/>
    <w:rsid w:val="00DA38C2"/>
    <w:rsid w:val="00DA38E1"/>
    <w:rsid w:val="00DA3966"/>
    <w:rsid w:val="00DA3A99"/>
    <w:rsid w:val="00DA3D48"/>
    <w:rsid w:val="00DA3E58"/>
    <w:rsid w:val="00DA3F7C"/>
    <w:rsid w:val="00DA3FE0"/>
    <w:rsid w:val="00DA415F"/>
    <w:rsid w:val="00DA4173"/>
    <w:rsid w:val="00DA433D"/>
    <w:rsid w:val="00DA4504"/>
    <w:rsid w:val="00DA451C"/>
    <w:rsid w:val="00DA4661"/>
    <w:rsid w:val="00DA4765"/>
    <w:rsid w:val="00DA47CB"/>
    <w:rsid w:val="00DA4805"/>
    <w:rsid w:val="00DA49F9"/>
    <w:rsid w:val="00DA4A43"/>
    <w:rsid w:val="00DA4A7E"/>
    <w:rsid w:val="00DA4AE5"/>
    <w:rsid w:val="00DA4C33"/>
    <w:rsid w:val="00DA5056"/>
    <w:rsid w:val="00DA50A1"/>
    <w:rsid w:val="00DA510F"/>
    <w:rsid w:val="00DA52AB"/>
    <w:rsid w:val="00DA52E9"/>
    <w:rsid w:val="00DA53D5"/>
    <w:rsid w:val="00DA5566"/>
    <w:rsid w:val="00DA56E3"/>
    <w:rsid w:val="00DA5817"/>
    <w:rsid w:val="00DA581C"/>
    <w:rsid w:val="00DA587C"/>
    <w:rsid w:val="00DA5A97"/>
    <w:rsid w:val="00DA5AA2"/>
    <w:rsid w:val="00DA5C44"/>
    <w:rsid w:val="00DA60E4"/>
    <w:rsid w:val="00DA62EE"/>
    <w:rsid w:val="00DA636F"/>
    <w:rsid w:val="00DA63E3"/>
    <w:rsid w:val="00DA671A"/>
    <w:rsid w:val="00DA691D"/>
    <w:rsid w:val="00DA692A"/>
    <w:rsid w:val="00DA6BC7"/>
    <w:rsid w:val="00DA6C44"/>
    <w:rsid w:val="00DA6E38"/>
    <w:rsid w:val="00DA6EB6"/>
    <w:rsid w:val="00DA6F4B"/>
    <w:rsid w:val="00DA6F83"/>
    <w:rsid w:val="00DA7284"/>
    <w:rsid w:val="00DA74CD"/>
    <w:rsid w:val="00DA751F"/>
    <w:rsid w:val="00DA7643"/>
    <w:rsid w:val="00DA78C9"/>
    <w:rsid w:val="00DA7AF3"/>
    <w:rsid w:val="00DA7DBF"/>
    <w:rsid w:val="00DB0332"/>
    <w:rsid w:val="00DB03F0"/>
    <w:rsid w:val="00DB0574"/>
    <w:rsid w:val="00DB058B"/>
    <w:rsid w:val="00DB05D1"/>
    <w:rsid w:val="00DB071C"/>
    <w:rsid w:val="00DB089F"/>
    <w:rsid w:val="00DB0B81"/>
    <w:rsid w:val="00DB0BBF"/>
    <w:rsid w:val="00DB0D02"/>
    <w:rsid w:val="00DB1092"/>
    <w:rsid w:val="00DB11B8"/>
    <w:rsid w:val="00DB12BE"/>
    <w:rsid w:val="00DB1301"/>
    <w:rsid w:val="00DB1570"/>
    <w:rsid w:val="00DB16D7"/>
    <w:rsid w:val="00DB1709"/>
    <w:rsid w:val="00DB1892"/>
    <w:rsid w:val="00DB199B"/>
    <w:rsid w:val="00DB1BBD"/>
    <w:rsid w:val="00DB1BC3"/>
    <w:rsid w:val="00DB1BD5"/>
    <w:rsid w:val="00DB1C0B"/>
    <w:rsid w:val="00DB1CB2"/>
    <w:rsid w:val="00DB1FA6"/>
    <w:rsid w:val="00DB1FE1"/>
    <w:rsid w:val="00DB204A"/>
    <w:rsid w:val="00DB205B"/>
    <w:rsid w:val="00DB2061"/>
    <w:rsid w:val="00DB214D"/>
    <w:rsid w:val="00DB218E"/>
    <w:rsid w:val="00DB21C6"/>
    <w:rsid w:val="00DB21E5"/>
    <w:rsid w:val="00DB2221"/>
    <w:rsid w:val="00DB22CA"/>
    <w:rsid w:val="00DB23E9"/>
    <w:rsid w:val="00DB24EA"/>
    <w:rsid w:val="00DB2903"/>
    <w:rsid w:val="00DB291D"/>
    <w:rsid w:val="00DB2930"/>
    <w:rsid w:val="00DB2AD6"/>
    <w:rsid w:val="00DB2D07"/>
    <w:rsid w:val="00DB2D82"/>
    <w:rsid w:val="00DB2D90"/>
    <w:rsid w:val="00DB325B"/>
    <w:rsid w:val="00DB32C7"/>
    <w:rsid w:val="00DB33EB"/>
    <w:rsid w:val="00DB3504"/>
    <w:rsid w:val="00DB354A"/>
    <w:rsid w:val="00DB36C5"/>
    <w:rsid w:val="00DB3720"/>
    <w:rsid w:val="00DB3726"/>
    <w:rsid w:val="00DB3749"/>
    <w:rsid w:val="00DB3794"/>
    <w:rsid w:val="00DB37EA"/>
    <w:rsid w:val="00DB3B8C"/>
    <w:rsid w:val="00DB3BC0"/>
    <w:rsid w:val="00DB3D86"/>
    <w:rsid w:val="00DB3E2B"/>
    <w:rsid w:val="00DB3ED5"/>
    <w:rsid w:val="00DB410C"/>
    <w:rsid w:val="00DB41BC"/>
    <w:rsid w:val="00DB43A3"/>
    <w:rsid w:val="00DB43CC"/>
    <w:rsid w:val="00DB445F"/>
    <w:rsid w:val="00DB44B0"/>
    <w:rsid w:val="00DB4538"/>
    <w:rsid w:val="00DB46D1"/>
    <w:rsid w:val="00DB4838"/>
    <w:rsid w:val="00DB4867"/>
    <w:rsid w:val="00DB4AD9"/>
    <w:rsid w:val="00DB4D0D"/>
    <w:rsid w:val="00DB4D46"/>
    <w:rsid w:val="00DB4E1C"/>
    <w:rsid w:val="00DB4E61"/>
    <w:rsid w:val="00DB4F1A"/>
    <w:rsid w:val="00DB4F20"/>
    <w:rsid w:val="00DB504D"/>
    <w:rsid w:val="00DB5056"/>
    <w:rsid w:val="00DB50E3"/>
    <w:rsid w:val="00DB51F6"/>
    <w:rsid w:val="00DB5329"/>
    <w:rsid w:val="00DB5489"/>
    <w:rsid w:val="00DB55D9"/>
    <w:rsid w:val="00DB57A8"/>
    <w:rsid w:val="00DB582A"/>
    <w:rsid w:val="00DB585A"/>
    <w:rsid w:val="00DB58E8"/>
    <w:rsid w:val="00DB590F"/>
    <w:rsid w:val="00DB593E"/>
    <w:rsid w:val="00DB5A39"/>
    <w:rsid w:val="00DB5A67"/>
    <w:rsid w:val="00DB5F81"/>
    <w:rsid w:val="00DB6066"/>
    <w:rsid w:val="00DB607E"/>
    <w:rsid w:val="00DB61AE"/>
    <w:rsid w:val="00DB63EB"/>
    <w:rsid w:val="00DB648E"/>
    <w:rsid w:val="00DB6578"/>
    <w:rsid w:val="00DB65DA"/>
    <w:rsid w:val="00DB6649"/>
    <w:rsid w:val="00DB67ED"/>
    <w:rsid w:val="00DB6CAD"/>
    <w:rsid w:val="00DB6D0D"/>
    <w:rsid w:val="00DB6EE0"/>
    <w:rsid w:val="00DB6EF9"/>
    <w:rsid w:val="00DB6F4D"/>
    <w:rsid w:val="00DB6F87"/>
    <w:rsid w:val="00DB70BA"/>
    <w:rsid w:val="00DB7131"/>
    <w:rsid w:val="00DB7222"/>
    <w:rsid w:val="00DB73A5"/>
    <w:rsid w:val="00DB7441"/>
    <w:rsid w:val="00DB7452"/>
    <w:rsid w:val="00DB754F"/>
    <w:rsid w:val="00DB7670"/>
    <w:rsid w:val="00DB78D0"/>
    <w:rsid w:val="00DB7A1B"/>
    <w:rsid w:val="00DB7A78"/>
    <w:rsid w:val="00DB7ADA"/>
    <w:rsid w:val="00DB7C6F"/>
    <w:rsid w:val="00DB7D21"/>
    <w:rsid w:val="00DB7E64"/>
    <w:rsid w:val="00DB7F17"/>
    <w:rsid w:val="00DB7F1C"/>
    <w:rsid w:val="00DB7F67"/>
    <w:rsid w:val="00DC02CD"/>
    <w:rsid w:val="00DC0902"/>
    <w:rsid w:val="00DC0955"/>
    <w:rsid w:val="00DC0961"/>
    <w:rsid w:val="00DC0BAC"/>
    <w:rsid w:val="00DC0C24"/>
    <w:rsid w:val="00DC0D56"/>
    <w:rsid w:val="00DC0E58"/>
    <w:rsid w:val="00DC0E7B"/>
    <w:rsid w:val="00DC0EAE"/>
    <w:rsid w:val="00DC102A"/>
    <w:rsid w:val="00DC111F"/>
    <w:rsid w:val="00DC127B"/>
    <w:rsid w:val="00DC12B8"/>
    <w:rsid w:val="00DC170B"/>
    <w:rsid w:val="00DC1773"/>
    <w:rsid w:val="00DC1816"/>
    <w:rsid w:val="00DC1A6F"/>
    <w:rsid w:val="00DC2018"/>
    <w:rsid w:val="00DC20B9"/>
    <w:rsid w:val="00DC21B5"/>
    <w:rsid w:val="00DC237B"/>
    <w:rsid w:val="00DC24FF"/>
    <w:rsid w:val="00DC2541"/>
    <w:rsid w:val="00DC25C7"/>
    <w:rsid w:val="00DC27B7"/>
    <w:rsid w:val="00DC2844"/>
    <w:rsid w:val="00DC29A3"/>
    <w:rsid w:val="00DC2A20"/>
    <w:rsid w:val="00DC2B3D"/>
    <w:rsid w:val="00DC2CDC"/>
    <w:rsid w:val="00DC2D91"/>
    <w:rsid w:val="00DC2DAD"/>
    <w:rsid w:val="00DC2DDD"/>
    <w:rsid w:val="00DC2E5B"/>
    <w:rsid w:val="00DC2FD4"/>
    <w:rsid w:val="00DC3512"/>
    <w:rsid w:val="00DC35B1"/>
    <w:rsid w:val="00DC3649"/>
    <w:rsid w:val="00DC37D0"/>
    <w:rsid w:val="00DC382B"/>
    <w:rsid w:val="00DC385C"/>
    <w:rsid w:val="00DC39DC"/>
    <w:rsid w:val="00DC3AE5"/>
    <w:rsid w:val="00DC3C5C"/>
    <w:rsid w:val="00DC3CD7"/>
    <w:rsid w:val="00DC3E43"/>
    <w:rsid w:val="00DC403B"/>
    <w:rsid w:val="00DC4064"/>
    <w:rsid w:val="00DC427A"/>
    <w:rsid w:val="00DC4285"/>
    <w:rsid w:val="00DC42E0"/>
    <w:rsid w:val="00DC44FA"/>
    <w:rsid w:val="00DC455F"/>
    <w:rsid w:val="00DC46B0"/>
    <w:rsid w:val="00DC46C1"/>
    <w:rsid w:val="00DC46EE"/>
    <w:rsid w:val="00DC4930"/>
    <w:rsid w:val="00DC4A2E"/>
    <w:rsid w:val="00DC4A9E"/>
    <w:rsid w:val="00DC4B6F"/>
    <w:rsid w:val="00DC4B77"/>
    <w:rsid w:val="00DC4C26"/>
    <w:rsid w:val="00DC4EEC"/>
    <w:rsid w:val="00DC4F89"/>
    <w:rsid w:val="00DC52E7"/>
    <w:rsid w:val="00DC5353"/>
    <w:rsid w:val="00DC54C2"/>
    <w:rsid w:val="00DC5506"/>
    <w:rsid w:val="00DC5514"/>
    <w:rsid w:val="00DC55D8"/>
    <w:rsid w:val="00DC5639"/>
    <w:rsid w:val="00DC566C"/>
    <w:rsid w:val="00DC5D15"/>
    <w:rsid w:val="00DC5E2E"/>
    <w:rsid w:val="00DC5F32"/>
    <w:rsid w:val="00DC6119"/>
    <w:rsid w:val="00DC6278"/>
    <w:rsid w:val="00DC62DD"/>
    <w:rsid w:val="00DC64AE"/>
    <w:rsid w:val="00DC6503"/>
    <w:rsid w:val="00DC650D"/>
    <w:rsid w:val="00DC6584"/>
    <w:rsid w:val="00DC6753"/>
    <w:rsid w:val="00DC67D8"/>
    <w:rsid w:val="00DC6821"/>
    <w:rsid w:val="00DC692B"/>
    <w:rsid w:val="00DC6959"/>
    <w:rsid w:val="00DC69AC"/>
    <w:rsid w:val="00DC6BA7"/>
    <w:rsid w:val="00DC6BC0"/>
    <w:rsid w:val="00DC6CD3"/>
    <w:rsid w:val="00DC6D12"/>
    <w:rsid w:val="00DC6E39"/>
    <w:rsid w:val="00DC6E4B"/>
    <w:rsid w:val="00DC709B"/>
    <w:rsid w:val="00DC70EC"/>
    <w:rsid w:val="00DC72E1"/>
    <w:rsid w:val="00DC73E4"/>
    <w:rsid w:val="00DC744A"/>
    <w:rsid w:val="00DC74B4"/>
    <w:rsid w:val="00DC7580"/>
    <w:rsid w:val="00DC766E"/>
    <w:rsid w:val="00DC779D"/>
    <w:rsid w:val="00DC7D60"/>
    <w:rsid w:val="00DC7F49"/>
    <w:rsid w:val="00DC7F4A"/>
    <w:rsid w:val="00DD000A"/>
    <w:rsid w:val="00DD00A7"/>
    <w:rsid w:val="00DD00B0"/>
    <w:rsid w:val="00DD00DF"/>
    <w:rsid w:val="00DD0273"/>
    <w:rsid w:val="00DD0384"/>
    <w:rsid w:val="00DD0477"/>
    <w:rsid w:val="00DD0577"/>
    <w:rsid w:val="00DD06F9"/>
    <w:rsid w:val="00DD0711"/>
    <w:rsid w:val="00DD073B"/>
    <w:rsid w:val="00DD0960"/>
    <w:rsid w:val="00DD0A20"/>
    <w:rsid w:val="00DD0A26"/>
    <w:rsid w:val="00DD0A2C"/>
    <w:rsid w:val="00DD0B7C"/>
    <w:rsid w:val="00DD0C0C"/>
    <w:rsid w:val="00DD0CB8"/>
    <w:rsid w:val="00DD0CE4"/>
    <w:rsid w:val="00DD0CF9"/>
    <w:rsid w:val="00DD0D96"/>
    <w:rsid w:val="00DD0DD4"/>
    <w:rsid w:val="00DD0E28"/>
    <w:rsid w:val="00DD0E91"/>
    <w:rsid w:val="00DD125F"/>
    <w:rsid w:val="00DD163E"/>
    <w:rsid w:val="00DD18A9"/>
    <w:rsid w:val="00DD1963"/>
    <w:rsid w:val="00DD1ACA"/>
    <w:rsid w:val="00DD1B51"/>
    <w:rsid w:val="00DD1BCF"/>
    <w:rsid w:val="00DD1BDF"/>
    <w:rsid w:val="00DD1D49"/>
    <w:rsid w:val="00DD1EAF"/>
    <w:rsid w:val="00DD1F25"/>
    <w:rsid w:val="00DD22DF"/>
    <w:rsid w:val="00DD22FE"/>
    <w:rsid w:val="00DD23A6"/>
    <w:rsid w:val="00DD24EA"/>
    <w:rsid w:val="00DD256B"/>
    <w:rsid w:val="00DD26A5"/>
    <w:rsid w:val="00DD2782"/>
    <w:rsid w:val="00DD2783"/>
    <w:rsid w:val="00DD28E7"/>
    <w:rsid w:val="00DD2A74"/>
    <w:rsid w:val="00DD2C47"/>
    <w:rsid w:val="00DD2E24"/>
    <w:rsid w:val="00DD30A6"/>
    <w:rsid w:val="00DD30DE"/>
    <w:rsid w:val="00DD31A2"/>
    <w:rsid w:val="00DD327D"/>
    <w:rsid w:val="00DD3318"/>
    <w:rsid w:val="00DD34C0"/>
    <w:rsid w:val="00DD34C8"/>
    <w:rsid w:val="00DD358C"/>
    <w:rsid w:val="00DD3653"/>
    <w:rsid w:val="00DD374A"/>
    <w:rsid w:val="00DD397A"/>
    <w:rsid w:val="00DD3B84"/>
    <w:rsid w:val="00DD3BF0"/>
    <w:rsid w:val="00DD3C0D"/>
    <w:rsid w:val="00DD3D23"/>
    <w:rsid w:val="00DD3DC9"/>
    <w:rsid w:val="00DD3E60"/>
    <w:rsid w:val="00DD3E66"/>
    <w:rsid w:val="00DD40C8"/>
    <w:rsid w:val="00DD4155"/>
    <w:rsid w:val="00DD4323"/>
    <w:rsid w:val="00DD44BF"/>
    <w:rsid w:val="00DD4665"/>
    <w:rsid w:val="00DD48DB"/>
    <w:rsid w:val="00DD491A"/>
    <w:rsid w:val="00DD4923"/>
    <w:rsid w:val="00DD49E7"/>
    <w:rsid w:val="00DD4B3F"/>
    <w:rsid w:val="00DD4D49"/>
    <w:rsid w:val="00DD4DA0"/>
    <w:rsid w:val="00DD4E32"/>
    <w:rsid w:val="00DD522A"/>
    <w:rsid w:val="00DD535F"/>
    <w:rsid w:val="00DD556B"/>
    <w:rsid w:val="00DD569C"/>
    <w:rsid w:val="00DD5700"/>
    <w:rsid w:val="00DD5891"/>
    <w:rsid w:val="00DD5973"/>
    <w:rsid w:val="00DD5999"/>
    <w:rsid w:val="00DD59AE"/>
    <w:rsid w:val="00DD5A9D"/>
    <w:rsid w:val="00DD5D26"/>
    <w:rsid w:val="00DD5E14"/>
    <w:rsid w:val="00DD5EE6"/>
    <w:rsid w:val="00DD5F20"/>
    <w:rsid w:val="00DD5F93"/>
    <w:rsid w:val="00DD62DA"/>
    <w:rsid w:val="00DD62ED"/>
    <w:rsid w:val="00DD637C"/>
    <w:rsid w:val="00DD64B9"/>
    <w:rsid w:val="00DD6591"/>
    <w:rsid w:val="00DD65AB"/>
    <w:rsid w:val="00DD67D3"/>
    <w:rsid w:val="00DD67D7"/>
    <w:rsid w:val="00DD695C"/>
    <w:rsid w:val="00DD6ACD"/>
    <w:rsid w:val="00DD6AD6"/>
    <w:rsid w:val="00DD6CD4"/>
    <w:rsid w:val="00DD6E19"/>
    <w:rsid w:val="00DD6ED1"/>
    <w:rsid w:val="00DD702C"/>
    <w:rsid w:val="00DD70B2"/>
    <w:rsid w:val="00DD7101"/>
    <w:rsid w:val="00DD7113"/>
    <w:rsid w:val="00DD72B6"/>
    <w:rsid w:val="00DD72D2"/>
    <w:rsid w:val="00DD737D"/>
    <w:rsid w:val="00DD7446"/>
    <w:rsid w:val="00DD7485"/>
    <w:rsid w:val="00DD7669"/>
    <w:rsid w:val="00DD785C"/>
    <w:rsid w:val="00DD7A93"/>
    <w:rsid w:val="00DD7B69"/>
    <w:rsid w:val="00DD7B9D"/>
    <w:rsid w:val="00DD7C5F"/>
    <w:rsid w:val="00DD7C74"/>
    <w:rsid w:val="00DD7D9F"/>
    <w:rsid w:val="00DD7EE2"/>
    <w:rsid w:val="00DD7F5F"/>
    <w:rsid w:val="00DD7FD5"/>
    <w:rsid w:val="00DE015E"/>
    <w:rsid w:val="00DE029F"/>
    <w:rsid w:val="00DE02B0"/>
    <w:rsid w:val="00DE046D"/>
    <w:rsid w:val="00DE07B3"/>
    <w:rsid w:val="00DE084F"/>
    <w:rsid w:val="00DE0942"/>
    <w:rsid w:val="00DE0972"/>
    <w:rsid w:val="00DE0A46"/>
    <w:rsid w:val="00DE0A8A"/>
    <w:rsid w:val="00DE0D09"/>
    <w:rsid w:val="00DE0D63"/>
    <w:rsid w:val="00DE0EC3"/>
    <w:rsid w:val="00DE0FE5"/>
    <w:rsid w:val="00DE1063"/>
    <w:rsid w:val="00DE1086"/>
    <w:rsid w:val="00DE1118"/>
    <w:rsid w:val="00DE118F"/>
    <w:rsid w:val="00DE1214"/>
    <w:rsid w:val="00DE12F9"/>
    <w:rsid w:val="00DE137A"/>
    <w:rsid w:val="00DE1453"/>
    <w:rsid w:val="00DE1463"/>
    <w:rsid w:val="00DE15F7"/>
    <w:rsid w:val="00DE1652"/>
    <w:rsid w:val="00DE16D3"/>
    <w:rsid w:val="00DE17E9"/>
    <w:rsid w:val="00DE19DF"/>
    <w:rsid w:val="00DE1ADE"/>
    <w:rsid w:val="00DE1BB2"/>
    <w:rsid w:val="00DE1E69"/>
    <w:rsid w:val="00DE20DF"/>
    <w:rsid w:val="00DE2234"/>
    <w:rsid w:val="00DE22AC"/>
    <w:rsid w:val="00DE257C"/>
    <w:rsid w:val="00DE25E0"/>
    <w:rsid w:val="00DE269D"/>
    <w:rsid w:val="00DE27DD"/>
    <w:rsid w:val="00DE2B18"/>
    <w:rsid w:val="00DE2FCD"/>
    <w:rsid w:val="00DE3045"/>
    <w:rsid w:val="00DE30F9"/>
    <w:rsid w:val="00DE3200"/>
    <w:rsid w:val="00DE32EB"/>
    <w:rsid w:val="00DE3415"/>
    <w:rsid w:val="00DE34BA"/>
    <w:rsid w:val="00DE3801"/>
    <w:rsid w:val="00DE39B6"/>
    <w:rsid w:val="00DE39ED"/>
    <w:rsid w:val="00DE39FB"/>
    <w:rsid w:val="00DE3ADA"/>
    <w:rsid w:val="00DE3C7D"/>
    <w:rsid w:val="00DE3CA4"/>
    <w:rsid w:val="00DE3CB0"/>
    <w:rsid w:val="00DE3F39"/>
    <w:rsid w:val="00DE408F"/>
    <w:rsid w:val="00DE4104"/>
    <w:rsid w:val="00DE415E"/>
    <w:rsid w:val="00DE43A3"/>
    <w:rsid w:val="00DE43A9"/>
    <w:rsid w:val="00DE4406"/>
    <w:rsid w:val="00DE44DA"/>
    <w:rsid w:val="00DE4696"/>
    <w:rsid w:val="00DE4727"/>
    <w:rsid w:val="00DE4750"/>
    <w:rsid w:val="00DE48F1"/>
    <w:rsid w:val="00DE4AEB"/>
    <w:rsid w:val="00DE4CBF"/>
    <w:rsid w:val="00DE4DFE"/>
    <w:rsid w:val="00DE4E66"/>
    <w:rsid w:val="00DE50EC"/>
    <w:rsid w:val="00DE54E3"/>
    <w:rsid w:val="00DE54ED"/>
    <w:rsid w:val="00DE5879"/>
    <w:rsid w:val="00DE58C3"/>
    <w:rsid w:val="00DE5AA4"/>
    <w:rsid w:val="00DE5C2D"/>
    <w:rsid w:val="00DE5C64"/>
    <w:rsid w:val="00DE5D4C"/>
    <w:rsid w:val="00DE5E84"/>
    <w:rsid w:val="00DE5EC8"/>
    <w:rsid w:val="00DE6065"/>
    <w:rsid w:val="00DE630C"/>
    <w:rsid w:val="00DE6320"/>
    <w:rsid w:val="00DE63A5"/>
    <w:rsid w:val="00DE63C9"/>
    <w:rsid w:val="00DE6434"/>
    <w:rsid w:val="00DE684E"/>
    <w:rsid w:val="00DE6B88"/>
    <w:rsid w:val="00DE6BD8"/>
    <w:rsid w:val="00DE6C17"/>
    <w:rsid w:val="00DE6D48"/>
    <w:rsid w:val="00DE6F90"/>
    <w:rsid w:val="00DE7053"/>
    <w:rsid w:val="00DE70EA"/>
    <w:rsid w:val="00DE721C"/>
    <w:rsid w:val="00DE7386"/>
    <w:rsid w:val="00DE76DB"/>
    <w:rsid w:val="00DE76E4"/>
    <w:rsid w:val="00DE7928"/>
    <w:rsid w:val="00DE79D1"/>
    <w:rsid w:val="00DE7A88"/>
    <w:rsid w:val="00DE7BC1"/>
    <w:rsid w:val="00DE7E1E"/>
    <w:rsid w:val="00DE7E46"/>
    <w:rsid w:val="00DE7E54"/>
    <w:rsid w:val="00DF0020"/>
    <w:rsid w:val="00DF00D6"/>
    <w:rsid w:val="00DF02BE"/>
    <w:rsid w:val="00DF06C1"/>
    <w:rsid w:val="00DF08BB"/>
    <w:rsid w:val="00DF09E3"/>
    <w:rsid w:val="00DF0C66"/>
    <w:rsid w:val="00DF0EF5"/>
    <w:rsid w:val="00DF0F80"/>
    <w:rsid w:val="00DF142B"/>
    <w:rsid w:val="00DF1466"/>
    <w:rsid w:val="00DF15B1"/>
    <w:rsid w:val="00DF15FE"/>
    <w:rsid w:val="00DF1B4C"/>
    <w:rsid w:val="00DF1BA0"/>
    <w:rsid w:val="00DF1DAF"/>
    <w:rsid w:val="00DF1E14"/>
    <w:rsid w:val="00DF1E9A"/>
    <w:rsid w:val="00DF1F6B"/>
    <w:rsid w:val="00DF206F"/>
    <w:rsid w:val="00DF20A7"/>
    <w:rsid w:val="00DF216A"/>
    <w:rsid w:val="00DF2197"/>
    <w:rsid w:val="00DF223C"/>
    <w:rsid w:val="00DF2394"/>
    <w:rsid w:val="00DF2442"/>
    <w:rsid w:val="00DF24E0"/>
    <w:rsid w:val="00DF2578"/>
    <w:rsid w:val="00DF25A0"/>
    <w:rsid w:val="00DF265D"/>
    <w:rsid w:val="00DF278E"/>
    <w:rsid w:val="00DF2A61"/>
    <w:rsid w:val="00DF2A75"/>
    <w:rsid w:val="00DF2AFE"/>
    <w:rsid w:val="00DF2BB5"/>
    <w:rsid w:val="00DF2FAF"/>
    <w:rsid w:val="00DF2FBA"/>
    <w:rsid w:val="00DF2FBD"/>
    <w:rsid w:val="00DF30F7"/>
    <w:rsid w:val="00DF33FE"/>
    <w:rsid w:val="00DF346D"/>
    <w:rsid w:val="00DF34D5"/>
    <w:rsid w:val="00DF35E2"/>
    <w:rsid w:val="00DF36F4"/>
    <w:rsid w:val="00DF38A0"/>
    <w:rsid w:val="00DF3993"/>
    <w:rsid w:val="00DF3C8E"/>
    <w:rsid w:val="00DF3F1C"/>
    <w:rsid w:val="00DF3F5D"/>
    <w:rsid w:val="00DF4185"/>
    <w:rsid w:val="00DF42BF"/>
    <w:rsid w:val="00DF44D8"/>
    <w:rsid w:val="00DF471C"/>
    <w:rsid w:val="00DF4A16"/>
    <w:rsid w:val="00DF4C66"/>
    <w:rsid w:val="00DF4CE0"/>
    <w:rsid w:val="00DF4FA1"/>
    <w:rsid w:val="00DF5004"/>
    <w:rsid w:val="00DF50EC"/>
    <w:rsid w:val="00DF52B8"/>
    <w:rsid w:val="00DF52F9"/>
    <w:rsid w:val="00DF5494"/>
    <w:rsid w:val="00DF5512"/>
    <w:rsid w:val="00DF5538"/>
    <w:rsid w:val="00DF557F"/>
    <w:rsid w:val="00DF5584"/>
    <w:rsid w:val="00DF56CB"/>
    <w:rsid w:val="00DF573E"/>
    <w:rsid w:val="00DF57BB"/>
    <w:rsid w:val="00DF5A1E"/>
    <w:rsid w:val="00DF5CDD"/>
    <w:rsid w:val="00DF5D7B"/>
    <w:rsid w:val="00DF5E76"/>
    <w:rsid w:val="00DF5E83"/>
    <w:rsid w:val="00DF5E84"/>
    <w:rsid w:val="00DF60F3"/>
    <w:rsid w:val="00DF614B"/>
    <w:rsid w:val="00DF6313"/>
    <w:rsid w:val="00DF6569"/>
    <w:rsid w:val="00DF6975"/>
    <w:rsid w:val="00DF69CA"/>
    <w:rsid w:val="00DF6C8D"/>
    <w:rsid w:val="00DF6D41"/>
    <w:rsid w:val="00DF6D50"/>
    <w:rsid w:val="00DF6D89"/>
    <w:rsid w:val="00DF6F1A"/>
    <w:rsid w:val="00DF73F4"/>
    <w:rsid w:val="00DF75FB"/>
    <w:rsid w:val="00DF76FA"/>
    <w:rsid w:val="00DF77DE"/>
    <w:rsid w:val="00DF788B"/>
    <w:rsid w:val="00DF7A56"/>
    <w:rsid w:val="00DF7AD1"/>
    <w:rsid w:val="00DF7B7B"/>
    <w:rsid w:val="00DF7C80"/>
    <w:rsid w:val="00DF7CE4"/>
    <w:rsid w:val="00DF7E97"/>
    <w:rsid w:val="00DF7FE8"/>
    <w:rsid w:val="00E00034"/>
    <w:rsid w:val="00E00157"/>
    <w:rsid w:val="00E00299"/>
    <w:rsid w:val="00E0029D"/>
    <w:rsid w:val="00E003E1"/>
    <w:rsid w:val="00E004F2"/>
    <w:rsid w:val="00E006D4"/>
    <w:rsid w:val="00E0072E"/>
    <w:rsid w:val="00E007C7"/>
    <w:rsid w:val="00E008DC"/>
    <w:rsid w:val="00E009D7"/>
    <w:rsid w:val="00E00A96"/>
    <w:rsid w:val="00E00B7F"/>
    <w:rsid w:val="00E00BC4"/>
    <w:rsid w:val="00E00C5D"/>
    <w:rsid w:val="00E00CAE"/>
    <w:rsid w:val="00E00D12"/>
    <w:rsid w:val="00E00F48"/>
    <w:rsid w:val="00E01021"/>
    <w:rsid w:val="00E011E6"/>
    <w:rsid w:val="00E01220"/>
    <w:rsid w:val="00E012AE"/>
    <w:rsid w:val="00E01455"/>
    <w:rsid w:val="00E014D9"/>
    <w:rsid w:val="00E0150C"/>
    <w:rsid w:val="00E01771"/>
    <w:rsid w:val="00E01775"/>
    <w:rsid w:val="00E018DE"/>
    <w:rsid w:val="00E018E6"/>
    <w:rsid w:val="00E01C73"/>
    <w:rsid w:val="00E023B6"/>
    <w:rsid w:val="00E024F0"/>
    <w:rsid w:val="00E02632"/>
    <w:rsid w:val="00E026EE"/>
    <w:rsid w:val="00E0280D"/>
    <w:rsid w:val="00E02937"/>
    <w:rsid w:val="00E02B77"/>
    <w:rsid w:val="00E02C8A"/>
    <w:rsid w:val="00E02CFD"/>
    <w:rsid w:val="00E02F68"/>
    <w:rsid w:val="00E03154"/>
    <w:rsid w:val="00E032A9"/>
    <w:rsid w:val="00E03309"/>
    <w:rsid w:val="00E03378"/>
    <w:rsid w:val="00E03544"/>
    <w:rsid w:val="00E0363B"/>
    <w:rsid w:val="00E036FA"/>
    <w:rsid w:val="00E037B6"/>
    <w:rsid w:val="00E038C6"/>
    <w:rsid w:val="00E038D6"/>
    <w:rsid w:val="00E0390F"/>
    <w:rsid w:val="00E03975"/>
    <w:rsid w:val="00E03B1A"/>
    <w:rsid w:val="00E03B70"/>
    <w:rsid w:val="00E03C1D"/>
    <w:rsid w:val="00E03D3A"/>
    <w:rsid w:val="00E03E59"/>
    <w:rsid w:val="00E04113"/>
    <w:rsid w:val="00E041C7"/>
    <w:rsid w:val="00E04237"/>
    <w:rsid w:val="00E0429C"/>
    <w:rsid w:val="00E042E4"/>
    <w:rsid w:val="00E04302"/>
    <w:rsid w:val="00E0440A"/>
    <w:rsid w:val="00E04599"/>
    <w:rsid w:val="00E0459A"/>
    <w:rsid w:val="00E0476A"/>
    <w:rsid w:val="00E0476E"/>
    <w:rsid w:val="00E048F4"/>
    <w:rsid w:val="00E04CCB"/>
    <w:rsid w:val="00E04DAA"/>
    <w:rsid w:val="00E04FDA"/>
    <w:rsid w:val="00E05215"/>
    <w:rsid w:val="00E0530C"/>
    <w:rsid w:val="00E0540E"/>
    <w:rsid w:val="00E0541E"/>
    <w:rsid w:val="00E05655"/>
    <w:rsid w:val="00E05805"/>
    <w:rsid w:val="00E05888"/>
    <w:rsid w:val="00E05B56"/>
    <w:rsid w:val="00E05CA4"/>
    <w:rsid w:val="00E05DEE"/>
    <w:rsid w:val="00E05EA7"/>
    <w:rsid w:val="00E05F3F"/>
    <w:rsid w:val="00E05FCB"/>
    <w:rsid w:val="00E05FD1"/>
    <w:rsid w:val="00E0630B"/>
    <w:rsid w:val="00E0636E"/>
    <w:rsid w:val="00E06464"/>
    <w:rsid w:val="00E064F7"/>
    <w:rsid w:val="00E0663D"/>
    <w:rsid w:val="00E06850"/>
    <w:rsid w:val="00E06952"/>
    <w:rsid w:val="00E0706B"/>
    <w:rsid w:val="00E07096"/>
    <w:rsid w:val="00E07098"/>
    <w:rsid w:val="00E0714A"/>
    <w:rsid w:val="00E07199"/>
    <w:rsid w:val="00E07335"/>
    <w:rsid w:val="00E0739D"/>
    <w:rsid w:val="00E074D9"/>
    <w:rsid w:val="00E07542"/>
    <w:rsid w:val="00E0756D"/>
    <w:rsid w:val="00E075BA"/>
    <w:rsid w:val="00E0766A"/>
    <w:rsid w:val="00E0773D"/>
    <w:rsid w:val="00E078D0"/>
    <w:rsid w:val="00E07928"/>
    <w:rsid w:val="00E0796A"/>
    <w:rsid w:val="00E079AF"/>
    <w:rsid w:val="00E07A91"/>
    <w:rsid w:val="00E07AFD"/>
    <w:rsid w:val="00E07B1A"/>
    <w:rsid w:val="00E07C14"/>
    <w:rsid w:val="00E07CFF"/>
    <w:rsid w:val="00E07D27"/>
    <w:rsid w:val="00E07E00"/>
    <w:rsid w:val="00E07E87"/>
    <w:rsid w:val="00E07EDF"/>
    <w:rsid w:val="00E10375"/>
    <w:rsid w:val="00E10437"/>
    <w:rsid w:val="00E105B8"/>
    <w:rsid w:val="00E106F2"/>
    <w:rsid w:val="00E10710"/>
    <w:rsid w:val="00E10786"/>
    <w:rsid w:val="00E10944"/>
    <w:rsid w:val="00E109B9"/>
    <w:rsid w:val="00E10B03"/>
    <w:rsid w:val="00E10B72"/>
    <w:rsid w:val="00E10BEB"/>
    <w:rsid w:val="00E10D28"/>
    <w:rsid w:val="00E10D31"/>
    <w:rsid w:val="00E10EE9"/>
    <w:rsid w:val="00E10FCB"/>
    <w:rsid w:val="00E11027"/>
    <w:rsid w:val="00E1109D"/>
    <w:rsid w:val="00E11103"/>
    <w:rsid w:val="00E11211"/>
    <w:rsid w:val="00E1122A"/>
    <w:rsid w:val="00E11481"/>
    <w:rsid w:val="00E117C9"/>
    <w:rsid w:val="00E11880"/>
    <w:rsid w:val="00E11894"/>
    <w:rsid w:val="00E11944"/>
    <w:rsid w:val="00E11BD0"/>
    <w:rsid w:val="00E11DBD"/>
    <w:rsid w:val="00E11DCE"/>
    <w:rsid w:val="00E11E6F"/>
    <w:rsid w:val="00E11ED5"/>
    <w:rsid w:val="00E11FE0"/>
    <w:rsid w:val="00E123DD"/>
    <w:rsid w:val="00E1248A"/>
    <w:rsid w:val="00E124C1"/>
    <w:rsid w:val="00E12569"/>
    <w:rsid w:val="00E1262E"/>
    <w:rsid w:val="00E1262F"/>
    <w:rsid w:val="00E1265B"/>
    <w:rsid w:val="00E1279C"/>
    <w:rsid w:val="00E127E0"/>
    <w:rsid w:val="00E12837"/>
    <w:rsid w:val="00E12868"/>
    <w:rsid w:val="00E12BFB"/>
    <w:rsid w:val="00E12D35"/>
    <w:rsid w:val="00E12D5F"/>
    <w:rsid w:val="00E12DC5"/>
    <w:rsid w:val="00E12E2D"/>
    <w:rsid w:val="00E12F8A"/>
    <w:rsid w:val="00E12FBF"/>
    <w:rsid w:val="00E1300F"/>
    <w:rsid w:val="00E131F4"/>
    <w:rsid w:val="00E131FB"/>
    <w:rsid w:val="00E1334A"/>
    <w:rsid w:val="00E13606"/>
    <w:rsid w:val="00E1364C"/>
    <w:rsid w:val="00E136FF"/>
    <w:rsid w:val="00E1374B"/>
    <w:rsid w:val="00E1379F"/>
    <w:rsid w:val="00E137E9"/>
    <w:rsid w:val="00E13871"/>
    <w:rsid w:val="00E138BE"/>
    <w:rsid w:val="00E1390B"/>
    <w:rsid w:val="00E139A4"/>
    <w:rsid w:val="00E139F4"/>
    <w:rsid w:val="00E13A11"/>
    <w:rsid w:val="00E13A2E"/>
    <w:rsid w:val="00E13A63"/>
    <w:rsid w:val="00E13B56"/>
    <w:rsid w:val="00E140DD"/>
    <w:rsid w:val="00E14113"/>
    <w:rsid w:val="00E1414A"/>
    <w:rsid w:val="00E14165"/>
    <w:rsid w:val="00E14191"/>
    <w:rsid w:val="00E142F6"/>
    <w:rsid w:val="00E143FC"/>
    <w:rsid w:val="00E1442B"/>
    <w:rsid w:val="00E144E2"/>
    <w:rsid w:val="00E144EB"/>
    <w:rsid w:val="00E14951"/>
    <w:rsid w:val="00E14B50"/>
    <w:rsid w:val="00E14BA6"/>
    <w:rsid w:val="00E14CC7"/>
    <w:rsid w:val="00E14D67"/>
    <w:rsid w:val="00E14DCB"/>
    <w:rsid w:val="00E14F9E"/>
    <w:rsid w:val="00E1518D"/>
    <w:rsid w:val="00E15261"/>
    <w:rsid w:val="00E1526F"/>
    <w:rsid w:val="00E1545E"/>
    <w:rsid w:val="00E154D1"/>
    <w:rsid w:val="00E154D2"/>
    <w:rsid w:val="00E155BB"/>
    <w:rsid w:val="00E156CD"/>
    <w:rsid w:val="00E1588F"/>
    <w:rsid w:val="00E158DD"/>
    <w:rsid w:val="00E15941"/>
    <w:rsid w:val="00E15AAE"/>
    <w:rsid w:val="00E15ADD"/>
    <w:rsid w:val="00E15BD5"/>
    <w:rsid w:val="00E15BFB"/>
    <w:rsid w:val="00E15C22"/>
    <w:rsid w:val="00E15C76"/>
    <w:rsid w:val="00E15DA2"/>
    <w:rsid w:val="00E15E5F"/>
    <w:rsid w:val="00E15EA7"/>
    <w:rsid w:val="00E15EF9"/>
    <w:rsid w:val="00E15F66"/>
    <w:rsid w:val="00E160C3"/>
    <w:rsid w:val="00E160CD"/>
    <w:rsid w:val="00E16121"/>
    <w:rsid w:val="00E16225"/>
    <w:rsid w:val="00E16597"/>
    <w:rsid w:val="00E16607"/>
    <w:rsid w:val="00E1661F"/>
    <w:rsid w:val="00E166DA"/>
    <w:rsid w:val="00E16995"/>
    <w:rsid w:val="00E1699B"/>
    <w:rsid w:val="00E16A67"/>
    <w:rsid w:val="00E16ACA"/>
    <w:rsid w:val="00E16AE7"/>
    <w:rsid w:val="00E16BB2"/>
    <w:rsid w:val="00E16C24"/>
    <w:rsid w:val="00E16CB5"/>
    <w:rsid w:val="00E16D28"/>
    <w:rsid w:val="00E16EB4"/>
    <w:rsid w:val="00E16F72"/>
    <w:rsid w:val="00E17028"/>
    <w:rsid w:val="00E1711C"/>
    <w:rsid w:val="00E171B5"/>
    <w:rsid w:val="00E171C1"/>
    <w:rsid w:val="00E17253"/>
    <w:rsid w:val="00E17464"/>
    <w:rsid w:val="00E17723"/>
    <w:rsid w:val="00E1773B"/>
    <w:rsid w:val="00E179B5"/>
    <w:rsid w:val="00E17A61"/>
    <w:rsid w:val="00E17B1E"/>
    <w:rsid w:val="00E17B88"/>
    <w:rsid w:val="00E17C45"/>
    <w:rsid w:val="00E17D0D"/>
    <w:rsid w:val="00E17E46"/>
    <w:rsid w:val="00E17EC4"/>
    <w:rsid w:val="00E17F93"/>
    <w:rsid w:val="00E2015E"/>
    <w:rsid w:val="00E20247"/>
    <w:rsid w:val="00E204B6"/>
    <w:rsid w:val="00E2066D"/>
    <w:rsid w:val="00E206DC"/>
    <w:rsid w:val="00E20770"/>
    <w:rsid w:val="00E20951"/>
    <w:rsid w:val="00E209DB"/>
    <w:rsid w:val="00E20A46"/>
    <w:rsid w:val="00E20DBA"/>
    <w:rsid w:val="00E20F8C"/>
    <w:rsid w:val="00E20FA5"/>
    <w:rsid w:val="00E2118F"/>
    <w:rsid w:val="00E211B7"/>
    <w:rsid w:val="00E21366"/>
    <w:rsid w:val="00E213DF"/>
    <w:rsid w:val="00E215A6"/>
    <w:rsid w:val="00E21629"/>
    <w:rsid w:val="00E216AA"/>
    <w:rsid w:val="00E21748"/>
    <w:rsid w:val="00E21A05"/>
    <w:rsid w:val="00E21A69"/>
    <w:rsid w:val="00E21AA7"/>
    <w:rsid w:val="00E21B45"/>
    <w:rsid w:val="00E21C19"/>
    <w:rsid w:val="00E21F79"/>
    <w:rsid w:val="00E2207D"/>
    <w:rsid w:val="00E221D3"/>
    <w:rsid w:val="00E22344"/>
    <w:rsid w:val="00E223AD"/>
    <w:rsid w:val="00E224F0"/>
    <w:rsid w:val="00E225DF"/>
    <w:rsid w:val="00E2285A"/>
    <w:rsid w:val="00E22975"/>
    <w:rsid w:val="00E22A70"/>
    <w:rsid w:val="00E22AAB"/>
    <w:rsid w:val="00E22B0D"/>
    <w:rsid w:val="00E22E6D"/>
    <w:rsid w:val="00E23051"/>
    <w:rsid w:val="00E2314C"/>
    <w:rsid w:val="00E23250"/>
    <w:rsid w:val="00E2344A"/>
    <w:rsid w:val="00E23560"/>
    <w:rsid w:val="00E2383B"/>
    <w:rsid w:val="00E23886"/>
    <w:rsid w:val="00E23E3F"/>
    <w:rsid w:val="00E2417F"/>
    <w:rsid w:val="00E24275"/>
    <w:rsid w:val="00E24345"/>
    <w:rsid w:val="00E244FF"/>
    <w:rsid w:val="00E24605"/>
    <w:rsid w:val="00E246C6"/>
    <w:rsid w:val="00E24701"/>
    <w:rsid w:val="00E248D9"/>
    <w:rsid w:val="00E248E5"/>
    <w:rsid w:val="00E2497A"/>
    <w:rsid w:val="00E24A06"/>
    <w:rsid w:val="00E24E4D"/>
    <w:rsid w:val="00E24E9F"/>
    <w:rsid w:val="00E24F03"/>
    <w:rsid w:val="00E24F53"/>
    <w:rsid w:val="00E25027"/>
    <w:rsid w:val="00E250D5"/>
    <w:rsid w:val="00E25185"/>
    <w:rsid w:val="00E2557B"/>
    <w:rsid w:val="00E2564D"/>
    <w:rsid w:val="00E25746"/>
    <w:rsid w:val="00E25A2D"/>
    <w:rsid w:val="00E25B2C"/>
    <w:rsid w:val="00E25CD8"/>
    <w:rsid w:val="00E25D2C"/>
    <w:rsid w:val="00E25E34"/>
    <w:rsid w:val="00E25F65"/>
    <w:rsid w:val="00E25F7A"/>
    <w:rsid w:val="00E25FDD"/>
    <w:rsid w:val="00E26008"/>
    <w:rsid w:val="00E260F9"/>
    <w:rsid w:val="00E261E2"/>
    <w:rsid w:val="00E2621F"/>
    <w:rsid w:val="00E26232"/>
    <w:rsid w:val="00E26278"/>
    <w:rsid w:val="00E262C3"/>
    <w:rsid w:val="00E2637C"/>
    <w:rsid w:val="00E264EC"/>
    <w:rsid w:val="00E26501"/>
    <w:rsid w:val="00E26542"/>
    <w:rsid w:val="00E26859"/>
    <w:rsid w:val="00E268D6"/>
    <w:rsid w:val="00E26A8D"/>
    <w:rsid w:val="00E26BB9"/>
    <w:rsid w:val="00E26C3E"/>
    <w:rsid w:val="00E26CFE"/>
    <w:rsid w:val="00E26E27"/>
    <w:rsid w:val="00E26E47"/>
    <w:rsid w:val="00E26F65"/>
    <w:rsid w:val="00E27194"/>
    <w:rsid w:val="00E27218"/>
    <w:rsid w:val="00E272A4"/>
    <w:rsid w:val="00E272B2"/>
    <w:rsid w:val="00E27378"/>
    <w:rsid w:val="00E2756F"/>
    <w:rsid w:val="00E277AA"/>
    <w:rsid w:val="00E277C3"/>
    <w:rsid w:val="00E2781B"/>
    <w:rsid w:val="00E2795E"/>
    <w:rsid w:val="00E27964"/>
    <w:rsid w:val="00E27D07"/>
    <w:rsid w:val="00E27D2C"/>
    <w:rsid w:val="00E27D4C"/>
    <w:rsid w:val="00E27EAD"/>
    <w:rsid w:val="00E27F47"/>
    <w:rsid w:val="00E27F94"/>
    <w:rsid w:val="00E3003D"/>
    <w:rsid w:val="00E30257"/>
    <w:rsid w:val="00E3048B"/>
    <w:rsid w:val="00E30596"/>
    <w:rsid w:val="00E305C1"/>
    <w:rsid w:val="00E305DA"/>
    <w:rsid w:val="00E3066B"/>
    <w:rsid w:val="00E30689"/>
    <w:rsid w:val="00E30CFE"/>
    <w:rsid w:val="00E30E15"/>
    <w:rsid w:val="00E3111B"/>
    <w:rsid w:val="00E311FA"/>
    <w:rsid w:val="00E31252"/>
    <w:rsid w:val="00E312E7"/>
    <w:rsid w:val="00E315A4"/>
    <w:rsid w:val="00E31620"/>
    <w:rsid w:val="00E317CB"/>
    <w:rsid w:val="00E317DD"/>
    <w:rsid w:val="00E31811"/>
    <w:rsid w:val="00E31893"/>
    <w:rsid w:val="00E318E2"/>
    <w:rsid w:val="00E31921"/>
    <w:rsid w:val="00E31950"/>
    <w:rsid w:val="00E31AE9"/>
    <w:rsid w:val="00E31B1F"/>
    <w:rsid w:val="00E31B8D"/>
    <w:rsid w:val="00E31BC6"/>
    <w:rsid w:val="00E31C7E"/>
    <w:rsid w:val="00E31E1D"/>
    <w:rsid w:val="00E31E44"/>
    <w:rsid w:val="00E31F05"/>
    <w:rsid w:val="00E31FF1"/>
    <w:rsid w:val="00E3200A"/>
    <w:rsid w:val="00E320BE"/>
    <w:rsid w:val="00E322AD"/>
    <w:rsid w:val="00E3235C"/>
    <w:rsid w:val="00E32366"/>
    <w:rsid w:val="00E32430"/>
    <w:rsid w:val="00E3253A"/>
    <w:rsid w:val="00E325AE"/>
    <w:rsid w:val="00E326B1"/>
    <w:rsid w:val="00E3272E"/>
    <w:rsid w:val="00E32A10"/>
    <w:rsid w:val="00E32C22"/>
    <w:rsid w:val="00E32C59"/>
    <w:rsid w:val="00E32C8C"/>
    <w:rsid w:val="00E32D37"/>
    <w:rsid w:val="00E32E12"/>
    <w:rsid w:val="00E32E13"/>
    <w:rsid w:val="00E32FD4"/>
    <w:rsid w:val="00E33001"/>
    <w:rsid w:val="00E330F4"/>
    <w:rsid w:val="00E3312C"/>
    <w:rsid w:val="00E33150"/>
    <w:rsid w:val="00E332BE"/>
    <w:rsid w:val="00E33533"/>
    <w:rsid w:val="00E33537"/>
    <w:rsid w:val="00E3358B"/>
    <w:rsid w:val="00E3369A"/>
    <w:rsid w:val="00E337D4"/>
    <w:rsid w:val="00E337E9"/>
    <w:rsid w:val="00E3380D"/>
    <w:rsid w:val="00E33845"/>
    <w:rsid w:val="00E338E5"/>
    <w:rsid w:val="00E339E5"/>
    <w:rsid w:val="00E33C79"/>
    <w:rsid w:val="00E33CB0"/>
    <w:rsid w:val="00E33E51"/>
    <w:rsid w:val="00E33F55"/>
    <w:rsid w:val="00E33FBF"/>
    <w:rsid w:val="00E34155"/>
    <w:rsid w:val="00E341C2"/>
    <w:rsid w:val="00E341D6"/>
    <w:rsid w:val="00E341DA"/>
    <w:rsid w:val="00E342E7"/>
    <w:rsid w:val="00E34516"/>
    <w:rsid w:val="00E345A5"/>
    <w:rsid w:val="00E347C5"/>
    <w:rsid w:val="00E349CF"/>
    <w:rsid w:val="00E34A8B"/>
    <w:rsid w:val="00E34C15"/>
    <w:rsid w:val="00E34C5F"/>
    <w:rsid w:val="00E34D76"/>
    <w:rsid w:val="00E34D8A"/>
    <w:rsid w:val="00E34F9F"/>
    <w:rsid w:val="00E35087"/>
    <w:rsid w:val="00E3513C"/>
    <w:rsid w:val="00E3526F"/>
    <w:rsid w:val="00E35282"/>
    <w:rsid w:val="00E3529E"/>
    <w:rsid w:val="00E352A0"/>
    <w:rsid w:val="00E3562C"/>
    <w:rsid w:val="00E356E4"/>
    <w:rsid w:val="00E356F7"/>
    <w:rsid w:val="00E3586D"/>
    <w:rsid w:val="00E35D50"/>
    <w:rsid w:val="00E35E1D"/>
    <w:rsid w:val="00E35EA5"/>
    <w:rsid w:val="00E35EA9"/>
    <w:rsid w:val="00E35F57"/>
    <w:rsid w:val="00E360A3"/>
    <w:rsid w:val="00E36245"/>
    <w:rsid w:val="00E363E4"/>
    <w:rsid w:val="00E36443"/>
    <w:rsid w:val="00E364CB"/>
    <w:rsid w:val="00E367D2"/>
    <w:rsid w:val="00E368B7"/>
    <w:rsid w:val="00E3699A"/>
    <w:rsid w:val="00E36C1A"/>
    <w:rsid w:val="00E36C8A"/>
    <w:rsid w:val="00E36D78"/>
    <w:rsid w:val="00E36E12"/>
    <w:rsid w:val="00E36F54"/>
    <w:rsid w:val="00E36F9D"/>
    <w:rsid w:val="00E37067"/>
    <w:rsid w:val="00E370EF"/>
    <w:rsid w:val="00E37280"/>
    <w:rsid w:val="00E37338"/>
    <w:rsid w:val="00E37348"/>
    <w:rsid w:val="00E3737B"/>
    <w:rsid w:val="00E3747A"/>
    <w:rsid w:val="00E375FD"/>
    <w:rsid w:val="00E379BE"/>
    <w:rsid w:val="00E37AB3"/>
    <w:rsid w:val="00E37DBA"/>
    <w:rsid w:val="00E37DBC"/>
    <w:rsid w:val="00E37EBC"/>
    <w:rsid w:val="00E37F16"/>
    <w:rsid w:val="00E37F3C"/>
    <w:rsid w:val="00E4004F"/>
    <w:rsid w:val="00E40082"/>
    <w:rsid w:val="00E40263"/>
    <w:rsid w:val="00E4045B"/>
    <w:rsid w:val="00E40630"/>
    <w:rsid w:val="00E4063D"/>
    <w:rsid w:val="00E406C9"/>
    <w:rsid w:val="00E40734"/>
    <w:rsid w:val="00E40830"/>
    <w:rsid w:val="00E408D4"/>
    <w:rsid w:val="00E40B6D"/>
    <w:rsid w:val="00E40BDC"/>
    <w:rsid w:val="00E40DB8"/>
    <w:rsid w:val="00E40E8F"/>
    <w:rsid w:val="00E40F06"/>
    <w:rsid w:val="00E41084"/>
    <w:rsid w:val="00E410B3"/>
    <w:rsid w:val="00E4121A"/>
    <w:rsid w:val="00E4135E"/>
    <w:rsid w:val="00E414BE"/>
    <w:rsid w:val="00E41643"/>
    <w:rsid w:val="00E416F7"/>
    <w:rsid w:val="00E41991"/>
    <w:rsid w:val="00E419A4"/>
    <w:rsid w:val="00E41AD0"/>
    <w:rsid w:val="00E41D98"/>
    <w:rsid w:val="00E41DF1"/>
    <w:rsid w:val="00E41E97"/>
    <w:rsid w:val="00E41EC1"/>
    <w:rsid w:val="00E42006"/>
    <w:rsid w:val="00E4239F"/>
    <w:rsid w:val="00E4245B"/>
    <w:rsid w:val="00E424F5"/>
    <w:rsid w:val="00E426BE"/>
    <w:rsid w:val="00E426F5"/>
    <w:rsid w:val="00E428DF"/>
    <w:rsid w:val="00E429E3"/>
    <w:rsid w:val="00E42A50"/>
    <w:rsid w:val="00E42A6A"/>
    <w:rsid w:val="00E4315E"/>
    <w:rsid w:val="00E4325C"/>
    <w:rsid w:val="00E433F5"/>
    <w:rsid w:val="00E43480"/>
    <w:rsid w:val="00E4353B"/>
    <w:rsid w:val="00E435FE"/>
    <w:rsid w:val="00E43692"/>
    <w:rsid w:val="00E436C9"/>
    <w:rsid w:val="00E43A88"/>
    <w:rsid w:val="00E43AF1"/>
    <w:rsid w:val="00E43B5B"/>
    <w:rsid w:val="00E43D29"/>
    <w:rsid w:val="00E43F6A"/>
    <w:rsid w:val="00E44144"/>
    <w:rsid w:val="00E442E4"/>
    <w:rsid w:val="00E442F3"/>
    <w:rsid w:val="00E44437"/>
    <w:rsid w:val="00E4455A"/>
    <w:rsid w:val="00E445B8"/>
    <w:rsid w:val="00E44618"/>
    <w:rsid w:val="00E4473F"/>
    <w:rsid w:val="00E44747"/>
    <w:rsid w:val="00E44832"/>
    <w:rsid w:val="00E4486C"/>
    <w:rsid w:val="00E4488B"/>
    <w:rsid w:val="00E449BA"/>
    <w:rsid w:val="00E44CF2"/>
    <w:rsid w:val="00E44D2C"/>
    <w:rsid w:val="00E44F35"/>
    <w:rsid w:val="00E4508C"/>
    <w:rsid w:val="00E450A7"/>
    <w:rsid w:val="00E450E8"/>
    <w:rsid w:val="00E453D7"/>
    <w:rsid w:val="00E453E6"/>
    <w:rsid w:val="00E45407"/>
    <w:rsid w:val="00E4560F"/>
    <w:rsid w:val="00E45650"/>
    <w:rsid w:val="00E45683"/>
    <w:rsid w:val="00E457B9"/>
    <w:rsid w:val="00E45894"/>
    <w:rsid w:val="00E45928"/>
    <w:rsid w:val="00E459D4"/>
    <w:rsid w:val="00E45B9A"/>
    <w:rsid w:val="00E45CB9"/>
    <w:rsid w:val="00E45CD6"/>
    <w:rsid w:val="00E45EF1"/>
    <w:rsid w:val="00E45FF4"/>
    <w:rsid w:val="00E4617A"/>
    <w:rsid w:val="00E4631D"/>
    <w:rsid w:val="00E463CD"/>
    <w:rsid w:val="00E463CF"/>
    <w:rsid w:val="00E4651B"/>
    <w:rsid w:val="00E4666A"/>
    <w:rsid w:val="00E467C9"/>
    <w:rsid w:val="00E46A47"/>
    <w:rsid w:val="00E46AB6"/>
    <w:rsid w:val="00E46BAE"/>
    <w:rsid w:val="00E46C74"/>
    <w:rsid w:val="00E46CA4"/>
    <w:rsid w:val="00E46DBE"/>
    <w:rsid w:val="00E46F49"/>
    <w:rsid w:val="00E47085"/>
    <w:rsid w:val="00E472F8"/>
    <w:rsid w:val="00E4738D"/>
    <w:rsid w:val="00E4740A"/>
    <w:rsid w:val="00E47457"/>
    <w:rsid w:val="00E4757F"/>
    <w:rsid w:val="00E475B1"/>
    <w:rsid w:val="00E475C6"/>
    <w:rsid w:val="00E475E7"/>
    <w:rsid w:val="00E4775C"/>
    <w:rsid w:val="00E477E9"/>
    <w:rsid w:val="00E478F1"/>
    <w:rsid w:val="00E479B7"/>
    <w:rsid w:val="00E47A9F"/>
    <w:rsid w:val="00E47CB5"/>
    <w:rsid w:val="00E47D5C"/>
    <w:rsid w:val="00E47D73"/>
    <w:rsid w:val="00E47E6B"/>
    <w:rsid w:val="00E47ECE"/>
    <w:rsid w:val="00E50112"/>
    <w:rsid w:val="00E5038E"/>
    <w:rsid w:val="00E50467"/>
    <w:rsid w:val="00E50633"/>
    <w:rsid w:val="00E5077C"/>
    <w:rsid w:val="00E50875"/>
    <w:rsid w:val="00E508E3"/>
    <w:rsid w:val="00E50B1A"/>
    <w:rsid w:val="00E50B4E"/>
    <w:rsid w:val="00E50BA0"/>
    <w:rsid w:val="00E50BDC"/>
    <w:rsid w:val="00E50D95"/>
    <w:rsid w:val="00E50E59"/>
    <w:rsid w:val="00E50EC5"/>
    <w:rsid w:val="00E50F42"/>
    <w:rsid w:val="00E50FC1"/>
    <w:rsid w:val="00E50FDE"/>
    <w:rsid w:val="00E510E1"/>
    <w:rsid w:val="00E51112"/>
    <w:rsid w:val="00E51276"/>
    <w:rsid w:val="00E5130E"/>
    <w:rsid w:val="00E51348"/>
    <w:rsid w:val="00E513C8"/>
    <w:rsid w:val="00E514E1"/>
    <w:rsid w:val="00E514FF"/>
    <w:rsid w:val="00E516C2"/>
    <w:rsid w:val="00E516D8"/>
    <w:rsid w:val="00E51778"/>
    <w:rsid w:val="00E518E5"/>
    <w:rsid w:val="00E5190E"/>
    <w:rsid w:val="00E51952"/>
    <w:rsid w:val="00E51A1F"/>
    <w:rsid w:val="00E51A37"/>
    <w:rsid w:val="00E51B2A"/>
    <w:rsid w:val="00E51EA0"/>
    <w:rsid w:val="00E521C0"/>
    <w:rsid w:val="00E521C7"/>
    <w:rsid w:val="00E5228B"/>
    <w:rsid w:val="00E5229B"/>
    <w:rsid w:val="00E522E5"/>
    <w:rsid w:val="00E52456"/>
    <w:rsid w:val="00E525A2"/>
    <w:rsid w:val="00E526F9"/>
    <w:rsid w:val="00E52770"/>
    <w:rsid w:val="00E52796"/>
    <w:rsid w:val="00E52838"/>
    <w:rsid w:val="00E52883"/>
    <w:rsid w:val="00E52A5F"/>
    <w:rsid w:val="00E52AA4"/>
    <w:rsid w:val="00E52B00"/>
    <w:rsid w:val="00E52CCE"/>
    <w:rsid w:val="00E52E7D"/>
    <w:rsid w:val="00E52EE0"/>
    <w:rsid w:val="00E52FEA"/>
    <w:rsid w:val="00E5302A"/>
    <w:rsid w:val="00E53092"/>
    <w:rsid w:val="00E530DD"/>
    <w:rsid w:val="00E531DB"/>
    <w:rsid w:val="00E5321F"/>
    <w:rsid w:val="00E5328F"/>
    <w:rsid w:val="00E53683"/>
    <w:rsid w:val="00E539C4"/>
    <w:rsid w:val="00E53A73"/>
    <w:rsid w:val="00E53C6F"/>
    <w:rsid w:val="00E53D8A"/>
    <w:rsid w:val="00E53E21"/>
    <w:rsid w:val="00E53E7C"/>
    <w:rsid w:val="00E53ED5"/>
    <w:rsid w:val="00E53EE2"/>
    <w:rsid w:val="00E54001"/>
    <w:rsid w:val="00E5405E"/>
    <w:rsid w:val="00E5429F"/>
    <w:rsid w:val="00E54548"/>
    <w:rsid w:val="00E545DB"/>
    <w:rsid w:val="00E54689"/>
    <w:rsid w:val="00E54788"/>
    <w:rsid w:val="00E54847"/>
    <w:rsid w:val="00E5484A"/>
    <w:rsid w:val="00E5489A"/>
    <w:rsid w:val="00E548F0"/>
    <w:rsid w:val="00E54C51"/>
    <w:rsid w:val="00E54D3B"/>
    <w:rsid w:val="00E54F54"/>
    <w:rsid w:val="00E54F96"/>
    <w:rsid w:val="00E550BB"/>
    <w:rsid w:val="00E5531B"/>
    <w:rsid w:val="00E5568A"/>
    <w:rsid w:val="00E5572B"/>
    <w:rsid w:val="00E5580E"/>
    <w:rsid w:val="00E5581C"/>
    <w:rsid w:val="00E5584C"/>
    <w:rsid w:val="00E55A1C"/>
    <w:rsid w:val="00E55A34"/>
    <w:rsid w:val="00E55BB8"/>
    <w:rsid w:val="00E55C37"/>
    <w:rsid w:val="00E55CF7"/>
    <w:rsid w:val="00E55D13"/>
    <w:rsid w:val="00E55D1F"/>
    <w:rsid w:val="00E55E6C"/>
    <w:rsid w:val="00E55E98"/>
    <w:rsid w:val="00E560BE"/>
    <w:rsid w:val="00E56259"/>
    <w:rsid w:val="00E56328"/>
    <w:rsid w:val="00E563E0"/>
    <w:rsid w:val="00E5654B"/>
    <w:rsid w:val="00E56583"/>
    <w:rsid w:val="00E565BB"/>
    <w:rsid w:val="00E5673A"/>
    <w:rsid w:val="00E56A49"/>
    <w:rsid w:val="00E56B75"/>
    <w:rsid w:val="00E56C05"/>
    <w:rsid w:val="00E56C9F"/>
    <w:rsid w:val="00E56E3C"/>
    <w:rsid w:val="00E56F13"/>
    <w:rsid w:val="00E56F92"/>
    <w:rsid w:val="00E570B9"/>
    <w:rsid w:val="00E5712B"/>
    <w:rsid w:val="00E571D1"/>
    <w:rsid w:val="00E57205"/>
    <w:rsid w:val="00E57483"/>
    <w:rsid w:val="00E574E8"/>
    <w:rsid w:val="00E57591"/>
    <w:rsid w:val="00E575B4"/>
    <w:rsid w:val="00E5763D"/>
    <w:rsid w:val="00E576A1"/>
    <w:rsid w:val="00E576B4"/>
    <w:rsid w:val="00E5776D"/>
    <w:rsid w:val="00E5781F"/>
    <w:rsid w:val="00E578F9"/>
    <w:rsid w:val="00E5790C"/>
    <w:rsid w:val="00E57BCE"/>
    <w:rsid w:val="00E57C96"/>
    <w:rsid w:val="00E57D61"/>
    <w:rsid w:val="00E57ECE"/>
    <w:rsid w:val="00E57FE2"/>
    <w:rsid w:val="00E60008"/>
    <w:rsid w:val="00E6003B"/>
    <w:rsid w:val="00E600FA"/>
    <w:rsid w:val="00E601A2"/>
    <w:rsid w:val="00E60324"/>
    <w:rsid w:val="00E6043C"/>
    <w:rsid w:val="00E60657"/>
    <w:rsid w:val="00E60681"/>
    <w:rsid w:val="00E60794"/>
    <w:rsid w:val="00E60A24"/>
    <w:rsid w:val="00E60AF6"/>
    <w:rsid w:val="00E60BA3"/>
    <w:rsid w:val="00E60D8E"/>
    <w:rsid w:val="00E60DA6"/>
    <w:rsid w:val="00E60E5B"/>
    <w:rsid w:val="00E60FFD"/>
    <w:rsid w:val="00E610AE"/>
    <w:rsid w:val="00E610ED"/>
    <w:rsid w:val="00E611C5"/>
    <w:rsid w:val="00E614A4"/>
    <w:rsid w:val="00E61549"/>
    <w:rsid w:val="00E615AD"/>
    <w:rsid w:val="00E615FC"/>
    <w:rsid w:val="00E61642"/>
    <w:rsid w:val="00E61756"/>
    <w:rsid w:val="00E6178F"/>
    <w:rsid w:val="00E617D2"/>
    <w:rsid w:val="00E617D4"/>
    <w:rsid w:val="00E618E2"/>
    <w:rsid w:val="00E61A06"/>
    <w:rsid w:val="00E61E40"/>
    <w:rsid w:val="00E61EDB"/>
    <w:rsid w:val="00E61F12"/>
    <w:rsid w:val="00E6207B"/>
    <w:rsid w:val="00E622F6"/>
    <w:rsid w:val="00E627AF"/>
    <w:rsid w:val="00E6282A"/>
    <w:rsid w:val="00E62AFF"/>
    <w:rsid w:val="00E62BFD"/>
    <w:rsid w:val="00E62C6F"/>
    <w:rsid w:val="00E62D6C"/>
    <w:rsid w:val="00E62DBE"/>
    <w:rsid w:val="00E62FAE"/>
    <w:rsid w:val="00E6315E"/>
    <w:rsid w:val="00E6348E"/>
    <w:rsid w:val="00E635B7"/>
    <w:rsid w:val="00E63836"/>
    <w:rsid w:val="00E63887"/>
    <w:rsid w:val="00E638B8"/>
    <w:rsid w:val="00E63919"/>
    <w:rsid w:val="00E63A2B"/>
    <w:rsid w:val="00E63C3C"/>
    <w:rsid w:val="00E63CC5"/>
    <w:rsid w:val="00E63D5E"/>
    <w:rsid w:val="00E63E76"/>
    <w:rsid w:val="00E63E99"/>
    <w:rsid w:val="00E64083"/>
    <w:rsid w:val="00E6447D"/>
    <w:rsid w:val="00E64496"/>
    <w:rsid w:val="00E6459D"/>
    <w:rsid w:val="00E645BC"/>
    <w:rsid w:val="00E6460C"/>
    <w:rsid w:val="00E646E2"/>
    <w:rsid w:val="00E647B0"/>
    <w:rsid w:val="00E64816"/>
    <w:rsid w:val="00E648D2"/>
    <w:rsid w:val="00E648FD"/>
    <w:rsid w:val="00E64B0D"/>
    <w:rsid w:val="00E64C7A"/>
    <w:rsid w:val="00E64D5E"/>
    <w:rsid w:val="00E64E0F"/>
    <w:rsid w:val="00E64EDF"/>
    <w:rsid w:val="00E64EFC"/>
    <w:rsid w:val="00E65014"/>
    <w:rsid w:val="00E650C5"/>
    <w:rsid w:val="00E650DC"/>
    <w:rsid w:val="00E650E2"/>
    <w:rsid w:val="00E651D1"/>
    <w:rsid w:val="00E65225"/>
    <w:rsid w:val="00E6527E"/>
    <w:rsid w:val="00E65289"/>
    <w:rsid w:val="00E654DD"/>
    <w:rsid w:val="00E656DE"/>
    <w:rsid w:val="00E658FD"/>
    <w:rsid w:val="00E659EC"/>
    <w:rsid w:val="00E65AED"/>
    <w:rsid w:val="00E65B4B"/>
    <w:rsid w:val="00E65DBD"/>
    <w:rsid w:val="00E65FD2"/>
    <w:rsid w:val="00E6606E"/>
    <w:rsid w:val="00E66099"/>
    <w:rsid w:val="00E6615A"/>
    <w:rsid w:val="00E66297"/>
    <w:rsid w:val="00E662A6"/>
    <w:rsid w:val="00E662D1"/>
    <w:rsid w:val="00E66388"/>
    <w:rsid w:val="00E665AD"/>
    <w:rsid w:val="00E66651"/>
    <w:rsid w:val="00E668C0"/>
    <w:rsid w:val="00E66AE7"/>
    <w:rsid w:val="00E66B17"/>
    <w:rsid w:val="00E66BE4"/>
    <w:rsid w:val="00E66C0D"/>
    <w:rsid w:val="00E66C3A"/>
    <w:rsid w:val="00E66C86"/>
    <w:rsid w:val="00E66D8C"/>
    <w:rsid w:val="00E66E56"/>
    <w:rsid w:val="00E66ED9"/>
    <w:rsid w:val="00E670B0"/>
    <w:rsid w:val="00E67113"/>
    <w:rsid w:val="00E67165"/>
    <w:rsid w:val="00E671F3"/>
    <w:rsid w:val="00E67244"/>
    <w:rsid w:val="00E673F6"/>
    <w:rsid w:val="00E67457"/>
    <w:rsid w:val="00E67472"/>
    <w:rsid w:val="00E675FB"/>
    <w:rsid w:val="00E676C4"/>
    <w:rsid w:val="00E67817"/>
    <w:rsid w:val="00E6784A"/>
    <w:rsid w:val="00E6790F"/>
    <w:rsid w:val="00E67918"/>
    <w:rsid w:val="00E67C59"/>
    <w:rsid w:val="00E67D4D"/>
    <w:rsid w:val="00E67D83"/>
    <w:rsid w:val="00E67D9B"/>
    <w:rsid w:val="00E67E75"/>
    <w:rsid w:val="00E67EAA"/>
    <w:rsid w:val="00E67F29"/>
    <w:rsid w:val="00E67F85"/>
    <w:rsid w:val="00E67FEE"/>
    <w:rsid w:val="00E700AA"/>
    <w:rsid w:val="00E701F2"/>
    <w:rsid w:val="00E7034C"/>
    <w:rsid w:val="00E703AE"/>
    <w:rsid w:val="00E70422"/>
    <w:rsid w:val="00E70475"/>
    <w:rsid w:val="00E705FA"/>
    <w:rsid w:val="00E7064C"/>
    <w:rsid w:val="00E70706"/>
    <w:rsid w:val="00E7071A"/>
    <w:rsid w:val="00E70831"/>
    <w:rsid w:val="00E7088A"/>
    <w:rsid w:val="00E709AE"/>
    <w:rsid w:val="00E709B4"/>
    <w:rsid w:val="00E70A38"/>
    <w:rsid w:val="00E70BFC"/>
    <w:rsid w:val="00E70E25"/>
    <w:rsid w:val="00E70E29"/>
    <w:rsid w:val="00E70E2E"/>
    <w:rsid w:val="00E71032"/>
    <w:rsid w:val="00E7123A"/>
    <w:rsid w:val="00E71417"/>
    <w:rsid w:val="00E71658"/>
    <w:rsid w:val="00E716D9"/>
    <w:rsid w:val="00E71A4B"/>
    <w:rsid w:val="00E71A60"/>
    <w:rsid w:val="00E71D2B"/>
    <w:rsid w:val="00E71D3C"/>
    <w:rsid w:val="00E71D41"/>
    <w:rsid w:val="00E71DD0"/>
    <w:rsid w:val="00E71DFD"/>
    <w:rsid w:val="00E71E3D"/>
    <w:rsid w:val="00E71E5B"/>
    <w:rsid w:val="00E71EE7"/>
    <w:rsid w:val="00E71FCE"/>
    <w:rsid w:val="00E722BE"/>
    <w:rsid w:val="00E72301"/>
    <w:rsid w:val="00E72321"/>
    <w:rsid w:val="00E72459"/>
    <w:rsid w:val="00E726E5"/>
    <w:rsid w:val="00E7272F"/>
    <w:rsid w:val="00E72746"/>
    <w:rsid w:val="00E72820"/>
    <w:rsid w:val="00E72878"/>
    <w:rsid w:val="00E7291E"/>
    <w:rsid w:val="00E729DB"/>
    <w:rsid w:val="00E72DCD"/>
    <w:rsid w:val="00E72E70"/>
    <w:rsid w:val="00E72ECE"/>
    <w:rsid w:val="00E72FB1"/>
    <w:rsid w:val="00E72FB2"/>
    <w:rsid w:val="00E732CC"/>
    <w:rsid w:val="00E733E9"/>
    <w:rsid w:val="00E7343F"/>
    <w:rsid w:val="00E73448"/>
    <w:rsid w:val="00E73464"/>
    <w:rsid w:val="00E734DD"/>
    <w:rsid w:val="00E73A2D"/>
    <w:rsid w:val="00E73A87"/>
    <w:rsid w:val="00E73AE2"/>
    <w:rsid w:val="00E73B48"/>
    <w:rsid w:val="00E73B67"/>
    <w:rsid w:val="00E73B6D"/>
    <w:rsid w:val="00E73B9F"/>
    <w:rsid w:val="00E73BCB"/>
    <w:rsid w:val="00E73BD1"/>
    <w:rsid w:val="00E73BFE"/>
    <w:rsid w:val="00E73C3B"/>
    <w:rsid w:val="00E73F26"/>
    <w:rsid w:val="00E74193"/>
    <w:rsid w:val="00E7423C"/>
    <w:rsid w:val="00E7426C"/>
    <w:rsid w:val="00E7448C"/>
    <w:rsid w:val="00E7470E"/>
    <w:rsid w:val="00E7479A"/>
    <w:rsid w:val="00E747B7"/>
    <w:rsid w:val="00E74BF9"/>
    <w:rsid w:val="00E74C26"/>
    <w:rsid w:val="00E74D1F"/>
    <w:rsid w:val="00E74D87"/>
    <w:rsid w:val="00E74DE6"/>
    <w:rsid w:val="00E74E5C"/>
    <w:rsid w:val="00E74E98"/>
    <w:rsid w:val="00E74F04"/>
    <w:rsid w:val="00E74F0E"/>
    <w:rsid w:val="00E74F1A"/>
    <w:rsid w:val="00E750D5"/>
    <w:rsid w:val="00E75262"/>
    <w:rsid w:val="00E75530"/>
    <w:rsid w:val="00E755A7"/>
    <w:rsid w:val="00E75743"/>
    <w:rsid w:val="00E757B1"/>
    <w:rsid w:val="00E7585B"/>
    <w:rsid w:val="00E75A45"/>
    <w:rsid w:val="00E75FB5"/>
    <w:rsid w:val="00E7627C"/>
    <w:rsid w:val="00E7639C"/>
    <w:rsid w:val="00E7647E"/>
    <w:rsid w:val="00E76511"/>
    <w:rsid w:val="00E76659"/>
    <w:rsid w:val="00E7671B"/>
    <w:rsid w:val="00E767B8"/>
    <w:rsid w:val="00E76845"/>
    <w:rsid w:val="00E76B67"/>
    <w:rsid w:val="00E76C0E"/>
    <w:rsid w:val="00E76C95"/>
    <w:rsid w:val="00E76F8C"/>
    <w:rsid w:val="00E772F9"/>
    <w:rsid w:val="00E77371"/>
    <w:rsid w:val="00E773DA"/>
    <w:rsid w:val="00E773EB"/>
    <w:rsid w:val="00E7749A"/>
    <w:rsid w:val="00E774FF"/>
    <w:rsid w:val="00E77669"/>
    <w:rsid w:val="00E77809"/>
    <w:rsid w:val="00E778F9"/>
    <w:rsid w:val="00E779B5"/>
    <w:rsid w:val="00E779EF"/>
    <w:rsid w:val="00E77A58"/>
    <w:rsid w:val="00E77AD3"/>
    <w:rsid w:val="00E77BC3"/>
    <w:rsid w:val="00E77E1E"/>
    <w:rsid w:val="00E77E3B"/>
    <w:rsid w:val="00E77F7A"/>
    <w:rsid w:val="00E801C8"/>
    <w:rsid w:val="00E8032E"/>
    <w:rsid w:val="00E80469"/>
    <w:rsid w:val="00E805FB"/>
    <w:rsid w:val="00E80630"/>
    <w:rsid w:val="00E80702"/>
    <w:rsid w:val="00E80A2F"/>
    <w:rsid w:val="00E80A58"/>
    <w:rsid w:val="00E80B0B"/>
    <w:rsid w:val="00E80B34"/>
    <w:rsid w:val="00E80B93"/>
    <w:rsid w:val="00E80DDE"/>
    <w:rsid w:val="00E80E43"/>
    <w:rsid w:val="00E8107C"/>
    <w:rsid w:val="00E81387"/>
    <w:rsid w:val="00E813C8"/>
    <w:rsid w:val="00E81448"/>
    <w:rsid w:val="00E8154F"/>
    <w:rsid w:val="00E81585"/>
    <w:rsid w:val="00E8173A"/>
    <w:rsid w:val="00E81B4D"/>
    <w:rsid w:val="00E81BDD"/>
    <w:rsid w:val="00E81BFD"/>
    <w:rsid w:val="00E81CAC"/>
    <w:rsid w:val="00E81DCC"/>
    <w:rsid w:val="00E81EF0"/>
    <w:rsid w:val="00E81F65"/>
    <w:rsid w:val="00E81FB6"/>
    <w:rsid w:val="00E82384"/>
    <w:rsid w:val="00E823E8"/>
    <w:rsid w:val="00E82409"/>
    <w:rsid w:val="00E8247F"/>
    <w:rsid w:val="00E82515"/>
    <w:rsid w:val="00E825AC"/>
    <w:rsid w:val="00E8276E"/>
    <w:rsid w:val="00E827BC"/>
    <w:rsid w:val="00E82817"/>
    <w:rsid w:val="00E8296A"/>
    <w:rsid w:val="00E82BAE"/>
    <w:rsid w:val="00E82D3A"/>
    <w:rsid w:val="00E82EBE"/>
    <w:rsid w:val="00E82F4A"/>
    <w:rsid w:val="00E83211"/>
    <w:rsid w:val="00E83251"/>
    <w:rsid w:val="00E8327E"/>
    <w:rsid w:val="00E834FE"/>
    <w:rsid w:val="00E83505"/>
    <w:rsid w:val="00E83517"/>
    <w:rsid w:val="00E8399D"/>
    <w:rsid w:val="00E83B45"/>
    <w:rsid w:val="00E83E96"/>
    <w:rsid w:val="00E83F81"/>
    <w:rsid w:val="00E83FAE"/>
    <w:rsid w:val="00E84008"/>
    <w:rsid w:val="00E841B7"/>
    <w:rsid w:val="00E84251"/>
    <w:rsid w:val="00E84374"/>
    <w:rsid w:val="00E846F2"/>
    <w:rsid w:val="00E84966"/>
    <w:rsid w:val="00E84A0F"/>
    <w:rsid w:val="00E84A45"/>
    <w:rsid w:val="00E84A86"/>
    <w:rsid w:val="00E84B4A"/>
    <w:rsid w:val="00E84EFA"/>
    <w:rsid w:val="00E84FFA"/>
    <w:rsid w:val="00E85231"/>
    <w:rsid w:val="00E852D8"/>
    <w:rsid w:val="00E8532C"/>
    <w:rsid w:val="00E8544B"/>
    <w:rsid w:val="00E855EB"/>
    <w:rsid w:val="00E85929"/>
    <w:rsid w:val="00E859E5"/>
    <w:rsid w:val="00E85AE8"/>
    <w:rsid w:val="00E85B12"/>
    <w:rsid w:val="00E85C9A"/>
    <w:rsid w:val="00E85D4D"/>
    <w:rsid w:val="00E8600F"/>
    <w:rsid w:val="00E8610B"/>
    <w:rsid w:val="00E86169"/>
    <w:rsid w:val="00E86225"/>
    <w:rsid w:val="00E86377"/>
    <w:rsid w:val="00E8640B"/>
    <w:rsid w:val="00E86422"/>
    <w:rsid w:val="00E86432"/>
    <w:rsid w:val="00E86474"/>
    <w:rsid w:val="00E865D2"/>
    <w:rsid w:val="00E8686D"/>
    <w:rsid w:val="00E869CF"/>
    <w:rsid w:val="00E869E3"/>
    <w:rsid w:val="00E86A8B"/>
    <w:rsid w:val="00E86B6C"/>
    <w:rsid w:val="00E86B8F"/>
    <w:rsid w:val="00E86E67"/>
    <w:rsid w:val="00E870F1"/>
    <w:rsid w:val="00E8735E"/>
    <w:rsid w:val="00E8748C"/>
    <w:rsid w:val="00E875AE"/>
    <w:rsid w:val="00E875E3"/>
    <w:rsid w:val="00E87720"/>
    <w:rsid w:val="00E87824"/>
    <w:rsid w:val="00E87AC7"/>
    <w:rsid w:val="00E87BAC"/>
    <w:rsid w:val="00E87BC6"/>
    <w:rsid w:val="00E87CBA"/>
    <w:rsid w:val="00E87DC6"/>
    <w:rsid w:val="00E87F78"/>
    <w:rsid w:val="00E8D38E"/>
    <w:rsid w:val="00E9018E"/>
    <w:rsid w:val="00E90327"/>
    <w:rsid w:val="00E9034F"/>
    <w:rsid w:val="00E9046F"/>
    <w:rsid w:val="00E904C6"/>
    <w:rsid w:val="00E904F9"/>
    <w:rsid w:val="00E9054D"/>
    <w:rsid w:val="00E9056E"/>
    <w:rsid w:val="00E905B7"/>
    <w:rsid w:val="00E90837"/>
    <w:rsid w:val="00E9095F"/>
    <w:rsid w:val="00E90A20"/>
    <w:rsid w:val="00E90B04"/>
    <w:rsid w:val="00E90BE9"/>
    <w:rsid w:val="00E90C14"/>
    <w:rsid w:val="00E90D3F"/>
    <w:rsid w:val="00E90D68"/>
    <w:rsid w:val="00E90DA6"/>
    <w:rsid w:val="00E90DF4"/>
    <w:rsid w:val="00E90E72"/>
    <w:rsid w:val="00E90EFE"/>
    <w:rsid w:val="00E90F2D"/>
    <w:rsid w:val="00E9102B"/>
    <w:rsid w:val="00E912CD"/>
    <w:rsid w:val="00E913A3"/>
    <w:rsid w:val="00E913B0"/>
    <w:rsid w:val="00E91583"/>
    <w:rsid w:val="00E91585"/>
    <w:rsid w:val="00E9176A"/>
    <w:rsid w:val="00E917B5"/>
    <w:rsid w:val="00E91BBE"/>
    <w:rsid w:val="00E91C82"/>
    <w:rsid w:val="00E91D7D"/>
    <w:rsid w:val="00E91EDA"/>
    <w:rsid w:val="00E9201C"/>
    <w:rsid w:val="00E9203E"/>
    <w:rsid w:val="00E920EF"/>
    <w:rsid w:val="00E92193"/>
    <w:rsid w:val="00E9234B"/>
    <w:rsid w:val="00E92440"/>
    <w:rsid w:val="00E925DC"/>
    <w:rsid w:val="00E926C7"/>
    <w:rsid w:val="00E92715"/>
    <w:rsid w:val="00E9291D"/>
    <w:rsid w:val="00E929F0"/>
    <w:rsid w:val="00E929F3"/>
    <w:rsid w:val="00E92DAA"/>
    <w:rsid w:val="00E930A9"/>
    <w:rsid w:val="00E931AE"/>
    <w:rsid w:val="00E93267"/>
    <w:rsid w:val="00E934E9"/>
    <w:rsid w:val="00E9358B"/>
    <w:rsid w:val="00E935B0"/>
    <w:rsid w:val="00E93629"/>
    <w:rsid w:val="00E93705"/>
    <w:rsid w:val="00E938BC"/>
    <w:rsid w:val="00E93998"/>
    <w:rsid w:val="00E93A15"/>
    <w:rsid w:val="00E93A59"/>
    <w:rsid w:val="00E93B22"/>
    <w:rsid w:val="00E93C1C"/>
    <w:rsid w:val="00E93C63"/>
    <w:rsid w:val="00E93CA8"/>
    <w:rsid w:val="00E93E2A"/>
    <w:rsid w:val="00E93E82"/>
    <w:rsid w:val="00E93EDB"/>
    <w:rsid w:val="00E94072"/>
    <w:rsid w:val="00E94268"/>
    <w:rsid w:val="00E943B2"/>
    <w:rsid w:val="00E9450A"/>
    <w:rsid w:val="00E94582"/>
    <w:rsid w:val="00E946CB"/>
    <w:rsid w:val="00E9483E"/>
    <w:rsid w:val="00E9496E"/>
    <w:rsid w:val="00E94A0C"/>
    <w:rsid w:val="00E94A6D"/>
    <w:rsid w:val="00E94B5A"/>
    <w:rsid w:val="00E94BEF"/>
    <w:rsid w:val="00E94D4C"/>
    <w:rsid w:val="00E94E3C"/>
    <w:rsid w:val="00E94E49"/>
    <w:rsid w:val="00E94E70"/>
    <w:rsid w:val="00E95091"/>
    <w:rsid w:val="00E95185"/>
    <w:rsid w:val="00E951C0"/>
    <w:rsid w:val="00E95504"/>
    <w:rsid w:val="00E955E0"/>
    <w:rsid w:val="00E9561F"/>
    <w:rsid w:val="00E95972"/>
    <w:rsid w:val="00E95A39"/>
    <w:rsid w:val="00E95AA1"/>
    <w:rsid w:val="00E95B85"/>
    <w:rsid w:val="00E95BD8"/>
    <w:rsid w:val="00E95C17"/>
    <w:rsid w:val="00E95CAB"/>
    <w:rsid w:val="00E95D2C"/>
    <w:rsid w:val="00E95EB9"/>
    <w:rsid w:val="00E96191"/>
    <w:rsid w:val="00E96203"/>
    <w:rsid w:val="00E96276"/>
    <w:rsid w:val="00E96406"/>
    <w:rsid w:val="00E96545"/>
    <w:rsid w:val="00E96680"/>
    <w:rsid w:val="00E96693"/>
    <w:rsid w:val="00E966B2"/>
    <w:rsid w:val="00E96754"/>
    <w:rsid w:val="00E96856"/>
    <w:rsid w:val="00E968C2"/>
    <w:rsid w:val="00E9691C"/>
    <w:rsid w:val="00E96979"/>
    <w:rsid w:val="00E969A0"/>
    <w:rsid w:val="00E96C1E"/>
    <w:rsid w:val="00E96EA6"/>
    <w:rsid w:val="00E97103"/>
    <w:rsid w:val="00E9732F"/>
    <w:rsid w:val="00E973A5"/>
    <w:rsid w:val="00E97496"/>
    <w:rsid w:val="00E9756C"/>
    <w:rsid w:val="00E97650"/>
    <w:rsid w:val="00E9771E"/>
    <w:rsid w:val="00E9776A"/>
    <w:rsid w:val="00E9777B"/>
    <w:rsid w:val="00E977CA"/>
    <w:rsid w:val="00E979E8"/>
    <w:rsid w:val="00E97B8B"/>
    <w:rsid w:val="00E97BAB"/>
    <w:rsid w:val="00E97DF2"/>
    <w:rsid w:val="00E97FD8"/>
    <w:rsid w:val="00EA006E"/>
    <w:rsid w:val="00EA01EB"/>
    <w:rsid w:val="00EA0252"/>
    <w:rsid w:val="00EA0326"/>
    <w:rsid w:val="00EA0399"/>
    <w:rsid w:val="00EA045D"/>
    <w:rsid w:val="00EA052A"/>
    <w:rsid w:val="00EA05B2"/>
    <w:rsid w:val="00EA05B7"/>
    <w:rsid w:val="00EA0606"/>
    <w:rsid w:val="00EA0768"/>
    <w:rsid w:val="00EA07AB"/>
    <w:rsid w:val="00EA0AB7"/>
    <w:rsid w:val="00EA0B02"/>
    <w:rsid w:val="00EA0BE1"/>
    <w:rsid w:val="00EA0BE5"/>
    <w:rsid w:val="00EA1013"/>
    <w:rsid w:val="00EA112A"/>
    <w:rsid w:val="00EA119B"/>
    <w:rsid w:val="00EA1332"/>
    <w:rsid w:val="00EA14D3"/>
    <w:rsid w:val="00EA152F"/>
    <w:rsid w:val="00EA168A"/>
    <w:rsid w:val="00EA16D0"/>
    <w:rsid w:val="00EA1840"/>
    <w:rsid w:val="00EA1AAC"/>
    <w:rsid w:val="00EA1BE3"/>
    <w:rsid w:val="00EA1E4B"/>
    <w:rsid w:val="00EA2388"/>
    <w:rsid w:val="00EA240F"/>
    <w:rsid w:val="00EA263D"/>
    <w:rsid w:val="00EA2919"/>
    <w:rsid w:val="00EA295F"/>
    <w:rsid w:val="00EA2A0A"/>
    <w:rsid w:val="00EA2A49"/>
    <w:rsid w:val="00EA2D57"/>
    <w:rsid w:val="00EA2DD6"/>
    <w:rsid w:val="00EA2E9B"/>
    <w:rsid w:val="00EA2F36"/>
    <w:rsid w:val="00EA305D"/>
    <w:rsid w:val="00EA3128"/>
    <w:rsid w:val="00EA33AE"/>
    <w:rsid w:val="00EA33EF"/>
    <w:rsid w:val="00EA354E"/>
    <w:rsid w:val="00EA386C"/>
    <w:rsid w:val="00EA3923"/>
    <w:rsid w:val="00EA3925"/>
    <w:rsid w:val="00EA395A"/>
    <w:rsid w:val="00EA39F5"/>
    <w:rsid w:val="00EA3D95"/>
    <w:rsid w:val="00EA3DE1"/>
    <w:rsid w:val="00EA3E69"/>
    <w:rsid w:val="00EA3ED0"/>
    <w:rsid w:val="00EA3F91"/>
    <w:rsid w:val="00EA418A"/>
    <w:rsid w:val="00EA423D"/>
    <w:rsid w:val="00EA4419"/>
    <w:rsid w:val="00EA44E4"/>
    <w:rsid w:val="00EA455B"/>
    <w:rsid w:val="00EA46D6"/>
    <w:rsid w:val="00EA4759"/>
    <w:rsid w:val="00EA4857"/>
    <w:rsid w:val="00EA4878"/>
    <w:rsid w:val="00EA4A4E"/>
    <w:rsid w:val="00EA4A57"/>
    <w:rsid w:val="00EA4A7B"/>
    <w:rsid w:val="00EA4BB1"/>
    <w:rsid w:val="00EA4C92"/>
    <w:rsid w:val="00EA4D4D"/>
    <w:rsid w:val="00EA4DF5"/>
    <w:rsid w:val="00EA4E39"/>
    <w:rsid w:val="00EA503D"/>
    <w:rsid w:val="00EA50E6"/>
    <w:rsid w:val="00EA519D"/>
    <w:rsid w:val="00EA52EA"/>
    <w:rsid w:val="00EA53A4"/>
    <w:rsid w:val="00EA54AD"/>
    <w:rsid w:val="00EA567E"/>
    <w:rsid w:val="00EA569D"/>
    <w:rsid w:val="00EA57D5"/>
    <w:rsid w:val="00EA5817"/>
    <w:rsid w:val="00EA58B2"/>
    <w:rsid w:val="00EA58FF"/>
    <w:rsid w:val="00EA594C"/>
    <w:rsid w:val="00EA59E1"/>
    <w:rsid w:val="00EA5AAB"/>
    <w:rsid w:val="00EA5AC0"/>
    <w:rsid w:val="00EA5B7D"/>
    <w:rsid w:val="00EA5BE2"/>
    <w:rsid w:val="00EA5CDD"/>
    <w:rsid w:val="00EA5D13"/>
    <w:rsid w:val="00EA5E2B"/>
    <w:rsid w:val="00EA5EF3"/>
    <w:rsid w:val="00EA60B1"/>
    <w:rsid w:val="00EA6754"/>
    <w:rsid w:val="00EA6794"/>
    <w:rsid w:val="00EA67C9"/>
    <w:rsid w:val="00EA67F8"/>
    <w:rsid w:val="00EA6976"/>
    <w:rsid w:val="00EA6ABA"/>
    <w:rsid w:val="00EA6B4F"/>
    <w:rsid w:val="00EA6EEF"/>
    <w:rsid w:val="00EA6FD5"/>
    <w:rsid w:val="00EA70C4"/>
    <w:rsid w:val="00EA71C4"/>
    <w:rsid w:val="00EA736A"/>
    <w:rsid w:val="00EA7445"/>
    <w:rsid w:val="00EA7564"/>
    <w:rsid w:val="00EA756B"/>
    <w:rsid w:val="00EA767C"/>
    <w:rsid w:val="00EA78F0"/>
    <w:rsid w:val="00EA7951"/>
    <w:rsid w:val="00EA79DB"/>
    <w:rsid w:val="00EA7A01"/>
    <w:rsid w:val="00EA7B77"/>
    <w:rsid w:val="00EA7CA6"/>
    <w:rsid w:val="00EA7D33"/>
    <w:rsid w:val="00EB01BC"/>
    <w:rsid w:val="00EB033B"/>
    <w:rsid w:val="00EB03EA"/>
    <w:rsid w:val="00EB0439"/>
    <w:rsid w:val="00EB0491"/>
    <w:rsid w:val="00EB0492"/>
    <w:rsid w:val="00EB049D"/>
    <w:rsid w:val="00EB0556"/>
    <w:rsid w:val="00EB067A"/>
    <w:rsid w:val="00EB07BD"/>
    <w:rsid w:val="00EB07F4"/>
    <w:rsid w:val="00EB07F8"/>
    <w:rsid w:val="00EB0A08"/>
    <w:rsid w:val="00EB0B66"/>
    <w:rsid w:val="00EB0D3C"/>
    <w:rsid w:val="00EB0DC3"/>
    <w:rsid w:val="00EB1098"/>
    <w:rsid w:val="00EB10F3"/>
    <w:rsid w:val="00EB1197"/>
    <w:rsid w:val="00EB119D"/>
    <w:rsid w:val="00EB11A5"/>
    <w:rsid w:val="00EB12B7"/>
    <w:rsid w:val="00EB146B"/>
    <w:rsid w:val="00EB15F7"/>
    <w:rsid w:val="00EB168C"/>
    <w:rsid w:val="00EB16DE"/>
    <w:rsid w:val="00EB1729"/>
    <w:rsid w:val="00EB17DF"/>
    <w:rsid w:val="00EB1918"/>
    <w:rsid w:val="00EB1935"/>
    <w:rsid w:val="00EB1CB2"/>
    <w:rsid w:val="00EB1CB5"/>
    <w:rsid w:val="00EB1CD8"/>
    <w:rsid w:val="00EB1CF8"/>
    <w:rsid w:val="00EB1E03"/>
    <w:rsid w:val="00EB1E2B"/>
    <w:rsid w:val="00EB1E93"/>
    <w:rsid w:val="00EB1FD5"/>
    <w:rsid w:val="00EB202D"/>
    <w:rsid w:val="00EB203B"/>
    <w:rsid w:val="00EB217E"/>
    <w:rsid w:val="00EB2318"/>
    <w:rsid w:val="00EB23C9"/>
    <w:rsid w:val="00EB2476"/>
    <w:rsid w:val="00EB2738"/>
    <w:rsid w:val="00EB27D5"/>
    <w:rsid w:val="00EB2889"/>
    <w:rsid w:val="00EB28CE"/>
    <w:rsid w:val="00EB29AA"/>
    <w:rsid w:val="00EB2A1C"/>
    <w:rsid w:val="00EB2A61"/>
    <w:rsid w:val="00EB2B56"/>
    <w:rsid w:val="00EB2BFD"/>
    <w:rsid w:val="00EB2D37"/>
    <w:rsid w:val="00EB2D5C"/>
    <w:rsid w:val="00EB2F43"/>
    <w:rsid w:val="00EB2FB3"/>
    <w:rsid w:val="00EB30F3"/>
    <w:rsid w:val="00EB3191"/>
    <w:rsid w:val="00EB31CC"/>
    <w:rsid w:val="00EB3248"/>
    <w:rsid w:val="00EB331C"/>
    <w:rsid w:val="00EB33F7"/>
    <w:rsid w:val="00EB34B2"/>
    <w:rsid w:val="00EB3596"/>
    <w:rsid w:val="00EB3A0F"/>
    <w:rsid w:val="00EB3B37"/>
    <w:rsid w:val="00EB3D38"/>
    <w:rsid w:val="00EB3D3F"/>
    <w:rsid w:val="00EB3D55"/>
    <w:rsid w:val="00EB437E"/>
    <w:rsid w:val="00EB47AC"/>
    <w:rsid w:val="00EB4983"/>
    <w:rsid w:val="00EB4B97"/>
    <w:rsid w:val="00EB5224"/>
    <w:rsid w:val="00EB52EA"/>
    <w:rsid w:val="00EB534B"/>
    <w:rsid w:val="00EB5370"/>
    <w:rsid w:val="00EB56A8"/>
    <w:rsid w:val="00EB5776"/>
    <w:rsid w:val="00EB5934"/>
    <w:rsid w:val="00EB59FA"/>
    <w:rsid w:val="00EB5A80"/>
    <w:rsid w:val="00EB5AD8"/>
    <w:rsid w:val="00EB5B0E"/>
    <w:rsid w:val="00EB5C71"/>
    <w:rsid w:val="00EB5CA2"/>
    <w:rsid w:val="00EB5D5D"/>
    <w:rsid w:val="00EB5D88"/>
    <w:rsid w:val="00EB5E2B"/>
    <w:rsid w:val="00EB5EDA"/>
    <w:rsid w:val="00EB60CA"/>
    <w:rsid w:val="00EB60F3"/>
    <w:rsid w:val="00EB622E"/>
    <w:rsid w:val="00EB64BB"/>
    <w:rsid w:val="00EB65B6"/>
    <w:rsid w:val="00EB660A"/>
    <w:rsid w:val="00EB6619"/>
    <w:rsid w:val="00EB6751"/>
    <w:rsid w:val="00EB6757"/>
    <w:rsid w:val="00EB67A1"/>
    <w:rsid w:val="00EB6915"/>
    <w:rsid w:val="00EB6AE7"/>
    <w:rsid w:val="00EB6BD6"/>
    <w:rsid w:val="00EB6CDA"/>
    <w:rsid w:val="00EB6D30"/>
    <w:rsid w:val="00EB708A"/>
    <w:rsid w:val="00EB7280"/>
    <w:rsid w:val="00EB7470"/>
    <w:rsid w:val="00EB74C7"/>
    <w:rsid w:val="00EB765C"/>
    <w:rsid w:val="00EB7801"/>
    <w:rsid w:val="00EB7912"/>
    <w:rsid w:val="00EB7A98"/>
    <w:rsid w:val="00EB7ABD"/>
    <w:rsid w:val="00EB7B72"/>
    <w:rsid w:val="00EB7B89"/>
    <w:rsid w:val="00EB7C48"/>
    <w:rsid w:val="00EB7CF0"/>
    <w:rsid w:val="00EB7D2D"/>
    <w:rsid w:val="00EB7EFC"/>
    <w:rsid w:val="00EB7F95"/>
    <w:rsid w:val="00EC012C"/>
    <w:rsid w:val="00EC0191"/>
    <w:rsid w:val="00EC04E1"/>
    <w:rsid w:val="00EC0625"/>
    <w:rsid w:val="00EC06AE"/>
    <w:rsid w:val="00EC0793"/>
    <w:rsid w:val="00EC095B"/>
    <w:rsid w:val="00EC0D0C"/>
    <w:rsid w:val="00EC0E55"/>
    <w:rsid w:val="00EC0E9D"/>
    <w:rsid w:val="00EC0F5D"/>
    <w:rsid w:val="00EC0F82"/>
    <w:rsid w:val="00EC0F8B"/>
    <w:rsid w:val="00EC107F"/>
    <w:rsid w:val="00EC10DD"/>
    <w:rsid w:val="00EC1211"/>
    <w:rsid w:val="00EC1534"/>
    <w:rsid w:val="00EC15FA"/>
    <w:rsid w:val="00EC16DE"/>
    <w:rsid w:val="00EC183E"/>
    <w:rsid w:val="00EC1870"/>
    <w:rsid w:val="00EC199C"/>
    <w:rsid w:val="00EC1A7C"/>
    <w:rsid w:val="00EC1AE2"/>
    <w:rsid w:val="00EC1C20"/>
    <w:rsid w:val="00EC1D52"/>
    <w:rsid w:val="00EC1D92"/>
    <w:rsid w:val="00EC1E04"/>
    <w:rsid w:val="00EC1EA7"/>
    <w:rsid w:val="00EC21BF"/>
    <w:rsid w:val="00EC2485"/>
    <w:rsid w:val="00EC2570"/>
    <w:rsid w:val="00EC2988"/>
    <w:rsid w:val="00EC29E5"/>
    <w:rsid w:val="00EC2A6A"/>
    <w:rsid w:val="00EC2B0F"/>
    <w:rsid w:val="00EC2B81"/>
    <w:rsid w:val="00EC2C28"/>
    <w:rsid w:val="00EC2C4A"/>
    <w:rsid w:val="00EC2D48"/>
    <w:rsid w:val="00EC2DB9"/>
    <w:rsid w:val="00EC3081"/>
    <w:rsid w:val="00EC3303"/>
    <w:rsid w:val="00EC3460"/>
    <w:rsid w:val="00EC34D2"/>
    <w:rsid w:val="00EC35C1"/>
    <w:rsid w:val="00EC35FB"/>
    <w:rsid w:val="00EC3660"/>
    <w:rsid w:val="00EC38D4"/>
    <w:rsid w:val="00EC38E2"/>
    <w:rsid w:val="00EC38FD"/>
    <w:rsid w:val="00EC3A1D"/>
    <w:rsid w:val="00EC3A53"/>
    <w:rsid w:val="00EC3A96"/>
    <w:rsid w:val="00EC3C7E"/>
    <w:rsid w:val="00EC3F9C"/>
    <w:rsid w:val="00EC415A"/>
    <w:rsid w:val="00EC41C4"/>
    <w:rsid w:val="00EC434A"/>
    <w:rsid w:val="00EC4388"/>
    <w:rsid w:val="00EC43DC"/>
    <w:rsid w:val="00EC4540"/>
    <w:rsid w:val="00EC45D1"/>
    <w:rsid w:val="00EC45EE"/>
    <w:rsid w:val="00EC4750"/>
    <w:rsid w:val="00EC4863"/>
    <w:rsid w:val="00EC4980"/>
    <w:rsid w:val="00EC4C1C"/>
    <w:rsid w:val="00EC4CC5"/>
    <w:rsid w:val="00EC4CFC"/>
    <w:rsid w:val="00EC4E4D"/>
    <w:rsid w:val="00EC4FEE"/>
    <w:rsid w:val="00EC50FF"/>
    <w:rsid w:val="00EC5256"/>
    <w:rsid w:val="00EC5262"/>
    <w:rsid w:val="00EC529B"/>
    <w:rsid w:val="00EC5305"/>
    <w:rsid w:val="00EC53FB"/>
    <w:rsid w:val="00EC5456"/>
    <w:rsid w:val="00EC5578"/>
    <w:rsid w:val="00EC55A5"/>
    <w:rsid w:val="00EC5A2A"/>
    <w:rsid w:val="00EC5B17"/>
    <w:rsid w:val="00EC5E28"/>
    <w:rsid w:val="00EC5EF7"/>
    <w:rsid w:val="00EC5F66"/>
    <w:rsid w:val="00EC601D"/>
    <w:rsid w:val="00EC6101"/>
    <w:rsid w:val="00EC618B"/>
    <w:rsid w:val="00EC63B7"/>
    <w:rsid w:val="00EC6409"/>
    <w:rsid w:val="00EC651B"/>
    <w:rsid w:val="00EC66A6"/>
    <w:rsid w:val="00EC6791"/>
    <w:rsid w:val="00EC67C1"/>
    <w:rsid w:val="00EC69FE"/>
    <w:rsid w:val="00EC6A92"/>
    <w:rsid w:val="00EC6AA4"/>
    <w:rsid w:val="00EC6B00"/>
    <w:rsid w:val="00EC6CD7"/>
    <w:rsid w:val="00EC6CED"/>
    <w:rsid w:val="00EC6CFA"/>
    <w:rsid w:val="00EC6EA4"/>
    <w:rsid w:val="00EC6FEE"/>
    <w:rsid w:val="00EC709E"/>
    <w:rsid w:val="00EC7349"/>
    <w:rsid w:val="00EC73AC"/>
    <w:rsid w:val="00EC74D7"/>
    <w:rsid w:val="00EC75CC"/>
    <w:rsid w:val="00EC75F4"/>
    <w:rsid w:val="00EC79F2"/>
    <w:rsid w:val="00EC7C97"/>
    <w:rsid w:val="00EC7CFF"/>
    <w:rsid w:val="00EC7E2D"/>
    <w:rsid w:val="00EC7EB7"/>
    <w:rsid w:val="00EC7EC1"/>
    <w:rsid w:val="00EC7FC8"/>
    <w:rsid w:val="00ED00B2"/>
    <w:rsid w:val="00ED00EE"/>
    <w:rsid w:val="00ED00F9"/>
    <w:rsid w:val="00ED00FE"/>
    <w:rsid w:val="00ED0123"/>
    <w:rsid w:val="00ED01CA"/>
    <w:rsid w:val="00ED0313"/>
    <w:rsid w:val="00ED05CF"/>
    <w:rsid w:val="00ED05E0"/>
    <w:rsid w:val="00ED062A"/>
    <w:rsid w:val="00ED0664"/>
    <w:rsid w:val="00ED0699"/>
    <w:rsid w:val="00ED069D"/>
    <w:rsid w:val="00ED0728"/>
    <w:rsid w:val="00ED08AB"/>
    <w:rsid w:val="00ED08AE"/>
    <w:rsid w:val="00ED0BBD"/>
    <w:rsid w:val="00ED0DCC"/>
    <w:rsid w:val="00ED0DFD"/>
    <w:rsid w:val="00ED0E42"/>
    <w:rsid w:val="00ED0F1E"/>
    <w:rsid w:val="00ED103A"/>
    <w:rsid w:val="00ED110B"/>
    <w:rsid w:val="00ED11B1"/>
    <w:rsid w:val="00ED1202"/>
    <w:rsid w:val="00ED130C"/>
    <w:rsid w:val="00ED1394"/>
    <w:rsid w:val="00ED15A9"/>
    <w:rsid w:val="00ED1665"/>
    <w:rsid w:val="00ED187A"/>
    <w:rsid w:val="00ED1B04"/>
    <w:rsid w:val="00ED1C69"/>
    <w:rsid w:val="00ED1F05"/>
    <w:rsid w:val="00ED1F24"/>
    <w:rsid w:val="00ED2057"/>
    <w:rsid w:val="00ED20BB"/>
    <w:rsid w:val="00ED2157"/>
    <w:rsid w:val="00ED232C"/>
    <w:rsid w:val="00ED235C"/>
    <w:rsid w:val="00ED23C8"/>
    <w:rsid w:val="00ED241F"/>
    <w:rsid w:val="00ED2699"/>
    <w:rsid w:val="00ED2789"/>
    <w:rsid w:val="00ED2800"/>
    <w:rsid w:val="00ED2882"/>
    <w:rsid w:val="00ED28CD"/>
    <w:rsid w:val="00ED29DB"/>
    <w:rsid w:val="00ED2A5D"/>
    <w:rsid w:val="00ED2A8E"/>
    <w:rsid w:val="00ED2AD0"/>
    <w:rsid w:val="00ED2BFF"/>
    <w:rsid w:val="00ED2C75"/>
    <w:rsid w:val="00ED2E8C"/>
    <w:rsid w:val="00ED2FA1"/>
    <w:rsid w:val="00ED2FE9"/>
    <w:rsid w:val="00ED3086"/>
    <w:rsid w:val="00ED3183"/>
    <w:rsid w:val="00ED33C5"/>
    <w:rsid w:val="00ED35F5"/>
    <w:rsid w:val="00ED36FD"/>
    <w:rsid w:val="00ED373E"/>
    <w:rsid w:val="00ED379E"/>
    <w:rsid w:val="00ED3855"/>
    <w:rsid w:val="00ED38B1"/>
    <w:rsid w:val="00ED38B7"/>
    <w:rsid w:val="00ED3A26"/>
    <w:rsid w:val="00ED3A4F"/>
    <w:rsid w:val="00ED3A85"/>
    <w:rsid w:val="00ED3B2F"/>
    <w:rsid w:val="00ED3B5C"/>
    <w:rsid w:val="00ED3B6E"/>
    <w:rsid w:val="00ED3BDF"/>
    <w:rsid w:val="00ED3DC7"/>
    <w:rsid w:val="00ED3EF0"/>
    <w:rsid w:val="00ED403C"/>
    <w:rsid w:val="00ED4483"/>
    <w:rsid w:val="00ED450C"/>
    <w:rsid w:val="00ED47DB"/>
    <w:rsid w:val="00ED4995"/>
    <w:rsid w:val="00ED4A56"/>
    <w:rsid w:val="00ED4C24"/>
    <w:rsid w:val="00ED4D00"/>
    <w:rsid w:val="00ED4D34"/>
    <w:rsid w:val="00ED4E17"/>
    <w:rsid w:val="00ED5317"/>
    <w:rsid w:val="00ED536B"/>
    <w:rsid w:val="00ED537C"/>
    <w:rsid w:val="00ED544C"/>
    <w:rsid w:val="00ED544E"/>
    <w:rsid w:val="00ED54F1"/>
    <w:rsid w:val="00ED5584"/>
    <w:rsid w:val="00ED55FE"/>
    <w:rsid w:val="00ED57AF"/>
    <w:rsid w:val="00ED5ADF"/>
    <w:rsid w:val="00ED5BF4"/>
    <w:rsid w:val="00ED5E1B"/>
    <w:rsid w:val="00ED5F02"/>
    <w:rsid w:val="00ED6052"/>
    <w:rsid w:val="00ED6366"/>
    <w:rsid w:val="00ED663D"/>
    <w:rsid w:val="00ED664A"/>
    <w:rsid w:val="00ED66A5"/>
    <w:rsid w:val="00ED6729"/>
    <w:rsid w:val="00ED686F"/>
    <w:rsid w:val="00ED68C6"/>
    <w:rsid w:val="00ED68F2"/>
    <w:rsid w:val="00ED6B03"/>
    <w:rsid w:val="00ED6C30"/>
    <w:rsid w:val="00ED6F4A"/>
    <w:rsid w:val="00ED7028"/>
    <w:rsid w:val="00ED7583"/>
    <w:rsid w:val="00ED758B"/>
    <w:rsid w:val="00ED75C5"/>
    <w:rsid w:val="00ED7666"/>
    <w:rsid w:val="00ED77E2"/>
    <w:rsid w:val="00ED77F9"/>
    <w:rsid w:val="00ED782C"/>
    <w:rsid w:val="00ED7B28"/>
    <w:rsid w:val="00ED7C3A"/>
    <w:rsid w:val="00ED7D1F"/>
    <w:rsid w:val="00ED7D33"/>
    <w:rsid w:val="00ED7EF1"/>
    <w:rsid w:val="00ED7F0E"/>
    <w:rsid w:val="00ED7F53"/>
    <w:rsid w:val="00ED7FE5"/>
    <w:rsid w:val="00EE01D6"/>
    <w:rsid w:val="00EE0374"/>
    <w:rsid w:val="00EE047B"/>
    <w:rsid w:val="00EE052F"/>
    <w:rsid w:val="00EE06C2"/>
    <w:rsid w:val="00EE07B7"/>
    <w:rsid w:val="00EE08B5"/>
    <w:rsid w:val="00EE08D8"/>
    <w:rsid w:val="00EE0932"/>
    <w:rsid w:val="00EE0A36"/>
    <w:rsid w:val="00EE0ADB"/>
    <w:rsid w:val="00EE0BF3"/>
    <w:rsid w:val="00EE0C54"/>
    <w:rsid w:val="00EE0D00"/>
    <w:rsid w:val="00EE0D3C"/>
    <w:rsid w:val="00EE0D6F"/>
    <w:rsid w:val="00EE0DAB"/>
    <w:rsid w:val="00EE0DC1"/>
    <w:rsid w:val="00EE0DF7"/>
    <w:rsid w:val="00EE0F47"/>
    <w:rsid w:val="00EE0FD1"/>
    <w:rsid w:val="00EE13C4"/>
    <w:rsid w:val="00EE13D0"/>
    <w:rsid w:val="00EE1409"/>
    <w:rsid w:val="00EE140A"/>
    <w:rsid w:val="00EE142C"/>
    <w:rsid w:val="00EE1603"/>
    <w:rsid w:val="00EE1884"/>
    <w:rsid w:val="00EE18DD"/>
    <w:rsid w:val="00EE1A10"/>
    <w:rsid w:val="00EE1B1F"/>
    <w:rsid w:val="00EE1C0F"/>
    <w:rsid w:val="00EE1D21"/>
    <w:rsid w:val="00EE24A0"/>
    <w:rsid w:val="00EE251D"/>
    <w:rsid w:val="00EE257B"/>
    <w:rsid w:val="00EE2593"/>
    <w:rsid w:val="00EE25C9"/>
    <w:rsid w:val="00EE2A72"/>
    <w:rsid w:val="00EE2BE3"/>
    <w:rsid w:val="00EE2BF3"/>
    <w:rsid w:val="00EE2C31"/>
    <w:rsid w:val="00EE2D69"/>
    <w:rsid w:val="00EE2E30"/>
    <w:rsid w:val="00EE2F3C"/>
    <w:rsid w:val="00EE31A6"/>
    <w:rsid w:val="00EE328A"/>
    <w:rsid w:val="00EE3439"/>
    <w:rsid w:val="00EE349A"/>
    <w:rsid w:val="00EE3525"/>
    <w:rsid w:val="00EE3649"/>
    <w:rsid w:val="00EE36FC"/>
    <w:rsid w:val="00EE39AB"/>
    <w:rsid w:val="00EE39C9"/>
    <w:rsid w:val="00EE3A53"/>
    <w:rsid w:val="00EE3A77"/>
    <w:rsid w:val="00EE3AB0"/>
    <w:rsid w:val="00EE3C6B"/>
    <w:rsid w:val="00EE3DF0"/>
    <w:rsid w:val="00EE3E7A"/>
    <w:rsid w:val="00EE3E95"/>
    <w:rsid w:val="00EE3F2C"/>
    <w:rsid w:val="00EE3FFE"/>
    <w:rsid w:val="00EE42FE"/>
    <w:rsid w:val="00EE431F"/>
    <w:rsid w:val="00EE4471"/>
    <w:rsid w:val="00EE4533"/>
    <w:rsid w:val="00EE455C"/>
    <w:rsid w:val="00EE4598"/>
    <w:rsid w:val="00EE48FF"/>
    <w:rsid w:val="00EE49BD"/>
    <w:rsid w:val="00EE4CAC"/>
    <w:rsid w:val="00EE4DE6"/>
    <w:rsid w:val="00EE51F5"/>
    <w:rsid w:val="00EE533D"/>
    <w:rsid w:val="00EE5398"/>
    <w:rsid w:val="00EE5450"/>
    <w:rsid w:val="00EE5505"/>
    <w:rsid w:val="00EE5662"/>
    <w:rsid w:val="00EE570B"/>
    <w:rsid w:val="00EE5723"/>
    <w:rsid w:val="00EE5BF7"/>
    <w:rsid w:val="00EE5C70"/>
    <w:rsid w:val="00EE5D4A"/>
    <w:rsid w:val="00EE5EEC"/>
    <w:rsid w:val="00EE5FA7"/>
    <w:rsid w:val="00EE6035"/>
    <w:rsid w:val="00EE6037"/>
    <w:rsid w:val="00EE61D7"/>
    <w:rsid w:val="00EE62E4"/>
    <w:rsid w:val="00EE6406"/>
    <w:rsid w:val="00EE670A"/>
    <w:rsid w:val="00EE6755"/>
    <w:rsid w:val="00EE6BDA"/>
    <w:rsid w:val="00EE6C62"/>
    <w:rsid w:val="00EE6D74"/>
    <w:rsid w:val="00EE70BE"/>
    <w:rsid w:val="00EE71BB"/>
    <w:rsid w:val="00EE71DF"/>
    <w:rsid w:val="00EE71FE"/>
    <w:rsid w:val="00EE723C"/>
    <w:rsid w:val="00EE7280"/>
    <w:rsid w:val="00EE7635"/>
    <w:rsid w:val="00EE773B"/>
    <w:rsid w:val="00EE7929"/>
    <w:rsid w:val="00EE7985"/>
    <w:rsid w:val="00EE7AB0"/>
    <w:rsid w:val="00EE7D85"/>
    <w:rsid w:val="00EE7DC9"/>
    <w:rsid w:val="00EF0037"/>
    <w:rsid w:val="00EF011D"/>
    <w:rsid w:val="00EF01F2"/>
    <w:rsid w:val="00EF02CD"/>
    <w:rsid w:val="00EF049F"/>
    <w:rsid w:val="00EF05DC"/>
    <w:rsid w:val="00EF069A"/>
    <w:rsid w:val="00EF08EB"/>
    <w:rsid w:val="00EF0B19"/>
    <w:rsid w:val="00EF0D43"/>
    <w:rsid w:val="00EF0DCE"/>
    <w:rsid w:val="00EF0E59"/>
    <w:rsid w:val="00EF0E98"/>
    <w:rsid w:val="00EF0F07"/>
    <w:rsid w:val="00EF0F99"/>
    <w:rsid w:val="00EF10C6"/>
    <w:rsid w:val="00EF1250"/>
    <w:rsid w:val="00EF1270"/>
    <w:rsid w:val="00EF1368"/>
    <w:rsid w:val="00EF138A"/>
    <w:rsid w:val="00EF17E1"/>
    <w:rsid w:val="00EF184D"/>
    <w:rsid w:val="00EF1850"/>
    <w:rsid w:val="00EF1941"/>
    <w:rsid w:val="00EF19F5"/>
    <w:rsid w:val="00EF1C71"/>
    <w:rsid w:val="00EF1DAC"/>
    <w:rsid w:val="00EF1E2C"/>
    <w:rsid w:val="00EF1EB0"/>
    <w:rsid w:val="00EF242C"/>
    <w:rsid w:val="00EF24C6"/>
    <w:rsid w:val="00EF26C5"/>
    <w:rsid w:val="00EF27E0"/>
    <w:rsid w:val="00EF28B2"/>
    <w:rsid w:val="00EF29AA"/>
    <w:rsid w:val="00EF2A11"/>
    <w:rsid w:val="00EF2A3F"/>
    <w:rsid w:val="00EF2A6D"/>
    <w:rsid w:val="00EF2A96"/>
    <w:rsid w:val="00EF2B46"/>
    <w:rsid w:val="00EF2C99"/>
    <w:rsid w:val="00EF2D24"/>
    <w:rsid w:val="00EF2EA3"/>
    <w:rsid w:val="00EF2EB1"/>
    <w:rsid w:val="00EF2FDA"/>
    <w:rsid w:val="00EF304E"/>
    <w:rsid w:val="00EF30DD"/>
    <w:rsid w:val="00EF3115"/>
    <w:rsid w:val="00EF325B"/>
    <w:rsid w:val="00EF32DB"/>
    <w:rsid w:val="00EF3402"/>
    <w:rsid w:val="00EF38C8"/>
    <w:rsid w:val="00EF39AB"/>
    <w:rsid w:val="00EF3B00"/>
    <w:rsid w:val="00EF3ECA"/>
    <w:rsid w:val="00EF3EE3"/>
    <w:rsid w:val="00EF3FD0"/>
    <w:rsid w:val="00EF4085"/>
    <w:rsid w:val="00EF40EA"/>
    <w:rsid w:val="00EF4121"/>
    <w:rsid w:val="00EF42D8"/>
    <w:rsid w:val="00EF437D"/>
    <w:rsid w:val="00EF4589"/>
    <w:rsid w:val="00EF464B"/>
    <w:rsid w:val="00EF46E8"/>
    <w:rsid w:val="00EF4777"/>
    <w:rsid w:val="00EF49D8"/>
    <w:rsid w:val="00EF49EA"/>
    <w:rsid w:val="00EF4A1E"/>
    <w:rsid w:val="00EF4A4D"/>
    <w:rsid w:val="00EF4C71"/>
    <w:rsid w:val="00EF4C81"/>
    <w:rsid w:val="00EF4CCE"/>
    <w:rsid w:val="00EF4D81"/>
    <w:rsid w:val="00EF4DA8"/>
    <w:rsid w:val="00EF4E8D"/>
    <w:rsid w:val="00EF4F95"/>
    <w:rsid w:val="00EF5100"/>
    <w:rsid w:val="00EF527F"/>
    <w:rsid w:val="00EF53E0"/>
    <w:rsid w:val="00EF5486"/>
    <w:rsid w:val="00EF551E"/>
    <w:rsid w:val="00EF56BF"/>
    <w:rsid w:val="00EF5744"/>
    <w:rsid w:val="00EF57F0"/>
    <w:rsid w:val="00EF57F2"/>
    <w:rsid w:val="00EF5B35"/>
    <w:rsid w:val="00EF5B8A"/>
    <w:rsid w:val="00EF5C32"/>
    <w:rsid w:val="00EF5CB4"/>
    <w:rsid w:val="00EF5DC5"/>
    <w:rsid w:val="00EF627D"/>
    <w:rsid w:val="00EF62A7"/>
    <w:rsid w:val="00EF6320"/>
    <w:rsid w:val="00EF6324"/>
    <w:rsid w:val="00EF6743"/>
    <w:rsid w:val="00EF68E5"/>
    <w:rsid w:val="00EF6995"/>
    <w:rsid w:val="00EF6BDE"/>
    <w:rsid w:val="00EF6BE0"/>
    <w:rsid w:val="00EF6C03"/>
    <w:rsid w:val="00EF6C57"/>
    <w:rsid w:val="00EF6CCB"/>
    <w:rsid w:val="00EF6EB0"/>
    <w:rsid w:val="00EF6FCB"/>
    <w:rsid w:val="00EF7070"/>
    <w:rsid w:val="00EF713B"/>
    <w:rsid w:val="00EF71F6"/>
    <w:rsid w:val="00EF721C"/>
    <w:rsid w:val="00EF725C"/>
    <w:rsid w:val="00EF7354"/>
    <w:rsid w:val="00EF76A0"/>
    <w:rsid w:val="00EF76E8"/>
    <w:rsid w:val="00EF774E"/>
    <w:rsid w:val="00EF787A"/>
    <w:rsid w:val="00EF79B1"/>
    <w:rsid w:val="00EF7AA9"/>
    <w:rsid w:val="00EF7ACE"/>
    <w:rsid w:val="00EF7AED"/>
    <w:rsid w:val="00EF7B63"/>
    <w:rsid w:val="00EF7B99"/>
    <w:rsid w:val="00EF7CBC"/>
    <w:rsid w:val="00EF7E2D"/>
    <w:rsid w:val="00EF7FEB"/>
    <w:rsid w:val="00F00049"/>
    <w:rsid w:val="00F001F0"/>
    <w:rsid w:val="00F001F8"/>
    <w:rsid w:val="00F0035F"/>
    <w:rsid w:val="00F0054E"/>
    <w:rsid w:val="00F00637"/>
    <w:rsid w:val="00F0072B"/>
    <w:rsid w:val="00F00A80"/>
    <w:rsid w:val="00F00C3E"/>
    <w:rsid w:val="00F00C73"/>
    <w:rsid w:val="00F00C8A"/>
    <w:rsid w:val="00F00C9E"/>
    <w:rsid w:val="00F00CB5"/>
    <w:rsid w:val="00F00D30"/>
    <w:rsid w:val="00F00D97"/>
    <w:rsid w:val="00F00DB7"/>
    <w:rsid w:val="00F00E07"/>
    <w:rsid w:val="00F00F24"/>
    <w:rsid w:val="00F0112B"/>
    <w:rsid w:val="00F01170"/>
    <w:rsid w:val="00F016EC"/>
    <w:rsid w:val="00F01722"/>
    <w:rsid w:val="00F018E6"/>
    <w:rsid w:val="00F018FA"/>
    <w:rsid w:val="00F019D1"/>
    <w:rsid w:val="00F01D16"/>
    <w:rsid w:val="00F01D3A"/>
    <w:rsid w:val="00F01EB7"/>
    <w:rsid w:val="00F0201B"/>
    <w:rsid w:val="00F02126"/>
    <w:rsid w:val="00F021E6"/>
    <w:rsid w:val="00F023CA"/>
    <w:rsid w:val="00F0240C"/>
    <w:rsid w:val="00F0241B"/>
    <w:rsid w:val="00F0254D"/>
    <w:rsid w:val="00F025F9"/>
    <w:rsid w:val="00F02619"/>
    <w:rsid w:val="00F0272A"/>
    <w:rsid w:val="00F027E4"/>
    <w:rsid w:val="00F0285D"/>
    <w:rsid w:val="00F02AF2"/>
    <w:rsid w:val="00F02EB9"/>
    <w:rsid w:val="00F02EE6"/>
    <w:rsid w:val="00F02F03"/>
    <w:rsid w:val="00F02F36"/>
    <w:rsid w:val="00F030C9"/>
    <w:rsid w:val="00F030ED"/>
    <w:rsid w:val="00F03171"/>
    <w:rsid w:val="00F031E2"/>
    <w:rsid w:val="00F032C2"/>
    <w:rsid w:val="00F0345C"/>
    <w:rsid w:val="00F03624"/>
    <w:rsid w:val="00F03CBA"/>
    <w:rsid w:val="00F03CF9"/>
    <w:rsid w:val="00F03E48"/>
    <w:rsid w:val="00F03EA0"/>
    <w:rsid w:val="00F042D8"/>
    <w:rsid w:val="00F0455F"/>
    <w:rsid w:val="00F045B7"/>
    <w:rsid w:val="00F045D1"/>
    <w:rsid w:val="00F047D1"/>
    <w:rsid w:val="00F04846"/>
    <w:rsid w:val="00F04AF8"/>
    <w:rsid w:val="00F04F5B"/>
    <w:rsid w:val="00F04F8C"/>
    <w:rsid w:val="00F0519B"/>
    <w:rsid w:val="00F052A9"/>
    <w:rsid w:val="00F052D5"/>
    <w:rsid w:val="00F0556A"/>
    <w:rsid w:val="00F0559E"/>
    <w:rsid w:val="00F0575F"/>
    <w:rsid w:val="00F05870"/>
    <w:rsid w:val="00F059E4"/>
    <w:rsid w:val="00F05D3C"/>
    <w:rsid w:val="00F05D48"/>
    <w:rsid w:val="00F05D53"/>
    <w:rsid w:val="00F05E27"/>
    <w:rsid w:val="00F05E73"/>
    <w:rsid w:val="00F05F44"/>
    <w:rsid w:val="00F05FDB"/>
    <w:rsid w:val="00F06212"/>
    <w:rsid w:val="00F062BA"/>
    <w:rsid w:val="00F063CF"/>
    <w:rsid w:val="00F065B8"/>
    <w:rsid w:val="00F067CF"/>
    <w:rsid w:val="00F06851"/>
    <w:rsid w:val="00F068C7"/>
    <w:rsid w:val="00F06BFB"/>
    <w:rsid w:val="00F06F03"/>
    <w:rsid w:val="00F06F24"/>
    <w:rsid w:val="00F06FAA"/>
    <w:rsid w:val="00F071A7"/>
    <w:rsid w:val="00F07249"/>
    <w:rsid w:val="00F0741E"/>
    <w:rsid w:val="00F0754F"/>
    <w:rsid w:val="00F07692"/>
    <w:rsid w:val="00F076A0"/>
    <w:rsid w:val="00F07776"/>
    <w:rsid w:val="00F0781F"/>
    <w:rsid w:val="00F078C5"/>
    <w:rsid w:val="00F07A31"/>
    <w:rsid w:val="00F07A42"/>
    <w:rsid w:val="00F07C0E"/>
    <w:rsid w:val="00F07E4C"/>
    <w:rsid w:val="00F07EC7"/>
    <w:rsid w:val="00F100F6"/>
    <w:rsid w:val="00F10202"/>
    <w:rsid w:val="00F1026D"/>
    <w:rsid w:val="00F10431"/>
    <w:rsid w:val="00F10480"/>
    <w:rsid w:val="00F104A1"/>
    <w:rsid w:val="00F1062E"/>
    <w:rsid w:val="00F10735"/>
    <w:rsid w:val="00F108ED"/>
    <w:rsid w:val="00F10AC5"/>
    <w:rsid w:val="00F10BC7"/>
    <w:rsid w:val="00F10D54"/>
    <w:rsid w:val="00F10ED6"/>
    <w:rsid w:val="00F11601"/>
    <w:rsid w:val="00F11692"/>
    <w:rsid w:val="00F1175F"/>
    <w:rsid w:val="00F11885"/>
    <w:rsid w:val="00F11929"/>
    <w:rsid w:val="00F1193C"/>
    <w:rsid w:val="00F11A11"/>
    <w:rsid w:val="00F11AF1"/>
    <w:rsid w:val="00F11BF7"/>
    <w:rsid w:val="00F11C77"/>
    <w:rsid w:val="00F11D3C"/>
    <w:rsid w:val="00F11D47"/>
    <w:rsid w:val="00F11D73"/>
    <w:rsid w:val="00F11D7E"/>
    <w:rsid w:val="00F11E15"/>
    <w:rsid w:val="00F11EEB"/>
    <w:rsid w:val="00F11F64"/>
    <w:rsid w:val="00F1200B"/>
    <w:rsid w:val="00F1222C"/>
    <w:rsid w:val="00F122D1"/>
    <w:rsid w:val="00F122DB"/>
    <w:rsid w:val="00F1230E"/>
    <w:rsid w:val="00F124F6"/>
    <w:rsid w:val="00F12798"/>
    <w:rsid w:val="00F12985"/>
    <w:rsid w:val="00F12A94"/>
    <w:rsid w:val="00F12AA7"/>
    <w:rsid w:val="00F12B10"/>
    <w:rsid w:val="00F12B17"/>
    <w:rsid w:val="00F12B70"/>
    <w:rsid w:val="00F12CD3"/>
    <w:rsid w:val="00F12D66"/>
    <w:rsid w:val="00F12FCA"/>
    <w:rsid w:val="00F132BF"/>
    <w:rsid w:val="00F133F5"/>
    <w:rsid w:val="00F1346C"/>
    <w:rsid w:val="00F134E5"/>
    <w:rsid w:val="00F1363E"/>
    <w:rsid w:val="00F1368E"/>
    <w:rsid w:val="00F138E7"/>
    <w:rsid w:val="00F13906"/>
    <w:rsid w:val="00F13BFB"/>
    <w:rsid w:val="00F13D0E"/>
    <w:rsid w:val="00F13D51"/>
    <w:rsid w:val="00F13E35"/>
    <w:rsid w:val="00F13E85"/>
    <w:rsid w:val="00F13EE1"/>
    <w:rsid w:val="00F13FD1"/>
    <w:rsid w:val="00F1424A"/>
    <w:rsid w:val="00F1461A"/>
    <w:rsid w:val="00F1463B"/>
    <w:rsid w:val="00F146BD"/>
    <w:rsid w:val="00F146CD"/>
    <w:rsid w:val="00F14704"/>
    <w:rsid w:val="00F1484A"/>
    <w:rsid w:val="00F1489F"/>
    <w:rsid w:val="00F14904"/>
    <w:rsid w:val="00F14A50"/>
    <w:rsid w:val="00F14A71"/>
    <w:rsid w:val="00F14A9E"/>
    <w:rsid w:val="00F14E42"/>
    <w:rsid w:val="00F14E5F"/>
    <w:rsid w:val="00F14FAA"/>
    <w:rsid w:val="00F1501C"/>
    <w:rsid w:val="00F150AB"/>
    <w:rsid w:val="00F150D8"/>
    <w:rsid w:val="00F150F4"/>
    <w:rsid w:val="00F1539E"/>
    <w:rsid w:val="00F15422"/>
    <w:rsid w:val="00F1543B"/>
    <w:rsid w:val="00F15529"/>
    <w:rsid w:val="00F157F6"/>
    <w:rsid w:val="00F157FA"/>
    <w:rsid w:val="00F157FF"/>
    <w:rsid w:val="00F1583A"/>
    <w:rsid w:val="00F159D8"/>
    <w:rsid w:val="00F159E4"/>
    <w:rsid w:val="00F15CB0"/>
    <w:rsid w:val="00F15CFA"/>
    <w:rsid w:val="00F15DF2"/>
    <w:rsid w:val="00F15E37"/>
    <w:rsid w:val="00F15FF5"/>
    <w:rsid w:val="00F16017"/>
    <w:rsid w:val="00F16052"/>
    <w:rsid w:val="00F1610E"/>
    <w:rsid w:val="00F16115"/>
    <w:rsid w:val="00F1613D"/>
    <w:rsid w:val="00F16228"/>
    <w:rsid w:val="00F16249"/>
    <w:rsid w:val="00F162BE"/>
    <w:rsid w:val="00F16434"/>
    <w:rsid w:val="00F1654D"/>
    <w:rsid w:val="00F166FA"/>
    <w:rsid w:val="00F167A5"/>
    <w:rsid w:val="00F16B2F"/>
    <w:rsid w:val="00F16C6C"/>
    <w:rsid w:val="00F16D5B"/>
    <w:rsid w:val="00F16F1C"/>
    <w:rsid w:val="00F16F50"/>
    <w:rsid w:val="00F16F93"/>
    <w:rsid w:val="00F17153"/>
    <w:rsid w:val="00F1719F"/>
    <w:rsid w:val="00F171DB"/>
    <w:rsid w:val="00F17414"/>
    <w:rsid w:val="00F1756B"/>
    <w:rsid w:val="00F1759B"/>
    <w:rsid w:val="00F17657"/>
    <w:rsid w:val="00F176F0"/>
    <w:rsid w:val="00F178C6"/>
    <w:rsid w:val="00F178DC"/>
    <w:rsid w:val="00F17A16"/>
    <w:rsid w:val="00F17A50"/>
    <w:rsid w:val="00F17BFD"/>
    <w:rsid w:val="00F17DD5"/>
    <w:rsid w:val="00F17DE1"/>
    <w:rsid w:val="00F17FBF"/>
    <w:rsid w:val="00F1C765"/>
    <w:rsid w:val="00F202D5"/>
    <w:rsid w:val="00F20468"/>
    <w:rsid w:val="00F204C2"/>
    <w:rsid w:val="00F2050A"/>
    <w:rsid w:val="00F20725"/>
    <w:rsid w:val="00F2075C"/>
    <w:rsid w:val="00F20769"/>
    <w:rsid w:val="00F20864"/>
    <w:rsid w:val="00F208BA"/>
    <w:rsid w:val="00F20B4F"/>
    <w:rsid w:val="00F20BC2"/>
    <w:rsid w:val="00F20C8C"/>
    <w:rsid w:val="00F20D52"/>
    <w:rsid w:val="00F20EFD"/>
    <w:rsid w:val="00F21395"/>
    <w:rsid w:val="00F214BB"/>
    <w:rsid w:val="00F2150B"/>
    <w:rsid w:val="00F216C3"/>
    <w:rsid w:val="00F21831"/>
    <w:rsid w:val="00F21997"/>
    <w:rsid w:val="00F21ADA"/>
    <w:rsid w:val="00F21B01"/>
    <w:rsid w:val="00F21BE1"/>
    <w:rsid w:val="00F21CE2"/>
    <w:rsid w:val="00F21CF1"/>
    <w:rsid w:val="00F21D32"/>
    <w:rsid w:val="00F21DB6"/>
    <w:rsid w:val="00F220DF"/>
    <w:rsid w:val="00F2219C"/>
    <w:rsid w:val="00F2221C"/>
    <w:rsid w:val="00F2229C"/>
    <w:rsid w:val="00F222EF"/>
    <w:rsid w:val="00F223C3"/>
    <w:rsid w:val="00F223CD"/>
    <w:rsid w:val="00F2243C"/>
    <w:rsid w:val="00F225FC"/>
    <w:rsid w:val="00F2265E"/>
    <w:rsid w:val="00F2278C"/>
    <w:rsid w:val="00F228F0"/>
    <w:rsid w:val="00F2296B"/>
    <w:rsid w:val="00F229EB"/>
    <w:rsid w:val="00F22BEF"/>
    <w:rsid w:val="00F22CC5"/>
    <w:rsid w:val="00F22D77"/>
    <w:rsid w:val="00F22E40"/>
    <w:rsid w:val="00F2311C"/>
    <w:rsid w:val="00F232BE"/>
    <w:rsid w:val="00F23300"/>
    <w:rsid w:val="00F23386"/>
    <w:rsid w:val="00F2340B"/>
    <w:rsid w:val="00F23430"/>
    <w:rsid w:val="00F2352A"/>
    <w:rsid w:val="00F236E3"/>
    <w:rsid w:val="00F23708"/>
    <w:rsid w:val="00F2378E"/>
    <w:rsid w:val="00F2380B"/>
    <w:rsid w:val="00F238C0"/>
    <w:rsid w:val="00F239FF"/>
    <w:rsid w:val="00F23AE3"/>
    <w:rsid w:val="00F23AF7"/>
    <w:rsid w:val="00F23B76"/>
    <w:rsid w:val="00F23C25"/>
    <w:rsid w:val="00F23CBF"/>
    <w:rsid w:val="00F23DB4"/>
    <w:rsid w:val="00F23F79"/>
    <w:rsid w:val="00F23FE4"/>
    <w:rsid w:val="00F240AB"/>
    <w:rsid w:val="00F240EA"/>
    <w:rsid w:val="00F24236"/>
    <w:rsid w:val="00F242D1"/>
    <w:rsid w:val="00F24448"/>
    <w:rsid w:val="00F244CD"/>
    <w:rsid w:val="00F24620"/>
    <w:rsid w:val="00F24665"/>
    <w:rsid w:val="00F24701"/>
    <w:rsid w:val="00F24711"/>
    <w:rsid w:val="00F249E8"/>
    <w:rsid w:val="00F249EF"/>
    <w:rsid w:val="00F24B04"/>
    <w:rsid w:val="00F24C75"/>
    <w:rsid w:val="00F24DA4"/>
    <w:rsid w:val="00F24EDA"/>
    <w:rsid w:val="00F24F37"/>
    <w:rsid w:val="00F250AA"/>
    <w:rsid w:val="00F2519A"/>
    <w:rsid w:val="00F251EC"/>
    <w:rsid w:val="00F251F0"/>
    <w:rsid w:val="00F2537D"/>
    <w:rsid w:val="00F25581"/>
    <w:rsid w:val="00F25596"/>
    <w:rsid w:val="00F255D7"/>
    <w:rsid w:val="00F25699"/>
    <w:rsid w:val="00F258C0"/>
    <w:rsid w:val="00F25937"/>
    <w:rsid w:val="00F25975"/>
    <w:rsid w:val="00F259B0"/>
    <w:rsid w:val="00F259CB"/>
    <w:rsid w:val="00F25A1D"/>
    <w:rsid w:val="00F25A65"/>
    <w:rsid w:val="00F25A9E"/>
    <w:rsid w:val="00F25AF5"/>
    <w:rsid w:val="00F25B29"/>
    <w:rsid w:val="00F25CB6"/>
    <w:rsid w:val="00F25D1A"/>
    <w:rsid w:val="00F26052"/>
    <w:rsid w:val="00F260CE"/>
    <w:rsid w:val="00F260EC"/>
    <w:rsid w:val="00F261F2"/>
    <w:rsid w:val="00F263DF"/>
    <w:rsid w:val="00F26431"/>
    <w:rsid w:val="00F26600"/>
    <w:rsid w:val="00F2673B"/>
    <w:rsid w:val="00F268E4"/>
    <w:rsid w:val="00F26A89"/>
    <w:rsid w:val="00F26BC1"/>
    <w:rsid w:val="00F26BD2"/>
    <w:rsid w:val="00F26C40"/>
    <w:rsid w:val="00F26C50"/>
    <w:rsid w:val="00F26CEA"/>
    <w:rsid w:val="00F26D42"/>
    <w:rsid w:val="00F26D96"/>
    <w:rsid w:val="00F26DB7"/>
    <w:rsid w:val="00F26E38"/>
    <w:rsid w:val="00F26EEE"/>
    <w:rsid w:val="00F26F4D"/>
    <w:rsid w:val="00F26F8A"/>
    <w:rsid w:val="00F26FDA"/>
    <w:rsid w:val="00F270ED"/>
    <w:rsid w:val="00F27271"/>
    <w:rsid w:val="00F272A2"/>
    <w:rsid w:val="00F272E3"/>
    <w:rsid w:val="00F27301"/>
    <w:rsid w:val="00F27569"/>
    <w:rsid w:val="00F2761E"/>
    <w:rsid w:val="00F27655"/>
    <w:rsid w:val="00F276D5"/>
    <w:rsid w:val="00F277F7"/>
    <w:rsid w:val="00F279DC"/>
    <w:rsid w:val="00F27B72"/>
    <w:rsid w:val="00F27EDF"/>
    <w:rsid w:val="00F30415"/>
    <w:rsid w:val="00F30491"/>
    <w:rsid w:val="00F304E2"/>
    <w:rsid w:val="00F30586"/>
    <w:rsid w:val="00F30732"/>
    <w:rsid w:val="00F3079E"/>
    <w:rsid w:val="00F308AE"/>
    <w:rsid w:val="00F309B2"/>
    <w:rsid w:val="00F309D7"/>
    <w:rsid w:val="00F30B6B"/>
    <w:rsid w:val="00F30B73"/>
    <w:rsid w:val="00F30C58"/>
    <w:rsid w:val="00F30D01"/>
    <w:rsid w:val="00F30E74"/>
    <w:rsid w:val="00F30E80"/>
    <w:rsid w:val="00F30E9A"/>
    <w:rsid w:val="00F30EB4"/>
    <w:rsid w:val="00F31097"/>
    <w:rsid w:val="00F3121B"/>
    <w:rsid w:val="00F312B8"/>
    <w:rsid w:val="00F313F7"/>
    <w:rsid w:val="00F313F9"/>
    <w:rsid w:val="00F31430"/>
    <w:rsid w:val="00F3150A"/>
    <w:rsid w:val="00F31638"/>
    <w:rsid w:val="00F31991"/>
    <w:rsid w:val="00F319CE"/>
    <w:rsid w:val="00F31ADE"/>
    <w:rsid w:val="00F31E93"/>
    <w:rsid w:val="00F31F5D"/>
    <w:rsid w:val="00F32126"/>
    <w:rsid w:val="00F3231A"/>
    <w:rsid w:val="00F32495"/>
    <w:rsid w:val="00F32558"/>
    <w:rsid w:val="00F3269E"/>
    <w:rsid w:val="00F327D0"/>
    <w:rsid w:val="00F32879"/>
    <w:rsid w:val="00F328EE"/>
    <w:rsid w:val="00F32A36"/>
    <w:rsid w:val="00F32B27"/>
    <w:rsid w:val="00F32DBD"/>
    <w:rsid w:val="00F32F3E"/>
    <w:rsid w:val="00F33102"/>
    <w:rsid w:val="00F33226"/>
    <w:rsid w:val="00F33266"/>
    <w:rsid w:val="00F332E9"/>
    <w:rsid w:val="00F334D8"/>
    <w:rsid w:val="00F335E2"/>
    <w:rsid w:val="00F3386C"/>
    <w:rsid w:val="00F3392A"/>
    <w:rsid w:val="00F33C1E"/>
    <w:rsid w:val="00F33F3C"/>
    <w:rsid w:val="00F33FA2"/>
    <w:rsid w:val="00F3403C"/>
    <w:rsid w:val="00F3403D"/>
    <w:rsid w:val="00F34136"/>
    <w:rsid w:val="00F342EE"/>
    <w:rsid w:val="00F3431B"/>
    <w:rsid w:val="00F34353"/>
    <w:rsid w:val="00F3437B"/>
    <w:rsid w:val="00F343B2"/>
    <w:rsid w:val="00F34412"/>
    <w:rsid w:val="00F3442C"/>
    <w:rsid w:val="00F34D98"/>
    <w:rsid w:val="00F34DF4"/>
    <w:rsid w:val="00F34F2D"/>
    <w:rsid w:val="00F35130"/>
    <w:rsid w:val="00F35207"/>
    <w:rsid w:val="00F359E8"/>
    <w:rsid w:val="00F35C7D"/>
    <w:rsid w:val="00F35E07"/>
    <w:rsid w:val="00F35E09"/>
    <w:rsid w:val="00F35FEE"/>
    <w:rsid w:val="00F36104"/>
    <w:rsid w:val="00F3614A"/>
    <w:rsid w:val="00F363F5"/>
    <w:rsid w:val="00F3650A"/>
    <w:rsid w:val="00F365FD"/>
    <w:rsid w:val="00F366C9"/>
    <w:rsid w:val="00F3688F"/>
    <w:rsid w:val="00F36B42"/>
    <w:rsid w:val="00F36D05"/>
    <w:rsid w:val="00F36D1D"/>
    <w:rsid w:val="00F36D95"/>
    <w:rsid w:val="00F36EC0"/>
    <w:rsid w:val="00F36FBB"/>
    <w:rsid w:val="00F37075"/>
    <w:rsid w:val="00F370F9"/>
    <w:rsid w:val="00F371A5"/>
    <w:rsid w:val="00F374D1"/>
    <w:rsid w:val="00F3753F"/>
    <w:rsid w:val="00F37561"/>
    <w:rsid w:val="00F3766A"/>
    <w:rsid w:val="00F3769A"/>
    <w:rsid w:val="00F37768"/>
    <w:rsid w:val="00F37896"/>
    <w:rsid w:val="00F378E4"/>
    <w:rsid w:val="00F37B88"/>
    <w:rsid w:val="00F37B8C"/>
    <w:rsid w:val="00F37DE6"/>
    <w:rsid w:val="00F37E1E"/>
    <w:rsid w:val="00F37E3C"/>
    <w:rsid w:val="00F37E7D"/>
    <w:rsid w:val="00F37FB8"/>
    <w:rsid w:val="00F4012B"/>
    <w:rsid w:val="00F40153"/>
    <w:rsid w:val="00F4028E"/>
    <w:rsid w:val="00F402CB"/>
    <w:rsid w:val="00F403E8"/>
    <w:rsid w:val="00F40427"/>
    <w:rsid w:val="00F406E5"/>
    <w:rsid w:val="00F40775"/>
    <w:rsid w:val="00F4092C"/>
    <w:rsid w:val="00F4096B"/>
    <w:rsid w:val="00F40A48"/>
    <w:rsid w:val="00F40B01"/>
    <w:rsid w:val="00F40B09"/>
    <w:rsid w:val="00F40C2D"/>
    <w:rsid w:val="00F40D6C"/>
    <w:rsid w:val="00F40D88"/>
    <w:rsid w:val="00F40E8A"/>
    <w:rsid w:val="00F40FA5"/>
    <w:rsid w:val="00F410C2"/>
    <w:rsid w:val="00F41197"/>
    <w:rsid w:val="00F4120F"/>
    <w:rsid w:val="00F41283"/>
    <w:rsid w:val="00F4132A"/>
    <w:rsid w:val="00F413FF"/>
    <w:rsid w:val="00F414D2"/>
    <w:rsid w:val="00F41570"/>
    <w:rsid w:val="00F416A2"/>
    <w:rsid w:val="00F41744"/>
    <w:rsid w:val="00F4194A"/>
    <w:rsid w:val="00F41979"/>
    <w:rsid w:val="00F41992"/>
    <w:rsid w:val="00F41D22"/>
    <w:rsid w:val="00F41DE1"/>
    <w:rsid w:val="00F41E43"/>
    <w:rsid w:val="00F41E9A"/>
    <w:rsid w:val="00F423BC"/>
    <w:rsid w:val="00F4249D"/>
    <w:rsid w:val="00F425C9"/>
    <w:rsid w:val="00F426C7"/>
    <w:rsid w:val="00F42B5C"/>
    <w:rsid w:val="00F42B87"/>
    <w:rsid w:val="00F42E05"/>
    <w:rsid w:val="00F42E66"/>
    <w:rsid w:val="00F42FBD"/>
    <w:rsid w:val="00F43191"/>
    <w:rsid w:val="00F43255"/>
    <w:rsid w:val="00F43280"/>
    <w:rsid w:val="00F43324"/>
    <w:rsid w:val="00F43361"/>
    <w:rsid w:val="00F43419"/>
    <w:rsid w:val="00F4343C"/>
    <w:rsid w:val="00F43466"/>
    <w:rsid w:val="00F43486"/>
    <w:rsid w:val="00F4348C"/>
    <w:rsid w:val="00F43500"/>
    <w:rsid w:val="00F4351F"/>
    <w:rsid w:val="00F435CA"/>
    <w:rsid w:val="00F4364E"/>
    <w:rsid w:val="00F436C6"/>
    <w:rsid w:val="00F43815"/>
    <w:rsid w:val="00F43A13"/>
    <w:rsid w:val="00F43CA5"/>
    <w:rsid w:val="00F43CAA"/>
    <w:rsid w:val="00F43DCA"/>
    <w:rsid w:val="00F43E0D"/>
    <w:rsid w:val="00F43F27"/>
    <w:rsid w:val="00F440EC"/>
    <w:rsid w:val="00F44382"/>
    <w:rsid w:val="00F443EB"/>
    <w:rsid w:val="00F4445C"/>
    <w:rsid w:val="00F444AD"/>
    <w:rsid w:val="00F446E4"/>
    <w:rsid w:val="00F4472C"/>
    <w:rsid w:val="00F4478A"/>
    <w:rsid w:val="00F447FD"/>
    <w:rsid w:val="00F44836"/>
    <w:rsid w:val="00F44999"/>
    <w:rsid w:val="00F44AE3"/>
    <w:rsid w:val="00F44DC7"/>
    <w:rsid w:val="00F44E30"/>
    <w:rsid w:val="00F45068"/>
    <w:rsid w:val="00F45358"/>
    <w:rsid w:val="00F453CD"/>
    <w:rsid w:val="00F45520"/>
    <w:rsid w:val="00F459FB"/>
    <w:rsid w:val="00F45ADB"/>
    <w:rsid w:val="00F45B8E"/>
    <w:rsid w:val="00F45C8C"/>
    <w:rsid w:val="00F45E11"/>
    <w:rsid w:val="00F4604F"/>
    <w:rsid w:val="00F46073"/>
    <w:rsid w:val="00F460F7"/>
    <w:rsid w:val="00F46103"/>
    <w:rsid w:val="00F461F9"/>
    <w:rsid w:val="00F46212"/>
    <w:rsid w:val="00F4629A"/>
    <w:rsid w:val="00F46347"/>
    <w:rsid w:val="00F463BA"/>
    <w:rsid w:val="00F46556"/>
    <w:rsid w:val="00F46602"/>
    <w:rsid w:val="00F466AE"/>
    <w:rsid w:val="00F466BE"/>
    <w:rsid w:val="00F46843"/>
    <w:rsid w:val="00F46949"/>
    <w:rsid w:val="00F4694D"/>
    <w:rsid w:val="00F469F3"/>
    <w:rsid w:val="00F46A7D"/>
    <w:rsid w:val="00F46D0F"/>
    <w:rsid w:val="00F46DA7"/>
    <w:rsid w:val="00F46FD7"/>
    <w:rsid w:val="00F471FD"/>
    <w:rsid w:val="00F4723B"/>
    <w:rsid w:val="00F47329"/>
    <w:rsid w:val="00F474CD"/>
    <w:rsid w:val="00F476AA"/>
    <w:rsid w:val="00F47838"/>
    <w:rsid w:val="00F479D2"/>
    <w:rsid w:val="00F47A5D"/>
    <w:rsid w:val="00F47A7B"/>
    <w:rsid w:val="00F47A92"/>
    <w:rsid w:val="00F47BF4"/>
    <w:rsid w:val="00F47CEB"/>
    <w:rsid w:val="00F47EEB"/>
    <w:rsid w:val="00F501AB"/>
    <w:rsid w:val="00F501D5"/>
    <w:rsid w:val="00F501FA"/>
    <w:rsid w:val="00F5049C"/>
    <w:rsid w:val="00F50663"/>
    <w:rsid w:val="00F50928"/>
    <w:rsid w:val="00F5092C"/>
    <w:rsid w:val="00F5093C"/>
    <w:rsid w:val="00F5096B"/>
    <w:rsid w:val="00F509D1"/>
    <w:rsid w:val="00F50A10"/>
    <w:rsid w:val="00F50A6A"/>
    <w:rsid w:val="00F50B1A"/>
    <w:rsid w:val="00F50B21"/>
    <w:rsid w:val="00F50B27"/>
    <w:rsid w:val="00F50BCA"/>
    <w:rsid w:val="00F50CC9"/>
    <w:rsid w:val="00F50D99"/>
    <w:rsid w:val="00F50DAF"/>
    <w:rsid w:val="00F50E1A"/>
    <w:rsid w:val="00F50E30"/>
    <w:rsid w:val="00F50E8B"/>
    <w:rsid w:val="00F51208"/>
    <w:rsid w:val="00F51525"/>
    <w:rsid w:val="00F51551"/>
    <w:rsid w:val="00F5177A"/>
    <w:rsid w:val="00F51BD1"/>
    <w:rsid w:val="00F51CC8"/>
    <w:rsid w:val="00F51D6C"/>
    <w:rsid w:val="00F51D7D"/>
    <w:rsid w:val="00F51E27"/>
    <w:rsid w:val="00F51EC7"/>
    <w:rsid w:val="00F52011"/>
    <w:rsid w:val="00F522FB"/>
    <w:rsid w:val="00F523A5"/>
    <w:rsid w:val="00F5244D"/>
    <w:rsid w:val="00F52682"/>
    <w:rsid w:val="00F52722"/>
    <w:rsid w:val="00F52770"/>
    <w:rsid w:val="00F52877"/>
    <w:rsid w:val="00F52A35"/>
    <w:rsid w:val="00F52AB4"/>
    <w:rsid w:val="00F52C56"/>
    <w:rsid w:val="00F52D90"/>
    <w:rsid w:val="00F52DBC"/>
    <w:rsid w:val="00F53015"/>
    <w:rsid w:val="00F53051"/>
    <w:rsid w:val="00F53294"/>
    <w:rsid w:val="00F5338D"/>
    <w:rsid w:val="00F533B1"/>
    <w:rsid w:val="00F533BA"/>
    <w:rsid w:val="00F5349F"/>
    <w:rsid w:val="00F53758"/>
    <w:rsid w:val="00F5387D"/>
    <w:rsid w:val="00F53E48"/>
    <w:rsid w:val="00F53E5B"/>
    <w:rsid w:val="00F53E71"/>
    <w:rsid w:val="00F541AA"/>
    <w:rsid w:val="00F541B3"/>
    <w:rsid w:val="00F541D0"/>
    <w:rsid w:val="00F542AF"/>
    <w:rsid w:val="00F544F8"/>
    <w:rsid w:val="00F545C8"/>
    <w:rsid w:val="00F548C7"/>
    <w:rsid w:val="00F548E9"/>
    <w:rsid w:val="00F549F2"/>
    <w:rsid w:val="00F54A15"/>
    <w:rsid w:val="00F54B1B"/>
    <w:rsid w:val="00F54B65"/>
    <w:rsid w:val="00F54C9F"/>
    <w:rsid w:val="00F54F5B"/>
    <w:rsid w:val="00F551A2"/>
    <w:rsid w:val="00F551D4"/>
    <w:rsid w:val="00F553F9"/>
    <w:rsid w:val="00F5549F"/>
    <w:rsid w:val="00F555A6"/>
    <w:rsid w:val="00F55600"/>
    <w:rsid w:val="00F557BF"/>
    <w:rsid w:val="00F557E1"/>
    <w:rsid w:val="00F558DE"/>
    <w:rsid w:val="00F55998"/>
    <w:rsid w:val="00F55B6D"/>
    <w:rsid w:val="00F55DA6"/>
    <w:rsid w:val="00F55DB7"/>
    <w:rsid w:val="00F55E43"/>
    <w:rsid w:val="00F55F03"/>
    <w:rsid w:val="00F55FBC"/>
    <w:rsid w:val="00F56112"/>
    <w:rsid w:val="00F56209"/>
    <w:rsid w:val="00F56238"/>
    <w:rsid w:val="00F5623E"/>
    <w:rsid w:val="00F56270"/>
    <w:rsid w:val="00F565E0"/>
    <w:rsid w:val="00F56827"/>
    <w:rsid w:val="00F56992"/>
    <w:rsid w:val="00F56B52"/>
    <w:rsid w:val="00F56C01"/>
    <w:rsid w:val="00F56C40"/>
    <w:rsid w:val="00F56C8C"/>
    <w:rsid w:val="00F56D26"/>
    <w:rsid w:val="00F56FD7"/>
    <w:rsid w:val="00F56FDD"/>
    <w:rsid w:val="00F57173"/>
    <w:rsid w:val="00F5718D"/>
    <w:rsid w:val="00F572CA"/>
    <w:rsid w:val="00F572FE"/>
    <w:rsid w:val="00F573E9"/>
    <w:rsid w:val="00F574A4"/>
    <w:rsid w:val="00F5796D"/>
    <w:rsid w:val="00F579BA"/>
    <w:rsid w:val="00F57A6F"/>
    <w:rsid w:val="00F57AF0"/>
    <w:rsid w:val="00F57B16"/>
    <w:rsid w:val="00F57C95"/>
    <w:rsid w:val="00F57CE0"/>
    <w:rsid w:val="00F57E9C"/>
    <w:rsid w:val="00F60071"/>
    <w:rsid w:val="00F60299"/>
    <w:rsid w:val="00F604DE"/>
    <w:rsid w:val="00F6055A"/>
    <w:rsid w:val="00F60586"/>
    <w:rsid w:val="00F6073C"/>
    <w:rsid w:val="00F60782"/>
    <w:rsid w:val="00F60855"/>
    <w:rsid w:val="00F60921"/>
    <w:rsid w:val="00F60A18"/>
    <w:rsid w:val="00F60D61"/>
    <w:rsid w:val="00F60DE1"/>
    <w:rsid w:val="00F60F86"/>
    <w:rsid w:val="00F6100F"/>
    <w:rsid w:val="00F610E4"/>
    <w:rsid w:val="00F6125A"/>
    <w:rsid w:val="00F612BC"/>
    <w:rsid w:val="00F61480"/>
    <w:rsid w:val="00F616DF"/>
    <w:rsid w:val="00F61800"/>
    <w:rsid w:val="00F61856"/>
    <w:rsid w:val="00F61958"/>
    <w:rsid w:val="00F61986"/>
    <w:rsid w:val="00F61AE4"/>
    <w:rsid w:val="00F61B65"/>
    <w:rsid w:val="00F61BFA"/>
    <w:rsid w:val="00F61F08"/>
    <w:rsid w:val="00F61F4D"/>
    <w:rsid w:val="00F61FB9"/>
    <w:rsid w:val="00F6204B"/>
    <w:rsid w:val="00F62109"/>
    <w:rsid w:val="00F62139"/>
    <w:rsid w:val="00F622E4"/>
    <w:rsid w:val="00F625FF"/>
    <w:rsid w:val="00F62739"/>
    <w:rsid w:val="00F62967"/>
    <w:rsid w:val="00F629AF"/>
    <w:rsid w:val="00F62A33"/>
    <w:rsid w:val="00F62B09"/>
    <w:rsid w:val="00F62C47"/>
    <w:rsid w:val="00F62DE8"/>
    <w:rsid w:val="00F62EC6"/>
    <w:rsid w:val="00F62F85"/>
    <w:rsid w:val="00F62F86"/>
    <w:rsid w:val="00F62FDB"/>
    <w:rsid w:val="00F63097"/>
    <w:rsid w:val="00F63233"/>
    <w:rsid w:val="00F633CD"/>
    <w:rsid w:val="00F63503"/>
    <w:rsid w:val="00F6356C"/>
    <w:rsid w:val="00F63575"/>
    <w:rsid w:val="00F635FA"/>
    <w:rsid w:val="00F636CD"/>
    <w:rsid w:val="00F63991"/>
    <w:rsid w:val="00F63AE2"/>
    <w:rsid w:val="00F6401E"/>
    <w:rsid w:val="00F6404A"/>
    <w:rsid w:val="00F6415C"/>
    <w:rsid w:val="00F64296"/>
    <w:rsid w:val="00F6453E"/>
    <w:rsid w:val="00F64612"/>
    <w:rsid w:val="00F647A9"/>
    <w:rsid w:val="00F64819"/>
    <w:rsid w:val="00F64ACA"/>
    <w:rsid w:val="00F64AE5"/>
    <w:rsid w:val="00F64B0D"/>
    <w:rsid w:val="00F64B0E"/>
    <w:rsid w:val="00F64CAA"/>
    <w:rsid w:val="00F64DB3"/>
    <w:rsid w:val="00F64E75"/>
    <w:rsid w:val="00F651AF"/>
    <w:rsid w:val="00F6524E"/>
    <w:rsid w:val="00F6553F"/>
    <w:rsid w:val="00F656D7"/>
    <w:rsid w:val="00F65854"/>
    <w:rsid w:val="00F65A81"/>
    <w:rsid w:val="00F65DD7"/>
    <w:rsid w:val="00F65DF2"/>
    <w:rsid w:val="00F65E5A"/>
    <w:rsid w:val="00F65EE0"/>
    <w:rsid w:val="00F65F95"/>
    <w:rsid w:val="00F66066"/>
    <w:rsid w:val="00F660BB"/>
    <w:rsid w:val="00F66125"/>
    <w:rsid w:val="00F66161"/>
    <w:rsid w:val="00F661F8"/>
    <w:rsid w:val="00F66644"/>
    <w:rsid w:val="00F66720"/>
    <w:rsid w:val="00F669B4"/>
    <w:rsid w:val="00F669E3"/>
    <w:rsid w:val="00F66A70"/>
    <w:rsid w:val="00F66BED"/>
    <w:rsid w:val="00F66CBA"/>
    <w:rsid w:val="00F66DBD"/>
    <w:rsid w:val="00F66E2E"/>
    <w:rsid w:val="00F66F4F"/>
    <w:rsid w:val="00F66F70"/>
    <w:rsid w:val="00F66F8A"/>
    <w:rsid w:val="00F67178"/>
    <w:rsid w:val="00F671A3"/>
    <w:rsid w:val="00F67250"/>
    <w:rsid w:val="00F67291"/>
    <w:rsid w:val="00F67492"/>
    <w:rsid w:val="00F675FD"/>
    <w:rsid w:val="00F67639"/>
    <w:rsid w:val="00F6773E"/>
    <w:rsid w:val="00F67769"/>
    <w:rsid w:val="00F677CE"/>
    <w:rsid w:val="00F67819"/>
    <w:rsid w:val="00F678DC"/>
    <w:rsid w:val="00F679FA"/>
    <w:rsid w:val="00F67A4E"/>
    <w:rsid w:val="00F67CAF"/>
    <w:rsid w:val="00F67D03"/>
    <w:rsid w:val="00F67D16"/>
    <w:rsid w:val="00F67ED5"/>
    <w:rsid w:val="00F67F3D"/>
    <w:rsid w:val="00F67F83"/>
    <w:rsid w:val="00F67FBF"/>
    <w:rsid w:val="00F70204"/>
    <w:rsid w:val="00F702D1"/>
    <w:rsid w:val="00F7035D"/>
    <w:rsid w:val="00F70631"/>
    <w:rsid w:val="00F7080A"/>
    <w:rsid w:val="00F7086A"/>
    <w:rsid w:val="00F70948"/>
    <w:rsid w:val="00F709BE"/>
    <w:rsid w:val="00F70A88"/>
    <w:rsid w:val="00F70C47"/>
    <w:rsid w:val="00F70C8A"/>
    <w:rsid w:val="00F70D5D"/>
    <w:rsid w:val="00F70DEF"/>
    <w:rsid w:val="00F70E21"/>
    <w:rsid w:val="00F70FFB"/>
    <w:rsid w:val="00F711D1"/>
    <w:rsid w:val="00F712D8"/>
    <w:rsid w:val="00F712D9"/>
    <w:rsid w:val="00F71593"/>
    <w:rsid w:val="00F716AE"/>
    <w:rsid w:val="00F716B8"/>
    <w:rsid w:val="00F71A52"/>
    <w:rsid w:val="00F71B33"/>
    <w:rsid w:val="00F71B72"/>
    <w:rsid w:val="00F71BBC"/>
    <w:rsid w:val="00F71C4D"/>
    <w:rsid w:val="00F71C77"/>
    <w:rsid w:val="00F71F45"/>
    <w:rsid w:val="00F71FF3"/>
    <w:rsid w:val="00F71FFC"/>
    <w:rsid w:val="00F7205A"/>
    <w:rsid w:val="00F7208A"/>
    <w:rsid w:val="00F7237F"/>
    <w:rsid w:val="00F723DF"/>
    <w:rsid w:val="00F725EA"/>
    <w:rsid w:val="00F72608"/>
    <w:rsid w:val="00F7262A"/>
    <w:rsid w:val="00F728FB"/>
    <w:rsid w:val="00F72E4D"/>
    <w:rsid w:val="00F73131"/>
    <w:rsid w:val="00F73153"/>
    <w:rsid w:val="00F7320C"/>
    <w:rsid w:val="00F732C3"/>
    <w:rsid w:val="00F733FA"/>
    <w:rsid w:val="00F73423"/>
    <w:rsid w:val="00F7346E"/>
    <w:rsid w:val="00F734AC"/>
    <w:rsid w:val="00F734DF"/>
    <w:rsid w:val="00F734F0"/>
    <w:rsid w:val="00F734FD"/>
    <w:rsid w:val="00F737F2"/>
    <w:rsid w:val="00F73856"/>
    <w:rsid w:val="00F73974"/>
    <w:rsid w:val="00F73AC1"/>
    <w:rsid w:val="00F73AF8"/>
    <w:rsid w:val="00F73B78"/>
    <w:rsid w:val="00F73DD9"/>
    <w:rsid w:val="00F73ED5"/>
    <w:rsid w:val="00F73F5C"/>
    <w:rsid w:val="00F74018"/>
    <w:rsid w:val="00F7410D"/>
    <w:rsid w:val="00F741DC"/>
    <w:rsid w:val="00F742F5"/>
    <w:rsid w:val="00F743F3"/>
    <w:rsid w:val="00F74433"/>
    <w:rsid w:val="00F7469E"/>
    <w:rsid w:val="00F747B5"/>
    <w:rsid w:val="00F74822"/>
    <w:rsid w:val="00F7487F"/>
    <w:rsid w:val="00F74AB1"/>
    <w:rsid w:val="00F74BC8"/>
    <w:rsid w:val="00F74E1B"/>
    <w:rsid w:val="00F74E8C"/>
    <w:rsid w:val="00F751D0"/>
    <w:rsid w:val="00F751ED"/>
    <w:rsid w:val="00F7529B"/>
    <w:rsid w:val="00F75326"/>
    <w:rsid w:val="00F7536A"/>
    <w:rsid w:val="00F7569B"/>
    <w:rsid w:val="00F7574A"/>
    <w:rsid w:val="00F758E6"/>
    <w:rsid w:val="00F75917"/>
    <w:rsid w:val="00F75932"/>
    <w:rsid w:val="00F75A14"/>
    <w:rsid w:val="00F75AF2"/>
    <w:rsid w:val="00F75B10"/>
    <w:rsid w:val="00F75BB0"/>
    <w:rsid w:val="00F75C54"/>
    <w:rsid w:val="00F75CAF"/>
    <w:rsid w:val="00F75D56"/>
    <w:rsid w:val="00F75D73"/>
    <w:rsid w:val="00F75DDC"/>
    <w:rsid w:val="00F75F6B"/>
    <w:rsid w:val="00F76090"/>
    <w:rsid w:val="00F762F6"/>
    <w:rsid w:val="00F763BE"/>
    <w:rsid w:val="00F76617"/>
    <w:rsid w:val="00F7662D"/>
    <w:rsid w:val="00F7684E"/>
    <w:rsid w:val="00F76851"/>
    <w:rsid w:val="00F76A9A"/>
    <w:rsid w:val="00F76B7A"/>
    <w:rsid w:val="00F76D38"/>
    <w:rsid w:val="00F76E54"/>
    <w:rsid w:val="00F77150"/>
    <w:rsid w:val="00F771C7"/>
    <w:rsid w:val="00F771F5"/>
    <w:rsid w:val="00F77261"/>
    <w:rsid w:val="00F7739D"/>
    <w:rsid w:val="00F774E2"/>
    <w:rsid w:val="00F77525"/>
    <w:rsid w:val="00F77904"/>
    <w:rsid w:val="00F77976"/>
    <w:rsid w:val="00F77BCF"/>
    <w:rsid w:val="00F77CC1"/>
    <w:rsid w:val="00F80143"/>
    <w:rsid w:val="00F8035B"/>
    <w:rsid w:val="00F80449"/>
    <w:rsid w:val="00F80458"/>
    <w:rsid w:val="00F80470"/>
    <w:rsid w:val="00F806CE"/>
    <w:rsid w:val="00F806D3"/>
    <w:rsid w:val="00F807DD"/>
    <w:rsid w:val="00F80954"/>
    <w:rsid w:val="00F8097F"/>
    <w:rsid w:val="00F80ADB"/>
    <w:rsid w:val="00F80D81"/>
    <w:rsid w:val="00F8101B"/>
    <w:rsid w:val="00F810C4"/>
    <w:rsid w:val="00F810DC"/>
    <w:rsid w:val="00F81399"/>
    <w:rsid w:val="00F81482"/>
    <w:rsid w:val="00F814A0"/>
    <w:rsid w:val="00F81641"/>
    <w:rsid w:val="00F8167E"/>
    <w:rsid w:val="00F81685"/>
    <w:rsid w:val="00F8170A"/>
    <w:rsid w:val="00F81749"/>
    <w:rsid w:val="00F819EF"/>
    <w:rsid w:val="00F81A4D"/>
    <w:rsid w:val="00F81FEC"/>
    <w:rsid w:val="00F8204F"/>
    <w:rsid w:val="00F82702"/>
    <w:rsid w:val="00F828AE"/>
    <w:rsid w:val="00F828D0"/>
    <w:rsid w:val="00F82B3C"/>
    <w:rsid w:val="00F82C38"/>
    <w:rsid w:val="00F82D0B"/>
    <w:rsid w:val="00F82D65"/>
    <w:rsid w:val="00F82D86"/>
    <w:rsid w:val="00F82F42"/>
    <w:rsid w:val="00F82FBC"/>
    <w:rsid w:val="00F8323B"/>
    <w:rsid w:val="00F832C1"/>
    <w:rsid w:val="00F833F8"/>
    <w:rsid w:val="00F83465"/>
    <w:rsid w:val="00F836F6"/>
    <w:rsid w:val="00F8370E"/>
    <w:rsid w:val="00F839D5"/>
    <w:rsid w:val="00F83BA1"/>
    <w:rsid w:val="00F83BB0"/>
    <w:rsid w:val="00F83C2D"/>
    <w:rsid w:val="00F83C86"/>
    <w:rsid w:val="00F83FBD"/>
    <w:rsid w:val="00F84036"/>
    <w:rsid w:val="00F8408A"/>
    <w:rsid w:val="00F840AD"/>
    <w:rsid w:val="00F840C2"/>
    <w:rsid w:val="00F8419C"/>
    <w:rsid w:val="00F8433B"/>
    <w:rsid w:val="00F84534"/>
    <w:rsid w:val="00F84742"/>
    <w:rsid w:val="00F84864"/>
    <w:rsid w:val="00F84C97"/>
    <w:rsid w:val="00F84D55"/>
    <w:rsid w:val="00F84EB1"/>
    <w:rsid w:val="00F84EFB"/>
    <w:rsid w:val="00F84F70"/>
    <w:rsid w:val="00F850AF"/>
    <w:rsid w:val="00F85289"/>
    <w:rsid w:val="00F8530C"/>
    <w:rsid w:val="00F85429"/>
    <w:rsid w:val="00F85841"/>
    <w:rsid w:val="00F859F3"/>
    <w:rsid w:val="00F85A77"/>
    <w:rsid w:val="00F85AFE"/>
    <w:rsid w:val="00F85B40"/>
    <w:rsid w:val="00F85B42"/>
    <w:rsid w:val="00F85B99"/>
    <w:rsid w:val="00F860A7"/>
    <w:rsid w:val="00F8615E"/>
    <w:rsid w:val="00F8623B"/>
    <w:rsid w:val="00F86292"/>
    <w:rsid w:val="00F862E8"/>
    <w:rsid w:val="00F863B4"/>
    <w:rsid w:val="00F86495"/>
    <w:rsid w:val="00F864C9"/>
    <w:rsid w:val="00F86596"/>
    <w:rsid w:val="00F865A8"/>
    <w:rsid w:val="00F86677"/>
    <w:rsid w:val="00F8670E"/>
    <w:rsid w:val="00F86967"/>
    <w:rsid w:val="00F86994"/>
    <w:rsid w:val="00F86BFC"/>
    <w:rsid w:val="00F86C34"/>
    <w:rsid w:val="00F86CC0"/>
    <w:rsid w:val="00F86E34"/>
    <w:rsid w:val="00F86FAA"/>
    <w:rsid w:val="00F86FFE"/>
    <w:rsid w:val="00F8707D"/>
    <w:rsid w:val="00F87105"/>
    <w:rsid w:val="00F871C8"/>
    <w:rsid w:val="00F87263"/>
    <w:rsid w:val="00F87319"/>
    <w:rsid w:val="00F8732E"/>
    <w:rsid w:val="00F8739F"/>
    <w:rsid w:val="00F875BD"/>
    <w:rsid w:val="00F87729"/>
    <w:rsid w:val="00F877B7"/>
    <w:rsid w:val="00F87932"/>
    <w:rsid w:val="00F87CCE"/>
    <w:rsid w:val="00F87E27"/>
    <w:rsid w:val="00F9003B"/>
    <w:rsid w:val="00F9014F"/>
    <w:rsid w:val="00F901A3"/>
    <w:rsid w:val="00F905B6"/>
    <w:rsid w:val="00F905F8"/>
    <w:rsid w:val="00F90811"/>
    <w:rsid w:val="00F90D99"/>
    <w:rsid w:val="00F90DAA"/>
    <w:rsid w:val="00F90E81"/>
    <w:rsid w:val="00F90EBB"/>
    <w:rsid w:val="00F90F34"/>
    <w:rsid w:val="00F9103A"/>
    <w:rsid w:val="00F91045"/>
    <w:rsid w:val="00F91185"/>
    <w:rsid w:val="00F91195"/>
    <w:rsid w:val="00F911D3"/>
    <w:rsid w:val="00F91312"/>
    <w:rsid w:val="00F91615"/>
    <w:rsid w:val="00F91762"/>
    <w:rsid w:val="00F917FD"/>
    <w:rsid w:val="00F9187A"/>
    <w:rsid w:val="00F918CA"/>
    <w:rsid w:val="00F91903"/>
    <w:rsid w:val="00F91B09"/>
    <w:rsid w:val="00F91C19"/>
    <w:rsid w:val="00F91CE6"/>
    <w:rsid w:val="00F91DCF"/>
    <w:rsid w:val="00F91EF9"/>
    <w:rsid w:val="00F9204E"/>
    <w:rsid w:val="00F92072"/>
    <w:rsid w:val="00F92138"/>
    <w:rsid w:val="00F921CB"/>
    <w:rsid w:val="00F921D0"/>
    <w:rsid w:val="00F921DE"/>
    <w:rsid w:val="00F922EC"/>
    <w:rsid w:val="00F92449"/>
    <w:rsid w:val="00F926C0"/>
    <w:rsid w:val="00F929EB"/>
    <w:rsid w:val="00F92A2A"/>
    <w:rsid w:val="00F92BD5"/>
    <w:rsid w:val="00F92D07"/>
    <w:rsid w:val="00F92D3A"/>
    <w:rsid w:val="00F92DAC"/>
    <w:rsid w:val="00F92DE1"/>
    <w:rsid w:val="00F92F1A"/>
    <w:rsid w:val="00F93059"/>
    <w:rsid w:val="00F9310E"/>
    <w:rsid w:val="00F9355B"/>
    <w:rsid w:val="00F935B6"/>
    <w:rsid w:val="00F93634"/>
    <w:rsid w:val="00F936C1"/>
    <w:rsid w:val="00F938EF"/>
    <w:rsid w:val="00F93902"/>
    <w:rsid w:val="00F93BDE"/>
    <w:rsid w:val="00F93DAC"/>
    <w:rsid w:val="00F93DB7"/>
    <w:rsid w:val="00F93E6F"/>
    <w:rsid w:val="00F94254"/>
    <w:rsid w:val="00F943A7"/>
    <w:rsid w:val="00F9441F"/>
    <w:rsid w:val="00F94489"/>
    <w:rsid w:val="00F9461D"/>
    <w:rsid w:val="00F94627"/>
    <w:rsid w:val="00F94853"/>
    <w:rsid w:val="00F948B1"/>
    <w:rsid w:val="00F94C14"/>
    <w:rsid w:val="00F94D09"/>
    <w:rsid w:val="00F94D11"/>
    <w:rsid w:val="00F94DE5"/>
    <w:rsid w:val="00F94EF1"/>
    <w:rsid w:val="00F95135"/>
    <w:rsid w:val="00F9517E"/>
    <w:rsid w:val="00F95197"/>
    <w:rsid w:val="00F951E9"/>
    <w:rsid w:val="00F951F5"/>
    <w:rsid w:val="00F95212"/>
    <w:rsid w:val="00F95255"/>
    <w:rsid w:val="00F95311"/>
    <w:rsid w:val="00F95313"/>
    <w:rsid w:val="00F953E3"/>
    <w:rsid w:val="00F95513"/>
    <w:rsid w:val="00F957EA"/>
    <w:rsid w:val="00F95AE0"/>
    <w:rsid w:val="00F95CCF"/>
    <w:rsid w:val="00F95D63"/>
    <w:rsid w:val="00F95F55"/>
    <w:rsid w:val="00F95F5F"/>
    <w:rsid w:val="00F95F97"/>
    <w:rsid w:val="00F96337"/>
    <w:rsid w:val="00F963DB"/>
    <w:rsid w:val="00F9641D"/>
    <w:rsid w:val="00F964EA"/>
    <w:rsid w:val="00F9652A"/>
    <w:rsid w:val="00F96569"/>
    <w:rsid w:val="00F96692"/>
    <w:rsid w:val="00F96829"/>
    <w:rsid w:val="00F9688B"/>
    <w:rsid w:val="00F96A87"/>
    <w:rsid w:val="00F96B5F"/>
    <w:rsid w:val="00F96BA1"/>
    <w:rsid w:val="00F96C31"/>
    <w:rsid w:val="00F96C69"/>
    <w:rsid w:val="00F96CA1"/>
    <w:rsid w:val="00F96D38"/>
    <w:rsid w:val="00F96DC6"/>
    <w:rsid w:val="00F96EDE"/>
    <w:rsid w:val="00F96F0E"/>
    <w:rsid w:val="00F96F11"/>
    <w:rsid w:val="00F97066"/>
    <w:rsid w:val="00F970B2"/>
    <w:rsid w:val="00F9718B"/>
    <w:rsid w:val="00F97292"/>
    <w:rsid w:val="00F972A7"/>
    <w:rsid w:val="00F97491"/>
    <w:rsid w:val="00F9762F"/>
    <w:rsid w:val="00F97860"/>
    <w:rsid w:val="00F97AA7"/>
    <w:rsid w:val="00F97C33"/>
    <w:rsid w:val="00F97CA3"/>
    <w:rsid w:val="00F97D9C"/>
    <w:rsid w:val="00F97F71"/>
    <w:rsid w:val="00FA000E"/>
    <w:rsid w:val="00FA01B4"/>
    <w:rsid w:val="00FA01C1"/>
    <w:rsid w:val="00FA01D5"/>
    <w:rsid w:val="00FA02A6"/>
    <w:rsid w:val="00FA03E4"/>
    <w:rsid w:val="00FA0519"/>
    <w:rsid w:val="00FA05F9"/>
    <w:rsid w:val="00FA069C"/>
    <w:rsid w:val="00FA0825"/>
    <w:rsid w:val="00FA08F7"/>
    <w:rsid w:val="00FA09B1"/>
    <w:rsid w:val="00FA09B6"/>
    <w:rsid w:val="00FA09DF"/>
    <w:rsid w:val="00FA0A55"/>
    <w:rsid w:val="00FA0B6F"/>
    <w:rsid w:val="00FA0E1B"/>
    <w:rsid w:val="00FA0EAF"/>
    <w:rsid w:val="00FA0F4B"/>
    <w:rsid w:val="00FA113E"/>
    <w:rsid w:val="00FA1419"/>
    <w:rsid w:val="00FA170A"/>
    <w:rsid w:val="00FA177F"/>
    <w:rsid w:val="00FA1798"/>
    <w:rsid w:val="00FA1B6B"/>
    <w:rsid w:val="00FA1B9C"/>
    <w:rsid w:val="00FA1C14"/>
    <w:rsid w:val="00FA1C6C"/>
    <w:rsid w:val="00FA1CB1"/>
    <w:rsid w:val="00FA1DCA"/>
    <w:rsid w:val="00FA1E07"/>
    <w:rsid w:val="00FA1E34"/>
    <w:rsid w:val="00FA1E7E"/>
    <w:rsid w:val="00FA2075"/>
    <w:rsid w:val="00FA2096"/>
    <w:rsid w:val="00FA22D6"/>
    <w:rsid w:val="00FA23B2"/>
    <w:rsid w:val="00FA24F6"/>
    <w:rsid w:val="00FA262C"/>
    <w:rsid w:val="00FA26A6"/>
    <w:rsid w:val="00FA2852"/>
    <w:rsid w:val="00FA2C17"/>
    <w:rsid w:val="00FA2D50"/>
    <w:rsid w:val="00FA2F1E"/>
    <w:rsid w:val="00FA2F70"/>
    <w:rsid w:val="00FA2F82"/>
    <w:rsid w:val="00FA3030"/>
    <w:rsid w:val="00FA30B5"/>
    <w:rsid w:val="00FA32F8"/>
    <w:rsid w:val="00FA3376"/>
    <w:rsid w:val="00FA33A1"/>
    <w:rsid w:val="00FA33AC"/>
    <w:rsid w:val="00FA3725"/>
    <w:rsid w:val="00FA38B3"/>
    <w:rsid w:val="00FA3A65"/>
    <w:rsid w:val="00FA3A76"/>
    <w:rsid w:val="00FA3CD2"/>
    <w:rsid w:val="00FA3DF9"/>
    <w:rsid w:val="00FA4140"/>
    <w:rsid w:val="00FA43B9"/>
    <w:rsid w:val="00FA454F"/>
    <w:rsid w:val="00FA46D2"/>
    <w:rsid w:val="00FA4953"/>
    <w:rsid w:val="00FA49FE"/>
    <w:rsid w:val="00FA4A0A"/>
    <w:rsid w:val="00FA4B48"/>
    <w:rsid w:val="00FA4B73"/>
    <w:rsid w:val="00FA4C59"/>
    <w:rsid w:val="00FA4D80"/>
    <w:rsid w:val="00FA4F03"/>
    <w:rsid w:val="00FA4FDD"/>
    <w:rsid w:val="00FA51E5"/>
    <w:rsid w:val="00FA5376"/>
    <w:rsid w:val="00FA5384"/>
    <w:rsid w:val="00FA53A0"/>
    <w:rsid w:val="00FA5574"/>
    <w:rsid w:val="00FA562A"/>
    <w:rsid w:val="00FA5647"/>
    <w:rsid w:val="00FA5745"/>
    <w:rsid w:val="00FA57C6"/>
    <w:rsid w:val="00FA58A9"/>
    <w:rsid w:val="00FA592B"/>
    <w:rsid w:val="00FA5A96"/>
    <w:rsid w:val="00FA5B32"/>
    <w:rsid w:val="00FA5C50"/>
    <w:rsid w:val="00FA5C72"/>
    <w:rsid w:val="00FA5FB7"/>
    <w:rsid w:val="00FA626E"/>
    <w:rsid w:val="00FA6323"/>
    <w:rsid w:val="00FA6395"/>
    <w:rsid w:val="00FA644E"/>
    <w:rsid w:val="00FA64E9"/>
    <w:rsid w:val="00FA663E"/>
    <w:rsid w:val="00FA66E4"/>
    <w:rsid w:val="00FA66EA"/>
    <w:rsid w:val="00FA6900"/>
    <w:rsid w:val="00FA6911"/>
    <w:rsid w:val="00FA6920"/>
    <w:rsid w:val="00FA6AFB"/>
    <w:rsid w:val="00FA6B03"/>
    <w:rsid w:val="00FA6C2C"/>
    <w:rsid w:val="00FA6C50"/>
    <w:rsid w:val="00FA6D31"/>
    <w:rsid w:val="00FA6E07"/>
    <w:rsid w:val="00FA6F3A"/>
    <w:rsid w:val="00FA708C"/>
    <w:rsid w:val="00FA70E5"/>
    <w:rsid w:val="00FA7149"/>
    <w:rsid w:val="00FA71D1"/>
    <w:rsid w:val="00FA71DD"/>
    <w:rsid w:val="00FA7202"/>
    <w:rsid w:val="00FA737D"/>
    <w:rsid w:val="00FA7531"/>
    <w:rsid w:val="00FA75F2"/>
    <w:rsid w:val="00FA7756"/>
    <w:rsid w:val="00FA78C8"/>
    <w:rsid w:val="00FA7925"/>
    <w:rsid w:val="00FA7928"/>
    <w:rsid w:val="00FA79C5"/>
    <w:rsid w:val="00FA7B4C"/>
    <w:rsid w:val="00FA7C3C"/>
    <w:rsid w:val="00FA7FDD"/>
    <w:rsid w:val="00FB00E7"/>
    <w:rsid w:val="00FB039F"/>
    <w:rsid w:val="00FB048E"/>
    <w:rsid w:val="00FB05C0"/>
    <w:rsid w:val="00FB06E4"/>
    <w:rsid w:val="00FB0A2E"/>
    <w:rsid w:val="00FB0B0D"/>
    <w:rsid w:val="00FB0B13"/>
    <w:rsid w:val="00FB0BF8"/>
    <w:rsid w:val="00FB0CB3"/>
    <w:rsid w:val="00FB0DF7"/>
    <w:rsid w:val="00FB0F0F"/>
    <w:rsid w:val="00FB1105"/>
    <w:rsid w:val="00FB1342"/>
    <w:rsid w:val="00FB13EE"/>
    <w:rsid w:val="00FB140A"/>
    <w:rsid w:val="00FB177F"/>
    <w:rsid w:val="00FB188F"/>
    <w:rsid w:val="00FB1910"/>
    <w:rsid w:val="00FB19EC"/>
    <w:rsid w:val="00FB1A02"/>
    <w:rsid w:val="00FB1A4C"/>
    <w:rsid w:val="00FB1A92"/>
    <w:rsid w:val="00FB1ADF"/>
    <w:rsid w:val="00FB1C8F"/>
    <w:rsid w:val="00FB1DC9"/>
    <w:rsid w:val="00FB1DCC"/>
    <w:rsid w:val="00FB1E9C"/>
    <w:rsid w:val="00FB1EFB"/>
    <w:rsid w:val="00FB20E9"/>
    <w:rsid w:val="00FB218B"/>
    <w:rsid w:val="00FB226E"/>
    <w:rsid w:val="00FB243F"/>
    <w:rsid w:val="00FB244A"/>
    <w:rsid w:val="00FB2453"/>
    <w:rsid w:val="00FB24C1"/>
    <w:rsid w:val="00FB2585"/>
    <w:rsid w:val="00FB261C"/>
    <w:rsid w:val="00FB2724"/>
    <w:rsid w:val="00FB2774"/>
    <w:rsid w:val="00FB28B6"/>
    <w:rsid w:val="00FB2971"/>
    <w:rsid w:val="00FB29FE"/>
    <w:rsid w:val="00FB2B21"/>
    <w:rsid w:val="00FB2BB8"/>
    <w:rsid w:val="00FB2CB0"/>
    <w:rsid w:val="00FB2F80"/>
    <w:rsid w:val="00FB316F"/>
    <w:rsid w:val="00FB3242"/>
    <w:rsid w:val="00FB32C6"/>
    <w:rsid w:val="00FB3390"/>
    <w:rsid w:val="00FB355F"/>
    <w:rsid w:val="00FB357B"/>
    <w:rsid w:val="00FB359A"/>
    <w:rsid w:val="00FB35CE"/>
    <w:rsid w:val="00FB3845"/>
    <w:rsid w:val="00FB3989"/>
    <w:rsid w:val="00FB399C"/>
    <w:rsid w:val="00FB3AF3"/>
    <w:rsid w:val="00FB3B45"/>
    <w:rsid w:val="00FB3BA4"/>
    <w:rsid w:val="00FB3BE5"/>
    <w:rsid w:val="00FB3C35"/>
    <w:rsid w:val="00FB3C59"/>
    <w:rsid w:val="00FB3FDE"/>
    <w:rsid w:val="00FB4094"/>
    <w:rsid w:val="00FB4171"/>
    <w:rsid w:val="00FB41CE"/>
    <w:rsid w:val="00FB4267"/>
    <w:rsid w:val="00FB4395"/>
    <w:rsid w:val="00FB43BC"/>
    <w:rsid w:val="00FB43F4"/>
    <w:rsid w:val="00FB4654"/>
    <w:rsid w:val="00FB487D"/>
    <w:rsid w:val="00FB4B38"/>
    <w:rsid w:val="00FB4B84"/>
    <w:rsid w:val="00FB4D73"/>
    <w:rsid w:val="00FB4DD9"/>
    <w:rsid w:val="00FB4EB2"/>
    <w:rsid w:val="00FB5135"/>
    <w:rsid w:val="00FB525D"/>
    <w:rsid w:val="00FB530D"/>
    <w:rsid w:val="00FB53F1"/>
    <w:rsid w:val="00FB54A9"/>
    <w:rsid w:val="00FB55FD"/>
    <w:rsid w:val="00FB572E"/>
    <w:rsid w:val="00FB5997"/>
    <w:rsid w:val="00FB5A5C"/>
    <w:rsid w:val="00FB5A72"/>
    <w:rsid w:val="00FB5AB0"/>
    <w:rsid w:val="00FB5BE4"/>
    <w:rsid w:val="00FB5BEE"/>
    <w:rsid w:val="00FB5C66"/>
    <w:rsid w:val="00FB5CE4"/>
    <w:rsid w:val="00FB5D20"/>
    <w:rsid w:val="00FB6012"/>
    <w:rsid w:val="00FB601F"/>
    <w:rsid w:val="00FB60C2"/>
    <w:rsid w:val="00FB613E"/>
    <w:rsid w:val="00FB61DF"/>
    <w:rsid w:val="00FB62BE"/>
    <w:rsid w:val="00FB630F"/>
    <w:rsid w:val="00FB6344"/>
    <w:rsid w:val="00FB64DA"/>
    <w:rsid w:val="00FB6744"/>
    <w:rsid w:val="00FB6844"/>
    <w:rsid w:val="00FB68BB"/>
    <w:rsid w:val="00FB6A9B"/>
    <w:rsid w:val="00FB6D73"/>
    <w:rsid w:val="00FB6E57"/>
    <w:rsid w:val="00FB6F4F"/>
    <w:rsid w:val="00FB70BF"/>
    <w:rsid w:val="00FB7163"/>
    <w:rsid w:val="00FB71D2"/>
    <w:rsid w:val="00FB7229"/>
    <w:rsid w:val="00FB7245"/>
    <w:rsid w:val="00FB72AF"/>
    <w:rsid w:val="00FB7346"/>
    <w:rsid w:val="00FB73B5"/>
    <w:rsid w:val="00FB7485"/>
    <w:rsid w:val="00FB74BA"/>
    <w:rsid w:val="00FB7AEA"/>
    <w:rsid w:val="00FB7B12"/>
    <w:rsid w:val="00FB7B4F"/>
    <w:rsid w:val="00FB7DDC"/>
    <w:rsid w:val="00FB7F7B"/>
    <w:rsid w:val="00FB7FF0"/>
    <w:rsid w:val="00FC005A"/>
    <w:rsid w:val="00FC01BC"/>
    <w:rsid w:val="00FC0250"/>
    <w:rsid w:val="00FC0345"/>
    <w:rsid w:val="00FC0380"/>
    <w:rsid w:val="00FC03A7"/>
    <w:rsid w:val="00FC040C"/>
    <w:rsid w:val="00FC05A1"/>
    <w:rsid w:val="00FC05A9"/>
    <w:rsid w:val="00FC07A1"/>
    <w:rsid w:val="00FC0838"/>
    <w:rsid w:val="00FC09A1"/>
    <w:rsid w:val="00FC0C57"/>
    <w:rsid w:val="00FC0C96"/>
    <w:rsid w:val="00FC0CCA"/>
    <w:rsid w:val="00FC0D46"/>
    <w:rsid w:val="00FC0EB6"/>
    <w:rsid w:val="00FC0F51"/>
    <w:rsid w:val="00FC1117"/>
    <w:rsid w:val="00FC11CC"/>
    <w:rsid w:val="00FC1476"/>
    <w:rsid w:val="00FC152A"/>
    <w:rsid w:val="00FC1672"/>
    <w:rsid w:val="00FC17B0"/>
    <w:rsid w:val="00FC18C4"/>
    <w:rsid w:val="00FC1926"/>
    <w:rsid w:val="00FC1AA9"/>
    <w:rsid w:val="00FC1B2C"/>
    <w:rsid w:val="00FC1E6B"/>
    <w:rsid w:val="00FC1F1E"/>
    <w:rsid w:val="00FC1F6C"/>
    <w:rsid w:val="00FC21DF"/>
    <w:rsid w:val="00FC24EA"/>
    <w:rsid w:val="00FC27C5"/>
    <w:rsid w:val="00FC27E1"/>
    <w:rsid w:val="00FC28F8"/>
    <w:rsid w:val="00FC29DC"/>
    <w:rsid w:val="00FC2AFE"/>
    <w:rsid w:val="00FC2C19"/>
    <w:rsid w:val="00FC2DA2"/>
    <w:rsid w:val="00FC2F7E"/>
    <w:rsid w:val="00FC2FFC"/>
    <w:rsid w:val="00FC309E"/>
    <w:rsid w:val="00FC30CD"/>
    <w:rsid w:val="00FC3138"/>
    <w:rsid w:val="00FC33D5"/>
    <w:rsid w:val="00FC34B9"/>
    <w:rsid w:val="00FC35C9"/>
    <w:rsid w:val="00FC3644"/>
    <w:rsid w:val="00FC36FE"/>
    <w:rsid w:val="00FC3888"/>
    <w:rsid w:val="00FC3C25"/>
    <w:rsid w:val="00FC3E62"/>
    <w:rsid w:val="00FC3E91"/>
    <w:rsid w:val="00FC4004"/>
    <w:rsid w:val="00FC4055"/>
    <w:rsid w:val="00FC4187"/>
    <w:rsid w:val="00FC4267"/>
    <w:rsid w:val="00FC42FF"/>
    <w:rsid w:val="00FC436F"/>
    <w:rsid w:val="00FC43B2"/>
    <w:rsid w:val="00FC43E8"/>
    <w:rsid w:val="00FC4619"/>
    <w:rsid w:val="00FC47EF"/>
    <w:rsid w:val="00FC48E2"/>
    <w:rsid w:val="00FC49C5"/>
    <w:rsid w:val="00FC4B24"/>
    <w:rsid w:val="00FC4B90"/>
    <w:rsid w:val="00FC4C6D"/>
    <w:rsid w:val="00FC4D03"/>
    <w:rsid w:val="00FC4FD8"/>
    <w:rsid w:val="00FC503A"/>
    <w:rsid w:val="00FC5072"/>
    <w:rsid w:val="00FC5129"/>
    <w:rsid w:val="00FC52D9"/>
    <w:rsid w:val="00FC5645"/>
    <w:rsid w:val="00FC568D"/>
    <w:rsid w:val="00FC5916"/>
    <w:rsid w:val="00FC5980"/>
    <w:rsid w:val="00FC5A24"/>
    <w:rsid w:val="00FC5B02"/>
    <w:rsid w:val="00FC5C56"/>
    <w:rsid w:val="00FC5DC1"/>
    <w:rsid w:val="00FC5DD6"/>
    <w:rsid w:val="00FC5E9E"/>
    <w:rsid w:val="00FC5F99"/>
    <w:rsid w:val="00FC5FAE"/>
    <w:rsid w:val="00FC61CE"/>
    <w:rsid w:val="00FC627F"/>
    <w:rsid w:val="00FC633D"/>
    <w:rsid w:val="00FC63F6"/>
    <w:rsid w:val="00FC6709"/>
    <w:rsid w:val="00FC6847"/>
    <w:rsid w:val="00FC6994"/>
    <w:rsid w:val="00FC6ABA"/>
    <w:rsid w:val="00FC6BCE"/>
    <w:rsid w:val="00FC6C6B"/>
    <w:rsid w:val="00FC6DD5"/>
    <w:rsid w:val="00FC6DF6"/>
    <w:rsid w:val="00FC6E69"/>
    <w:rsid w:val="00FC6ED5"/>
    <w:rsid w:val="00FC6F55"/>
    <w:rsid w:val="00FC7195"/>
    <w:rsid w:val="00FC71C7"/>
    <w:rsid w:val="00FC73A8"/>
    <w:rsid w:val="00FC765C"/>
    <w:rsid w:val="00FC76CB"/>
    <w:rsid w:val="00FC7728"/>
    <w:rsid w:val="00FC77D0"/>
    <w:rsid w:val="00FC7853"/>
    <w:rsid w:val="00FC78BE"/>
    <w:rsid w:val="00FC79EB"/>
    <w:rsid w:val="00FC7A52"/>
    <w:rsid w:val="00FC7EF5"/>
    <w:rsid w:val="00FC7F3B"/>
    <w:rsid w:val="00FC7FA5"/>
    <w:rsid w:val="00FD01AB"/>
    <w:rsid w:val="00FD02F9"/>
    <w:rsid w:val="00FD038A"/>
    <w:rsid w:val="00FD03C4"/>
    <w:rsid w:val="00FD04F4"/>
    <w:rsid w:val="00FD05B0"/>
    <w:rsid w:val="00FD06ED"/>
    <w:rsid w:val="00FD0723"/>
    <w:rsid w:val="00FD0895"/>
    <w:rsid w:val="00FD08D6"/>
    <w:rsid w:val="00FD08FE"/>
    <w:rsid w:val="00FD0942"/>
    <w:rsid w:val="00FD0B1B"/>
    <w:rsid w:val="00FD0C28"/>
    <w:rsid w:val="00FD0D26"/>
    <w:rsid w:val="00FD0D9D"/>
    <w:rsid w:val="00FD0E87"/>
    <w:rsid w:val="00FD0EB4"/>
    <w:rsid w:val="00FD0F0A"/>
    <w:rsid w:val="00FD113B"/>
    <w:rsid w:val="00FD1180"/>
    <w:rsid w:val="00FD1237"/>
    <w:rsid w:val="00FD1392"/>
    <w:rsid w:val="00FD1450"/>
    <w:rsid w:val="00FD1584"/>
    <w:rsid w:val="00FD1664"/>
    <w:rsid w:val="00FD17AE"/>
    <w:rsid w:val="00FD18FB"/>
    <w:rsid w:val="00FD194A"/>
    <w:rsid w:val="00FD1B9C"/>
    <w:rsid w:val="00FD1C41"/>
    <w:rsid w:val="00FD1D55"/>
    <w:rsid w:val="00FD1E86"/>
    <w:rsid w:val="00FD1FD3"/>
    <w:rsid w:val="00FD2178"/>
    <w:rsid w:val="00FD2688"/>
    <w:rsid w:val="00FD26DB"/>
    <w:rsid w:val="00FD28AB"/>
    <w:rsid w:val="00FD28DA"/>
    <w:rsid w:val="00FD2964"/>
    <w:rsid w:val="00FD2A6F"/>
    <w:rsid w:val="00FD2A87"/>
    <w:rsid w:val="00FD2AF3"/>
    <w:rsid w:val="00FD2C75"/>
    <w:rsid w:val="00FD2CBB"/>
    <w:rsid w:val="00FD2E90"/>
    <w:rsid w:val="00FD2FD7"/>
    <w:rsid w:val="00FD2FEE"/>
    <w:rsid w:val="00FD3096"/>
    <w:rsid w:val="00FD3116"/>
    <w:rsid w:val="00FD3193"/>
    <w:rsid w:val="00FD3267"/>
    <w:rsid w:val="00FD3320"/>
    <w:rsid w:val="00FD3424"/>
    <w:rsid w:val="00FD3482"/>
    <w:rsid w:val="00FD34A9"/>
    <w:rsid w:val="00FD34FF"/>
    <w:rsid w:val="00FD35B7"/>
    <w:rsid w:val="00FD370D"/>
    <w:rsid w:val="00FD3783"/>
    <w:rsid w:val="00FD3786"/>
    <w:rsid w:val="00FD3894"/>
    <w:rsid w:val="00FD3A6A"/>
    <w:rsid w:val="00FD3B92"/>
    <w:rsid w:val="00FD3BC6"/>
    <w:rsid w:val="00FD3C0A"/>
    <w:rsid w:val="00FD3C17"/>
    <w:rsid w:val="00FD3C29"/>
    <w:rsid w:val="00FD3C4D"/>
    <w:rsid w:val="00FD3C7B"/>
    <w:rsid w:val="00FD3CCB"/>
    <w:rsid w:val="00FD3CFD"/>
    <w:rsid w:val="00FD3EA5"/>
    <w:rsid w:val="00FD4116"/>
    <w:rsid w:val="00FD458F"/>
    <w:rsid w:val="00FD45A6"/>
    <w:rsid w:val="00FD48D4"/>
    <w:rsid w:val="00FD4A63"/>
    <w:rsid w:val="00FD4ADA"/>
    <w:rsid w:val="00FD4B59"/>
    <w:rsid w:val="00FD4CDF"/>
    <w:rsid w:val="00FD4DAE"/>
    <w:rsid w:val="00FD4F68"/>
    <w:rsid w:val="00FD4F8B"/>
    <w:rsid w:val="00FD4FAA"/>
    <w:rsid w:val="00FD515F"/>
    <w:rsid w:val="00FD5361"/>
    <w:rsid w:val="00FD5396"/>
    <w:rsid w:val="00FD542A"/>
    <w:rsid w:val="00FD5456"/>
    <w:rsid w:val="00FD5468"/>
    <w:rsid w:val="00FD5501"/>
    <w:rsid w:val="00FD5504"/>
    <w:rsid w:val="00FD550B"/>
    <w:rsid w:val="00FD5511"/>
    <w:rsid w:val="00FD56CF"/>
    <w:rsid w:val="00FD56DE"/>
    <w:rsid w:val="00FD576B"/>
    <w:rsid w:val="00FD584D"/>
    <w:rsid w:val="00FD58A1"/>
    <w:rsid w:val="00FD58D0"/>
    <w:rsid w:val="00FD5903"/>
    <w:rsid w:val="00FD5CAC"/>
    <w:rsid w:val="00FD5DD9"/>
    <w:rsid w:val="00FD5E37"/>
    <w:rsid w:val="00FD5F30"/>
    <w:rsid w:val="00FD6367"/>
    <w:rsid w:val="00FD64A1"/>
    <w:rsid w:val="00FD659F"/>
    <w:rsid w:val="00FD65EA"/>
    <w:rsid w:val="00FD66CB"/>
    <w:rsid w:val="00FD66FC"/>
    <w:rsid w:val="00FD6806"/>
    <w:rsid w:val="00FD68A6"/>
    <w:rsid w:val="00FD68B2"/>
    <w:rsid w:val="00FD69E6"/>
    <w:rsid w:val="00FD6AD9"/>
    <w:rsid w:val="00FD6B4D"/>
    <w:rsid w:val="00FD6BF0"/>
    <w:rsid w:val="00FD6C0E"/>
    <w:rsid w:val="00FD6C5A"/>
    <w:rsid w:val="00FD6C9E"/>
    <w:rsid w:val="00FD6E3A"/>
    <w:rsid w:val="00FD6E90"/>
    <w:rsid w:val="00FD700A"/>
    <w:rsid w:val="00FD72E1"/>
    <w:rsid w:val="00FD7510"/>
    <w:rsid w:val="00FD76A2"/>
    <w:rsid w:val="00FD77FC"/>
    <w:rsid w:val="00FD7823"/>
    <w:rsid w:val="00FD783B"/>
    <w:rsid w:val="00FD78FF"/>
    <w:rsid w:val="00FD7B94"/>
    <w:rsid w:val="00FD7EFD"/>
    <w:rsid w:val="00FD7F14"/>
    <w:rsid w:val="00FD7FBB"/>
    <w:rsid w:val="00FE0343"/>
    <w:rsid w:val="00FE06FD"/>
    <w:rsid w:val="00FE07DA"/>
    <w:rsid w:val="00FE0867"/>
    <w:rsid w:val="00FE087B"/>
    <w:rsid w:val="00FE087C"/>
    <w:rsid w:val="00FE09AE"/>
    <w:rsid w:val="00FE09C8"/>
    <w:rsid w:val="00FE0B7D"/>
    <w:rsid w:val="00FE0DDE"/>
    <w:rsid w:val="00FE128F"/>
    <w:rsid w:val="00FE16E0"/>
    <w:rsid w:val="00FE17B7"/>
    <w:rsid w:val="00FE17EF"/>
    <w:rsid w:val="00FE184A"/>
    <w:rsid w:val="00FE1885"/>
    <w:rsid w:val="00FE19C5"/>
    <w:rsid w:val="00FE1B92"/>
    <w:rsid w:val="00FE1C41"/>
    <w:rsid w:val="00FE1C84"/>
    <w:rsid w:val="00FE1D43"/>
    <w:rsid w:val="00FE1F35"/>
    <w:rsid w:val="00FE1F38"/>
    <w:rsid w:val="00FE1FB0"/>
    <w:rsid w:val="00FE20BC"/>
    <w:rsid w:val="00FE2534"/>
    <w:rsid w:val="00FE2575"/>
    <w:rsid w:val="00FE26DB"/>
    <w:rsid w:val="00FE2766"/>
    <w:rsid w:val="00FE2839"/>
    <w:rsid w:val="00FE2856"/>
    <w:rsid w:val="00FE2B16"/>
    <w:rsid w:val="00FE2B41"/>
    <w:rsid w:val="00FE2BE7"/>
    <w:rsid w:val="00FE2CCB"/>
    <w:rsid w:val="00FE2DE7"/>
    <w:rsid w:val="00FE2F5B"/>
    <w:rsid w:val="00FE318A"/>
    <w:rsid w:val="00FE3229"/>
    <w:rsid w:val="00FE327D"/>
    <w:rsid w:val="00FE33C6"/>
    <w:rsid w:val="00FE344D"/>
    <w:rsid w:val="00FE3553"/>
    <w:rsid w:val="00FE3835"/>
    <w:rsid w:val="00FE384F"/>
    <w:rsid w:val="00FE3903"/>
    <w:rsid w:val="00FE3B01"/>
    <w:rsid w:val="00FE3B14"/>
    <w:rsid w:val="00FE3D37"/>
    <w:rsid w:val="00FE3D45"/>
    <w:rsid w:val="00FE3EBD"/>
    <w:rsid w:val="00FE3F99"/>
    <w:rsid w:val="00FE41A2"/>
    <w:rsid w:val="00FE423A"/>
    <w:rsid w:val="00FE4267"/>
    <w:rsid w:val="00FE42E0"/>
    <w:rsid w:val="00FE43E4"/>
    <w:rsid w:val="00FE4486"/>
    <w:rsid w:val="00FE46E1"/>
    <w:rsid w:val="00FE474B"/>
    <w:rsid w:val="00FE4777"/>
    <w:rsid w:val="00FE47B5"/>
    <w:rsid w:val="00FE485C"/>
    <w:rsid w:val="00FE48AD"/>
    <w:rsid w:val="00FE4E9B"/>
    <w:rsid w:val="00FE50DD"/>
    <w:rsid w:val="00FE5224"/>
    <w:rsid w:val="00FE525A"/>
    <w:rsid w:val="00FE52EF"/>
    <w:rsid w:val="00FE5333"/>
    <w:rsid w:val="00FE53E4"/>
    <w:rsid w:val="00FE5681"/>
    <w:rsid w:val="00FE56DF"/>
    <w:rsid w:val="00FE56E1"/>
    <w:rsid w:val="00FE577B"/>
    <w:rsid w:val="00FE57AC"/>
    <w:rsid w:val="00FE57D9"/>
    <w:rsid w:val="00FE5A19"/>
    <w:rsid w:val="00FE5A69"/>
    <w:rsid w:val="00FE5B1A"/>
    <w:rsid w:val="00FE5B7A"/>
    <w:rsid w:val="00FE6120"/>
    <w:rsid w:val="00FE62AC"/>
    <w:rsid w:val="00FE6358"/>
    <w:rsid w:val="00FE6530"/>
    <w:rsid w:val="00FE66B7"/>
    <w:rsid w:val="00FE67E4"/>
    <w:rsid w:val="00FE6819"/>
    <w:rsid w:val="00FE6A50"/>
    <w:rsid w:val="00FE6ACE"/>
    <w:rsid w:val="00FE6C09"/>
    <w:rsid w:val="00FE6E15"/>
    <w:rsid w:val="00FE6E1A"/>
    <w:rsid w:val="00FE6E23"/>
    <w:rsid w:val="00FE7341"/>
    <w:rsid w:val="00FE7369"/>
    <w:rsid w:val="00FE75CA"/>
    <w:rsid w:val="00FE7668"/>
    <w:rsid w:val="00FE77D5"/>
    <w:rsid w:val="00FE77E9"/>
    <w:rsid w:val="00FE791E"/>
    <w:rsid w:val="00FE7BC7"/>
    <w:rsid w:val="00FE7C58"/>
    <w:rsid w:val="00FE7CF5"/>
    <w:rsid w:val="00FE7DDE"/>
    <w:rsid w:val="00FE7EDA"/>
    <w:rsid w:val="00FE7F9A"/>
    <w:rsid w:val="00FF0120"/>
    <w:rsid w:val="00FF01FB"/>
    <w:rsid w:val="00FF0231"/>
    <w:rsid w:val="00FF0236"/>
    <w:rsid w:val="00FF02EF"/>
    <w:rsid w:val="00FF036C"/>
    <w:rsid w:val="00FF0430"/>
    <w:rsid w:val="00FF04F6"/>
    <w:rsid w:val="00FF05B9"/>
    <w:rsid w:val="00FF0754"/>
    <w:rsid w:val="00FF07F8"/>
    <w:rsid w:val="00FF08EE"/>
    <w:rsid w:val="00FF09CB"/>
    <w:rsid w:val="00FF0BB9"/>
    <w:rsid w:val="00FF0C89"/>
    <w:rsid w:val="00FF0CFF"/>
    <w:rsid w:val="00FF0E0D"/>
    <w:rsid w:val="00FF0EE8"/>
    <w:rsid w:val="00FF0F94"/>
    <w:rsid w:val="00FF126F"/>
    <w:rsid w:val="00FF129F"/>
    <w:rsid w:val="00FF1329"/>
    <w:rsid w:val="00FF156C"/>
    <w:rsid w:val="00FF17BF"/>
    <w:rsid w:val="00FF17C8"/>
    <w:rsid w:val="00FF19CF"/>
    <w:rsid w:val="00FF1A95"/>
    <w:rsid w:val="00FF1AAE"/>
    <w:rsid w:val="00FF1AFB"/>
    <w:rsid w:val="00FF1BD1"/>
    <w:rsid w:val="00FF1CB6"/>
    <w:rsid w:val="00FF1EDA"/>
    <w:rsid w:val="00FF1FCD"/>
    <w:rsid w:val="00FF1FF0"/>
    <w:rsid w:val="00FF20A9"/>
    <w:rsid w:val="00FF21A9"/>
    <w:rsid w:val="00FF223A"/>
    <w:rsid w:val="00FF250A"/>
    <w:rsid w:val="00FF25F2"/>
    <w:rsid w:val="00FF2803"/>
    <w:rsid w:val="00FF292D"/>
    <w:rsid w:val="00FF294A"/>
    <w:rsid w:val="00FF2AD9"/>
    <w:rsid w:val="00FF2B2F"/>
    <w:rsid w:val="00FF2C31"/>
    <w:rsid w:val="00FF2DB0"/>
    <w:rsid w:val="00FF2E11"/>
    <w:rsid w:val="00FF2E43"/>
    <w:rsid w:val="00FF2E47"/>
    <w:rsid w:val="00FF2E7E"/>
    <w:rsid w:val="00FF2F8B"/>
    <w:rsid w:val="00FF3332"/>
    <w:rsid w:val="00FF3380"/>
    <w:rsid w:val="00FF33D3"/>
    <w:rsid w:val="00FF3437"/>
    <w:rsid w:val="00FF371D"/>
    <w:rsid w:val="00FF373B"/>
    <w:rsid w:val="00FF399D"/>
    <w:rsid w:val="00FF3CC2"/>
    <w:rsid w:val="00FF3D6F"/>
    <w:rsid w:val="00FF3DD8"/>
    <w:rsid w:val="00FF3E02"/>
    <w:rsid w:val="00FF3E10"/>
    <w:rsid w:val="00FF3E4C"/>
    <w:rsid w:val="00FF3EB2"/>
    <w:rsid w:val="00FF3EC7"/>
    <w:rsid w:val="00FF3FE8"/>
    <w:rsid w:val="00FF4011"/>
    <w:rsid w:val="00FF40CD"/>
    <w:rsid w:val="00FF41FE"/>
    <w:rsid w:val="00FF4246"/>
    <w:rsid w:val="00FF42F4"/>
    <w:rsid w:val="00FF4392"/>
    <w:rsid w:val="00FF43A4"/>
    <w:rsid w:val="00FF4424"/>
    <w:rsid w:val="00FF455E"/>
    <w:rsid w:val="00FF47C4"/>
    <w:rsid w:val="00FF481F"/>
    <w:rsid w:val="00FF4847"/>
    <w:rsid w:val="00FF48CB"/>
    <w:rsid w:val="00FF48EA"/>
    <w:rsid w:val="00FF494B"/>
    <w:rsid w:val="00FF4987"/>
    <w:rsid w:val="00FF4C5A"/>
    <w:rsid w:val="00FF4F99"/>
    <w:rsid w:val="00FF53DC"/>
    <w:rsid w:val="00FF55E3"/>
    <w:rsid w:val="00FF5624"/>
    <w:rsid w:val="00FF5772"/>
    <w:rsid w:val="00FF5838"/>
    <w:rsid w:val="00FF58E0"/>
    <w:rsid w:val="00FF598A"/>
    <w:rsid w:val="00FF598F"/>
    <w:rsid w:val="00FF5ABD"/>
    <w:rsid w:val="00FF5B49"/>
    <w:rsid w:val="00FF5B79"/>
    <w:rsid w:val="00FF5C6A"/>
    <w:rsid w:val="00FF5C92"/>
    <w:rsid w:val="00FF5E90"/>
    <w:rsid w:val="00FF608E"/>
    <w:rsid w:val="00FF6133"/>
    <w:rsid w:val="00FF6148"/>
    <w:rsid w:val="00FF615E"/>
    <w:rsid w:val="00FF6482"/>
    <w:rsid w:val="00FF64D0"/>
    <w:rsid w:val="00FF6508"/>
    <w:rsid w:val="00FF6648"/>
    <w:rsid w:val="00FF688B"/>
    <w:rsid w:val="00FF6993"/>
    <w:rsid w:val="00FF6A4C"/>
    <w:rsid w:val="00FF6C63"/>
    <w:rsid w:val="00FF6DC4"/>
    <w:rsid w:val="00FF6F59"/>
    <w:rsid w:val="00FF70B3"/>
    <w:rsid w:val="00FF716C"/>
    <w:rsid w:val="00FF7340"/>
    <w:rsid w:val="00FF77CD"/>
    <w:rsid w:val="00FF78F0"/>
    <w:rsid w:val="00FF79A3"/>
    <w:rsid w:val="00FF7E64"/>
    <w:rsid w:val="00FF7E74"/>
    <w:rsid w:val="00FF7EA2"/>
    <w:rsid w:val="01065638"/>
    <w:rsid w:val="010671D2"/>
    <w:rsid w:val="010EF410"/>
    <w:rsid w:val="01195163"/>
    <w:rsid w:val="01195CE5"/>
    <w:rsid w:val="01238EA5"/>
    <w:rsid w:val="0125FD79"/>
    <w:rsid w:val="012BEA7E"/>
    <w:rsid w:val="01342E4D"/>
    <w:rsid w:val="01383C70"/>
    <w:rsid w:val="013AE652"/>
    <w:rsid w:val="01427E2F"/>
    <w:rsid w:val="014350AF"/>
    <w:rsid w:val="0145EFBA"/>
    <w:rsid w:val="01483C05"/>
    <w:rsid w:val="014C240E"/>
    <w:rsid w:val="014D08C8"/>
    <w:rsid w:val="014D8CFE"/>
    <w:rsid w:val="014D99FD"/>
    <w:rsid w:val="014E52B9"/>
    <w:rsid w:val="01504AA8"/>
    <w:rsid w:val="015203FC"/>
    <w:rsid w:val="0155E74A"/>
    <w:rsid w:val="015A008F"/>
    <w:rsid w:val="017AAA8B"/>
    <w:rsid w:val="017C2026"/>
    <w:rsid w:val="0180FC54"/>
    <w:rsid w:val="01827D71"/>
    <w:rsid w:val="01845B92"/>
    <w:rsid w:val="01991694"/>
    <w:rsid w:val="019DE80E"/>
    <w:rsid w:val="01A36337"/>
    <w:rsid w:val="01A9155F"/>
    <w:rsid w:val="01AD1B73"/>
    <w:rsid w:val="01B383E9"/>
    <w:rsid w:val="01B78EF4"/>
    <w:rsid w:val="01C0ED91"/>
    <w:rsid w:val="01C345EC"/>
    <w:rsid w:val="01C6DF44"/>
    <w:rsid w:val="01CBBF87"/>
    <w:rsid w:val="01CDD5D8"/>
    <w:rsid w:val="01D09DC3"/>
    <w:rsid w:val="01D37F1F"/>
    <w:rsid w:val="01D6BB88"/>
    <w:rsid w:val="01E1609B"/>
    <w:rsid w:val="01E1976B"/>
    <w:rsid w:val="01E85DB3"/>
    <w:rsid w:val="01E864BE"/>
    <w:rsid w:val="01EBA5C8"/>
    <w:rsid w:val="01F10D21"/>
    <w:rsid w:val="01F5E0EF"/>
    <w:rsid w:val="01F91202"/>
    <w:rsid w:val="01FB4EF0"/>
    <w:rsid w:val="01FCC1FA"/>
    <w:rsid w:val="01FEE93C"/>
    <w:rsid w:val="020077A4"/>
    <w:rsid w:val="020401CF"/>
    <w:rsid w:val="0211A5DB"/>
    <w:rsid w:val="021B99C0"/>
    <w:rsid w:val="02220E90"/>
    <w:rsid w:val="0223A024"/>
    <w:rsid w:val="022FAECE"/>
    <w:rsid w:val="0230A3DC"/>
    <w:rsid w:val="0234F688"/>
    <w:rsid w:val="023A8245"/>
    <w:rsid w:val="023E40DC"/>
    <w:rsid w:val="02468B13"/>
    <w:rsid w:val="024F43C8"/>
    <w:rsid w:val="025287DF"/>
    <w:rsid w:val="0257E540"/>
    <w:rsid w:val="0266ED62"/>
    <w:rsid w:val="026ABDA5"/>
    <w:rsid w:val="026CC990"/>
    <w:rsid w:val="026DB55C"/>
    <w:rsid w:val="026E5862"/>
    <w:rsid w:val="026FC314"/>
    <w:rsid w:val="02750C9D"/>
    <w:rsid w:val="0276632F"/>
    <w:rsid w:val="0277D775"/>
    <w:rsid w:val="02797152"/>
    <w:rsid w:val="0279DA80"/>
    <w:rsid w:val="027CE82E"/>
    <w:rsid w:val="0280245A"/>
    <w:rsid w:val="02891186"/>
    <w:rsid w:val="0290630A"/>
    <w:rsid w:val="029881A4"/>
    <w:rsid w:val="029C3710"/>
    <w:rsid w:val="029F6982"/>
    <w:rsid w:val="02A436FD"/>
    <w:rsid w:val="02AB3EA4"/>
    <w:rsid w:val="02B60F08"/>
    <w:rsid w:val="02B9439E"/>
    <w:rsid w:val="02BC328B"/>
    <w:rsid w:val="02BE6390"/>
    <w:rsid w:val="02CB5098"/>
    <w:rsid w:val="02D935B6"/>
    <w:rsid w:val="02E3E377"/>
    <w:rsid w:val="02E7C3D9"/>
    <w:rsid w:val="02EBBA1C"/>
    <w:rsid w:val="02F46E2F"/>
    <w:rsid w:val="02FC76AA"/>
    <w:rsid w:val="0301EC8D"/>
    <w:rsid w:val="030CE5DB"/>
    <w:rsid w:val="030DC2DA"/>
    <w:rsid w:val="030E3434"/>
    <w:rsid w:val="0312AB57"/>
    <w:rsid w:val="03285085"/>
    <w:rsid w:val="032D23E0"/>
    <w:rsid w:val="032EC842"/>
    <w:rsid w:val="033CFD5A"/>
    <w:rsid w:val="03402880"/>
    <w:rsid w:val="0344BCC4"/>
    <w:rsid w:val="0348CE18"/>
    <w:rsid w:val="035602E5"/>
    <w:rsid w:val="03668545"/>
    <w:rsid w:val="03670E10"/>
    <w:rsid w:val="036B2B19"/>
    <w:rsid w:val="0370CF46"/>
    <w:rsid w:val="037DDDEA"/>
    <w:rsid w:val="03832A34"/>
    <w:rsid w:val="0383FA44"/>
    <w:rsid w:val="039758E0"/>
    <w:rsid w:val="0398E64B"/>
    <w:rsid w:val="03A206DF"/>
    <w:rsid w:val="03A2558A"/>
    <w:rsid w:val="03A4C15A"/>
    <w:rsid w:val="03A57FAD"/>
    <w:rsid w:val="03AEE272"/>
    <w:rsid w:val="03AF2916"/>
    <w:rsid w:val="03B0B9D1"/>
    <w:rsid w:val="03B136CD"/>
    <w:rsid w:val="03B3AF7C"/>
    <w:rsid w:val="03BE9D2B"/>
    <w:rsid w:val="03C2CDFF"/>
    <w:rsid w:val="03C662A4"/>
    <w:rsid w:val="03CA16A1"/>
    <w:rsid w:val="03D5A7CA"/>
    <w:rsid w:val="03D6062F"/>
    <w:rsid w:val="03DB328A"/>
    <w:rsid w:val="03DCD4A1"/>
    <w:rsid w:val="03DD6E5D"/>
    <w:rsid w:val="03E44B8C"/>
    <w:rsid w:val="03E769A4"/>
    <w:rsid w:val="03E93DD7"/>
    <w:rsid w:val="03F02340"/>
    <w:rsid w:val="03F0B863"/>
    <w:rsid w:val="03F4432B"/>
    <w:rsid w:val="04063B6C"/>
    <w:rsid w:val="040C0CEC"/>
    <w:rsid w:val="040C7874"/>
    <w:rsid w:val="041227F6"/>
    <w:rsid w:val="0417F57B"/>
    <w:rsid w:val="041C36A6"/>
    <w:rsid w:val="041D5E52"/>
    <w:rsid w:val="042BA07D"/>
    <w:rsid w:val="043F2306"/>
    <w:rsid w:val="0442B078"/>
    <w:rsid w:val="044D6F79"/>
    <w:rsid w:val="044F4B93"/>
    <w:rsid w:val="04539DE9"/>
    <w:rsid w:val="0453DC0F"/>
    <w:rsid w:val="04544791"/>
    <w:rsid w:val="0457771D"/>
    <w:rsid w:val="045BB92E"/>
    <w:rsid w:val="045C1BE4"/>
    <w:rsid w:val="046882A8"/>
    <w:rsid w:val="0471EF9C"/>
    <w:rsid w:val="0472F24C"/>
    <w:rsid w:val="047638F6"/>
    <w:rsid w:val="047BA0C6"/>
    <w:rsid w:val="04832D15"/>
    <w:rsid w:val="04850DEE"/>
    <w:rsid w:val="0485E54F"/>
    <w:rsid w:val="048ADB33"/>
    <w:rsid w:val="048D06B7"/>
    <w:rsid w:val="0490B691"/>
    <w:rsid w:val="0491F23E"/>
    <w:rsid w:val="04953FE0"/>
    <w:rsid w:val="0495802A"/>
    <w:rsid w:val="04961961"/>
    <w:rsid w:val="049D4F5C"/>
    <w:rsid w:val="04A263E7"/>
    <w:rsid w:val="04A2FC5B"/>
    <w:rsid w:val="04A33322"/>
    <w:rsid w:val="04A43E1F"/>
    <w:rsid w:val="04A4FCC3"/>
    <w:rsid w:val="04AA1EE5"/>
    <w:rsid w:val="04AF0A84"/>
    <w:rsid w:val="04BCE36E"/>
    <w:rsid w:val="04C4CE63"/>
    <w:rsid w:val="04C4CFF9"/>
    <w:rsid w:val="04CD0CC9"/>
    <w:rsid w:val="04D053EC"/>
    <w:rsid w:val="04D64835"/>
    <w:rsid w:val="04D86CCD"/>
    <w:rsid w:val="04DC311B"/>
    <w:rsid w:val="04E009B5"/>
    <w:rsid w:val="04E99A81"/>
    <w:rsid w:val="04EC1B87"/>
    <w:rsid w:val="04FE95E5"/>
    <w:rsid w:val="05025727"/>
    <w:rsid w:val="0503655E"/>
    <w:rsid w:val="0514F78B"/>
    <w:rsid w:val="0516CE99"/>
    <w:rsid w:val="0517E049"/>
    <w:rsid w:val="0519D0CA"/>
    <w:rsid w:val="0521816C"/>
    <w:rsid w:val="05251F37"/>
    <w:rsid w:val="052796F9"/>
    <w:rsid w:val="052E7262"/>
    <w:rsid w:val="0534721D"/>
    <w:rsid w:val="053E04FE"/>
    <w:rsid w:val="0542F6C6"/>
    <w:rsid w:val="0545013D"/>
    <w:rsid w:val="05510917"/>
    <w:rsid w:val="055992C5"/>
    <w:rsid w:val="055A120C"/>
    <w:rsid w:val="055EC4E2"/>
    <w:rsid w:val="0568CC21"/>
    <w:rsid w:val="056C390F"/>
    <w:rsid w:val="0570A558"/>
    <w:rsid w:val="0570C224"/>
    <w:rsid w:val="05722995"/>
    <w:rsid w:val="057344AA"/>
    <w:rsid w:val="0578A596"/>
    <w:rsid w:val="057C4ED1"/>
    <w:rsid w:val="057D1717"/>
    <w:rsid w:val="0583B23B"/>
    <w:rsid w:val="058990D1"/>
    <w:rsid w:val="0589A48E"/>
    <w:rsid w:val="058CFFE5"/>
    <w:rsid w:val="058D832F"/>
    <w:rsid w:val="058FC1D6"/>
    <w:rsid w:val="05916279"/>
    <w:rsid w:val="0592B480"/>
    <w:rsid w:val="059468E1"/>
    <w:rsid w:val="059A7FF9"/>
    <w:rsid w:val="059AC111"/>
    <w:rsid w:val="059D4D53"/>
    <w:rsid w:val="05A17042"/>
    <w:rsid w:val="05A6668E"/>
    <w:rsid w:val="05A66A56"/>
    <w:rsid w:val="05ACE6B9"/>
    <w:rsid w:val="05AD0219"/>
    <w:rsid w:val="05AF1390"/>
    <w:rsid w:val="05AFAC72"/>
    <w:rsid w:val="05B0BAD9"/>
    <w:rsid w:val="05B7AB0F"/>
    <w:rsid w:val="05BB94F4"/>
    <w:rsid w:val="05BBFD33"/>
    <w:rsid w:val="05BE7860"/>
    <w:rsid w:val="05C29D42"/>
    <w:rsid w:val="05C7222D"/>
    <w:rsid w:val="05CF0973"/>
    <w:rsid w:val="05CFD641"/>
    <w:rsid w:val="05D52374"/>
    <w:rsid w:val="05D82568"/>
    <w:rsid w:val="05D8C613"/>
    <w:rsid w:val="05D9CFCC"/>
    <w:rsid w:val="05DAA251"/>
    <w:rsid w:val="05E2ED99"/>
    <w:rsid w:val="05E80D8B"/>
    <w:rsid w:val="05EB2CDE"/>
    <w:rsid w:val="05EEE10C"/>
    <w:rsid w:val="05EF9090"/>
    <w:rsid w:val="05FD29F9"/>
    <w:rsid w:val="05FE00ED"/>
    <w:rsid w:val="060112DE"/>
    <w:rsid w:val="0602A586"/>
    <w:rsid w:val="060BD26D"/>
    <w:rsid w:val="060D98DD"/>
    <w:rsid w:val="060F5BD3"/>
    <w:rsid w:val="06118951"/>
    <w:rsid w:val="061D5D01"/>
    <w:rsid w:val="0623C663"/>
    <w:rsid w:val="0623DA0C"/>
    <w:rsid w:val="0624CD7F"/>
    <w:rsid w:val="0625092B"/>
    <w:rsid w:val="0628EB46"/>
    <w:rsid w:val="062EF2D2"/>
    <w:rsid w:val="06336558"/>
    <w:rsid w:val="06338A65"/>
    <w:rsid w:val="0634158F"/>
    <w:rsid w:val="0634D1ED"/>
    <w:rsid w:val="0638FF84"/>
    <w:rsid w:val="0640E1E0"/>
    <w:rsid w:val="06430F15"/>
    <w:rsid w:val="0658C5DF"/>
    <w:rsid w:val="06625AB8"/>
    <w:rsid w:val="0664897A"/>
    <w:rsid w:val="06659BD9"/>
    <w:rsid w:val="066B71FA"/>
    <w:rsid w:val="067B4C9C"/>
    <w:rsid w:val="068C5B36"/>
    <w:rsid w:val="068FD2F4"/>
    <w:rsid w:val="0690269F"/>
    <w:rsid w:val="06984553"/>
    <w:rsid w:val="06A58B9C"/>
    <w:rsid w:val="06A7B6DA"/>
    <w:rsid w:val="06B2E5EE"/>
    <w:rsid w:val="06B47E84"/>
    <w:rsid w:val="06B89AA0"/>
    <w:rsid w:val="06BE7BE0"/>
    <w:rsid w:val="06C0DD51"/>
    <w:rsid w:val="06C3BDB7"/>
    <w:rsid w:val="06C6E104"/>
    <w:rsid w:val="06C780D0"/>
    <w:rsid w:val="06C9DD5A"/>
    <w:rsid w:val="06CAD27B"/>
    <w:rsid w:val="06CB225F"/>
    <w:rsid w:val="06CC8405"/>
    <w:rsid w:val="06D3B9E9"/>
    <w:rsid w:val="06DCB56E"/>
    <w:rsid w:val="06E61029"/>
    <w:rsid w:val="06E76CF2"/>
    <w:rsid w:val="06F045E2"/>
    <w:rsid w:val="06FAA36A"/>
    <w:rsid w:val="06FBF3A4"/>
    <w:rsid w:val="06FD1861"/>
    <w:rsid w:val="06FDD62D"/>
    <w:rsid w:val="07083D45"/>
    <w:rsid w:val="070A1FC2"/>
    <w:rsid w:val="070E4901"/>
    <w:rsid w:val="071003D6"/>
    <w:rsid w:val="071091F4"/>
    <w:rsid w:val="072905E5"/>
    <w:rsid w:val="072DA101"/>
    <w:rsid w:val="072EEB18"/>
    <w:rsid w:val="07306AE6"/>
    <w:rsid w:val="0731B886"/>
    <w:rsid w:val="074514A0"/>
    <w:rsid w:val="07486446"/>
    <w:rsid w:val="074B7F8B"/>
    <w:rsid w:val="0753F0CB"/>
    <w:rsid w:val="0757689B"/>
    <w:rsid w:val="075847EA"/>
    <w:rsid w:val="0769C8C6"/>
    <w:rsid w:val="076BCA25"/>
    <w:rsid w:val="0772AFF9"/>
    <w:rsid w:val="07753AE5"/>
    <w:rsid w:val="077DA4CB"/>
    <w:rsid w:val="0781E2FC"/>
    <w:rsid w:val="078DE91E"/>
    <w:rsid w:val="07927B9A"/>
    <w:rsid w:val="07969F93"/>
    <w:rsid w:val="0799A3F0"/>
    <w:rsid w:val="079C0AC7"/>
    <w:rsid w:val="07A19C34"/>
    <w:rsid w:val="07A1B0BC"/>
    <w:rsid w:val="07A4CEDB"/>
    <w:rsid w:val="07A8AB19"/>
    <w:rsid w:val="07AD20DD"/>
    <w:rsid w:val="07B613A1"/>
    <w:rsid w:val="07B76CEC"/>
    <w:rsid w:val="07B85167"/>
    <w:rsid w:val="07BEE514"/>
    <w:rsid w:val="07BF0AFB"/>
    <w:rsid w:val="07CCFA29"/>
    <w:rsid w:val="07D2DAAB"/>
    <w:rsid w:val="07D7A155"/>
    <w:rsid w:val="07D7B854"/>
    <w:rsid w:val="07D8CF1A"/>
    <w:rsid w:val="07D8D6BE"/>
    <w:rsid w:val="07DA2D2E"/>
    <w:rsid w:val="07DB68B7"/>
    <w:rsid w:val="07E154A0"/>
    <w:rsid w:val="07E4EE5F"/>
    <w:rsid w:val="07E56C75"/>
    <w:rsid w:val="07E75F94"/>
    <w:rsid w:val="07EA7D0A"/>
    <w:rsid w:val="07EE3E83"/>
    <w:rsid w:val="07EE9D90"/>
    <w:rsid w:val="07F0BC1B"/>
    <w:rsid w:val="07F1DC33"/>
    <w:rsid w:val="07F45E1B"/>
    <w:rsid w:val="07F7F2AC"/>
    <w:rsid w:val="08003E8A"/>
    <w:rsid w:val="080A9CE6"/>
    <w:rsid w:val="080B5525"/>
    <w:rsid w:val="080B619E"/>
    <w:rsid w:val="0815CA79"/>
    <w:rsid w:val="0819B104"/>
    <w:rsid w:val="0822ACDB"/>
    <w:rsid w:val="082CC26A"/>
    <w:rsid w:val="082CE7FA"/>
    <w:rsid w:val="0843F9FC"/>
    <w:rsid w:val="08493985"/>
    <w:rsid w:val="084FC457"/>
    <w:rsid w:val="08543A61"/>
    <w:rsid w:val="085599F1"/>
    <w:rsid w:val="0858D3C7"/>
    <w:rsid w:val="0864D8EA"/>
    <w:rsid w:val="087F6597"/>
    <w:rsid w:val="087FD2D4"/>
    <w:rsid w:val="08836F1F"/>
    <w:rsid w:val="088DF37D"/>
    <w:rsid w:val="089002D4"/>
    <w:rsid w:val="089154F9"/>
    <w:rsid w:val="0891E4D6"/>
    <w:rsid w:val="089224ED"/>
    <w:rsid w:val="0894AA5E"/>
    <w:rsid w:val="0897D4DB"/>
    <w:rsid w:val="08A53256"/>
    <w:rsid w:val="08A62CB4"/>
    <w:rsid w:val="08ABA164"/>
    <w:rsid w:val="08B036BF"/>
    <w:rsid w:val="08B1DE04"/>
    <w:rsid w:val="08B292CD"/>
    <w:rsid w:val="08B43F38"/>
    <w:rsid w:val="08B618F0"/>
    <w:rsid w:val="08BA33DB"/>
    <w:rsid w:val="08D08CDE"/>
    <w:rsid w:val="08D704F9"/>
    <w:rsid w:val="08DC9AD7"/>
    <w:rsid w:val="08E60CFA"/>
    <w:rsid w:val="08E9062F"/>
    <w:rsid w:val="08EFED86"/>
    <w:rsid w:val="08F10527"/>
    <w:rsid w:val="08F2AEAB"/>
    <w:rsid w:val="08F431D7"/>
    <w:rsid w:val="08F534F5"/>
    <w:rsid w:val="08F9BD1E"/>
    <w:rsid w:val="08FAEB11"/>
    <w:rsid w:val="08FD34A9"/>
    <w:rsid w:val="08FEFEDF"/>
    <w:rsid w:val="0900297D"/>
    <w:rsid w:val="090551D0"/>
    <w:rsid w:val="090D1B5C"/>
    <w:rsid w:val="090FCC9E"/>
    <w:rsid w:val="09157776"/>
    <w:rsid w:val="091C8222"/>
    <w:rsid w:val="091D1EAD"/>
    <w:rsid w:val="092A0790"/>
    <w:rsid w:val="092B809B"/>
    <w:rsid w:val="092CF2F6"/>
    <w:rsid w:val="092D4CF3"/>
    <w:rsid w:val="0932A4CC"/>
    <w:rsid w:val="0934B9F3"/>
    <w:rsid w:val="0935D4D6"/>
    <w:rsid w:val="0947B5BD"/>
    <w:rsid w:val="094E60C4"/>
    <w:rsid w:val="094FF30E"/>
    <w:rsid w:val="0951AC56"/>
    <w:rsid w:val="09539276"/>
    <w:rsid w:val="0966F079"/>
    <w:rsid w:val="09796CBB"/>
    <w:rsid w:val="097CA5C4"/>
    <w:rsid w:val="097EE9E6"/>
    <w:rsid w:val="09828053"/>
    <w:rsid w:val="0994AE9E"/>
    <w:rsid w:val="099A9335"/>
    <w:rsid w:val="09AFE235"/>
    <w:rsid w:val="09B5975E"/>
    <w:rsid w:val="09B8FEED"/>
    <w:rsid w:val="09B9C856"/>
    <w:rsid w:val="09BA9E90"/>
    <w:rsid w:val="09BB646D"/>
    <w:rsid w:val="09C352E5"/>
    <w:rsid w:val="09CA02AE"/>
    <w:rsid w:val="09CB1592"/>
    <w:rsid w:val="09D5330D"/>
    <w:rsid w:val="09DAB148"/>
    <w:rsid w:val="09E33CF2"/>
    <w:rsid w:val="09E5A9B3"/>
    <w:rsid w:val="09E8BBFE"/>
    <w:rsid w:val="09EE4E5E"/>
    <w:rsid w:val="09F64AE8"/>
    <w:rsid w:val="09FA173A"/>
    <w:rsid w:val="09FA6EA0"/>
    <w:rsid w:val="09FC2D97"/>
    <w:rsid w:val="09FF6922"/>
    <w:rsid w:val="0A02ADA9"/>
    <w:rsid w:val="0A043288"/>
    <w:rsid w:val="0A09BFFD"/>
    <w:rsid w:val="0A1103B7"/>
    <w:rsid w:val="0A1F330B"/>
    <w:rsid w:val="0A275580"/>
    <w:rsid w:val="0A290A30"/>
    <w:rsid w:val="0A29D0C7"/>
    <w:rsid w:val="0A2C177D"/>
    <w:rsid w:val="0A2DB2ED"/>
    <w:rsid w:val="0A32A2F6"/>
    <w:rsid w:val="0A362FD5"/>
    <w:rsid w:val="0A3C0BB3"/>
    <w:rsid w:val="0A49E161"/>
    <w:rsid w:val="0A4E5A98"/>
    <w:rsid w:val="0A4F6FC3"/>
    <w:rsid w:val="0A527E73"/>
    <w:rsid w:val="0A563F8A"/>
    <w:rsid w:val="0A5BEB9D"/>
    <w:rsid w:val="0A60783A"/>
    <w:rsid w:val="0A6299BC"/>
    <w:rsid w:val="0A724FCD"/>
    <w:rsid w:val="0A7B9D66"/>
    <w:rsid w:val="0A8059A4"/>
    <w:rsid w:val="0A88B7A0"/>
    <w:rsid w:val="0A97B848"/>
    <w:rsid w:val="0AA5FB9E"/>
    <w:rsid w:val="0AA8A0B1"/>
    <w:rsid w:val="0AB15027"/>
    <w:rsid w:val="0AB34C82"/>
    <w:rsid w:val="0ABB27C3"/>
    <w:rsid w:val="0AC3B75C"/>
    <w:rsid w:val="0AC97426"/>
    <w:rsid w:val="0ACF3310"/>
    <w:rsid w:val="0AD04710"/>
    <w:rsid w:val="0AD11F65"/>
    <w:rsid w:val="0AD1281A"/>
    <w:rsid w:val="0AD3C47C"/>
    <w:rsid w:val="0AD77118"/>
    <w:rsid w:val="0AD9E78E"/>
    <w:rsid w:val="0ADB27DB"/>
    <w:rsid w:val="0ADD9FA0"/>
    <w:rsid w:val="0AEF196E"/>
    <w:rsid w:val="0AF15FBD"/>
    <w:rsid w:val="0AF1B33D"/>
    <w:rsid w:val="0AF34C02"/>
    <w:rsid w:val="0AF6C2F1"/>
    <w:rsid w:val="0AFA09FA"/>
    <w:rsid w:val="0AFB4C28"/>
    <w:rsid w:val="0AFF4E37"/>
    <w:rsid w:val="0B01E51D"/>
    <w:rsid w:val="0B0E8BBB"/>
    <w:rsid w:val="0B14B889"/>
    <w:rsid w:val="0B1F9D20"/>
    <w:rsid w:val="0B25F94E"/>
    <w:rsid w:val="0B2BC111"/>
    <w:rsid w:val="0B2C4D2B"/>
    <w:rsid w:val="0B3055A7"/>
    <w:rsid w:val="0B32B0B7"/>
    <w:rsid w:val="0B34CE19"/>
    <w:rsid w:val="0B3B97DB"/>
    <w:rsid w:val="0B3E6081"/>
    <w:rsid w:val="0B3F03D6"/>
    <w:rsid w:val="0B414BBC"/>
    <w:rsid w:val="0B431C9B"/>
    <w:rsid w:val="0B4C07F8"/>
    <w:rsid w:val="0B4C0D02"/>
    <w:rsid w:val="0B5AF4C6"/>
    <w:rsid w:val="0B5BF168"/>
    <w:rsid w:val="0B5F53A5"/>
    <w:rsid w:val="0B60B1F0"/>
    <w:rsid w:val="0B6B426E"/>
    <w:rsid w:val="0B6F9B79"/>
    <w:rsid w:val="0B72ACD7"/>
    <w:rsid w:val="0B8095BF"/>
    <w:rsid w:val="0B80E82D"/>
    <w:rsid w:val="0B90C25B"/>
    <w:rsid w:val="0B96E678"/>
    <w:rsid w:val="0B9DED4F"/>
    <w:rsid w:val="0BA1D34D"/>
    <w:rsid w:val="0BA3D944"/>
    <w:rsid w:val="0BA6666E"/>
    <w:rsid w:val="0BA86CD8"/>
    <w:rsid w:val="0BA8C9D1"/>
    <w:rsid w:val="0BAB423E"/>
    <w:rsid w:val="0BC0630D"/>
    <w:rsid w:val="0BC3A2FE"/>
    <w:rsid w:val="0BC4D848"/>
    <w:rsid w:val="0BCCD03B"/>
    <w:rsid w:val="0BD8D56D"/>
    <w:rsid w:val="0BDFDEC3"/>
    <w:rsid w:val="0BEC72BB"/>
    <w:rsid w:val="0BEFA4B2"/>
    <w:rsid w:val="0C0789D1"/>
    <w:rsid w:val="0C0F84CA"/>
    <w:rsid w:val="0C116008"/>
    <w:rsid w:val="0C1184F1"/>
    <w:rsid w:val="0C14D211"/>
    <w:rsid w:val="0C1D9159"/>
    <w:rsid w:val="0C21EA48"/>
    <w:rsid w:val="0C22DCA4"/>
    <w:rsid w:val="0C2C0552"/>
    <w:rsid w:val="0C362FDF"/>
    <w:rsid w:val="0C39E725"/>
    <w:rsid w:val="0C3D8307"/>
    <w:rsid w:val="0C426EB7"/>
    <w:rsid w:val="0C441F0B"/>
    <w:rsid w:val="0C46C8FD"/>
    <w:rsid w:val="0C4A9971"/>
    <w:rsid w:val="0C4ADAFB"/>
    <w:rsid w:val="0C4DBBAF"/>
    <w:rsid w:val="0C5289A3"/>
    <w:rsid w:val="0C54429A"/>
    <w:rsid w:val="0C54A925"/>
    <w:rsid w:val="0C54B347"/>
    <w:rsid w:val="0C592838"/>
    <w:rsid w:val="0C5F5B32"/>
    <w:rsid w:val="0C61049C"/>
    <w:rsid w:val="0C6589AF"/>
    <w:rsid w:val="0C676F32"/>
    <w:rsid w:val="0C67D5A2"/>
    <w:rsid w:val="0C69C324"/>
    <w:rsid w:val="0C6F1DB3"/>
    <w:rsid w:val="0C703612"/>
    <w:rsid w:val="0C76775B"/>
    <w:rsid w:val="0C7870E5"/>
    <w:rsid w:val="0C7D4089"/>
    <w:rsid w:val="0C82E4DB"/>
    <w:rsid w:val="0C872383"/>
    <w:rsid w:val="0C8CA124"/>
    <w:rsid w:val="0C923338"/>
    <w:rsid w:val="0C92B676"/>
    <w:rsid w:val="0C9F8DCF"/>
    <w:rsid w:val="0CA24DF9"/>
    <w:rsid w:val="0CB319AA"/>
    <w:rsid w:val="0CB4292C"/>
    <w:rsid w:val="0CB6B41D"/>
    <w:rsid w:val="0CB73DA1"/>
    <w:rsid w:val="0CBB717E"/>
    <w:rsid w:val="0CBE52AB"/>
    <w:rsid w:val="0CC126DC"/>
    <w:rsid w:val="0CC96A5D"/>
    <w:rsid w:val="0CD1F33B"/>
    <w:rsid w:val="0CD269DD"/>
    <w:rsid w:val="0CEEC28C"/>
    <w:rsid w:val="0CF86248"/>
    <w:rsid w:val="0CF92C8D"/>
    <w:rsid w:val="0D02056E"/>
    <w:rsid w:val="0D0734C1"/>
    <w:rsid w:val="0D093473"/>
    <w:rsid w:val="0D0DDBF9"/>
    <w:rsid w:val="0D0F8352"/>
    <w:rsid w:val="0D12B9D1"/>
    <w:rsid w:val="0D183912"/>
    <w:rsid w:val="0D1852EA"/>
    <w:rsid w:val="0D1A1816"/>
    <w:rsid w:val="0D20CD2B"/>
    <w:rsid w:val="0D22BD37"/>
    <w:rsid w:val="0D244E37"/>
    <w:rsid w:val="0D27D97E"/>
    <w:rsid w:val="0D32831B"/>
    <w:rsid w:val="0D33E299"/>
    <w:rsid w:val="0D3A8950"/>
    <w:rsid w:val="0D4648E3"/>
    <w:rsid w:val="0D46F0E2"/>
    <w:rsid w:val="0D4BF989"/>
    <w:rsid w:val="0D514BB9"/>
    <w:rsid w:val="0D53D29C"/>
    <w:rsid w:val="0D626018"/>
    <w:rsid w:val="0D632B9D"/>
    <w:rsid w:val="0D6373F7"/>
    <w:rsid w:val="0D648CCA"/>
    <w:rsid w:val="0D79699B"/>
    <w:rsid w:val="0D7CAF2C"/>
    <w:rsid w:val="0D83E379"/>
    <w:rsid w:val="0D88038A"/>
    <w:rsid w:val="0D8D3BAA"/>
    <w:rsid w:val="0DA5FAE9"/>
    <w:rsid w:val="0DB7240C"/>
    <w:rsid w:val="0DB7E8BB"/>
    <w:rsid w:val="0DB8BDB7"/>
    <w:rsid w:val="0DC0C9BA"/>
    <w:rsid w:val="0DC3AB7D"/>
    <w:rsid w:val="0DC96B35"/>
    <w:rsid w:val="0DD7FFFB"/>
    <w:rsid w:val="0DD8B7A6"/>
    <w:rsid w:val="0DDB6AC7"/>
    <w:rsid w:val="0DE431B2"/>
    <w:rsid w:val="0DE62EDC"/>
    <w:rsid w:val="0DE75502"/>
    <w:rsid w:val="0DE85BB9"/>
    <w:rsid w:val="0DE9BF3B"/>
    <w:rsid w:val="0DED98ED"/>
    <w:rsid w:val="0DEFC5B0"/>
    <w:rsid w:val="0DF0B351"/>
    <w:rsid w:val="0DF0EFF4"/>
    <w:rsid w:val="0DF17832"/>
    <w:rsid w:val="0DF59F93"/>
    <w:rsid w:val="0DF5D737"/>
    <w:rsid w:val="0DF99EF2"/>
    <w:rsid w:val="0E02D9B8"/>
    <w:rsid w:val="0E07EE9F"/>
    <w:rsid w:val="0E0A2F57"/>
    <w:rsid w:val="0E0C0F26"/>
    <w:rsid w:val="0E0CA32D"/>
    <w:rsid w:val="0E151158"/>
    <w:rsid w:val="0E20F591"/>
    <w:rsid w:val="0E22CE87"/>
    <w:rsid w:val="0E27B86A"/>
    <w:rsid w:val="0E280850"/>
    <w:rsid w:val="0E30B68C"/>
    <w:rsid w:val="0E3FFE8D"/>
    <w:rsid w:val="0E42E79E"/>
    <w:rsid w:val="0E45CB1A"/>
    <w:rsid w:val="0E4D7FFD"/>
    <w:rsid w:val="0E4DD9FD"/>
    <w:rsid w:val="0E55C7C0"/>
    <w:rsid w:val="0E5609D2"/>
    <w:rsid w:val="0E575642"/>
    <w:rsid w:val="0E57C98D"/>
    <w:rsid w:val="0E5E3FEA"/>
    <w:rsid w:val="0E5F766D"/>
    <w:rsid w:val="0E7F4EA7"/>
    <w:rsid w:val="0E7FDF36"/>
    <w:rsid w:val="0E811B03"/>
    <w:rsid w:val="0E83DD12"/>
    <w:rsid w:val="0E873C93"/>
    <w:rsid w:val="0E87A7BB"/>
    <w:rsid w:val="0E88ED9C"/>
    <w:rsid w:val="0E8BF68D"/>
    <w:rsid w:val="0E8C8636"/>
    <w:rsid w:val="0E90ED71"/>
    <w:rsid w:val="0E9431B2"/>
    <w:rsid w:val="0E94E5EE"/>
    <w:rsid w:val="0E94E724"/>
    <w:rsid w:val="0E988C45"/>
    <w:rsid w:val="0E9F3274"/>
    <w:rsid w:val="0EA4AB14"/>
    <w:rsid w:val="0EADD874"/>
    <w:rsid w:val="0EB5F896"/>
    <w:rsid w:val="0EB6D91A"/>
    <w:rsid w:val="0EB7EDED"/>
    <w:rsid w:val="0EB8B1EA"/>
    <w:rsid w:val="0EBA7121"/>
    <w:rsid w:val="0EBB9E3C"/>
    <w:rsid w:val="0ED3A6D1"/>
    <w:rsid w:val="0EDBBF01"/>
    <w:rsid w:val="0EDF8475"/>
    <w:rsid w:val="0EE0647B"/>
    <w:rsid w:val="0EE1B27E"/>
    <w:rsid w:val="0EE50AA4"/>
    <w:rsid w:val="0EE677B9"/>
    <w:rsid w:val="0EEC5F23"/>
    <w:rsid w:val="0EEC6378"/>
    <w:rsid w:val="0EF14CFC"/>
    <w:rsid w:val="0EF5EEE5"/>
    <w:rsid w:val="0EFCE708"/>
    <w:rsid w:val="0EFD6109"/>
    <w:rsid w:val="0F1C9D35"/>
    <w:rsid w:val="0F2139CE"/>
    <w:rsid w:val="0F2CEF42"/>
    <w:rsid w:val="0F3E931B"/>
    <w:rsid w:val="0F4937A5"/>
    <w:rsid w:val="0F499BCC"/>
    <w:rsid w:val="0F4D38AE"/>
    <w:rsid w:val="0F503E2C"/>
    <w:rsid w:val="0F53CA44"/>
    <w:rsid w:val="0F565D35"/>
    <w:rsid w:val="0F58F702"/>
    <w:rsid w:val="0F5A80AA"/>
    <w:rsid w:val="0F5F6C98"/>
    <w:rsid w:val="0F653B96"/>
    <w:rsid w:val="0F6C5A32"/>
    <w:rsid w:val="0F6DEE1D"/>
    <w:rsid w:val="0F708845"/>
    <w:rsid w:val="0F7D9EFC"/>
    <w:rsid w:val="0F89C04E"/>
    <w:rsid w:val="0F8AB7DF"/>
    <w:rsid w:val="0F8D517A"/>
    <w:rsid w:val="0F8E39E2"/>
    <w:rsid w:val="0FA06E93"/>
    <w:rsid w:val="0FA48D7B"/>
    <w:rsid w:val="0FA4E7FF"/>
    <w:rsid w:val="0FA5D464"/>
    <w:rsid w:val="0FA60A87"/>
    <w:rsid w:val="0FAD506A"/>
    <w:rsid w:val="0FAFEBCA"/>
    <w:rsid w:val="0FB28CBC"/>
    <w:rsid w:val="0FB4A3C8"/>
    <w:rsid w:val="0FB7237E"/>
    <w:rsid w:val="0FC52910"/>
    <w:rsid w:val="0FC98D8E"/>
    <w:rsid w:val="0FCCD564"/>
    <w:rsid w:val="0FCF4649"/>
    <w:rsid w:val="0FD902CE"/>
    <w:rsid w:val="0FDEEEB7"/>
    <w:rsid w:val="0FE5612B"/>
    <w:rsid w:val="0FE70F87"/>
    <w:rsid w:val="0FEAFB9B"/>
    <w:rsid w:val="0FEF9AB2"/>
    <w:rsid w:val="0FF194E9"/>
    <w:rsid w:val="0FF5957A"/>
    <w:rsid w:val="0FF5A7BB"/>
    <w:rsid w:val="1000CE4E"/>
    <w:rsid w:val="1005F0CA"/>
    <w:rsid w:val="100C2CB5"/>
    <w:rsid w:val="1019AFB8"/>
    <w:rsid w:val="10230867"/>
    <w:rsid w:val="1026F4A9"/>
    <w:rsid w:val="1027F330"/>
    <w:rsid w:val="102B4207"/>
    <w:rsid w:val="102F1A53"/>
    <w:rsid w:val="10371ECE"/>
    <w:rsid w:val="10514DC7"/>
    <w:rsid w:val="1056A6A1"/>
    <w:rsid w:val="105E221D"/>
    <w:rsid w:val="105F7CD0"/>
    <w:rsid w:val="106293B1"/>
    <w:rsid w:val="10632927"/>
    <w:rsid w:val="10661343"/>
    <w:rsid w:val="106EAD6A"/>
    <w:rsid w:val="106F90A9"/>
    <w:rsid w:val="10712C03"/>
    <w:rsid w:val="1077AAF5"/>
    <w:rsid w:val="1080A219"/>
    <w:rsid w:val="1081DB15"/>
    <w:rsid w:val="108837AA"/>
    <w:rsid w:val="108DE2BC"/>
    <w:rsid w:val="109606E6"/>
    <w:rsid w:val="109A4217"/>
    <w:rsid w:val="109F8461"/>
    <w:rsid w:val="10A89523"/>
    <w:rsid w:val="10A9E87E"/>
    <w:rsid w:val="10B46CD9"/>
    <w:rsid w:val="10BA884E"/>
    <w:rsid w:val="10D30E8A"/>
    <w:rsid w:val="10D31149"/>
    <w:rsid w:val="10D7C626"/>
    <w:rsid w:val="10DED9A9"/>
    <w:rsid w:val="10DFB6DB"/>
    <w:rsid w:val="10E08D07"/>
    <w:rsid w:val="10E8C0E7"/>
    <w:rsid w:val="10EA1B14"/>
    <w:rsid w:val="10ECF7AD"/>
    <w:rsid w:val="10ED1491"/>
    <w:rsid w:val="10ED9143"/>
    <w:rsid w:val="10F0C6B6"/>
    <w:rsid w:val="10F58C24"/>
    <w:rsid w:val="10F6A681"/>
    <w:rsid w:val="10FA519F"/>
    <w:rsid w:val="10FC9751"/>
    <w:rsid w:val="11007092"/>
    <w:rsid w:val="11010BF7"/>
    <w:rsid w:val="110E988E"/>
    <w:rsid w:val="11163B4E"/>
    <w:rsid w:val="1119CAC5"/>
    <w:rsid w:val="111B6690"/>
    <w:rsid w:val="111F1296"/>
    <w:rsid w:val="11201873"/>
    <w:rsid w:val="11274141"/>
    <w:rsid w:val="1127F6ED"/>
    <w:rsid w:val="112A0A43"/>
    <w:rsid w:val="112EF07B"/>
    <w:rsid w:val="1135D637"/>
    <w:rsid w:val="113DE87C"/>
    <w:rsid w:val="114165F4"/>
    <w:rsid w:val="11468896"/>
    <w:rsid w:val="11480C80"/>
    <w:rsid w:val="115401BB"/>
    <w:rsid w:val="1166067C"/>
    <w:rsid w:val="116D738E"/>
    <w:rsid w:val="116F43E1"/>
    <w:rsid w:val="1176F359"/>
    <w:rsid w:val="1178D09E"/>
    <w:rsid w:val="117D1985"/>
    <w:rsid w:val="11886D05"/>
    <w:rsid w:val="119377FF"/>
    <w:rsid w:val="119F5D07"/>
    <w:rsid w:val="11AAFEEC"/>
    <w:rsid w:val="11B3F3E4"/>
    <w:rsid w:val="11BDD942"/>
    <w:rsid w:val="11C89E8A"/>
    <w:rsid w:val="11CD04AA"/>
    <w:rsid w:val="11D97C35"/>
    <w:rsid w:val="11DAE8C2"/>
    <w:rsid w:val="11DDE22C"/>
    <w:rsid w:val="11DE717E"/>
    <w:rsid w:val="11E2C7B2"/>
    <w:rsid w:val="11E35F57"/>
    <w:rsid w:val="11E64942"/>
    <w:rsid w:val="11EB71E4"/>
    <w:rsid w:val="11EB7222"/>
    <w:rsid w:val="11EBA607"/>
    <w:rsid w:val="11F6EB08"/>
    <w:rsid w:val="11FBBCEF"/>
    <w:rsid w:val="11FE98C7"/>
    <w:rsid w:val="11FEA662"/>
    <w:rsid w:val="11FF63E1"/>
    <w:rsid w:val="12089022"/>
    <w:rsid w:val="120A6E03"/>
    <w:rsid w:val="120F8F72"/>
    <w:rsid w:val="120FE5E1"/>
    <w:rsid w:val="1210A422"/>
    <w:rsid w:val="1219F6D7"/>
    <w:rsid w:val="121F7782"/>
    <w:rsid w:val="12237AEE"/>
    <w:rsid w:val="1226B62F"/>
    <w:rsid w:val="1229C987"/>
    <w:rsid w:val="122F806B"/>
    <w:rsid w:val="123093C8"/>
    <w:rsid w:val="12309A44"/>
    <w:rsid w:val="1232390D"/>
    <w:rsid w:val="12333ED2"/>
    <w:rsid w:val="12346C0C"/>
    <w:rsid w:val="1238F4C3"/>
    <w:rsid w:val="1241594B"/>
    <w:rsid w:val="12442830"/>
    <w:rsid w:val="124A43E9"/>
    <w:rsid w:val="124D9913"/>
    <w:rsid w:val="1251F9C9"/>
    <w:rsid w:val="1252F668"/>
    <w:rsid w:val="1257D57F"/>
    <w:rsid w:val="125A4262"/>
    <w:rsid w:val="12620AD7"/>
    <w:rsid w:val="1265A683"/>
    <w:rsid w:val="1268C4F9"/>
    <w:rsid w:val="12697139"/>
    <w:rsid w:val="126E5CC2"/>
    <w:rsid w:val="126FFB9C"/>
    <w:rsid w:val="1271C83D"/>
    <w:rsid w:val="1271DB49"/>
    <w:rsid w:val="1276B494"/>
    <w:rsid w:val="12790A88"/>
    <w:rsid w:val="127E3F85"/>
    <w:rsid w:val="128714E7"/>
    <w:rsid w:val="1289FCA5"/>
    <w:rsid w:val="128D91B2"/>
    <w:rsid w:val="128F31E3"/>
    <w:rsid w:val="1290C9A8"/>
    <w:rsid w:val="1292B348"/>
    <w:rsid w:val="129F1A38"/>
    <w:rsid w:val="12A97A28"/>
    <w:rsid w:val="12B3E26B"/>
    <w:rsid w:val="12BC05A5"/>
    <w:rsid w:val="12BF1211"/>
    <w:rsid w:val="12C1DFD1"/>
    <w:rsid w:val="12C86EB9"/>
    <w:rsid w:val="12D2108B"/>
    <w:rsid w:val="12D7B593"/>
    <w:rsid w:val="12E176A3"/>
    <w:rsid w:val="12E4726A"/>
    <w:rsid w:val="12F41110"/>
    <w:rsid w:val="12F80C82"/>
    <w:rsid w:val="12F9A95C"/>
    <w:rsid w:val="13012E50"/>
    <w:rsid w:val="130A66A3"/>
    <w:rsid w:val="130E6CC8"/>
    <w:rsid w:val="13110485"/>
    <w:rsid w:val="13131559"/>
    <w:rsid w:val="1318ECC7"/>
    <w:rsid w:val="131DAA99"/>
    <w:rsid w:val="131DCEC9"/>
    <w:rsid w:val="13209F2B"/>
    <w:rsid w:val="132656D5"/>
    <w:rsid w:val="132C969B"/>
    <w:rsid w:val="13303890"/>
    <w:rsid w:val="1331AF81"/>
    <w:rsid w:val="1336A7E0"/>
    <w:rsid w:val="133B9158"/>
    <w:rsid w:val="1343FEE3"/>
    <w:rsid w:val="1346E9C7"/>
    <w:rsid w:val="13475053"/>
    <w:rsid w:val="134AFDA3"/>
    <w:rsid w:val="13527875"/>
    <w:rsid w:val="1355BD31"/>
    <w:rsid w:val="135D08EF"/>
    <w:rsid w:val="135E09AF"/>
    <w:rsid w:val="13636D7E"/>
    <w:rsid w:val="13643E9F"/>
    <w:rsid w:val="1365961A"/>
    <w:rsid w:val="1372A2D0"/>
    <w:rsid w:val="1380CE2C"/>
    <w:rsid w:val="13831D14"/>
    <w:rsid w:val="1386CBFB"/>
    <w:rsid w:val="138C80BF"/>
    <w:rsid w:val="1393ED6F"/>
    <w:rsid w:val="13979CC3"/>
    <w:rsid w:val="13A02EE5"/>
    <w:rsid w:val="13A8D0C7"/>
    <w:rsid w:val="13B89AB0"/>
    <w:rsid w:val="13BDF5BD"/>
    <w:rsid w:val="13C18F67"/>
    <w:rsid w:val="13C1E4C6"/>
    <w:rsid w:val="13C3B788"/>
    <w:rsid w:val="13C77DA9"/>
    <w:rsid w:val="13D6FCAD"/>
    <w:rsid w:val="13DD29AC"/>
    <w:rsid w:val="13E0A4E1"/>
    <w:rsid w:val="13E721F1"/>
    <w:rsid w:val="13F3CFA1"/>
    <w:rsid w:val="13F4CAAF"/>
    <w:rsid w:val="13FCA85D"/>
    <w:rsid w:val="14068CB8"/>
    <w:rsid w:val="14086A5D"/>
    <w:rsid w:val="140970E7"/>
    <w:rsid w:val="140C4C1E"/>
    <w:rsid w:val="140D9529"/>
    <w:rsid w:val="140FBC23"/>
    <w:rsid w:val="1429949E"/>
    <w:rsid w:val="14336269"/>
    <w:rsid w:val="143E7F86"/>
    <w:rsid w:val="144440AE"/>
    <w:rsid w:val="14553331"/>
    <w:rsid w:val="1455ACC9"/>
    <w:rsid w:val="1462998D"/>
    <w:rsid w:val="146A657D"/>
    <w:rsid w:val="146B2A48"/>
    <w:rsid w:val="146C655F"/>
    <w:rsid w:val="146DF72D"/>
    <w:rsid w:val="14747AAF"/>
    <w:rsid w:val="147C9A0B"/>
    <w:rsid w:val="14853173"/>
    <w:rsid w:val="148D0B3D"/>
    <w:rsid w:val="148E1BDC"/>
    <w:rsid w:val="149181DA"/>
    <w:rsid w:val="1491F5BF"/>
    <w:rsid w:val="14946F1B"/>
    <w:rsid w:val="149882B4"/>
    <w:rsid w:val="14B74AE8"/>
    <w:rsid w:val="14BB6CCC"/>
    <w:rsid w:val="14BBBE3B"/>
    <w:rsid w:val="14BD8D34"/>
    <w:rsid w:val="14CA4BA8"/>
    <w:rsid w:val="14CC0EE1"/>
    <w:rsid w:val="14DA28DA"/>
    <w:rsid w:val="14E21892"/>
    <w:rsid w:val="14E407A3"/>
    <w:rsid w:val="14E4352F"/>
    <w:rsid w:val="14E57B0F"/>
    <w:rsid w:val="14E7F2DA"/>
    <w:rsid w:val="14EF6BF3"/>
    <w:rsid w:val="14F2CA5C"/>
    <w:rsid w:val="14F562AF"/>
    <w:rsid w:val="14FB34F5"/>
    <w:rsid w:val="14FBF4CB"/>
    <w:rsid w:val="14FE00D6"/>
    <w:rsid w:val="15094759"/>
    <w:rsid w:val="150E8464"/>
    <w:rsid w:val="151AC6BA"/>
    <w:rsid w:val="1520A26B"/>
    <w:rsid w:val="152D814C"/>
    <w:rsid w:val="152E6E65"/>
    <w:rsid w:val="1530C661"/>
    <w:rsid w:val="1534F213"/>
    <w:rsid w:val="1537B8E9"/>
    <w:rsid w:val="15388BB2"/>
    <w:rsid w:val="1539C80E"/>
    <w:rsid w:val="153BCD2C"/>
    <w:rsid w:val="153EE124"/>
    <w:rsid w:val="153F2F1C"/>
    <w:rsid w:val="154410B6"/>
    <w:rsid w:val="154557BA"/>
    <w:rsid w:val="15464182"/>
    <w:rsid w:val="1546EC39"/>
    <w:rsid w:val="154E9A03"/>
    <w:rsid w:val="155162DE"/>
    <w:rsid w:val="1552836D"/>
    <w:rsid w:val="155A0B51"/>
    <w:rsid w:val="155FCCCD"/>
    <w:rsid w:val="15633597"/>
    <w:rsid w:val="156E9130"/>
    <w:rsid w:val="15708A95"/>
    <w:rsid w:val="157286D1"/>
    <w:rsid w:val="1574570B"/>
    <w:rsid w:val="157E1741"/>
    <w:rsid w:val="1585D078"/>
    <w:rsid w:val="1588F679"/>
    <w:rsid w:val="158A1DD7"/>
    <w:rsid w:val="158A4EA9"/>
    <w:rsid w:val="15918711"/>
    <w:rsid w:val="15918A10"/>
    <w:rsid w:val="159EF8C5"/>
    <w:rsid w:val="15A1548D"/>
    <w:rsid w:val="15A22363"/>
    <w:rsid w:val="15A309AD"/>
    <w:rsid w:val="15B0A8AE"/>
    <w:rsid w:val="15B28680"/>
    <w:rsid w:val="15B54340"/>
    <w:rsid w:val="15C3EA07"/>
    <w:rsid w:val="15C82AF1"/>
    <w:rsid w:val="15C9064A"/>
    <w:rsid w:val="15C99350"/>
    <w:rsid w:val="15CED8AA"/>
    <w:rsid w:val="15CF9831"/>
    <w:rsid w:val="15DB70F5"/>
    <w:rsid w:val="15DD139B"/>
    <w:rsid w:val="15DFFE4A"/>
    <w:rsid w:val="15E05DF4"/>
    <w:rsid w:val="15F0E892"/>
    <w:rsid w:val="15F1A820"/>
    <w:rsid w:val="15F2A10D"/>
    <w:rsid w:val="15F33518"/>
    <w:rsid w:val="15F4EA3E"/>
    <w:rsid w:val="15F793E8"/>
    <w:rsid w:val="15FFF102"/>
    <w:rsid w:val="160939BF"/>
    <w:rsid w:val="160D32A7"/>
    <w:rsid w:val="1610127C"/>
    <w:rsid w:val="16131E7D"/>
    <w:rsid w:val="161EEE41"/>
    <w:rsid w:val="162193F1"/>
    <w:rsid w:val="162849B8"/>
    <w:rsid w:val="1633BDFB"/>
    <w:rsid w:val="16442194"/>
    <w:rsid w:val="164BFF6F"/>
    <w:rsid w:val="164E28B0"/>
    <w:rsid w:val="16588BEF"/>
    <w:rsid w:val="165EB868"/>
    <w:rsid w:val="166152B6"/>
    <w:rsid w:val="1665D745"/>
    <w:rsid w:val="16673D0E"/>
    <w:rsid w:val="16689788"/>
    <w:rsid w:val="16785F66"/>
    <w:rsid w:val="1678D44E"/>
    <w:rsid w:val="167F23E6"/>
    <w:rsid w:val="168296CA"/>
    <w:rsid w:val="168449C8"/>
    <w:rsid w:val="168806D2"/>
    <w:rsid w:val="1688D9EA"/>
    <w:rsid w:val="168D34E0"/>
    <w:rsid w:val="168D81C1"/>
    <w:rsid w:val="168E5C84"/>
    <w:rsid w:val="1690B031"/>
    <w:rsid w:val="16AA54C5"/>
    <w:rsid w:val="16AC13D3"/>
    <w:rsid w:val="16AFADBA"/>
    <w:rsid w:val="16BE4C8A"/>
    <w:rsid w:val="16C36A18"/>
    <w:rsid w:val="16D170FE"/>
    <w:rsid w:val="16D7C780"/>
    <w:rsid w:val="16DD4991"/>
    <w:rsid w:val="16E34AF0"/>
    <w:rsid w:val="16F12DE0"/>
    <w:rsid w:val="16F1CF13"/>
    <w:rsid w:val="16F33A22"/>
    <w:rsid w:val="16F43F85"/>
    <w:rsid w:val="16F8754D"/>
    <w:rsid w:val="16F9E9F6"/>
    <w:rsid w:val="16FBE4D8"/>
    <w:rsid w:val="16FF1EF8"/>
    <w:rsid w:val="1702704B"/>
    <w:rsid w:val="1705464F"/>
    <w:rsid w:val="170DB40B"/>
    <w:rsid w:val="170E6E2C"/>
    <w:rsid w:val="171036C0"/>
    <w:rsid w:val="1717BE64"/>
    <w:rsid w:val="171C2C5F"/>
    <w:rsid w:val="171D4EF1"/>
    <w:rsid w:val="171E0478"/>
    <w:rsid w:val="1728A83A"/>
    <w:rsid w:val="172B671C"/>
    <w:rsid w:val="172C5EE9"/>
    <w:rsid w:val="1730B132"/>
    <w:rsid w:val="173B0886"/>
    <w:rsid w:val="1740F811"/>
    <w:rsid w:val="1748B379"/>
    <w:rsid w:val="174A6F55"/>
    <w:rsid w:val="174B05C6"/>
    <w:rsid w:val="174CACF6"/>
    <w:rsid w:val="174CAE56"/>
    <w:rsid w:val="174DEC73"/>
    <w:rsid w:val="175007EE"/>
    <w:rsid w:val="175608C0"/>
    <w:rsid w:val="175FE059"/>
    <w:rsid w:val="176F0F1B"/>
    <w:rsid w:val="177041B5"/>
    <w:rsid w:val="17708040"/>
    <w:rsid w:val="1775C656"/>
    <w:rsid w:val="178FFCB5"/>
    <w:rsid w:val="17908C62"/>
    <w:rsid w:val="1790F99A"/>
    <w:rsid w:val="17A415CE"/>
    <w:rsid w:val="17A57DDF"/>
    <w:rsid w:val="17AA9585"/>
    <w:rsid w:val="17AAD103"/>
    <w:rsid w:val="17B5E353"/>
    <w:rsid w:val="17B818FA"/>
    <w:rsid w:val="17B93D52"/>
    <w:rsid w:val="17B97229"/>
    <w:rsid w:val="17C1E1AE"/>
    <w:rsid w:val="17D13E32"/>
    <w:rsid w:val="17D4A37A"/>
    <w:rsid w:val="17D585A4"/>
    <w:rsid w:val="17D5C63D"/>
    <w:rsid w:val="17E20D26"/>
    <w:rsid w:val="17E99D8E"/>
    <w:rsid w:val="17F8C68E"/>
    <w:rsid w:val="17FD3099"/>
    <w:rsid w:val="17FED6D3"/>
    <w:rsid w:val="18012B0D"/>
    <w:rsid w:val="18066112"/>
    <w:rsid w:val="18072C01"/>
    <w:rsid w:val="180A307C"/>
    <w:rsid w:val="180AD4CD"/>
    <w:rsid w:val="1811C170"/>
    <w:rsid w:val="181B6BDE"/>
    <w:rsid w:val="182BDC41"/>
    <w:rsid w:val="1830C812"/>
    <w:rsid w:val="18317C59"/>
    <w:rsid w:val="183D7140"/>
    <w:rsid w:val="183EBAF4"/>
    <w:rsid w:val="18473AA9"/>
    <w:rsid w:val="18499006"/>
    <w:rsid w:val="184BEADB"/>
    <w:rsid w:val="184D475E"/>
    <w:rsid w:val="18574343"/>
    <w:rsid w:val="185D5CFE"/>
    <w:rsid w:val="186DD368"/>
    <w:rsid w:val="186E5E4F"/>
    <w:rsid w:val="187211AA"/>
    <w:rsid w:val="18791591"/>
    <w:rsid w:val="187A4AFA"/>
    <w:rsid w:val="18804E9C"/>
    <w:rsid w:val="18845F70"/>
    <w:rsid w:val="189B01D7"/>
    <w:rsid w:val="189ECA5E"/>
    <w:rsid w:val="18AA2793"/>
    <w:rsid w:val="18ABD291"/>
    <w:rsid w:val="18ABE0F5"/>
    <w:rsid w:val="18ADA848"/>
    <w:rsid w:val="18AE8005"/>
    <w:rsid w:val="18B544E4"/>
    <w:rsid w:val="18BFB47F"/>
    <w:rsid w:val="18D4EFB3"/>
    <w:rsid w:val="18D7D60E"/>
    <w:rsid w:val="18DD8506"/>
    <w:rsid w:val="18DF22E5"/>
    <w:rsid w:val="18E459AB"/>
    <w:rsid w:val="18E6EB9F"/>
    <w:rsid w:val="18E70888"/>
    <w:rsid w:val="18E8F393"/>
    <w:rsid w:val="18EF9853"/>
    <w:rsid w:val="18F1F481"/>
    <w:rsid w:val="18FA415F"/>
    <w:rsid w:val="18FF8710"/>
    <w:rsid w:val="1904715A"/>
    <w:rsid w:val="1913082A"/>
    <w:rsid w:val="1915A63B"/>
    <w:rsid w:val="1917C020"/>
    <w:rsid w:val="1917C31B"/>
    <w:rsid w:val="191C4E80"/>
    <w:rsid w:val="191F9F6A"/>
    <w:rsid w:val="1920CF04"/>
    <w:rsid w:val="1922CDBC"/>
    <w:rsid w:val="1922DEB7"/>
    <w:rsid w:val="1929B802"/>
    <w:rsid w:val="192EB3F0"/>
    <w:rsid w:val="193C66A3"/>
    <w:rsid w:val="193CB023"/>
    <w:rsid w:val="1948CE45"/>
    <w:rsid w:val="194CB878"/>
    <w:rsid w:val="194E518A"/>
    <w:rsid w:val="1950DE2B"/>
    <w:rsid w:val="19548F55"/>
    <w:rsid w:val="195499E5"/>
    <w:rsid w:val="195EEAED"/>
    <w:rsid w:val="19632EC1"/>
    <w:rsid w:val="19699210"/>
    <w:rsid w:val="19699E15"/>
    <w:rsid w:val="197175DB"/>
    <w:rsid w:val="197580CC"/>
    <w:rsid w:val="197BF2E5"/>
    <w:rsid w:val="1988E22E"/>
    <w:rsid w:val="198AC9A3"/>
    <w:rsid w:val="1995BC78"/>
    <w:rsid w:val="199639A3"/>
    <w:rsid w:val="199A1D91"/>
    <w:rsid w:val="199ABD42"/>
    <w:rsid w:val="19A2FF1A"/>
    <w:rsid w:val="19A5A874"/>
    <w:rsid w:val="19ACDC44"/>
    <w:rsid w:val="19AE7E87"/>
    <w:rsid w:val="19B10AE8"/>
    <w:rsid w:val="19BA3153"/>
    <w:rsid w:val="19C33727"/>
    <w:rsid w:val="19C3B221"/>
    <w:rsid w:val="19C6BF95"/>
    <w:rsid w:val="19CCF266"/>
    <w:rsid w:val="19CDB337"/>
    <w:rsid w:val="19CFC11C"/>
    <w:rsid w:val="19DBB70A"/>
    <w:rsid w:val="19DFACE5"/>
    <w:rsid w:val="19E05491"/>
    <w:rsid w:val="19E8D5C2"/>
    <w:rsid w:val="19EA337A"/>
    <w:rsid w:val="19EEE9C6"/>
    <w:rsid w:val="19F08A96"/>
    <w:rsid w:val="19F13C0C"/>
    <w:rsid w:val="19FE4C2E"/>
    <w:rsid w:val="1A03612E"/>
    <w:rsid w:val="1A058F0A"/>
    <w:rsid w:val="1A0B619B"/>
    <w:rsid w:val="1A0CF36A"/>
    <w:rsid w:val="1A0E54D2"/>
    <w:rsid w:val="1A0EA55B"/>
    <w:rsid w:val="1A0F6842"/>
    <w:rsid w:val="1A10DEE0"/>
    <w:rsid w:val="1A1742ED"/>
    <w:rsid w:val="1A180A94"/>
    <w:rsid w:val="1A1A2263"/>
    <w:rsid w:val="1A1B52EC"/>
    <w:rsid w:val="1A1ED350"/>
    <w:rsid w:val="1A263D53"/>
    <w:rsid w:val="1A2697E8"/>
    <w:rsid w:val="1A297B4F"/>
    <w:rsid w:val="1A2D3A6D"/>
    <w:rsid w:val="1A2EF240"/>
    <w:rsid w:val="1A32BACA"/>
    <w:rsid w:val="1A349995"/>
    <w:rsid w:val="1A3BD2D3"/>
    <w:rsid w:val="1A3E66F9"/>
    <w:rsid w:val="1A3F1BC9"/>
    <w:rsid w:val="1A459DB5"/>
    <w:rsid w:val="1A46E360"/>
    <w:rsid w:val="1A4D07AA"/>
    <w:rsid w:val="1A4D962B"/>
    <w:rsid w:val="1A4E6F7E"/>
    <w:rsid w:val="1A4FDCCE"/>
    <w:rsid w:val="1A53609E"/>
    <w:rsid w:val="1A5445B5"/>
    <w:rsid w:val="1A55AA4A"/>
    <w:rsid w:val="1A5843FB"/>
    <w:rsid w:val="1A5EA405"/>
    <w:rsid w:val="1A6197A3"/>
    <w:rsid w:val="1A646226"/>
    <w:rsid w:val="1A682971"/>
    <w:rsid w:val="1A6EA99C"/>
    <w:rsid w:val="1A6F691A"/>
    <w:rsid w:val="1A704E15"/>
    <w:rsid w:val="1A7537EC"/>
    <w:rsid w:val="1A78E9F5"/>
    <w:rsid w:val="1A8090D7"/>
    <w:rsid w:val="1A9FE271"/>
    <w:rsid w:val="1AA5F602"/>
    <w:rsid w:val="1AB62848"/>
    <w:rsid w:val="1AB971B8"/>
    <w:rsid w:val="1ABA232C"/>
    <w:rsid w:val="1ABA2EDB"/>
    <w:rsid w:val="1ABE8C24"/>
    <w:rsid w:val="1AC4B3B2"/>
    <w:rsid w:val="1AC79897"/>
    <w:rsid w:val="1AC8620B"/>
    <w:rsid w:val="1ACB01D2"/>
    <w:rsid w:val="1ACDDA2D"/>
    <w:rsid w:val="1ACF76E6"/>
    <w:rsid w:val="1ACFE3D4"/>
    <w:rsid w:val="1AEB2635"/>
    <w:rsid w:val="1AEBD743"/>
    <w:rsid w:val="1AEC18EF"/>
    <w:rsid w:val="1AEEA0BA"/>
    <w:rsid w:val="1AFA8B1D"/>
    <w:rsid w:val="1AFF541F"/>
    <w:rsid w:val="1B005C47"/>
    <w:rsid w:val="1B0082C6"/>
    <w:rsid w:val="1B054BED"/>
    <w:rsid w:val="1B10D35D"/>
    <w:rsid w:val="1B18B9B6"/>
    <w:rsid w:val="1B1DFCA7"/>
    <w:rsid w:val="1B22AF5F"/>
    <w:rsid w:val="1B256663"/>
    <w:rsid w:val="1B282C93"/>
    <w:rsid w:val="1B2AD869"/>
    <w:rsid w:val="1B3EC1EB"/>
    <w:rsid w:val="1B408254"/>
    <w:rsid w:val="1B4C4340"/>
    <w:rsid w:val="1B4CE581"/>
    <w:rsid w:val="1B583093"/>
    <w:rsid w:val="1B5FC72E"/>
    <w:rsid w:val="1B70660F"/>
    <w:rsid w:val="1B8065D5"/>
    <w:rsid w:val="1B838502"/>
    <w:rsid w:val="1B86C291"/>
    <w:rsid w:val="1B8C7F27"/>
    <w:rsid w:val="1B8D1B85"/>
    <w:rsid w:val="1B8D7363"/>
    <w:rsid w:val="1B963EA0"/>
    <w:rsid w:val="1BA85375"/>
    <w:rsid w:val="1BAFC24C"/>
    <w:rsid w:val="1BB7D116"/>
    <w:rsid w:val="1BBF655D"/>
    <w:rsid w:val="1BC0DDD9"/>
    <w:rsid w:val="1BCCA166"/>
    <w:rsid w:val="1BD38F1F"/>
    <w:rsid w:val="1BD8B772"/>
    <w:rsid w:val="1BDB6B58"/>
    <w:rsid w:val="1BDBB74B"/>
    <w:rsid w:val="1BE03B80"/>
    <w:rsid w:val="1BE0B8F8"/>
    <w:rsid w:val="1BE7CEA5"/>
    <w:rsid w:val="1BF21D4C"/>
    <w:rsid w:val="1BF31FFA"/>
    <w:rsid w:val="1C06058A"/>
    <w:rsid w:val="1C072087"/>
    <w:rsid w:val="1C245D71"/>
    <w:rsid w:val="1C26D10D"/>
    <w:rsid w:val="1C323F6F"/>
    <w:rsid w:val="1C4387E0"/>
    <w:rsid w:val="1C45F22D"/>
    <w:rsid w:val="1C519B10"/>
    <w:rsid w:val="1C58E243"/>
    <w:rsid w:val="1C625548"/>
    <w:rsid w:val="1C6A1E93"/>
    <w:rsid w:val="1C6DEB14"/>
    <w:rsid w:val="1C6FDB8F"/>
    <w:rsid w:val="1C70C465"/>
    <w:rsid w:val="1C76B890"/>
    <w:rsid w:val="1C7BE2DD"/>
    <w:rsid w:val="1C84E67A"/>
    <w:rsid w:val="1C86F696"/>
    <w:rsid w:val="1C884BFE"/>
    <w:rsid w:val="1C8BD2B9"/>
    <w:rsid w:val="1C8BEB92"/>
    <w:rsid w:val="1C8C7108"/>
    <w:rsid w:val="1C971394"/>
    <w:rsid w:val="1C9927F2"/>
    <w:rsid w:val="1CA06636"/>
    <w:rsid w:val="1CA0B8EF"/>
    <w:rsid w:val="1CA2033D"/>
    <w:rsid w:val="1CAD1DCA"/>
    <w:rsid w:val="1CAD671D"/>
    <w:rsid w:val="1CB1B7AE"/>
    <w:rsid w:val="1CB649C5"/>
    <w:rsid w:val="1CB70BDD"/>
    <w:rsid w:val="1CB746AE"/>
    <w:rsid w:val="1CC1DEED"/>
    <w:rsid w:val="1CC3C698"/>
    <w:rsid w:val="1CC6F263"/>
    <w:rsid w:val="1CCBAE56"/>
    <w:rsid w:val="1CDD8D38"/>
    <w:rsid w:val="1CEB0969"/>
    <w:rsid w:val="1CF604C1"/>
    <w:rsid w:val="1CFD6E62"/>
    <w:rsid w:val="1D00678D"/>
    <w:rsid w:val="1D035666"/>
    <w:rsid w:val="1D08B054"/>
    <w:rsid w:val="1D16E860"/>
    <w:rsid w:val="1D1D5B2A"/>
    <w:rsid w:val="1D237D03"/>
    <w:rsid w:val="1D23A31B"/>
    <w:rsid w:val="1D242D1D"/>
    <w:rsid w:val="1D29A6EB"/>
    <w:rsid w:val="1D2BDB5D"/>
    <w:rsid w:val="1D388348"/>
    <w:rsid w:val="1D3DFFD8"/>
    <w:rsid w:val="1D4DF48C"/>
    <w:rsid w:val="1D51E090"/>
    <w:rsid w:val="1D59D6EC"/>
    <w:rsid w:val="1D5A46F1"/>
    <w:rsid w:val="1D711DBA"/>
    <w:rsid w:val="1D727435"/>
    <w:rsid w:val="1D77D79D"/>
    <w:rsid w:val="1D7B538C"/>
    <w:rsid w:val="1D80D53A"/>
    <w:rsid w:val="1D83184E"/>
    <w:rsid w:val="1D8DB883"/>
    <w:rsid w:val="1D8E3FBC"/>
    <w:rsid w:val="1D93DA8A"/>
    <w:rsid w:val="1D969E0E"/>
    <w:rsid w:val="1DA5CEA0"/>
    <w:rsid w:val="1DA7D4ED"/>
    <w:rsid w:val="1DABA6F6"/>
    <w:rsid w:val="1DAED0EC"/>
    <w:rsid w:val="1DB1118C"/>
    <w:rsid w:val="1DB16914"/>
    <w:rsid w:val="1DB6477A"/>
    <w:rsid w:val="1DBAC2E2"/>
    <w:rsid w:val="1DC666F5"/>
    <w:rsid w:val="1DC74D46"/>
    <w:rsid w:val="1DCCA446"/>
    <w:rsid w:val="1DD3D14E"/>
    <w:rsid w:val="1DD7FA98"/>
    <w:rsid w:val="1DE34454"/>
    <w:rsid w:val="1DE66152"/>
    <w:rsid w:val="1DE71C52"/>
    <w:rsid w:val="1DF344CC"/>
    <w:rsid w:val="1DF68765"/>
    <w:rsid w:val="1DFD48F8"/>
    <w:rsid w:val="1DFE3B10"/>
    <w:rsid w:val="1E028903"/>
    <w:rsid w:val="1E06969E"/>
    <w:rsid w:val="1E1CE0AF"/>
    <w:rsid w:val="1E20F43C"/>
    <w:rsid w:val="1E24C94F"/>
    <w:rsid w:val="1E24F934"/>
    <w:rsid w:val="1E2FAF83"/>
    <w:rsid w:val="1E326C34"/>
    <w:rsid w:val="1E3EE2C8"/>
    <w:rsid w:val="1E416A0B"/>
    <w:rsid w:val="1E54AB6B"/>
    <w:rsid w:val="1E57C7E3"/>
    <w:rsid w:val="1E64C36D"/>
    <w:rsid w:val="1E6ECD2F"/>
    <w:rsid w:val="1E752F40"/>
    <w:rsid w:val="1E769B12"/>
    <w:rsid w:val="1E7828E3"/>
    <w:rsid w:val="1E7CC726"/>
    <w:rsid w:val="1E8192FB"/>
    <w:rsid w:val="1E8208E2"/>
    <w:rsid w:val="1E836BB8"/>
    <w:rsid w:val="1E84FAE3"/>
    <w:rsid w:val="1E8BA125"/>
    <w:rsid w:val="1E8BC6A8"/>
    <w:rsid w:val="1E90AA29"/>
    <w:rsid w:val="1E9118A2"/>
    <w:rsid w:val="1E958E44"/>
    <w:rsid w:val="1EB87531"/>
    <w:rsid w:val="1EC11113"/>
    <w:rsid w:val="1EC2A818"/>
    <w:rsid w:val="1EC32F2E"/>
    <w:rsid w:val="1ECA0F5C"/>
    <w:rsid w:val="1ECAA0A5"/>
    <w:rsid w:val="1EDCFFF3"/>
    <w:rsid w:val="1EDFF684"/>
    <w:rsid w:val="1EE061D5"/>
    <w:rsid w:val="1EE11CE2"/>
    <w:rsid w:val="1EE82EDD"/>
    <w:rsid w:val="1EED3126"/>
    <w:rsid w:val="1EFA9326"/>
    <w:rsid w:val="1EFFBC7B"/>
    <w:rsid w:val="1F0809F5"/>
    <w:rsid w:val="1F0FCABD"/>
    <w:rsid w:val="1F11140C"/>
    <w:rsid w:val="1F16D05C"/>
    <w:rsid w:val="1F23026A"/>
    <w:rsid w:val="1F30F463"/>
    <w:rsid w:val="1F33AC95"/>
    <w:rsid w:val="1F36FF97"/>
    <w:rsid w:val="1F40F5FD"/>
    <w:rsid w:val="1F4360DF"/>
    <w:rsid w:val="1F4568EA"/>
    <w:rsid w:val="1F47B9B9"/>
    <w:rsid w:val="1F4A8B90"/>
    <w:rsid w:val="1F4E12AD"/>
    <w:rsid w:val="1F5074B9"/>
    <w:rsid w:val="1F519BF0"/>
    <w:rsid w:val="1F5B6195"/>
    <w:rsid w:val="1F5DE8A9"/>
    <w:rsid w:val="1F62EE0B"/>
    <w:rsid w:val="1F646C16"/>
    <w:rsid w:val="1F6FD111"/>
    <w:rsid w:val="1F75BCBD"/>
    <w:rsid w:val="1F77F220"/>
    <w:rsid w:val="1F7C0AD9"/>
    <w:rsid w:val="1F7C28F9"/>
    <w:rsid w:val="1F804F68"/>
    <w:rsid w:val="1F83176A"/>
    <w:rsid w:val="1F8649F0"/>
    <w:rsid w:val="1F8A7563"/>
    <w:rsid w:val="1F928A97"/>
    <w:rsid w:val="1F9E7002"/>
    <w:rsid w:val="1F9F2783"/>
    <w:rsid w:val="1F9F64F8"/>
    <w:rsid w:val="1FA10719"/>
    <w:rsid w:val="1FA5FB15"/>
    <w:rsid w:val="1FA9B0CA"/>
    <w:rsid w:val="1FAE3D1F"/>
    <w:rsid w:val="1FB4E2EC"/>
    <w:rsid w:val="1FB61C2F"/>
    <w:rsid w:val="1FBC9591"/>
    <w:rsid w:val="1FBD766E"/>
    <w:rsid w:val="1FCDBABA"/>
    <w:rsid w:val="1FD2C8C3"/>
    <w:rsid w:val="1FD3CFC8"/>
    <w:rsid w:val="1FD5B8D6"/>
    <w:rsid w:val="1FE92397"/>
    <w:rsid w:val="1FEAF204"/>
    <w:rsid w:val="1FF0E409"/>
    <w:rsid w:val="1FF1D9F0"/>
    <w:rsid w:val="1FF962EE"/>
    <w:rsid w:val="1FFA5740"/>
    <w:rsid w:val="20019F1E"/>
    <w:rsid w:val="200E4BC5"/>
    <w:rsid w:val="200F575C"/>
    <w:rsid w:val="20147072"/>
    <w:rsid w:val="20187A34"/>
    <w:rsid w:val="201DE42C"/>
    <w:rsid w:val="20258A3F"/>
    <w:rsid w:val="2030030F"/>
    <w:rsid w:val="203DAA83"/>
    <w:rsid w:val="204382E6"/>
    <w:rsid w:val="20491F55"/>
    <w:rsid w:val="204CA4A0"/>
    <w:rsid w:val="205219B1"/>
    <w:rsid w:val="20583CA7"/>
    <w:rsid w:val="205FC379"/>
    <w:rsid w:val="2060271C"/>
    <w:rsid w:val="206D865A"/>
    <w:rsid w:val="20719F4F"/>
    <w:rsid w:val="208A0919"/>
    <w:rsid w:val="20977FCB"/>
    <w:rsid w:val="209DB36C"/>
    <w:rsid w:val="20A0445B"/>
    <w:rsid w:val="20A0E347"/>
    <w:rsid w:val="20A3EC93"/>
    <w:rsid w:val="20A66F80"/>
    <w:rsid w:val="20A71AD2"/>
    <w:rsid w:val="20B40199"/>
    <w:rsid w:val="20BE0648"/>
    <w:rsid w:val="20C3D6C1"/>
    <w:rsid w:val="20C457C4"/>
    <w:rsid w:val="20D0E163"/>
    <w:rsid w:val="20D23F98"/>
    <w:rsid w:val="20DDA152"/>
    <w:rsid w:val="20DF60EC"/>
    <w:rsid w:val="20ED1323"/>
    <w:rsid w:val="20F09FAF"/>
    <w:rsid w:val="20F9189B"/>
    <w:rsid w:val="2102C363"/>
    <w:rsid w:val="210EEF93"/>
    <w:rsid w:val="2124ACD9"/>
    <w:rsid w:val="213260B7"/>
    <w:rsid w:val="213655CC"/>
    <w:rsid w:val="21374787"/>
    <w:rsid w:val="213A0F3C"/>
    <w:rsid w:val="21442753"/>
    <w:rsid w:val="21495D3F"/>
    <w:rsid w:val="214A0D80"/>
    <w:rsid w:val="214E37EA"/>
    <w:rsid w:val="21571F37"/>
    <w:rsid w:val="2159C9C6"/>
    <w:rsid w:val="215B1A9D"/>
    <w:rsid w:val="215F01E9"/>
    <w:rsid w:val="21607073"/>
    <w:rsid w:val="2166AEB3"/>
    <w:rsid w:val="2167E4EC"/>
    <w:rsid w:val="216D8689"/>
    <w:rsid w:val="2173E65F"/>
    <w:rsid w:val="21757460"/>
    <w:rsid w:val="21757D89"/>
    <w:rsid w:val="2178B9F8"/>
    <w:rsid w:val="217C4038"/>
    <w:rsid w:val="217D71D1"/>
    <w:rsid w:val="2182E666"/>
    <w:rsid w:val="2183A21C"/>
    <w:rsid w:val="21858E02"/>
    <w:rsid w:val="218781E1"/>
    <w:rsid w:val="218C3AE7"/>
    <w:rsid w:val="218C86B1"/>
    <w:rsid w:val="2195DC55"/>
    <w:rsid w:val="219AC1DB"/>
    <w:rsid w:val="21A14B88"/>
    <w:rsid w:val="21A2E5C4"/>
    <w:rsid w:val="21A311E5"/>
    <w:rsid w:val="21C605BC"/>
    <w:rsid w:val="21D3DFA3"/>
    <w:rsid w:val="21D4E062"/>
    <w:rsid w:val="21E43BE8"/>
    <w:rsid w:val="21ECDC0C"/>
    <w:rsid w:val="21ED145C"/>
    <w:rsid w:val="21FDFA39"/>
    <w:rsid w:val="2200FF31"/>
    <w:rsid w:val="220659FB"/>
    <w:rsid w:val="220A7078"/>
    <w:rsid w:val="220BB516"/>
    <w:rsid w:val="220D9BC7"/>
    <w:rsid w:val="22163DFB"/>
    <w:rsid w:val="2216B7E0"/>
    <w:rsid w:val="22170DB0"/>
    <w:rsid w:val="22182FA7"/>
    <w:rsid w:val="221AA5B4"/>
    <w:rsid w:val="221D59E8"/>
    <w:rsid w:val="2222EF76"/>
    <w:rsid w:val="2229AAB2"/>
    <w:rsid w:val="222AB66B"/>
    <w:rsid w:val="2233002E"/>
    <w:rsid w:val="2248A010"/>
    <w:rsid w:val="22497543"/>
    <w:rsid w:val="224C0CA0"/>
    <w:rsid w:val="224E6AFC"/>
    <w:rsid w:val="225667F4"/>
    <w:rsid w:val="2258D780"/>
    <w:rsid w:val="225D39AE"/>
    <w:rsid w:val="225DB3DA"/>
    <w:rsid w:val="225EECE8"/>
    <w:rsid w:val="2262AACF"/>
    <w:rsid w:val="22650AE1"/>
    <w:rsid w:val="2266815D"/>
    <w:rsid w:val="2267230F"/>
    <w:rsid w:val="2269ACC3"/>
    <w:rsid w:val="226E4C94"/>
    <w:rsid w:val="2276280C"/>
    <w:rsid w:val="227F4C8A"/>
    <w:rsid w:val="22879DB0"/>
    <w:rsid w:val="228E5422"/>
    <w:rsid w:val="22952E02"/>
    <w:rsid w:val="22A29D3B"/>
    <w:rsid w:val="22A7800E"/>
    <w:rsid w:val="22A84356"/>
    <w:rsid w:val="22B17B86"/>
    <w:rsid w:val="22B8C320"/>
    <w:rsid w:val="22BAFD60"/>
    <w:rsid w:val="22BE8886"/>
    <w:rsid w:val="22C03CFF"/>
    <w:rsid w:val="22C69B65"/>
    <w:rsid w:val="22C6DB3F"/>
    <w:rsid w:val="22CA644A"/>
    <w:rsid w:val="22CC5184"/>
    <w:rsid w:val="22D4E2FE"/>
    <w:rsid w:val="22DCC534"/>
    <w:rsid w:val="22F59A27"/>
    <w:rsid w:val="22F5C437"/>
    <w:rsid w:val="22FA8F47"/>
    <w:rsid w:val="22FB6054"/>
    <w:rsid w:val="2303C56A"/>
    <w:rsid w:val="23077767"/>
    <w:rsid w:val="230A8C1D"/>
    <w:rsid w:val="2313CBEC"/>
    <w:rsid w:val="2314B1EE"/>
    <w:rsid w:val="23158607"/>
    <w:rsid w:val="23239C56"/>
    <w:rsid w:val="232AEA72"/>
    <w:rsid w:val="232D5C36"/>
    <w:rsid w:val="232E0C21"/>
    <w:rsid w:val="232E142E"/>
    <w:rsid w:val="2334EC4F"/>
    <w:rsid w:val="2342D731"/>
    <w:rsid w:val="23449B37"/>
    <w:rsid w:val="2348AA74"/>
    <w:rsid w:val="234B9DC1"/>
    <w:rsid w:val="235577F8"/>
    <w:rsid w:val="235D5DFA"/>
    <w:rsid w:val="235D8C03"/>
    <w:rsid w:val="2362C9D9"/>
    <w:rsid w:val="2366BF5F"/>
    <w:rsid w:val="236A3F50"/>
    <w:rsid w:val="236D5704"/>
    <w:rsid w:val="236D9EAB"/>
    <w:rsid w:val="2372E955"/>
    <w:rsid w:val="237A04F2"/>
    <w:rsid w:val="23849A61"/>
    <w:rsid w:val="2389CA8D"/>
    <w:rsid w:val="238E27EA"/>
    <w:rsid w:val="238E71C3"/>
    <w:rsid w:val="238F56B0"/>
    <w:rsid w:val="238FE1E8"/>
    <w:rsid w:val="23997D3F"/>
    <w:rsid w:val="2399C166"/>
    <w:rsid w:val="23A5BB82"/>
    <w:rsid w:val="23A6F463"/>
    <w:rsid w:val="23A73210"/>
    <w:rsid w:val="23A9C802"/>
    <w:rsid w:val="23B31701"/>
    <w:rsid w:val="23C1B056"/>
    <w:rsid w:val="23C3DF8B"/>
    <w:rsid w:val="23CA3E03"/>
    <w:rsid w:val="23D8538E"/>
    <w:rsid w:val="23E3787B"/>
    <w:rsid w:val="23E8005B"/>
    <w:rsid w:val="23E98A0D"/>
    <w:rsid w:val="23EA7806"/>
    <w:rsid w:val="23ED0B63"/>
    <w:rsid w:val="23F683FA"/>
    <w:rsid w:val="2405D793"/>
    <w:rsid w:val="2409BB4B"/>
    <w:rsid w:val="240B0061"/>
    <w:rsid w:val="24102605"/>
    <w:rsid w:val="2410755F"/>
    <w:rsid w:val="2416E632"/>
    <w:rsid w:val="242AC065"/>
    <w:rsid w:val="24331659"/>
    <w:rsid w:val="2435325F"/>
    <w:rsid w:val="243962DF"/>
    <w:rsid w:val="243A4542"/>
    <w:rsid w:val="244C558E"/>
    <w:rsid w:val="244C6CF7"/>
    <w:rsid w:val="244D3D8D"/>
    <w:rsid w:val="2454D980"/>
    <w:rsid w:val="2459E625"/>
    <w:rsid w:val="245E24F4"/>
    <w:rsid w:val="2461F8C2"/>
    <w:rsid w:val="2468A813"/>
    <w:rsid w:val="246AE940"/>
    <w:rsid w:val="24730AC4"/>
    <w:rsid w:val="247FECF8"/>
    <w:rsid w:val="24863EB6"/>
    <w:rsid w:val="24888996"/>
    <w:rsid w:val="248AF05C"/>
    <w:rsid w:val="248BC2B5"/>
    <w:rsid w:val="24903100"/>
    <w:rsid w:val="2498C42D"/>
    <w:rsid w:val="249ED4DF"/>
    <w:rsid w:val="249EFB6A"/>
    <w:rsid w:val="24A7FD51"/>
    <w:rsid w:val="24B613F7"/>
    <w:rsid w:val="24BC1F51"/>
    <w:rsid w:val="24C2DB55"/>
    <w:rsid w:val="24C4552C"/>
    <w:rsid w:val="24C7A10E"/>
    <w:rsid w:val="24E55698"/>
    <w:rsid w:val="24E91E01"/>
    <w:rsid w:val="24EA59F2"/>
    <w:rsid w:val="24ED923C"/>
    <w:rsid w:val="24EED58E"/>
    <w:rsid w:val="24F97FBE"/>
    <w:rsid w:val="25056AFA"/>
    <w:rsid w:val="25082F39"/>
    <w:rsid w:val="2508B65F"/>
    <w:rsid w:val="250AE1FA"/>
    <w:rsid w:val="25112009"/>
    <w:rsid w:val="2511B925"/>
    <w:rsid w:val="251401EC"/>
    <w:rsid w:val="2514A909"/>
    <w:rsid w:val="2514D752"/>
    <w:rsid w:val="251CE71A"/>
    <w:rsid w:val="251FF62C"/>
    <w:rsid w:val="2526C862"/>
    <w:rsid w:val="253A7AC5"/>
    <w:rsid w:val="253D6045"/>
    <w:rsid w:val="253E749D"/>
    <w:rsid w:val="2541AC6A"/>
    <w:rsid w:val="2544FB4D"/>
    <w:rsid w:val="2549B1CB"/>
    <w:rsid w:val="254C79A1"/>
    <w:rsid w:val="254CE457"/>
    <w:rsid w:val="2551842A"/>
    <w:rsid w:val="25526965"/>
    <w:rsid w:val="2555E2CC"/>
    <w:rsid w:val="2558C4A6"/>
    <w:rsid w:val="2559FC16"/>
    <w:rsid w:val="255AA623"/>
    <w:rsid w:val="255F989F"/>
    <w:rsid w:val="25650D14"/>
    <w:rsid w:val="25694987"/>
    <w:rsid w:val="256BD59B"/>
    <w:rsid w:val="256CFE72"/>
    <w:rsid w:val="25738C0C"/>
    <w:rsid w:val="25764A5E"/>
    <w:rsid w:val="2585B001"/>
    <w:rsid w:val="258C8BDF"/>
    <w:rsid w:val="258CEDE5"/>
    <w:rsid w:val="258DFCD0"/>
    <w:rsid w:val="259060C1"/>
    <w:rsid w:val="2593AD8C"/>
    <w:rsid w:val="2593D859"/>
    <w:rsid w:val="259475C9"/>
    <w:rsid w:val="25964616"/>
    <w:rsid w:val="259D2BEA"/>
    <w:rsid w:val="25AFE7DD"/>
    <w:rsid w:val="25B26CD5"/>
    <w:rsid w:val="25B8BA4A"/>
    <w:rsid w:val="25C19DDF"/>
    <w:rsid w:val="25CCFB71"/>
    <w:rsid w:val="25D186A5"/>
    <w:rsid w:val="25D7C03B"/>
    <w:rsid w:val="25D7E525"/>
    <w:rsid w:val="25DBBF05"/>
    <w:rsid w:val="25E0DE58"/>
    <w:rsid w:val="25E1798B"/>
    <w:rsid w:val="25E8994F"/>
    <w:rsid w:val="25EDE63D"/>
    <w:rsid w:val="260455C2"/>
    <w:rsid w:val="26068B81"/>
    <w:rsid w:val="2608250F"/>
    <w:rsid w:val="26083694"/>
    <w:rsid w:val="260A32C5"/>
    <w:rsid w:val="260C18F7"/>
    <w:rsid w:val="260E38E3"/>
    <w:rsid w:val="260F3994"/>
    <w:rsid w:val="2617EF6C"/>
    <w:rsid w:val="26260EA9"/>
    <w:rsid w:val="26308000"/>
    <w:rsid w:val="26342A56"/>
    <w:rsid w:val="263E7CBC"/>
    <w:rsid w:val="263F9993"/>
    <w:rsid w:val="2640914F"/>
    <w:rsid w:val="2641FCD8"/>
    <w:rsid w:val="26421EB0"/>
    <w:rsid w:val="26472042"/>
    <w:rsid w:val="26524339"/>
    <w:rsid w:val="265D5CF8"/>
    <w:rsid w:val="26677F17"/>
    <w:rsid w:val="26752AE7"/>
    <w:rsid w:val="2679927E"/>
    <w:rsid w:val="267E1F74"/>
    <w:rsid w:val="2681D05A"/>
    <w:rsid w:val="26832C65"/>
    <w:rsid w:val="2686A18B"/>
    <w:rsid w:val="26895B70"/>
    <w:rsid w:val="268EC0D6"/>
    <w:rsid w:val="26918BE0"/>
    <w:rsid w:val="2694A0C9"/>
    <w:rsid w:val="2696271E"/>
    <w:rsid w:val="269E6B0E"/>
    <w:rsid w:val="26A2CBAA"/>
    <w:rsid w:val="26A848FE"/>
    <w:rsid w:val="26AD7328"/>
    <w:rsid w:val="26B290EF"/>
    <w:rsid w:val="26B34A3A"/>
    <w:rsid w:val="26B5880E"/>
    <w:rsid w:val="26B80970"/>
    <w:rsid w:val="26BA5527"/>
    <w:rsid w:val="26BB19FB"/>
    <w:rsid w:val="26BBFBA7"/>
    <w:rsid w:val="26C3143F"/>
    <w:rsid w:val="26C41222"/>
    <w:rsid w:val="26CA9CF7"/>
    <w:rsid w:val="26CCE602"/>
    <w:rsid w:val="26DCE01F"/>
    <w:rsid w:val="26E244EC"/>
    <w:rsid w:val="26E7A05B"/>
    <w:rsid w:val="26E94E3A"/>
    <w:rsid w:val="26E95ACE"/>
    <w:rsid w:val="26EE39C6"/>
    <w:rsid w:val="26EEB41D"/>
    <w:rsid w:val="26EF1A3A"/>
    <w:rsid w:val="26EF331A"/>
    <w:rsid w:val="26FAB07C"/>
    <w:rsid w:val="26FAB14D"/>
    <w:rsid w:val="26FD1BD5"/>
    <w:rsid w:val="26FDC2E7"/>
    <w:rsid w:val="26FE66FD"/>
    <w:rsid w:val="26FFEFCD"/>
    <w:rsid w:val="27029485"/>
    <w:rsid w:val="270946E1"/>
    <w:rsid w:val="270D8F16"/>
    <w:rsid w:val="270E725E"/>
    <w:rsid w:val="270F213E"/>
    <w:rsid w:val="2711DC2A"/>
    <w:rsid w:val="27146074"/>
    <w:rsid w:val="2719DA06"/>
    <w:rsid w:val="2719DAE7"/>
    <w:rsid w:val="271F911B"/>
    <w:rsid w:val="27223440"/>
    <w:rsid w:val="2727EA6F"/>
    <w:rsid w:val="273D9BE3"/>
    <w:rsid w:val="273F28DE"/>
    <w:rsid w:val="27460D56"/>
    <w:rsid w:val="27489039"/>
    <w:rsid w:val="274A39D7"/>
    <w:rsid w:val="2756C36B"/>
    <w:rsid w:val="27609B44"/>
    <w:rsid w:val="27636835"/>
    <w:rsid w:val="2768DC57"/>
    <w:rsid w:val="2772712F"/>
    <w:rsid w:val="27743EA2"/>
    <w:rsid w:val="2774689E"/>
    <w:rsid w:val="27751299"/>
    <w:rsid w:val="277DCE57"/>
    <w:rsid w:val="2787DBEB"/>
    <w:rsid w:val="2788B81E"/>
    <w:rsid w:val="278B6166"/>
    <w:rsid w:val="278CA71E"/>
    <w:rsid w:val="27948A50"/>
    <w:rsid w:val="27978DC9"/>
    <w:rsid w:val="2799DBD1"/>
    <w:rsid w:val="279AFB40"/>
    <w:rsid w:val="27A27BAD"/>
    <w:rsid w:val="27A3FA9E"/>
    <w:rsid w:val="27A57435"/>
    <w:rsid w:val="27A745A7"/>
    <w:rsid w:val="27B393E9"/>
    <w:rsid w:val="27B85A72"/>
    <w:rsid w:val="27CD4139"/>
    <w:rsid w:val="27CD5FD6"/>
    <w:rsid w:val="27D11D2D"/>
    <w:rsid w:val="27DA91C7"/>
    <w:rsid w:val="27E124CA"/>
    <w:rsid w:val="27E2B861"/>
    <w:rsid w:val="27E4607A"/>
    <w:rsid w:val="27E5F24D"/>
    <w:rsid w:val="27E6029A"/>
    <w:rsid w:val="27E9A18A"/>
    <w:rsid w:val="27F8A917"/>
    <w:rsid w:val="27FB9D98"/>
    <w:rsid w:val="27FD5161"/>
    <w:rsid w:val="280116A3"/>
    <w:rsid w:val="28055E98"/>
    <w:rsid w:val="2806E441"/>
    <w:rsid w:val="28103CE2"/>
    <w:rsid w:val="2812600E"/>
    <w:rsid w:val="28191EE2"/>
    <w:rsid w:val="282269F3"/>
    <w:rsid w:val="28319D38"/>
    <w:rsid w:val="2836B012"/>
    <w:rsid w:val="28382928"/>
    <w:rsid w:val="28489D94"/>
    <w:rsid w:val="28499B3C"/>
    <w:rsid w:val="284A0D9D"/>
    <w:rsid w:val="284A8F57"/>
    <w:rsid w:val="284F19FF"/>
    <w:rsid w:val="28573F63"/>
    <w:rsid w:val="285944B9"/>
    <w:rsid w:val="2859C787"/>
    <w:rsid w:val="285BB104"/>
    <w:rsid w:val="286239BF"/>
    <w:rsid w:val="286307D4"/>
    <w:rsid w:val="28639A06"/>
    <w:rsid w:val="28643647"/>
    <w:rsid w:val="2868B979"/>
    <w:rsid w:val="286FAF3A"/>
    <w:rsid w:val="28730E25"/>
    <w:rsid w:val="287F87BB"/>
    <w:rsid w:val="288124A4"/>
    <w:rsid w:val="2887B666"/>
    <w:rsid w:val="2887D606"/>
    <w:rsid w:val="2888635A"/>
    <w:rsid w:val="28888803"/>
    <w:rsid w:val="288B8AFB"/>
    <w:rsid w:val="289D2D40"/>
    <w:rsid w:val="28A0A208"/>
    <w:rsid w:val="28A1A89F"/>
    <w:rsid w:val="28ABF3F0"/>
    <w:rsid w:val="28B3187F"/>
    <w:rsid w:val="28B9EBFC"/>
    <w:rsid w:val="28C2C0F0"/>
    <w:rsid w:val="28D36A62"/>
    <w:rsid w:val="28D9C626"/>
    <w:rsid w:val="28DE67FA"/>
    <w:rsid w:val="28E5F224"/>
    <w:rsid w:val="28E9A3BF"/>
    <w:rsid w:val="28EA5F79"/>
    <w:rsid w:val="28F05E7E"/>
    <w:rsid w:val="28F87C95"/>
    <w:rsid w:val="29016AD9"/>
    <w:rsid w:val="2901D73A"/>
    <w:rsid w:val="2909281B"/>
    <w:rsid w:val="291C9E74"/>
    <w:rsid w:val="291DEBD3"/>
    <w:rsid w:val="292C5553"/>
    <w:rsid w:val="2930C778"/>
    <w:rsid w:val="29345669"/>
    <w:rsid w:val="29380C6B"/>
    <w:rsid w:val="293BF1EF"/>
    <w:rsid w:val="293D7384"/>
    <w:rsid w:val="2947BFAE"/>
    <w:rsid w:val="2948E7B1"/>
    <w:rsid w:val="2954BB8D"/>
    <w:rsid w:val="295DECB2"/>
    <w:rsid w:val="29657B34"/>
    <w:rsid w:val="2976EE1D"/>
    <w:rsid w:val="297C6710"/>
    <w:rsid w:val="29806BF0"/>
    <w:rsid w:val="29859BF4"/>
    <w:rsid w:val="29936108"/>
    <w:rsid w:val="29A056F7"/>
    <w:rsid w:val="29AC6559"/>
    <w:rsid w:val="29B10571"/>
    <w:rsid w:val="29B88084"/>
    <w:rsid w:val="29C0A9F3"/>
    <w:rsid w:val="29C21A5A"/>
    <w:rsid w:val="29CA8B84"/>
    <w:rsid w:val="29CD3A2D"/>
    <w:rsid w:val="29D5BF9D"/>
    <w:rsid w:val="29D69994"/>
    <w:rsid w:val="29D948A9"/>
    <w:rsid w:val="29D9B2EE"/>
    <w:rsid w:val="29DC22D8"/>
    <w:rsid w:val="29DD4E68"/>
    <w:rsid w:val="29DFD8EF"/>
    <w:rsid w:val="29E86453"/>
    <w:rsid w:val="29EA6608"/>
    <w:rsid w:val="29F3D3E2"/>
    <w:rsid w:val="29F55283"/>
    <w:rsid w:val="29F6A841"/>
    <w:rsid w:val="2A0D3B25"/>
    <w:rsid w:val="2A0DAD5D"/>
    <w:rsid w:val="2A1D34C5"/>
    <w:rsid w:val="2A22E3FB"/>
    <w:rsid w:val="2A2416DE"/>
    <w:rsid w:val="2A2EBE78"/>
    <w:rsid w:val="2A31CB25"/>
    <w:rsid w:val="2A36BB6C"/>
    <w:rsid w:val="2A37579D"/>
    <w:rsid w:val="2A387EB6"/>
    <w:rsid w:val="2A4159A7"/>
    <w:rsid w:val="2A42DD85"/>
    <w:rsid w:val="2A437983"/>
    <w:rsid w:val="2A46DFF2"/>
    <w:rsid w:val="2A48002C"/>
    <w:rsid w:val="2A57EB46"/>
    <w:rsid w:val="2A593D8A"/>
    <w:rsid w:val="2A599E1E"/>
    <w:rsid w:val="2A5A7BCB"/>
    <w:rsid w:val="2A67B41B"/>
    <w:rsid w:val="2A713BDF"/>
    <w:rsid w:val="2A7661CE"/>
    <w:rsid w:val="2A87FE1A"/>
    <w:rsid w:val="2A8DB699"/>
    <w:rsid w:val="2A9529EF"/>
    <w:rsid w:val="2A95CC23"/>
    <w:rsid w:val="2A9A38AD"/>
    <w:rsid w:val="2AA71F53"/>
    <w:rsid w:val="2AACAB0A"/>
    <w:rsid w:val="2AB3453A"/>
    <w:rsid w:val="2AB5C955"/>
    <w:rsid w:val="2AB67DA0"/>
    <w:rsid w:val="2AB88C09"/>
    <w:rsid w:val="2ABFB92F"/>
    <w:rsid w:val="2AC00A3B"/>
    <w:rsid w:val="2AC4EBDA"/>
    <w:rsid w:val="2AC88B14"/>
    <w:rsid w:val="2AC93650"/>
    <w:rsid w:val="2ACA9904"/>
    <w:rsid w:val="2ACB4EE4"/>
    <w:rsid w:val="2ACE0FF8"/>
    <w:rsid w:val="2AD065E4"/>
    <w:rsid w:val="2AD3F0F5"/>
    <w:rsid w:val="2AE1B1EB"/>
    <w:rsid w:val="2AEF2D0F"/>
    <w:rsid w:val="2AF109CE"/>
    <w:rsid w:val="2AF535C5"/>
    <w:rsid w:val="2AFAC9CD"/>
    <w:rsid w:val="2AFC916B"/>
    <w:rsid w:val="2B02A17F"/>
    <w:rsid w:val="2B03AC96"/>
    <w:rsid w:val="2B04FA3A"/>
    <w:rsid w:val="2B053CC8"/>
    <w:rsid w:val="2B0C58F8"/>
    <w:rsid w:val="2B128521"/>
    <w:rsid w:val="2B12F530"/>
    <w:rsid w:val="2B165090"/>
    <w:rsid w:val="2B19E663"/>
    <w:rsid w:val="2B1E3EE4"/>
    <w:rsid w:val="2B20CBDA"/>
    <w:rsid w:val="2B213B41"/>
    <w:rsid w:val="2B23F4B5"/>
    <w:rsid w:val="2B2E5ECE"/>
    <w:rsid w:val="2B2F9453"/>
    <w:rsid w:val="2B36430E"/>
    <w:rsid w:val="2B391E06"/>
    <w:rsid w:val="2B3F9C06"/>
    <w:rsid w:val="2B419578"/>
    <w:rsid w:val="2B41F2BA"/>
    <w:rsid w:val="2B44B3FF"/>
    <w:rsid w:val="2B464E12"/>
    <w:rsid w:val="2B4C60A9"/>
    <w:rsid w:val="2B53BEF2"/>
    <w:rsid w:val="2B551357"/>
    <w:rsid w:val="2B607438"/>
    <w:rsid w:val="2B673930"/>
    <w:rsid w:val="2B69B8F8"/>
    <w:rsid w:val="2B722E9A"/>
    <w:rsid w:val="2B7462FB"/>
    <w:rsid w:val="2B7A3801"/>
    <w:rsid w:val="2B853532"/>
    <w:rsid w:val="2B89773A"/>
    <w:rsid w:val="2B8A6549"/>
    <w:rsid w:val="2B8EB91A"/>
    <w:rsid w:val="2B94DDCD"/>
    <w:rsid w:val="2BA0606F"/>
    <w:rsid w:val="2BA83DBD"/>
    <w:rsid w:val="2BAADCC7"/>
    <w:rsid w:val="2BAF9350"/>
    <w:rsid w:val="2BB4356F"/>
    <w:rsid w:val="2BB4C2EB"/>
    <w:rsid w:val="2BBC5AE3"/>
    <w:rsid w:val="2BBD1D59"/>
    <w:rsid w:val="2BBE4889"/>
    <w:rsid w:val="2BBF61AA"/>
    <w:rsid w:val="2BC33BB5"/>
    <w:rsid w:val="2BC48A40"/>
    <w:rsid w:val="2BC8B0E3"/>
    <w:rsid w:val="2BCA93C8"/>
    <w:rsid w:val="2BCDC31E"/>
    <w:rsid w:val="2BD09754"/>
    <w:rsid w:val="2BD423B1"/>
    <w:rsid w:val="2BDF0BCA"/>
    <w:rsid w:val="2BEB1D62"/>
    <w:rsid w:val="2BEEFDAF"/>
    <w:rsid w:val="2BF3499F"/>
    <w:rsid w:val="2BFFA65B"/>
    <w:rsid w:val="2C0B86C9"/>
    <w:rsid w:val="2C10E7A7"/>
    <w:rsid w:val="2C16DB0E"/>
    <w:rsid w:val="2C1E812E"/>
    <w:rsid w:val="2C21338A"/>
    <w:rsid w:val="2C2BCC5F"/>
    <w:rsid w:val="2C3451AA"/>
    <w:rsid w:val="2C3C9261"/>
    <w:rsid w:val="2C3DAA13"/>
    <w:rsid w:val="2C42E2EE"/>
    <w:rsid w:val="2C4C1D76"/>
    <w:rsid w:val="2C53A020"/>
    <w:rsid w:val="2C55FD7A"/>
    <w:rsid w:val="2C58595A"/>
    <w:rsid w:val="2C594126"/>
    <w:rsid w:val="2C5D4749"/>
    <w:rsid w:val="2C61FAD7"/>
    <w:rsid w:val="2C6275D0"/>
    <w:rsid w:val="2C6BE87C"/>
    <w:rsid w:val="2C7259AE"/>
    <w:rsid w:val="2C74F8EA"/>
    <w:rsid w:val="2C84C479"/>
    <w:rsid w:val="2C878824"/>
    <w:rsid w:val="2C8BC4D7"/>
    <w:rsid w:val="2C8BE2F3"/>
    <w:rsid w:val="2C8BE3E6"/>
    <w:rsid w:val="2C906C77"/>
    <w:rsid w:val="2C91935F"/>
    <w:rsid w:val="2C983433"/>
    <w:rsid w:val="2CAB8B6A"/>
    <w:rsid w:val="2CAE0FA7"/>
    <w:rsid w:val="2CAFBCAA"/>
    <w:rsid w:val="2CB03446"/>
    <w:rsid w:val="2CC14102"/>
    <w:rsid w:val="2CC14FB4"/>
    <w:rsid w:val="2CC21255"/>
    <w:rsid w:val="2CC3493A"/>
    <w:rsid w:val="2CC81CEF"/>
    <w:rsid w:val="2CC9897C"/>
    <w:rsid w:val="2CCD6330"/>
    <w:rsid w:val="2CCEA223"/>
    <w:rsid w:val="2CD25FD4"/>
    <w:rsid w:val="2CD52365"/>
    <w:rsid w:val="2CD704DF"/>
    <w:rsid w:val="2CD9FA35"/>
    <w:rsid w:val="2CDACA41"/>
    <w:rsid w:val="2CDD1D73"/>
    <w:rsid w:val="2CE66C91"/>
    <w:rsid w:val="2CE89CB5"/>
    <w:rsid w:val="2CECC298"/>
    <w:rsid w:val="2D022CD5"/>
    <w:rsid w:val="2D06960C"/>
    <w:rsid w:val="2D0A6DE7"/>
    <w:rsid w:val="2D0B3DEF"/>
    <w:rsid w:val="2D17F7B0"/>
    <w:rsid w:val="2D1C794A"/>
    <w:rsid w:val="2D1FD9A3"/>
    <w:rsid w:val="2D234F60"/>
    <w:rsid w:val="2D297DD8"/>
    <w:rsid w:val="2D2E58B5"/>
    <w:rsid w:val="2D39705D"/>
    <w:rsid w:val="2D47AA21"/>
    <w:rsid w:val="2D482C07"/>
    <w:rsid w:val="2D4D7852"/>
    <w:rsid w:val="2D54E474"/>
    <w:rsid w:val="2D58F6A0"/>
    <w:rsid w:val="2D5A22AD"/>
    <w:rsid w:val="2D6237E5"/>
    <w:rsid w:val="2D6BC90B"/>
    <w:rsid w:val="2D6F1FE0"/>
    <w:rsid w:val="2D7779C4"/>
    <w:rsid w:val="2D7DA3C3"/>
    <w:rsid w:val="2D7FFBC9"/>
    <w:rsid w:val="2D927EEF"/>
    <w:rsid w:val="2D939402"/>
    <w:rsid w:val="2D9621B8"/>
    <w:rsid w:val="2DA83602"/>
    <w:rsid w:val="2DB02AC3"/>
    <w:rsid w:val="2DB93709"/>
    <w:rsid w:val="2DBB3570"/>
    <w:rsid w:val="2DBB7B7C"/>
    <w:rsid w:val="2DC64026"/>
    <w:rsid w:val="2DC9D3D5"/>
    <w:rsid w:val="2DCB98A5"/>
    <w:rsid w:val="2DD1477C"/>
    <w:rsid w:val="2DD2C858"/>
    <w:rsid w:val="2DDC2BBD"/>
    <w:rsid w:val="2DE0DBBE"/>
    <w:rsid w:val="2DE443E4"/>
    <w:rsid w:val="2DE4540B"/>
    <w:rsid w:val="2DE98843"/>
    <w:rsid w:val="2DECA81E"/>
    <w:rsid w:val="2DEF48D6"/>
    <w:rsid w:val="2DF3FF65"/>
    <w:rsid w:val="2DF6D05B"/>
    <w:rsid w:val="2DF7A515"/>
    <w:rsid w:val="2DF7DF61"/>
    <w:rsid w:val="2E087693"/>
    <w:rsid w:val="2E08788E"/>
    <w:rsid w:val="2E0AF886"/>
    <w:rsid w:val="2E166610"/>
    <w:rsid w:val="2E1A399A"/>
    <w:rsid w:val="2E1A8246"/>
    <w:rsid w:val="2E1D52D9"/>
    <w:rsid w:val="2E257A43"/>
    <w:rsid w:val="2E369FCE"/>
    <w:rsid w:val="2E3823EF"/>
    <w:rsid w:val="2E3EBA22"/>
    <w:rsid w:val="2E40D095"/>
    <w:rsid w:val="2E46D52A"/>
    <w:rsid w:val="2E51129A"/>
    <w:rsid w:val="2E51DB7E"/>
    <w:rsid w:val="2E5A5F5D"/>
    <w:rsid w:val="2E5DF966"/>
    <w:rsid w:val="2E6138A2"/>
    <w:rsid w:val="2E61FD44"/>
    <w:rsid w:val="2E63FFBC"/>
    <w:rsid w:val="2E6B1FB7"/>
    <w:rsid w:val="2E754877"/>
    <w:rsid w:val="2E95B91A"/>
    <w:rsid w:val="2E995C5A"/>
    <w:rsid w:val="2E9C17E0"/>
    <w:rsid w:val="2EB21074"/>
    <w:rsid w:val="2EB548BD"/>
    <w:rsid w:val="2EBB0CB8"/>
    <w:rsid w:val="2EBD84E9"/>
    <w:rsid w:val="2EC0E386"/>
    <w:rsid w:val="2EC2B8EA"/>
    <w:rsid w:val="2EC44E17"/>
    <w:rsid w:val="2ED16231"/>
    <w:rsid w:val="2ED19EBE"/>
    <w:rsid w:val="2ED49AD7"/>
    <w:rsid w:val="2EDF19FE"/>
    <w:rsid w:val="2EE1D07D"/>
    <w:rsid w:val="2EE327C0"/>
    <w:rsid w:val="2EE7BFE4"/>
    <w:rsid w:val="2EE84DBC"/>
    <w:rsid w:val="2EEAF7B4"/>
    <w:rsid w:val="2EF1DECF"/>
    <w:rsid w:val="2EFE3A1C"/>
    <w:rsid w:val="2EFEA23B"/>
    <w:rsid w:val="2F04AA18"/>
    <w:rsid w:val="2F0FE5E7"/>
    <w:rsid w:val="2F166550"/>
    <w:rsid w:val="2F186FDF"/>
    <w:rsid w:val="2F247794"/>
    <w:rsid w:val="2F2D43D6"/>
    <w:rsid w:val="2F2D6AD6"/>
    <w:rsid w:val="2F2EA5C1"/>
    <w:rsid w:val="2F372858"/>
    <w:rsid w:val="2F47CD62"/>
    <w:rsid w:val="2F5150A8"/>
    <w:rsid w:val="2F51F7D2"/>
    <w:rsid w:val="2F5217F4"/>
    <w:rsid w:val="2F5973D9"/>
    <w:rsid w:val="2F5A9D84"/>
    <w:rsid w:val="2F5DA5CC"/>
    <w:rsid w:val="2F5F408E"/>
    <w:rsid w:val="2F5FD207"/>
    <w:rsid w:val="2F67951D"/>
    <w:rsid w:val="2F72AEC7"/>
    <w:rsid w:val="2F76B81A"/>
    <w:rsid w:val="2F782629"/>
    <w:rsid w:val="2F78D774"/>
    <w:rsid w:val="2F7F3EB6"/>
    <w:rsid w:val="2F809163"/>
    <w:rsid w:val="2F878CDC"/>
    <w:rsid w:val="2F8FCFC6"/>
    <w:rsid w:val="2F93235F"/>
    <w:rsid w:val="2F9413D6"/>
    <w:rsid w:val="2F97A491"/>
    <w:rsid w:val="2F99828B"/>
    <w:rsid w:val="2F9D9BC9"/>
    <w:rsid w:val="2FA00C0A"/>
    <w:rsid w:val="2FA61EAB"/>
    <w:rsid w:val="2FA67577"/>
    <w:rsid w:val="2FA75978"/>
    <w:rsid w:val="2FA884EE"/>
    <w:rsid w:val="2FAAE30A"/>
    <w:rsid w:val="2FAE19AD"/>
    <w:rsid w:val="2FB1DBE0"/>
    <w:rsid w:val="2FB37A16"/>
    <w:rsid w:val="2FB5362D"/>
    <w:rsid w:val="2FBA46A9"/>
    <w:rsid w:val="2FBCB92C"/>
    <w:rsid w:val="2FBE0BCB"/>
    <w:rsid w:val="2FC01056"/>
    <w:rsid w:val="2FC93421"/>
    <w:rsid w:val="2FCD84B4"/>
    <w:rsid w:val="2FD09182"/>
    <w:rsid w:val="2FD4F6E4"/>
    <w:rsid w:val="2FDF0DD4"/>
    <w:rsid w:val="2FE58780"/>
    <w:rsid w:val="2FE9317F"/>
    <w:rsid w:val="2FF89843"/>
    <w:rsid w:val="2FFDA6C6"/>
    <w:rsid w:val="3000F5D4"/>
    <w:rsid w:val="300370AE"/>
    <w:rsid w:val="300528CE"/>
    <w:rsid w:val="3010AB77"/>
    <w:rsid w:val="30125552"/>
    <w:rsid w:val="3022B0DE"/>
    <w:rsid w:val="3024C6BD"/>
    <w:rsid w:val="302FB27A"/>
    <w:rsid w:val="304298ED"/>
    <w:rsid w:val="30481856"/>
    <w:rsid w:val="3048785C"/>
    <w:rsid w:val="304FA73D"/>
    <w:rsid w:val="3055AB67"/>
    <w:rsid w:val="30588C59"/>
    <w:rsid w:val="305A9C06"/>
    <w:rsid w:val="305FC515"/>
    <w:rsid w:val="306D6B7E"/>
    <w:rsid w:val="306F8CBB"/>
    <w:rsid w:val="3070BEEF"/>
    <w:rsid w:val="3072202B"/>
    <w:rsid w:val="3076FC22"/>
    <w:rsid w:val="30841823"/>
    <w:rsid w:val="30866EBC"/>
    <w:rsid w:val="30980323"/>
    <w:rsid w:val="309A718B"/>
    <w:rsid w:val="309C888B"/>
    <w:rsid w:val="309EDED6"/>
    <w:rsid w:val="30A081F0"/>
    <w:rsid w:val="30A200FA"/>
    <w:rsid w:val="30A9E432"/>
    <w:rsid w:val="30ABE5D1"/>
    <w:rsid w:val="30ADDF91"/>
    <w:rsid w:val="30B1DBCB"/>
    <w:rsid w:val="30B2194E"/>
    <w:rsid w:val="30B56415"/>
    <w:rsid w:val="30B5ED2B"/>
    <w:rsid w:val="30B6349C"/>
    <w:rsid w:val="30B759B3"/>
    <w:rsid w:val="30B920D8"/>
    <w:rsid w:val="30B9776C"/>
    <w:rsid w:val="30C3E3BE"/>
    <w:rsid w:val="30D1D81E"/>
    <w:rsid w:val="30DB0735"/>
    <w:rsid w:val="30DB4832"/>
    <w:rsid w:val="30DC0D42"/>
    <w:rsid w:val="30E084F3"/>
    <w:rsid w:val="30E75F47"/>
    <w:rsid w:val="30E7B5BD"/>
    <w:rsid w:val="30E83654"/>
    <w:rsid w:val="30EDC6A9"/>
    <w:rsid w:val="30F66C37"/>
    <w:rsid w:val="30F7D526"/>
    <w:rsid w:val="30FB88DC"/>
    <w:rsid w:val="30FE605E"/>
    <w:rsid w:val="31018DDA"/>
    <w:rsid w:val="3102F702"/>
    <w:rsid w:val="31065808"/>
    <w:rsid w:val="31194749"/>
    <w:rsid w:val="311BD76D"/>
    <w:rsid w:val="311EB0EA"/>
    <w:rsid w:val="311FCFD5"/>
    <w:rsid w:val="312027AC"/>
    <w:rsid w:val="31208A70"/>
    <w:rsid w:val="312A1DB1"/>
    <w:rsid w:val="312F76CF"/>
    <w:rsid w:val="3130278B"/>
    <w:rsid w:val="31331CAD"/>
    <w:rsid w:val="31373C19"/>
    <w:rsid w:val="313839B2"/>
    <w:rsid w:val="313E6E39"/>
    <w:rsid w:val="3141A472"/>
    <w:rsid w:val="3148F7DA"/>
    <w:rsid w:val="315E9E94"/>
    <w:rsid w:val="31700E0B"/>
    <w:rsid w:val="3171577F"/>
    <w:rsid w:val="317C79C2"/>
    <w:rsid w:val="317CA1C2"/>
    <w:rsid w:val="317CE98A"/>
    <w:rsid w:val="31804C5B"/>
    <w:rsid w:val="3183D3F2"/>
    <w:rsid w:val="3186280B"/>
    <w:rsid w:val="31868A6D"/>
    <w:rsid w:val="3188DEFF"/>
    <w:rsid w:val="318C19E4"/>
    <w:rsid w:val="318DDB14"/>
    <w:rsid w:val="318ECA33"/>
    <w:rsid w:val="318F372D"/>
    <w:rsid w:val="3194791D"/>
    <w:rsid w:val="319CE6F5"/>
    <w:rsid w:val="31A1AE79"/>
    <w:rsid w:val="31A593C2"/>
    <w:rsid w:val="31A680AF"/>
    <w:rsid w:val="31A7AB1B"/>
    <w:rsid w:val="31BA907E"/>
    <w:rsid w:val="31CFC1EC"/>
    <w:rsid w:val="31D963B3"/>
    <w:rsid w:val="31D9BDC2"/>
    <w:rsid w:val="31DD4792"/>
    <w:rsid w:val="31DED4B2"/>
    <w:rsid w:val="31E060E7"/>
    <w:rsid w:val="31E0D47D"/>
    <w:rsid w:val="31E3B020"/>
    <w:rsid w:val="31F1081B"/>
    <w:rsid w:val="31FB11E8"/>
    <w:rsid w:val="3202D07B"/>
    <w:rsid w:val="3214179F"/>
    <w:rsid w:val="321750DE"/>
    <w:rsid w:val="3219FE9F"/>
    <w:rsid w:val="32222B8D"/>
    <w:rsid w:val="322BDB05"/>
    <w:rsid w:val="32341837"/>
    <w:rsid w:val="323818E1"/>
    <w:rsid w:val="3238D9F3"/>
    <w:rsid w:val="323E5F74"/>
    <w:rsid w:val="323F47D8"/>
    <w:rsid w:val="3242DB24"/>
    <w:rsid w:val="324B5824"/>
    <w:rsid w:val="324E1F0A"/>
    <w:rsid w:val="32501A31"/>
    <w:rsid w:val="3250580B"/>
    <w:rsid w:val="32546026"/>
    <w:rsid w:val="3256B90C"/>
    <w:rsid w:val="325B17D8"/>
    <w:rsid w:val="326553B4"/>
    <w:rsid w:val="3269156A"/>
    <w:rsid w:val="3277464C"/>
    <w:rsid w:val="3279D821"/>
    <w:rsid w:val="327D84D8"/>
    <w:rsid w:val="3286E68E"/>
    <w:rsid w:val="32871F85"/>
    <w:rsid w:val="328F0241"/>
    <w:rsid w:val="329F5C07"/>
    <w:rsid w:val="32A25433"/>
    <w:rsid w:val="32A52E68"/>
    <w:rsid w:val="32A5544E"/>
    <w:rsid w:val="32A6B7BA"/>
    <w:rsid w:val="32A7A2FB"/>
    <w:rsid w:val="32AA6E56"/>
    <w:rsid w:val="32B0DB4E"/>
    <w:rsid w:val="32B6B5C7"/>
    <w:rsid w:val="32BCF69A"/>
    <w:rsid w:val="32CCF22C"/>
    <w:rsid w:val="32D8BEA9"/>
    <w:rsid w:val="32DB8828"/>
    <w:rsid w:val="32DC9B15"/>
    <w:rsid w:val="32DCCDE6"/>
    <w:rsid w:val="32E5AECD"/>
    <w:rsid w:val="32F1BD91"/>
    <w:rsid w:val="32F47729"/>
    <w:rsid w:val="32FC14A6"/>
    <w:rsid w:val="32FE31F7"/>
    <w:rsid w:val="33080C73"/>
    <w:rsid w:val="330D564A"/>
    <w:rsid w:val="3314E1DB"/>
    <w:rsid w:val="33163205"/>
    <w:rsid w:val="331EE24A"/>
    <w:rsid w:val="33217C45"/>
    <w:rsid w:val="3325216A"/>
    <w:rsid w:val="332ACDAA"/>
    <w:rsid w:val="332DD7AA"/>
    <w:rsid w:val="332E04C2"/>
    <w:rsid w:val="332F5D26"/>
    <w:rsid w:val="332F7241"/>
    <w:rsid w:val="333CB365"/>
    <w:rsid w:val="333F75EC"/>
    <w:rsid w:val="33481DEF"/>
    <w:rsid w:val="334BBC76"/>
    <w:rsid w:val="334E0C42"/>
    <w:rsid w:val="334E3790"/>
    <w:rsid w:val="334FBDC3"/>
    <w:rsid w:val="3357CAA4"/>
    <w:rsid w:val="33594DEB"/>
    <w:rsid w:val="335B2E1B"/>
    <w:rsid w:val="33665A6A"/>
    <w:rsid w:val="33769FBA"/>
    <w:rsid w:val="3377E36D"/>
    <w:rsid w:val="337DAFB5"/>
    <w:rsid w:val="33804A0E"/>
    <w:rsid w:val="3382B4F7"/>
    <w:rsid w:val="3388548E"/>
    <w:rsid w:val="33992290"/>
    <w:rsid w:val="339BD968"/>
    <w:rsid w:val="339BE283"/>
    <w:rsid w:val="33A24F02"/>
    <w:rsid w:val="33AE867E"/>
    <w:rsid w:val="33AF86C9"/>
    <w:rsid w:val="33BB1C8A"/>
    <w:rsid w:val="33C4BFDE"/>
    <w:rsid w:val="33DF6208"/>
    <w:rsid w:val="33E04C41"/>
    <w:rsid w:val="33ECF6D9"/>
    <w:rsid w:val="33F0FA20"/>
    <w:rsid w:val="33F103A1"/>
    <w:rsid w:val="33F60188"/>
    <w:rsid w:val="33FA70DF"/>
    <w:rsid w:val="33FC9016"/>
    <w:rsid w:val="33FD9A48"/>
    <w:rsid w:val="3400A8AF"/>
    <w:rsid w:val="34039F29"/>
    <w:rsid w:val="340903BC"/>
    <w:rsid w:val="34107B71"/>
    <w:rsid w:val="3411022D"/>
    <w:rsid w:val="34138C7B"/>
    <w:rsid w:val="3414F305"/>
    <w:rsid w:val="341EE6D1"/>
    <w:rsid w:val="3424EECB"/>
    <w:rsid w:val="3426C8E1"/>
    <w:rsid w:val="342FA901"/>
    <w:rsid w:val="3438E036"/>
    <w:rsid w:val="34399AF2"/>
    <w:rsid w:val="34515B96"/>
    <w:rsid w:val="346421ED"/>
    <w:rsid w:val="3467E413"/>
    <w:rsid w:val="3469AF22"/>
    <w:rsid w:val="34705C6D"/>
    <w:rsid w:val="347224F3"/>
    <w:rsid w:val="3473048D"/>
    <w:rsid w:val="347AA42E"/>
    <w:rsid w:val="347C6316"/>
    <w:rsid w:val="347DC0B0"/>
    <w:rsid w:val="3485EF22"/>
    <w:rsid w:val="348A1440"/>
    <w:rsid w:val="348B11AF"/>
    <w:rsid w:val="349AD68C"/>
    <w:rsid w:val="34AA5755"/>
    <w:rsid w:val="34AAF903"/>
    <w:rsid w:val="34AB6D40"/>
    <w:rsid w:val="34AF1CE6"/>
    <w:rsid w:val="34BF619D"/>
    <w:rsid w:val="34C52C02"/>
    <w:rsid w:val="34CAB44C"/>
    <w:rsid w:val="34D6A81D"/>
    <w:rsid w:val="34D71F53"/>
    <w:rsid w:val="34D7A28A"/>
    <w:rsid w:val="34DAB07E"/>
    <w:rsid w:val="34DE9B49"/>
    <w:rsid w:val="34DFCD7B"/>
    <w:rsid w:val="34DFF6B9"/>
    <w:rsid w:val="34E1BD1F"/>
    <w:rsid w:val="34ED2099"/>
    <w:rsid w:val="34F51E0D"/>
    <w:rsid w:val="34F8056E"/>
    <w:rsid w:val="34F86F78"/>
    <w:rsid w:val="34FC2C2A"/>
    <w:rsid w:val="35139E10"/>
    <w:rsid w:val="351D8BFA"/>
    <w:rsid w:val="3524B566"/>
    <w:rsid w:val="3526A11A"/>
    <w:rsid w:val="35332BC8"/>
    <w:rsid w:val="3535755E"/>
    <w:rsid w:val="353ABA94"/>
    <w:rsid w:val="3542CC82"/>
    <w:rsid w:val="35434797"/>
    <w:rsid w:val="3543B8DB"/>
    <w:rsid w:val="3544BAD8"/>
    <w:rsid w:val="354987C4"/>
    <w:rsid w:val="354F6F9F"/>
    <w:rsid w:val="35535196"/>
    <w:rsid w:val="35575A31"/>
    <w:rsid w:val="3567D798"/>
    <w:rsid w:val="3569BE77"/>
    <w:rsid w:val="356C31B0"/>
    <w:rsid w:val="35713294"/>
    <w:rsid w:val="3575E023"/>
    <w:rsid w:val="357696FD"/>
    <w:rsid w:val="358FE977"/>
    <w:rsid w:val="35912B4D"/>
    <w:rsid w:val="3594668E"/>
    <w:rsid w:val="359A6A71"/>
    <w:rsid w:val="35A403F8"/>
    <w:rsid w:val="35A7CC8C"/>
    <w:rsid w:val="35A7D0AA"/>
    <w:rsid w:val="35AA0409"/>
    <w:rsid w:val="35B34B73"/>
    <w:rsid w:val="35B9E1B1"/>
    <w:rsid w:val="35C62559"/>
    <w:rsid w:val="35CA1107"/>
    <w:rsid w:val="35CAD104"/>
    <w:rsid w:val="35D08427"/>
    <w:rsid w:val="35D92B32"/>
    <w:rsid w:val="35E2AFD2"/>
    <w:rsid w:val="35E47AE1"/>
    <w:rsid w:val="35E906BF"/>
    <w:rsid w:val="35FEF818"/>
    <w:rsid w:val="35FFC862"/>
    <w:rsid w:val="36012001"/>
    <w:rsid w:val="3606F773"/>
    <w:rsid w:val="360850C2"/>
    <w:rsid w:val="36099284"/>
    <w:rsid w:val="360BC141"/>
    <w:rsid w:val="360D01DE"/>
    <w:rsid w:val="360F3F0A"/>
    <w:rsid w:val="3613F3C7"/>
    <w:rsid w:val="361C8276"/>
    <w:rsid w:val="361F89DB"/>
    <w:rsid w:val="362464D0"/>
    <w:rsid w:val="3624DCEE"/>
    <w:rsid w:val="3624FED9"/>
    <w:rsid w:val="3628194D"/>
    <w:rsid w:val="3637312F"/>
    <w:rsid w:val="363C8465"/>
    <w:rsid w:val="3642AEA5"/>
    <w:rsid w:val="36465559"/>
    <w:rsid w:val="364C64FC"/>
    <w:rsid w:val="36568249"/>
    <w:rsid w:val="3657997A"/>
    <w:rsid w:val="36588029"/>
    <w:rsid w:val="3659992E"/>
    <w:rsid w:val="365A88F4"/>
    <w:rsid w:val="365CDD02"/>
    <w:rsid w:val="365EC2AC"/>
    <w:rsid w:val="3663CE74"/>
    <w:rsid w:val="36641089"/>
    <w:rsid w:val="36671C2D"/>
    <w:rsid w:val="366D9C47"/>
    <w:rsid w:val="366EC5D3"/>
    <w:rsid w:val="36702D78"/>
    <w:rsid w:val="3670B28C"/>
    <w:rsid w:val="3672B532"/>
    <w:rsid w:val="367AC914"/>
    <w:rsid w:val="36802388"/>
    <w:rsid w:val="3683FD9E"/>
    <w:rsid w:val="36894EDA"/>
    <w:rsid w:val="369287CE"/>
    <w:rsid w:val="36A2CF75"/>
    <w:rsid w:val="36A6A89A"/>
    <w:rsid w:val="36B531F0"/>
    <w:rsid w:val="36B658B4"/>
    <w:rsid w:val="36BA82B5"/>
    <w:rsid w:val="36BEDE67"/>
    <w:rsid w:val="36BFD0CF"/>
    <w:rsid w:val="36C03507"/>
    <w:rsid w:val="36D24A74"/>
    <w:rsid w:val="36D3BDF8"/>
    <w:rsid w:val="36E7B394"/>
    <w:rsid w:val="36EDFC0F"/>
    <w:rsid w:val="36F82296"/>
    <w:rsid w:val="37092AB0"/>
    <w:rsid w:val="370CA0B7"/>
    <w:rsid w:val="370DB949"/>
    <w:rsid w:val="370DBA1A"/>
    <w:rsid w:val="37228823"/>
    <w:rsid w:val="37282F26"/>
    <w:rsid w:val="372D2FBC"/>
    <w:rsid w:val="373679D7"/>
    <w:rsid w:val="3736BBBC"/>
    <w:rsid w:val="3739A34D"/>
    <w:rsid w:val="373A4C44"/>
    <w:rsid w:val="373B875E"/>
    <w:rsid w:val="374285D0"/>
    <w:rsid w:val="37435AB0"/>
    <w:rsid w:val="374D21F4"/>
    <w:rsid w:val="3750F88B"/>
    <w:rsid w:val="3753DCBA"/>
    <w:rsid w:val="37602FD5"/>
    <w:rsid w:val="37632F5A"/>
    <w:rsid w:val="37654B4D"/>
    <w:rsid w:val="376C109E"/>
    <w:rsid w:val="376E3D72"/>
    <w:rsid w:val="3774610A"/>
    <w:rsid w:val="377F213A"/>
    <w:rsid w:val="378BB236"/>
    <w:rsid w:val="3793B310"/>
    <w:rsid w:val="379B056A"/>
    <w:rsid w:val="37A4FA96"/>
    <w:rsid w:val="37A54387"/>
    <w:rsid w:val="37ABCE06"/>
    <w:rsid w:val="37AD0C42"/>
    <w:rsid w:val="37AEA2F2"/>
    <w:rsid w:val="37B54A36"/>
    <w:rsid w:val="37BFACF1"/>
    <w:rsid w:val="37C89285"/>
    <w:rsid w:val="37C99C0F"/>
    <w:rsid w:val="37CAB181"/>
    <w:rsid w:val="37D1C345"/>
    <w:rsid w:val="37E347A5"/>
    <w:rsid w:val="37E68C96"/>
    <w:rsid w:val="37EA759E"/>
    <w:rsid w:val="37ED87F2"/>
    <w:rsid w:val="37F6B661"/>
    <w:rsid w:val="37F8DFE2"/>
    <w:rsid w:val="38032F40"/>
    <w:rsid w:val="38067F9A"/>
    <w:rsid w:val="380AFBC0"/>
    <w:rsid w:val="380C2879"/>
    <w:rsid w:val="38117E58"/>
    <w:rsid w:val="3814D4A6"/>
    <w:rsid w:val="381C666B"/>
    <w:rsid w:val="381C993C"/>
    <w:rsid w:val="382200A9"/>
    <w:rsid w:val="38224E3F"/>
    <w:rsid w:val="38229B82"/>
    <w:rsid w:val="3826F014"/>
    <w:rsid w:val="3827878C"/>
    <w:rsid w:val="382787B9"/>
    <w:rsid w:val="382E783B"/>
    <w:rsid w:val="38330BC2"/>
    <w:rsid w:val="383924CF"/>
    <w:rsid w:val="384176BC"/>
    <w:rsid w:val="38437671"/>
    <w:rsid w:val="3845515B"/>
    <w:rsid w:val="3846F658"/>
    <w:rsid w:val="384C3F23"/>
    <w:rsid w:val="3854D20E"/>
    <w:rsid w:val="385B3AEB"/>
    <w:rsid w:val="3866141B"/>
    <w:rsid w:val="386C4891"/>
    <w:rsid w:val="387025FC"/>
    <w:rsid w:val="3871E038"/>
    <w:rsid w:val="3875B2CF"/>
    <w:rsid w:val="3884D79A"/>
    <w:rsid w:val="38850582"/>
    <w:rsid w:val="3885DCB5"/>
    <w:rsid w:val="38863A38"/>
    <w:rsid w:val="388724EB"/>
    <w:rsid w:val="388A36D9"/>
    <w:rsid w:val="388E9776"/>
    <w:rsid w:val="38968E22"/>
    <w:rsid w:val="38977043"/>
    <w:rsid w:val="38978098"/>
    <w:rsid w:val="389949F6"/>
    <w:rsid w:val="38A02FE1"/>
    <w:rsid w:val="38A136B2"/>
    <w:rsid w:val="38A29FA2"/>
    <w:rsid w:val="38A63A70"/>
    <w:rsid w:val="38AC2158"/>
    <w:rsid w:val="38AD2083"/>
    <w:rsid w:val="38AFE71F"/>
    <w:rsid w:val="38BE149A"/>
    <w:rsid w:val="38C3377E"/>
    <w:rsid w:val="38C43250"/>
    <w:rsid w:val="38C75518"/>
    <w:rsid w:val="38C7D797"/>
    <w:rsid w:val="38D81C82"/>
    <w:rsid w:val="38D98EA1"/>
    <w:rsid w:val="38DCAD69"/>
    <w:rsid w:val="38DD4F88"/>
    <w:rsid w:val="38E4B512"/>
    <w:rsid w:val="38E51600"/>
    <w:rsid w:val="38EF7600"/>
    <w:rsid w:val="38F11847"/>
    <w:rsid w:val="38F7B673"/>
    <w:rsid w:val="38F98BFD"/>
    <w:rsid w:val="3907C883"/>
    <w:rsid w:val="39181F62"/>
    <w:rsid w:val="3918B2BD"/>
    <w:rsid w:val="392201DF"/>
    <w:rsid w:val="392237F7"/>
    <w:rsid w:val="3927EE0B"/>
    <w:rsid w:val="39289E22"/>
    <w:rsid w:val="392B4920"/>
    <w:rsid w:val="392C97FE"/>
    <w:rsid w:val="392CA7D0"/>
    <w:rsid w:val="39371038"/>
    <w:rsid w:val="39526623"/>
    <w:rsid w:val="3955A9A7"/>
    <w:rsid w:val="395A24EE"/>
    <w:rsid w:val="395A4A51"/>
    <w:rsid w:val="395B5243"/>
    <w:rsid w:val="3961650E"/>
    <w:rsid w:val="39622883"/>
    <w:rsid w:val="3962D00F"/>
    <w:rsid w:val="3963EFC2"/>
    <w:rsid w:val="3964C78D"/>
    <w:rsid w:val="396D6456"/>
    <w:rsid w:val="39772C98"/>
    <w:rsid w:val="398196CD"/>
    <w:rsid w:val="3984D4C3"/>
    <w:rsid w:val="39893CBA"/>
    <w:rsid w:val="398C0451"/>
    <w:rsid w:val="398F2F25"/>
    <w:rsid w:val="398F3A3C"/>
    <w:rsid w:val="398F5C27"/>
    <w:rsid w:val="3995C77C"/>
    <w:rsid w:val="3998C772"/>
    <w:rsid w:val="39A49DD9"/>
    <w:rsid w:val="39A7D0D6"/>
    <w:rsid w:val="39A891A4"/>
    <w:rsid w:val="39AC2CAE"/>
    <w:rsid w:val="39ACDB39"/>
    <w:rsid w:val="39B6D6CC"/>
    <w:rsid w:val="39B6E09E"/>
    <w:rsid w:val="39BA39D7"/>
    <w:rsid w:val="39BC4E02"/>
    <w:rsid w:val="39BE2393"/>
    <w:rsid w:val="39BFED00"/>
    <w:rsid w:val="39C62BD5"/>
    <w:rsid w:val="39CCD937"/>
    <w:rsid w:val="39CD4B70"/>
    <w:rsid w:val="39CD770E"/>
    <w:rsid w:val="39D6DC0E"/>
    <w:rsid w:val="39D6EECF"/>
    <w:rsid w:val="39DE361D"/>
    <w:rsid w:val="39E35CB4"/>
    <w:rsid w:val="39E82CBD"/>
    <w:rsid w:val="39E85977"/>
    <w:rsid w:val="3A026735"/>
    <w:rsid w:val="3A02E79C"/>
    <w:rsid w:val="3A084526"/>
    <w:rsid w:val="3A14E562"/>
    <w:rsid w:val="3A1DAB2B"/>
    <w:rsid w:val="3A20D56C"/>
    <w:rsid w:val="3A276ACE"/>
    <w:rsid w:val="3A288594"/>
    <w:rsid w:val="3A2D0741"/>
    <w:rsid w:val="3A2D7604"/>
    <w:rsid w:val="3A327755"/>
    <w:rsid w:val="3A33905D"/>
    <w:rsid w:val="3A377C93"/>
    <w:rsid w:val="3A3E4A24"/>
    <w:rsid w:val="3A409C71"/>
    <w:rsid w:val="3A435A4F"/>
    <w:rsid w:val="3A436007"/>
    <w:rsid w:val="3A485F60"/>
    <w:rsid w:val="3A4C6514"/>
    <w:rsid w:val="3A4FA2F3"/>
    <w:rsid w:val="3A519AB7"/>
    <w:rsid w:val="3A52CDE7"/>
    <w:rsid w:val="3A55C0FA"/>
    <w:rsid w:val="3A5E350F"/>
    <w:rsid w:val="3A7689FC"/>
    <w:rsid w:val="3A802B2D"/>
    <w:rsid w:val="3A8431D4"/>
    <w:rsid w:val="3A8608F9"/>
    <w:rsid w:val="3A87B3D7"/>
    <w:rsid w:val="3A92C7FA"/>
    <w:rsid w:val="3A93A3FB"/>
    <w:rsid w:val="3A9DA8ED"/>
    <w:rsid w:val="3AA714E8"/>
    <w:rsid w:val="3AA779CB"/>
    <w:rsid w:val="3AAF20ED"/>
    <w:rsid w:val="3AB0A8E0"/>
    <w:rsid w:val="3ABC84AB"/>
    <w:rsid w:val="3AC46F9C"/>
    <w:rsid w:val="3AC7DBAF"/>
    <w:rsid w:val="3ACAC90E"/>
    <w:rsid w:val="3AD20D2F"/>
    <w:rsid w:val="3AE212BC"/>
    <w:rsid w:val="3AE3E843"/>
    <w:rsid w:val="3AE8E8BD"/>
    <w:rsid w:val="3AEC4E6F"/>
    <w:rsid w:val="3AEE5539"/>
    <w:rsid w:val="3AF07921"/>
    <w:rsid w:val="3AF1FC22"/>
    <w:rsid w:val="3AFC5F4E"/>
    <w:rsid w:val="3B045B77"/>
    <w:rsid w:val="3B0A9ACA"/>
    <w:rsid w:val="3B15961C"/>
    <w:rsid w:val="3B1DD06E"/>
    <w:rsid w:val="3B25135E"/>
    <w:rsid w:val="3B26E022"/>
    <w:rsid w:val="3B2709AB"/>
    <w:rsid w:val="3B2B0A9D"/>
    <w:rsid w:val="3B30BFC6"/>
    <w:rsid w:val="3B32D055"/>
    <w:rsid w:val="3B3B465E"/>
    <w:rsid w:val="3B43A949"/>
    <w:rsid w:val="3B43C93B"/>
    <w:rsid w:val="3B46FD0B"/>
    <w:rsid w:val="3B4A0906"/>
    <w:rsid w:val="3B4B8D52"/>
    <w:rsid w:val="3B536FB5"/>
    <w:rsid w:val="3B599FC7"/>
    <w:rsid w:val="3B5A1499"/>
    <w:rsid w:val="3B5C010A"/>
    <w:rsid w:val="3B631A72"/>
    <w:rsid w:val="3B63234E"/>
    <w:rsid w:val="3B65D4C0"/>
    <w:rsid w:val="3B67E653"/>
    <w:rsid w:val="3B73887E"/>
    <w:rsid w:val="3B7B83E9"/>
    <w:rsid w:val="3B7FB7BD"/>
    <w:rsid w:val="3B806D37"/>
    <w:rsid w:val="3B834A8A"/>
    <w:rsid w:val="3B844155"/>
    <w:rsid w:val="3B850C14"/>
    <w:rsid w:val="3B92B195"/>
    <w:rsid w:val="3B92C6FA"/>
    <w:rsid w:val="3B9540A3"/>
    <w:rsid w:val="3B96F0D8"/>
    <w:rsid w:val="3B9B2350"/>
    <w:rsid w:val="3B9CF7A8"/>
    <w:rsid w:val="3BA5C880"/>
    <w:rsid w:val="3BAB1A2D"/>
    <w:rsid w:val="3BB8E4B9"/>
    <w:rsid w:val="3BBB8942"/>
    <w:rsid w:val="3BC7AF45"/>
    <w:rsid w:val="3BC8046B"/>
    <w:rsid w:val="3BD5A107"/>
    <w:rsid w:val="3BE177F8"/>
    <w:rsid w:val="3BE64E0B"/>
    <w:rsid w:val="3BF673DE"/>
    <w:rsid w:val="3BF791D5"/>
    <w:rsid w:val="3C010EE1"/>
    <w:rsid w:val="3C0F8EA5"/>
    <w:rsid w:val="3C13C668"/>
    <w:rsid w:val="3C15AF43"/>
    <w:rsid w:val="3C17F5B2"/>
    <w:rsid w:val="3C1C6E89"/>
    <w:rsid w:val="3C1EAD01"/>
    <w:rsid w:val="3C249FA0"/>
    <w:rsid w:val="3C298AE9"/>
    <w:rsid w:val="3C2A71F1"/>
    <w:rsid w:val="3C3115A3"/>
    <w:rsid w:val="3C314940"/>
    <w:rsid w:val="3C35711F"/>
    <w:rsid w:val="3C378C2E"/>
    <w:rsid w:val="3C37B37A"/>
    <w:rsid w:val="3C384968"/>
    <w:rsid w:val="3C46A0AB"/>
    <w:rsid w:val="3C483D5A"/>
    <w:rsid w:val="3C48AB6E"/>
    <w:rsid w:val="3C4DE8A1"/>
    <w:rsid w:val="3C511E0E"/>
    <w:rsid w:val="3C57A028"/>
    <w:rsid w:val="3C584776"/>
    <w:rsid w:val="3C5A2D39"/>
    <w:rsid w:val="3C5DBB00"/>
    <w:rsid w:val="3C628731"/>
    <w:rsid w:val="3C62A18E"/>
    <w:rsid w:val="3C635278"/>
    <w:rsid w:val="3C63C3E0"/>
    <w:rsid w:val="3C63C8D4"/>
    <w:rsid w:val="3C6BF4FF"/>
    <w:rsid w:val="3C73510F"/>
    <w:rsid w:val="3C787D41"/>
    <w:rsid w:val="3C7EECD1"/>
    <w:rsid w:val="3C7F127F"/>
    <w:rsid w:val="3C8525B4"/>
    <w:rsid w:val="3C8DF407"/>
    <w:rsid w:val="3C92F8B6"/>
    <w:rsid w:val="3C9659B2"/>
    <w:rsid w:val="3CB2BE50"/>
    <w:rsid w:val="3CBCCB95"/>
    <w:rsid w:val="3CC67376"/>
    <w:rsid w:val="3CC7DC9A"/>
    <w:rsid w:val="3CCAC697"/>
    <w:rsid w:val="3CDA84D3"/>
    <w:rsid w:val="3CE372A3"/>
    <w:rsid w:val="3CE84FAA"/>
    <w:rsid w:val="3CED5D08"/>
    <w:rsid w:val="3CF68012"/>
    <w:rsid w:val="3CFCDDB8"/>
    <w:rsid w:val="3D01448E"/>
    <w:rsid w:val="3D086873"/>
    <w:rsid w:val="3D090C85"/>
    <w:rsid w:val="3D0E14D1"/>
    <w:rsid w:val="3D126293"/>
    <w:rsid w:val="3D1C559C"/>
    <w:rsid w:val="3D1CAA1F"/>
    <w:rsid w:val="3D26285B"/>
    <w:rsid w:val="3D2773D5"/>
    <w:rsid w:val="3D2928D6"/>
    <w:rsid w:val="3D2E8A88"/>
    <w:rsid w:val="3D2F29E3"/>
    <w:rsid w:val="3D38FF75"/>
    <w:rsid w:val="3D3FABA4"/>
    <w:rsid w:val="3D45086E"/>
    <w:rsid w:val="3D4D5F62"/>
    <w:rsid w:val="3D5003E4"/>
    <w:rsid w:val="3D53EFBA"/>
    <w:rsid w:val="3D57A511"/>
    <w:rsid w:val="3D627E79"/>
    <w:rsid w:val="3D641110"/>
    <w:rsid w:val="3D64B868"/>
    <w:rsid w:val="3D6BFB3F"/>
    <w:rsid w:val="3D6E55F6"/>
    <w:rsid w:val="3D7337A2"/>
    <w:rsid w:val="3D75BAB2"/>
    <w:rsid w:val="3D7AD409"/>
    <w:rsid w:val="3D85F523"/>
    <w:rsid w:val="3D894155"/>
    <w:rsid w:val="3D905BAE"/>
    <w:rsid w:val="3D93909F"/>
    <w:rsid w:val="3D9F836A"/>
    <w:rsid w:val="3DA1A557"/>
    <w:rsid w:val="3DADB34B"/>
    <w:rsid w:val="3DAEF6C7"/>
    <w:rsid w:val="3DB2FCF1"/>
    <w:rsid w:val="3DB52578"/>
    <w:rsid w:val="3DB780AB"/>
    <w:rsid w:val="3DB7A1FA"/>
    <w:rsid w:val="3DBAFB70"/>
    <w:rsid w:val="3DBBC703"/>
    <w:rsid w:val="3DBD0186"/>
    <w:rsid w:val="3DC9BF70"/>
    <w:rsid w:val="3DCAEEB7"/>
    <w:rsid w:val="3DD0964B"/>
    <w:rsid w:val="3DD530E5"/>
    <w:rsid w:val="3DF1541B"/>
    <w:rsid w:val="3DF237C7"/>
    <w:rsid w:val="3DF50A41"/>
    <w:rsid w:val="3DF7E21D"/>
    <w:rsid w:val="3E00A5B8"/>
    <w:rsid w:val="3E0C726E"/>
    <w:rsid w:val="3E0FEBEB"/>
    <w:rsid w:val="3E11624C"/>
    <w:rsid w:val="3E15675D"/>
    <w:rsid w:val="3E1F7023"/>
    <w:rsid w:val="3E20A3EA"/>
    <w:rsid w:val="3E2EBCD8"/>
    <w:rsid w:val="3E311DC3"/>
    <w:rsid w:val="3E360E77"/>
    <w:rsid w:val="3E411142"/>
    <w:rsid w:val="3E422D91"/>
    <w:rsid w:val="3E577285"/>
    <w:rsid w:val="3E5C2F34"/>
    <w:rsid w:val="3E66BE44"/>
    <w:rsid w:val="3E73AF77"/>
    <w:rsid w:val="3E762E65"/>
    <w:rsid w:val="3E86649D"/>
    <w:rsid w:val="3E8EE34D"/>
    <w:rsid w:val="3E8F7B12"/>
    <w:rsid w:val="3E92B2B9"/>
    <w:rsid w:val="3E979442"/>
    <w:rsid w:val="3E9AB3A2"/>
    <w:rsid w:val="3E9AE34D"/>
    <w:rsid w:val="3E9B116F"/>
    <w:rsid w:val="3EA0FBDC"/>
    <w:rsid w:val="3EA45855"/>
    <w:rsid w:val="3EA8088A"/>
    <w:rsid w:val="3EAAB91F"/>
    <w:rsid w:val="3EAC871D"/>
    <w:rsid w:val="3EB4B6CA"/>
    <w:rsid w:val="3EB702B4"/>
    <w:rsid w:val="3ECA83C5"/>
    <w:rsid w:val="3ECB3957"/>
    <w:rsid w:val="3ED6F7D2"/>
    <w:rsid w:val="3EDDFCBC"/>
    <w:rsid w:val="3EE61A2B"/>
    <w:rsid w:val="3EE9946A"/>
    <w:rsid w:val="3EEBD439"/>
    <w:rsid w:val="3EF0DA50"/>
    <w:rsid w:val="3EF381B5"/>
    <w:rsid w:val="3EF4DB2F"/>
    <w:rsid w:val="3EF6BD0C"/>
    <w:rsid w:val="3EF81214"/>
    <w:rsid w:val="3F0146F9"/>
    <w:rsid w:val="3F05C555"/>
    <w:rsid w:val="3F15D538"/>
    <w:rsid w:val="3F160D99"/>
    <w:rsid w:val="3F1FD097"/>
    <w:rsid w:val="3F30A740"/>
    <w:rsid w:val="3F36133D"/>
    <w:rsid w:val="3F5027CC"/>
    <w:rsid w:val="3F5627FB"/>
    <w:rsid w:val="3F5BC80E"/>
    <w:rsid w:val="3F5F7744"/>
    <w:rsid w:val="3F5FCF6E"/>
    <w:rsid w:val="3F6CC13F"/>
    <w:rsid w:val="3F6F4002"/>
    <w:rsid w:val="3F733F2A"/>
    <w:rsid w:val="3F7376EE"/>
    <w:rsid w:val="3F75620A"/>
    <w:rsid w:val="3F7D046C"/>
    <w:rsid w:val="3F7F4D89"/>
    <w:rsid w:val="3F8DA2CB"/>
    <w:rsid w:val="3F9DAED4"/>
    <w:rsid w:val="3FA2EE11"/>
    <w:rsid w:val="3FA3A810"/>
    <w:rsid w:val="3FA8505E"/>
    <w:rsid w:val="3FAB60FC"/>
    <w:rsid w:val="3FAFFBED"/>
    <w:rsid w:val="3FB9AD53"/>
    <w:rsid w:val="3FCBCE89"/>
    <w:rsid w:val="3FCDBC8A"/>
    <w:rsid w:val="3FCDFDC8"/>
    <w:rsid w:val="3FD7BB83"/>
    <w:rsid w:val="3FDA6205"/>
    <w:rsid w:val="3FE33D67"/>
    <w:rsid w:val="3FE64D9C"/>
    <w:rsid w:val="3FEC49CC"/>
    <w:rsid w:val="3FF08682"/>
    <w:rsid w:val="3FF54E11"/>
    <w:rsid w:val="3FF83F05"/>
    <w:rsid w:val="4001CA28"/>
    <w:rsid w:val="4011AD1F"/>
    <w:rsid w:val="40130D06"/>
    <w:rsid w:val="40195ED3"/>
    <w:rsid w:val="401A4EC4"/>
    <w:rsid w:val="401B4F13"/>
    <w:rsid w:val="401E12AB"/>
    <w:rsid w:val="4030C2BD"/>
    <w:rsid w:val="403EFC91"/>
    <w:rsid w:val="40423B9F"/>
    <w:rsid w:val="40447483"/>
    <w:rsid w:val="404FC31A"/>
    <w:rsid w:val="405239E6"/>
    <w:rsid w:val="405AAAB7"/>
    <w:rsid w:val="405CD199"/>
    <w:rsid w:val="4062701F"/>
    <w:rsid w:val="4063F64A"/>
    <w:rsid w:val="406C6F3F"/>
    <w:rsid w:val="406E80A3"/>
    <w:rsid w:val="406E908E"/>
    <w:rsid w:val="406EC2A3"/>
    <w:rsid w:val="40702E6D"/>
    <w:rsid w:val="40744EEA"/>
    <w:rsid w:val="40798079"/>
    <w:rsid w:val="407BE3EA"/>
    <w:rsid w:val="407E39EB"/>
    <w:rsid w:val="4080FAC1"/>
    <w:rsid w:val="40815AE1"/>
    <w:rsid w:val="40849729"/>
    <w:rsid w:val="408AE20F"/>
    <w:rsid w:val="408B2524"/>
    <w:rsid w:val="40A00419"/>
    <w:rsid w:val="40A2C9C6"/>
    <w:rsid w:val="40ADFD77"/>
    <w:rsid w:val="40B20904"/>
    <w:rsid w:val="40B668F4"/>
    <w:rsid w:val="40BC8B4B"/>
    <w:rsid w:val="40BED862"/>
    <w:rsid w:val="40C0C564"/>
    <w:rsid w:val="40C333C1"/>
    <w:rsid w:val="40C3AFB2"/>
    <w:rsid w:val="40C515C1"/>
    <w:rsid w:val="40C9CC18"/>
    <w:rsid w:val="40CCC4B5"/>
    <w:rsid w:val="40CE6261"/>
    <w:rsid w:val="40CF9DD4"/>
    <w:rsid w:val="40D18EB8"/>
    <w:rsid w:val="40D50CCE"/>
    <w:rsid w:val="40E49347"/>
    <w:rsid w:val="40E68F65"/>
    <w:rsid w:val="40F33950"/>
    <w:rsid w:val="40F4F536"/>
    <w:rsid w:val="40F6E4E2"/>
    <w:rsid w:val="41085938"/>
    <w:rsid w:val="410AAC61"/>
    <w:rsid w:val="410BC2BE"/>
    <w:rsid w:val="410D920F"/>
    <w:rsid w:val="41144A0A"/>
    <w:rsid w:val="411493B6"/>
    <w:rsid w:val="411F70A9"/>
    <w:rsid w:val="412B547C"/>
    <w:rsid w:val="412DA491"/>
    <w:rsid w:val="412FA9F8"/>
    <w:rsid w:val="41452241"/>
    <w:rsid w:val="414C2827"/>
    <w:rsid w:val="4150F364"/>
    <w:rsid w:val="4161B8DB"/>
    <w:rsid w:val="416B9C36"/>
    <w:rsid w:val="416D8725"/>
    <w:rsid w:val="41739CFB"/>
    <w:rsid w:val="41825E47"/>
    <w:rsid w:val="418A3156"/>
    <w:rsid w:val="418B8FF2"/>
    <w:rsid w:val="418F9277"/>
    <w:rsid w:val="419013D2"/>
    <w:rsid w:val="41946CF1"/>
    <w:rsid w:val="419A40DD"/>
    <w:rsid w:val="41A300BF"/>
    <w:rsid w:val="41A33388"/>
    <w:rsid w:val="41A6711D"/>
    <w:rsid w:val="41AB9D76"/>
    <w:rsid w:val="41AC1C54"/>
    <w:rsid w:val="41B0F365"/>
    <w:rsid w:val="41B30E58"/>
    <w:rsid w:val="41B3AACD"/>
    <w:rsid w:val="41B85E38"/>
    <w:rsid w:val="41C02480"/>
    <w:rsid w:val="41C97283"/>
    <w:rsid w:val="41CF1145"/>
    <w:rsid w:val="41CF54B9"/>
    <w:rsid w:val="41DE1922"/>
    <w:rsid w:val="41DFD7BD"/>
    <w:rsid w:val="41E02EC8"/>
    <w:rsid w:val="41E1366B"/>
    <w:rsid w:val="41E70006"/>
    <w:rsid w:val="41EB9553"/>
    <w:rsid w:val="41F43881"/>
    <w:rsid w:val="41F48C04"/>
    <w:rsid w:val="41FA4C07"/>
    <w:rsid w:val="41FEC196"/>
    <w:rsid w:val="4206AC09"/>
    <w:rsid w:val="420C3FD6"/>
    <w:rsid w:val="421B7355"/>
    <w:rsid w:val="421EAEC4"/>
    <w:rsid w:val="42211042"/>
    <w:rsid w:val="42227B76"/>
    <w:rsid w:val="4222EA1F"/>
    <w:rsid w:val="42279983"/>
    <w:rsid w:val="422E413C"/>
    <w:rsid w:val="4231437F"/>
    <w:rsid w:val="423305FC"/>
    <w:rsid w:val="4237636A"/>
    <w:rsid w:val="423980AC"/>
    <w:rsid w:val="423C9258"/>
    <w:rsid w:val="423E8313"/>
    <w:rsid w:val="424C1FB5"/>
    <w:rsid w:val="424D3F94"/>
    <w:rsid w:val="42538040"/>
    <w:rsid w:val="42596E85"/>
    <w:rsid w:val="426199C0"/>
    <w:rsid w:val="4262B4C3"/>
    <w:rsid w:val="426FAC0F"/>
    <w:rsid w:val="4271F2BB"/>
    <w:rsid w:val="4275FF7D"/>
    <w:rsid w:val="428B3D12"/>
    <w:rsid w:val="428B6EEB"/>
    <w:rsid w:val="428E0F14"/>
    <w:rsid w:val="428FDAF5"/>
    <w:rsid w:val="4291D08F"/>
    <w:rsid w:val="4292B543"/>
    <w:rsid w:val="4295FC70"/>
    <w:rsid w:val="429C9393"/>
    <w:rsid w:val="429D0AA5"/>
    <w:rsid w:val="42A73771"/>
    <w:rsid w:val="42A7B098"/>
    <w:rsid w:val="42ABF3D9"/>
    <w:rsid w:val="42ADF2CA"/>
    <w:rsid w:val="42AEF9E7"/>
    <w:rsid w:val="42B31A2D"/>
    <w:rsid w:val="42B5275A"/>
    <w:rsid w:val="42B8459A"/>
    <w:rsid w:val="42BDABFE"/>
    <w:rsid w:val="42C4D0DF"/>
    <w:rsid w:val="42D4F685"/>
    <w:rsid w:val="42D84013"/>
    <w:rsid w:val="42D9836A"/>
    <w:rsid w:val="42DE64F8"/>
    <w:rsid w:val="42E806B5"/>
    <w:rsid w:val="42EBA471"/>
    <w:rsid w:val="42F2F17F"/>
    <w:rsid w:val="42F3B46C"/>
    <w:rsid w:val="42F5B1EF"/>
    <w:rsid w:val="42F68C14"/>
    <w:rsid w:val="430323C3"/>
    <w:rsid w:val="43073173"/>
    <w:rsid w:val="4307F512"/>
    <w:rsid w:val="430851EC"/>
    <w:rsid w:val="43098B02"/>
    <w:rsid w:val="430D7865"/>
    <w:rsid w:val="43150967"/>
    <w:rsid w:val="43174D82"/>
    <w:rsid w:val="431F0F98"/>
    <w:rsid w:val="4327D380"/>
    <w:rsid w:val="432946B4"/>
    <w:rsid w:val="432A9119"/>
    <w:rsid w:val="432CCAF2"/>
    <w:rsid w:val="432CFE26"/>
    <w:rsid w:val="432FF9E9"/>
    <w:rsid w:val="4331A3BF"/>
    <w:rsid w:val="433CBFE6"/>
    <w:rsid w:val="433E3E79"/>
    <w:rsid w:val="43426E87"/>
    <w:rsid w:val="434CD1AD"/>
    <w:rsid w:val="4352B887"/>
    <w:rsid w:val="43578915"/>
    <w:rsid w:val="4358C2BE"/>
    <w:rsid w:val="435943B7"/>
    <w:rsid w:val="43674401"/>
    <w:rsid w:val="436914D4"/>
    <w:rsid w:val="4369422B"/>
    <w:rsid w:val="436AE327"/>
    <w:rsid w:val="436F7CED"/>
    <w:rsid w:val="437086BA"/>
    <w:rsid w:val="43845444"/>
    <w:rsid w:val="43885501"/>
    <w:rsid w:val="4388ADDD"/>
    <w:rsid w:val="438E4542"/>
    <w:rsid w:val="439961B5"/>
    <w:rsid w:val="439C6234"/>
    <w:rsid w:val="43A37889"/>
    <w:rsid w:val="43A7E258"/>
    <w:rsid w:val="43A8AE20"/>
    <w:rsid w:val="43B86011"/>
    <w:rsid w:val="43C6C331"/>
    <w:rsid w:val="43CB6AB6"/>
    <w:rsid w:val="43CF46DC"/>
    <w:rsid w:val="43CF857F"/>
    <w:rsid w:val="43D3289E"/>
    <w:rsid w:val="43D7311A"/>
    <w:rsid w:val="43DF3633"/>
    <w:rsid w:val="43E995D2"/>
    <w:rsid w:val="43F2F94E"/>
    <w:rsid w:val="43F38D08"/>
    <w:rsid w:val="43F3D129"/>
    <w:rsid w:val="43FDE2B7"/>
    <w:rsid w:val="43FF852B"/>
    <w:rsid w:val="4415C667"/>
    <w:rsid w:val="4418CCAF"/>
    <w:rsid w:val="4419E10C"/>
    <w:rsid w:val="442B02D0"/>
    <w:rsid w:val="442B6BEA"/>
    <w:rsid w:val="4438AF09"/>
    <w:rsid w:val="444385CA"/>
    <w:rsid w:val="444465CD"/>
    <w:rsid w:val="444C3B59"/>
    <w:rsid w:val="44519229"/>
    <w:rsid w:val="445F9980"/>
    <w:rsid w:val="44600AC0"/>
    <w:rsid w:val="4466D2B0"/>
    <w:rsid w:val="44688E12"/>
    <w:rsid w:val="446BAC55"/>
    <w:rsid w:val="4481BCD0"/>
    <w:rsid w:val="4486761E"/>
    <w:rsid w:val="44947CE2"/>
    <w:rsid w:val="44956F9C"/>
    <w:rsid w:val="4497228A"/>
    <w:rsid w:val="449A960E"/>
    <w:rsid w:val="449C8FBB"/>
    <w:rsid w:val="449FB169"/>
    <w:rsid w:val="44A46E2D"/>
    <w:rsid w:val="44A921BF"/>
    <w:rsid w:val="44AD4182"/>
    <w:rsid w:val="44AFF94D"/>
    <w:rsid w:val="44B50E0C"/>
    <w:rsid w:val="44B6958F"/>
    <w:rsid w:val="44BB6F69"/>
    <w:rsid w:val="44BC4D60"/>
    <w:rsid w:val="44C6707A"/>
    <w:rsid w:val="44D1ECE3"/>
    <w:rsid w:val="44DB24D6"/>
    <w:rsid w:val="44E53A54"/>
    <w:rsid w:val="44E66AD4"/>
    <w:rsid w:val="44F39227"/>
    <w:rsid w:val="44F7E84B"/>
    <w:rsid w:val="44F7F96B"/>
    <w:rsid w:val="44FC855A"/>
    <w:rsid w:val="4501B228"/>
    <w:rsid w:val="45054FC9"/>
    <w:rsid w:val="4509583B"/>
    <w:rsid w:val="450B6662"/>
    <w:rsid w:val="450D0E67"/>
    <w:rsid w:val="450D9679"/>
    <w:rsid w:val="451071ED"/>
    <w:rsid w:val="451242D2"/>
    <w:rsid w:val="451617A3"/>
    <w:rsid w:val="45185124"/>
    <w:rsid w:val="451A52A6"/>
    <w:rsid w:val="452056F6"/>
    <w:rsid w:val="45218B78"/>
    <w:rsid w:val="4525B9C4"/>
    <w:rsid w:val="45315AC0"/>
    <w:rsid w:val="4531A402"/>
    <w:rsid w:val="4534A762"/>
    <w:rsid w:val="453549D6"/>
    <w:rsid w:val="453FE6DA"/>
    <w:rsid w:val="4543B2B9"/>
    <w:rsid w:val="45491601"/>
    <w:rsid w:val="454DC894"/>
    <w:rsid w:val="454EAC30"/>
    <w:rsid w:val="454FFCB9"/>
    <w:rsid w:val="45512E89"/>
    <w:rsid w:val="455268FE"/>
    <w:rsid w:val="4558AEDC"/>
    <w:rsid w:val="455E5C32"/>
    <w:rsid w:val="456303B3"/>
    <w:rsid w:val="45635FDA"/>
    <w:rsid w:val="45666F9E"/>
    <w:rsid w:val="456FA676"/>
    <w:rsid w:val="458E0154"/>
    <w:rsid w:val="459E99E3"/>
    <w:rsid w:val="459F3F8D"/>
    <w:rsid w:val="45A557C0"/>
    <w:rsid w:val="45A8EE41"/>
    <w:rsid w:val="45AE26A5"/>
    <w:rsid w:val="45B231C3"/>
    <w:rsid w:val="45B25E69"/>
    <w:rsid w:val="45B6B00F"/>
    <w:rsid w:val="45BAF5B0"/>
    <w:rsid w:val="45C28E05"/>
    <w:rsid w:val="45C5795F"/>
    <w:rsid w:val="45CDFDB3"/>
    <w:rsid w:val="45D00EDD"/>
    <w:rsid w:val="45D2A1C0"/>
    <w:rsid w:val="45D778D8"/>
    <w:rsid w:val="45DEB8B3"/>
    <w:rsid w:val="45DF81DA"/>
    <w:rsid w:val="45DFA90B"/>
    <w:rsid w:val="45E0643A"/>
    <w:rsid w:val="45E27179"/>
    <w:rsid w:val="45E920EE"/>
    <w:rsid w:val="45EE8C5D"/>
    <w:rsid w:val="45EF08D4"/>
    <w:rsid w:val="45FB0959"/>
    <w:rsid w:val="45FB1903"/>
    <w:rsid w:val="45FC6AA4"/>
    <w:rsid w:val="45FF36BB"/>
    <w:rsid w:val="46020BAE"/>
    <w:rsid w:val="4603F90C"/>
    <w:rsid w:val="4608CFCC"/>
    <w:rsid w:val="46164485"/>
    <w:rsid w:val="461975ED"/>
    <w:rsid w:val="4620A7B1"/>
    <w:rsid w:val="4624A983"/>
    <w:rsid w:val="462F3914"/>
    <w:rsid w:val="4630C6B6"/>
    <w:rsid w:val="463A32B3"/>
    <w:rsid w:val="463A7B4E"/>
    <w:rsid w:val="4640C577"/>
    <w:rsid w:val="46420CED"/>
    <w:rsid w:val="464A2A79"/>
    <w:rsid w:val="464C8C56"/>
    <w:rsid w:val="464E41A8"/>
    <w:rsid w:val="464F02DC"/>
    <w:rsid w:val="46534534"/>
    <w:rsid w:val="4654DF9D"/>
    <w:rsid w:val="46564C86"/>
    <w:rsid w:val="465D182C"/>
    <w:rsid w:val="465F817B"/>
    <w:rsid w:val="465FF27D"/>
    <w:rsid w:val="4666C7F5"/>
    <w:rsid w:val="466785C9"/>
    <w:rsid w:val="4679DF2C"/>
    <w:rsid w:val="467A9D6A"/>
    <w:rsid w:val="46843FC0"/>
    <w:rsid w:val="46858800"/>
    <w:rsid w:val="46864946"/>
    <w:rsid w:val="468DA8A0"/>
    <w:rsid w:val="4695263D"/>
    <w:rsid w:val="469D3D53"/>
    <w:rsid w:val="46A02E7C"/>
    <w:rsid w:val="46A6D8FC"/>
    <w:rsid w:val="46A81493"/>
    <w:rsid w:val="46A90744"/>
    <w:rsid w:val="46B3531F"/>
    <w:rsid w:val="46BEB621"/>
    <w:rsid w:val="46BFD3B9"/>
    <w:rsid w:val="46CA4691"/>
    <w:rsid w:val="46CF81C7"/>
    <w:rsid w:val="46D89B3C"/>
    <w:rsid w:val="46E2E394"/>
    <w:rsid w:val="46E77B7F"/>
    <w:rsid w:val="46E8731A"/>
    <w:rsid w:val="46E9D3AD"/>
    <w:rsid w:val="46EF778F"/>
    <w:rsid w:val="46F0C45F"/>
    <w:rsid w:val="46F11280"/>
    <w:rsid w:val="46F18236"/>
    <w:rsid w:val="46F2E4A6"/>
    <w:rsid w:val="46F40B95"/>
    <w:rsid w:val="46F54B37"/>
    <w:rsid w:val="46FEEE7E"/>
    <w:rsid w:val="470F0752"/>
    <w:rsid w:val="4712AB22"/>
    <w:rsid w:val="471424D4"/>
    <w:rsid w:val="471496DF"/>
    <w:rsid w:val="471D5DD5"/>
    <w:rsid w:val="4723F51F"/>
    <w:rsid w:val="4725E519"/>
    <w:rsid w:val="47268D9A"/>
    <w:rsid w:val="472700A6"/>
    <w:rsid w:val="4739A9CE"/>
    <w:rsid w:val="473F3A5F"/>
    <w:rsid w:val="474A91A3"/>
    <w:rsid w:val="474BDECC"/>
    <w:rsid w:val="474D8E51"/>
    <w:rsid w:val="4754F35D"/>
    <w:rsid w:val="475606BB"/>
    <w:rsid w:val="4756D1F8"/>
    <w:rsid w:val="47602166"/>
    <w:rsid w:val="47737F79"/>
    <w:rsid w:val="4773EFD6"/>
    <w:rsid w:val="4774E692"/>
    <w:rsid w:val="477C095A"/>
    <w:rsid w:val="477DC528"/>
    <w:rsid w:val="477E067C"/>
    <w:rsid w:val="478CB9CE"/>
    <w:rsid w:val="4798C559"/>
    <w:rsid w:val="479F1633"/>
    <w:rsid w:val="479FB6AC"/>
    <w:rsid w:val="47A55266"/>
    <w:rsid w:val="47A686C0"/>
    <w:rsid w:val="47B34EDF"/>
    <w:rsid w:val="47B3A5CD"/>
    <w:rsid w:val="47BF81FC"/>
    <w:rsid w:val="47C49CBC"/>
    <w:rsid w:val="47D0A9C7"/>
    <w:rsid w:val="47EB1100"/>
    <w:rsid w:val="47EFB999"/>
    <w:rsid w:val="47FA1358"/>
    <w:rsid w:val="4810081B"/>
    <w:rsid w:val="4810792E"/>
    <w:rsid w:val="4816B0F7"/>
    <w:rsid w:val="48224B7D"/>
    <w:rsid w:val="482DA7B7"/>
    <w:rsid w:val="482F7B46"/>
    <w:rsid w:val="4832F921"/>
    <w:rsid w:val="483FC320"/>
    <w:rsid w:val="48409541"/>
    <w:rsid w:val="484348A3"/>
    <w:rsid w:val="4844B0C7"/>
    <w:rsid w:val="48483638"/>
    <w:rsid w:val="484A8AA0"/>
    <w:rsid w:val="484A9EC9"/>
    <w:rsid w:val="484C2BB6"/>
    <w:rsid w:val="484EB6B4"/>
    <w:rsid w:val="484F0BD6"/>
    <w:rsid w:val="486D0F7B"/>
    <w:rsid w:val="4875D034"/>
    <w:rsid w:val="4875E335"/>
    <w:rsid w:val="48767740"/>
    <w:rsid w:val="487AC0DE"/>
    <w:rsid w:val="487E08E8"/>
    <w:rsid w:val="48803664"/>
    <w:rsid w:val="4883CD7B"/>
    <w:rsid w:val="4883FC7A"/>
    <w:rsid w:val="48892B1A"/>
    <w:rsid w:val="488E430B"/>
    <w:rsid w:val="4895D583"/>
    <w:rsid w:val="489CA8D1"/>
    <w:rsid w:val="48A24DE2"/>
    <w:rsid w:val="48A31EE4"/>
    <w:rsid w:val="48A6E920"/>
    <w:rsid w:val="48AC121D"/>
    <w:rsid w:val="48B44044"/>
    <w:rsid w:val="48C69D15"/>
    <w:rsid w:val="48C75432"/>
    <w:rsid w:val="48CC6FA7"/>
    <w:rsid w:val="48CDC95F"/>
    <w:rsid w:val="48D58A68"/>
    <w:rsid w:val="48D5E871"/>
    <w:rsid w:val="48D6AB36"/>
    <w:rsid w:val="48D6D6FA"/>
    <w:rsid w:val="48DC473C"/>
    <w:rsid w:val="48DFF25E"/>
    <w:rsid w:val="48E06F0B"/>
    <w:rsid w:val="48E7C6DB"/>
    <w:rsid w:val="48EB3B9F"/>
    <w:rsid w:val="48F819EE"/>
    <w:rsid w:val="4900B4DA"/>
    <w:rsid w:val="4904AAAF"/>
    <w:rsid w:val="490D60D2"/>
    <w:rsid w:val="49141DFB"/>
    <w:rsid w:val="49155295"/>
    <w:rsid w:val="491C8953"/>
    <w:rsid w:val="491E9FC5"/>
    <w:rsid w:val="49237D46"/>
    <w:rsid w:val="49277382"/>
    <w:rsid w:val="49288923"/>
    <w:rsid w:val="492D7CD2"/>
    <w:rsid w:val="492E442C"/>
    <w:rsid w:val="4938B907"/>
    <w:rsid w:val="493FDA2C"/>
    <w:rsid w:val="4954AB70"/>
    <w:rsid w:val="4955699A"/>
    <w:rsid w:val="495A3B16"/>
    <w:rsid w:val="495B2532"/>
    <w:rsid w:val="496CA021"/>
    <w:rsid w:val="496D99A5"/>
    <w:rsid w:val="4975EB72"/>
    <w:rsid w:val="49785BA1"/>
    <w:rsid w:val="497AC4EC"/>
    <w:rsid w:val="497D8B25"/>
    <w:rsid w:val="497E35FB"/>
    <w:rsid w:val="49823CAB"/>
    <w:rsid w:val="498CAE57"/>
    <w:rsid w:val="49907D0E"/>
    <w:rsid w:val="499420DE"/>
    <w:rsid w:val="49973B32"/>
    <w:rsid w:val="49A8F703"/>
    <w:rsid w:val="49B111E9"/>
    <w:rsid w:val="49B19665"/>
    <w:rsid w:val="49B2C43C"/>
    <w:rsid w:val="49B39FD9"/>
    <w:rsid w:val="49BA05AC"/>
    <w:rsid w:val="49BDE1E4"/>
    <w:rsid w:val="49C1CFE1"/>
    <w:rsid w:val="49C4BD3A"/>
    <w:rsid w:val="49CAF92C"/>
    <w:rsid w:val="49CDBA88"/>
    <w:rsid w:val="49D4DE0F"/>
    <w:rsid w:val="49D60B8A"/>
    <w:rsid w:val="49D9E6D9"/>
    <w:rsid w:val="49DED88C"/>
    <w:rsid w:val="49DFEB5C"/>
    <w:rsid w:val="49E8E56B"/>
    <w:rsid w:val="49F1C2CF"/>
    <w:rsid w:val="49F6C01F"/>
    <w:rsid w:val="4A074D77"/>
    <w:rsid w:val="4A107C97"/>
    <w:rsid w:val="4A12BB36"/>
    <w:rsid w:val="4A1510EB"/>
    <w:rsid w:val="4A2209F8"/>
    <w:rsid w:val="4A290DC7"/>
    <w:rsid w:val="4A2E307E"/>
    <w:rsid w:val="4A321BDA"/>
    <w:rsid w:val="4A3340B5"/>
    <w:rsid w:val="4A345AF3"/>
    <w:rsid w:val="4A36C5AA"/>
    <w:rsid w:val="4A36E8CA"/>
    <w:rsid w:val="4A38D99D"/>
    <w:rsid w:val="4A3F16CA"/>
    <w:rsid w:val="4A45FBD9"/>
    <w:rsid w:val="4A52AFC7"/>
    <w:rsid w:val="4A58AA66"/>
    <w:rsid w:val="4A5A76CE"/>
    <w:rsid w:val="4A613E86"/>
    <w:rsid w:val="4A6AE5D2"/>
    <w:rsid w:val="4A7D8B41"/>
    <w:rsid w:val="4A7DA59F"/>
    <w:rsid w:val="4A91318D"/>
    <w:rsid w:val="4A933261"/>
    <w:rsid w:val="4A9560C2"/>
    <w:rsid w:val="4A95B77F"/>
    <w:rsid w:val="4A9880D6"/>
    <w:rsid w:val="4AA162F0"/>
    <w:rsid w:val="4AA49476"/>
    <w:rsid w:val="4AA94BF3"/>
    <w:rsid w:val="4AAD1408"/>
    <w:rsid w:val="4AAF25E8"/>
    <w:rsid w:val="4AC062B4"/>
    <w:rsid w:val="4AC0E6CD"/>
    <w:rsid w:val="4AC0F7F2"/>
    <w:rsid w:val="4AC4D826"/>
    <w:rsid w:val="4AC58885"/>
    <w:rsid w:val="4AC71E07"/>
    <w:rsid w:val="4AC72E61"/>
    <w:rsid w:val="4ACE84FD"/>
    <w:rsid w:val="4AD1B42C"/>
    <w:rsid w:val="4AD7AB51"/>
    <w:rsid w:val="4AE1005C"/>
    <w:rsid w:val="4AE26813"/>
    <w:rsid w:val="4AE3A2CC"/>
    <w:rsid w:val="4AEE1921"/>
    <w:rsid w:val="4AF06CF7"/>
    <w:rsid w:val="4AF08AC9"/>
    <w:rsid w:val="4AF186A1"/>
    <w:rsid w:val="4AF1FB41"/>
    <w:rsid w:val="4AF294B2"/>
    <w:rsid w:val="4AFBC558"/>
    <w:rsid w:val="4B01B869"/>
    <w:rsid w:val="4B05FF75"/>
    <w:rsid w:val="4B0ABBD3"/>
    <w:rsid w:val="4B12EF37"/>
    <w:rsid w:val="4B2286DB"/>
    <w:rsid w:val="4B24D8B6"/>
    <w:rsid w:val="4B271657"/>
    <w:rsid w:val="4B3A456F"/>
    <w:rsid w:val="4B3CF037"/>
    <w:rsid w:val="4B3D814B"/>
    <w:rsid w:val="4B49B6C4"/>
    <w:rsid w:val="4B4DFEE9"/>
    <w:rsid w:val="4B5AB9DA"/>
    <w:rsid w:val="4B651443"/>
    <w:rsid w:val="4B660027"/>
    <w:rsid w:val="4B682A23"/>
    <w:rsid w:val="4B68FC07"/>
    <w:rsid w:val="4B6D07AD"/>
    <w:rsid w:val="4B6DFA3A"/>
    <w:rsid w:val="4B70497F"/>
    <w:rsid w:val="4B73B421"/>
    <w:rsid w:val="4B77E837"/>
    <w:rsid w:val="4B874D90"/>
    <w:rsid w:val="4B8A3999"/>
    <w:rsid w:val="4B910905"/>
    <w:rsid w:val="4BA3CD81"/>
    <w:rsid w:val="4BA54A89"/>
    <w:rsid w:val="4BA7F0C9"/>
    <w:rsid w:val="4BA8486B"/>
    <w:rsid w:val="4BABA0A9"/>
    <w:rsid w:val="4BB2494E"/>
    <w:rsid w:val="4BC077C2"/>
    <w:rsid w:val="4BD5374C"/>
    <w:rsid w:val="4BDD28EF"/>
    <w:rsid w:val="4BDECB71"/>
    <w:rsid w:val="4BE275C6"/>
    <w:rsid w:val="4BE53EBD"/>
    <w:rsid w:val="4BF2B80F"/>
    <w:rsid w:val="4BF2C25D"/>
    <w:rsid w:val="4BF5F3BA"/>
    <w:rsid w:val="4BF94AEC"/>
    <w:rsid w:val="4BF9B5D3"/>
    <w:rsid w:val="4BFAB9E3"/>
    <w:rsid w:val="4BFAF8A4"/>
    <w:rsid w:val="4C039421"/>
    <w:rsid w:val="4C0C68EF"/>
    <w:rsid w:val="4C1AA4F0"/>
    <w:rsid w:val="4C1E8958"/>
    <w:rsid w:val="4C2828F6"/>
    <w:rsid w:val="4C2C5EE3"/>
    <w:rsid w:val="4C310B08"/>
    <w:rsid w:val="4C31EC87"/>
    <w:rsid w:val="4C32A8C0"/>
    <w:rsid w:val="4C34F15A"/>
    <w:rsid w:val="4C35E3C1"/>
    <w:rsid w:val="4C3A7984"/>
    <w:rsid w:val="4C3B23BB"/>
    <w:rsid w:val="4C400C0D"/>
    <w:rsid w:val="4C462FF1"/>
    <w:rsid w:val="4C476F31"/>
    <w:rsid w:val="4C4C0EC2"/>
    <w:rsid w:val="4C4C4FF0"/>
    <w:rsid w:val="4C4CA2C1"/>
    <w:rsid w:val="4C512F7F"/>
    <w:rsid w:val="4C54A1B6"/>
    <w:rsid w:val="4C571DC7"/>
    <w:rsid w:val="4C6E4B79"/>
    <w:rsid w:val="4C6E65D2"/>
    <w:rsid w:val="4C7973CD"/>
    <w:rsid w:val="4C79EB60"/>
    <w:rsid w:val="4C7B8A1B"/>
    <w:rsid w:val="4C7BD02A"/>
    <w:rsid w:val="4C7C4CB8"/>
    <w:rsid w:val="4C8B516C"/>
    <w:rsid w:val="4C972572"/>
    <w:rsid w:val="4C99D5B5"/>
    <w:rsid w:val="4C9BA7F0"/>
    <w:rsid w:val="4CA6259B"/>
    <w:rsid w:val="4CA7DC45"/>
    <w:rsid w:val="4CB554F9"/>
    <w:rsid w:val="4CB9215E"/>
    <w:rsid w:val="4CBE7018"/>
    <w:rsid w:val="4CCD63C8"/>
    <w:rsid w:val="4CD1C1B4"/>
    <w:rsid w:val="4CD3107A"/>
    <w:rsid w:val="4CD3A883"/>
    <w:rsid w:val="4CD68585"/>
    <w:rsid w:val="4CD80ABC"/>
    <w:rsid w:val="4CE35E6C"/>
    <w:rsid w:val="4CE3A3A9"/>
    <w:rsid w:val="4CE45F63"/>
    <w:rsid w:val="4CE6859A"/>
    <w:rsid w:val="4CED5ACD"/>
    <w:rsid w:val="4CF5E946"/>
    <w:rsid w:val="4CF634F2"/>
    <w:rsid w:val="4CFA1D9E"/>
    <w:rsid w:val="4CFB43C6"/>
    <w:rsid w:val="4CFC1A2D"/>
    <w:rsid w:val="4CFF2AFC"/>
    <w:rsid w:val="4D0051A8"/>
    <w:rsid w:val="4D0136B3"/>
    <w:rsid w:val="4D0326EE"/>
    <w:rsid w:val="4D040A3F"/>
    <w:rsid w:val="4D05F625"/>
    <w:rsid w:val="4D15D569"/>
    <w:rsid w:val="4D1ECC2C"/>
    <w:rsid w:val="4D2D1A05"/>
    <w:rsid w:val="4D312C4A"/>
    <w:rsid w:val="4D36F2A3"/>
    <w:rsid w:val="4D41EBA2"/>
    <w:rsid w:val="4D4D23FA"/>
    <w:rsid w:val="4D5473FB"/>
    <w:rsid w:val="4D5553EB"/>
    <w:rsid w:val="4D57FB64"/>
    <w:rsid w:val="4D65D1E2"/>
    <w:rsid w:val="4D67B111"/>
    <w:rsid w:val="4D6D09E5"/>
    <w:rsid w:val="4D71027C"/>
    <w:rsid w:val="4D75BF05"/>
    <w:rsid w:val="4D873ECF"/>
    <w:rsid w:val="4D89AACA"/>
    <w:rsid w:val="4D8ACBCC"/>
    <w:rsid w:val="4D8B8152"/>
    <w:rsid w:val="4D8F1EED"/>
    <w:rsid w:val="4D9069A7"/>
    <w:rsid w:val="4D98B487"/>
    <w:rsid w:val="4D9F8DFF"/>
    <w:rsid w:val="4DA11CF0"/>
    <w:rsid w:val="4DA8B223"/>
    <w:rsid w:val="4DB4EFBB"/>
    <w:rsid w:val="4DBC4AF4"/>
    <w:rsid w:val="4DBD1437"/>
    <w:rsid w:val="4DBD53AF"/>
    <w:rsid w:val="4DBD5960"/>
    <w:rsid w:val="4DC83AD7"/>
    <w:rsid w:val="4DCB2659"/>
    <w:rsid w:val="4DCF11E0"/>
    <w:rsid w:val="4DCFE9DE"/>
    <w:rsid w:val="4DD650D7"/>
    <w:rsid w:val="4DDBA6DC"/>
    <w:rsid w:val="4DDFCCA0"/>
    <w:rsid w:val="4DE114F3"/>
    <w:rsid w:val="4DE16037"/>
    <w:rsid w:val="4DF0ADFC"/>
    <w:rsid w:val="4DF120EB"/>
    <w:rsid w:val="4DFB3CB0"/>
    <w:rsid w:val="4DFC4EDD"/>
    <w:rsid w:val="4DFD57BC"/>
    <w:rsid w:val="4E007EF9"/>
    <w:rsid w:val="4E04EB07"/>
    <w:rsid w:val="4E0563C5"/>
    <w:rsid w:val="4E0B8BDE"/>
    <w:rsid w:val="4E10F746"/>
    <w:rsid w:val="4E1A9382"/>
    <w:rsid w:val="4E2E87C0"/>
    <w:rsid w:val="4E310599"/>
    <w:rsid w:val="4E363C95"/>
    <w:rsid w:val="4E374758"/>
    <w:rsid w:val="4E3C7198"/>
    <w:rsid w:val="4E3CD179"/>
    <w:rsid w:val="4E3E5E3B"/>
    <w:rsid w:val="4E3FDB94"/>
    <w:rsid w:val="4E55B9D8"/>
    <w:rsid w:val="4E56EC9D"/>
    <w:rsid w:val="4E596201"/>
    <w:rsid w:val="4E5DE661"/>
    <w:rsid w:val="4E6FC8F7"/>
    <w:rsid w:val="4E7002B8"/>
    <w:rsid w:val="4E7A0530"/>
    <w:rsid w:val="4E7C2E3E"/>
    <w:rsid w:val="4E7C7727"/>
    <w:rsid w:val="4E7EB948"/>
    <w:rsid w:val="4E811194"/>
    <w:rsid w:val="4E8D1FA6"/>
    <w:rsid w:val="4E989DD3"/>
    <w:rsid w:val="4EA4D7BB"/>
    <w:rsid w:val="4EB5DF42"/>
    <w:rsid w:val="4EB7B7F9"/>
    <w:rsid w:val="4EB8FA51"/>
    <w:rsid w:val="4EB9CA09"/>
    <w:rsid w:val="4EBAFF3A"/>
    <w:rsid w:val="4EC05D9B"/>
    <w:rsid w:val="4ECB8CCF"/>
    <w:rsid w:val="4ECBAE66"/>
    <w:rsid w:val="4ECCD47E"/>
    <w:rsid w:val="4ECDB888"/>
    <w:rsid w:val="4ED3B8D3"/>
    <w:rsid w:val="4ED9EC65"/>
    <w:rsid w:val="4EDEAFB9"/>
    <w:rsid w:val="4EE1F88F"/>
    <w:rsid w:val="4EE3AA76"/>
    <w:rsid w:val="4EE8DD60"/>
    <w:rsid w:val="4EE9B3B0"/>
    <w:rsid w:val="4EE9D7DE"/>
    <w:rsid w:val="4EEFAC4D"/>
    <w:rsid w:val="4EF1C58E"/>
    <w:rsid w:val="4F00C134"/>
    <w:rsid w:val="4F02B824"/>
    <w:rsid w:val="4F034F3D"/>
    <w:rsid w:val="4F0A9DAD"/>
    <w:rsid w:val="4F1484B6"/>
    <w:rsid w:val="4F23BC76"/>
    <w:rsid w:val="4F249FA0"/>
    <w:rsid w:val="4F2AF559"/>
    <w:rsid w:val="4F412B69"/>
    <w:rsid w:val="4F470DBB"/>
    <w:rsid w:val="4F496C67"/>
    <w:rsid w:val="4F4B9389"/>
    <w:rsid w:val="4F56BEDB"/>
    <w:rsid w:val="4F593299"/>
    <w:rsid w:val="4F5A2104"/>
    <w:rsid w:val="4F5B68CE"/>
    <w:rsid w:val="4F5FB1E4"/>
    <w:rsid w:val="4F63B913"/>
    <w:rsid w:val="4F6FDCE4"/>
    <w:rsid w:val="4F7655CB"/>
    <w:rsid w:val="4F7B9C7B"/>
    <w:rsid w:val="4F7C48BA"/>
    <w:rsid w:val="4F7E540E"/>
    <w:rsid w:val="4F7EE53A"/>
    <w:rsid w:val="4F80AE97"/>
    <w:rsid w:val="4F821E2A"/>
    <w:rsid w:val="4F87C023"/>
    <w:rsid w:val="4F8BE9A4"/>
    <w:rsid w:val="4F8EEEFB"/>
    <w:rsid w:val="4F94BBE1"/>
    <w:rsid w:val="4F97DCD6"/>
    <w:rsid w:val="4F9C8D0B"/>
    <w:rsid w:val="4FA0B8D2"/>
    <w:rsid w:val="4FA3E1C0"/>
    <w:rsid w:val="4FA9DD67"/>
    <w:rsid w:val="4FADECC0"/>
    <w:rsid w:val="4FB9F8A6"/>
    <w:rsid w:val="4FBE0F50"/>
    <w:rsid w:val="4FCABBE4"/>
    <w:rsid w:val="4FCD7D61"/>
    <w:rsid w:val="4FD49720"/>
    <w:rsid w:val="4FD849EE"/>
    <w:rsid w:val="4FD948E6"/>
    <w:rsid w:val="4FE0211B"/>
    <w:rsid w:val="4FE5A43B"/>
    <w:rsid w:val="4FF8C4FD"/>
    <w:rsid w:val="4FF921E5"/>
    <w:rsid w:val="4FF95D95"/>
    <w:rsid w:val="4FFAB66B"/>
    <w:rsid w:val="4FFE4670"/>
    <w:rsid w:val="5000E020"/>
    <w:rsid w:val="500D4D28"/>
    <w:rsid w:val="502837F1"/>
    <w:rsid w:val="50387954"/>
    <w:rsid w:val="5039FA3D"/>
    <w:rsid w:val="503B7D64"/>
    <w:rsid w:val="5046B806"/>
    <w:rsid w:val="504FE9EA"/>
    <w:rsid w:val="505080B3"/>
    <w:rsid w:val="50546492"/>
    <w:rsid w:val="50553537"/>
    <w:rsid w:val="50584E39"/>
    <w:rsid w:val="505FE223"/>
    <w:rsid w:val="5065C047"/>
    <w:rsid w:val="50663737"/>
    <w:rsid w:val="5066C4E6"/>
    <w:rsid w:val="50694698"/>
    <w:rsid w:val="506CCAB1"/>
    <w:rsid w:val="506DD609"/>
    <w:rsid w:val="506EDCF9"/>
    <w:rsid w:val="506EFA52"/>
    <w:rsid w:val="506FC8DC"/>
    <w:rsid w:val="5071D535"/>
    <w:rsid w:val="50761D44"/>
    <w:rsid w:val="50796868"/>
    <w:rsid w:val="507CF4E6"/>
    <w:rsid w:val="507FE746"/>
    <w:rsid w:val="508421E4"/>
    <w:rsid w:val="508789CA"/>
    <w:rsid w:val="508943DA"/>
    <w:rsid w:val="508EE0F3"/>
    <w:rsid w:val="5093A4E9"/>
    <w:rsid w:val="509FCF9D"/>
    <w:rsid w:val="50A35AEA"/>
    <w:rsid w:val="50A661FD"/>
    <w:rsid w:val="50AA7513"/>
    <w:rsid w:val="50B5978B"/>
    <w:rsid w:val="50B5AF13"/>
    <w:rsid w:val="50B9EF73"/>
    <w:rsid w:val="50BBDAA7"/>
    <w:rsid w:val="50CB9CF8"/>
    <w:rsid w:val="50D99968"/>
    <w:rsid w:val="50DC0228"/>
    <w:rsid w:val="50E060CC"/>
    <w:rsid w:val="50E146E7"/>
    <w:rsid w:val="50E6E1F0"/>
    <w:rsid w:val="50E978E4"/>
    <w:rsid w:val="50F1C1F6"/>
    <w:rsid w:val="50F3BA26"/>
    <w:rsid w:val="50F4EBA0"/>
    <w:rsid w:val="50FD9E39"/>
    <w:rsid w:val="50FE4A8D"/>
    <w:rsid w:val="51014E32"/>
    <w:rsid w:val="5104FB1B"/>
    <w:rsid w:val="5105F311"/>
    <w:rsid w:val="51071760"/>
    <w:rsid w:val="5108627D"/>
    <w:rsid w:val="510F48E1"/>
    <w:rsid w:val="51187C02"/>
    <w:rsid w:val="511B8E94"/>
    <w:rsid w:val="511BE9DC"/>
    <w:rsid w:val="511F8428"/>
    <w:rsid w:val="511FDEBE"/>
    <w:rsid w:val="511FF816"/>
    <w:rsid w:val="51381F17"/>
    <w:rsid w:val="513AC0B3"/>
    <w:rsid w:val="513E5526"/>
    <w:rsid w:val="5140E8F4"/>
    <w:rsid w:val="5148E859"/>
    <w:rsid w:val="514D7579"/>
    <w:rsid w:val="514E34EB"/>
    <w:rsid w:val="514F2020"/>
    <w:rsid w:val="515C098F"/>
    <w:rsid w:val="515C4FFF"/>
    <w:rsid w:val="515F21E5"/>
    <w:rsid w:val="51637ADA"/>
    <w:rsid w:val="51660CEC"/>
    <w:rsid w:val="516AA0C3"/>
    <w:rsid w:val="516D2353"/>
    <w:rsid w:val="516EC522"/>
    <w:rsid w:val="516F0002"/>
    <w:rsid w:val="517018B0"/>
    <w:rsid w:val="5170F9ED"/>
    <w:rsid w:val="51722D4C"/>
    <w:rsid w:val="51776184"/>
    <w:rsid w:val="5177D34B"/>
    <w:rsid w:val="518AA589"/>
    <w:rsid w:val="5194424B"/>
    <w:rsid w:val="5196226B"/>
    <w:rsid w:val="5196B112"/>
    <w:rsid w:val="51983E5A"/>
    <w:rsid w:val="51A404F8"/>
    <w:rsid w:val="51B4D917"/>
    <w:rsid w:val="51B85D71"/>
    <w:rsid w:val="51BE9B75"/>
    <w:rsid w:val="51C715E6"/>
    <w:rsid w:val="51C7401D"/>
    <w:rsid w:val="51CD86E1"/>
    <w:rsid w:val="51CFDC64"/>
    <w:rsid w:val="51D1EB01"/>
    <w:rsid w:val="51D51C0E"/>
    <w:rsid w:val="51D59415"/>
    <w:rsid w:val="51D6041F"/>
    <w:rsid w:val="51E3B8FE"/>
    <w:rsid w:val="51EBEC14"/>
    <w:rsid w:val="51EF16C3"/>
    <w:rsid w:val="51F08742"/>
    <w:rsid w:val="51F19C4E"/>
    <w:rsid w:val="520270EB"/>
    <w:rsid w:val="520EC5B6"/>
    <w:rsid w:val="52145D3D"/>
    <w:rsid w:val="521ED239"/>
    <w:rsid w:val="52246D2F"/>
    <w:rsid w:val="522A0A52"/>
    <w:rsid w:val="5234F0EA"/>
    <w:rsid w:val="5239C16E"/>
    <w:rsid w:val="52436EAC"/>
    <w:rsid w:val="5244A070"/>
    <w:rsid w:val="52515305"/>
    <w:rsid w:val="525B7A73"/>
    <w:rsid w:val="525CE876"/>
    <w:rsid w:val="5267B5B6"/>
    <w:rsid w:val="526BB679"/>
    <w:rsid w:val="526C1BEE"/>
    <w:rsid w:val="526EBEB9"/>
    <w:rsid w:val="52706669"/>
    <w:rsid w:val="5270BF46"/>
    <w:rsid w:val="5270EC02"/>
    <w:rsid w:val="527111AB"/>
    <w:rsid w:val="5276A2E6"/>
    <w:rsid w:val="527A223F"/>
    <w:rsid w:val="528CA4F6"/>
    <w:rsid w:val="528CCFDB"/>
    <w:rsid w:val="5293EEA6"/>
    <w:rsid w:val="52980838"/>
    <w:rsid w:val="529AA17F"/>
    <w:rsid w:val="529AF240"/>
    <w:rsid w:val="52A05943"/>
    <w:rsid w:val="52A91B19"/>
    <w:rsid w:val="52AB5670"/>
    <w:rsid w:val="52ABC8BE"/>
    <w:rsid w:val="52AE6EF6"/>
    <w:rsid w:val="52B6DB08"/>
    <w:rsid w:val="52BA3AAF"/>
    <w:rsid w:val="52C3C0FF"/>
    <w:rsid w:val="52D489D8"/>
    <w:rsid w:val="52D954D4"/>
    <w:rsid w:val="52E9397E"/>
    <w:rsid w:val="52EABC72"/>
    <w:rsid w:val="52EDA1F9"/>
    <w:rsid w:val="52FC90DE"/>
    <w:rsid w:val="530061B0"/>
    <w:rsid w:val="53018993"/>
    <w:rsid w:val="53047211"/>
    <w:rsid w:val="5304C203"/>
    <w:rsid w:val="5309C509"/>
    <w:rsid w:val="53159279"/>
    <w:rsid w:val="5322A1FD"/>
    <w:rsid w:val="532693C0"/>
    <w:rsid w:val="53279B5C"/>
    <w:rsid w:val="532B1743"/>
    <w:rsid w:val="532BBBB1"/>
    <w:rsid w:val="532E2A6D"/>
    <w:rsid w:val="53372406"/>
    <w:rsid w:val="533F1218"/>
    <w:rsid w:val="53453084"/>
    <w:rsid w:val="534B5090"/>
    <w:rsid w:val="535E1998"/>
    <w:rsid w:val="53674657"/>
    <w:rsid w:val="5369C50D"/>
    <w:rsid w:val="53712C04"/>
    <w:rsid w:val="5371BDF2"/>
    <w:rsid w:val="5374E587"/>
    <w:rsid w:val="537827D3"/>
    <w:rsid w:val="537C7368"/>
    <w:rsid w:val="538133B6"/>
    <w:rsid w:val="53841ACE"/>
    <w:rsid w:val="538A4CE3"/>
    <w:rsid w:val="539524C2"/>
    <w:rsid w:val="53987301"/>
    <w:rsid w:val="539CAEFB"/>
    <w:rsid w:val="53A19521"/>
    <w:rsid w:val="53A7E229"/>
    <w:rsid w:val="53A83562"/>
    <w:rsid w:val="53AF348F"/>
    <w:rsid w:val="53B82DB2"/>
    <w:rsid w:val="53B856E6"/>
    <w:rsid w:val="53C3F734"/>
    <w:rsid w:val="53C724D2"/>
    <w:rsid w:val="53C946D2"/>
    <w:rsid w:val="53D5A13B"/>
    <w:rsid w:val="53D89FCB"/>
    <w:rsid w:val="53EB3213"/>
    <w:rsid w:val="53EC2ACC"/>
    <w:rsid w:val="53F002AA"/>
    <w:rsid w:val="53F8C46C"/>
    <w:rsid w:val="54000A42"/>
    <w:rsid w:val="5406781E"/>
    <w:rsid w:val="540D421D"/>
    <w:rsid w:val="54252F0C"/>
    <w:rsid w:val="542F8E65"/>
    <w:rsid w:val="5434BF68"/>
    <w:rsid w:val="543AF00A"/>
    <w:rsid w:val="543D751E"/>
    <w:rsid w:val="543F1809"/>
    <w:rsid w:val="544095D4"/>
    <w:rsid w:val="544492C2"/>
    <w:rsid w:val="5446C5AC"/>
    <w:rsid w:val="544DE14C"/>
    <w:rsid w:val="54526823"/>
    <w:rsid w:val="545F9724"/>
    <w:rsid w:val="54621457"/>
    <w:rsid w:val="54667605"/>
    <w:rsid w:val="54671520"/>
    <w:rsid w:val="5467BE1E"/>
    <w:rsid w:val="547A5B39"/>
    <w:rsid w:val="547A6065"/>
    <w:rsid w:val="547FACBE"/>
    <w:rsid w:val="547FFA1D"/>
    <w:rsid w:val="5481B929"/>
    <w:rsid w:val="5485700E"/>
    <w:rsid w:val="548ADC93"/>
    <w:rsid w:val="548DD999"/>
    <w:rsid w:val="548F4F34"/>
    <w:rsid w:val="54970EEA"/>
    <w:rsid w:val="54A89AAF"/>
    <w:rsid w:val="54BFF40B"/>
    <w:rsid w:val="54C3AA83"/>
    <w:rsid w:val="54C85F18"/>
    <w:rsid w:val="54C90C28"/>
    <w:rsid w:val="54CA80BD"/>
    <w:rsid w:val="54CD49E5"/>
    <w:rsid w:val="54D0C19D"/>
    <w:rsid w:val="54E490BE"/>
    <w:rsid w:val="54EA1D4F"/>
    <w:rsid w:val="54EEC392"/>
    <w:rsid w:val="54F457CA"/>
    <w:rsid w:val="54F4C8D5"/>
    <w:rsid w:val="54F892CF"/>
    <w:rsid w:val="5500509B"/>
    <w:rsid w:val="5510E887"/>
    <w:rsid w:val="5511E3F3"/>
    <w:rsid w:val="5518C7F2"/>
    <w:rsid w:val="551A0473"/>
    <w:rsid w:val="551A91A1"/>
    <w:rsid w:val="551AD65B"/>
    <w:rsid w:val="551DFC24"/>
    <w:rsid w:val="551F6024"/>
    <w:rsid w:val="5521FDE8"/>
    <w:rsid w:val="55221E8E"/>
    <w:rsid w:val="552B2DCB"/>
    <w:rsid w:val="552CA7F7"/>
    <w:rsid w:val="552FD29F"/>
    <w:rsid w:val="5535936C"/>
    <w:rsid w:val="5535C627"/>
    <w:rsid w:val="553799D7"/>
    <w:rsid w:val="553AD0D0"/>
    <w:rsid w:val="5543AA2B"/>
    <w:rsid w:val="5545FCD9"/>
    <w:rsid w:val="554A5F73"/>
    <w:rsid w:val="554A9EDE"/>
    <w:rsid w:val="554AB0D8"/>
    <w:rsid w:val="554ACC0F"/>
    <w:rsid w:val="55537168"/>
    <w:rsid w:val="55592DDC"/>
    <w:rsid w:val="555974F7"/>
    <w:rsid w:val="555B3114"/>
    <w:rsid w:val="555CE02F"/>
    <w:rsid w:val="555DD1FF"/>
    <w:rsid w:val="555E68C6"/>
    <w:rsid w:val="55648A11"/>
    <w:rsid w:val="556623B6"/>
    <w:rsid w:val="55678D48"/>
    <w:rsid w:val="5568D212"/>
    <w:rsid w:val="556AB923"/>
    <w:rsid w:val="55771CFB"/>
    <w:rsid w:val="557A3816"/>
    <w:rsid w:val="557C2F22"/>
    <w:rsid w:val="558DEDC4"/>
    <w:rsid w:val="558F022D"/>
    <w:rsid w:val="5595790A"/>
    <w:rsid w:val="5597499B"/>
    <w:rsid w:val="55A1BFFA"/>
    <w:rsid w:val="55A453ED"/>
    <w:rsid w:val="55B07E4B"/>
    <w:rsid w:val="55B1B2B9"/>
    <w:rsid w:val="55CD93FA"/>
    <w:rsid w:val="55CF9E82"/>
    <w:rsid w:val="55D558C8"/>
    <w:rsid w:val="55D5A748"/>
    <w:rsid w:val="55D621BE"/>
    <w:rsid w:val="55E6ECAE"/>
    <w:rsid w:val="55EBD9D5"/>
    <w:rsid w:val="55EEB2ED"/>
    <w:rsid w:val="55EF8A7E"/>
    <w:rsid w:val="55F47354"/>
    <w:rsid w:val="55F53757"/>
    <w:rsid w:val="55F5682E"/>
    <w:rsid w:val="55F63152"/>
    <w:rsid w:val="55F6C968"/>
    <w:rsid w:val="56084F48"/>
    <w:rsid w:val="56093B7E"/>
    <w:rsid w:val="5619DD86"/>
    <w:rsid w:val="5628E761"/>
    <w:rsid w:val="562B3B9D"/>
    <w:rsid w:val="56304688"/>
    <w:rsid w:val="563F0093"/>
    <w:rsid w:val="5643AE88"/>
    <w:rsid w:val="5646EBEA"/>
    <w:rsid w:val="56484F6E"/>
    <w:rsid w:val="564985CB"/>
    <w:rsid w:val="564B5BED"/>
    <w:rsid w:val="564DCD13"/>
    <w:rsid w:val="565740F5"/>
    <w:rsid w:val="5662D667"/>
    <w:rsid w:val="5667F148"/>
    <w:rsid w:val="56728BEA"/>
    <w:rsid w:val="5674A1E2"/>
    <w:rsid w:val="567C06EB"/>
    <w:rsid w:val="5687FA29"/>
    <w:rsid w:val="568DAAC0"/>
    <w:rsid w:val="568EF050"/>
    <w:rsid w:val="5696C5E3"/>
    <w:rsid w:val="56970ADF"/>
    <w:rsid w:val="569F11F6"/>
    <w:rsid w:val="56A6F9F2"/>
    <w:rsid w:val="56B3C1D6"/>
    <w:rsid w:val="56B6B821"/>
    <w:rsid w:val="56B86DEA"/>
    <w:rsid w:val="56BDF392"/>
    <w:rsid w:val="56C08008"/>
    <w:rsid w:val="56C6D246"/>
    <w:rsid w:val="56C7198B"/>
    <w:rsid w:val="56C9F974"/>
    <w:rsid w:val="56CC854E"/>
    <w:rsid w:val="56CE4B2E"/>
    <w:rsid w:val="56CE5A2A"/>
    <w:rsid w:val="56E5C581"/>
    <w:rsid w:val="56E98FFC"/>
    <w:rsid w:val="56EF6F78"/>
    <w:rsid w:val="56F24F78"/>
    <w:rsid w:val="56F27A3D"/>
    <w:rsid w:val="56F2CDE6"/>
    <w:rsid w:val="56F32E76"/>
    <w:rsid w:val="56F65085"/>
    <w:rsid w:val="56FA1F78"/>
    <w:rsid w:val="56FAC0D3"/>
    <w:rsid w:val="56FF975A"/>
    <w:rsid w:val="5702A95B"/>
    <w:rsid w:val="5707B4AD"/>
    <w:rsid w:val="571189E7"/>
    <w:rsid w:val="5714E691"/>
    <w:rsid w:val="57196778"/>
    <w:rsid w:val="571C7835"/>
    <w:rsid w:val="57231168"/>
    <w:rsid w:val="572757D3"/>
    <w:rsid w:val="5730D213"/>
    <w:rsid w:val="5736C54A"/>
    <w:rsid w:val="5737F82E"/>
    <w:rsid w:val="573B44F0"/>
    <w:rsid w:val="574752FB"/>
    <w:rsid w:val="5747575D"/>
    <w:rsid w:val="5747D67F"/>
    <w:rsid w:val="57483A07"/>
    <w:rsid w:val="5748E519"/>
    <w:rsid w:val="574CC1BC"/>
    <w:rsid w:val="5754166C"/>
    <w:rsid w:val="57596B3E"/>
    <w:rsid w:val="5766462D"/>
    <w:rsid w:val="576CA8D7"/>
    <w:rsid w:val="576D56B5"/>
    <w:rsid w:val="57779F1E"/>
    <w:rsid w:val="57794C18"/>
    <w:rsid w:val="577A6FBF"/>
    <w:rsid w:val="57813F62"/>
    <w:rsid w:val="57855579"/>
    <w:rsid w:val="57880716"/>
    <w:rsid w:val="579EA853"/>
    <w:rsid w:val="57A417EB"/>
    <w:rsid w:val="57A5455B"/>
    <w:rsid w:val="57A7A308"/>
    <w:rsid w:val="57A98050"/>
    <w:rsid w:val="57AA0317"/>
    <w:rsid w:val="57B1121A"/>
    <w:rsid w:val="57B2B8E4"/>
    <w:rsid w:val="57B7CEC9"/>
    <w:rsid w:val="57BD5B47"/>
    <w:rsid w:val="57C78784"/>
    <w:rsid w:val="57C79BB8"/>
    <w:rsid w:val="57CAE6B2"/>
    <w:rsid w:val="57CFD6B7"/>
    <w:rsid w:val="57DC99CE"/>
    <w:rsid w:val="57EB344E"/>
    <w:rsid w:val="57ECEC93"/>
    <w:rsid w:val="57F63D48"/>
    <w:rsid w:val="57FC8E9A"/>
    <w:rsid w:val="57FFA2FB"/>
    <w:rsid w:val="58000401"/>
    <w:rsid w:val="58001F7D"/>
    <w:rsid w:val="580C5A28"/>
    <w:rsid w:val="580FAD1C"/>
    <w:rsid w:val="5814CDA6"/>
    <w:rsid w:val="581507BA"/>
    <w:rsid w:val="5818FC50"/>
    <w:rsid w:val="5824B8E2"/>
    <w:rsid w:val="58272BDA"/>
    <w:rsid w:val="582E8A7E"/>
    <w:rsid w:val="5831FFBE"/>
    <w:rsid w:val="5833F7AC"/>
    <w:rsid w:val="58390473"/>
    <w:rsid w:val="5846E8BF"/>
    <w:rsid w:val="5850040D"/>
    <w:rsid w:val="5857B5DA"/>
    <w:rsid w:val="586142A5"/>
    <w:rsid w:val="58637A17"/>
    <w:rsid w:val="5864232C"/>
    <w:rsid w:val="586EBC28"/>
    <w:rsid w:val="5875758E"/>
    <w:rsid w:val="5876D4C6"/>
    <w:rsid w:val="5878EA01"/>
    <w:rsid w:val="587B1636"/>
    <w:rsid w:val="587B8EC9"/>
    <w:rsid w:val="587C9CE8"/>
    <w:rsid w:val="5886B27D"/>
    <w:rsid w:val="5886B8B7"/>
    <w:rsid w:val="58908F9C"/>
    <w:rsid w:val="589D88B1"/>
    <w:rsid w:val="589DAA62"/>
    <w:rsid w:val="589E3A1C"/>
    <w:rsid w:val="58A70316"/>
    <w:rsid w:val="58A9B15B"/>
    <w:rsid w:val="58ABD93E"/>
    <w:rsid w:val="58BE2333"/>
    <w:rsid w:val="58C6FB44"/>
    <w:rsid w:val="58CDFB38"/>
    <w:rsid w:val="58D7CE7E"/>
    <w:rsid w:val="58D8C38E"/>
    <w:rsid w:val="58D915D0"/>
    <w:rsid w:val="58E0E9E6"/>
    <w:rsid w:val="58E69BB6"/>
    <w:rsid w:val="58EE5E88"/>
    <w:rsid w:val="58F378B4"/>
    <w:rsid w:val="58F4FBDE"/>
    <w:rsid w:val="59005ACC"/>
    <w:rsid w:val="590311E0"/>
    <w:rsid w:val="5906A4E1"/>
    <w:rsid w:val="5906D2D7"/>
    <w:rsid w:val="59084A0F"/>
    <w:rsid w:val="59129571"/>
    <w:rsid w:val="5914F06B"/>
    <w:rsid w:val="59234895"/>
    <w:rsid w:val="592634F0"/>
    <w:rsid w:val="59270B0B"/>
    <w:rsid w:val="592BB726"/>
    <w:rsid w:val="592BB84A"/>
    <w:rsid w:val="5934EEFF"/>
    <w:rsid w:val="5937218B"/>
    <w:rsid w:val="5938EFB5"/>
    <w:rsid w:val="593AB22B"/>
    <w:rsid w:val="59424DC7"/>
    <w:rsid w:val="5945FEA9"/>
    <w:rsid w:val="594B82D2"/>
    <w:rsid w:val="594FE170"/>
    <w:rsid w:val="5954E22A"/>
    <w:rsid w:val="59570BA2"/>
    <w:rsid w:val="595CEBBF"/>
    <w:rsid w:val="595D2235"/>
    <w:rsid w:val="59753D85"/>
    <w:rsid w:val="597714E0"/>
    <w:rsid w:val="598013B5"/>
    <w:rsid w:val="5981E226"/>
    <w:rsid w:val="59887D43"/>
    <w:rsid w:val="5991A66B"/>
    <w:rsid w:val="59920684"/>
    <w:rsid w:val="59955E26"/>
    <w:rsid w:val="59A8BFE2"/>
    <w:rsid w:val="59B53093"/>
    <w:rsid w:val="59B705C5"/>
    <w:rsid w:val="59BEBAA4"/>
    <w:rsid w:val="59C0A237"/>
    <w:rsid w:val="59C1AF44"/>
    <w:rsid w:val="59C61705"/>
    <w:rsid w:val="59C901CF"/>
    <w:rsid w:val="59D061B4"/>
    <w:rsid w:val="59D122F4"/>
    <w:rsid w:val="59D4D51D"/>
    <w:rsid w:val="59E2135D"/>
    <w:rsid w:val="59E6EC0B"/>
    <w:rsid w:val="59EF29B1"/>
    <w:rsid w:val="59F0E5FF"/>
    <w:rsid w:val="59F37798"/>
    <w:rsid w:val="59FC26B0"/>
    <w:rsid w:val="5A00583C"/>
    <w:rsid w:val="5A0DEF9D"/>
    <w:rsid w:val="5A0FD399"/>
    <w:rsid w:val="5A15273E"/>
    <w:rsid w:val="5A15D402"/>
    <w:rsid w:val="5A22E3B7"/>
    <w:rsid w:val="5A240D73"/>
    <w:rsid w:val="5A3895A6"/>
    <w:rsid w:val="5A3CB59B"/>
    <w:rsid w:val="5A3D533C"/>
    <w:rsid w:val="5A3D61DA"/>
    <w:rsid w:val="5A48733E"/>
    <w:rsid w:val="5A49AD94"/>
    <w:rsid w:val="5A49FEBE"/>
    <w:rsid w:val="5A4D1BEF"/>
    <w:rsid w:val="5A4E475E"/>
    <w:rsid w:val="5A4E4D6A"/>
    <w:rsid w:val="5A4F9080"/>
    <w:rsid w:val="5A534BA3"/>
    <w:rsid w:val="5A539DE2"/>
    <w:rsid w:val="5A5A9EB2"/>
    <w:rsid w:val="5A5E2D86"/>
    <w:rsid w:val="5A605C38"/>
    <w:rsid w:val="5A66061D"/>
    <w:rsid w:val="5A66079B"/>
    <w:rsid w:val="5A668D7B"/>
    <w:rsid w:val="5A6BA9B7"/>
    <w:rsid w:val="5A6EDC44"/>
    <w:rsid w:val="5A74F3F0"/>
    <w:rsid w:val="5A75E138"/>
    <w:rsid w:val="5A773388"/>
    <w:rsid w:val="5A77548B"/>
    <w:rsid w:val="5A7C840A"/>
    <w:rsid w:val="5A7C9677"/>
    <w:rsid w:val="5A7EDFC9"/>
    <w:rsid w:val="5A940F9C"/>
    <w:rsid w:val="5A960B19"/>
    <w:rsid w:val="5A985781"/>
    <w:rsid w:val="5A9BA941"/>
    <w:rsid w:val="5AAFA6F4"/>
    <w:rsid w:val="5AB0B1C5"/>
    <w:rsid w:val="5AC05379"/>
    <w:rsid w:val="5AC84805"/>
    <w:rsid w:val="5ACF087F"/>
    <w:rsid w:val="5ACFB53B"/>
    <w:rsid w:val="5ADB8A0A"/>
    <w:rsid w:val="5ADCD995"/>
    <w:rsid w:val="5ADF3369"/>
    <w:rsid w:val="5AEB94DA"/>
    <w:rsid w:val="5AF19D90"/>
    <w:rsid w:val="5AF23428"/>
    <w:rsid w:val="5AFA8CD5"/>
    <w:rsid w:val="5B016C18"/>
    <w:rsid w:val="5B0750B8"/>
    <w:rsid w:val="5B07C720"/>
    <w:rsid w:val="5B08A7C9"/>
    <w:rsid w:val="5B0F2499"/>
    <w:rsid w:val="5B100417"/>
    <w:rsid w:val="5B169704"/>
    <w:rsid w:val="5B1A3892"/>
    <w:rsid w:val="5B1D14C7"/>
    <w:rsid w:val="5B20268F"/>
    <w:rsid w:val="5B237153"/>
    <w:rsid w:val="5B2663AC"/>
    <w:rsid w:val="5B29628C"/>
    <w:rsid w:val="5B2A5F63"/>
    <w:rsid w:val="5B3462AA"/>
    <w:rsid w:val="5B3F9728"/>
    <w:rsid w:val="5B436E0E"/>
    <w:rsid w:val="5B4868AD"/>
    <w:rsid w:val="5B4B29CE"/>
    <w:rsid w:val="5B5122DE"/>
    <w:rsid w:val="5B51ADA3"/>
    <w:rsid w:val="5B5261EB"/>
    <w:rsid w:val="5B53E3FB"/>
    <w:rsid w:val="5B5A7004"/>
    <w:rsid w:val="5B657CCB"/>
    <w:rsid w:val="5B6979D3"/>
    <w:rsid w:val="5B6A0C66"/>
    <w:rsid w:val="5B6CC19D"/>
    <w:rsid w:val="5B718918"/>
    <w:rsid w:val="5B7C5890"/>
    <w:rsid w:val="5B8242DF"/>
    <w:rsid w:val="5B89D5A6"/>
    <w:rsid w:val="5B8F17F1"/>
    <w:rsid w:val="5B8F7286"/>
    <w:rsid w:val="5B8F901B"/>
    <w:rsid w:val="5B94F8FF"/>
    <w:rsid w:val="5B959C23"/>
    <w:rsid w:val="5B97B906"/>
    <w:rsid w:val="5B98EF68"/>
    <w:rsid w:val="5B9D04F5"/>
    <w:rsid w:val="5B9F31A8"/>
    <w:rsid w:val="5BAF522C"/>
    <w:rsid w:val="5BB3136C"/>
    <w:rsid w:val="5BB9FCDE"/>
    <w:rsid w:val="5BBC7E09"/>
    <w:rsid w:val="5BBD3BC2"/>
    <w:rsid w:val="5BCDA407"/>
    <w:rsid w:val="5BD23E50"/>
    <w:rsid w:val="5BD7F63C"/>
    <w:rsid w:val="5BDA36A9"/>
    <w:rsid w:val="5BE070E3"/>
    <w:rsid w:val="5BE5962D"/>
    <w:rsid w:val="5BE9D1AD"/>
    <w:rsid w:val="5BEB3822"/>
    <w:rsid w:val="5BF31A15"/>
    <w:rsid w:val="5BF6AF7B"/>
    <w:rsid w:val="5BF7FFF4"/>
    <w:rsid w:val="5BFF42CE"/>
    <w:rsid w:val="5C043F01"/>
    <w:rsid w:val="5C0E28FB"/>
    <w:rsid w:val="5C0E7FFC"/>
    <w:rsid w:val="5C10B52F"/>
    <w:rsid w:val="5C13A136"/>
    <w:rsid w:val="5C20AF0F"/>
    <w:rsid w:val="5C233409"/>
    <w:rsid w:val="5C276010"/>
    <w:rsid w:val="5C27C8AA"/>
    <w:rsid w:val="5C2A50AC"/>
    <w:rsid w:val="5C2EEC4F"/>
    <w:rsid w:val="5C37C144"/>
    <w:rsid w:val="5C3D7000"/>
    <w:rsid w:val="5C3DD372"/>
    <w:rsid w:val="5C3EAE4F"/>
    <w:rsid w:val="5C49D97C"/>
    <w:rsid w:val="5C5445D7"/>
    <w:rsid w:val="5C571819"/>
    <w:rsid w:val="5C58E883"/>
    <w:rsid w:val="5C58FF83"/>
    <w:rsid w:val="5C59ED38"/>
    <w:rsid w:val="5C5B8943"/>
    <w:rsid w:val="5C5E9C03"/>
    <w:rsid w:val="5C60C0A3"/>
    <w:rsid w:val="5C642973"/>
    <w:rsid w:val="5C72C29A"/>
    <w:rsid w:val="5C77B72B"/>
    <w:rsid w:val="5C80F4FA"/>
    <w:rsid w:val="5C86BF5C"/>
    <w:rsid w:val="5C86DDEE"/>
    <w:rsid w:val="5C90516E"/>
    <w:rsid w:val="5C92A035"/>
    <w:rsid w:val="5C968005"/>
    <w:rsid w:val="5C99BC30"/>
    <w:rsid w:val="5CA06F28"/>
    <w:rsid w:val="5CA6ACEE"/>
    <w:rsid w:val="5CA9F8DB"/>
    <w:rsid w:val="5CAA00EB"/>
    <w:rsid w:val="5CB49C55"/>
    <w:rsid w:val="5CBC7507"/>
    <w:rsid w:val="5CCE41CD"/>
    <w:rsid w:val="5CCF1E4F"/>
    <w:rsid w:val="5CD79625"/>
    <w:rsid w:val="5CDAC980"/>
    <w:rsid w:val="5CDBF045"/>
    <w:rsid w:val="5CDE5905"/>
    <w:rsid w:val="5CE2113D"/>
    <w:rsid w:val="5CE6F273"/>
    <w:rsid w:val="5CF4EC24"/>
    <w:rsid w:val="5D000AE3"/>
    <w:rsid w:val="5D098FDC"/>
    <w:rsid w:val="5D0D57D0"/>
    <w:rsid w:val="5D0E2846"/>
    <w:rsid w:val="5D1134CC"/>
    <w:rsid w:val="5D175C1B"/>
    <w:rsid w:val="5D1BCBCF"/>
    <w:rsid w:val="5D1F337A"/>
    <w:rsid w:val="5D2715D3"/>
    <w:rsid w:val="5D28EEC3"/>
    <w:rsid w:val="5D2C3457"/>
    <w:rsid w:val="5D2F4794"/>
    <w:rsid w:val="5D3453DF"/>
    <w:rsid w:val="5D35DD7D"/>
    <w:rsid w:val="5D35E034"/>
    <w:rsid w:val="5D35EEB8"/>
    <w:rsid w:val="5D40CE18"/>
    <w:rsid w:val="5D411EEC"/>
    <w:rsid w:val="5D460EA2"/>
    <w:rsid w:val="5D46FEE7"/>
    <w:rsid w:val="5D4CB593"/>
    <w:rsid w:val="5D4F101A"/>
    <w:rsid w:val="5D54E03D"/>
    <w:rsid w:val="5D556B55"/>
    <w:rsid w:val="5D5C2FEE"/>
    <w:rsid w:val="5D62341A"/>
    <w:rsid w:val="5D63AD0A"/>
    <w:rsid w:val="5D6DAB9B"/>
    <w:rsid w:val="5D6E6F62"/>
    <w:rsid w:val="5D6FB027"/>
    <w:rsid w:val="5D75D89D"/>
    <w:rsid w:val="5D8965A9"/>
    <w:rsid w:val="5D9D8769"/>
    <w:rsid w:val="5DA5A79E"/>
    <w:rsid w:val="5DA68E4A"/>
    <w:rsid w:val="5DABB676"/>
    <w:rsid w:val="5DADE133"/>
    <w:rsid w:val="5DB27472"/>
    <w:rsid w:val="5DB62CE7"/>
    <w:rsid w:val="5DB79B76"/>
    <w:rsid w:val="5DB7FE15"/>
    <w:rsid w:val="5DB9D853"/>
    <w:rsid w:val="5DBAA8D2"/>
    <w:rsid w:val="5DBC7F00"/>
    <w:rsid w:val="5DC339E9"/>
    <w:rsid w:val="5DCCFC5D"/>
    <w:rsid w:val="5DD93F75"/>
    <w:rsid w:val="5DE0EA94"/>
    <w:rsid w:val="5DE43FA4"/>
    <w:rsid w:val="5DE4F4E8"/>
    <w:rsid w:val="5DE5392C"/>
    <w:rsid w:val="5DE72010"/>
    <w:rsid w:val="5DE8E31C"/>
    <w:rsid w:val="5DEE1218"/>
    <w:rsid w:val="5DF5FF1E"/>
    <w:rsid w:val="5DF7384D"/>
    <w:rsid w:val="5DFC9AF3"/>
    <w:rsid w:val="5DFCCF76"/>
    <w:rsid w:val="5E33E21D"/>
    <w:rsid w:val="5E34EFBD"/>
    <w:rsid w:val="5E39F51F"/>
    <w:rsid w:val="5E4DB53B"/>
    <w:rsid w:val="5E50B32C"/>
    <w:rsid w:val="5E58A881"/>
    <w:rsid w:val="5E5E36B6"/>
    <w:rsid w:val="5E5F2E07"/>
    <w:rsid w:val="5E601765"/>
    <w:rsid w:val="5E61B41B"/>
    <w:rsid w:val="5E62B315"/>
    <w:rsid w:val="5E6C2FF7"/>
    <w:rsid w:val="5E6DFF10"/>
    <w:rsid w:val="5E703153"/>
    <w:rsid w:val="5E75E904"/>
    <w:rsid w:val="5E7737EA"/>
    <w:rsid w:val="5E78BB0B"/>
    <w:rsid w:val="5E7A2E6A"/>
    <w:rsid w:val="5E80270F"/>
    <w:rsid w:val="5E9148F0"/>
    <w:rsid w:val="5E98046D"/>
    <w:rsid w:val="5E9CA870"/>
    <w:rsid w:val="5E9E88F2"/>
    <w:rsid w:val="5E9E9266"/>
    <w:rsid w:val="5EA089EB"/>
    <w:rsid w:val="5EA2F30D"/>
    <w:rsid w:val="5EADE85F"/>
    <w:rsid w:val="5EB7F681"/>
    <w:rsid w:val="5EB8E9FB"/>
    <w:rsid w:val="5EB95346"/>
    <w:rsid w:val="5EBB24AB"/>
    <w:rsid w:val="5EBEE566"/>
    <w:rsid w:val="5ECA0639"/>
    <w:rsid w:val="5ECBA441"/>
    <w:rsid w:val="5ECDB4A6"/>
    <w:rsid w:val="5ED27B7F"/>
    <w:rsid w:val="5ED60676"/>
    <w:rsid w:val="5EDEB011"/>
    <w:rsid w:val="5EE0C138"/>
    <w:rsid w:val="5EE373F6"/>
    <w:rsid w:val="5EE3948F"/>
    <w:rsid w:val="5EE94FD3"/>
    <w:rsid w:val="5EE974D5"/>
    <w:rsid w:val="5EEEE8A4"/>
    <w:rsid w:val="5EF83C17"/>
    <w:rsid w:val="5EF9CB03"/>
    <w:rsid w:val="5EFC7D04"/>
    <w:rsid w:val="5EFCF430"/>
    <w:rsid w:val="5F051A2F"/>
    <w:rsid w:val="5F07919C"/>
    <w:rsid w:val="5F0914BA"/>
    <w:rsid w:val="5F0D06E4"/>
    <w:rsid w:val="5F1987B1"/>
    <w:rsid w:val="5F19A7DA"/>
    <w:rsid w:val="5F235A82"/>
    <w:rsid w:val="5F27C478"/>
    <w:rsid w:val="5F294B3A"/>
    <w:rsid w:val="5F2F67FE"/>
    <w:rsid w:val="5F31B9FE"/>
    <w:rsid w:val="5F387CF0"/>
    <w:rsid w:val="5F3C0DF6"/>
    <w:rsid w:val="5F3E0F1A"/>
    <w:rsid w:val="5F444FBE"/>
    <w:rsid w:val="5F524A2E"/>
    <w:rsid w:val="5F525374"/>
    <w:rsid w:val="5F5F4D84"/>
    <w:rsid w:val="5F69CFF4"/>
    <w:rsid w:val="5F6D5EBB"/>
    <w:rsid w:val="5F70B5C8"/>
    <w:rsid w:val="5F8168DE"/>
    <w:rsid w:val="5F82A745"/>
    <w:rsid w:val="5F8BD80F"/>
    <w:rsid w:val="5F93ADFA"/>
    <w:rsid w:val="5F9A6075"/>
    <w:rsid w:val="5F9E22D1"/>
    <w:rsid w:val="5FA0D27F"/>
    <w:rsid w:val="5FA55335"/>
    <w:rsid w:val="5FA8AF1A"/>
    <w:rsid w:val="5FB3BBE8"/>
    <w:rsid w:val="5FBD2F72"/>
    <w:rsid w:val="5FC207BE"/>
    <w:rsid w:val="5FC50EAB"/>
    <w:rsid w:val="5FC79A17"/>
    <w:rsid w:val="5FCAA7AD"/>
    <w:rsid w:val="5FD2E2A7"/>
    <w:rsid w:val="5FD4B4F2"/>
    <w:rsid w:val="5FD9412A"/>
    <w:rsid w:val="5FDA5903"/>
    <w:rsid w:val="5FDD0818"/>
    <w:rsid w:val="5FF5C7F3"/>
    <w:rsid w:val="5FFBDC37"/>
    <w:rsid w:val="5FFD35E4"/>
    <w:rsid w:val="60019AA3"/>
    <w:rsid w:val="60084408"/>
    <w:rsid w:val="600AEF01"/>
    <w:rsid w:val="600D749C"/>
    <w:rsid w:val="601B2084"/>
    <w:rsid w:val="601F7E99"/>
    <w:rsid w:val="6023D023"/>
    <w:rsid w:val="602B55AB"/>
    <w:rsid w:val="602D81DE"/>
    <w:rsid w:val="602DC036"/>
    <w:rsid w:val="60305B74"/>
    <w:rsid w:val="60346355"/>
    <w:rsid w:val="603878D1"/>
    <w:rsid w:val="6039B023"/>
    <w:rsid w:val="604B261C"/>
    <w:rsid w:val="604DA83D"/>
    <w:rsid w:val="606BE565"/>
    <w:rsid w:val="60732D2E"/>
    <w:rsid w:val="607484A2"/>
    <w:rsid w:val="6083F485"/>
    <w:rsid w:val="60901BAB"/>
    <w:rsid w:val="60B0105D"/>
    <w:rsid w:val="60B4C54C"/>
    <w:rsid w:val="60B61256"/>
    <w:rsid w:val="60B6A823"/>
    <w:rsid w:val="60B99205"/>
    <w:rsid w:val="60C69C30"/>
    <w:rsid w:val="60CB7117"/>
    <w:rsid w:val="60D3665B"/>
    <w:rsid w:val="60D563A3"/>
    <w:rsid w:val="60D74184"/>
    <w:rsid w:val="60D9D1C3"/>
    <w:rsid w:val="60E3E2CD"/>
    <w:rsid w:val="60E589B1"/>
    <w:rsid w:val="60ECA86E"/>
    <w:rsid w:val="60F4BF16"/>
    <w:rsid w:val="60F7782F"/>
    <w:rsid w:val="60F90BC6"/>
    <w:rsid w:val="60F9BD6A"/>
    <w:rsid w:val="6105C38C"/>
    <w:rsid w:val="610BD95B"/>
    <w:rsid w:val="61113F23"/>
    <w:rsid w:val="6111DB31"/>
    <w:rsid w:val="6112B0CE"/>
    <w:rsid w:val="611985FE"/>
    <w:rsid w:val="611C00A8"/>
    <w:rsid w:val="61256023"/>
    <w:rsid w:val="6131330D"/>
    <w:rsid w:val="6132AABE"/>
    <w:rsid w:val="6137940F"/>
    <w:rsid w:val="613E6BDC"/>
    <w:rsid w:val="6144E8AF"/>
    <w:rsid w:val="6146CE06"/>
    <w:rsid w:val="6149198F"/>
    <w:rsid w:val="614F6B42"/>
    <w:rsid w:val="6150E653"/>
    <w:rsid w:val="6151101E"/>
    <w:rsid w:val="6163F37A"/>
    <w:rsid w:val="6171C713"/>
    <w:rsid w:val="61725019"/>
    <w:rsid w:val="6172E2F0"/>
    <w:rsid w:val="61742904"/>
    <w:rsid w:val="617583C8"/>
    <w:rsid w:val="61767BE4"/>
    <w:rsid w:val="617716DA"/>
    <w:rsid w:val="617AFF0C"/>
    <w:rsid w:val="617B1378"/>
    <w:rsid w:val="617C5F3C"/>
    <w:rsid w:val="6184EC5C"/>
    <w:rsid w:val="6186E34C"/>
    <w:rsid w:val="61892F5B"/>
    <w:rsid w:val="61921179"/>
    <w:rsid w:val="619F60CB"/>
    <w:rsid w:val="61A5910F"/>
    <w:rsid w:val="61ACBCD8"/>
    <w:rsid w:val="61AEADD7"/>
    <w:rsid w:val="61B0FB95"/>
    <w:rsid w:val="61B2A9CE"/>
    <w:rsid w:val="61B6876D"/>
    <w:rsid w:val="61C5572F"/>
    <w:rsid w:val="61CAAC9A"/>
    <w:rsid w:val="61CDB1EA"/>
    <w:rsid w:val="61D5791B"/>
    <w:rsid w:val="61D622AE"/>
    <w:rsid w:val="61EF75EE"/>
    <w:rsid w:val="61EFD8D8"/>
    <w:rsid w:val="61F5518E"/>
    <w:rsid w:val="61F597F4"/>
    <w:rsid w:val="61FEEC2F"/>
    <w:rsid w:val="62005B05"/>
    <w:rsid w:val="6208C03D"/>
    <w:rsid w:val="62106BE8"/>
    <w:rsid w:val="62128021"/>
    <w:rsid w:val="621C5103"/>
    <w:rsid w:val="6224E7FB"/>
    <w:rsid w:val="62290DD9"/>
    <w:rsid w:val="622CEBDE"/>
    <w:rsid w:val="62319F71"/>
    <w:rsid w:val="6232306F"/>
    <w:rsid w:val="62387AAD"/>
    <w:rsid w:val="623C7682"/>
    <w:rsid w:val="62418795"/>
    <w:rsid w:val="6241F1C6"/>
    <w:rsid w:val="624E0890"/>
    <w:rsid w:val="62543B0F"/>
    <w:rsid w:val="6254F1E3"/>
    <w:rsid w:val="62553A8A"/>
    <w:rsid w:val="625ED723"/>
    <w:rsid w:val="6267CC24"/>
    <w:rsid w:val="626DB576"/>
    <w:rsid w:val="626F0E39"/>
    <w:rsid w:val="627311E5"/>
    <w:rsid w:val="62745C3E"/>
    <w:rsid w:val="627D3F6B"/>
    <w:rsid w:val="6280CFF1"/>
    <w:rsid w:val="62852978"/>
    <w:rsid w:val="62866CE8"/>
    <w:rsid w:val="62925735"/>
    <w:rsid w:val="6294EDB6"/>
    <w:rsid w:val="6299018C"/>
    <w:rsid w:val="62A193ED"/>
    <w:rsid w:val="62A29820"/>
    <w:rsid w:val="62A5F913"/>
    <w:rsid w:val="62AB4C95"/>
    <w:rsid w:val="62AC2099"/>
    <w:rsid w:val="62ADDA03"/>
    <w:rsid w:val="62AED149"/>
    <w:rsid w:val="62B09EFF"/>
    <w:rsid w:val="62B9F4BC"/>
    <w:rsid w:val="62BA5133"/>
    <w:rsid w:val="62BAB6FA"/>
    <w:rsid w:val="62BD5C93"/>
    <w:rsid w:val="62C81829"/>
    <w:rsid w:val="62CF6C3F"/>
    <w:rsid w:val="62E184C0"/>
    <w:rsid w:val="62E3494A"/>
    <w:rsid w:val="62EABE9D"/>
    <w:rsid w:val="62EC604A"/>
    <w:rsid w:val="62EC80D3"/>
    <w:rsid w:val="62F1E4B5"/>
    <w:rsid w:val="62FEB98F"/>
    <w:rsid w:val="630314B5"/>
    <w:rsid w:val="6303F1AB"/>
    <w:rsid w:val="6308F750"/>
    <w:rsid w:val="630A9BD8"/>
    <w:rsid w:val="63161A20"/>
    <w:rsid w:val="63173F3F"/>
    <w:rsid w:val="631D4106"/>
    <w:rsid w:val="631D9FEE"/>
    <w:rsid w:val="6320377B"/>
    <w:rsid w:val="63260BCE"/>
    <w:rsid w:val="633296BC"/>
    <w:rsid w:val="6336CFDF"/>
    <w:rsid w:val="633863A3"/>
    <w:rsid w:val="63462345"/>
    <w:rsid w:val="634BA5AD"/>
    <w:rsid w:val="634D5A5E"/>
    <w:rsid w:val="6354F301"/>
    <w:rsid w:val="63561D0C"/>
    <w:rsid w:val="6356DD3A"/>
    <w:rsid w:val="63574788"/>
    <w:rsid w:val="635E2C33"/>
    <w:rsid w:val="635EA153"/>
    <w:rsid w:val="63630209"/>
    <w:rsid w:val="63729380"/>
    <w:rsid w:val="63780B36"/>
    <w:rsid w:val="637F277E"/>
    <w:rsid w:val="6383D406"/>
    <w:rsid w:val="63A081A3"/>
    <w:rsid w:val="63A462E4"/>
    <w:rsid w:val="63AC578B"/>
    <w:rsid w:val="63B3C2EA"/>
    <w:rsid w:val="63B50914"/>
    <w:rsid w:val="63B7528C"/>
    <w:rsid w:val="63CD0AD4"/>
    <w:rsid w:val="63CDE87A"/>
    <w:rsid w:val="63D3F995"/>
    <w:rsid w:val="63D7A50D"/>
    <w:rsid w:val="63DB4628"/>
    <w:rsid w:val="63DBFBE9"/>
    <w:rsid w:val="63E2961E"/>
    <w:rsid w:val="63EB1E21"/>
    <w:rsid w:val="63EF0347"/>
    <w:rsid w:val="63F89B18"/>
    <w:rsid w:val="63F9F8A2"/>
    <w:rsid w:val="6400ACE7"/>
    <w:rsid w:val="6402E4BD"/>
    <w:rsid w:val="6408BF69"/>
    <w:rsid w:val="640B61B3"/>
    <w:rsid w:val="640CA409"/>
    <w:rsid w:val="640F548A"/>
    <w:rsid w:val="64109648"/>
    <w:rsid w:val="64181DBB"/>
    <w:rsid w:val="642830D5"/>
    <w:rsid w:val="642AACA4"/>
    <w:rsid w:val="642AE9B2"/>
    <w:rsid w:val="642C05CC"/>
    <w:rsid w:val="642FE23F"/>
    <w:rsid w:val="6433B854"/>
    <w:rsid w:val="64428FE7"/>
    <w:rsid w:val="64499261"/>
    <w:rsid w:val="6454FDCE"/>
    <w:rsid w:val="645D26CA"/>
    <w:rsid w:val="645DE74C"/>
    <w:rsid w:val="64600495"/>
    <w:rsid w:val="64627225"/>
    <w:rsid w:val="6463DC86"/>
    <w:rsid w:val="6468E7ED"/>
    <w:rsid w:val="6478A4B8"/>
    <w:rsid w:val="647D6FFD"/>
    <w:rsid w:val="6482E59B"/>
    <w:rsid w:val="6483BAB0"/>
    <w:rsid w:val="64962FD3"/>
    <w:rsid w:val="6498DC08"/>
    <w:rsid w:val="64B220FB"/>
    <w:rsid w:val="64B3E022"/>
    <w:rsid w:val="64B4E2E1"/>
    <w:rsid w:val="64BA63A6"/>
    <w:rsid w:val="64C33CA2"/>
    <w:rsid w:val="64C55015"/>
    <w:rsid w:val="64CB18C0"/>
    <w:rsid w:val="64D5B5AE"/>
    <w:rsid w:val="64D5D13E"/>
    <w:rsid w:val="64D780CA"/>
    <w:rsid w:val="64E08145"/>
    <w:rsid w:val="64E37D85"/>
    <w:rsid w:val="64E57CE8"/>
    <w:rsid w:val="64E972CD"/>
    <w:rsid w:val="64EA0EF6"/>
    <w:rsid w:val="64EAFAA8"/>
    <w:rsid w:val="64F5B156"/>
    <w:rsid w:val="64F945CC"/>
    <w:rsid w:val="6506E668"/>
    <w:rsid w:val="6508C200"/>
    <w:rsid w:val="650FA8EB"/>
    <w:rsid w:val="6512399C"/>
    <w:rsid w:val="65203253"/>
    <w:rsid w:val="65226E53"/>
    <w:rsid w:val="652834F8"/>
    <w:rsid w:val="6531EBAC"/>
    <w:rsid w:val="65346A1A"/>
    <w:rsid w:val="653544B0"/>
    <w:rsid w:val="653A7492"/>
    <w:rsid w:val="65418339"/>
    <w:rsid w:val="6546ECC6"/>
    <w:rsid w:val="6548BE94"/>
    <w:rsid w:val="654A1C60"/>
    <w:rsid w:val="654D5044"/>
    <w:rsid w:val="654E5D11"/>
    <w:rsid w:val="655213E1"/>
    <w:rsid w:val="6559054C"/>
    <w:rsid w:val="6562F408"/>
    <w:rsid w:val="6572AEFF"/>
    <w:rsid w:val="6573CCFB"/>
    <w:rsid w:val="6573D622"/>
    <w:rsid w:val="6576F939"/>
    <w:rsid w:val="657CBB88"/>
    <w:rsid w:val="6583D22C"/>
    <w:rsid w:val="6585B9DD"/>
    <w:rsid w:val="658C61C2"/>
    <w:rsid w:val="65979D74"/>
    <w:rsid w:val="659BB87A"/>
    <w:rsid w:val="65A3895C"/>
    <w:rsid w:val="65A975C2"/>
    <w:rsid w:val="65B6595F"/>
    <w:rsid w:val="65B7FDCF"/>
    <w:rsid w:val="65C19D24"/>
    <w:rsid w:val="65C52C9A"/>
    <w:rsid w:val="65C5790A"/>
    <w:rsid w:val="65CB8368"/>
    <w:rsid w:val="65D951DB"/>
    <w:rsid w:val="65DDC587"/>
    <w:rsid w:val="65E7B669"/>
    <w:rsid w:val="65E816A8"/>
    <w:rsid w:val="65F89486"/>
    <w:rsid w:val="66053034"/>
    <w:rsid w:val="660D54D4"/>
    <w:rsid w:val="661468FB"/>
    <w:rsid w:val="661777A0"/>
    <w:rsid w:val="6619ACAD"/>
    <w:rsid w:val="662BAE4A"/>
    <w:rsid w:val="663567E3"/>
    <w:rsid w:val="6637C4CF"/>
    <w:rsid w:val="663B5FC9"/>
    <w:rsid w:val="663D4C03"/>
    <w:rsid w:val="66421FB3"/>
    <w:rsid w:val="664A2723"/>
    <w:rsid w:val="6658AA0C"/>
    <w:rsid w:val="66598A6C"/>
    <w:rsid w:val="6659DEC8"/>
    <w:rsid w:val="665E63BF"/>
    <w:rsid w:val="66612E29"/>
    <w:rsid w:val="66680709"/>
    <w:rsid w:val="666CF814"/>
    <w:rsid w:val="667094A8"/>
    <w:rsid w:val="6673D55C"/>
    <w:rsid w:val="6675C68D"/>
    <w:rsid w:val="667B2289"/>
    <w:rsid w:val="667EB784"/>
    <w:rsid w:val="6681C078"/>
    <w:rsid w:val="6682858D"/>
    <w:rsid w:val="6686E09C"/>
    <w:rsid w:val="668ABFC8"/>
    <w:rsid w:val="669B15A9"/>
    <w:rsid w:val="66A8597F"/>
    <w:rsid w:val="66AC12DC"/>
    <w:rsid w:val="66CBF074"/>
    <w:rsid w:val="66CD89E5"/>
    <w:rsid w:val="66CE9298"/>
    <w:rsid w:val="66D4D47D"/>
    <w:rsid w:val="66D8D179"/>
    <w:rsid w:val="66DB83B3"/>
    <w:rsid w:val="66EA928C"/>
    <w:rsid w:val="66ED23D4"/>
    <w:rsid w:val="66EF2537"/>
    <w:rsid w:val="66F470E8"/>
    <w:rsid w:val="66F84432"/>
    <w:rsid w:val="6702F24E"/>
    <w:rsid w:val="6704A5B2"/>
    <w:rsid w:val="670D2356"/>
    <w:rsid w:val="670DB336"/>
    <w:rsid w:val="670E62BA"/>
    <w:rsid w:val="6710AF68"/>
    <w:rsid w:val="671363D7"/>
    <w:rsid w:val="67153BB1"/>
    <w:rsid w:val="6717E7BF"/>
    <w:rsid w:val="671EC05F"/>
    <w:rsid w:val="672A39C2"/>
    <w:rsid w:val="672DAC24"/>
    <w:rsid w:val="6744B208"/>
    <w:rsid w:val="674C4677"/>
    <w:rsid w:val="675362AA"/>
    <w:rsid w:val="6759226B"/>
    <w:rsid w:val="676698F8"/>
    <w:rsid w:val="67681B3F"/>
    <w:rsid w:val="676983D4"/>
    <w:rsid w:val="677133EF"/>
    <w:rsid w:val="6778D5A7"/>
    <w:rsid w:val="6782D308"/>
    <w:rsid w:val="67870C85"/>
    <w:rsid w:val="67889A01"/>
    <w:rsid w:val="6788E9FE"/>
    <w:rsid w:val="678BC334"/>
    <w:rsid w:val="678E57E6"/>
    <w:rsid w:val="679040F6"/>
    <w:rsid w:val="6793CFC7"/>
    <w:rsid w:val="6795FB37"/>
    <w:rsid w:val="67974222"/>
    <w:rsid w:val="679A5ED0"/>
    <w:rsid w:val="679C0A28"/>
    <w:rsid w:val="679C4823"/>
    <w:rsid w:val="67AFE03A"/>
    <w:rsid w:val="67B511AC"/>
    <w:rsid w:val="67B58552"/>
    <w:rsid w:val="67B8B520"/>
    <w:rsid w:val="67BEB734"/>
    <w:rsid w:val="67C1131C"/>
    <w:rsid w:val="67C4E599"/>
    <w:rsid w:val="67C7D5AC"/>
    <w:rsid w:val="67CAF7A5"/>
    <w:rsid w:val="67CF69BD"/>
    <w:rsid w:val="67CF8A23"/>
    <w:rsid w:val="67D61B47"/>
    <w:rsid w:val="67DD1D3E"/>
    <w:rsid w:val="67E68F84"/>
    <w:rsid w:val="67ED8AFB"/>
    <w:rsid w:val="67EEB155"/>
    <w:rsid w:val="67F489D0"/>
    <w:rsid w:val="67F6A676"/>
    <w:rsid w:val="67FBBEE7"/>
    <w:rsid w:val="67FE96B7"/>
    <w:rsid w:val="68031F3C"/>
    <w:rsid w:val="68049912"/>
    <w:rsid w:val="68070223"/>
    <w:rsid w:val="68079E2F"/>
    <w:rsid w:val="68090ED2"/>
    <w:rsid w:val="680BB5CE"/>
    <w:rsid w:val="680C059E"/>
    <w:rsid w:val="680DE6E2"/>
    <w:rsid w:val="681023C0"/>
    <w:rsid w:val="6813FC05"/>
    <w:rsid w:val="6817F003"/>
    <w:rsid w:val="68187A14"/>
    <w:rsid w:val="681E7479"/>
    <w:rsid w:val="68219DDF"/>
    <w:rsid w:val="68234CF1"/>
    <w:rsid w:val="6828FDF1"/>
    <w:rsid w:val="682A5E45"/>
    <w:rsid w:val="682BE4EF"/>
    <w:rsid w:val="682C3B2C"/>
    <w:rsid w:val="682E02E0"/>
    <w:rsid w:val="6831E8C4"/>
    <w:rsid w:val="68327D61"/>
    <w:rsid w:val="6833BB75"/>
    <w:rsid w:val="68362217"/>
    <w:rsid w:val="683FDDDC"/>
    <w:rsid w:val="68406616"/>
    <w:rsid w:val="6841E979"/>
    <w:rsid w:val="68458403"/>
    <w:rsid w:val="684784FD"/>
    <w:rsid w:val="6849546A"/>
    <w:rsid w:val="684D5569"/>
    <w:rsid w:val="685D0480"/>
    <w:rsid w:val="68619652"/>
    <w:rsid w:val="68688BD5"/>
    <w:rsid w:val="686AE1BA"/>
    <w:rsid w:val="686F9FB0"/>
    <w:rsid w:val="68759122"/>
    <w:rsid w:val="6895BC69"/>
    <w:rsid w:val="689943E1"/>
    <w:rsid w:val="689C618E"/>
    <w:rsid w:val="689CC7DC"/>
    <w:rsid w:val="68A61B7C"/>
    <w:rsid w:val="68A7D944"/>
    <w:rsid w:val="68AC550A"/>
    <w:rsid w:val="68AD2499"/>
    <w:rsid w:val="68AE501C"/>
    <w:rsid w:val="68B4872D"/>
    <w:rsid w:val="68BC6E89"/>
    <w:rsid w:val="68C193EA"/>
    <w:rsid w:val="68C478A2"/>
    <w:rsid w:val="68D82BC3"/>
    <w:rsid w:val="68E2C132"/>
    <w:rsid w:val="68EA5285"/>
    <w:rsid w:val="68F3F856"/>
    <w:rsid w:val="68FA0BED"/>
    <w:rsid w:val="68FBFE4F"/>
    <w:rsid w:val="68FCD953"/>
    <w:rsid w:val="68FE4A04"/>
    <w:rsid w:val="68FEE565"/>
    <w:rsid w:val="68FF0647"/>
    <w:rsid w:val="6905F405"/>
    <w:rsid w:val="690C49B7"/>
    <w:rsid w:val="691414B5"/>
    <w:rsid w:val="691A5A34"/>
    <w:rsid w:val="692554DE"/>
    <w:rsid w:val="692F36B3"/>
    <w:rsid w:val="69363665"/>
    <w:rsid w:val="6939B99D"/>
    <w:rsid w:val="693C06AE"/>
    <w:rsid w:val="6942F9A6"/>
    <w:rsid w:val="69446837"/>
    <w:rsid w:val="694CC9B9"/>
    <w:rsid w:val="69565AD1"/>
    <w:rsid w:val="695A181C"/>
    <w:rsid w:val="695B1C2B"/>
    <w:rsid w:val="695BDF53"/>
    <w:rsid w:val="69639901"/>
    <w:rsid w:val="696B278B"/>
    <w:rsid w:val="696D416A"/>
    <w:rsid w:val="6970CDFA"/>
    <w:rsid w:val="69718A77"/>
    <w:rsid w:val="69749E78"/>
    <w:rsid w:val="69806921"/>
    <w:rsid w:val="69810854"/>
    <w:rsid w:val="6981C968"/>
    <w:rsid w:val="6982A66E"/>
    <w:rsid w:val="6985B95C"/>
    <w:rsid w:val="698E1E2B"/>
    <w:rsid w:val="698EC542"/>
    <w:rsid w:val="699627E5"/>
    <w:rsid w:val="69981E67"/>
    <w:rsid w:val="699937A6"/>
    <w:rsid w:val="69A34B88"/>
    <w:rsid w:val="69A581FB"/>
    <w:rsid w:val="69A941C2"/>
    <w:rsid w:val="69AE805D"/>
    <w:rsid w:val="69B67FD0"/>
    <w:rsid w:val="69B8F279"/>
    <w:rsid w:val="69B9DC52"/>
    <w:rsid w:val="69C3BED3"/>
    <w:rsid w:val="69CB2002"/>
    <w:rsid w:val="69CF42D7"/>
    <w:rsid w:val="69D2E588"/>
    <w:rsid w:val="69D5882D"/>
    <w:rsid w:val="69DB679E"/>
    <w:rsid w:val="69DD839C"/>
    <w:rsid w:val="69E0DF76"/>
    <w:rsid w:val="69E13CFE"/>
    <w:rsid w:val="69E1FAC5"/>
    <w:rsid w:val="69E20B88"/>
    <w:rsid w:val="69E73C44"/>
    <w:rsid w:val="69F9DA41"/>
    <w:rsid w:val="69FAB179"/>
    <w:rsid w:val="69FF124A"/>
    <w:rsid w:val="6A035D81"/>
    <w:rsid w:val="6A05B39B"/>
    <w:rsid w:val="6A0B9726"/>
    <w:rsid w:val="6A177B52"/>
    <w:rsid w:val="6A1A1CAA"/>
    <w:rsid w:val="6A24B808"/>
    <w:rsid w:val="6A2751F6"/>
    <w:rsid w:val="6A39B257"/>
    <w:rsid w:val="6A3DA079"/>
    <w:rsid w:val="6A408168"/>
    <w:rsid w:val="6A5702F4"/>
    <w:rsid w:val="6A5CA5BF"/>
    <w:rsid w:val="6A5E0E0D"/>
    <w:rsid w:val="6A6248AE"/>
    <w:rsid w:val="6A6616AE"/>
    <w:rsid w:val="6A680E71"/>
    <w:rsid w:val="6A69AD9C"/>
    <w:rsid w:val="6A6BA30F"/>
    <w:rsid w:val="6A6D2B20"/>
    <w:rsid w:val="6A71E585"/>
    <w:rsid w:val="6A759D5C"/>
    <w:rsid w:val="6A7A3D07"/>
    <w:rsid w:val="6A7CB02D"/>
    <w:rsid w:val="6A7E92D8"/>
    <w:rsid w:val="6A83D327"/>
    <w:rsid w:val="6A87A7F6"/>
    <w:rsid w:val="6A8D7E90"/>
    <w:rsid w:val="6A8F67FA"/>
    <w:rsid w:val="6A953EFA"/>
    <w:rsid w:val="6A9645B1"/>
    <w:rsid w:val="6AA2B550"/>
    <w:rsid w:val="6AB013E7"/>
    <w:rsid w:val="6AB03E3E"/>
    <w:rsid w:val="6AB6E032"/>
    <w:rsid w:val="6AB863FC"/>
    <w:rsid w:val="6ABF6C44"/>
    <w:rsid w:val="6AC59580"/>
    <w:rsid w:val="6ACE2A2A"/>
    <w:rsid w:val="6AD0DD9C"/>
    <w:rsid w:val="6AD45619"/>
    <w:rsid w:val="6AD6312C"/>
    <w:rsid w:val="6AE2B37F"/>
    <w:rsid w:val="6AE5B00D"/>
    <w:rsid w:val="6AE85377"/>
    <w:rsid w:val="6AEA73A6"/>
    <w:rsid w:val="6AED57B6"/>
    <w:rsid w:val="6AF30CFC"/>
    <w:rsid w:val="6AF4CBA6"/>
    <w:rsid w:val="6AFB0473"/>
    <w:rsid w:val="6AFC538A"/>
    <w:rsid w:val="6AFF6E1C"/>
    <w:rsid w:val="6B0000DA"/>
    <w:rsid w:val="6B02C7AC"/>
    <w:rsid w:val="6B08A27A"/>
    <w:rsid w:val="6B0B61EF"/>
    <w:rsid w:val="6B1213B2"/>
    <w:rsid w:val="6B13A5E5"/>
    <w:rsid w:val="6B187FD0"/>
    <w:rsid w:val="6B203147"/>
    <w:rsid w:val="6B278DC7"/>
    <w:rsid w:val="6B2F6A95"/>
    <w:rsid w:val="6B301C6B"/>
    <w:rsid w:val="6B371CF9"/>
    <w:rsid w:val="6B38902F"/>
    <w:rsid w:val="6B478B92"/>
    <w:rsid w:val="6B576771"/>
    <w:rsid w:val="6B61D133"/>
    <w:rsid w:val="6B6388C9"/>
    <w:rsid w:val="6B6959FE"/>
    <w:rsid w:val="6B6A9CB9"/>
    <w:rsid w:val="6B6BF040"/>
    <w:rsid w:val="6B6FD40C"/>
    <w:rsid w:val="6B70007A"/>
    <w:rsid w:val="6B712633"/>
    <w:rsid w:val="6B77009C"/>
    <w:rsid w:val="6B7A2558"/>
    <w:rsid w:val="6B7A8D85"/>
    <w:rsid w:val="6B8481F6"/>
    <w:rsid w:val="6B868D97"/>
    <w:rsid w:val="6B8CD429"/>
    <w:rsid w:val="6B902967"/>
    <w:rsid w:val="6B960118"/>
    <w:rsid w:val="6B96DEC8"/>
    <w:rsid w:val="6B9BCF60"/>
    <w:rsid w:val="6BA29BD3"/>
    <w:rsid w:val="6BA7883C"/>
    <w:rsid w:val="6BA86256"/>
    <w:rsid w:val="6BB1520A"/>
    <w:rsid w:val="6BB1DAC1"/>
    <w:rsid w:val="6BB21747"/>
    <w:rsid w:val="6BB3AC42"/>
    <w:rsid w:val="6BB859E4"/>
    <w:rsid w:val="6BBCB474"/>
    <w:rsid w:val="6BC4412B"/>
    <w:rsid w:val="6BC81811"/>
    <w:rsid w:val="6BCC01A5"/>
    <w:rsid w:val="6BCD2AA4"/>
    <w:rsid w:val="6BD22D39"/>
    <w:rsid w:val="6BD4C331"/>
    <w:rsid w:val="6BD6173D"/>
    <w:rsid w:val="6BDA6F5D"/>
    <w:rsid w:val="6BDED597"/>
    <w:rsid w:val="6BE72245"/>
    <w:rsid w:val="6BEA4C61"/>
    <w:rsid w:val="6BF74640"/>
    <w:rsid w:val="6BFA6003"/>
    <w:rsid w:val="6BFE2824"/>
    <w:rsid w:val="6BFFAA1E"/>
    <w:rsid w:val="6C24BC2D"/>
    <w:rsid w:val="6C256504"/>
    <w:rsid w:val="6C26A20F"/>
    <w:rsid w:val="6C28626C"/>
    <w:rsid w:val="6C293477"/>
    <w:rsid w:val="6C306000"/>
    <w:rsid w:val="6C3C1942"/>
    <w:rsid w:val="6C3C48A2"/>
    <w:rsid w:val="6C3C960A"/>
    <w:rsid w:val="6C4F942D"/>
    <w:rsid w:val="6C5D3340"/>
    <w:rsid w:val="6C5F6D77"/>
    <w:rsid w:val="6C69F4E2"/>
    <w:rsid w:val="6C72AE20"/>
    <w:rsid w:val="6C73B24F"/>
    <w:rsid w:val="6C7A045B"/>
    <w:rsid w:val="6C82ED05"/>
    <w:rsid w:val="6C84893E"/>
    <w:rsid w:val="6C869A50"/>
    <w:rsid w:val="6C8913F6"/>
    <w:rsid w:val="6C94D1F7"/>
    <w:rsid w:val="6C9B52FC"/>
    <w:rsid w:val="6CA76E67"/>
    <w:rsid w:val="6CBB358C"/>
    <w:rsid w:val="6CC009F0"/>
    <w:rsid w:val="6CC553FB"/>
    <w:rsid w:val="6CC56644"/>
    <w:rsid w:val="6CCAE711"/>
    <w:rsid w:val="6CD0C21C"/>
    <w:rsid w:val="6CD3B75E"/>
    <w:rsid w:val="6CD89093"/>
    <w:rsid w:val="6CD9045A"/>
    <w:rsid w:val="6CD94E9F"/>
    <w:rsid w:val="6CD98170"/>
    <w:rsid w:val="6CE06B9B"/>
    <w:rsid w:val="6CE2AA3D"/>
    <w:rsid w:val="6CE4AE69"/>
    <w:rsid w:val="6CE70412"/>
    <w:rsid w:val="6CEDC61C"/>
    <w:rsid w:val="6CF04D7B"/>
    <w:rsid w:val="6CFA20AC"/>
    <w:rsid w:val="6D0EBDD7"/>
    <w:rsid w:val="6D0F0E88"/>
    <w:rsid w:val="6D12378B"/>
    <w:rsid w:val="6D15E8AC"/>
    <w:rsid w:val="6D17186C"/>
    <w:rsid w:val="6D1E659E"/>
    <w:rsid w:val="6D218E56"/>
    <w:rsid w:val="6D232B4D"/>
    <w:rsid w:val="6D27DB28"/>
    <w:rsid w:val="6D2A955C"/>
    <w:rsid w:val="6D33A85D"/>
    <w:rsid w:val="6D429806"/>
    <w:rsid w:val="6D48F8DA"/>
    <w:rsid w:val="6D4FBEED"/>
    <w:rsid w:val="6D5465FA"/>
    <w:rsid w:val="6D551FB9"/>
    <w:rsid w:val="6D5DCDF2"/>
    <w:rsid w:val="6D5F2589"/>
    <w:rsid w:val="6D64C77E"/>
    <w:rsid w:val="6D6EF663"/>
    <w:rsid w:val="6D718CE0"/>
    <w:rsid w:val="6D72B737"/>
    <w:rsid w:val="6D7A4BC9"/>
    <w:rsid w:val="6D8CBBF0"/>
    <w:rsid w:val="6D8D15CE"/>
    <w:rsid w:val="6D8F2691"/>
    <w:rsid w:val="6D927A86"/>
    <w:rsid w:val="6D93BB2B"/>
    <w:rsid w:val="6D943457"/>
    <w:rsid w:val="6D98181D"/>
    <w:rsid w:val="6DA44966"/>
    <w:rsid w:val="6DAB2C0B"/>
    <w:rsid w:val="6DAD2F56"/>
    <w:rsid w:val="6DAEA94B"/>
    <w:rsid w:val="6DB76441"/>
    <w:rsid w:val="6DBAC2A0"/>
    <w:rsid w:val="6DBC0725"/>
    <w:rsid w:val="6DC014F3"/>
    <w:rsid w:val="6DC3414D"/>
    <w:rsid w:val="6DC6604E"/>
    <w:rsid w:val="6DCEF122"/>
    <w:rsid w:val="6DD4A5CF"/>
    <w:rsid w:val="6DD531F4"/>
    <w:rsid w:val="6DD90342"/>
    <w:rsid w:val="6DEBF2D5"/>
    <w:rsid w:val="6DF3E6DE"/>
    <w:rsid w:val="6DF53144"/>
    <w:rsid w:val="6DFA2ED3"/>
    <w:rsid w:val="6DFE8CAD"/>
    <w:rsid w:val="6DFEB9DE"/>
    <w:rsid w:val="6E0EBD02"/>
    <w:rsid w:val="6E17A5D4"/>
    <w:rsid w:val="6E1A1FB9"/>
    <w:rsid w:val="6E201E42"/>
    <w:rsid w:val="6E260D4B"/>
    <w:rsid w:val="6E27A40E"/>
    <w:rsid w:val="6E2CCE51"/>
    <w:rsid w:val="6E3272DB"/>
    <w:rsid w:val="6E35A773"/>
    <w:rsid w:val="6E35C19C"/>
    <w:rsid w:val="6E390CAC"/>
    <w:rsid w:val="6E397855"/>
    <w:rsid w:val="6E3F6BF4"/>
    <w:rsid w:val="6E3FD04C"/>
    <w:rsid w:val="6E40BF9B"/>
    <w:rsid w:val="6E436F11"/>
    <w:rsid w:val="6E459803"/>
    <w:rsid w:val="6E484259"/>
    <w:rsid w:val="6E4AA43F"/>
    <w:rsid w:val="6E4C66F1"/>
    <w:rsid w:val="6E4F921C"/>
    <w:rsid w:val="6E5127CE"/>
    <w:rsid w:val="6E576FAA"/>
    <w:rsid w:val="6E5EC4BD"/>
    <w:rsid w:val="6E5EF528"/>
    <w:rsid w:val="6E60D94C"/>
    <w:rsid w:val="6E640A73"/>
    <w:rsid w:val="6E64F198"/>
    <w:rsid w:val="6E6D7209"/>
    <w:rsid w:val="6E750395"/>
    <w:rsid w:val="6E7E54D9"/>
    <w:rsid w:val="6E878F36"/>
    <w:rsid w:val="6E87F7E3"/>
    <w:rsid w:val="6E888F49"/>
    <w:rsid w:val="6E8A866F"/>
    <w:rsid w:val="6E9016C2"/>
    <w:rsid w:val="6E954FBF"/>
    <w:rsid w:val="6E9A2A4D"/>
    <w:rsid w:val="6EA34BA1"/>
    <w:rsid w:val="6EA9E178"/>
    <w:rsid w:val="6EAA5924"/>
    <w:rsid w:val="6EB0F4BF"/>
    <w:rsid w:val="6EB19044"/>
    <w:rsid w:val="6EB46487"/>
    <w:rsid w:val="6EB7FB56"/>
    <w:rsid w:val="6EBA115C"/>
    <w:rsid w:val="6EBAB9C0"/>
    <w:rsid w:val="6EBF5271"/>
    <w:rsid w:val="6ED8206B"/>
    <w:rsid w:val="6ED9220B"/>
    <w:rsid w:val="6EE1D48D"/>
    <w:rsid w:val="6EE73DAC"/>
    <w:rsid w:val="6EE85066"/>
    <w:rsid w:val="6EEE09AE"/>
    <w:rsid w:val="6EEE39AB"/>
    <w:rsid w:val="6EEE5250"/>
    <w:rsid w:val="6EEFF1A5"/>
    <w:rsid w:val="6EF338C1"/>
    <w:rsid w:val="6EF4B9D8"/>
    <w:rsid w:val="6F002F03"/>
    <w:rsid w:val="6F08B6BF"/>
    <w:rsid w:val="6F0BBCCC"/>
    <w:rsid w:val="6F12010B"/>
    <w:rsid w:val="6F14D232"/>
    <w:rsid w:val="6F15B01D"/>
    <w:rsid w:val="6F21526A"/>
    <w:rsid w:val="6F245A7B"/>
    <w:rsid w:val="6F25E82A"/>
    <w:rsid w:val="6F26A4F5"/>
    <w:rsid w:val="6F2B2968"/>
    <w:rsid w:val="6F39091F"/>
    <w:rsid w:val="6F3C9619"/>
    <w:rsid w:val="6F3D1361"/>
    <w:rsid w:val="6F3E028C"/>
    <w:rsid w:val="6F3FA950"/>
    <w:rsid w:val="6F403B55"/>
    <w:rsid w:val="6F41A2C4"/>
    <w:rsid w:val="6F434CF3"/>
    <w:rsid w:val="6F483145"/>
    <w:rsid w:val="6F4EDDF2"/>
    <w:rsid w:val="6F514592"/>
    <w:rsid w:val="6F5204B5"/>
    <w:rsid w:val="6F530C7C"/>
    <w:rsid w:val="6F536DBC"/>
    <w:rsid w:val="6F5B57FD"/>
    <w:rsid w:val="6F5D9CE9"/>
    <w:rsid w:val="6F63C45C"/>
    <w:rsid w:val="6F63F523"/>
    <w:rsid w:val="6F698DAC"/>
    <w:rsid w:val="6F703BEE"/>
    <w:rsid w:val="6F7CD0AB"/>
    <w:rsid w:val="6F87BFEA"/>
    <w:rsid w:val="6F886217"/>
    <w:rsid w:val="6F8C326C"/>
    <w:rsid w:val="6F8FEC95"/>
    <w:rsid w:val="6F919900"/>
    <w:rsid w:val="6F929056"/>
    <w:rsid w:val="6F9D02B2"/>
    <w:rsid w:val="6F9E6BD3"/>
    <w:rsid w:val="6FA48CAE"/>
    <w:rsid w:val="6FA7A0AB"/>
    <w:rsid w:val="6FB56BEF"/>
    <w:rsid w:val="6FB65CE5"/>
    <w:rsid w:val="6FBAAF42"/>
    <w:rsid w:val="6FC32FE9"/>
    <w:rsid w:val="6FC4048C"/>
    <w:rsid w:val="6FCC89BC"/>
    <w:rsid w:val="6FD32C3E"/>
    <w:rsid w:val="6FD5400C"/>
    <w:rsid w:val="6FDBF5CA"/>
    <w:rsid w:val="6FE04AAB"/>
    <w:rsid w:val="6FE09CBD"/>
    <w:rsid w:val="6FE2833E"/>
    <w:rsid w:val="6FE8B8FD"/>
    <w:rsid w:val="6FEAD479"/>
    <w:rsid w:val="6FEBEBBC"/>
    <w:rsid w:val="6FF59EC5"/>
    <w:rsid w:val="6FF5E5C9"/>
    <w:rsid w:val="6FF6D37C"/>
    <w:rsid w:val="6FF80E08"/>
    <w:rsid w:val="6FF8E79B"/>
    <w:rsid w:val="70035DFE"/>
    <w:rsid w:val="7004AC7F"/>
    <w:rsid w:val="700DD218"/>
    <w:rsid w:val="700E1A75"/>
    <w:rsid w:val="7012DD20"/>
    <w:rsid w:val="7012F507"/>
    <w:rsid w:val="70134460"/>
    <w:rsid w:val="701BA277"/>
    <w:rsid w:val="701CA7FA"/>
    <w:rsid w:val="702115B0"/>
    <w:rsid w:val="7029412C"/>
    <w:rsid w:val="702FFD6B"/>
    <w:rsid w:val="7033684A"/>
    <w:rsid w:val="703418B3"/>
    <w:rsid w:val="70366198"/>
    <w:rsid w:val="7036973D"/>
    <w:rsid w:val="70373B27"/>
    <w:rsid w:val="70393CF0"/>
    <w:rsid w:val="703C450C"/>
    <w:rsid w:val="703FB50E"/>
    <w:rsid w:val="704EA238"/>
    <w:rsid w:val="70573643"/>
    <w:rsid w:val="705C864B"/>
    <w:rsid w:val="705D098D"/>
    <w:rsid w:val="706662CC"/>
    <w:rsid w:val="706D64B3"/>
    <w:rsid w:val="7072E283"/>
    <w:rsid w:val="70731554"/>
    <w:rsid w:val="7074E961"/>
    <w:rsid w:val="707661BB"/>
    <w:rsid w:val="707BDEFC"/>
    <w:rsid w:val="707CBAAF"/>
    <w:rsid w:val="7081A9B7"/>
    <w:rsid w:val="70854AE9"/>
    <w:rsid w:val="708B0EC1"/>
    <w:rsid w:val="708D45A6"/>
    <w:rsid w:val="7091060E"/>
    <w:rsid w:val="70935E71"/>
    <w:rsid w:val="70A50A51"/>
    <w:rsid w:val="70A8F56D"/>
    <w:rsid w:val="70A9B1D0"/>
    <w:rsid w:val="70B487FC"/>
    <w:rsid w:val="70B69FB1"/>
    <w:rsid w:val="70BB6A2C"/>
    <w:rsid w:val="70BCB503"/>
    <w:rsid w:val="70BFEC02"/>
    <w:rsid w:val="70C1F207"/>
    <w:rsid w:val="70D37E57"/>
    <w:rsid w:val="70DCFF27"/>
    <w:rsid w:val="70DEE7A3"/>
    <w:rsid w:val="70DF4F7D"/>
    <w:rsid w:val="70E2FBEC"/>
    <w:rsid w:val="70E60531"/>
    <w:rsid w:val="70EA9FE0"/>
    <w:rsid w:val="70F60C95"/>
    <w:rsid w:val="70F9CABC"/>
    <w:rsid w:val="7103E6C9"/>
    <w:rsid w:val="71093164"/>
    <w:rsid w:val="710F5892"/>
    <w:rsid w:val="7110FD42"/>
    <w:rsid w:val="711199DD"/>
    <w:rsid w:val="71148A70"/>
    <w:rsid w:val="7121DAED"/>
    <w:rsid w:val="71261078"/>
    <w:rsid w:val="7129125C"/>
    <w:rsid w:val="712CD66F"/>
    <w:rsid w:val="71313F2C"/>
    <w:rsid w:val="713229B1"/>
    <w:rsid w:val="7140C158"/>
    <w:rsid w:val="71441D59"/>
    <w:rsid w:val="7148B6E4"/>
    <w:rsid w:val="714FF9D9"/>
    <w:rsid w:val="71541BD2"/>
    <w:rsid w:val="7155140B"/>
    <w:rsid w:val="7157FBFA"/>
    <w:rsid w:val="71645D79"/>
    <w:rsid w:val="716E8A66"/>
    <w:rsid w:val="71755E85"/>
    <w:rsid w:val="7175F3D2"/>
    <w:rsid w:val="717AFDCA"/>
    <w:rsid w:val="717D6955"/>
    <w:rsid w:val="7182ABF6"/>
    <w:rsid w:val="7185A99E"/>
    <w:rsid w:val="7190669A"/>
    <w:rsid w:val="7195FFC8"/>
    <w:rsid w:val="71974A6D"/>
    <w:rsid w:val="71A1C667"/>
    <w:rsid w:val="71A21E58"/>
    <w:rsid w:val="71A4F18F"/>
    <w:rsid w:val="71A95D43"/>
    <w:rsid w:val="71AACB84"/>
    <w:rsid w:val="71AEDDF1"/>
    <w:rsid w:val="71B737AC"/>
    <w:rsid w:val="71B7A1A5"/>
    <w:rsid w:val="71BC2F77"/>
    <w:rsid w:val="71D5AD7F"/>
    <w:rsid w:val="71D6FC7E"/>
    <w:rsid w:val="71DAC4F6"/>
    <w:rsid w:val="71DD4A14"/>
    <w:rsid w:val="71E04911"/>
    <w:rsid w:val="71ECBA3F"/>
    <w:rsid w:val="71ED5EEF"/>
    <w:rsid w:val="71EF426C"/>
    <w:rsid w:val="71F28B22"/>
    <w:rsid w:val="71F2CDA3"/>
    <w:rsid w:val="71F48986"/>
    <w:rsid w:val="71FB974A"/>
    <w:rsid w:val="71FD9BDB"/>
    <w:rsid w:val="72017D63"/>
    <w:rsid w:val="7203533E"/>
    <w:rsid w:val="7222B33F"/>
    <w:rsid w:val="72234265"/>
    <w:rsid w:val="722CB83B"/>
    <w:rsid w:val="722DEE36"/>
    <w:rsid w:val="72311DFA"/>
    <w:rsid w:val="72340A2F"/>
    <w:rsid w:val="7235318C"/>
    <w:rsid w:val="723C6551"/>
    <w:rsid w:val="72401D16"/>
    <w:rsid w:val="724F3E85"/>
    <w:rsid w:val="724FAD8B"/>
    <w:rsid w:val="7252FA33"/>
    <w:rsid w:val="725B4485"/>
    <w:rsid w:val="725B5F12"/>
    <w:rsid w:val="725EB3BA"/>
    <w:rsid w:val="726086F1"/>
    <w:rsid w:val="7261B0DA"/>
    <w:rsid w:val="72627497"/>
    <w:rsid w:val="72635369"/>
    <w:rsid w:val="7265DEA8"/>
    <w:rsid w:val="72697C4D"/>
    <w:rsid w:val="726AC67E"/>
    <w:rsid w:val="726BE7B2"/>
    <w:rsid w:val="726DF51D"/>
    <w:rsid w:val="726EBFD6"/>
    <w:rsid w:val="72705267"/>
    <w:rsid w:val="7270D5C4"/>
    <w:rsid w:val="72714B06"/>
    <w:rsid w:val="7278D5A1"/>
    <w:rsid w:val="727B1D3C"/>
    <w:rsid w:val="72860822"/>
    <w:rsid w:val="7291AD59"/>
    <w:rsid w:val="72927BD9"/>
    <w:rsid w:val="72A10254"/>
    <w:rsid w:val="72ACD50F"/>
    <w:rsid w:val="72AFA729"/>
    <w:rsid w:val="72BBA894"/>
    <w:rsid w:val="72BED5DC"/>
    <w:rsid w:val="72C09B7E"/>
    <w:rsid w:val="72C97B1E"/>
    <w:rsid w:val="72CA4855"/>
    <w:rsid w:val="72D44403"/>
    <w:rsid w:val="72DBC8B2"/>
    <w:rsid w:val="72DE61FA"/>
    <w:rsid w:val="72E3795B"/>
    <w:rsid w:val="72EBCA02"/>
    <w:rsid w:val="72EF2401"/>
    <w:rsid w:val="72F40A3C"/>
    <w:rsid w:val="72F5858B"/>
    <w:rsid w:val="72F9CCE3"/>
    <w:rsid w:val="72FCA61A"/>
    <w:rsid w:val="7302DAE0"/>
    <w:rsid w:val="730380DA"/>
    <w:rsid w:val="7304F662"/>
    <w:rsid w:val="7305A819"/>
    <w:rsid w:val="7305FC5E"/>
    <w:rsid w:val="730B5F7C"/>
    <w:rsid w:val="73181B25"/>
    <w:rsid w:val="7318A462"/>
    <w:rsid w:val="731A4382"/>
    <w:rsid w:val="731FA281"/>
    <w:rsid w:val="732059BF"/>
    <w:rsid w:val="73286992"/>
    <w:rsid w:val="7328AD28"/>
    <w:rsid w:val="732EA456"/>
    <w:rsid w:val="732F4FF0"/>
    <w:rsid w:val="7335B91F"/>
    <w:rsid w:val="7335F69E"/>
    <w:rsid w:val="733AB3EB"/>
    <w:rsid w:val="733AC018"/>
    <w:rsid w:val="7345E28B"/>
    <w:rsid w:val="734721D6"/>
    <w:rsid w:val="734D79C5"/>
    <w:rsid w:val="734EF09D"/>
    <w:rsid w:val="7363607C"/>
    <w:rsid w:val="73688274"/>
    <w:rsid w:val="736ED222"/>
    <w:rsid w:val="73797F1C"/>
    <w:rsid w:val="7381A889"/>
    <w:rsid w:val="7384E12C"/>
    <w:rsid w:val="738A42FE"/>
    <w:rsid w:val="73A3222F"/>
    <w:rsid w:val="73AF9B40"/>
    <w:rsid w:val="73BA64D9"/>
    <w:rsid w:val="73BE0C50"/>
    <w:rsid w:val="73BF5D73"/>
    <w:rsid w:val="73C0D8D5"/>
    <w:rsid w:val="73C405B1"/>
    <w:rsid w:val="73CD3B65"/>
    <w:rsid w:val="73D2D507"/>
    <w:rsid w:val="73DD987B"/>
    <w:rsid w:val="73E0F970"/>
    <w:rsid w:val="73E9CC51"/>
    <w:rsid w:val="73F35E13"/>
    <w:rsid w:val="73FCF22F"/>
    <w:rsid w:val="73FD4E86"/>
    <w:rsid w:val="73FF0167"/>
    <w:rsid w:val="73FFA5BE"/>
    <w:rsid w:val="7407C51A"/>
    <w:rsid w:val="7409560B"/>
    <w:rsid w:val="740B5352"/>
    <w:rsid w:val="740C0768"/>
    <w:rsid w:val="740C99A1"/>
    <w:rsid w:val="7411A5AF"/>
    <w:rsid w:val="74121A33"/>
    <w:rsid w:val="7418E3EE"/>
    <w:rsid w:val="7421DE97"/>
    <w:rsid w:val="742768ED"/>
    <w:rsid w:val="743460D6"/>
    <w:rsid w:val="74353829"/>
    <w:rsid w:val="743891DD"/>
    <w:rsid w:val="743C2358"/>
    <w:rsid w:val="7445FB98"/>
    <w:rsid w:val="7449B7F0"/>
    <w:rsid w:val="744A028B"/>
    <w:rsid w:val="744DDE43"/>
    <w:rsid w:val="744FEBCD"/>
    <w:rsid w:val="74567317"/>
    <w:rsid w:val="7462C849"/>
    <w:rsid w:val="74688757"/>
    <w:rsid w:val="746F3180"/>
    <w:rsid w:val="74701D91"/>
    <w:rsid w:val="747386B4"/>
    <w:rsid w:val="747C5E44"/>
    <w:rsid w:val="74918513"/>
    <w:rsid w:val="7493E3B5"/>
    <w:rsid w:val="7494E2BC"/>
    <w:rsid w:val="7495B5AF"/>
    <w:rsid w:val="74987480"/>
    <w:rsid w:val="7499B88F"/>
    <w:rsid w:val="7499E21B"/>
    <w:rsid w:val="74A2A2CB"/>
    <w:rsid w:val="74A52CD2"/>
    <w:rsid w:val="74A5C66E"/>
    <w:rsid w:val="74ABCD2E"/>
    <w:rsid w:val="74AC932A"/>
    <w:rsid w:val="74AF03F5"/>
    <w:rsid w:val="74B083A2"/>
    <w:rsid w:val="74B73E60"/>
    <w:rsid w:val="74C91C17"/>
    <w:rsid w:val="74D86DA3"/>
    <w:rsid w:val="74E63359"/>
    <w:rsid w:val="74E63FA5"/>
    <w:rsid w:val="74EE1931"/>
    <w:rsid w:val="74FE7AC1"/>
    <w:rsid w:val="750CDF77"/>
    <w:rsid w:val="751103C9"/>
    <w:rsid w:val="75171129"/>
    <w:rsid w:val="751C93EA"/>
    <w:rsid w:val="751E80A0"/>
    <w:rsid w:val="751F259C"/>
    <w:rsid w:val="7521F7F9"/>
    <w:rsid w:val="752352C5"/>
    <w:rsid w:val="752C248E"/>
    <w:rsid w:val="7531E782"/>
    <w:rsid w:val="753243B6"/>
    <w:rsid w:val="7538BC18"/>
    <w:rsid w:val="753AA7C2"/>
    <w:rsid w:val="75409B86"/>
    <w:rsid w:val="754A34E6"/>
    <w:rsid w:val="754C67DE"/>
    <w:rsid w:val="754E3599"/>
    <w:rsid w:val="754F405F"/>
    <w:rsid w:val="75535600"/>
    <w:rsid w:val="755AABC1"/>
    <w:rsid w:val="755FA8D3"/>
    <w:rsid w:val="7560FA35"/>
    <w:rsid w:val="7563827C"/>
    <w:rsid w:val="756DB6EA"/>
    <w:rsid w:val="75854C48"/>
    <w:rsid w:val="7587F2DC"/>
    <w:rsid w:val="758F6CB2"/>
    <w:rsid w:val="7592A7B2"/>
    <w:rsid w:val="759540FC"/>
    <w:rsid w:val="7597903B"/>
    <w:rsid w:val="75A1BD5C"/>
    <w:rsid w:val="75A3B207"/>
    <w:rsid w:val="75A44CA0"/>
    <w:rsid w:val="75A5CDE6"/>
    <w:rsid w:val="75A811BB"/>
    <w:rsid w:val="75AE3657"/>
    <w:rsid w:val="75AEB6C1"/>
    <w:rsid w:val="75B29566"/>
    <w:rsid w:val="75B90B6A"/>
    <w:rsid w:val="75BB18E8"/>
    <w:rsid w:val="75C32470"/>
    <w:rsid w:val="75D0760C"/>
    <w:rsid w:val="75D13D75"/>
    <w:rsid w:val="75E743F6"/>
    <w:rsid w:val="75F443FA"/>
    <w:rsid w:val="76010B70"/>
    <w:rsid w:val="7604C6EA"/>
    <w:rsid w:val="76060187"/>
    <w:rsid w:val="7606F10D"/>
    <w:rsid w:val="7616F389"/>
    <w:rsid w:val="761C3783"/>
    <w:rsid w:val="761D90D1"/>
    <w:rsid w:val="761DDA9C"/>
    <w:rsid w:val="762022A6"/>
    <w:rsid w:val="7626010B"/>
    <w:rsid w:val="76269A88"/>
    <w:rsid w:val="762EF48E"/>
    <w:rsid w:val="7630A8B5"/>
    <w:rsid w:val="76312B69"/>
    <w:rsid w:val="76313315"/>
    <w:rsid w:val="7631C18A"/>
    <w:rsid w:val="76380EED"/>
    <w:rsid w:val="7638A427"/>
    <w:rsid w:val="7638FA2D"/>
    <w:rsid w:val="763AAE11"/>
    <w:rsid w:val="763BC5B9"/>
    <w:rsid w:val="763C02C3"/>
    <w:rsid w:val="76440460"/>
    <w:rsid w:val="7644566C"/>
    <w:rsid w:val="764653FB"/>
    <w:rsid w:val="76472453"/>
    <w:rsid w:val="7648C64A"/>
    <w:rsid w:val="764A4AB9"/>
    <w:rsid w:val="764CC723"/>
    <w:rsid w:val="764E33D3"/>
    <w:rsid w:val="7653F944"/>
    <w:rsid w:val="765680C9"/>
    <w:rsid w:val="7657FE53"/>
    <w:rsid w:val="765B0E50"/>
    <w:rsid w:val="765F1F67"/>
    <w:rsid w:val="76607F63"/>
    <w:rsid w:val="766B760C"/>
    <w:rsid w:val="766BFBFA"/>
    <w:rsid w:val="766CA5E1"/>
    <w:rsid w:val="766FE307"/>
    <w:rsid w:val="768137AD"/>
    <w:rsid w:val="76854FE6"/>
    <w:rsid w:val="76860805"/>
    <w:rsid w:val="7688C0D4"/>
    <w:rsid w:val="768AD85C"/>
    <w:rsid w:val="76914544"/>
    <w:rsid w:val="76947591"/>
    <w:rsid w:val="769B7F95"/>
    <w:rsid w:val="76A3CE9A"/>
    <w:rsid w:val="76A9839E"/>
    <w:rsid w:val="76AD24BF"/>
    <w:rsid w:val="76AF0FB8"/>
    <w:rsid w:val="76B085CB"/>
    <w:rsid w:val="76BFA44D"/>
    <w:rsid w:val="76D29459"/>
    <w:rsid w:val="76D630D5"/>
    <w:rsid w:val="76D95A1B"/>
    <w:rsid w:val="76F34A74"/>
    <w:rsid w:val="7702848C"/>
    <w:rsid w:val="7707E64F"/>
    <w:rsid w:val="77092E23"/>
    <w:rsid w:val="770A2701"/>
    <w:rsid w:val="77179AF4"/>
    <w:rsid w:val="77212CAD"/>
    <w:rsid w:val="772D4D80"/>
    <w:rsid w:val="77412A44"/>
    <w:rsid w:val="774E0BB8"/>
    <w:rsid w:val="7751553E"/>
    <w:rsid w:val="7753A1C5"/>
    <w:rsid w:val="77542BBF"/>
    <w:rsid w:val="7757187A"/>
    <w:rsid w:val="77571C9B"/>
    <w:rsid w:val="775CE323"/>
    <w:rsid w:val="775F3523"/>
    <w:rsid w:val="775F36AB"/>
    <w:rsid w:val="776E2EB3"/>
    <w:rsid w:val="77752A91"/>
    <w:rsid w:val="7777DB18"/>
    <w:rsid w:val="77791D0F"/>
    <w:rsid w:val="77799598"/>
    <w:rsid w:val="777DE6EE"/>
    <w:rsid w:val="77804416"/>
    <w:rsid w:val="778044DB"/>
    <w:rsid w:val="7783D775"/>
    <w:rsid w:val="77846724"/>
    <w:rsid w:val="77862C8F"/>
    <w:rsid w:val="7795ACE8"/>
    <w:rsid w:val="7797F5FF"/>
    <w:rsid w:val="779E2C48"/>
    <w:rsid w:val="77A36EA8"/>
    <w:rsid w:val="77A57BDF"/>
    <w:rsid w:val="77AF9173"/>
    <w:rsid w:val="77B11D6F"/>
    <w:rsid w:val="77B52996"/>
    <w:rsid w:val="77B8D782"/>
    <w:rsid w:val="77C2640D"/>
    <w:rsid w:val="77C670D8"/>
    <w:rsid w:val="77C87672"/>
    <w:rsid w:val="77CD2346"/>
    <w:rsid w:val="77CFC99A"/>
    <w:rsid w:val="77D27BDF"/>
    <w:rsid w:val="77DC8F6B"/>
    <w:rsid w:val="77F1C446"/>
    <w:rsid w:val="77F353FE"/>
    <w:rsid w:val="78082DBC"/>
    <w:rsid w:val="7810D4DD"/>
    <w:rsid w:val="7815F771"/>
    <w:rsid w:val="7817DBDF"/>
    <w:rsid w:val="781BBB2A"/>
    <w:rsid w:val="781EDA46"/>
    <w:rsid w:val="7821BCC3"/>
    <w:rsid w:val="782D15A5"/>
    <w:rsid w:val="7833D534"/>
    <w:rsid w:val="78361331"/>
    <w:rsid w:val="783B5B28"/>
    <w:rsid w:val="783D2720"/>
    <w:rsid w:val="783ED19D"/>
    <w:rsid w:val="78410815"/>
    <w:rsid w:val="78446627"/>
    <w:rsid w:val="784B2BEF"/>
    <w:rsid w:val="78551A4C"/>
    <w:rsid w:val="785F0ED0"/>
    <w:rsid w:val="7866A49A"/>
    <w:rsid w:val="786CEC62"/>
    <w:rsid w:val="786F63A5"/>
    <w:rsid w:val="78717E3B"/>
    <w:rsid w:val="788546C9"/>
    <w:rsid w:val="78879D2C"/>
    <w:rsid w:val="788C210F"/>
    <w:rsid w:val="7890288D"/>
    <w:rsid w:val="7890B125"/>
    <w:rsid w:val="78A0C102"/>
    <w:rsid w:val="78A2212A"/>
    <w:rsid w:val="78A9946C"/>
    <w:rsid w:val="78ABBC3B"/>
    <w:rsid w:val="78ABFC03"/>
    <w:rsid w:val="78AF83D7"/>
    <w:rsid w:val="78B46A87"/>
    <w:rsid w:val="78B73AF7"/>
    <w:rsid w:val="78BD199B"/>
    <w:rsid w:val="78E3F821"/>
    <w:rsid w:val="78E4A447"/>
    <w:rsid w:val="78F246A2"/>
    <w:rsid w:val="78F404EE"/>
    <w:rsid w:val="78FF4B79"/>
    <w:rsid w:val="790D5B8B"/>
    <w:rsid w:val="790DA079"/>
    <w:rsid w:val="7912ABB6"/>
    <w:rsid w:val="791459C2"/>
    <w:rsid w:val="791D5531"/>
    <w:rsid w:val="79217031"/>
    <w:rsid w:val="79266075"/>
    <w:rsid w:val="792ABEB0"/>
    <w:rsid w:val="792E9464"/>
    <w:rsid w:val="7936D5D8"/>
    <w:rsid w:val="7937D61C"/>
    <w:rsid w:val="793AC97D"/>
    <w:rsid w:val="793CC14B"/>
    <w:rsid w:val="793DCC5A"/>
    <w:rsid w:val="793DD342"/>
    <w:rsid w:val="7942E043"/>
    <w:rsid w:val="79443475"/>
    <w:rsid w:val="794FED35"/>
    <w:rsid w:val="7957CC69"/>
    <w:rsid w:val="7961D2B2"/>
    <w:rsid w:val="79718F1D"/>
    <w:rsid w:val="79746902"/>
    <w:rsid w:val="7974CE58"/>
    <w:rsid w:val="7975DE23"/>
    <w:rsid w:val="797A14AC"/>
    <w:rsid w:val="797A8FCB"/>
    <w:rsid w:val="797B1472"/>
    <w:rsid w:val="797BFD75"/>
    <w:rsid w:val="79815262"/>
    <w:rsid w:val="798702DF"/>
    <w:rsid w:val="79890512"/>
    <w:rsid w:val="799317D8"/>
    <w:rsid w:val="7999B143"/>
    <w:rsid w:val="79A04874"/>
    <w:rsid w:val="79AB6DF1"/>
    <w:rsid w:val="79AEC408"/>
    <w:rsid w:val="79C4FDFE"/>
    <w:rsid w:val="79C7ABB8"/>
    <w:rsid w:val="79CF5583"/>
    <w:rsid w:val="79D10AE7"/>
    <w:rsid w:val="79D1B669"/>
    <w:rsid w:val="79D962C0"/>
    <w:rsid w:val="79EC2117"/>
    <w:rsid w:val="79EC99AA"/>
    <w:rsid w:val="79EF6C75"/>
    <w:rsid w:val="79F38403"/>
    <w:rsid w:val="79FA624F"/>
    <w:rsid w:val="79FD0FE4"/>
    <w:rsid w:val="79FEDF69"/>
    <w:rsid w:val="7A00922D"/>
    <w:rsid w:val="7A024CA5"/>
    <w:rsid w:val="7A083F28"/>
    <w:rsid w:val="7A0CA2A7"/>
    <w:rsid w:val="7A0D1A2C"/>
    <w:rsid w:val="7A0E856D"/>
    <w:rsid w:val="7A123CE5"/>
    <w:rsid w:val="7A1553D4"/>
    <w:rsid w:val="7A21A6BC"/>
    <w:rsid w:val="7A22E13F"/>
    <w:rsid w:val="7A285A16"/>
    <w:rsid w:val="7A3D9804"/>
    <w:rsid w:val="7A3DBBB1"/>
    <w:rsid w:val="7A40B64D"/>
    <w:rsid w:val="7A4858FF"/>
    <w:rsid w:val="7A4F59B2"/>
    <w:rsid w:val="7A4FB648"/>
    <w:rsid w:val="7A581780"/>
    <w:rsid w:val="7A5B4725"/>
    <w:rsid w:val="7A5CA9FA"/>
    <w:rsid w:val="7A5DCF76"/>
    <w:rsid w:val="7A63E57C"/>
    <w:rsid w:val="7A657334"/>
    <w:rsid w:val="7A6D4010"/>
    <w:rsid w:val="7A6FDF56"/>
    <w:rsid w:val="7A742BE7"/>
    <w:rsid w:val="7A77D67D"/>
    <w:rsid w:val="7A843156"/>
    <w:rsid w:val="7A8B4F69"/>
    <w:rsid w:val="7A91E78B"/>
    <w:rsid w:val="7AA66E4D"/>
    <w:rsid w:val="7AB12EE0"/>
    <w:rsid w:val="7AB20330"/>
    <w:rsid w:val="7AB98BD1"/>
    <w:rsid w:val="7ABEB04D"/>
    <w:rsid w:val="7AC69247"/>
    <w:rsid w:val="7AC99F60"/>
    <w:rsid w:val="7ADACE8B"/>
    <w:rsid w:val="7ADDF4B4"/>
    <w:rsid w:val="7AE715FF"/>
    <w:rsid w:val="7AE8DAD7"/>
    <w:rsid w:val="7AEC3FC3"/>
    <w:rsid w:val="7AEC91FF"/>
    <w:rsid w:val="7AEFFE7B"/>
    <w:rsid w:val="7AF57463"/>
    <w:rsid w:val="7AF7758E"/>
    <w:rsid w:val="7AFFF52D"/>
    <w:rsid w:val="7B02F3C2"/>
    <w:rsid w:val="7B081EA2"/>
    <w:rsid w:val="7B0A1481"/>
    <w:rsid w:val="7B21ECBE"/>
    <w:rsid w:val="7B23D929"/>
    <w:rsid w:val="7B266F5A"/>
    <w:rsid w:val="7B29A4A5"/>
    <w:rsid w:val="7B2C1208"/>
    <w:rsid w:val="7B2D13C4"/>
    <w:rsid w:val="7B31C04C"/>
    <w:rsid w:val="7B33ECAC"/>
    <w:rsid w:val="7B3F562D"/>
    <w:rsid w:val="7B42FC16"/>
    <w:rsid w:val="7B45C01F"/>
    <w:rsid w:val="7B46039D"/>
    <w:rsid w:val="7B47CE5D"/>
    <w:rsid w:val="7B4AB074"/>
    <w:rsid w:val="7B5C42E2"/>
    <w:rsid w:val="7B5EE4A6"/>
    <w:rsid w:val="7B5FC7F4"/>
    <w:rsid w:val="7B64B667"/>
    <w:rsid w:val="7B6835D4"/>
    <w:rsid w:val="7B717F3A"/>
    <w:rsid w:val="7B7443AD"/>
    <w:rsid w:val="7B7F4FC1"/>
    <w:rsid w:val="7B842DEA"/>
    <w:rsid w:val="7B88ACCF"/>
    <w:rsid w:val="7B890A2B"/>
    <w:rsid w:val="7B930D07"/>
    <w:rsid w:val="7BAA553C"/>
    <w:rsid w:val="7BAADF0E"/>
    <w:rsid w:val="7BAF5CF3"/>
    <w:rsid w:val="7BB7E843"/>
    <w:rsid w:val="7BBD7A12"/>
    <w:rsid w:val="7BCF1E58"/>
    <w:rsid w:val="7BDB958D"/>
    <w:rsid w:val="7BE4B066"/>
    <w:rsid w:val="7BF156B2"/>
    <w:rsid w:val="7BF7A2CE"/>
    <w:rsid w:val="7BFBE568"/>
    <w:rsid w:val="7BFEA517"/>
    <w:rsid w:val="7BFF8394"/>
    <w:rsid w:val="7C0864DC"/>
    <w:rsid w:val="7C0CED0C"/>
    <w:rsid w:val="7C0FDD45"/>
    <w:rsid w:val="7C1128E9"/>
    <w:rsid w:val="7C1E351B"/>
    <w:rsid w:val="7C20EDF9"/>
    <w:rsid w:val="7C26B4A9"/>
    <w:rsid w:val="7C3C4CC9"/>
    <w:rsid w:val="7C3F9EBA"/>
    <w:rsid w:val="7C40748F"/>
    <w:rsid w:val="7C45B4A6"/>
    <w:rsid w:val="7C468A06"/>
    <w:rsid w:val="7C52E1CC"/>
    <w:rsid w:val="7C53EA2D"/>
    <w:rsid w:val="7C57EF13"/>
    <w:rsid w:val="7C59397A"/>
    <w:rsid w:val="7C6B880F"/>
    <w:rsid w:val="7C71B379"/>
    <w:rsid w:val="7C846F14"/>
    <w:rsid w:val="7C9C4845"/>
    <w:rsid w:val="7C9FD64D"/>
    <w:rsid w:val="7CA0597E"/>
    <w:rsid w:val="7CA66E9B"/>
    <w:rsid w:val="7CAA3B3D"/>
    <w:rsid w:val="7CB07B5A"/>
    <w:rsid w:val="7CB216BF"/>
    <w:rsid w:val="7CB2A69D"/>
    <w:rsid w:val="7CB58694"/>
    <w:rsid w:val="7CB75B95"/>
    <w:rsid w:val="7CB98ADB"/>
    <w:rsid w:val="7CBD4608"/>
    <w:rsid w:val="7CC0C3F7"/>
    <w:rsid w:val="7CCC29F2"/>
    <w:rsid w:val="7CD54FBF"/>
    <w:rsid w:val="7CD77F7B"/>
    <w:rsid w:val="7CDA7661"/>
    <w:rsid w:val="7CDC2E90"/>
    <w:rsid w:val="7CDD979A"/>
    <w:rsid w:val="7CDEDE29"/>
    <w:rsid w:val="7CDF4020"/>
    <w:rsid w:val="7CE41C8B"/>
    <w:rsid w:val="7CE532DE"/>
    <w:rsid w:val="7CED2CFA"/>
    <w:rsid w:val="7D00C2E3"/>
    <w:rsid w:val="7D040B0D"/>
    <w:rsid w:val="7D0B73E3"/>
    <w:rsid w:val="7D14F39A"/>
    <w:rsid w:val="7D16E140"/>
    <w:rsid w:val="7D186D07"/>
    <w:rsid w:val="7D1B665E"/>
    <w:rsid w:val="7D1BE287"/>
    <w:rsid w:val="7D1BE4CC"/>
    <w:rsid w:val="7D1CC439"/>
    <w:rsid w:val="7D1ECB55"/>
    <w:rsid w:val="7D26AD32"/>
    <w:rsid w:val="7D2D0956"/>
    <w:rsid w:val="7D2F9087"/>
    <w:rsid w:val="7D33C13A"/>
    <w:rsid w:val="7D356347"/>
    <w:rsid w:val="7D356E4F"/>
    <w:rsid w:val="7D37CBA7"/>
    <w:rsid w:val="7D3C50BF"/>
    <w:rsid w:val="7D413FB8"/>
    <w:rsid w:val="7D446DD3"/>
    <w:rsid w:val="7D4569C3"/>
    <w:rsid w:val="7D4612D1"/>
    <w:rsid w:val="7D4B7874"/>
    <w:rsid w:val="7D4DF820"/>
    <w:rsid w:val="7D4ECD3F"/>
    <w:rsid w:val="7D503757"/>
    <w:rsid w:val="7D6039AB"/>
    <w:rsid w:val="7D61E0BB"/>
    <w:rsid w:val="7D74C5E9"/>
    <w:rsid w:val="7D7ECA96"/>
    <w:rsid w:val="7D7FCCBA"/>
    <w:rsid w:val="7D94B656"/>
    <w:rsid w:val="7D9EF17B"/>
    <w:rsid w:val="7DA72A6D"/>
    <w:rsid w:val="7DA8073D"/>
    <w:rsid w:val="7DA94CCA"/>
    <w:rsid w:val="7DB69DD7"/>
    <w:rsid w:val="7DBB65D0"/>
    <w:rsid w:val="7DBDB444"/>
    <w:rsid w:val="7DBF5FAE"/>
    <w:rsid w:val="7DC5CED1"/>
    <w:rsid w:val="7DCA7C86"/>
    <w:rsid w:val="7DCDC44D"/>
    <w:rsid w:val="7DCFC4DE"/>
    <w:rsid w:val="7DDA6B4B"/>
    <w:rsid w:val="7DDA8BAB"/>
    <w:rsid w:val="7DEAFD88"/>
    <w:rsid w:val="7DED276F"/>
    <w:rsid w:val="7DEE09C3"/>
    <w:rsid w:val="7DEFDCFA"/>
    <w:rsid w:val="7DF5923D"/>
    <w:rsid w:val="7DF5E152"/>
    <w:rsid w:val="7DFA80D5"/>
    <w:rsid w:val="7DFD5F6B"/>
    <w:rsid w:val="7E021F35"/>
    <w:rsid w:val="7E03DA89"/>
    <w:rsid w:val="7E0469FB"/>
    <w:rsid w:val="7E06613F"/>
    <w:rsid w:val="7E1441DF"/>
    <w:rsid w:val="7E14BBCD"/>
    <w:rsid w:val="7E14BC9F"/>
    <w:rsid w:val="7E15EAAA"/>
    <w:rsid w:val="7E1B293E"/>
    <w:rsid w:val="7E1CA47B"/>
    <w:rsid w:val="7E216BB0"/>
    <w:rsid w:val="7E23EF68"/>
    <w:rsid w:val="7E35ECA2"/>
    <w:rsid w:val="7E3EF082"/>
    <w:rsid w:val="7E3F1E73"/>
    <w:rsid w:val="7E46EEE9"/>
    <w:rsid w:val="7E48C663"/>
    <w:rsid w:val="7E4A1F2D"/>
    <w:rsid w:val="7E531E45"/>
    <w:rsid w:val="7E543EAF"/>
    <w:rsid w:val="7E55EB80"/>
    <w:rsid w:val="7E5B9A86"/>
    <w:rsid w:val="7E5CDDE1"/>
    <w:rsid w:val="7E659246"/>
    <w:rsid w:val="7E71CB32"/>
    <w:rsid w:val="7E7E0E77"/>
    <w:rsid w:val="7E853398"/>
    <w:rsid w:val="7E8AA9D1"/>
    <w:rsid w:val="7E8EBCD1"/>
    <w:rsid w:val="7E945060"/>
    <w:rsid w:val="7E9772C5"/>
    <w:rsid w:val="7E979B9E"/>
    <w:rsid w:val="7EA0FAF1"/>
    <w:rsid w:val="7EA3C632"/>
    <w:rsid w:val="7EA54209"/>
    <w:rsid w:val="7EAE51B1"/>
    <w:rsid w:val="7EAFB3B3"/>
    <w:rsid w:val="7EB18405"/>
    <w:rsid w:val="7EB7BEB7"/>
    <w:rsid w:val="7EC72D6B"/>
    <w:rsid w:val="7ECF0F34"/>
    <w:rsid w:val="7ED01BB3"/>
    <w:rsid w:val="7ED0A7AB"/>
    <w:rsid w:val="7ED6C7D9"/>
    <w:rsid w:val="7EDA5113"/>
    <w:rsid w:val="7EDC8CD8"/>
    <w:rsid w:val="7EF4FA86"/>
    <w:rsid w:val="7EF6E49D"/>
    <w:rsid w:val="7EF95DB0"/>
    <w:rsid w:val="7EFAB16A"/>
    <w:rsid w:val="7EFBE250"/>
    <w:rsid w:val="7F01CC7C"/>
    <w:rsid w:val="7F0824D9"/>
    <w:rsid w:val="7F0AC916"/>
    <w:rsid w:val="7F0FC6AA"/>
    <w:rsid w:val="7F1116B7"/>
    <w:rsid w:val="7F1D8023"/>
    <w:rsid w:val="7F20D207"/>
    <w:rsid w:val="7F25A231"/>
    <w:rsid w:val="7F27245F"/>
    <w:rsid w:val="7F3106A7"/>
    <w:rsid w:val="7F3137E6"/>
    <w:rsid w:val="7F385F6E"/>
    <w:rsid w:val="7F390DE3"/>
    <w:rsid w:val="7F3E0B9A"/>
    <w:rsid w:val="7F41D4CE"/>
    <w:rsid w:val="7F45301C"/>
    <w:rsid w:val="7F4A51C6"/>
    <w:rsid w:val="7F5804D8"/>
    <w:rsid w:val="7F582F59"/>
    <w:rsid w:val="7F5A0EB4"/>
    <w:rsid w:val="7F5EC624"/>
    <w:rsid w:val="7F69CA53"/>
    <w:rsid w:val="7F6F17EA"/>
    <w:rsid w:val="7F7E2DFB"/>
    <w:rsid w:val="7F7FA9A2"/>
    <w:rsid w:val="7F88615B"/>
    <w:rsid w:val="7F8B6C4B"/>
    <w:rsid w:val="7F8DEE47"/>
    <w:rsid w:val="7F8E9003"/>
    <w:rsid w:val="7F9B05D1"/>
    <w:rsid w:val="7F9CB2E1"/>
    <w:rsid w:val="7FA220A8"/>
    <w:rsid w:val="7FA83595"/>
    <w:rsid w:val="7FAE6D8C"/>
    <w:rsid w:val="7FAFEE8F"/>
    <w:rsid w:val="7FB00166"/>
    <w:rsid w:val="7FB13A36"/>
    <w:rsid w:val="7FB17535"/>
    <w:rsid w:val="7FB21975"/>
    <w:rsid w:val="7FCD12C0"/>
    <w:rsid w:val="7FCF1DFA"/>
    <w:rsid w:val="7FD04C7A"/>
    <w:rsid w:val="7FD72BA1"/>
    <w:rsid w:val="7FDA5024"/>
    <w:rsid w:val="7FE59940"/>
    <w:rsid w:val="7FEA4F0F"/>
    <w:rsid w:val="7FF12CFF"/>
    <w:rsid w:val="7FF15A7C"/>
    <w:rsid w:val="7FFB7600"/>
    <w:rsid w:val="7FFC5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4267E2C4-F556-4789-B595-0ABF5264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887"/>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B4170D"/>
    <w:pPr>
      <w:tabs>
        <w:tab w:val="left" w:pos="360"/>
        <w:tab w:val="left" w:pos="720"/>
        <w:tab w:val="left" w:pos="1080"/>
        <w:tab w:val="left" w:pos="1440"/>
        <w:tab w:val="left" w:pos="1800"/>
        <w:tab w:val="left" w:pos="2160"/>
        <w:tab w:val="left" w:pos="2520"/>
        <w:tab w:val="left" w:pos="2880"/>
      </w:tabs>
      <w:ind w:right="3600"/>
      <w:outlineLvl w:val="0"/>
    </w:pPr>
    <w:rPr>
      <w:rFonts w:asciiTheme="majorHAnsi" w:hAnsiTheme="majorHAnsi"/>
      <w:color w:val="2F5496" w:themeColor="accent5" w:themeShade="BF"/>
      <w:sz w:val="48"/>
      <w:szCs w:val="40"/>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4A5568"/>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55077E"/>
    <w:pPr>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3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uiPriority w:val="99"/>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99"/>
    <w:rsid w:val="004A5568"/>
    <w:rPr>
      <w:rFonts w:asciiTheme="minorHAnsi" w:eastAsiaTheme="minorEastAsia" w:hAnsiTheme="minorHAnsi" w:cstheme="minorBidi"/>
      <w:sz w:val="18"/>
      <w:szCs w:val="22"/>
    </w:rPr>
  </w:style>
  <w:style w:type="character" w:styleId="FootnoteReference">
    <w:name w:val="footnote reference"/>
    <w:uiPriority w:val="9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character" w:customStyle="1" w:styleId="eop">
    <w:name w:val="eop"/>
    <w:basedOn w:val="DefaultParagraphFont"/>
    <w:rsid w:val="00B6382C"/>
  </w:style>
  <w:style w:type="character" w:styleId="Strong">
    <w:name w:val="Strong"/>
    <w:basedOn w:val="DefaultParagraphFont"/>
    <w:uiPriority w:val="22"/>
    <w:qFormat/>
    <w:rsid w:val="00B6382C"/>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iPriority w:val="99"/>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0">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4A5568"/>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4A5568"/>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B4170D"/>
    <w:rPr>
      <w:rFonts w:asciiTheme="majorHAnsi" w:eastAsiaTheme="minorHAnsi" w:hAnsiTheme="majorHAnsi" w:cstheme="minorBidi"/>
      <w:color w:val="2F5496" w:themeColor="accent5" w:themeShade="BF"/>
      <w:sz w:val="48"/>
      <w:szCs w:val="40"/>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4A5568"/>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4"/>
      </w:numPr>
    </w:pPr>
  </w:style>
  <w:style w:type="paragraph" w:customStyle="1" w:styleId="Bullet1">
    <w:name w:val="Bullet 1"/>
    <w:basedOn w:val="BodyText"/>
    <w:uiPriority w:val="2"/>
    <w:qFormat/>
    <w:rsid w:val="007D69BA"/>
    <w:pPr>
      <w:numPr>
        <w:numId w:val="4"/>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10"/>
      </w:numPr>
      <w:spacing w:before="40" w:after="40"/>
    </w:pPr>
    <w:rPr>
      <w:sz w:val="20"/>
    </w:rPr>
  </w:style>
  <w:style w:type="paragraph" w:customStyle="1" w:styleId="TableNumbering">
    <w:name w:val="Table Numbering"/>
    <w:basedOn w:val="TableText"/>
    <w:uiPriority w:val="7"/>
    <w:qFormat/>
    <w:rsid w:val="004A5568"/>
    <w:pPr>
      <w:numPr>
        <w:numId w:val="6"/>
      </w:numPr>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4A5568"/>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4"/>
      </w:numPr>
      <w:spacing w:before="60" w:after="60"/>
    </w:pPr>
    <w:rPr>
      <w:rFonts w:eastAsia="Times New Roman" w:cs="Times New Roman"/>
      <w:szCs w:val="24"/>
    </w:rPr>
  </w:style>
  <w:style w:type="paragraph" w:customStyle="1" w:styleId="Bullet3">
    <w:name w:val="Bullet 3"/>
    <w:basedOn w:val="BodyText"/>
    <w:uiPriority w:val="2"/>
    <w:qFormat/>
    <w:rsid w:val="004A5568"/>
    <w:pPr>
      <w:numPr>
        <w:ilvl w:val="2"/>
        <w:numId w:val="4"/>
      </w:numPr>
      <w:spacing w:before="60" w:after="60"/>
    </w:pPr>
    <w:rPr>
      <w:rFonts w:eastAsia="MS Mincho"/>
      <w:sz w:val="24"/>
    </w:rPr>
  </w:style>
  <w:style w:type="paragraph" w:styleId="Caption">
    <w:name w:val="caption"/>
    <w:basedOn w:val="TableTitle0"/>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ListParagraph"/>
    <w:uiPriority w:val="2"/>
    <w:qFormat/>
    <w:rsid w:val="00F4028E"/>
    <w:pPr>
      <w:numPr>
        <w:numId w:val="13"/>
      </w:numPr>
      <w:tabs>
        <w:tab w:val="left" w:pos="460"/>
      </w:tabs>
      <w:spacing w:before="120" w:after="120"/>
    </w:pPr>
    <w:rPr>
      <w:rFonts w:eastAsia="Aptos" w:cs="Aptos"/>
    </w:rPr>
  </w:style>
  <w:style w:type="paragraph" w:customStyle="1" w:styleId="TableBullet2">
    <w:name w:val="Table Bullet 2"/>
    <w:basedOn w:val="TableText"/>
    <w:uiPriority w:val="7"/>
    <w:qFormat/>
    <w:rsid w:val="004A5568"/>
    <w:pPr>
      <w:numPr>
        <w:ilvl w:val="1"/>
        <w:numId w:val="10"/>
      </w:numPr>
      <w:ind w:left="576" w:hanging="288"/>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2"/>
      </w:numPr>
    </w:pPr>
  </w:style>
  <w:style w:type="numbering" w:customStyle="1" w:styleId="Level2Bullet">
    <w:name w:val="Level 2 Bullet"/>
    <w:basedOn w:val="NoList"/>
    <w:rsid w:val="004A5568"/>
    <w:pPr>
      <w:numPr>
        <w:numId w:val="3"/>
      </w:numPr>
    </w:pPr>
  </w:style>
  <w:style w:type="paragraph" w:customStyle="1" w:styleId="BlockQuote">
    <w:name w:val="Block Quote"/>
    <w:basedOn w:val="Normal"/>
    <w:uiPriority w:val="1"/>
    <w:qFormat/>
    <w:rsid w:val="00A747ED"/>
    <w:pPr>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4A5568"/>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156560"/>
    <w:rPr>
      <w:rFonts w:ascii="Segoe UI" w:hAnsi="Segoe UI" w:cs="Segoe UI" w:hint="default"/>
      <w:sz w:val="18"/>
      <w:szCs w:val="18"/>
    </w:r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8"/>
      </w:numPr>
    </w:pPr>
  </w:style>
  <w:style w:type="numbering" w:customStyle="1" w:styleId="TableBulletList1">
    <w:name w:val="Table Bullet List1"/>
    <w:uiPriority w:val="99"/>
    <w:rsid w:val="00626272"/>
    <w:pPr>
      <w:numPr>
        <w:numId w:val="9"/>
      </w:numPr>
    </w:pPr>
  </w:style>
  <w:style w:type="numbering" w:customStyle="1" w:styleId="Level1Bullet1">
    <w:name w:val="Level 1 Bullet1"/>
    <w:basedOn w:val="NoList"/>
    <w:rsid w:val="00626272"/>
    <w:pPr>
      <w:numPr>
        <w:numId w:val="5"/>
      </w:numPr>
    </w:pPr>
  </w:style>
  <w:style w:type="numbering" w:customStyle="1" w:styleId="Level2Bullet1">
    <w:name w:val="Level 2 Bullet1"/>
    <w:basedOn w:val="NoList"/>
    <w:rsid w:val="00626272"/>
    <w:pPr>
      <w:numPr>
        <w:numId w:val="7"/>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character" w:customStyle="1" w:styleId="font151">
    <w:name w:val="font151"/>
    <w:basedOn w:val="DefaultParagraphFont"/>
    <w:rsid w:val="00AD41DD"/>
    <w:rPr>
      <w:rFonts w:ascii="Calibri" w:hAnsi="Calibri" w:cs="Calibri" w:hint="default"/>
      <w:b w:val="0"/>
      <w:bCs w:val="0"/>
      <w:i w:val="0"/>
      <w:iCs w:val="0"/>
      <w:strike w:val="0"/>
      <w:dstrike w:val="0"/>
      <w:color w:val="000000"/>
      <w:sz w:val="18"/>
      <w:szCs w:val="18"/>
      <w:u w:val="none"/>
      <w:effect w:val="none"/>
    </w:rPr>
  </w:style>
  <w:style w:type="numbering" w:customStyle="1" w:styleId="TableBulletList">
    <w:name w:val="Table Bullet List"/>
    <w:uiPriority w:val="99"/>
    <w:rsid w:val="00900CF1"/>
    <w:pPr>
      <w:numPr>
        <w:numId w:val="14"/>
      </w:numPr>
    </w:pPr>
  </w:style>
  <w:style w:type="paragraph" w:customStyle="1" w:styleId="CoverTopLogo">
    <w:name w:val="Cover Top Logo"/>
    <w:basedOn w:val="CoverSubtitle"/>
    <w:qFormat/>
    <w:rsid w:val="00900CF1"/>
    <w:pPr>
      <w:spacing w:before="480"/>
      <w:ind w:left="-86"/>
    </w:pPr>
    <w:rPr>
      <w:i w:val="0"/>
      <w:iCs/>
    </w:rPr>
  </w:style>
  <w:style w:type="paragraph" w:customStyle="1" w:styleId="CoverDistrictName">
    <w:name w:val="Cover District Name"/>
    <w:basedOn w:val="CoverSubtitle"/>
    <w:qFormat/>
    <w:rsid w:val="00900CF1"/>
    <w:pPr>
      <w:spacing w:before="1680"/>
      <w:ind w:left="4046"/>
    </w:pPr>
  </w:style>
  <w:style w:type="paragraph" w:customStyle="1" w:styleId="CoverBottomLogo">
    <w:name w:val="Cover Bottom Logo"/>
    <w:basedOn w:val="CoverDate"/>
    <w:qFormat/>
    <w:rsid w:val="00900CF1"/>
    <w:pPr>
      <w:ind w:left="4032"/>
    </w:pPr>
  </w:style>
  <w:style w:type="paragraph" w:styleId="TableofFigures">
    <w:name w:val="table of figures"/>
    <w:basedOn w:val="Normal"/>
    <w:next w:val="Normal"/>
    <w:uiPriority w:val="99"/>
    <w:unhideWhenUsed/>
    <w:rsid w:val="00C60C82"/>
  </w:style>
  <w:style w:type="paragraph" w:customStyle="1" w:styleId="TableETitles">
    <w:name w:val="Table E Titles"/>
    <w:basedOn w:val="TableTitle0"/>
    <w:qFormat/>
    <w:rsid w:val="00305BFA"/>
    <w:pPr>
      <w:spacing w:before="12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394706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15159278">
      <w:bodyDiv w:val="1"/>
      <w:marLeft w:val="0"/>
      <w:marRight w:val="0"/>
      <w:marTop w:val="0"/>
      <w:marBottom w:val="0"/>
      <w:divBdr>
        <w:top w:val="none" w:sz="0" w:space="0" w:color="auto"/>
        <w:left w:val="none" w:sz="0" w:space="0" w:color="auto"/>
        <w:bottom w:val="none" w:sz="0" w:space="0" w:color="auto"/>
        <w:right w:val="none" w:sz="0" w:space="0" w:color="auto"/>
      </w:divBdr>
      <w:divsChild>
        <w:div w:id="1201091127">
          <w:marLeft w:val="0"/>
          <w:marRight w:val="0"/>
          <w:marTop w:val="0"/>
          <w:marBottom w:val="0"/>
          <w:divBdr>
            <w:top w:val="none" w:sz="0" w:space="0" w:color="auto"/>
            <w:left w:val="none" w:sz="0" w:space="0" w:color="auto"/>
            <w:bottom w:val="none" w:sz="0" w:space="0" w:color="auto"/>
            <w:right w:val="none" w:sz="0" w:space="0" w:color="auto"/>
          </w:divBdr>
        </w:div>
      </w:divsChild>
    </w:div>
    <w:div w:id="41903607">
      <w:bodyDiv w:val="1"/>
      <w:marLeft w:val="0"/>
      <w:marRight w:val="0"/>
      <w:marTop w:val="0"/>
      <w:marBottom w:val="0"/>
      <w:divBdr>
        <w:top w:val="none" w:sz="0" w:space="0" w:color="auto"/>
        <w:left w:val="none" w:sz="0" w:space="0" w:color="auto"/>
        <w:bottom w:val="none" w:sz="0" w:space="0" w:color="auto"/>
        <w:right w:val="none" w:sz="0" w:space="0" w:color="auto"/>
      </w:divBdr>
      <w:divsChild>
        <w:div w:id="99882893">
          <w:marLeft w:val="0"/>
          <w:marRight w:val="0"/>
          <w:marTop w:val="0"/>
          <w:marBottom w:val="0"/>
          <w:divBdr>
            <w:top w:val="none" w:sz="0" w:space="0" w:color="auto"/>
            <w:left w:val="none" w:sz="0" w:space="0" w:color="auto"/>
            <w:bottom w:val="none" w:sz="0" w:space="0" w:color="auto"/>
            <w:right w:val="none" w:sz="0" w:space="0" w:color="auto"/>
          </w:divBdr>
        </w:div>
      </w:divsChild>
    </w:div>
    <w:div w:id="69692269">
      <w:bodyDiv w:val="1"/>
      <w:marLeft w:val="0"/>
      <w:marRight w:val="0"/>
      <w:marTop w:val="0"/>
      <w:marBottom w:val="0"/>
      <w:divBdr>
        <w:top w:val="none" w:sz="0" w:space="0" w:color="auto"/>
        <w:left w:val="none" w:sz="0" w:space="0" w:color="auto"/>
        <w:bottom w:val="none" w:sz="0" w:space="0" w:color="auto"/>
        <w:right w:val="none" w:sz="0" w:space="0" w:color="auto"/>
      </w:divBdr>
      <w:divsChild>
        <w:div w:id="1043991209">
          <w:marLeft w:val="0"/>
          <w:marRight w:val="0"/>
          <w:marTop w:val="0"/>
          <w:marBottom w:val="0"/>
          <w:divBdr>
            <w:top w:val="none" w:sz="0" w:space="0" w:color="auto"/>
            <w:left w:val="none" w:sz="0" w:space="0" w:color="auto"/>
            <w:bottom w:val="none" w:sz="0" w:space="0" w:color="auto"/>
            <w:right w:val="none" w:sz="0" w:space="0" w:color="auto"/>
          </w:divBdr>
        </w:div>
      </w:divsChild>
    </w:div>
    <w:div w:id="71124735">
      <w:bodyDiv w:val="1"/>
      <w:marLeft w:val="0"/>
      <w:marRight w:val="0"/>
      <w:marTop w:val="0"/>
      <w:marBottom w:val="0"/>
      <w:divBdr>
        <w:top w:val="none" w:sz="0" w:space="0" w:color="auto"/>
        <w:left w:val="none" w:sz="0" w:space="0" w:color="auto"/>
        <w:bottom w:val="none" w:sz="0" w:space="0" w:color="auto"/>
        <w:right w:val="none" w:sz="0" w:space="0" w:color="auto"/>
      </w:divBdr>
      <w:divsChild>
        <w:div w:id="2143769813">
          <w:marLeft w:val="0"/>
          <w:marRight w:val="0"/>
          <w:marTop w:val="0"/>
          <w:marBottom w:val="0"/>
          <w:divBdr>
            <w:top w:val="none" w:sz="0" w:space="0" w:color="auto"/>
            <w:left w:val="none" w:sz="0" w:space="0" w:color="auto"/>
            <w:bottom w:val="none" w:sz="0" w:space="0" w:color="auto"/>
            <w:right w:val="none" w:sz="0" w:space="0" w:color="auto"/>
          </w:divBdr>
        </w:div>
      </w:divsChild>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12408823">
      <w:bodyDiv w:val="1"/>
      <w:marLeft w:val="0"/>
      <w:marRight w:val="0"/>
      <w:marTop w:val="0"/>
      <w:marBottom w:val="0"/>
      <w:divBdr>
        <w:top w:val="none" w:sz="0" w:space="0" w:color="auto"/>
        <w:left w:val="none" w:sz="0" w:space="0" w:color="auto"/>
        <w:bottom w:val="none" w:sz="0" w:space="0" w:color="auto"/>
        <w:right w:val="none" w:sz="0" w:space="0" w:color="auto"/>
      </w:divBdr>
      <w:divsChild>
        <w:div w:id="691498912">
          <w:marLeft w:val="0"/>
          <w:marRight w:val="0"/>
          <w:marTop w:val="0"/>
          <w:marBottom w:val="0"/>
          <w:divBdr>
            <w:top w:val="none" w:sz="0" w:space="0" w:color="auto"/>
            <w:left w:val="none" w:sz="0" w:space="0" w:color="auto"/>
            <w:bottom w:val="none" w:sz="0" w:space="0" w:color="auto"/>
            <w:right w:val="none" w:sz="0" w:space="0" w:color="auto"/>
          </w:divBdr>
        </w:div>
      </w:divsChild>
    </w:div>
    <w:div w:id="140733573">
      <w:bodyDiv w:val="1"/>
      <w:marLeft w:val="0"/>
      <w:marRight w:val="0"/>
      <w:marTop w:val="0"/>
      <w:marBottom w:val="0"/>
      <w:divBdr>
        <w:top w:val="none" w:sz="0" w:space="0" w:color="auto"/>
        <w:left w:val="none" w:sz="0" w:space="0" w:color="auto"/>
        <w:bottom w:val="none" w:sz="0" w:space="0" w:color="auto"/>
        <w:right w:val="none" w:sz="0" w:space="0" w:color="auto"/>
      </w:divBdr>
      <w:divsChild>
        <w:div w:id="922224347">
          <w:marLeft w:val="0"/>
          <w:marRight w:val="0"/>
          <w:marTop w:val="0"/>
          <w:marBottom w:val="0"/>
          <w:divBdr>
            <w:top w:val="none" w:sz="0" w:space="0" w:color="auto"/>
            <w:left w:val="none" w:sz="0" w:space="0" w:color="auto"/>
            <w:bottom w:val="none" w:sz="0" w:space="0" w:color="auto"/>
            <w:right w:val="none" w:sz="0" w:space="0" w:color="auto"/>
          </w:divBdr>
        </w:div>
      </w:divsChild>
    </w:div>
    <w:div w:id="155540682">
      <w:bodyDiv w:val="1"/>
      <w:marLeft w:val="0"/>
      <w:marRight w:val="0"/>
      <w:marTop w:val="0"/>
      <w:marBottom w:val="0"/>
      <w:divBdr>
        <w:top w:val="none" w:sz="0" w:space="0" w:color="auto"/>
        <w:left w:val="none" w:sz="0" w:space="0" w:color="auto"/>
        <w:bottom w:val="none" w:sz="0" w:space="0" w:color="auto"/>
        <w:right w:val="none" w:sz="0" w:space="0" w:color="auto"/>
      </w:divBdr>
      <w:divsChild>
        <w:div w:id="610741495">
          <w:marLeft w:val="0"/>
          <w:marRight w:val="0"/>
          <w:marTop w:val="0"/>
          <w:marBottom w:val="0"/>
          <w:divBdr>
            <w:top w:val="none" w:sz="0" w:space="0" w:color="auto"/>
            <w:left w:val="none" w:sz="0" w:space="0" w:color="auto"/>
            <w:bottom w:val="none" w:sz="0" w:space="0" w:color="auto"/>
            <w:right w:val="none" w:sz="0" w:space="0" w:color="auto"/>
          </w:divBdr>
        </w:div>
      </w:divsChild>
    </w:div>
    <w:div w:id="182091138">
      <w:bodyDiv w:val="1"/>
      <w:marLeft w:val="0"/>
      <w:marRight w:val="0"/>
      <w:marTop w:val="0"/>
      <w:marBottom w:val="0"/>
      <w:divBdr>
        <w:top w:val="none" w:sz="0" w:space="0" w:color="auto"/>
        <w:left w:val="none" w:sz="0" w:space="0" w:color="auto"/>
        <w:bottom w:val="none" w:sz="0" w:space="0" w:color="auto"/>
        <w:right w:val="none" w:sz="0" w:space="0" w:color="auto"/>
      </w:divBdr>
    </w:div>
    <w:div w:id="189952487">
      <w:bodyDiv w:val="1"/>
      <w:marLeft w:val="0"/>
      <w:marRight w:val="0"/>
      <w:marTop w:val="0"/>
      <w:marBottom w:val="0"/>
      <w:divBdr>
        <w:top w:val="none" w:sz="0" w:space="0" w:color="auto"/>
        <w:left w:val="none" w:sz="0" w:space="0" w:color="auto"/>
        <w:bottom w:val="none" w:sz="0" w:space="0" w:color="auto"/>
        <w:right w:val="none" w:sz="0" w:space="0" w:color="auto"/>
      </w:divBdr>
      <w:divsChild>
        <w:div w:id="866214902">
          <w:marLeft w:val="0"/>
          <w:marRight w:val="0"/>
          <w:marTop w:val="0"/>
          <w:marBottom w:val="0"/>
          <w:divBdr>
            <w:top w:val="none" w:sz="0" w:space="0" w:color="auto"/>
            <w:left w:val="none" w:sz="0" w:space="0" w:color="auto"/>
            <w:bottom w:val="none" w:sz="0" w:space="0" w:color="auto"/>
            <w:right w:val="none" w:sz="0" w:space="0" w:color="auto"/>
          </w:divBdr>
        </w:div>
      </w:divsChild>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08957456">
      <w:bodyDiv w:val="1"/>
      <w:marLeft w:val="0"/>
      <w:marRight w:val="0"/>
      <w:marTop w:val="0"/>
      <w:marBottom w:val="0"/>
      <w:divBdr>
        <w:top w:val="none" w:sz="0" w:space="0" w:color="auto"/>
        <w:left w:val="none" w:sz="0" w:space="0" w:color="auto"/>
        <w:bottom w:val="none" w:sz="0" w:space="0" w:color="auto"/>
        <w:right w:val="none" w:sz="0" w:space="0" w:color="auto"/>
      </w:divBdr>
      <w:divsChild>
        <w:div w:id="1158692842">
          <w:marLeft w:val="0"/>
          <w:marRight w:val="0"/>
          <w:marTop w:val="0"/>
          <w:marBottom w:val="0"/>
          <w:divBdr>
            <w:top w:val="none" w:sz="0" w:space="0" w:color="auto"/>
            <w:left w:val="none" w:sz="0" w:space="0" w:color="auto"/>
            <w:bottom w:val="none" w:sz="0" w:space="0" w:color="auto"/>
            <w:right w:val="none" w:sz="0" w:space="0" w:color="auto"/>
          </w:divBdr>
        </w:div>
      </w:divsChild>
    </w:div>
    <w:div w:id="227300724">
      <w:bodyDiv w:val="1"/>
      <w:marLeft w:val="0"/>
      <w:marRight w:val="0"/>
      <w:marTop w:val="0"/>
      <w:marBottom w:val="0"/>
      <w:divBdr>
        <w:top w:val="none" w:sz="0" w:space="0" w:color="auto"/>
        <w:left w:val="none" w:sz="0" w:space="0" w:color="auto"/>
        <w:bottom w:val="none" w:sz="0" w:space="0" w:color="auto"/>
        <w:right w:val="none" w:sz="0" w:space="0" w:color="auto"/>
      </w:divBdr>
      <w:divsChild>
        <w:div w:id="509874204">
          <w:marLeft w:val="0"/>
          <w:marRight w:val="0"/>
          <w:marTop w:val="0"/>
          <w:marBottom w:val="0"/>
          <w:divBdr>
            <w:top w:val="none" w:sz="0" w:space="0" w:color="auto"/>
            <w:left w:val="none" w:sz="0" w:space="0" w:color="auto"/>
            <w:bottom w:val="none" w:sz="0" w:space="0" w:color="auto"/>
            <w:right w:val="none" w:sz="0" w:space="0" w:color="auto"/>
          </w:divBdr>
        </w:div>
      </w:divsChild>
    </w:div>
    <w:div w:id="235361461">
      <w:bodyDiv w:val="1"/>
      <w:marLeft w:val="0"/>
      <w:marRight w:val="0"/>
      <w:marTop w:val="0"/>
      <w:marBottom w:val="0"/>
      <w:divBdr>
        <w:top w:val="none" w:sz="0" w:space="0" w:color="auto"/>
        <w:left w:val="none" w:sz="0" w:space="0" w:color="auto"/>
        <w:bottom w:val="none" w:sz="0" w:space="0" w:color="auto"/>
        <w:right w:val="none" w:sz="0" w:space="0" w:color="auto"/>
      </w:divBdr>
    </w:div>
    <w:div w:id="239993231">
      <w:bodyDiv w:val="1"/>
      <w:marLeft w:val="0"/>
      <w:marRight w:val="0"/>
      <w:marTop w:val="0"/>
      <w:marBottom w:val="0"/>
      <w:divBdr>
        <w:top w:val="none" w:sz="0" w:space="0" w:color="auto"/>
        <w:left w:val="none" w:sz="0" w:space="0" w:color="auto"/>
        <w:bottom w:val="none" w:sz="0" w:space="0" w:color="auto"/>
        <w:right w:val="none" w:sz="0" w:space="0" w:color="auto"/>
      </w:divBdr>
      <w:divsChild>
        <w:div w:id="2137143554">
          <w:marLeft w:val="0"/>
          <w:marRight w:val="0"/>
          <w:marTop w:val="0"/>
          <w:marBottom w:val="0"/>
          <w:divBdr>
            <w:top w:val="none" w:sz="0" w:space="0" w:color="auto"/>
            <w:left w:val="none" w:sz="0" w:space="0" w:color="auto"/>
            <w:bottom w:val="none" w:sz="0" w:space="0" w:color="auto"/>
            <w:right w:val="none" w:sz="0" w:space="0" w:color="auto"/>
          </w:divBdr>
        </w:div>
      </w:divsChild>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271865793">
      <w:bodyDiv w:val="1"/>
      <w:marLeft w:val="0"/>
      <w:marRight w:val="0"/>
      <w:marTop w:val="0"/>
      <w:marBottom w:val="0"/>
      <w:divBdr>
        <w:top w:val="none" w:sz="0" w:space="0" w:color="auto"/>
        <w:left w:val="none" w:sz="0" w:space="0" w:color="auto"/>
        <w:bottom w:val="none" w:sz="0" w:space="0" w:color="auto"/>
        <w:right w:val="none" w:sz="0" w:space="0" w:color="auto"/>
      </w:divBdr>
      <w:divsChild>
        <w:div w:id="227348581">
          <w:marLeft w:val="0"/>
          <w:marRight w:val="0"/>
          <w:marTop w:val="0"/>
          <w:marBottom w:val="0"/>
          <w:divBdr>
            <w:top w:val="none" w:sz="0" w:space="0" w:color="auto"/>
            <w:left w:val="none" w:sz="0" w:space="0" w:color="auto"/>
            <w:bottom w:val="none" w:sz="0" w:space="0" w:color="auto"/>
            <w:right w:val="none" w:sz="0" w:space="0" w:color="auto"/>
          </w:divBdr>
        </w:div>
      </w:divsChild>
    </w:div>
    <w:div w:id="286279493">
      <w:bodyDiv w:val="1"/>
      <w:marLeft w:val="0"/>
      <w:marRight w:val="0"/>
      <w:marTop w:val="0"/>
      <w:marBottom w:val="0"/>
      <w:divBdr>
        <w:top w:val="none" w:sz="0" w:space="0" w:color="auto"/>
        <w:left w:val="none" w:sz="0" w:space="0" w:color="auto"/>
        <w:bottom w:val="none" w:sz="0" w:space="0" w:color="auto"/>
        <w:right w:val="none" w:sz="0" w:space="0" w:color="auto"/>
      </w:divBdr>
      <w:divsChild>
        <w:div w:id="483281115">
          <w:marLeft w:val="0"/>
          <w:marRight w:val="0"/>
          <w:marTop w:val="0"/>
          <w:marBottom w:val="0"/>
          <w:divBdr>
            <w:top w:val="none" w:sz="0" w:space="0" w:color="auto"/>
            <w:left w:val="none" w:sz="0" w:space="0" w:color="auto"/>
            <w:bottom w:val="none" w:sz="0" w:space="0" w:color="auto"/>
            <w:right w:val="none" w:sz="0" w:space="0" w:color="auto"/>
          </w:divBdr>
        </w:div>
      </w:divsChild>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3700790">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09936003">
      <w:bodyDiv w:val="1"/>
      <w:marLeft w:val="0"/>
      <w:marRight w:val="0"/>
      <w:marTop w:val="0"/>
      <w:marBottom w:val="0"/>
      <w:divBdr>
        <w:top w:val="none" w:sz="0" w:space="0" w:color="auto"/>
        <w:left w:val="none" w:sz="0" w:space="0" w:color="auto"/>
        <w:bottom w:val="none" w:sz="0" w:space="0" w:color="auto"/>
        <w:right w:val="none" w:sz="0" w:space="0" w:color="auto"/>
      </w:divBdr>
      <w:divsChild>
        <w:div w:id="218707756">
          <w:marLeft w:val="0"/>
          <w:marRight w:val="0"/>
          <w:marTop w:val="0"/>
          <w:marBottom w:val="0"/>
          <w:divBdr>
            <w:top w:val="none" w:sz="0" w:space="0" w:color="auto"/>
            <w:left w:val="none" w:sz="0" w:space="0" w:color="auto"/>
            <w:bottom w:val="none" w:sz="0" w:space="0" w:color="auto"/>
            <w:right w:val="none" w:sz="0" w:space="0" w:color="auto"/>
          </w:divBdr>
        </w:div>
      </w:divsChild>
    </w:div>
    <w:div w:id="415250268">
      <w:bodyDiv w:val="1"/>
      <w:marLeft w:val="0"/>
      <w:marRight w:val="0"/>
      <w:marTop w:val="0"/>
      <w:marBottom w:val="0"/>
      <w:divBdr>
        <w:top w:val="none" w:sz="0" w:space="0" w:color="auto"/>
        <w:left w:val="none" w:sz="0" w:space="0" w:color="auto"/>
        <w:bottom w:val="none" w:sz="0" w:space="0" w:color="auto"/>
        <w:right w:val="none" w:sz="0" w:space="0" w:color="auto"/>
      </w:divBdr>
    </w:div>
    <w:div w:id="417142532">
      <w:bodyDiv w:val="1"/>
      <w:marLeft w:val="0"/>
      <w:marRight w:val="0"/>
      <w:marTop w:val="0"/>
      <w:marBottom w:val="0"/>
      <w:divBdr>
        <w:top w:val="none" w:sz="0" w:space="0" w:color="auto"/>
        <w:left w:val="none" w:sz="0" w:space="0" w:color="auto"/>
        <w:bottom w:val="none" w:sz="0" w:space="0" w:color="auto"/>
        <w:right w:val="none" w:sz="0" w:space="0" w:color="auto"/>
      </w:divBdr>
    </w:div>
    <w:div w:id="427192857">
      <w:bodyDiv w:val="1"/>
      <w:marLeft w:val="0"/>
      <w:marRight w:val="0"/>
      <w:marTop w:val="0"/>
      <w:marBottom w:val="0"/>
      <w:divBdr>
        <w:top w:val="none" w:sz="0" w:space="0" w:color="auto"/>
        <w:left w:val="none" w:sz="0" w:space="0" w:color="auto"/>
        <w:bottom w:val="none" w:sz="0" w:space="0" w:color="auto"/>
        <w:right w:val="none" w:sz="0" w:space="0" w:color="auto"/>
      </w:divBdr>
      <w:divsChild>
        <w:div w:id="1109469835">
          <w:marLeft w:val="0"/>
          <w:marRight w:val="0"/>
          <w:marTop w:val="0"/>
          <w:marBottom w:val="0"/>
          <w:divBdr>
            <w:top w:val="none" w:sz="0" w:space="0" w:color="auto"/>
            <w:left w:val="none" w:sz="0" w:space="0" w:color="auto"/>
            <w:bottom w:val="none" w:sz="0" w:space="0" w:color="auto"/>
            <w:right w:val="none" w:sz="0" w:space="0" w:color="auto"/>
          </w:divBdr>
        </w:div>
      </w:divsChild>
    </w:div>
    <w:div w:id="429661198">
      <w:bodyDiv w:val="1"/>
      <w:marLeft w:val="0"/>
      <w:marRight w:val="0"/>
      <w:marTop w:val="0"/>
      <w:marBottom w:val="0"/>
      <w:divBdr>
        <w:top w:val="none" w:sz="0" w:space="0" w:color="auto"/>
        <w:left w:val="none" w:sz="0" w:space="0" w:color="auto"/>
        <w:bottom w:val="none" w:sz="0" w:space="0" w:color="auto"/>
        <w:right w:val="none" w:sz="0" w:space="0" w:color="auto"/>
      </w:divBdr>
      <w:divsChild>
        <w:div w:id="1787312439">
          <w:marLeft w:val="0"/>
          <w:marRight w:val="0"/>
          <w:marTop w:val="0"/>
          <w:marBottom w:val="0"/>
          <w:divBdr>
            <w:top w:val="none" w:sz="0" w:space="0" w:color="auto"/>
            <w:left w:val="none" w:sz="0" w:space="0" w:color="auto"/>
            <w:bottom w:val="none" w:sz="0" w:space="0" w:color="auto"/>
            <w:right w:val="none" w:sz="0" w:space="0" w:color="auto"/>
          </w:divBdr>
        </w:div>
      </w:divsChild>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5047704">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32421191">
      <w:bodyDiv w:val="1"/>
      <w:marLeft w:val="0"/>
      <w:marRight w:val="0"/>
      <w:marTop w:val="0"/>
      <w:marBottom w:val="0"/>
      <w:divBdr>
        <w:top w:val="none" w:sz="0" w:space="0" w:color="auto"/>
        <w:left w:val="none" w:sz="0" w:space="0" w:color="auto"/>
        <w:bottom w:val="none" w:sz="0" w:space="0" w:color="auto"/>
        <w:right w:val="none" w:sz="0" w:space="0" w:color="auto"/>
      </w:divBdr>
      <w:divsChild>
        <w:div w:id="693464466">
          <w:marLeft w:val="0"/>
          <w:marRight w:val="0"/>
          <w:marTop w:val="0"/>
          <w:marBottom w:val="0"/>
          <w:divBdr>
            <w:top w:val="none" w:sz="0" w:space="0" w:color="auto"/>
            <w:left w:val="none" w:sz="0" w:space="0" w:color="auto"/>
            <w:bottom w:val="none" w:sz="0" w:space="0" w:color="auto"/>
            <w:right w:val="none" w:sz="0" w:space="0" w:color="auto"/>
          </w:divBdr>
        </w:div>
      </w:divsChild>
    </w:div>
    <w:div w:id="532501196">
      <w:bodyDiv w:val="1"/>
      <w:marLeft w:val="0"/>
      <w:marRight w:val="0"/>
      <w:marTop w:val="0"/>
      <w:marBottom w:val="0"/>
      <w:divBdr>
        <w:top w:val="none" w:sz="0" w:space="0" w:color="auto"/>
        <w:left w:val="none" w:sz="0" w:space="0" w:color="auto"/>
        <w:bottom w:val="none" w:sz="0" w:space="0" w:color="auto"/>
        <w:right w:val="none" w:sz="0" w:space="0" w:color="auto"/>
      </w:divBdr>
    </w:div>
    <w:div w:id="536351169">
      <w:bodyDiv w:val="1"/>
      <w:marLeft w:val="0"/>
      <w:marRight w:val="0"/>
      <w:marTop w:val="0"/>
      <w:marBottom w:val="0"/>
      <w:divBdr>
        <w:top w:val="none" w:sz="0" w:space="0" w:color="auto"/>
        <w:left w:val="none" w:sz="0" w:space="0" w:color="auto"/>
        <w:bottom w:val="none" w:sz="0" w:space="0" w:color="auto"/>
        <w:right w:val="none" w:sz="0" w:space="0" w:color="auto"/>
      </w:divBdr>
      <w:divsChild>
        <w:div w:id="174806757">
          <w:marLeft w:val="0"/>
          <w:marRight w:val="0"/>
          <w:marTop w:val="0"/>
          <w:marBottom w:val="0"/>
          <w:divBdr>
            <w:top w:val="none" w:sz="0" w:space="0" w:color="auto"/>
            <w:left w:val="none" w:sz="0" w:space="0" w:color="auto"/>
            <w:bottom w:val="none" w:sz="0" w:space="0" w:color="auto"/>
            <w:right w:val="none" w:sz="0" w:space="0" w:color="auto"/>
          </w:divBdr>
        </w:div>
      </w:divsChild>
    </w:div>
    <w:div w:id="540165221">
      <w:bodyDiv w:val="1"/>
      <w:marLeft w:val="0"/>
      <w:marRight w:val="0"/>
      <w:marTop w:val="0"/>
      <w:marBottom w:val="0"/>
      <w:divBdr>
        <w:top w:val="none" w:sz="0" w:space="0" w:color="auto"/>
        <w:left w:val="none" w:sz="0" w:space="0" w:color="auto"/>
        <w:bottom w:val="none" w:sz="0" w:space="0" w:color="auto"/>
        <w:right w:val="none" w:sz="0" w:space="0" w:color="auto"/>
      </w:divBdr>
      <w:divsChild>
        <w:div w:id="1207448405">
          <w:marLeft w:val="0"/>
          <w:marRight w:val="0"/>
          <w:marTop w:val="0"/>
          <w:marBottom w:val="0"/>
          <w:divBdr>
            <w:top w:val="none" w:sz="0" w:space="0" w:color="auto"/>
            <w:left w:val="none" w:sz="0" w:space="0" w:color="auto"/>
            <w:bottom w:val="none" w:sz="0" w:space="0" w:color="auto"/>
            <w:right w:val="none" w:sz="0" w:space="0" w:color="auto"/>
          </w:divBdr>
        </w:div>
        <w:div w:id="1434669870">
          <w:marLeft w:val="0"/>
          <w:marRight w:val="0"/>
          <w:marTop w:val="0"/>
          <w:marBottom w:val="0"/>
          <w:divBdr>
            <w:top w:val="none" w:sz="0" w:space="0" w:color="auto"/>
            <w:left w:val="none" w:sz="0" w:space="0" w:color="auto"/>
            <w:bottom w:val="none" w:sz="0" w:space="0" w:color="auto"/>
            <w:right w:val="none" w:sz="0" w:space="0" w:color="auto"/>
          </w:divBdr>
        </w:div>
      </w:divsChild>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572811745">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79513">
      <w:bodyDiv w:val="1"/>
      <w:marLeft w:val="0"/>
      <w:marRight w:val="0"/>
      <w:marTop w:val="0"/>
      <w:marBottom w:val="0"/>
      <w:divBdr>
        <w:top w:val="none" w:sz="0" w:space="0" w:color="auto"/>
        <w:left w:val="none" w:sz="0" w:space="0" w:color="auto"/>
        <w:bottom w:val="none" w:sz="0" w:space="0" w:color="auto"/>
        <w:right w:val="none" w:sz="0" w:space="0" w:color="auto"/>
      </w:divBdr>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62047682">
      <w:bodyDiv w:val="1"/>
      <w:marLeft w:val="0"/>
      <w:marRight w:val="0"/>
      <w:marTop w:val="0"/>
      <w:marBottom w:val="0"/>
      <w:divBdr>
        <w:top w:val="none" w:sz="0" w:space="0" w:color="auto"/>
        <w:left w:val="none" w:sz="0" w:space="0" w:color="auto"/>
        <w:bottom w:val="none" w:sz="0" w:space="0" w:color="auto"/>
        <w:right w:val="none" w:sz="0" w:space="0" w:color="auto"/>
      </w:divBdr>
      <w:divsChild>
        <w:div w:id="1708136400">
          <w:marLeft w:val="0"/>
          <w:marRight w:val="0"/>
          <w:marTop w:val="0"/>
          <w:marBottom w:val="0"/>
          <w:divBdr>
            <w:top w:val="none" w:sz="0" w:space="0" w:color="auto"/>
            <w:left w:val="none" w:sz="0" w:space="0" w:color="auto"/>
            <w:bottom w:val="none" w:sz="0" w:space="0" w:color="auto"/>
            <w:right w:val="none" w:sz="0" w:space="0" w:color="auto"/>
          </w:divBdr>
        </w:div>
      </w:divsChild>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06414515">
      <w:bodyDiv w:val="1"/>
      <w:marLeft w:val="0"/>
      <w:marRight w:val="0"/>
      <w:marTop w:val="0"/>
      <w:marBottom w:val="0"/>
      <w:divBdr>
        <w:top w:val="none" w:sz="0" w:space="0" w:color="auto"/>
        <w:left w:val="none" w:sz="0" w:space="0" w:color="auto"/>
        <w:bottom w:val="none" w:sz="0" w:space="0" w:color="auto"/>
        <w:right w:val="none" w:sz="0" w:space="0" w:color="auto"/>
      </w:divBdr>
      <w:divsChild>
        <w:div w:id="1217350395">
          <w:marLeft w:val="0"/>
          <w:marRight w:val="0"/>
          <w:marTop w:val="0"/>
          <w:marBottom w:val="0"/>
          <w:divBdr>
            <w:top w:val="none" w:sz="0" w:space="0" w:color="auto"/>
            <w:left w:val="none" w:sz="0" w:space="0" w:color="auto"/>
            <w:bottom w:val="none" w:sz="0" w:space="0" w:color="auto"/>
            <w:right w:val="none" w:sz="0" w:space="0" w:color="auto"/>
          </w:divBdr>
        </w:div>
      </w:divsChild>
    </w:div>
    <w:div w:id="714037321">
      <w:bodyDiv w:val="1"/>
      <w:marLeft w:val="0"/>
      <w:marRight w:val="0"/>
      <w:marTop w:val="0"/>
      <w:marBottom w:val="0"/>
      <w:divBdr>
        <w:top w:val="none" w:sz="0" w:space="0" w:color="auto"/>
        <w:left w:val="none" w:sz="0" w:space="0" w:color="auto"/>
        <w:bottom w:val="none" w:sz="0" w:space="0" w:color="auto"/>
        <w:right w:val="none" w:sz="0" w:space="0" w:color="auto"/>
      </w:divBdr>
      <w:divsChild>
        <w:div w:id="1139610873">
          <w:marLeft w:val="0"/>
          <w:marRight w:val="0"/>
          <w:marTop w:val="0"/>
          <w:marBottom w:val="0"/>
          <w:divBdr>
            <w:top w:val="none" w:sz="0" w:space="0" w:color="auto"/>
            <w:left w:val="none" w:sz="0" w:space="0" w:color="auto"/>
            <w:bottom w:val="none" w:sz="0" w:space="0" w:color="auto"/>
            <w:right w:val="none" w:sz="0" w:space="0" w:color="auto"/>
          </w:divBdr>
        </w:div>
      </w:divsChild>
    </w:div>
    <w:div w:id="737630278">
      <w:bodyDiv w:val="1"/>
      <w:marLeft w:val="0"/>
      <w:marRight w:val="0"/>
      <w:marTop w:val="0"/>
      <w:marBottom w:val="0"/>
      <w:divBdr>
        <w:top w:val="none" w:sz="0" w:space="0" w:color="auto"/>
        <w:left w:val="none" w:sz="0" w:space="0" w:color="auto"/>
        <w:bottom w:val="none" w:sz="0" w:space="0" w:color="auto"/>
        <w:right w:val="none" w:sz="0" w:space="0" w:color="auto"/>
      </w:divBdr>
      <w:divsChild>
        <w:div w:id="868373030">
          <w:marLeft w:val="0"/>
          <w:marRight w:val="0"/>
          <w:marTop w:val="0"/>
          <w:marBottom w:val="0"/>
          <w:divBdr>
            <w:top w:val="none" w:sz="0" w:space="0" w:color="auto"/>
            <w:left w:val="none" w:sz="0" w:space="0" w:color="auto"/>
            <w:bottom w:val="none" w:sz="0" w:space="0" w:color="auto"/>
            <w:right w:val="none" w:sz="0" w:space="0" w:color="auto"/>
          </w:divBdr>
        </w:div>
      </w:divsChild>
    </w:div>
    <w:div w:id="749738308">
      <w:bodyDiv w:val="1"/>
      <w:marLeft w:val="0"/>
      <w:marRight w:val="0"/>
      <w:marTop w:val="0"/>
      <w:marBottom w:val="0"/>
      <w:divBdr>
        <w:top w:val="none" w:sz="0" w:space="0" w:color="auto"/>
        <w:left w:val="none" w:sz="0" w:space="0" w:color="auto"/>
        <w:bottom w:val="none" w:sz="0" w:space="0" w:color="auto"/>
        <w:right w:val="none" w:sz="0" w:space="0" w:color="auto"/>
      </w:divBdr>
      <w:divsChild>
        <w:div w:id="1586693830">
          <w:marLeft w:val="0"/>
          <w:marRight w:val="0"/>
          <w:marTop w:val="0"/>
          <w:marBottom w:val="0"/>
          <w:divBdr>
            <w:top w:val="none" w:sz="0" w:space="0" w:color="auto"/>
            <w:left w:val="none" w:sz="0" w:space="0" w:color="auto"/>
            <w:bottom w:val="none" w:sz="0" w:space="0" w:color="auto"/>
            <w:right w:val="none" w:sz="0" w:space="0" w:color="auto"/>
          </w:divBdr>
        </w:div>
        <w:div w:id="1701585647">
          <w:marLeft w:val="0"/>
          <w:marRight w:val="0"/>
          <w:marTop w:val="0"/>
          <w:marBottom w:val="0"/>
          <w:divBdr>
            <w:top w:val="none" w:sz="0" w:space="0" w:color="auto"/>
            <w:left w:val="none" w:sz="0" w:space="0" w:color="auto"/>
            <w:bottom w:val="none" w:sz="0" w:space="0" w:color="auto"/>
            <w:right w:val="none" w:sz="0" w:space="0" w:color="auto"/>
          </w:divBdr>
        </w:div>
      </w:divsChild>
    </w:div>
    <w:div w:id="781455227">
      <w:bodyDiv w:val="1"/>
      <w:marLeft w:val="0"/>
      <w:marRight w:val="0"/>
      <w:marTop w:val="0"/>
      <w:marBottom w:val="0"/>
      <w:divBdr>
        <w:top w:val="none" w:sz="0" w:space="0" w:color="auto"/>
        <w:left w:val="none" w:sz="0" w:space="0" w:color="auto"/>
        <w:bottom w:val="none" w:sz="0" w:space="0" w:color="auto"/>
        <w:right w:val="none" w:sz="0" w:space="0" w:color="auto"/>
      </w:divBdr>
      <w:divsChild>
        <w:div w:id="1022050406">
          <w:marLeft w:val="0"/>
          <w:marRight w:val="0"/>
          <w:marTop w:val="0"/>
          <w:marBottom w:val="0"/>
          <w:divBdr>
            <w:top w:val="none" w:sz="0" w:space="0" w:color="auto"/>
            <w:left w:val="none" w:sz="0" w:space="0" w:color="auto"/>
            <w:bottom w:val="none" w:sz="0" w:space="0" w:color="auto"/>
            <w:right w:val="none" w:sz="0" w:space="0" w:color="auto"/>
          </w:divBdr>
        </w:div>
      </w:divsChild>
    </w:div>
    <w:div w:id="785000636">
      <w:bodyDiv w:val="1"/>
      <w:marLeft w:val="0"/>
      <w:marRight w:val="0"/>
      <w:marTop w:val="0"/>
      <w:marBottom w:val="0"/>
      <w:divBdr>
        <w:top w:val="none" w:sz="0" w:space="0" w:color="auto"/>
        <w:left w:val="none" w:sz="0" w:space="0" w:color="auto"/>
        <w:bottom w:val="none" w:sz="0" w:space="0" w:color="auto"/>
        <w:right w:val="none" w:sz="0" w:space="0" w:color="auto"/>
      </w:divBdr>
      <w:divsChild>
        <w:div w:id="1603221869">
          <w:marLeft w:val="0"/>
          <w:marRight w:val="0"/>
          <w:marTop w:val="0"/>
          <w:marBottom w:val="0"/>
          <w:divBdr>
            <w:top w:val="none" w:sz="0" w:space="0" w:color="auto"/>
            <w:left w:val="none" w:sz="0" w:space="0" w:color="auto"/>
            <w:bottom w:val="none" w:sz="0" w:space="0" w:color="auto"/>
            <w:right w:val="none" w:sz="0" w:space="0" w:color="auto"/>
          </w:divBdr>
        </w:div>
      </w:divsChild>
    </w:div>
    <w:div w:id="793057659">
      <w:bodyDiv w:val="1"/>
      <w:marLeft w:val="0"/>
      <w:marRight w:val="0"/>
      <w:marTop w:val="0"/>
      <w:marBottom w:val="0"/>
      <w:divBdr>
        <w:top w:val="none" w:sz="0" w:space="0" w:color="auto"/>
        <w:left w:val="none" w:sz="0" w:space="0" w:color="auto"/>
        <w:bottom w:val="none" w:sz="0" w:space="0" w:color="auto"/>
        <w:right w:val="none" w:sz="0" w:space="0" w:color="auto"/>
      </w:divBdr>
      <w:divsChild>
        <w:div w:id="320282200">
          <w:marLeft w:val="0"/>
          <w:marRight w:val="0"/>
          <w:marTop w:val="0"/>
          <w:marBottom w:val="0"/>
          <w:divBdr>
            <w:top w:val="none" w:sz="0" w:space="0" w:color="auto"/>
            <w:left w:val="none" w:sz="0" w:space="0" w:color="auto"/>
            <w:bottom w:val="none" w:sz="0" w:space="0" w:color="auto"/>
            <w:right w:val="none" w:sz="0" w:space="0" w:color="auto"/>
          </w:divBdr>
        </w:div>
      </w:divsChild>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1325">
      <w:bodyDiv w:val="1"/>
      <w:marLeft w:val="0"/>
      <w:marRight w:val="0"/>
      <w:marTop w:val="0"/>
      <w:marBottom w:val="0"/>
      <w:divBdr>
        <w:top w:val="none" w:sz="0" w:space="0" w:color="auto"/>
        <w:left w:val="none" w:sz="0" w:space="0" w:color="auto"/>
        <w:bottom w:val="none" w:sz="0" w:space="0" w:color="auto"/>
        <w:right w:val="none" w:sz="0" w:space="0" w:color="auto"/>
      </w:divBdr>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868496664">
      <w:bodyDiv w:val="1"/>
      <w:marLeft w:val="0"/>
      <w:marRight w:val="0"/>
      <w:marTop w:val="0"/>
      <w:marBottom w:val="0"/>
      <w:divBdr>
        <w:top w:val="none" w:sz="0" w:space="0" w:color="auto"/>
        <w:left w:val="none" w:sz="0" w:space="0" w:color="auto"/>
        <w:bottom w:val="none" w:sz="0" w:space="0" w:color="auto"/>
        <w:right w:val="none" w:sz="0" w:space="0" w:color="auto"/>
      </w:divBdr>
      <w:divsChild>
        <w:div w:id="517816699">
          <w:marLeft w:val="0"/>
          <w:marRight w:val="0"/>
          <w:marTop w:val="0"/>
          <w:marBottom w:val="0"/>
          <w:divBdr>
            <w:top w:val="none" w:sz="0" w:space="0" w:color="auto"/>
            <w:left w:val="none" w:sz="0" w:space="0" w:color="auto"/>
            <w:bottom w:val="none" w:sz="0" w:space="0" w:color="auto"/>
            <w:right w:val="none" w:sz="0" w:space="0" w:color="auto"/>
          </w:divBdr>
        </w:div>
      </w:divsChild>
    </w:div>
    <w:div w:id="870530420">
      <w:bodyDiv w:val="1"/>
      <w:marLeft w:val="0"/>
      <w:marRight w:val="0"/>
      <w:marTop w:val="0"/>
      <w:marBottom w:val="0"/>
      <w:divBdr>
        <w:top w:val="none" w:sz="0" w:space="0" w:color="auto"/>
        <w:left w:val="none" w:sz="0" w:space="0" w:color="auto"/>
        <w:bottom w:val="none" w:sz="0" w:space="0" w:color="auto"/>
        <w:right w:val="none" w:sz="0" w:space="0" w:color="auto"/>
      </w:divBdr>
      <w:divsChild>
        <w:div w:id="1278830881">
          <w:marLeft w:val="0"/>
          <w:marRight w:val="0"/>
          <w:marTop w:val="0"/>
          <w:marBottom w:val="0"/>
          <w:divBdr>
            <w:top w:val="none" w:sz="0" w:space="0" w:color="auto"/>
            <w:left w:val="none" w:sz="0" w:space="0" w:color="auto"/>
            <w:bottom w:val="none" w:sz="0" w:space="0" w:color="auto"/>
            <w:right w:val="none" w:sz="0" w:space="0" w:color="auto"/>
          </w:divBdr>
        </w:div>
      </w:divsChild>
    </w:div>
    <w:div w:id="875892605">
      <w:bodyDiv w:val="1"/>
      <w:marLeft w:val="0"/>
      <w:marRight w:val="0"/>
      <w:marTop w:val="0"/>
      <w:marBottom w:val="0"/>
      <w:divBdr>
        <w:top w:val="none" w:sz="0" w:space="0" w:color="auto"/>
        <w:left w:val="none" w:sz="0" w:space="0" w:color="auto"/>
        <w:bottom w:val="none" w:sz="0" w:space="0" w:color="auto"/>
        <w:right w:val="none" w:sz="0" w:space="0" w:color="auto"/>
      </w:divBdr>
      <w:divsChild>
        <w:div w:id="1601791211">
          <w:marLeft w:val="0"/>
          <w:marRight w:val="0"/>
          <w:marTop w:val="0"/>
          <w:marBottom w:val="0"/>
          <w:divBdr>
            <w:top w:val="none" w:sz="0" w:space="0" w:color="auto"/>
            <w:left w:val="none" w:sz="0" w:space="0" w:color="auto"/>
            <w:bottom w:val="none" w:sz="0" w:space="0" w:color="auto"/>
            <w:right w:val="none" w:sz="0" w:space="0" w:color="auto"/>
          </w:divBdr>
        </w:div>
      </w:divsChild>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915431645">
      <w:bodyDiv w:val="1"/>
      <w:marLeft w:val="0"/>
      <w:marRight w:val="0"/>
      <w:marTop w:val="0"/>
      <w:marBottom w:val="0"/>
      <w:divBdr>
        <w:top w:val="none" w:sz="0" w:space="0" w:color="auto"/>
        <w:left w:val="none" w:sz="0" w:space="0" w:color="auto"/>
        <w:bottom w:val="none" w:sz="0" w:space="0" w:color="auto"/>
        <w:right w:val="none" w:sz="0" w:space="0" w:color="auto"/>
      </w:divBdr>
    </w:div>
    <w:div w:id="917901543">
      <w:bodyDiv w:val="1"/>
      <w:marLeft w:val="0"/>
      <w:marRight w:val="0"/>
      <w:marTop w:val="0"/>
      <w:marBottom w:val="0"/>
      <w:divBdr>
        <w:top w:val="none" w:sz="0" w:space="0" w:color="auto"/>
        <w:left w:val="none" w:sz="0" w:space="0" w:color="auto"/>
        <w:bottom w:val="none" w:sz="0" w:space="0" w:color="auto"/>
        <w:right w:val="none" w:sz="0" w:space="0" w:color="auto"/>
      </w:divBdr>
      <w:divsChild>
        <w:div w:id="136923112">
          <w:marLeft w:val="0"/>
          <w:marRight w:val="0"/>
          <w:marTop w:val="0"/>
          <w:marBottom w:val="0"/>
          <w:divBdr>
            <w:top w:val="none" w:sz="0" w:space="0" w:color="auto"/>
            <w:left w:val="none" w:sz="0" w:space="0" w:color="auto"/>
            <w:bottom w:val="none" w:sz="0" w:space="0" w:color="auto"/>
            <w:right w:val="none" w:sz="0" w:space="0" w:color="auto"/>
          </w:divBdr>
        </w:div>
      </w:divsChild>
    </w:div>
    <w:div w:id="920867454">
      <w:bodyDiv w:val="1"/>
      <w:marLeft w:val="0"/>
      <w:marRight w:val="0"/>
      <w:marTop w:val="0"/>
      <w:marBottom w:val="0"/>
      <w:divBdr>
        <w:top w:val="none" w:sz="0" w:space="0" w:color="auto"/>
        <w:left w:val="none" w:sz="0" w:space="0" w:color="auto"/>
        <w:bottom w:val="none" w:sz="0" w:space="0" w:color="auto"/>
        <w:right w:val="none" w:sz="0" w:space="0" w:color="auto"/>
      </w:divBdr>
      <w:divsChild>
        <w:div w:id="1206676816">
          <w:marLeft w:val="0"/>
          <w:marRight w:val="0"/>
          <w:marTop w:val="0"/>
          <w:marBottom w:val="0"/>
          <w:divBdr>
            <w:top w:val="none" w:sz="0" w:space="0" w:color="auto"/>
            <w:left w:val="none" w:sz="0" w:space="0" w:color="auto"/>
            <w:bottom w:val="none" w:sz="0" w:space="0" w:color="auto"/>
            <w:right w:val="none" w:sz="0" w:space="0" w:color="auto"/>
          </w:divBdr>
        </w:div>
      </w:divsChild>
    </w:div>
    <w:div w:id="962345899">
      <w:bodyDiv w:val="1"/>
      <w:marLeft w:val="0"/>
      <w:marRight w:val="0"/>
      <w:marTop w:val="0"/>
      <w:marBottom w:val="0"/>
      <w:divBdr>
        <w:top w:val="none" w:sz="0" w:space="0" w:color="auto"/>
        <w:left w:val="none" w:sz="0" w:space="0" w:color="auto"/>
        <w:bottom w:val="none" w:sz="0" w:space="0" w:color="auto"/>
        <w:right w:val="none" w:sz="0" w:space="0" w:color="auto"/>
      </w:divBdr>
      <w:divsChild>
        <w:div w:id="2078241788">
          <w:marLeft w:val="0"/>
          <w:marRight w:val="0"/>
          <w:marTop w:val="0"/>
          <w:marBottom w:val="0"/>
          <w:divBdr>
            <w:top w:val="none" w:sz="0" w:space="0" w:color="auto"/>
            <w:left w:val="none" w:sz="0" w:space="0" w:color="auto"/>
            <w:bottom w:val="none" w:sz="0" w:space="0" w:color="auto"/>
            <w:right w:val="none" w:sz="0" w:space="0" w:color="auto"/>
          </w:divBdr>
        </w:div>
      </w:divsChild>
    </w:div>
    <w:div w:id="980499579">
      <w:bodyDiv w:val="1"/>
      <w:marLeft w:val="0"/>
      <w:marRight w:val="0"/>
      <w:marTop w:val="0"/>
      <w:marBottom w:val="0"/>
      <w:divBdr>
        <w:top w:val="none" w:sz="0" w:space="0" w:color="auto"/>
        <w:left w:val="none" w:sz="0" w:space="0" w:color="auto"/>
        <w:bottom w:val="none" w:sz="0" w:space="0" w:color="auto"/>
        <w:right w:val="none" w:sz="0" w:space="0" w:color="auto"/>
      </w:divBdr>
      <w:divsChild>
        <w:div w:id="2019232073">
          <w:marLeft w:val="0"/>
          <w:marRight w:val="0"/>
          <w:marTop w:val="0"/>
          <w:marBottom w:val="0"/>
          <w:divBdr>
            <w:top w:val="none" w:sz="0" w:space="0" w:color="auto"/>
            <w:left w:val="none" w:sz="0" w:space="0" w:color="auto"/>
            <w:bottom w:val="none" w:sz="0" w:space="0" w:color="auto"/>
            <w:right w:val="none" w:sz="0" w:space="0" w:color="auto"/>
          </w:divBdr>
        </w:div>
      </w:divsChild>
    </w:div>
    <w:div w:id="984705371">
      <w:bodyDiv w:val="1"/>
      <w:marLeft w:val="0"/>
      <w:marRight w:val="0"/>
      <w:marTop w:val="0"/>
      <w:marBottom w:val="0"/>
      <w:divBdr>
        <w:top w:val="none" w:sz="0" w:space="0" w:color="auto"/>
        <w:left w:val="none" w:sz="0" w:space="0" w:color="auto"/>
        <w:bottom w:val="none" w:sz="0" w:space="0" w:color="auto"/>
        <w:right w:val="none" w:sz="0" w:space="0" w:color="auto"/>
      </w:divBdr>
      <w:divsChild>
        <w:div w:id="991525901">
          <w:marLeft w:val="0"/>
          <w:marRight w:val="0"/>
          <w:marTop w:val="0"/>
          <w:marBottom w:val="0"/>
          <w:divBdr>
            <w:top w:val="none" w:sz="0" w:space="0" w:color="auto"/>
            <w:left w:val="none" w:sz="0" w:space="0" w:color="auto"/>
            <w:bottom w:val="none" w:sz="0" w:space="0" w:color="auto"/>
            <w:right w:val="none" w:sz="0" w:space="0" w:color="auto"/>
          </w:divBdr>
        </w:div>
      </w:divsChild>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2524">
      <w:bodyDiv w:val="1"/>
      <w:marLeft w:val="0"/>
      <w:marRight w:val="0"/>
      <w:marTop w:val="0"/>
      <w:marBottom w:val="0"/>
      <w:divBdr>
        <w:top w:val="none" w:sz="0" w:space="0" w:color="auto"/>
        <w:left w:val="none" w:sz="0" w:space="0" w:color="auto"/>
        <w:bottom w:val="none" w:sz="0" w:space="0" w:color="auto"/>
        <w:right w:val="none" w:sz="0" w:space="0" w:color="auto"/>
      </w:divBdr>
      <w:divsChild>
        <w:div w:id="1863088041">
          <w:marLeft w:val="0"/>
          <w:marRight w:val="0"/>
          <w:marTop w:val="0"/>
          <w:marBottom w:val="0"/>
          <w:divBdr>
            <w:top w:val="none" w:sz="0" w:space="0" w:color="auto"/>
            <w:left w:val="none" w:sz="0" w:space="0" w:color="auto"/>
            <w:bottom w:val="none" w:sz="0" w:space="0" w:color="auto"/>
            <w:right w:val="none" w:sz="0" w:space="0" w:color="auto"/>
          </w:divBdr>
        </w:div>
      </w:divsChild>
    </w:div>
    <w:div w:id="1082146419">
      <w:bodyDiv w:val="1"/>
      <w:marLeft w:val="0"/>
      <w:marRight w:val="0"/>
      <w:marTop w:val="0"/>
      <w:marBottom w:val="0"/>
      <w:divBdr>
        <w:top w:val="none" w:sz="0" w:space="0" w:color="auto"/>
        <w:left w:val="none" w:sz="0" w:space="0" w:color="auto"/>
        <w:bottom w:val="none" w:sz="0" w:space="0" w:color="auto"/>
        <w:right w:val="none" w:sz="0" w:space="0" w:color="auto"/>
      </w:divBdr>
      <w:divsChild>
        <w:div w:id="1951012650">
          <w:marLeft w:val="0"/>
          <w:marRight w:val="0"/>
          <w:marTop w:val="0"/>
          <w:marBottom w:val="0"/>
          <w:divBdr>
            <w:top w:val="none" w:sz="0" w:space="0" w:color="auto"/>
            <w:left w:val="none" w:sz="0" w:space="0" w:color="auto"/>
            <w:bottom w:val="none" w:sz="0" w:space="0" w:color="auto"/>
            <w:right w:val="none" w:sz="0" w:space="0" w:color="auto"/>
          </w:divBdr>
        </w:div>
      </w:divsChild>
    </w:div>
    <w:div w:id="1097943556">
      <w:bodyDiv w:val="1"/>
      <w:marLeft w:val="0"/>
      <w:marRight w:val="0"/>
      <w:marTop w:val="0"/>
      <w:marBottom w:val="0"/>
      <w:divBdr>
        <w:top w:val="none" w:sz="0" w:space="0" w:color="auto"/>
        <w:left w:val="none" w:sz="0" w:space="0" w:color="auto"/>
        <w:bottom w:val="none" w:sz="0" w:space="0" w:color="auto"/>
        <w:right w:val="none" w:sz="0" w:space="0" w:color="auto"/>
      </w:divBdr>
      <w:divsChild>
        <w:div w:id="1044870854">
          <w:marLeft w:val="0"/>
          <w:marRight w:val="0"/>
          <w:marTop w:val="0"/>
          <w:marBottom w:val="0"/>
          <w:divBdr>
            <w:top w:val="none" w:sz="0" w:space="0" w:color="auto"/>
            <w:left w:val="none" w:sz="0" w:space="0" w:color="auto"/>
            <w:bottom w:val="none" w:sz="0" w:space="0" w:color="auto"/>
            <w:right w:val="none" w:sz="0" w:space="0" w:color="auto"/>
          </w:divBdr>
        </w:div>
      </w:divsChild>
    </w:div>
    <w:div w:id="1127550334">
      <w:bodyDiv w:val="1"/>
      <w:marLeft w:val="0"/>
      <w:marRight w:val="0"/>
      <w:marTop w:val="0"/>
      <w:marBottom w:val="0"/>
      <w:divBdr>
        <w:top w:val="none" w:sz="0" w:space="0" w:color="auto"/>
        <w:left w:val="none" w:sz="0" w:space="0" w:color="auto"/>
        <w:bottom w:val="none" w:sz="0" w:space="0" w:color="auto"/>
        <w:right w:val="none" w:sz="0" w:space="0" w:color="auto"/>
      </w:divBdr>
      <w:divsChild>
        <w:div w:id="1203982086">
          <w:marLeft w:val="0"/>
          <w:marRight w:val="0"/>
          <w:marTop w:val="0"/>
          <w:marBottom w:val="0"/>
          <w:divBdr>
            <w:top w:val="none" w:sz="0" w:space="0" w:color="auto"/>
            <w:left w:val="none" w:sz="0" w:space="0" w:color="auto"/>
            <w:bottom w:val="none" w:sz="0" w:space="0" w:color="auto"/>
            <w:right w:val="none" w:sz="0" w:space="0" w:color="auto"/>
          </w:divBdr>
        </w:div>
      </w:divsChild>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57847308">
      <w:bodyDiv w:val="1"/>
      <w:marLeft w:val="0"/>
      <w:marRight w:val="0"/>
      <w:marTop w:val="0"/>
      <w:marBottom w:val="0"/>
      <w:divBdr>
        <w:top w:val="none" w:sz="0" w:space="0" w:color="auto"/>
        <w:left w:val="none" w:sz="0" w:space="0" w:color="auto"/>
        <w:bottom w:val="none" w:sz="0" w:space="0" w:color="auto"/>
        <w:right w:val="none" w:sz="0" w:space="0" w:color="auto"/>
      </w:divBdr>
      <w:divsChild>
        <w:div w:id="1023746015">
          <w:marLeft w:val="0"/>
          <w:marRight w:val="0"/>
          <w:marTop w:val="0"/>
          <w:marBottom w:val="0"/>
          <w:divBdr>
            <w:top w:val="none" w:sz="0" w:space="0" w:color="auto"/>
            <w:left w:val="none" w:sz="0" w:space="0" w:color="auto"/>
            <w:bottom w:val="none" w:sz="0" w:space="0" w:color="auto"/>
            <w:right w:val="none" w:sz="0" w:space="0" w:color="auto"/>
          </w:divBdr>
          <w:divsChild>
            <w:div w:id="11965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97725">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5554469">
      <w:bodyDiv w:val="1"/>
      <w:marLeft w:val="0"/>
      <w:marRight w:val="0"/>
      <w:marTop w:val="0"/>
      <w:marBottom w:val="0"/>
      <w:divBdr>
        <w:top w:val="none" w:sz="0" w:space="0" w:color="auto"/>
        <w:left w:val="none" w:sz="0" w:space="0" w:color="auto"/>
        <w:bottom w:val="none" w:sz="0" w:space="0" w:color="auto"/>
        <w:right w:val="none" w:sz="0" w:space="0" w:color="auto"/>
      </w:divBdr>
      <w:divsChild>
        <w:div w:id="1238634522">
          <w:marLeft w:val="0"/>
          <w:marRight w:val="0"/>
          <w:marTop w:val="0"/>
          <w:marBottom w:val="0"/>
          <w:divBdr>
            <w:top w:val="none" w:sz="0" w:space="0" w:color="auto"/>
            <w:left w:val="none" w:sz="0" w:space="0" w:color="auto"/>
            <w:bottom w:val="none" w:sz="0" w:space="0" w:color="auto"/>
            <w:right w:val="none" w:sz="0" w:space="0" w:color="auto"/>
          </w:divBdr>
        </w:div>
      </w:divsChild>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16434214">
      <w:bodyDiv w:val="1"/>
      <w:marLeft w:val="0"/>
      <w:marRight w:val="0"/>
      <w:marTop w:val="0"/>
      <w:marBottom w:val="0"/>
      <w:divBdr>
        <w:top w:val="none" w:sz="0" w:space="0" w:color="auto"/>
        <w:left w:val="none" w:sz="0" w:space="0" w:color="auto"/>
        <w:bottom w:val="none" w:sz="0" w:space="0" w:color="auto"/>
        <w:right w:val="none" w:sz="0" w:space="0" w:color="auto"/>
      </w:divBdr>
      <w:divsChild>
        <w:div w:id="1973293055">
          <w:marLeft w:val="0"/>
          <w:marRight w:val="0"/>
          <w:marTop w:val="0"/>
          <w:marBottom w:val="0"/>
          <w:divBdr>
            <w:top w:val="none" w:sz="0" w:space="0" w:color="auto"/>
            <w:left w:val="none" w:sz="0" w:space="0" w:color="auto"/>
            <w:bottom w:val="none" w:sz="0" w:space="0" w:color="auto"/>
            <w:right w:val="none" w:sz="0" w:space="0" w:color="auto"/>
          </w:divBdr>
        </w:div>
      </w:divsChild>
    </w:div>
    <w:div w:id="1227492814">
      <w:bodyDiv w:val="1"/>
      <w:marLeft w:val="0"/>
      <w:marRight w:val="0"/>
      <w:marTop w:val="0"/>
      <w:marBottom w:val="0"/>
      <w:divBdr>
        <w:top w:val="none" w:sz="0" w:space="0" w:color="auto"/>
        <w:left w:val="none" w:sz="0" w:space="0" w:color="auto"/>
        <w:bottom w:val="none" w:sz="0" w:space="0" w:color="auto"/>
        <w:right w:val="none" w:sz="0" w:space="0" w:color="auto"/>
      </w:divBdr>
      <w:divsChild>
        <w:div w:id="1489052353">
          <w:marLeft w:val="0"/>
          <w:marRight w:val="0"/>
          <w:marTop w:val="0"/>
          <w:marBottom w:val="0"/>
          <w:divBdr>
            <w:top w:val="none" w:sz="0" w:space="0" w:color="auto"/>
            <w:left w:val="none" w:sz="0" w:space="0" w:color="auto"/>
            <w:bottom w:val="none" w:sz="0" w:space="0" w:color="auto"/>
            <w:right w:val="none" w:sz="0" w:space="0" w:color="auto"/>
          </w:divBdr>
        </w:div>
      </w:divsChild>
    </w:div>
    <w:div w:id="1238435890">
      <w:bodyDiv w:val="1"/>
      <w:marLeft w:val="0"/>
      <w:marRight w:val="0"/>
      <w:marTop w:val="0"/>
      <w:marBottom w:val="0"/>
      <w:divBdr>
        <w:top w:val="none" w:sz="0" w:space="0" w:color="auto"/>
        <w:left w:val="none" w:sz="0" w:space="0" w:color="auto"/>
        <w:bottom w:val="none" w:sz="0" w:space="0" w:color="auto"/>
        <w:right w:val="none" w:sz="0" w:space="0" w:color="auto"/>
      </w:divBdr>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3783">
      <w:bodyDiv w:val="1"/>
      <w:marLeft w:val="0"/>
      <w:marRight w:val="0"/>
      <w:marTop w:val="0"/>
      <w:marBottom w:val="0"/>
      <w:divBdr>
        <w:top w:val="none" w:sz="0" w:space="0" w:color="auto"/>
        <w:left w:val="none" w:sz="0" w:space="0" w:color="auto"/>
        <w:bottom w:val="none" w:sz="0" w:space="0" w:color="auto"/>
        <w:right w:val="none" w:sz="0" w:space="0" w:color="auto"/>
      </w:divBdr>
      <w:divsChild>
        <w:div w:id="1858691621">
          <w:marLeft w:val="0"/>
          <w:marRight w:val="0"/>
          <w:marTop w:val="0"/>
          <w:marBottom w:val="0"/>
          <w:divBdr>
            <w:top w:val="none" w:sz="0" w:space="0" w:color="auto"/>
            <w:left w:val="none" w:sz="0" w:space="0" w:color="auto"/>
            <w:bottom w:val="none" w:sz="0" w:space="0" w:color="auto"/>
            <w:right w:val="none" w:sz="0" w:space="0" w:color="auto"/>
          </w:divBdr>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23847146">
      <w:bodyDiv w:val="1"/>
      <w:marLeft w:val="0"/>
      <w:marRight w:val="0"/>
      <w:marTop w:val="0"/>
      <w:marBottom w:val="0"/>
      <w:divBdr>
        <w:top w:val="none" w:sz="0" w:space="0" w:color="auto"/>
        <w:left w:val="none" w:sz="0" w:space="0" w:color="auto"/>
        <w:bottom w:val="none" w:sz="0" w:space="0" w:color="auto"/>
        <w:right w:val="none" w:sz="0" w:space="0" w:color="auto"/>
      </w:divBdr>
      <w:divsChild>
        <w:div w:id="1294484447">
          <w:marLeft w:val="0"/>
          <w:marRight w:val="0"/>
          <w:marTop w:val="0"/>
          <w:marBottom w:val="0"/>
          <w:divBdr>
            <w:top w:val="none" w:sz="0" w:space="0" w:color="auto"/>
            <w:left w:val="none" w:sz="0" w:space="0" w:color="auto"/>
            <w:bottom w:val="none" w:sz="0" w:space="0" w:color="auto"/>
            <w:right w:val="none" w:sz="0" w:space="0" w:color="auto"/>
          </w:divBdr>
        </w:div>
      </w:divsChild>
    </w:div>
    <w:div w:id="1332835502">
      <w:bodyDiv w:val="1"/>
      <w:marLeft w:val="0"/>
      <w:marRight w:val="0"/>
      <w:marTop w:val="0"/>
      <w:marBottom w:val="0"/>
      <w:divBdr>
        <w:top w:val="none" w:sz="0" w:space="0" w:color="auto"/>
        <w:left w:val="none" w:sz="0" w:space="0" w:color="auto"/>
        <w:bottom w:val="none" w:sz="0" w:space="0" w:color="auto"/>
        <w:right w:val="none" w:sz="0" w:space="0" w:color="auto"/>
      </w:divBdr>
      <w:divsChild>
        <w:div w:id="86313783">
          <w:marLeft w:val="0"/>
          <w:marRight w:val="0"/>
          <w:marTop w:val="0"/>
          <w:marBottom w:val="0"/>
          <w:divBdr>
            <w:top w:val="none" w:sz="0" w:space="0" w:color="auto"/>
            <w:left w:val="none" w:sz="0" w:space="0" w:color="auto"/>
            <w:bottom w:val="none" w:sz="0" w:space="0" w:color="auto"/>
            <w:right w:val="none" w:sz="0" w:space="0" w:color="auto"/>
          </w:divBdr>
        </w:div>
      </w:divsChild>
    </w:div>
    <w:div w:id="1343969077">
      <w:bodyDiv w:val="1"/>
      <w:marLeft w:val="0"/>
      <w:marRight w:val="0"/>
      <w:marTop w:val="0"/>
      <w:marBottom w:val="0"/>
      <w:divBdr>
        <w:top w:val="none" w:sz="0" w:space="0" w:color="auto"/>
        <w:left w:val="none" w:sz="0" w:space="0" w:color="auto"/>
        <w:bottom w:val="none" w:sz="0" w:space="0" w:color="auto"/>
        <w:right w:val="none" w:sz="0" w:space="0" w:color="auto"/>
      </w:divBdr>
    </w:div>
    <w:div w:id="1345279426">
      <w:bodyDiv w:val="1"/>
      <w:marLeft w:val="0"/>
      <w:marRight w:val="0"/>
      <w:marTop w:val="0"/>
      <w:marBottom w:val="0"/>
      <w:divBdr>
        <w:top w:val="none" w:sz="0" w:space="0" w:color="auto"/>
        <w:left w:val="none" w:sz="0" w:space="0" w:color="auto"/>
        <w:bottom w:val="none" w:sz="0" w:space="0" w:color="auto"/>
        <w:right w:val="none" w:sz="0" w:space="0" w:color="auto"/>
      </w:divBdr>
      <w:divsChild>
        <w:div w:id="1553886668">
          <w:marLeft w:val="0"/>
          <w:marRight w:val="0"/>
          <w:marTop w:val="0"/>
          <w:marBottom w:val="0"/>
          <w:divBdr>
            <w:top w:val="none" w:sz="0" w:space="0" w:color="auto"/>
            <w:left w:val="none" w:sz="0" w:space="0" w:color="auto"/>
            <w:bottom w:val="none" w:sz="0" w:space="0" w:color="auto"/>
            <w:right w:val="none" w:sz="0" w:space="0" w:color="auto"/>
          </w:divBdr>
        </w:div>
      </w:divsChild>
    </w:div>
    <w:div w:id="1379428181">
      <w:bodyDiv w:val="1"/>
      <w:marLeft w:val="0"/>
      <w:marRight w:val="0"/>
      <w:marTop w:val="0"/>
      <w:marBottom w:val="0"/>
      <w:divBdr>
        <w:top w:val="none" w:sz="0" w:space="0" w:color="auto"/>
        <w:left w:val="none" w:sz="0" w:space="0" w:color="auto"/>
        <w:bottom w:val="none" w:sz="0" w:space="0" w:color="auto"/>
        <w:right w:val="none" w:sz="0" w:space="0" w:color="auto"/>
      </w:divBdr>
      <w:divsChild>
        <w:div w:id="1570573218">
          <w:marLeft w:val="0"/>
          <w:marRight w:val="0"/>
          <w:marTop w:val="0"/>
          <w:marBottom w:val="0"/>
          <w:divBdr>
            <w:top w:val="none" w:sz="0" w:space="0" w:color="auto"/>
            <w:left w:val="none" w:sz="0" w:space="0" w:color="auto"/>
            <w:bottom w:val="none" w:sz="0" w:space="0" w:color="auto"/>
            <w:right w:val="none" w:sz="0" w:space="0" w:color="auto"/>
          </w:divBdr>
        </w:div>
      </w:divsChild>
    </w:div>
    <w:div w:id="1381201885">
      <w:bodyDiv w:val="1"/>
      <w:marLeft w:val="0"/>
      <w:marRight w:val="0"/>
      <w:marTop w:val="0"/>
      <w:marBottom w:val="0"/>
      <w:divBdr>
        <w:top w:val="none" w:sz="0" w:space="0" w:color="auto"/>
        <w:left w:val="none" w:sz="0" w:space="0" w:color="auto"/>
        <w:bottom w:val="none" w:sz="0" w:space="0" w:color="auto"/>
        <w:right w:val="none" w:sz="0" w:space="0" w:color="auto"/>
      </w:divBdr>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1058519">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5953915">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20373565">
      <w:bodyDiv w:val="1"/>
      <w:marLeft w:val="0"/>
      <w:marRight w:val="0"/>
      <w:marTop w:val="0"/>
      <w:marBottom w:val="0"/>
      <w:divBdr>
        <w:top w:val="none" w:sz="0" w:space="0" w:color="auto"/>
        <w:left w:val="none" w:sz="0" w:space="0" w:color="auto"/>
        <w:bottom w:val="none" w:sz="0" w:space="0" w:color="auto"/>
        <w:right w:val="none" w:sz="0" w:space="0" w:color="auto"/>
      </w:divBdr>
      <w:divsChild>
        <w:div w:id="1675840743">
          <w:marLeft w:val="0"/>
          <w:marRight w:val="0"/>
          <w:marTop w:val="0"/>
          <w:marBottom w:val="0"/>
          <w:divBdr>
            <w:top w:val="none" w:sz="0" w:space="0" w:color="auto"/>
            <w:left w:val="none" w:sz="0" w:space="0" w:color="auto"/>
            <w:bottom w:val="none" w:sz="0" w:space="0" w:color="auto"/>
            <w:right w:val="none" w:sz="0" w:space="0" w:color="auto"/>
          </w:divBdr>
        </w:div>
      </w:divsChild>
    </w:div>
    <w:div w:id="1420520820">
      <w:bodyDiv w:val="1"/>
      <w:marLeft w:val="0"/>
      <w:marRight w:val="0"/>
      <w:marTop w:val="0"/>
      <w:marBottom w:val="0"/>
      <w:divBdr>
        <w:top w:val="none" w:sz="0" w:space="0" w:color="auto"/>
        <w:left w:val="none" w:sz="0" w:space="0" w:color="auto"/>
        <w:bottom w:val="none" w:sz="0" w:space="0" w:color="auto"/>
        <w:right w:val="none" w:sz="0" w:space="0" w:color="auto"/>
      </w:divBdr>
      <w:divsChild>
        <w:div w:id="1800607561">
          <w:marLeft w:val="0"/>
          <w:marRight w:val="0"/>
          <w:marTop w:val="0"/>
          <w:marBottom w:val="0"/>
          <w:divBdr>
            <w:top w:val="none" w:sz="0" w:space="0" w:color="auto"/>
            <w:left w:val="none" w:sz="0" w:space="0" w:color="auto"/>
            <w:bottom w:val="none" w:sz="0" w:space="0" w:color="auto"/>
            <w:right w:val="none" w:sz="0" w:space="0" w:color="auto"/>
          </w:divBdr>
        </w:div>
      </w:divsChild>
    </w:div>
    <w:div w:id="1428042769">
      <w:bodyDiv w:val="1"/>
      <w:marLeft w:val="0"/>
      <w:marRight w:val="0"/>
      <w:marTop w:val="0"/>
      <w:marBottom w:val="0"/>
      <w:divBdr>
        <w:top w:val="none" w:sz="0" w:space="0" w:color="auto"/>
        <w:left w:val="none" w:sz="0" w:space="0" w:color="auto"/>
        <w:bottom w:val="none" w:sz="0" w:space="0" w:color="auto"/>
        <w:right w:val="none" w:sz="0" w:space="0" w:color="auto"/>
      </w:divBdr>
    </w:div>
    <w:div w:id="1433474913">
      <w:bodyDiv w:val="1"/>
      <w:marLeft w:val="0"/>
      <w:marRight w:val="0"/>
      <w:marTop w:val="0"/>
      <w:marBottom w:val="0"/>
      <w:divBdr>
        <w:top w:val="none" w:sz="0" w:space="0" w:color="auto"/>
        <w:left w:val="none" w:sz="0" w:space="0" w:color="auto"/>
        <w:bottom w:val="none" w:sz="0" w:space="0" w:color="auto"/>
        <w:right w:val="none" w:sz="0" w:space="0" w:color="auto"/>
      </w:divBdr>
    </w:div>
    <w:div w:id="1465466536">
      <w:bodyDiv w:val="1"/>
      <w:marLeft w:val="0"/>
      <w:marRight w:val="0"/>
      <w:marTop w:val="0"/>
      <w:marBottom w:val="0"/>
      <w:divBdr>
        <w:top w:val="none" w:sz="0" w:space="0" w:color="auto"/>
        <w:left w:val="none" w:sz="0" w:space="0" w:color="auto"/>
        <w:bottom w:val="none" w:sz="0" w:space="0" w:color="auto"/>
        <w:right w:val="none" w:sz="0" w:space="0" w:color="auto"/>
      </w:divBdr>
      <w:divsChild>
        <w:div w:id="126166227">
          <w:marLeft w:val="0"/>
          <w:marRight w:val="0"/>
          <w:marTop w:val="0"/>
          <w:marBottom w:val="0"/>
          <w:divBdr>
            <w:top w:val="none" w:sz="0" w:space="0" w:color="auto"/>
            <w:left w:val="none" w:sz="0" w:space="0" w:color="auto"/>
            <w:bottom w:val="none" w:sz="0" w:space="0" w:color="auto"/>
            <w:right w:val="none" w:sz="0" w:space="0" w:color="auto"/>
          </w:divBdr>
        </w:div>
      </w:divsChild>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sChild>
        <w:div w:id="749497120">
          <w:marLeft w:val="0"/>
          <w:marRight w:val="0"/>
          <w:marTop w:val="0"/>
          <w:marBottom w:val="0"/>
          <w:divBdr>
            <w:top w:val="none" w:sz="0" w:space="0" w:color="auto"/>
            <w:left w:val="none" w:sz="0" w:space="0" w:color="auto"/>
            <w:bottom w:val="none" w:sz="0" w:space="0" w:color="auto"/>
            <w:right w:val="none" w:sz="0" w:space="0" w:color="auto"/>
          </w:divBdr>
        </w:div>
      </w:divsChild>
    </w:div>
    <w:div w:id="1513642648">
      <w:bodyDiv w:val="1"/>
      <w:marLeft w:val="0"/>
      <w:marRight w:val="0"/>
      <w:marTop w:val="0"/>
      <w:marBottom w:val="0"/>
      <w:divBdr>
        <w:top w:val="none" w:sz="0" w:space="0" w:color="auto"/>
        <w:left w:val="none" w:sz="0" w:space="0" w:color="auto"/>
        <w:bottom w:val="none" w:sz="0" w:space="0" w:color="auto"/>
        <w:right w:val="none" w:sz="0" w:space="0" w:color="auto"/>
      </w:divBdr>
      <w:divsChild>
        <w:div w:id="609045225">
          <w:marLeft w:val="0"/>
          <w:marRight w:val="0"/>
          <w:marTop w:val="0"/>
          <w:marBottom w:val="0"/>
          <w:divBdr>
            <w:top w:val="none" w:sz="0" w:space="0" w:color="auto"/>
            <w:left w:val="none" w:sz="0" w:space="0" w:color="auto"/>
            <w:bottom w:val="none" w:sz="0" w:space="0" w:color="auto"/>
            <w:right w:val="none" w:sz="0" w:space="0" w:color="auto"/>
          </w:divBdr>
        </w:div>
      </w:divsChild>
    </w:div>
    <w:div w:id="1563444276">
      <w:bodyDiv w:val="1"/>
      <w:marLeft w:val="0"/>
      <w:marRight w:val="0"/>
      <w:marTop w:val="0"/>
      <w:marBottom w:val="0"/>
      <w:divBdr>
        <w:top w:val="none" w:sz="0" w:space="0" w:color="auto"/>
        <w:left w:val="none" w:sz="0" w:space="0" w:color="auto"/>
        <w:bottom w:val="none" w:sz="0" w:space="0" w:color="auto"/>
        <w:right w:val="none" w:sz="0" w:space="0" w:color="auto"/>
      </w:divBdr>
      <w:divsChild>
        <w:div w:id="1802188206">
          <w:marLeft w:val="0"/>
          <w:marRight w:val="0"/>
          <w:marTop w:val="0"/>
          <w:marBottom w:val="0"/>
          <w:divBdr>
            <w:top w:val="none" w:sz="0" w:space="0" w:color="auto"/>
            <w:left w:val="none" w:sz="0" w:space="0" w:color="auto"/>
            <w:bottom w:val="none" w:sz="0" w:space="0" w:color="auto"/>
            <w:right w:val="none" w:sz="0" w:space="0" w:color="auto"/>
          </w:divBdr>
        </w:div>
      </w:divsChild>
    </w:div>
    <w:div w:id="1577396513">
      <w:bodyDiv w:val="1"/>
      <w:marLeft w:val="0"/>
      <w:marRight w:val="0"/>
      <w:marTop w:val="0"/>
      <w:marBottom w:val="0"/>
      <w:divBdr>
        <w:top w:val="none" w:sz="0" w:space="0" w:color="auto"/>
        <w:left w:val="none" w:sz="0" w:space="0" w:color="auto"/>
        <w:bottom w:val="none" w:sz="0" w:space="0" w:color="auto"/>
        <w:right w:val="none" w:sz="0" w:space="0" w:color="auto"/>
      </w:divBdr>
      <w:divsChild>
        <w:div w:id="1644195260">
          <w:marLeft w:val="0"/>
          <w:marRight w:val="0"/>
          <w:marTop w:val="0"/>
          <w:marBottom w:val="0"/>
          <w:divBdr>
            <w:top w:val="none" w:sz="0" w:space="0" w:color="auto"/>
            <w:left w:val="none" w:sz="0" w:space="0" w:color="auto"/>
            <w:bottom w:val="none" w:sz="0" w:space="0" w:color="auto"/>
            <w:right w:val="none" w:sz="0" w:space="0" w:color="auto"/>
          </w:divBdr>
        </w:div>
      </w:divsChild>
    </w:div>
    <w:div w:id="1578326900">
      <w:bodyDiv w:val="1"/>
      <w:marLeft w:val="0"/>
      <w:marRight w:val="0"/>
      <w:marTop w:val="0"/>
      <w:marBottom w:val="0"/>
      <w:divBdr>
        <w:top w:val="none" w:sz="0" w:space="0" w:color="auto"/>
        <w:left w:val="none" w:sz="0" w:space="0" w:color="auto"/>
        <w:bottom w:val="none" w:sz="0" w:space="0" w:color="auto"/>
        <w:right w:val="none" w:sz="0" w:space="0" w:color="auto"/>
      </w:divBdr>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14825232">
      <w:bodyDiv w:val="1"/>
      <w:marLeft w:val="0"/>
      <w:marRight w:val="0"/>
      <w:marTop w:val="0"/>
      <w:marBottom w:val="0"/>
      <w:divBdr>
        <w:top w:val="none" w:sz="0" w:space="0" w:color="auto"/>
        <w:left w:val="none" w:sz="0" w:space="0" w:color="auto"/>
        <w:bottom w:val="none" w:sz="0" w:space="0" w:color="auto"/>
        <w:right w:val="none" w:sz="0" w:space="0" w:color="auto"/>
      </w:divBdr>
      <w:divsChild>
        <w:div w:id="1141191135">
          <w:marLeft w:val="0"/>
          <w:marRight w:val="0"/>
          <w:marTop w:val="0"/>
          <w:marBottom w:val="0"/>
          <w:divBdr>
            <w:top w:val="none" w:sz="0" w:space="0" w:color="auto"/>
            <w:left w:val="none" w:sz="0" w:space="0" w:color="auto"/>
            <w:bottom w:val="none" w:sz="0" w:space="0" w:color="auto"/>
            <w:right w:val="none" w:sz="0" w:space="0" w:color="auto"/>
          </w:divBdr>
        </w:div>
      </w:divsChild>
    </w:div>
    <w:div w:id="1615359863">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29429341">
      <w:bodyDiv w:val="1"/>
      <w:marLeft w:val="0"/>
      <w:marRight w:val="0"/>
      <w:marTop w:val="0"/>
      <w:marBottom w:val="0"/>
      <w:divBdr>
        <w:top w:val="none" w:sz="0" w:space="0" w:color="auto"/>
        <w:left w:val="none" w:sz="0" w:space="0" w:color="auto"/>
        <w:bottom w:val="none" w:sz="0" w:space="0" w:color="auto"/>
        <w:right w:val="none" w:sz="0" w:space="0" w:color="auto"/>
      </w:divBdr>
      <w:divsChild>
        <w:div w:id="551693878">
          <w:marLeft w:val="0"/>
          <w:marRight w:val="0"/>
          <w:marTop w:val="0"/>
          <w:marBottom w:val="0"/>
          <w:divBdr>
            <w:top w:val="none" w:sz="0" w:space="0" w:color="auto"/>
            <w:left w:val="none" w:sz="0" w:space="0" w:color="auto"/>
            <w:bottom w:val="none" w:sz="0" w:space="0" w:color="auto"/>
            <w:right w:val="none" w:sz="0" w:space="0" w:color="auto"/>
          </w:divBdr>
        </w:div>
      </w:divsChild>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5984916">
      <w:bodyDiv w:val="1"/>
      <w:marLeft w:val="0"/>
      <w:marRight w:val="0"/>
      <w:marTop w:val="0"/>
      <w:marBottom w:val="0"/>
      <w:divBdr>
        <w:top w:val="none" w:sz="0" w:space="0" w:color="auto"/>
        <w:left w:val="none" w:sz="0" w:space="0" w:color="auto"/>
        <w:bottom w:val="none" w:sz="0" w:space="0" w:color="auto"/>
        <w:right w:val="none" w:sz="0" w:space="0" w:color="auto"/>
      </w:divBdr>
      <w:divsChild>
        <w:div w:id="912737397">
          <w:marLeft w:val="0"/>
          <w:marRight w:val="0"/>
          <w:marTop w:val="0"/>
          <w:marBottom w:val="0"/>
          <w:divBdr>
            <w:top w:val="none" w:sz="0" w:space="0" w:color="auto"/>
            <w:left w:val="none" w:sz="0" w:space="0" w:color="auto"/>
            <w:bottom w:val="none" w:sz="0" w:space="0" w:color="auto"/>
            <w:right w:val="none" w:sz="0" w:space="0" w:color="auto"/>
          </w:divBdr>
        </w:div>
      </w:divsChild>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6390651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173">
          <w:marLeft w:val="0"/>
          <w:marRight w:val="0"/>
          <w:marTop w:val="0"/>
          <w:marBottom w:val="0"/>
          <w:divBdr>
            <w:top w:val="none" w:sz="0" w:space="0" w:color="auto"/>
            <w:left w:val="none" w:sz="0" w:space="0" w:color="auto"/>
            <w:bottom w:val="none" w:sz="0" w:space="0" w:color="auto"/>
            <w:right w:val="none" w:sz="0" w:space="0" w:color="auto"/>
          </w:divBdr>
        </w:div>
      </w:divsChild>
    </w:div>
    <w:div w:id="1656176635">
      <w:bodyDiv w:val="1"/>
      <w:marLeft w:val="0"/>
      <w:marRight w:val="0"/>
      <w:marTop w:val="0"/>
      <w:marBottom w:val="0"/>
      <w:divBdr>
        <w:top w:val="none" w:sz="0" w:space="0" w:color="auto"/>
        <w:left w:val="none" w:sz="0" w:space="0" w:color="auto"/>
        <w:bottom w:val="none" w:sz="0" w:space="0" w:color="auto"/>
        <w:right w:val="none" w:sz="0" w:space="0" w:color="auto"/>
      </w:divBdr>
      <w:divsChild>
        <w:div w:id="538470600">
          <w:marLeft w:val="0"/>
          <w:marRight w:val="0"/>
          <w:marTop w:val="0"/>
          <w:marBottom w:val="0"/>
          <w:divBdr>
            <w:top w:val="none" w:sz="0" w:space="0" w:color="auto"/>
            <w:left w:val="none" w:sz="0" w:space="0" w:color="auto"/>
            <w:bottom w:val="none" w:sz="0" w:space="0" w:color="auto"/>
            <w:right w:val="none" w:sz="0" w:space="0" w:color="auto"/>
          </w:divBdr>
        </w:div>
      </w:divsChild>
    </w:div>
    <w:div w:id="1656183914">
      <w:bodyDiv w:val="1"/>
      <w:marLeft w:val="0"/>
      <w:marRight w:val="0"/>
      <w:marTop w:val="0"/>
      <w:marBottom w:val="0"/>
      <w:divBdr>
        <w:top w:val="none" w:sz="0" w:space="0" w:color="auto"/>
        <w:left w:val="none" w:sz="0" w:space="0" w:color="auto"/>
        <w:bottom w:val="none" w:sz="0" w:space="0" w:color="auto"/>
        <w:right w:val="none" w:sz="0" w:space="0" w:color="auto"/>
      </w:divBdr>
      <w:divsChild>
        <w:div w:id="640767008">
          <w:marLeft w:val="0"/>
          <w:marRight w:val="0"/>
          <w:marTop w:val="0"/>
          <w:marBottom w:val="0"/>
          <w:divBdr>
            <w:top w:val="none" w:sz="0" w:space="0" w:color="auto"/>
            <w:left w:val="none" w:sz="0" w:space="0" w:color="auto"/>
            <w:bottom w:val="none" w:sz="0" w:space="0" w:color="auto"/>
            <w:right w:val="none" w:sz="0" w:space="0" w:color="auto"/>
          </w:divBdr>
        </w:div>
      </w:divsChild>
    </w:div>
    <w:div w:id="1659574317">
      <w:bodyDiv w:val="1"/>
      <w:marLeft w:val="0"/>
      <w:marRight w:val="0"/>
      <w:marTop w:val="0"/>
      <w:marBottom w:val="0"/>
      <w:divBdr>
        <w:top w:val="none" w:sz="0" w:space="0" w:color="auto"/>
        <w:left w:val="none" w:sz="0" w:space="0" w:color="auto"/>
        <w:bottom w:val="none" w:sz="0" w:space="0" w:color="auto"/>
        <w:right w:val="none" w:sz="0" w:space="0" w:color="auto"/>
      </w:divBdr>
      <w:divsChild>
        <w:div w:id="904996762">
          <w:marLeft w:val="0"/>
          <w:marRight w:val="0"/>
          <w:marTop w:val="0"/>
          <w:marBottom w:val="0"/>
          <w:divBdr>
            <w:top w:val="none" w:sz="0" w:space="0" w:color="auto"/>
            <w:left w:val="none" w:sz="0" w:space="0" w:color="auto"/>
            <w:bottom w:val="none" w:sz="0" w:space="0" w:color="auto"/>
            <w:right w:val="none" w:sz="0" w:space="0" w:color="auto"/>
          </w:divBdr>
          <w:divsChild>
            <w:div w:id="16880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50175">
      <w:bodyDiv w:val="1"/>
      <w:marLeft w:val="0"/>
      <w:marRight w:val="0"/>
      <w:marTop w:val="0"/>
      <w:marBottom w:val="0"/>
      <w:divBdr>
        <w:top w:val="none" w:sz="0" w:space="0" w:color="auto"/>
        <w:left w:val="none" w:sz="0" w:space="0" w:color="auto"/>
        <w:bottom w:val="none" w:sz="0" w:space="0" w:color="auto"/>
        <w:right w:val="none" w:sz="0" w:space="0" w:color="auto"/>
      </w:divBdr>
      <w:divsChild>
        <w:div w:id="262420526">
          <w:marLeft w:val="0"/>
          <w:marRight w:val="0"/>
          <w:marTop w:val="0"/>
          <w:marBottom w:val="0"/>
          <w:divBdr>
            <w:top w:val="none" w:sz="0" w:space="0" w:color="auto"/>
            <w:left w:val="none" w:sz="0" w:space="0" w:color="auto"/>
            <w:bottom w:val="none" w:sz="0" w:space="0" w:color="auto"/>
            <w:right w:val="none" w:sz="0" w:space="0" w:color="auto"/>
          </w:divBdr>
        </w:div>
      </w:divsChild>
    </w:div>
    <w:div w:id="1711958673">
      <w:bodyDiv w:val="1"/>
      <w:marLeft w:val="0"/>
      <w:marRight w:val="0"/>
      <w:marTop w:val="0"/>
      <w:marBottom w:val="0"/>
      <w:divBdr>
        <w:top w:val="none" w:sz="0" w:space="0" w:color="auto"/>
        <w:left w:val="none" w:sz="0" w:space="0" w:color="auto"/>
        <w:bottom w:val="none" w:sz="0" w:space="0" w:color="auto"/>
        <w:right w:val="none" w:sz="0" w:space="0" w:color="auto"/>
      </w:divBdr>
      <w:divsChild>
        <w:div w:id="233009529">
          <w:marLeft w:val="0"/>
          <w:marRight w:val="0"/>
          <w:marTop w:val="0"/>
          <w:marBottom w:val="0"/>
          <w:divBdr>
            <w:top w:val="none" w:sz="0" w:space="0" w:color="auto"/>
            <w:left w:val="none" w:sz="0" w:space="0" w:color="auto"/>
            <w:bottom w:val="none" w:sz="0" w:space="0" w:color="auto"/>
            <w:right w:val="none" w:sz="0" w:space="0" w:color="auto"/>
          </w:divBdr>
        </w:div>
      </w:divsChild>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32601035">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76119602">
      <w:bodyDiv w:val="1"/>
      <w:marLeft w:val="0"/>
      <w:marRight w:val="0"/>
      <w:marTop w:val="0"/>
      <w:marBottom w:val="0"/>
      <w:divBdr>
        <w:top w:val="none" w:sz="0" w:space="0" w:color="auto"/>
        <w:left w:val="none" w:sz="0" w:space="0" w:color="auto"/>
        <w:bottom w:val="none" w:sz="0" w:space="0" w:color="auto"/>
        <w:right w:val="none" w:sz="0" w:space="0" w:color="auto"/>
      </w:divBdr>
      <w:divsChild>
        <w:div w:id="605962938">
          <w:marLeft w:val="0"/>
          <w:marRight w:val="0"/>
          <w:marTop w:val="0"/>
          <w:marBottom w:val="0"/>
          <w:divBdr>
            <w:top w:val="none" w:sz="0" w:space="0" w:color="auto"/>
            <w:left w:val="none" w:sz="0" w:space="0" w:color="auto"/>
            <w:bottom w:val="none" w:sz="0" w:space="0" w:color="auto"/>
            <w:right w:val="none" w:sz="0" w:space="0" w:color="auto"/>
          </w:divBdr>
        </w:div>
      </w:divsChild>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30700636">
      <w:bodyDiv w:val="1"/>
      <w:marLeft w:val="0"/>
      <w:marRight w:val="0"/>
      <w:marTop w:val="0"/>
      <w:marBottom w:val="0"/>
      <w:divBdr>
        <w:top w:val="none" w:sz="0" w:space="0" w:color="auto"/>
        <w:left w:val="none" w:sz="0" w:space="0" w:color="auto"/>
        <w:bottom w:val="none" w:sz="0" w:space="0" w:color="auto"/>
        <w:right w:val="none" w:sz="0" w:space="0" w:color="auto"/>
      </w:divBdr>
      <w:divsChild>
        <w:div w:id="517500555">
          <w:marLeft w:val="0"/>
          <w:marRight w:val="0"/>
          <w:marTop w:val="0"/>
          <w:marBottom w:val="0"/>
          <w:divBdr>
            <w:top w:val="none" w:sz="0" w:space="0" w:color="auto"/>
            <w:left w:val="none" w:sz="0" w:space="0" w:color="auto"/>
            <w:bottom w:val="none" w:sz="0" w:space="0" w:color="auto"/>
            <w:right w:val="none" w:sz="0" w:space="0" w:color="auto"/>
          </w:divBdr>
        </w:div>
      </w:divsChild>
    </w:div>
    <w:div w:id="1971663801">
      <w:bodyDiv w:val="1"/>
      <w:marLeft w:val="0"/>
      <w:marRight w:val="0"/>
      <w:marTop w:val="0"/>
      <w:marBottom w:val="0"/>
      <w:divBdr>
        <w:top w:val="none" w:sz="0" w:space="0" w:color="auto"/>
        <w:left w:val="none" w:sz="0" w:space="0" w:color="auto"/>
        <w:bottom w:val="none" w:sz="0" w:space="0" w:color="auto"/>
        <w:right w:val="none" w:sz="0" w:space="0" w:color="auto"/>
      </w:divBdr>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04048">
      <w:bodyDiv w:val="1"/>
      <w:marLeft w:val="0"/>
      <w:marRight w:val="0"/>
      <w:marTop w:val="0"/>
      <w:marBottom w:val="0"/>
      <w:divBdr>
        <w:top w:val="none" w:sz="0" w:space="0" w:color="auto"/>
        <w:left w:val="none" w:sz="0" w:space="0" w:color="auto"/>
        <w:bottom w:val="none" w:sz="0" w:space="0" w:color="auto"/>
        <w:right w:val="none" w:sz="0" w:space="0" w:color="auto"/>
      </w:divBdr>
      <w:divsChild>
        <w:div w:id="1592199996">
          <w:marLeft w:val="0"/>
          <w:marRight w:val="0"/>
          <w:marTop w:val="0"/>
          <w:marBottom w:val="0"/>
          <w:divBdr>
            <w:top w:val="none" w:sz="0" w:space="0" w:color="auto"/>
            <w:left w:val="none" w:sz="0" w:space="0" w:color="auto"/>
            <w:bottom w:val="none" w:sz="0" w:space="0" w:color="auto"/>
            <w:right w:val="none" w:sz="0" w:space="0" w:color="auto"/>
          </w:divBdr>
        </w:div>
      </w:divsChild>
    </w:div>
    <w:div w:id="2030911372">
      <w:bodyDiv w:val="1"/>
      <w:marLeft w:val="0"/>
      <w:marRight w:val="0"/>
      <w:marTop w:val="0"/>
      <w:marBottom w:val="0"/>
      <w:divBdr>
        <w:top w:val="none" w:sz="0" w:space="0" w:color="auto"/>
        <w:left w:val="none" w:sz="0" w:space="0" w:color="auto"/>
        <w:bottom w:val="none" w:sz="0" w:space="0" w:color="auto"/>
        <w:right w:val="none" w:sz="0" w:space="0" w:color="auto"/>
      </w:divBdr>
      <w:divsChild>
        <w:div w:id="2093502339">
          <w:marLeft w:val="0"/>
          <w:marRight w:val="0"/>
          <w:marTop w:val="0"/>
          <w:marBottom w:val="0"/>
          <w:divBdr>
            <w:top w:val="none" w:sz="0" w:space="0" w:color="auto"/>
            <w:left w:val="none" w:sz="0" w:space="0" w:color="auto"/>
            <w:bottom w:val="none" w:sz="0" w:space="0" w:color="auto"/>
            <w:right w:val="none" w:sz="0" w:space="0" w:color="auto"/>
          </w:divBdr>
        </w:div>
      </w:divsChild>
    </w:div>
    <w:div w:id="2118986048">
      <w:bodyDiv w:val="1"/>
      <w:marLeft w:val="0"/>
      <w:marRight w:val="0"/>
      <w:marTop w:val="0"/>
      <w:marBottom w:val="0"/>
      <w:divBdr>
        <w:top w:val="none" w:sz="0" w:space="0" w:color="auto"/>
        <w:left w:val="none" w:sz="0" w:space="0" w:color="auto"/>
        <w:bottom w:val="none" w:sz="0" w:space="0" w:color="auto"/>
        <w:right w:val="none" w:sz="0" w:space="0" w:color="auto"/>
      </w:divBdr>
      <w:divsChild>
        <w:div w:id="151029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117" Type="http://schemas.openxmlformats.org/officeDocument/2006/relationships/footer" Target="footer13.xml"/><Relationship Id="rId21" Type="http://schemas.openxmlformats.org/officeDocument/2006/relationships/hyperlink" Target="https://www.census.gov/quickfacts/fact/table/fallrivercitymassachusetts,MA/PST045223" TargetMode="External"/><Relationship Id="rId42" Type="http://schemas.openxmlformats.org/officeDocument/2006/relationships/hyperlink" Target="http://www.teachstone.com/wp-content/uploads/2011/05/class-mtp-pk-12-brief.pdf" TargetMode="External"/><Relationship Id="rId47" Type="http://schemas.openxmlformats.org/officeDocument/2006/relationships/hyperlink" Target="https://www.doe.mass.edu/edeffectiveness/mentor/principal.html" TargetMode="External"/><Relationship Id="rId63" Type="http://schemas.openxmlformats.org/officeDocument/2006/relationships/hyperlink" Target="https://view.officeapps.live.com/op/view.aspx?src=https%3A%2F%2Fwww.doe.mass.edu%2Fcsdp%2Fguidebook%2Fappendix-ilt-framework.docx&amp;wdOrigin=BROWSELINK" TargetMode="External"/><Relationship Id="rId68" Type="http://schemas.openxmlformats.org/officeDocument/2006/relationships/hyperlink" Target="https://www.doe.mass.edu/assessment/" TargetMode="External"/><Relationship Id="rId84" Type="http://schemas.openxmlformats.org/officeDocument/2006/relationships/hyperlink" Target="https://www.doe.mass.edu/ele/slife/default.html" TargetMode="External"/><Relationship Id="rId89" Type="http://schemas.openxmlformats.org/officeDocument/2006/relationships/hyperlink" Target="https://www.doe.mass.edu/sfs/family-engagement-framework.pdf" TargetMode="External"/><Relationship Id="rId112" Type="http://schemas.openxmlformats.org/officeDocument/2006/relationships/hyperlink" Target="https://www.doe.mass.edu/finance/chapter70/default.html" TargetMode="External"/><Relationship Id="rId16" Type="http://schemas.openxmlformats.org/officeDocument/2006/relationships/image" Target="media/image4.jpeg"/><Relationship Id="rId107" Type="http://schemas.openxmlformats.org/officeDocument/2006/relationships/hyperlink" Target="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 TargetMode="External"/><Relationship Id="rId11" Type="http://schemas.openxmlformats.org/officeDocument/2006/relationships/hyperlink" Target="http://www.doe.mass.edu" TargetMode="External"/><Relationship Id="rId32" Type="http://schemas.openxmlformats.org/officeDocument/2006/relationships/header" Target="header4.xml"/><Relationship Id="rId37" Type="http://schemas.openxmlformats.org/officeDocument/2006/relationships/footer" Target="footer7.xml"/><Relationship Id="rId53" Type="http://schemas.openxmlformats.org/officeDocument/2006/relationships/hyperlink" Target="https://www.doe.mass.edu/instruction/culturally-sustaining/default.html" TargetMode="External"/><Relationship Id="rId58" Type="http://schemas.openxmlformats.org/officeDocument/2006/relationships/hyperlink" Target="https://sites.google.com/view/appleseedsk2/home" TargetMode="External"/><Relationship Id="rId74" Type="http://schemas.openxmlformats.org/officeDocument/2006/relationships/hyperlink" Target="https://www.doe.mass.edu/mtel/" TargetMode="External"/><Relationship Id="rId79" Type="http://schemas.openxmlformats.org/officeDocument/2006/relationships/hyperlink" Target="https://www.doe.mass.edu/edeffectiveness/talent-guide/default.html" TargetMode="External"/><Relationship Id="rId102" Type="http://schemas.openxmlformats.org/officeDocument/2006/relationships/hyperlink" Target="https://www.doe.mass.edu/cnp/" TargetMode="External"/><Relationship Id="rId5" Type="http://schemas.openxmlformats.org/officeDocument/2006/relationships/numbering" Target="numbering.xml"/><Relationship Id="rId90" Type="http://schemas.openxmlformats.org/officeDocument/2006/relationships/hyperlink" Target="https://www.doe.mass.edu/sfss/mtss/" TargetMode="External"/><Relationship Id="rId95" Type="http://schemas.openxmlformats.org/officeDocument/2006/relationships/hyperlink" Target="https://www.doe.mass.edu/sfs/discipline/" TargetMode="External"/><Relationship Id="rId22" Type="http://schemas.openxmlformats.org/officeDocument/2006/relationships/image" Target="media/image5.png"/><Relationship Id="rId27" Type="http://schemas.openxmlformats.org/officeDocument/2006/relationships/header" Target="header2.xml"/><Relationship Id="rId43" Type="http://schemas.openxmlformats.org/officeDocument/2006/relationships/hyperlink" Target="http://metproject.org/resources/CLASS_10_29_10.pdf" TargetMode="External"/><Relationship Id="rId48" Type="http://schemas.openxmlformats.org/officeDocument/2006/relationships/hyperlink" Target="https://www.doe.mass.edu/research/success/" TargetMode="External"/><Relationship Id="rId64" Type="http://schemas.openxmlformats.org/officeDocument/2006/relationships/hyperlink" Target="https://www.doe.mass.edu/acls/assessment/continuum.pdf" TargetMode="External"/><Relationship Id="rId69" Type="http://schemas.openxmlformats.org/officeDocument/2006/relationships/hyperlink" Target="https://www.doe.mass.edu/edprep/resources/early-literacy-observation.html" TargetMode="External"/><Relationship Id="rId113" Type="http://schemas.openxmlformats.org/officeDocument/2006/relationships/hyperlink" Target="https://www.doe.mass.edu/finance/statistics/per-pupil-exp.xlsx" TargetMode="External"/><Relationship Id="rId118" Type="http://schemas.openxmlformats.org/officeDocument/2006/relationships/footer" Target="footer14.xml"/><Relationship Id="rId80" Type="http://schemas.openxmlformats.org/officeDocument/2006/relationships/hyperlink" Target="https://www.doe.mass.edu/ele/prof-learning/wida/default.html" TargetMode="External"/><Relationship Id="rId85" Type="http://schemas.openxmlformats.org/officeDocument/2006/relationships/hyperlink" Target="https://www.doe.mass.edu/ele/resources/immigrant-refugee.html" TargetMode="Externa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33" Type="http://schemas.openxmlformats.org/officeDocument/2006/relationships/footer" Target="footer6.xml"/><Relationship Id="rId38" Type="http://schemas.openxmlformats.org/officeDocument/2006/relationships/image" Target="media/image11.png"/><Relationship Id="rId59" Type="http://schemas.openxmlformats.org/officeDocument/2006/relationships/hyperlink" Target="https://www.doe.mass.edu/investigatinghistory/" TargetMode="External"/><Relationship Id="rId103" Type="http://schemas.openxmlformats.org/officeDocument/2006/relationships/hyperlink" Target="https://www.doe.mass.edu/research/success/" TargetMode="External"/><Relationship Id="rId108" Type="http://schemas.openxmlformats.org/officeDocument/2006/relationships/footer" Target="footer10.xml"/><Relationship Id="rId54" Type="http://schemas.openxmlformats.org/officeDocument/2006/relationships/hyperlink" Target="https://www.doe.mass.edu/massliteracy/" TargetMode="External"/><Relationship Id="rId70" Type="http://schemas.openxmlformats.org/officeDocument/2006/relationships/hyperlink" Target="https://www.doe.mass.edu/edeval/implementation/default.html" TargetMode="External"/><Relationship Id="rId75" Type="http://schemas.openxmlformats.org/officeDocument/2006/relationships/hyperlink" Target="https://www.ma-optic.com/" TargetMode="External"/><Relationship Id="rId91" Type="http://schemas.openxmlformats.org/officeDocument/2006/relationships/hyperlink" Target="https://matoolsforschools.com/" TargetMode="External"/><Relationship Id="rId96" Type="http://schemas.openxmlformats.org/officeDocument/2006/relationships/hyperlink" Target="https://massschoolwellness.org/"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6.png"/><Relationship Id="rId28" Type="http://schemas.openxmlformats.org/officeDocument/2006/relationships/footer" Target="footer3.xml"/><Relationship Id="rId49" Type="http://schemas.openxmlformats.org/officeDocument/2006/relationships/hyperlink" Target="https://www.doe.mass.edu/instruction/impd/default.html" TargetMode="External"/><Relationship Id="rId114" Type="http://schemas.openxmlformats.org/officeDocument/2006/relationships/header" Target="header8.xml"/><Relationship Id="rId119" Type="http://schemas.openxmlformats.org/officeDocument/2006/relationships/footer" Target="footer15.xml"/><Relationship Id="rId44" Type="http://schemas.openxmlformats.org/officeDocument/2006/relationships/footer" Target="footer9.xml"/><Relationship Id="rId60" Type="http://schemas.openxmlformats.org/officeDocument/2006/relationships/hyperlink" Target="https://www.doe.mass.edu/stem/ste/openscied.html" TargetMode="External"/><Relationship Id="rId65" Type="http://schemas.openxmlformats.org/officeDocument/2006/relationships/hyperlink" Target="https://www.doe.mass.edu/stem/ste/assess-resources.html" TargetMode="External"/><Relationship Id="rId81" Type="http://schemas.openxmlformats.org/officeDocument/2006/relationships/hyperlink" Target="https://www.doe.mass.edu/ccte/sec-supports/massgrad/default.html" TargetMode="External"/><Relationship Id="rId86" Type="http://schemas.openxmlformats.org/officeDocument/2006/relationships/hyperlink" Target="https://rems.ed.gov/?AspxAutoDetectCookieSupport=1"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hyperlink" Target="http://www.air.org" TargetMode="External"/><Relationship Id="rId109" Type="http://schemas.openxmlformats.org/officeDocument/2006/relationships/header" Target="header7.xml"/><Relationship Id="rId34" Type="http://schemas.openxmlformats.org/officeDocument/2006/relationships/header" Target="header5.xml"/><Relationship Id="rId50" Type="http://schemas.openxmlformats.org/officeDocument/2006/relationships/hyperlink" Target="https://www.doe.mass.edu/frameworks/current.html" TargetMode="External"/><Relationship Id="rId55" Type="http://schemas.openxmlformats.org/officeDocument/2006/relationships/hyperlink" Target="https://www.doe.mass.edu/edeval/guidebook/" TargetMode="External"/><Relationship Id="rId76" Type="http://schemas.openxmlformats.org/officeDocument/2006/relationships/hyperlink" Target="https://plpartnerguide.org/" TargetMode="External"/><Relationship Id="rId97" Type="http://schemas.openxmlformats.org/officeDocument/2006/relationships/hyperlink" Target="https://view.officeapps.live.com/op/view.aspx?src=https%3A%2F%2Fwww.doe.mass.edu%2Fsfs%2Fearlylearning%2Fresources%2FSEL-APL-Standards.docx&amp;wdOrigin=BROWSELINK" TargetMode="External"/><Relationship Id="rId104" Type="http://schemas.openxmlformats.org/officeDocument/2006/relationships/hyperlink" Target="https://www.doe.mass.edu/research/radar/" TargetMode="External"/><Relationship Id="rId120" Type="http://schemas.openxmlformats.org/officeDocument/2006/relationships/header" Target="header10.xml"/><Relationship Id="rId7" Type="http://schemas.openxmlformats.org/officeDocument/2006/relationships/settings" Target="settings.xml"/><Relationship Id="rId71" Type="http://schemas.openxmlformats.org/officeDocument/2006/relationships/hyperlink" Target="https://www.doe.mass.edu/edeffectiveness/mentor/default.html" TargetMode="External"/><Relationship Id="rId92" Type="http://schemas.openxmlformats.org/officeDocument/2006/relationships/hyperlink" Target="https://www.sassma.org/" TargetMode="External"/><Relationship Id="rId2" Type="http://schemas.openxmlformats.org/officeDocument/2006/relationships/customXml" Target="../customXml/item2.xml"/><Relationship Id="rId29" Type="http://schemas.openxmlformats.org/officeDocument/2006/relationships/header" Target="header3.xml"/><Relationship Id="rId24" Type="http://schemas.openxmlformats.org/officeDocument/2006/relationships/image" Target="media/image7.png"/><Relationship Id="rId40" Type="http://schemas.openxmlformats.org/officeDocument/2006/relationships/header" Target="header6.xml"/><Relationship Id="rId45" Type="http://schemas.openxmlformats.org/officeDocument/2006/relationships/hyperlink" Target="https://www.doe.mass.edu/csdp/guidebook/coherence-guidebook.pdf" TargetMode="External"/><Relationship Id="rId66" Type="http://schemas.openxmlformats.org/officeDocument/2006/relationships/hyperlink" Target="http://www.doe.mass.edu/accountability/toolkit/" TargetMode="External"/><Relationship Id="rId87" Type="http://schemas.openxmlformats.org/officeDocument/2006/relationships/hyperlink" Target="https://www.doe.mass.edu/sfs/emergencyplan/default.html" TargetMode="External"/><Relationship Id="rId110" Type="http://schemas.openxmlformats.org/officeDocument/2006/relationships/footer" Target="footer11.xml"/><Relationship Id="rId115" Type="http://schemas.openxmlformats.org/officeDocument/2006/relationships/footer" Target="footer12.xml"/><Relationship Id="rId61" Type="http://schemas.openxmlformats.org/officeDocument/2006/relationships/hyperlink" Target="https://www.doe.mass.edu/sped/dyslexia-guidelines.pdf" TargetMode="External"/><Relationship Id="rId82" Type="http://schemas.openxmlformats.org/officeDocument/2006/relationships/hyperlink" Target="https://www.doe.mass.edu/ccte/sec-supports/ewis/default.html" TargetMode="External"/><Relationship Id="rId19" Type="http://schemas.openxmlformats.org/officeDocument/2006/relationships/footer" Target="footer1.xml"/><Relationship Id="rId14" Type="http://schemas.openxmlformats.org/officeDocument/2006/relationships/image" Target="media/image2.png"/><Relationship Id="rId30" Type="http://schemas.openxmlformats.org/officeDocument/2006/relationships/footer" Target="footer4.xml"/><Relationship Id="rId35" Type="http://schemas.openxmlformats.org/officeDocument/2006/relationships/image" Target="media/image9.png"/><Relationship Id="rId56" Type="http://schemas.openxmlformats.org/officeDocument/2006/relationships/hyperlink" Target="https://view.officeapps.live.com/op/view.aspx?src=https%3A%2F%2Fwww.doe.mass.edu%2Finstruction%2Farts%2Fdiverse-arts-guidebook.docx&amp;wdOrigin=BROWSELINK" TargetMode="External"/><Relationship Id="rId77" Type="http://schemas.openxmlformats.org/officeDocument/2006/relationships/hyperlink" Target="https://view.officeapps.live.com/op/view.aspx?src=https%3A%2F%2Fwww.doe.mass.edu%2Fcsi%2Fdiverse-workforce%2Fteacher-diversification.docx&amp;wdOrigin=BROWSELINK" TargetMode="External"/><Relationship Id="rId100" Type="http://schemas.openxmlformats.org/officeDocument/2006/relationships/hyperlink" Target="https://www.doe.mass.edu/finance/statistics/default.html" TargetMode="External"/><Relationship Id="rId105" Type="http://schemas.openxmlformats.org/officeDocument/2006/relationships/hyperlink" Target="https://www.projectbread.org/resource-directory/breakfast-after-the-bell-resources" TargetMode="External"/><Relationship Id="rId8" Type="http://schemas.openxmlformats.org/officeDocument/2006/relationships/webSettings" Target="webSettings.xml"/><Relationship Id="rId51" Type="http://schemas.openxmlformats.org/officeDocument/2006/relationships/hyperlink" Target="https://www.doe.mass.edu/instruction/impd/implement-ma.html" TargetMode="External"/><Relationship Id="rId72" Type="http://schemas.openxmlformats.org/officeDocument/2006/relationships/hyperlink" Target="https://www.doe.mass.edu/edeffectiveness/mentor/principal.html" TargetMode="External"/><Relationship Id="rId93" Type="http://schemas.openxmlformats.org/officeDocument/2006/relationships/hyperlink" Target="https://www.doe.mass.edu/sfs/lgbtq/" TargetMode="External"/><Relationship Id="rId98" Type="http://schemas.openxmlformats.org/officeDocument/2006/relationships/hyperlink" Target="https://www.doe.mass.edu/sfs/earlylearning/pli.html"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hart" Target="charts/chart1.xml"/><Relationship Id="rId46" Type="http://schemas.openxmlformats.org/officeDocument/2006/relationships/hyperlink" Target="https://www.massupt.org/professional-development/annual-programs/new-superintendent-induction-program/" TargetMode="External"/><Relationship Id="rId67" Type="http://schemas.openxmlformats.org/officeDocument/2006/relationships/hyperlink" Target="https://www.doe.mass.edu/instruction/screening-assessments/default.html" TargetMode="External"/><Relationship Id="rId116" Type="http://schemas.openxmlformats.org/officeDocument/2006/relationships/header" Target="header9.xml"/><Relationship Id="rId20" Type="http://schemas.openxmlformats.org/officeDocument/2006/relationships/footer" Target="footer2.xml"/><Relationship Id="rId41" Type="http://schemas.openxmlformats.org/officeDocument/2006/relationships/footer" Target="footer8.xml"/><Relationship Id="rId62" Type="http://schemas.openxmlformats.org/officeDocument/2006/relationships/hyperlink" Target="https://www.doe.mass.edu/ele/esl-toolkit/default.html" TargetMode="External"/><Relationship Id="rId83" Type="http://schemas.openxmlformats.org/officeDocument/2006/relationships/hyperlink" Target="https://www.doe.mass.edu/sfs/edstability.html" TargetMode="External"/><Relationship Id="rId88" Type="http://schemas.openxmlformats.org/officeDocument/2006/relationships/hyperlink" Target="https://www.doe.mass.edu/families/" TargetMode="External"/><Relationship Id="rId111" Type="http://schemas.openxmlformats.org/officeDocument/2006/relationships/hyperlink" Target="https://www.doe.mass.edu/finance/statistics/default.html" TargetMode="External"/><Relationship Id="rId15" Type="http://schemas.openxmlformats.org/officeDocument/2006/relationships/image" Target="media/image3.jpeg"/><Relationship Id="rId36" Type="http://schemas.openxmlformats.org/officeDocument/2006/relationships/image" Target="media/image10.png"/><Relationship Id="rId57" Type="http://schemas.openxmlformats.org/officeDocument/2006/relationships/hyperlink" Target="https://www.doe.mass.edu/ele/blueprint/default.html" TargetMode="External"/><Relationship Id="rId106" Type="http://schemas.openxmlformats.org/officeDocument/2006/relationships/hyperlink" Target="https://us14.list-manage.com/subscribe?u=d8f37d1a90dacd97f207f0b4a&amp;id=d29c4bc847" TargetMode="External"/><Relationship Id="rId10" Type="http://schemas.openxmlformats.org/officeDocument/2006/relationships/endnotes" Target="endnotes.xml"/><Relationship Id="rId31" Type="http://schemas.openxmlformats.org/officeDocument/2006/relationships/footer" Target="footer5.xml"/><Relationship Id="rId52" Type="http://schemas.openxmlformats.org/officeDocument/2006/relationships/hyperlink" Target="https://www.doe.mass.edu/instruction/curate/default.html" TargetMode="External"/><Relationship Id="rId73" Type="http://schemas.openxmlformats.org/officeDocument/2006/relationships/hyperlink" Target="https://www.doe.mass.edu/edeffectiveness/mentor/default.html" TargetMode="External"/><Relationship Id="rId78" Type="http://schemas.openxmlformats.org/officeDocument/2006/relationships/hyperlink" Target="https://www.doe.mass.edu/frameworks/observation/" TargetMode="External"/><Relationship Id="rId94" Type="http://schemas.openxmlformats.org/officeDocument/2006/relationships/hyperlink" Target="https://www.doe.mass.edu/sfs/bullying/default.html" TargetMode="External"/><Relationship Id="rId99" Type="http://schemas.openxmlformats.org/officeDocument/2006/relationships/hyperlink" Target="https://www.doe.mass.edu/sfs/sel/sel-all.docx" TargetMode="External"/><Relationship Id="rId101" Type="http://schemas.openxmlformats.org/officeDocument/2006/relationships/hyperlink" Target="https://www.doe.mass.edu/federalgrants/resources/default.html" TargetMode="External"/><Relationship Id="rId1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research/radar/" TargetMode="External"/><Relationship Id="rId2" Type="http://schemas.openxmlformats.org/officeDocument/2006/relationships/hyperlink" Target="https://www.doe.mass.edu/accountability/district-review/district-standards-indicators.docx" TargetMode="External"/><Relationship Id="rId1" Type="http://schemas.openxmlformats.org/officeDocument/2006/relationships/hyperlink" Target="https://teachstone.com/class/"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msair-my.sharepoint.com/personal/smalhotra_air_org/Documents/MA%20DR%20Profile%20Figures%20-%20Copy%20-%20Fall%20River%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3'!$B$1</c:f>
              <c:strCache>
                <c:ptCount val="1"/>
                <c:pt idx="0">
                  <c:v>Fall River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3'!$A$2:$A$7</c:f>
              <c:strCache>
                <c:ptCount val="6"/>
                <c:pt idx="0">
                  <c:v>Grade 3-8 (ELA)</c:v>
                </c:pt>
                <c:pt idx="1">
                  <c:v>Grades 3-8 (Math)</c:v>
                </c:pt>
                <c:pt idx="2">
                  <c:v>Grades 5&amp;8 (Science)</c:v>
                </c:pt>
                <c:pt idx="3">
                  <c:v>Grade 10 (ELA)</c:v>
                </c:pt>
                <c:pt idx="4">
                  <c:v>Grade 10 (Math)</c:v>
                </c:pt>
                <c:pt idx="5">
                  <c:v>Grade 10 (Science)</c:v>
                </c:pt>
              </c:strCache>
            </c:strRef>
          </c:cat>
          <c:val>
            <c:numRef>
              <c:f>'Figure 3'!$B$2:$B$7</c:f>
              <c:numCache>
                <c:formatCode>0%</c:formatCode>
                <c:ptCount val="6"/>
                <c:pt idx="0">
                  <c:v>0.16</c:v>
                </c:pt>
                <c:pt idx="1">
                  <c:v>0.16</c:v>
                </c:pt>
                <c:pt idx="2">
                  <c:v>0.14000000000000001</c:v>
                </c:pt>
                <c:pt idx="3">
                  <c:v>0.24</c:v>
                </c:pt>
                <c:pt idx="4">
                  <c:v>0.1</c:v>
                </c:pt>
                <c:pt idx="5">
                  <c:v>0.12</c:v>
                </c:pt>
              </c:numCache>
            </c:numRef>
          </c:val>
          <c:extLst>
            <c:ext xmlns:c16="http://schemas.microsoft.com/office/drawing/2014/chart" uri="{C3380CC4-5D6E-409C-BE32-E72D297353CC}">
              <c16:uniqueId val="{00000000-7513-4559-90D7-A89ED6821E06}"/>
            </c:ext>
          </c:extLst>
        </c:ser>
        <c:ser>
          <c:idx val="1"/>
          <c:order val="1"/>
          <c:tx>
            <c:strRef>
              <c:f>'Figure 3'!$C$1</c:f>
              <c:strCache>
                <c:ptCount val="1"/>
                <c:pt idx="0">
                  <c:v>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3'!$A$2:$A$7</c:f>
              <c:strCache>
                <c:ptCount val="6"/>
                <c:pt idx="0">
                  <c:v>Grade 3-8 (ELA)</c:v>
                </c:pt>
                <c:pt idx="1">
                  <c:v>Grades 3-8 (Math)</c:v>
                </c:pt>
                <c:pt idx="2">
                  <c:v>Grades 5&amp;8 (Science)</c:v>
                </c:pt>
                <c:pt idx="3">
                  <c:v>Grade 10 (ELA)</c:v>
                </c:pt>
                <c:pt idx="4">
                  <c:v>Grade 10 (Math)</c:v>
                </c:pt>
                <c:pt idx="5">
                  <c:v>Grade 10 (Science)</c:v>
                </c:pt>
              </c:strCache>
            </c:strRef>
          </c:cat>
          <c:val>
            <c:numRef>
              <c:f>'Figure 3'!$C$2:$C$7</c:f>
              <c:numCache>
                <c:formatCode>0%</c:formatCode>
                <c:ptCount val="6"/>
                <c:pt idx="0">
                  <c:v>0.22</c:v>
                </c:pt>
                <c:pt idx="1">
                  <c:v>0.23</c:v>
                </c:pt>
                <c:pt idx="2">
                  <c:v>0.24</c:v>
                </c:pt>
                <c:pt idx="3">
                  <c:v>0.37</c:v>
                </c:pt>
                <c:pt idx="4">
                  <c:v>0.27</c:v>
                </c:pt>
                <c:pt idx="5">
                  <c:v>0.28000000000000003</c:v>
                </c:pt>
              </c:numCache>
            </c:numRef>
          </c:val>
          <c:extLst>
            <c:ext xmlns:c16="http://schemas.microsoft.com/office/drawing/2014/chart" uri="{C3380CC4-5D6E-409C-BE32-E72D297353CC}">
              <c16:uniqueId val="{00000001-7513-4559-90D7-A89ED6821E06}"/>
            </c:ext>
          </c:extLst>
        </c:ser>
        <c:dLbls>
          <c:dLblPos val="outEnd"/>
          <c:showLegendKey val="0"/>
          <c:showVal val="1"/>
          <c:showCatName val="0"/>
          <c:showSerName val="0"/>
          <c:showPercent val="0"/>
          <c:showBubbleSize val="0"/>
        </c:dLbls>
        <c:gapWidth val="219"/>
        <c:overlap val="-27"/>
        <c:axId val="1910934735"/>
        <c:axId val="1910932815"/>
      </c:barChart>
      <c:catAx>
        <c:axId val="1910934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0932815"/>
        <c:crosses val="autoZero"/>
        <c:auto val="1"/>
        <c:lblAlgn val="ctr"/>
        <c:lblOffset val="100"/>
        <c:noMultiLvlLbl val="0"/>
      </c:catAx>
      <c:valAx>
        <c:axId val="1910932815"/>
        <c:scaling>
          <c:orientation val="minMax"/>
        </c:scaling>
        <c:delete val="1"/>
        <c:axPos val="l"/>
        <c:numFmt formatCode="0%" sourceLinked="1"/>
        <c:majorTickMark val="none"/>
        <c:minorTickMark val="none"/>
        <c:tickLblPos val="nextTo"/>
        <c:crossAx val="191093473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Davis, Timara</DisplayName>
        <AccountId>55</AccountId>
        <AccountType/>
      </UserInfo>
      <UserInfo>
        <DisplayName>Kistner, Alex</DisplayName>
        <AccountId>25</AccountId>
        <AccountType/>
      </UserInfo>
      <UserInfo>
        <DisplayName>Stein, Laura</DisplayName>
        <AccountId>12</AccountId>
        <AccountType/>
      </UserInfo>
      <UserInfo>
        <DisplayName>Welch, Matthew</DisplayName>
        <AccountId>14</AccountId>
        <AccountType/>
      </UserInfo>
      <UserInfo>
        <DisplayName>Rasmussen, Cathy</DisplayName>
        <AccountId>223</AccountId>
        <AccountType/>
      </UserInfo>
      <UserInfo>
        <DisplayName>Lyke, Betheny</DisplayName>
        <AccountId>10</AccountId>
        <AccountType/>
      </UserInfo>
      <UserInfo>
        <DisplayName>Garcia, Joyce</DisplayName>
        <AccountId>221</AccountId>
        <AccountType/>
      </UserInfo>
      <UserInfo>
        <DisplayName>Baskin, Bertha</DisplayName>
        <AccountId>222</AccountId>
        <AccountType/>
      </UserInfo>
      <UserInfo>
        <DisplayName>Wenzel, Caryl</DisplayName>
        <AccountId>232</AccountId>
        <AccountType/>
      </UserInfo>
      <UserInfo>
        <DisplayName>Willey, Sarah</DisplayName>
        <AccountId>263</AccountId>
        <AccountType/>
      </UserInfo>
      <UserInfo>
        <DisplayName>Mass DESE District Reviews Members</DisplayName>
        <AccountId>7</AccountId>
        <AccountType/>
      </UserInfo>
    </SharedWithUsers>
    <TaxCatchAll xmlns="22602442-92ee-4d3a-8ce8-f0d739bf7d54" xsi:nil="true"/>
    <lcf76f155ced4ddcb4097134ff3c332f xmlns="68b45241-2e0a-4324-b6cd-9efd2f11b483">
      <Terms xmlns="http://schemas.microsoft.com/office/infopath/2007/PartnerControls"/>
    </lcf76f155ced4ddcb4097134ff3c332f>
    <Lorraine_x0020_Test xmlns="68b45241-2e0a-4324-b6cd-9efd2f11b483">true</Lorraine_x0020_Test>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6" ma:contentTypeDescription="Create a new document." ma:contentTypeScope="" ma:versionID="949afbba80f85813d60a313fd201fb78">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9eaaf219bbfdac0f016b5349ce3845d6"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customXml/itemProps2.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customXml/itemProps3.xml><?xml version="1.0" encoding="utf-8"?>
<ds:datastoreItem xmlns:ds="http://schemas.openxmlformats.org/officeDocument/2006/customXml" ds:itemID="{A75D23AA-3DCE-47DF-B3E4-677128CFF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8E5E8-958F-48D8-B769-C97F3E1B8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107</Pages>
  <Words>41488</Words>
  <Characters>236482</Characters>
  <Application>Microsoft Office Word</Application>
  <DocSecurity>0</DocSecurity>
  <Lines>1970</Lines>
  <Paragraphs>554</Paragraphs>
  <ScaleCrop>false</ScaleCrop>
  <HeadingPairs>
    <vt:vector size="2" baseType="variant">
      <vt:variant>
        <vt:lpstr>Title</vt:lpstr>
      </vt:variant>
      <vt:variant>
        <vt:i4>1</vt:i4>
      </vt:variant>
    </vt:vector>
  </HeadingPairs>
  <TitlesOfParts>
    <vt:vector size="1" baseType="lpstr">
      <vt:lpstr>Fall River Public Schools Comprehensive District Review Report 2025</vt:lpstr>
    </vt:vector>
  </TitlesOfParts>
  <Company/>
  <LinksUpToDate>false</LinksUpToDate>
  <CharactersWithSpaces>277416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River Public Schools Comprehensive District Review Report 2025</dc:title>
  <dc:subject/>
  <dc:creator>DESE</dc:creator>
  <cp:keywords/>
  <dc:description/>
  <cp:lastModifiedBy>Zou, Dong (EOE)</cp:lastModifiedBy>
  <cp:revision>61</cp:revision>
  <cp:lastPrinted>2022-09-24T06:45:00Z</cp:lastPrinted>
  <dcterms:created xsi:type="dcterms:W3CDTF">2025-05-12T15:26:00Z</dcterms:created>
  <dcterms:modified xsi:type="dcterms:W3CDTF">2025-05-27T20:00:00Z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2025 12:00AM</vt:lpwstr>
  </property>
</Properties>
</file>