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AC10" w14:textId="5D915D68" w:rsidR="00E47457" w:rsidRPr="00900ADE" w:rsidRDefault="00B525D4" w:rsidP="0055077E">
      <w:pPr>
        <w:pStyle w:val="Heading1"/>
      </w:pPr>
      <w:r w:rsidRPr="00900ADE">
        <w:rPr>
          <w:szCs w:val="48"/>
        </w:rPr>
        <w:t>Medway</w:t>
      </w:r>
      <w:r w:rsidR="00CE0FF0" w:rsidRPr="00900ADE">
        <w:rPr>
          <w:szCs w:val="48"/>
        </w:rPr>
        <w:t xml:space="preserve"> Public Schools</w:t>
      </w:r>
    </w:p>
    <w:p w14:paraId="7F1243B7" w14:textId="0BA27B5F" w:rsidR="008E314D" w:rsidRPr="00900ADE" w:rsidRDefault="00FD0F0A" w:rsidP="00457876">
      <w:pPr>
        <w:pStyle w:val="Titlepagesubheading"/>
      </w:pPr>
      <w:bookmarkStart w:id="0" w:name="_Hlk101983091"/>
      <w:r w:rsidRPr="00900ADE">
        <w:t xml:space="preserve">Comprehensive </w:t>
      </w:r>
      <w:r w:rsidR="008E314D" w:rsidRPr="00900ADE">
        <w:t>District Review Report</w:t>
      </w:r>
      <w:bookmarkEnd w:id="0"/>
      <w:r w:rsidR="008E314D" w:rsidRPr="00900ADE">
        <w:t xml:space="preserve"> </w:t>
      </w:r>
    </w:p>
    <w:p w14:paraId="3575704A" w14:textId="604E3D0F" w:rsidR="008E314D" w:rsidRPr="00900ADE" w:rsidRDefault="00100946" w:rsidP="00457876">
      <w:pPr>
        <w:pStyle w:val="Titlepagedate"/>
      </w:pPr>
      <w:r w:rsidRPr="00900ADE">
        <w:t xml:space="preserve">January </w:t>
      </w:r>
      <w:r w:rsidR="00D84CF0" w:rsidRPr="00900ADE">
        <w:t>20</w:t>
      </w:r>
      <w:r w:rsidR="00961127" w:rsidRPr="00900ADE">
        <w:t>25</w:t>
      </w:r>
    </w:p>
    <w:p w14:paraId="0DB0F0E7" w14:textId="77777777" w:rsidR="00A95BAB" w:rsidRPr="00900ADE"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900ADE"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900ADE"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900ADE"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900ADE"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900ADE"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900ADE" w:rsidRDefault="4DF0ADFC" w:rsidP="00457876">
      <w:pPr>
        <w:pStyle w:val="Titlepageorganization"/>
      </w:pPr>
      <w:r w:rsidRPr="00900ADE">
        <w:t>Massachusetts Department of Elementary and Secondary Education</w:t>
      </w:r>
    </w:p>
    <w:p w14:paraId="7AB2F13C" w14:textId="0DB8189D" w:rsidR="14BBBE3B" w:rsidRPr="00900ADE" w:rsidRDefault="14BBBE3B" w:rsidP="00457876">
      <w:pPr>
        <w:pStyle w:val="Titlepagetext14pt"/>
      </w:pPr>
      <w:r w:rsidRPr="00900ADE">
        <w:t>Office of District Reviews and Monitoring</w:t>
      </w:r>
    </w:p>
    <w:p w14:paraId="5DC820FA" w14:textId="5046D58B" w:rsidR="26918BE0" w:rsidRPr="00900ADE" w:rsidRDefault="00E34155" w:rsidP="00457876">
      <w:pPr>
        <w:pStyle w:val="Titlepagetext10pt"/>
      </w:pPr>
      <w:r w:rsidRPr="00900ADE">
        <w:t>135 Santilli Highway</w:t>
      </w:r>
    </w:p>
    <w:p w14:paraId="6DA8D26D" w14:textId="3BBEE20E" w:rsidR="26918BE0" w:rsidRPr="00900ADE" w:rsidRDefault="00E34155" w:rsidP="00457876">
      <w:pPr>
        <w:pStyle w:val="Titlepagetext10pt"/>
      </w:pPr>
      <w:r w:rsidRPr="00900ADE">
        <w:t>Everett</w:t>
      </w:r>
      <w:r w:rsidR="26918BE0" w:rsidRPr="00900ADE">
        <w:t xml:space="preserve">, MA </w:t>
      </w:r>
      <w:r w:rsidR="001B2E5F" w:rsidRPr="00900ADE">
        <w:t>02149</w:t>
      </w:r>
    </w:p>
    <w:p w14:paraId="7CA72F40" w14:textId="4A091369" w:rsidR="26918BE0" w:rsidRPr="00900ADE" w:rsidRDefault="26918BE0" w:rsidP="00457876">
      <w:pPr>
        <w:pStyle w:val="Titlepagetext10pt"/>
      </w:pPr>
      <w:r w:rsidRPr="00900ADE">
        <w:t>781-338-3000</w:t>
      </w:r>
    </w:p>
    <w:p w14:paraId="33E67B60" w14:textId="00D88F04" w:rsidR="26918BE0" w:rsidRPr="00900ADE" w:rsidRDefault="26918BE0" w:rsidP="00457876">
      <w:pPr>
        <w:pStyle w:val="Titlepagetext10pt"/>
        <w:rPr>
          <w:rFonts w:eastAsia="Calibri" w:cs="Arial"/>
          <w:b/>
          <w:bCs/>
        </w:rPr>
      </w:pPr>
      <w:hyperlink r:id="rId11" w:history="1">
        <w:r w:rsidRPr="00900ADE">
          <w:t>www.doe.mass.edu</w:t>
        </w:r>
      </w:hyperlink>
    </w:p>
    <w:p w14:paraId="6719BDA7" w14:textId="77777777" w:rsidR="00B048BD" w:rsidRPr="00900ADE"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900ADE"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900ADE" w:rsidRDefault="00E64C7A" w:rsidP="00457876">
      <w:pPr>
        <w:pStyle w:val="Titlepageorganization"/>
      </w:pPr>
      <w:r w:rsidRPr="00900ADE">
        <w:t>American Institutes for Research</w:t>
      </w:r>
    </w:p>
    <w:p w14:paraId="7AF9AAE1" w14:textId="1F5EF69F" w:rsidR="00D67779" w:rsidRPr="00900ADE" w:rsidRDefault="00D67779" w:rsidP="00457876">
      <w:pPr>
        <w:pStyle w:val="Titlepagetext14pt"/>
      </w:pPr>
      <w:r w:rsidRPr="00900ADE">
        <w:t xml:space="preserve">Education Systems and Policy </w:t>
      </w:r>
    </w:p>
    <w:p w14:paraId="75CD3090" w14:textId="77777777" w:rsidR="008415C9" w:rsidRPr="00900ADE" w:rsidRDefault="008415C9" w:rsidP="00457876">
      <w:pPr>
        <w:pStyle w:val="Titlepagetext10pt"/>
      </w:pPr>
      <w:r w:rsidRPr="00900ADE">
        <w:rPr>
          <w:shd w:val="clear" w:color="auto" w:fill="FFFFFF"/>
        </w:rPr>
        <w:t>201 Jones Road, Suite 100</w:t>
      </w:r>
      <w:r w:rsidRPr="00900ADE">
        <w:br/>
      </w:r>
      <w:r w:rsidRPr="00900ADE">
        <w:rPr>
          <w:shd w:val="clear" w:color="auto" w:fill="FFFFFF"/>
        </w:rPr>
        <w:t>Waltham, MA 02451</w:t>
      </w:r>
      <w:r w:rsidRPr="00900ADE" w:rsidDel="00281957">
        <w:t xml:space="preserve"> </w:t>
      </w:r>
    </w:p>
    <w:p w14:paraId="2A326DCB" w14:textId="23BDDE59" w:rsidR="00144555" w:rsidRPr="00900ADE" w:rsidRDefault="00144555" w:rsidP="00457876">
      <w:pPr>
        <w:pStyle w:val="Titlepagetext10pt"/>
      </w:pPr>
      <w:r w:rsidRPr="00900ADE">
        <w:t>202</w:t>
      </w:r>
      <w:r w:rsidR="006D04CC" w:rsidRPr="00900ADE">
        <w:t>-</w:t>
      </w:r>
      <w:r w:rsidRPr="00900ADE">
        <w:t xml:space="preserve">403-5000 </w:t>
      </w:r>
    </w:p>
    <w:p w14:paraId="5CEDCF71" w14:textId="446BE90E" w:rsidR="002025EB" w:rsidRPr="00900ADE" w:rsidRDefault="002025EB" w:rsidP="00457876">
      <w:pPr>
        <w:pStyle w:val="Titlepagetext10pt"/>
      </w:pPr>
      <w:hyperlink r:id="rId12" w:history="1">
        <w:r w:rsidRPr="00900ADE">
          <w:rPr>
            <w:rStyle w:val="Hyperlink"/>
          </w:rPr>
          <w:t>www.air.org</w:t>
        </w:r>
      </w:hyperlink>
    </w:p>
    <w:p w14:paraId="634A28FF" w14:textId="77777777" w:rsidR="0047019E" w:rsidRPr="00900AD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900AD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Pr="00900AD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900AD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900AD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900AD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900AD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900AD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900AD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900AD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900ADE" w:rsidRDefault="002025EB" w:rsidP="00457876">
      <w:pPr>
        <w:tabs>
          <w:tab w:val="right" w:pos="9090"/>
        </w:tabs>
        <w:ind w:right="90"/>
        <w:rPr>
          <w:b/>
          <w:bCs/>
          <w:sz w:val="28"/>
          <w:szCs w:val="28"/>
        </w:rPr>
      </w:pPr>
      <w:r w:rsidRPr="00900ADE">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900ADE">
        <w:rPr>
          <w:b/>
          <w:bCs/>
          <w:sz w:val="28"/>
          <w:szCs w:val="28"/>
        </w:rPr>
        <w:tab/>
      </w:r>
      <w:r w:rsidR="00457876" w:rsidRPr="00900ADE">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900ADE">
        <w:rPr>
          <w:b/>
          <w:bCs/>
          <w:sz w:val="28"/>
          <w:szCs w:val="28"/>
        </w:rPr>
        <w:br w:type="page"/>
      </w:r>
    </w:p>
    <w:p w14:paraId="224357F6" w14:textId="26DBFA6B" w:rsidR="008E314D" w:rsidRPr="00900ADE" w:rsidRDefault="00D84CF0" w:rsidP="0055077E">
      <w:pPr>
        <w:pStyle w:val="TOCHeading"/>
      </w:pPr>
      <w:r w:rsidRPr="00900ADE">
        <w:lastRenderedPageBreak/>
        <w:t>Contents</w:t>
      </w:r>
    </w:p>
    <w:p w14:paraId="34747284" w14:textId="38BBAF0C" w:rsidR="00EF0F9F" w:rsidRDefault="002E7525">
      <w:pPr>
        <w:pStyle w:val="TOC1"/>
        <w:tabs>
          <w:tab w:val="right" w:leader="dot" w:pos="9350"/>
        </w:tabs>
        <w:rPr>
          <w:rFonts w:eastAsiaTheme="minorEastAsia"/>
          <w:noProof/>
          <w:kern w:val="2"/>
          <w:sz w:val="24"/>
          <w:szCs w:val="24"/>
          <w14:ligatures w14:val="standardContextual"/>
        </w:rPr>
      </w:pPr>
      <w:r w:rsidRPr="00900ADE">
        <w:rPr>
          <w:sz w:val="20"/>
          <w:szCs w:val="20"/>
        </w:rPr>
        <w:fldChar w:fldCharType="begin"/>
      </w:r>
      <w:r w:rsidRPr="00900ADE">
        <w:rPr>
          <w:sz w:val="20"/>
          <w:szCs w:val="20"/>
        </w:rPr>
        <w:instrText xml:space="preserve"> TOC \h \z \t "Heading 2,1" </w:instrText>
      </w:r>
      <w:r w:rsidRPr="00900ADE">
        <w:rPr>
          <w:sz w:val="20"/>
          <w:szCs w:val="20"/>
        </w:rPr>
        <w:fldChar w:fldCharType="separate"/>
      </w:r>
      <w:hyperlink w:anchor="_Toc202873106" w:history="1">
        <w:r w:rsidR="00EF0F9F" w:rsidRPr="00791FF7">
          <w:rPr>
            <w:rStyle w:val="Hyperlink"/>
            <w:noProof/>
          </w:rPr>
          <w:t>Executive Summary</w:t>
        </w:r>
        <w:r w:rsidR="00EF0F9F">
          <w:rPr>
            <w:noProof/>
            <w:webHidden/>
          </w:rPr>
          <w:tab/>
        </w:r>
        <w:r w:rsidR="00EF0F9F">
          <w:rPr>
            <w:noProof/>
            <w:webHidden/>
          </w:rPr>
          <w:fldChar w:fldCharType="begin"/>
        </w:r>
        <w:r w:rsidR="00EF0F9F">
          <w:rPr>
            <w:noProof/>
            <w:webHidden/>
          </w:rPr>
          <w:instrText xml:space="preserve"> PAGEREF _Toc202873106 \h </w:instrText>
        </w:r>
        <w:r w:rsidR="00EF0F9F">
          <w:rPr>
            <w:noProof/>
            <w:webHidden/>
          </w:rPr>
        </w:r>
        <w:r w:rsidR="00EF0F9F">
          <w:rPr>
            <w:noProof/>
            <w:webHidden/>
          </w:rPr>
          <w:fldChar w:fldCharType="separate"/>
        </w:r>
        <w:r w:rsidR="00EF0F9F">
          <w:rPr>
            <w:noProof/>
            <w:webHidden/>
          </w:rPr>
          <w:t>1</w:t>
        </w:r>
        <w:r w:rsidR="00EF0F9F">
          <w:rPr>
            <w:noProof/>
            <w:webHidden/>
          </w:rPr>
          <w:fldChar w:fldCharType="end"/>
        </w:r>
      </w:hyperlink>
    </w:p>
    <w:p w14:paraId="7259F90F" w14:textId="479496F8" w:rsidR="00EF0F9F" w:rsidRDefault="00EF0F9F">
      <w:pPr>
        <w:pStyle w:val="TOC1"/>
        <w:tabs>
          <w:tab w:val="right" w:leader="dot" w:pos="9350"/>
        </w:tabs>
        <w:rPr>
          <w:rFonts w:eastAsiaTheme="minorEastAsia"/>
          <w:noProof/>
          <w:kern w:val="2"/>
          <w:sz w:val="24"/>
          <w:szCs w:val="24"/>
          <w14:ligatures w14:val="standardContextual"/>
        </w:rPr>
      </w:pPr>
      <w:hyperlink w:anchor="_Toc202873107" w:history="1">
        <w:r w:rsidRPr="00791FF7">
          <w:rPr>
            <w:rStyle w:val="Hyperlink"/>
            <w:noProof/>
          </w:rPr>
          <w:t>Medway Public Schools: District Review Overview</w:t>
        </w:r>
        <w:r>
          <w:rPr>
            <w:noProof/>
            <w:webHidden/>
          </w:rPr>
          <w:tab/>
        </w:r>
        <w:r>
          <w:rPr>
            <w:noProof/>
            <w:webHidden/>
          </w:rPr>
          <w:fldChar w:fldCharType="begin"/>
        </w:r>
        <w:r>
          <w:rPr>
            <w:noProof/>
            <w:webHidden/>
          </w:rPr>
          <w:instrText xml:space="preserve"> PAGEREF _Toc202873107 \h </w:instrText>
        </w:r>
        <w:r>
          <w:rPr>
            <w:noProof/>
            <w:webHidden/>
          </w:rPr>
        </w:r>
        <w:r>
          <w:rPr>
            <w:noProof/>
            <w:webHidden/>
          </w:rPr>
          <w:fldChar w:fldCharType="separate"/>
        </w:r>
        <w:r>
          <w:rPr>
            <w:noProof/>
            <w:webHidden/>
          </w:rPr>
          <w:t>4</w:t>
        </w:r>
        <w:r>
          <w:rPr>
            <w:noProof/>
            <w:webHidden/>
          </w:rPr>
          <w:fldChar w:fldCharType="end"/>
        </w:r>
      </w:hyperlink>
    </w:p>
    <w:p w14:paraId="00B49CC1" w14:textId="37D9AF25" w:rsidR="00EF0F9F" w:rsidRDefault="00EF0F9F">
      <w:pPr>
        <w:pStyle w:val="TOC1"/>
        <w:tabs>
          <w:tab w:val="right" w:leader="dot" w:pos="9350"/>
        </w:tabs>
        <w:rPr>
          <w:rFonts w:eastAsiaTheme="minorEastAsia"/>
          <w:noProof/>
          <w:kern w:val="2"/>
          <w:sz w:val="24"/>
          <w:szCs w:val="24"/>
          <w14:ligatures w14:val="standardContextual"/>
        </w:rPr>
      </w:pPr>
      <w:hyperlink w:anchor="_Toc202873108" w:history="1">
        <w:r w:rsidRPr="00791FF7">
          <w:rPr>
            <w:rStyle w:val="Hyperlink"/>
            <w:noProof/>
          </w:rPr>
          <w:t>Leadership and Governance</w:t>
        </w:r>
        <w:r>
          <w:rPr>
            <w:noProof/>
            <w:webHidden/>
          </w:rPr>
          <w:tab/>
        </w:r>
        <w:r>
          <w:rPr>
            <w:noProof/>
            <w:webHidden/>
          </w:rPr>
          <w:fldChar w:fldCharType="begin"/>
        </w:r>
        <w:r>
          <w:rPr>
            <w:noProof/>
            <w:webHidden/>
          </w:rPr>
          <w:instrText xml:space="preserve"> PAGEREF _Toc202873108 \h </w:instrText>
        </w:r>
        <w:r>
          <w:rPr>
            <w:noProof/>
            <w:webHidden/>
          </w:rPr>
        </w:r>
        <w:r>
          <w:rPr>
            <w:noProof/>
            <w:webHidden/>
          </w:rPr>
          <w:fldChar w:fldCharType="separate"/>
        </w:r>
        <w:r>
          <w:rPr>
            <w:noProof/>
            <w:webHidden/>
          </w:rPr>
          <w:t>10</w:t>
        </w:r>
        <w:r>
          <w:rPr>
            <w:noProof/>
            <w:webHidden/>
          </w:rPr>
          <w:fldChar w:fldCharType="end"/>
        </w:r>
      </w:hyperlink>
    </w:p>
    <w:p w14:paraId="2BEE4599" w14:textId="4CCD94BC" w:rsidR="00EF0F9F" w:rsidRDefault="00EF0F9F">
      <w:pPr>
        <w:pStyle w:val="TOC1"/>
        <w:tabs>
          <w:tab w:val="right" w:leader="dot" w:pos="9350"/>
        </w:tabs>
        <w:rPr>
          <w:rFonts w:eastAsiaTheme="minorEastAsia"/>
          <w:noProof/>
          <w:kern w:val="2"/>
          <w:sz w:val="24"/>
          <w:szCs w:val="24"/>
          <w14:ligatures w14:val="standardContextual"/>
        </w:rPr>
      </w:pPr>
      <w:hyperlink w:anchor="_Toc202873109" w:history="1">
        <w:r w:rsidRPr="00791FF7">
          <w:rPr>
            <w:rStyle w:val="Hyperlink"/>
            <w:noProof/>
          </w:rPr>
          <w:t>Curriculum and Instruction</w:t>
        </w:r>
        <w:r>
          <w:rPr>
            <w:noProof/>
            <w:webHidden/>
          </w:rPr>
          <w:tab/>
        </w:r>
        <w:r>
          <w:rPr>
            <w:noProof/>
            <w:webHidden/>
          </w:rPr>
          <w:fldChar w:fldCharType="begin"/>
        </w:r>
        <w:r>
          <w:rPr>
            <w:noProof/>
            <w:webHidden/>
          </w:rPr>
          <w:instrText xml:space="preserve"> PAGEREF _Toc202873109 \h </w:instrText>
        </w:r>
        <w:r>
          <w:rPr>
            <w:noProof/>
            <w:webHidden/>
          </w:rPr>
        </w:r>
        <w:r>
          <w:rPr>
            <w:noProof/>
            <w:webHidden/>
          </w:rPr>
          <w:fldChar w:fldCharType="separate"/>
        </w:r>
        <w:r>
          <w:rPr>
            <w:noProof/>
            <w:webHidden/>
          </w:rPr>
          <w:t>16</w:t>
        </w:r>
        <w:r>
          <w:rPr>
            <w:noProof/>
            <w:webHidden/>
          </w:rPr>
          <w:fldChar w:fldCharType="end"/>
        </w:r>
      </w:hyperlink>
    </w:p>
    <w:p w14:paraId="6EF0BBDF" w14:textId="0E0C2397" w:rsidR="00EF0F9F" w:rsidRDefault="00EF0F9F">
      <w:pPr>
        <w:pStyle w:val="TOC1"/>
        <w:tabs>
          <w:tab w:val="right" w:leader="dot" w:pos="9350"/>
        </w:tabs>
        <w:rPr>
          <w:rFonts w:eastAsiaTheme="minorEastAsia"/>
          <w:noProof/>
          <w:kern w:val="2"/>
          <w:sz w:val="24"/>
          <w:szCs w:val="24"/>
          <w14:ligatures w14:val="standardContextual"/>
        </w:rPr>
      </w:pPr>
      <w:hyperlink w:anchor="_Toc202873110" w:history="1">
        <w:r w:rsidRPr="00791FF7">
          <w:rPr>
            <w:rStyle w:val="Hyperlink"/>
            <w:noProof/>
          </w:rPr>
          <w:t>Assessment</w:t>
        </w:r>
        <w:r>
          <w:rPr>
            <w:noProof/>
            <w:webHidden/>
          </w:rPr>
          <w:tab/>
        </w:r>
        <w:r>
          <w:rPr>
            <w:noProof/>
            <w:webHidden/>
          </w:rPr>
          <w:fldChar w:fldCharType="begin"/>
        </w:r>
        <w:r>
          <w:rPr>
            <w:noProof/>
            <w:webHidden/>
          </w:rPr>
          <w:instrText xml:space="preserve"> PAGEREF _Toc202873110 \h </w:instrText>
        </w:r>
        <w:r>
          <w:rPr>
            <w:noProof/>
            <w:webHidden/>
          </w:rPr>
        </w:r>
        <w:r>
          <w:rPr>
            <w:noProof/>
            <w:webHidden/>
          </w:rPr>
          <w:fldChar w:fldCharType="separate"/>
        </w:r>
        <w:r>
          <w:rPr>
            <w:noProof/>
            <w:webHidden/>
          </w:rPr>
          <w:t>25</w:t>
        </w:r>
        <w:r>
          <w:rPr>
            <w:noProof/>
            <w:webHidden/>
          </w:rPr>
          <w:fldChar w:fldCharType="end"/>
        </w:r>
      </w:hyperlink>
    </w:p>
    <w:p w14:paraId="246455AF" w14:textId="515ADB51" w:rsidR="00EF0F9F" w:rsidRDefault="00EF0F9F">
      <w:pPr>
        <w:pStyle w:val="TOC1"/>
        <w:tabs>
          <w:tab w:val="right" w:leader="dot" w:pos="9350"/>
        </w:tabs>
        <w:rPr>
          <w:rFonts w:eastAsiaTheme="minorEastAsia"/>
          <w:noProof/>
          <w:kern w:val="2"/>
          <w:sz w:val="24"/>
          <w:szCs w:val="24"/>
          <w14:ligatures w14:val="standardContextual"/>
        </w:rPr>
      </w:pPr>
      <w:hyperlink w:anchor="_Toc202873111" w:history="1">
        <w:r w:rsidRPr="00791FF7">
          <w:rPr>
            <w:rStyle w:val="Hyperlink"/>
            <w:noProof/>
          </w:rPr>
          <w:t>Human Resources and Professional Development</w:t>
        </w:r>
        <w:r>
          <w:rPr>
            <w:noProof/>
            <w:webHidden/>
          </w:rPr>
          <w:tab/>
        </w:r>
        <w:r>
          <w:rPr>
            <w:noProof/>
            <w:webHidden/>
          </w:rPr>
          <w:fldChar w:fldCharType="begin"/>
        </w:r>
        <w:r>
          <w:rPr>
            <w:noProof/>
            <w:webHidden/>
          </w:rPr>
          <w:instrText xml:space="preserve"> PAGEREF _Toc202873111 \h </w:instrText>
        </w:r>
        <w:r>
          <w:rPr>
            <w:noProof/>
            <w:webHidden/>
          </w:rPr>
        </w:r>
        <w:r>
          <w:rPr>
            <w:noProof/>
            <w:webHidden/>
          </w:rPr>
          <w:fldChar w:fldCharType="separate"/>
        </w:r>
        <w:r>
          <w:rPr>
            <w:noProof/>
            <w:webHidden/>
          </w:rPr>
          <w:t>30</w:t>
        </w:r>
        <w:r>
          <w:rPr>
            <w:noProof/>
            <w:webHidden/>
          </w:rPr>
          <w:fldChar w:fldCharType="end"/>
        </w:r>
      </w:hyperlink>
    </w:p>
    <w:p w14:paraId="3837D997" w14:textId="00D51FDC" w:rsidR="00EF0F9F" w:rsidRDefault="00EF0F9F">
      <w:pPr>
        <w:pStyle w:val="TOC1"/>
        <w:tabs>
          <w:tab w:val="right" w:leader="dot" w:pos="9350"/>
        </w:tabs>
        <w:rPr>
          <w:rFonts w:eastAsiaTheme="minorEastAsia"/>
          <w:noProof/>
          <w:kern w:val="2"/>
          <w:sz w:val="24"/>
          <w:szCs w:val="24"/>
          <w14:ligatures w14:val="standardContextual"/>
        </w:rPr>
      </w:pPr>
      <w:hyperlink w:anchor="_Toc202873112" w:history="1">
        <w:r w:rsidRPr="00791FF7">
          <w:rPr>
            <w:rStyle w:val="Hyperlink"/>
            <w:noProof/>
          </w:rPr>
          <w:t>Student Support</w:t>
        </w:r>
        <w:r>
          <w:rPr>
            <w:noProof/>
            <w:webHidden/>
          </w:rPr>
          <w:tab/>
        </w:r>
        <w:r>
          <w:rPr>
            <w:noProof/>
            <w:webHidden/>
          </w:rPr>
          <w:fldChar w:fldCharType="begin"/>
        </w:r>
        <w:r>
          <w:rPr>
            <w:noProof/>
            <w:webHidden/>
          </w:rPr>
          <w:instrText xml:space="preserve"> PAGEREF _Toc202873112 \h </w:instrText>
        </w:r>
        <w:r>
          <w:rPr>
            <w:noProof/>
            <w:webHidden/>
          </w:rPr>
        </w:r>
        <w:r>
          <w:rPr>
            <w:noProof/>
            <w:webHidden/>
          </w:rPr>
          <w:fldChar w:fldCharType="separate"/>
        </w:r>
        <w:r>
          <w:rPr>
            <w:noProof/>
            <w:webHidden/>
          </w:rPr>
          <w:t>39</w:t>
        </w:r>
        <w:r>
          <w:rPr>
            <w:noProof/>
            <w:webHidden/>
          </w:rPr>
          <w:fldChar w:fldCharType="end"/>
        </w:r>
      </w:hyperlink>
    </w:p>
    <w:p w14:paraId="51A3467A" w14:textId="5F28B4F0" w:rsidR="00EF0F9F" w:rsidRDefault="00EF0F9F">
      <w:pPr>
        <w:pStyle w:val="TOC1"/>
        <w:tabs>
          <w:tab w:val="right" w:leader="dot" w:pos="9350"/>
        </w:tabs>
        <w:rPr>
          <w:rFonts w:eastAsiaTheme="minorEastAsia"/>
          <w:noProof/>
          <w:kern w:val="2"/>
          <w:sz w:val="24"/>
          <w:szCs w:val="24"/>
          <w14:ligatures w14:val="standardContextual"/>
        </w:rPr>
      </w:pPr>
      <w:hyperlink w:anchor="_Toc202873113" w:history="1">
        <w:r w:rsidRPr="00791FF7">
          <w:rPr>
            <w:rStyle w:val="Hyperlink"/>
            <w:noProof/>
          </w:rPr>
          <w:t>Financial and Asset Management</w:t>
        </w:r>
        <w:r>
          <w:rPr>
            <w:noProof/>
            <w:webHidden/>
          </w:rPr>
          <w:tab/>
        </w:r>
        <w:r>
          <w:rPr>
            <w:noProof/>
            <w:webHidden/>
          </w:rPr>
          <w:fldChar w:fldCharType="begin"/>
        </w:r>
        <w:r>
          <w:rPr>
            <w:noProof/>
            <w:webHidden/>
          </w:rPr>
          <w:instrText xml:space="preserve"> PAGEREF _Toc202873113 \h </w:instrText>
        </w:r>
        <w:r>
          <w:rPr>
            <w:noProof/>
            <w:webHidden/>
          </w:rPr>
        </w:r>
        <w:r>
          <w:rPr>
            <w:noProof/>
            <w:webHidden/>
          </w:rPr>
          <w:fldChar w:fldCharType="separate"/>
        </w:r>
        <w:r>
          <w:rPr>
            <w:noProof/>
            <w:webHidden/>
          </w:rPr>
          <w:t>45</w:t>
        </w:r>
        <w:r>
          <w:rPr>
            <w:noProof/>
            <w:webHidden/>
          </w:rPr>
          <w:fldChar w:fldCharType="end"/>
        </w:r>
      </w:hyperlink>
    </w:p>
    <w:p w14:paraId="7FD3A13D" w14:textId="6A2A1837" w:rsidR="00EF0F9F" w:rsidRDefault="00EF0F9F">
      <w:pPr>
        <w:pStyle w:val="TOC1"/>
        <w:tabs>
          <w:tab w:val="right" w:leader="dot" w:pos="9350"/>
        </w:tabs>
        <w:rPr>
          <w:rFonts w:eastAsiaTheme="minorEastAsia"/>
          <w:noProof/>
          <w:kern w:val="2"/>
          <w:sz w:val="24"/>
          <w:szCs w:val="24"/>
          <w14:ligatures w14:val="standardContextual"/>
        </w:rPr>
      </w:pPr>
      <w:hyperlink w:anchor="_Toc202873114" w:history="1">
        <w:r w:rsidRPr="00791FF7">
          <w:rPr>
            <w:rStyle w:val="Hyperlink"/>
            <w:noProof/>
          </w:rPr>
          <w:t>Appendix A. Summary of Site Visit Activities</w:t>
        </w:r>
        <w:r>
          <w:rPr>
            <w:noProof/>
            <w:webHidden/>
          </w:rPr>
          <w:tab/>
        </w:r>
        <w:r w:rsidR="00A84F53">
          <w:rPr>
            <w:noProof/>
            <w:webHidden/>
          </w:rPr>
          <w:t>A-</w:t>
        </w:r>
        <w:r>
          <w:rPr>
            <w:noProof/>
            <w:webHidden/>
          </w:rPr>
          <w:fldChar w:fldCharType="begin"/>
        </w:r>
        <w:r>
          <w:rPr>
            <w:noProof/>
            <w:webHidden/>
          </w:rPr>
          <w:instrText xml:space="preserve"> PAGEREF _Toc202873114 \h </w:instrText>
        </w:r>
        <w:r>
          <w:rPr>
            <w:noProof/>
            <w:webHidden/>
          </w:rPr>
        </w:r>
        <w:r>
          <w:rPr>
            <w:noProof/>
            <w:webHidden/>
          </w:rPr>
          <w:fldChar w:fldCharType="separate"/>
        </w:r>
        <w:r>
          <w:rPr>
            <w:noProof/>
            <w:webHidden/>
          </w:rPr>
          <w:t>1</w:t>
        </w:r>
        <w:r>
          <w:rPr>
            <w:noProof/>
            <w:webHidden/>
          </w:rPr>
          <w:fldChar w:fldCharType="end"/>
        </w:r>
      </w:hyperlink>
    </w:p>
    <w:p w14:paraId="74DDA914" w14:textId="6BB9694D" w:rsidR="00EF0F9F" w:rsidRDefault="00EF0F9F">
      <w:pPr>
        <w:pStyle w:val="TOC1"/>
        <w:tabs>
          <w:tab w:val="right" w:leader="dot" w:pos="9350"/>
        </w:tabs>
        <w:rPr>
          <w:rFonts w:eastAsiaTheme="minorEastAsia"/>
          <w:noProof/>
          <w:kern w:val="2"/>
          <w:sz w:val="24"/>
          <w:szCs w:val="24"/>
          <w14:ligatures w14:val="standardContextual"/>
        </w:rPr>
      </w:pPr>
      <w:hyperlink w:anchor="_Toc202873115" w:history="1">
        <w:r w:rsidRPr="00791FF7">
          <w:rPr>
            <w:rStyle w:val="Hyperlink"/>
            <w:noProof/>
          </w:rPr>
          <w:t>Appendix B. Districtwide Instructional Observation Report</w:t>
        </w:r>
        <w:r>
          <w:rPr>
            <w:noProof/>
            <w:webHidden/>
          </w:rPr>
          <w:tab/>
        </w:r>
        <w:r w:rsidR="00A84F53">
          <w:rPr>
            <w:noProof/>
            <w:webHidden/>
          </w:rPr>
          <w:t>B-</w:t>
        </w:r>
        <w:r>
          <w:rPr>
            <w:noProof/>
            <w:webHidden/>
          </w:rPr>
          <w:fldChar w:fldCharType="begin"/>
        </w:r>
        <w:r>
          <w:rPr>
            <w:noProof/>
            <w:webHidden/>
          </w:rPr>
          <w:instrText xml:space="preserve"> PAGEREF _Toc202873115 \h </w:instrText>
        </w:r>
        <w:r>
          <w:rPr>
            <w:noProof/>
            <w:webHidden/>
          </w:rPr>
        </w:r>
        <w:r>
          <w:rPr>
            <w:noProof/>
            <w:webHidden/>
          </w:rPr>
          <w:fldChar w:fldCharType="separate"/>
        </w:r>
        <w:r>
          <w:rPr>
            <w:noProof/>
            <w:webHidden/>
          </w:rPr>
          <w:t>1</w:t>
        </w:r>
        <w:r>
          <w:rPr>
            <w:noProof/>
            <w:webHidden/>
          </w:rPr>
          <w:fldChar w:fldCharType="end"/>
        </w:r>
      </w:hyperlink>
    </w:p>
    <w:p w14:paraId="76AC5149" w14:textId="63A3B956" w:rsidR="00EF0F9F" w:rsidRDefault="00EF0F9F">
      <w:pPr>
        <w:pStyle w:val="TOC1"/>
        <w:tabs>
          <w:tab w:val="right" w:leader="dot" w:pos="9350"/>
        </w:tabs>
        <w:rPr>
          <w:rFonts w:eastAsiaTheme="minorEastAsia"/>
          <w:noProof/>
          <w:kern w:val="2"/>
          <w:sz w:val="24"/>
          <w:szCs w:val="24"/>
          <w14:ligatures w14:val="standardContextual"/>
        </w:rPr>
      </w:pPr>
      <w:hyperlink w:anchor="_Toc202873116" w:history="1">
        <w:r w:rsidRPr="00791FF7">
          <w:rPr>
            <w:rStyle w:val="Hyperlink"/>
            <w:noProof/>
          </w:rPr>
          <w:t>Appendix C. Resources to Support Implementation of DESE’s District Standards and Indicators</w:t>
        </w:r>
        <w:r>
          <w:rPr>
            <w:noProof/>
            <w:webHidden/>
          </w:rPr>
          <w:tab/>
        </w:r>
        <w:r w:rsidR="00A84F53">
          <w:rPr>
            <w:noProof/>
            <w:webHidden/>
          </w:rPr>
          <w:t>C-</w:t>
        </w:r>
        <w:r>
          <w:rPr>
            <w:noProof/>
            <w:webHidden/>
          </w:rPr>
          <w:fldChar w:fldCharType="begin"/>
        </w:r>
        <w:r>
          <w:rPr>
            <w:noProof/>
            <w:webHidden/>
          </w:rPr>
          <w:instrText xml:space="preserve"> PAGEREF _Toc202873116 \h </w:instrText>
        </w:r>
        <w:r>
          <w:rPr>
            <w:noProof/>
            <w:webHidden/>
          </w:rPr>
        </w:r>
        <w:r>
          <w:rPr>
            <w:noProof/>
            <w:webHidden/>
          </w:rPr>
          <w:fldChar w:fldCharType="separate"/>
        </w:r>
        <w:r>
          <w:rPr>
            <w:noProof/>
            <w:webHidden/>
          </w:rPr>
          <w:t>1</w:t>
        </w:r>
        <w:r>
          <w:rPr>
            <w:noProof/>
            <w:webHidden/>
          </w:rPr>
          <w:fldChar w:fldCharType="end"/>
        </w:r>
      </w:hyperlink>
    </w:p>
    <w:p w14:paraId="4BB74273" w14:textId="6B50567E" w:rsidR="00EF0F9F" w:rsidRDefault="00EF0F9F">
      <w:pPr>
        <w:pStyle w:val="TOC1"/>
        <w:tabs>
          <w:tab w:val="right" w:leader="dot" w:pos="9350"/>
        </w:tabs>
        <w:rPr>
          <w:rFonts w:eastAsiaTheme="minorEastAsia"/>
          <w:noProof/>
          <w:kern w:val="2"/>
          <w:sz w:val="24"/>
          <w:szCs w:val="24"/>
          <w14:ligatures w14:val="standardContextual"/>
        </w:rPr>
      </w:pPr>
      <w:hyperlink w:anchor="_Toc202873117" w:history="1">
        <w:r w:rsidRPr="00791FF7">
          <w:rPr>
            <w:rStyle w:val="Hyperlink"/>
            <w:noProof/>
          </w:rPr>
          <w:t>Appendix D. Enrollment, Attendance, Expenditures</w:t>
        </w:r>
        <w:r>
          <w:rPr>
            <w:noProof/>
            <w:webHidden/>
          </w:rPr>
          <w:tab/>
        </w:r>
        <w:r w:rsidR="00A84F53">
          <w:rPr>
            <w:noProof/>
            <w:webHidden/>
          </w:rPr>
          <w:t>D-</w:t>
        </w:r>
        <w:r>
          <w:rPr>
            <w:noProof/>
            <w:webHidden/>
          </w:rPr>
          <w:fldChar w:fldCharType="begin"/>
        </w:r>
        <w:r>
          <w:rPr>
            <w:noProof/>
            <w:webHidden/>
          </w:rPr>
          <w:instrText xml:space="preserve"> PAGEREF _Toc202873117 \h </w:instrText>
        </w:r>
        <w:r>
          <w:rPr>
            <w:noProof/>
            <w:webHidden/>
          </w:rPr>
        </w:r>
        <w:r>
          <w:rPr>
            <w:noProof/>
            <w:webHidden/>
          </w:rPr>
          <w:fldChar w:fldCharType="separate"/>
        </w:r>
        <w:r>
          <w:rPr>
            <w:noProof/>
            <w:webHidden/>
          </w:rPr>
          <w:t>1</w:t>
        </w:r>
        <w:r>
          <w:rPr>
            <w:noProof/>
            <w:webHidden/>
          </w:rPr>
          <w:fldChar w:fldCharType="end"/>
        </w:r>
      </w:hyperlink>
    </w:p>
    <w:p w14:paraId="507D0307" w14:textId="697A1120" w:rsidR="00EF0F9F" w:rsidRDefault="00EF0F9F">
      <w:pPr>
        <w:pStyle w:val="TOC1"/>
        <w:tabs>
          <w:tab w:val="right" w:leader="dot" w:pos="9350"/>
        </w:tabs>
        <w:rPr>
          <w:rFonts w:eastAsiaTheme="minorEastAsia"/>
          <w:noProof/>
          <w:kern w:val="2"/>
          <w:sz w:val="24"/>
          <w:szCs w:val="24"/>
          <w14:ligatures w14:val="standardContextual"/>
        </w:rPr>
      </w:pPr>
      <w:hyperlink w:anchor="_Toc202873118" w:history="1">
        <w:r w:rsidRPr="00791FF7">
          <w:rPr>
            <w:rStyle w:val="Hyperlink"/>
            <w:noProof/>
          </w:rPr>
          <w:t>Appendix E. Student Performance Data</w:t>
        </w:r>
        <w:r>
          <w:rPr>
            <w:noProof/>
            <w:webHidden/>
          </w:rPr>
          <w:tab/>
        </w:r>
        <w:r w:rsidR="00A84F53">
          <w:rPr>
            <w:noProof/>
            <w:webHidden/>
          </w:rPr>
          <w:t>E-</w:t>
        </w:r>
        <w:r>
          <w:rPr>
            <w:noProof/>
            <w:webHidden/>
          </w:rPr>
          <w:fldChar w:fldCharType="begin"/>
        </w:r>
        <w:r>
          <w:rPr>
            <w:noProof/>
            <w:webHidden/>
          </w:rPr>
          <w:instrText xml:space="preserve"> PAGEREF _Toc202873118 \h </w:instrText>
        </w:r>
        <w:r>
          <w:rPr>
            <w:noProof/>
            <w:webHidden/>
          </w:rPr>
        </w:r>
        <w:r>
          <w:rPr>
            <w:noProof/>
            <w:webHidden/>
          </w:rPr>
          <w:fldChar w:fldCharType="separate"/>
        </w:r>
        <w:r>
          <w:rPr>
            <w:noProof/>
            <w:webHidden/>
          </w:rPr>
          <w:t>1</w:t>
        </w:r>
        <w:r>
          <w:rPr>
            <w:noProof/>
            <w:webHidden/>
          </w:rPr>
          <w:fldChar w:fldCharType="end"/>
        </w:r>
      </w:hyperlink>
    </w:p>
    <w:p w14:paraId="6BA6D8CC" w14:textId="66EA07CC" w:rsidR="002E7525" w:rsidRPr="00900ADE"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900ADE">
        <w:rPr>
          <w:sz w:val="20"/>
          <w:szCs w:val="20"/>
        </w:rPr>
        <w:fldChar w:fldCharType="end"/>
      </w:r>
    </w:p>
    <w:p w14:paraId="4CD42A87" w14:textId="77777777" w:rsidR="002E7525" w:rsidRPr="00900ADE"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900ADE"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900ADE">
        <w:rPr>
          <w:sz w:val="20"/>
          <w:szCs w:val="20"/>
        </w:rPr>
        <w:br w:type="page"/>
      </w:r>
    </w:p>
    <w:p w14:paraId="58733E23" w14:textId="0988C18C" w:rsidR="008E314D" w:rsidRPr="00900ADE" w:rsidRDefault="002A28B1" w:rsidP="0066116F">
      <w:pPr>
        <w:tabs>
          <w:tab w:val="right" w:pos="9360"/>
        </w:tabs>
      </w:pPr>
      <w:r w:rsidRPr="00900ADE">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900ADE">
        <w:t xml:space="preserve"> </w:t>
      </w:r>
      <w:r w:rsidR="0066116F" w:rsidRPr="00900ADE">
        <w:tab/>
      </w:r>
      <w:r w:rsidR="00457876" w:rsidRPr="00900ADE">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900ADE"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900ADE" w:rsidRDefault="008E314D" w:rsidP="0066116F">
      <w:pPr>
        <w:pStyle w:val="BodyText"/>
        <w:jc w:val="center"/>
      </w:pPr>
      <w:r w:rsidRPr="00900ADE">
        <w:t xml:space="preserve">This document was prepared by the </w:t>
      </w:r>
      <w:r w:rsidR="00740294" w:rsidRPr="00900ADE">
        <w:t xml:space="preserve">American Institutes for Research, </w:t>
      </w:r>
      <w:r w:rsidR="001B4127" w:rsidRPr="00900ADE">
        <w:t xml:space="preserve">in </w:t>
      </w:r>
      <w:r w:rsidR="00181912" w:rsidRPr="00900ADE">
        <w:t xml:space="preserve">collaboration </w:t>
      </w:r>
      <w:r w:rsidR="001B4127" w:rsidRPr="00900ADE">
        <w:t>with the</w:t>
      </w:r>
      <w:r w:rsidRPr="00900ADE">
        <w:br/>
        <w:t>Massachusetts Department of Elementary and Secondary Education</w:t>
      </w:r>
    </w:p>
    <w:p w14:paraId="07584CCA" w14:textId="77777777" w:rsidR="009A469D" w:rsidRPr="00900ADE"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6902AD57" w:rsidR="008E314D" w:rsidRPr="00900ADE" w:rsidRDefault="00440E98" w:rsidP="008E314D">
      <w:pPr>
        <w:tabs>
          <w:tab w:val="left" w:pos="360"/>
          <w:tab w:val="left" w:pos="720"/>
          <w:tab w:val="left" w:pos="1080"/>
          <w:tab w:val="left" w:pos="1440"/>
          <w:tab w:val="left" w:pos="1800"/>
          <w:tab w:val="left" w:pos="2160"/>
          <w:tab w:val="left" w:pos="2520"/>
          <w:tab w:val="left" w:pos="2880"/>
        </w:tabs>
        <w:spacing w:line="240" w:lineRule="auto"/>
        <w:jc w:val="center"/>
      </w:pPr>
      <w:r>
        <w:t>Pedro Martinez</w:t>
      </w:r>
    </w:p>
    <w:p w14:paraId="5F95BE93" w14:textId="26C0C1D7" w:rsidR="008E314D" w:rsidRPr="00900ADE" w:rsidRDefault="008E314D"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900ADE">
        <w:t>Commissioner</w:t>
      </w:r>
    </w:p>
    <w:p w14:paraId="26B707AB" w14:textId="6AD21A7F" w:rsidR="001E776B" w:rsidRPr="00B86E27"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B86E27">
        <w:rPr>
          <w:rStyle w:val="bold"/>
        </w:rPr>
        <w:t xml:space="preserve">Published </w:t>
      </w:r>
      <w:r w:rsidR="00440E98">
        <w:rPr>
          <w:rStyle w:val="bold"/>
        </w:rPr>
        <w:t xml:space="preserve">July </w:t>
      </w:r>
      <w:r w:rsidR="000538C4" w:rsidRPr="00B86E27">
        <w:rPr>
          <w:rStyle w:val="bold"/>
        </w:rPr>
        <w:t>20</w:t>
      </w:r>
      <w:r w:rsidR="00B86E27" w:rsidRPr="00B86E27">
        <w:rPr>
          <w:rStyle w:val="bold"/>
        </w:rPr>
        <w:t>25</w:t>
      </w:r>
    </w:p>
    <w:p w14:paraId="25585579" w14:textId="77777777" w:rsidR="0066787A" w:rsidRPr="00900ADE"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900ADE" w:rsidRDefault="008E314D" w:rsidP="0066116F">
      <w:pPr>
        <w:pStyle w:val="BodyText"/>
        <w:jc w:val="center"/>
      </w:pPr>
      <w:r w:rsidRPr="00900ADE">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004C1845" w:rsidRPr="00900ADE">
        <w:rPr>
          <w:snapToGrid w:val="0"/>
        </w:rPr>
        <w:t>135 Santilli Highway</w:t>
      </w:r>
      <w:r w:rsidRPr="00900ADE">
        <w:t xml:space="preserve">, </w:t>
      </w:r>
      <w:r w:rsidR="004C1845" w:rsidRPr="00900ADE">
        <w:t>Everett</w:t>
      </w:r>
      <w:r w:rsidRPr="00900ADE">
        <w:t>, MA 0214</w:t>
      </w:r>
      <w:r w:rsidR="004C1845" w:rsidRPr="00900ADE">
        <w:t>9</w:t>
      </w:r>
      <w:r w:rsidRPr="00900ADE">
        <w:t>. Phone: 781-338-6105.</w:t>
      </w:r>
    </w:p>
    <w:p w14:paraId="4361469B" w14:textId="2DA6EAF9" w:rsidR="001166A5" w:rsidRPr="00900ADE" w:rsidRDefault="001166A5" w:rsidP="0066116F">
      <w:pPr>
        <w:pStyle w:val="BodyTextposthead"/>
        <w:jc w:val="center"/>
      </w:pPr>
      <w:r w:rsidRPr="00900ADE">
        <w:t>© 202</w:t>
      </w:r>
      <w:r w:rsidR="004C1845" w:rsidRPr="00900ADE">
        <w:t>4</w:t>
      </w:r>
      <w:r w:rsidRPr="00900ADE">
        <w:t xml:space="preserve"> Massachusetts Department of Elementary and Secondary Education</w:t>
      </w:r>
    </w:p>
    <w:p w14:paraId="05DE9136" w14:textId="623DDC6B" w:rsidR="001166A5" w:rsidRPr="00900ADE" w:rsidRDefault="001166A5" w:rsidP="0066116F">
      <w:pPr>
        <w:pStyle w:val="BodyTextposthead"/>
        <w:jc w:val="center"/>
        <w:rPr>
          <w:i/>
          <w:iCs/>
          <w:spacing w:val="-4"/>
        </w:rPr>
      </w:pPr>
      <w:r w:rsidRPr="00900ADE">
        <w:rPr>
          <w:i/>
          <w:iCs/>
          <w:spacing w:val="-4"/>
        </w:rPr>
        <w:t>Permission is hereby granted to copy any or all parts of this document for non-commercial educational purposes. Please credit the “Massachusetts Department of Elementary and Secondary Education.”</w:t>
      </w:r>
    </w:p>
    <w:p w14:paraId="4675837B" w14:textId="150DEE5D" w:rsidR="001166A5" w:rsidRPr="00900ADE" w:rsidRDefault="001166A5" w:rsidP="0066116F">
      <w:pPr>
        <w:pStyle w:val="BodyTextposthead"/>
        <w:jc w:val="center"/>
      </w:pPr>
    </w:p>
    <w:p w14:paraId="33BF0CF8" w14:textId="77777777" w:rsidR="001166A5" w:rsidRPr="00900ADE"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900ADE"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900ADE"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900ADE"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900ADE"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900ADE"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900ADE"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900ADE"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900ADE"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900ADE">
        <w:t>Massachusetts Department of Elementary and Secondary Education</w:t>
      </w:r>
    </w:p>
    <w:p w14:paraId="4D1D0F8C" w14:textId="5F6681F7" w:rsidR="008E314D" w:rsidRPr="00900ADE"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900ADE">
        <w:rPr>
          <w:snapToGrid w:val="0"/>
        </w:rPr>
        <w:t>135 Santilli Highway</w:t>
      </w:r>
      <w:r w:rsidR="008E314D" w:rsidRPr="00900ADE">
        <w:t xml:space="preserve">, </w:t>
      </w:r>
      <w:r w:rsidRPr="00900ADE">
        <w:t xml:space="preserve">Everett </w:t>
      </w:r>
      <w:r w:rsidR="008E314D" w:rsidRPr="00900ADE">
        <w:t>MA 0214</w:t>
      </w:r>
      <w:r w:rsidRPr="00900ADE">
        <w:t>9</w:t>
      </w:r>
    </w:p>
    <w:p w14:paraId="6EEA3F3B" w14:textId="0B264AC8" w:rsidR="008E314D" w:rsidRPr="00900ADE"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900ADE">
        <w:t>Phone</w:t>
      </w:r>
      <w:r w:rsidR="00D84CF0" w:rsidRPr="00900ADE">
        <w:t>:</w:t>
      </w:r>
      <w:r w:rsidRPr="00900ADE">
        <w:t xml:space="preserve"> 781-338-3000</w:t>
      </w:r>
      <w:r w:rsidRPr="00900ADE">
        <w:tab/>
        <w:t>TTY: N.E.T. Relay 800-439-2370</w:t>
      </w:r>
    </w:p>
    <w:p w14:paraId="2B889E51" w14:textId="77777777" w:rsidR="008E314D" w:rsidRPr="00900ADE"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Pr="00900ADE">
          <w:rPr>
            <w:rStyle w:val="Hyperlink"/>
          </w:rPr>
          <w:t>ww</w:t>
        </w:r>
        <w:r w:rsidRPr="00900ADE">
          <w:rPr>
            <w:rStyle w:val="Hyperlink"/>
            <w:color w:val="0563C1"/>
          </w:rPr>
          <w:t>w.doe.m</w:t>
        </w:r>
        <w:r w:rsidRPr="00900ADE">
          <w:rPr>
            <w:rStyle w:val="Hyperlink"/>
          </w:rPr>
          <w:t>ass.edu</w:t>
        </w:r>
      </w:hyperlink>
    </w:p>
    <w:p w14:paraId="332E41D9" w14:textId="77777777" w:rsidR="008E314D" w:rsidRPr="00900ADE"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900ADE"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900ADE"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900ADE"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1628525C" w:rsidR="008D6102" w:rsidRPr="00900ADE" w:rsidRDefault="008D6102" w:rsidP="008D6102">
      <w:pPr>
        <w:pStyle w:val="Heading2"/>
      </w:pPr>
      <w:bookmarkStart w:id="1" w:name="_Toc101446225"/>
      <w:bookmarkStart w:id="2" w:name="_Toc202873106"/>
      <w:bookmarkStart w:id="3" w:name="_Toc350870260"/>
      <w:bookmarkStart w:id="4" w:name="_Toc273777167"/>
      <w:bookmarkStart w:id="5" w:name="_Toc277066425"/>
      <w:bookmarkStart w:id="6" w:name="_Toc337817149"/>
      <w:bookmarkStart w:id="7" w:name="_Toc101878649"/>
      <w:r w:rsidRPr="00900ADE">
        <w:lastRenderedPageBreak/>
        <w:t>Executive Summary</w:t>
      </w:r>
      <w:bookmarkEnd w:id="1"/>
      <w:bookmarkEnd w:id="2"/>
    </w:p>
    <w:p w14:paraId="0C1D0C0A" w14:textId="04C051C2" w:rsidR="007B718B" w:rsidRPr="00900ADE" w:rsidRDefault="000B1DD2" w:rsidP="00E27946">
      <w:pPr>
        <w:pStyle w:val="BodyText"/>
      </w:pPr>
      <w:bookmarkStart w:id="8" w:name="_Hlk40937737"/>
      <w:bookmarkStart w:id="9" w:name="_Toc104552856"/>
      <w:bookmarkEnd w:id="3"/>
      <w:r w:rsidRPr="00900ADE">
        <w:t xml:space="preserve">In accordance with Massachusetts state law, the Massachusetts Department of Elementary and Secondary Education (DESE) contracted with </w:t>
      </w:r>
      <w:r w:rsidR="0054101D" w:rsidRPr="00900ADE">
        <w:t xml:space="preserve">the </w:t>
      </w:r>
      <w:r w:rsidRPr="00900ADE">
        <w:t>American Institutes for Research</w:t>
      </w:r>
      <w:r w:rsidR="0054101D" w:rsidRPr="00900ADE">
        <w:rPr>
          <w:rFonts w:ascii="Franklin Gothic Book" w:hAnsi="Franklin Gothic Book" w:cs="Calibri"/>
          <w:vertAlign w:val="superscript"/>
        </w:rPr>
        <w:t>®</w:t>
      </w:r>
      <w:r w:rsidRPr="00900ADE">
        <w:t xml:space="preserve"> (AIR</w:t>
      </w:r>
      <w:r w:rsidR="0054101D" w:rsidRPr="00900ADE">
        <w:rPr>
          <w:rFonts w:ascii="Franklin Gothic Book" w:hAnsi="Franklin Gothic Book" w:cs="Calibri"/>
          <w:vertAlign w:val="superscript"/>
        </w:rPr>
        <w:t>®</w:t>
      </w:r>
      <w:r w:rsidRPr="00900ADE">
        <w:t xml:space="preserve">) to conduct a comprehensive review of </w:t>
      </w:r>
      <w:r w:rsidR="00B72D8C" w:rsidRPr="00900ADE">
        <w:t>Medway Public Schools</w:t>
      </w:r>
      <w:r w:rsidRPr="00900ADE">
        <w:t xml:space="preserve"> (</w:t>
      </w:r>
      <w:r w:rsidR="0054101D" w:rsidRPr="00900ADE">
        <w:t xml:space="preserve">hereafter, </w:t>
      </w:r>
      <w:r w:rsidR="00B72D8C" w:rsidRPr="00900ADE">
        <w:t>Medway</w:t>
      </w:r>
      <w:r w:rsidRPr="00900ADE">
        <w:t xml:space="preserve">) in </w:t>
      </w:r>
      <w:r w:rsidR="00B72D8C" w:rsidRPr="00900ADE">
        <w:t xml:space="preserve">January </w:t>
      </w:r>
      <w:r w:rsidRPr="00900ADE">
        <w:t>20</w:t>
      </w:r>
      <w:r w:rsidR="001C6D9E" w:rsidRPr="00900ADE">
        <w:t>25</w:t>
      </w:r>
      <w:r w:rsidRPr="00900ADE">
        <w:t xml:space="preserve">. Data collection activities associated with the review </w:t>
      </w:r>
      <w:r w:rsidR="02F46E2F" w:rsidRPr="00900ADE">
        <w:rPr>
          <w:rFonts w:ascii="Franklin Gothic Book" w:eastAsia="Franklin Gothic Book" w:hAnsi="Franklin Gothic Book" w:cs="Franklin Gothic Book"/>
        </w:rPr>
        <w:t>included interviews, focus groups, and document reviews and were</w:t>
      </w:r>
      <w:r w:rsidR="02F46E2F" w:rsidRPr="00900ADE">
        <w:t xml:space="preserve"> </w:t>
      </w:r>
      <w:r w:rsidRPr="00900ADE">
        <w:t>focused on understanding how district systems, structures, and practices operate in support of continuous improvement efforts. The review focused on the six standards (and related indicators) that DESE has identified as being important components of district effectiveness.</w:t>
      </w:r>
      <w:r w:rsidR="007312ED" w:rsidRPr="00900ADE">
        <w:rPr>
          <w:rStyle w:val="FootnoteReference"/>
        </w:rPr>
        <w:footnoteReference w:id="2"/>
      </w:r>
      <w:r w:rsidR="007B718B" w:rsidRPr="00900ADE">
        <w:t xml:space="preserve"> The resulting report provide</w:t>
      </w:r>
      <w:r w:rsidR="002F7904" w:rsidRPr="00900ADE">
        <w:t>s</w:t>
      </w:r>
      <w:r w:rsidR="007E4538" w:rsidRPr="00900ADE">
        <w:t xml:space="preserve"> an in-depth look at district </w:t>
      </w:r>
      <w:r w:rsidR="00D97DA0" w:rsidRPr="00900ADE">
        <w:t>systems, structures, and practices and includes recommendations</w:t>
      </w:r>
      <w:r w:rsidR="007B718B" w:rsidRPr="00900ADE">
        <w:t xml:space="preserve"> </w:t>
      </w:r>
      <w:r w:rsidR="002F7904" w:rsidRPr="00900ADE">
        <w:t>to</w:t>
      </w:r>
      <w:r w:rsidR="007B718B" w:rsidRPr="00900ADE">
        <w:t xml:space="preserve"> promote systemic improvements and advance equitable student outcomes and experiences.</w:t>
      </w:r>
    </w:p>
    <w:p w14:paraId="41D8CE26" w14:textId="76F5BF94" w:rsidR="000B1DD2" w:rsidRPr="00900ADE" w:rsidRDefault="18845F70" w:rsidP="00E27946">
      <w:pPr>
        <w:pStyle w:val="BodyText"/>
        <w:rPr>
          <w:rFonts w:ascii="Franklin Gothic Book" w:hAnsi="Franklin Gothic Book"/>
        </w:rPr>
      </w:pPr>
      <w:r w:rsidRPr="00900ADE">
        <w:rPr>
          <w:rFonts w:ascii="Franklin Gothic Book" w:eastAsia="Franklin Gothic Book" w:hAnsi="Franklin Gothic Book" w:cs="Franklin Gothic Book"/>
        </w:rPr>
        <w:t xml:space="preserve">In addition, to collect data on instructional practices, </w:t>
      </w:r>
      <w:r w:rsidR="004E63CD" w:rsidRPr="00900ADE">
        <w:rPr>
          <w:rFonts w:ascii="Franklin Gothic Book" w:eastAsia="Franklin Gothic Book" w:hAnsi="Franklin Gothic Book" w:cs="Franklin Gothic Book"/>
        </w:rPr>
        <w:t>three</w:t>
      </w:r>
      <w:r w:rsidR="004E63CD" w:rsidRPr="00900ADE">
        <w:rPr>
          <w:rFonts w:ascii="Franklin Gothic Book" w:hAnsi="Franklin Gothic Book"/>
        </w:rPr>
        <w:t xml:space="preserve"> </w:t>
      </w:r>
      <w:r w:rsidR="008672D4" w:rsidRPr="00900ADE">
        <w:rPr>
          <w:rFonts w:ascii="Franklin Gothic Book" w:hAnsi="Franklin Gothic Book"/>
        </w:rPr>
        <w:t xml:space="preserve">observers, who focused primarily on instruction in the classroom, visited </w:t>
      </w:r>
      <w:r w:rsidR="004613AE" w:rsidRPr="00900ADE">
        <w:rPr>
          <w:rFonts w:ascii="Franklin Gothic Book" w:hAnsi="Franklin Gothic Book"/>
        </w:rPr>
        <w:t xml:space="preserve">Medway </w:t>
      </w:r>
      <w:r w:rsidR="008672D4" w:rsidRPr="00900ADE">
        <w:rPr>
          <w:rFonts w:ascii="Franklin Gothic Book" w:hAnsi="Franklin Gothic Book"/>
        </w:rPr>
        <w:t xml:space="preserve">during the week of </w:t>
      </w:r>
      <w:r w:rsidR="004613AE" w:rsidRPr="00900ADE">
        <w:rPr>
          <w:rFonts w:ascii="Franklin Gothic Book" w:hAnsi="Franklin Gothic Book"/>
        </w:rPr>
        <w:t>January 13, 2025</w:t>
      </w:r>
      <w:r w:rsidR="008672D4" w:rsidRPr="00900ADE">
        <w:rPr>
          <w:rFonts w:ascii="Franklin Gothic Book" w:hAnsi="Franklin Gothic Book"/>
        </w:rPr>
        <w:t xml:space="preserve">. The observers conducted </w:t>
      </w:r>
      <w:r w:rsidR="004E63CD" w:rsidRPr="00900ADE">
        <w:rPr>
          <w:rFonts w:ascii="Franklin Gothic Book" w:hAnsi="Franklin Gothic Book"/>
        </w:rPr>
        <w:t xml:space="preserve">64 </w:t>
      </w:r>
      <w:r w:rsidR="008672D4" w:rsidRPr="00900ADE">
        <w:rPr>
          <w:rFonts w:ascii="Franklin Gothic Book" w:hAnsi="Franklin Gothic Book"/>
        </w:rPr>
        <w:t>observations in a sample of classrooms across grade levels, focused on literacy, English language arts (ELA), and mathematics. The Teachstone Classroom Assessment Scoring System (CLASS) protocol, developed by the Center for Advanced Study of Teaching and Learning at the University of Virginia,</w:t>
      </w:r>
      <w:r w:rsidR="008672D4" w:rsidRPr="00900ADE">
        <w:rPr>
          <w:rStyle w:val="FootnoteReference"/>
        </w:rPr>
        <w:footnoteReference w:id="3"/>
      </w:r>
      <w:r w:rsidR="008672D4" w:rsidRPr="00900ADE">
        <w:rPr>
          <w:rFonts w:ascii="Franklin Gothic Book" w:hAnsi="Franklin Gothic Book"/>
        </w:rPr>
        <w:t xml:space="preserve"> guided all classroom observations in the district. These observations used</w:t>
      </w:r>
      <w:r w:rsidR="007312ED" w:rsidRPr="00900ADE">
        <w:rPr>
          <w:rFonts w:ascii="Franklin Gothic Book" w:hAnsi="Franklin Gothic Book"/>
        </w:rPr>
        <w:t> </w:t>
      </w:r>
      <w:r w:rsidR="008672D4" w:rsidRPr="00900ADE">
        <w:rPr>
          <w:rFonts w:ascii="Franklin Gothic Book" w:hAnsi="Franklin Gothic Book"/>
        </w:rPr>
        <w:t>the three grade-band levels of the CLASS protocols: K-3, Upper Elementary (4-5), and Secondary (6</w:t>
      </w:r>
      <w:r w:rsidR="008672D4" w:rsidRPr="00900ADE">
        <w:rPr>
          <w:rFonts w:ascii="Franklin Gothic Book" w:hAnsi="Franklin Gothic Book"/>
        </w:rPr>
        <w:noBreakHyphen/>
        <w:t xml:space="preserve">12). </w:t>
      </w:r>
    </w:p>
    <w:p w14:paraId="294F0C09" w14:textId="28C9E3F7" w:rsidR="000B1DD2" w:rsidRPr="00900ADE" w:rsidRDefault="000B1DD2" w:rsidP="0066116F">
      <w:pPr>
        <w:pStyle w:val="Heading3"/>
        <w:rPr>
          <w:rStyle w:val="Hyperlink"/>
        </w:rPr>
      </w:pPr>
      <w:hyperlink w:anchor="_Leadership_and_Governance">
        <w:r w:rsidRPr="00900ADE">
          <w:rPr>
            <w:rStyle w:val="Hyperlink"/>
          </w:rPr>
          <w:t>Leadership and Governance</w:t>
        </w:r>
      </w:hyperlink>
    </w:p>
    <w:p w14:paraId="36404582" w14:textId="1F6ABFBD" w:rsidR="7FE83D14" w:rsidRPr="00900ADE" w:rsidRDefault="1D4ABBD7" w:rsidP="00A87CE4">
      <w:pPr>
        <w:pStyle w:val="BodyTextposthead"/>
        <w:rPr>
          <w:rFonts w:ascii="Franklin Gothic Book" w:eastAsia="Franklin Gothic Book" w:hAnsi="Franklin Gothic Book" w:cs="Franklin Gothic Book"/>
          <w:color w:val="000000" w:themeColor="text1"/>
        </w:rPr>
      </w:pPr>
      <w:r w:rsidRPr="00900ADE">
        <w:t xml:space="preserve">In Medway, </w:t>
      </w:r>
      <w:r w:rsidR="00FE3100" w:rsidRPr="00900ADE">
        <w:t>strengths include</w:t>
      </w:r>
      <w:r w:rsidRPr="00900ADE">
        <w:t xml:space="preserve"> professional and productive relationships among the town employees, the district, and the school committee.</w:t>
      </w:r>
      <w:r w:rsidR="4C1096EA" w:rsidRPr="00900ADE">
        <w:t xml:space="preserve"> </w:t>
      </w:r>
      <w:r w:rsidR="4C1096EA" w:rsidRPr="00900ADE">
        <w:rPr>
          <w:rFonts w:ascii="Franklin Gothic Book" w:eastAsia="Franklin Gothic Book" w:hAnsi="Franklin Gothic Book" w:cs="Franklin Gothic Book"/>
          <w:color w:val="000000" w:themeColor="text1"/>
        </w:rPr>
        <w:t xml:space="preserve">In addition, district leaders described an effective </w:t>
      </w:r>
      <w:r w:rsidR="444F0DCC" w:rsidRPr="00900ADE">
        <w:rPr>
          <w:rFonts w:ascii="Franklin Gothic Book" w:eastAsia="Franklin Gothic Book" w:hAnsi="Franklin Gothic Book" w:cs="Franklin Gothic Book"/>
          <w:color w:val="000000" w:themeColor="text1"/>
        </w:rPr>
        <w:t xml:space="preserve">and inclusive </w:t>
      </w:r>
      <w:r w:rsidR="4C1096EA" w:rsidRPr="00900ADE">
        <w:rPr>
          <w:rFonts w:ascii="Franklin Gothic Book" w:eastAsia="Franklin Gothic Book" w:hAnsi="Franklin Gothic Book" w:cs="Franklin Gothic Book"/>
          <w:color w:val="000000" w:themeColor="text1"/>
        </w:rPr>
        <w:t xml:space="preserve">leadership teaming structure led by the superintendent. </w:t>
      </w:r>
      <w:r w:rsidR="00A87CE4">
        <w:rPr>
          <w:rFonts w:ascii="Franklin Gothic Book" w:eastAsia="Franklin Gothic Book" w:hAnsi="Franklin Gothic Book" w:cs="Franklin Gothic Book"/>
          <w:color w:val="000000" w:themeColor="text1"/>
        </w:rPr>
        <w:t>Furthermore, a</w:t>
      </w:r>
      <w:r w:rsidR="4C1096EA" w:rsidRPr="00900ADE">
        <w:rPr>
          <w:rFonts w:ascii="Franklin Gothic Book" w:eastAsia="Franklin Gothic Book" w:hAnsi="Franklin Gothic Book" w:cs="Franklin Gothic Book"/>
          <w:color w:val="000000" w:themeColor="text1"/>
        </w:rPr>
        <w:t xml:space="preserve">ll schools developed school improvement plans </w:t>
      </w:r>
      <w:r w:rsidR="00B0694E" w:rsidRPr="00900ADE">
        <w:rPr>
          <w:rFonts w:ascii="Franklin Gothic Book" w:eastAsia="Franklin Gothic Book" w:hAnsi="Franklin Gothic Book" w:cs="Franklin Gothic Book"/>
          <w:color w:val="000000" w:themeColor="text1"/>
        </w:rPr>
        <w:t xml:space="preserve">(SIPs) </w:t>
      </w:r>
      <w:r w:rsidR="336E18D8" w:rsidRPr="00900ADE">
        <w:rPr>
          <w:rFonts w:ascii="Franklin Gothic Book" w:eastAsia="Franklin Gothic Book" w:hAnsi="Franklin Gothic Book" w:cs="Franklin Gothic Book"/>
          <w:color w:val="000000" w:themeColor="text1"/>
        </w:rPr>
        <w:t>in 2024-</w:t>
      </w:r>
      <w:r w:rsidR="00B0694E" w:rsidRPr="00900ADE">
        <w:rPr>
          <w:rFonts w:ascii="Franklin Gothic Book" w:eastAsia="Franklin Gothic Book" w:hAnsi="Franklin Gothic Book" w:cs="Franklin Gothic Book"/>
          <w:color w:val="000000" w:themeColor="text1"/>
        </w:rPr>
        <w:t>20</w:t>
      </w:r>
      <w:r w:rsidR="336E18D8" w:rsidRPr="00900ADE">
        <w:rPr>
          <w:rFonts w:ascii="Franklin Gothic Book" w:eastAsia="Franklin Gothic Book" w:hAnsi="Franklin Gothic Book" w:cs="Franklin Gothic Book"/>
          <w:color w:val="000000" w:themeColor="text1"/>
        </w:rPr>
        <w:t xml:space="preserve">25 </w:t>
      </w:r>
      <w:r w:rsidR="4C1096EA" w:rsidRPr="00900ADE">
        <w:rPr>
          <w:rFonts w:ascii="Franklin Gothic Book" w:eastAsia="Franklin Gothic Book" w:hAnsi="Franklin Gothic Book" w:cs="Franklin Gothic Book"/>
          <w:color w:val="000000" w:themeColor="text1"/>
        </w:rPr>
        <w:t>that align with the distric</w:t>
      </w:r>
      <w:r w:rsidR="1922299A" w:rsidRPr="00900ADE">
        <w:rPr>
          <w:rFonts w:ascii="Franklin Gothic Book" w:eastAsia="Franklin Gothic Book" w:hAnsi="Franklin Gothic Book" w:cs="Franklin Gothic Book"/>
          <w:color w:val="000000" w:themeColor="text1"/>
        </w:rPr>
        <w:t>t</w:t>
      </w:r>
      <w:r w:rsidR="00930593">
        <w:rPr>
          <w:rFonts w:ascii="Franklin Gothic Book" w:eastAsia="Franklin Gothic Book" w:hAnsi="Franklin Gothic Book" w:cs="Franklin Gothic Book"/>
          <w:color w:val="000000" w:themeColor="text1"/>
        </w:rPr>
        <w:t>’s improvement plan</w:t>
      </w:r>
      <w:r w:rsidR="00B0694E" w:rsidRPr="00900ADE">
        <w:rPr>
          <w:rFonts w:ascii="Franklin Gothic Book" w:eastAsia="Franklin Gothic Book" w:hAnsi="Franklin Gothic Book" w:cs="Franklin Gothic Book"/>
          <w:color w:val="000000" w:themeColor="text1"/>
        </w:rPr>
        <w:t>.</w:t>
      </w:r>
      <w:r w:rsidR="1922299A" w:rsidRPr="00900ADE">
        <w:rPr>
          <w:rFonts w:ascii="Franklin Gothic Book" w:eastAsia="Franklin Gothic Book" w:hAnsi="Franklin Gothic Book" w:cs="Franklin Gothic Book"/>
          <w:color w:val="000000" w:themeColor="text1"/>
        </w:rPr>
        <w:t xml:space="preserve"> </w:t>
      </w:r>
      <w:r w:rsidR="00B0694E" w:rsidRPr="00900ADE">
        <w:rPr>
          <w:rFonts w:ascii="Franklin Gothic Book" w:eastAsia="Franklin Gothic Book" w:hAnsi="Franklin Gothic Book" w:cs="Franklin Gothic Book"/>
          <w:color w:val="000000" w:themeColor="text1"/>
        </w:rPr>
        <w:t>D</w:t>
      </w:r>
      <w:r w:rsidR="2E1DC17C" w:rsidRPr="00900ADE">
        <w:rPr>
          <w:rFonts w:ascii="Franklin Gothic Book" w:eastAsia="Franklin Gothic Book" w:hAnsi="Franklin Gothic Book" w:cs="Franklin Gothic Book"/>
          <w:color w:val="000000" w:themeColor="text1"/>
        </w:rPr>
        <w:t xml:space="preserve">istrict leaders and the teachers’ association </w:t>
      </w:r>
      <w:r w:rsidR="00A87CE4">
        <w:rPr>
          <w:rFonts w:ascii="Franklin Gothic Book" w:eastAsia="Franklin Gothic Book" w:hAnsi="Franklin Gothic Book" w:cs="Franklin Gothic Book"/>
          <w:color w:val="000000" w:themeColor="text1"/>
        </w:rPr>
        <w:t xml:space="preserve">also </w:t>
      </w:r>
      <w:r w:rsidR="2E1DC17C" w:rsidRPr="00900ADE">
        <w:rPr>
          <w:rFonts w:ascii="Franklin Gothic Book" w:eastAsia="Franklin Gothic Book" w:hAnsi="Franklin Gothic Book" w:cs="Franklin Gothic Book"/>
          <w:color w:val="000000" w:themeColor="text1"/>
        </w:rPr>
        <w:t>work collaboratively to address issues in a timely manne</w:t>
      </w:r>
      <w:r w:rsidR="5E842982" w:rsidRPr="00900ADE">
        <w:rPr>
          <w:rFonts w:ascii="Franklin Gothic Book" w:eastAsia="Franklin Gothic Book" w:hAnsi="Franklin Gothic Book" w:cs="Franklin Gothic Book"/>
          <w:color w:val="000000" w:themeColor="text1"/>
        </w:rPr>
        <w:t>r.</w:t>
      </w:r>
      <w:r w:rsidR="00A87CE4">
        <w:rPr>
          <w:rFonts w:ascii="Franklin Gothic Book" w:eastAsia="Franklin Gothic Book" w:hAnsi="Franklin Gothic Book" w:cs="Franklin Gothic Book"/>
          <w:color w:val="000000" w:themeColor="text1"/>
        </w:rPr>
        <w:t xml:space="preserve"> However, t</w:t>
      </w:r>
      <w:r w:rsidR="2E7A227C" w:rsidRPr="00900ADE">
        <w:t xml:space="preserve">he district faces challenges in communicating a clear and consistent vision for student learning </w:t>
      </w:r>
      <w:r w:rsidR="00FD4615" w:rsidRPr="00900ADE">
        <w:t xml:space="preserve">at all levels </w:t>
      </w:r>
      <w:r w:rsidR="2E7A227C" w:rsidRPr="00900ADE">
        <w:t>across the district</w:t>
      </w:r>
      <w:r w:rsidR="00B0694E" w:rsidRPr="00900ADE">
        <w:t>, which is an area for growth</w:t>
      </w:r>
      <w:r w:rsidR="2E7A227C" w:rsidRPr="00900ADE">
        <w:t xml:space="preserve">. </w:t>
      </w:r>
      <w:r w:rsidR="1FD86241" w:rsidRPr="00900ADE">
        <w:t>T</w:t>
      </w:r>
      <w:r w:rsidR="4A992723" w:rsidRPr="00900ADE">
        <w:rPr>
          <w:rFonts w:ascii="Franklin Gothic Book" w:eastAsia="Franklin Gothic Book" w:hAnsi="Franklin Gothic Book" w:cs="Franklin Gothic Book"/>
          <w:color w:val="000000" w:themeColor="text1"/>
        </w:rPr>
        <w:t xml:space="preserve">he district has made efforts to engage community members and </w:t>
      </w:r>
      <w:r w:rsidR="004224E0" w:rsidRPr="00900ADE">
        <w:rPr>
          <w:rFonts w:ascii="Franklin Gothic Book" w:eastAsia="Franklin Gothic Book" w:hAnsi="Franklin Gothic Book" w:cs="Franklin Gothic Book"/>
          <w:color w:val="000000" w:themeColor="text1"/>
        </w:rPr>
        <w:t>constituent</w:t>
      </w:r>
      <w:r w:rsidR="4A992723" w:rsidRPr="00900ADE">
        <w:rPr>
          <w:rFonts w:ascii="Franklin Gothic Book" w:eastAsia="Franklin Gothic Book" w:hAnsi="Franklin Gothic Book" w:cs="Franklin Gothic Book"/>
          <w:color w:val="000000" w:themeColor="text1"/>
        </w:rPr>
        <w:t>s,</w:t>
      </w:r>
      <w:r w:rsidR="4A992723" w:rsidRPr="00900ADE">
        <w:t xml:space="preserve"> </w:t>
      </w:r>
      <w:r w:rsidR="3C3425C3" w:rsidRPr="00900ADE">
        <w:t xml:space="preserve">but </w:t>
      </w:r>
      <w:r w:rsidR="134B683A" w:rsidRPr="00900ADE">
        <w:t>parents reported a lack of opportunities for meaningful involvement</w:t>
      </w:r>
      <w:r w:rsidR="0B6D0EE6" w:rsidRPr="00900ADE">
        <w:t>.</w:t>
      </w:r>
    </w:p>
    <w:bookmarkEnd w:id="8"/>
    <w:p w14:paraId="770E4914" w14:textId="5450BE1B" w:rsidR="000B1DD2" w:rsidRPr="00900ADE" w:rsidRDefault="000B1DD2" w:rsidP="000B1DD2">
      <w:pPr>
        <w:pStyle w:val="Heading3"/>
      </w:pPr>
      <w:r w:rsidRPr="00900ADE">
        <w:fldChar w:fldCharType="begin"/>
      </w:r>
      <w:r w:rsidRPr="00900ADE">
        <w:instrText>HYPERLINK \l "_Curriculum_and_Instruction"</w:instrText>
      </w:r>
      <w:r w:rsidRPr="00900ADE">
        <w:fldChar w:fldCharType="separate"/>
      </w:r>
      <w:r w:rsidRPr="00900ADE">
        <w:rPr>
          <w:rStyle w:val="Hyperlink"/>
        </w:rPr>
        <w:t>Curriculum and Instruction</w:t>
      </w:r>
      <w:r w:rsidRPr="00900ADE">
        <w:fldChar w:fldCharType="end"/>
      </w:r>
    </w:p>
    <w:p w14:paraId="6A32795F" w14:textId="67BC4800" w:rsidR="00B05A42" w:rsidRPr="00900ADE" w:rsidRDefault="00B05A42" w:rsidP="00B05A42">
      <w:pPr>
        <w:pStyle w:val="BodyTextposthead"/>
      </w:pPr>
      <w:r w:rsidRPr="00900ADE">
        <w:t xml:space="preserve">Medway </w:t>
      </w:r>
      <w:r w:rsidR="00B0694E" w:rsidRPr="00900ADE">
        <w:t>is beginning to</w:t>
      </w:r>
      <w:r w:rsidRPr="00900ADE">
        <w:t xml:space="preserve"> implement high</w:t>
      </w:r>
      <w:r w:rsidR="00B0694E" w:rsidRPr="00900ADE">
        <w:t>-</w:t>
      </w:r>
      <w:r w:rsidRPr="00900ADE">
        <w:t xml:space="preserve">quality </w:t>
      </w:r>
      <w:r w:rsidR="00AA2A17">
        <w:t xml:space="preserve">instructional </w:t>
      </w:r>
      <w:r w:rsidRPr="00900ADE">
        <w:t>materials in some content areas</w:t>
      </w:r>
      <w:r w:rsidR="00B0694E" w:rsidRPr="00900ADE">
        <w:t>,</w:t>
      </w:r>
      <w:r w:rsidR="0038290F" w:rsidRPr="00900ADE">
        <w:t xml:space="preserve"> including ELA and mathematics across grades</w:t>
      </w:r>
      <w:r w:rsidRPr="00900ADE">
        <w:t xml:space="preserve">. Currently, </w:t>
      </w:r>
      <w:r w:rsidR="00327885" w:rsidRPr="00900ADE">
        <w:t>individu</w:t>
      </w:r>
      <w:r w:rsidR="00CE39EE" w:rsidRPr="00900ADE">
        <w:t>a</w:t>
      </w:r>
      <w:r w:rsidR="00327885" w:rsidRPr="00900ADE">
        <w:t xml:space="preserve">l schools and content teams determine </w:t>
      </w:r>
      <w:r w:rsidRPr="00900ADE">
        <w:t xml:space="preserve">the instructional models </w:t>
      </w:r>
      <w:r w:rsidR="00327885" w:rsidRPr="00900ADE">
        <w:t>used</w:t>
      </w:r>
      <w:r w:rsidRPr="00900ADE">
        <w:t>. The instructional models used in elementary literacy classes and at the middle school level align with the district’s improvement plan and strategic priorities</w:t>
      </w:r>
      <w:r w:rsidR="009256BF" w:rsidRPr="00900ADE">
        <w:t>.</w:t>
      </w:r>
      <w:r w:rsidRPr="00900ADE">
        <w:t xml:space="preserve"> </w:t>
      </w:r>
    </w:p>
    <w:p w14:paraId="2D670F40" w14:textId="5CEBF86D" w:rsidR="00B05A42" w:rsidRPr="00900ADE" w:rsidRDefault="00B05A42" w:rsidP="00313BF3">
      <w:pPr>
        <w:pStyle w:val="BodyText"/>
      </w:pPr>
      <w:r w:rsidRPr="00900ADE">
        <w:lastRenderedPageBreak/>
        <w:t>However, the district faces several areas for growth. A clearly articulated and cohesive instructional vision that encompasses the needs of all students has yet to be developed</w:t>
      </w:r>
      <w:r w:rsidR="008D3DBE" w:rsidRPr="00900ADE">
        <w:t xml:space="preserve"> for all grades and subjects</w:t>
      </w:r>
      <w:r w:rsidRPr="00900ADE">
        <w:t xml:space="preserve">. The district also does not have a cohesive system </w:t>
      </w:r>
      <w:r w:rsidR="00327885" w:rsidRPr="00900ADE">
        <w:t xml:space="preserve">for </w:t>
      </w:r>
      <w:r w:rsidRPr="00900ADE">
        <w:t>implement</w:t>
      </w:r>
      <w:r w:rsidR="00327885" w:rsidRPr="00900ADE">
        <w:t>ing</w:t>
      </w:r>
      <w:r w:rsidRPr="00900ADE">
        <w:t xml:space="preserve"> and monitor</w:t>
      </w:r>
      <w:r w:rsidR="00327885" w:rsidRPr="00900ADE">
        <w:t>ing</w:t>
      </w:r>
      <w:r w:rsidRPr="00900ADE">
        <w:t xml:space="preserve"> instructional models, which leads to misunderstandings, especially at the high school level. </w:t>
      </w:r>
      <w:r w:rsidR="00327885" w:rsidRPr="00900ADE">
        <w:t xml:space="preserve">Although </w:t>
      </w:r>
      <w:r w:rsidRPr="00900ADE">
        <w:t>the district has a document for a curricul</w:t>
      </w:r>
      <w:r w:rsidR="00327885" w:rsidRPr="00900ADE">
        <w:t>ar</w:t>
      </w:r>
      <w:r w:rsidRPr="00900ADE">
        <w:t xml:space="preserve"> review process, teachers noted that </w:t>
      </w:r>
      <w:r w:rsidR="00327885" w:rsidRPr="00900ADE">
        <w:t xml:space="preserve">they do not follow </w:t>
      </w:r>
      <w:r w:rsidRPr="00900ADE">
        <w:t xml:space="preserve">it. Furthermore, most of the selected district </w:t>
      </w:r>
      <w:r w:rsidR="008D3DBE" w:rsidRPr="00900ADE">
        <w:t>curricul</w:t>
      </w:r>
      <w:r w:rsidR="00327885" w:rsidRPr="00900ADE">
        <w:t>a</w:t>
      </w:r>
      <w:r w:rsidR="008D3DBE" w:rsidRPr="00900ADE">
        <w:t xml:space="preserve"> </w:t>
      </w:r>
      <w:r w:rsidR="00327885" w:rsidRPr="00900ADE">
        <w:t>are</w:t>
      </w:r>
      <w:r w:rsidRPr="00900ADE">
        <w:t xml:space="preserve"> not currently vertically aligned</w:t>
      </w:r>
      <w:r w:rsidR="008D3DBE" w:rsidRPr="00900ADE">
        <w:t xml:space="preserve">, particularly </w:t>
      </w:r>
      <w:r w:rsidR="008D3DBE" w:rsidRPr="00C94B25">
        <w:t>to and through the secondary level</w:t>
      </w:r>
      <w:r w:rsidRPr="00C94B25">
        <w:t xml:space="preserve">. </w:t>
      </w:r>
      <w:r w:rsidR="00327885" w:rsidRPr="00C94B25">
        <w:t xml:space="preserve">Although </w:t>
      </w:r>
      <w:r w:rsidR="00DE6D6D" w:rsidRPr="00C94B25">
        <w:t>some schools offer</w:t>
      </w:r>
      <w:r w:rsidRPr="00C94B25">
        <w:t xml:space="preserve"> </w:t>
      </w:r>
      <w:r w:rsidR="00DE6D6D" w:rsidRPr="00C94B25">
        <w:t xml:space="preserve">some </w:t>
      </w:r>
      <w:r w:rsidRPr="00C94B25">
        <w:t>academic interventions</w:t>
      </w:r>
      <w:r w:rsidR="003D6095">
        <w:t>,</w:t>
      </w:r>
      <w:r w:rsidR="00E72BC6">
        <w:t xml:space="preserve"> there is </w:t>
      </w:r>
      <w:r w:rsidR="00F01D76">
        <w:t xml:space="preserve">no </w:t>
      </w:r>
      <w:r w:rsidRPr="00C94B25">
        <w:t xml:space="preserve">districtwide </w:t>
      </w:r>
      <w:r w:rsidR="008D3DBE" w:rsidRPr="00C94B25">
        <w:t>approach that consistently connects students at all levels to academic interventions</w:t>
      </w:r>
      <w:r w:rsidRPr="00C94B25">
        <w:t xml:space="preserve">. </w:t>
      </w:r>
      <w:r w:rsidR="00833193">
        <w:t xml:space="preserve">Finally, </w:t>
      </w:r>
      <w:r w:rsidR="00434133">
        <w:t xml:space="preserve">teachers </w:t>
      </w:r>
      <w:r w:rsidR="001D3645">
        <w:t xml:space="preserve">noted the need for the district to provide support </w:t>
      </w:r>
      <w:r w:rsidR="001D3645" w:rsidRPr="00771AE9">
        <w:t>for all educators</w:t>
      </w:r>
      <w:r w:rsidR="001D3645">
        <w:t xml:space="preserve"> to implement </w:t>
      </w:r>
      <w:r w:rsidR="00434133" w:rsidRPr="00771AE9">
        <w:t>evidence-based instructional practices.</w:t>
      </w:r>
    </w:p>
    <w:p w14:paraId="65498654" w14:textId="3E760A2A" w:rsidR="000B1DD2" w:rsidRPr="00900ADE" w:rsidRDefault="000B1DD2" w:rsidP="000B1DD2">
      <w:pPr>
        <w:pStyle w:val="Heading3"/>
        <w:rPr>
          <w:rFonts w:cstheme="minorHAnsi"/>
          <w:color w:val="000000" w:themeColor="text1"/>
        </w:rPr>
      </w:pPr>
      <w:hyperlink w:anchor="_Assessment" w:history="1">
        <w:r w:rsidRPr="00900ADE">
          <w:rPr>
            <w:rStyle w:val="Hyperlink"/>
            <w:bdr w:val="none" w:sz="0" w:space="0" w:color="auto" w:frame="1"/>
          </w:rPr>
          <w:t>Assessment</w:t>
        </w:r>
      </w:hyperlink>
    </w:p>
    <w:p w14:paraId="6034676A" w14:textId="7E9653C4" w:rsidR="00F753D5" w:rsidRDefault="005D1BC8" w:rsidP="00C14503">
      <w:pPr>
        <w:pStyle w:val="BodyTextposthead"/>
        <w:rPr>
          <w:shd w:val="clear" w:color="auto" w:fill="FFFFFF"/>
        </w:rPr>
      </w:pPr>
      <w:r w:rsidRPr="00900ADE">
        <w:rPr>
          <w:rFonts w:eastAsia="Aptos" w:cs="Aptos"/>
          <w:spacing w:val="-2"/>
        </w:rPr>
        <w:t xml:space="preserve">The district has several strengths </w:t>
      </w:r>
      <w:r>
        <w:rPr>
          <w:rFonts w:eastAsia="Aptos" w:cs="Aptos"/>
          <w:spacing w:val="-2"/>
        </w:rPr>
        <w:t xml:space="preserve">related to data </w:t>
      </w:r>
      <w:r w:rsidR="00350E9C">
        <w:rPr>
          <w:rFonts w:eastAsia="Aptos" w:cs="Aptos"/>
          <w:spacing w:val="-2"/>
        </w:rPr>
        <w:t>collection and use</w:t>
      </w:r>
      <w:r w:rsidRPr="00900ADE">
        <w:rPr>
          <w:rFonts w:eastAsia="Aptos" w:cs="Aptos"/>
          <w:spacing w:val="-2"/>
        </w:rPr>
        <w:t>.</w:t>
      </w:r>
      <w:r>
        <w:rPr>
          <w:rFonts w:eastAsia="Aptos" w:cs="Aptos"/>
          <w:spacing w:val="-2"/>
        </w:rPr>
        <w:t xml:space="preserve"> </w:t>
      </w:r>
      <w:r w:rsidR="002B4EB0" w:rsidRPr="00900ADE">
        <w:rPr>
          <w:shd w:val="clear" w:color="auto" w:fill="FFFFFF"/>
        </w:rPr>
        <w:t xml:space="preserve">Medway is building a data-centered culture, as evidenced by the </w:t>
      </w:r>
      <w:r w:rsidR="00F01D76" w:rsidRPr="00900ADE">
        <w:rPr>
          <w:shd w:val="clear" w:color="auto" w:fill="FFFFFF"/>
        </w:rPr>
        <w:t>wide-ranging</w:t>
      </w:r>
      <w:r w:rsidR="002B4EB0" w:rsidRPr="00900ADE">
        <w:rPr>
          <w:shd w:val="clear" w:color="auto" w:fill="FFFFFF"/>
        </w:rPr>
        <w:t xml:space="preserve"> data collection efforts that help develop a comprehensive view of student performance. The </w:t>
      </w:r>
      <w:r w:rsidR="007E5E15">
        <w:rPr>
          <w:shd w:val="clear" w:color="auto" w:fill="FFFFFF"/>
        </w:rPr>
        <w:t>district is committed</w:t>
      </w:r>
      <w:r w:rsidR="002B4EB0" w:rsidRPr="00900ADE">
        <w:rPr>
          <w:shd w:val="clear" w:color="auto" w:fill="FFFFFF"/>
        </w:rPr>
        <w:t xml:space="preserve"> to a shared understanding of data use and providing data team meeting </w:t>
      </w:r>
      <w:r w:rsidR="009B74FB">
        <w:rPr>
          <w:shd w:val="clear" w:color="auto" w:fill="FFFFFF"/>
        </w:rPr>
        <w:t>training</w:t>
      </w:r>
      <w:r w:rsidR="002B4EB0" w:rsidRPr="00900ADE">
        <w:rPr>
          <w:shd w:val="clear" w:color="auto" w:fill="FFFFFF"/>
        </w:rPr>
        <w:t xml:space="preserve">. </w:t>
      </w:r>
      <w:r w:rsidR="003556C1">
        <w:rPr>
          <w:shd w:val="clear" w:color="auto" w:fill="FFFFFF"/>
        </w:rPr>
        <w:t>Despite this</w:t>
      </w:r>
      <w:r w:rsidR="00C14503">
        <w:rPr>
          <w:shd w:val="clear" w:color="auto" w:fill="FFFFFF"/>
        </w:rPr>
        <w:t xml:space="preserve">, </w:t>
      </w:r>
      <w:r w:rsidR="008B6F00">
        <w:rPr>
          <w:shd w:val="clear" w:color="auto" w:fill="FFFFFF"/>
        </w:rPr>
        <w:t>t</w:t>
      </w:r>
      <w:r w:rsidR="002B4EB0" w:rsidRPr="00900ADE">
        <w:rPr>
          <w:shd w:val="clear" w:color="auto" w:fill="FFFFFF"/>
        </w:rPr>
        <w:t xml:space="preserve">eachers reported needing more support to administer assessments </w:t>
      </w:r>
      <w:r w:rsidR="00350E9C">
        <w:rPr>
          <w:shd w:val="clear" w:color="auto" w:fill="FFFFFF"/>
        </w:rPr>
        <w:t>to</w:t>
      </w:r>
      <w:r w:rsidR="002B4EB0" w:rsidRPr="00900ADE">
        <w:rPr>
          <w:shd w:val="clear" w:color="auto" w:fill="FFFFFF"/>
        </w:rPr>
        <w:t xml:space="preserve"> students</w:t>
      </w:r>
      <w:r w:rsidR="00350E9C">
        <w:rPr>
          <w:shd w:val="clear" w:color="auto" w:fill="FFFFFF"/>
        </w:rPr>
        <w:t xml:space="preserve"> with a variety of needs</w:t>
      </w:r>
      <w:r w:rsidR="00DE6D6D" w:rsidRPr="00900ADE">
        <w:rPr>
          <w:shd w:val="clear" w:color="auto" w:fill="FFFFFF"/>
        </w:rPr>
        <w:t>,</w:t>
      </w:r>
      <w:r w:rsidR="00BB39E1" w:rsidRPr="00900ADE">
        <w:rPr>
          <w:shd w:val="clear" w:color="auto" w:fill="FFFFFF"/>
        </w:rPr>
        <w:t xml:space="preserve"> and high school teachers reported needing more support with data analysis</w:t>
      </w:r>
      <w:r w:rsidR="002B4EB0" w:rsidRPr="00900ADE">
        <w:rPr>
          <w:shd w:val="clear" w:color="auto" w:fill="FFFFFF"/>
        </w:rPr>
        <w:t xml:space="preserve">. </w:t>
      </w:r>
      <w:r w:rsidR="004D2566" w:rsidRPr="00900ADE">
        <w:rPr>
          <w:shd w:val="clear" w:color="auto" w:fill="FFFFFF"/>
        </w:rPr>
        <w:t xml:space="preserve">Finally, data from multiple participants suggest </w:t>
      </w:r>
      <w:r w:rsidR="00DE6D6D" w:rsidRPr="00900ADE">
        <w:rPr>
          <w:shd w:val="clear" w:color="auto" w:fill="FFFFFF"/>
        </w:rPr>
        <w:t xml:space="preserve">that </w:t>
      </w:r>
      <w:r w:rsidR="004D2566" w:rsidRPr="00900ADE">
        <w:rPr>
          <w:shd w:val="clear" w:color="auto" w:fill="FFFFFF"/>
        </w:rPr>
        <w:t xml:space="preserve">the district </w:t>
      </w:r>
      <w:r w:rsidR="00F7051D">
        <w:rPr>
          <w:shd w:val="clear" w:color="auto" w:fill="FFFFFF"/>
        </w:rPr>
        <w:t xml:space="preserve">should </w:t>
      </w:r>
      <w:r w:rsidR="00940810">
        <w:rPr>
          <w:shd w:val="clear" w:color="auto" w:fill="FFFFFF"/>
        </w:rPr>
        <w:t>increase the frequency and consistency with which teachers share data with families.</w:t>
      </w:r>
    </w:p>
    <w:p w14:paraId="05B6D72B" w14:textId="149183DD" w:rsidR="000B1DD2" w:rsidRPr="00900ADE" w:rsidRDefault="000B1DD2" w:rsidP="000B1DD2">
      <w:pPr>
        <w:pStyle w:val="Heading3"/>
      </w:pPr>
      <w:hyperlink w:anchor="_Human_Resources_and">
        <w:r w:rsidRPr="00900ADE">
          <w:rPr>
            <w:rStyle w:val="Hyperlink"/>
          </w:rPr>
          <w:t>Human Resources and Professional Development</w:t>
        </w:r>
      </w:hyperlink>
    </w:p>
    <w:p w14:paraId="7C7E260C" w14:textId="0D47FB31" w:rsidR="7FE83D14" w:rsidRPr="00900ADE" w:rsidRDefault="00B25B04" w:rsidP="0096118D">
      <w:pPr>
        <w:pStyle w:val="BodyTextposthead"/>
        <w:rPr>
          <w:spacing w:val="-2"/>
        </w:rPr>
      </w:pPr>
      <w:r w:rsidRPr="00900ADE">
        <w:rPr>
          <w:rFonts w:eastAsia="Aptos" w:cs="Aptos"/>
          <w:spacing w:val="-2"/>
        </w:rPr>
        <w:t xml:space="preserve">In the past </w:t>
      </w:r>
      <w:r w:rsidR="009B74FB">
        <w:rPr>
          <w:rFonts w:eastAsia="Aptos" w:cs="Aptos"/>
          <w:spacing w:val="-2"/>
        </w:rPr>
        <w:t>one and a half</w:t>
      </w:r>
      <w:r w:rsidRPr="00900ADE">
        <w:rPr>
          <w:rFonts w:eastAsia="Aptos" w:cs="Aptos"/>
          <w:spacing w:val="-2"/>
        </w:rPr>
        <w:t xml:space="preserve"> years, Medway has made some significant changes to </w:t>
      </w:r>
      <w:r w:rsidR="009B74FB">
        <w:rPr>
          <w:rFonts w:eastAsia="Aptos" w:cs="Aptos"/>
          <w:spacing w:val="-2"/>
        </w:rPr>
        <w:t>its</w:t>
      </w:r>
      <w:r w:rsidR="009B74FB" w:rsidRPr="00900ADE">
        <w:rPr>
          <w:rFonts w:eastAsia="Aptos" w:cs="Aptos"/>
          <w:spacing w:val="-2"/>
        </w:rPr>
        <w:t xml:space="preserve"> </w:t>
      </w:r>
      <w:r w:rsidRPr="00900ADE">
        <w:rPr>
          <w:rFonts w:eastAsia="Aptos" w:cs="Aptos"/>
          <w:spacing w:val="-2"/>
        </w:rPr>
        <w:t xml:space="preserve">human resources department, creating a human resources manager as a new position and </w:t>
      </w:r>
      <w:r w:rsidRPr="00900ADE">
        <w:rPr>
          <w:rFonts w:eastAsiaTheme="minorEastAsia"/>
          <w:spacing w:val="-2"/>
        </w:rPr>
        <w:t xml:space="preserve">hiring a half-time human resources assistant. </w:t>
      </w:r>
      <w:r w:rsidR="00A61209">
        <w:rPr>
          <w:spacing w:val="-2"/>
        </w:rPr>
        <w:t xml:space="preserve">Following this </w:t>
      </w:r>
      <w:r w:rsidR="0037771E">
        <w:rPr>
          <w:spacing w:val="-2"/>
        </w:rPr>
        <w:t>restructuring, t</w:t>
      </w:r>
      <w:r w:rsidR="00A16752" w:rsidRPr="00900ADE">
        <w:rPr>
          <w:spacing w:val="-2"/>
        </w:rPr>
        <w:t xml:space="preserve">he district </w:t>
      </w:r>
      <w:r w:rsidR="005318AA">
        <w:rPr>
          <w:spacing w:val="-2"/>
        </w:rPr>
        <w:t xml:space="preserve">has been able to demonstrate several </w:t>
      </w:r>
      <w:r w:rsidR="0010309D">
        <w:rPr>
          <w:spacing w:val="-2"/>
        </w:rPr>
        <w:t>strengths in human resources. These strengths include</w:t>
      </w:r>
      <w:r>
        <w:rPr>
          <w:spacing w:val="-2"/>
        </w:rPr>
        <w:t xml:space="preserve"> </w:t>
      </w:r>
      <w:r w:rsidR="00A16752" w:rsidRPr="00900ADE">
        <w:rPr>
          <w:spacing w:val="-2"/>
        </w:rPr>
        <w:t xml:space="preserve">using more data, particularly from exit interviews, to inform human resources policies, procedures, and practices. </w:t>
      </w:r>
      <w:r w:rsidR="1F08FC66" w:rsidRPr="00900ADE">
        <w:rPr>
          <w:rFonts w:eastAsiaTheme="minorEastAsia"/>
          <w:spacing w:val="-2"/>
        </w:rPr>
        <w:t>In addition, t</w:t>
      </w:r>
      <w:r w:rsidR="77AF02ED" w:rsidRPr="00900ADE">
        <w:rPr>
          <w:rFonts w:eastAsiaTheme="minorEastAsia"/>
          <w:spacing w:val="-2"/>
        </w:rPr>
        <w:t xml:space="preserve">he </w:t>
      </w:r>
      <w:r w:rsidR="11E731AA" w:rsidRPr="00900ADE">
        <w:rPr>
          <w:rFonts w:eastAsiaTheme="minorEastAsia"/>
          <w:spacing w:val="-2"/>
        </w:rPr>
        <w:t xml:space="preserve">district’s </w:t>
      </w:r>
      <w:r w:rsidR="77AF02ED" w:rsidRPr="00900ADE">
        <w:rPr>
          <w:rFonts w:eastAsiaTheme="minorEastAsia"/>
          <w:spacing w:val="-2"/>
        </w:rPr>
        <w:t xml:space="preserve">evaluation process highlights areas of </w:t>
      </w:r>
      <w:r w:rsidR="00B91BC3">
        <w:rPr>
          <w:rFonts w:eastAsiaTheme="minorEastAsia"/>
          <w:spacing w:val="-2"/>
        </w:rPr>
        <w:t>strength</w:t>
      </w:r>
      <w:r w:rsidR="00B91BC3" w:rsidRPr="00900ADE">
        <w:rPr>
          <w:rFonts w:eastAsiaTheme="minorEastAsia"/>
          <w:spacing w:val="-2"/>
        </w:rPr>
        <w:t xml:space="preserve"> </w:t>
      </w:r>
      <w:r w:rsidR="77AF02ED" w:rsidRPr="00900ADE">
        <w:rPr>
          <w:rFonts w:eastAsiaTheme="minorEastAsia"/>
          <w:spacing w:val="-2"/>
        </w:rPr>
        <w:t>for teachers and administrators.</w:t>
      </w:r>
      <w:r w:rsidR="00106CCD">
        <w:rPr>
          <w:rFonts w:eastAsiaTheme="minorEastAsia"/>
          <w:spacing w:val="-2"/>
        </w:rPr>
        <w:t xml:space="preserve"> Medway administrators have also </w:t>
      </w:r>
      <w:r w:rsidR="00106CCD">
        <w:rPr>
          <w:rFonts w:eastAsiaTheme="minorEastAsia"/>
        </w:rPr>
        <w:t>made efforts to create a more positive staff culture.</w:t>
      </w:r>
    </w:p>
    <w:p w14:paraId="76D10A5B" w14:textId="19EE1307" w:rsidR="507ABB50" w:rsidRPr="00C94B25" w:rsidRDefault="00DE6D6D" w:rsidP="0096118D">
      <w:pPr>
        <w:pStyle w:val="BodyText"/>
        <w:rPr>
          <w:rFonts w:eastAsia="Helvetica Neue" w:cs="Helvetica Neue"/>
          <w:spacing w:val="-2"/>
        </w:rPr>
      </w:pPr>
      <w:r w:rsidRPr="00C94B25">
        <w:rPr>
          <w:spacing w:val="-2"/>
        </w:rPr>
        <w:t>However</w:t>
      </w:r>
      <w:r w:rsidR="00D43F97" w:rsidRPr="00C94B25">
        <w:rPr>
          <w:spacing w:val="-2"/>
        </w:rPr>
        <w:t>,</w:t>
      </w:r>
      <w:r w:rsidRPr="00C94B25">
        <w:rPr>
          <w:spacing w:val="-2"/>
        </w:rPr>
        <w:t xml:space="preserve"> Medway has </w:t>
      </w:r>
      <w:r w:rsidR="00D917B2" w:rsidRPr="00C94B25">
        <w:rPr>
          <w:spacing w:val="-2"/>
        </w:rPr>
        <w:t>several areas for growth</w:t>
      </w:r>
      <w:r w:rsidRPr="00C94B25">
        <w:rPr>
          <w:spacing w:val="-2"/>
        </w:rPr>
        <w:t xml:space="preserve"> related to human resources</w:t>
      </w:r>
      <w:r w:rsidR="00D917B2" w:rsidRPr="00C94B25">
        <w:rPr>
          <w:spacing w:val="-2"/>
        </w:rPr>
        <w:t xml:space="preserve">. </w:t>
      </w:r>
      <w:r w:rsidR="0050658C" w:rsidRPr="00C94B25">
        <w:rPr>
          <w:spacing w:val="-2"/>
        </w:rPr>
        <w:t xml:space="preserve">The town and district share use of MUNIS, but not all needed and relevant </w:t>
      </w:r>
      <w:r w:rsidRPr="00C94B25">
        <w:rPr>
          <w:spacing w:val="-2"/>
        </w:rPr>
        <w:t xml:space="preserve">human resources </w:t>
      </w:r>
      <w:r w:rsidR="002E1C2D">
        <w:t>modules</w:t>
      </w:r>
      <w:r w:rsidR="00C2744F" w:rsidRPr="00C94B25">
        <w:rPr>
          <w:spacing w:val="-2"/>
        </w:rPr>
        <w:t xml:space="preserve"> are available to the district. </w:t>
      </w:r>
      <w:r w:rsidR="507ABB50" w:rsidRPr="00C94B25">
        <w:rPr>
          <w:spacing w:val="-2"/>
        </w:rPr>
        <w:t>District and school leaders and teacher f</w:t>
      </w:r>
      <w:r w:rsidR="507ABB50" w:rsidRPr="00C94B25">
        <w:rPr>
          <w:rFonts w:eastAsia="Aptos" w:cs="Aptos"/>
          <w:spacing w:val="-2"/>
        </w:rPr>
        <w:t xml:space="preserve">ocus group participants all reported challenges with recruiting diverse candidates. Currently, according to DESE data, </w:t>
      </w:r>
      <w:r w:rsidR="004530C5" w:rsidRPr="58B5A986">
        <w:rPr>
          <w:rFonts w:eastAsia="Aptos Narrow" w:cs="Aptos Narrow"/>
        </w:rPr>
        <w:t>10</w:t>
      </w:r>
      <w:r w:rsidR="507ABB50" w:rsidRPr="00C94B25">
        <w:rPr>
          <w:rFonts w:eastAsia="Aptos Narrow" w:cs="Aptos Narrow"/>
          <w:spacing w:val="-2"/>
        </w:rPr>
        <w:t xml:space="preserve"> percent of </w:t>
      </w:r>
      <w:r w:rsidRPr="00C94B25">
        <w:rPr>
          <w:rFonts w:eastAsia="Aptos Narrow" w:cs="Aptos Narrow"/>
          <w:spacing w:val="-2"/>
        </w:rPr>
        <w:t xml:space="preserve">the </w:t>
      </w:r>
      <w:r w:rsidR="507ABB50" w:rsidRPr="00C94B25">
        <w:rPr>
          <w:rFonts w:eastAsia="Aptos Narrow" w:cs="Aptos Narrow"/>
          <w:spacing w:val="-2"/>
        </w:rPr>
        <w:t>students are Hispanic</w:t>
      </w:r>
      <w:r w:rsidR="00303567">
        <w:rPr>
          <w:rFonts w:eastAsia="Aptos Narrow" w:cs="Aptos Narrow"/>
          <w:spacing w:val="-2"/>
        </w:rPr>
        <w:t xml:space="preserve"> or Latino</w:t>
      </w:r>
      <w:r w:rsidRPr="00C94B25">
        <w:rPr>
          <w:rFonts w:eastAsia="Aptos Narrow" w:cs="Aptos Narrow"/>
          <w:spacing w:val="-2"/>
        </w:rPr>
        <w:t>,</w:t>
      </w:r>
      <w:r w:rsidR="507ABB50" w:rsidRPr="00C94B25">
        <w:rPr>
          <w:rFonts w:eastAsia="Aptos Narrow" w:cs="Aptos Narrow"/>
          <w:spacing w:val="-2"/>
        </w:rPr>
        <w:t xml:space="preserve"> </w:t>
      </w:r>
      <w:r w:rsidRPr="00C94B25">
        <w:rPr>
          <w:rFonts w:eastAsia="Aptos Narrow" w:cs="Aptos Narrow"/>
          <w:spacing w:val="-2"/>
        </w:rPr>
        <w:t xml:space="preserve">but only </w:t>
      </w:r>
      <w:r w:rsidR="008D1A45" w:rsidRPr="58B5A986">
        <w:rPr>
          <w:rFonts w:eastAsia="Aptos Narrow" w:cs="Aptos Narrow"/>
        </w:rPr>
        <w:t>2</w:t>
      </w:r>
      <w:r w:rsidR="507ABB50" w:rsidRPr="00C94B25">
        <w:rPr>
          <w:rFonts w:eastAsia="Aptos Narrow" w:cs="Aptos Narrow"/>
          <w:spacing w:val="-2"/>
        </w:rPr>
        <w:t xml:space="preserve"> percent of </w:t>
      </w:r>
      <w:r w:rsidRPr="00C94B25">
        <w:rPr>
          <w:rFonts w:eastAsia="Aptos Narrow" w:cs="Aptos Narrow"/>
          <w:spacing w:val="-2"/>
        </w:rPr>
        <w:t xml:space="preserve">the </w:t>
      </w:r>
      <w:r w:rsidR="507ABB50" w:rsidRPr="00C94B25">
        <w:rPr>
          <w:rFonts w:eastAsia="Aptos Narrow" w:cs="Aptos Narrow"/>
          <w:spacing w:val="-2"/>
        </w:rPr>
        <w:t xml:space="preserve">teachers </w:t>
      </w:r>
      <w:r w:rsidRPr="00C94B25">
        <w:rPr>
          <w:rFonts w:eastAsia="Aptos Narrow" w:cs="Aptos Narrow"/>
          <w:spacing w:val="-2"/>
        </w:rPr>
        <w:t xml:space="preserve">are </w:t>
      </w:r>
      <w:r w:rsidR="507ABB50" w:rsidRPr="00C94B25">
        <w:rPr>
          <w:rFonts w:eastAsia="Aptos Narrow" w:cs="Aptos Narrow"/>
          <w:spacing w:val="-2"/>
        </w:rPr>
        <w:t>Hispanic</w:t>
      </w:r>
      <w:r w:rsidR="00B91BC3">
        <w:rPr>
          <w:rFonts w:eastAsia="Aptos Narrow" w:cs="Aptos Narrow"/>
          <w:spacing w:val="-2"/>
        </w:rPr>
        <w:t xml:space="preserve"> or Latino</w:t>
      </w:r>
      <w:r w:rsidR="507ABB50" w:rsidRPr="00C94B25">
        <w:rPr>
          <w:rFonts w:eastAsia="Aptos Narrow" w:cs="Aptos Narrow"/>
          <w:spacing w:val="-2"/>
        </w:rPr>
        <w:t>. In addition, no administrators are Hispanic</w:t>
      </w:r>
      <w:r w:rsidR="00B91BC3">
        <w:rPr>
          <w:rFonts w:eastAsia="Aptos Narrow" w:cs="Aptos Narrow"/>
          <w:spacing w:val="-2"/>
        </w:rPr>
        <w:t xml:space="preserve"> or Latino</w:t>
      </w:r>
      <w:r w:rsidR="507ABB50" w:rsidRPr="00C94B25">
        <w:rPr>
          <w:rFonts w:eastAsia="Aptos Narrow" w:cs="Aptos Narrow"/>
          <w:spacing w:val="-2"/>
        </w:rPr>
        <w:t xml:space="preserve">. </w:t>
      </w:r>
      <w:r w:rsidR="00290795" w:rsidRPr="00C94B25">
        <w:rPr>
          <w:rFonts w:eastAsia="Aptos Narrow" w:cs="Aptos Narrow"/>
          <w:spacing w:val="-2"/>
        </w:rPr>
        <w:t xml:space="preserve">The district, therefore, </w:t>
      </w:r>
      <w:r w:rsidR="005352C1" w:rsidRPr="00C94B25">
        <w:rPr>
          <w:rFonts w:eastAsia="Aptos Narrow" w:cs="Aptos Narrow"/>
          <w:spacing w:val="-2"/>
        </w:rPr>
        <w:t>is working to d</w:t>
      </w:r>
      <w:r w:rsidR="507ABB50" w:rsidRPr="00C94B25">
        <w:rPr>
          <w:rFonts w:eastAsia="Aptos Narrow" w:cs="Aptos Narrow"/>
          <w:spacing w:val="-2"/>
        </w:rPr>
        <w:t>iversify</w:t>
      </w:r>
      <w:r w:rsidR="507ABB50" w:rsidRPr="00C94B25">
        <w:rPr>
          <w:spacing w:val="-2"/>
        </w:rPr>
        <w:t xml:space="preserve"> the teaching staff to be more reflective of the student body. </w:t>
      </w:r>
      <w:r w:rsidR="0E5BB07E" w:rsidRPr="00C94B25">
        <w:rPr>
          <w:rFonts w:eastAsia="Aptos" w:cs="Aptos"/>
          <w:spacing w:val="-2"/>
        </w:rPr>
        <w:t>In addition, a</w:t>
      </w:r>
      <w:r w:rsidR="2A6ECA1F" w:rsidRPr="00C94B25">
        <w:rPr>
          <w:rFonts w:eastAsia="Aptos" w:cs="Aptos"/>
          <w:spacing w:val="-2"/>
        </w:rPr>
        <w:t xml:space="preserve"> review of teacher evaluations indicates that</w:t>
      </w:r>
      <w:r w:rsidR="4EDE2157" w:rsidRPr="00C94B25">
        <w:rPr>
          <w:rFonts w:eastAsia="Aptos" w:cs="Aptos"/>
          <w:spacing w:val="-2"/>
        </w:rPr>
        <w:t xml:space="preserve"> </w:t>
      </w:r>
      <w:r w:rsidR="00EE2147" w:rsidRPr="00C94B25">
        <w:rPr>
          <w:rFonts w:eastAsia="Aptos" w:cs="Aptos"/>
          <w:spacing w:val="-2"/>
        </w:rPr>
        <w:t xml:space="preserve">the district needs to </w:t>
      </w:r>
      <w:r w:rsidR="00655B2C">
        <w:rPr>
          <w:rFonts w:eastAsia="Aptos" w:cs="Aptos"/>
          <w:spacing w:val="-2"/>
        </w:rPr>
        <w:t>focus on</w:t>
      </w:r>
      <w:r w:rsidR="00EE2147" w:rsidRPr="00C94B25">
        <w:rPr>
          <w:rFonts w:eastAsia="Aptos" w:cs="Aptos"/>
          <w:spacing w:val="-2"/>
        </w:rPr>
        <w:t xml:space="preserve"> </w:t>
      </w:r>
      <w:r w:rsidR="7D1D1302" w:rsidRPr="00C94B25">
        <w:rPr>
          <w:rFonts w:eastAsia="Aptos" w:cs="Aptos"/>
          <w:spacing w:val="-2"/>
        </w:rPr>
        <w:t>a</w:t>
      </w:r>
      <w:r w:rsidR="7D1D1302" w:rsidRPr="00C94B25">
        <w:rPr>
          <w:rFonts w:eastAsia="Helvetica Neue" w:cs="Helvetica Neue"/>
          <w:spacing w:val="-2"/>
        </w:rPr>
        <w:t xml:space="preserve">rticulating areas for improvement and actionable feedback more consistently in the evaluation process. Similarly, </w:t>
      </w:r>
      <w:r w:rsidR="00106CCD">
        <w:rPr>
          <w:rFonts w:eastAsia="Helvetica Neue" w:cs="Helvetica Neue"/>
          <w:spacing w:val="-2"/>
        </w:rPr>
        <w:t>respondents</w:t>
      </w:r>
      <w:r w:rsidR="00106CCD" w:rsidRPr="00C94B25">
        <w:rPr>
          <w:rFonts w:eastAsia="Helvetica Neue" w:cs="Helvetica Neue"/>
          <w:spacing w:val="-2"/>
        </w:rPr>
        <w:t xml:space="preserve"> </w:t>
      </w:r>
      <w:r w:rsidR="00EC6F22" w:rsidRPr="00C94B25">
        <w:rPr>
          <w:rFonts w:eastAsia="Helvetica Neue" w:cs="Helvetica Neue"/>
          <w:spacing w:val="-2"/>
        </w:rPr>
        <w:t xml:space="preserve">noted </w:t>
      </w:r>
      <w:r w:rsidRPr="00C94B25">
        <w:rPr>
          <w:rFonts w:eastAsia="Helvetica Neue" w:cs="Helvetica Neue"/>
          <w:spacing w:val="-2"/>
        </w:rPr>
        <w:t xml:space="preserve">the following additional areas for growth: </w:t>
      </w:r>
      <w:r w:rsidR="7D1D1302" w:rsidRPr="00C94B25">
        <w:rPr>
          <w:rFonts w:eastAsia="Helvetica Neue" w:cs="Helvetica Neue"/>
          <w:spacing w:val="-2"/>
        </w:rPr>
        <w:t>improv</w:t>
      </w:r>
      <w:r w:rsidR="00EC6F22" w:rsidRPr="00C94B25">
        <w:rPr>
          <w:rFonts w:eastAsia="Helvetica Neue" w:cs="Helvetica Neue"/>
          <w:spacing w:val="-2"/>
        </w:rPr>
        <w:t>e</w:t>
      </w:r>
      <w:r w:rsidR="7D1D1302" w:rsidRPr="00C94B25">
        <w:rPr>
          <w:rFonts w:eastAsia="Helvetica Neue" w:cs="Helvetica Neue"/>
          <w:spacing w:val="-2"/>
        </w:rPr>
        <w:t xml:space="preserve"> the consistency of walkthroughs and actionable feedback</w:t>
      </w:r>
      <w:r w:rsidR="6803C645" w:rsidRPr="00C94B25">
        <w:rPr>
          <w:rFonts w:eastAsia="Helvetica Neue" w:cs="Helvetica Neue"/>
          <w:spacing w:val="-2"/>
        </w:rPr>
        <w:t xml:space="preserve">, </w:t>
      </w:r>
      <w:r w:rsidR="75834BB3" w:rsidRPr="00C94B25">
        <w:rPr>
          <w:rFonts w:eastAsia="Helvetica Neue" w:cs="Helvetica Neue"/>
          <w:spacing w:val="-2"/>
        </w:rPr>
        <w:t>i</w:t>
      </w:r>
      <w:r w:rsidR="6803C645" w:rsidRPr="00C94B25">
        <w:rPr>
          <w:rFonts w:eastAsia="Helvetica Neue" w:cs="Helvetica Neue"/>
          <w:spacing w:val="-2"/>
        </w:rPr>
        <w:t>ncreas</w:t>
      </w:r>
      <w:r w:rsidR="00941E5B" w:rsidRPr="00C94B25">
        <w:rPr>
          <w:rFonts w:eastAsia="Helvetica Neue" w:cs="Helvetica Neue"/>
          <w:spacing w:val="-2"/>
        </w:rPr>
        <w:t>e</w:t>
      </w:r>
      <w:r w:rsidR="6803C645" w:rsidRPr="00C94B25">
        <w:rPr>
          <w:rFonts w:eastAsia="Helvetica Neue" w:cs="Helvetica Neue"/>
          <w:spacing w:val="-2"/>
        </w:rPr>
        <w:t xml:space="preserve"> the opportunities for educators to select appropriate professional development opportunities to build their skills, and protect collaboration time and optimize the time.</w:t>
      </w:r>
      <w:r w:rsidR="003037A4">
        <w:rPr>
          <w:rFonts w:eastAsia="Helvetica Neue" w:cs="Helvetica Neue"/>
          <w:spacing w:val="-2"/>
        </w:rPr>
        <w:t xml:space="preserve"> The mentoring program for new teacher</w:t>
      </w:r>
      <w:r w:rsidR="000A3E61">
        <w:rPr>
          <w:rFonts w:eastAsia="Helvetica Neue" w:cs="Helvetica Neue"/>
          <w:spacing w:val="-2"/>
        </w:rPr>
        <w:t>s</w:t>
      </w:r>
      <w:r w:rsidR="003037A4">
        <w:rPr>
          <w:rFonts w:eastAsia="Helvetica Neue" w:cs="Helvetica Neue"/>
          <w:spacing w:val="-2"/>
        </w:rPr>
        <w:t xml:space="preserve"> can also be restructured to be more effective. </w:t>
      </w:r>
    </w:p>
    <w:p w14:paraId="2D5F1324" w14:textId="3E4B4BAC" w:rsidR="000B1DD2" w:rsidRPr="00900ADE" w:rsidRDefault="000B1DD2" w:rsidP="000B1DD2">
      <w:pPr>
        <w:pStyle w:val="Heading3"/>
      </w:pPr>
      <w:hyperlink w:anchor="_Student_Support" w:history="1">
        <w:r w:rsidRPr="00900ADE">
          <w:rPr>
            <w:rStyle w:val="Hyperlink"/>
          </w:rPr>
          <w:t>Student Support</w:t>
        </w:r>
      </w:hyperlink>
    </w:p>
    <w:p w14:paraId="503A4DEB" w14:textId="1E67B3DF" w:rsidR="006245A0" w:rsidRPr="00900ADE" w:rsidRDefault="006245A0" w:rsidP="0096118D">
      <w:pPr>
        <w:pStyle w:val="BodyTextposthead"/>
        <w:rPr>
          <w:shd w:val="clear" w:color="auto" w:fill="FFFFFF"/>
        </w:rPr>
      </w:pPr>
      <w:r w:rsidRPr="00900ADE">
        <w:rPr>
          <w:shd w:val="clear" w:color="auto" w:fill="FFFFFF"/>
        </w:rPr>
        <w:t>Medway</w:t>
      </w:r>
      <w:r w:rsidR="00DE6D6D" w:rsidRPr="00900ADE">
        <w:rPr>
          <w:shd w:val="clear" w:color="auto" w:fill="FFFFFF"/>
        </w:rPr>
        <w:t xml:space="preserve"> </w:t>
      </w:r>
      <w:r w:rsidR="00320416">
        <w:rPr>
          <w:shd w:val="clear" w:color="auto" w:fill="FFFFFF"/>
        </w:rPr>
        <w:t>has established</w:t>
      </w:r>
      <w:r w:rsidR="00DE6D6D" w:rsidRPr="00900ADE">
        <w:rPr>
          <w:shd w:val="clear" w:color="auto" w:fill="FFFFFF"/>
        </w:rPr>
        <w:t xml:space="preserve"> a</w:t>
      </w:r>
      <w:r w:rsidRPr="00900ADE">
        <w:rPr>
          <w:shd w:val="clear" w:color="auto" w:fill="FFFFFF"/>
        </w:rPr>
        <w:t xml:space="preserve"> school climate and culture </w:t>
      </w:r>
      <w:r w:rsidR="00DE6D6D" w:rsidRPr="00900ADE">
        <w:rPr>
          <w:shd w:val="clear" w:color="auto" w:fill="FFFFFF"/>
        </w:rPr>
        <w:t xml:space="preserve">in which </w:t>
      </w:r>
      <w:r w:rsidRPr="00900ADE">
        <w:rPr>
          <w:shd w:val="clear" w:color="auto" w:fill="FFFFFF"/>
        </w:rPr>
        <w:t xml:space="preserve">students generally feel welcome, respected, and safe in their schools. </w:t>
      </w:r>
      <w:r w:rsidR="00445789">
        <w:rPr>
          <w:shd w:val="clear" w:color="auto" w:fill="FFFFFF"/>
        </w:rPr>
        <w:t>At the elementary and middle school level</w:t>
      </w:r>
      <w:r w:rsidR="003B5387">
        <w:rPr>
          <w:shd w:val="clear" w:color="auto" w:fill="FFFFFF"/>
        </w:rPr>
        <w:t>,</w:t>
      </w:r>
      <w:r w:rsidR="00445789">
        <w:rPr>
          <w:shd w:val="clear" w:color="auto" w:fill="FFFFFF"/>
        </w:rPr>
        <w:t xml:space="preserve"> there is a variety of mental and behavioral health services across Tier 2 and 3 for students. </w:t>
      </w:r>
      <w:r w:rsidR="007C1AF1" w:rsidRPr="00900ADE">
        <w:rPr>
          <w:shd w:val="clear" w:color="auto" w:fill="FFFFFF"/>
        </w:rPr>
        <w:t>In addition</w:t>
      </w:r>
      <w:r w:rsidRPr="00900ADE">
        <w:rPr>
          <w:shd w:val="clear" w:color="auto" w:fill="FFFFFF"/>
        </w:rPr>
        <w:t xml:space="preserve">, </w:t>
      </w:r>
      <w:r w:rsidR="00445789">
        <w:rPr>
          <w:shd w:val="clear" w:color="auto" w:fill="FFFFFF"/>
        </w:rPr>
        <w:t>the district</w:t>
      </w:r>
      <w:r w:rsidRPr="00900ADE">
        <w:rPr>
          <w:shd w:val="clear" w:color="auto" w:fill="FFFFFF"/>
        </w:rPr>
        <w:t xml:space="preserve"> has put significant effort into developing a wraparound service program, which is made up of a district social worker, a therapeutic mentor, a parent coach, and access to Care Solace. The wraparound program at Medway supports all students and their families with their needs that extend beyond the school. </w:t>
      </w:r>
    </w:p>
    <w:p w14:paraId="482F28C3" w14:textId="1FDF2121" w:rsidR="00B03633" w:rsidRPr="007E5E15" w:rsidRDefault="006245A0" w:rsidP="0096118D">
      <w:pPr>
        <w:pStyle w:val="BodyText"/>
        <w:rPr>
          <w:bCs/>
          <w:bdr w:val="none" w:sz="0" w:space="0" w:color="auto" w:frame="1"/>
        </w:rPr>
      </w:pPr>
      <w:r w:rsidRPr="00900ADE">
        <w:rPr>
          <w:shd w:val="clear" w:color="auto" w:fill="FFFFFF"/>
        </w:rPr>
        <w:t xml:space="preserve">However, </w:t>
      </w:r>
      <w:r w:rsidR="00B03633">
        <w:rPr>
          <w:shd w:val="clear" w:color="auto" w:fill="FFFFFF"/>
        </w:rPr>
        <w:t xml:space="preserve">although </w:t>
      </w:r>
      <w:r w:rsidR="00B03633" w:rsidRPr="00900ADE">
        <w:rPr>
          <w:bCs/>
          <w:bdr w:val="none" w:sz="0" w:space="0" w:color="auto" w:frame="1"/>
        </w:rPr>
        <w:t xml:space="preserve">schools have some supports that operate in silos, </w:t>
      </w:r>
      <w:r w:rsidR="00B03633">
        <w:rPr>
          <w:bCs/>
          <w:bdr w:val="none" w:sz="0" w:space="0" w:color="auto" w:frame="1"/>
        </w:rPr>
        <w:t xml:space="preserve">Medway is lacking </w:t>
      </w:r>
      <w:r w:rsidR="00B03633" w:rsidRPr="00900ADE">
        <w:rPr>
          <w:bCs/>
          <w:bdr w:val="none" w:sz="0" w:space="0" w:color="auto" w:frame="1"/>
        </w:rPr>
        <w:t xml:space="preserve">Tier 2 </w:t>
      </w:r>
      <w:r w:rsidR="00B03633">
        <w:rPr>
          <w:bCs/>
          <w:bdr w:val="none" w:sz="0" w:space="0" w:color="auto" w:frame="1"/>
        </w:rPr>
        <w:t xml:space="preserve">behavior </w:t>
      </w:r>
      <w:r w:rsidR="00B03633" w:rsidRPr="00900ADE">
        <w:rPr>
          <w:bCs/>
          <w:bdr w:val="none" w:sz="0" w:space="0" w:color="auto" w:frame="1"/>
        </w:rPr>
        <w:t>supports</w:t>
      </w:r>
      <w:r w:rsidR="00B03633">
        <w:rPr>
          <w:bCs/>
          <w:bdr w:val="none" w:sz="0" w:space="0" w:color="auto" w:frame="1"/>
        </w:rPr>
        <w:t xml:space="preserve"> and systematizing access to mental health </w:t>
      </w:r>
      <w:r w:rsidR="00B03633" w:rsidRPr="00900ADE">
        <w:rPr>
          <w:bCs/>
          <w:bdr w:val="none" w:sz="0" w:space="0" w:color="auto" w:frame="1"/>
        </w:rPr>
        <w:t>services for students at the secondary level</w:t>
      </w:r>
      <w:r w:rsidR="00B03633">
        <w:rPr>
          <w:bCs/>
          <w:bdr w:val="none" w:sz="0" w:space="0" w:color="auto" w:frame="1"/>
        </w:rPr>
        <w:t>. In addition, s</w:t>
      </w:r>
      <w:r w:rsidR="00B03633" w:rsidRPr="00900ADE">
        <w:rPr>
          <w:bCs/>
          <w:bdr w:val="none" w:sz="0" w:space="0" w:color="auto" w:frame="1"/>
        </w:rPr>
        <w:t>tudents reported that most teachers do not ask for their feedback; if they do provide feedback, changes are not made based on that feedback</w:t>
      </w:r>
      <w:r w:rsidR="00B03633">
        <w:rPr>
          <w:shd w:val="clear" w:color="auto" w:fill="FFFFFF"/>
        </w:rPr>
        <w:t xml:space="preserve">. Medway </w:t>
      </w:r>
      <w:r w:rsidR="00A83973">
        <w:rPr>
          <w:shd w:val="clear" w:color="auto" w:fill="FFFFFF"/>
        </w:rPr>
        <w:t xml:space="preserve">also </w:t>
      </w:r>
      <w:r w:rsidR="00B03633">
        <w:rPr>
          <w:shd w:val="clear" w:color="auto" w:fill="FFFFFF"/>
        </w:rPr>
        <w:t>does not have a multitiered system of support (MTSS)</w:t>
      </w:r>
      <w:r w:rsidR="0025764C">
        <w:rPr>
          <w:shd w:val="clear" w:color="auto" w:fill="FFFFFF"/>
        </w:rPr>
        <w:t xml:space="preserve"> </w:t>
      </w:r>
      <w:r w:rsidR="0025764C" w:rsidRPr="00900ADE">
        <w:rPr>
          <w:shd w:val="clear" w:color="auto" w:fill="FFFFFF"/>
        </w:rPr>
        <w:t xml:space="preserve">guidebook that clearly defines the system’s three tiers of support and details how the district applies an adaptable </w:t>
      </w:r>
      <w:r w:rsidR="0025764C" w:rsidRPr="00900ADE">
        <w:rPr>
          <w:bCs/>
          <w:bdr w:val="none" w:sz="0" w:space="0" w:color="auto" w:frame="1"/>
        </w:rPr>
        <w:t>MTSS to implement interventions</w:t>
      </w:r>
      <w:r w:rsidR="0025764C">
        <w:rPr>
          <w:bCs/>
          <w:bdr w:val="none" w:sz="0" w:space="0" w:color="auto" w:frame="1"/>
        </w:rPr>
        <w:t xml:space="preserve">. </w:t>
      </w:r>
      <w:r w:rsidR="007E5E15">
        <w:rPr>
          <w:bCs/>
          <w:bdr w:val="none" w:sz="0" w:space="0" w:color="auto" w:frame="1"/>
        </w:rPr>
        <w:t xml:space="preserve">In addition to the lack of </w:t>
      </w:r>
      <w:r w:rsidR="00222A42">
        <w:rPr>
          <w:bCs/>
          <w:bdr w:val="none" w:sz="0" w:space="0" w:color="auto" w:frame="1"/>
        </w:rPr>
        <w:t xml:space="preserve">a </w:t>
      </w:r>
      <w:r w:rsidR="007E5E15">
        <w:rPr>
          <w:bCs/>
          <w:bdr w:val="none" w:sz="0" w:space="0" w:color="auto" w:frame="1"/>
        </w:rPr>
        <w:t xml:space="preserve">guidebook, the district also lacks specificity </w:t>
      </w:r>
      <w:r w:rsidR="00222A42">
        <w:rPr>
          <w:bCs/>
          <w:bdr w:val="none" w:sz="0" w:space="0" w:color="auto" w:frame="1"/>
        </w:rPr>
        <w:t xml:space="preserve">in </w:t>
      </w:r>
      <w:r w:rsidR="007E5E15">
        <w:rPr>
          <w:bCs/>
          <w:bdr w:val="none" w:sz="0" w:space="0" w:color="auto" w:frame="1"/>
        </w:rPr>
        <w:t xml:space="preserve">the MTSS process, which includes no districtwide expectations around monitoring the effectiveness of an MTSS program, having </w:t>
      </w:r>
      <w:r w:rsidR="000B0339">
        <w:rPr>
          <w:bCs/>
          <w:bdr w:val="none" w:sz="0" w:space="0" w:color="auto" w:frame="1"/>
        </w:rPr>
        <w:t xml:space="preserve">consistent districtwide </w:t>
      </w:r>
      <w:r w:rsidR="007E5E15">
        <w:rPr>
          <w:bCs/>
          <w:bdr w:val="none" w:sz="0" w:space="0" w:color="auto" w:frame="1"/>
        </w:rPr>
        <w:t xml:space="preserve">progress monitoring procedures, and supporting schools in creating schedules that provide time for teachers to implement Tier 2 and 3 interventions. </w:t>
      </w:r>
      <w:r w:rsidR="00A83973">
        <w:rPr>
          <w:bCs/>
          <w:bdr w:val="none" w:sz="0" w:space="0" w:color="auto" w:frame="1"/>
        </w:rPr>
        <w:t xml:space="preserve">Lastly, Medway </w:t>
      </w:r>
      <w:r w:rsidR="00811B3B">
        <w:rPr>
          <w:bCs/>
          <w:bdr w:val="none" w:sz="0" w:space="0" w:color="auto" w:frame="1"/>
        </w:rPr>
        <w:t xml:space="preserve">does not provide sufficient </w:t>
      </w:r>
      <w:r w:rsidR="00A83973" w:rsidRPr="00473731">
        <w:t xml:space="preserve">guidance </w:t>
      </w:r>
      <w:r w:rsidR="00055684">
        <w:t xml:space="preserve">to help staff </w:t>
      </w:r>
      <w:r w:rsidR="00A83973" w:rsidRPr="00473731">
        <w:t>support students</w:t>
      </w:r>
      <w:r w:rsidR="00A83973">
        <w:t>, especially English Learners,</w:t>
      </w:r>
      <w:r w:rsidR="00A83973" w:rsidRPr="00473731">
        <w:t xml:space="preserve"> who </w:t>
      </w:r>
      <w:r w:rsidR="00811B3B">
        <w:t xml:space="preserve">receive </w:t>
      </w:r>
      <w:r w:rsidR="00A83973" w:rsidRPr="00473731">
        <w:t>Tier 2 and Tier 3 services</w:t>
      </w:r>
      <w:r w:rsidR="00055684">
        <w:t>.</w:t>
      </w:r>
      <w:r w:rsidR="00A83973" w:rsidRPr="00473731">
        <w:t xml:space="preserve"> </w:t>
      </w:r>
    </w:p>
    <w:p w14:paraId="202DC286" w14:textId="586E6819" w:rsidR="000B1DD2" w:rsidRPr="00900ADE" w:rsidRDefault="000B1DD2" w:rsidP="000B1DD2">
      <w:pPr>
        <w:pStyle w:val="Heading3"/>
      </w:pPr>
      <w:hyperlink w:anchor="_Financial_and_Asset" w:history="1">
        <w:r w:rsidRPr="00900ADE">
          <w:rPr>
            <w:rStyle w:val="Hyperlink"/>
          </w:rPr>
          <w:t>Financial and Asset Management</w:t>
        </w:r>
      </w:hyperlink>
    </w:p>
    <w:bookmarkEnd w:id="9"/>
    <w:p w14:paraId="5ACCB278" w14:textId="41AF6FC6" w:rsidR="00960E22" w:rsidRPr="00900ADE" w:rsidRDefault="00960E22" w:rsidP="0096118D">
      <w:pPr>
        <w:pStyle w:val="BodyTextposthead"/>
      </w:pPr>
      <w:r w:rsidRPr="00900ADE">
        <w:t xml:space="preserve">Medway has several financial and capital management strengths. For example, the district tracks the budget consistently </w:t>
      </w:r>
      <w:r w:rsidR="00D03062" w:rsidRPr="00900ADE">
        <w:t>throughout the year</w:t>
      </w:r>
      <w:r w:rsidR="00DE6D6D" w:rsidRPr="00900ADE">
        <w:t>,</w:t>
      </w:r>
      <w:r w:rsidRPr="00900ADE">
        <w:t xml:space="preserve"> and leaders have worked collaboratively with the school committee and </w:t>
      </w:r>
      <w:r w:rsidR="00DE6D6D" w:rsidRPr="00900ADE">
        <w:t xml:space="preserve">district </w:t>
      </w:r>
      <w:r w:rsidRPr="00900ADE">
        <w:t xml:space="preserve">leadership to improve financial awareness and avoid overspending. In terms of partnerships with municipal officials, both </w:t>
      </w:r>
      <w:r w:rsidRPr="00900ADE">
        <w:rPr>
          <w:rFonts w:ascii="Arial" w:hAnsi="Arial" w:cs="Arial"/>
        </w:rPr>
        <w:t>d</w:t>
      </w:r>
      <w:r w:rsidRPr="00900ADE">
        <w:t xml:space="preserve">istrict staff and town officials describe </w:t>
      </w:r>
      <w:r w:rsidR="00DE6D6D" w:rsidRPr="00900ADE">
        <w:t xml:space="preserve">a </w:t>
      </w:r>
      <w:r w:rsidRPr="00900ADE">
        <w:t xml:space="preserve">strong, professional working relationship </w:t>
      </w:r>
      <w:r w:rsidR="00DE6D6D" w:rsidRPr="00900ADE">
        <w:t xml:space="preserve">focused on </w:t>
      </w:r>
      <w:r w:rsidRPr="00900ADE">
        <w:t>fiscal planning and shared services. The budget development process is well</w:t>
      </w:r>
      <w:r w:rsidR="00DE6D6D" w:rsidRPr="00900ADE">
        <w:t xml:space="preserve"> </w:t>
      </w:r>
      <w:r w:rsidRPr="00900ADE">
        <w:t xml:space="preserve">structured, involving multiple stages and </w:t>
      </w:r>
      <w:r w:rsidR="004224E0" w:rsidRPr="00900ADE">
        <w:t>constituent</w:t>
      </w:r>
      <w:r w:rsidRPr="00900ADE">
        <w:t xml:space="preserve"> input. Presentations and documents from the budget process are publicly available on the district’s website. District and town officials </w:t>
      </w:r>
      <w:r w:rsidR="00F6598E">
        <w:t xml:space="preserve">focus on </w:t>
      </w:r>
      <w:r w:rsidRPr="00900ADE">
        <w:t>building</w:t>
      </w:r>
      <w:r w:rsidR="00F6598E" w:rsidRPr="00F6598E">
        <w:t xml:space="preserve"> </w:t>
      </w:r>
      <w:r w:rsidR="00F6598E" w:rsidRPr="00900ADE">
        <w:t>maint</w:t>
      </w:r>
      <w:r w:rsidR="00F6598E">
        <w:t>enance</w:t>
      </w:r>
      <w:r w:rsidRPr="00900ADE">
        <w:t xml:space="preserve">, and the town provides significant support for capital expenses, such as replacing roofs and purchasing school vans. </w:t>
      </w:r>
    </w:p>
    <w:p w14:paraId="344174C0" w14:textId="77594602" w:rsidR="0072036E" w:rsidRPr="00900ADE" w:rsidRDefault="00DE6D6D" w:rsidP="007E07B6">
      <w:pPr>
        <w:pStyle w:val="BodyText"/>
        <w:rPr>
          <w:i/>
          <w:iCs/>
        </w:rPr>
      </w:pPr>
      <w:r w:rsidRPr="00900ADE">
        <w:t>Medway has</w:t>
      </w:r>
      <w:r w:rsidR="00960E22" w:rsidRPr="00900ADE">
        <w:t xml:space="preserve"> several areas </w:t>
      </w:r>
      <w:r w:rsidRPr="00900ADE">
        <w:t>for</w:t>
      </w:r>
      <w:r w:rsidR="00960E22" w:rsidRPr="00900ADE">
        <w:t xml:space="preserve"> growth related to finances and capital management. </w:t>
      </w:r>
      <w:r w:rsidRPr="00900ADE">
        <w:t xml:space="preserve">Even though </w:t>
      </w:r>
      <w:r w:rsidR="00960E22" w:rsidRPr="00900ADE">
        <w:t xml:space="preserve">budget development is a collaborative process, not all </w:t>
      </w:r>
      <w:r w:rsidR="004224E0" w:rsidRPr="00900ADE">
        <w:t>constituent</w:t>
      </w:r>
      <w:r w:rsidR="00960E22" w:rsidRPr="00900ADE">
        <w:t xml:space="preserve">s agreed that resources </w:t>
      </w:r>
      <w:r w:rsidR="00A774D0" w:rsidRPr="00900ADE">
        <w:t xml:space="preserve">are </w:t>
      </w:r>
      <w:r w:rsidR="00960E22" w:rsidRPr="00900ADE">
        <w:t xml:space="preserve">sufficient to support </w:t>
      </w:r>
      <w:r w:rsidR="00A774D0" w:rsidRPr="00900ADE">
        <w:t xml:space="preserve">the trajectory of </w:t>
      </w:r>
      <w:r w:rsidR="00960E22" w:rsidRPr="00900ADE">
        <w:t xml:space="preserve">core operations, and </w:t>
      </w:r>
      <w:r w:rsidR="00A774D0" w:rsidRPr="00900ADE">
        <w:t xml:space="preserve">addressing </w:t>
      </w:r>
      <w:r w:rsidR="00A774D0" w:rsidRPr="00900ADE" w:rsidDel="00600F64">
        <w:t xml:space="preserve">concerns about funding </w:t>
      </w:r>
      <w:r w:rsidR="00A774D0" w:rsidRPr="00900ADE">
        <w:t xml:space="preserve">levels </w:t>
      </w:r>
      <w:r w:rsidR="00A774D0" w:rsidRPr="00900ADE" w:rsidDel="00600F64">
        <w:t>for the coming years</w:t>
      </w:r>
      <w:r w:rsidR="00960E22" w:rsidRPr="00900ADE">
        <w:t xml:space="preserve"> is an area for growth. In addition, in </w:t>
      </w:r>
      <w:r w:rsidRPr="00900ADE">
        <w:t xml:space="preserve">relation to </w:t>
      </w:r>
      <w:r w:rsidR="00960E22" w:rsidRPr="00900ADE">
        <w:t xml:space="preserve">capital planning and operations, addressing </w:t>
      </w:r>
      <w:r w:rsidR="00960E22" w:rsidRPr="00900ADE">
        <w:rPr>
          <w:szCs w:val="20"/>
          <w:bdr w:val="none" w:sz="0" w:space="0" w:color="auto" w:frame="1"/>
        </w:rPr>
        <w:t xml:space="preserve">concerns about the maintenance and support of student technology is another area </w:t>
      </w:r>
      <w:r w:rsidRPr="00900ADE">
        <w:rPr>
          <w:szCs w:val="20"/>
          <w:bdr w:val="none" w:sz="0" w:space="0" w:color="auto" w:frame="1"/>
        </w:rPr>
        <w:t>for</w:t>
      </w:r>
      <w:r w:rsidR="00960E22" w:rsidRPr="00900ADE">
        <w:rPr>
          <w:szCs w:val="20"/>
          <w:bdr w:val="none" w:sz="0" w:space="0" w:color="auto" w:frame="1"/>
        </w:rPr>
        <w:t xml:space="preserve"> growth. </w:t>
      </w:r>
    </w:p>
    <w:p w14:paraId="7A47C448" w14:textId="50ED40B2" w:rsidR="003D6ECF" w:rsidRPr="00900ADE" w:rsidRDefault="00A41E15" w:rsidP="003D6ECF">
      <w:pPr>
        <w:pStyle w:val="Heading2"/>
      </w:pPr>
      <w:bookmarkStart w:id="10" w:name="_Toc202873107"/>
      <w:r w:rsidRPr="00900ADE">
        <w:lastRenderedPageBreak/>
        <w:t>Medway</w:t>
      </w:r>
      <w:r w:rsidR="003D6ECF" w:rsidRPr="00900ADE">
        <w:t xml:space="preserve"> </w:t>
      </w:r>
      <w:r w:rsidR="00D30A74" w:rsidRPr="00900ADE">
        <w:t xml:space="preserve">Public Schools: </w:t>
      </w:r>
      <w:r w:rsidR="003D6ECF" w:rsidRPr="00900ADE">
        <w:t>District Review Overview</w:t>
      </w:r>
      <w:bookmarkEnd w:id="10"/>
    </w:p>
    <w:p w14:paraId="2E41F691" w14:textId="77777777" w:rsidR="003D6ECF" w:rsidRPr="00900ADE" w:rsidRDefault="003D6ECF" w:rsidP="003D6ECF">
      <w:pPr>
        <w:pStyle w:val="Heading3"/>
      </w:pPr>
      <w:bookmarkStart w:id="11" w:name="_Toc273777149"/>
      <w:bookmarkStart w:id="12" w:name="_Toc277066412"/>
      <w:bookmarkStart w:id="13" w:name="_Toc338665638"/>
      <w:r w:rsidRPr="00900ADE">
        <w:t>Purpose</w:t>
      </w:r>
      <w:bookmarkEnd w:id="11"/>
      <w:bookmarkEnd w:id="12"/>
      <w:bookmarkEnd w:id="13"/>
    </w:p>
    <w:p w14:paraId="339CEE9F" w14:textId="7C67F365" w:rsidR="003D6ECF" w:rsidRPr="00900ADE" w:rsidRDefault="003D6ECF" w:rsidP="004C5F05">
      <w:pPr>
        <w:pStyle w:val="BodyTextposthead"/>
        <w:rPr>
          <w:rFonts w:cs="Calibri"/>
          <w:bCs/>
        </w:rPr>
      </w:pPr>
      <w:r w:rsidRPr="00900ADE">
        <w:t xml:space="preserve">Conducted under Chapter 15, Section 55A of the Massachusetts General Laws, </w:t>
      </w:r>
      <w:r w:rsidR="00D30A74" w:rsidRPr="00900ADE">
        <w:t xml:space="preserve">comprehensive </w:t>
      </w:r>
      <w:r w:rsidRPr="00900ADE">
        <w:t xml:space="preserve">district reviews support local school districts in establishing or strengthening a cycle of continuous improvement. Reviews </w:t>
      </w:r>
      <w:r w:rsidR="00D30A74" w:rsidRPr="00900ADE">
        <w:t xml:space="preserve">carefully </w:t>
      </w:r>
      <w:r w:rsidRPr="00900ADE">
        <w:t xml:space="preserve">consider the effectiveness of systemwide functions, </w:t>
      </w:r>
      <w:r w:rsidR="00D30A74" w:rsidRPr="00900ADE">
        <w:t>referring</w:t>
      </w:r>
      <w:r w:rsidRPr="00900ADE">
        <w:t xml:space="preserve"> to the six district standards used by DESE: Leadership and Governance, Curriculum and Instruction, Assessment, Human Resources and Professional Development, Student Support, and Financial and Asset Management. Reviews </w:t>
      </w:r>
      <w:r w:rsidR="00D740FB" w:rsidRPr="00900ADE">
        <w:t>provide the state, district leaders, and the public with an in-depth look into the systems, structures, and practices of a district and how they affect student experiences and opportunities.</w:t>
      </w:r>
      <w:r w:rsidR="0079466E" w:rsidRPr="00900ADE">
        <w:t xml:space="preserve"> Dis</w:t>
      </w:r>
      <w:r w:rsidR="00F01D16" w:rsidRPr="00900ADE">
        <w:t>trict reviews provide information and recommendations</w:t>
      </w:r>
      <w:r w:rsidR="00793B34" w:rsidRPr="00900ADE">
        <w:t xml:space="preserve"> to </w:t>
      </w:r>
      <w:r w:rsidR="00B81D99" w:rsidRPr="00900ADE">
        <w:t>support districts in</w:t>
      </w:r>
      <w:r w:rsidR="00793B34" w:rsidRPr="00900ADE">
        <w:rPr>
          <w:rFonts w:cs="Calibri"/>
          <w:bCs/>
        </w:rPr>
        <w:t xml:space="preserve"> </w:t>
      </w:r>
      <w:r w:rsidR="00B81D99" w:rsidRPr="00900ADE">
        <w:rPr>
          <w:rFonts w:cs="Calibri"/>
          <w:bCs/>
        </w:rPr>
        <w:t xml:space="preserve">implementing </w:t>
      </w:r>
      <w:r w:rsidR="007E7A6E" w:rsidRPr="00900ADE">
        <w:rPr>
          <w:rFonts w:cs="Calibri"/>
          <w:bCs/>
        </w:rPr>
        <w:t>systemic improvements and advance equitable student outcomes and experiences.</w:t>
      </w:r>
      <w:r w:rsidR="00B53F86" w:rsidRPr="00900ADE">
        <w:rPr>
          <w:rFonts w:cs="Calibri"/>
          <w:bCs/>
        </w:rPr>
        <w:t xml:space="preserve"> </w:t>
      </w:r>
    </w:p>
    <w:p w14:paraId="267B0A5A" w14:textId="77777777" w:rsidR="003D6ECF" w:rsidRPr="00900ADE" w:rsidRDefault="003D6ECF" w:rsidP="003D6ECF">
      <w:pPr>
        <w:pStyle w:val="Heading3"/>
      </w:pPr>
      <w:bookmarkStart w:id="14" w:name="_Toc273777151"/>
      <w:bookmarkStart w:id="15" w:name="_Toc277066413"/>
      <w:bookmarkStart w:id="16" w:name="_Toc338665639"/>
      <w:r w:rsidRPr="00900ADE">
        <w:t>Methodology</w:t>
      </w:r>
      <w:bookmarkEnd w:id="14"/>
      <w:bookmarkEnd w:id="15"/>
      <w:bookmarkEnd w:id="16"/>
    </w:p>
    <w:p w14:paraId="6A0B0F11" w14:textId="2A79445B" w:rsidR="009D0554" w:rsidRPr="00900ADE" w:rsidRDefault="003D6ECF" w:rsidP="004C5F05">
      <w:pPr>
        <w:pStyle w:val="BodyTextposthead"/>
      </w:pPr>
      <w:r w:rsidRPr="00900ADE">
        <w:t>A district review team consisting of AIR staff members and subcontractors, with expertise in each district standard, reviews documentation and extant data prior to conducting an on</w:t>
      </w:r>
      <w:r w:rsidR="00D30A74" w:rsidRPr="00900ADE">
        <w:t>-</w:t>
      </w:r>
      <w:r w:rsidRPr="00900ADE">
        <w:t>site visit. On</w:t>
      </w:r>
      <w:r w:rsidR="00D30A74" w:rsidRPr="00900ADE">
        <w:t>-</w:t>
      </w:r>
      <w:r w:rsidRPr="00900ADE">
        <w:t xml:space="preserve">site data collection includes team members conducting interviews and focus group sessions with a wide range of </w:t>
      </w:r>
      <w:r w:rsidR="004224E0" w:rsidRPr="00900ADE">
        <w:t>constituent</w:t>
      </w:r>
      <w:r w:rsidRPr="00900ADE">
        <w:t xml:space="preserve">s, including </w:t>
      </w:r>
      <w:r w:rsidR="009F03CD" w:rsidRPr="00900ADE">
        <w:t xml:space="preserve">municipal </w:t>
      </w:r>
      <w:r w:rsidR="00132A2B" w:rsidRPr="00900ADE">
        <w:t>staff</w:t>
      </w:r>
      <w:r w:rsidR="009F03CD" w:rsidRPr="00900ADE">
        <w:t xml:space="preserve">, </w:t>
      </w:r>
      <w:r w:rsidRPr="00900ADE">
        <w:t xml:space="preserve">school committee members, teachers’ association representatives, district and school administrators, teachers, students, and students’ families. </w:t>
      </w:r>
      <w:r w:rsidR="00F97066" w:rsidRPr="00900ADE">
        <w:t>Reviewers also conduct focus groups and v</w:t>
      </w:r>
      <w:r w:rsidR="005803A6" w:rsidRPr="00900ADE">
        <w:t xml:space="preserve">irtual interviews as needed. </w:t>
      </w:r>
      <w:r w:rsidR="00491ACB" w:rsidRPr="00900ADE">
        <w:t xml:space="preserve">Information about review activities and the site visit schedule is in Appendix A. </w:t>
      </w:r>
      <w:r w:rsidRPr="00900ADE">
        <w:t xml:space="preserve">Team members also observe classroom instruction and collect data using the CLASS protocol. </w:t>
      </w:r>
      <w:r w:rsidR="005803A6" w:rsidRPr="00900ADE">
        <w:t>The Districtwide Instructional Observation Report</w:t>
      </w:r>
      <w:r w:rsidR="00006535" w:rsidRPr="00900ADE">
        <w:t xml:space="preserve"> resulting from these classroom observations</w:t>
      </w:r>
      <w:r w:rsidR="005803A6" w:rsidRPr="00900ADE">
        <w:t xml:space="preserve"> is </w:t>
      </w:r>
      <w:r w:rsidR="009D0554" w:rsidRPr="00900ADE">
        <w:t>i</w:t>
      </w:r>
      <w:r w:rsidR="005803A6" w:rsidRPr="00900ADE">
        <w:t xml:space="preserve">n Appendix </w:t>
      </w:r>
      <w:r w:rsidR="00006535" w:rsidRPr="00900ADE">
        <w:t>B</w:t>
      </w:r>
      <w:r w:rsidR="005803A6" w:rsidRPr="00900ADE">
        <w:t xml:space="preserve">. </w:t>
      </w:r>
    </w:p>
    <w:p w14:paraId="5948E833" w14:textId="78379168" w:rsidR="003D6ECF" w:rsidRPr="00900ADE" w:rsidRDefault="007A3B7C" w:rsidP="004C5F05">
      <w:pPr>
        <w:pStyle w:val="BodyText"/>
        <w:rPr>
          <w:color w:val="000080"/>
        </w:rPr>
      </w:pPr>
      <w:r w:rsidRPr="00900ADE">
        <w:t xml:space="preserve">Following the site visit, all interview and focus group data </w:t>
      </w:r>
      <w:r w:rsidR="00DE6D6D" w:rsidRPr="00900ADE">
        <w:t>are</w:t>
      </w:r>
      <w:r w:rsidRPr="00900ADE">
        <w:t xml:space="preserve"> transcribed using automated transcription. The transcripts are then coded using both deterministic coding, based on the protocol questions, as well as natural language processing models. Team members analyze the coded data to develop a set of objective findings. </w:t>
      </w:r>
      <w:r w:rsidR="003D6ECF" w:rsidRPr="00900ADE">
        <w:t xml:space="preserve">The team lead and multiple quality assurance reviewers, including DESE staff, then review the initial draft of the report. DESE staff provides recommendations for the district, based on the findings of strengths and areas </w:t>
      </w:r>
      <w:r w:rsidR="00DE6D6D" w:rsidRPr="00900ADE">
        <w:t>for</w:t>
      </w:r>
      <w:r w:rsidR="003D6ECF" w:rsidRPr="00900ADE">
        <w:t xml:space="preserve"> growth identified</w:t>
      </w:r>
      <w:r w:rsidR="00D30A74" w:rsidRPr="00900ADE">
        <w:t>,</w:t>
      </w:r>
      <w:r w:rsidR="003D6ECF" w:rsidRPr="00900ADE">
        <w:t xml:space="preserve"> before AIR finalizes and submits the report to DESE</w:t>
      </w:r>
      <w:r w:rsidR="003D6ECF" w:rsidRPr="00900ADE">
        <w:rPr>
          <w:color w:val="000080"/>
        </w:rPr>
        <w:t>. D</w:t>
      </w:r>
      <w:r w:rsidR="003D6ECF" w:rsidRPr="00900ADE">
        <w:t>ESE previews and then sends the report to the district for factual review before publishing it on the DESE website.</w:t>
      </w:r>
      <w:r w:rsidR="00C268FD" w:rsidRPr="00900ADE">
        <w:t xml:space="preserve"> </w:t>
      </w:r>
      <w:r w:rsidR="00D3025F" w:rsidRPr="00900ADE">
        <w:t xml:space="preserve">DESE also provides </w:t>
      </w:r>
      <w:r w:rsidR="00C268FD" w:rsidRPr="00900ADE">
        <w:t>additional resources to support implementation of DESE’s District Standards and Indicators</w:t>
      </w:r>
      <w:r w:rsidR="009D0554" w:rsidRPr="00900ADE">
        <w:t>, summarized</w:t>
      </w:r>
      <w:r w:rsidR="00D3025F" w:rsidRPr="00900ADE">
        <w:t xml:space="preserve"> in Appendix </w:t>
      </w:r>
      <w:r w:rsidR="00006535" w:rsidRPr="00900ADE">
        <w:t>C</w:t>
      </w:r>
      <w:r w:rsidR="00C268FD" w:rsidRPr="00900ADE">
        <w:t>.</w:t>
      </w:r>
    </w:p>
    <w:p w14:paraId="5D00CDA2" w14:textId="77777777" w:rsidR="003D6ECF" w:rsidRPr="00900ADE" w:rsidRDefault="003D6ECF" w:rsidP="003D6ECF">
      <w:pPr>
        <w:pStyle w:val="Heading3"/>
      </w:pPr>
      <w:r w:rsidRPr="00900ADE">
        <w:t>Site Visit</w:t>
      </w:r>
    </w:p>
    <w:p w14:paraId="02DDA948" w14:textId="48F14C09" w:rsidR="003D6ECF" w:rsidRPr="00900ADE" w:rsidRDefault="003D6ECF" w:rsidP="004C5F05">
      <w:pPr>
        <w:pStyle w:val="BodyTextposthead"/>
      </w:pPr>
      <w:r w:rsidRPr="00900ADE">
        <w:t xml:space="preserve">The site visit to </w:t>
      </w:r>
      <w:r w:rsidR="00772407" w:rsidRPr="00900ADE">
        <w:t>Medway</w:t>
      </w:r>
      <w:r w:rsidRPr="00900ADE">
        <w:t xml:space="preserve"> </w:t>
      </w:r>
      <w:r w:rsidR="00DE6D6D" w:rsidRPr="00900ADE">
        <w:t>occurred</w:t>
      </w:r>
      <w:r w:rsidRPr="00900ADE">
        <w:t xml:space="preserve"> during the week of </w:t>
      </w:r>
      <w:r w:rsidR="00772407" w:rsidRPr="00900ADE">
        <w:t>January 13, 2025</w:t>
      </w:r>
      <w:r w:rsidRPr="00900ADE">
        <w:t xml:space="preserve">. The site visit included </w:t>
      </w:r>
      <w:r w:rsidR="00B12647" w:rsidRPr="00900ADE">
        <w:t>20</w:t>
      </w:r>
      <w:r w:rsidR="00DE6D6D" w:rsidRPr="00900ADE">
        <w:t> </w:t>
      </w:r>
      <w:r w:rsidRPr="00900ADE">
        <w:t xml:space="preserve">hours of interviews and focus groups with approximately </w:t>
      </w:r>
      <w:r w:rsidR="00B12647" w:rsidRPr="00900ADE">
        <w:t>90</w:t>
      </w:r>
      <w:r w:rsidRPr="00900ADE">
        <w:t xml:space="preserve"> </w:t>
      </w:r>
      <w:r w:rsidR="00DE6D6D" w:rsidRPr="00900ADE">
        <w:t>stakeholders</w:t>
      </w:r>
      <w:r w:rsidRPr="00900ADE">
        <w:t xml:space="preserve">, including school committee members, district administrators, school staff, students, students’ families, and teachers’ association representatives. The review team conducted </w:t>
      </w:r>
      <w:r w:rsidR="00DE6D6D" w:rsidRPr="00900ADE">
        <w:t>three</w:t>
      </w:r>
      <w:r w:rsidR="00D30A74" w:rsidRPr="00900ADE">
        <w:t xml:space="preserve"> </w:t>
      </w:r>
      <w:r w:rsidRPr="00900ADE">
        <w:t xml:space="preserve">teacher focus groups with </w:t>
      </w:r>
      <w:r w:rsidR="004F05EC" w:rsidRPr="00900ADE">
        <w:t>11</w:t>
      </w:r>
      <w:r w:rsidR="00D30A74" w:rsidRPr="00900ADE">
        <w:t> </w:t>
      </w:r>
      <w:r w:rsidRPr="00900ADE">
        <w:t>elementary</w:t>
      </w:r>
      <w:r w:rsidR="00D02CA3" w:rsidRPr="00900ADE">
        <w:t xml:space="preserve"> </w:t>
      </w:r>
      <w:r w:rsidRPr="00900ADE">
        <w:t xml:space="preserve">school teachers, </w:t>
      </w:r>
      <w:r w:rsidR="00965A8F" w:rsidRPr="00900ADE">
        <w:t>seven</w:t>
      </w:r>
      <w:r w:rsidR="00D30A74" w:rsidRPr="00900ADE">
        <w:t xml:space="preserve"> </w:t>
      </w:r>
      <w:r w:rsidRPr="00900ADE">
        <w:t>middle</w:t>
      </w:r>
      <w:r w:rsidR="00D02CA3" w:rsidRPr="00900ADE">
        <w:t xml:space="preserve"> </w:t>
      </w:r>
      <w:r w:rsidRPr="00900ADE">
        <w:t xml:space="preserve">school teachers, and </w:t>
      </w:r>
      <w:r w:rsidR="004F05EC" w:rsidRPr="00900ADE">
        <w:t>11</w:t>
      </w:r>
      <w:r w:rsidRPr="00900ADE">
        <w:t xml:space="preserve"> high</w:t>
      </w:r>
      <w:r w:rsidR="00D02CA3" w:rsidRPr="00900ADE">
        <w:t xml:space="preserve"> </w:t>
      </w:r>
      <w:r w:rsidRPr="00900ADE">
        <w:t>school teachers</w:t>
      </w:r>
      <w:r w:rsidR="00FC43E8" w:rsidRPr="00900ADE">
        <w:t xml:space="preserve">; </w:t>
      </w:r>
      <w:r w:rsidR="00965A8F" w:rsidRPr="00900ADE">
        <w:t>two</w:t>
      </w:r>
      <w:r w:rsidR="00FC43E8" w:rsidRPr="00900ADE">
        <w:t> </w:t>
      </w:r>
      <w:r w:rsidR="00FC43E8" w:rsidRPr="00900ADE">
        <w:rPr>
          <w:rStyle w:val="normaltextrun"/>
          <w:rFonts w:ascii="Franklin Gothic Book" w:hAnsi="Franklin Gothic Book"/>
          <w:color w:val="000000"/>
          <w:shd w:val="clear" w:color="auto" w:fill="FFFFFF"/>
        </w:rPr>
        <w:t xml:space="preserve">focus groups with </w:t>
      </w:r>
      <w:r w:rsidR="00965A8F" w:rsidRPr="00900ADE">
        <w:t>eight</w:t>
      </w:r>
      <w:r w:rsidR="00FC43E8" w:rsidRPr="00900ADE">
        <w:t> </w:t>
      </w:r>
      <w:r w:rsidR="00FC43E8" w:rsidRPr="00900ADE">
        <w:rPr>
          <w:rStyle w:val="normaltextrun"/>
          <w:rFonts w:ascii="Franklin Gothic Book" w:hAnsi="Franklin Gothic Book"/>
          <w:color w:val="000000"/>
          <w:shd w:val="clear" w:color="auto" w:fill="FFFFFF"/>
        </w:rPr>
        <w:t xml:space="preserve">middle school and </w:t>
      </w:r>
      <w:r w:rsidR="004F05EC" w:rsidRPr="00900ADE">
        <w:t>17</w:t>
      </w:r>
      <w:r w:rsidR="00FC43E8" w:rsidRPr="00900ADE">
        <w:t> </w:t>
      </w:r>
      <w:r w:rsidR="00FC43E8" w:rsidRPr="00900ADE">
        <w:rPr>
          <w:rStyle w:val="normaltextrun"/>
          <w:rFonts w:ascii="Franklin Gothic Book" w:hAnsi="Franklin Gothic Book"/>
          <w:color w:val="000000"/>
          <w:shd w:val="clear" w:color="auto" w:fill="FFFFFF"/>
        </w:rPr>
        <w:t xml:space="preserve">high school students; and </w:t>
      </w:r>
      <w:r w:rsidR="00DE6D6D" w:rsidRPr="00900ADE">
        <w:t>two</w:t>
      </w:r>
      <w:r w:rsidR="00FC43E8" w:rsidRPr="00900ADE">
        <w:t> </w:t>
      </w:r>
      <w:r w:rsidR="00FC43E8" w:rsidRPr="00900ADE">
        <w:rPr>
          <w:rStyle w:val="normaltextrun"/>
          <w:rFonts w:ascii="Franklin Gothic Book" w:hAnsi="Franklin Gothic Book"/>
          <w:color w:val="000000"/>
          <w:shd w:val="clear" w:color="auto" w:fill="FFFFFF"/>
        </w:rPr>
        <w:t xml:space="preserve">family focus groups with </w:t>
      </w:r>
      <w:r w:rsidR="00884F56" w:rsidRPr="00900ADE">
        <w:t>18</w:t>
      </w:r>
      <w:r w:rsidR="00FC43E8" w:rsidRPr="00900ADE">
        <w:t> </w:t>
      </w:r>
      <w:r w:rsidR="00FC43E8" w:rsidRPr="00900ADE">
        <w:rPr>
          <w:rStyle w:val="normaltextrun"/>
          <w:rFonts w:ascii="Franklin Gothic Book" w:hAnsi="Franklin Gothic Book"/>
          <w:color w:val="000000"/>
          <w:shd w:val="clear" w:color="auto" w:fill="FFFFFF"/>
        </w:rPr>
        <w:t>parents</w:t>
      </w:r>
      <w:r w:rsidR="007D4D94">
        <w:rPr>
          <w:rStyle w:val="normaltextrun"/>
          <w:rFonts w:ascii="Franklin Gothic Book" w:hAnsi="Franklin Gothic Book"/>
          <w:color w:val="000000"/>
          <w:shd w:val="clear" w:color="auto" w:fill="FFFFFF"/>
        </w:rPr>
        <w:t xml:space="preserve"> or caregivers</w:t>
      </w:r>
      <w:r w:rsidR="00FC43E8" w:rsidRPr="00900ADE">
        <w:rPr>
          <w:rStyle w:val="normaltextrun"/>
          <w:rFonts w:ascii="Franklin Gothic Book" w:hAnsi="Franklin Gothic Book"/>
          <w:shd w:val="clear" w:color="auto" w:fill="FFFFFF"/>
        </w:rPr>
        <w:t>.</w:t>
      </w:r>
      <w:r w:rsidR="2976EE1D" w:rsidRPr="00900ADE">
        <w:rPr>
          <w:rStyle w:val="normaltextrun"/>
          <w:rFonts w:ascii="Franklin Gothic Book" w:hAnsi="Franklin Gothic Book"/>
          <w:shd w:val="clear" w:color="auto" w:fill="FFFFFF"/>
        </w:rPr>
        <w:t xml:space="preserve"> </w:t>
      </w:r>
      <w:r w:rsidR="2976EE1D" w:rsidRPr="00900ADE">
        <w:rPr>
          <w:rStyle w:val="normaltextrun"/>
          <w:rFonts w:ascii="Franklin Gothic Book" w:eastAsia="Franklin Gothic Book" w:hAnsi="Franklin Gothic Book" w:cs="Franklin Gothic Book"/>
        </w:rPr>
        <w:t xml:space="preserve">Data collection also included distributing a questionnaire to each </w:t>
      </w:r>
      <w:r w:rsidR="2976EE1D" w:rsidRPr="00900ADE">
        <w:rPr>
          <w:rStyle w:val="normaltextrun"/>
          <w:rFonts w:ascii="Franklin Gothic Book" w:eastAsia="Franklin Gothic Book" w:hAnsi="Franklin Gothic Book" w:cs="Franklin Gothic Book"/>
        </w:rPr>
        <w:lastRenderedPageBreak/>
        <w:t>principal to gather information on district and school processes and operations</w:t>
      </w:r>
      <w:r w:rsidR="003E400D">
        <w:rPr>
          <w:rStyle w:val="normaltextrun"/>
          <w:rFonts w:ascii="Franklin Gothic Book" w:eastAsia="Franklin Gothic Book" w:hAnsi="Franklin Gothic Book" w:cs="Franklin Gothic Book"/>
        </w:rPr>
        <w:t xml:space="preserve">; </w:t>
      </w:r>
      <w:r w:rsidR="003E400D" w:rsidRPr="003E400D">
        <w:rPr>
          <w:rStyle w:val="normaltextrun"/>
          <w:rFonts w:ascii="Franklin Gothic Book" w:eastAsia="Franklin Gothic Book" w:hAnsi="Franklin Gothic Book" w:cs="Franklin Gothic Book"/>
        </w:rPr>
        <w:t xml:space="preserve">respondents in </w:t>
      </w:r>
      <w:r w:rsidR="003E400D">
        <w:rPr>
          <w:rStyle w:val="normaltextrun"/>
          <w:rFonts w:ascii="Franklin Gothic Book" w:eastAsia="Franklin Gothic Book" w:hAnsi="Franklin Gothic Book" w:cs="Franklin Gothic Book"/>
        </w:rPr>
        <w:t>M</w:t>
      </w:r>
      <w:r w:rsidR="00C32EC6">
        <w:rPr>
          <w:rStyle w:val="normaltextrun"/>
          <w:rFonts w:ascii="Franklin Gothic Book" w:eastAsia="Franklin Gothic Book" w:hAnsi="Franklin Gothic Book" w:cs="Franklin Gothic Book"/>
        </w:rPr>
        <w:t>e</w:t>
      </w:r>
      <w:r w:rsidR="003E400D">
        <w:rPr>
          <w:rStyle w:val="normaltextrun"/>
          <w:rFonts w:ascii="Franklin Gothic Book" w:eastAsia="Franklin Gothic Book" w:hAnsi="Franklin Gothic Book" w:cs="Franklin Gothic Book"/>
        </w:rPr>
        <w:t>dway</w:t>
      </w:r>
      <w:r w:rsidR="003E400D" w:rsidRPr="003E400D">
        <w:rPr>
          <w:rStyle w:val="normaltextrun"/>
          <w:rFonts w:ascii="Franklin Gothic Book" w:eastAsia="Franklin Gothic Book" w:hAnsi="Franklin Gothic Book" w:cs="Franklin Gothic Book"/>
        </w:rPr>
        <w:t xml:space="preserve"> completed the district questionnaire and </w:t>
      </w:r>
      <w:r w:rsidR="003E400D">
        <w:rPr>
          <w:rStyle w:val="normaltextrun"/>
          <w:rFonts w:ascii="Franklin Gothic Book" w:eastAsia="Franklin Gothic Book" w:hAnsi="Franklin Gothic Book" w:cs="Franklin Gothic Book"/>
        </w:rPr>
        <w:t xml:space="preserve">4 </w:t>
      </w:r>
      <w:r w:rsidR="00C32EC6">
        <w:rPr>
          <w:rStyle w:val="normaltextrun"/>
          <w:rFonts w:ascii="Franklin Gothic Book" w:eastAsia="Franklin Gothic Book" w:hAnsi="Franklin Gothic Book" w:cs="Franklin Gothic Book"/>
        </w:rPr>
        <w:t xml:space="preserve">of 4 </w:t>
      </w:r>
      <w:r w:rsidR="003E400D" w:rsidRPr="003E400D">
        <w:rPr>
          <w:rStyle w:val="normaltextrun"/>
          <w:rFonts w:ascii="Franklin Gothic Book" w:eastAsia="Franklin Gothic Book" w:hAnsi="Franklin Gothic Book" w:cs="Franklin Gothic Book"/>
        </w:rPr>
        <w:t>principal questionnaires.</w:t>
      </w:r>
    </w:p>
    <w:p w14:paraId="698EEF1B" w14:textId="02E5CDC7" w:rsidR="003D6ECF" w:rsidRPr="00900ADE" w:rsidRDefault="003D6ECF" w:rsidP="004C5F05">
      <w:pPr>
        <w:pStyle w:val="BodyText"/>
      </w:pPr>
      <w:r w:rsidRPr="00900ADE">
        <w:t xml:space="preserve">The site team also conducted </w:t>
      </w:r>
      <w:r w:rsidR="007D3576" w:rsidRPr="00900ADE">
        <w:t>64</w:t>
      </w:r>
      <w:r w:rsidRPr="00900ADE">
        <w:t xml:space="preserve"> observations of classroom instruction in </w:t>
      </w:r>
      <w:r w:rsidR="00DE6D6D" w:rsidRPr="00900ADE">
        <w:t xml:space="preserve">four </w:t>
      </w:r>
      <w:r w:rsidRPr="00900ADE">
        <w:t>schools.</w:t>
      </w:r>
      <w:r w:rsidR="00B72349" w:rsidRPr="00900ADE">
        <w:rPr>
          <w:rStyle w:val="CommentReference"/>
        </w:rPr>
        <w:t xml:space="preserve"> </w:t>
      </w:r>
      <w:r w:rsidR="00D30A74" w:rsidRPr="00900ADE">
        <w:t>C</w:t>
      </w:r>
      <w:r w:rsidRPr="00900ADE">
        <w:t xml:space="preserve">ertified team members conducted instructional observations using the Teachstone CLASS protocol. </w:t>
      </w:r>
    </w:p>
    <w:p w14:paraId="2B77C53A" w14:textId="77777777" w:rsidR="003D6ECF" w:rsidRPr="00900ADE" w:rsidRDefault="003D6ECF" w:rsidP="003D6ECF">
      <w:pPr>
        <w:pStyle w:val="Heading3"/>
      </w:pPr>
      <w:r w:rsidRPr="00900ADE">
        <w:t>District Profile</w:t>
      </w:r>
    </w:p>
    <w:p w14:paraId="3AD53623" w14:textId="0CAB5B40" w:rsidR="00FF6871" w:rsidRPr="00900ADE" w:rsidRDefault="00FF6871" w:rsidP="004C5F05">
      <w:pPr>
        <w:pStyle w:val="BodyTextposthead"/>
      </w:pPr>
      <w:r w:rsidRPr="00900ADE">
        <w:t xml:space="preserve">The Town of Medway is southwest of Boston and borders the towns of Bellingham and Holliston. According to </w:t>
      </w:r>
      <w:hyperlink r:id="rId21">
        <w:r w:rsidRPr="00900ADE">
          <w:rPr>
            <w:rStyle w:val="Hyperlink"/>
            <w:rFonts w:ascii="Franklin Gothic Book" w:eastAsia="Franklin Gothic Book" w:hAnsi="Franklin Gothic Book" w:cs="Franklin Gothic Book"/>
          </w:rPr>
          <w:t>census data</w:t>
        </w:r>
      </w:hyperlink>
      <w:r w:rsidRPr="00900ADE">
        <w:t>, Medway’s median income from 2019</w:t>
      </w:r>
      <w:r w:rsidR="00DE6D6D" w:rsidRPr="00900ADE">
        <w:t xml:space="preserve"> to </w:t>
      </w:r>
      <w:r w:rsidRPr="00900ADE">
        <w:t>2023 was $174,357, which is above the state median income of $101,341. In 2023, Medway had an estimated 13,560 residents.</w:t>
      </w:r>
    </w:p>
    <w:p w14:paraId="6265C02E" w14:textId="39AB605A" w:rsidR="006E5B7D" w:rsidRPr="00900ADE" w:rsidRDefault="006E5B7D" w:rsidP="004C5F05">
      <w:pPr>
        <w:pStyle w:val="BodyText"/>
      </w:pPr>
      <w:r w:rsidRPr="00900ADE">
        <w:t xml:space="preserve">The </w:t>
      </w:r>
      <w:r w:rsidR="000B2CB9" w:rsidRPr="00900ADE">
        <w:t>s</w:t>
      </w:r>
      <w:r w:rsidRPr="00900ADE">
        <w:t xml:space="preserve">uperintendent of the </w:t>
      </w:r>
      <w:r w:rsidR="009C6954" w:rsidRPr="00900ADE">
        <w:t>Medway</w:t>
      </w:r>
      <w:r w:rsidRPr="00900ADE">
        <w:t xml:space="preserve"> Public Schools is Dr. </w:t>
      </w:r>
      <w:r w:rsidR="00587484" w:rsidRPr="00900ADE">
        <w:t>Armand Pires</w:t>
      </w:r>
      <w:r w:rsidRPr="00900ADE">
        <w:t xml:space="preserve">, who was appointed in </w:t>
      </w:r>
      <w:r w:rsidR="00B40CD7" w:rsidRPr="00900ADE">
        <w:t>2015.</w:t>
      </w:r>
      <w:r w:rsidRPr="00900ADE">
        <w:t xml:space="preserve"> </w:t>
      </w:r>
      <w:r w:rsidR="000B2CB9" w:rsidRPr="00900ADE">
        <w:t>Governance of the</w:t>
      </w:r>
      <w:r w:rsidRPr="00900ADE">
        <w:t xml:space="preserve"> district is </w:t>
      </w:r>
      <w:r w:rsidR="000B2CB9" w:rsidRPr="00900ADE">
        <w:t xml:space="preserve">through a five-member </w:t>
      </w:r>
      <w:r w:rsidRPr="00900ADE">
        <w:t xml:space="preserve">school committee who are elected for </w:t>
      </w:r>
      <w:r w:rsidR="00094792" w:rsidRPr="00900ADE">
        <w:t>three</w:t>
      </w:r>
      <w:r w:rsidRPr="00900ADE">
        <w:t>-year terms.</w:t>
      </w:r>
    </w:p>
    <w:p w14:paraId="748AA06A" w14:textId="656036BB" w:rsidR="006E5B7D" w:rsidRPr="00900ADE" w:rsidRDefault="006E5B7D" w:rsidP="004C5F05">
      <w:pPr>
        <w:pStyle w:val="BodyText"/>
      </w:pPr>
      <w:r w:rsidRPr="00900ADE">
        <w:t>In the 2024-202</w:t>
      </w:r>
      <w:r w:rsidR="002118B7" w:rsidRPr="00900ADE">
        <w:t>5</w:t>
      </w:r>
      <w:r w:rsidRPr="00900ADE">
        <w:t xml:space="preserve"> school year, the district served </w:t>
      </w:r>
      <w:r w:rsidR="002118B7" w:rsidRPr="00900ADE">
        <w:t>2</w:t>
      </w:r>
      <w:r w:rsidR="00F775AC" w:rsidRPr="00900ADE">
        <w:t>,158</w:t>
      </w:r>
      <w:r w:rsidRPr="00900ADE">
        <w:t xml:space="preserve"> students across its </w:t>
      </w:r>
      <w:r w:rsidR="0022551C" w:rsidRPr="00900ADE">
        <w:t>four</w:t>
      </w:r>
      <w:r w:rsidRPr="00900ADE">
        <w:t xml:space="preserve"> schools. Since the 2020-</w:t>
      </w:r>
      <w:r w:rsidR="000B2CB9" w:rsidRPr="00900ADE">
        <w:t>20</w:t>
      </w:r>
      <w:r w:rsidRPr="00900ADE">
        <w:t xml:space="preserve">21 school year, total enrollment has increased by </w:t>
      </w:r>
      <w:r w:rsidR="00A76547" w:rsidRPr="00900ADE">
        <w:t>84</w:t>
      </w:r>
      <w:r w:rsidRPr="00900ADE">
        <w:t xml:space="preserve"> students. Table 1 provides an overview of student enrollment by school for the 202</w:t>
      </w:r>
      <w:r w:rsidR="004F6CAF">
        <w:t>4</w:t>
      </w:r>
      <w:r w:rsidRPr="00900ADE">
        <w:t>-202</w:t>
      </w:r>
      <w:r w:rsidR="004F6CAF">
        <w:t>5</w:t>
      </w:r>
      <w:r w:rsidRPr="00900ADE">
        <w:t xml:space="preserve"> school year.</w:t>
      </w:r>
    </w:p>
    <w:p w14:paraId="0538FE71" w14:textId="034CB270" w:rsidR="006E5B7D" w:rsidRPr="00900ADE" w:rsidRDefault="006E5B7D" w:rsidP="004C5F05">
      <w:pPr>
        <w:pStyle w:val="TableTitle0"/>
      </w:pPr>
      <w:r w:rsidRPr="00900ADE">
        <w:t>Table 1. Schools, Type, Grades Served, and Enrollment, 2024-202</w:t>
      </w:r>
      <w:r w:rsidR="00BA0DBE" w:rsidRPr="00900ADE">
        <w:t>5</w:t>
      </w:r>
    </w:p>
    <w:tbl>
      <w:tblPr>
        <w:tblStyle w:val="TableGrid"/>
        <w:tblW w:w="5000" w:type="pct"/>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20" w:firstRow="1" w:lastRow="0" w:firstColumn="0" w:lastColumn="0" w:noHBand="0" w:noVBand="0"/>
      </w:tblPr>
      <w:tblGrid>
        <w:gridCol w:w="3828"/>
        <w:gridCol w:w="1989"/>
        <w:gridCol w:w="1613"/>
        <w:gridCol w:w="1914"/>
      </w:tblGrid>
      <w:tr w:rsidR="002B1C60" w:rsidRPr="00900ADE" w14:paraId="3832EC5C" w14:textId="77777777" w:rsidTr="00BC75C8">
        <w:trPr>
          <w:trHeight w:val="300"/>
          <w:tblHeader/>
        </w:trPr>
        <w:tc>
          <w:tcPr>
            <w:tcW w:w="3810" w:type="dxa"/>
            <w:tcBorders>
              <w:top w:val="single" w:sz="6" w:space="0" w:color="2F5496"/>
              <w:left w:val="single" w:sz="6" w:space="0" w:color="2F5496"/>
              <w:bottom w:val="single" w:sz="6" w:space="0" w:color="2F5496"/>
              <w:right w:val="single" w:sz="6" w:space="0" w:color="FFFFFF" w:themeColor="background1"/>
            </w:tcBorders>
            <w:shd w:val="clear" w:color="auto" w:fill="2F5496"/>
            <w:tcMar>
              <w:left w:w="45" w:type="dxa"/>
              <w:right w:w="45" w:type="dxa"/>
            </w:tcMar>
          </w:tcPr>
          <w:p w14:paraId="492EB0E1" w14:textId="77777777" w:rsidR="002B1C60" w:rsidRPr="00900ADE" w:rsidRDefault="002B1C60" w:rsidP="004C5F05">
            <w:pPr>
              <w:pStyle w:val="TableColHeadingLeft"/>
            </w:pPr>
            <w:r w:rsidRPr="00900ADE">
              <w:t xml:space="preserve">School </w:t>
            </w:r>
          </w:p>
        </w:tc>
        <w:tc>
          <w:tcPr>
            <w:tcW w:w="1980" w:type="dxa"/>
            <w:tcBorders>
              <w:top w:val="single" w:sz="6" w:space="0" w:color="2F5496"/>
              <w:left w:val="single" w:sz="6" w:space="0" w:color="FFFFFF" w:themeColor="background1"/>
              <w:bottom w:val="single" w:sz="6" w:space="0" w:color="2F5496"/>
              <w:right w:val="single" w:sz="6" w:space="0" w:color="FFFFFF" w:themeColor="background1"/>
            </w:tcBorders>
            <w:shd w:val="clear" w:color="auto" w:fill="2F5496"/>
            <w:tcMar>
              <w:left w:w="45" w:type="dxa"/>
              <w:right w:w="45" w:type="dxa"/>
            </w:tcMar>
          </w:tcPr>
          <w:p w14:paraId="1F44731E" w14:textId="77777777" w:rsidR="002B1C60" w:rsidRPr="00900ADE" w:rsidRDefault="002B1C60" w:rsidP="004C5F05">
            <w:pPr>
              <w:pStyle w:val="TableColHeadingCenter"/>
            </w:pPr>
            <w:r w:rsidRPr="00900ADE">
              <w:t>Type</w:t>
            </w:r>
          </w:p>
        </w:tc>
        <w:tc>
          <w:tcPr>
            <w:tcW w:w="1605" w:type="dxa"/>
            <w:tcBorders>
              <w:top w:val="single" w:sz="6" w:space="0" w:color="2F5496"/>
              <w:left w:val="single" w:sz="6" w:space="0" w:color="FFFFFF" w:themeColor="background1"/>
              <w:bottom w:val="single" w:sz="6" w:space="0" w:color="2F5496"/>
              <w:right w:val="single" w:sz="6" w:space="0" w:color="FFFFFF" w:themeColor="background1"/>
            </w:tcBorders>
            <w:shd w:val="clear" w:color="auto" w:fill="2F5496"/>
            <w:tcMar>
              <w:left w:w="45" w:type="dxa"/>
              <w:right w:w="45" w:type="dxa"/>
            </w:tcMar>
          </w:tcPr>
          <w:p w14:paraId="20011566" w14:textId="77777777" w:rsidR="002B1C60" w:rsidRPr="00900ADE" w:rsidRDefault="002B1C60" w:rsidP="004C5F05">
            <w:pPr>
              <w:pStyle w:val="TableColHeadingCenter"/>
            </w:pPr>
            <w:r w:rsidRPr="00900ADE">
              <w:t>Grades served</w:t>
            </w:r>
          </w:p>
        </w:tc>
        <w:tc>
          <w:tcPr>
            <w:tcW w:w="1905" w:type="dxa"/>
            <w:tcBorders>
              <w:top w:val="single" w:sz="6" w:space="0" w:color="2F5496"/>
              <w:left w:val="single" w:sz="6" w:space="0" w:color="FFFFFF" w:themeColor="background1"/>
              <w:bottom w:val="single" w:sz="6" w:space="0" w:color="2F5496"/>
              <w:right w:val="single" w:sz="6" w:space="0" w:color="2F5496"/>
            </w:tcBorders>
            <w:shd w:val="clear" w:color="auto" w:fill="2F5496"/>
            <w:tcMar>
              <w:left w:w="45" w:type="dxa"/>
              <w:right w:w="45" w:type="dxa"/>
            </w:tcMar>
          </w:tcPr>
          <w:p w14:paraId="649EB92D" w14:textId="77777777" w:rsidR="002B1C60" w:rsidRPr="00900ADE" w:rsidRDefault="002B1C60" w:rsidP="004C5F05">
            <w:pPr>
              <w:pStyle w:val="TableColHeadingCenter"/>
            </w:pPr>
            <w:r w:rsidRPr="00900ADE">
              <w:t>Enrollment</w:t>
            </w:r>
          </w:p>
        </w:tc>
      </w:tr>
      <w:tr w:rsidR="002B1C60" w:rsidRPr="00900ADE" w14:paraId="7FDFE385" w14:textId="77777777" w:rsidTr="00BC75C8">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14A24650" w14:textId="63932E27" w:rsidR="002B1C60" w:rsidRPr="00900ADE" w:rsidRDefault="002B1C60" w:rsidP="004C5F05">
            <w:pPr>
              <w:pStyle w:val="TableText"/>
              <w:rPr>
                <w:rFonts w:eastAsia="Franklin Gothic Book"/>
              </w:rPr>
            </w:pPr>
            <w:r w:rsidRPr="00900ADE">
              <w:rPr>
                <w:rFonts w:eastAsia="Franklin Gothic Book"/>
              </w:rPr>
              <w:t xml:space="preserve">John D. McGovern Elementary </w:t>
            </w:r>
            <w:r w:rsidR="00DE6D6D" w:rsidRPr="00900ADE">
              <w:rPr>
                <w:rFonts w:eastAsia="Franklin Gothic Book"/>
              </w:rPr>
              <w:t>School</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30702A14" w14:textId="77777777" w:rsidR="002B1C60" w:rsidRPr="00900ADE" w:rsidRDefault="002B1C60" w:rsidP="004C5F05">
            <w:pPr>
              <w:pStyle w:val="TableTextCentered"/>
            </w:pPr>
            <w:r w:rsidRPr="00900ADE">
              <w:t>Elementary</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5A0B11E3" w14:textId="77777777" w:rsidR="002B1C60" w:rsidRPr="00900ADE" w:rsidRDefault="002B1C60" w:rsidP="004C5F05">
            <w:pPr>
              <w:pStyle w:val="TableTextCentered"/>
            </w:pPr>
            <w:r w:rsidRPr="00900ADE">
              <w:t>PK-1</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75BA1C62" w14:textId="77777777" w:rsidR="002B1C60" w:rsidRPr="00900ADE" w:rsidRDefault="002B1C60" w:rsidP="004C5F05">
            <w:pPr>
              <w:pStyle w:val="TableTextCentered"/>
            </w:pPr>
            <w:r w:rsidRPr="00900ADE">
              <w:t>353</w:t>
            </w:r>
          </w:p>
        </w:tc>
      </w:tr>
      <w:tr w:rsidR="002B1C60" w:rsidRPr="00900ADE" w14:paraId="0ABCA506" w14:textId="77777777" w:rsidTr="00BC75C8">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4B285256" w14:textId="7E9C4152" w:rsidR="002B1C60" w:rsidRPr="00900ADE" w:rsidRDefault="002B1C60" w:rsidP="004C5F05">
            <w:pPr>
              <w:pStyle w:val="TableText"/>
              <w:rPr>
                <w:rFonts w:eastAsia="Franklin Gothic Book"/>
              </w:rPr>
            </w:pPr>
            <w:r w:rsidRPr="00900ADE">
              <w:rPr>
                <w:rFonts w:eastAsia="Franklin Gothic Book"/>
              </w:rPr>
              <w:t>Burke</w:t>
            </w:r>
            <w:r w:rsidR="00DE6D6D" w:rsidRPr="00900ADE">
              <w:rPr>
                <w:rFonts w:eastAsia="Franklin Gothic Book"/>
              </w:rPr>
              <w:t>-</w:t>
            </w:r>
            <w:r w:rsidRPr="00900ADE">
              <w:rPr>
                <w:rFonts w:eastAsia="Franklin Gothic Book"/>
              </w:rPr>
              <w:t>Memorial Elementary</w:t>
            </w:r>
            <w:r w:rsidR="00DE6D6D" w:rsidRPr="00900ADE">
              <w:rPr>
                <w:rFonts w:eastAsia="Franklin Gothic Book"/>
              </w:rPr>
              <w:t xml:space="preserve"> School</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64EB922B" w14:textId="77777777" w:rsidR="002B1C60" w:rsidRPr="00900ADE" w:rsidRDefault="002B1C60" w:rsidP="004C5F05">
            <w:pPr>
              <w:pStyle w:val="TableTextCentered"/>
            </w:pPr>
            <w:r w:rsidRPr="00900ADE">
              <w:t>Elementary</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3C536F29" w14:textId="77777777" w:rsidR="002B1C60" w:rsidRPr="00900ADE" w:rsidRDefault="002B1C60" w:rsidP="004C5F05">
            <w:pPr>
              <w:pStyle w:val="TableTextCentered"/>
            </w:pPr>
            <w:r w:rsidRPr="00900ADE">
              <w:t>2-4</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67DC552E" w14:textId="77777777" w:rsidR="002B1C60" w:rsidRPr="00900ADE" w:rsidRDefault="002B1C60" w:rsidP="004C5F05">
            <w:pPr>
              <w:pStyle w:val="TableTextCentered"/>
            </w:pPr>
            <w:r w:rsidRPr="00900ADE">
              <w:t>506</w:t>
            </w:r>
          </w:p>
        </w:tc>
      </w:tr>
      <w:tr w:rsidR="002B1C60" w:rsidRPr="00900ADE" w14:paraId="3A98C315" w14:textId="77777777" w:rsidTr="00BC75C8">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02138C75" w14:textId="759AB309" w:rsidR="002B1C60" w:rsidRPr="00900ADE" w:rsidRDefault="002B1C60" w:rsidP="004C5F05">
            <w:pPr>
              <w:pStyle w:val="TableText"/>
            </w:pPr>
            <w:r w:rsidRPr="00900ADE">
              <w:rPr>
                <w:rFonts w:eastAsia="Franklin Gothic Book"/>
              </w:rPr>
              <w:t>Medway Middle</w:t>
            </w:r>
            <w:r w:rsidR="00DE6D6D" w:rsidRPr="00900ADE">
              <w:rPr>
                <w:rFonts w:eastAsia="Franklin Gothic Book"/>
              </w:rPr>
              <w:t xml:space="preserve"> School</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43001D99" w14:textId="77777777" w:rsidR="002B1C60" w:rsidRPr="00900ADE" w:rsidRDefault="002B1C60" w:rsidP="004C5F05">
            <w:pPr>
              <w:pStyle w:val="TableTextCentered"/>
            </w:pPr>
            <w:r w:rsidRPr="00900ADE">
              <w:t>Middle</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767C6028" w14:textId="77777777" w:rsidR="002B1C60" w:rsidRPr="00900ADE" w:rsidRDefault="002B1C60" w:rsidP="004C5F05">
            <w:pPr>
              <w:pStyle w:val="TableTextCentered"/>
            </w:pPr>
            <w:r w:rsidRPr="00900ADE">
              <w:t>5-8</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1C81CCC1" w14:textId="77777777" w:rsidR="002B1C60" w:rsidRPr="00900ADE" w:rsidRDefault="002B1C60" w:rsidP="004C5F05">
            <w:pPr>
              <w:pStyle w:val="TableTextCentered"/>
            </w:pPr>
            <w:r w:rsidRPr="00900ADE">
              <w:t>677</w:t>
            </w:r>
          </w:p>
        </w:tc>
      </w:tr>
      <w:tr w:rsidR="002B1C60" w:rsidRPr="00900ADE" w14:paraId="6618A671" w14:textId="77777777" w:rsidTr="00BC75C8">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1180D499" w14:textId="2AEED739" w:rsidR="002B1C60" w:rsidRPr="00900ADE" w:rsidRDefault="002B1C60" w:rsidP="004C5F05">
            <w:pPr>
              <w:pStyle w:val="TableText"/>
            </w:pPr>
            <w:r w:rsidRPr="00900ADE">
              <w:rPr>
                <w:rFonts w:eastAsia="Franklin Gothic Book"/>
              </w:rPr>
              <w:t>Medway High</w:t>
            </w:r>
            <w:r w:rsidR="00DE6D6D" w:rsidRPr="00900ADE">
              <w:rPr>
                <w:rFonts w:eastAsia="Franklin Gothic Book"/>
              </w:rPr>
              <w:t xml:space="preserve"> School</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1668AE80" w14:textId="77777777" w:rsidR="002B1C60" w:rsidRPr="00900ADE" w:rsidRDefault="002B1C60" w:rsidP="004C5F05">
            <w:pPr>
              <w:pStyle w:val="TableTextCentered"/>
            </w:pPr>
            <w:r w:rsidRPr="00900ADE">
              <w:t>High</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48FB31D3" w14:textId="77777777" w:rsidR="002B1C60" w:rsidRPr="00900ADE" w:rsidRDefault="002B1C60" w:rsidP="004C5F05">
            <w:pPr>
              <w:pStyle w:val="TableTextCentered"/>
            </w:pPr>
            <w:r w:rsidRPr="00900ADE">
              <w:t>9-12</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67B356DF" w14:textId="77777777" w:rsidR="002B1C60" w:rsidRPr="00900ADE" w:rsidRDefault="002B1C60" w:rsidP="004C5F05">
            <w:pPr>
              <w:pStyle w:val="TableTextCentered"/>
            </w:pPr>
            <w:r w:rsidRPr="00900ADE">
              <w:t>622</w:t>
            </w:r>
          </w:p>
        </w:tc>
      </w:tr>
      <w:tr w:rsidR="002B1C60" w:rsidRPr="00900ADE" w14:paraId="020F5563" w14:textId="77777777" w:rsidTr="00BC75C8">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5AB61970" w14:textId="77777777" w:rsidR="002B1C60" w:rsidRPr="00900ADE" w:rsidRDefault="002B1C60" w:rsidP="004C5F05">
            <w:pPr>
              <w:pStyle w:val="TableText"/>
              <w:rPr>
                <w:rFonts w:eastAsia="Franklin Gothic Book"/>
              </w:rPr>
            </w:pP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16FAB61B" w14:textId="77777777" w:rsidR="002B1C60" w:rsidRPr="00900ADE" w:rsidRDefault="002B1C60" w:rsidP="004C5F05">
            <w:pPr>
              <w:pStyle w:val="TableTextCentered"/>
              <w:rPr>
                <w:color w:val="000000" w:themeColor="text1"/>
              </w:rPr>
            </w:pP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2B28EA2C" w14:textId="77777777" w:rsidR="002B1C60" w:rsidRPr="00900ADE" w:rsidRDefault="002B1C60" w:rsidP="004C5F05">
            <w:pPr>
              <w:pStyle w:val="TableTextCentered"/>
              <w:rPr>
                <w:color w:val="000000" w:themeColor="text1"/>
              </w:rPr>
            </w:pPr>
            <w:r w:rsidRPr="00900ADE">
              <w:rPr>
                <w:color w:val="000000" w:themeColor="text1"/>
              </w:rPr>
              <w:t>Total</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5BAC74F2" w14:textId="77777777" w:rsidR="002B1C60" w:rsidRPr="00900ADE" w:rsidRDefault="002B1C60" w:rsidP="004C5F05">
            <w:pPr>
              <w:pStyle w:val="TableTextCentered"/>
            </w:pPr>
            <w:r w:rsidRPr="00900ADE">
              <w:t>2,158</w:t>
            </w:r>
          </w:p>
        </w:tc>
      </w:tr>
    </w:tbl>
    <w:p w14:paraId="0D585DCA" w14:textId="08702855" w:rsidR="00FE7DA9" w:rsidRPr="00900ADE" w:rsidRDefault="00FE7DA9" w:rsidP="004C5F05">
      <w:pPr>
        <w:pStyle w:val="BodyText"/>
      </w:pPr>
      <w:r w:rsidRPr="00900ADE">
        <w:t xml:space="preserve">Figure 1 shows the distribution of Medway’s students’ race/ethnicity. </w:t>
      </w:r>
      <w:r w:rsidR="00217E55" w:rsidRPr="00296A4C">
        <w:t xml:space="preserve">Figure 2 shows student makeup for selected populations compared </w:t>
      </w:r>
      <w:r w:rsidR="00217E55">
        <w:t>with</w:t>
      </w:r>
      <w:r w:rsidR="00217E55" w:rsidRPr="00296A4C">
        <w:t xml:space="preserve"> state averages.</w:t>
      </w:r>
      <w:r w:rsidR="00217E55" w:rsidRPr="00D3771B">
        <w:t xml:space="preserve"> </w:t>
      </w:r>
      <w:r w:rsidRPr="00900ADE">
        <w:t>Full enrollment figures compared with the state are in Tables D1 and D2 in Appendix D. Appendix D also provides additional information about district enrollment, student attendance, and expenditures.</w:t>
      </w:r>
    </w:p>
    <w:p w14:paraId="1212BE91" w14:textId="75854F1B" w:rsidR="00FE7DA9" w:rsidRPr="00900ADE" w:rsidRDefault="00FE7DA9" w:rsidP="00260ED6">
      <w:pPr>
        <w:pStyle w:val="TableTitle0"/>
      </w:pPr>
      <w:r w:rsidRPr="00900ADE">
        <w:lastRenderedPageBreak/>
        <w:t>Figure 1. Distribution of Students, by Race/Ethnicity (2024-</w:t>
      </w:r>
      <w:r w:rsidR="00B0694E" w:rsidRPr="00900ADE">
        <w:t>20</w:t>
      </w:r>
      <w:r w:rsidRPr="00900ADE">
        <w:t>25</w:t>
      </w:r>
      <w:r w:rsidRPr="00900ADE">
        <w:rPr>
          <w:u w:val="single"/>
        </w:rPr>
        <w:t>)</w:t>
      </w:r>
      <w:r w:rsidRPr="00900ADE">
        <w:t xml:space="preserve"> </w:t>
      </w:r>
    </w:p>
    <w:p w14:paraId="74256C48" w14:textId="77777777" w:rsidR="00FE7DA9" w:rsidRPr="00900ADE" w:rsidRDefault="00FE7DA9" w:rsidP="00260ED6">
      <w:pPr>
        <w:pStyle w:val="BodyTextposthead"/>
      </w:pPr>
      <w:r w:rsidRPr="00900ADE">
        <w:rPr>
          <w:noProof/>
        </w:rPr>
        <w:drawing>
          <wp:inline distT="0" distB="0" distL="0" distR="0" wp14:anchorId="59CEE872" wp14:editId="0F23BE92">
            <wp:extent cx="4572000" cy="2747002"/>
            <wp:effectExtent l="0" t="0" r="0" b="0"/>
            <wp:docPr id="1240086625" name="drawing" descr="This is a pie chart showing the distribution of students by race/ethnicity. Most students (79%) are white; 10% are Hispanic/Latino; and the remainder are Asian (5%), Multi-Race (4%) or Black or African America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86625" name="drawing" descr="This is a pie chart showing the distribution of students by race/ethnicity. Most students (79%) are white; 10% are Hispanic/Latino; and the remainder are Asian (5%), Multi-Race (4%) or Black or African American (2%)."/>
                    <pic:cNvPicPr/>
                  </pic:nvPicPr>
                  <pic:blipFill>
                    <a:blip r:embed="rId22">
                      <a:extLst>
                        <a:ext uri="{96DAC541-7B7A-43D3-8B79-37D633B846F1}">
                          <asvg:svgBlip xmlns:asvg="http://schemas.microsoft.com/office/drawing/2016/SVG/main" r:embed="rId23"/>
                        </a:ext>
                      </a:extLst>
                    </a:blip>
                    <a:stretch>
                      <a:fillRect/>
                    </a:stretch>
                  </pic:blipFill>
                  <pic:spPr>
                    <a:xfrm>
                      <a:off x="0" y="0"/>
                      <a:ext cx="4572000" cy="2747002"/>
                    </a:xfrm>
                    <a:prstGeom prst="rect">
                      <a:avLst/>
                    </a:prstGeom>
                  </pic:spPr>
                </pic:pic>
              </a:graphicData>
            </a:graphic>
          </wp:inline>
        </w:drawing>
      </w:r>
    </w:p>
    <w:p w14:paraId="0FC113A9" w14:textId="77777777" w:rsidR="00260ED6" w:rsidRPr="00900ADE" w:rsidRDefault="00FE7DA9" w:rsidP="00260ED6">
      <w:pPr>
        <w:pStyle w:val="TableTitle0"/>
      </w:pPr>
      <w:r w:rsidRPr="00900ADE">
        <w:t>Figure 2. Distribution of Students, by Selected Populations (2024-2025)</w:t>
      </w:r>
    </w:p>
    <w:p w14:paraId="5AB7FB6B" w14:textId="0F998647" w:rsidR="00FE7DA9" w:rsidRPr="00900ADE" w:rsidRDefault="00FE7DA9" w:rsidP="00260ED6">
      <w:pPr>
        <w:pStyle w:val="BodyTextposthead"/>
        <w:rPr>
          <w:rFonts w:ascii="Franklin Gothic Book" w:eastAsia="Franklin Gothic Book" w:hAnsi="Franklin Gothic Book" w:cs="Franklin Gothic Book"/>
        </w:rPr>
      </w:pPr>
      <w:r w:rsidRPr="00900ADE">
        <w:rPr>
          <w:noProof/>
        </w:rPr>
        <w:drawing>
          <wp:inline distT="0" distB="0" distL="0" distR="0" wp14:anchorId="47067DED" wp14:editId="6D5C0077">
            <wp:extent cx="4572000" cy="2747003"/>
            <wp:effectExtent l="0" t="0" r="0" b="0"/>
            <wp:docPr id="681459615" name="drawing" descr="This is a clustered column chart showing the distribution of students by selected populations (High Needs, English Learners, First Language Not English, Low Income, and Students With Disabilities) for Medway and the state. In all instances, Medway has a smaller portion of selected populations than the state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59615" name="drawing" descr="This is a clustered column chart showing the distribution of students by selected populations (High Needs, English Learners, First Language Not English, Low Income, and Students With Disabilities) for Medway and the state. In all instances, Medway has a smaller portion of selected populations than the state average."/>
                    <pic:cNvPicPr/>
                  </pic:nvPicPr>
                  <pic:blipFill>
                    <a:blip r:embed="rId24">
                      <a:extLst>
                        <a:ext uri="{96DAC541-7B7A-43D3-8B79-37D633B846F1}">
                          <asvg:svgBlip xmlns:asvg="http://schemas.microsoft.com/office/drawing/2016/SVG/main" r:embed="rId25"/>
                        </a:ext>
                      </a:extLst>
                    </a:blip>
                    <a:stretch>
                      <a:fillRect/>
                    </a:stretch>
                  </pic:blipFill>
                  <pic:spPr>
                    <a:xfrm>
                      <a:off x="0" y="0"/>
                      <a:ext cx="4572000" cy="2747003"/>
                    </a:xfrm>
                    <a:prstGeom prst="rect">
                      <a:avLst/>
                    </a:prstGeom>
                  </pic:spPr>
                </pic:pic>
              </a:graphicData>
            </a:graphic>
          </wp:inline>
        </w:drawing>
      </w:r>
    </w:p>
    <w:p w14:paraId="7B51E7AE" w14:textId="248A4DE2" w:rsidR="00FE7DA9" w:rsidRPr="00900ADE" w:rsidRDefault="00FE7DA9" w:rsidP="00260ED6">
      <w:pPr>
        <w:pStyle w:val="BodyText"/>
      </w:pPr>
      <w:r w:rsidRPr="00900ADE">
        <w:t xml:space="preserve">Figure 3 shows the percentage of all Medway students meeting or exceeding expectations on </w:t>
      </w:r>
      <w:r w:rsidR="000B2CB9" w:rsidRPr="00900ADE">
        <w:t xml:space="preserve">the Massachusetts </w:t>
      </w:r>
      <w:r w:rsidR="00453E6E" w:rsidRPr="00900ADE">
        <w:t>Comprehensive</w:t>
      </w:r>
      <w:r w:rsidR="000B2CB9" w:rsidRPr="00900ADE">
        <w:t xml:space="preserve"> Assessment System (</w:t>
      </w:r>
      <w:r w:rsidRPr="00900ADE">
        <w:t>MCAS</w:t>
      </w:r>
      <w:r w:rsidR="000B2CB9" w:rsidRPr="00900ADE">
        <w:t>)</w:t>
      </w:r>
      <w:r w:rsidRPr="00900ADE">
        <w:t xml:space="preserve"> compared </w:t>
      </w:r>
      <w:r w:rsidR="000B2CB9" w:rsidRPr="00900ADE">
        <w:t>with</w:t>
      </w:r>
      <w:r w:rsidRPr="00900ADE">
        <w:t xml:space="preserve"> the statewide percentage of students meeting or exceeding expectations on MCAS. In 2024, the percentage of students meeting or exceeding expectations was higher for Medway than for the state in </w:t>
      </w:r>
      <w:r w:rsidR="000B2CB9" w:rsidRPr="00900ADE">
        <w:t>G</w:t>
      </w:r>
      <w:r w:rsidRPr="00900ADE">
        <w:t xml:space="preserve">rades 3-8 (ELA and </w:t>
      </w:r>
      <w:r w:rsidR="000B2CB9" w:rsidRPr="00900ADE">
        <w:t>mathematics</w:t>
      </w:r>
      <w:r w:rsidRPr="00900ADE">
        <w:t>), 5 and 8 (</w:t>
      </w:r>
      <w:r w:rsidR="000B2CB9" w:rsidRPr="00900ADE">
        <w:t>s</w:t>
      </w:r>
      <w:r w:rsidRPr="00900ADE">
        <w:t xml:space="preserve">cience), and 10 (ELA, </w:t>
      </w:r>
      <w:r w:rsidR="000B2CB9" w:rsidRPr="00900ADE">
        <w:t>mathematics</w:t>
      </w:r>
      <w:r w:rsidRPr="00900ADE">
        <w:t xml:space="preserve">, </w:t>
      </w:r>
      <w:r w:rsidR="00453E6E" w:rsidRPr="00900ADE">
        <w:t xml:space="preserve">and </w:t>
      </w:r>
      <w:r w:rsidR="000B2CB9" w:rsidRPr="00900ADE">
        <w:t>s</w:t>
      </w:r>
      <w:r w:rsidRPr="00900ADE">
        <w:t xml:space="preserve">cience). </w:t>
      </w:r>
    </w:p>
    <w:p w14:paraId="10320024" w14:textId="77777777" w:rsidR="00FE7DA9" w:rsidRPr="00900ADE" w:rsidRDefault="00FE7DA9" w:rsidP="00260ED6">
      <w:pPr>
        <w:pStyle w:val="TableTitle0"/>
      </w:pPr>
      <w:r w:rsidRPr="00900ADE">
        <w:lastRenderedPageBreak/>
        <w:t>Figure 3. Percentage of Students Meeting or Exceeding Expectations, MCAS, 2024</w:t>
      </w:r>
    </w:p>
    <w:p w14:paraId="693C175A" w14:textId="6BB4AD07" w:rsidR="00FE7DA9" w:rsidRPr="00900ADE" w:rsidRDefault="00763EFB" w:rsidP="00260ED6">
      <w:pPr>
        <w:pStyle w:val="BodyTextposthead"/>
      </w:pPr>
      <w:r>
        <w:rPr>
          <w:noProof/>
        </w:rPr>
        <w:drawing>
          <wp:inline distT="0" distB="0" distL="0" distR="0" wp14:anchorId="0D5ED869" wp14:editId="1CA0A5A5">
            <wp:extent cx="5292726" cy="2632075"/>
            <wp:effectExtent l="0" t="0" r="3175" b="15875"/>
            <wp:docPr id="1511015985" name="Chart 1" descr="A column chart showing the percentage of Medway's students overall meeting or exceeding expectations on the Massachusetts Comprehensive Assessment System (MCAS), compared with the statewide percentage of students meeting or exceeding expectations on MCAS in 2024 across grades and subjects. ">
              <a:extLst xmlns:a="http://schemas.openxmlformats.org/drawingml/2006/main">
                <a:ext uri="{FF2B5EF4-FFF2-40B4-BE49-F238E27FC236}">
                  <a16:creationId xmlns:a16="http://schemas.microsoft.com/office/drawing/2014/main" id="{91769E6C-52CA-564D-B52C-AF8B67F5D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7B00C1F" w14:textId="68DA8FE5" w:rsidR="00FE7DA9" w:rsidRPr="00900ADE" w:rsidRDefault="00FE7DA9" w:rsidP="00260ED6">
      <w:pPr>
        <w:pStyle w:val="BodyText"/>
      </w:pPr>
      <w:r w:rsidRPr="00900ADE">
        <w:t xml:space="preserve">Medway’s High Needs students, who comprise 30.8 percent of the district, met or exceeded expectations on the 2024 MCAS assessments at rates 5 </w:t>
      </w:r>
      <w:r w:rsidR="000B2CB9" w:rsidRPr="00900ADE">
        <w:t xml:space="preserve">percentage points </w:t>
      </w:r>
      <w:r w:rsidRPr="00900ADE">
        <w:t xml:space="preserve">to 26 percentage points above High Needs students across the state (see Figure </w:t>
      </w:r>
      <w:r w:rsidR="000B2CB9" w:rsidRPr="00900ADE">
        <w:t>4</w:t>
      </w:r>
      <w:r w:rsidRPr="00900ADE">
        <w:t xml:space="preserve">). </w:t>
      </w:r>
    </w:p>
    <w:p w14:paraId="07CDA322" w14:textId="2A3807D6" w:rsidR="00FE7DA9" w:rsidRPr="00900ADE" w:rsidRDefault="00FE7DA9" w:rsidP="00260ED6">
      <w:pPr>
        <w:pStyle w:val="TableTitle0"/>
      </w:pPr>
      <w:r w:rsidRPr="00900ADE">
        <w:t>Figure 4. Percentage of High Needs Students Meeting or Exceeding Expectations, MCAS, 2024</w:t>
      </w:r>
    </w:p>
    <w:p w14:paraId="76F806B8" w14:textId="0F46A295" w:rsidR="00FE7DA9" w:rsidRPr="00900ADE" w:rsidRDefault="00820C4C" w:rsidP="00260ED6">
      <w:pPr>
        <w:pStyle w:val="BodyTextposthead"/>
      </w:pPr>
      <w:r>
        <w:rPr>
          <w:noProof/>
        </w:rPr>
        <w:drawing>
          <wp:inline distT="0" distB="0" distL="0" distR="0" wp14:anchorId="23D7F40A" wp14:editId="0CC1C91F">
            <wp:extent cx="5337544" cy="2647950"/>
            <wp:effectExtent l="0" t="0" r="15875" b="0"/>
            <wp:docPr id="1384474786" name="Chart 1" descr="A column chart showing the percentage of Medway's High Needs students meeting or exceeding expectations on the Massachusetts Comprehensive Assessment System (MCAS), compared with the statewide percentage of High Needs students meeting or exceeding expectations on MCAS in 2024 across grades and subjects. ">
              <a:extLst xmlns:a="http://schemas.openxmlformats.org/drawingml/2006/main">
                <a:ext uri="{FF2B5EF4-FFF2-40B4-BE49-F238E27FC236}">
                  <a16:creationId xmlns:a16="http://schemas.microsoft.com/office/drawing/2014/main" id="{1102F843-E1E7-0119-BF01-FD2371EFF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F1ECBCA" w14:textId="33FD0CF5" w:rsidR="00FE7DA9" w:rsidRPr="00900ADE" w:rsidRDefault="00FE7DA9" w:rsidP="00260ED6">
      <w:pPr>
        <w:pStyle w:val="BodyText"/>
      </w:pPr>
      <w:r w:rsidRPr="00900ADE">
        <w:t>In fiscal year 2023, the total in-district per-pupil expenditure for Medway was $18,502, which is $945 less than the average in-district per-pupil expenditure in districts with similar demographics ($19,447), and $168 less than the average in-district per-pupil expenditures in districts of similar wealth ($18,670).</w:t>
      </w:r>
      <w:r w:rsidR="000B2CB9" w:rsidRPr="00900ADE">
        <w:rPr>
          <w:rStyle w:val="FootnoteReference"/>
        </w:rPr>
        <w:footnoteReference w:id="4"/>
      </w:r>
      <w:r w:rsidRPr="00900ADE">
        <w:t xml:space="preserve"> In-district per pupil expenditures for Medway were $2,754 less than the average </w:t>
      </w:r>
      <w:r w:rsidRPr="00900ADE">
        <w:lastRenderedPageBreak/>
        <w:t>state spending per pupil ($21,256). Actual net school spending was greater than what is required by the Chapter 70 state education aid program, as shown in Table D</w:t>
      </w:r>
      <w:r w:rsidR="000B2CB9" w:rsidRPr="00900ADE">
        <w:t>5</w:t>
      </w:r>
      <w:r w:rsidRPr="00900ADE">
        <w:t xml:space="preserve"> in Appendix D.</w:t>
      </w:r>
    </w:p>
    <w:p w14:paraId="5B7CF406" w14:textId="77777777" w:rsidR="00FE7DA9" w:rsidRPr="00900ADE" w:rsidRDefault="00FE7DA9" w:rsidP="00260ED6">
      <w:pPr>
        <w:pStyle w:val="Heading3"/>
        <w:rPr>
          <w:rFonts w:ascii="Franklin Gothic Book" w:eastAsia="Franklin Gothic Book" w:hAnsi="Franklin Gothic Book" w:cs="Franklin Gothic Book"/>
          <w:color w:val="000000" w:themeColor="text1"/>
        </w:rPr>
      </w:pPr>
      <w:r w:rsidRPr="00900ADE">
        <w:t xml:space="preserve">Classroom Observations </w:t>
      </w:r>
    </w:p>
    <w:p w14:paraId="5C74C50B" w14:textId="77777777" w:rsidR="00675B46" w:rsidRPr="00900ADE" w:rsidRDefault="00675B46" w:rsidP="00260ED6">
      <w:pPr>
        <w:pStyle w:val="BodyTextposthead"/>
      </w:pPr>
      <w:r w:rsidRPr="00900ADE">
        <w:t>Three observers, who focused primarily on instruction in the classroom, visited Medway during the week of January 13, 2025. The observers conducted 64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1E863A8E" w14:textId="77777777" w:rsidR="00FE7DA9" w:rsidRPr="00900ADE" w:rsidRDefault="00FE7DA9" w:rsidP="00260ED6">
      <w:pPr>
        <w:pStyle w:val="BodyText"/>
      </w:pPr>
      <w:r w:rsidRPr="00900ADE">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E811981" w14:textId="77777777" w:rsidR="00FE7DA9" w:rsidRPr="00900ADE" w:rsidRDefault="00FE7DA9" w:rsidP="000B2CB9">
      <w:pPr>
        <w:pStyle w:val="Bullet1"/>
      </w:pPr>
      <w:r w:rsidRPr="00900ADE">
        <w:rPr>
          <w:rFonts w:ascii="Franklin Gothic Demi" w:hAnsi="Franklin Gothic Demi"/>
        </w:rPr>
        <w:t>Emotional Support.</w:t>
      </w:r>
      <w:r w:rsidRPr="00900ADE">
        <w:t xml:space="preserve"> Describes the social-emotional functioning of the classroom, including teacher-student relationships and responsiveness to social-emotional needs.</w:t>
      </w:r>
    </w:p>
    <w:p w14:paraId="59BC1B04" w14:textId="77777777" w:rsidR="00FE7DA9" w:rsidRPr="00900ADE" w:rsidRDefault="00FE7DA9" w:rsidP="000B2CB9">
      <w:pPr>
        <w:pStyle w:val="Bullet1"/>
      </w:pPr>
      <w:r w:rsidRPr="00900ADE">
        <w:rPr>
          <w:rFonts w:ascii="Franklin Gothic Demi" w:hAnsi="Franklin Gothic Demi"/>
        </w:rPr>
        <w:t>Classroom Organization.</w:t>
      </w:r>
      <w:r w:rsidRPr="00900ADE">
        <w:t xml:space="preserve"> Describes the management of students’ behavior, time, and attention in the classroom.</w:t>
      </w:r>
    </w:p>
    <w:p w14:paraId="2065484A" w14:textId="731C7EBF" w:rsidR="00FE7DA9" w:rsidRPr="00900ADE" w:rsidRDefault="00FE7DA9" w:rsidP="000B2CB9">
      <w:pPr>
        <w:pStyle w:val="Bullet1"/>
      </w:pPr>
      <w:r w:rsidRPr="00900ADE">
        <w:rPr>
          <w:rFonts w:ascii="Franklin Gothic Demi" w:eastAsia="Franklin Gothic Demi" w:hAnsi="Franklin Gothic Demi" w:cs="Franklin Gothic Demi"/>
        </w:rPr>
        <w:t>Instructional Support.</w:t>
      </w:r>
      <w:r w:rsidRPr="00900ADE">
        <w:t xml:space="preserve"> Describes the efforts to support cognitive and language development, including cognitive demand of the assigned tasks, the focus on higher</w:t>
      </w:r>
      <w:r w:rsidR="000B2CB9" w:rsidRPr="00900ADE">
        <w:t>-</w:t>
      </w:r>
      <w:r w:rsidRPr="00900ADE">
        <w:t>order thinking skills, and the use of process-oriented feedback.</w:t>
      </w:r>
    </w:p>
    <w:p w14:paraId="6892FE92" w14:textId="77777777" w:rsidR="00FE7DA9" w:rsidRPr="00900ADE" w:rsidRDefault="00FE7DA9" w:rsidP="00260ED6">
      <w:pPr>
        <w:pStyle w:val="BodyText"/>
      </w:pPr>
      <w:r w:rsidRPr="00900ADE">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6A3D1003" w14:textId="27375016" w:rsidR="00FE7DA9" w:rsidRPr="00900ADE" w:rsidRDefault="00FE7DA9" w:rsidP="00260ED6">
      <w:pPr>
        <w:pStyle w:val="BodyText"/>
      </w:pPr>
      <w:r w:rsidRPr="00900ADE">
        <w:t xml:space="preserve">In Medway, ratings are provided across three grade bands: K-5, 6-8, and 9-12. For each grade band, ratings are provided across the overarching domains, as well as at individual dimensions within those domains. Figure </w:t>
      </w:r>
      <w:r w:rsidR="000B2CB9" w:rsidRPr="00900ADE">
        <w:t>5</w:t>
      </w:r>
      <w:r w:rsidRPr="00900ADE">
        <w:t xml:space="preserve"> shows average ratings, by domain, for each grade band. The full report of findings from observations conducted in Medway is in Appendix</w:t>
      </w:r>
      <w:r w:rsidRPr="00900ADE">
        <w:rPr>
          <w:rFonts w:ascii="Arial" w:eastAsia="Arial" w:hAnsi="Arial" w:cs="Arial"/>
        </w:rPr>
        <w:t> </w:t>
      </w:r>
      <w:r w:rsidRPr="00900ADE">
        <w:t xml:space="preserve">B, and summary results are in Tables 17, 18, and 19 in this appendix. </w:t>
      </w:r>
    </w:p>
    <w:p w14:paraId="439C2F49" w14:textId="100828A6" w:rsidR="00FE7DA9" w:rsidRPr="00900ADE" w:rsidRDefault="00FE7DA9" w:rsidP="00260ED6">
      <w:pPr>
        <w:pStyle w:val="TableTitle0"/>
      </w:pPr>
      <w:r w:rsidRPr="00900ADE">
        <w:lastRenderedPageBreak/>
        <w:t>Figure 5. CLASS Domain Averages by Grade Band</w:t>
      </w:r>
    </w:p>
    <w:p w14:paraId="5016D24E" w14:textId="77AC380C" w:rsidR="004A3EE6" w:rsidRPr="00900ADE" w:rsidRDefault="004A3EE6" w:rsidP="00260ED6">
      <w:pPr>
        <w:pStyle w:val="BodyTextposthead"/>
        <w:rPr>
          <w:rFonts w:ascii="Franklin Gothic Demi" w:eastAsia="Franklin Gothic Demi" w:hAnsi="Franklin Gothic Demi" w:cs="Franklin Gothic Demi"/>
          <w:color w:val="000000" w:themeColor="text1"/>
        </w:rPr>
      </w:pPr>
      <w:r w:rsidRPr="00900ADE">
        <w:rPr>
          <w:noProof/>
        </w:rPr>
        <w:drawing>
          <wp:inline distT="0" distB="0" distL="0" distR="0" wp14:anchorId="24EF2B28" wp14:editId="3C67FE91">
            <wp:extent cx="4572000" cy="2747002"/>
            <wp:effectExtent l="0" t="0" r="0" b="0"/>
            <wp:docPr id="476129703" name="drawing" descr="This is a clustered column chart showing CLASS domain averages by grade band. Grades K-5 scored higher than other grade bands for Emotional Support and Student Engagement; Grades 9-12 scored higher than other grade bands for Classroom Organization; and all three grade bands scored the same for Instructional Sup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29703" name="drawing" descr="This is a clustered column chart showing CLASS domain averages by grade band. Grades K-5 scored higher than other grade bands for Emotional Support and Student Engagement; Grades 9-12 scored higher than other grade bands for Classroom Organization; and all three grade bands scored the same for Instructional Support. "/>
                    <pic:cNvPicPr/>
                  </pic:nvPicPr>
                  <pic:blipFill>
                    <a:blip r:embed="rId28">
                      <a:extLst>
                        <a:ext uri="{96DAC541-7B7A-43D3-8B79-37D633B846F1}">
                          <asvg:svgBlip xmlns:asvg="http://schemas.microsoft.com/office/drawing/2016/SVG/main" r:embed="rId29"/>
                        </a:ext>
                      </a:extLst>
                    </a:blip>
                    <a:stretch>
                      <a:fillRect/>
                    </a:stretch>
                  </pic:blipFill>
                  <pic:spPr>
                    <a:xfrm>
                      <a:off x="0" y="0"/>
                      <a:ext cx="4572000" cy="2747002"/>
                    </a:xfrm>
                    <a:prstGeom prst="rect">
                      <a:avLst/>
                    </a:prstGeom>
                  </pic:spPr>
                </pic:pic>
              </a:graphicData>
            </a:graphic>
          </wp:inline>
        </w:drawing>
      </w:r>
    </w:p>
    <w:p w14:paraId="029EB846" w14:textId="772D6FAE" w:rsidR="00A942D3" w:rsidRPr="009B7FEC" w:rsidRDefault="00A942D3" w:rsidP="00A942D3">
      <w:pPr>
        <w:pStyle w:val="BodyText"/>
      </w:pPr>
      <w:r w:rsidRPr="009B7FEC">
        <w:t xml:space="preserve">Overall, in the K-5 grade band, instructional observations suggest generally strong emotional support, </w:t>
      </w:r>
      <w:r w:rsidR="00BD14A4">
        <w:t>effective</w:t>
      </w:r>
      <w:r w:rsidR="00A43EAF">
        <w:t xml:space="preserve"> </w:t>
      </w:r>
      <w:r w:rsidRPr="009B7FEC">
        <w:t>classroom organization</w:t>
      </w:r>
      <w:r w:rsidR="00DD72F9" w:rsidRPr="009B7FEC">
        <w:t xml:space="preserve">, generally strong </w:t>
      </w:r>
      <w:r w:rsidRPr="009B7FEC">
        <w:t>student engagement (Grades 4-5)</w:t>
      </w:r>
      <w:r w:rsidR="00DD72F9" w:rsidRPr="009B7FEC">
        <w:t>,</w:t>
      </w:r>
      <w:r w:rsidRPr="009B7FEC">
        <w:t xml:space="preserve"> and mixed evidence of consistently rigorous instructional support. In the 6-8 grade band, instructional observations provide mixed evidence of consistently strong emotional support, strong classroom organization</w:t>
      </w:r>
      <w:r w:rsidR="0041072C" w:rsidRPr="009B7FEC">
        <w:t>,</w:t>
      </w:r>
      <w:r w:rsidRPr="009B7FEC">
        <w:t xml:space="preserve"> </w:t>
      </w:r>
      <w:r w:rsidR="0041072C" w:rsidRPr="009B7FEC">
        <w:t>mixed evidence of consistently strong</w:t>
      </w:r>
      <w:r w:rsidRPr="009B7FEC">
        <w:t xml:space="preserve"> student engagement, and mixed evidence of consistently rigorous instructional support. In the 9-12 grade band, instructional observations provide mixed evidence of strong emotional support, strong evidence of classroom organization, and mixed evidence of student engagement or consistently rigorous instructional support.</w:t>
      </w:r>
    </w:p>
    <w:p w14:paraId="7C3892B1" w14:textId="77777777" w:rsidR="00A942D3" w:rsidRPr="00900ADE" w:rsidRDefault="00A942D3" w:rsidP="008D6102">
      <w:pPr>
        <w:pStyle w:val="BodyText"/>
      </w:pPr>
    </w:p>
    <w:p w14:paraId="5A4DB43F" w14:textId="77777777" w:rsidR="008D6102" w:rsidRPr="00900ADE" w:rsidRDefault="008D6102" w:rsidP="00D84912">
      <w:pPr>
        <w:pStyle w:val="Heading2"/>
      </w:pPr>
      <w:bookmarkStart w:id="17" w:name="_Leadership_and_Governance"/>
      <w:bookmarkStart w:id="18" w:name="_Toc101446227"/>
      <w:bookmarkStart w:id="19" w:name="_Toc202873108"/>
      <w:bookmarkStart w:id="20" w:name="_Toc350870261"/>
      <w:bookmarkEnd w:id="17"/>
      <w:r w:rsidRPr="00900ADE">
        <w:lastRenderedPageBreak/>
        <w:t>Leadership and Governance</w:t>
      </w:r>
      <w:bookmarkEnd w:id="18"/>
      <w:bookmarkEnd w:id="19"/>
    </w:p>
    <w:p w14:paraId="63244A6E" w14:textId="40418FBE" w:rsidR="00A7777E" w:rsidRPr="00900ADE" w:rsidRDefault="00A7777E" w:rsidP="00260ED6">
      <w:pPr>
        <w:pStyle w:val="BodyText"/>
      </w:pPr>
      <w:r w:rsidRPr="00900ADE">
        <w:t>This section examines the extent to which school committee</w:t>
      </w:r>
      <w:r w:rsidR="00456365">
        <w:t xml:space="preserve"> member</w:t>
      </w:r>
      <w:r w:rsidRPr="00900ADE">
        <w:t xml:space="preserve">s, district leaders, school leaders, and advisory council members work collaboratively and strategically to promote high-quality teaching and learning that </w:t>
      </w:r>
      <w:r w:rsidR="00553FB8" w:rsidRPr="00900ADE">
        <w:t xml:space="preserve">(a) </w:t>
      </w:r>
      <w:r w:rsidRPr="00900ADE">
        <w:t xml:space="preserve">is antiracist, inclusive, multilingual, and multicultural; </w:t>
      </w:r>
      <w:r w:rsidR="00553FB8" w:rsidRPr="00900ADE">
        <w:t xml:space="preserve">(b) </w:t>
      </w:r>
      <w:r w:rsidRPr="00900ADE">
        <w:t xml:space="preserve">values and affirms each student and their families; and </w:t>
      </w:r>
      <w:r w:rsidR="00553FB8" w:rsidRPr="00900ADE">
        <w:t xml:space="preserve">(c) </w:t>
      </w:r>
      <w:r w:rsidRPr="00900ADE">
        <w:t xml:space="preserve">creates equitable opportunities and experiences for all students, particularly those historically underserved. It also focuses on the extent to which districts establish, implement, and evaluate policies, plans, procedures, systems, and budgets </w:t>
      </w:r>
      <w:r w:rsidR="00553FB8" w:rsidRPr="00900ADE">
        <w:t>by</w:t>
      </w:r>
      <w:r w:rsidRPr="00900ADE">
        <w:t xml:space="preserve"> focus</w:t>
      </w:r>
      <w:r w:rsidR="00553FB8" w:rsidRPr="00900ADE">
        <w:t>ing</w:t>
      </w:r>
      <w:r w:rsidRPr="00900ADE">
        <w:t xml:space="preserve"> on achieving districtwide strategic objectives through </w:t>
      </w:r>
      <w:r w:rsidR="00553FB8" w:rsidRPr="00900ADE">
        <w:t xml:space="preserve">the </w:t>
      </w:r>
      <w:r w:rsidRPr="00900ADE">
        <w:t>equitable and effective use of resources,</w:t>
      </w:r>
      <w:r w:rsidR="00553FB8" w:rsidRPr="00900ADE">
        <w:t xml:space="preserve"> which</w:t>
      </w:r>
      <w:r w:rsidRPr="00900ADE">
        <w:t xml:space="preserve"> ultimately lead to high-quality teaching and learning for all students.</w:t>
      </w:r>
    </w:p>
    <w:p w14:paraId="6CCEFE2D" w14:textId="554BCF65" w:rsidR="00B72349" w:rsidRPr="00900ADE" w:rsidRDefault="00944D9E" w:rsidP="00260ED6">
      <w:pPr>
        <w:pStyle w:val="BodyText"/>
        <w:rPr>
          <w:rFonts w:ascii="Franklin Gothic Demi" w:hAnsi="Franklin Gothic Demi"/>
        </w:rPr>
      </w:pPr>
      <w:r w:rsidRPr="00900ADE">
        <w:t xml:space="preserve">Table </w:t>
      </w:r>
      <w:r w:rsidR="000F34B4" w:rsidRPr="00900ADE">
        <w:t xml:space="preserve">2 </w:t>
      </w:r>
      <w:r w:rsidRPr="00900ADE">
        <w:t>summarizes key strengths and areas for growth in leadership and governance</w:t>
      </w:r>
      <w:r w:rsidR="00B525D4" w:rsidRPr="00900ADE">
        <w:t xml:space="preserve"> in Medway</w:t>
      </w:r>
      <w:r w:rsidRPr="00900ADE">
        <w:t>.</w:t>
      </w:r>
    </w:p>
    <w:p w14:paraId="5317D7CB" w14:textId="084955CD" w:rsidR="003D6ECF" w:rsidRPr="00900ADE" w:rsidRDefault="003D6ECF" w:rsidP="00260ED6">
      <w:pPr>
        <w:pStyle w:val="TableTitle0"/>
      </w:pPr>
      <w:r w:rsidRPr="00900ADE">
        <w:t xml:space="preserve">Table </w:t>
      </w:r>
      <w:r w:rsidR="00BD049B" w:rsidRPr="00900ADE">
        <w:t>2</w:t>
      </w:r>
      <w:r w:rsidRPr="00900ADE">
        <w:t xml:space="preserve">. Summary of </w:t>
      </w:r>
      <w:r w:rsidR="00944D9E" w:rsidRPr="00900ADE">
        <w:t xml:space="preserve">Key Strengths </w:t>
      </w:r>
      <w:r w:rsidRPr="00900ADE">
        <w:t xml:space="preserve">and </w:t>
      </w:r>
      <w:r w:rsidR="00944D9E" w:rsidRPr="00900ADE">
        <w:t xml:space="preserve">Areas </w:t>
      </w:r>
      <w:r w:rsidRPr="00900ADE">
        <w:t xml:space="preserve">for </w:t>
      </w:r>
      <w:r w:rsidR="00944D9E" w:rsidRPr="00900ADE">
        <w:t>Growth:</w:t>
      </w:r>
      <w:r w:rsidRPr="00900ADE">
        <w:t xml:space="preserve"> Leadership and Governance</w:t>
      </w:r>
      <w:r w:rsidR="00C0766E" w:rsidRPr="00900ADE">
        <w:t xml:space="preserve"> Standard</w:t>
      </w:r>
    </w:p>
    <w:tbl>
      <w:tblPr>
        <w:tblStyle w:val="MSVTable1"/>
        <w:tblW w:w="5000" w:type="pct"/>
        <w:tblLayout w:type="fixed"/>
        <w:tblLook w:val="04A0" w:firstRow="1" w:lastRow="0" w:firstColumn="1" w:lastColumn="0" w:noHBand="0" w:noVBand="1"/>
      </w:tblPr>
      <w:tblGrid>
        <w:gridCol w:w="1702"/>
        <w:gridCol w:w="4410"/>
        <w:gridCol w:w="3232"/>
      </w:tblGrid>
      <w:tr w:rsidR="003D6ECF" w:rsidRPr="00900ADE" w14:paraId="1BA64263" w14:textId="77777777" w:rsidTr="00732E86">
        <w:trPr>
          <w:cnfStyle w:val="100000000000" w:firstRow="1" w:lastRow="0" w:firstColumn="0" w:lastColumn="0" w:oddVBand="0" w:evenVBand="0" w:oddHBand="0" w:evenHBand="0" w:firstRowFirstColumn="0" w:firstRowLastColumn="0" w:lastRowFirstColumn="0" w:lastRowLastColumn="0"/>
          <w:tblHeader/>
        </w:trPr>
        <w:tc>
          <w:tcPr>
            <w:tcW w:w="1702" w:type="dxa"/>
          </w:tcPr>
          <w:p w14:paraId="54BE6202" w14:textId="77777777" w:rsidR="003D6ECF" w:rsidRPr="00510408" w:rsidRDefault="003D6ECF" w:rsidP="00732E86">
            <w:pPr>
              <w:pStyle w:val="TableColHeadingCenter"/>
            </w:pPr>
            <w:r w:rsidRPr="00510408">
              <w:t>Indicator</w:t>
            </w:r>
          </w:p>
        </w:tc>
        <w:tc>
          <w:tcPr>
            <w:tcW w:w="4410" w:type="dxa"/>
          </w:tcPr>
          <w:p w14:paraId="26C2C9B5" w14:textId="77777777" w:rsidR="003D6ECF" w:rsidRPr="00900ADE" w:rsidRDefault="003D6ECF" w:rsidP="00732E86">
            <w:pPr>
              <w:pStyle w:val="TableColHeadingCenter"/>
            </w:pPr>
            <w:r w:rsidRPr="00900ADE">
              <w:t>Strengths</w:t>
            </w:r>
          </w:p>
        </w:tc>
        <w:tc>
          <w:tcPr>
            <w:tcW w:w="3232" w:type="dxa"/>
          </w:tcPr>
          <w:p w14:paraId="19C0FC93" w14:textId="398D47A8" w:rsidR="003D6ECF" w:rsidRPr="00900ADE" w:rsidRDefault="003D6ECF" w:rsidP="00732E86">
            <w:pPr>
              <w:pStyle w:val="TableColHeadingCenter"/>
            </w:pPr>
            <w:r w:rsidRPr="00900ADE">
              <w:t xml:space="preserve">Areas for </w:t>
            </w:r>
            <w:r w:rsidR="00944D9E" w:rsidRPr="00900ADE">
              <w:t>growth</w:t>
            </w:r>
          </w:p>
        </w:tc>
      </w:tr>
      <w:tr w:rsidR="003D6ECF" w:rsidRPr="00900ADE" w14:paraId="684F20FE" w14:textId="77777777" w:rsidTr="00732E86">
        <w:trPr>
          <w:cnfStyle w:val="000000100000" w:firstRow="0" w:lastRow="0" w:firstColumn="0" w:lastColumn="0" w:oddVBand="0" w:evenVBand="0" w:oddHBand="1" w:evenHBand="0" w:firstRowFirstColumn="0" w:firstRowLastColumn="0" w:lastRowFirstColumn="0" w:lastRowLastColumn="0"/>
        </w:trPr>
        <w:tc>
          <w:tcPr>
            <w:tcW w:w="1702" w:type="dxa"/>
          </w:tcPr>
          <w:p w14:paraId="544D7F2B" w14:textId="01152A48" w:rsidR="003D6ECF" w:rsidRPr="00900ADE" w:rsidRDefault="00895032" w:rsidP="00473308">
            <w:pPr>
              <w:pStyle w:val="TableSubheading"/>
            </w:pPr>
            <w:hyperlink w:anchor="_Leadership_and_Governing" w:history="1">
              <w:r w:rsidRPr="00900ADE">
                <w:rPr>
                  <w:rStyle w:val="Hyperlink"/>
                </w:rPr>
                <w:t>Leadership and Governing Structures</w:t>
              </w:r>
            </w:hyperlink>
          </w:p>
        </w:tc>
        <w:tc>
          <w:tcPr>
            <w:tcW w:w="4410" w:type="dxa"/>
          </w:tcPr>
          <w:p w14:paraId="661E42E3" w14:textId="2981503C" w:rsidR="003D6ECF" w:rsidRPr="00900ADE" w:rsidRDefault="01B20A57" w:rsidP="00260ED6">
            <w:pPr>
              <w:pStyle w:val="TableBullet1"/>
            </w:pPr>
            <w:r w:rsidRPr="00900ADE">
              <w:t>Professional and productive relationships</w:t>
            </w:r>
            <w:r w:rsidR="3874A62C" w:rsidRPr="00900ADE">
              <w:t xml:space="preserve"> exist </w:t>
            </w:r>
            <w:r w:rsidR="00941855" w:rsidRPr="00900ADE">
              <w:t xml:space="preserve">among </w:t>
            </w:r>
            <w:r w:rsidR="3874A62C" w:rsidRPr="00900ADE">
              <w:t>town</w:t>
            </w:r>
            <w:r w:rsidR="2E8C7A3E" w:rsidRPr="00900ADE">
              <w:t xml:space="preserve"> employees</w:t>
            </w:r>
            <w:r w:rsidR="3874A62C" w:rsidRPr="00900ADE">
              <w:t xml:space="preserve">, the district, and </w:t>
            </w:r>
            <w:r w:rsidR="7C2EF248" w:rsidRPr="00900ADE">
              <w:t xml:space="preserve">the </w:t>
            </w:r>
            <w:r w:rsidR="3874A62C" w:rsidRPr="00900ADE">
              <w:t>school committee.</w:t>
            </w:r>
          </w:p>
          <w:p w14:paraId="795C99D3" w14:textId="08CA40E2" w:rsidR="003D6ECF" w:rsidRPr="00900ADE" w:rsidRDefault="0ED8B11C" w:rsidP="00260ED6">
            <w:pPr>
              <w:pStyle w:val="TableBullet1"/>
            </w:pPr>
            <w:r w:rsidRPr="00900ADE">
              <w:t>The district</w:t>
            </w:r>
            <w:r w:rsidR="0082092B" w:rsidRPr="00900ADE">
              <w:t xml:space="preserve"> has effective</w:t>
            </w:r>
            <w:r w:rsidRPr="00900ADE">
              <w:t xml:space="preserve"> shared, distributed</w:t>
            </w:r>
            <w:r w:rsidR="0082092B" w:rsidRPr="00900ADE">
              <w:t xml:space="preserve">, </w:t>
            </w:r>
            <w:r w:rsidR="00D00C4E" w:rsidRPr="00900ADE">
              <w:t xml:space="preserve">and </w:t>
            </w:r>
            <w:r w:rsidR="0082092B" w:rsidRPr="00900ADE">
              <w:t>inclusive</w:t>
            </w:r>
            <w:r w:rsidRPr="00900ADE">
              <w:t xml:space="preserve"> leadership structures. </w:t>
            </w:r>
          </w:p>
        </w:tc>
        <w:tc>
          <w:tcPr>
            <w:tcW w:w="3232" w:type="dxa"/>
          </w:tcPr>
          <w:p w14:paraId="3AAA772F" w14:textId="19F8A2AD" w:rsidR="0348330D" w:rsidRPr="00900ADE" w:rsidRDefault="0348330D" w:rsidP="0043394A">
            <w:pPr>
              <w:pStyle w:val="TableBullet1"/>
              <w:numPr>
                <w:ilvl w:val="0"/>
                <w:numId w:val="0"/>
              </w:numPr>
              <w:ind w:left="360"/>
            </w:pPr>
          </w:p>
        </w:tc>
      </w:tr>
      <w:tr w:rsidR="003D6ECF" w:rsidRPr="00900ADE" w14:paraId="14B42E08" w14:textId="77777777" w:rsidTr="00732E86">
        <w:tc>
          <w:tcPr>
            <w:tcW w:w="1702" w:type="dxa"/>
          </w:tcPr>
          <w:p w14:paraId="3EB19AE6" w14:textId="593DF9C6" w:rsidR="003D6ECF" w:rsidRPr="00900ADE" w:rsidRDefault="00F95311" w:rsidP="00473308">
            <w:pPr>
              <w:pStyle w:val="TableSubheading"/>
            </w:pPr>
            <w:hyperlink w:anchor="_Strategic_Planning,_Implementation," w:history="1">
              <w:r w:rsidRPr="00900ADE">
                <w:rPr>
                  <w:rStyle w:val="Hyperlink"/>
                </w:rPr>
                <w:t>Strategic Planning, Implementation, and Monitoring</w:t>
              </w:r>
            </w:hyperlink>
          </w:p>
        </w:tc>
        <w:tc>
          <w:tcPr>
            <w:tcW w:w="4410" w:type="dxa"/>
          </w:tcPr>
          <w:p w14:paraId="3C710E27" w14:textId="2C07B95C" w:rsidR="003D6ECF" w:rsidRPr="00900ADE" w:rsidRDefault="7158D712" w:rsidP="00260ED6">
            <w:pPr>
              <w:pStyle w:val="TableBullet1"/>
            </w:pPr>
            <w:r w:rsidRPr="00900ADE">
              <w:t xml:space="preserve">All schools </w:t>
            </w:r>
            <w:r w:rsidR="37309876" w:rsidRPr="00900ADE">
              <w:t xml:space="preserve">developed </w:t>
            </w:r>
            <w:r w:rsidRPr="00900ADE">
              <w:t>school improvement plans</w:t>
            </w:r>
            <w:r w:rsidR="00772DB7">
              <w:t xml:space="preserve"> (</w:t>
            </w:r>
            <w:r w:rsidR="00BE587F" w:rsidRPr="00900ADE">
              <w:t>SIPs</w:t>
            </w:r>
            <w:r w:rsidR="00772DB7">
              <w:t>)</w:t>
            </w:r>
            <w:r w:rsidRPr="00900ADE">
              <w:t xml:space="preserve"> </w:t>
            </w:r>
            <w:r w:rsidR="4056100E" w:rsidRPr="00900ADE">
              <w:t>in 2024-</w:t>
            </w:r>
            <w:r w:rsidR="00B0694E" w:rsidRPr="00900ADE">
              <w:t>20</w:t>
            </w:r>
            <w:r w:rsidR="4056100E" w:rsidRPr="00900ADE">
              <w:t>25</w:t>
            </w:r>
            <w:r w:rsidR="3A7A052E" w:rsidRPr="00900ADE">
              <w:t xml:space="preserve"> </w:t>
            </w:r>
            <w:r w:rsidRPr="00900ADE">
              <w:t>that align with the district plan.</w:t>
            </w:r>
          </w:p>
        </w:tc>
        <w:tc>
          <w:tcPr>
            <w:tcW w:w="3232" w:type="dxa"/>
          </w:tcPr>
          <w:p w14:paraId="5838C396" w14:textId="1F2A1CAB" w:rsidR="003D6ECF" w:rsidRPr="00900ADE" w:rsidRDefault="76412C4D" w:rsidP="00732E86">
            <w:pPr>
              <w:pStyle w:val="TableBullet1"/>
            </w:pPr>
            <w:r w:rsidRPr="00900ADE">
              <w:t xml:space="preserve">Communicating a clear </w:t>
            </w:r>
            <w:r w:rsidR="37A49B71" w:rsidRPr="00900ADE">
              <w:t xml:space="preserve">and consistent </w:t>
            </w:r>
            <w:r w:rsidRPr="00900ADE">
              <w:t>vision</w:t>
            </w:r>
            <w:r w:rsidR="73672B36" w:rsidRPr="00900ADE">
              <w:t xml:space="preserve"> for student learning across the district</w:t>
            </w:r>
          </w:p>
        </w:tc>
      </w:tr>
      <w:tr w:rsidR="003D6ECF" w:rsidRPr="00900ADE" w14:paraId="22B4591C" w14:textId="77777777" w:rsidTr="00732E86">
        <w:trPr>
          <w:cnfStyle w:val="000000100000" w:firstRow="0" w:lastRow="0" w:firstColumn="0" w:lastColumn="0" w:oddVBand="0" w:evenVBand="0" w:oddHBand="1" w:evenHBand="0" w:firstRowFirstColumn="0" w:firstRowLastColumn="0" w:lastRowFirstColumn="0" w:lastRowLastColumn="0"/>
        </w:trPr>
        <w:tc>
          <w:tcPr>
            <w:tcW w:w="1702" w:type="dxa"/>
          </w:tcPr>
          <w:p w14:paraId="5F56A8E5" w14:textId="5B7ACDB9" w:rsidR="003D6ECF" w:rsidRPr="00900ADE" w:rsidRDefault="003D6ECF" w:rsidP="00473308">
            <w:pPr>
              <w:pStyle w:val="TableSubheading"/>
            </w:pPr>
            <w:hyperlink w:anchor="_District_Culture" w:history="1">
              <w:r w:rsidRPr="00900ADE">
                <w:rPr>
                  <w:rStyle w:val="Hyperlink"/>
                </w:rPr>
                <w:t xml:space="preserve">District </w:t>
              </w:r>
              <w:r w:rsidR="00F95311" w:rsidRPr="00900ADE">
                <w:rPr>
                  <w:rStyle w:val="Hyperlink"/>
                </w:rPr>
                <w:t>Culture</w:t>
              </w:r>
            </w:hyperlink>
          </w:p>
        </w:tc>
        <w:tc>
          <w:tcPr>
            <w:tcW w:w="4410" w:type="dxa"/>
          </w:tcPr>
          <w:p w14:paraId="2956C390" w14:textId="3F9EAD73" w:rsidR="003D6ECF" w:rsidRPr="00900ADE" w:rsidRDefault="1414DA28" w:rsidP="00260ED6">
            <w:pPr>
              <w:pStyle w:val="TableBullet1"/>
            </w:pPr>
            <w:r w:rsidRPr="00900ADE">
              <w:t xml:space="preserve">The district and </w:t>
            </w:r>
            <w:r w:rsidR="00DF14BB" w:rsidRPr="00900ADE">
              <w:t xml:space="preserve">teachers’ association </w:t>
            </w:r>
            <w:r w:rsidR="003817FD">
              <w:t xml:space="preserve">frequently </w:t>
            </w:r>
            <w:r w:rsidRPr="00900ADE">
              <w:t>work collaboratively to address issues in a timely manner.</w:t>
            </w:r>
          </w:p>
        </w:tc>
        <w:tc>
          <w:tcPr>
            <w:tcW w:w="3232" w:type="dxa"/>
          </w:tcPr>
          <w:p w14:paraId="0F21E755" w14:textId="134B8F7D" w:rsidR="003D6ECF" w:rsidRPr="00900ADE" w:rsidRDefault="044F0E69" w:rsidP="00260ED6">
            <w:pPr>
              <w:pStyle w:val="TableBullet1"/>
            </w:pPr>
            <w:r w:rsidRPr="00900ADE">
              <w:t xml:space="preserve">Involving parents in </w:t>
            </w:r>
            <w:r w:rsidR="2B16823F" w:rsidRPr="00900ADE">
              <w:t xml:space="preserve">more </w:t>
            </w:r>
            <w:r w:rsidRPr="00900ADE">
              <w:t xml:space="preserve">shared </w:t>
            </w:r>
            <w:r w:rsidR="00F165E6">
              <w:t>decision-making</w:t>
            </w:r>
          </w:p>
        </w:tc>
      </w:tr>
    </w:tbl>
    <w:p w14:paraId="47244709" w14:textId="2F8C3EBE" w:rsidR="003D6ECF" w:rsidRPr="00900ADE" w:rsidRDefault="00895032" w:rsidP="003D6ECF">
      <w:pPr>
        <w:pStyle w:val="Heading3"/>
      </w:pPr>
      <w:bookmarkStart w:id="21" w:name="_School_Committee_Governance"/>
      <w:bookmarkStart w:id="22" w:name="_Leadership_and_Governing"/>
      <w:bookmarkEnd w:id="21"/>
      <w:bookmarkEnd w:id="22"/>
      <w:r w:rsidRPr="00900ADE">
        <w:t>Leadership and Gov</w:t>
      </w:r>
      <w:r w:rsidR="003D6ECF" w:rsidRPr="00900ADE">
        <w:t>e</w:t>
      </w:r>
      <w:r w:rsidRPr="00900ADE">
        <w:t>rning Structures</w:t>
      </w:r>
    </w:p>
    <w:p w14:paraId="1CE300A6" w14:textId="1AAC9BFC" w:rsidR="002E4895" w:rsidRPr="00900ADE" w:rsidRDefault="00BE587F" w:rsidP="00732E86">
      <w:pPr>
        <w:pStyle w:val="BodyTextposthead"/>
      </w:pPr>
      <w:r w:rsidRPr="00900ADE">
        <w:t>A</w:t>
      </w:r>
      <w:r w:rsidR="002E4895" w:rsidRPr="00900ADE">
        <w:t xml:space="preserve">ppointed in 2015, </w:t>
      </w:r>
      <w:r w:rsidRPr="00900ADE">
        <w:t>Armand Pir</w:t>
      </w:r>
      <w:r w:rsidR="00A40E26">
        <w:t>e</w:t>
      </w:r>
      <w:r w:rsidRPr="00900ADE">
        <w:t xml:space="preserve">s </w:t>
      </w:r>
      <w:r w:rsidR="002E4895" w:rsidRPr="00900ADE">
        <w:t xml:space="preserve">serves as the superintendent of Medway, </w:t>
      </w:r>
      <w:r w:rsidR="00432F7A">
        <w:t xml:space="preserve">and was </w:t>
      </w:r>
      <w:r w:rsidR="002E4895" w:rsidRPr="00900ADE">
        <w:t xml:space="preserve">an administrator in the district prior to his appointment. The </w:t>
      </w:r>
      <w:r w:rsidRPr="00900ADE">
        <w:t>s</w:t>
      </w:r>
      <w:r w:rsidR="002E4895" w:rsidRPr="00900ADE">
        <w:t xml:space="preserve">chool </w:t>
      </w:r>
      <w:r w:rsidRPr="00900ADE">
        <w:t>c</w:t>
      </w:r>
      <w:r w:rsidR="002E4895" w:rsidRPr="00900ADE">
        <w:t xml:space="preserve">ommittee </w:t>
      </w:r>
      <w:r w:rsidRPr="00900ADE">
        <w:t>consists</w:t>
      </w:r>
      <w:r w:rsidR="002E4895" w:rsidRPr="00900ADE">
        <w:t xml:space="preserve"> of five elected members serving staggered three-year terms, along with a student member. Together with the superintendent, the committee governs the district.</w:t>
      </w:r>
    </w:p>
    <w:p w14:paraId="4B9CABE8" w14:textId="0C971900" w:rsidR="002E4895" w:rsidRPr="00900ADE" w:rsidRDefault="002E4895" w:rsidP="00732E86">
      <w:pPr>
        <w:pStyle w:val="BodyText"/>
      </w:pPr>
      <w:r w:rsidRPr="00900ADE">
        <w:t xml:space="preserve">A review of the school committee website—including meeting minutes, policies, and goals—as well as interviews with committee members, indicates that the committee has a functioning governance structure. It sets educational goals and implements policies aimed at providing equitable opportunities for student success. In interviews, committee members emphasized their main responsibilities, which include advocating for students, approving the budget, overseeing the superintendent’s evaluation, negotiating collective bargaining agreements with teachers and paraprofessionals, and creating district policies. The website and interviews reveal the </w:t>
      </w:r>
      <w:r w:rsidR="00BE587F" w:rsidRPr="00900ADE">
        <w:t>s</w:t>
      </w:r>
      <w:r w:rsidRPr="00900ADE">
        <w:t xml:space="preserve">chool </w:t>
      </w:r>
      <w:r w:rsidR="00BE587F" w:rsidRPr="00900ADE">
        <w:t>c</w:t>
      </w:r>
      <w:r w:rsidRPr="00900ADE">
        <w:t>ommittee’s 2024–</w:t>
      </w:r>
      <w:r w:rsidR="000406A8">
        <w:t>20</w:t>
      </w:r>
      <w:r w:rsidRPr="00900ADE">
        <w:t>25 goals</w:t>
      </w:r>
      <w:r w:rsidR="00BE587F" w:rsidRPr="00900ADE">
        <w:t xml:space="preserve"> as follows</w:t>
      </w:r>
      <w:r w:rsidRPr="00900ADE">
        <w:t>:</w:t>
      </w:r>
    </w:p>
    <w:p w14:paraId="547BC7AF" w14:textId="77777777" w:rsidR="002E4895" w:rsidRPr="00900ADE" w:rsidRDefault="002E4895" w:rsidP="00732E86">
      <w:pPr>
        <w:pStyle w:val="Bullet1"/>
      </w:pPr>
      <w:r w:rsidRPr="00900ADE">
        <w:t>Supporting approval and implementation of a new five-year strategic plan.</w:t>
      </w:r>
    </w:p>
    <w:p w14:paraId="2BA86DB3" w14:textId="77777777" w:rsidR="002E4895" w:rsidRPr="00900ADE" w:rsidRDefault="002E4895" w:rsidP="00732E86">
      <w:pPr>
        <w:pStyle w:val="Bullet1"/>
      </w:pPr>
      <w:r w:rsidRPr="00900ADE">
        <w:lastRenderedPageBreak/>
        <w:t>Continuing efforts to improve, support, and guide the district’s approach to technology.</w:t>
      </w:r>
    </w:p>
    <w:p w14:paraId="77853FCB" w14:textId="2B35C0C1" w:rsidR="002E4895" w:rsidRPr="00900ADE" w:rsidRDefault="002E4895" w:rsidP="00732E86">
      <w:pPr>
        <w:pStyle w:val="Bullet1"/>
      </w:pPr>
      <w:r w:rsidRPr="00900ADE">
        <w:t xml:space="preserve">Collaborating with the Select Board, </w:t>
      </w:r>
      <w:r w:rsidR="00BE587F" w:rsidRPr="00900ADE">
        <w:t>the s</w:t>
      </w:r>
      <w:r w:rsidRPr="00900ADE">
        <w:t xml:space="preserve">uperintendent, and </w:t>
      </w:r>
      <w:r w:rsidR="00BE587F" w:rsidRPr="00900ADE">
        <w:t>the d</w:t>
      </w:r>
      <w:r w:rsidRPr="00900ADE">
        <w:t xml:space="preserve">irector of </w:t>
      </w:r>
      <w:r w:rsidR="00BE587F" w:rsidRPr="00900ADE">
        <w:t>f</w:t>
      </w:r>
      <w:r w:rsidRPr="00900ADE">
        <w:t xml:space="preserve">inance and </w:t>
      </w:r>
      <w:r w:rsidR="00BE587F" w:rsidRPr="00900ADE">
        <w:t>o</w:t>
      </w:r>
      <w:r w:rsidRPr="00900ADE">
        <w:t>perations to develop the fiscal year 2026 budget, ensuring it meets all students’ needs.</w:t>
      </w:r>
    </w:p>
    <w:p w14:paraId="4DED51CC" w14:textId="09911662" w:rsidR="002E4895" w:rsidRPr="00900ADE" w:rsidRDefault="002E4895" w:rsidP="00732E86">
      <w:pPr>
        <w:pStyle w:val="BodyText"/>
      </w:pPr>
      <w:r w:rsidRPr="00900ADE">
        <w:t xml:space="preserve">In May 2021, the </w:t>
      </w:r>
      <w:r w:rsidR="00BE587F" w:rsidRPr="00900ADE">
        <w:t>s</w:t>
      </w:r>
      <w:r w:rsidRPr="00900ADE">
        <w:t xml:space="preserve">chool </w:t>
      </w:r>
      <w:r w:rsidR="00BE587F" w:rsidRPr="00900ADE">
        <w:t>c</w:t>
      </w:r>
      <w:r w:rsidRPr="00900ADE">
        <w:t>ommittee concluded a multiyear review of district policies. This effort resulted in a revised and approved policy manual</w:t>
      </w:r>
      <w:r w:rsidR="00BE587F" w:rsidRPr="00900ADE">
        <w:t xml:space="preserve"> that</w:t>
      </w:r>
      <w:r w:rsidRPr="00900ADE">
        <w:t xml:space="preserve"> reflect</w:t>
      </w:r>
      <w:r w:rsidR="00BE587F" w:rsidRPr="00900ADE">
        <w:t>s</w:t>
      </w:r>
      <w:r w:rsidRPr="00900ADE">
        <w:t xml:space="preserve"> best practices and current legal guidelines in governance, operations, school administration, fiscal management, support services, facilities, personnel, negotiations, instruction, students, community relations, and education agency relations. The manual is available online.</w:t>
      </w:r>
    </w:p>
    <w:p w14:paraId="2467CD1D" w14:textId="11BA0CF6" w:rsidR="002E4895" w:rsidRPr="00900ADE" w:rsidRDefault="002E4895" w:rsidP="00732E86">
      <w:pPr>
        <w:pStyle w:val="BodyText"/>
      </w:pPr>
      <w:r w:rsidRPr="00900ADE">
        <w:t xml:space="preserve">The </w:t>
      </w:r>
      <w:r w:rsidR="00BE587F" w:rsidRPr="00900ADE">
        <w:t xml:space="preserve">school </w:t>
      </w:r>
      <w:r w:rsidRPr="00900ADE">
        <w:t>committee also emphasized transparency and public engagement. In interviews, members highlighted the importance of community outreach</w:t>
      </w:r>
      <w:r w:rsidR="00BE587F" w:rsidRPr="00900ADE">
        <w:t xml:space="preserve"> so that</w:t>
      </w:r>
      <w:r w:rsidRPr="00900ADE">
        <w:t xml:space="preserve"> the public has accurate information about the district’s challenges and goals. Strategies include holding office hours and sending public communications, such as a December 2024 letter inviting community collaboration.</w:t>
      </w:r>
    </w:p>
    <w:p w14:paraId="695840D9" w14:textId="5AF929A9" w:rsidR="00FC35C6" w:rsidRPr="00900ADE" w:rsidRDefault="34E9DE1A" w:rsidP="00732E86">
      <w:pPr>
        <w:pStyle w:val="BodyText"/>
      </w:pPr>
      <w:r w:rsidRPr="00905525">
        <w:rPr>
          <w:rStyle w:val="Greentext"/>
          <w:color w:val="auto"/>
        </w:rPr>
        <w:t xml:space="preserve">Professional and productive relationships </w:t>
      </w:r>
      <w:r w:rsidR="00941855" w:rsidRPr="00905525">
        <w:rPr>
          <w:rStyle w:val="Greentext"/>
          <w:color w:val="auto"/>
        </w:rPr>
        <w:t xml:space="preserve">among </w:t>
      </w:r>
      <w:r w:rsidRPr="00905525">
        <w:rPr>
          <w:rStyle w:val="Greentext"/>
          <w:color w:val="auto"/>
        </w:rPr>
        <w:t>the town</w:t>
      </w:r>
      <w:r w:rsidR="007F3FF4" w:rsidRPr="00905525">
        <w:rPr>
          <w:rStyle w:val="Greentext"/>
          <w:color w:val="auto"/>
        </w:rPr>
        <w:t>’s professional</w:t>
      </w:r>
      <w:r w:rsidR="2D1F4785" w:rsidRPr="00905525">
        <w:rPr>
          <w:rStyle w:val="Greentext"/>
          <w:color w:val="auto"/>
        </w:rPr>
        <w:t xml:space="preserve"> employees</w:t>
      </w:r>
      <w:r w:rsidR="007F3FF4" w:rsidRPr="00905525">
        <w:rPr>
          <w:rStyle w:val="Greentext"/>
          <w:color w:val="auto"/>
        </w:rPr>
        <w:t xml:space="preserve"> (e.</w:t>
      </w:r>
      <w:r w:rsidR="00BE587F" w:rsidRPr="00905525">
        <w:rPr>
          <w:rStyle w:val="Greentext"/>
          <w:color w:val="auto"/>
        </w:rPr>
        <w:t>g.</w:t>
      </w:r>
      <w:r w:rsidR="007F3FF4" w:rsidRPr="00905525">
        <w:rPr>
          <w:rStyle w:val="Greentext"/>
          <w:color w:val="auto"/>
        </w:rPr>
        <w:t xml:space="preserve">, town manager, </w:t>
      </w:r>
      <w:r w:rsidR="00177ABB" w:rsidRPr="00905525">
        <w:rPr>
          <w:rStyle w:val="Greentext"/>
          <w:color w:val="auto"/>
        </w:rPr>
        <w:t>public works)</w:t>
      </w:r>
      <w:r w:rsidRPr="00905525">
        <w:rPr>
          <w:rStyle w:val="Greentext"/>
          <w:color w:val="auto"/>
        </w:rPr>
        <w:t>, the district, and school committee are a strength of the district.</w:t>
      </w:r>
      <w:r w:rsidR="13EED567" w:rsidRPr="00905525">
        <w:t xml:space="preserve"> </w:t>
      </w:r>
      <w:r w:rsidR="3849F041" w:rsidRPr="00900ADE">
        <w:t xml:space="preserve">The </w:t>
      </w:r>
      <w:r w:rsidR="2B7EFEDD" w:rsidRPr="00900ADE">
        <w:t>s</w:t>
      </w:r>
      <w:r w:rsidR="3849F041" w:rsidRPr="00900ADE">
        <w:t>uperintendent</w:t>
      </w:r>
      <w:r w:rsidR="13EED567" w:rsidRPr="00900ADE">
        <w:t xml:space="preserve"> described </w:t>
      </w:r>
      <w:r w:rsidR="4EA4EA8B" w:rsidRPr="00900ADE">
        <w:t xml:space="preserve">his </w:t>
      </w:r>
      <w:r w:rsidR="13EED567" w:rsidRPr="00900ADE">
        <w:t xml:space="preserve">relationship </w:t>
      </w:r>
      <w:r w:rsidR="0491F936" w:rsidRPr="00900ADE">
        <w:t xml:space="preserve">with the school committee </w:t>
      </w:r>
      <w:r w:rsidR="13EED567" w:rsidRPr="00900ADE">
        <w:t>as favorable</w:t>
      </w:r>
      <w:r w:rsidR="366AA118" w:rsidRPr="00900ADE">
        <w:t xml:space="preserve">, </w:t>
      </w:r>
      <w:r w:rsidR="00BE587F" w:rsidRPr="00900ADE">
        <w:t>being</w:t>
      </w:r>
      <w:r w:rsidR="13EED567" w:rsidRPr="00900ADE">
        <w:t xml:space="preserve"> “fortunate”</w:t>
      </w:r>
      <w:r w:rsidR="00AE687F" w:rsidRPr="00900ADE">
        <w:t xml:space="preserve"> </w:t>
      </w:r>
      <w:r w:rsidR="009804EB" w:rsidRPr="00900ADE">
        <w:t>t</w:t>
      </w:r>
      <w:r w:rsidR="00AE687F" w:rsidRPr="00900ADE">
        <w:t xml:space="preserve">o have </w:t>
      </w:r>
      <w:r w:rsidR="009804EB" w:rsidRPr="00900ADE">
        <w:t>a good relationship with the school committee</w:t>
      </w:r>
      <w:r w:rsidR="00AE687F" w:rsidRPr="00900ADE">
        <w:t>.</w:t>
      </w:r>
      <w:r w:rsidR="13EED567" w:rsidRPr="00900ADE">
        <w:t xml:space="preserve"> He explained that</w:t>
      </w:r>
      <w:r w:rsidR="13EED567" w:rsidRPr="00900ADE">
        <w:rPr>
          <w:b/>
          <w:bCs/>
        </w:rPr>
        <w:t xml:space="preserve"> </w:t>
      </w:r>
      <w:r w:rsidR="13EED567" w:rsidRPr="00900ADE">
        <w:t>“</w:t>
      </w:r>
      <w:r w:rsidR="13EED567" w:rsidRPr="00900ADE">
        <w:rPr>
          <w:rFonts w:eastAsia="Aptos Narrow" w:cs="Aptos Narrow"/>
        </w:rPr>
        <w:t>I really do view them as collaborators and partners in this work.</w:t>
      </w:r>
      <w:r w:rsidR="007C3FF0" w:rsidRPr="00900ADE">
        <w:rPr>
          <w:rFonts w:eastAsia="Aptos Narrow" w:cs="Aptos Narrow"/>
        </w:rPr>
        <w:t>”</w:t>
      </w:r>
      <w:r w:rsidR="13EED567" w:rsidRPr="00900ADE">
        <w:rPr>
          <w:rFonts w:eastAsia="Aptos Narrow" w:cs="Aptos Narrow"/>
        </w:rPr>
        <w:t xml:space="preserve"> </w:t>
      </w:r>
      <w:r w:rsidR="3866B644" w:rsidRPr="00900ADE">
        <w:rPr>
          <w:rFonts w:eastAsia="Aptos Narrow" w:cs="Aptos Narrow"/>
        </w:rPr>
        <w:t>The superintendent also described his relationship with the town manager as</w:t>
      </w:r>
      <w:r w:rsidR="56746334" w:rsidRPr="00900ADE">
        <w:rPr>
          <w:rFonts w:eastAsia="Aptos Narrow" w:cs="Aptos Narrow"/>
        </w:rPr>
        <w:t xml:space="preserve"> a “</w:t>
      </w:r>
      <w:r w:rsidR="194438DE" w:rsidRPr="00900ADE">
        <w:rPr>
          <w:color w:val="000000" w:themeColor="text1"/>
        </w:rPr>
        <w:t>really positive, collaborative working relationship</w:t>
      </w:r>
      <w:r w:rsidR="2DA6BBAF" w:rsidRPr="00900ADE">
        <w:rPr>
          <w:color w:val="000000" w:themeColor="text1"/>
        </w:rPr>
        <w:t xml:space="preserve">” </w:t>
      </w:r>
      <w:r w:rsidR="00BE587F" w:rsidRPr="00900ADE">
        <w:rPr>
          <w:color w:val="000000" w:themeColor="text1"/>
        </w:rPr>
        <w:t xml:space="preserve">in which </w:t>
      </w:r>
      <w:r w:rsidR="2DA6BBAF" w:rsidRPr="00900ADE">
        <w:rPr>
          <w:color w:val="000000" w:themeColor="text1"/>
        </w:rPr>
        <w:t xml:space="preserve">they meet regularly to discuss issues. </w:t>
      </w:r>
      <w:r w:rsidR="655D6B88" w:rsidRPr="00900ADE">
        <w:rPr>
          <w:rFonts w:eastAsia="Aptos Narrow" w:cs="Aptos Narrow"/>
        </w:rPr>
        <w:t>Similarly, m</w:t>
      </w:r>
      <w:r w:rsidR="655D6B88" w:rsidRPr="00900ADE">
        <w:t>unicipal officials added that their working relationship with the school committee is “very good overall.”</w:t>
      </w:r>
      <w:r w:rsidR="16D1FC13" w:rsidRPr="00900ADE">
        <w:t xml:space="preserve"> </w:t>
      </w:r>
    </w:p>
    <w:p w14:paraId="4EBE7534" w14:textId="410D58F2" w:rsidR="008A7837" w:rsidRPr="00900ADE" w:rsidRDefault="004E7FAB" w:rsidP="00732E86">
      <w:pPr>
        <w:pStyle w:val="BodyText"/>
      </w:pPr>
      <w:r>
        <w:rPr>
          <w:rFonts w:eastAsia="Aptos" w:cs="Aptos"/>
          <w:color w:val="000000" w:themeColor="text1"/>
        </w:rPr>
        <w:t>M</w:t>
      </w:r>
      <w:r w:rsidR="65232525" w:rsidRPr="00900ADE">
        <w:rPr>
          <w:rFonts w:eastAsia="Aptos" w:cs="Aptos"/>
          <w:color w:val="000000" w:themeColor="text1"/>
        </w:rPr>
        <w:t xml:space="preserve">ultiple participants </w:t>
      </w:r>
      <w:r w:rsidR="641DFD74" w:rsidRPr="00900ADE">
        <w:rPr>
          <w:rFonts w:eastAsia="Aptos" w:cs="Aptos"/>
          <w:color w:val="000000" w:themeColor="text1"/>
        </w:rPr>
        <w:t>report</w:t>
      </w:r>
      <w:r w:rsidR="35CDD8A6" w:rsidRPr="00900ADE">
        <w:rPr>
          <w:rFonts w:eastAsia="Aptos" w:cs="Aptos"/>
          <w:color w:val="000000" w:themeColor="text1"/>
        </w:rPr>
        <w:t>ed</w:t>
      </w:r>
      <w:r w:rsidR="1A586F93" w:rsidRPr="00900ADE">
        <w:rPr>
          <w:rFonts w:eastAsia="Aptos" w:cs="Aptos"/>
          <w:color w:val="000000" w:themeColor="text1"/>
        </w:rPr>
        <w:t xml:space="preserve"> </w:t>
      </w:r>
      <w:r w:rsidR="00D3160D" w:rsidRPr="00900ADE">
        <w:rPr>
          <w:rFonts w:eastAsia="Aptos" w:cs="Aptos"/>
          <w:color w:val="000000" w:themeColor="text1"/>
        </w:rPr>
        <w:t>that</w:t>
      </w:r>
      <w:r w:rsidR="1A586F93" w:rsidRPr="00900ADE">
        <w:rPr>
          <w:rFonts w:eastAsia="Aptos" w:cs="Aptos"/>
          <w:color w:val="000000" w:themeColor="text1"/>
        </w:rPr>
        <w:t xml:space="preserve"> the town’s </w:t>
      </w:r>
      <w:r w:rsidR="007116E1" w:rsidRPr="00900ADE">
        <w:rPr>
          <w:rFonts w:eastAsia="Aptos" w:cs="Aptos"/>
          <w:color w:val="000000" w:themeColor="text1"/>
        </w:rPr>
        <w:t xml:space="preserve">elected </w:t>
      </w:r>
      <w:r w:rsidR="000F6E90" w:rsidRPr="00900ADE">
        <w:rPr>
          <w:rFonts w:eastAsia="Aptos" w:cs="Aptos"/>
          <w:color w:val="000000" w:themeColor="text1"/>
        </w:rPr>
        <w:t>S</w:t>
      </w:r>
      <w:r w:rsidR="1A586F93" w:rsidRPr="00900ADE">
        <w:rPr>
          <w:rFonts w:eastAsia="Aptos" w:cs="Aptos"/>
          <w:color w:val="000000" w:themeColor="text1"/>
        </w:rPr>
        <w:t xml:space="preserve">elect </w:t>
      </w:r>
      <w:r w:rsidR="000F6E90" w:rsidRPr="00900ADE">
        <w:rPr>
          <w:rFonts w:eastAsia="Aptos" w:cs="Aptos"/>
          <w:color w:val="000000" w:themeColor="text1"/>
        </w:rPr>
        <w:t>B</w:t>
      </w:r>
      <w:r w:rsidR="1A586F93" w:rsidRPr="00900ADE">
        <w:rPr>
          <w:rFonts w:eastAsia="Aptos" w:cs="Aptos"/>
          <w:color w:val="000000" w:themeColor="text1"/>
        </w:rPr>
        <w:t>oard</w:t>
      </w:r>
      <w:r w:rsidR="007116E1" w:rsidRPr="00900ADE">
        <w:rPr>
          <w:rFonts w:eastAsia="Aptos" w:cs="Aptos"/>
          <w:color w:val="000000" w:themeColor="text1"/>
        </w:rPr>
        <w:t xml:space="preserve"> and advisory finance committee</w:t>
      </w:r>
      <w:r w:rsidR="008A7837" w:rsidRPr="00900ADE">
        <w:t xml:space="preserve"> play a </w:t>
      </w:r>
      <w:r w:rsidR="00D3160D" w:rsidRPr="00900ADE">
        <w:t xml:space="preserve">more involved </w:t>
      </w:r>
      <w:r w:rsidR="008A7837" w:rsidRPr="00900ADE">
        <w:t>role in district finance and operations</w:t>
      </w:r>
      <w:r w:rsidR="00D3160D" w:rsidRPr="00900ADE">
        <w:t xml:space="preserve"> than in many other districts</w:t>
      </w:r>
      <w:r w:rsidR="008A7837" w:rsidRPr="00900ADE">
        <w:t xml:space="preserve">. Medway hosts multiple tri-board meetings involving the </w:t>
      </w:r>
      <w:r w:rsidR="000F6E90" w:rsidRPr="00900ADE">
        <w:t>s</w:t>
      </w:r>
      <w:r w:rsidR="008A7837" w:rsidRPr="00900ADE">
        <w:t xml:space="preserve">chool </w:t>
      </w:r>
      <w:r w:rsidR="000F6E90" w:rsidRPr="00900ADE">
        <w:t>c</w:t>
      </w:r>
      <w:r w:rsidR="008A7837" w:rsidRPr="00900ADE">
        <w:t xml:space="preserve">ommittee, </w:t>
      </w:r>
      <w:r w:rsidR="000F6E90" w:rsidRPr="00900ADE">
        <w:t xml:space="preserve">the </w:t>
      </w:r>
      <w:r w:rsidR="008A7837" w:rsidRPr="00900ADE">
        <w:t xml:space="preserve">town </w:t>
      </w:r>
      <w:r w:rsidR="000F6E90" w:rsidRPr="00900ADE">
        <w:t>f</w:t>
      </w:r>
      <w:r w:rsidR="008A7837" w:rsidRPr="00900ADE">
        <w:t xml:space="preserve">inance </w:t>
      </w:r>
      <w:r w:rsidR="000F6E90" w:rsidRPr="00900ADE">
        <w:t>c</w:t>
      </w:r>
      <w:r w:rsidR="008A7837" w:rsidRPr="00900ADE">
        <w:t xml:space="preserve">ommittee, and </w:t>
      </w:r>
      <w:r w:rsidR="000F6E90" w:rsidRPr="00900ADE">
        <w:t xml:space="preserve">the </w:t>
      </w:r>
      <w:r w:rsidR="008A7837" w:rsidRPr="00900ADE">
        <w:t xml:space="preserve">Select Board, particularly during winter budget discussions. </w:t>
      </w:r>
      <w:r w:rsidR="000F6E90" w:rsidRPr="00900ADE">
        <w:t>In addition</w:t>
      </w:r>
      <w:r w:rsidR="008A7837" w:rsidRPr="00900ADE">
        <w:t xml:space="preserve">, the </w:t>
      </w:r>
      <w:r w:rsidR="000F6E90" w:rsidRPr="00900ADE">
        <w:t>s</w:t>
      </w:r>
      <w:r w:rsidR="008A7837" w:rsidRPr="00900ADE">
        <w:t xml:space="preserve">chool </w:t>
      </w:r>
      <w:r w:rsidR="000F6E90" w:rsidRPr="00900ADE">
        <w:t>c</w:t>
      </w:r>
      <w:r w:rsidR="008A7837" w:rsidRPr="00900ADE">
        <w:t xml:space="preserve">ommittee’s Budget Advisory Board—comprising the superintendent, </w:t>
      </w:r>
      <w:r w:rsidR="000F6E90" w:rsidRPr="00900ADE">
        <w:t>the d</w:t>
      </w:r>
      <w:r w:rsidR="008A7837" w:rsidRPr="00900ADE">
        <w:t xml:space="preserve">irector of </w:t>
      </w:r>
      <w:r w:rsidR="000F6E90" w:rsidRPr="00900ADE">
        <w:t>f</w:t>
      </w:r>
      <w:r w:rsidR="008A7837" w:rsidRPr="00900ADE">
        <w:t xml:space="preserve">inance and </w:t>
      </w:r>
      <w:r w:rsidR="000F6E90" w:rsidRPr="00900ADE">
        <w:t>o</w:t>
      </w:r>
      <w:r w:rsidR="008A7837" w:rsidRPr="00900ADE">
        <w:t xml:space="preserve">perations, two </w:t>
      </w:r>
      <w:r w:rsidR="000F6E90" w:rsidRPr="00900ADE">
        <w:t>f</w:t>
      </w:r>
      <w:r w:rsidR="008A7837" w:rsidRPr="00900ADE">
        <w:t xml:space="preserve">inance </w:t>
      </w:r>
      <w:r w:rsidR="000F6E90" w:rsidRPr="00900ADE">
        <w:t>c</w:t>
      </w:r>
      <w:r w:rsidR="008A7837" w:rsidRPr="00900ADE">
        <w:t xml:space="preserve">ommittee members, two Select Board members, and the </w:t>
      </w:r>
      <w:r w:rsidR="000F6E90" w:rsidRPr="00900ADE">
        <w:t>s</w:t>
      </w:r>
      <w:r w:rsidR="008A7837" w:rsidRPr="00900ADE">
        <w:t xml:space="preserve">chool </w:t>
      </w:r>
      <w:r w:rsidR="000F6E90" w:rsidRPr="00900ADE">
        <w:t>c</w:t>
      </w:r>
      <w:r w:rsidR="008A7837" w:rsidRPr="00900ADE">
        <w:t>ommittee budget subcommittee—provides guidance throughout the budgeting process.</w:t>
      </w:r>
    </w:p>
    <w:p w14:paraId="31E813C5" w14:textId="06322D3F" w:rsidR="002F4BF1" w:rsidRPr="00900ADE" w:rsidRDefault="3A2C7949" w:rsidP="00732E86">
      <w:pPr>
        <w:pStyle w:val="BodyText"/>
      </w:pPr>
      <w:r w:rsidRPr="00905525">
        <w:rPr>
          <w:rStyle w:val="Greentext"/>
          <w:color w:val="auto"/>
        </w:rPr>
        <w:t>The district’s shared, distributed</w:t>
      </w:r>
      <w:r w:rsidR="0082092B" w:rsidRPr="00905525">
        <w:rPr>
          <w:rStyle w:val="Greentext"/>
          <w:color w:val="auto"/>
        </w:rPr>
        <w:t>,</w:t>
      </w:r>
      <w:r w:rsidR="3C3BC05A" w:rsidRPr="00905525">
        <w:rPr>
          <w:rStyle w:val="Greentext"/>
          <w:color w:val="auto"/>
        </w:rPr>
        <w:t xml:space="preserve"> and inclusive</w:t>
      </w:r>
      <w:r w:rsidRPr="00905525">
        <w:rPr>
          <w:rStyle w:val="Greentext"/>
          <w:color w:val="auto"/>
        </w:rPr>
        <w:t xml:space="preserve"> leadership structures are effective</w:t>
      </w:r>
      <w:r w:rsidR="0082092B" w:rsidRPr="00905525">
        <w:rPr>
          <w:rStyle w:val="Greentext"/>
          <w:color w:val="auto"/>
        </w:rPr>
        <w:t xml:space="preserve"> and are</w:t>
      </w:r>
      <w:r w:rsidRPr="00905525">
        <w:rPr>
          <w:rStyle w:val="Greentext"/>
          <w:color w:val="auto"/>
        </w:rPr>
        <w:t xml:space="preserve"> a strength of the district</w:t>
      </w:r>
      <w:r w:rsidR="00C9101C" w:rsidRPr="00905525">
        <w:rPr>
          <w:rStyle w:val="Greentext"/>
          <w:color w:val="auto"/>
        </w:rPr>
        <w:t>.</w:t>
      </w:r>
      <w:r w:rsidR="002F4BF1" w:rsidRPr="00905525">
        <w:t xml:space="preserve"> </w:t>
      </w:r>
      <w:r w:rsidR="002F4BF1" w:rsidRPr="00900ADE">
        <w:t>The district operates two leadership teams:</w:t>
      </w:r>
    </w:p>
    <w:p w14:paraId="2F4B2B5C" w14:textId="74F2941E" w:rsidR="002F4BF1" w:rsidRPr="00900ADE" w:rsidRDefault="000F6E90" w:rsidP="000F6E90">
      <w:pPr>
        <w:pStyle w:val="Bullet1"/>
      </w:pPr>
      <w:r w:rsidRPr="00900ADE">
        <w:rPr>
          <w:rStyle w:val="FranklinGothicDemi"/>
          <w:rFonts w:asciiTheme="minorHAnsi" w:hAnsiTheme="minorHAnsi"/>
        </w:rPr>
        <w:t xml:space="preserve">The </w:t>
      </w:r>
      <w:r w:rsidRPr="00905525">
        <w:rPr>
          <w:rStyle w:val="FranklinGothicDemi"/>
          <w:rFonts w:asciiTheme="minorHAnsi" w:hAnsiTheme="minorHAnsi"/>
        </w:rPr>
        <w:t>c</w:t>
      </w:r>
      <w:r w:rsidR="002F4BF1" w:rsidRPr="00905525">
        <w:rPr>
          <w:rStyle w:val="FranklinGothicDemi"/>
          <w:rFonts w:asciiTheme="minorHAnsi" w:hAnsiTheme="minorHAnsi"/>
        </w:rPr>
        <w:t xml:space="preserve">entral </w:t>
      </w:r>
      <w:r w:rsidRPr="00905525">
        <w:rPr>
          <w:rStyle w:val="FranklinGothicDemi"/>
          <w:rFonts w:asciiTheme="minorHAnsi" w:hAnsiTheme="minorHAnsi"/>
        </w:rPr>
        <w:t>o</w:t>
      </w:r>
      <w:r w:rsidR="002F4BF1" w:rsidRPr="00905525">
        <w:rPr>
          <w:rStyle w:val="FranklinGothicDemi"/>
          <w:rFonts w:asciiTheme="minorHAnsi" w:hAnsiTheme="minorHAnsi"/>
        </w:rPr>
        <w:t xml:space="preserve">ffice </w:t>
      </w:r>
      <w:r w:rsidRPr="00905525">
        <w:rPr>
          <w:rStyle w:val="FranklinGothicDemi"/>
          <w:rFonts w:asciiTheme="minorHAnsi" w:hAnsiTheme="minorHAnsi"/>
        </w:rPr>
        <w:t>a</w:t>
      </w:r>
      <w:r w:rsidR="002F4BF1" w:rsidRPr="00905525">
        <w:rPr>
          <w:rStyle w:val="FranklinGothicDemi"/>
          <w:rFonts w:asciiTheme="minorHAnsi" w:hAnsiTheme="minorHAnsi"/>
        </w:rPr>
        <w:t xml:space="preserve">dministrator </w:t>
      </w:r>
      <w:r w:rsidRPr="00905525">
        <w:rPr>
          <w:rStyle w:val="FranklinGothicDemi"/>
          <w:rFonts w:asciiTheme="minorHAnsi" w:hAnsiTheme="minorHAnsi"/>
        </w:rPr>
        <w:t>t</w:t>
      </w:r>
      <w:r w:rsidR="002F4BF1" w:rsidRPr="00905525">
        <w:rPr>
          <w:rStyle w:val="FranklinGothicDemi"/>
          <w:rFonts w:asciiTheme="minorHAnsi" w:hAnsiTheme="minorHAnsi"/>
        </w:rPr>
        <w:t>eam</w:t>
      </w:r>
      <w:r w:rsidR="002F4BF1" w:rsidRPr="00900ADE">
        <w:t xml:space="preserve"> </w:t>
      </w:r>
      <w:r w:rsidRPr="00900ADE">
        <w:t>i</w:t>
      </w:r>
      <w:r w:rsidR="002F4BF1" w:rsidRPr="00900ADE">
        <w:t xml:space="preserve">ncludes the superintendent, </w:t>
      </w:r>
      <w:r w:rsidRPr="00900ADE">
        <w:t xml:space="preserve">the </w:t>
      </w:r>
      <w:r w:rsidR="002F4BF1" w:rsidRPr="00900ADE">
        <w:t xml:space="preserve">assistant superintendent, </w:t>
      </w:r>
      <w:r w:rsidRPr="00900ADE">
        <w:t xml:space="preserve">the </w:t>
      </w:r>
      <w:r w:rsidR="002F4BF1" w:rsidRPr="00900ADE">
        <w:t xml:space="preserve">director of student services, </w:t>
      </w:r>
      <w:r w:rsidRPr="00900ADE">
        <w:t xml:space="preserve">the </w:t>
      </w:r>
      <w:r w:rsidR="002F4BF1" w:rsidRPr="00900ADE">
        <w:t xml:space="preserve">director of wellness, </w:t>
      </w:r>
      <w:r w:rsidRPr="00900ADE">
        <w:t xml:space="preserve">the </w:t>
      </w:r>
      <w:r w:rsidR="002F4BF1" w:rsidRPr="00900ADE">
        <w:t xml:space="preserve">director of community education, </w:t>
      </w:r>
      <w:r w:rsidRPr="00900ADE">
        <w:t xml:space="preserve">the </w:t>
      </w:r>
      <w:r w:rsidR="002F4BF1" w:rsidRPr="00900ADE">
        <w:t xml:space="preserve">director of human resources, </w:t>
      </w:r>
      <w:r w:rsidR="00CE39EE" w:rsidRPr="00900ADE">
        <w:t xml:space="preserve">the </w:t>
      </w:r>
      <w:r w:rsidR="002F4BF1" w:rsidRPr="00900ADE">
        <w:t xml:space="preserve">director of facilities, and </w:t>
      </w:r>
      <w:r w:rsidRPr="00900ADE">
        <w:t xml:space="preserve">the </w:t>
      </w:r>
      <w:r w:rsidR="002F4BF1" w:rsidRPr="00900ADE">
        <w:t>director of technology. This team meets biweekly to address operational matters.</w:t>
      </w:r>
    </w:p>
    <w:p w14:paraId="71CB2423" w14:textId="54CC6329" w:rsidR="002F4BF1" w:rsidRPr="00900ADE" w:rsidRDefault="000F6E90" w:rsidP="000F6E90">
      <w:pPr>
        <w:pStyle w:val="Bullet1"/>
      </w:pPr>
      <w:r w:rsidRPr="00900ADE">
        <w:rPr>
          <w:rStyle w:val="FranklinGothicDemi"/>
          <w:rFonts w:asciiTheme="minorHAnsi" w:hAnsiTheme="minorHAnsi"/>
        </w:rPr>
        <w:t xml:space="preserve">The </w:t>
      </w:r>
      <w:r w:rsidRPr="00905525">
        <w:rPr>
          <w:rStyle w:val="FranklinGothicDemi"/>
          <w:rFonts w:asciiTheme="minorHAnsi" w:hAnsiTheme="minorHAnsi"/>
        </w:rPr>
        <w:t>e</w:t>
      </w:r>
      <w:r w:rsidR="002F4BF1" w:rsidRPr="00905525">
        <w:rPr>
          <w:rStyle w:val="FranklinGothicDemi"/>
          <w:rFonts w:asciiTheme="minorHAnsi" w:hAnsiTheme="minorHAnsi"/>
        </w:rPr>
        <w:t xml:space="preserve">xecutive </w:t>
      </w:r>
      <w:r w:rsidRPr="00905525">
        <w:rPr>
          <w:rStyle w:val="FranklinGothicDemi"/>
          <w:rFonts w:asciiTheme="minorHAnsi" w:hAnsiTheme="minorHAnsi"/>
        </w:rPr>
        <w:t>l</w:t>
      </w:r>
      <w:r w:rsidR="002F4BF1" w:rsidRPr="00905525">
        <w:rPr>
          <w:rStyle w:val="FranklinGothicDemi"/>
          <w:rFonts w:asciiTheme="minorHAnsi" w:hAnsiTheme="minorHAnsi"/>
        </w:rPr>
        <w:t xml:space="preserve">eadership </w:t>
      </w:r>
      <w:r w:rsidRPr="00905525">
        <w:rPr>
          <w:rStyle w:val="FranklinGothicDemi"/>
          <w:rFonts w:asciiTheme="minorHAnsi" w:hAnsiTheme="minorHAnsi"/>
        </w:rPr>
        <w:t>t</w:t>
      </w:r>
      <w:r w:rsidR="002F4BF1" w:rsidRPr="00905525">
        <w:rPr>
          <w:rStyle w:val="FranklinGothicDemi"/>
          <w:rFonts w:asciiTheme="minorHAnsi" w:hAnsiTheme="minorHAnsi"/>
        </w:rPr>
        <w:t>eam</w:t>
      </w:r>
      <w:r w:rsidR="002F4BF1" w:rsidRPr="00900ADE">
        <w:rPr>
          <w:rStyle w:val="FranklinGothicDemi"/>
          <w:rFonts w:asciiTheme="minorHAnsi" w:hAnsiTheme="minorHAnsi"/>
        </w:rPr>
        <w:t xml:space="preserve"> (ELT)</w:t>
      </w:r>
      <w:r w:rsidR="002F4BF1" w:rsidRPr="00900ADE">
        <w:t xml:space="preserve"> </w:t>
      </w:r>
      <w:r w:rsidRPr="00900ADE">
        <w:t>c</w:t>
      </w:r>
      <w:r w:rsidR="002F4BF1" w:rsidRPr="00900ADE">
        <w:t>omprise</w:t>
      </w:r>
      <w:r w:rsidRPr="00900ADE">
        <w:t>s</w:t>
      </w:r>
      <w:r w:rsidR="002F4BF1" w:rsidRPr="00900ADE">
        <w:t xml:space="preserve"> the superintendent, </w:t>
      </w:r>
      <w:r w:rsidRPr="00900ADE">
        <w:t xml:space="preserve">the </w:t>
      </w:r>
      <w:r w:rsidR="002F4BF1" w:rsidRPr="00900ADE">
        <w:t xml:space="preserve">assistant superintendent, </w:t>
      </w:r>
      <w:r w:rsidRPr="00900ADE">
        <w:t xml:space="preserve">the </w:t>
      </w:r>
      <w:r w:rsidR="002F4BF1" w:rsidRPr="00900ADE">
        <w:t xml:space="preserve">director of student services, </w:t>
      </w:r>
      <w:r w:rsidRPr="00900ADE">
        <w:t xml:space="preserve">the </w:t>
      </w:r>
      <w:r w:rsidR="002F4BF1" w:rsidRPr="00900ADE">
        <w:t xml:space="preserve">assistant director of student services, </w:t>
      </w:r>
      <w:r w:rsidRPr="00900ADE">
        <w:t xml:space="preserve">the </w:t>
      </w:r>
      <w:r w:rsidR="002F4BF1" w:rsidRPr="00900ADE">
        <w:t xml:space="preserve">director of wellness, and four school principals. ELT meetings focus on strategic planning, resource allocation, staffing, program implementation, and operations. Recent topics, per ELT agendas, include safety and security, technology, </w:t>
      </w:r>
      <w:r w:rsidRPr="00900ADE">
        <w:t>information technology (</w:t>
      </w:r>
      <w:r w:rsidR="002F4BF1" w:rsidRPr="00900ADE">
        <w:t>IT</w:t>
      </w:r>
      <w:r w:rsidRPr="00900ADE">
        <w:t>)</w:t>
      </w:r>
      <w:r w:rsidR="002F4BF1" w:rsidRPr="00900ADE">
        <w:t xml:space="preserve"> needs, </w:t>
      </w:r>
      <w:r w:rsidRPr="00900ADE">
        <w:t>the use of artificial intelligence (</w:t>
      </w:r>
      <w:r w:rsidR="002F4BF1" w:rsidRPr="00900ADE">
        <w:t>AI</w:t>
      </w:r>
      <w:r w:rsidRPr="00900ADE">
        <w:t>)</w:t>
      </w:r>
      <w:r w:rsidR="002F4BF1" w:rsidRPr="00900ADE">
        <w:t xml:space="preserve"> , staff evaluation, budget planning, school improvement plans, strategic planning, and student assessments.</w:t>
      </w:r>
    </w:p>
    <w:p w14:paraId="04004C24" w14:textId="48306C8D" w:rsidR="003D6ECF" w:rsidRPr="00900ADE" w:rsidRDefault="002F4BF1" w:rsidP="00732E86">
      <w:pPr>
        <w:pStyle w:val="BodyText"/>
        <w:rPr>
          <w:rFonts w:eastAsia="Aptos" w:cs="Aptos"/>
        </w:rPr>
      </w:pPr>
      <w:r w:rsidRPr="00900ADE">
        <w:lastRenderedPageBreak/>
        <w:t>The ELT also holds quarterly meetings with assistant principals, and district leaders meet monthly or as needed with school leaders and staff to review data and debrief instructional leadership team (ILT) meetings.</w:t>
      </w:r>
      <w:r w:rsidR="00CE3052" w:rsidRPr="00900ADE">
        <w:t xml:space="preserve"> </w:t>
      </w:r>
      <w:r w:rsidR="393FD152" w:rsidRPr="00900ADE">
        <w:rPr>
          <w:rFonts w:eastAsia="Aptos" w:cs="Aptos"/>
        </w:rPr>
        <w:t xml:space="preserve">Different central office leaders, including the director of student services, the director of wellness, and the assistant superintendent are responsible for ensuring compliance with the McKinney-Vento Act, overseeing special education needs and supports, managing English </w:t>
      </w:r>
      <w:r w:rsidR="005A1B5A" w:rsidRPr="00900ADE">
        <w:rPr>
          <w:rFonts w:eastAsia="Aptos" w:cs="Aptos"/>
        </w:rPr>
        <w:t>L</w:t>
      </w:r>
      <w:r w:rsidR="393FD152" w:rsidRPr="00900ADE">
        <w:rPr>
          <w:rFonts w:eastAsia="Aptos" w:cs="Aptos"/>
        </w:rPr>
        <w:t xml:space="preserve">earner needs across schools, and overseeing health and wellness programs in the district. </w:t>
      </w:r>
    </w:p>
    <w:p w14:paraId="3F90138F" w14:textId="34CED07B" w:rsidR="003D6ECF" w:rsidRPr="00900ADE" w:rsidRDefault="753AF323" w:rsidP="00732E86">
      <w:pPr>
        <w:pStyle w:val="BodyText"/>
        <w:rPr>
          <w:rFonts w:cs="Tahoma (Body CS)"/>
          <w:spacing w:val="-1"/>
        </w:rPr>
      </w:pPr>
      <w:r w:rsidRPr="00900ADE">
        <w:rPr>
          <w:rFonts w:cs="Tahoma (Body CS)"/>
          <w:spacing w:val="-1"/>
        </w:rPr>
        <w:t>In focus groups with staff from across the district, participants</w:t>
      </w:r>
      <w:r w:rsidR="1AA03546" w:rsidRPr="00900ADE">
        <w:rPr>
          <w:rFonts w:cs="Tahoma (Body CS)"/>
          <w:spacing w:val="-1"/>
        </w:rPr>
        <w:t xml:space="preserve"> agreed</w:t>
      </w:r>
      <w:r w:rsidRPr="00900ADE">
        <w:rPr>
          <w:rFonts w:cs="Tahoma (Body CS)"/>
          <w:spacing w:val="-1"/>
        </w:rPr>
        <w:t xml:space="preserve"> that the district empowers school </w:t>
      </w:r>
      <w:r w:rsidR="008356F8" w:rsidRPr="00900ADE">
        <w:rPr>
          <w:rFonts w:cs="Tahoma (Body CS)"/>
          <w:spacing w:val="-1"/>
        </w:rPr>
        <w:t>ILTs</w:t>
      </w:r>
      <w:r w:rsidRPr="00900ADE">
        <w:rPr>
          <w:rFonts w:cs="Tahoma (Body CS)"/>
          <w:spacing w:val="-1"/>
        </w:rPr>
        <w:t xml:space="preserve"> to establish an inclusive environment and foster positive and collaborative learning. </w:t>
      </w:r>
      <w:r w:rsidR="001E0A1D" w:rsidRPr="00900ADE">
        <w:rPr>
          <w:rFonts w:cs="Tahoma (Body CS)"/>
          <w:spacing w:val="-1"/>
        </w:rPr>
        <w:t>Staff</w:t>
      </w:r>
      <w:r w:rsidRPr="00900ADE">
        <w:rPr>
          <w:rFonts w:cs="Tahoma (Body CS)"/>
          <w:spacing w:val="-1"/>
        </w:rPr>
        <w:t xml:space="preserve"> noted that the level of autonomy granted to these teams</w:t>
      </w:r>
      <w:r w:rsidR="2B2E0549" w:rsidRPr="00900ADE">
        <w:rPr>
          <w:rFonts w:cs="Tahoma (Body CS)"/>
          <w:spacing w:val="-1"/>
        </w:rPr>
        <w:t xml:space="preserve"> </w:t>
      </w:r>
      <w:r w:rsidRPr="00900ADE">
        <w:rPr>
          <w:rFonts w:cs="Tahoma (Body CS)"/>
          <w:spacing w:val="-1"/>
        </w:rPr>
        <w:t>enhances their effectiveness in implementing school initiatives aligned with the district’s educational vision and strategic goals.</w:t>
      </w:r>
      <w:r w:rsidR="3F50EF3C" w:rsidRPr="00900ADE">
        <w:rPr>
          <w:rFonts w:cs="Tahoma (Body CS)"/>
          <w:spacing w:val="-1"/>
        </w:rPr>
        <w:t xml:space="preserve"> S</w:t>
      </w:r>
      <w:r w:rsidRPr="00900ADE">
        <w:rPr>
          <w:rFonts w:cs="Tahoma (Body CS)"/>
          <w:spacing w:val="-1"/>
        </w:rPr>
        <w:t>chool leaders</w:t>
      </w:r>
      <w:r w:rsidR="5E238B02" w:rsidRPr="00900ADE">
        <w:rPr>
          <w:rFonts w:cs="Tahoma (Body CS)"/>
          <w:spacing w:val="-1"/>
        </w:rPr>
        <w:t xml:space="preserve"> </w:t>
      </w:r>
      <w:r w:rsidR="7338ED5D" w:rsidRPr="00900ADE">
        <w:rPr>
          <w:rFonts w:cs="Tahoma (Body CS)"/>
          <w:spacing w:val="-1"/>
        </w:rPr>
        <w:t>consistently</w:t>
      </w:r>
      <w:r w:rsidRPr="00900ADE">
        <w:rPr>
          <w:rFonts w:cs="Tahoma (Body CS)"/>
          <w:spacing w:val="-1"/>
        </w:rPr>
        <w:t xml:space="preserve"> reported having autonomy to make decisions about staffing, scheduling, and budgeting. </w:t>
      </w:r>
      <w:r w:rsidR="5E238B02" w:rsidRPr="00900ADE">
        <w:rPr>
          <w:rFonts w:cs="Tahoma (Body CS)"/>
          <w:spacing w:val="-1"/>
        </w:rPr>
        <w:t>The</w:t>
      </w:r>
      <w:r w:rsidR="00143B48" w:rsidRPr="00900ADE">
        <w:rPr>
          <w:rFonts w:cs="Tahoma (Body CS)"/>
          <w:spacing w:val="-1"/>
        </w:rPr>
        <w:t xml:space="preserve"> leaders</w:t>
      </w:r>
      <w:r w:rsidR="5E238B02" w:rsidRPr="00900ADE">
        <w:rPr>
          <w:rFonts w:cs="Tahoma (Body CS)"/>
          <w:spacing w:val="-1"/>
        </w:rPr>
        <w:t xml:space="preserve"> emphasize</w:t>
      </w:r>
      <w:r w:rsidR="3CB7257D" w:rsidRPr="00900ADE">
        <w:rPr>
          <w:rFonts w:cs="Tahoma (Body CS)"/>
          <w:spacing w:val="-1"/>
        </w:rPr>
        <w:t>d</w:t>
      </w:r>
      <w:r w:rsidRPr="00900ADE">
        <w:rPr>
          <w:rFonts w:cs="Tahoma (Body CS)"/>
          <w:spacing w:val="-1"/>
        </w:rPr>
        <w:t xml:space="preserve"> </w:t>
      </w:r>
      <w:r w:rsidR="00143B48" w:rsidRPr="00900ADE">
        <w:rPr>
          <w:rFonts w:cs="Tahoma (Body CS)"/>
          <w:spacing w:val="-1"/>
        </w:rPr>
        <w:t xml:space="preserve">the importance of </w:t>
      </w:r>
      <w:r w:rsidRPr="00900ADE">
        <w:rPr>
          <w:rFonts w:cs="Tahoma (Body CS)"/>
          <w:spacing w:val="-1"/>
        </w:rPr>
        <w:t xml:space="preserve">having structures in place, such as protocols for hiring, that guide their </w:t>
      </w:r>
      <w:r w:rsidR="00F165E6">
        <w:rPr>
          <w:rFonts w:cs="Tahoma (Body CS)"/>
          <w:spacing w:val="-1"/>
        </w:rPr>
        <w:t>decision-making</w:t>
      </w:r>
      <w:r w:rsidRPr="00900ADE">
        <w:rPr>
          <w:rFonts w:cs="Tahoma (Body CS)"/>
          <w:spacing w:val="-1"/>
        </w:rPr>
        <w:t xml:space="preserve">. </w:t>
      </w:r>
      <w:r w:rsidR="24DFE8A1" w:rsidRPr="00900ADE">
        <w:rPr>
          <w:rFonts w:cs="Tahoma (Body CS)"/>
          <w:spacing w:val="-1"/>
        </w:rPr>
        <w:t xml:space="preserve">For instance, </w:t>
      </w:r>
      <w:r w:rsidR="00143B48" w:rsidRPr="00900ADE">
        <w:rPr>
          <w:rFonts w:cs="Tahoma (Body CS)"/>
          <w:spacing w:val="-1"/>
        </w:rPr>
        <w:t>school leaders</w:t>
      </w:r>
      <w:r w:rsidR="24DFE8A1" w:rsidRPr="00900ADE">
        <w:rPr>
          <w:rFonts w:cs="Tahoma (Body CS)"/>
          <w:spacing w:val="-1"/>
        </w:rPr>
        <w:t xml:space="preserve"> form committees to advise them when hiring f</w:t>
      </w:r>
      <w:r w:rsidR="4610C148" w:rsidRPr="00900ADE">
        <w:rPr>
          <w:rFonts w:cs="Tahoma (Body CS)"/>
          <w:spacing w:val="-1"/>
        </w:rPr>
        <w:t>or a position.</w:t>
      </w:r>
      <w:r w:rsidRPr="00900ADE">
        <w:rPr>
          <w:rFonts w:cs="Tahoma (Body CS)"/>
          <w:spacing w:val="-1"/>
        </w:rPr>
        <w:t xml:space="preserve"> One leader </w:t>
      </w:r>
      <w:r w:rsidR="229410DE" w:rsidRPr="00900ADE">
        <w:rPr>
          <w:rFonts w:cs="Tahoma (Body CS)"/>
          <w:spacing w:val="-1"/>
        </w:rPr>
        <w:t>explained</w:t>
      </w:r>
      <w:r w:rsidRPr="00900ADE">
        <w:rPr>
          <w:rFonts w:cs="Tahoma (Body CS)"/>
          <w:spacing w:val="-1"/>
        </w:rPr>
        <w:t xml:space="preserve"> that “because we have such a structure in place for how we make decisions, we</w:t>
      </w:r>
      <w:r w:rsidR="000F6E90" w:rsidRPr="00900ADE">
        <w:rPr>
          <w:rFonts w:cs="Tahoma (Body CS)"/>
          <w:spacing w:val="-1"/>
        </w:rPr>
        <w:t>’</w:t>
      </w:r>
      <w:r w:rsidRPr="00900ADE">
        <w:rPr>
          <w:rFonts w:cs="Tahoma (Body CS)"/>
          <w:spacing w:val="-1"/>
        </w:rPr>
        <w:t>re given the further autonomy because we</w:t>
      </w:r>
      <w:r w:rsidR="000F6E90" w:rsidRPr="00900ADE">
        <w:rPr>
          <w:rFonts w:cs="Tahoma (Body CS)"/>
          <w:spacing w:val="-1"/>
        </w:rPr>
        <w:t>’</w:t>
      </w:r>
      <w:r w:rsidRPr="00900ADE">
        <w:rPr>
          <w:rFonts w:cs="Tahoma (Body CS)"/>
          <w:spacing w:val="-1"/>
        </w:rPr>
        <w:t>re able to make good decisions that tend to prove out fairly well most of the time, and so it builds trust in our relationships</w:t>
      </w:r>
      <w:r w:rsidR="42B64C92" w:rsidRPr="00900ADE">
        <w:rPr>
          <w:rFonts w:cs="Tahoma (Body CS)"/>
          <w:spacing w:val="-1"/>
        </w:rPr>
        <w:t xml:space="preserve">.” </w:t>
      </w:r>
      <w:r w:rsidR="229410DE" w:rsidRPr="00900ADE">
        <w:rPr>
          <w:rFonts w:cs="Tahoma (Body CS)"/>
          <w:spacing w:val="-1"/>
        </w:rPr>
        <w:t>Another</w:t>
      </w:r>
      <w:r w:rsidR="5E238B02" w:rsidRPr="00900ADE">
        <w:rPr>
          <w:rFonts w:cs="Tahoma (Body CS)"/>
          <w:spacing w:val="-1"/>
        </w:rPr>
        <w:t xml:space="preserve"> leader explain</w:t>
      </w:r>
      <w:r w:rsidR="73B8619A" w:rsidRPr="00900ADE">
        <w:rPr>
          <w:rFonts w:cs="Tahoma (Body CS)"/>
          <w:spacing w:val="-1"/>
        </w:rPr>
        <w:t>ed</w:t>
      </w:r>
      <w:r w:rsidR="5E238B02" w:rsidRPr="00900ADE">
        <w:rPr>
          <w:rFonts w:cs="Tahoma (Body CS)"/>
          <w:spacing w:val="-1"/>
        </w:rPr>
        <w:t xml:space="preserve"> </w:t>
      </w:r>
      <w:r w:rsidR="28B57E0F" w:rsidRPr="00900ADE">
        <w:rPr>
          <w:rFonts w:cs="Tahoma (Body CS)"/>
          <w:spacing w:val="-1"/>
        </w:rPr>
        <w:t xml:space="preserve">the importance </w:t>
      </w:r>
      <w:r w:rsidR="47C400AE" w:rsidRPr="00900ADE">
        <w:rPr>
          <w:rFonts w:cs="Tahoma (Body CS)"/>
          <w:spacing w:val="-1"/>
        </w:rPr>
        <w:t xml:space="preserve">of </w:t>
      </w:r>
      <w:r w:rsidR="5E238B02" w:rsidRPr="00900ADE">
        <w:rPr>
          <w:rFonts w:cs="Tahoma (Body CS)"/>
          <w:spacing w:val="-1"/>
        </w:rPr>
        <w:t>understand</w:t>
      </w:r>
      <w:r w:rsidR="126D5CBE" w:rsidRPr="00900ADE">
        <w:rPr>
          <w:rFonts w:cs="Tahoma (Body CS)"/>
          <w:spacing w:val="-1"/>
        </w:rPr>
        <w:t>ing</w:t>
      </w:r>
      <w:r w:rsidR="5E238B02" w:rsidRPr="00900ADE">
        <w:rPr>
          <w:rFonts w:cs="Tahoma (Body CS)"/>
          <w:spacing w:val="-1"/>
        </w:rPr>
        <w:t xml:space="preserve"> the superintendent’s expectations and hav</w:t>
      </w:r>
      <w:r w:rsidR="000F6E90" w:rsidRPr="00900ADE">
        <w:rPr>
          <w:rFonts w:cs="Tahoma (Body CS)"/>
          <w:spacing w:val="-1"/>
        </w:rPr>
        <w:t>ing</w:t>
      </w:r>
      <w:r w:rsidR="5E238B02" w:rsidRPr="00900ADE">
        <w:rPr>
          <w:rFonts w:cs="Tahoma (Body CS)"/>
          <w:spacing w:val="-1"/>
        </w:rPr>
        <w:t xml:space="preserve"> a rationale for their decision</w:t>
      </w:r>
      <w:r w:rsidR="00143B48" w:rsidRPr="00900ADE">
        <w:rPr>
          <w:rFonts w:cs="Tahoma (Body CS)"/>
          <w:spacing w:val="-1"/>
        </w:rPr>
        <w:t>s</w:t>
      </w:r>
      <w:r w:rsidR="5E238B02" w:rsidRPr="00900ADE">
        <w:rPr>
          <w:rFonts w:cs="Tahoma (Body CS)"/>
          <w:spacing w:val="-1"/>
        </w:rPr>
        <w:t xml:space="preserve">. </w:t>
      </w:r>
      <w:r w:rsidR="42B64C92" w:rsidRPr="00900ADE">
        <w:rPr>
          <w:rFonts w:cs="Tahoma (Body CS)"/>
          <w:spacing w:val="-1"/>
        </w:rPr>
        <w:t>S</w:t>
      </w:r>
      <w:r w:rsidRPr="00900ADE">
        <w:rPr>
          <w:rFonts w:cs="Tahoma (Body CS)"/>
          <w:spacing w:val="-1"/>
        </w:rPr>
        <w:t xml:space="preserve">chool leaders also </w:t>
      </w:r>
      <w:r w:rsidR="73B28F94" w:rsidRPr="00900ADE">
        <w:rPr>
          <w:rFonts w:cs="Tahoma (Body CS)"/>
          <w:spacing w:val="-1"/>
        </w:rPr>
        <w:t>report</w:t>
      </w:r>
      <w:r w:rsidR="5E238B02" w:rsidRPr="00900ADE">
        <w:rPr>
          <w:rFonts w:cs="Tahoma (Body CS)"/>
          <w:spacing w:val="-1"/>
        </w:rPr>
        <w:t xml:space="preserve">ed </w:t>
      </w:r>
      <w:r w:rsidR="161E42C0" w:rsidRPr="00900ADE">
        <w:rPr>
          <w:rFonts w:cs="Tahoma (Body CS)"/>
          <w:spacing w:val="-1"/>
        </w:rPr>
        <w:t>a range of</w:t>
      </w:r>
      <w:r w:rsidRPr="00900ADE">
        <w:rPr>
          <w:rFonts w:cs="Tahoma (Body CS)"/>
          <w:spacing w:val="-1"/>
        </w:rPr>
        <w:t xml:space="preserve"> teams or committees that are active at schools across the district, which include </w:t>
      </w:r>
      <w:r w:rsidR="000E3946" w:rsidRPr="00900ADE">
        <w:rPr>
          <w:rFonts w:cs="Tahoma (Body CS)"/>
          <w:spacing w:val="-1"/>
        </w:rPr>
        <w:t>ILTs</w:t>
      </w:r>
      <w:r w:rsidRPr="00900ADE">
        <w:rPr>
          <w:rFonts w:cs="Tahoma (Body CS)"/>
          <w:spacing w:val="-1"/>
        </w:rPr>
        <w:t>, school councils,</w:t>
      </w:r>
      <w:r w:rsidR="4C35C667" w:rsidRPr="00900ADE">
        <w:rPr>
          <w:rFonts w:cs="Tahoma (Body CS)"/>
          <w:spacing w:val="-1"/>
        </w:rPr>
        <w:t xml:space="preserve"> </w:t>
      </w:r>
      <w:r w:rsidRPr="00900ADE">
        <w:rPr>
          <w:rFonts w:cs="Tahoma (Body CS)"/>
          <w:spacing w:val="-1"/>
        </w:rPr>
        <w:t>student support teams</w:t>
      </w:r>
      <w:r w:rsidR="000E3946" w:rsidRPr="00900ADE">
        <w:rPr>
          <w:rFonts w:cs="Tahoma (Body CS)"/>
          <w:spacing w:val="-1"/>
        </w:rPr>
        <w:t xml:space="preserve"> (SSTs)</w:t>
      </w:r>
      <w:r w:rsidRPr="00900ADE">
        <w:rPr>
          <w:rFonts w:cs="Tahoma (Body CS)"/>
          <w:spacing w:val="-1"/>
        </w:rPr>
        <w:t>, administrative leadership teams, and data teams at some schools</w:t>
      </w:r>
      <w:r w:rsidR="27730EC4" w:rsidRPr="00900ADE">
        <w:rPr>
          <w:rFonts w:cs="Tahoma (Body CS)"/>
          <w:spacing w:val="-1"/>
        </w:rPr>
        <w:t>.</w:t>
      </w:r>
      <w:r w:rsidRPr="00900ADE">
        <w:rPr>
          <w:rFonts w:cs="Tahoma (Body CS)"/>
          <w:spacing w:val="-1"/>
        </w:rPr>
        <w:t xml:space="preserve"> </w:t>
      </w:r>
    </w:p>
    <w:p w14:paraId="2935282D" w14:textId="71542183" w:rsidR="00E65B4B" w:rsidRPr="00900ADE" w:rsidRDefault="27D71A16" w:rsidP="00732E86">
      <w:pPr>
        <w:pStyle w:val="BodyText"/>
        <w:rPr>
          <w:rFonts w:eastAsia="Franklin Gothic Book" w:cs="Franklin Gothic Book"/>
          <w:color w:val="ED0000"/>
        </w:rPr>
      </w:pPr>
      <w:r w:rsidRPr="00900ADE">
        <w:t xml:space="preserve">District leaders reported that Medway </w:t>
      </w:r>
      <w:r w:rsidR="00263F9F" w:rsidRPr="00900ADE">
        <w:t>expect</w:t>
      </w:r>
      <w:r w:rsidR="000F6E90" w:rsidRPr="00900ADE">
        <w:t>s</w:t>
      </w:r>
      <w:r w:rsidR="00263F9F" w:rsidRPr="00900ADE">
        <w:t xml:space="preserve"> all schools </w:t>
      </w:r>
      <w:r w:rsidR="000F6E90" w:rsidRPr="00900ADE">
        <w:t xml:space="preserve">to </w:t>
      </w:r>
      <w:r w:rsidR="00263F9F" w:rsidRPr="00900ADE">
        <w:t xml:space="preserve">have </w:t>
      </w:r>
      <w:r w:rsidRPr="00900ADE">
        <w:t xml:space="preserve">representative school and parent advisory councils, including school councils </w:t>
      </w:r>
      <w:r w:rsidR="00263F9F" w:rsidRPr="00900ADE">
        <w:t xml:space="preserve">and </w:t>
      </w:r>
      <w:r w:rsidRPr="00900ADE">
        <w:t>parent</w:t>
      </w:r>
      <w:r w:rsidR="000E3946" w:rsidRPr="00900ADE">
        <w:t>-</w:t>
      </w:r>
      <w:r w:rsidRPr="00900ADE">
        <w:t xml:space="preserve">teacher organizations. </w:t>
      </w:r>
      <w:r w:rsidR="00145637" w:rsidRPr="00900ADE">
        <w:t xml:space="preserve">School councils—comprising principals, teachers, caregivers, and, at the high school, students—meet quarterly at three schools and monthly at one. </w:t>
      </w:r>
      <w:r w:rsidR="1C4A0C0A" w:rsidRPr="00900ADE">
        <w:t xml:space="preserve">According to school leader questionnaires, </w:t>
      </w:r>
      <w:r w:rsidR="000F6E90" w:rsidRPr="00900ADE">
        <w:t xml:space="preserve">although </w:t>
      </w:r>
      <w:r w:rsidR="000557FF" w:rsidRPr="00900ADE">
        <w:t>there is a district Special Education Parent Advisory Council (SEPAC</w:t>
      </w:r>
      <w:r w:rsidR="00702BD1">
        <w:t>), the district did not have an ELPAC at the time of the onsite</w:t>
      </w:r>
      <w:r w:rsidR="584920A6" w:rsidRPr="00900ADE">
        <w:t>.</w:t>
      </w:r>
      <w:r w:rsidR="00DA15A6" w:rsidRPr="00900ADE">
        <w:t xml:space="preserve"> </w:t>
      </w:r>
      <w:r w:rsidR="000F6E90" w:rsidRPr="00900ADE">
        <w:t xml:space="preserve">Massachusetts law requires </w:t>
      </w:r>
      <w:r w:rsidR="00DA15A6" w:rsidRPr="00900ADE">
        <w:t xml:space="preserve">ELPACs in districts serving a population </w:t>
      </w:r>
      <w:r w:rsidR="000F6E90" w:rsidRPr="00900ADE">
        <w:t xml:space="preserve">in which </w:t>
      </w:r>
      <w:r w:rsidR="00DA15A6" w:rsidRPr="00900ADE">
        <w:t xml:space="preserve">more than 5 percent of </w:t>
      </w:r>
      <w:r w:rsidR="000F6E90" w:rsidRPr="00900ADE">
        <w:t xml:space="preserve">the </w:t>
      </w:r>
      <w:r w:rsidR="00DA15A6" w:rsidRPr="00900ADE">
        <w:t xml:space="preserve">students are </w:t>
      </w:r>
      <w:r w:rsidR="000557FF" w:rsidRPr="00900ADE">
        <w:t>English</w:t>
      </w:r>
      <w:r w:rsidR="00DA15A6" w:rsidRPr="00900ADE">
        <w:t xml:space="preserve"> </w:t>
      </w:r>
      <w:r w:rsidR="000557FF" w:rsidRPr="00900ADE">
        <w:t>L</w:t>
      </w:r>
      <w:r w:rsidR="00DA15A6" w:rsidRPr="00900ADE">
        <w:t>earners</w:t>
      </w:r>
      <w:r w:rsidR="006D01FF" w:rsidRPr="00900ADE">
        <w:t xml:space="preserve">. </w:t>
      </w:r>
      <w:r w:rsidR="000F6E90" w:rsidRPr="00900ADE">
        <w:t>According to Medway’s 2024-2025 DESE profile</w:t>
      </w:r>
      <w:r w:rsidR="006D01FF" w:rsidRPr="00900ADE">
        <w:t xml:space="preserve">, 4.4 percent of </w:t>
      </w:r>
      <w:r w:rsidR="000F6E90" w:rsidRPr="00900ADE">
        <w:t xml:space="preserve">the </w:t>
      </w:r>
      <w:r w:rsidR="006D01FF" w:rsidRPr="00900ADE">
        <w:t xml:space="preserve">students are classified as English </w:t>
      </w:r>
      <w:r w:rsidR="000557FF" w:rsidRPr="00900ADE">
        <w:t>L</w:t>
      </w:r>
      <w:r w:rsidR="006D01FF" w:rsidRPr="00900ADE">
        <w:t>earners</w:t>
      </w:r>
      <w:r w:rsidR="009D07C3" w:rsidRPr="00900ADE">
        <w:t xml:space="preserve"> (</w:t>
      </w:r>
      <w:r w:rsidR="000F6E90" w:rsidRPr="00900ADE">
        <w:t>with slightly more than</w:t>
      </w:r>
      <w:r w:rsidR="009D07C3" w:rsidRPr="00900ADE">
        <w:t xml:space="preserve"> 6</w:t>
      </w:r>
      <w:r w:rsidR="000F6E90" w:rsidRPr="00900ADE">
        <w:t> </w:t>
      </w:r>
      <w:r w:rsidR="009D07C3" w:rsidRPr="00900ADE">
        <w:t xml:space="preserve">percent </w:t>
      </w:r>
      <w:r w:rsidR="000F6E90" w:rsidRPr="00900ADE">
        <w:t xml:space="preserve">having a </w:t>
      </w:r>
      <w:r w:rsidR="009D07C3" w:rsidRPr="00900ADE">
        <w:t xml:space="preserve">first language </w:t>
      </w:r>
      <w:r w:rsidR="000F6E90" w:rsidRPr="00900ADE">
        <w:t xml:space="preserve">that is </w:t>
      </w:r>
      <w:r w:rsidR="009D07C3" w:rsidRPr="00900ADE">
        <w:t>not English)</w:t>
      </w:r>
      <w:r w:rsidR="006D01FF" w:rsidRPr="00900ADE">
        <w:t xml:space="preserve">, </w:t>
      </w:r>
      <w:r w:rsidR="000F6E90" w:rsidRPr="00900ADE">
        <w:t>al</w:t>
      </w:r>
      <w:r w:rsidR="00FF4B8B" w:rsidRPr="00900ADE">
        <w:t>though this population is growing in the community</w:t>
      </w:r>
      <w:r w:rsidR="006F2EF7">
        <w:t xml:space="preserve">, up from </w:t>
      </w:r>
      <w:r w:rsidR="00AD648D" w:rsidRPr="00900ADE">
        <w:t xml:space="preserve">1.5 percent of students </w:t>
      </w:r>
      <w:r w:rsidR="006F2EF7">
        <w:t>five years ago</w:t>
      </w:r>
      <w:r w:rsidR="00FF4B8B" w:rsidRPr="00900ADE">
        <w:t>.</w:t>
      </w:r>
      <w:r w:rsidR="009D07C3" w:rsidRPr="00900ADE">
        <w:t xml:space="preserve"> </w:t>
      </w:r>
    </w:p>
    <w:p w14:paraId="0A097615" w14:textId="1DF8D32E" w:rsidR="00647C83" w:rsidRPr="00900ADE" w:rsidRDefault="000F7B6B" w:rsidP="00647C83">
      <w:pPr>
        <w:pStyle w:val="Heading3"/>
      </w:pPr>
      <w:bookmarkStart w:id="23" w:name="_District_and_School"/>
      <w:bookmarkStart w:id="24" w:name="_Strategic_Planning,_Implementation,"/>
      <w:bookmarkEnd w:id="23"/>
      <w:bookmarkEnd w:id="24"/>
      <w:r w:rsidRPr="00900ADE">
        <w:t>Strategic Planning, Implementation, and Monitoring</w:t>
      </w:r>
    </w:p>
    <w:p w14:paraId="49B1A4B3" w14:textId="301DBFA7" w:rsidR="000F6E90" w:rsidRPr="00900ADE" w:rsidRDefault="004E4A8F" w:rsidP="00732E86">
      <w:pPr>
        <w:pStyle w:val="BodyTextposthead"/>
      </w:pPr>
      <w:r w:rsidRPr="00900ADE">
        <w:t>According to the district’s public website, the district’s mission is</w:t>
      </w:r>
      <w:r w:rsidR="000F6E90" w:rsidRPr="00900ADE">
        <w:t xml:space="preserve"> as follows</w:t>
      </w:r>
      <w:r w:rsidRPr="00900ADE">
        <w:t xml:space="preserve">: “The Medway Public Schools, in partnership with our community, creates an academically challenging, safe, and supportive learning environment that promotes the pursuit of excellence for all.” </w:t>
      </w:r>
      <w:r w:rsidR="000F6E90" w:rsidRPr="00900ADE">
        <w:t xml:space="preserve">The district’s </w:t>
      </w:r>
      <w:r w:rsidRPr="00900ADE">
        <w:t>vision is</w:t>
      </w:r>
      <w:r w:rsidR="000F6E90" w:rsidRPr="00900ADE">
        <w:t xml:space="preserve"> as follows</w:t>
      </w:r>
      <w:r w:rsidRPr="00900ADE">
        <w:t xml:space="preserve">: </w:t>
      </w:r>
    </w:p>
    <w:p w14:paraId="3AB03631" w14:textId="50EBD8AA" w:rsidR="000F6E90" w:rsidRPr="00900ADE" w:rsidRDefault="004E4A8F" w:rsidP="000F6E90">
      <w:pPr>
        <w:pStyle w:val="BlockQuote"/>
      </w:pPr>
      <w:r w:rsidRPr="00900ADE">
        <w:t>The Medway Public Schools aspires to provide all students with a comprehensive, equitable academic program that engages, challenges, and supports all students to apply knowledge, develop talents and skills, think independently, work collaboratively, and become informed, responsible, and productive citizens of a global community.</w:t>
      </w:r>
      <w:r w:rsidR="002B1421" w:rsidRPr="00900ADE">
        <w:t xml:space="preserve"> </w:t>
      </w:r>
    </w:p>
    <w:p w14:paraId="5B25AA23" w14:textId="02E3C48F" w:rsidR="00F95311" w:rsidRPr="00900ADE" w:rsidRDefault="004E4A8F" w:rsidP="000F6E90">
      <w:pPr>
        <w:pStyle w:val="BodyText"/>
        <w:rPr>
          <w:color w:val="ED0000"/>
        </w:rPr>
      </w:pPr>
      <w:r w:rsidRPr="00900ADE">
        <w:lastRenderedPageBreak/>
        <w:t>However, focus group responses indicate that th</w:t>
      </w:r>
      <w:r w:rsidR="000F6E90" w:rsidRPr="00900ADE">
        <w:t>e</w:t>
      </w:r>
      <w:r w:rsidRPr="00900ADE">
        <w:t xml:space="preserve"> mission and vision are not widely understood across the district. Educator focus group participants reported inconsistent and frequently changing visions guiding their work. Several educators described shifting priorities and initiatives, resulting in a lack of continuity. One educator expressed uncertainty about whether the vision would remain consistent year to year. Other educators stated that their school had a vision, but the district lacked a clear guiding vision. Evidence from focus groups shows that </w:t>
      </w:r>
      <w:r w:rsidRPr="00E60078">
        <w:t>co</w:t>
      </w:r>
      <w:r w:rsidR="290167C4" w:rsidRPr="00E60078">
        <w:t xml:space="preserve">mmunicating a clear </w:t>
      </w:r>
      <w:r w:rsidR="09EF9013" w:rsidRPr="00E60078">
        <w:t>and consistent</w:t>
      </w:r>
      <w:r w:rsidR="290167C4" w:rsidRPr="00E60078">
        <w:t xml:space="preserve"> vision </w:t>
      </w:r>
      <w:r w:rsidR="3B53E237" w:rsidRPr="00E60078">
        <w:t xml:space="preserve">for student learning </w:t>
      </w:r>
      <w:r w:rsidR="290167C4" w:rsidRPr="00E60078">
        <w:t>across the district is an area for growth.</w:t>
      </w:r>
    </w:p>
    <w:p w14:paraId="5AE3A056" w14:textId="0BF713C3" w:rsidR="00F95311" w:rsidRPr="00900ADE" w:rsidRDefault="003A0C2A" w:rsidP="00732E86">
      <w:pPr>
        <w:pStyle w:val="BodyText"/>
        <w:rPr>
          <w:rFonts w:cs="Tahoma (Body CS)"/>
          <w:spacing w:val="-1"/>
        </w:rPr>
      </w:pPr>
      <w:r w:rsidRPr="00900ADE">
        <w:rPr>
          <w:rFonts w:cs="Tahoma (Body CS)"/>
          <w:spacing w:val="-1"/>
        </w:rPr>
        <w:t xml:space="preserve">The district developed a strategic plan for 2019-2024 titled “Excellence for All: A Medway Mindset.” The plan </w:t>
      </w:r>
      <w:r w:rsidR="000F6E90" w:rsidRPr="00900ADE">
        <w:rPr>
          <w:rFonts w:cs="Tahoma (Body CS)"/>
          <w:spacing w:val="-1"/>
        </w:rPr>
        <w:t xml:space="preserve">has </w:t>
      </w:r>
      <w:r w:rsidRPr="00900ADE">
        <w:rPr>
          <w:rFonts w:cs="Tahoma (Body CS)"/>
          <w:spacing w:val="-1"/>
        </w:rPr>
        <w:t xml:space="preserve">four overarching goals: improved learning, social and emotional wellness, innovative teaching and leadership, and </w:t>
      </w:r>
      <w:r w:rsidR="000F6E90" w:rsidRPr="00900ADE">
        <w:rPr>
          <w:rFonts w:cs="Tahoma (Body CS)"/>
          <w:spacing w:val="-1"/>
        </w:rPr>
        <w:t xml:space="preserve">a </w:t>
      </w:r>
      <w:r w:rsidRPr="00900ADE">
        <w:rPr>
          <w:rFonts w:cs="Tahoma (Body CS)"/>
          <w:spacing w:val="-1"/>
        </w:rPr>
        <w:t>positive learning culture. According to the superintendent, the strategic plan includes long-term priorities</w:t>
      </w:r>
      <w:r w:rsidR="000F6E90" w:rsidRPr="00900ADE">
        <w:rPr>
          <w:rFonts w:cs="Tahoma (Body CS)"/>
          <w:spacing w:val="-1"/>
        </w:rPr>
        <w:t>,</w:t>
      </w:r>
      <w:r w:rsidRPr="00900ADE">
        <w:rPr>
          <w:rFonts w:cs="Tahoma (Body CS)"/>
          <w:spacing w:val="-1"/>
        </w:rPr>
        <w:t xml:space="preserve"> such as the mission, vision, and core values. District leaders supplement this plan with an annual District Improvement Plan (DIP), which outlines specific steps and activities supporting the goals each year.</w:t>
      </w:r>
      <w:r w:rsidR="00B51FF0" w:rsidRPr="00900ADE">
        <w:rPr>
          <w:rFonts w:cs="Tahoma (Body CS)"/>
          <w:spacing w:val="-1"/>
        </w:rPr>
        <w:t xml:space="preserve"> For example, </w:t>
      </w:r>
      <w:r w:rsidR="000F6E90" w:rsidRPr="00900ADE">
        <w:rPr>
          <w:rFonts w:cs="Tahoma (Body CS)"/>
          <w:spacing w:val="-1"/>
        </w:rPr>
        <w:t xml:space="preserve">in </w:t>
      </w:r>
      <w:r w:rsidR="4F389654" w:rsidRPr="00900ADE">
        <w:rPr>
          <w:rFonts w:cs="Tahoma (Body CS)"/>
          <w:spacing w:val="-1"/>
        </w:rPr>
        <w:t>the 2024-</w:t>
      </w:r>
      <w:r w:rsidR="00B0694E" w:rsidRPr="00900ADE">
        <w:rPr>
          <w:rFonts w:cs="Tahoma (Body CS)"/>
          <w:spacing w:val="-1"/>
        </w:rPr>
        <w:t>20</w:t>
      </w:r>
      <w:r w:rsidR="4F389654" w:rsidRPr="00900ADE">
        <w:rPr>
          <w:rFonts w:cs="Tahoma (Body CS)"/>
          <w:spacing w:val="-1"/>
        </w:rPr>
        <w:t xml:space="preserve">25 </w:t>
      </w:r>
      <w:r w:rsidR="000F6E90" w:rsidRPr="00900ADE">
        <w:rPr>
          <w:rFonts w:cs="Tahoma (Body CS)"/>
          <w:spacing w:val="-1"/>
        </w:rPr>
        <w:t>DIP</w:t>
      </w:r>
      <w:r w:rsidR="4F389654" w:rsidRPr="00900ADE">
        <w:rPr>
          <w:rFonts w:cs="Tahoma (Body CS)"/>
          <w:spacing w:val="-1"/>
        </w:rPr>
        <w:t xml:space="preserve">, the district has </w:t>
      </w:r>
      <w:r w:rsidR="000F6E90" w:rsidRPr="00900ADE">
        <w:rPr>
          <w:rFonts w:cs="Tahoma (Body CS)"/>
          <w:spacing w:val="-1"/>
        </w:rPr>
        <w:t xml:space="preserve">12 </w:t>
      </w:r>
      <w:r w:rsidR="4F389654" w:rsidRPr="00900ADE">
        <w:rPr>
          <w:rFonts w:cs="Tahoma (Body CS)"/>
          <w:spacing w:val="-1"/>
        </w:rPr>
        <w:t xml:space="preserve">action steps to work toward the four goals of their strategic plan. </w:t>
      </w:r>
      <w:r w:rsidR="79A2D17C" w:rsidRPr="00900ADE">
        <w:rPr>
          <w:rFonts w:cs="Tahoma (Body CS)"/>
          <w:spacing w:val="-1"/>
        </w:rPr>
        <w:t>For</w:t>
      </w:r>
      <w:r w:rsidR="59EBA593" w:rsidRPr="00900ADE">
        <w:rPr>
          <w:rFonts w:cs="Tahoma (Body CS)"/>
          <w:spacing w:val="-1"/>
        </w:rPr>
        <w:t xml:space="preserve"> </w:t>
      </w:r>
      <w:r w:rsidR="33AA2462" w:rsidRPr="00900ADE">
        <w:rPr>
          <w:rFonts w:cs="Tahoma (Body CS)"/>
          <w:spacing w:val="-1"/>
        </w:rPr>
        <w:t>example</w:t>
      </w:r>
      <w:r w:rsidR="3A6A4A07" w:rsidRPr="00900ADE">
        <w:rPr>
          <w:rFonts w:cs="Tahoma (Body CS)"/>
          <w:spacing w:val="-1"/>
        </w:rPr>
        <w:t>,</w:t>
      </w:r>
      <w:r w:rsidR="4F389654" w:rsidRPr="00900ADE">
        <w:rPr>
          <w:rFonts w:cs="Tahoma (Body CS)"/>
          <w:spacing w:val="-1"/>
        </w:rPr>
        <w:t xml:space="preserve"> one action step is to “leverage new </w:t>
      </w:r>
      <w:r w:rsidR="4C7F2D48" w:rsidRPr="00900ADE">
        <w:rPr>
          <w:rFonts w:cs="Tahoma (Body CS)"/>
          <w:spacing w:val="-1"/>
        </w:rPr>
        <w:t>instructional</w:t>
      </w:r>
      <w:r w:rsidR="4F389654" w:rsidRPr="00900ADE">
        <w:rPr>
          <w:rFonts w:cs="Tahoma (Body CS)"/>
          <w:spacing w:val="-1"/>
        </w:rPr>
        <w:t xml:space="preserve"> vision for Grade 6-12 mathematics to enhance educator practice, standards alignment, and student learning/outcomes (i.e.</w:t>
      </w:r>
      <w:r w:rsidR="000F6E90" w:rsidRPr="00900ADE">
        <w:rPr>
          <w:rFonts w:cs="Tahoma (Body CS)"/>
          <w:spacing w:val="-1"/>
        </w:rPr>
        <w:t>,</w:t>
      </w:r>
      <w:r w:rsidR="4F389654" w:rsidRPr="00900ADE">
        <w:rPr>
          <w:rFonts w:cs="Tahoma (Body CS)"/>
          <w:spacing w:val="-1"/>
        </w:rPr>
        <w:t xml:space="preserve"> new resource implementation, focus on research-based strategies from NCTM</w:t>
      </w:r>
      <w:r w:rsidR="000F6E90" w:rsidRPr="00900ADE">
        <w:rPr>
          <w:rFonts w:cs="Tahoma (Body CS)"/>
          <w:spacing w:val="-1"/>
        </w:rPr>
        <w:t xml:space="preserve"> [National Council of Teachers of Mathematics]</w:t>
      </w:r>
      <w:r w:rsidR="4F389654" w:rsidRPr="00900ADE">
        <w:rPr>
          <w:rFonts w:cs="Tahoma (Body CS)"/>
          <w:spacing w:val="-1"/>
        </w:rPr>
        <w:t xml:space="preserve">, </w:t>
      </w:r>
      <w:r w:rsidR="4F389654" w:rsidRPr="00900ADE">
        <w:rPr>
          <w:rFonts w:cs="Tahoma (Body CS)"/>
          <w:i/>
          <w:iCs/>
          <w:spacing w:val="-1"/>
        </w:rPr>
        <w:t xml:space="preserve">Building Thinking Classrooms, </w:t>
      </w:r>
      <w:r w:rsidR="4F389654" w:rsidRPr="00900ADE">
        <w:rPr>
          <w:rFonts w:cs="Tahoma (Body CS)"/>
          <w:spacing w:val="-1"/>
        </w:rPr>
        <w:t xml:space="preserve">clarify criteria for student placement, etc.).” </w:t>
      </w:r>
      <w:r w:rsidR="60702AF3" w:rsidRPr="00900ADE">
        <w:rPr>
          <w:rFonts w:cs="Tahoma (Body CS)"/>
          <w:spacing w:val="-1"/>
        </w:rPr>
        <w:t xml:space="preserve">The </w:t>
      </w:r>
      <w:r w:rsidR="00C85250" w:rsidRPr="00900ADE">
        <w:rPr>
          <w:rFonts w:cs="Tahoma (Body CS)"/>
          <w:spacing w:val="-1"/>
        </w:rPr>
        <w:t>DIP</w:t>
      </w:r>
      <w:r w:rsidR="4F389654" w:rsidRPr="00900ADE">
        <w:rPr>
          <w:rFonts w:cs="Tahoma (Body CS)"/>
          <w:spacing w:val="-1"/>
        </w:rPr>
        <w:t xml:space="preserve"> also includes </w:t>
      </w:r>
      <w:r w:rsidR="001B14A8" w:rsidRPr="00900ADE">
        <w:rPr>
          <w:rFonts w:cs="Tahoma (Body CS)"/>
          <w:spacing w:val="-1"/>
        </w:rPr>
        <w:t>data-based measures</w:t>
      </w:r>
      <w:r w:rsidR="000F6E90" w:rsidRPr="00900ADE">
        <w:rPr>
          <w:rFonts w:cs="Tahoma (Body CS)"/>
          <w:spacing w:val="-1"/>
        </w:rPr>
        <w:t>,</w:t>
      </w:r>
      <w:r w:rsidR="4F389654" w:rsidRPr="00900ADE">
        <w:rPr>
          <w:rFonts w:cs="Tahoma (Body CS)"/>
          <w:spacing w:val="-1"/>
        </w:rPr>
        <w:t xml:space="preserve"> such as </w:t>
      </w:r>
      <w:r w:rsidR="000F6E90" w:rsidRPr="00900ADE">
        <w:rPr>
          <w:rFonts w:cs="Tahoma (Body CS)"/>
          <w:spacing w:val="-1"/>
        </w:rPr>
        <w:t xml:space="preserve">the </w:t>
      </w:r>
      <w:r w:rsidR="4F389654" w:rsidRPr="00900ADE">
        <w:rPr>
          <w:rFonts w:cs="Tahoma (Body CS)"/>
          <w:spacing w:val="-1"/>
        </w:rPr>
        <w:t>percent</w:t>
      </w:r>
      <w:r w:rsidR="000F6E90" w:rsidRPr="00900ADE">
        <w:rPr>
          <w:rFonts w:cs="Tahoma (Body CS)"/>
          <w:spacing w:val="-1"/>
        </w:rPr>
        <w:t>age</w:t>
      </w:r>
      <w:r w:rsidR="4F389654" w:rsidRPr="00900ADE">
        <w:rPr>
          <w:rFonts w:cs="Tahoma (Body CS)"/>
          <w:spacing w:val="-1"/>
        </w:rPr>
        <w:t xml:space="preserve"> of Grade</w:t>
      </w:r>
      <w:r w:rsidR="000F6E90" w:rsidRPr="00900ADE">
        <w:rPr>
          <w:rFonts w:cs="Tahoma (Body CS)"/>
          <w:spacing w:val="-1"/>
        </w:rPr>
        <w:t>s</w:t>
      </w:r>
      <w:r w:rsidR="4F389654" w:rsidRPr="00900ADE">
        <w:rPr>
          <w:rFonts w:cs="Tahoma (Body CS)"/>
          <w:spacing w:val="-1"/>
        </w:rPr>
        <w:t xml:space="preserve"> 6-10 </w:t>
      </w:r>
      <w:r w:rsidR="000F6E90" w:rsidRPr="00900ADE">
        <w:rPr>
          <w:rFonts w:cs="Tahoma (Body CS)"/>
          <w:spacing w:val="-1"/>
        </w:rPr>
        <w:t>s</w:t>
      </w:r>
      <w:r w:rsidR="4F389654" w:rsidRPr="00900ADE">
        <w:rPr>
          <w:rFonts w:cs="Tahoma (Body CS)"/>
          <w:spacing w:val="-1"/>
        </w:rPr>
        <w:t xml:space="preserve">tudents “at Grade Level+” in </w:t>
      </w:r>
      <w:r w:rsidR="000F6E90" w:rsidRPr="00900ADE">
        <w:rPr>
          <w:rFonts w:cs="Tahoma (Body CS)"/>
          <w:spacing w:val="-1"/>
        </w:rPr>
        <w:t>ELA</w:t>
      </w:r>
      <w:r w:rsidR="4F389654" w:rsidRPr="00900ADE">
        <w:rPr>
          <w:rFonts w:cs="Tahoma (Body CS)"/>
          <w:spacing w:val="-1"/>
        </w:rPr>
        <w:t xml:space="preserve"> (IXL)</w:t>
      </w:r>
      <w:r w:rsidR="364D7347" w:rsidRPr="00900ADE">
        <w:rPr>
          <w:rFonts w:cs="Tahoma (Body CS)"/>
          <w:spacing w:val="-1"/>
        </w:rPr>
        <w:t>.</w:t>
      </w:r>
      <w:r w:rsidR="4F389654" w:rsidRPr="00900ADE">
        <w:rPr>
          <w:rFonts w:cs="Tahoma (Body CS)"/>
          <w:spacing w:val="-1"/>
        </w:rPr>
        <w:t xml:space="preserve"> </w:t>
      </w:r>
    </w:p>
    <w:p w14:paraId="2DDC5A1F" w14:textId="7089B990" w:rsidR="00FA0847" w:rsidRPr="00900ADE" w:rsidRDefault="0C783600" w:rsidP="00732E86">
      <w:pPr>
        <w:pStyle w:val="BodyText"/>
      </w:pPr>
      <w:r w:rsidRPr="00900ADE">
        <w:t xml:space="preserve">In January 2024, the district began to develop the next strategic plan. The superintendent described the process for creating the </w:t>
      </w:r>
      <w:r w:rsidR="1FDC9AE5" w:rsidRPr="00900ADE">
        <w:t xml:space="preserve">next </w:t>
      </w:r>
      <w:r w:rsidRPr="00900ADE">
        <w:t xml:space="preserve">three-year plan as starting </w:t>
      </w:r>
      <w:r w:rsidR="00816346" w:rsidRPr="00900ADE">
        <w:t>with</w:t>
      </w:r>
      <w:r w:rsidR="00EC2DFD" w:rsidRPr="00900ADE">
        <w:t xml:space="preserve"> </w:t>
      </w:r>
      <w:r w:rsidR="00816346" w:rsidRPr="00900ADE">
        <w:t>outreach</w:t>
      </w:r>
      <w:r w:rsidRPr="00900ADE">
        <w:t xml:space="preserve"> </w:t>
      </w:r>
      <w:r w:rsidR="219D2A05" w:rsidRPr="00900ADE">
        <w:t xml:space="preserve">to </w:t>
      </w:r>
      <w:r w:rsidRPr="00900ADE">
        <w:t xml:space="preserve">the community to encourage them to participate and offering three specific ways </w:t>
      </w:r>
      <w:r w:rsidR="00EF3DBC">
        <w:t>to get involved</w:t>
      </w:r>
      <w:r w:rsidR="00EC2DFD" w:rsidRPr="00900ADE">
        <w:t xml:space="preserve">: </w:t>
      </w:r>
      <w:r w:rsidRPr="00900ADE">
        <w:t>participat</w:t>
      </w:r>
      <w:r w:rsidR="0013784C" w:rsidRPr="00900ADE">
        <w:t>e</w:t>
      </w:r>
      <w:r w:rsidRPr="00900ADE">
        <w:t xml:space="preserve"> </w:t>
      </w:r>
      <w:r w:rsidR="00EC2DFD" w:rsidRPr="00900ADE">
        <w:t>o</w:t>
      </w:r>
      <w:r w:rsidRPr="00900ADE">
        <w:t xml:space="preserve">n the strategic plan steering committee, </w:t>
      </w:r>
      <w:r w:rsidR="00BF1FE2" w:rsidRPr="00900ADE">
        <w:t xml:space="preserve">attend a </w:t>
      </w:r>
      <w:r w:rsidRPr="00900ADE">
        <w:t>focus group</w:t>
      </w:r>
      <w:r w:rsidR="00BF1FE2" w:rsidRPr="00900ADE">
        <w:t xml:space="preserve"> session</w:t>
      </w:r>
      <w:r w:rsidRPr="00900ADE">
        <w:t xml:space="preserve">, </w:t>
      </w:r>
      <w:r w:rsidR="00BF1FE2" w:rsidRPr="00900ADE">
        <w:t>and/</w:t>
      </w:r>
      <w:r w:rsidRPr="00900ADE">
        <w:t xml:space="preserve">or </w:t>
      </w:r>
      <w:r w:rsidR="00BF1FE2" w:rsidRPr="00900ADE">
        <w:t>complet</w:t>
      </w:r>
      <w:r w:rsidR="0013784C" w:rsidRPr="00900ADE">
        <w:t>e</w:t>
      </w:r>
      <w:r w:rsidR="00BF1FE2" w:rsidRPr="00900ADE">
        <w:t xml:space="preserve"> </w:t>
      </w:r>
      <w:r w:rsidRPr="00900ADE">
        <w:t xml:space="preserve">a survey. </w:t>
      </w:r>
      <w:r w:rsidR="00A512EE" w:rsidRPr="00900ADE">
        <w:t>To facilitate the process,</w:t>
      </w:r>
      <w:r w:rsidR="00923877" w:rsidRPr="00900ADE">
        <w:t xml:space="preserve"> d</w:t>
      </w:r>
      <w:r w:rsidR="63BC0251" w:rsidRPr="00900ADE">
        <w:t>istrict leaders</w:t>
      </w:r>
      <w:r w:rsidR="5B1DE003" w:rsidRPr="00900ADE">
        <w:t xml:space="preserve"> formed </w:t>
      </w:r>
      <w:r w:rsidR="531E106F" w:rsidRPr="00900ADE">
        <w:t>a</w:t>
      </w:r>
      <w:r w:rsidR="5B1DE003" w:rsidRPr="00900ADE">
        <w:t xml:space="preserve"> </w:t>
      </w:r>
      <w:r w:rsidR="0A375AF2" w:rsidRPr="00900ADE">
        <w:t xml:space="preserve">steering </w:t>
      </w:r>
      <w:r w:rsidR="5B1DE003" w:rsidRPr="00900ADE">
        <w:t>committee</w:t>
      </w:r>
      <w:r w:rsidR="00064BA3" w:rsidRPr="00900ADE">
        <w:t xml:space="preserve"> </w:t>
      </w:r>
      <w:r w:rsidR="0013784C" w:rsidRPr="00900ADE">
        <w:t xml:space="preserve">of </w:t>
      </w:r>
      <w:r w:rsidRPr="00900ADE">
        <w:t xml:space="preserve">staff, teachers, paraprofessionals, administrators, parents, </w:t>
      </w:r>
      <w:r w:rsidR="00064BA3" w:rsidRPr="00900ADE">
        <w:t xml:space="preserve">other </w:t>
      </w:r>
      <w:r w:rsidRPr="00900ADE">
        <w:t xml:space="preserve">community members, </w:t>
      </w:r>
      <w:r w:rsidR="00064BA3" w:rsidRPr="00900ADE">
        <w:t xml:space="preserve">and </w:t>
      </w:r>
      <w:r w:rsidRPr="00900ADE">
        <w:t xml:space="preserve">school committee members. </w:t>
      </w:r>
      <w:r w:rsidR="0013784C" w:rsidRPr="00900ADE">
        <w:t xml:space="preserve">After establishing </w:t>
      </w:r>
      <w:r w:rsidR="00C00FF8" w:rsidRPr="00900ADE">
        <w:t xml:space="preserve">the steering </w:t>
      </w:r>
      <w:r w:rsidR="00064BA3" w:rsidRPr="00900ADE">
        <w:t>committee</w:t>
      </w:r>
      <w:r w:rsidR="00C00FF8" w:rsidRPr="00900ADE">
        <w:t>, t</w:t>
      </w:r>
      <w:r w:rsidRPr="00900ADE">
        <w:t>he</w:t>
      </w:r>
      <w:r w:rsidR="1D623C1F" w:rsidRPr="00900ADE">
        <w:t xml:space="preserve"> district</w:t>
      </w:r>
      <w:r w:rsidRPr="00900ADE">
        <w:t xml:space="preserve"> sent surveys to the community, including staff and students, to ask their views about what is working well and opportunities for improvement. They also conducted </w:t>
      </w:r>
      <w:r w:rsidR="003005C6" w:rsidRPr="00900ADE">
        <w:t xml:space="preserve">focus groups and </w:t>
      </w:r>
      <w:r w:rsidRPr="00900ADE">
        <w:t xml:space="preserve">interviews with key </w:t>
      </w:r>
      <w:r w:rsidR="00C00FF8" w:rsidRPr="00900ADE">
        <w:t>constituents</w:t>
      </w:r>
      <w:r w:rsidRPr="00900ADE">
        <w:t>. Since May</w:t>
      </w:r>
      <w:r w:rsidR="7DE4A578" w:rsidRPr="00900ADE">
        <w:t xml:space="preserve"> 2024</w:t>
      </w:r>
      <w:r w:rsidRPr="00900ADE">
        <w:t>, the</w:t>
      </w:r>
      <w:r w:rsidR="3C3C497D" w:rsidRPr="00900ADE">
        <w:t xml:space="preserve"> steering committee</w:t>
      </w:r>
      <w:r w:rsidRPr="00900ADE">
        <w:t xml:space="preserve"> ha</w:t>
      </w:r>
      <w:r w:rsidR="3FD51716" w:rsidRPr="00900ADE">
        <w:t>s</w:t>
      </w:r>
      <w:r w:rsidRPr="00900ADE">
        <w:t xml:space="preserve"> </w:t>
      </w:r>
      <w:r w:rsidR="03BEEE42" w:rsidRPr="00900ADE">
        <w:t>met multiple times</w:t>
      </w:r>
      <w:r w:rsidRPr="00900ADE">
        <w:t>, review</w:t>
      </w:r>
      <w:r w:rsidR="3A97350F" w:rsidRPr="00900ADE">
        <w:t>ed</w:t>
      </w:r>
      <w:r w:rsidRPr="00900ADE">
        <w:t xml:space="preserve"> data, and identifi</w:t>
      </w:r>
      <w:r w:rsidR="1C099A54" w:rsidRPr="00900ADE">
        <w:t>ed</w:t>
      </w:r>
      <w:r w:rsidRPr="00900ADE">
        <w:t xml:space="preserve"> priorities. At the time of the </w:t>
      </w:r>
      <w:r w:rsidR="7DD14B66" w:rsidRPr="00900ADE">
        <w:t xml:space="preserve">district review </w:t>
      </w:r>
      <w:r w:rsidR="00064BA3" w:rsidRPr="00900ADE">
        <w:t xml:space="preserve">in </w:t>
      </w:r>
      <w:r w:rsidR="0013784C" w:rsidRPr="00900ADE">
        <w:t>January</w:t>
      </w:r>
      <w:r w:rsidR="00064BA3" w:rsidRPr="00900ADE">
        <w:t xml:space="preserve"> 2025, </w:t>
      </w:r>
      <w:r w:rsidRPr="00900ADE">
        <w:t xml:space="preserve">the district was </w:t>
      </w:r>
      <w:r w:rsidR="0799C6D7" w:rsidRPr="00900ADE">
        <w:t xml:space="preserve">in </w:t>
      </w:r>
      <w:r w:rsidRPr="00900ADE">
        <w:t xml:space="preserve">the </w:t>
      </w:r>
      <w:r w:rsidR="0799C6D7" w:rsidRPr="00900ADE">
        <w:t xml:space="preserve">middle of presenting the near-final draft </w:t>
      </w:r>
      <w:r w:rsidR="0090106C" w:rsidRPr="00900ADE">
        <w:t>to</w:t>
      </w:r>
      <w:r w:rsidR="0799C6D7" w:rsidRPr="00900ADE">
        <w:t xml:space="preserve"> each</w:t>
      </w:r>
      <w:r w:rsidRPr="00900ADE">
        <w:t xml:space="preserve"> school’s faculty to get </w:t>
      </w:r>
      <w:r w:rsidR="00B04A5C" w:rsidRPr="00900ADE">
        <w:t>feedback</w:t>
      </w:r>
      <w:r w:rsidR="00B04A5C">
        <w:t xml:space="preserve"> and</w:t>
      </w:r>
      <w:r w:rsidR="007C0DF4">
        <w:t xml:space="preserve"> was </w:t>
      </w:r>
      <w:r w:rsidR="0799C6D7" w:rsidRPr="00900ADE">
        <w:t>hoping</w:t>
      </w:r>
      <w:r w:rsidRPr="00900ADE">
        <w:t xml:space="preserve"> to get </w:t>
      </w:r>
      <w:r w:rsidR="1BE3B148" w:rsidRPr="00900ADE">
        <w:t xml:space="preserve">final </w:t>
      </w:r>
      <w:r w:rsidRPr="00900ADE">
        <w:t xml:space="preserve">approval from the school committee in </w:t>
      </w:r>
      <w:r w:rsidR="44BD457D" w:rsidRPr="00900ADE">
        <w:t>Februar</w:t>
      </w:r>
      <w:r w:rsidRPr="00900ADE">
        <w:t>y</w:t>
      </w:r>
      <w:r w:rsidR="0090106C" w:rsidRPr="00900ADE">
        <w:t xml:space="preserve"> 2025</w:t>
      </w:r>
      <w:r w:rsidRPr="00900ADE">
        <w:t>.</w:t>
      </w:r>
      <w:r w:rsidR="00FA0847" w:rsidRPr="00900ADE">
        <w:t xml:space="preserve"> In the DIP submitted as part of the district review, data for </w:t>
      </w:r>
      <w:r w:rsidR="00774456" w:rsidRPr="00900ADE">
        <w:t>2023-</w:t>
      </w:r>
      <w:r w:rsidR="0013784C" w:rsidRPr="00900ADE">
        <w:t>20</w:t>
      </w:r>
      <w:r w:rsidR="00FA0847" w:rsidRPr="00900ADE">
        <w:t>24 were included</w:t>
      </w:r>
      <w:r w:rsidR="00774456" w:rsidRPr="00900ADE">
        <w:t>,</w:t>
      </w:r>
      <w:r w:rsidR="00FA0847" w:rsidRPr="00900ADE">
        <w:t xml:space="preserve"> but </w:t>
      </w:r>
      <w:r w:rsidR="0013784C" w:rsidRPr="00900ADE">
        <w:t>it did not include any</w:t>
      </w:r>
      <w:r w:rsidR="00FA0847" w:rsidRPr="00900ADE">
        <w:t xml:space="preserve"> data</w:t>
      </w:r>
      <w:r w:rsidR="00774456" w:rsidRPr="00900ADE">
        <w:t xml:space="preserve"> 2024-</w:t>
      </w:r>
      <w:r w:rsidR="00B0694E" w:rsidRPr="00900ADE">
        <w:t>20</w:t>
      </w:r>
      <w:r w:rsidR="00774456" w:rsidRPr="00900ADE">
        <w:t>25</w:t>
      </w:r>
      <w:r w:rsidR="00FA0847" w:rsidRPr="00900ADE">
        <w:t>. In addition, no specific data-based goals were in that draft at the time of the visit in January</w:t>
      </w:r>
      <w:r w:rsidR="00064BA3" w:rsidRPr="00900ADE">
        <w:t xml:space="preserve"> 2025</w:t>
      </w:r>
      <w:r w:rsidR="00FA0847" w:rsidRPr="00900ADE">
        <w:t>.</w:t>
      </w:r>
    </w:p>
    <w:p w14:paraId="490FFB4D" w14:textId="5EB76AFA" w:rsidR="00F95311" w:rsidRPr="00900ADE" w:rsidRDefault="625E3FD0" w:rsidP="00732E86">
      <w:pPr>
        <w:pStyle w:val="BodyText"/>
        <w:rPr>
          <w:spacing w:val="-2"/>
        </w:rPr>
      </w:pPr>
      <w:r w:rsidRPr="00E60078">
        <w:rPr>
          <w:rStyle w:val="Greentext"/>
          <w:color w:val="auto"/>
          <w:spacing w:val="-2"/>
        </w:rPr>
        <w:t xml:space="preserve">All schools developed </w:t>
      </w:r>
      <w:r w:rsidR="00FF0F4F">
        <w:rPr>
          <w:rStyle w:val="Greentext"/>
          <w:color w:val="auto"/>
          <w:spacing w:val="-2"/>
        </w:rPr>
        <w:t>school improvement plans (</w:t>
      </w:r>
      <w:r w:rsidR="00950B63" w:rsidRPr="00E60078">
        <w:rPr>
          <w:rStyle w:val="Greentext"/>
          <w:color w:val="auto"/>
          <w:spacing w:val="-2"/>
        </w:rPr>
        <w:t>SIP</w:t>
      </w:r>
      <w:r w:rsidR="002B1421" w:rsidRPr="00E60078">
        <w:rPr>
          <w:rStyle w:val="Greentext"/>
          <w:color w:val="auto"/>
          <w:spacing w:val="-2"/>
        </w:rPr>
        <w:t>s</w:t>
      </w:r>
      <w:r w:rsidR="00FF0F4F">
        <w:rPr>
          <w:rStyle w:val="Greentext"/>
          <w:color w:val="auto"/>
          <w:spacing w:val="-2"/>
        </w:rPr>
        <w:t>)</w:t>
      </w:r>
      <w:r w:rsidRPr="00E60078">
        <w:rPr>
          <w:rStyle w:val="Greentext"/>
          <w:color w:val="auto"/>
          <w:spacing w:val="-2"/>
        </w:rPr>
        <w:t xml:space="preserve"> for 2024-</w:t>
      </w:r>
      <w:r w:rsidR="00B0694E" w:rsidRPr="00E60078">
        <w:rPr>
          <w:rStyle w:val="Greentext"/>
          <w:color w:val="auto"/>
          <w:spacing w:val="-2"/>
        </w:rPr>
        <w:t>20</w:t>
      </w:r>
      <w:r w:rsidRPr="00E60078">
        <w:rPr>
          <w:rStyle w:val="Greentext"/>
          <w:color w:val="auto"/>
          <w:spacing w:val="-2"/>
        </w:rPr>
        <w:t xml:space="preserve">25 that align with the </w:t>
      </w:r>
      <w:r w:rsidR="002B1421" w:rsidRPr="00E60078">
        <w:rPr>
          <w:rStyle w:val="Greentext"/>
          <w:color w:val="auto"/>
          <w:spacing w:val="-2"/>
        </w:rPr>
        <w:t>DIP</w:t>
      </w:r>
      <w:r w:rsidR="004B4093" w:rsidRPr="00E60078">
        <w:rPr>
          <w:rStyle w:val="Greentext"/>
          <w:color w:val="auto"/>
          <w:spacing w:val="-2"/>
        </w:rPr>
        <w:t>,</w:t>
      </w:r>
      <w:r w:rsidR="00AF2844" w:rsidRPr="00E60078">
        <w:rPr>
          <w:rStyle w:val="Greentext"/>
          <w:color w:val="auto"/>
          <w:spacing w:val="-2"/>
        </w:rPr>
        <w:t xml:space="preserve"> </w:t>
      </w:r>
      <w:r w:rsidRPr="00E60078">
        <w:rPr>
          <w:rStyle w:val="Greentext"/>
          <w:color w:val="auto"/>
          <w:spacing w:val="-2"/>
        </w:rPr>
        <w:t>which is a strength of the district.</w:t>
      </w:r>
      <w:r w:rsidRPr="00E60078">
        <w:rPr>
          <w:spacing w:val="-2"/>
        </w:rPr>
        <w:t xml:space="preserve"> </w:t>
      </w:r>
      <w:r w:rsidR="003B09E1" w:rsidRPr="00900ADE">
        <w:rPr>
          <w:spacing w:val="-2"/>
        </w:rPr>
        <w:t xml:space="preserve">The </w:t>
      </w:r>
      <w:r w:rsidR="007E1CBE" w:rsidRPr="00900ADE">
        <w:rPr>
          <w:spacing w:val="-2"/>
        </w:rPr>
        <w:t>SIPs</w:t>
      </w:r>
      <w:r w:rsidR="0059121B" w:rsidRPr="00900ADE">
        <w:rPr>
          <w:spacing w:val="-2"/>
        </w:rPr>
        <w:t xml:space="preserve"> reflect</w:t>
      </w:r>
      <w:r w:rsidR="00A87CC5" w:rsidRPr="00900ADE">
        <w:rPr>
          <w:spacing w:val="-2"/>
        </w:rPr>
        <w:t xml:space="preserve"> the DIP</w:t>
      </w:r>
      <w:r w:rsidR="00DB5F11" w:rsidRPr="00900ADE">
        <w:rPr>
          <w:spacing w:val="-2"/>
        </w:rPr>
        <w:t xml:space="preserve"> and set school-level goals</w:t>
      </w:r>
      <w:r w:rsidR="003B09E1" w:rsidRPr="00900ADE">
        <w:rPr>
          <w:spacing w:val="-2"/>
        </w:rPr>
        <w:t xml:space="preserve"> in one-year time frame</w:t>
      </w:r>
      <w:r w:rsidR="002B0FD8" w:rsidRPr="00900ADE">
        <w:rPr>
          <w:spacing w:val="-2"/>
        </w:rPr>
        <w:t>s</w:t>
      </w:r>
      <w:r w:rsidR="003B09E1" w:rsidRPr="00900ADE">
        <w:rPr>
          <w:spacing w:val="-2"/>
        </w:rPr>
        <w:t xml:space="preserve">. </w:t>
      </w:r>
      <w:r w:rsidR="00314ABF" w:rsidRPr="00900ADE">
        <w:rPr>
          <w:spacing w:val="-2"/>
        </w:rPr>
        <w:t xml:space="preserve">In focus groups, school leaders emphasized the collaborative process of aligning SIPs with district goals. </w:t>
      </w:r>
      <w:r w:rsidRPr="00900ADE">
        <w:rPr>
          <w:spacing w:val="-2"/>
        </w:rPr>
        <w:t>A school leader explained that the</w:t>
      </w:r>
      <w:r w:rsidR="00BF2951" w:rsidRPr="00900ADE">
        <w:rPr>
          <w:spacing w:val="-2"/>
        </w:rPr>
        <w:t>y develop SIPs</w:t>
      </w:r>
      <w:r w:rsidRPr="00900ADE">
        <w:rPr>
          <w:spacing w:val="-2"/>
        </w:rPr>
        <w:t xml:space="preserve"> by “looking at our district improvement plans, looking at our current student data and collecting the voices of </w:t>
      </w:r>
      <w:r w:rsidR="2415D4EE" w:rsidRPr="00900ADE">
        <w:rPr>
          <w:spacing w:val="-2"/>
        </w:rPr>
        <w:t xml:space="preserve">the </w:t>
      </w:r>
      <w:r w:rsidRPr="00900ADE">
        <w:rPr>
          <w:spacing w:val="-2"/>
        </w:rPr>
        <w:t xml:space="preserve">school council, of the community, as well as our staff as well to identify those priorities using that kind of alignment.” </w:t>
      </w:r>
      <w:r w:rsidR="00D21746" w:rsidRPr="00900ADE">
        <w:rPr>
          <w:spacing w:val="-2"/>
        </w:rPr>
        <w:t xml:space="preserve">One leader highlighted the importance of concise documents (e.g., four pages) to </w:t>
      </w:r>
      <w:r w:rsidR="00E60078">
        <w:rPr>
          <w:spacing w:val="-2"/>
        </w:rPr>
        <w:t xml:space="preserve">make it easier for staff to </w:t>
      </w:r>
      <w:r w:rsidR="00547140">
        <w:rPr>
          <w:spacing w:val="-2"/>
        </w:rPr>
        <w:t>read and comprehend</w:t>
      </w:r>
      <w:r w:rsidR="00D21746" w:rsidRPr="00900ADE">
        <w:rPr>
          <w:spacing w:val="-2"/>
        </w:rPr>
        <w:t xml:space="preserve"> and facilitate progress monitoring. </w:t>
      </w:r>
      <w:r w:rsidR="5011CED3" w:rsidRPr="00900ADE">
        <w:rPr>
          <w:spacing w:val="-2"/>
        </w:rPr>
        <w:t>The</w:t>
      </w:r>
      <w:r w:rsidR="24BE2665" w:rsidRPr="00900ADE">
        <w:rPr>
          <w:spacing w:val="-2"/>
        </w:rPr>
        <w:t xml:space="preserve"> SIP</w:t>
      </w:r>
      <w:r w:rsidR="5011CED3" w:rsidRPr="00900ADE">
        <w:rPr>
          <w:spacing w:val="-2"/>
        </w:rPr>
        <w:t>s</w:t>
      </w:r>
      <w:r w:rsidRPr="00900ADE">
        <w:rPr>
          <w:spacing w:val="-2"/>
        </w:rPr>
        <w:t xml:space="preserve"> include instructional priorities and strategies for reducing </w:t>
      </w:r>
      <w:r w:rsidRPr="00900ADE">
        <w:rPr>
          <w:spacing w:val="-2"/>
        </w:rPr>
        <w:lastRenderedPageBreak/>
        <w:t>disparities in student opportunities and outcomes, such as one school’s priority to “</w:t>
      </w:r>
      <w:r w:rsidR="005D7CFC" w:rsidRPr="00900ADE">
        <w:rPr>
          <w:spacing w:val="-2"/>
        </w:rPr>
        <w:t>e</w:t>
      </w:r>
      <w:r w:rsidRPr="00900ADE">
        <w:rPr>
          <w:spacing w:val="-2"/>
        </w:rPr>
        <w:t xml:space="preserve">nhance equitable </w:t>
      </w:r>
      <w:r w:rsidR="00890F11" w:rsidRPr="00900ADE">
        <w:rPr>
          <w:spacing w:val="-2"/>
        </w:rPr>
        <w:t>instructional practices</w:t>
      </w:r>
      <w:r w:rsidRPr="00900ADE">
        <w:rPr>
          <w:spacing w:val="-2"/>
        </w:rPr>
        <w:t xml:space="preserve"> across content areas in order to improve cognitive engagement with a focus on questioning and accountable talk.”</w:t>
      </w:r>
      <w:r w:rsidR="5D7D63EC" w:rsidRPr="00900ADE">
        <w:rPr>
          <w:spacing w:val="-2"/>
        </w:rPr>
        <w:t xml:space="preserve"> Each </w:t>
      </w:r>
      <w:r w:rsidR="005D7CFC" w:rsidRPr="00900ADE">
        <w:rPr>
          <w:spacing w:val="-2"/>
        </w:rPr>
        <w:t>SIP</w:t>
      </w:r>
      <w:r w:rsidR="5D7D63EC" w:rsidRPr="00900ADE">
        <w:rPr>
          <w:spacing w:val="-2"/>
        </w:rPr>
        <w:t xml:space="preserve"> lists data indicators, although none of the </w:t>
      </w:r>
      <w:r w:rsidR="35012F63" w:rsidRPr="00900ADE">
        <w:rPr>
          <w:spacing w:val="-2"/>
        </w:rPr>
        <w:t xml:space="preserve">beginning-of-the-year or midyear </w:t>
      </w:r>
      <w:r w:rsidR="5D7D63EC" w:rsidRPr="00900ADE">
        <w:rPr>
          <w:spacing w:val="-2"/>
        </w:rPr>
        <w:t xml:space="preserve">data </w:t>
      </w:r>
      <w:r w:rsidR="651DC7C4" w:rsidRPr="00900ADE">
        <w:rPr>
          <w:spacing w:val="-2"/>
        </w:rPr>
        <w:t xml:space="preserve">for the most recent school year </w:t>
      </w:r>
      <w:r w:rsidR="5D7D63EC" w:rsidRPr="00900ADE">
        <w:rPr>
          <w:spacing w:val="-2"/>
        </w:rPr>
        <w:t xml:space="preserve">were </w:t>
      </w:r>
      <w:r w:rsidR="00840088">
        <w:rPr>
          <w:spacing w:val="-2"/>
        </w:rPr>
        <w:t>provided to the review team</w:t>
      </w:r>
      <w:r w:rsidR="7D796F3C" w:rsidRPr="00900ADE">
        <w:rPr>
          <w:spacing w:val="-2"/>
        </w:rPr>
        <w:t>.</w:t>
      </w:r>
    </w:p>
    <w:p w14:paraId="560979B0" w14:textId="6EA0CA1D" w:rsidR="184FCD33" w:rsidRPr="00900ADE" w:rsidRDefault="184FCD33" w:rsidP="00732E86">
      <w:pPr>
        <w:pStyle w:val="BodyText"/>
        <w:rPr>
          <w:strike/>
          <w:color w:val="FF0000"/>
        </w:rPr>
      </w:pPr>
      <w:r w:rsidRPr="00900ADE">
        <w:t xml:space="preserve">A review of school committee meeting agendas revealed that several meetings include updates of </w:t>
      </w:r>
      <w:r w:rsidR="005D7CFC" w:rsidRPr="00900ADE">
        <w:t>the DIP and the SIPs</w:t>
      </w:r>
      <w:r w:rsidRPr="00900ADE">
        <w:t xml:space="preserve"> as agenda items. </w:t>
      </w:r>
      <w:r w:rsidR="1622AECA" w:rsidRPr="00900ADE">
        <w:t>Similarly,</w:t>
      </w:r>
      <w:r w:rsidRPr="00900ADE">
        <w:t xml:space="preserve"> focus group participants stated that </w:t>
      </w:r>
      <w:r w:rsidR="009E2D4C" w:rsidRPr="00900ADE">
        <w:t>the district</w:t>
      </w:r>
      <w:r w:rsidR="7B3015CA" w:rsidRPr="00900ADE">
        <w:t xml:space="preserve"> provides </w:t>
      </w:r>
      <w:r w:rsidRPr="00900ADE">
        <w:t>data updates to the school committee several times per year. For instance, the school committee meeting on November 14, 2024</w:t>
      </w:r>
      <w:r w:rsidR="005D7CFC" w:rsidRPr="00900ADE">
        <w:t>,</w:t>
      </w:r>
      <w:r w:rsidRPr="00900ADE">
        <w:t xml:space="preserve"> included a presentation of student assessments for the two elementary schools. The presentation included beginning</w:t>
      </w:r>
      <w:r w:rsidR="005D7CFC" w:rsidRPr="00900ADE">
        <w:t>-</w:t>
      </w:r>
      <w:r w:rsidRPr="00900ADE">
        <w:t>of</w:t>
      </w:r>
      <w:r w:rsidR="005D7CFC" w:rsidRPr="00900ADE">
        <w:t>-</w:t>
      </w:r>
      <w:r w:rsidRPr="00900ADE">
        <w:t>the</w:t>
      </w:r>
      <w:r w:rsidR="005D7CFC" w:rsidRPr="00900ADE">
        <w:t>-</w:t>
      </w:r>
      <w:r w:rsidRPr="00900ADE">
        <w:t>year diagnostics for math</w:t>
      </w:r>
      <w:r w:rsidR="005D7CFC" w:rsidRPr="00900ADE">
        <w:t>ematics</w:t>
      </w:r>
      <w:r w:rsidRPr="00900ADE">
        <w:t xml:space="preserve"> and reading as well as next steps. The presentation </w:t>
      </w:r>
      <w:r w:rsidR="00D72654" w:rsidRPr="00900ADE">
        <w:t>also</w:t>
      </w:r>
      <w:r w:rsidRPr="00900ADE">
        <w:t xml:space="preserve"> included strategies for improvement from the </w:t>
      </w:r>
      <w:r w:rsidR="005D7CFC" w:rsidRPr="00900ADE">
        <w:t>SIPs</w:t>
      </w:r>
      <w:r w:rsidRPr="00900ADE">
        <w:t xml:space="preserve"> but did not include specific goals for improvement. </w:t>
      </w:r>
      <w:r w:rsidR="2DF5DD01" w:rsidRPr="00900ADE">
        <w:t xml:space="preserve">The materials for the June 6, 2024 school committee </w:t>
      </w:r>
      <w:r w:rsidR="005D7CFC" w:rsidRPr="00900ADE">
        <w:t xml:space="preserve">meeting </w:t>
      </w:r>
      <w:r w:rsidR="2DF5DD01" w:rsidRPr="00900ADE">
        <w:t xml:space="preserve">included a review of the </w:t>
      </w:r>
      <w:r w:rsidR="0994B470" w:rsidRPr="00900ADE">
        <w:t xml:space="preserve">end-of-year progress and a summary of goals and actions as they relate to the </w:t>
      </w:r>
      <w:r w:rsidR="005D7CFC" w:rsidRPr="00900ADE">
        <w:t>DIP</w:t>
      </w:r>
      <w:r w:rsidR="0994B470" w:rsidRPr="00900ADE">
        <w:t>.</w:t>
      </w:r>
      <w:r w:rsidR="2DF5DD01" w:rsidRPr="00900ADE">
        <w:t xml:space="preserve"> </w:t>
      </w:r>
    </w:p>
    <w:p w14:paraId="4C9A44B9" w14:textId="00A58275" w:rsidR="003D6ECF" w:rsidRPr="00900ADE" w:rsidRDefault="003D6ECF" w:rsidP="003D6ECF">
      <w:pPr>
        <w:pStyle w:val="Heading3"/>
      </w:pPr>
      <w:bookmarkStart w:id="25" w:name="_District_and_School_1"/>
      <w:bookmarkStart w:id="26" w:name="_District_Culture"/>
      <w:bookmarkEnd w:id="25"/>
      <w:bookmarkEnd w:id="26"/>
      <w:r w:rsidRPr="00900ADE">
        <w:t xml:space="preserve">District </w:t>
      </w:r>
      <w:r w:rsidR="00F95311" w:rsidRPr="00900ADE">
        <w:t>Culture</w:t>
      </w:r>
    </w:p>
    <w:p w14:paraId="79D996C9" w14:textId="6D38168F" w:rsidR="0028075F" w:rsidRPr="00900ADE" w:rsidRDefault="0028075F" w:rsidP="00732E86">
      <w:pPr>
        <w:pStyle w:val="BodyTextposthead"/>
      </w:pPr>
      <w:r w:rsidRPr="00900ADE">
        <w:t xml:space="preserve">The school committee and district administrators actively foster collaboration and shared </w:t>
      </w:r>
      <w:r w:rsidR="00F165E6">
        <w:t>decision-making</w:t>
      </w:r>
      <w:r w:rsidRPr="00900ADE">
        <w:t xml:space="preserve"> to enhance opportunities and outcomes for all students. In interviews, school committee members and district leaders explained how the district engages with constituents to build support for the schools. For example, the school committee sent a letter to the broader community in December 2024, inviting interested individuals to provide their contact information via a Google form. Thirty-eight people responded. In January 2025, the school committee held a forum to discuss the district’s financial challenges, its needs for the coming year, and ongoing support requirements. According to interview participants, the forum aimed to dispel rumors and promote partnership. One focus group participant noted their objective as “getting them to partner with us so when we have our tri-board</w:t>
      </w:r>
      <w:r w:rsidR="00F730E9">
        <w:t xml:space="preserve"> [</w:t>
      </w:r>
      <w:r w:rsidR="00F730E9" w:rsidRPr="00900ADE">
        <w:t>involving the school committee, the town finance committee, and the Select Board</w:t>
      </w:r>
      <w:r w:rsidR="00F730E9">
        <w:t>]</w:t>
      </w:r>
      <w:r w:rsidRPr="00900ADE">
        <w:t xml:space="preserve"> meeting this week, we hope people show up and support the schools.”</w:t>
      </w:r>
    </w:p>
    <w:p w14:paraId="3170246B" w14:textId="4F4DB66C" w:rsidR="0043215D" w:rsidRPr="00900ADE" w:rsidRDefault="0043215D" w:rsidP="00732E86">
      <w:pPr>
        <w:pStyle w:val="BodyText"/>
      </w:pPr>
      <w:r w:rsidRPr="00900ADE">
        <w:t xml:space="preserve">The roles of the town manager, town employees, </w:t>
      </w:r>
      <w:r w:rsidR="005D7CFC" w:rsidRPr="00900ADE">
        <w:t xml:space="preserve">and </w:t>
      </w:r>
      <w:r w:rsidRPr="00900ADE">
        <w:t>district and school leaders are clearly defined, as confirmed in interviews with representatives of each group. For example, a town official, when asked about collaborating with the superintendent to determine resource utilization in schools, stated, “I don’t. And</w:t>
      </w:r>
      <w:r w:rsidR="005D7CFC" w:rsidRPr="00900ADE">
        <w:t>,</w:t>
      </w:r>
      <w:r w:rsidRPr="00900ADE">
        <w:t xml:space="preserve"> quite frankly, I learned this a long time ago. It is really not my place. My job is to identify revenue sources and provide it to them.”</w:t>
      </w:r>
    </w:p>
    <w:p w14:paraId="5792EA54" w14:textId="674E76D4" w:rsidR="06EB51EC" w:rsidRPr="00900ADE" w:rsidRDefault="06EB51EC" w:rsidP="00732E86">
      <w:pPr>
        <w:pStyle w:val="BodyText"/>
      </w:pPr>
      <w:r w:rsidRPr="00900ADE">
        <w:t xml:space="preserve">The school committee, the </w:t>
      </w:r>
      <w:r w:rsidR="005D7CFC" w:rsidRPr="00900ADE">
        <w:t>S</w:t>
      </w:r>
      <w:r w:rsidRPr="00900ADE">
        <w:t xml:space="preserve">elect </w:t>
      </w:r>
      <w:r w:rsidR="005D7CFC" w:rsidRPr="00900ADE">
        <w:t>B</w:t>
      </w:r>
      <w:r w:rsidRPr="00900ADE">
        <w:t xml:space="preserve">oard, and the parks commission have a formal written agreement </w:t>
      </w:r>
      <w:r w:rsidR="00A91DE2" w:rsidRPr="00900ADE">
        <w:t>regarding exterior maintenance</w:t>
      </w:r>
      <w:r w:rsidRPr="00900ADE">
        <w:t xml:space="preserve"> that was updated several years ago.</w:t>
      </w:r>
      <w:r w:rsidR="6682A818" w:rsidRPr="00900ADE">
        <w:t xml:space="preserve"> </w:t>
      </w:r>
      <w:r w:rsidR="00DD5BEF">
        <w:t xml:space="preserve">Staff described efforts to resolve maintenance needs and other support requests beyond the scope of </w:t>
      </w:r>
      <w:r w:rsidRPr="00900ADE">
        <w:t>this written agreement</w:t>
      </w:r>
      <w:r w:rsidR="00DD5BEF">
        <w:t>.</w:t>
      </w:r>
      <w:r w:rsidRPr="00900ADE">
        <w:t xml:space="preserve"> </w:t>
      </w:r>
      <w:r w:rsidR="00DD5BEF">
        <w:t>M</w:t>
      </w:r>
      <w:r w:rsidRPr="00900ADE">
        <w:t xml:space="preserve">ultiple focus group participants </w:t>
      </w:r>
      <w:r w:rsidR="0093618A" w:rsidRPr="00900ADE">
        <w:t>described</w:t>
      </w:r>
      <w:r w:rsidRPr="00900ADE">
        <w:t xml:space="preserve"> a complicated relationship between the district and the </w:t>
      </w:r>
      <w:r w:rsidR="005D7CFC" w:rsidRPr="00900ADE">
        <w:t>S</w:t>
      </w:r>
      <w:r w:rsidRPr="00900ADE">
        <w:t xml:space="preserve">elect </w:t>
      </w:r>
      <w:r w:rsidR="005D7CFC" w:rsidRPr="00900ADE">
        <w:t>B</w:t>
      </w:r>
      <w:r w:rsidRPr="00900ADE">
        <w:t xml:space="preserve">oard. </w:t>
      </w:r>
      <w:r w:rsidR="00CB3A02" w:rsidRPr="00900ADE">
        <w:t xml:space="preserve">One participant explained that the </w:t>
      </w:r>
      <w:r w:rsidR="005D7CFC" w:rsidRPr="00900ADE">
        <w:t>S</w:t>
      </w:r>
      <w:r w:rsidR="00CB3A02" w:rsidRPr="00900ADE">
        <w:t xml:space="preserve">elect </w:t>
      </w:r>
      <w:r w:rsidR="005D7CFC" w:rsidRPr="00900ADE">
        <w:t>B</w:t>
      </w:r>
      <w:r w:rsidR="00CB3A02" w:rsidRPr="00900ADE">
        <w:t xml:space="preserve">oard “regularly gets into the weeds on things that are not their concern or responsibility.” Another participant described trust between the school committee and </w:t>
      </w:r>
      <w:r w:rsidR="005D7CFC" w:rsidRPr="00900ADE">
        <w:t>the S</w:t>
      </w:r>
      <w:r w:rsidR="00CB3A02" w:rsidRPr="00900ADE">
        <w:t xml:space="preserve">elect </w:t>
      </w:r>
      <w:r w:rsidR="005D7CFC" w:rsidRPr="00900ADE">
        <w:t>B</w:t>
      </w:r>
      <w:r w:rsidR="00CB3A02" w:rsidRPr="00900ADE">
        <w:t xml:space="preserve">oard as “a little rocky” </w:t>
      </w:r>
      <w:r w:rsidR="005D7CFC" w:rsidRPr="00900ADE">
        <w:t>because of</w:t>
      </w:r>
      <w:r w:rsidRPr="00900ADE">
        <w:t xml:space="preserve"> competition for resources.</w:t>
      </w:r>
    </w:p>
    <w:p w14:paraId="54CFC301" w14:textId="250AB31C" w:rsidR="200A56E7" w:rsidRPr="00900ADE" w:rsidRDefault="000579E0" w:rsidP="00732E86">
      <w:pPr>
        <w:pStyle w:val="BodyText"/>
        <w:rPr>
          <w:color w:val="538135" w:themeColor="accent6" w:themeShade="BF"/>
        </w:rPr>
      </w:pPr>
      <w:r>
        <w:t>T</w:t>
      </w:r>
      <w:r w:rsidR="190B274D" w:rsidRPr="00900ADE">
        <w:t>he teachers’</w:t>
      </w:r>
      <w:r w:rsidR="200A56E7" w:rsidRPr="00900ADE">
        <w:t xml:space="preserve"> association </w:t>
      </w:r>
      <w:r w:rsidR="190B274D" w:rsidRPr="00900ADE">
        <w:t xml:space="preserve">and district and building leaders </w:t>
      </w:r>
      <w:r w:rsidR="003A3903">
        <w:t xml:space="preserve">can </w:t>
      </w:r>
      <w:r w:rsidR="00F87298">
        <w:t xml:space="preserve">easily </w:t>
      </w:r>
      <w:r w:rsidR="003A3903">
        <w:t xml:space="preserve">reach resolutions on some issues but have a more difficult time </w:t>
      </w:r>
      <w:r w:rsidR="009119F6">
        <w:t>o</w:t>
      </w:r>
      <w:r w:rsidR="003A3903">
        <w:t>n others</w:t>
      </w:r>
      <w:r w:rsidR="190B274D" w:rsidRPr="00900ADE">
        <w:t>, according to interview participants</w:t>
      </w:r>
      <w:r w:rsidR="00F87298">
        <w:t xml:space="preserve">. Despite some </w:t>
      </w:r>
      <w:r w:rsidR="00F87298" w:rsidRPr="00900ADE">
        <w:t>challenging topics</w:t>
      </w:r>
      <w:r w:rsidR="00F87298">
        <w:t>,</w:t>
      </w:r>
      <w:r w:rsidR="3DB1FA5C" w:rsidRPr="00900ADE">
        <w:t xml:space="preserve"> </w:t>
      </w:r>
      <w:r w:rsidR="00F87298">
        <w:t>staff</w:t>
      </w:r>
      <w:r w:rsidR="3DB1FA5C" w:rsidRPr="00900ADE">
        <w:t xml:space="preserve"> report always being able to reach a solution</w:t>
      </w:r>
      <w:r w:rsidR="62CC3204" w:rsidRPr="00900ADE">
        <w:t>.</w:t>
      </w:r>
      <w:r w:rsidR="0DD45FAF" w:rsidRPr="00900ADE">
        <w:t xml:space="preserve"> Focus group participants </w:t>
      </w:r>
      <w:r w:rsidR="200A56E7" w:rsidRPr="00900ADE">
        <w:lastRenderedPageBreak/>
        <w:t xml:space="preserve">characterized </w:t>
      </w:r>
      <w:r w:rsidR="01DC21FF" w:rsidRPr="00900ADE">
        <w:t>th</w:t>
      </w:r>
      <w:r w:rsidR="1475EABC" w:rsidRPr="00900ADE">
        <w:t>e union’s</w:t>
      </w:r>
      <w:r w:rsidR="200A56E7" w:rsidRPr="00900ADE">
        <w:t xml:space="preserve"> working relationship with the superintendent, district leaders, and school lea</w:t>
      </w:r>
      <w:r w:rsidR="2CB4803A" w:rsidRPr="00900ADE">
        <w:t>d</w:t>
      </w:r>
      <w:r w:rsidR="200A56E7" w:rsidRPr="00900ADE">
        <w:t>ers as “inconsistent</w:t>
      </w:r>
      <w:r w:rsidR="007518DB" w:rsidRPr="00900ADE">
        <w:t>.</w:t>
      </w:r>
      <w:r w:rsidR="200A56E7" w:rsidRPr="00900ADE">
        <w:t xml:space="preserve">” </w:t>
      </w:r>
      <w:r w:rsidR="552DA43D" w:rsidRPr="00900ADE">
        <w:t>According to one participant, the discussions can go “really well,” “really bad,” or “be in the middle somewhere.”</w:t>
      </w:r>
      <w:r w:rsidR="200A56E7" w:rsidRPr="00900ADE">
        <w:t xml:space="preserve"> </w:t>
      </w:r>
      <w:r w:rsidR="7DC5CF5E" w:rsidRPr="00900ADE">
        <w:t xml:space="preserve">Nonetheless, </w:t>
      </w:r>
      <w:r w:rsidR="00B42A67" w:rsidRPr="00900ADE">
        <w:t>participants highlighted strong communication and close collaboration to advance policies that support students.</w:t>
      </w:r>
      <w:r w:rsidR="200A56E7" w:rsidRPr="00900ADE">
        <w:t xml:space="preserve"> </w:t>
      </w:r>
      <w:r w:rsidR="00437DA9" w:rsidRPr="00900ADE">
        <w:t xml:space="preserve">For example, the teachers’ association and </w:t>
      </w:r>
      <w:r w:rsidR="005D7CFC" w:rsidRPr="00900ADE">
        <w:t xml:space="preserve">the </w:t>
      </w:r>
      <w:r w:rsidR="00437DA9" w:rsidRPr="00900ADE">
        <w:t>district have signed multiple letters of agreement to address issues that ar</w:t>
      </w:r>
      <w:r w:rsidR="00A079BE" w:rsidRPr="00900ADE">
        <w:t>o</w:t>
      </w:r>
      <w:r w:rsidR="00437DA9" w:rsidRPr="00900ADE">
        <w:t xml:space="preserve">se during a contract period, rather than waiting for the period to end. One such letter </w:t>
      </w:r>
      <w:r w:rsidR="00BE587F" w:rsidRPr="00900ADE">
        <w:t xml:space="preserve">guarantees </w:t>
      </w:r>
      <w:r w:rsidR="00437DA9" w:rsidRPr="00900ADE">
        <w:t xml:space="preserve">half-day preparation periods for middle and high school teachers. </w:t>
      </w:r>
      <w:r w:rsidR="700F34A0" w:rsidRPr="00D70179">
        <w:t xml:space="preserve">The district and </w:t>
      </w:r>
      <w:r w:rsidR="00DF14BB" w:rsidRPr="00D70179">
        <w:t>teachers’ association’s</w:t>
      </w:r>
      <w:r w:rsidR="700F34A0" w:rsidRPr="00D70179">
        <w:t xml:space="preserve"> ability to work collaboratively to address issues in a timely manner is a strength of the district.</w:t>
      </w:r>
    </w:p>
    <w:p w14:paraId="230A751D" w14:textId="1AF5D8D8" w:rsidR="00235A8D" w:rsidRPr="00900ADE" w:rsidRDefault="00235A8D" w:rsidP="00732E86">
      <w:pPr>
        <w:pStyle w:val="BodyText"/>
      </w:pPr>
      <w:r w:rsidRPr="00900ADE">
        <w:t xml:space="preserve">The district’s culture is guided by an administrative team that uniformly expresses a commitment to all students. However, leadership lacks representation from certain student groups. According to DESE data, in 2023, the district had no Hispanic </w:t>
      </w:r>
      <w:r w:rsidR="00322B6D">
        <w:t xml:space="preserve">or Latino </w:t>
      </w:r>
      <w:r w:rsidRPr="00900ADE">
        <w:t xml:space="preserve">administrators and only two Hispanic </w:t>
      </w:r>
      <w:r w:rsidR="00322B6D">
        <w:t xml:space="preserve">or Latino </w:t>
      </w:r>
      <w:r w:rsidRPr="00900ADE">
        <w:t xml:space="preserve">teachers, </w:t>
      </w:r>
      <w:r w:rsidR="005D7CFC" w:rsidRPr="00900ADE">
        <w:t xml:space="preserve">whereas </w:t>
      </w:r>
      <w:r w:rsidRPr="00900ADE">
        <w:t xml:space="preserve">Hispanic </w:t>
      </w:r>
      <w:r w:rsidR="00322B6D">
        <w:t xml:space="preserve">or Latino </w:t>
      </w:r>
      <w:r w:rsidRPr="00900ADE">
        <w:t xml:space="preserve">students accounted for </w:t>
      </w:r>
      <w:r w:rsidR="00831E06">
        <w:t>10</w:t>
      </w:r>
      <w:r w:rsidR="005D7CFC" w:rsidRPr="00900ADE">
        <w:t xml:space="preserve"> percent</w:t>
      </w:r>
      <w:r w:rsidRPr="00900ADE">
        <w:t xml:space="preserve"> of the population</w:t>
      </w:r>
      <w:r w:rsidR="00831E06">
        <w:t xml:space="preserve"> in 202</w:t>
      </w:r>
      <w:r w:rsidR="00E6401D">
        <w:t>5</w:t>
      </w:r>
      <w:r w:rsidRPr="00900ADE">
        <w:t xml:space="preserve">. Following an </w:t>
      </w:r>
      <w:r w:rsidR="005D7CFC" w:rsidRPr="00900ADE">
        <w:t>e</w:t>
      </w:r>
      <w:r w:rsidRPr="00900ADE">
        <w:t xml:space="preserve">quity </w:t>
      </w:r>
      <w:r w:rsidR="005D7CFC" w:rsidRPr="00900ADE">
        <w:t>a</w:t>
      </w:r>
      <w:r w:rsidRPr="00900ADE">
        <w:t xml:space="preserve">ssessment in 2022, district leaders formed an </w:t>
      </w:r>
      <w:r w:rsidR="005D7CFC" w:rsidRPr="00900ADE">
        <w:t>e</w:t>
      </w:r>
      <w:r w:rsidRPr="00900ADE">
        <w:t xml:space="preserve">quity </w:t>
      </w:r>
      <w:r w:rsidR="005D7CFC" w:rsidRPr="00900ADE">
        <w:t>s</w:t>
      </w:r>
      <w:r w:rsidRPr="00900ADE">
        <w:t xml:space="preserve">teering </w:t>
      </w:r>
      <w:r w:rsidR="005D7CFC" w:rsidRPr="00900ADE">
        <w:t>c</w:t>
      </w:r>
      <w:r w:rsidRPr="00900ADE">
        <w:t xml:space="preserve">ommittee. This committee created the </w:t>
      </w:r>
      <w:r w:rsidRPr="00900ADE">
        <w:rPr>
          <w:i/>
          <w:iCs/>
        </w:rPr>
        <w:t>Medway Public Schools Equity Plan</w:t>
      </w:r>
      <w:r w:rsidRPr="00900ADE">
        <w:t>, which was presented to the school committee on June 15, 2023, to address findings related to climate, instruction, and human resource</w:t>
      </w:r>
      <w:r w:rsidR="005D7CFC" w:rsidRPr="00900ADE">
        <w:t>s</w:t>
      </w:r>
      <w:r w:rsidRPr="00900ADE">
        <w:t xml:space="preserve"> practices. As part of these efforts, district leaders updated staff recruitment processes, attended job fairs they previously had not, and reached out to local colleges and universities to encourage a more diverse applicant pool for open positions.</w:t>
      </w:r>
      <w:r w:rsidR="00D21A1E" w:rsidRPr="00900ADE">
        <w:t xml:space="preserve"> </w:t>
      </w:r>
    </w:p>
    <w:p w14:paraId="44F91BF7" w14:textId="1E79C363" w:rsidR="535586EB" w:rsidRPr="00900ADE" w:rsidRDefault="005D7CFC" w:rsidP="00732E86">
      <w:pPr>
        <w:pStyle w:val="BodyText"/>
      </w:pPr>
      <w:r w:rsidRPr="00900ADE">
        <w:t xml:space="preserve">Although </w:t>
      </w:r>
      <w:r w:rsidR="00D401F0" w:rsidRPr="00900ADE">
        <w:t xml:space="preserve">Medway partners with key constituents, these partnerships do not always provide opportunities for shared </w:t>
      </w:r>
      <w:r w:rsidR="00F165E6">
        <w:t>decision-making</w:t>
      </w:r>
      <w:r w:rsidR="00D401F0" w:rsidRPr="00900ADE">
        <w:t xml:space="preserve">. </w:t>
      </w:r>
      <w:r w:rsidR="001B3497">
        <w:t xml:space="preserve">Respondents described some efforts to communicate information to parents, as well as some committees, </w:t>
      </w:r>
      <w:r w:rsidR="0032406C">
        <w:t>as not sufficiently communicative or receptive to parent feedback</w:t>
      </w:r>
      <w:r w:rsidR="001B3497">
        <w:t xml:space="preserve">. </w:t>
      </w:r>
      <w:r w:rsidR="00CE5802">
        <w:t>P</w:t>
      </w:r>
      <w:r w:rsidR="00CE5802" w:rsidRPr="00900ADE">
        <w:t>arent focus group participants identified communication from the district and schools as an area for improvement</w:t>
      </w:r>
      <w:r w:rsidR="00CE5802">
        <w:t xml:space="preserve">. </w:t>
      </w:r>
      <w:r w:rsidR="00D401F0" w:rsidRPr="00900ADE">
        <w:t>One participant described receiving frequent emails from the district but criticized the content as “a lot of fluff” that is more reactive than proactive. Another participant observed that district communications highlight activities and sports but “don’t necessarily tell us what is actually happening in the buildings.” A different participant characterized the tone of communication as “all glows, no grows.”</w:t>
      </w:r>
      <w:r w:rsidR="0032406C">
        <w:t xml:space="preserve"> Regarding other </w:t>
      </w:r>
      <w:r w:rsidR="00CE5802">
        <w:t>parent collaboration efforts</w:t>
      </w:r>
      <w:r w:rsidR="0032406C" w:rsidRPr="00900ADE">
        <w:t>, such as the strategic planning participation initiative,</w:t>
      </w:r>
      <w:r w:rsidR="00221146">
        <w:t xml:space="preserve"> parents similarly did not feel their input was incorporated. P</w:t>
      </w:r>
      <w:r w:rsidR="625BBDF0" w:rsidRPr="00900ADE">
        <w:t xml:space="preserve">arents who have participated in committees, including the strategic planning process, described the experiences as “a box checking exercise, not something where [the district or school was] sincerely looking for input or participation.” </w:t>
      </w:r>
      <w:r w:rsidR="006C0E33" w:rsidRPr="00900ADE">
        <w:t>One participant called these experiences “really disappointing,” a sentiment echoed by other parents.</w:t>
      </w:r>
      <w:r w:rsidR="000A034C" w:rsidRPr="00900ADE">
        <w:t xml:space="preserve"> </w:t>
      </w:r>
      <w:r w:rsidR="000A034C" w:rsidRPr="00547140">
        <w:t xml:space="preserve">Evidence from family focus groups suggests that parents feel excluded from meaningful shared </w:t>
      </w:r>
      <w:r w:rsidR="00F165E6">
        <w:t>decision-making</w:t>
      </w:r>
      <w:r w:rsidR="000A034C" w:rsidRPr="00547140">
        <w:t>, making this an area for growth</w:t>
      </w:r>
      <w:r w:rsidR="625BBDF0" w:rsidRPr="00547140">
        <w:t>.</w:t>
      </w:r>
    </w:p>
    <w:p w14:paraId="1043824D" w14:textId="76AF9A10" w:rsidR="005D0752" w:rsidRPr="00900ADE" w:rsidRDefault="002B4CEF" w:rsidP="005D0752">
      <w:pPr>
        <w:pStyle w:val="Heading3"/>
      </w:pPr>
      <w:r w:rsidRPr="00900ADE">
        <w:t xml:space="preserve">DESE </w:t>
      </w:r>
      <w:r w:rsidR="005D0752" w:rsidRPr="00900ADE">
        <w:t>Recommendations</w:t>
      </w:r>
    </w:p>
    <w:p w14:paraId="0F04E1D0" w14:textId="26ABD8D8" w:rsidR="00D851A1" w:rsidRPr="000A1011" w:rsidRDefault="00D851A1" w:rsidP="005D0752">
      <w:pPr>
        <w:pStyle w:val="Bullet1"/>
        <w:rPr>
          <w:bCs/>
        </w:rPr>
      </w:pPr>
      <w:r>
        <w:rPr>
          <w:i/>
          <w:iCs/>
        </w:rPr>
        <w:t xml:space="preserve">The district should </w:t>
      </w:r>
      <w:r w:rsidR="009F0ECA">
        <w:rPr>
          <w:i/>
          <w:iCs/>
        </w:rPr>
        <w:t>further</w:t>
      </w:r>
      <w:r>
        <w:rPr>
          <w:i/>
          <w:iCs/>
        </w:rPr>
        <w:t xml:space="preserve"> disseminate its vision </w:t>
      </w:r>
      <w:r w:rsidR="000A1011">
        <w:rPr>
          <w:i/>
          <w:iCs/>
        </w:rPr>
        <w:t xml:space="preserve">amongst students, staff, and families. </w:t>
      </w:r>
    </w:p>
    <w:p w14:paraId="1DC738E6" w14:textId="02B3212C" w:rsidR="008D6102" w:rsidRPr="0088438A" w:rsidRDefault="000A1011" w:rsidP="0088438A">
      <w:pPr>
        <w:pStyle w:val="Bullet1"/>
        <w:rPr>
          <w:bCs/>
        </w:rPr>
      </w:pPr>
      <w:r w:rsidRPr="009F0ECA">
        <w:rPr>
          <w:bCs/>
          <w:i/>
          <w:iCs/>
        </w:rPr>
        <w:t>The district should evaluate its current family engagement methods and develop strategies for</w:t>
      </w:r>
      <w:r w:rsidR="009F0ECA" w:rsidRPr="009F0ECA">
        <w:rPr>
          <w:bCs/>
          <w:i/>
          <w:iCs/>
        </w:rPr>
        <w:t xml:space="preserve"> authentically</w:t>
      </w:r>
      <w:r w:rsidRPr="009F0ECA">
        <w:rPr>
          <w:bCs/>
          <w:i/>
          <w:iCs/>
        </w:rPr>
        <w:t xml:space="preserve"> </w:t>
      </w:r>
      <w:r w:rsidR="009F0ECA" w:rsidRPr="009F0ECA">
        <w:rPr>
          <w:bCs/>
          <w:i/>
          <w:iCs/>
        </w:rPr>
        <w:t xml:space="preserve">including families in school- and district-level </w:t>
      </w:r>
      <w:r w:rsidR="00F165E6">
        <w:rPr>
          <w:bCs/>
          <w:i/>
          <w:iCs/>
        </w:rPr>
        <w:t>decision-making</w:t>
      </w:r>
      <w:r w:rsidR="009F0ECA" w:rsidRPr="009F0ECA">
        <w:rPr>
          <w:bCs/>
          <w:i/>
          <w:iCs/>
        </w:rPr>
        <w:t xml:space="preserve">. </w:t>
      </w:r>
      <w:r w:rsidR="008D6102" w:rsidRPr="0088438A">
        <w:rPr>
          <w:bCs/>
        </w:rPr>
        <w:br w:type="page"/>
      </w:r>
    </w:p>
    <w:p w14:paraId="7EDE9323" w14:textId="77777777" w:rsidR="008D6102" w:rsidRPr="00900ADE" w:rsidRDefault="008D6102" w:rsidP="008D6102">
      <w:pPr>
        <w:pStyle w:val="Heading2"/>
      </w:pPr>
      <w:bookmarkStart w:id="27" w:name="_Curriculum_and_Instruction"/>
      <w:bookmarkStart w:id="28" w:name="_Toc101446228"/>
      <w:bookmarkStart w:id="29" w:name="_Toc202873109"/>
      <w:bookmarkEnd w:id="27"/>
      <w:r w:rsidRPr="00900ADE">
        <w:lastRenderedPageBreak/>
        <w:t>Curriculum and Instruction</w:t>
      </w:r>
      <w:bookmarkEnd w:id="28"/>
      <w:bookmarkEnd w:id="29"/>
    </w:p>
    <w:p w14:paraId="7E2DC369" w14:textId="497A6893" w:rsidR="00E01775" w:rsidRPr="00900ADE" w:rsidRDefault="00E01775" w:rsidP="00732E86">
      <w:pPr>
        <w:pStyle w:val="BodyText"/>
      </w:pPr>
      <w:r w:rsidRPr="00900ADE">
        <w:t>This section examines the extent to which district leaders have established a shared instructional vision, anchored in culturally and linguistically sustaining practices, that guides all curricular and instructional decisions toward equitable outcomes for all students. It also focuses on the extent to which the district pairs high</w:t>
      </w:r>
      <w:r w:rsidR="005D7CFC" w:rsidRPr="00900ADE">
        <w:t>-</w:t>
      </w:r>
      <w:r w:rsidRPr="00900ADE">
        <w:t>quality curricul</w:t>
      </w:r>
      <w:r w:rsidR="005D7CFC" w:rsidRPr="00900ADE">
        <w:t>a</w:t>
      </w:r>
      <w:r w:rsidRPr="00900ADE">
        <w:t xml:space="preserve"> and instructional materials and high expectations for all students with individualized supports so that every student can engage in deeper learning and develop the knowledge and skills that will prepare them to succeed in college and/or the workplace.</w:t>
      </w:r>
    </w:p>
    <w:p w14:paraId="654F2607" w14:textId="0EC5943C" w:rsidR="000B66C1" w:rsidRPr="00900ADE" w:rsidRDefault="000B66C1" w:rsidP="00732E86">
      <w:pPr>
        <w:pStyle w:val="BodyText"/>
      </w:pPr>
      <w:r w:rsidRPr="00900ADE">
        <w:t xml:space="preserve">Table </w:t>
      </w:r>
      <w:r w:rsidR="00BD049B" w:rsidRPr="00900ADE">
        <w:t xml:space="preserve">3 </w:t>
      </w:r>
      <w:r w:rsidRPr="00900ADE">
        <w:t>summarizes key strengths and areas for growth in curriculum and instruction</w:t>
      </w:r>
      <w:r w:rsidR="00B525D4" w:rsidRPr="00900ADE">
        <w:t xml:space="preserve"> in Medway</w:t>
      </w:r>
      <w:r w:rsidRPr="00900ADE">
        <w:t>.</w:t>
      </w:r>
    </w:p>
    <w:p w14:paraId="7925A4CF" w14:textId="55FE6BC2" w:rsidR="00473308" w:rsidRPr="00900ADE" w:rsidRDefault="00473308" w:rsidP="00732E86">
      <w:pPr>
        <w:pStyle w:val="TableTitle0"/>
      </w:pPr>
      <w:r w:rsidRPr="00900ADE">
        <w:t xml:space="preserve">Table </w:t>
      </w:r>
      <w:r w:rsidR="00163C7A" w:rsidRPr="00900ADE">
        <w:t>3</w:t>
      </w:r>
      <w:r w:rsidRPr="00900ADE">
        <w:t xml:space="preserve">. Summary of </w:t>
      </w:r>
      <w:r w:rsidR="000B66C1" w:rsidRPr="00900ADE">
        <w:t xml:space="preserve">Key Strengths </w:t>
      </w:r>
      <w:r w:rsidRPr="00900ADE">
        <w:t xml:space="preserve">and </w:t>
      </w:r>
      <w:r w:rsidR="000B66C1" w:rsidRPr="00900ADE">
        <w:t xml:space="preserve">Areas </w:t>
      </w:r>
      <w:r w:rsidRPr="00900ADE">
        <w:t xml:space="preserve">for </w:t>
      </w:r>
      <w:r w:rsidR="000B66C1" w:rsidRPr="00900ADE">
        <w:t>Growth:</w:t>
      </w:r>
      <w:r w:rsidRPr="00900ADE">
        <w:t xml:space="preserve"> Curriculum and Instruction</w:t>
      </w:r>
      <w:r w:rsidR="00C0766E" w:rsidRPr="00900ADE">
        <w:t xml:space="preserve"> Standard</w:t>
      </w:r>
    </w:p>
    <w:tbl>
      <w:tblPr>
        <w:tblStyle w:val="MSVTable1"/>
        <w:tblW w:w="5000" w:type="pct"/>
        <w:tblLook w:val="04A0" w:firstRow="1" w:lastRow="0" w:firstColumn="1" w:lastColumn="0" w:noHBand="0" w:noVBand="1"/>
      </w:tblPr>
      <w:tblGrid>
        <w:gridCol w:w="2064"/>
        <w:gridCol w:w="3509"/>
        <w:gridCol w:w="3771"/>
      </w:tblGrid>
      <w:tr w:rsidR="00473308" w:rsidRPr="00900ADE" w14:paraId="24E33970" w14:textId="77777777" w:rsidTr="00086ABC">
        <w:trPr>
          <w:cnfStyle w:val="100000000000" w:firstRow="1" w:lastRow="0" w:firstColumn="0" w:lastColumn="0" w:oddVBand="0" w:evenVBand="0" w:oddHBand="0" w:evenHBand="0" w:firstRowFirstColumn="0" w:firstRowLastColumn="0" w:lastRowFirstColumn="0" w:lastRowLastColumn="0"/>
          <w:tblHeader/>
        </w:trPr>
        <w:tc>
          <w:tcPr>
            <w:tcW w:w="1104" w:type="pct"/>
          </w:tcPr>
          <w:p w14:paraId="34309A87" w14:textId="77777777" w:rsidR="00473308" w:rsidRPr="00510408" w:rsidRDefault="00473308" w:rsidP="006A14EB">
            <w:pPr>
              <w:pStyle w:val="TableColHeadingCenter"/>
              <w:spacing w:before="20" w:after="20"/>
            </w:pPr>
            <w:r w:rsidRPr="00510408">
              <w:t>Indicator</w:t>
            </w:r>
          </w:p>
        </w:tc>
        <w:tc>
          <w:tcPr>
            <w:tcW w:w="1877" w:type="pct"/>
          </w:tcPr>
          <w:p w14:paraId="47A4F44D" w14:textId="77777777" w:rsidR="00473308" w:rsidRPr="00900ADE" w:rsidRDefault="00473308" w:rsidP="006A14EB">
            <w:pPr>
              <w:pStyle w:val="TableColHeadingCenter"/>
              <w:spacing w:before="20" w:after="20"/>
            </w:pPr>
            <w:r w:rsidRPr="00900ADE">
              <w:t>Strengths</w:t>
            </w:r>
          </w:p>
        </w:tc>
        <w:tc>
          <w:tcPr>
            <w:tcW w:w="2018" w:type="pct"/>
          </w:tcPr>
          <w:p w14:paraId="1E3CFDD9" w14:textId="5DA986FA" w:rsidR="00473308" w:rsidRPr="00900ADE" w:rsidRDefault="00473308" w:rsidP="006A14EB">
            <w:pPr>
              <w:pStyle w:val="TableColHeadingCenter"/>
              <w:spacing w:before="20" w:after="20"/>
            </w:pPr>
            <w:r w:rsidRPr="00900ADE">
              <w:t xml:space="preserve">Areas for </w:t>
            </w:r>
            <w:r w:rsidR="000B66C1" w:rsidRPr="00900ADE">
              <w:t>g</w:t>
            </w:r>
            <w:r w:rsidRPr="00900ADE">
              <w:t>rowth</w:t>
            </w:r>
          </w:p>
        </w:tc>
      </w:tr>
      <w:tr w:rsidR="00473308" w:rsidRPr="00900ADE" w14:paraId="1369F705" w14:textId="77777777" w:rsidTr="006A14EB">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06CE8C3D" w:rsidR="00473308" w:rsidRPr="00900ADE" w:rsidRDefault="0037284E" w:rsidP="006A14EB">
            <w:pPr>
              <w:pStyle w:val="TableSubheading"/>
              <w:spacing w:before="20" w:after="20"/>
            </w:pPr>
            <w:hyperlink w:anchor="_Instructional_Leadership" w:history="1">
              <w:r w:rsidRPr="00900ADE">
                <w:rPr>
                  <w:rStyle w:val="Hyperlink"/>
                </w:rPr>
                <w:t>Instructional Leadership</w:t>
              </w:r>
            </w:hyperlink>
          </w:p>
        </w:tc>
        <w:tc>
          <w:tcPr>
            <w:tcW w:w="1877" w:type="pct"/>
          </w:tcPr>
          <w:p w14:paraId="4EBC7B6F" w14:textId="21B7E5D5" w:rsidR="00473308" w:rsidRPr="00900ADE" w:rsidRDefault="0063472C" w:rsidP="006A14EB">
            <w:pPr>
              <w:pStyle w:val="TableBullet1"/>
              <w:spacing w:before="20" w:after="20"/>
            </w:pPr>
            <w:r w:rsidRPr="00900ADE">
              <w:t>The instructional models used in elementary literacy and at the middle school level align with the district’s improvement plan</w:t>
            </w:r>
            <w:r w:rsidR="00454E00">
              <w:t xml:space="preserve"> (</w:t>
            </w:r>
            <w:r w:rsidR="005D7CFC" w:rsidRPr="00900ADE">
              <w:t>DIP</w:t>
            </w:r>
            <w:r w:rsidR="00454E00">
              <w:t>)</w:t>
            </w:r>
            <w:r w:rsidRPr="00900ADE">
              <w:t xml:space="preserve"> and strategic priorities.</w:t>
            </w:r>
          </w:p>
        </w:tc>
        <w:tc>
          <w:tcPr>
            <w:tcW w:w="2018" w:type="pct"/>
          </w:tcPr>
          <w:p w14:paraId="11AB7A15" w14:textId="1581ACBF" w:rsidR="00473308" w:rsidRPr="00900ADE" w:rsidRDefault="0043271D" w:rsidP="005D7CFC">
            <w:pPr>
              <w:pStyle w:val="TableBullet1"/>
            </w:pPr>
            <w:r w:rsidRPr="000A560B">
              <w:t>Developing a districtwide instructional vision, particularly to address literacy at the high school level and other subjects (e.g., mathematics at all levels)</w:t>
            </w:r>
          </w:p>
          <w:p w14:paraId="2FD82E03" w14:textId="51D212D0" w:rsidR="00473308" w:rsidRPr="00900ADE" w:rsidRDefault="002439D6" w:rsidP="00196AE3">
            <w:pPr>
              <w:pStyle w:val="TableBullet1"/>
            </w:pPr>
            <w:r>
              <w:t>E</w:t>
            </w:r>
            <w:r w:rsidRPr="002439D6">
              <w:t>stablishing a clearly defined and consistently monitored instructional model at the high school level to improve alignment across the district</w:t>
            </w:r>
          </w:p>
        </w:tc>
      </w:tr>
      <w:tr w:rsidR="00473308" w:rsidRPr="00900ADE" w14:paraId="6F5158ED" w14:textId="77777777" w:rsidTr="006A14EB">
        <w:tc>
          <w:tcPr>
            <w:tcW w:w="1104" w:type="pct"/>
          </w:tcPr>
          <w:p w14:paraId="63362AB2" w14:textId="1DEE2BF2" w:rsidR="00473308" w:rsidRPr="00900ADE" w:rsidRDefault="008722B8" w:rsidP="006A14EB">
            <w:pPr>
              <w:pStyle w:val="TableSubheading"/>
              <w:spacing w:before="20" w:after="20"/>
            </w:pPr>
            <w:hyperlink w:anchor="_Curriculum_and_Instructional" w:history="1">
              <w:r w:rsidRPr="00900ADE">
                <w:rPr>
                  <w:rStyle w:val="Hyperlink"/>
                </w:rPr>
                <w:t>Curriculum and Instructional Materials</w:t>
              </w:r>
            </w:hyperlink>
          </w:p>
        </w:tc>
        <w:tc>
          <w:tcPr>
            <w:tcW w:w="1877" w:type="pct"/>
          </w:tcPr>
          <w:p w14:paraId="27E8B156" w14:textId="765A8CBE" w:rsidR="00473308" w:rsidRPr="00900ADE" w:rsidRDefault="00751202" w:rsidP="006A14EB">
            <w:pPr>
              <w:pStyle w:val="TableBullet1"/>
              <w:spacing w:before="20" w:after="20"/>
            </w:pPr>
            <w:r w:rsidRPr="00900ADE">
              <w:t xml:space="preserve">The district uses materials consistently rated as </w:t>
            </w:r>
            <w:r w:rsidR="005D7CFC" w:rsidRPr="00900ADE">
              <w:t>m</w:t>
            </w:r>
            <w:r w:rsidRPr="00900ADE">
              <w:t xml:space="preserve">eets </w:t>
            </w:r>
            <w:r w:rsidR="005D7CFC" w:rsidRPr="00900ADE">
              <w:t>e</w:t>
            </w:r>
            <w:r w:rsidRPr="00900ADE">
              <w:t>xpectations in ELA and mathematics across grades.</w:t>
            </w:r>
          </w:p>
        </w:tc>
        <w:tc>
          <w:tcPr>
            <w:tcW w:w="2018" w:type="pct"/>
          </w:tcPr>
          <w:p w14:paraId="5269B2F1" w14:textId="2B523B38" w:rsidR="00300957" w:rsidRDefault="00A50A9E" w:rsidP="00023959">
            <w:pPr>
              <w:pStyle w:val="TableBullet1"/>
            </w:pPr>
            <w:r>
              <w:t>Consistently implementing and following the</w:t>
            </w:r>
            <w:r w:rsidRPr="000A560B">
              <w:t xml:space="preserve"> </w:t>
            </w:r>
            <w:r>
              <w:t xml:space="preserve">established </w:t>
            </w:r>
            <w:r w:rsidRPr="000A560B">
              <w:t>districtwide process for curricular review and selection</w:t>
            </w:r>
          </w:p>
          <w:p w14:paraId="24E7E538" w14:textId="74A754B6" w:rsidR="00473308" w:rsidRPr="00900ADE" w:rsidRDefault="00494346" w:rsidP="005D7CFC">
            <w:pPr>
              <w:pStyle w:val="TableBullet1"/>
            </w:pPr>
            <w:r w:rsidRPr="00900ADE">
              <w:t>Adopting vertically</w:t>
            </w:r>
            <w:r w:rsidR="005D7CFC" w:rsidRPr="00900ADE">
              <w:t xml:space="preserve"> </w:t>
            </w:r>
            <w:r w:rsidRPr="00900ADE">
              <w:t>aligned curricul</w:t>
            </w:r>
            <w:r w:rsidR="005D7CFC" w:rsidRPr="00900ADE">
              <w:t>a</w:t>
            </w:r>
            <w:r w:rsidRPr="00900ADE">
              <w:t xml:space="preserve"> in all subjects to ensure </w:t>
            </w:r>
            <w:r w:rsidR="006D63E2" w:rsidRPr="00900ADE">
              <w:t xml:space="preserve">coherent </w:t>
            </w:r>
            <w:r w:rsidRPr="00900ADE">
              <w:t xml:space="preserve">student learning </w:t>
            </w:r>
          </w:p>
        </w:tc>
      </w:tr>
      <w:tr w:rsidR="00473308" w:rsidRPr="00900ADE" w14:paraId="2815FD55" w14:textId="77777777" w:rsidTr="006A14EB">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7BE0944D" w:rsidR="00473308" w:rsidRPr="00900ADE" w:rsidRDefault="00320588" w:rsidP="006A14EB">
            <w:pPr>
              <w:pStyle w:val="TableSubheading"/>
              <w:spacing w:before="20" w:after="20"/>
            </w:pPr>
            <w:hyperlink w:anchor="_Equitable_Practices_and_1" w:history="1">
              <w:r w:rsidRPr="00900ADE">
                <w:rPr>
                  <w:rStyle w:val="Hyperlink"/>
                </w:rPr>
                <w:t>Equitable Practices and</w:t>
              </w:r>
              <w:r w:rsidR="00473308" w:rsidRPr="00900ADE">
                <w:rPr>
                  <w:rStyle w:val="Hyperlink"/>
                </w:rPr>
                <w:t xml:space="preserve"> </w:t>
              </w:r>
              <w:r w:rsidRPr="00900ADE">
                <w:rPr>
                  <w:rStyle w:val="Hyperlink"/>
                </w:rPr>
                <w:t>A</w:t>
              </w:r>
              <w:r w:rsidR="00473308" w:rsidRPr="00900ADE">
                <w:rPr>
                  <w:rStyle w:val="Hyperlink"/>
                </w:rPr>
                <w:t>ccess</w:t>
              </w:r>
            </w:hyperlink>
          </w:p>
        </w:tc>
        <w:tc>
          <w:tcPr>
            <w:tcW w:w="1877" w:type="pct"/>
          </w:tcPr>
          <w:p w14:paraId="25D7F32B" w14:textId="5F689580" w:rsidR="00473308" w:rsidRPr="00900ADE" w:rsidRDefault="00473308" w:rsidP="006A14EB">
            <w:pPr>
              <w:pStyle w:val="TableBullet1"/>
              <w:numPr>
                <w:ilvl w:val="0"/>
                <w:numId w:val="0"/>
              </w:numPr>
              <w:spacing w:before="20" w:after="20"/>
              <w:ind w:left="360"/>
            </w:pPr>
          </w:p>
        </w:tc>
        <w:tc>
          <w:tcPr>
            <w:tcW w:w="2018" w:type="pct"/>
          </w:tcPr>
          <w:p w14:paraId="3F011882" w14:textId="68581807" w:rsidR="00473308" w:rsidRPr="00900ADE" w:rsidRDefault="008D3DBE" w:rsidP="005D7CFC">
            <w:pPr>
              <w:pStyle w:val="TableBullet1"/>
            </w:pPr>
            <w:r w:rsidRPr="00900ADE">
              <w:t>Creating a districtwide approach that consistently connects students at all levels to academic interventions</w:t>
            </w:r>
          </w:p>
        </w:tc>
      </w:tr>
      <w:tr w:rsidR="0037284E" w:rsidRPr="00900ADE" w14:paraId="0EC4A794" w14:textId="77777777" w:rsidTr="006A14EB">
        <w:tc>
          <w:tcPr>
            <w:tcW w:w="1104" w:type="pct"/>
          </w:tcPr>
          <w:p w14:paraId="78BB75FC" w14:textId="3B30DC47" w:rsidR="0037284E" w:rsidRPr="00900ADE" w:rsidRDefault="00320588" w:rsidP="006A14EB">
            <w:pPr>
              <w:pStyle w:val="TableSubheading"/>
              <w:spacing w:before="20" w:after="20"/>
            </w:pPr>
            <w:hyperlink w:anchor="_Effective_Instruction_and" w:history="1">
              <w:r w:rsidRPr="00900ADE">
                <w:rPr>
                  <w:rStyle w:val="Hyperlink"/>
                </w:rPr>
                <w:t>Effective Instruction and Curricular Implementation</w:t>
              </w:r>
            </w:hyperlink>
          </w:p>
        </w:tc>
        <w:tc>
          <w:tcPr>
            <w:tcW w:w="1877" w:type="pct"/>
          </w:tcPr>
          <w:p w14:paraId="4AAA2C06" w14:textId="77777777" w:rsidR="0037284E" w:rsidRPr="00900ADE" w:rsidRDefault="0037284E" w:rsidP="006A14EB">
            <w:pPr>
              <w:pStyle w:val="TableBullet1"/>
              <w:numPr>
                <w:ilvl w:val="0"/>
                <w:numId w:val="0"/>
              </w:numPr>
              <w:spacing w:before="20" w:after="20"/>
              <w:ind w:left="360"/>
            </w:pPr>
          </w:p>
        </w:tc>
        <w:tc>
          <w:tcPr>
            <w:tcW w:w="2018" w:type="pct"/>
          </w:tcPr>
          <w:p w14:paraId="7D67B62C" w14:textId="156D221D" w:rsidR="0037284E" w:rsidRPr="00900ADE" w:rsidRDefault="00A93E83" w:rsidP="000A3637">
            <w:pPr>
              <w:pStyle w:val="TableBullet1"/>
            </w:pPr>
            <w:r>
              <w:rPr>
                <w:spacing w:val="-2"/>
              </w:rPr>
              <w:t>Requiring</w:t>
            </w:r>
            <w:r w:rsidR="002F6A37" w:rsidRPr="00900ADE">
              <w:rPr>
                <w:spacing w:val="-2"/>
              </w:rPr>
              <w:t xml:space="preserve"> teachers to identify both content and language objectives for all lessons</w:t>
            </w:r>
          </w:p>
        </w:tc>
      </w:tr>
    </w:tbl>
    <w:p w14:paraId="6EA47201" w14:textId="0E589CC2" w:rsidR="00473308" w:rsidRPr="00900ADE" w:rsidRDefault="0037284E" w:rsidP="00473308">
      <w:pPr>
        <w:pStyle w:val="Heading3"/>
      </w:pPr>
      <w:bookmarkStart w:id="30" w:name="_Curriculum_Selection_and"/>
      <w:bookmarkStart w:id="31" w:name="_Instructional_Leadership"/>
      <w:bookmarkEnd w:id="30"/>
      <w:bookmarkEnd w:id="31"/>
      <w:r w:rsidRPr="00900ADE">
        <w:t>Instructional Leadership</w:t>
      </w:r>
    </w:p>
    <w:p w14:paraId="51E11132" w14:textId="4831882B" w:rsidR="0033131D" w:rsidRPr="00900ADE" w:rsidRDefault="0033131D" w:rsidP="009B5614">
      <w:pPr>
        <w:pStyle w:val="BodyTextposthead"/>
      </w:pPr>
      <w:r w:rsidRPr="00900ADE">
        <w:t>The superintendent and district leaders describe</w:t>
      </w:r>
      <w:r w:rsidR="005D7CFC" w:rsidRPr="00900ADE">
        <w:t>d</w:t>
      </w:r>
      <w:r w:rsidRPr="00900ADE">
        <w:t xml:space="preserve"> a broad vision for the district that includes making schools and classrooms engaging for students. The superintendent and </w:t>
      </w:r>
      <w:r w:rsidR="005D7CFC" w:rsidRPr="00900ADE">
        <w:t xml:space="preserve">the </w:t>
      </w:r>
      <w:r w:rsidRPr="00900ADE">
        <w:t>assistant superintendent focus on this broad vision as they lead curriculum and instruction initiatives in the district. However, school leaders and teachers stated that the district does not have a clear, districtwide instructional vision</w:t>
      </w:r>
      <w:r w:rsidR="004021F8">
        <w:t xml:space="preserve"> that is guiding </w:t>
      </w:r>
      <w:r w:rsidR="00243FA5">
        <w:t>all</w:t>
      </w:r>
      <w:r w:rsidR="004021F8">
        <w:t xml:space="preserve"> instruction. </w:t>
      </w:r>
      <w:r w:rsidR="00243FA5">
        <w:t>For example, teachers in</w:t>
      </w:r>
      <w:r w:rsidR="00F860BF">
        <w:t xml:space="preserve"> focus groups</w:t>
      </w:r>
      <w:r w:rsidR="00243FA5">
        <w:t xml:space="preserve"> </w:t>
      </w:r>
      <w:r w:rsidR="00F860BF">
        <w:t xml:space="preserve">noted </w:t>
      </w:r>
      <w:r w:rsidR="00E041EF">
        <w:t>that “there’s not a clear vision that is known to everyone and that is posted</w:t>
      </w:r>
      <w:r w:rsidR="00243FA5">
        <w:t>.”</w:t>
      </w:r>
      <w:r w:rsidR="0076142D">
        <w:t xml:space="preserve"> Teachers further commented that this </w:t>
      </w:r>
      <w:r w:rsidR="00B666DF">
        <w:t xml:space="preserve">can lead to </w:t>
      </w:r>
      <w:r w:rsidR="00FE0266">
        <w:t xml:space="preserve">inconsistency. </w:t>
      </w:r>
    </w:p>
    <w:p w14:paraId="3E465BA1" w14:textId="77777777" w:rsidR="007C258B" w:rsidRDefault="007C258B" w:rsidP="007C258B">
      <w:pPr>
        <w:pStyle w:val="BodyText"/>
      </w:pPr>
      <w:r w:rsidRPr="00900ADE">
        <w:lastRenderedPageBreak/>
        <w:t xml:space="preserve">Staff noted that priorities are clearer in some departments and grades and less so in </w:t>
      </w:r>
      <w:r>
        <w:t>others</w:t>
      </w:r>
      <w:r w:rsidRPr="00900ADE">
        <w:t xml:space="preserve">. Through interviews, school-based staff described instructional models that vary based on grade level and content. Elementary level teachers highlighted “guiding principles for literacy,” but noted the absence of similar principles for mathematics. District leaders and elementary school leaders and teachers described significant efforts in recent years to define </w:t>
      </w:r>
      <w:r>
        <w:t>a</w:t>
      </w:r>
      <w:r w:rsidRPr="00900ADE">
        <w:t xml:space="preserve"> </w:t>
      </w:r>
      <w:r>
        <w:t>cohesive</w:t>
      </w:r>
      <w:r w:rsidRPr="00900ADE">
        <w:t xml:space="preserve"> vision for elementary literacy, including acquiring materials, undergoing professional development, and obtaining aligned measurement tools. </w:t>
      </w:r>
    </w:p>
    <w:p w14:paraId="2C3605E2" w14:textId="77777777" w:rsidR="007C258B" w:rsidRPr="00900ADE" w:rsidRDefault="007C258B" w:rsidP="007C258B">
      <w:pPr>
        <w:pStyle w:val="BodyText"/>
      </w:pPr>
      <w:r w:rsidRPr="00900ADE">
        <w:t>At the middle school level, school leaders and teachers reported that deeper learning is guiding instruction across all subjects. Middle school leaders described the work they have done in the past two years to develop deeper learning, including an audit done by DESE, data analysis to identify priorities, and support for teachers to implement the priorities</w:t>
      </w:r>
      <w:r>
        <w:t>. These implementation priorities include</w:t>
      </w:r>
      <w:r w:rsidRPr="00900ADE">
        <w:t xml:space="preserve"> framing student learning, increasing student discourse and rigor for students, and feedback. </w:t>
      </w:r>
      <w:r>
        <w:t>Furthermore, m</w:t>
      </w:r>
      <w:r w:rsidRPr="00900ADE">
        <w:t xml:space="preserve">iddle school teachers </w:t>
      </w:r>
      <w:r>
        <w:t>identified</w:t>
      </w:r>
      <w:r w:rsidRPr="00900ADE">
        <w:t xml:space="preserve"> some commonality in K-8 ELA but stated that they lacked connection with high school ELA instruction. However, middle school mathematics teachers noted that they collaborate with the high school level regarding the implementation of a new curriculum. </w:t>
      </w:r>
      <w:r>
        <w:t>In all, the</w:t>
      </w:r>
      <w:r w:rsidRPr="000A560B">
        <w:t xml:space="preserve"> instructional models used in elementary literacy and at the middle school level align with the DIP and strategic priorities and are a strength of the district.</w:t>
      </w:r>
    </w:p>
    <w:p w14:paraId="2F8C7323" w14:textId="77777777" w:rsidR="007C258B" w:rsidRPr="00900ADE" w:rsidRDefault="007C258B" w:rsidP="007C258B">
      <w:pPr>
        <w:pStyle w:val="BodyText"/>
        <w:rPr>
          <w:color w:val="ED0000"/>
        </w:rPr>
      </w:pPr>
      <w:r w:rsidRPr="00900ADE">
        <w:t xml:space="preserve">At the high school, teachers reported </w:t>
      </w:r>
      <w:r>
        <w:t>inconsistencies</w:t>
      </w:r>
      <w:r w:rsidRPr="00900ADE">
        <w:t xml:space="preserve"> in the implementation of instructional models across classrooms. For example, high school teachers noted that “there is a commonality, which is deeper learning, and the other term that’s thrown around a lot is personalized learning, but nobody has a common definition of what [those concepts] are.” Some teachers in the mathematics department described adopting an instructional approach using vertical </w:t>
      </w:r>
      <w:r>
        <w:t>whiteboard teaching</w:t>
      </w:r>
      <w:r w:rsidRPr="00900ADE">
        <w:t xml:space="preserve">—a key tenet of the program Building Thinking Classrooms—and undergoing professional development on this approach. However, other departments stated that they participated in the professional development but lacked guidance on applying the concept in their classrooms. High school teachers also reported inconsistency in concepts such as project-based learning. </w:t>
      </w:r>
      <w:r w:rsidRPr="000A560B">
        <w:t>Developing a districtwide instructional vision, particularly to address literacy at the high school level and other subjects (e.g., mathematics at all levels)</w:t>
      </w:r>
      <w:r>
        <w:t>,</w:t>
      </w:r>
      <w:r w:rsidRPr="000A560B">
        <w:t xml:space="preserve"> is an area for growth for the district. </w:t>
      </w:r>
    </w:p>
    <w:p w14:paraId="4276253E" w14:textId="77777777" w:rsidR="00255E1B" w:rsidRDefault="00255E1B" w:rsidP="00255E1B">
      <w:pPr>
        <w:pStyle w:val="BodyText"/>
      </w:pPr>
      <w:r>
        <w:t>Elementary and middle schools in Medway have established systems to implement and monitor instructional models. Elementary teachers described aligning curriculum pacing and student learning goals to support common guiding principles, particularly in literacy. Middle school teachers highlighted a focus on deeper learning. Staff reported the district supported deeper learning as an instructional model with resources such as professional development led by curriculum instructional leaders, a mathematics consultant assisting with the new curriculum, and district-provided materials—like multiple or individual whiteboards in math classrooms—to promote student discourse.</w:t>
      </w:r>
    </w:p>
    <w:p w14:paraId="196FA113" w14:textId="77777777" w:rsidR="00255E1B" w:rsidRDefault="00255E1B" w:rsidP="00255E1B">
      <w:pPr>
        <w:pStyle w:val="BodyText"/>
      </w:pPr>
      <w:r>
        <w:t>However, Medway High School lacks a consistent approach to identifying, implementing, and monitoring instructional models. Unlike the elementary and middle school levels, the high school does not have a clearly defined or communicated instructional model, either school-wide or within departments.</w:t>
      </w:r>
    </w:p>
    <w:p w14:paraId="37BE40B2" w14:textId="4148A015" w:rsidR="00255E1B" w:rsidRDefault="00255E1B" w:rsidP="00883547">
      <w:pPr>
        <w:pStyle w:val="BodyText"/>
      </w:pPr>
      <w:r>
        <w:t xml:space="preserve">The district has established monitoring systems for elementary literacy and middle school mathematics, supported by content instructional leaders and a math consultant. However, no such </w:t>
      </w:r>
      <w:r>
        <w:lastRenderedPageBreak/>
        <w:t>monitoring system exists at the high school level. This absence of structured implementation and oversight contributes to inconsistency and a lack of vertical alignment in instructional models across schools in the district. An area for growth is establishing a clearly defined and consistently monitored instructional model at the high school level to improve alignment across the district.</w:t>
      </w:r>
    </w:p>
    <w:p w14:paraId="631C157A" w14:textId="51F8255D" w:rsidR="00320A50" w:rsidRPr="00900ADE" w:rsidRDefault="009B5614" w:rsidP="00883547">
      <w:pPr>
        <w:pStyle w:val="BodyText"/>
      </w:pPr>
      <w:r w:rsidRPr="00900ADE">
        <w:t xml:space="preserve">All schools have leadership teams, and these teams have broad autonomy. </w:t>
      </w:r>
      <w:r w:rsidR="00320A50" w:rsidRPr="00900ADE">
        <w:t>The leadership teams differ in composition, meeting frequency, and the level of cohesiveness of the instructional vision at each school level. School leader questionnaires confirmed that each school has an ILT with varying members and meeting schedules:</w:t>
      </w:r>
    </w:p>
    <w:p w14:paraId="52088D75" w14:textId="7CFC3ABD" w:rsidR="009B5614" w:rsidRPr="00900ADE" w:rsidRDefault="009B5614" w:rsidP="00883547">
      <w:pPr>
        <w:pStyle w:val="Bullet1"/>
      </w:pPr>
      <w:r w:rsidRPr="00900ADE">
        <w:t>At John D</w:t>
      </w:r>
      <w:r w:rsidR="005D7CFC" w:rsidRPr="00900ADE">
        <w:t>.</w:t>
      </w:r>
      <w:r w:rsidRPr="00900ADE">
        <w:t xml:space="preserve"> McGovern Elementary School, the ILT includes special educators, general educators, and administrators</w:t>
      </w:r>
      <w:r w:rsidR="005D7CFC" w:rsidRPr="00900ADE">
        <w:t>,</w:t>
      </w:r>
      <w:r w:rsidRPr="00900ADE">
        <w:t xml:space="preserve"> and they meet twice per month.</w:t>
      </w:r>
    </w:p>
    <w:p w14:paraId="2D27B02D" w14:textId="66B0EA7B" w:rsidR="009B5614" w:rsidRPr="00900ADE" w:rsidRDefault="009B5614" w:rsidP="00883547">
      <w:pPr>
        <w:pStyle w:val="Bullet1"/>
      </w:pPr>
      <w:r w:rsidRPr="00900ADE">
        <w:t xml:space="preserve">At Burke-Memorial Elementary School, the ILT includes special educators, English as a </w:t>
      </w:r>
      <w:r w:rsidR="005D7CFC" w:rsidRPr="00900ADE">
        <w:t>s</w:t>
      </w:r>
      <w:r w:rsidRPr="00900ADE">
        <w:t xml:space="preserve">econd </w:t>
      </w:r>
      <w:r w:rsidR="005D7CFC" w:rsidRPr="00900ADE">
        <w:t>l</w:t>
      </w:r>
      <w:r w:rsidRPr="00900ADE">
        <w:t>anguage (ESL) teachers, general educators across all grade levels, and administrators</w:t>
      </w:r>
      <w:r w:rsidR="005D7CFC" w:rsidRPr="00900ADE">
        <w:t>,</w:t>
      </w:r>
      <w:r w:rsidRPr="00900ADE">
        <w:t xml:space="preserve"> and they meet monthly. </w:t>
      </w:r>
    </w:p>
    <w:p w14:paraId="669E6CB0" w14:textId="6FB1B1B0" w:rsidR="009B5614" w:rsidRPr="00900ADE" w:rsidRDefault="009B5614" w:rsidP="00883547">
      <w:pPr>
        <w:pStyle w:val="Bullet1"/>
      </w:pPr>
      <w:r w:rsidRPr="00900ADE">
        <w:t xml:space="preserve">At Medway Middle School, </w:t>
      </w:r>
      <w:r w:rsidR="00B8278F" w:rsidRPr="00B8278F">
        <w:t>the ILT includes the principal, instructional coaches,  and members of the deeper learning team (which includes teachers) and they meet twice per month.</w:t>
      </w:r>
    </w:p>
    <w:p w14:paraId="66BC7A92" w14:textId="71212417" w:rsidR="009B5614" w:rsidRPr="00900ADE" w:rsidRDefault="009B5614" w:rsidP="00883547">
      <w:pPr>
        <w:pStyle w:val="Bullet1"/>
      </w:pPr>
      <w:r w:rsidRPr="00900ADE">
        <w:t>At Medway High School, the ILT includes special educators, department heads, guidance counselors, and administrators</w:t>
      </w:r>
      <w:r w:rsidR="005D7CFC" w:rsidRPr="00900ADE">
        <w:t>,</w:t>
      </w:r>
      <w:r w:rsidRPr="00900ADE">
        <w:t xml:space="preserve"> and they meet twice per month. </w:t>
      </w:r>
    </w:p>
    <w:p w14:paraId="68501147" w14:textId="22AD83EA" w:rsidR="00473308" w:rsidRPr="00900ADE" w:rsidRDefault="00473308" w:rsidP="00473308">
      <w:pPr>
        <w:pStyle w:val="Heading3"/>
      </w:pPr>
      <w:bookmarkStart w:id="32" w:name="_Curriculum_and_Instructional"/>
      <w:bookmarkEnd w:id="32"/>
      <w:r w:rsidRPr="00900ADE">
        <w:t>C</w:t>
      </w:r>
      <w:r w:rsidR="0037284E" w:rsidRPr="00900ADE">
        <w:t>urriculum and Instructional Materials</w:t>
      </w:r>
    </w:p>
    <w:p w14:paraId="07A989F1" w14:textId="2ECF65F4" w:rsidR="00AD01D6" w:rsidRPr="00900ADE" w:rsidRDefault="008D59CB" w:rsidP="00E01A56">
      <w:pPr>
        <w:pStyle w:val="BodyTextposthead"/>
      </w:pPr>
      <w:r w:rsidRPr="00900ADE">
        <w:t>District staff reported primarily using CURATE</w:t>
      </w:r>
      <w:r w:rsidR="00E227A1" w:rsidRPr="00900ADE">
        <w:rPr>
          <w:rStyle w:val="FootnoteReference"/>
        </w:rPr>
        <w:footnoteReference w:id="5"/>
      </w:r>
      <w:r w:rsidRPr="00900ADE">
        <w:t xml:space="preserve"> and EdReports to evaluate</w:t>
      </w:r>
      <w:r w:rsidR="009772F2" w:rsidRPr="00900ADE">
        <w:t xml:space="preserve"> potential curricula and inform</w:t>
      </w:r>
      <w:r w:rsidRPr="00900ADE">
        <w:t xml:space="preserve"> curricular decisions</w:t>
      </w:r>
      <w:r w:rsidR="49505E8C" w:rsidRPr="00900ADE">
        <w:t xml:space="preserve">. </w:t>
      </w:r>
      <w:r w:rsidR="00566C70" w:rsidRPr="00900ADE">
        <w:t>According to</w:t>
      </w:r>
      <w:r w:rsidR="49505E8C" w:rsidRPr="00900ADE">
        <w:t xml:space="preserve"> interviews and focus groups, </w:t>
      </w:r>
      <w:r w:rsidR="00E227A1" w:rsidRPr="00900ADE">
        <w:t xml:space="preserve">stakeholders </w:t>
      </w:r>
      <w:r w:rsidR="00061A61" w:rsidRPr="00900ADE">
        <w:t xml:space="preserve">included in the </w:t>
      </w:r>
      <w:r w:rsidRPr="00900ADE">
        <w:t>curricul</w:t>
      </w:r>
      <w:r w:rsidR="00E227A1" w:rsidRPr="00900ADE">
        <w:t>ar</w:t>
      </w:r>
      <w:r w:rsidRPr="00900ADE">
        <w:t xml:space="preserve"> review and selection processes</w:t>
      </w:r>
      <w:r w:rsidR="00061A61" w:rsidRPr="00900ADE">
        <w:t xml:space="preserve"> </w:t>
      </w:r>
      <w:r w:rsidR="76E061FA" w:rsidRPr="00900ADE">
        <w:t>include the assistant superintendent, department heads, curriculum instructional leaders, and teachers.</w:t>
      </w:r>
      <w:r w:rsidRPr="00900ADE">
        <w:t xml:space="preserve"> </w:t>
      </w:r>
    </w:p>
    <w:p w14:paraId="106FB285" w14:textId="0947A59A" w:rsidR="00353DB8" w:rsidRPr="00900ADE" w:rsidRDefault="00353DB8" w:rsidP="00E01A56">
      <w:pPr>
        <w:pStyle w:val="BodyText"/>
      </w:pPr>
      <w:r w:rsidRPr="00900ADE">
        <w:t xml:space="preserve">A review of the curriculum </w:t>
      </w:r>
      <w:r w:rsidR="002B6003" w:rsidRPr="00900ADE">
        <w:t xml:space="preserve">review </w:t>
      </w:r>
      <w:r w:rsidRPr="00900ADE">
        <w:t xml:space="preserve">process documents revealed that </w:t>
      </w:r>
      <w:r w:rsidR="00E227A1" w:rsidRPr="00900ADE">
        <w:t>Medway</w:t>
      </w:r>
      <w:r w:rsidRPr="00900ADE">
        <w:t xml:space="preserve"> </w:t>
      </w:r>
      <w:r w:rsidR="00E227A1" w:rsidRPr="00900ADE">
        <w:t xml:space="preserve">uses </w:t>
      </w:r>
      <w:r w:rsidRPr="00900ADE">
        <w:t>a f</w:t>
      </w:r>
      <w:r w:rsidR="00041F23" w:rsidRPr="00900ADE">
        <w:t>ive</w:t>
      </w:r>
      <w:r w:rsidRPr="00900ADE">
        <w:t>-phase approach:</w:t>
      </w:r>
    </w:p>
    <w:p w14:paraId="2820462D" w14:textId="754E8CB0" w:rsidR="00353DB8" w:rsidRPr="00900ADE" w:rsidRDefault="00E227A1" w:rsidP="00086ABC">
      <w:pPr>
        <w:pStyle w:val="NumberedList"/>
        <w:numPr>
          <w:ilvl w:val="0"/>
          <w:numId w:val="11"/>
        </w:numPr>
      </w:pPr>
      <w:r w:rsidRPr="00900ADE">
        <w:rPr>
          <w:rStyle w:val="FranklinGothicDemi"/>
          <w:rFonts w:asciiTheme="minorHAnsi" w:hAnsiTheme="minorHAnsi"/>
        </w:rPr>
        <w:t xml:space="preserve">The </w:t>
      </w:r>
      <w:r w:rsidRPr="00900ADE">
        <w:rPr>
          <w:rStyle w:val="FranklinGothicDemi"/>
        </w:rPr>
        <w:t>p</w:t>
      </w:r>
      <w:r w:rsidR="00353DB8" w:rsidRPr="00900ADE">
        <w:rPr>
          <w:rStyle w:val="FranklinGothicDemi"/>
        </w:rPr>
        <w:t xml:space="preserve">lanning and </w:t>
      </w:r>
      <w:r w:rsidRPr="00900ADE">
        <w:rPr>
          <w:rStyle w:val="FranklinGothicDemi"/>
        </w:rPr>
        <w:t>p</w:t>
      </w:r>
      <w:r w:rsidR="00353DB8" w:rsidRPr="00900ADE">
        <w:rPr>
          <w:rStyle w:val="FranklinGothicDemi"/>
        </w:rPr>
        <w:t xml:space="preserve">reparation </w:t>
      </w:r>
      <w:r w:rsidRPr="00900ADE">
        <w:rPr>
          <w:rStyle w:val="FranklinGothicDemi"/>
        </w:rPr>
        <w:t>p</w:t>
      </w:r>
      <w:r w:rsidR="00353DB8" w:rsidRPr="00900ADE">
        <w:rPr>
          <w:rStyle w:val="FranklinGothicDemi"/>
        </w:rPr>
        <w:t>hase</w:t>
      </w:r>
      <w:r w:rsidR="00353DB8" w:rsidRPr="00900ADE">
        <w:t xml:space="preserve"> </w:t>
      </w:r>
      <w:r w:rsidRPr="00900ADE">
        <w:t>e</w:t>
      </w:r>
      <w:r w:rsidR="00353DB8" w:rsidRPr="00900ADE">
        <w:t>stablishes a review committee, sets goals, and gathers resources.</w:t>
      </w:r>
    </w:p>
    <w:p w14:paraId="7930E61D" w14:textId="79FC9A8E" w:rsidR="00353DB8" w:rsidRPr="00900ADE" w:rsidRDefault="00E227A1" w:rsidP="00E01A56">
      <w:pPr>
        <w:pStyle w:val="NumberedList"/>
      </w:pPr>
      <w:r w:rsidRPr="00900ADE">
        <w:rPr>
          <w:rStyle w:val="FranklinGothicDemi"/>
          <w:rFonts w:asciiTheme="minorHAnsi" w:hAnsiTheme="minorHAnsi"/>
        </w:rPr>
        <w:t xml:space="preserve">The </w:t>
      </w:r>
      <w:r w:rsidRPr="00900ADE">
        <w:rPr>
          <w:rStyle w:val="FranklinGothicDemi"/>
        </w:rPr>
        <w:t>c</w:t>
      </w:r>
      <w:r w:rsidR="00353DB8" w:rsidRPr="00900ADE">
        <w:rPr>
          <w:rStyle w:val="FranklinGothicDemi"/>
        </w:rPr>
        <w:t xml:space="preserve">urriculum </w:t>
      </w:r>
      <w:r w:rsidRPr="00900ADE">
        <w:rPr>
          <w:rStyle w:val="FranklinGothicDemi"/>
        </w:rPr>
        <w:t>a</w:t>
      </w:r>
      <w:r w:rsidR="00353DB8" w:rsidRPr="00900ADE">
        <w:rPr>
          <w:rStyle w:val="FranklinGothicDemi"/>
        </w:rPr>
        <w:t xml:space="preserve">nalysis </w:t>
      </w:r>
      <w:r w:rsidRPr="00900ADE">
        <w:rPr>
          <w:rStyle w:val="FranklinGothicDemi"/>
        </w:rPr>
        <w:t>p</w:t>
      </w:r>
      <w:r w:rsidR="00353DB8" w:rsidRPr="00900ADE">
        <w:rPr>
          <w:rStyle w:val="FranklinGothicDemi"/>
        </w:rPr>
        <w:t>hase</w:t>
      </w:r>
      <w:r w:rsidR="00353DB8" w:rsidRPr="00900ADE">
        <w:t xml:space="preserve"> </w:t>
      </w:r>
      <w:r w:rsidRPr="00900ADE">
        <w:t>r</w:t>
      </w:r>
      <w:r w:rsidR="00353DB8" w:rsidRPr="00900ADE">
        <w:t>eviews the current curriculum for alignment, quality, and effectiveness.</w:t>
      </w:r>
    </w:p>
    <w:p w14:paraId="63F8E875" w14:textId="03614F65" w:rsidR="00353DB8" w:rsidRPr="00900ADE" w:rsidRDefault="00E227A1" w:rsidP="00E01A56">
      <w:pPr>
        <w:pStyle w:val="NumberedList"/>
      </w:pPr>
      <w:r w:rsidRPr="00900ADE">
        <w:rPr>
          <w:rStyle w:val="FranklinGothicDemi"/>
          <w:rFonts w:asciiTheme="minorHAnsi" w:hAnsiTheme="minorHAnsi"/>
        </w:rPr>
        <w:t xml:space="preserve">The </w:t>
      </w:r>
      <w:r w:rsidRPr="00900ADE">
        <w:rPr>
          <w:rStyle w:val="FranklinGothicDemi"/>
        </w:rPr>
        <w:t>c</w:t>
      </w:r>
      <w:r w:rsidR="00353DB8" w:rsidRPr="00900ADE">
        <w:rPr>
          <w:rStyle w:val="FranklinGothicDemi"/>
        </w:rPr>
        <w:t xml:space="preserve">onstituent </w:t>
      </w:r>
      <w:r w:rsidRPr="00900ADE">
        <w:rPr>
          <w:rStyle w:val="FranklinGothicDemi"/>
        </w:rPr>
        <w:t>f</w:t>
      </w:r>
      <w:r w:rsidR="00353DB8" w:rsidRPr="00900ADE">
        <w:rPr>
          <w:rStyle w:val="FranklinGothicDemi"/>
        </w:rPr>
        <w:t xml:space="preserve">eedback </w:t>
      </w:r>
      <w:r w:rsidRPr="00900ADE">
        <w:rPr>
          <w:rStyle w:val="FranklinGothicDemi"/>
        </w:rPr>
        <w:t>p</w:t>
      </w:r>
      <w:r w:rsidR="00353DB8" w:rsidRPr="00900ADE">
        <w:rPr>
          <w:rStyle w:val="FranklinGothicDemi"/>
        </w:rPr>
        <w:t>hase</w:t>
      </w:r>
      <w:r w:rsidR="00353DB8" w:rsidRPr="00900ADE">
        <w:t xml:space="preserve"> </w:t>
      </w:r>
      <w:r w:rsidRPr="00900ADE">
        <w:t>s</w:t>
      </w:r>
      <w:r w:rsidR="00353DB8" w:rsidRPr="00900ADE">
        <w:t>olicits input from teachers, students, and families/community members.</w:t>
      </w:r>
    </w:p>
    <w:p w14:paraId="2438777A" w14:textId="29B22893" w:rsidR="00041F23" w:rsidRPr="00900ADE" w:rsidRDefault="00E227A1" w:rsidP="00E01A56">
      <w:pPr>
        <w:pStyle w:val="NumberedList"/>
      </w:pPr>
      <w:r w:rsidRPr="00900ADE">
        <w:rPr>
          <w:rStyle w:val="FranklinGothicDemi"/>
          <w:rFonts w:asciiTheme="minorHAnsi" w:hAnsiTheme="minorHAnsi"/>
        </w:rPr>
        <w:t xml:space="preserve">The </w:t>
      </w:r>
      <w:r w:rsidRPr="00900ADE">
        <w:rPr>
          <w:rStyle w:val="FranklinGothicDemi"/>
        </w:rPr>
        <w:t>r</w:t>
      </w:r>
      <w:r w:rsidR="00353DB8" w:rsidRPr="00900ADE">
        <w:rPr>
          <w:rStyle w:val="FranklinGothicDemi"/>
        </w:rPr>
        <w:t xml:space="preserve">ecommendation and </w:t>
      </w:r>
      <w:r w:rsidRPr="00900ADE">
        <w:rPr>
          <w:rStyle w:val="FranklinGothicDemi"/>
        </w:rPr>
        <w:t>r</w:t>
      </w:r>
      <w:r w:rsidR="00353DB8" w:rsidRPr="00900ADE">
        <w:rPr>
          <w:rStyle w:val="FranklinGothicDemi"/>
        </w:rPr>
        <w:t xml:space="preserve">evision </w:t>
      </w:r>
      <w:r w:rsidRPr="00900ADE">
        <w:rPr>
          <w:rStyle w:val="FranklinGothicDemi"/>
        </w:rPr>
        <w:t>p</w:t>
      </w:r>
      <w:r w:rsidR="00353DB8" w:rsidRPr="00900ADE">
        <w:rPr>
          <w:rStyle w:val="FranklinGothicDemi"/>
        </w:rPr>
        <w:t>hase</w:t>
      </w:r>
      <w:r w:rsidR="00353DB8" w:rsidRPr="00900ADE">
        <w:rPr>
          <w:b/>
          <w:bCs/>
        </w:rPr>
        <w:t xml:space="preserve"> </w:t>
      </w:r>
      <w:r w:rsidRPr="00900ADE">
        <w:t>p</w:t>
      </w:r>
      <w:r w:rsidR="00353DB8" w:rsidRPr="00900ADE">
        <w:t>rovides curriculum recommendations</w:t>
      </w:r>
      <w:r w:rsidR="00E57F07" w:rsidRPr="00900ADE">
        <w:t>.</w:t>
      </w:r>
    </w:p>
    <w:p w14:paraId="3AA9C799" w14:textId="59F3914B" w:rsidR="00353DB8" w:rsidRPr="00900ADE" w:rsidRDefault="00E227A1" w:rsidP="00E01A56">
      <w:pPr>
        <w:pStyle w:val="NumberedList"/>
      </w:pPr>
      <w:r w:rsidRPr="00900ADE">
        <w:rPr>
          <w:rStyle w:val="FranklinGothicDemi"/>
          <w:rFonts w:asciiTheme="minorHAnsi" w:hAnsiTheme="minorHAnsi"/>
        </w:rPr>
        <w:t xml:space="preserve">The </w:t>
      </w:r>
      <w:r w:rsidRPr="00900ADE">
        <w:rPr>
          <w:rStyle w:val="FranklinGothicDemi"/>
        </w:rPr>
        <w:t>i</w:t>
      </w:r>
      <w:r w:rsidR="00353DB8" w:rsidRPr="00900ADE">
        <w:rPr>
          <w:rStyle w:val="FranklinGothicDemi"/>
        </w:rPr>
        <w:t xml:space="preserve">mplementation </w:t>
      </w:r>
      <w:r w:rsidRPr="00900ADE">
        <w:rPr>
          <w:rStyle w:val="FranklinGothicDemi"/>
        </w:rPr>
        <w:t>p</w:t>
      </w:r>
      <w:r w:rsidR="00353DB8" w:rsidRPr="00900ADE">
        <w:rPr>
          <w:rStyle w:val="FranklinGothicDemi"/>
        </w:rPr>
        <w:t>hase</w:t>
      </w:r>
      <w:r w:rsidR="00E57F07" w:rsidRPr="00900ADE">
        <w:t xml:space="preserve"> </w:t>
      </w:r>
      <w:r w:rsidRPr="00900ADE">
        <w:t>i</w:t>
      </w:r>
      <w:r w:rsidR="00353DB8" w:rsidRPr="00900ADE">
        <w:t>ncludes piloting the curriculum, delivering professional development, rolling out the new curriculum, and monitoring its effectiveness.</w:t>
      </w:r>
    </w:p>
    <w:p w14:paraId="480BE8B7" w14:textId="0AB28A39" w:rsidR="00A21A75" w:rsidRPr="000A560B" w:rsidRDefault="008D59CB" w:rsidP="00E01A56">
      <w:pPr>
        <w:pStyle w:val="BodyText"/>
      </w:pPr>
      <w:r w:rsidRPr="00900ADE">
        <w:t xml:space="preserve">Teachers reported </w:t>
      </w:r>
      <w:r w:rsidR="00E14BF1" w:rsidRPr="00900ADE">
        <w:t>var</w:t>
      </w:r>
      <w:r w:rsidR="00ED7CD0" w:rsidRPr="00900ADE">
        <w:t xml:space="preserve">ied </w:t>
      </w:r>
      <w:r w:rsidRPr="00900ADE">
        <w:t>experiences with the curricul</w:t>
      </w:r>
      <w:r w:rsidR="00E227A1" w:rsidRPr="00900ADE">
        <w:t>ar</w:t>
      </w:r>
      <w:r w:rsidRPr="00900ADE">
        <w:t xml:space="preserve"> review and selection process. </w:t>
      </w:r>
      <w:r w:rsidR="002C5CDF" w:rsidRPr="00900ADE">
        <w:t>K-5 t</w:t>
      </w:r>
      <w:r w:rsidRPr="00900ADE">
        <w:t xml:space="preserve">eachers reported </w:t>
      </w:r>
      <w:r w:rsidR="00E227A1" w:rsidRPr="00900ADE">
        <w:t>being</w:t>
      </w:r>
      <w:r w:rsidRPr="00900ADE">
        <w:t xml:space="preserve"> involved in the ELA curricul</w:t>
      </w:r>
      <w:r w:rsidR="00E227A1" w:rsidRPr="00900ADE">
        <w:t>ar</w:t>
      </w:r>
      <w:r w:rsidRPr="00900ADE">
        <w:t xml:space="preserve"> review process but did not pilot the curriculum</w:t>
      </w:r>
      <w:r w:rsidR="00D064B1">
        <w:t xml:space="preserve">, despite </w:t>
      </w:r>
      <w:r w:rsidR="00D064B1">
        <w:lastRenderedPageBreak/>
        <w:t>being previously involved in</w:t>
      </w:r>
      <w:r w:rsidR="00A57F6B">
        <w:t xml:space="preserve"> </w:t>
      </w:r>
      <w:r w:rsidR="007650F3" w:rsidRPr="00900ADE">
        <w:t>pilot</w:t>
      </w:r>
      <w:r w:rsidR="00A57F6B">
        <w:t>ing the</w:t>
      </w:r>
      <w:r w:rsidR="007650F3" w:rsidRPr="00900ADE">
        <w:t xml:space="preserve"> mathematics curricula </w:t>
      </w:r>
      <w:r w:rsidR="00A57F6B">
        <w:t xml:space="preserve">as part of its </w:t>
      </w:r>
      <w:r w:rsidR="007650F3" w:rsidRPr="00900ADE">
        <w:t>review process. Middle school math</w:t>
      </w:r>
      <w:r w:rsidR="00E227A1" w:rsidRPr="00900ADE">
        <w:t>ematics</w:t>
      </w:r>
      <w:r w:rsidR="007650F3" w:rsidRPr="00900ADE">
        <w:t xml:space="preserve"> teachers reported not </w:t>
      </w:r>
      <w:r w:rsidR="00E227A1" w:rsidRPr="00900ADE">
        <w:t xml:space="preserve">being </w:t>
      </w:r>
      <w:r w:rsidR="007650F3" w:rsidRPr="00900ADE">
        <w:t>involved in the curricul</w:t>
      </w:r>
      <w:r w:rsidR="00E227A1" w:rsidRPr="00900ADE">
        <w:t>ar</w:t>
      </w:r>
      <w:r w:rsidR="007650F3" w:rsidRPr="00900ADE">
        <w:t xml:space="preserve"> review or selection process</w:t>
      </w:r>
      <w:r w:rsidR="00953B41">
        <w:t xml:space="preserve"> whereas</w:t>
      </w:r>
      <w:r w:rsidR="007650F3" w:rsidRPr="00900ADE">
        <w:t xml:space="preserve"> </w:t>
      </w:r>
      <w:r w:rsidR="00953B41">
        <w:t>m</w:t>
      </w:r>
      <w:r w:rsidR="007650F3" w:rsidRPr="00900ADE">
        <w:t>iddle school ELA teachers participated in the curricul</w:t>
      </w:r>
      <w:r w:rsidR="00E227A1" w:rsidRPr="00900ADE">
        <w:t>ar</w:t>
      </w:r>
      <w:r w:rsidR="007650F3" w:rsidRPr="00900ADE">
        <w:t xml:space="preserve"> review and selection process as part of the district’s partnership with HILL for Literacy.</w:t>
      </w:r>
      <w:r w:rsidRPr="00900ADE">
        <w:t xml:space="preserve"> </w:t>
      </w:r>
      <w:r w:rsidR="00F368AE" w:rsidRPr="00900ADE">
        <w:t>M</w:t>
      </w:r>
      <w:r w:rsidRPr="00900ADE">
        <w:t xml:space="preserve">iddle school </w:t>
      </w:r>
      <w:r w:rsidR="00F368AE" w:rsidRPr="00900ADE">
        <w:t xml:space="preserve">science teachers </w:t>
      </w:r>
      <w:r w:rsidRPr="00900ADE">
        <w:t xml:space="preserve">currently use </w:t>
      </w:r>
      <w:r w:rsidR="002D6960" w:rsidRPr="00900ADE">
        <w:t>locally</w:t>
      </w:r>
      <w:r w:rsidR="00BB00B8" w:rsidRPr="00900ADE">
        <w:t xml:space="preserve"> </w:t>
      </w:r>
      <w:r w:rsidR="002D6960" w:rsidRPr="00900ADE">
        <w:t>developed</w:t>
      </w:r>
      <w:r w:rsidRPr="00900ADE">
        <w:t xml:space="preserve"> curricul</w:t>
      </w:r>
      <w:r w:rsidR="00B35007" w:rsidRPr="00900ADE">
        <w:t>a</w:t>
      </w:r>
      <w:r w:rsidRPr="00900ADE">
        <w:t xml:space="preserve"> </w:t>
      </w:r>
      <w:r w:rsidR="00984060" w:rsidRPr="00900ADE">
        <w:t>but explained that</w:t>
      </w:r>
      <w:r w:rsidRPr="00900ADE">
        <w:t xml:space="preserve"> “there</w:t>
      </w:r>
      <w:r w:rsidR="00BB00B8" w:rsidRPr="00900ADE">
        <w:t>’</w:t>
      </w:r>
      <w:r w:rsidRPr="00900ADE">
        <w:t xml:space="preserve">s been talks of potentially going through a curriculum review to actually get [a </w:t>
      </w:r>
      <w:r w:rsidR="002D6960" w:rsidRPr="00900ADE">
        <w:t>published</w:t>
      </w:r>
      <w:r w:rsidRPr="00900ADE">
        <w:t xml:space="preserve"> curriculum]</w:t>
      </w:r>
      <w:r w:rsidR="00BB00B8" w:rsidRPr="00900ADE">
        <w:t>.</w:t>
      </w:r>
      <w:r w:rsidR="00820481" w:rsidRPr="00900ADE">
        <w:t xml:space="preserve">” </w:t>
      </w:r>
      <w:r w:rsidR="00E94985" w:rsidRPr="00900ADE">
        <w:t xml:space="preserve">High school teachers </w:t>
      </w:r>
      <w:r w:rsidR="00BE17B7" w:rsidRPr="00900ADE">
        <w:t>indicated that curricular decisions varied by subject. For instance, ELA and mathematics teachers felt the curricul</w:t>
      </w:r>
      <w:r w:rsidR="00BB00B8" w:rsidRPr="00900ADE">
        <w:t>a</w:t>
      </w:r>
      <w:r w:rsidR="00BE17B7" w:rsidRPr="00900ADE">
        <w:t xml:space="preserve"> </w:t>
      </w:r>
      <w:r w:rsidR="00BB00B8" w:rsidRPr="00900ADE">
        <w:t xml:space="preserve">were </w:t>
      </w:r>
      <w:r w:rsidR="00BE17B7" w:rsidRPr="00900ADE">
        <w:t>prescribed by the district with little to no teacher input. Meanwhile, social studies and science teachers reported creating their own curricula, with varying levels of district support</w:t>
      </w:r>
      <w:r w:rsidR="00BE17B7" w:rsidRPr="000A560B">
        <w:t xml:space="preserve">. </w:t>
      </w:r>
      <w:r w:rsidR="00117532">
        <w:t xml:space="preserve">Consistently </w:t>
      </w:r>
      <w:r w:rsidR="00023959">
        <w:t>implementing and following</w:t>
      </w:r>
      <w:r w:rsidR="00117532">
        <w:t xml:space="preserve"> the</w:t>
      </w:r>
      <w:r w:rsidRPr="000A560B">
        <w:t xml:space="preserve"> </w:t>
      </w:r>
      <w:r w:rsidR="00117532">
        <w:t>established</w:t>
      </w:r>
      <w:r w:rsidRPr="000A560B">
        <w:t xml:space="preserve"> districtwide </w:t>
      </w:r>
      <w:r w:rsidR="0095183F" w:rsidRPr="000A560B">
        <w:t>process for</w:t>
      </w:r>
      <w:r w:rsidRPr="000A560B">
        <w:t xml:space="preserve"> curricul</w:t>
      </w:r>
      <w:r w:rsidR="00BB00B8" w:rsidRPr="000A560B">
        <w:t>ar</w:t>
      </w:r>
      <w:r w:rsidRPr="000A560B">
        <w:t xml:space="preserve"> review and selection is an area </w:t>
      </w:r>
      <w:r w:rsidR="00DE6D6D" w:rsidRPr="000A560B">
        <w:t>for</w:t>
      </w:r>
      <w:r w:rsidRPr="000A560B">
        <w:t xml:space="preserve"> growth for the district.</w:t>
      </w:r>
    </w:p>
    <w:p w14:paraId="663E5747" w14:textId="20CC6BAC" w:rsidR="00A21A75" w:rsidRPr="000A560B" w:rsidRDefault="00E01A56" w:rsidP="00E01A56">
      <w:pPr>
        <w:pStyle w:val="BodyText"/>
      </w:pPr>
      <w:r w:rsidRPr="000A560B">
        <w:t>T</w:t>
      </w:r>
      <w:r w:rsidR="00A21A75" w:rsidRPr="000A560B">
        <w:t xml:space="preserve">able </w:t>
      </w:r>
      <w:r w:rsidRPr="000A560B">
        <w:t>4</w:t>
      </w:r>
      <w:r w:rsidR="00A21A75" w:rsidRPr="000A560B">
        <w:t xml:space="preserve"> summarizes the status of all districtwide curricula being considered or used</w:t>
      </w:r>
      <w:r w:rsidR="00E57479" w:rsidRPr="000A560B">
        <w:t xml:space="preserve"> in Medway</w:t>
      </w:r>
      <w:r w:rsidR="00181BD6" w:rsidRPr="000A560B">
        <w:t>.</w:t>
      </w:r>
      <w:r w:rsidR="001B6CA9" w:rsidRPr="000A560B">
        <w:t xml:space="preserve"> </w:t>
      </w:r>
      <w:r w:rsidR="00751202" w:rsidRPr="000A560B">
        <w:rPr>
          <w:rStyle w:val="Greentext"/>
          <w:color w:val="auto"/>
        </w:rPr>
        <w:t xml:space="preserve">The use of materials consistently rated as </w:t>
      </w:r>
      <w:r w:rsidR="00BB00B8" w:rsidRPr="000A560B">
        <w:rPr>
          <w:rStyle w:val="Greentext"/>
          <w:color w:val="auto"/>
        </w:rPr>
        <w:t>m</w:t>
      </w:r>
      <w:r w:rsidR="00751202" w:rsidRPr="000A560B">
        <w:rPr>
          <w:rStyle w:val="Greentext"/>
          <w:color w:val="auto"/>
        </w:rPr>
        <w:t xml:space="preserve">eets </w:t>
      </w:r>
      <w:r w:rsidR="00BB00B8" w:rsidRPr="000A560B">
        <w:rPr>
          <w:rStyle w:val="Greentext"/>
          <w:color w:val="auto"/>
        </w:rPr>
        <w:t>e</w:t>
      </w:r>
      <w:r w:rsidR="00751202" w:rsidRPr="000A560B">
        <w:rPr>
          <w:rStyle w:val="Greentext"/>
          <w:color w:val="auto"/>
        </w:rPr>
        <w:t>xpectations in ELA and mathematics across grades is a strength of the district.</w:t>
      </w:r>
    </w:p>
    <w:p w14:paraId="7EBCA4D6" w14:textId="46320FAF" w:rsidR="003E214D" w:rsidRPr="00900ADE" w:rsidRDefault="00C50388" w:rsidP="00E01A56">
      <w:pPr>
        <w:pStyle w:val="TableTitle0"/>
      </w:pPr>
      <w:r w:rsidRPr="00900ADE">
        <w:t xml:space="preserve">Table </w:t>
      </w:r>
      <w:r w:rsidR="00E01A56" w:rsidRPr="00900ADE">
        <w:t>4</w:t>
      </w:r>
      <w:r w:rsidRPr="00900ADE">
        <w:t>. Summary of Districtwide Curricula Being Used</w:t>
      </w:r>
    </w:p>
    <w:tbl>
      <w:tblPr>
        <w:tblStyle w:val="MSVTable1"/>
        <w:tblW w:w="5000" w:type="pct"/>
        <w:tblLook w:val="04A0" w:firstRow="1" w:lastRow="0" w:firstColumn="1" w:lastColumn="0" w:noHBand="0" w:noVBand="1"/>
      </w:tblPr>
      <w:tblGrid>
        <w:gridCol w:w="789"/>
        <w:gridCol w:w="2173"/>
        <w:gridCol w:w="2521"/>
        <w:gridCol w:w="1704"/>
        <w:gridCol w:w="1129"/>
        <w:gridCol w:w="1028"/>
      </w:tblGrid>
      <w:tr w:rsidR="00FB52CA" w:rsidRPr="00900ADE" w14:paraId="117F4EFB" w14:textId="77777777" w:rsidTr="00086ABC">
        <w:trPr>
          <w:cnfStyle w:val="100000000000" w:firstRow="1" w:lastRow="0" w:firstColumn="0" w:lastColumn="0" w:oddVBand="0" w:evenVBand="0" w:oddHBand="0" w:evenHBand="0" w:firstRowFirstColumn="0" w:firstRowLastColumn="0" w:lastRowFirstColumn="0" w:lastRowLastColumn="0"/>
          <w:tblHeader/>
        </w:trPr>
        <w:tc>
          <w:tcPr>
            <w:tcW w:w="422" w:type="pct"/>
            <w:vAlign w:val="bottom"/>
          </w:tcPr>
          <w:p w14:paraId="5649B40B" w14:textId="6AE515C9" w:rsidR="002803F3" w:rsidRPr="00900ADE" w:rsidRDefault="002803F3" w:rsidP="00E01A56">
            <w:pPr>
              <w:pStyle w:val="TableColHeadingCenter"/>
            </w:pPr>
            <w:r w:rsidRPr="00900ADE">
              <w:t xml:space="preserve">Grade </w:t>
            </w:r>
            <w:r w:rsidR="00BB00B8" w:rsidRPr="00900ADE">
              <w:t>l</w:t>
            </w:r>
            <w:r w:rsidRPr="00900ADE">
              <w:t>evel(s)</w:t>
            </w:r>
          </w:p>
        </w:tc>
        <w:tc>
          <w:tcPr>
            <w:tcW w:w="1163" w:type="pct"/>
            <w:vAlign w:val="bottom"/>
          </w:tcPr>
          <w:p w14:paraId="648CF73D" w14:textId="77777777" w:rsidR="002803F3" w:rsidRPr="00900ADE" w:rsidRDefault="002803F3" w:rsidP="00E01A56">
            <w:pPr>
              <w:pStyle w:val="TableColHeadingCenter"/>
            </w:pPr>
            <w:r w:rsidRPr="00900ADE">
              <w:t>Subject</w:t>
            </w:r>
          </w:p>
        </w:tc>
        <w:tc>
          <w:tcPr>
            <w:tcW w:w="1349" w:type="pct"/>
            <w:vAlign w:val="bottom"/>
          </w:tcPr>
          <w:p w14:paraId="0EF5D8EC" w14:textId="77777777" w:rsidR="002803F3" w:rsidRPr="00900ADE" w:rsidRDefault="002803F3" w:rsidP="00E01A56">
            <w:pPr>
              <w:pStyle w:val="TableColHeadingCenter"/>
            </w:pPr>
            <w:r w:rsidRPr="00900ADE">
              <w:t>Curriculum</w:t>
            </w:r>
          </w:p>
        </w:tc>
        <w:tc>
          <w:tcPr>
            <w:tcW w:w="912" w:type="pct"/>
            <w:vAlign w:val="bottom"/>
          </w:tcPr>
          <w:p w14:paraId="088F8F95" w14:textId="77777777" w:rsidR="002803F3" w:rsidRPr="00900ADE" w:rsidRDefault="002803F3" w:rsidP="00E01A56">
            <w:pPr>
              <w:pStyle w:val="TableColHeadingCenter"/>
            </w:pPr>
            <w:r w:rsidRPr="00900ADE">
              <w:t>Type</w:t>
            </w:r>
          </w:p>
        </w:tc>
        <w:tc>
          <w:tcPr>
            <w:tcW w:w="604" w:type="pct"/>
            <w:vAlign w:val="bottom"/>
          </w:tcPr>
          <w:p w14:paraId="2968027C" w14:textId="7181C22B" w:rsidR="0002328D" w:rsidRPr="00900ADE" w:rsidRDefault="0002328D" w:rsidP="00E01A56">
            <w:pPr>
              <w:pStyle w:val="TableColHeadingCenter"/>
            </w:pPr>
            <w:r w:rsidRPr="00900ADE">
              <w:t xml:space="preserve">CURATE </w:t>
            </w:r>
            <w:r w:rsidR="00BB00B8" w:rsidRPr="00900ADE">
              <w:t>r</w:t>
            </w:r>
            <w:r w:rsidRPr="00900ADE">
              <w:t>ating</w:t>
            </w:r>
          </w:p>
        </w:tc>
        <w:tc>
          <w:tcPr>
            <w:tcW w:w="550" w:type="pct"/>
            <w:vAlign w:val="bottom"/>
          </w:tcPr>
          <w:p w14:paraId="0684034D" w14:textId="1A02D918" w:rsidR="002803F3" w:rsidRPr="00900ADE" w:rsidRDefault="0002328D" w:rsidP="00E01A56">
            <w:pPr>
              <w:pStyle w:val="TableColHeadingCenter"/>
            </w:pPr>
            <w:r w:rsidRPr="00900ADE">
              <w:t xml:space="preserve">EdReports </w:t>
            </w:r>
            <w:r w:rsidR="00BB00B8" w:rsidRPr="00900ADE">
              <w:t>r</w:t>
            </w:r>
            <w:r w:rsidRPr="00900ADE">
              <w:t>ating</w:t>
            </w:r>
          </w:p>
        </w:tc>
      </w:tr>
      <w:tr w:rsidR="00FB52CA" w:rsidRPr="00900ADE" w14:paraId="40B3EC33" w14:textId="77777777" w:rsidTr="006B7FF6">
        <w:trPr>
          <w:cnfStyle w:val="000000100000" w:firstRow="0" w:lastRow="0" w:firstColumn="0" w:lastColumn="0" w:oddVBand="0" w:evenVBand="0" w:oddHBand="1" w:evenHBand="0" w:firstRowFirstColumn="0" w:firstRowLastColumn="0" w:lastRowFirstColumn="0" w:lastRowLastColumn="0"/>
        </w:trPr>
        <w:tc>
          <w:tcPr>
            <w:tcW w:w="422" w:type="pct"/>
          </w:tcPr>
          <w:p w14:paraId="5C05BAE3" w14:textId="77777777" w:rsidR="002803F3" w:rsidRPr="00900ADE" w:rsidRDefault="002803F3" w:rsidP="00E01A56">
            <w:pPr>
              <w:pStyle w:val="TableSubheading"/>
              <w:jc w:val="center"/>
            </w:pPr>
            <w:r w:rsidRPr="00900ADE">
              <w:t>K-5</w:t>
            </w:r>
          </w:p>
        </w:tc>
        <w:tc>
          <w:tcPr>
            <w:tcW w:w="1163" w:type="pct"/>
          </w:tcPr>
          <w:p w14:paraId="62DF9026" w14:textId="77777777" w:rsidR="002803F3" w:rsidRPr="00900ADE" w:rsidRDefault="002803F3" w:rsidP="00E01A56">
            <w:pPr>
              <w:pStyle w:val="TableTextCentered"/>
            </w:pPr>
            <w:r w:rsidRPr="00900ADE">
              <w:t>ELA</w:t>
            </w:r>
          </w:p>
        </w:tc>
        <w:tc>
          <w:tcPr>
            <w:tcW w:w="1349" w:type="pct"/>
          </w:tcPr>
          <w:p w14:paraId="35A9DB0C" w14:textId="77777777" w:rsidR="002803F3" w:rsidRPr="00900ADE" w:rsidRDefault="002803F3" w:rsidP="00E01A56">
            <w:pPr>
              <w:pStyle w:val="TableTextCentered"/>
            </w:pPr>
            <w:proofErr w:type="spellStart"/>
            <w:r w:rsidRPr="00900ADE">
              <w:t>MyView</w:t>
            </w:r>
            <w:proofErr w:type="spellEnd"/>
          </w:p>
        </w:tc>
        <w:tc>
          <w:tcPr>
            <w:tcW w:w="912" w:type="pct"/>
          </w:tcPr>
          <w:p w14:paraId="50451BA6" w14:textId="77777777" w:rsidR="002803F3" w:rsidRPr="00900ADE" w:rsidRDefault="002803F3" w:rsidP="00E01A56">
            <w:pPr>
              <w:pStyle w:val="TableTextCentered"/>
            </w:pPr>
            <w:r w:rsidRPr="00900ADE">
              <w:t>Comprehensive</w:t>
            </w:r>
          </w:p>
        </w:tc>
        <w:tc>
          <w:tcPr>
            <w:tcW w:w="604" w:type="pct"/>
          </w:tcPr>
          <w:p w14:paraId="7976329C" w14:textId="6B421248" w:rsidR="0002328D" w:rsidRPr="00900ADE" w:rsidRDefault="0002328D" w:rsidP="00E01A56">
            <w:pPr>
              <w:pStyle w:val="TableTextCentered"/>
            </w:pPr>
            <w:r w:rsidRPr="00900ADE">
              <w:t>ME</w:t>
            </w:r>
          </w:p>
        </w:tc>
        <w:tc>
          <w:tcPr>
            <w:tcW w:w="550" w:type="pct"/>
          </w:tcPr>
          <w:p w14:paraId="0642834E" w14:textId="49306343" w:rsidR="002803F3" w:rsidRPr="00900ADE" w:rsidRDefault="0002328D" w:rsidP="00E01A56">
            <w:pPr>
              <w:pStyle w:val="TableTextCentered"/>
            </w:pPr>
            <w:r w:rsidRPr="00900ADE">
              <w:t>ME</w:t>
            </w:r>
          </w:p>
        </w:tc>
      </w:tr>
      <w:tr w:rsidR="00FB52CA" w:rsidRPr="00900ADE" w14:paraId="050EFA42" w14:textId="77777777" w:rsidTr="006B7FF6">
        <w:tc>
          <w:tcPr>
            <w:tcW w:w="422" w:type="pct"/>
          </w:tcPr>
          <w:p w14:paraId="5F537CBC" w14:textId="77777777" w:rsidR="002803F3" w:rsidRPr="00900ADE" w:rsidRDefault="002803F3" w:rsidP="00E01A56">
            <w:pPr>
              <w:pStyle w:val="TableSubheading"/>
              <w:jc w:val="center"/>
            </w:pPr>
            <w:r w:rsidRPr="00900ADE">
              <w:t>K-1</w:t>
            </w:r>
          </w:p>
        </w:tc>
        <w:tc>
          <w:tcPr>
            <w:tcW w:w="1163" w:type="pct"/>
          </w:tcPr>
          <w:p w14:paraId="20E52159" w14:textId="77777777" w:rsidR="002803F3" w:rsidRPr="00900ADE" w:rsidRDefault="002803F3" w:rsidP="00E01A56">
            <w:pPr>
              <w:pStyle w:val="TableTextCentered"/>
            </w:pPr>
            <w:r w:rsidRPr="00900ADE">
              <w:t>History</w:t>
            </w:r>
          </w:p>
        </w:tc>
        <w:tc>
          <w:tcPr>
            <w:tcW w:w="1349" w:type="pct"/>
          </w:tcPr>
          <w:p w14:paraId="113D2023" w14:textId="77777777" w:rsidR="002803F3" w:rsidRPr="00900ADE" w:rsidRDefault="002803F3" w:rsidP="00E01A56">
            <w:pPr>
              <w:pStyle w:val="TableTextCentered"/>
            </w:pPr>
            <w:r w:rsidRPr="00900ADE">
              <w:t>Homegrown</w:t>
            </w:r>
          </w:p>
        </w:tc>
        <w:tc>
          <w:tcPr>
            <w:tcW w:w="912" w:type="pct"/>
          </w:tcPr>
          <w:p w14:paraId="71069928" w14:textId="2D741703" w:rsidR="002803F3" w:rsidRPr="00900ADE" w:rsidRDefault="003857F5" w:rsidP="00E01A56">
            <w:pPr>
              <w:pStyle w:val="TableTextCentered"/>
            </w:pPr>
            <w:r w:rsidRPr="00900ADE">
              <w:t>Comprehensive</w:t>
            </w:r>
          </w:p>
        </w:tc>
        <w:tc>
          <w:tcPr>
            <w:tcW w:w="604" w:type="pct"/>
          </w:tcPr>
          <w:p w14:paraId="2DA65EA3" w14:textId="0BBC3D8E" w:rsidR="0002328D" w:rsidRPr="00900ADE" w:rsidRDefault="0002328D" w:rsidP="00E01A56">
            <w:pPr>
              <w:pStyle w:val="TableTextCentered"/>
            </w:pPr>
            <w:r w:rsidRPr="00900ADE">
              <w:t>NR</w:t>
            </w:r>
          </w:p>
        </w:tc>
        <w:tc>
          <w:tcPr>
            <w:tcW w:w="550" w:type="pct"/>
          </w:tcPr>
          <w:p w14:paraId="252E8773" w14:textId="1B6BE226" w:rsidR="002803F3" w:rsidRPr="00900ADE" w:rsidRDefault="0002328D" w:rsidP="00E01A56">
            <w:pPr>
              <w:pStyle w:val="TableTextCentered"/>
            </w:pPr>
            <w:r w:rsidRPr="00900ADE">
              <w:t>NR</w:t>
            </w:r>
          </w:p>
        </w:tc>
      </w:tr>
      <w:tr w:rsidR="00FB52CA" w:rsidRPr="00900ADE" w14:paraId="25662877" w14:textId="77777777" w:rsidTr="006B7FF6">
        <w:trPr>
          <w:cnfStyle w:val="000000100000" w:firstRow="0" w:lastRow="0" w:firstColumn="0" w:lastColumn="0" w:oddVBand="0" w:evenVBand="0" w:oddHBand="1" w:evenHBand="0" w:firstRowFirstColumn="0" w:firstRowLastColumn="0" w:lastRowFirstColumn="0" w:lastRowLastColumn="0"/>
        </w:trPr>
        <w:tc>
          <w:tcPr>
            <w:tcW w:w="422" w:type="pct"/>
          </w:tcPr>
          <w:p w14:paraId="2AA36149" w14:textId="77777777" w:rsidR="002803F3" w:rsidRPr="00900ADE" w:rsidRDefault="002803F3" w:rsidP="00E01A56">
            <w:pPr>
              <w:pStyle w:val="TableSubheading"/>
              <w:jc w:val="center"/>
            </w:pPr>
            <w:r w:rsidRPr="00900ADE">
              <w:t>K-1</w:t>
            </w:r>
          </w:p>
        </w:tc>
        <w:tc>
          <w:tcPr>
            <w:tcW w:w="1163" w:type="pct"/>
          </w:tcPr>
          <w:p w14:paraId="58D806E8" w14:textId="77777777" w:rsidR="002803F3" w:rsidRPr="00900ADE" w:rsidRDefault="002803F3" w:rsidP="00E01A56">
            <w:pPr>
              <w:pStyle w:val="TableTextCentered"/>
            </w:pPr>
            <w:r w:rsidRPr="00900ADE">
              <w:t>Science</w:t>
            </w:r>
          </w:p>
        </w:tc>
        <w:tc>
          <w:tcPr>
            <w:tcW w:w="1349" w:type="pct"/>
          </w:tcPr>
          <w:p w14:paraId="728DE6DE" w14:textId="77777777" w:rsidR="002803F3" w:rsidRPr="00900ADE" w:rsidRDefault="002803F3" w:rsidP="00E01A56">
            <w:pPr>
              <w:pStyle w:val="TableTextCentered"/>
            </w:pPr>
            <w:r w:rsidRPr="00900ADE">
              <w:t>Science Specialist</w:t>
            </w:r>
          </w:p>
        </w:tc>
        <w:tc>
          <w:tcPr>
            <w:tcW w:w="912" w:type="pct"/>
          </w:tcPr>
          <w:p w14:paraId="48DEC4C4" w14:textId="77777777" w:rsidR="002803F3" w:rsidRPr="00900ADE" w:rsidRDefault="002803F3" w:rsidP="00E01A56">
            <w:pPr>
              <w:pStyle w:val="TableTextCentered"/>
            </w:pPr>
            <w:r w:rsidRPr="00900ADE">
              <w:t>Comprehensive</w:t>
            </w:r>
          </w:p>
        </w:tc>
        <w:tc>
          <w:tcPr>
            <w:tcW w:w="604" w:type="pct"/>
          </w:tcPr>
          <w:p w14:paraId="6260D9BD" w14:textId="5AB4F70A" w:rsidR="0002328D" w:rsidRPr="00900ADE" w:rsidRDefault="0002328D" w:rsidP="00E01A56">
            <w:pPr>
              <w:pStyle w:val="TableTextCentered"/>
            </w:pPr>
            <w:r w:rsidRPr="00900ADE">
              <w:t>NR</w:t>
            </w:r>
          </w:p>
        </w:tc>
        <w:tc>
          <w:tcPr>
            <w:tcW w:w="550" w:type="pct"/>
          </w:tcPr>
          <w:p w14:paraId="252F5F42" w14:textId="7932C93A" w:rsidR="002803F3" w:rsidRPr="00900ADE" w:rsidRDefault="0002328D" w:rsidP="00E01A56">
            <w:pPr>
              <w:pStyle w:val="TableTextCentered"/>
            </w:pPr>
            <w:r w:rsidRPr="00900ADE">
              <w:t>NR</w:t>
            </w:r>
          </w:p>
        </w:tc>
      </w:tr>
      <w:tr w:rsidR="00FB52CA" w:rsidRPr="00900ADE" w14:paraId="5EBBFA46" w14:textId="77777777" w:rsidTr="006B7FF6">
        <w:tc>
          <w:tcPr>
            <w:tcW w:w="422" w:type="pct"/>
          </w:tcPr>
          <w:p w14:paraId="5B2B2DA1" w14:textId="77777777" w:rsidR="002803F3" w:rsidRPr="00900ADE" w:rsidRDefault="002803F3" w:rsidP="00E01A56">
            <w:pPr>
              <w:pStyle w:val="TableSubheading"/>
              <w:jc w:val="center"/>
            </w:pPr>
            <w:r w:rsidRPr="00900ADE">
              <w:t>K-1</w:t>
            </w:r>
          </w:p>
        </w:tc>
        <w:tc>
          <w:tcPr>
            <w:tcW w:w="1163" w:type="pct"/>
          </w:tcPr>
          <w:p w14:paraId="22824F82" w14:textId="77777777" w:rsidR="002803F3" w:rsidRPr="00900ADE" w:rsidRDefault="002803F3" w:rsidP="00E01A56">
            <w:pPr>
              <w:pStyle w:val="TableTextCentered"/>
            </w:pPr>
            <w:r w:rsidRPr="00900ADE">
              <w:t>SEL</w:t>
            </w:r>
          </w:p>
        </w:tc>
        <w:tc>
          <w:tcPr>
            <w:tcW w:w="1349" w:type="pct"/>
          </w:tcPr>
          <w:p w14:paraId="7C30F5C8" w14:textId="77777777" w:rsidR="002803F3" w:rsidRPr="00900ADE" w:rsidRDefault="002803F3" w:rsidP="00E01A56">
            <w:pPr>
              <w:pStyle w:val="TableTextCentered"/>
            </w:pPr>
            <w:r w:rsidRPr="00900ADE">
              <w:t>CASEL</w:t>
            </w:r>
          </w:p>
        </w:tc>
        <w:tc>
          <w:tcPr>
            <w:tcW w:w="912" w:type="pct"/>
          </w:tcPr>
          <w:p w14:paraId="7D51E566" w14:textId="77777777" w:rsidR="002803F3" w:rsidRPr="00900ADE" w:rsidRDefault="002803F3" w:rsidP="00E01A56">
            <w:pPr>
              <w:pStyle w:val="TableTextCentered"/>
            </w:pPr>
            <w:r w:rsidRPr="00900ADE">
              <w:t>Supplemental</w:t>
            </w:r>
          </w:p>
        </w:tc>
        <w:tc>
          <w:tcPr>
            <w:tcW w:w="604" w:type="pct"/>
          </w:tcPr>
          <w:p w14:paraId="65C27F14" w14:textId="1CA05473" w:rsidR="0002328D" w:rsidRPr="00900ADE" w:rsidRDefault="0002328D" w:rsidP="00E01A56">
            <w:pPr>
              <w:pStyle w:val="TableTextCentered"/>
            </w:pPr>
            <w:r w:rsidRPr="00900ADE">
              <w:t>NR</w:t>
            </w:r>
          </w:p>
        </w:tc>
        <w:tc>
          <w:tcPr>
            <w:tcW w:w="550" w:type="pct"/>
          </w:tcPr>
          <w:p w14:paraId="49DA820D" w14:textId="2C5EB826" w:rsidR="002803F3" w:rsidRPr="00900ADE" w:rsidRDefault="0002328D" w:rsidP="00E01A56">
            <w:pPr>
              <w:pStyle w:val="TableTextCentered"/>
            </w:pPr>
            <w:r w:rsidRPr="00900ADE">
              <w:t>NR</w:t>
            </w:r>
          </w:p>
        </w:tc>
      </w:tr>
      <w:tr w:rsidR="00FB52CA" w:rsidRPr="00900ADE" w14:paraId="0455E342" w14:textId="77777777" w:rsidTr="006B7FF6">
        <w:trPr>
          <w:cnfStyle w:val="000000100000" w:firstRow="0" w:lastRow="0" w:firstColumn="0" w:lastColumn="0" w:oddVBand="0" w:evenVBand="0" w:oddHBand="1" w:evenHBand="0" w:firstRowFirstColumn="0" w:firstRowLastColumn="0" w:lastRowFirstColumn="0" w:lastRowLastColumn="0"/>
        </w:trPr>
        <w:tc>
          <w:tcPr>
            <w:tcW w:w="422" w:type="pct"/>
          </w:tcPr>
          <w:p w14:paraId="6C7D2931" w14:textId="77777777" w:rsidR="002803F3" w:rsidRPr="00900ADE" w:rsidRDefault="002803F3" w:rsidP="00E01A56">
            <w:pPr>
              <w:pStyle w:val="TableSubheading"/>
              <w:jc w:val="center"/>
            </w:pPr>
            <w:r w:rsidRPr="00900ADE">
              <w:t>2-4</w:t>
            </w:r>
          </w:p>
        </w:tc>
        <w:tc>
          <w:tcPr>
            <w:tcW w:w="1163" w:type="pct"/>
          </w:tcPr>
          <w:p w14:paraId="18A22DDF" w14:textId="77777777" w:rsidR="002803F3" w:rsidRPr="00900ADE" w:rsidRDefault="002803F3" w:rsidP="00E01A56">
            <w:pPr>
              <w:pStyle w:val="TableTextCentered"/>
            </w:pPr>
            <w:r w:rsidRPr="00900ADE">
              <w:t>Science</w:t>
            </w:r>
          </w:p>
        </w:tc>
        <w:tc>
          <w:tcPr>
            <w:tcW w:w="1349" w:type="pct"/>
          </w:tcPr>
          <w:p w14:paraId="20C67B3C" w14:textId="7100A822" w:rsidR="002803F3" w:rsidRPr="00900ADE" w:rsidRDefault="002803F3" w:rsidP="00E01A56">
            <w:pPr>
              <w:pStyle w:val="TableTextCentered"/>
            </w:pPr>
            <w:r w:rsidRPr="00900ADE">
              <w:t xml:space="preserve">Project Lead The Way </w:t>
            </w:r>
          </w:p>
        </w:tc>
        <w:tc>
          <w:tcPr>
            <w:tcW w:w="912" w:type="pct"/>
          </w:tcPr>
          <w:p w14:paraId="7972819D" w14:textId="77777777" w:rsidR="002803F3" w:rsidRPr="00900ADE" w:rsidRDefault="002803F3" w:rsidP="00E01A56">
            <w:pPr>
              <w:pStyle w:val="TableTextCentered"/>
            </w:pPr>
            <w:r w:rsidRPr="00900ADE">
              <w:t>Comprehensive</w:t>
            </w:r>
          </w:p>
        </w:tc>
        <w:tc>
          <w:tcPr>
            <w:tcW w:w="604" w:type="pct"/>
          </w:tcPr>
          <w:p w14:paraId="0680044C" w14:textId="49C941BF" w:rsidR="0002328D" w:rsidRPr="00900ADE" w:rsidRDefault="0002328D" w:rsidP="00E01A56">
            <w:pPr>
              <w:pStyle w:val="TableTextCentered"/>
            </w:pPr>
            <w:r w:rsidRPr="00900ADE">
              <w:t>NR</w:t>
            </w:r>
          </w:p>
        </w:tc>
        <w:tc>
          <w:tcPr>
            <w:tcW w:w="550" w:type="pct"/>
          </w:tcPr>
          <w:p w14:paraId="38E3558D" w14:textId="48CB49DE" w:rsidR="002803F3" w:rsidRPr="00900ADE" w:rsidRDefault="0002328D" w:rsidP="00E01A56">
            <w:pPr>
              <w:pStyle w:val="TableTextCentered"/>
            </w:pPr>
            <w:r w:rsidRPr="00900ADE">
              <w:t>NR</w:t>
            </w:r>
          </w:p>
        </w:tc>
      </w:tr>
      <w:tr w:rsidR="00FB52CA" w:rsidRPr="00900ADE" w14:paraId="08AD4EBC" w14:textId="77777777" w:rsidTr="006B7FF6">
        <w:tc>
          <w:tcPr>
            <w:tcW w:w="422" w:type="pct"/>
          </w:tcPr>
          <w:p w14:paraId="6DFC1711" w14:textId="77777777" w:rsidR="002803F3" w:rsidRPr="00900ADE" w:rsidRDefault="002803F3" w:rsidP="00E01A56">
            <w:pPr>
              <w:pStyle w:val="TableSubheading"/>
              <w:jc w:val="center"/>
            </w:pPr>
            <w:r w:rsidRPr="00900ADE">
              <w:t>3</w:t>
            </w:r>
          </w:p>
        </w:tc>
        <w:tc>
          <w:tcPr>
            <w:tcW w:w="1163" w:type="pct"/>
          </w:tcPr>
          <w:p w14:paraId="7B0DDAF0" w14:textId="77777777" w:rsidR="002803F3" w:rsidRPr="00900ADE" w:rsidRDefault="002803F3" w:rsidP="00E01A56">
            <w:pPr>
              <w:pStyle w:val="TableTextCentered"/>
            </w:pPr>
            <w:r w:rsidRPr="00900ADE">
              <w:t>History</w:t>
            </w:r>
          </w:p>
        </w:tc>
        <w:tc>
          <w:tcPr>
            <w:tcW w:w="1349" w:type="pct"/>
          </w:tcPr>
          <w:p w14:paraId="5D951B74" w14:textId="77777777" w:rsidR="002803F3" w:rsidRPr="00900ADE" w:rsidRDefault="002803F3" w:rsidP="00E01A56">
            <w:pPr>
              <w:pStyle w:val="TableTextCentered"/>
            </w:pPr>
            <w:r w:rsidRPr="00900ADE">
              <w:t>Open Source/Homegrown</w:t>
            </w:r>
          </w:p>
        </w:tc>
        <w:tc>
          <w:tcPr>
            <w:tcW w:w="912" w:type="pct"/>
          </w:tcPr>
          <w:p w14:paraId="3C4B0B21" w14:textId="2BE2CCB2" w:rsidR="002803F3" w:rsidRPr="00900ADE" w:rsidRDefault="00DD6019" w:rsidP="00E01A56">
            <w:pPr>
              <w:pStyle w:val="TableTextCentered"/>
            </w:pPr>
            <w:r w:rsidRPr="00900ADE">
              <w:t>Comprehensive</w:t>
            </w:r>
          </w:p>
        </w:tc>
        <w:tc>
          <w:tcPr>
            <w:tcW w:w="604" w:type="pct"/>
          </w:tcPr>
          <w:p w14:paraId="7075E0A2" w14:textId="52F145E7" w:rsidR="0002328D" w:rsidRPr="00900ADE" w:rsidRDefault="0002328D" w:rsidP="00E01A56">
            <w:pPr>
              <w:pStyle w:val="TableTextCentered"/>
            </w:pPr>
            <w:r w:rsidRPr="00900ADE">
              <w:t>NR</w:t>
            </w:r>
          </w:p>
        </w:tc>
        <w:tc>
          <w:tcPr>
            <w:tcW w:w="550" w:type="pct"/>
          </w:tcPr>
          <w:p w14:paraId="25F6D099" w14:textId="39DDAF1A" w:rsidR="002803F3" w:rsidRPr="00900ADE" w:rsidRDefault="0002328D" w:rsidP="00E01A56">
            <w:pPr>
              <w:pStyle w:val="TableTextCentered"/>
            </w:pPr>
            <w:r w:rsidRPr="00900ADE">
              <w:t>NR</w:t>
            </w:r>
          </w:p>
        </w:tc>
      </w:tr>
      <w:tr w:rsidR="00FB52CA" w:rsidRPr="00900ADE" w14:paraId="030FF9F9" w14:textId="77777777" w:rsidTr="006B7FF6">
        <w:trPr>
          <w:cnfStyle w:val="000000100000" w:firstRow="0" w:lastRow="0" w:firstColumn="0" w:lastColumn="0" w:oddVBand="0" w:evenVBand="0" w:oddHBand="1" w:evenHBand="0" w:firstRowFirstColumn="0" w:firstRowLastColumn="0" w:lastRowFirstColumn="0" w:lastRowLastColumn="0"/>
        </w:trPr>
        <w:tc>
          <w:tcPr>
            <w:tcW w:w="422" w:type="pct"/>
          </w:tcPr>
          <w:p w14:paraId="7BB22AE8" w14:textId="3FB2B8EA" w:rsidR="002803F3" w:rsidRPr="00900ADE" w:rsidRDefault="004414B2" w:rsidP="00E01A56">
            <w:pPr>
              <w:pStyle w:val="TableSubheading"/>
              <w:jc w:val="center"/>
            </w:pPr>
            <w:r w:rsidRPr="00900ADE">
              <w:t>3-</w:t>
            </w:r>
            <w:r w:rsidR="002E1A62">
              <w:t>7</w:t>
            </w:r>
          </w:p>
        </w:tc>
        <w:tc>
          <w:tcPr>
            <w:tcW w:w="1163" w:type="pct"/>
          </w:tcPr>
          <w:p w14:paraId="7D24F15A" w14:textId="77777777" w:rsidR="002803F3" w:rsidRPr="00900ADE" w:rsidRDefault="002803F3" w:rsidP="00E01A56">
            <w:pPr>
              <w:pStyle w:val="TableTextCentered"/>
            </w:pPr>
            <w:r w:rsidRPr="00900ADE">
              <w:t>History/Social Studies</w:t>
            </w:r>
          </w:p>
        </w:tc>
        <w:tc>
          <w:tcPr>
            <w:tcW w:w="1349" w:type="pct"/>
          </w:tcPr>
          <w:p w14:paraId="0D4BF944" w14:textId="25D095EE" w:rsidR="002803F3" w:rsidRPr="00900ADE" w:rsidRDefault="002803F3" w:rsidP="00E01A56">
            <w:pPr>
              <w:pStyle w:val="TableTextCentered"/>
              <w:rPr>
                <w:vertAlign w:val="superscript"/>
              </w:rPr>
            </w:pPr>
            <w:r w:rsidRPr="00900ADE">
              <w:t>Investigating History</w:t>
            </w:r>
            <w:r w:rsidR="003F4F3F" w:rsidRPr="00900ADE">
              <w:rPr>
                <w:vertAlign w:val="superscript"/>
              </w:rPr>
              <w:t xml:space="preserve"> a</w:t>
            </w:r>
          </w:p>
        </w:tc>
        <w:tc>
          <w:tcPr>
            <w:tcW w:w="912" w:type="pct"/>
          </w:tcPr>
          <w:p w14:paraId="36A66B03" w14:textId="495020D5" w:rsidR="002803F3" w:rsidRPr="00900ADE" w:rsidRDefault="00123D65" w:rsidP="00E01A56">
            <w:pPr>
              <w:pStyle w:val="TableTextCentered"/>
            </w:pPr>
            <w:r w:rsidRPr="00900ADE">
              <w:t>Comprehensive</w:t>
            </w:r>
          </w:p>
        </w:tc>
        <w:tc>
          <w:tcPr>
            <w:tcW w:w="604" w:type="pct"/>
          </w:tcPr>
          <w:p w14:paraId="4E2648D2" w14:textId="1963FE70" w:rsidR="0002328D" w:rsidRPr="00900ADE" w:rsidRDefault="0002328D" w:rsidP="00E01A56">
            <w:pPr>
              <w:pStyle w:val="TableTextCentered"/>
            </w:pPr>
            <w:r w:rsidRPr="00900ADE">
              <w:t>NR</w:t>
            </w:r>
          </w:p>
        </w:tc>
        <w:tc>
          <w:tcPr>
            <w:tcW w:w="550" w:type="pct"/>
          </w:tcPr>
          <w:p w14:paraId="29642C9B" w14:textId="0893500A" w:rsidR="002803F3" w:rsidRPr="00900ADE" w:rsidRDefault="0002328D" w:rsidP="00E01A56">
            <w:pPr>
              <w:pStyle w:val="TableTextCentered"/>
            </w:pPr>
            <w:r w:rsidRPr="00900ADE">
              <w:t>NR</w:t>
            </w:r>
          </w:p>
        </w:tc>
      </w:tr>
      <w:tr w:rsidR="002E1A62" w:rsidRPr="00900ADE" w14:paraId="55C77C7C" w14:textId="77777777" w:rsidTr="006B7FF6">
        <w:tc>
          <w:tcPr>
            <w:tcW w:w="422" w:type="pct"/>
          </w:tcPr>
          <w:p w14:paraId="16F579C3" w14:textId="77777777" w:rsidR="002803F3" w:rsidRPr="00900ADE" w:rsidRDefault="002803F3" w:rsidP="00E01A56">
            <w:pPr>
              <w:pStyle w:val="TableSubheading"/>
              <w:jc w:val="center"/>
            </w:pPr>
            <w:r w:rsidRPr="00900ADE">
              <w:t>2-4</w:t>
            </w:r>
          </w:p>
        </w:tc>
        <w:tc>
          <w:tcPr>
            <w:tcW w:w="1163" w:type="pct"/>
          </w:tcPr>
          <w:p w14:paraId="624CD913" w14:textId="77777777" w:rsidR="002803F3" w:rsidRPr="00900ADE" w:rsidRDefault="002803F3" w:rsidP="00E01A56">
            <w:pPr>
              <w:pStyle w:val="TableTextCentered"/>
            </w:pPr>
            <w:r w:rsidRPr="00900ADE">
              <w:t>SEL</w:t>
            </w:r>
          </w:p>
        </w:tc>
        <w:tc>
          <w:tcPr>
            <w:tcW w:w="1349" w:type="pct"/>
          </w:tcPr>
          <w:p w14:paraId="39309754" w14:textId="77777777" w:rsidR="002803F3" w:rsidRPr="00900ADE" w:rsidRDefault="002803F3" w:rsidP="00E01A56">
            <w:pPr>
              <w:pStyle w:val="TableTextCentered"/>
            </w:pPr>
            <w:r w:rsidRPr="00900ADE">
              <w:t>Responsive Classroom</w:t>
            </w:r>
          </w:p>
        </w:tc>
        <w:tc>
          <w:tcPr>
            <w:tcW w:w="912" w:type="pct"/>
          </w:tcPr>
          <w:p w14:paraId="182A3ACC" w14:textId="77777777" w:rsidR="002803F3" w:rsidRPr="00900ADE" w:rsidRDefault="002803F3" w:rsidP="00E01A56">
            <w:pPr>
              <w:pStyle w:val="TableTextCentered"/>
            </w:pPr>
            <w:r w:rsidRPr="00900ADE">
              <w:t>Comprehensive</w:t>
            </w:r>
          </w:p>
        </w:tc>
        <w:tc>
          <w:tcPr>
            <w:tcW w:w="604" w:type="pct"/>
          </w:tcPr>
          <w:p w14:paraId="2D09EA48" w14:textId="607535C6" w:rsidR="0002328D" w:rsidRPr="00900ADE" w:rsidRDefault="0002328D" w:rsidP="00E01A56">
            <w:pPr>
              <w:pStyle w:val="TableTextCentered"/>
            </w:pPr>
            <w:r w:rsidRPr="00900ADE">
              <w:t>NR</w:t>
            </w:r>
          </w:p>
        </w:tc>
        <w:tc>
          <w:tcPr>
            <w:tcW w:w="550" w:type="pct"/>
          </w:tcPr>
          <w:p w14:paraId="271E7050" w14:textId="16725013" w:rsidR="002803F3" w:rsidRPr="00900ADE" w:rsidRDefault="0002328D" w:rsidP="00E01A56">
            <w:pPr>
              <w:pStyle w:val="TableTextCentered"/>
            </w:pPr>
            <w:r w:rsidRPr="00900ADE">
              <w:t>NR</w:t>
            </w:r>
          </w:p>
        </w:tc>
      </w:tr>
      <w:tr w:rsidR="00FB52CA" w:rsidRPr="00900ADE" w14:paraId="7FA98F55" w14:textId="77777777" w:rsidTr="006B7FF6">
        <w:trPr>
          <w:cnfStyle w:val="000000100000" w:firstRow="0" w:lastRow="0" w:firstColumn="0" w:lastColumn="0" w:oddVBand="0" w:evenVBand="0" w:oddHBand="1" w:evenHBand="0" w:firstRowFirstColumn="0" w:firstRowLastColumn="0" w:lastRowFirstColumn="0" w:lastRowLastColumn="0"/>
        </w:trPr>
        <w:tc>
          <w:tcPr>
            <w:tcW w:w="422" w:type="pct"/>
          </w:tcPr>
          <w:p w14:paraId="60FF8F90" w14:textId="77777777" w:rsidR="002803F3" w:rsidRPr="00900ADE" w:rsidRDefault="002803F3" w:rsidP="00E01A56">
            <w:pPr>
              <w:pStyle w:val="TableSubheading"/>
              <w:jc w:val="center"/>
            </w:pPr>
            <w:r w:rsidRPr="00900ADE">
              <w:t>2-4</w:t>
            </w:r>
          </w:p>
        </w:tc>
        <w:tc>
          <w:tcPr>
            <w:tcW w:w="1163" w:type="pct"/>
          </w:tcPr>
          <w:p w14:paraId="47338471" w14:textId="77777777" w:rsidR="002803F3" w:rsidRPr="00900ADE" w:rsidRDefault="002803F3" w:rsidP="00E01A56">
            <w:pPr>
              <w:pStyle w:val="TableTextCentered"/>
            </w:pPr>
            <w:r w:rsidRPr="00900ADE">
              <w:t>SEL</w:t>
            </w:r>
          </w:p>
        </w:tc>
        <w:tc>
          <w:tcPr>
            <w:tcW w:w="1349" w:type="pct"/>
          </w:tcPr>
          <w:p w14:paraId="1E6CC9EE" w14:textId="77777777" w:rsidR="002803F3" w:rsidRPr="00900ADE" w:rsidRDefault="002803F3" w:rsidP="00E01A56">
            <w:pPr>
              <w:pStyle w:val="TableTextCentered"/>
            </w:pPr>
            <w:r w:rsidRPr="00900ADE">
              <w:t>Everyday Speech</w:t>
            </w:r>
          </w:p>
        </w:tc>
        <w:tc>
          <w:tcPr>
            <w:tcW w:w="912" w:type="pct"/>
          </w:tcPr>
          <w:p w14:paraId="4E8B71FF" w14:textId="79B08606" w:rsidR="002803F3" w:rsidRPr="00900ADE" w:rsidRDefault="009F6126" w:rsidP="00E01A56">
            <w:pPr>
              <w:pStyle w:val="TableTextCentered"/>
            </w:pPr>
            <w:r w:rsidRPr="00900ADE">
              <w:t>Supplemental</w:t>
            </w:r>
          </w:p>
        </w:tc>
        <w:tc>
          <w:tcPr>
            <w:tcW w:w="604" w:type="pct"/>
          </w:tcPr>
          <w:p w14:paraId="49A46685" w14:textId="2A6C6AE8" w:rsidR="0002328D" w:rsidRPr="00900ADE" w:rsidRDefault="0002328D" w:rsidP="00E01A56">
            <w:pPr>
              <w:pStyle w:val="TableTextCentered"/>
            </w:pPr>
            <w:r w:rsidRPr="00900ADE">
              <w:t>NR</w:t>
            </w:r>
          </w:p>
        </w:tc>
        <w:tc>
          <w:tcPr>
            <w:tcW w:w="550" w:type="pct"/>
          </w:tcPr>
          <w:p w14:paraId="56A128DD" w14:textId="3A76A479" w:rsidR="002803F3" w:rsidRPr="00900ADE" w:rsidRDefault="0002328D" w:rsidP="00E01A56">
            <w:pPr>
              <w:pStyle w:val="TableTextCentered"/>
            </w:pPr>
            <w:r w:rsidRPr="00900ADE">
              <w:t>NR</w:t>
            </w:r>
          </w:p>
        </w:tc>
      </w:tr>
      <w:tr w:rsidR="002E1A62" w:rsidRPr="00900ADE" w14:paraId="0C32A1F8" w14:textId="77777777" w:rsidTr="006B7FF6">
        <w:tc>
          <w:tcPr>
            <w:tcW w:w="422" w:type="pct"/>
          </w:tcPr>
          <w:p w14:paraId="26ECA30C" w14:textId="77777777" w:rsidR="002803F3" w:rsidRPr="00900ADE" w:rsidRDefault="002803F3" w:rsidP="00E01A56">
            <w:pPr>
              <w:pStyle w:val="TableSubheading"/>
              <w:jc w:val="center"/>
            </w:pPr>
            <w:r w:rsidRPr="00900ADE">
              <w:t>5</w:t>
            </w:r>
          </w:p>
        </w:tc>
        <w:tc>
          <w:tcPr>
            <w:tcW w:w="1163" w:type="pct"/>
          </w:tcPr>
          <w:p w14:paraId="5F37BDE0" w14:textId="77777777" w:rsidR="002803F3" w:rsidRPr="00900ADE" w:rsidRDefault="002803F3" w:rsidP="00E01A56">
            <w:pPr>
              <w:pStyle w:val="TableTextCentered"/>
            </w:pPr>
            <w:r w:rsidRPr="00900ADE">
              <w:t>Science</w:t>
            </w:r>
          </w:p>
        </w:tc>
        <w:tc>
          <w:tcPr>
            <w:tcW w:w="1349" w:type="pct"/>
          </w:tcPr>
          <w:p w14:paraId="787C3541" w14:textId="7A4F2FBA" w:rsidR="002803F3" w:rsidRPr="00900ADE" w:rsidRDefault="00CE39EE" w:rsidP="00E01A56">
            <w:pPr>
              <w:pStyle w:val="TableTextCentered"/>
            </w:pPr>
            <w:proofErr w:type="spellStart"/>
            <w:r w:rsidRPr="00900ADE">
              <w:t>STEMScopes</w:t>
            </w:r>
            <w:proofErr w:type="spellEnd"/>
          </w:p>
        </w:tc>
        <w:tc>
          <w:tcPr>
            <w:tcW w:w="912" w:type="pct"/>
          </w:tcPr>
          <w:p w14:paraId="5013FA9E" w14:textId="77777777" w:rsidR="002803F3" w:rsidRPr="00900ADE" w:rsidRDefault="002803F3" w:rsidP="00E01A56">
            <w:pPr>
              <w:pStyle w:val="TableTextCentered"/>
            </w:pPr>
            <w:r w:rsidRPr="00900ADE">
              <w:t>Comprehensive</w:t>
            </w:r>
          </w:p>
        </w:tc>
        <w:tc>
          <w:tcPr>
            <w:tcW w:w="604" w:type="pct"/>
          </w:tcPr>
          <w:p w14:paraId="5C96A24E" w14:textId="7372D770" w:rsidR="0002328D" w:rsidRPr="00900ADE" w:rsidRDefault="0002328D" w:rsidP="00E01A56">
            <w:pPr>
              <w:pStyle w:val="TableTextCentered"/>
            </w:pPr>
            <w:r w:rsidRPr="00900ADE">
              <w:t>NR</w:t>
            </w:r>
          </w:p>
        </w:tc>
        <w:tc>
          <w:tcPr>
            <w:tcW w:w="550" w:type="pct"/>
          </w:tcPr>
          <w:p w14:paraId="298270EB" w14:textId="749078F1" w:rsidR="002803F3" w:rsidRPr="00900ADE" w:rsidRDefault="0002328D" w:rsidP="00E01A56">
            <w:pPr>
              <w:pStyle w:val="TableTextCentered"/>
            </w:pPr>
            <w:r w:rsidRPr="00900ADE">
              <w:t>NR</w:t>
            </w:r>
          </w:p>
        </w:tc>
      </w:tr>
      <w:tr w:rsidR="00FB52CA" w:rsidRPr="00900ADE" w14:paraId="744B3000" w14:textId="77777777" w:rsidTr="006B7FF6">
        <w:trPr>
          <w:cnfStyle w:val="000000100000" w:firstRow="0" w:lastRow="0" w:firstColumn="0" w:lastColumn="0" w:oddVBand="0" w:evenVBand="0" w:oddHBand="1" w:evenHBand="0" w:firstRowFirstColumn="0" w:firstRowLastColumn="0" w:lastRowFirstColumn="0" w:lastRowLastColumn="0"/>
        </w:trPr>
        <w:tc>
          <w:tcPr>
            <w:tcW w:w="422" w:type="pct"/>
          </w:tcPr>
          <w:p w14:paraId="0D7C5C39" w14:textId="77777777" w:rsidR="002803F3" w:rsidRPr="00900ADE" w:rsidRDefault="002803F3" w:rsidP="00E01A56">
            <w:pPr>
              <w:pStyle w:val="TableSubheading"/>
              <w:jc w:val="center"/>
            </w:pPr>
            <w:r w:rsidRPr="00900ADE">
              <w:t>6-8</w:t>
            </w:r>
          </w:p>
        </w:tc>
        <w:tc>
          <w:tcPr>
            <w:tcW w:w="1163" w:type="pct"/>
          </w:tcPr>
          <w:p w14:paraId="76EAA1DD" w14:textId="77777777" w:rsidR="002803F3" w:rsidRPr="00900ADE" w:rsidRDefault="002803F3" w:rsidP="00E01A56">
            <w:pPr>
              <w:pStyle w:val="TableTextCentered"/>
            </w:pPr>
            <w:r w:rsidRPr="00900ADE">
              <w:t>ELA</w:t>
            </w:r>
          </w:p>
        </w:tc>
        <w:tc>
          <w:tcPr>
            <w:tcW w:w="1349" w:type="pct"/>
          </w:tcPr>
          <w:p w14:paraId="22508D1A" w14:textId="77777777" w:rsidR="002803F3" w:rsidRPr="00900ADE" w:rsidRDefault="002803F3" w:rsidP="00E01A56">
            <w:pPr>
              <w:pStyle w:val="TableTextCentered"/>
            </w:pPr>
            <w:r w:rsidRPr="00900ADE">
              <w:t>Amplify ELA</w:t>
            </w:r>
          </w:p>
        </w:tc>
        <w:tc>
          <w:tcPr>
            <w:tcW w:w="912" w:type="pct"/>
          </w:tcPr>
          <w:p w14:paraId="0741F4FE" w14:textId="77777777" w:rsidR="002803F3" w:rsidRPr="00900ADE" w:rsidRDefault="002803F3" w:rsidP="00E01A56">
            <w:pPr>
              <w:pStyle w:val="TableTextCentered"/>
            </w:pPr>
            <w:r w:rsidRPr="00900ADE">
              <w:t>Comprehensive</w:t>
            </w:r>
          </w:p>
        </w:tc>
        <w:tc>
          <w:tcPr>
            <w:tcW w:w="604" w:type="pct"/>
          </w:tcPr>
          <w:p w14:paraId="4312CB9D" w14:textId="4C920875" w:rsidR="0002328D" w:rsidRPr="00900ADE" w:rsidRDefault="0002328D" w:rsidP="00E01A56">
            <w:pPr>
              <w:pStyle w:val="TableTextCentered"/>
            </w:pPr>
            <w:r w:rsidRPr="00900ADE">
              <w:t>M</w:t>
            </w:r>
            <w:r w:rsidR="00C23D71" w:rsidRPr="00900ADE">
              <w:t>E</w:t>
            </w:r>
          </w:p>
        </w:tc>
        <w:tc>
          <w:tcPr>
            <w:tcW w:w="550" w:type="pct"/>
          </w:tcPr>
          <w:p w14:paraId="08605FE3" w14:textId="657C9E39" w:rsidR="002803F3" w:rsidRPr="00900ADE" w:rsidRDefault="0002328D" w:rsidP="00E01A56">
            <w:pPr>
              <w:pStyle w:val="TableTextCentered"/>
            </w:pPr>
            <w:r w:rsidRPr="00900ADE">
              <w:t>ME</w:t>
            </w:r>
          </w:p>
        </w:tc>
      </w:tr>
      <w:tr w:rsidR="002E1A62" w:rsidRPr="00900ADE" w14:paraId="7CFBD728" w14:textId="77777777" w:rsidTr="006B7FF6">
        <w:tc>
          <w:tcPr>
            <w:tcW w:w="422" w:type="pct"/>
          </w:tcPr>
          <w:p w14:paraId="037D541C" w14:textId="77777777" w:rsidR="002803F3" w:rsidRPr="00900ADE" w:rsidRDefault="002803F3" w:rsidP="00E01A56">
            <w:pPr>
              <w:pStyle w:val="TableSubheading"/>
              <w:jc w:val="center"/>
            </w:pPr>
            <w:r w:rsidRPr="00900ADE">
              <w:t>6-8</w:t>
            </w:r>
          </w:p>
        </w:tc>
        <w:tc>
          <w:tcPr>
            <w:tcW w:w="1163" w:type="pct"/>
          </w:tcPr>
          <w:p w14:paraId="7A105D0E" w14:textId="77777777" w:rsidR="002803F3" w:rsidRPr="00900ADE" w:rsidRDefault="002803F3" w:rsidP="00E01A56">
            <w:pPr>
              <w:pStyle w:val="TableTextCentered"/>
            </w:pPr>
            <w:r w:rsidRPr="00900ADE">
              <w:t>Science</w:t>
            </w:r>
          </w:p>
        </w:tc>
        <w:tc>
          <w:tcPr>
            <w:tcW w:w="1349" w:type="pct"/>
          </w:tcPr>
          <w:p w14:paraId="60CEECB4" w14:textId="4FADFE9C" w:rsidR="002803F3" w:rsidRPr="00900ADE" w:rsidRDefault="002803F3" w:rsidP="00E01A56">
            <w:pPr>
              <w:pStyle w:val="TableTextCentered"/>
            </w:pPr>
            <w:r w:rsidRPr="00900ADE">
              <w:t>T</w:t>
            </w:r>
            <w:r w:rsidR="008B2ACF" w:rsidRPr="00900ADE">
              <w:t>eachers’ Curriculum Institute</w:t>
            </w:r>
          </w:p>
        </w:tc>
        <w:tc>
          <w:tcPr>
            <w:tcW w:w="912" w:type="pct"/>
          </w:tcPr>
          <w:p w14:paraId="7D5B90BA" w14:textId="3321E393" w:rsidR="002803F3" w:rsidRPr="00900ADE" w:rsidRDefault="004972E8" w:rsidP="00E01A56">
            <w:pPr>
              <w:pStyle w:val="TableTextCentered"/>
            </w:pPr>
            <w:r w:rsidRPr="00900ADE">
              <w:t>Comprehensive</w:t>
            </w:r>
          </w:p>
        </w:tc>
        <w:tc>
          <w:tcPr>
            <w:tcW w:w="604" w:type="pct"/>
          </w:tcPr>
          <w:p w14:paraId="4D9E3A92" w14:textId="1D1322FD" w:rsidR="0002328D" w:rsidRPr="00900ADE" w:rsidRDefault="0002328D" w:rsidP="00E01A56">
            <w:pPr>
              <w:pStyle w:val="TableTextCentered"/>
            </w:pPr>
            <w:r w:rsidRPr="00900ADE">
              <w:t>NR</w:t>
            </w:r>
          </w:p>
        </w:tc>
        <w:tc>
          <w:tcPr>
            <w:tcW w:w="550" w:type="pct"/>
          </w:tcPr>
          <w:p w14:paraId="3CCC1985" w14:textId="3B12F002" w:rsidR="002803F3" w:rsidRPr="00900ADE" w:rsidRDefault="0002328D" w:rsidP="00E01A56">
            <w:pPr>
              <w:pStyle w:val="TableTextCentered"/>
            </w:pPr>
            <w:r w:rsidRPr="00900ADE">
              <w:t>D</w:t>
            </w:r>
            <w:r w:rsidR="002E1A62">
              <w:t>N</w:t>
            </w:r>
            <w:r w:rsidRPr="00900ADE">
              <w:t>M</w:t>
            </w:r>
            <w:r w:rsidR="002E1A62">
              <w:t>E</w:t>
            </w:r>
          </w:p>
        </w:tc>
      </w:tr>
      <w:tr w:rsidR="00FB52CA" w:rsidRPr="00900ADE" w14:paraId="60A9C388" w14:textId="77777777" w:rsidTr="006B7FF6">
        <w:trPr>
          <w:cnfStyle w:val="000000100000" w:firstRow="0" w:lastRow="0" w:firstColumn="0" w:lastColumn="0" w:oddVBand="0" w:evenVBand="0" w:oddHBand="1" w:evenHBand="0" w:firstRowFirstColumn="0" w:firstRowLastColumn="0" w:lastRowFirstColumn="0" w:lastRowLastColumn="0"/>
        </w:trPr>
        <w:tc>
          <w:tcPr>
            <w:tcW w:w="422" w:type="pct"/>
          </w:tcPr>
          <w:p w14:paraId="647A238C" w14:textId="77777777" w:rsidR="002803F3" w:rsidRPr="00900ADE" w:rsidRDefault="002803F3" w:rsidP="00E01A56">
            <w:pPr>
              <w:pStyle w:val="TableSubheading"/>
              <w:jc w:val="center"/>
            </w:pPr>
            <w:r w:rsidRPr="00900ADE">
              <w:t>8</w:t>
            </w:r>
          </w:p>
        </w:tc>
        <w:tc>
          <w:tcPr>
            <w:tcW w:w="1163" w:type="pct"/>
          </w:tcPr>
          <w:p w14:paraId="3CB2A22D" w14:textId="77777777" w:rsidR="002803F3" w:rsidRPr="00900ADE" w:rsidRDefault="002803F3" w:rsidP="00E01A56">
            <w:pPr>
              <w:pStyle w:val="TableTextCentered"/>
            </w:pPr>
            <w:r w:rsidRPr="00900ADE">
              <w:t>History/Social Studies</w:t>
            </w:r>
          </w:p>
        </w:tc>
        <w:tc>
          <w:tcPr>
            <w:tcW w:w="1349" w:type="pct"/>
          </w:tcPr>
          <w:p w14:paraId="2C047CE7" w14:textId="4AE6F3BF" w:rsidR="002803F3" w:rsidRPr="00900ADE" w:rsidRDefault="002803F3" w:rsidP="00E01A56">
            <w:pPr>
              <w:pStyle w:val="TableTextCentered"/>
            </w:pPr>
            <w:r w:rsidRPr="00900ADE">
              <w:t>Democratic Knowledge Project</w:t>
            </w:r>
          </w:p>
        </w:tc>
        <w:tc>
          <w:tcPr>
            <w:tcW w:w="912" w:type="pct"/>
          </w:tcPr>
          <w:p w14:paraId="43387A9E" w14:textId="5B8FBBD2" w:rsidR="002803F3" w:rsidRPr="00900ADE" w:rsidRDefault="004972E8" w:rsidP="00E01A56">
            <w:pPr>
              <w:pStyle w:val="TableTextCentered"/>
            </w:pPr>
            <w:r w:rsidRPr="00900ADE">
              <w:t>Comprehensive</w:t>
            </w:r>
          </w:p>
        </w:tc>
        <w:tc>
          <w:tcPr>
            <w:tcW w:w="604" w:type="pct"/>
          </w:tcPr>
          <w:p w14:paraId="24CB90F0" w14:textId="42A05910" w:rsidR="0002328D" w:rsidRPr="00900ADE" w:rsidRDefault="0002328D" w:rsidP="00E01A56">
            <w:pPr>
              <w:pStyle w:val="TableTextCentered"/>
            </w:pPr>
            <w:r w:rsidRPr="00900ADE">
              <w:t>NR</w:t>
            </w:r>
          </w:p>
        </w:tc>
        <w:tc>
          <w:tcPr>
            <w:tcW w:w="550" w:type="pct"/>
          </w:tcPr>
          <w:p w14:paraId="68C4CAED" w14:textId="7C5A9A97" w:rsidR="002803F3" w:rsidRPr="00900ADE" w:rsidRDefault="0002328D" w:rsidP="00E01A56">
            <w:pPr>
              <w:pStyle w:val="TableTextCentered"/>
            </w:pPr>
            <w:r w:rsidRPr="00900ADE">
              <w:t>NR</w:t>
            </w:r>
          </w:p>
        </w:tc>
      </w:tr>
      <w:tr w:rsidR="002E1A62" w:rsidRPr="00900ADE" w14:paraId="173A1E4D" w14:textId="77777777" w:rsidTr="006B7FF6">
        <w:tc>
          <w:tcPr>
            <w:tcW w:w="422" w:type="pct"/>
          </w:tcPr>
          <w:p w14:paraId="6BBF25A6" w14:textId="77777777" w:rsidR="002803F3" w:rsidRPr="00900ADE" w:rsidRDefault="002803F3" w:rsidP="00E01A56">
            <w:pPr>
              <w:pStyle w:val="TableSubheading"/>
              <w:jc w:val="center"/>
            </w:pPr>
            <w:r w:rsidRPr="00900ADE">
              <w:t>9-12</w:t>
            </w:r>
          </w:p>
        </w:tc>
        <w:tc>
          <w:tcPr>
            <w:tcW w:w="1163" w:type="pct"/>
          </w:tcPr>
          <w:p w14:paraId="1F144B11" w14:textId="77777777" w:rsidR="002803F3" w:rsidRPr="00900ADE" w:rsidRDefault="002803F3" w:rsidP="00E01A56">
            <w:pPr>
              <w:pStyle w:val="TableTextCentered"/>
            </w:pPr>
            <w:r w:rsidRPr="00900ADE">
              <w:t>ELA</w:t>
            </w:r>
          </w:p>
        </w:tc>
        <w:tc>
          <w:tcPr>
            <w:tcW w:w="1349" w:type="pct"/>
          </w:tcPr>
          <w:p w14:paraId="68908518" w14:textId="77777777" w:rsidR="002803F3" w:rsidRPr="00900ADE" w:rsidRDefault="002803F3" w:rsidP="00E01A56">
            <w:pPr>
              <w:pStyle w:val="TableTextCentered"/>
            </w:pPr>
            <w:proofErr w:type="spellStart"/>
            <w:r w:rsidRPr="00900ADE">
              <w:t>StudySync</w:t>
            </w:r>
            <w:proofErr w:type="spellEnd"/>
          </w:p>
        </w:tc>
        <w:tc>
          <w:tcPr>
            <w:tcW w:w="912" w:type="pct"/>
          </w:tcPr>
          <w:p w14:paraId="0B4ED339" w14:textId="77777777" w:rsidR="002803F3" w:rsidRPr="00900ADE" w:rsidRDefault="002803F3" w:rsidP="00E01A56">
            <w:pPr>
              <w:pStyle w:val="TableTextCentered"/>
            </w:pPr>
            <w:r w:rsidRPr="00900ADE">
              <w:t>Comprehensive</w:t>
            </w:r>
          </w:p>
        </w:tc>
        <w:tc>
          <w:tcPr>
            <w:tcW w:w="604" w:type="pct"/>
          </w:tcPr>
          <w:p w14:paraId="30A5EC18" w14:textId="2A70E672" w:rsidR="0002328D" w:rsidRPr="00900ADE" w:rsidRDefault="0002328D" w:rsidP="00E01A56">
            <w:pPr>
              <w:pStyle w:val="TableTextCentered"/>
            </w:pPr>
            <w:r w:rsidRPr="00900ADE">
              <w:t>PM</w:t>
            </w:r>
          </w:p>
        </w:tc>
        <w:tc>
          <w:tcPr>
            <w:tcW w:w="550" w:type="pct"/>
          </w:tcPr>
          <w:p w14:paraId="6A09DB97" w14:textId="2AAABB94" w:rsidR="002803F3" w:rsidRPr="00900ADE" w:rsidRDefault="0002328D" w:rsidP="00E01A56">
            <w:pPr>
              <w:pStyle w:val="TableTextCentered"/>
            </w:pPr>
            <w:r w:rsidRPr="00900ADE">
              <w:t>ME</w:t>
            </w:r>
          </w:p>
        </w:tc>
      </w:tr>
      <w:tr w:rsidR="00FB52CA" w:rsidRPr="00900ADE" w14:paraId="31231C1C" w14:textId="77777777" w:rsidTr="006B7FF6">
        <w:trPr>
          <w:cnfStyle w:val="000000100000" w:firstRow="0" w:lastRow="0" w:firstColumn="0" w:lastColumn="0" w:oddVBand="0" w:evenVBand="0" w:oddHBand="1" w:evenHBand="0" w:firstRowFirstColumn="0" w:firstRowLastColumn="0" w:lastRowFirstColumn="0" w:lastRowLastColumn="0"/>
        </w:trPr>
        <w:tc>
          <w:tcPr>
            <w:tcW w:w="422" w:type="pct"/>
          </w:tcPr>
          <w:p w14:paraId="2BA93FC6" w14:textId="77777777" w:rsidR="002803F3" w:rsidRPr="00900ADE" w:rsidRDefault="002803F3" w:rsidP="00E01A56">
            <w:pPr>
              <w:pStyle w:val="TableSubheading"/>
              <w:jc w:val="center"/>
            </w:pPr>
            <w:r w:rsidRPr="00900ADE">
              <w:t>6-12</w:t>
            </w:r>
          </w:p>
        </w:tc>
        <w:tc>
          <w:tcPr>
            <w:tcW w:w="1163" w:type="pct"/>
          </w:tcPr>
          <w:p w14:paraId="17005391" w14:textId="62B5ACF6" w:rsidR="002803F3" w:rsidRPr="00900ADE" w:rsidRDefault="002803F3" w:rsidP="00E01A56">
            <w:pPr>
              <w:pStyle w:val="TableTextCentered"/>
            </w:pPr>
            <w:r w:rsidRPr="00900ADE">
              <w:t>Math</w:t>
            </w:r>
            <w:r w:rsidR="00BB00B8" w:rsidRPr="00900ADE">
              <w:t>ematics</w:t>
            </w:r>
          </w:p>
        </w:tc>
        <w:tc>
          <w:tcPr>
            <w:tcW w:w="1349" w:type="pct"/>
          </w:tcPr>
          <w:p w14:paraId="0292A3D7" w14:textId="77777777" w:rsidR="002803F3" w:rsidRPr="00900ADE" w:rsidRDefault="002803F3" w:rsidP="00E01A56">
            <w:pPr>
              <w:pStyle w:val="TableTextCentered"/>
            </w:pPr>
            <w:r w:rsidRPr="00900ADE">
              <w:t>Illustrative Math</w:t>
            </w:r>
          </w:p>
        </w:tc>
        <w:tc>
          <w:tcPr>
            <w:tcW w:w="912" w:type="pct"/>
          </w:tcPr>
          <w:p w14:paraId="4EA4317E" w14:textId="77777777" w:rsidR="002803F3" w:rsidRPr="00900ADE" w:rsidRDefault="002803F3" w:rsidP="00E01A56">
            <w:pPr>
              <w:pStyle w:val="TableTextCentered"/>
            </w:pPr>
            <w:r w:rsidRPr="00900ADE">
              <w:t>Comprehensive</w:t>
            </w:r>
          </w:p>
        </w:tc>
        <w:tc>
          <w:tcPr>
            <w:tcW w:w="604" w:type="pct"/>
          </w:tcPr>
          <w:p w14:paraId="6EEB5773" w14:textId="7CA871D6" w:rsidR="0002328D" w:rsidRPr="00900ADE" w:rsidRDefault="0002328D" w:rsidP="00E01A56">
            <w:pPr>
              <w:pStyle w:val="TableTextCentered"/>
            </w:pPr>
            <w:r w:rsidRPr="00900ADE">
              <w:t>ME</w:t>
            </w:r>
          </w:p>
        </w:tc>
        <w:tc>
          <w:tcPr>
            <w:tcW w:w="550" w:type="pct"/>
          </w:tcPr>
          <w:p w14:paraId="0C0B8612" w14:textId="72EAEA3D" w:rsidR="002803F3" w:rsidRPr="00900ADE" w:rsidRDefault="0002328D" w:rsidP="00E01A56">
            <w:pPr>
              <w:pStyle w:val="TableTextCentered"/>
            </w:pPr>
            <w:r w:rsidRPr="00900ADE">
              <w:t>ME</w:t>
            </w:r>
          </w:p>
        </w:tc>
      </w:tr>
    </w:tbl>
    <w:p w14:paraId="5F837B56" w14:textId="09908BD0" w:rsidR="003F4F3F" w:rsidRPr="00900ADE" w:rsidRDefault="008159D1" w:rsidP="00E01A56">
      <w:pPr>
        <w:pStyle w:val="TableNote"/>
      </w:pPr>
      <w:r w:rsidRPr="00900ADE">
        <w:rPr>
          <w:i/>
          <w:iCs/>
        </w:rPr>
        <w:t>Note</w:t>
      </w:r>
      <w:r w:rsidRPr="00900ADE">
        <w:t xml:space="preserve">. </w:t>
      </w:r>
      <w:r w:rsidR="00BB00B8" w:rsidRPr="00900ADE">
        <w:t>EL</w:t>
      </w:r>
      <w:r w:rsidR="0056291F">
        <w:t>A</w:t>
      </w:r>
      <w:r w:rsidR="00BB00B8" w:rsidRPr="00900ADE">
        <w:t xml:space="preserve"> = English language arts; </w:t>
      </w:r>
      <w:r w:rsidRPr="00900ADE">
        <w:t xml:space="preserve">CURATE = </w:t>
      </w:r>
      <w:proofErr w:type="spellStart"/>
      <w:r w:rsidRPr="00900ADE">
        <w:t>CUrriculum</w:t>
      </w:r>
      <w:proofErr w:type="spellEnd"/>
      <w:r w:rsidRPr="00900ADE">
        <w:t xml:space="preserve"> </w:t>
      </w:r>
      <w:proofErr w:type="spellStart"/>
      <w:r w:rsidRPr="00900ADE">
        <w:t>RAtings</w:t>
      </w:r>
      <w:proofErr w:type="spellEnd"/>
      <w:r w:rsidRPr="00900ADE">
        <w:t xml:space="preserve"> by Teachers; ME = meets expectations; NR = not rated; </w:t>
      </w:r>
      <w:r w:rsidR="00BB00B8" w:rsidRPr="00900ADE">
        <w:t xml:space="preserve">CASEL = </w:t>
      </w:r>
      <w:r w:rsidR="00BB00B8" w:rsidRPr="00900ADE">
        <w:rPr>
          <w:rStyle w:val="Emphasis"/>
          <w:rFonts w:eastAsiaTheme="minorHAnsi"/>
          <w:i w:val="0"/>
          <w:iCs w:val="0"/>
          <w:szCs w:val="20"/>
        </w:rPr>
        <w:t>Collaborative for Academic, Social, and Emotional Learning</w:t>
      </w:r>
      <w:r w:rsidR="003F4F3F" w:rsidRPr="00900ADE">
        <w:rPr>
          <w:rStyle w:val="Emphasis"/>
          <w:rFonts w:eastAsiaTheme="minorHAnsi"/>
          <w:i w:val="0"/>
          <w:iCs w:val="0"/>
          <w:szCs w:val="20"/>
        </w:rPr>
        <w:t>; D</w:t>
      </w:r>
      <w:r w:rsidR="002E1A62">
        <w:rPr>
          <w:rStyle w:val="Emphasis"/>
          <w:rFonts w:eastAsiaTheme="minorHAnsi"/>
          <w:i w:val="0"/>
          <w:iCs w:val="0"/>
          <w:szCs w:val="20"/>
        </w:rPr>
        <w:t>N</w:t>
      </w:r>
      <w:r w:rsidR="003F4F3F" w:rsidRPr="00900ADE">
        <w:rPr>
          <w:rStyle w:val="Emphasis"/>
          <w:rFonts w:eastAsiaTheme="minorHAnsi"/>
          <w:i w:val="0"/>
          <w:iCs w:val="0"/>
          <w:szCs w:val="20"/>
        </w:rPr>
        <w:t>M</w:t>
      </w:r>
      <w:r w:rsidR="002E1A62">
        <w:rPr>
          <w:rStyle w:val="Emphasis"/>
          <w:rFonts w:eastAsiaTheme="minorHAnsi"/>
          <w:i w:val="0"/>
          <w:iCs w:val="0"/>
          <w:szCs w:val="20"/>
        </w:rPr>
        <w:t>E</w:t>
      </w:r>
      <w:r w:rsidR="003F4F3F" w:rsidRPr="00900ADE">
        <w:rPr>
          <w:rStyle w:val="Emphasis"/>
          <w:rFonts w:eastAsiaTheme="minorHAnsi"/>
          <w:i w:val="0"/>
          <w:iCs w:val="0"/>
          <w:szCs w:val="20"/>
        </w:rPr>
        <w:t xml:space="preserve"> = </w:t>
      </w:r>
      <w:r w:rsidR="002E1A62">
        <w:rPr>
          <w:rStyle w:val="Emphasis"/>
          <w:rFonts w:eastAsiaTheme="minorHAnsi"/>
          <w:i w:val="0"/>
          <w:iCs w:val="0"/>
          <w:szCs w:val="20"/>
        </w:rPr>
        <w:t>d</w:t>
      </w:r>
      <w:r w:rsidR="0056291F">
        <w:rPr>
          <w:rStyle w:val="Emphasis"/>
          <w:rFonts w:eastAsiaTheme="minorHAnsi"/>
          <w:i w:val="0"/>
          <w:iCs w:val="0"/>
          <w:szCs w:val="20"/>
        </w:rPr>
        <w:t>o</w:t>
      </w:r>
      <w:r w:rsidR="002E1A62">
        <w:rPr>
          <w:rStyle w:val="Emphasis"/>
          <w:rFonts w:eastAsiaTheme="minorHAnsi"/>
          <w:i w:val="0"/>
          <w:iCs w:val="0"/>
          <w:szCs w:val="20"/>
        </w:rPr>
        <w:t>es not meet expectations</w:t>
      </w:r>
      <w:r w:rsidR="003F4F3F" w:rsidRPr="00900ADE">
        <w:rPr>
          <w:rStyle w:val="Emphasis"/>
          <w:rFonts w:eastAsiaTheme="minorHAnsi"/>
          <w:i w:val="0"/>
          <w:iCs w:val="0"/>
          <w:szCs w:val="20"/>
        </w:rPr>
        <w:t>; PM = partially meets expectations.</w:t>
      </w:r>
      <w:r w:rsidR="00BB00B8" w:rsidRPr="00900ADE">
        <w:t xml:space="preserve"> </w:t>
      </w:r>
      <w:r w:rsidRPr="00900ADE">
        <w:t xml:space="preserve">Investigating History </w:t>
      </w:r>
      <w:r w:rsidR="0083375F">
        <w:t>is</w:t>
      </w:r>
      <w:r w:rsidRPr="00900ADE">
        <w:t xml:space="preserve"> DESE developed or informed. </w:t>
      </w:r>
    </w:p>
    <w:p w14:paraId="06FA599D" w14:textId="6257361D" w:rsidR="008159D1" w:rsidRPr="00900ADE" w:rsidRDefault="003F4F3F" w:rsidP="0083375F">
      <w:pPr>
        <w:pStyle w:val="TableNote"/>
        <w:spacing w:before="60"/>
      </w:pPr>
      <w:r w:rsidRPr="00900ADE">
        <w:rPr>
          <w:vertAlign w:val="superscript"/>
        </w:rPr>
        <w:t xml:space="preserve">a </w:t>
      </w:r>
      <w:r w:rsidR="008159D1" w:rsidRPr="00900ADE">
        <w:t>Grades 3-4 are currently piloting Investigating History</w:t>
      </w:r>
      <w:r w:rsidRPr="00900ADE">
        <w:t>.</w:t>
      </w:r>
      <w:r w:rsidR="008159D1" w:rsidRPr="00900ADE">
        <w:t xml:space="preserve"> </w:t>
      </w:r>
    </w:p>
    <w:p w14:paraId="06B63E39" w14:textId="153B727E" w:rsidR="00EA5A5F" w:rsidRPr="00900ADE" w:rsidRDefault="00DE75E9" w:rsidP="00E01A56">
      <w:pPr>
        <w:pStyle w:val="BodyText"/>
      </w:pPr>
      <w:r w:rsidRPr="00900ADE">
        <w:lastRenderedPageBreak/>
        <w:t xml:space="preserve">In </w:t>
      </w:r>
      <w:r w:rsidR="003F4F3F" w:rsidRPr="00900ADE">
        <w:t>Medway</w:t>
      </w:r>
      <w:r w:rsidR="00571CAC" w:rsidRPr="00900ADE">
        <w:t xml:space="preserve">, not all subjects </w:t>
      </w:r>
      <w:r w:rsidR="003F4F3F" w:rsidRPr="00900ADE">
        <w:t xml:space="preserve">have </w:t>
      </w:r>
      <w:r w:rsidR="00571CAC" w:rsidRPr="00900ADE">
        <w:t>vertical align</w:t>
      </w:r>
      <w:r w:rsidR="003F4F3F" w:rsidRPr="00900ADE">
        <w:t>m</w:t>
      </w:r>
      <w:r w:rsidR="00CE39EE" w:rsidRPr="00900ADE">
        <w:t>en</w:t>
      </w:r>
      <w:r w:rsidR="003F4F3F" w:rsidRPr="00900ADE">
        <w:t>t</w:t>
      </w:r>
      <w:r w:rsidR="00571CAC" w:rsidRPr="00900ADE">
        <w:t xml:space="preserve"> </w:t>
      </w:r>
      <w:r w:rsidR="003F4F3F" w:rsidRPr="00900ADE">
        <w:t xml:space="preserve">because </w:t>
      </w:r>
      <w:r w:rsidR="00571CAC" w:rsidRPr="00900ADE">
        <w:t xml:space="preserve">the district is still undergoing </w:t>
      </w:r>
      <w:r w:rsidR="00A51E11" w:rsidRPr="00900ADE">
        <w:t>curricul</w:t>
      </w:r>
      <w:r w:rsidR="003F4F3F" w:rsidRPr="00900ADE">
        <w:t>ar</w:t>
      </w:r>
      <w:r w:rsidR="00A51E11" w:rsidRPr="00900ADE">
        <w:t xml:space="preserve"> review in some subjects. For example, ELA and math</w:t>
      </w:r>
      <w:r w:rsidR="003F4F3F" w:rsidRPr="00900ADE">
        <w:t>ematics</w:t>
      </w:r>
      <w:r w:rsidR="00A51E11" w:rsidRPr="00900ADE">
        <w:t xml:space="preserve"> are vertically aligned </w:t>
      </w:r>
      <w:r w:rsidR="003F4F3F" w:rsidRPr="00900ADE">
        <w:t xml:space="preserve">in </w:t>
      </w:r>
      <w:r w:rsidR="00A51E11" w:rsidRPr="00900ADE">
        <w:t>K-5</w:t>
      </w:r>
      <w:r w:rsidR="00105496" w:rsidRPr="00900ADE">
        <w:t xml:space="preserve">, but history and science </w:t>
      </w:r>
      <w:r w:rsidR="000529F1" w:rsidRPr="00900ADE">
        <w:t>are</w:t>
      </w:r>
      <w:r w:rsidR="00105496" w:rsidRPr="00900ADE">
        <w:t xml:space="preserve"> not yet vertically aligned.</w:t>
      </w:r>
      <w:r w:rsidR="00F42F89" w:rsidRPr="00900ADE">
        <w:t xml:space="preserve"> In focus groups, teachers reported </w:t>
      </w:r>
      <w:r w:rsidR="003F4F3F" w:rsidRPr="00900ADE">
        <w:t>having</w:t>
      </w:r>
      <w:r w:rsidR="00DC4459" w:rsidRPr="00900ADE">
        <w:t xml:space="preserve"> some vertical alignment efforts in recent years, but these </w:t>
      </w:r>
      <w:r w:rsidR="003F4F3F" w:rsidRPr="00900ADE">
        <w:t>efforts were</w:t>
      </w:r>
      <w:r w:rsidR="00DC4459" w:rsidRPr="00900ADE">
        <w:t xml:space="preserve"> limited to a few grades and subject areas. </w:t>
      </w:r>
      <w:r w:rsidR="00896631" w:rsidRPr="00900ADE">
        <w:t>Elementary and middle school teachers reported alignment efforts in literacy that involved elementary teachers and Grade 5 middle school teachers. These efforts included a districtwide training day (though not all staff believed it supported vertical alignment) and monthly before-school meetings for elementary staff. One teacher commented on the limitations of alignment efforts: “It would be great if we could have time with the people [in the grades] below us and even the people above us in [the other middle school grades], but it just doesn</w:t>
      </w:r>
      <w:r w:rsidR="003F4F3F" w:rsidRPr="00900ADE">
        <w:t>’</w:t>
      </w:r>
      <w:r w:rsidR="00896631" w:rsidRPr="00900ADE">
        <w:t xml:space="preserve">t exist.” </w:t>
      </w:r>
      <w:r w:rsidR="00F66216" w:rsidRPr="00900ADE">
        <w:t xml:space="preserve">Regarding literacy </w:t>
      </w:r>
      <w:r w:rsidR="00151333" w:rsidRPr="00900ADE">
        <w:t>in the upper grades, one middle school respondent said</w:t>
      </w:r>
      <w:r w:rsidR="00A1069C" w:rsidRPr="00900ADE">
        <w:t>, “I don</w:t>
      </w:r>
      <w:r w:rsidR="003F4F3F" w:rsidRPr="00900ADE">
        <w:t>’</w:t>
      </w:r>
      <w:r w:rsidR="00A1069C" w:rsidRPr="00900ADE">
        <w:t>t know what happens once you get to the high school.”</w:t>
      </w:r>
      <w:r w:rsidR="00511867" w:rsidRPr="00900ADE">
        <w:t xml:space="preserve"> </w:t>
      </w:r>
      <w:r w:rsidR="00813AF5" w:rsidRPr="00900ADE">
        <w:t>A</w:t>
      </w:r>
      <w:r w:rsidR="0015439D" w:rsidRPr="00900ADE">
        <w:t>t the high school</w:t>
      </w:r>
      <w:r w:rsidR="00813AF5" w:rsidRPr="00900ADE">
        <w:t>, teachers have a highly rated ELA curriculum</w:t>
      </w:r>
      <w:r w:rsidR="008E1137">
        <w:rPr>
          <w:rStyle w:val="FootnoteReference"/>
        </w:rPr>
        <w:footnoteReference w:id="6"/>
      </w:r>
      <w:r w:rsidR="00813AF5" w:rsidRPr="00900ADE">
        <w:t xml:space="preserve"> but reported being dissatisfied with </w:t>
      </w:r>
      <w:r w:rsidR="00480D26" w:rsidRPr="00900ADE">
        <w:t>several aspects of it, with one rema</w:t>
      </w:r>
      <w:r w:rsidR="00B93975" w:rsidRPr="00900ADE">
        <w:t>r</w:t>
      </w:r>
      <w:r w:rsidR="00480D26" w:rsidRPr="00900ADE">
        <w:t xml:space="preserve">king </w:t>
      </w:r>
      <w:r w:rsidR="003F4F3F" w:rsidRPr="00900ADE">
        <w:t>that</w:t>
      </w:r>
      <w:r w:rsidR="00466212" w:rsidRPr="00900ADE">
        <w:t xml:space="preserve"> </w:t>
      </w:r>
      <w:r w:rsidR="00480D26" w:rsidRPr="00900ADE">
        <w:t>it</w:t>
      </w:r>
      <w:r w:rsidR="0015439D" w:rsidRPr="00900ADE">
        <w:t xml:space="preserve"> “is not rigorous, it is not engaging</w:t>
      </w:r>
      <w:r w:rsidR="00480D26" w:rsidRPr="00900ADE">
        <w:t>.</w:t>
      </w:r>
      <w:r w:rsidR="0015439D" w:rsidRPr="00900ADE">
        <w:t xml:space="preserve">” </w:t>
      </w:r>
      <w:r w:rsidR="004623A9" w:rsidRPr="00900ADE">
        <w:t>On the other hand, middle and high school math</w:t>
      </w:r>
      <w:r w:rsidR="003F4F3F" w:rsidRPr="00900ADE">
        <w:t>ematics</w:t>
      </w:r>
      <w:r w:rsidR="004623A9" w:rsidRPr="00900ADE">
        <w:t xml:space="preserve"> curricula are reported as fairly well</w:t>
      </w:r>
      <w:r w:rsidR="003F4F3F" w:rsidRPr="00900ADE">
        <w:t xml:space="preserve"> </w:t>
      </w:r>
      <w:r w:rsidR="004623A9" w:rsidRPr="00900ADE">
        <w:t>aligned, aided by the adoption of new curricula and collaboration with a consultant.</w:t>
      </w:r>
      <w:r w:rsidR="00511867" w:rsidRPr="00900ADE">
        <w:t xml:space="preserve"> </w:t>
      </w:r>
      <w:r w:rsidR="00AB54D6" w:rsidRPr="00900ADE">
        <w:t xml:space="preserve">Teachers reported that </w:t>
      </w:r>
      <w:r w:rsidR="003F4F3F" w:rsidRPr="00900ADE">
        <w:t xml:space="preserve">the </w:t>
      </w:r>
      <w:r w:rsidR="00AB54D6" w:rsidRPr="00900ADE">
        <w:t xml:space="preserve">upper grades social studies curricula are entirely </w:t>
      </w:r>
      <w:r w:rsidR="00A319CB">
        <w:t>teacher-created</w:t>
      </w:r>
      <w:r w:rsidR="00AB54D6" w:rsidRPr="00900ADE">
        <w:t xml:space="preserve"> (</w:t>
      </w:r>
      <w:r w:rsidR="003F4F3F" w:rsidRPr="00900ADE">
        <w:t>except for Advanced Placement</w:t>
      </w:r>
      <w:r w:rsidR="00AB54D6" w:rsidRPr="00900ADE">
        <w:t xml:space="preserve"> </w:t>
      </w:r>
      <w:r w:rsidR="003F4F3F" w:rsidRPr="00900ADE">
        <w:t>[</w:t>
      </w:r>
      <w:r w:rsidR="00AB54D6" w:rsidRPr="00900ADE">
        <w:t>AP</w:t>
      </w:r>
      <w:r w:rsidR="003F4F3F" w:rsidRPr="00900ADE">
        <w:t>]</w:t>
      </w:r>
      <w:r w:rsidR="00AB54D6" w:rsidRPr="00900ADE">
        <w:t xml:space="preserve"> courses using approved textbooks)</w:t>
      </w:r>
      <w:r w:rsidR="003F4F3F" w:rsidRPr="00900ADE">
        <w:t>,</w:t>
      </w:r>
      <w:r w:rsidR="00AB54D6" w:rsidRPr="00900ADE">
        <w:t xml:space="preserve"> and science materials are chosen based on individual subdisciplines. </w:t>
      </w:r>
      <w:r w:rsidR="00105496" w:rsidRPr="008C52AB">
        <w:t>Adopting vertically aligned curricul</w:t>
      </w:r>
      <w:r w:rsidR="00AB54D6" w:rsidRPr="008C52AB">
        <w:t>a</w:t>
      </w:r>
      <w:r w:rsidR="00105496" w:rsidRPr="008C52AB">
        <w:t xml:space="preserve"> in all subjects </w:t>
      </w:r>
      <w:r w:rsidR="00595F6C" w:rsidRPr="008C52AB">
        <w:t xml:space="preserve">to ensure </w:t>
      </w:r>
      <w:r w:rsidR="006D63E2" w:rsidRPr="008C52AB">
        <w:t xml:space="preserve">coherent </w:t>
      </w:r>
      <w:r w:rsidR="00595F6C" w:rsidRPr="008C52AB">
        <w:t xml:space="preserve">student learning </w:t>
      </w:r>
      <w:r w:rsidR="00105496" w:rsidRPr="008C52AB">
        <w:t xml:space="preserve">is an area </w:t>
      </w:r>
      <w:r w:rsidR="00DE6D6D" w:rsidRPr="008C52AB">
        <w:t>for</w:t>
      </w:r>
      <w:r w:rsidR="00105496" w:rsidRPr="008C52AB">
        <w:t xml:space="preserve"> growth for the district.</w:t>
      </w:r>
      <w:r w:rsidR="00EA5A5F" w:rsidRPr="008C52AB">
        <w:t xml:space="preserve"> </w:t>
      </w:r>
      <w:bookmarkStart w:id="35" w:name="_Student_Access_to"/>
      <w:bookmarkStart w:id="36" w:name="_Equitable_Practices_and"/>
      <w:bookmarkEnd w:id="35"/>
      <w:bookmarkEnd w:id="36"/>
    </w:p>
    <w:p w14:paraId="5B29549C" w14:textId="27F6E60D" w:rsidR="00473308" w:rsidRPr="00900ADE" w:rsidRDefault="0037284E" w:rsidP="00473308">
      <w:pPr>
        <w:pStyle w:val="Heading3"/>
      </w:pPr>
      <w:bookmarkStart w:id="37" w:name="_Equitable_Practices_and_1"/>
      <w:bookmarkEnd w:id="37"/>
      <w:r w:rsidRPr="00900ADE">
        <w:t>Equitable Practices and</w:t>
      </w:r>
      <w:r w:rsidR="00473308" w:rsidRPr="00900ADE">
        <w:t xml:space="preserve"> Acces</w:t>
      </w:r>
      <w:r w:rsidRPr="00900ADE">
        <w:t>s</w:t>
      </w:r>
    </w:p>
    <w:p w14:paraId="3121DB12" w14:textId="6CE38515" w:rsidR="00A7078A" w:rsidRPr="00900ADE" w:rsidRDefault="00771E4A" w:rsidP="001956A4">
      <w:pPr>
        <w:pStyle w:val="BodyTextposthead"/>
        <w:rPr>
          <w:b/>
          <w:bCs/>
        </w:rPr>
      </w:pPr>
      <w:r w:rsidRPr="00900ADE">
        <w:t xml:space="preserve">The availability and provision of academic interventions varies by grade level, </w:t>
      </w:r>
      <w:r w:rsidR="001A0A69" w:rsidRPr="00900ADE">
        <w:t>as reported by</w:t>
      </w:r>
      <w:r w:rsidRPr="00900ADE">
        <w:t xml:space="preserve"> s</w:t>
      </w:r>
      <w:r w:rsidR="00986EE3" w:rsidRPr="00900ADE">
        <w:t xml:space="preserve">taff in interviews and focus groups, as well as in questionnaires. </w:t>
      </w:r>
      <w:r w:rsidR="00CB1528" w:rsidRPr="00900ADE">
        <w:t>In particular, staff reported that at the lower elementary level</w:t>
      </w:r>
      <w:r w:rsidR="00BB088D" w:rsidRPr="00900ADE">
        <w:t xml:space="preserve"> (</w:t>
      </w:r>
      <w:r w:rsidR="00A7078A" w:rsidRPr="00900ADE">
        <w:t>McGovern Elementary School</w:t>
      </w:r>
      <w:r w:rsidR="00BB088D" w:rsidRPr="00900ADE">
        <w:t>)</w:t>
      </w:r>
      <w:r w:rsidR="00732DCE" w:rsidRPr="00900ADE">
        <w:t>,</w:t>
      </w:r>
      <w:r w:rsidR="00CB1528" w:rsidRPr="00900ADE">
        <w:t xml:space="preserve"> leaders</w:t>
      </w:r>
      <w:r w:rsidR="00A7078A" w:rsidRPr="00900ADE">
        <w:t xml:space="preserve"> reported Tier 2 and </w:t>
      </w:r>
      <w:r w:rsidR="003F4F3F" w:rsidRPr="00900ADE">
        <w:t xml:space="preserve">Tier </w:t>
      </w:r>
      <w:r w:rsidR="00A7078A" w:rsidRPr="00900ADE">
        <w:t xml:space="preserve">3 interventions in ELA and mathematics, including reading support, phonemic awareness bootcamp, and Title 1 </w:t>
      </w:r>
      <w:r w:rsidR="003F4F3F" w:rsidRPr="00900ADE">
        <w:t>m</w:t>
      </w:r>
      <w:r w:rsidR="00A7078A" w:rsidRPr="00900ADE">
        <w:t>at</w:t>
      </w:r>
      <w:r w:rsidR="004A2F4B" w:rsidRPr="00900ADE">
        <w:t>h</w:t>
      </w:r>
      <w:r w:rsidR="003F4F3F" w:rsidRPr="00900ADE">
        <w:t>ematics</w:t>
      </w:r>
      <w:r w:rsidR="004A2F4B" w:rsidRPr="00900ADE">
        <w:t>. At the upper elementary level</w:t>
      </w:r>
      <w:r w:rsidR="00732DCE" w:rsidRPr="00900ADE">
        <w:t xml:space="preserve"> (</w:t>
      </w:r>
      <w:r w:rsidR="00A7078A" w:rsidRPr="00900ADE">
        <w:t>Burke-Memorial Elementary School</w:t>
      </w:r>
      <w:r w:rsidR="00732DCE" w:rsidRPr="00900ADE">
        <w:t>)</w:t>
      </w:r>
      <w:r w:rsidR="004A2F4B" w:rsidRPr="00900ADE">
        <w:t xml:space="preserve">, staff reported </w:t>
      </w:r>
      <w:r w:rsidR="003F4F3F" w:rsidRPr="00900ADE">
        <w:t xml:space="preserve">that </w:t>
      </w:r>
      <w:r w:rsidR="004A2F4B" w:rsidRPr="00900ADE">
        <w:t>the school</w:t>
      </w:r>
      <w:r w:rsidR="00A7078A" w:rsidRPr="00900ADE">
        <w:t xml:space="preserve"> offers Tier 2 and </w:t>
      </w:r>
      <w:r w:rsidR="003F4F3F" w:rsidRPr="00900ADE">
        <w:t xml:space="preserve">Tier </w:t>
      </w:r>
      <w:r w:rsidR="00A7078A" w:rsidRPr="00900ADE">
        <w:t>3 interventions in ELA and mathematics, including reading and math</w:t>
      </w:r>
      <w:r w:rsidR="003F4F3F" w:rsidRPr="00900ADE">
        <w:t>ematics</w:t>
      </w:r>
      <w:r w:rsidR="00A7078A" w:rsidRPr="00900ADE">
        <w:t xml:space="preserve"> support and classroom interventions for both subjects. </w:t>
      </w:r>
      <w:r w:rsidR="004A2F4B" w:rsidRPr="00900ADE">
        <w:t xml:space="preserve">At </w:t>
      </w:r>
      <w:r w:rsidR="00A7078A" w:rsidRPr="00900ADE">
        <w:t>Medway Middle School</w:t>
      </w:r>
      <w:r w:rsidR="004A2F4B" w:rsidRPr="00900ADE">
        <w:t>, leaders</w:t>
      </w:r>
      <w:r w:rsidR="00A7078A" w:rsidRPr="00900ADE">
        <w:t xml:space="preserve"> reported Tier 2 and </w:t>
      </w:r>
      <w:r w:rsidR="003F4F3F" w:rsidRPr="00900ADE">
        <w:t xml:space="preserve">Tier </w:t>
      </w:r>
      <w:r w:rsidR="00A7078A" w:rsidRPr="00900ADE">
        <w:t xml:space="preserve">3 interventions in ELA, including Language Live, Wilson, and Hill Foundational Skills Routines for students in Grade 5. They also offer one </w:t>
      </w:r>
      <w:r w:rsidR="00C87239" w:rsidRPr="00900ADE">
        <w:t xml:space="preserve">unspecified </w:t>
      </w:r>
      <w:r w:rsidR="00A7078A" w:rsidRPr="00900ADE">
        <w:t>Tier 2 math</w:t>
      </w:r>
      <w:r w:rsidR="003F4F3F" w:rsidRPr="00900ADE">
        <w:t>ematics</w:t>
      </w:r>
      <w:r w:rsidR="00A7078A" w:rsidRPr="00900ADE">
        <w:t xml:space="preserve"> intervention. Medway High School </w:t>
      </w:r>
      <w:r w:rsidR="00930CE5" w:rsidRPr="00900ADE">
        <w:t>staff</w:t>
      </w:r>
      <w:r w:rsidR="00726980" w:rsidRPr="00900ADE">
        <w:t xml:space="preserve"> did not specify any </w:t>
      </w:r>
      <w:r w:rsidR="00EE19F5" w:rsidRPr="00900ADE">
        <w:t xml:space="preserve">available </w:t>
      </w:r>
      <w:r w:rsidR="00A7078A" w:rsidRPr="00900ADE">
        <w:t xml:space="preserve">academic interventions. </w:t>
      </w:r>
      <w:r w:rsidR="003F4F3F" w:rsidRPr="00900ADE">
        <w:t>In addition</w:t>
      </w:r>
      <w:r w:rsidR="00A7078A" w:rsidRPr="00900ADE">
        <w:t>, Medway Community Education</w:t>
      </w:r>
      <w:r w:rsidR="001F69BE" w:rsidRPr="00900ADE">
        <w:t xml:space="preserve">, a </w:t>
      </w:r>
      <w:r w:rsidR="00E37558" w:rsidRPr="00900ADE">
        <w:t>self-sustaining department that offer</w:t>
      </w:r>
      <w:r w:rsidR="003F4F3F" w:rsidRPr="00900ADE">
        <w:t>s</w:t>
      </w:r>
      <w:r w:rsidR="00E37558" w:rsidRPr="00900ADE">
        <w:t xml:space="preserve"> year-round learning and enrichment programs outside </w:t>
      </w:r>
      <w:r w:rsidR="003F4F3F" w:rsidRPr="00900ADE">
        <w:t>regular</w:t>
      </w:r>
      <w:r w:rsidR="00E37558" w:rsidRPr="00900ADE">
        <w:t xml:space="preserve"> school time,</w:t>
      </w:r>
      <w:r w:rsidR="00A7078A" w:rsidRPr="00900ADE">
        <w:t xml:space="preserve"> runs a </w:t>
      </w:r>
      <w:r w:rsidR="007375C8" w:rsidRPr="00900ADE">
        <w:t>W</w:t>
      </w:r>
      <w:r w:rsidR="000A6865">
        <w:t xml:space="preserve">hat </w:t>
      </w:r>
      <w:r w:rsidR="007375C8" w:rsidRPr="00900ADE">
        <w:t>I</w:t>
      </w:r>
      <w:r w:rsidR="000A6865">
        <w:t xml:space="preserve"> </w:t>
      </w:r>
      <w:r w:rsidR="007375C8" w:rsidRPr="00900ADE">
        <w:t>N</w:t>
      </w:r>
      <w:r w:rsidR="000A6865">
        <w:t>eed</w:t>
      </w:r>
      <w:r w:rsidR="007375C8" w:rsidRPr="00900ADE">
        <w:t xml:space="preserve"> (</w:t>
      </w:r>
      <w:r w:rsidR="002424D8">
        <w:t>W</w:t>
      </w:r>
      <w:r w:rsidR="00EE19F5" w:rsidRPr="00900ADE">
        <w:t>I</w:t>
      </w:r>
      <w:r w:rsidR="002424D8">
        <w:t>N</w:t>
      </w:r>
      <w:r w:rsidR="007375C8" w:rsidRPr="00900ADE">
        <w:t>)</w:t>
      </w:r>
      <w:r w:rsidR="00A7078A" w:rsidRPr="00900ADE">
        <w:t xml:space="preserve"> program districtwide that offers afterschool ELA and mathematics support at the elementary level and homework help at the secondary level.</w:t>
      </w:r>
    </w:p>
    <w:p w14:paraId="714D46D8" w14:textId="785DF531" w:rsidR="00D74049" w:rsidRPr="00900ADE" w:rsidRDefault="003F4F3F" w:rsidP="00E01A56">
      <w:pPr>
        <w:pStyle w:val="BodyText"/>
      </w:pPr>
      <w:r w:rsidRPr="00900ADE">
        <w:t>Medway</w:t>
      </w:r>
      <w:r w:rsidR="00771E4A" w:rsidRPr="00900ADE">
        <w:t xml:space="preserve"> does not have a</w:t>
      </w:r>
      <w:r w:rsidRPr="00900ADE">
        <w:t>n</w:t>
      </w:r>
      <w:r w:rsidR="00771E4A" w:rsidRPr="00900ADE">
        <w:t xml:space="preserve"> MTSS guidebook that details how the district applies an adaptable MTSS to implement academic interventions for students. </w:t>
      </w:r>
      <w:r w:rsidR="00F21D4D" w:rsidRPr="00900ADE">
        <w:t>Elementary and middle school p</w:t>
      </w:r>
      <w:r w:rsidR="00D74049" w:rsidRPr="00900ADE">
        <w:t xml:space="preserve">rincipals and </w:t>
      </w:r>
      <w:r w:rsidR="00F21D4D" w:rsidRPr="00900ADE">
        <w:t>teachers</w:t>
      </w:r>
      <w:r w:rsidR="00D74049" w:rsidRPr="00900ADE">
        <w:t xml:space="preserve"> agreed</w:t>
      </w:r>
      <w:r w:rsidR="00D74049" w:rsidRPr="00900ADE">
        <w:rPr>
          <w:b/>
          <w:bCs/>
          <w:i/>
          <w:iCs/>
        </w:rPr>
        <w:t xml:space="preserve"> </w:t>
      </w:r>
      <w:r w:rsidR="00D74049" w:rsidRPr="00900ADE">
        <w:t xml:space="preserve">that student </w:t>
      </w:r>
      <w:r w:rsidR="00A81FA5" w:rsidRPr="00900ADE">
        <w:t xml:space="preserve">assessment </w:t>
      </w:r>
      <w:r w:rsidR="00D74049" w:rsidRPr="00900ADE">
        <w:t xml:space="preserve">data and progress monitoring </w:t>
      </w:r>
      <w:r w:rsidR="0062474F" w:rsidRPr="00900ADE">
        <w:t>inform the selection of academic intervention materials, which align with the common curriculum</w:t>
      </w:r>
      <w:r w:rsidR="00F21D4D" w:rsidRPr="00900ADE">
        <w:t xml:space="preserve">. </w:t>
      </w:r>
      <w:r w:rsidRPr="00900ADE">
        <w:t>T</w:t>
      </w:r>
      <w:r w:rsidR="00D74049" w:rsidRPr="00900ADE">
        <w:t>he</w:t>
      </w:r>
      <w:r w:rsidR="00E373D8" w:rsidRPr="00900ADE">
        <w:t xml:space="preserve"> district</w:t>
      </w:r>
      <w:r w:rsidR="00D74049" w:rsidRPr="00900ADE">
        <w:t xml:space="preserve"> </w:t>
      </w:r>
      <w:r w:rsidRPr="00900ADE">
        <w:t xml:space="preserve">also </w:t>
      </w:r>
      <w:r w:rsidR="00D74049" w:rsidRPr="00900ADE">
        <w:t>leverage</w:t>
      </w:r>
      <w:r w:rsidR="00E373D8" w:rsidRPr="00900ADE">
        <w:t>s</w:t>
      </w:r>
      <w:r w:rsidR="00D74049" w:rsidRPr="00900ADE">
        <w:t xml:space="preserve"> student support teams to match students to interventions t</w:t>
      </w:r>
      <w:r w:rsidR="00022B1D" w:rsidRPr="00900ADE">
        <w:t>hat</w:t>
      </w:r>
      <w:r w:rsidR="00D74049" w:rsidRPr="00900ADE">
        <w:t xml:space="preserve"> meet students’ needs. </w:t>
      </w:r>
      <w:r w:rsidR="00541CB4" w:rsidRPr="00900ADE">
        <w:t xml:space="preserve">At the high school level, </w:t>
      </w:r>
      <w:r w:rsidR="00E64798" w:rsidRPr="00900ADE">
        <w:t>school leaders</w:t>
      </w:r>
      <w:r w:rsidR="00541CB4" w:rsidRPr="00900ADE">
        <w:t xml:space="preserve"> reported the absence of in-class tiered interventions, unlike the </w:t>
      </w:r>
      <w:r w:rsidR="00541CB4" w:rsidRPr="00900ADE">
        <w:lastRenderedPageBreak/>
        <w:t xml:space="preserve">elementary and middle schools. Teachers and students indicated that students can access academic support during a flex block and after school; however, </w:t>
      </w:r>
      <w:r w:rsidR="00F02927" w:rsidRPr="00F02927">
        <w:t>this support is voluntary. Although teachers are expected to identify students who need support, the choice to attend is at the students’ discretion. Creating a districtwide approach that consistently connects students at all levels, especially at the high school</w:t>
      </w:r>
      <w:r w:rsidR="00066A27">
        <w:t>,</w:t>
      </w:r>
      <w:r w:rsidR="008D3DBE" w:rsidRPr="00242F47">
        <w:t xml:space="preserve"> to</w:t>
      </w:r>
      <w:r w:rsidR="00476360" w:rsidRPr="00242F47">
        <w:t xml:space="preserve"> academic interventions </w:t>
      </w:r>
      <w:r w:rsidR="0074732C" w:rsidRPr="00242F47">
        <w:t xml:space="preserve">is an area </w:t>
      </w:r>
      <w:r w:rsidR="00DE6D6D" w:rsidRPr="00242F47">
        <w:t>for</w:t>
      </w:r>
      <w:r w:rsidR="0074732C" w:rsidRPr="00242F47">
        <w:t xml:space="preserve"> growth for the district.</w:t>
      </w:r>
    </w:p>
    <w:p w14:paraId="5BC430AA" w14:textId="24A40997" w:rsidR="007B4802" w:rsidRPr="00900ADE" w:rsidRDefault="003F4F3F" w:rsidP="00E01A56">
      <w:pPr>
        <w:pStyle w:val="BodyText"/>
      </w:pPr>
      <w:r w:rsidRPr="00900ADE">
        <w:t>Medway</w:t>
      </w:r>
      <w:r w:rsidR="007B4802" w:rsidRPr="00900ADE">
        <w:t xml:space="preserve"> makes several concerted efforts to </w:t>
      </w:r>
      <w:r w:rsidRPr="00900ADE">
        <w:t>guarantee</w:t>
      </w:r>
      <w:r w:rsidR="00516418">
        <w:t xml:space="preserve"> access to learning opportunities</w:t>
      </w:r>
      <w:r w:rsidR="00E14802">
        <w:t xml:space="preserve"> for</w:t>
      </w:r>
      <w:r w:rsidRPr="00900ADE">
        <w:t xml:space="preserve"> </w:t>
      </w:r>
      <w:r w:rsidR="007B4802" w:rsidRPr="00900ADE">
        <w:t xml:space="preserve">all students. </w:t>
      </w:r>
      <w:r w:rsidR="00DE75E9" w:rsidRPr="00900ADE">
        <w:t>The district makes some efforts to ensure that</w:t>
      </w:r>
      <w:r w:rsidR="007B4802" w:rsidRPr="00900ADE">
        <w:t xml:space="preserve"> </w:t>
      </w:r>
      <w:r w:rsidRPr="00900ADE">
        <w:t xml:space="preserve">students who are </w:t>
      </w:r>
      <w:r w:rsidR="007B4802" w:rsidRPr="00900ADE">
        <w:t xml:space="preserve">historically underserved, particularly those who are marginalized based on race, ethnicity, disability status, and linguistic background, </w:t>
      </w:r>
      <w:r w:rsidRPr="00900ADE">
        <w:t>receive</w:t>
      </w:r>
      <w:r w:rsidR="007B4802" w:rsidRPr="00900ADE">
        <w:t xml:space="preserve"> the individualized supports and services they need to access the</w:t>
      </w:r>
      <w:r w:rsidR="005413D7">
        <w:t xml:space="preserve"> material</w:t>
      </w:r>
      <w:r w:rsidR="007B4802" w:rsidRPr="00900ADE">
        <w:t>. However, at the time of th</w:t>
      </w:r>
      <w:r w:rsidR="000A0C9B">
        <w:t>is district review</w:t>
      </w:r>
      <w:r w:rsidR="007B4802" w:rsidRPr="00900ADE">
        <w:t xml:space="preserve"> visit, staff continued to </w:t>
      </w:r>
      <w:r w:rsidR="0046489C" w:rsidRPr="00900ADE">
        <w:t>report</w:t>
      </w:r>
      <w:r w:rsidR="007B4802" w:rsidRPr="00900ADE">
        <w:t xml:space="preserve"> some challenges with access to supports</w:t>
      </w:r>
      <w:r w:rsidR="00653770">
        <w:t xml:space="preserve"> for </w:t>
      </w:r>
      <w:r w:rsidR="00653770" w:rsidRPr="00900ADE">
        <w:t>English Learners</w:t>
      </w:r>
      <w:r w:rsidR="007B4802" w:rsidRPr="00900ADE">
        <w:t xml:space="preserve">, particularly </w:t>
      </w:r>
      <w:r w:rsidR="00653770">
        <w:t>those who are d</w:t>
      </w:r>
      <w:r w:rsidR="00FF42CE">
        <w:t>ually</w:t>
      </w:r>
      <w:r w:rsidR="002C71D8">
        <w:t xml:space="preserve"> </w:t>
      </w:r>
      <w:r w:rsidR="00FF42CE">
        <w:t>identified as</w:t>
      </w:r>
      <w:r w:rsidR="00653770" w:rsidRPr="00900ADE">
        <w:t xml:space="preserve"> </w:t>
      </w:r>
      <w:r w:rsidR="00FF42CE">
        <w:t xml:space="preserve">both English Learners and </w:t>
      </w:r>
      <w:r w:rsidR="0046489C" w:rsidRPr="00900ADE">
        <w:t>S</w:t>
      </w:r>
      <w:r w:rsidR="007B4802" w:rsidRPr="00900ADE">
        <w:t>tudents</w:t>
      </w:r>
      <w:r w:rsidR="0046489C" w:rsidRPr="00900ADE">
        <w:t xml:space="preserve"> with Disabilities</w:t>
      </w:r>
      <w:r w:rsidR="00FF42CE">
        <w:t xml:space="preserve">, </w:t>
      </w:r>
      <w:r w:rsidR="007B4802" w:rsidRPr="00900ADE">
        <w:t>at the secondary level.</w:t>
      </w:r>
    </w:p>
    <w:p w14:paraId="5F9D039D" w14:textId="6EB512DC" w:rsidR="003C104A" w:rsidRPr="00900ADE" w:rsidRDefault="0026172C" w:rsidP="00E01A56">
      <w:pPr>
        <w:pStyle w:val="BodyText"/>
      </w:pPr>
      <w:r w:rsidRPr="00900ADE">
        <w:t xml:space="preserve">Across the district, the growing population of </w:t>
      </w:r>
      <w:r w:rsidR="0046489C" w:rsidRPr="00900ADE">
        <w:t>English</w:t>
      </w:r>
      <w:r w:rsidRPr="00900ADE">
        <w:t xml:space="preserve"> </w:t>
      </w:r>
      <w:r w:rsidR="0046489C" w:rsidRPr="00900ADE">
        <w:t>L</w:t>
      </w:r>
      <w:r w:rsidRPr="00900ADE">
        <w:t xml:space="preserve">earners has created a </w:t>
      </w:r>
      <w:r w:rsidR="00601405" w:rsidRPr="00900ADE">
        <w:t xml:space="preserve">need </w:t>
      </w:r>
      <w:r w:rsidR="00AC6433" w:rsidRPr="00900ADE">
        <w:t xml:space="preserve">for student support </w:t>
      </w:r>
      <w:r w:rsidR="00601405" w:rsidRPr="00900ADE">
        <w:t xml:space="preserve">across levels. </w:t>
      </w:r>
      <w:r w:rsidR="00434F4D" w:rsidRPr="00900ADE">
        <w:t xml:space="preserve">The district provides </w:t>
      </w:r>
      <w:r w:rsidR="0046489C" w:rsidRPr="00900ADE">
        <w:t xml:space="preserve">English Learners </w:t>
      </w:r>
      <w:r w:rsidR="00434F4D" w:rsidRPr="00900ADE">
        <w:t xml:space="preserve">access to services, but </w:t>
      </w:r>
      <w:r w:rsidR="003F4F3F" w:rsidRPr="00900ADE">
        <w:t xml:space="preserve">the </w:t>
      </w:r>
      <w:r w:rsidR="00434F4D" w:rsidRPr="00900ADE">
        <w:t>services vary by school. For example, at the elementary and middle schools</w:t>
      </w:r>
      <w:r w:rsidR="009F028A">
        <w:t>,</w:t>
      </w:r>
      <w:r w:rsidR="00434F4D" w:rsidRPr="00900ADE">
        <w:t xml:space="preserve"> there is a Sheltered English Immersion program, but </w:t>
      </w:r>
      <w:r w:rsidR="003F4F3F" w:rsidRPr="00900ADE">
        <w:t>this</w:t>
      </w:r>
      <w:r w:rsidR="00434F4D" w:rsidRPr="00900ADE">
        <w:t xml:space="preserve"> program does not exist at Medway High School. </w:t>
      </w:r>
      <w:r w:rsidR="007A584D" w:rsidRPr="00900ADE">
        <w:t xml:space="preserve">High school teachers noted that </w:t>
      </w:r>
      <w:r w:rsidR="00E3306D">
        <w:t>in some of the English language development (ELD) classes</w:t>
      </w:r>
      <w:r w:rsidR="00EF42EB">
        <w:t>,</w:t>
      </w:r>
      <w:r w:rsidR="00E3306D">
        <w:t xml:space="preserve"> English Learners have described feeling </w:t>
      </w:r>
      <w:r w:rsidR="00E431FA">
        <w:t>like they do not belong</w:t>
      </w:r>
      <w:r w:rsidR="00E3306D">
        <w:t xml:space="preserve"> in the school.</w:t>
      </w:r>
      <w:r w:rsidR="007A584D" w:rsidRPr="00900ADE">
        <w:t xml:space="preserve"> </w:t>
      </w:r>
    </w:p>
    <w:p w14:paraId="0F28D62D" w14:textId="6E521DAA" w:rsidR="00AD4872" w:rsidRPr="00900ADE" w:rsidRDefault="003C104A" w:rsidP="00E01A56">
      <w:pPr>
        <w:pStyle w:val="BodyText"/>
      </w:pPr>
      <w:r w:rsidRPr="00900ADE">
        <w:t xml:space="preserve">School leaders and teachers explained that for dually identified students, scheduling constraints often prioritize services </w:t>
      </w:r>
      <w:r w:rsidR="003F4F3F" w:rsidRPr="00900ADE">
        <w:t xml:space="preserve">for individualized education </w:t>
      </w:r>
      <w:r w:rsidR="00453E6E" w:rsidRPr="00900ADE">
        <w:t>programs</w:t>
      </w:r>
      <w:r w:rsidR="003F4F3F" w:rsidRPr="00900ADE">
        <w:t xml:space="preserve"> (IEPs) </w:t>
      </w:r>
      <w:r w:rsidRPr="00900ADE">
        <w:t xml:space="preserve">over English Learner services. </w:t>
      </w:r>
      <w:r w:rsidR="00434F4D" w:rsidRPr="00900ADE">
        <w:t xml:space="preserve">One specialist noted that “when a student is very </w:t>
      </w:r>
      <w:r w:rsidR="000A0C9B">
        <w:t>h</w:t>
      </w:r>
      <w:r w:rsidR="00434F4D" w:rsidRPr="00900ADE">
        <w:t xml:space="preserve">igh </w:t>
      </w:r>
      <w:r w:rsidR="000A0C9B">
        <w:t>n</w:t>
      </w:r>
      <w:r w:rsidR="00434F4D" w:rsidRPr="00900ADE">
        <w:t>eeds and needs special ed</w:t>
      </w:r>
      <w:r w:rsidR="003F4F3F" w:rsidRPr="00900ADE">
        <w:t>[</w:t>
      </w:r>
      <w:proofErr w:type="spellStart"/>
      <w:r w:rsidR="003F4F3F" w:rsidRPr="00900ADE">
        <w:t>ucation</w:t>
      </w:r>
      <w:proofErr w:type="spellEnd"/>
      <w:r w:rsidR="003F4F3F" w:rsidRPr="00900ADE">
        <w:t>]</w:t>
      </w:r>
      <w:r w:rsidR="00434F4D" w:rsidRPr="00900ADE">
        <w:t xml:space="preserve"> classes and supports and EL</w:t>
      </w:r>
      <w:r w:rsidR="00E35EFD" w:rsidRPr="00900ADE">
        <w:t xml:space="preserve"> [English </w:t>
      </w:r>
      <w:r w:rsidR="00B3493F" w:rsidRPr="00900ADE">
        <w:t>language support</w:t>
      </w:r>
      <w:r w:rsidR="00E35EFD" w:rsidRPr="00900ADE">
        <w:t>]</w:t>
      </w:r>
      <w:r w:rsidR="00434F4D" w:rsidRPr="00900ADE">
        <w:t>, special ed</w:t>
      </w:r>
      <w:r w:rsidR="00992DE6">
        <w:t>[</w:t>
      </w:r>
      <w:proofErr w:type="spellStart"/>
      <w:r w:rsidR="00992DE6">
        <w:t>ucation</w:t>
      </w:r>
      <w:proofErr w:type="spellEnd"/>
      <w:r w:rsidR="00992DE6">
        <w:t>]</w:t>
      </w:r>
      <w:r w:rsidR="00434F4D" w:rsidRPr="00900ADE">
        <w:t xml:space="preserve"> always takes precedence. In fact, someone told me once it trumps EL </w:t>
      </w:r>
      <w:r w:rsidR="00E35EFD" w:rsidRPr="00900ADE">
        <w:t xml:space="preserve">[English </w:t>
      </w:r>
      <w:r w:rsidR="00B3493F" w:rsidRPr="00900ADE">
        <w:t>Learner</w:t>
      </w:r>
      <w:r w:rsidR="00E35EFD" w:rsidRPr="00900ADE">
        <w:t xml:space="preserve">] </w:t>
      </w:r>
      <w:r w:rsidR="00434F4D" w:rsidRPr="00900ADE">
        <w:t xml:space="preserve">support.” </w:t>
      </w:r>
      <w:r w:rsidR="003F4F3F" w:rsidRPr="00900ADE">
        <w:t>T</w:t>
      </w:r>
      <w:r w:rsidR="00AD4872" w:rsidRPr="00900ADE">
        <w:t xml:space="preserve">eachers </w:t>
      </w:r>
      <w:r w:rsidR="003F4F3F" w:rsidRPr="00900ADE">
        <w:t xml:space="preserve">also </w:t>
      </w:r>
      <w:r w:rsidR="00AD4872" w:rsidRPr="00900ADE">
        <w:t>reported that professional development has not addressed how to develop supports for English Learners</w:t>
      </w:r>
      <w:r w:rsidR="004543D4">
        <w:t xml:space="preserve"> in general education classrooms</w:t>
      </w:r>
      <w:r w:rsidR="00AD4872" w:rsidRPr="00900ADE">
        <w:t xml:space="preserve">. District leaders mentioned that the English Learner </w:t>
      </w:r>
      <w:r w:rsidR="003F4F3F" w:rsidRPr="00900ADE">
        <w:t>e</w:t>
      </w:r>
      <w:r w:rsidR="00AD4872" w:rsidRPr="00900ADE">
        <w:t xml:space="preserve">ducation coordinator is a new districtwide position created this year. Staff reported that </w:t>
      </w:r>
      <w:r w:rsidR="003F4F3F" w:rsidRPr="00900ADE">
        <w:t xml:space="preserve">although </w:t>
      </w:r>
      <w:r w:rsidR="00AD4872" w:rsidRPr="00900ADE">
        <w:t xml:space="preserve">the district is responding to </w:t>
      </w:r>
      <w:r w:rsidR="00367485">
        <w:t>both</w:t>
      </w:r>
      <w:r w:rsidR="00AD4872" w:rsidRPr="00900ADE">
        <w:t xml:space="preserve"> increased </w:t>
      </w:r>
      <w:r w:rsidR="009E0760">
        <w:t xml:space="preserve">English Learner </w:t>
      </w:r>
      <w:r w:rsidR="00367485">
        <w:t>student</w:t>
      </w:r>
      <w:r w:rsidR="00AD4872" w:rsidRPr="00900ADE">
        <w:t xml:space="preserve"> needs</w:t>
      </w:r>
      <w:r w:rsidR="009E0760">
        <w:t xml:space="preserve"> and teachers’ need for support</w:t>
      </w:r>
      <w:r w:rsidR="00AD4872" w:rsidRPr="00900ADE">
        <w:t>, these needs are not always met.</w:t>
      </w:r>
    </w:p>
    <w:p w14:paraId="576CD77F" w14:textId="4410BA13" w:rsidR="005E5509" w:rsidRPr="00900ADE" w:rsidRDefault="005E5509" w:rsidP="00E01A56">
      <w:pPr>
        <w:pStyle w:val="BodyText"/>
        <w:rPr>
          <w:rFonts w:cs="Tahoma (Body CS)"/>
          <w:spacing w:val="-2"/>
        </w:rPr>
      </w:pPr>
      <w:r w:rsidRPr="00900ADE">
        <w:rPr>
          <w:rFonts w:cs="Tahoma (Body CS)"/>
          <w:spacing w:val="-2"/>
        </w:rPr>
        <w:t xml:space="preserve">The district offers </w:t>
      </w:r>
      <w:r w:rsidR="00D301F1">
        <w:rPr>
          <w:rFonts w:cs="Tahoma (Body CS)"/>
          <w:spacing w:val="-2"/>
        </w:rPr>
        <w:t>advanced learning opportunities at both the middle and high school levels, but there are some barriers to accessing these courses</w:t>
      </w:r>
      <w:r w:rsidRPr="00900ADE">
        <w:rPr>
          <w:rFonts w:cs="Tahoma (Body CS)"/>
          <w:spacing w:val="-2"/>
        </w:rPr>
        <w:t>. For example, at the middle school level, accelerated math</w:t>
      </w:r>
      <w:r w:rsidR="003F4F3F" w:rsidRPr="00900ADE">
        <w:rPr>
          <w:rFonts w:cs="Tahoma (Body CS)"/>
          <w:spacing w:val="-2"/>
        </w:rPr>
        <w:t>ematics</w:t>
      </w:r>
      <w:r w:rsidRPr="00900ADE">
        <w:rPr>
          <w:rFonts w:cs="Tahoma (Body CS)"/>
          <w:spacing w:val="-2"/>
        </w:rPr>
        <w:t xml:space="preserve"> classes require teacher recommendations, </w:t>
      </w:r>
      <w:r w:rsidR="003F4F3F" w:rsidRPr="00900ADE">
        <w:rPr>
          <w:rFonts w:cs="Tahoma (Body CS)"/>
          <w:spacing w:val="-2"/>
        </w:rPr>
        <w:t>al</w:t>
      </w:r>
      <w:r w:rsidRPr="00900ADE">
        <w:rPr>
          <w:rFonts w:cs="Tahoma (Body CS)"/>
          <w:spacing w:val="-2"/>
        </w:rPr>
        <w:t>though families can request placement. School staff review data midyear to assess whether students can move to different math</w:t>
      </w:r>
      <w:r w:rsidR="003F4F3F" w:rsidRPr="00900ADE">
        <w:rPr>
          <w:rFonts w:cs="Tahoma (Body CS)"/>
          <w:spacing w:val="-2"/>
        </w:rPr>
        <w:t>ematics</w:t>
      </w:r>
      <w:r w:rsidRPr="00900ADE">
        <w:rPr>
          <w:rFonts w:cs="Tahoma (Body CS)"/>
          <w:spacing w:val="-2"/>
        </w:rPr>
        <w:t xml:space="preserve"> classes. </w:t>
      </w:r>
    </w:p>
    <w:p w14:paraId="4A6865C0" w14:textId="50BF4B09" w:rsidR="00B87B3A" w:rsidRPr="00900ADE" w:rsidRDefault="00404948" w:rsidP="00E01A56">
      <w:pPr>
        <w:pStyle w:val="BodyText"/>
      </w:pPr>
      <w:r w:rsidRPr="00900ADE">
        <w:t xml:space="preserve">At </w:t>
      </w:r>
      <w:r w:rsidR="00A42408" w:rsidRPr="00900ADE">
        <w:t>Medway H</w:t>
      </w:r>
      <w:r w:rsidRPr="00900ADE">
        <w:t xml:space="preserve">igh </w:t>
      </w:r>
      <w:r w:rsidR="003A3353" w:rsidRPr="00900ADE">
        <w:t>S</w:t>
      </w:r>
      <w:r w:rsidRPr="00900ADE">
        <w:t xml:space="preserve">chool, interview data and documents indicate that students </w:t>
      </w:r>
      <w:r w:rsidR="00B6485A">
        <w:t xml:space="preserve">generally </w:t>
      </w:r>
      <w:r w:rsidRPr="00900ADE">
        <w:t xml:space="preserve">have equitable access to learning opportunities. </w:t>
      </w:r>
      <w:r w:rsidR="003E163D" w:rsidRPr="00900ADE">
        <w:t xml:space="preserve">A review of Medway High School’s course catalogue indicated that </w:t>
      </w:r>
      <w:r w:rsidR="003F4F3F" w:rsidRPr="00900ADE">
        <w:t xml:space="preserve">the school </w:t>
      </w:r>
      <w:r w:rsidR="003A3353" w:rsidRPr="00900ADE">
        <w:t>offer</w:t>
      </w:r>
      <w:r w:rsidR="003F4F3F" w:rsidRPr="00900ADE">
        <w:t>s</w:t>
      </w:r>
      <w:r w:rsidR="003E163D" w:rsidRPr="00900ADE">
        <w:t xml:space="preserve"> a range of rigorous coursework in all grades. This coursework includes advanced courses, electives, and career and technical education courses.</w:t>
      </w:r>
      <w:r w:rsidR="000E371E" w:rsidRPr="00900ADE">
        <w:t xml:space="preserve"> </w:t>
      </w:r>
      <w:r w:rsidR="00B87B3A" w:rsidRPr="00900ADE">
        <w:t xml:space="preserve">Principals reported that the school aims to “raise the bar for all students to a college prep level because our expectation is </w:t>
      </w:r>
      <w:r w:rsidR="003F4F3F" w:rsidRPr="00900ADE">
        <w:t xml:space="preserve">[that] </w:t>
      </w:r>
      <w:r w:rsidR="00B87B3A" w:rsidRPr="00900ADE">
        <w:t>our students are either going to go to college or be prepared for a career once they leave Medway High School.” AP courses are available to any student, and the school’s “challenge by choice” program allows students to take electives at an honors level.</w:t>
      </w:r>
      <w:r w:rsidR="00036721" w:rsidRPr="00900ADE">
        <w:t xml:space="preserve"> High school </w:t>
      </w:r>
      <w:r w:rsidR="00036721" w:rsidRPr="00900ADE">
        <w:lastRenderedPageBreak/>
        <w:t xml:space="preserve">student focus group participants </w:t>
      </w:r>
      <w:r w:rsidR="0027539F" w:rsidRPr="00900ADE">
        <w:t>noted the Innovation Career Pathways program</w:t>
      </w:r>
      <w:r w:rsidR="003F4F3F" w:rsidRPr="00900ADE">
        <w:t>, which</w:t>
      </w:r>
      <w:r w:rsidR="0027539F" w:rsidRPr="00900ADE">
        <w:t xml:space="preserve"> allows students to </w:t>
      </w:r>
      <w:r w:rsidR="007F2C0B" w:rsidRPr="00900ADE">
        <w:t>take technical courses</w:t>
      </w:r>
      <w:r w:rsidR="00A04513" w:rsidRPr="00900ADE">
        <w:t xml:space="preserve"> in </w:t>
      </w:r>
      <w:r w:rsidR="00A84518" w:rsidRPr="00900ADE">
        <w:t>specific industries</w:t>
      </w:r>
      <w:r w:rsidR="00EE064C" w:rsidRPr="00900ADE">
        <w:t xml:space="preserve"> and culminates in an internship or capstone</w:t>
      </w:r>
      <w:r w:rsidR="00433C2B" w:rsidRPr="00900ADE">
        <w:t xml:space="preserve"> to prepare students for a career in their selected industry. </w:t>
      </w:r>
      <w:r w:rsidR="00965D89">
        <w:t xml:space="preserve">Teachers at the high school noted </w:t>
      </w:r>
      <w:r w:rsidR="00965D89" w:rsidRPr="00965D89">
        <w:t xml:space="preserve">that </w:t>
      </w:r>
      <w:r w:rsidR="00852487">
        <w:t xml:space="preserve">Students with Disabilities </w:t>
      </w:r>
      <w:r w:rsidR="00965D89" w:rsidRPr="00965D89">
        <w:t xml:space="preserve">have access to honors and AP classes, but English Learners do not </w:t>
      </w:r>
      <w:r w:rsidR="00740BFB">
        <w:t xml:space="preserve">always </w:t>
      </w:r>
      <w:r w:rsidR="00965D89" w:rsidRPr="00965D89">
        <w:t>have the same access</w:t>
      </w:r>
      <w:r w:rsidR="00757A0F">
        <w:t xml:space="preserve"> due to a lack of supports for them in </w:t>
      </w:r>
      <w:r w:rsidR="00FD55C8">
        <w:t>advanced learning</w:t>
      </w:r>
      <w:r w:rsidR="00757A0F">
        <w:t xml:space="preserve"> classes</w:t>
      </w:r>
      <w:r w:rsidR="00B6485A" w:rsidRPr="00900ADE">
        <w:rPr>
          <w:rFonts w:cs="Tahoma (Body CS)"/>
          <w:spacing w:val="-2"/>
        </w:rPr>
        <w:t>.</w:t>
      </w:r>
    </w:p>
    <w:p w14:paraId="3569605E" w14:textId="7E94BD0C" w:rsidR="00320588" w:rsidRPr="00900ADE" w:rsidRDefault="00ED3F95" w:rsidP="00E01A56">
      <w:pPr>
        <w:pStyle w:val="BodyText"/>
      </w:pPr>
      <w:r>
        <w:t xml:space="preserve">While the district does provide </w:t>
      </w:r>
      <w:r w:rsidR="00B87B3A" w:rsidRPr="00900ADE">
        <w:t xml:space="preserve">opportunities </w:t>
      </w:r>
      <w:r w:rsidR="00E272D3">
        <w:t xml:space="preserve">for students </w:t>
      </w:r>
      <w:r w:rsidR="005D438E">
        <w:t>to pursue advanced learning</w:t>
      </w:r>
      <w:r w:rsidR="00B87B3A" w:rsidRPr="00900ADE">
        <w:t xml:space="preserve">, teachers </w:t>
      </w:r>
      <w:r w:rsidR="00E272D3">
        <w:t xml:space="preserve">at the secondary level </w:t>
      </w:r>
      <w:r w:rsidR="00B87B3A" w:rsidRPr="00900ADE">
        <w:t>expressed concerns about inconsisten</w:t>
      </w:r>
      <w:r w:rsidR="00B422EC">
        <w:t>cies in</w:t>
      </w:r>
      <w:r w:rsidR="00F92465">
        <w:t xml:space="preserve"> </w:t>
      </w:r>
      <w:r w:rsidR="00B87B3A" w:rsidRPr="00900ADE">
        <w:t>expectations and rigor</w:t>
      </w:r>
      <w:r w:rsidR="00CF7ECF">
        <w:t xml:space="preserve"> across classes</w:t>
      </w:r>
      <w:r w:rsidR="00B87B3A">
        <w:t>.</w:t>
      </w:r>
      <w:r w:rsidR="00B87B3A" w:rsidRPr="00900ADE">
        <w:t xml:space="preserve"> Some </w:t>
      </w:r>
      <w:r w:rsidR="003F4F3F" w:rsidRPr="00900ADE">
        <w:t xml:space="preserve">teachers </w:t>
      </w:r>
      <w:r w:rsidR="00B87B3A" w:rsidRPr="00900ADE">
        <w:t>noted that grading practices do not align with student readiness, citing the statistic that 70</w:t>
      </w:r>
      <w:r w:rsidR="003F4F3F" w:rsidRPr="00900ADE">
        <w:t xml:space="preserve"> percent to </w:t>
      </w:r>
      <w:r w:rsidR="00B87B3A" w:rsidRPr="00900ADE">
        <w:t>80</w:t>
      </w:r>
      <w:r w:rsidR="003F4F3F" w:rsidRPr="00900ADE">
        <w:t xml:space="preserve"> percent</w:t>
      </w:r>
      <w:r w:rsidR="00B87B3A" w:rsidRPr="00900ADE">
        <w:t xml:space="preserve"> of the freshman class earned all A’s</w:t>
      </w:r>
      <w:r w:rsidR="00C07EF1">
        <w:t xml:space="preserve"> despite </w:t>
      </w:r>
      <w:r w:rsidR="006446F9">
        <w:t xml:space="preserve">many </w:t>
      </w:r>
      <w:r w:rsidR="00C07EF1">
        <w:t>reading below grade level</w:t>
      </w:r>
      <w:r w:rsidR="009642A8">
        <w:t>.</w:t>
      </w:r>
      <w:r w:rsidR="00B87B3A" w:rsidRPr="00900ADE">
        <w:t xml:space="preserve"> </w:t>
      </w:r>
      <w:r w:rsidR="003F4F3F" w:rsidRPr="00900ADE">
        <w:t xml:space="preserve">Data supports </w:t>
      </w:r>
      <w:r w:rsidR="00453E6E" w:rsidRPr="00900ADE">
        <w:t>this statistic</w:t>
      </w:r>
      <w:r w:rsidR="003F4F3F" w:rsidRPr="00900ADE">
        <w:t xml:space="preserve">: </w:t>
      </w:r>
      <w:r w:rsidR="00B87B3A" w:rsidRPr="00900ADE">
        <w:t xml:space="preserve">a </w:t>
      </w:r>
      <w:r w:rsidR="00B402BC">
        <w:t>94.6</w:t>
      </w:r>
      <w:r w:rsidR="003F4F3F" w:rsidRPr="00900ADE">
        <w:t xml:space="preserve"> percent</w:t>
      </w:r>
      <w:r w:rsidR="00B87B3A" w:rsidRPr="00900ADE">
        <w:t xml:space="preserve"> passing rate for </w:t>
      </w:r>
      <w:r w:rsidR="003F4F3F" w:rsidRPr="00900ADE">
        <w:t>nin</w:t>
      </w:r>
      <w:r w:rsidR="00B87B3A" w:rsidRPr="00900ADE">
        <w:t>th</w:t>
      </w:r>
      <w:r w:rsidR="003F4F3F" w:rsidRPr="00900ADE">
        <w:t>-</w:t>
      </w:r>
      <w:r w:rsidR="00B87B3A" w:rsidRPr="00900ADE">
        <w:t>grade courses</w:t>
      </w:r>
      <w:r w:rsidR="003F4F3F" w:rsidRPr="00900ADE">
        <w:t xml:space="preserve">, which is </w:t>
      </w:r>
      <w:r w:rsidR="00B402BC">
        <w:t xml:space="preserve">15.9 </w:t>
      </w:r>
      <w:r w:rsidR="00B87B3A" w:rsidRPr="00900ADE">
        <w:t xml:space="preserve">percentage points higher than the state average. </w:t>
      </w:r>
      <w:r w:rsidR="00736F26" w:rsidRPr="00900ADE">
        <w:t xml:space="preserve">Grade </w:t>
      </w:r>
      <w:r w:rsidR="00EB668A" w:rsidRPr="00900ADE">
        <w:t xml:space="preserve">9 course passing was higher than the state rate for each student group except for </w:t>
      </w:r>
      <w:r w:rsidR="00D343D9" w:rsidRPr="00900ADE">
        <w:t>S</w:t>
      </w:r>
      <w:r w:rsidR="00EB668A" w:rsidRPr="00900ADE">
        <w:t xml:space="preserve">tudents with </w:t>
      </w:r>
      <w:r w:rsidR="00D343D9" w:rsidRPr="00900ADE">
        <w:t>D</w:t>
      </w:r>
      <w:r w:rsidR="00EB668A" w:rsidRPr="00900ADE">
        <w:t>isabilities.</w:t>
      </w:r>
      <w:r w:rsidR="00F91C37" w:rsidRPr="00900ADE">
        <w:t xml:space="preserve"> </w:t>
      </w:r>
      <w:r w:rsidR="009642A8">
        <w:t xml:space="preserve">According to </w:t>
      </w:r>
      <w:r w:rsidR="00D304BF">
        <w:t>teachers in focus groups, t</w:t>
      </w:r>
      <w:r w:rsidR="009642A8">
        <w:t>he lack of rigor has resulted in students graduating from Medway</w:t>
      </w:r>
      <w:r w:rsidR="00D304BF">
        <w:t xml:space="preserve"> not being fully prepared for college, regardless of the advanced learning opportunities they have the opportunity to pursue.</w:t>
      </w:r>
      <w:r w:rsidR="009642A8">
        <w:t xml:space="preserve"> </w:t>
      </w:r>
      <w:r w:rsidR="00F91C37">
        <w:t xml:space="preserve"> </w:t>
      </w:r>
    </w:p>
    <w:p w14:paraId="0D92C3B6" w14:textId="248D8BF6" w:rsidR="00320588" w:rsidRPr="00900ADE" w:rsidRDefault="00320588" w:rsidP="00320588">
      <w:pPr>
        <w:pStyle w:val="Heading3"/>
      </w:pPr>
      <w:bookmarkStart w:id="38" w:name="_Effective_Instruction_and"/>
      <w:bookmarkEnd w:id="38"/>
      <w:r w:rsidRPr="00900ADE">
        <w:t>Effective Instruction and Curricular Implementation</w:t>
      </w:r>
    </w:p>
    <w:p w14:paraId="3A0A84EF" w14:textId="55AE73D5" w:rsidR="009D2990" w:rsidRPr="00900ADE" w:rsidRDefault="001B66C7" w:rsidP="00E01A56">
      <w:pPr>
        <w:pStyle w:val="BodyTextposthead"/>
      </w:pPr>
      <w:r w:rsidRPr="00900ADE">
        <w:t xml:space="preserve">Teachers </w:t>
      </w:r>
      <w:r w:rsidR="00C413DF">
        <w:t xml:space="preserve">across Medway </w:t>
      </w:r>
      <w:r w:rsidRPr="00900ADE">
        <w:t xml:space="preserve">generally agreed that the district </w:t>
      </w:r>
      <w:r w:rsidR="001B4F61">
        <w:t>has developed</w:t>
      </w:r>
      <w:r w:rsidRPr="00900ADE">
        <w:t xml:space="preserve"> a safe and supportive learning environment in which most students can engage in academic content.</w:t>
      </w:r>
      <w:r w:rsidR="0048505E" w:rsidRPr="00900ADE">
        <w:t xml:space="preserve"> At the elementary level, </w:t>
      </w:r>
      <w:r w:rsidR="00F26C2A" w:rsidRPr="00900ADE">
        <w:t>staff reported that their efforts include p</w:t>
      </w:r>
      <w:r w:rsidR="00273070" w:rsidRPr="00900ADE">
        <w:t>osting more student work</w:t>
      </w:r>
      <w:r w:rsidR="00535826" w:rsidRPr="00900ADE">
        <w:t xml:space="preserve"> and </w:t>
      </w:r>
      <w:r w:rsidR="004E74CB" w:rsidRPr="00900ADE">
        <w:t>welcome signs in multiple languages</w:t>
      </w:r>
      <w:r w:rsidR="00535826" w:rsidRPr="00900ADE">
        <w:t>. Most notabl</w:t>
      </w:r>
      <w:r w:rsidR="00880D8D" w:rsidRPr="00900ADE">
        <w:t>y</w:t>
      </w:r>
      <w:r w:rsidR="00535826" w:rsidRPr="00900ADE">
        <w:t>, elementary staff said</w:t>
      </w:r>
      <w:r w:rsidR="00F23C93" w:rsidRPr="00900ADE">
        <w:t xml:space="preserve"> </w:t>
      </w:r>
      <w:r w:rsidR="00880D8D" w:rsidRPr="00900ADE">
        <w:t xml:space="preserve">that </w:t>
      </w:r>
      <w:r w:rsidR="007F1159" w:rsidRPr="00900ADE">
        <w:t xml:space="preserve">the district provided </w:t>
      </w:r>
      <w:r w:rsidRPr="00900ADE">
        <w:t xml:space="preserve"> training on Responsive Classroom</w:t>
      </w:r>
      <w:r w:rsidR="00880D8D" w:rsidRPr="00900ADE">
        <w:t xml:space="preserve"> and</w:t>
      </w:r>
      <w:r w:rsidR="00B321CF" w:rsidRPr="00900ADE">
        <w:t xml:space="preserve"> </w:t>
      </w:r>
      <w:r w:rsidR="008E5453" w:rsidRPr="00900ADE">
        <w:t>coteaching models</w:t>
      </w:r>
      <w:r w:rsidR="00B321CF" w:rsidRPr="00900ADE">
        <w:t xml:space="preserve">, </w:t>
      </w:r>
      <w:r w:rsidR="00880D8D" w:rsidRPr="00900ADE">
        <w:t xml:space="preserve">along with </w:t>
      </w:r>
      <w:r w:rsidR="00E00A29" w:rsidRPr="00900ADE">
        <w:t xml:space="preserve">similar </w:t>
      </w:r>
      <w:r w:rsidR="00B321CF" w:rsidRPr="00900ADE">
        <w:t xml:space="preserve">support </w:t>
      </w:r>
      <w:r w:rsidR="00E00A29" w:rsidRPr="00900ADE">
        <w:t xml:space="preserve">for </w:t>
      </w:r>
      <w:r w:rsidR="00B321CF" w:rsidRPr="00900ADE">
        <w:t xml:space="preserve">school-based </w:t>
      </w:r>
      <w:r w:rsidR="003453B8" w:rsidRPr="00900ADE">
        <w:t>instructional leads</w:t>
      </w:r>
      <w:r w:rsidRPr="00900ADE">
        <w:t xml:space="preserve">. </w:t>
      </w:r>
    </w:p>
    <w:p w14:paraId="120A2F9E" w14:textId="2C08F5C2" w:rsidR="001B66C7" w:rsidRPr="00900ADE" w:rsidRDefault="00A80588" w:rsidP="00E01A56">
      <w:pPr>
        <w:pStyle w:val="BodyText"/>
      </w:pPr>
      <w:r w:rsidRPr="00900ADE">
        <w:t xml:space="preserve">In contrast, middle and high school staff reported </w:t>
      </w:r>
      <w:r w:rsidR="002462D5" w:rsidRPr="00900ADE">
        <w:t xml:space="preserve">no formal efforts. </w:t>
      </w:r>
      <w:r w:rsidR="00356EF2" w:rsidRPr="00900ADE">
        <w:t>Despite this, m</w:t>
      </w:r>
      <w:r w:rsidR="0050206C" w:rsidRPr="00900ADE">
        <w:t xml:space="preserve">iddle and high school students reported </w:t>
      </w:r>
      <w:r w:rsidR="00880D8D" w:rsidRPr="00900ADE">
        <w:t>having</w:t>
      </w:r>
      <w:r w:rsidR="0050206C" w:rsidRPr="00900ADE">
        <w:t xml:space="preserve"> at least one trusted adult in the building </w:t>
      </w:r>
      <w:r w:rsidR="00880D8D" w:rsidRPr="00900ADE">
        <w:t xml:space="preserve">whom they </w:t>
      </w:r>
      <w:r w:rsidR="0050206C" w:rsidRPr="00900ADE">
        <w:t xml:space="preserve">would feel comfortable going to for support (see Student Support). </w:t>
      </w:r>
      <w:r w:rsidR="001B66C7" w:rsidRPr="00900ADE">
        <w:t>High school students explained that the classroom environment is normally supportive, but</w:t>
      </w:r>
      <w:r w:rsidR="00880D8D" w:rsidRPr="00900ADE">
        <w:t xml:space="preserve"> they </w:t>
      </w:r>
      <w:r w:rsidR="00E6285E">
        <w:t xml:space="preserve">have </w:t>
      </w:r>
      <w:r w:rsidR="00880D8D" w:rsidRPr="00900ADE">
        <w:t>encountered</w:t>
      </w:r>
      <w:r w:rsidR="001B66C7" w:rsidRPr="00900ADE">
        <w:t xml:space="preserve"> </w:t>
      </w:r>
      <w:r w:rsidR="00356EF2" w:rsidRPr="00900ADE">
        <w:t xml:space="preserve">some </w:t>
      </w:r>
      <w:r w:rsidR="001B66C7" w:rsidRPr="00900ADE">
        <w:t xml:space="preserve">situations </w:t>
      </w:r>
      <w:r w:rsidR="00880D8D" w:rsidRPr="00900ADE">
        <w:t xml:space="preserve">in which </w:t>
      </w:r>
      <w:r w:rsidR="00371E12" w:rsidRPr="00900ADE">
        <w:t xml:space="preserve">class discussions or </w:t>
      </w:r>
      <w:r w:rsidR="00855893" w:rsidRPr="00900ADE">
        <w:t xml:space="preserve">the inconsistent ways that some staff </w:t>
      </w:r>
      <w:r w:rsidR="00F04EFD" w:rsidRPr="00900ADE">
        <w:t>enforced school expectations made them uncomfortable</w:t>
      </w:r>
      <w:r w:rsidR="00C55756" w:rsidRPr="00900ADE">
        <w:t>.</w:t>
      </w:r>
      <w:r w:rsidR="001B66C7" w:rsidRPr="00900ADE">
        <w:t xml:space="preserve"> </w:t>
      </w:r>
      <w:r w:rsidR="0050206C" w:rsidRPr="00900ADE">
        <w:t xml:space="preserve"> </w:t>
      </w:r>
    </w:p>
    <w:p w14:paraId="2BD1790C" w14:textId="58730F29" w:rsidR="001B66C7" w:rsidRPr="00900ADE" w:rsidRDefault="001B66C7" w:rsidP="00E01A56">
      <w:pPr>
        <w:pStyle w:val="BodyText"/>
      </w:pPr>
      <w:r w:rsidRPr="00900ADE">
        <w:t>Classroom observation scores in the middle range for dimensions in the Emotional Support domain support these depictions. These ratings suggest that teachers and students may share</w:t>
      </w:r>
      <w:r w:rsidR="00856123" w:rsidRPr="00900ADE">
        <w:t xml:space="preserve"> some</w:t>
      </w:r>
      <w:r w:rsidRPr="00900ADE">
        <w:t xml:space="preserve"> warm and supportive relationships, but </w:t>
      </w:r>
      <w:r w:rsidR="00856123" w:rsidRPr="00900ADE">
        <w:t>these are not observed in all cases</w:t>
      </w:r>
      <w:r w:rsidR="00880D8D" w:rsidRPr="00900ADE">
        <w:t>.</w:t>
      </w:r>
      <w:r w:rsidRPr="00900ADE">
        <w:t xml:space="preserve"> </w:t>
      </w:r>
      <w:r w:rsidR="00880D8D" w:rsidRPr="00900ADE">
        <w:t>T</w:t>
      </w:r>
      <w:r w:rsidRPr="00900ADE">
        <w:t>eachers are sometimes aware of student needs</w:t>
      </w:r>
      <w:r w:rsidR="00880D8D" w:rsidRPr="00900ADE">
        <w:t>,</w:t>
      </w:r>
      <w:r w:rsidRPr="00900ADE">
        <w:t xml:space="preserve"> and student choice </w:t>
      </w:r>
      <w:r w:rsidR="00824979" w:rsidRPr="00900ADE">
        <w:t xml:space="preserve">in lessons </w:t>
      </w:r>
      <w:r w:rsidRPr="00900ADE">
        <w:t xml:space="preserve">is limited. Classroom observation scores in the high range for the Negative Climate dimension suggest </w:t>
      </w:r>
      <w:r w:rsidR="00EF0F4D">
        <w:t xml:space="preserve">that </w:t>
      </w:r>
      <w:r w:rsidRPr="00900ADE">
        <w:t>classrooms have no display of negativity.</w:t>
      </w:r>
    </w:p>
    <w:p w14:paraId="290DF3BB" w14:textId="36025508" w:rsidR="00CA38E0" w:rsidRPr="00900ADE" w:rsidRDefault="00CA38E0" w:rsidP="00E01A56">
      <w:pPr>
        <w:pStyle w:val="BodyText"/>
        <w:rPr>
          <w:spacing w:val="-2"/>
        </w:rPr>
      </w:pPr>
      <w:r w:rsidRPr="00900ADE">
        <w:rPr>
          <w:spacing w:val="-2"/>
        </w:rPr>
        <w:t>According to district leaders, the district has expectations for</w:t>
      </w:r>
      <w:r w:rsidR="00880D8D" w:rsidRPr="00900ADE">
        <w:rPr>
          <w:spacing w:val="-2"/>
        </w:rPr>
        <w:t>—</w:t>
      </w:r>
      <w:r w:rsidRPr="00900ADE">
        <w:rPr>
          <w:spacing w:val="-2"/>
        </w:rPr>
        <w:t>and supports educators in</w:t>
      </w:r>
      <w:r w:rsidR="00880D8D" w:rsidRPr="00900ADE">
        <w:rPr>
          <w:spacing w:val="-2"/>
        </w:rPr>
        <w:t>—</w:t>
      </w:r>
      <w:r w:rsidRPr="00900ADE">
        <w:rPr>
          <w:spacing w:val="-2"/>
        </w:rPr>
        <w:t xml:space="preserve">implementing lessons that reflect grade-level standards and </w:t>
      </w:r>
      <w:r w:rsidR="00880D8D" w:rsidRPr="00900ADE">
        <w:rPr>
          <w:spacing w:val="-2"/>
        </w:rPr>
        <w:t xml:space="preserve">the </w:t>
      </w:r>
      <w:r w:rsidRPr="00900ADE">
        <w:rPr>
          <w:spacing w:val="-2"/>
        </w:rPr>
        <w:t xml:space="preserve">WIDA English Language Development </w:t>
      </w:r>
      <w:r w:rsidR="00880D8D" w:rsidRPr="00900ADE">
        <w:rPr>
          <w:spacing w:val="-2"/>
        </w:rPr>
        <w:t xml:space="preserve">(ELD) </w:t>
      </w:r>
      <w:r w:rsidRPr="00900ADE">
        <w:rPr>
          <w:spacing w:val="-2"/>
        </w:rPr>
        <w:t xml:space="preserve">standards. </w:t>
      </w:r>
      <w:r w:rsidR="00AC68EE" w:rsidRPr="00900ADE">
        <w:rPr>
          <w:spacing w:val="-2"/>
        </w:rPr>
        <w:t xml:space="preserve">In general, teachers at all levels described being in the early stages of </w:t>
      </w:r>
      <w:r w:rsidR="003F3FC6" w:rsidRPr="00900ADE">
        <w:rPr>
          <w:spacing w:val="-2"/>
        </w:rPr>
        <w:t>includ</w:t>
      </w:r>
      <w:r w:rsidR="00880D8D" w:rsidRPr="00900ADE">
        <w:rPr>
          <w:spacing w:val="-2"/>
        </w:rPr>
        <w:t>ing</w:t>
      </w:r>
      <w:r w:rsidR="003F3FC6" w:rsidRPr="00900ADE">
        <w:rPr>
          <w:spacing w:val="-2"/>
        </w:rPr>
        <w:t xml:space="preserve"> </w:t>
      </w:r>
      <w:r w:rsidR="00AC68EE" w:rsidRPr="00900ADE">
        <w:rPr>
          <w:spacing w:val="-2"/>
        </w:rPr>
        <w:t>language objectives</w:t>
      </w:r>
      <w:r w:rsidR="003F3FC6" w:rsidRPr="00900ADE">
        <w:rPr>
          <w:spacing w:val="-2"/>
        </w:rPr>
        <w:t xml:space="preserve"> for lessons</w:t>
      </w:r>
      <w:r w:rsidR="00AC68EE" w:rsidRPr="00900ADE">
        <w:rPr>
          <w:spacing w:val="-2"/>
        </w:rPr>
        <w:t xml:space="preserve">, but </w:t>
      </w:r>
      <w:r w:rsidR="00880D8D" w:rsidRPr="00900ADE">
        <w:rPr>
          <w:spacing w:val="-2"/>
        </w:rPr>
        <w:t xml:space="preserve">they </w:t>
      </w:r>
      <w:r w:rsidR="00EC7921" w:rsidRPr="00900ADE">
        <w:rPr>
          <w:spacing w:val="-2"/>
        </w:rPr>
        <w:t xml:space="preserve">also want more time and training. At the elementary level, </w:t>
      </w:r>
      <w:r w:rsidR="00FF42CF" w:rsidRPr="00900ADE">
        <w:rPr>
          <w:spacing w:val="-2"/>
        </w:rPr>
        <w:t xml:space="preserve">for example, </w:t>
      </w:r>
      <w:r w:rsidR="003A66A2" w:rsidRPr="00900ADE">
        <w:rPr>
          <w:spacing w:val="-2"/>
        </w:rPr>
        <w:t xml:space="preserve">staff reported that </w:t>
      </w:r>
      <w:r w:rsidR="0079682C" w:rsidRPr="00900ADE">
        <w:rPr>
          <w:spacing w:val="-2"/>
        </w:rPr>
        <w:t xml:space="preserve">some but not all staff have their </w:t>
      </w:r>
      <w:r w:rsidR="003F4F3F" w:rsidRPr="00900ADE">
        <w:rPr>
          <w:spacing w:val="-2"/>
        </w:rPr>
        <w:t xml:space="preserve">Sheltered English Immersion </w:t>
      </w:r>
      <w:r w:rsidR="0079682C" w:rsidRPr="00900ADE">
        <w:rPr>
          <w:spacing w:val="-2"/>
        </w:rPr>
        <w:t>endorsement</w:t>
      </w:r>
      <w:r w:rsidR="00880D8D" w:rsidRPr="00900ADE">
        <w:rPr>
          <w:spacing w:val="-2"/>
        </w:rPr>
        <w:t>.</w:t>
      </w:r>
      <w:r w:rsidR="00607BB2" w:rsidRPr="00900ADE">
        <w:rPr>
          <w:spacing w:val="-2"/>
        </w:rPr>
        <w:t xml:space="preserve"> </w:t>
      </w:r>
      <w:r w:rsidR="00880D8D" w:rsidRPr="00900ADE">
        <w:rPr>
          <w:spacing w:val="-2"/>
        </w:rPr>
        <w:t>I</w:t>
      </w:r>
      <w:r w:rsidR="00607BB2" w:rsidRPr="00900ADE">
        <w:rPr>
          <w:spacing w:val="-2"/>
        </w:rPr>
        <w:t>n general</w:t>
      </w:r>
      <w:r w:rsidR="00880D8D" w:rsidRPr="00900ADE">
        <w:rPr>
          <w:spacing w:val="-2"/>
        </w:rPr>
        <w:t>,</w:t>
      </w:r>
      <w:r w:rsidR="00607BB2" w:rsidRPr="00900ADE">
        <w:rPr>
          <w:spacing w:val="-2"/>
        </w:rPr>
        <w:t xml:space="preserve"> staff are in the early stages of working on language objectives: “We</w:t>
      </w:r>
      <w:r w:rsidR="00BF06F7" w:rsidRPr="00900ADE">
        <w:rPr>
          <w:spacing w:val="-2"/>
        </w:rPr>
        <w:t>’</w:t>
      </w:r>
      <w:r w:rsidR="00607BB2" w:rsidRPr="00900ADE">
        <w:rPr>
          <w:spacing w:val="-2"/>
        </w:rPr>
        <w:t>re dipping our toes and starting to get better at aligning those to the WIDA 2020 standards</w:t>
      </w:r>
      <w:r w:rsidR="00625C0E" w:rsidRPr="00900ADE">
        <w:rPr>
          <w:spacing w:val="-2"/>
        </w:rPr>
        <w:t xml:space="preserve">.” A colleague </w:t>
      </w:r>
      <w:r w:rsidR="00625C0E" w:rsidRPr="00900ADE">
        <w:rPr>
          <w:spacing w:val="-2"/>
        </w:rPr>
        <w:lastRenderedPageBreak/>
        <w:t>echoed that</w:t>
      </w:r>
      <w:r w:rsidR="000910B6" w:rsidRPr="00900ADE">
        <w:rPr>
          <w:spacing w:val="-2"/>
        </w:rPr>
        <w:t xml:space="preserve"> these goals are part of common planning time, but they </w:t>
      </w:r>
      <w:r w:rsidR="00AC6829" w:rsidRPr="00900ADE">
        <w:rPr>
          <w:spacing w:val="-2"/>
        </w:rPr>
        <w:t xml:space="preserve">would like more time with </w:t>
      </w:r>
      <w:proofErr w:type="spellStart"/>
      <w:r w:rsidR="00116876" w:rsidRPr="00900ADE">
        <w:rPr>
          <w:spacing w:val="-2"/>
        </w:rPr>
        <w:t>coteachers</w:t>
      </w:r>
      <w:proofErr w:type="spellEnd"/>
      <w:r w:rsidR="00116876" w:rsidRPr="00900ADE">
        <w:rPr>
          <w:spacing w:val="-2"/>
        </w:rPr>
        <w:t xml:space="preserve"> and colleagues to do more work in </w:t>
      </w:r>
      <w:r w:rsidR="00154D0A">
        <w:t xml:space="preserve">developing </w:t>
      </w:r>
      <w:r w:rsidR="00116876" w:rsidRPr="00900ADE">
        <w:rPr>
          <w:spacing w:val="-2"/>
        </w:rPr>
        <w:t>language objectives.</w:t>
      </w:r>
      <w:r w:rsidR="00607BB2" w:rsidRPr="00900ADE">
        <w:rPr>
          <w:spacing w:val="-2"/>
        </w:rPr>
        <w:t xml:space="preserve"> </w:t>
      </w:r>
      <w:r w:rsidRPr="00900ADE">
        <w:rPr>
          <w:spacing w:val="-2"/>
        </w:rPr>
        <w:t>Middle school teachers noted that they are working to incorporate WIDA standards based on need</w:t>
      </w:r>
      <w:r w:rsidR="00BF06F7" w:rsidRPr="00900ADE">
        <w:rPr>
          <w:spacing w:val="-2"/>
        </w:rPr>
        <w:t>s</w:t>
      </w:r>
      <w:r w:rsidRPr="00900ADE">
        <w:rPr>
          <w:spacing w:val="-2"/>
        </w:rPr>
        <w:t xml:space="preserve"> in the classroom</w:t>
      </w:r>
      <w:r w:rsidR="00406D48" w:rsidRPr="00900ADE">
        <w:rPr>
          <w:spacing w:val="-2"/>
        </w:rPr>
        <w:t>,</w:t>
      </w:r>
      <w:r w:rsidRPr="00900ADE">
        <w:rPr>
          <w:spacing w:val="-2"/>
        </w:rPr>
        <w:t xml:space="preserve"> but it is not a </w:t>
      </w:r>
      <w:r w:rsidR="00C55756" w:rsidRPr="00900ADE">
        <w:rPr>
          <w:spacing w:val="-2"/>
        </w:rPr>
        <w:t>universal</w:t>
      </w:r>
      <w:r w:rsidRPr="00900ADE">
        <w:rPr>
          <w:spacing w:val="-2"/>
        </w:rPr>
        <w:t xml:space="preserve"> expectation from the district. </w:t>
      </w:r>
      <w:r w:rsidR="00217285" w:rsidRPr="00900ADE">
        <w:rPr>
          <w:spacing w:val="-2"/>
        </w:rPr>
        <w:t xml:space="preserve">Staff at the middle school level </w:t>
      </w:r>
      <w:r w:rsidR="00BF06F7" w:rsidRPr="00900ADE">
        <w:rPr>
          <w:spacing w:val="-2"/>
        </w:rPr>
        <w:t>reported having</w:t>
      </w:r>
      <w:r w:rsidR="00217285" w:rsidRPr="00900ADE">
        <w:rPr>
          <w:spacing w:val="-2"/>
        </w:rPr>
        <w:t xml:space="preserve"> </w:t>
      </w:r>
      <w:r w:rsidR="00273C70" w:rsidRPr="00900ADE">
        <w:rPr>
          <w:spacing w:val="-2"/>
        </w:rPr>
        <w:t xml:space="preserve">“pockets of attempts” to support language objectives </w:t>
      </w:r>
      <w:r w:rsidR="00BF06F7" w:rsidRPr="00900ADE">
        <w:rPr>
          <w:spacing w:val="-2"/>
        </w:rPr>
        <w:t>and</w:t>
      </w:r>
      <w:r w:rsidR="00273C70" w:rsidRPr="00900ADE">
        <w:rPr>
          <w:spacing w:val="-2"/>
        </w:rPr>
        <w:t xml:space="preserve"> correspond with “pockets of need</w:t>
      </w:r>
      <w:r w:rsidR="008F0B6B" w:rsidRPr="00900ADE">
        <w:rPr>
          <w:spacing w:val="-2"/>
        </w:rPr>
        <w:t xml:space="preserve">,” in contrast to higher levels of need at the elementary level. </w:t>
      </w:r>
      <w:r w:rsidRPr="00900ADE">
        <w:rPr>
          <w:spacing w:val="-2"/>
        </w:rPr>
        <w:t xml:space="preserve">High school teachers agreed and explained that </w:t>
      </w:r>
      <w:r w:rsidR="00796791">
        <w:t>the district created personalized documents for all the English Learners, but teachers</w:t>
      </w:r>
      <w:r>
        <w:t xml:space="preserve"> </w:t>
      </w:r>
      <w:r w:rsidRPr="00900ADE">
        <w:rPr>
          <w:spacing w:val="-2"/>
        </w:rPr>
        <w:t xml:space="preserve">are not always able to access </w:t>
      </w:r>
      <w:r w:rsidR="00796791">
        <w:t xml:space="preserve">the </w:t>
      </w:r>
      <w:r w:rsidRPr="00900ADE">
        <w:rPr>
          <w:spacing w:val="-2"/>
        </w:rPr>
        <w:t>student documents</w:t>
      </w:r>
      <w:r w:rsidR="00BF06F7" w:rsidRPr="00900ADE">
        <w:rPr>
          <w:spacing w:val="-2"/>
        </w:rPr>
        <w:t>,</w:t>
      </w:r>
      <w:r w:rsidRPr="00900ADE">
        <w:rPr>
          <w:spacing w:val="-2"/>
        </w:rPr>
        <w:t xml:space="preserve"> so they do</w:t>
      </w:r>
      <w:r w:rsidR="00D51725">
        <w:t xml:space="preserve"> no</w:t>
      </w:r>
      <w:r w:rsidRPr="00900ADE">
        <w:rPr>
          <w:spacing w:val="-2"/>
        </w:rPr>
        <w:t xml:space="preserve">t have accurate </w:t>
      </w:r>
      <w:r w:rsidR="00DB1E60" w:rsidRPr="00900ADE">
        <w:rPr>
          <w:spacing w:val="-2"/>
        </w:rPr>
        <w:t>ELD levels</w:t>
      </w:r>
      <w:r w:rsidR="00BF06F7" w:rsidRPr="00900ADE">
        <w:rPr>
          <w:spacing w:val="-2"/>
        </w:rPr>
        <w:t>,</w:t>
      </w:r>
      <w:r w:rsidRPr="00900ADE">
        <w:rPr>
          <w:spacing w:val="-2"/>
        </w:rPr>
        <w:t xml:space="preserve"> and support</w:t>
      </w:r>
      <w:r w:rsidR="00BF06F7" w:rsidRPr="00900ADE">
        <w:rPr>
          <w:spacing w:val="-2"/>
        </w:rPr>
        <w:t xml:space="preserve"> is lacking</w:t>
      </w:r>
      <w:r w:rsidRPr="00900ADE">
        <w:rPr>
          <w:spacing w:val="-2"/>
        </w:rPr>
        <w:t xml:space="preserve"> from the district about how to best educate </w:t>
      </w:r>
      <w:r w:rsidR="00DB1E60" w:rsidRPr="00900ADE">
        <w:rPr>
          <w:spacing w:val="-2"/>
        </w:rPr>
        <w:t>English</w:t>
      </w:r>
      <w:r w:rsidRPr="00900ADE">
        <w:rPr>
          <w:spacing w:val="-2"/>
        </w:rPr>
        <w:t xml:space="preserve"> </w:t>
      </w:r>
      <w:r w:rsidR="00DB1E60" w:rsidRPr="00900ADE">
        <w:rPr>
          <w:spacing w:val="-2"/>
        </w:rPr>
        <w:t>L</w:t>
      </w:r>
      <w:r w:rsidRPr="00900ADE">
        <w:rPr>
          <w:spacing w:val="-2"/>
        </w:rPr>
        <w:t xml:space="preserve">earners. </w:t>
      </w:r>
      <w:r w:rsidR="00001EAF" w:rsidRPr="00900ADE">
        <w:rPr>
          <w:spacing w:val="-2"/>
        </w:rPr>
        <w:t xml:space="preserve">High school teachers </w:t>
      </w:r>
      <w:r w:rsidR="0070536A" w:rsidRPr="00900ADE">
        <w:rPr>
          <w:spacing w:val="-2"/>
        </w:rPr>
        <w:t xml:space="preserve">expressed frustration at the lack of resources and support for incorporating </w:t>
      </w:r>
      <w:r w:rsidR="00DB1E60" w:rsidRPr="00900ADE">
        <w:rPr>
          <w:spacing w:val="-2"/>
        </w:rPr>
        <w:t xml:space="preserve">English Learners </w:t>
      </w:r>
      <w:r w:rsidR="0070536A" w:rsidRPr="00900ADE">
        <w:rPr>
          <w:spacing w:val="-2"/>
        </w:rPr>
        <w:t>into their classrooms</w:t>
      </w:r>
      <w:r w:rsidR="00E44614" w:rsidRPr="00900ADE">
        <w:rPr>
          <w:spacing w:val="-2"/>
        </w:rPr>
        <w:t xml:space="preserve">, </w:t>
      </w:r>
      <w:r w:rsidR="00D2771D" w:rsidRPr="00900ADE">
        <w:rPr>
          <w:spacing w:val="-2"/>
        </w:rPr>
        <w:t>expressing</w:t>
      </w:r>
      <w:r w:rsidR="006C4986" w:rsidRPr="00900ADE">
        <w:rPr>
          <w:spacing w:val="-2"/>
        </w:rPr>
        <w:t xml:space="preserve"> a desire for more </w:t>
      </w:r>
      <w:r w:rsidR="00673070" w:rsidRPr="00900ADE">
        <w:rPr>
          <w:spacing w:val="-2"/>
        </w:rPr>
        <w:t>curricular resources and support</w:t>
      </w:r>
      <w:r w:rsidR="00B30FF1" w:rsidRPr="00900ADE">
        <w:rPr>
          <w:spacing w:val="-2"/>
        </w:rPr>
        <w:t>. One teacher described trying to accommodate a range of language needs in their classroom but lacking the training and resources</w:t>
      </w:r>
      <w:r w:rsidR="00BF06F7" w:rsidRPr="00900ADE">
        <w:rPr>
          <w:spacing w:val="-2"/>
        </w:rPr>
        <w:t>.</w:t>
      </w:r>
      <w:r w:rsidR="00B30FF1" w:rsidRPr="00900ADE">
        <w:rPr>
          <w:spacing w:val="-2"/>
        </w:rPr>
        <w:t xml:space="preserve"> </w:t>
      </w:r>
      <w:r w:rsidR="00BF06F7" w:rsidRPr="00900ADE">
        <w:rPr>
          <w:spacing w:val="-2"/>
        </w:rPr>
        <w:t>C</w:t>
      </w:r>
      <w:r w:rsidR="00B30FF1" w:rsidRPr="00900ADE">
        <w:rPr>
          <w:spacing w:val="-2"/>
        </w:rPr>
        <w:t>onsequently</w:t>
      </w:r>
      <w:r w:rsidR="00BF06F7" w:rsidRPr="00900ADE">
        <w:rPr>
          <w:spacing w:val="-2"/>
        </w:rPr>
        <w:t>, this teacher is</w:t>
      </w:r>
      <w:r w:rsidR="00E44614" w:rsidRPr="00900ADE">
        <w:rPr>
          <w:spacing w:val="-2"/>
        </w:rPr>
        <w:t xml:space="preserve"> </w:t>
      </w:r>
      <w:r w:rsidR="0080612A" w:rsidRPr="00900ADE">
        <w:rPr>
          <w:spacing w:val="-2"/>
        </w:rPr>
        <w:t>“feeling like I</w:t>
      </w:r>
      <w:r w:rsidR="00BF06F7" w:rsidRPr="00900ADE">
        <w:rPr>
          <w:spacing w:val="-2"/>
        </w:rPr>
        <w:t>’</w:t>
      </w:r>
      <w:r w:rsidR="0080612A" w:rsidRPr="00900ADE">
        <w:rPr>
          <w:spacing w:val="-2"/>
        </w:rPr>
        <w:t>m failing my EL</w:t>
      </w:r>
      <w:r w:rsidR="00DB1E60" w:rsidRPr="00900ADE">
        <w:rPr>
          <w:spacing w:val="-2"/>
        </w:rPr>
        <w:t xml:space="preserve"> [English Learner]</w:t>
      </w:r>
      <w:r w:rsidR="0080612A" w:rsidRPr="00900ADE">
        <w:rPr>
          <w:spacing w:val="-2"/>
        </w:rPr>
        <w:t xml:space="preserve"> students.”</w:t>
      </w:r>
      <w:r w:rsidR="00116876" w:rsidRPr="00900ADE">
        <w:rPr>
          <w:spacing w:val="-2"/>
        </w:rPr>
        <w:t xml:space="preserve"> Teachers, in general, disagreed that the district requires teachers </w:t>
      </w:r>
      <w:r w:rsidR="00BF06F7" w:rsidRPr="00900ADE">
        <w:rPr>
          <w:spacing w:val="-2"/>
        </w:rPr>
        <w:t xml:space="preserve">to </w:t>
      </w:r>
      <w:r w:rsidR="00116876" w:rsidRPr="00900ADE">
        <w:rPr>
          <w:spacing w:val="-2"/>
        </w:rPr>
        <w:t>identify both content and language objectives for all lessons</w:t>
      </w:r>
      <w:r w:rsidR="002F6A37">
        <w:rPr>
          <w:spacing w:val="-2"/>
        </w:rPr>
        <w:t>, which is an area of growth for the district</w:t>
      </w:r>
      <w:r w:rsidR="00116876" w:rsidRPr="00900ADE">
        <w:rPr>
          <w:spacing w:val="-2"/>
        </w:rPr>
        <w:t xml:space="preserve">. </w:t>
      </w:r>
    </w:p>
    <w:p w14:paraId="45A7156A" w14:textId="6E5777EC" w:rsidR="004175DD" w:rsidRPr="00900ADE" w:rsidRDefault="00DB1E60" w:rsidP="00E01A56">
      <w:pPr>
        <w:pStyle w:val="BodyText"/>
      </w:pPr>
      <w:r w:rsidRPr="00900ADE">
        <w:t>E</w:t>
      </w:r>
      <w:r w:rsidR="004175DD" w:rsidRPr="00900ADE">
        <w:t>lementary and middle school teacher</w:t>
      </w:r>
      <w:r w:rsidRPr="00900ADE">
        <w:t xml:space="preserve">s </w:t>
      </w:r>
      <w:r w:rsidR="000433FF" w:rsidRPr="00900ADE">
        <w:t>indicated that</w:t>
      </w:r>
      <w:r w:rsidR="004175DD" w:rsidRPr="00900ADE">
        <w:t xml:space="preserve"> their schools mostly support them in implementing evidence-based instructional practices by providing professional development</w:t>
      </w:r>
      <w:r w:rsidR="000433FF" w:rsidRPr="00900ADE">
        <w:t xml:space="preserve"> and offering</w:t>
      </w:r>
      <w:r w:rsidR="004175DD" w:rsidRPr="00900ADE">
        <w:t xml:space="preserve"> </w:t>
      </w:r>
      <w:r w:rsidR="00BF06F7" w:rsidRPr="00900ADE">
        <w:t>professional learning communities (</w:t>
      </w:r>
      <w:r w:rsidR="004175DD" w:rsidRPr="00900ADE">
        <w:t>PLCs</w:t>
      </w:r>
      <w:r w:rsidR="00BF06F7" w:rsidRPr="00900ADE">
        <w:t>)</w:t>
      </w:r>
      <w:r w:rsidR="004175DD" w:rsidRPr="00900ADE">
        <w:t xml:space="preserve"> led by coaches, consultants, or instructional leaders</w:t>
      </w:r>
      <w:r w:rsidR="00856123" w:rsidRPr="00900ADE">
        <w:t>.</w:t>
      </w:r>
      <w:r w:rsidR="004175DD" w:rsidRPr="00900ADE">
        <w:t xml:space="preserve"> However, middle school teachers noted that it would be beneficial for the district to “give time to build </w:t>
      </w:r>
      <w:r w:rsidR="009B2FA3" w:rsidRPr="00900ADE">
        <w:t xml:space="preserve">[on] </w:t>
      </w:r>
      <w:r w:rsidR="004175DD" w:rsidRPr="00900ADE">
        <w:t>the thing</w:t>
      </w:r>
      <w:r w:rsidR="009B2FA3" w:rsidRPr="00900ADE">
        <w:t>s</w:t>
      </w:r>
      <w:r w:rsidR="004175DD" w:rsidRPr="00900ADE">
        <w:t xml:space="preserve"> we learn at </w:t>
      </w:r>
      <w:r w:rsidR="00E71AE5" w:rsidRPr="00900ADE">
        <w:t>[professional development]</w:t>
      </w:r>
      <w:r w:rsidR="004175DD" w:rsidRPr="00900ADE">
        <w:t xml:space="preserve">.” As </w:t>
      </w:r>
      <w:r w:rsidR="000433FF" w:rsidRPr="00900ADE">
        <w:t xml:space="preserve">previously </w:t>
      </w:r>
      <w:r w:rsidR="004175DD" w:rsidRPr="00900ADE">
        <w:t>mentioned, high school teachers reported that instructional practices are discussed</w:t>
      </w:r>
      <w:r w:rsidR="00BF06F7" w:rsidRPr="00900ADE">
        <w:t>,</w:t>
      </w:r>
      <w:r w:rsidR="004175DD" w:rsidRPr="00900ADE">
        <w:t xml:space="preserve"> but they do not have</w:t>
      </w:r>
      <w:r w:rsidR="000433FF" w:rsidRPr="00900ADE">
        <w:t xml:space="preserve"> a</w:t>
      </w:r>
      <w:r w:rsidR="004175DD" w:rsidRPr="00900ADE">
        <w:t xml:space="preserve"> common understanding of </w:t>
      </w:r>
      <w:r w:rsidR="000433FF" w:rsidRPr="00900ADE">
        <w:t>expectations for</w:t>
      </w:r>
      <w:r w:rsidR="004175DD" w:rsidRPr="00900ADE">
        <w:t xml:space="preserve"> i</w:t>
      </w:r>
      <w:r w:rsidR="000433FF" w:rsidRPr="00900ADE">
        <w:t>nstruction</w:t>
      </w:r>
      <w:r w:rsidR="00BF06F7" w:rsidRPr="00900ADE">
        <w:t>.</w:t>
      </w:r>
      <w:r w:rsidR="0071537A" w:rsidRPr="00900ADE">
        <w:t xml:space="preserve"> </w:t>
      </w:r>
      <w:r w:rsidR="00BF06F7" w:rsidRPr="00900ADE">
        <w:t>O</w:t>
      </w:r>
      <w:r w:rsidR="00BB21E1" w:rsidRPr="00900ADE">
        <w:t>ne teacher said</w:t>
      </w:r>
      <w:r w:rsidR="00BF06F7" w:rsidRPr="00900ADE">
        <w:t>,</w:t>
      </w:r>
      <w:r w:rsidR="00BB21E1" w:rsidRPr="00900ADE">
        <w:t xml:space="preserve"> “I</w:t>
      </w:r>
      <w:r w:rsidR="00BF06F7" w:rsidRPr="00900ADE">
        <w:t>’</w:t>
      </w:r>
      <w:r w:rsidR="00BB21E1" w:rsidRPr="00900ADE">
        <w:t>m not really sure [</w:t>
      </w:r>
      <w:r w:rsidR="00BF06F7" w:rsidRPr="00900ADE">
        <w:t xml:space="preserve">that </w:t>
      </w:r>
      <w:r w:rsidR="00BB21E1" w:rsidRPr="00900ADE">
        <w:t>good instruction has] ever been defined for us in a meaningful way and that</w:t>
      </w:r>
      <w:r w:rsidR="00BF06F7" w:rsidRPr="00900ADE">
        <w:t>’</w:t>
      </w:r>
      <w:r w:rsidR="00BB21E1" w:rsidRPr="00900ADE">
        <w:t>s a usable way</w:t>
      </w:r>
      <w:r w:rsidR="004175DD" w:rsidRPr="00900ADE">
        <w:t>.</w:t>
      </w:r>
      <w:r w:rsidR="00126D0B" w:rsidRPr="00900ADE">
        <w:t>”</w:t>
      </w:r>
      <w:r w:rsidR="004175DD" w:rsidRPr="00900ADE">
        <w:t xml:space="preserve"> </w:t>
      </w:r>
      <w:r w:rsidR="004175DD" w:rsidRPr="00771AE9">
        <w:t xml:space="preserve"> </w:t>
      </w:r>
    </w:p>
    <w:p w14:paraId="35ED6969" w14:textId="74AA8ACF" w:rsidR="004175DD" w:rsidRPr="00900ADE" w:rsidRDefault="004175DD" w:rsidP="00E01A56">
      <w:pPr>
        <w:pStyle w:val="BodyText"/>
      </w:pPr>
      <w:r w:rsidRPr="00900ADE">
        <w:t xml:space="preserve">Middle school students agreed that instruction varies and </w:t>
      </w:r>
      <w:r w:rsidR="00BF335D" w:rsidRPr="00900ADE">
        <w:t xml:space="preserve">shared that </w:t>
      </w:r>
      <w:r w:rsidRPr="00900ADE">
        <w:t xml:space="preserve">some classes </w:t>
      </w:r>
      <w:r w:rsidR="00BF335D" w:rsidRPr="00900ADE">
        <w:t>offer</w:t>
      </w:r>
      <w:r w:rsidRPr="00900ADE">
        <w:t xml:space="preserve"> hands-on and engaging work, but other</w:t>
      </w:r>
      <w:r w:rsidR="00BF06F7" w:rsidRPr="00900ADE">
        <w:t xml:space="preserve"> classe</w:t>
      </w:r>
      <w:r w:rsidRPr="00900ADE">
        <w:t xml:space="preserve">s </w:t>
      </w:r>
      <w:r w:rsidR="00BF06F7" w:rsidRPr="00900ADE">
        <w:t>are</w:t>
      </w:r>
      <w:r w:rsidRPr="00900ADE">
        <w:t xml:space="preserve"> more </w:t>
      </w:r>
      <w:r w:rsidR="00DF100A">
        <w:t>lecture-based</w:t>
      </w:r>
      <w:r w:rsidRPr="00900ADE">
        <w:t xml:space="preserve"> and individual work. </w:t>
      </w:r>
      <w:r w:rsidR="00D74D2A" w:rsidRPr="00900ADE">
        <w:t>S</w:t>
      </w:r>
      <w:r w:rsidRPr="00900ADE">
        <w:t xml:space="preserve">tudents </w:t>
      </w:r>
      <w:r w:rsidR="00F24DB0" w:rsidRPr="00900ADE">
        <w:t>reported not liking the “</w:t>
      </w:r>
      <w:r w:rsidRPr="00900ADE">
        <w:t>new DKP</w:t>
      </w:r>
      <w:r w:rsidR="00BF335D" w:rsidRPr="00900ADE">
        <w:t xml:space="preserve"> [Democratic Knowledge Project]</w:t>
      </w:r>
      <w:r w:rsidRPr="00900ADE">
        <w:t xml:space="preserve"> program for histor</w:t>
      </w:r>
      <w:r w:rsidR="00F24DB0" w:rsidRPr="00900ADE">
        <w:t xml:space="preserve">y” </w:t>
      </w:r>
      <w:r w:rsidR="00BF06F7" w:rsidRPr="00900ADE">
        <w:t>because of its</w:t>
      </w:r>
      <w:r w:rsidR="00F24DB0" w:rsidRPr="00900ADE">
        <w:t xml:space="preserve"> emphasis on listening over hands-on learning. In contrast, high school students praised the </w:t>
      </w:r>
      <w:r w:rsidR="00924A3E" w:rsidRPr="00900ADE">
        <w:t>math</w:t>
      </w:r>
      <w:r w:rsidR="00BF06F7" w:rsidRPr="00900ADE">
        <w:t>ematics</w:t>
      </w:r>
      <w:r w:rsidR="00924A3E" w:rsidRPr="00900ADE">
        <w:t xml:space="preserve"> program</w:t>
      </w:r>
      <w:r w:rsidR="003C292A" w:rsidRPr="00900ADE">
        <w:t xml:space="preserve"> (Illustrative Math)</w:t>
      </w:r>
      <w:r w:rsidR="00924A3E" w:rsidRPr="00900ADE">
        <w:t xml:space="preserve"> </w:t>
      </w:r>
      <w:r w:rsidR="00F24DB0" w:rsidRPr="00900ADE">
        <w:t>as</w:t>
      </w:r>
      <w:r w:rsidR="003C292A" w:rsidRPr="00900ADE">
        <w:t xml:space="preserve"> </w:t>
      </w:r>
      <w:r w:rsidR="00B456F7" w:rsidRPr="00900ADE">
        <w:t>“</w:t>
      </w:r>
      <w:r w:rsidR="00924A3E" w:rsidRPr="00900ADE">
        <w:t>really great because it brings a lot of people that wouldn’t usually work together, together to do math.”</w:t>
      </w:r>
      <w:r w:rsidR="00F24DB0" w:rsidRPr="00900ADE">
        <w:t xml:space="preserve"> </w:t>
      </w:r>
      <w:r w:rsidR="00154069">
        <w:t>However, h</w:t>
      </w:r>
      <w:r w:rsidR="002064CA" w:rsidRPr="00900ADE">
        <w:t>igh school students explained that the classroom experience varies based on the class</w:t>
      </w:r>
      <w:r w:rsidR="00BF06F7" w:rsidRPr="00900ADE">
        <w:t>.</w:t>
      </w:r>
      <w:r w:rsidR="002064CA" w:rsidRPr="00900ADE">
        <w:t xml:space="preserve"> </w:t>
      </w:r>
      <w:r w:rsidR="00BF06F7" w:rsidRPr="00900ADE">
        <w:t>F</w:t>
      </w:r>
      <w:r w:rsidR="002064CA" w:rsidRPr="00900ADE">
        <w:t>or example</w:t>
      </w:r>
      <w:r w:rsidR="00BF06F7" w:rsidRPr="00900ADE">
        <w:t>,</w:t>
      </w:r>
      <w:r w:rsidR="002064CA" w:rsidRPr="00900ADE">
        <w:t xml:space="preserve"> they noted </w:t>
      </w:r>
      <w:r w:rsidR="00BF06F7" w:rsidRPr="00900ADE">
        <w:t>being</w:t>
      </w:r>
      <w:r w:rsidR="002064CA" w:rsidRPr="00900ADE">
        <w:t xml:space="preserve"> asked to explain thinking in classes </w:t>
      </w:r>
      <w:r w:rsidR="00BF06F7" w:rsidRPr="00900ADE">
        <w:t xml:space="preserve">such as </w:t>
      </w:r>
      <w:r w:rsidR="002064CA" w:rsidRPr="00900ADE">
        <w:t>stat</w:t>
      </w:r>
      <w:r w:rsidR="00B456F7" w:rsidRPr="00900ADE">
        <w:t>istic</w:t>
      </w:r>
      <w:r w:rsidR="002064CA" w:rsidRPr="00900ADE">
        <w:t xml:space="preserve">s, psychology, or AP classes but not as often in other courses. </w:t>
      </w:r>
      <w:r w:rsidR="00BF06F7" w:rsidRPr="00900ADE">
        <w:t>H</w:t>
      </w:r>
      <w:r w:rsidR="002064CA" w:rsidRPr="00900ADE">
        <w:t xml:space="preserve">igh school students </w:t>
      </w:r>
      <w:r w:rsidR="00E33566" w:rsidRPr="00900ADE">
        <w:t xml:space="preserve">also </w:t>
      </w:r>
      <w:r w:rsidR="002064CA" w:rsidRPr="00900ADE">
        <w:t xml:space="preserve">noted that “certain teachers could probably be told to just like help a little bit more, like, </w:t>
      </w:r>
      <w:r w:rsidR="00E33566" w:rsidRPr="00900ADE">
        <w:t>. . .</w:t>
      </w:r>
      <w:r w:rsidR="002064CA" w:rsidRPr="00900ADE">
        <w:t xml:space="preserve"> explain stuff and just interact with students more instead of just like giving out work.”</w:t>
      </w:r>
    </w:p>
    <w:p w14:paraId="13376D8E" w14:textId="20D077E9" w:rsidR="00320588" w:rsidRPr="00900ADE" w:rsidRDefault="004175DD" w:rsidP="00E01A56">
      <w:pPr>
        <w:pStyle w:val="BodyText"/>
        <w:rPr>
          <w:b/>
          <w:bCs/>
        </w:rPr>
      </w:pPr>
      <w:r w:rsidRPr="00900ADE">
        <w:t xml:space="preserve">Classroom observation scores in the low to middle range for dimensions in the Instructional Support domain </w:t>
      </w:r>
      <w:r w:rsidR="00714CAA">
        <w:t>illustrate</w:t>
      </w:r>
      <w:r w:rsidR="00E33566" w:rsidRPr="00900ADE">
        <w:t xml:space="preserve"> </w:t>
      </w:r>
      <w:r w:rsidRPr="00900ADE">
        <w:t>these depictions and suggest that teachers sometimes facilitate engagement in lessons</w:t>
      </w:r>
      <w:r w:rsidR="002B514A" w:rsidRPr="00900ADE">
        <w:t>.</w:t>
      </w:r>
      <w:r w:rsidRPr="00900ADE">
        <w:t xml:space="preserve"> </w:t>
      </w:r>
      <w:r w:rsidR="002B514A" w:rsidRPr="00900ADE">
        <w:t>Students have</w:t>
      </w:r>
      <w:r w:rsidRPr="00900ADE">
        <w:t xml:space="preserve"> few opportunities to create or generate ideas</w:t>
      </w:r>
      <w:r w:rsidR="002B514A" w:rsidRPr="00900ADE">
        <w:t>.</w:t>
      </w:r>
      <w:r w:rsidRPr="00900ADE">
        <w:t xml:space="preserve"> </w:t>
      </w:r>
      <w:r w:rsidR="002B514A" w:rsidRPr="00900ADE">
        <w:t>T</w:t>
      </w:r>
      <w:r w:rsidRPr="00900ADE">
        <w:t xml:space="preserve">he focus of the class is sometimes on meaningful discussion and </w:t>
      </w:r>
      <w:r w:rsidR="002B514A" w:rsidRPr="00900ADE">
        <w:t xml:space="preserve">the </w:t>
      </w:r>
      <w:r w:rsidRPr="00900ADE">
        <w:t>explanation of broad, organizing ideas</w:t>
      </w:r>
      <w:r w:rsidR="002B514A" w:rsidRPr="00900ADE">
        <w:t>, but</w:t>
      </w:r>
      <w:r w:rsidRPr="00900ADE">
        <w:t xml:space="preserve"> students do not </w:t>
      </w:r>
      <w:r w:rsidR="007D1C8F" w:rsidRPr="00900ADE">
        <w:t xml:space="preserve">always </w:t>
      </w:r>
      <w:r w:rsidRPr="00900ADE">
        <w:t>engage in higher</w:t>
      </w:r>
      <w:r w:rsidR="002B514A" w:rsidRPr="00900ADE">
        <w:t>-</w:t>
      </w:r>
      <w:r w:rsidRPr="00900ADE">
        <w:t>order thinking skills</w:t>
      </w:r>
      <w:r w:rsidR="002B514A" w:rsidRPr="00900ADE">
        <w:t>.</w:t>
      </w:r>
      <w:r w:rsidRPr="00900ADE">
        <w:t xml:space="preserve"> </w:t>
      </w:r>
      <w:r w:rsidR="002B514A" w:rsidRPr="00900ADE">
        <w:t>T</w:t>
      </w:r>
      <w:r w:rsidRPr="00900ADE">
        <w:t xml:space="preserve">eachers sometimes facilitate feedback loops to allow students to elaborate and expand </w:t>
      </w:r>
      <w:r w:rsidR="002B514A" w:rsidRPr="00900ADE">
        <w:t xml:space="preserve">on </w:t>
      </w:r>
      <w:r w:rsidRPr="00900ADE">
        <w:t>their thinking</w:t>
      </w:r>
      <w:r w:rsidR="002B514A" w:rsidRPr="00900ADE">
        <w:t>, but</w:t>
      </w:r>
      <w:r w:rsidRPr="00900ADE">
        <w:t xml:space="preserve"> there are no or few discussions in class.</w:t>
      </w:r>
    </w:p>
    <w:p w14:paraId="40D5D3FE" w14:textId="25427CFD" w:rsidR="002B4CEF" w:rsidRPr="00900ADE" w:rsidRDefault="002B4CEF" w:rsidP="002B4CEF">
      <w:pPr>
        <w:pStyle w:val="Heading3"/>
      </w:pPr>
      <w:r w:rsidRPr="00900ADE">
        <w:lastRenderedPageBreak/>
        <w:t>DESE Recommendations</w:t>
      </w:r>
    </w:p>
    <w:p w14:paraId="66327CBB" w14:textId="2709CD18" w:rsidR="002B4CEF" w:rsidRPr="007452C9" w:rsidRDefault="001A7B14" w:rsidP="002B4CEF">
      <w:pPr>
        <w:pStyle w:val="Bullet1"/>
        <w:rPr>
          <w:bCs/>
        </w:rPr>
      </w:pPr>
      <w:r>
        <w:rPr>
          <w:i/>
          <w:iCs/>
        </w:rPr>
        <w:t>The district should develop and widely distribute a</w:t>
      </w:r>
      <w:r w:rsidR="007452C9">
        <w:rPr>
          <w:i/>
          <w:iCs/>
        </w:rPr>
        <w:t xml:space="preserve"> vision of instruction for the district. </w:t>
      </w:r>
    </w:p>
    <w:p w14:paraId="2D41485E" w14:textId="4D9C151E" w:rsidR="007452C9" w:rsidRPr="006853EE" w:rsidRDefault="006473FE" w:rsidP="002B4CEF">
      <w:pPr>
        <w:pStyle w:val="Bullet1"/>
        <w:rPr>
          <w:i/>
        </w:rPr>
      </w:pPr>
      <w:r>
        <w:rPr>
          <w:i/>
        </w:rPr>
        <w:t>The district should work with high school leaders to</w:t>
      </w:r>
      <w:r w:rsidR="009433A4">
        <w:rPr>
          <w:i/>
        </w:rPr>
        <w:t xml:space="preserve"> identify, define, and monitor an instructional model that allows for alignment across the district.</w:t>
      </w:r>
      <w:r>
        <w:rPr>
          <w:i/>
        </w:rPr>
        <w:t xml:space="preserve"> </w:t>
      </w:r>
    </w:p>
    <w:p w14:paraId="2E1FDF10" w14:textId="77E30BB8" w:rsidR="00196AE3" w:rsidRPr="006853EE" w:rsidRDefault="00196AE3" w:rsidP="002B4CEF">
      <w:pPr>
        <w:pStyle w:val="Bullet1"/>
        <w:rPr>
          <w:i/>
        </w:rPr>
      </w:pPr>
      <w:r w:rsidRPr="006853EE">
        <w:rPr>
          <w:i/>
        </w:rPr>
        <w:t xml:space="preserve">The district should </w:t>
      </w:r>
      <w:r w:rsidR="00BA2986">
        <w:rPr>
          <w:i/>
        </w:rPr>
        <w:t>implement and follow</w:t>
      </w:r>
      <w:r w:rsidRPr="006853EE">
        <w:rPr>
          <w:i/>
        </w:rPr>
        <w:t xml:space="preserve"> a</w:t>
      </w:r>
      <w:r w:rsidR="00DE248E" w:rsidRPr="006853EE">
        <w:rPr>
          <w:i/>
        </w:rPr>
        <w:t xml:space="preserve"> consistent district-wide system for </w:t>
      </w:r>
      <w:r w:rsidR="0026247D" w:rsidRPr="006853EE">
        <w:rPr>
          <w:i/>
        </w:rPr>
        <w:t xml:space="preserve">reviewing and selecting </w:t>
      </w:r>
      <w:r w:rsidR="00752106">
        <w:rPr>
          <w:i/>
        </w:rPr>
        <w:t>high-quality</w:t>
      </w:r>
      <w:r w:rsidR="0026247D" w:rsidRPr="006853EE">
        <w:rPr>
          <w:i/>
        </w:rPr>
        <w:t xml:space="preserve"> instructional materials across grade levels and content areas. </w:t>
      </w:r>
    </w:p>
    <w:p w14:paraId="30020B7B" w14:textId="7071712D" w:rsidR="0026247D" w:rsidRPr="006853EE" w:rsidRDefault="0066500A" w:rsidP="002B4CEF">
      <w:pPr>
        <w:pStyle w:val="Bullet1"/>
        <w:rPr>
          <w:i/>
        </w:rPr>
      </w:pPr>
      <w:r w:rsidRPr="006853EE">
        <w:rPr>
          <w:i/>
        </w:rPr>
        <w:t xml:space="preserve">The district should adopt </w:t>
      </w:r>
      <w:r w:rsidR="00752106">
        <w:rPr>
          <w:i/>
        </w:rPr>
        <w:t>high-quality</w:t>
      </w:r>
      <w:r w:rsidR="00DB721F" w:rsidRPr="006853EE">
        <w:rPr>
          <w:i/>
        </w:rPr>
        <w:t xml:space="preserve"> instructional materials that are vertically aligned</w:t>
      </w:r>
      <w:r w:rsidR="00854805" w:rsidRPr="006853EE">
        <w:rPr>
          <w:i/>
        </w:rPr>
        <w:t xml:space="preserve"> to support curricular coherence across grade levels. </w:t>
      </w:r>
    </w:p>
    <w:p w14:paraId="497AA230" w14:textId="4A8F2620" w:rsidR="00854805" w:rsidRDefault="00B6128C" w:rsidP="002B4CEF">
      <w:pPr>
        <w:pStyle w:val="Bullet1"/>
        <w:rPr>
          <w:i/>
        </w:rPr>
      </w:pPr>
      <w:r w:rsidRPr="006853EE">
        <w:rPr>
          <w:i/>
        </w:rPr>
        <w:t xml:space="preserve">The district should examine its MTSS and </w:t>
      </w:r>
      <w:r w:rsidR="007223C7" w:rsidRPr="006853EE">
        <w:rPr>
          <w:i/>
        </w:rPr>
        <w:t xml:space="preserve">implement a consistent approach to identifying student needs and connecting students to interventions. </w:t>
      </w:r>
    </w:p>
    <w:p w14:paraId="57A519BB" w14:textId="5C170CBE" w:rsidR="007A2CD3" w:rsidRPr="006853EE" w:rsidRDefault="007A2CD3" w:rsidP="002B4CEF">
      <w:pPr>
        <w:pStyle w:val="Bullet1"/>
        <w:rPr>
          <w:i/>
        </w:rPr>
      </w:pPr>
      <w:r>
        <w:rPr>
          <w:i/>
        </w:rPr>
        <w:t>In partnership with school leaders and teachers, the district should set expectations</w:t>
      </w:r>
      <w:r w:rsidR="00725C01">
        <w:rPr>
          <w:i/>
        </w:rPr>
        <w:t xml:space="preserve"> around identifying content and language objectives for all lessons.</w:t>
      </w:r>
    </w:p>
    <w:p w14:paraId="366F3518" w14:textId="77777777" w:rsidR="008D6102" w:rsidRPr="00900ADE" w:rsidRDefault="008D6102" w:rsidP="008D6102">
      <w:pPr>
        <w:pStyle w:val="Heading2"/>
      </w:pPr>
      <w:bookmarkStart w:id="39" w:name="_Assessment"/>
      <w:bookmarkStart w:id="40" w:name="_Toc101446229"/>
      <w:bookmarkStart w:id="41" w:name="_Toc202873110"/>
      <w:bookmarkEnd w:id="39"/>
      <w:r w:rsidRPr="00900ADE">
        <w:lastRenderedPageBreak/>
        <w:t>Assessment</w:t>
      </w:r>
      <w:bookmarkEnd w:id="40"/>
      <w:bookmarkEnd w:id="41"/>
    </w:p>
    <w:p w14:paraId="705C8AD2" w14:textId="4290BC86" w:rsidR="00B74C1F" w:rsidRPr="00900ADE" w:rsidRDefault="00B74C1F" w:rsidP="00E01A56">
      <w:pPr>
        <w:pStyle w:val="BodyText"/>
      </w:pPr>
      <w:r w:rsidRPr="00900ADE">
        <w:t xml:space="preserve">This section examines the extent to which, through the establishment of strategic data and assessment systems, the district supports a robust, data-centered culture that advances equitable student experiences and outcomes. It also </w:t>
      </w:r>
      <w:r w:rsidR="00FE6A8C" w:rsidRPr="00900ADE">
        <w:t xml:space="preserve">addresses how </w:t>
      </w:r>
      <w:r w:rsidRPr="00900ADE">
        <w:t>the district collects an array of data and uses it to inform decisions at the classroom, school, and district levels</w:t>
      </w:r>
      <w:r w:rsidR="00FE6A8C" w:rsidRPr="00900ADE">
        <w:t>.</w:t>
      </w:r>
      <w:r w:rsidRPr="00900ADE">
        <w:t xml:space="preserve"> </w:t>
      </w:r>
      <w:r w:rsidR="00FE6A8C" w:rsidRPr="00900ADE">
        <w:t>B</w:t>
      </w:r>
      <w:r w:rsidRPr="00900ADE">
        <w:t xml:space="preserve">y analyzing assessment results and other data, educators develop an understanding of the whole student, examine trends across student groups, and adjust their instruction accordingly. </w:t>
      </w:r>
    </w:p>
    <w:p w14:paraId="65DF5D4F" w14:textId="432B5A0B" w:rsidR="00C0766E" w:rsidRPr="00900ADE" w:rsidRDefault="00C0766E" w:rsidP="00E01A56">
      <w:pPr>
        <w:pStyle w:val="BodyText"/>
      </w:pPr>
      <w:r w:rsidRPr="00900ADE">
        <w:t xml:space="preserve">Table </w:t>
      </w:r>
      <w:r w:rsidR="00E01A56" w:rsidRPr="00900ADE">
        <w:t>5</w:t>
      </w:r>
      <w:r w:rsidR="00163C7A" w:rsidRPr="00900ADE">
        <w:t xml:space="preserve"> </w:t>
      </w:r>
      <w:r w:rsidRPr="00900ADE">
        <w:t>summarizes key strengths and areas for growth in assessment</w:t>
      </w:r>
      <w:r w:rsidR="00B525D4" w:rsidRPr="00900ADE">
        <w:t xml:space="preserve"> in Medway</w:t>
      </w:r>
      <w:r w:rsidRPr="00900ADE">
        <w:t>.</w:t>
      </w:r>
    </w:p>
    <w:p w14:paraId="329E7498" w14:textId="7BE3439C" w:rsidR="00473308" w:rsidRPr="00900ADE" w:rsidRDefault="00473308" w:rsidP="00473308">
      <w:pPr>
        <w:pStyle w:val="TableTitle0"/>
      </w:pPr>
      <w:r w:rsidRPr="00900ADE">
        <w:t xml:space="preserve">Table </w:t>
      </w:r>
      <w:r w:rsidR="00E01A56" w:rsidRPr="00900ADE">
        <w:t>5</w:t>
      </w:r>
      <w:r w:rsidRPr="00900ADE">
        <w:t xml:space="preserve">. Summary of </w:t>
      </w:r>
      <w:r w:rsidR="00C0766E" w:rsidRPr="00900ADE">
        <w:t xml:space="preserve">Key Strengths </w:t>
      </w:r>
      <w:r w:rsidRPr="00900ADE">
        <w:t xml:space="preserve">and </w:t>
      </w:r>
      <w:r w:rsidR="00C0766E" w:rsidRPr="00900ADE">
        <w:t xml:space="preserve">Areas </w:t>
      </w:r>
      <w:r w:rsidRPr="00900ADE">
        <w:t xml:space="preserve">for </w:t>
      </w:r>
      <w:r w:rsidR="00C0766E" w:rsidRPr="00900ADE">
        <w:t>Growth:</w:t>
      </w:r>
      <w:r w:rsidRPr="00900ADE">
        <w:t xml:space="preserve"> Assessment</w:t>
      </w:r>
      <w:r w:rsidR="00C0766E" w:rsidRPr="00900ADE">
        <w:t xml:space="preserve"> Standard</w:t>
      </w:r>
    </w:p>
    <w:tbl>
      <w:tblPr>
        <w:tblStyle w:val="MSVTable1"/>
        <w:tblW w:w="5000" w:type="pct"/>
        <w:tblLook w:val="04A0" w:firstRow="1" w:lastRow="0" w:firstColumn="1" w:lastColumn="0" w:noHBand="0" w:noVBand="1"/>
      </w:tblPr>
      <w:tblGrid>
        <w:gridCol w:w="2061"/>
        <w:gridCol w:w="3777"/>
        <w:gridCol w:w="3506"/>
      </w:tblGrid>
      <w:tr w:rsidR="00473308" w:rsidRPr="00900ADE" w14:paraId="4528F62A" w14:textId="77777777" w:rsidTr="006B53BA">
        <w:trPr>
          <w:cnfStyle w:val="100000000000" w:firstRow="1" w:lastRow="0" w:firstColumn="0" w:lastColumn="0" w:oddVBand="0" w:evenVBand="0" w:oddHBand="0" w:evenHBand="0" w:firstRowFirstColumn="0" w:firstRowLastColumn="0" w:lastRowFirstColumn="0" w:lastRowLastColumn="0"/>
          <w:tblHeader/>
        </w:trPr>
        <w:tc>
          <w:tcPr>
            <w:tcW w:w="1103" w:type="pct"/>
          </w:tcPr>
          <w:p w14:paraId="03EBB6C0" w14:textId="77777777" w:rsidR="00473308" w:rsidRPr="00510408" w:rsidRDefault="00473308" w:rsidP="00B827DE">
            <w:pPr>
              <w:pStyle w:val="TableColHeadingCenter"/>
            </w:pPr>
            <w:r w:rsidRPr="00510408">
              <w:t>Indicator</w:t>
            </w:r>
          </w:p>
        </w:tc>
        <w:tc>
          <w:tcPr>
            <w:tcW w:w="2021" w:type="pct"/>
          </w:tcPr>
          <w:p w14:paraId="04CE9AD4" w14:textId="77777777" w:rsidR="00473308" w:rsidRPr="00900ADE" w:rsidRDefault="00473308" w:rsidP="00B827DE">
            <w:pPr>
              <w:pStyle w:val="TableColHeadingCenter"/>
            </w:pPr>
            <w:r w:rsidRPr="00900ADE">
              <w:t>Strengths</w:t>
            </w:r>
          </w:p>
        </w:tc>
        <w:tc>
          <w:tcPr>
            <w:tcW w:w="1876" w:type="pct"/>
          </w:tcPr>
          <w:p w14:paraId="0516578A" w14:textId="6F03A48B" w:rsidR="00473308" w:rsidRPr="00900ADE" w:rsidRDefault="00473308" w:rsidP="00B827DE">
            <w:pPr>
              <w:pStyle w:val="TableColHeadingCenter"/>
            </w:pPr>
            <w:r w:rsidRPr="00900ADE">
              <w:t xml:space="preserve">Areas for </w:t>
            </w:r>
            <w:r w:rsidR="00C0766E" w:rsidRPr="00900ADE">
              <w:t>g</w:t>
            </w:r>
            <w:r w:rsidRPr="00900ADE">
              <w:t>rowth</w:t>
            </w:r>
          </w:p>
        </w:tc>
      </w:tr>
      <w:tr w:rsidR="00473308" w:rsidRPr="00900ADE" w14:paraId="5BE4F452" w14:textId="77777777" w:rsidTr="006B53BA">
        <w:trPr>
          <w:cnfStyle w:val="000000100000" w:firstRow="0" w:lastRow="0" w:firstColumn="0" w:lastColumn="0" w:oddVBand="0" w:evenVBand="0" w:oddHBand="1" w:evenHBand="0" w:firstRowFirstColumn="0" w:firstRowLastColumn="0" w:lastRowFirstColumn="0" w:lastRowLastColumn="0"/>
        </w:trPr>
        <w:tc>
          <w:tcPr>
            <w:tcW w:w="1103" w:type="pct"/>
          </w:tcPr>
          <w:p w14:paraId="4F788977" w14:textId="791F61DD" w:rsidR="00473308" w:rsidRPr="00900ADE" w:rsidRDefault="00473308" w:rsidP="005D13E7">
            <w:pPr>
              <w:pStyle w:val="TableSubheading"/>
              <w:rPr>
                <w:bdr w:val="none" w:sz="0" w:space="0" w:color="auto" w:frame="1"/>
              </w:rPr>
            </w:pPr>
            <w:hyperlink w:anchor="_Data_Collection" w:history="1">
              <w:r w:rsidRPr="00900ADE">
                <w:rPr>
                  <w:rStyle w:val="Hyperlink"/>
                  <w:bdr w:val="none" w:sz="0" w:space="0" w:color="auto" w:frame="1"/>
                </w:rPr>
                <w:t xml:space="preserve">Data </w:t>
              </w:r>
              <w:r w:rsidR="008E0EE8" w:rsidRPr="00900ADE">
                <w:rPr>
                  <w:rStyle w:val="Hyperlink"/>
                  <w:bdr w:val="none" w:sz="0" w:space="0" w:color="auto" w:frame="1"/>
                </w:rPr>
                <w:t>Collection</w:t>
              </w:r>
            </w:hyperlink>
          </w:p>
        </w:tc>
        <w:tc>
          <w:tcPr>
            <w:tcW w:w="2021" w:type="pct"/>
          </w:tcPr>
          <w:p w14:paraId="5E3E7CC2" w14:textId="4EC3C9E5" w:rsidR="00473308" w:rsidRPr="00900ADE" w:rsidRDefault="00C203BB" w:rsidP="00FE6A8C">
            <w:pPr>
              <w:pStyle w:val="TableBullet1"/>
            </w:pPr>
            <w:r w:rsidRPr="00900ADE">
              <w:t xml:space="preserve">The </w:t>
            </w:r>
            <w:r w:rsidR="00FE6A8C" w:rsidRPr="00900ADE">
              <w:t xml:space="preserve">district established </w:t>
            </w:r>
            <w:r w:rsidRPr="00900ADE">
              <w:t>comprehensive data collection efforts</w:t>
            </w:r>
            <w:r w:rsidR="00F332F0" w:rsidRPr="00900ADE">
              <w:t>.</w:t>
            </w:r>
          </w:p>
        </w:tc>
        <w:tc>
          <w:tcPr>
            <w:tcW w:w="1876" w:type="pct"/>
          </w:tcPr>
          <w:p w14:paraId="1E451936" w14:textId="4EA4B22C" w:rsidR="002B6F1B" w:rsidRPr="00900ADE" w:rsidRDefault="00905CF4" w:rsidP="00FE6A8C">
            <w:pPr>
              <w:pStyle w:val="TableBullet1"/>
            </w:pPr>
            <w:r w:rsidRPr="00900ADE">
              <w:t>Developing supports for teachers to administer assessments to students with a variety of needs</w:t>
            </w:r>
          </w:p>
        </w:tc>
      </w:tr>
      <w:tr w:rsidR="00473308" w:rsidRPr="00900ADE" w14:paraId="3744E5B9" w14:textId="77777777" w:rsidTr="006B53BA">
        <w:tc>
          <w:tcPr>
            <w:tcW w:w="1103" w:type="pct"/>
          </w:tcPr>
          <w:p w14:paraId="797DE778" w14:textId="231F0A7C" w:rsidR="00473308" w:rsidRPr="00900ADE" w:rsidRDefault="00473308" w:rsidP="005D13E7">
            <w:pPr>
              <w:pStyle w:val="TableSubheading"/>
              <w:rPr>
                <w:bdr w:val="none" w:sz="0" w:space="0" w:color="auto" w:frame="1"/>
              </w:rPr>
            </w:pPr>
            <w:hyperlink w:anchor="_Data_Use_and" w:history="1">
              <w:r w:rsidRPr="00900ADE">
                <w:rPr>
                  <w:rStyle w:val="Hyperlink"/>
                  <w:bdr w:val="none" w:sz="0" w:space="0" w:color="auto" w:frame="1"/>
                </w:rPr>
                <w:t xml:space="preserve">Data </w:t>
              </w:r>
              <w:r w:rsidR="008E0EE8" w:rsidRPr="00900ADE">
                <w:rPr>
                  <w:rStyle w:val="Hyperlink"/>
                  <w:bdr w:val="none" w:sz="0" w:space="0" w:color="auto" w:frame="1"/>
                </w:rPr>
                <w:t>U</w:t>
              </w:r>
              <w:r w:rsidRPr="00900ADE">
                <w:rPr>
                  <w:rStyle w:val="Hyperlink"/>
                  <w:bdr w:val="none" w:sz="0" w:space="0" w:color="auto" w:frame="1"/>
                </w:rPr>
                <w:t>se</w:t>
              </w:r>
              <w:r w:rsidR="008E0EE8" w:rsidRPr="00900ADE">
                <w:rPr>
                  <w:rStyle w:val="Hyperlink"/>
                  <w:bdr w:val="none" w:sz="0" w:space="0" w:color="auto" w:frame="1"/>
                </w:rPr>
                <w:t xml:space="preserve"> and Culture</w:t>
              </w:r>
            </w:hyperlink>
          </w:p>
        </w:tc>
        <w:tc>
          <w:tcPr>
            <w:tcW w:w="2021" w:type="pct"/>
          </w:tcPr>
          <w:p w14:paraId="3EFCF2E4" w14:textId="48252CA9" w:rsidR="00473308" w:rsidRPr="00900ADE" w:rsidRDefault="00AB1AF9" w:rsidP="00FE6A8C">
            <w:pPr>
              <w:pStyle w:val="TableBullet1"/>
            </w:pPr>
            <w:r w:rsidRPr="00900ADE">
              <w:t xml:space="preserve">The district </w:t>
            </w:r>
            <w:r w:rsidR="00FE6A8C" w:rsidRPr="00900ADE">
              <w:t xml:space="preserve">has a </w:t>
            </w:r>
            <w:r w:rsidRPr="00900ADE">
              <w:t>commitment to a shared understanding of collaborative data use among teachers</w:t>
            </w:r>
            <w:r w:rsidR="004E7F69" w:rsidRPr="00900ADE">
              <w:t>.</w:t>
            </w:r>
            <w:r w:rsidR="0030311D" w:rsidRPr="00900ADE">
              <w:t xml:space="preserve"> </w:t>
            </w:r>
          </w:p>
        </w:tc>
        <w:tc>
          <w:tcPr>
            <w:tcW w:w="1876" w:type="pct"/>
          </w:tcPr>
          <w:p w14:paraId="08FEEFDF" w14:textId="5088F7A7" w:rsidR="00473308" w:rsidRPr="00900ADE" w:rsidRDefault="00116E43" w:rsidP="007D69BA">
            <w:pPr>
              <w:pStyle w:val="TableBullet1"/>
            </w:pPr>
            <w:r w:rsidRPr="00900ADE">
              <w:t>Providing data analysis support at the high school level</w:t>
            </w:r>
          </w:p>
        </w:tc>
      </w:tr>
      <w:tr w:rsidR="00473308" w:rsidRPr="00900ADE" w14:paraId="2BFB5534" w14:textId="77777777" w:rsidTr="006B53BA">
        <w:trPr>
          <w:cnfStyle w:val="000000100000" w:firstRow="0" w:lastRow="0" w:firstColumn="0" w:lastColumn="0" w:oddVBand="0" w:evenVBand="0" w:oddHBand="1" w:evenHBand="0" w:firstRowFirstColumn="0" w:firstRowLastColumn="0" w:lastRowFirstColumn="0" w:lastRowLastColumn="0"/>
        </w:trPr>
        <w:tc>
          <w:tcPr>
            <w:tcW w:w="1103" w:type="pct"/>
          </w:tcPr>
          <w:p w14:paraId="692DCE62" w14:textId="545C52E1" w:rsidR="00473308" w:rsidRPr="00900ADE" w:rsidRDefault="00473308" w:rsidP="005D13E7">
            <w:pPr>
              <w:pStyle w:val="TableSubheading"/>
              <w:rPr>
                <w:bdr w:val="none" w:sz="0" w:space="0" w:color="auto" w:frame="1"/>
              </w:rPr>
            </w:pPr>
            <w:hyperlink w:anchor="_Sharing_Data" w:history="1">
              <w:r w:rsidRPr="00900ADE">
                <w:rPr>
                  <w:rStyle w:val="Hyperlink"/>
                  <w:bdr w:val="none" w:sz="0" w:space="0" w:color="auto" w:frame="1"/>
                </w:rPr>
                <w:t xml:space="preserve">Sharing </w:t>
              </w:r>
              <w:r w:rsidR="008E0EE8" w:rsidRPr="00900ADE">
                <w:rPr>
                  <w:rStyle w:val="Hyperlink"/>
                  <w:bdr w:val="none" w:sz="0" w:space="0" w:color="auto" w:frame="1"/>
                </w:rPr>
                <w:t>Data</w:t>
              </w:r>
            </w:hyperlink>
          </w:p>
        </w:tc>
        <w:tc>
          <w:tcPr>
            <w:tcW w:w="2021" w:type="pct"/>
          </w:tcPr>
          <w:p w14:paraId="1242ABD2" w14:textId="4B2D2F8C" w:rsidR="00473308" w:rsidRPr="00900ADE" w:rsidRDefault="00473308" w:rsidP="00E01A56">
            <w:pPr>
              <w:pStyle w:val="TableBullet1"/>
              <w:numPr>
                <w:ilvl w:val="0"/>
                <w:numId w:val="0"/>
              </w:numPr>
              <w:ind w:left="360" w:hanging="360"/>
            </w:pPr>
          </w:p>
        </w:tc>
        <w:tc>
          <w:tcPr>
            <w:tcW w:w="1876" w:type="pct"/>
          </w:tcPr>
          <w:p w14:paraId="69A90FFE" w14:textId="392EF32C" w:rsidR="0033249A" w:rsidRDefault="0033249A" w:rsidP="007D69BA">
            <w:pPr>
              <w:pStyle w:val="TableBullet1"/>
            </w:pPr>
            <w:r>
              <w:t>Consistently reviewing data, sharing results, and setting goals with students at the secondary level</w:t>
            </w:r>
          </w:p>
          <w:p w14:paraId="22C6496B" w14:textId="77E76AEA" w:rsidR="00473308" w:rsidRPr="00900ADE" w:rsidRDefault="00B71046" w:rsidP="007D69BA">
            <w:pPr>
              <w:pStyle w:val="TableBullet1"/>
            </w:pPr>
            <w:r>
              <w:t>I</w:t>
            </w:r>
            <w:r w:rsidRPr="00B71046">
              <w:t>ncreasing the frequency and consistency with which teachers share data with families</w:t>
            </w:r>
          </w:p>
        </w:tc>
      </w:tr>
    </w:tbl>
    <w:p w14:paraId="640082BB" w14:textId="0FC06A67" w:rsidR="00473308" w:rsidRPr="00900ADE" w:rsidRDefault="00473308" w:rsidP="00473308">
      <w:pPr>
        <w:pStyle w:val="Heading3"/>
      </w:pPr>
      <w:bookmarkStart w:id="42" w:name="_Data_and_Assessment"/>
      <w:bookmarkStart w:id="43" w:name="_Data_Collection"/>
      <w:bookmarkEnd w:id="42"/>
      <w:bookmarkEnd w:id="43"/>
      <w:r w:rsidRPr="00900ADE">
        <w:t xml:space="preserve">Data </w:t>
      </w:r>
      <w:r w:rsidR="008E0EE8" w:rsidRPr="00900ADE">
        <w:t>Collection</w:t>
      </w:r>
    </w:p>
    <w:p w14:paraId="0F57DA2D" w14:textId="17BDE1A1" w:rsidR="00EA57AF" w:rsidRPr="00900ADE" w:rsidRDefault="00A749E6" w:rsidP="007A584C">
      <w:pPr>
        <w:pStyle w:val="BodyTextposthead"/>
      </w:pPr>
      <w:r w:rsidRPr="00900ADE">
        <w:t xml:space="preserve">According to school and district staff, Medway strategically selects and implements formal and </w:t>
      </w:r>
      <w:r w:rsidR="005E7708" w:rsidRPr="00900ADE">
        <w:t>formative</w:t>
      </w:r>
      <w:r w:rsidR="0080612A" w:rsidRPr="00900ADE">
        <w:t>, teacher-created</w:t>
      </w:r>
      <w:r w:rsidRPr="00900ADE">
        <w:t xml:space="preserve"> assessments that align with instructional content. This assessment system </w:t>
      </w:r>
      <w:r w:rsidR="009C72D1" w:rsidRPr="00900ADE">
        <w:t xml:space="preserve">allows </w:t>
      </w:r>
      <w:r w:rsidR="00FE6A8C" w:rsidRPr="00900ADE">
        <w:t xml:space="preserve">teachers to </w:t>
      </w:r>
      <w:r w:rsidR="009C72D1" w:rsidRPr="00900ADE">
        <w:t xml:space="preserve">collect </w:t>
      </w:r>
      <w:r w:rsidRPr="00900ADE">
        <w:t xml:space="preserve">multiple types of academic </w:t>
      </w:r>
      <w:r w:rsidR="00BC29F7" w:rsidRPr="00900ADE">
        <w:t>and nonacademic data about each student</w:t>
      </w:r>
      <w:r w:rsidR="00337B8C" w:rsidRPr="00900ADE">
        <w:t xml:space="preserve">. </w:t>
      </w:r>
      <w:r w:rsidR="005E7708" w:rsidRPr="00900ADE">
        <w:t xml:space="preserve">Table </w:t>
      </w:r>
      <w:r w:rsidR="00E01A56" w:rsidRPr="00900ADE">
        <w:t>6</w:t>
      </w:r>
      <w:r w:rsidR="005E7708" w:rsidRPr="00900ADE">
        <w:t xml:space="preserve"> outlines the </w:t>
      </w:r>
      <w:r w:rsidR="000D1FEC" w:rsidRPr="00900ADE">
        <w:t xml:space="preserve">standardized </w:t>
      </w:r>
      <w:r w:rsidR="005E7708" w:rsidRPr="00900ADE">
        <w:t xml:space="preserve">assessments used districtwide. </w:t>
      </w:r>
    </w:p>
    <w:p w14:paraId="616CE3EC" w14:textId="77777777" w:rsidR="00F332F0" w:rsidRPr="00900ADE" w:rsidRDefault="00F332F0">
      <w:pPr>
        <w:spacing w:line="240" w:lineRule="auto"/>
        <w:rPr>
          <w:rFonts w:ascii="Franklin Gothic Demi" w:hAnsi="Franklin Gothic Demi"/>
        </w:rPr>
      </w:pPr>
      <w:r w:rsidRPr="00900ADE">
        <w:br w:type="page"/>
      </w:r>
    </w:p>
    <w:p w14:paraId="6D76D2C3" w14:textId="17B43E80" w:rsidR="00EA57AF" w:rsidRPr="00900ADE" w:rsidRDefault="00EA57AF" w:rsidP="00EA57AF">
      <w:pPr>
        <w:pStyle w:val="TableTitle0"/>
      </w:pPr>
      <w:r w:rsidRPr="00900ADE">
        <w:lastRenderedPageBreak/>
        <w:t xml:space="preserve">Table </w:t>
      </w:r>
      <w:r w:rsidR="00E01A56" w:rsidRPr="00900ADE">
        <w:t>6</w:t>
      </w:r>
      <w:r w:rsidRPr="00900ADE">
        <w:t xml:space="preserve">. Summary of </w:t>
      </w:r>
      <w:r w:rsidR="00FE6A8C" w:rsidRPr="00900ADE">
        <w:t>D</w:t>
      </w:r>
      <w:r w:rsidRPr="00900ADE">
        <w:t xml:space="preserve">istrictwide </w:t>
      </w:r>
      <w:r w:rsidR="00FE6A8C" w:rsidRPr="00900ADE">
        <w:t>A</w:t>
      </w:r>
      <w:r w:rsidRPr="00900ADE">
        <w:t xml:space="preserve">ssessments </w:t>
      </w:r>
    </w:p>
    <w:tbl>
      <w:tblPr>
        <w:tblStyle w:val="MSVTable1"/>
        <w:tblW w:w="5000" w:type="pct"/>
        <w:tblLook w:val="04A0" w:firstRow="1" w:lastRow="0" w:firstColumn="1" w:lastColumn="0" w:noHBand="0" w:noVBand="1"/>
      </w:tblPr>
      <w:tblGrid>
        <w:gridCol w:w="2332"/>
        <w:gridCol w:w="3897"/>
        <w:gridCol w:w="3115"/>
      </w:tblGrid>
      <w:tr w:rsidR="00E9656F" w:rsidRPr="00900ADE" w14:paraId="2DFDD379" w14:textId="77777777" w:rsidTr="00086ABC">
        <w:trPr>
          <w:cnfStyle w:val="100000000000" w:firstRow="1" w:lastRow="0" w:firstColumn="0" w:lastColumn="0" w:oddVBand="0" w:evenVBand="0" w:oddHBand="0" w:evenHBand="0" w:firstRowFirstColumn="0" w:firstRowLastColumn="0" w:lastRowFirstColumn="0" w:lastRowLastColumn="0"/>
          <w:tblHeader/>
        </w:trPr>
        <w:tc>
          <w:tcPr>
            <w:tcW w:w="2332" w:type="dxa"/>
          </w:tcPr>
          <w:p w14:paraId="3673ADAE" w14:textId="2F872D13" w:rsidR="00E9656F" w:rsidRPr="00900ADE" w:rsidRDefault="00E9656F" w:rsidP="00E01A56">
            <w:pPr>
              <w:pStyle w:val="TableColHeadingCenter"/>
            </w:pPr>
            <w:r w:rsidRPr="00900ADE">
              <w:t xml:space="preserve">Assessment </w:t>
            </w:r>
          </w:p>
        </w:tc>
        <w:tc>
          <w:tcPr>
            <w:tcW w:w="3897" w:type="dxa"/>
          </w:tcPr>
          <w:p w14:paraId="0EDAC3BB" w14:textId="7ECEB54D" w:rsidR="00E9656F" w:rsidRPr="00900ADE" w:rsidRDefault="00E9656F" w:rsidP="00E01A56">
            <w:pPr>
              <w:pStyle w:val="TableColHeadingCenter"/>
            </w:pPr>
            <w:r w:rsidRPr="00900ADE">
              <w:t>Grades</w:t>
            </w:r>
          </w:p>
        </w:tc>
        <w:tc>
          <w:tcPr>
            <w:tcW w:w="3115" w:type="dxa"/>
          </w:tcPr>
          <w:p w14:paraId="79939667" w14:textId="74BE2887" w:rsidR="00E9656F" w:rsidRPr="00900ADE" w:rsidRDefault="004331BD" w:rsidP="00E01A56">
            <w:pPr>
              <w:pStyle w:val="TableColHeadingCenter"/>
            </w:pPr>
            <w:r>
              <w:t>Time</w:t>
            </w:r>
            <w:r w:rsidR="00007C00">
              <w:t xml:space="preserve"> of Administration</w:t>
            </w:r>
          </w:p>
        </w:tc>
      </w:tr>
      <w:tr w:rsidR="00E9656F" w:rsidRPr="00900ADE" w14:paraId="3FF70AF3" w14:textId="77777777" w:rsidTr="00E01A56">
        <w:trPr>
          <w:cnfStyle w:val="000000100000" w:firstRow="0" w:lastRow="0" w:firstColumn="0" w:lastColumn="0" w:oddVBand="0" w:evenVBand="0" w:oddHBand="1" w:evenHBand="0" w:firstRowFirstColumn="0" w:firstRowLastColumn="0" w:lastRowFirstColumn="0" w:lastRowLastColumn="0"/>
        </w:trPr>
        <w:tc>
          <w:tcPr>
            <w:tcW w:w="2332" w:type="dxa"/>
          </w:tcPr>
          <w:p w14:paraId="7DA68BB7" w14:textId="7CF9E97F" w:rsidR="00E9656F" w:rsidRPr="00900ADE" w:rsidRDefault="005E4C27" w:rsidP="00E01A56">
            <w:pPr>
              <w:pStyle w:val="TableText"/>
            </w:pPr>
            <w:r w:rsidRPr="00900ADE">
              <w:t>Pan</w:t>
            </w:r>
            <w:r w:rsidR="004C6C70" w:rsidRPr="00900ADE">
              <w:t>orama</w:t>
            </w:r>
          </w:p>
        </w:tc>
        <w:tc>
          <w:tcPr>
            <w:tcW w:w="3897" w:type="dxa"/>
          </w:tcPr>
          <w:p w14:paraId="794AE59C" w14:textId="1934F0D8" w:rsidR="00E9656F" w:rsidRPr="00900ADE" w:rsidRDefault="004C6C70" w:rsidP="00E01A56">
            <w:pPr>
              <w:pStyle w:val="TableText"/>
            </w:pPr>
            <w:r w:rsidRPr="00900ADE">
              <w:t xml:space="preserve">Kindergarten </w:t>
            </w:r>
            <w:r w:rsidR="00FE6A8C" w:rsidRPr="00900ADE">
              <w:t>to Grade</w:t>
            </w:r>
            <w:r w:rsidRPr="00900ADE">
              <w:t xml:space="preserve"> 1</w:t>
            </w:r>
            <w:r w:rsidR="00242365" w:rsidRPr="00900ADE">
              <w:t>2</w:t>
            </w:r>
          </w:p>
        </w:tc>
        <w:tc>
          <w:tcPr>
            <w:tcW w:w="3115" w:type="dxa"/>
          </w:tcPr>
          <w:p w14:paraId="495794DF" w14:textId="1D211835" w:rsidR="00E9656F" w:rsidRPr="00900ADE" w:rsidRDefault="007F3F91" w:rsidP="00E01A56">
            <w:pPr>
              <w:pStyle w:val="TableText"/>
            </w:pPr>
            <w:r w:rsidRPr="00900ADE">
              <w:t xml:space="preserve">Fall, </w:t>
            </w:r>
            <w:r w:rsidR="00FE6A8C" w:rsidRPr="00900ADE">
              <w:t>w</w:t>
            </w:r>
            <w:r w:rsidRPr="00900ADE">
              <w:t xml:space="preserve">inter, and </w:t>
            </w:r>
            <w:r w:rsidR="00FE6A8C" w:rsidRPr="00900ADE">
              <w:t>s</w:t>
            </w:r>
            <w:r w:rsidRPr="00900ADE">
              <w:t>pring</w:t>
            </w:r>
          </w:p>
        </w:tc>
      </w:tr>
      <w:tr w:rsidR="00E9656F" w:rsidRPr="00900ADE" w14:paraId="6F69CD01" w14:textId="77777777" w:rsidTr="00E01A56">
        <w:tc>
          <w:tcPr>
            <w:tcW w:w="2332" w:type="dxa"/>
          </w:tcPr>
          <w:p w14:paraId="036BE140" w14:textId="6896F9DD" w:rsidR="00E9656F" w:rsidRPr="00900ADE" w:rsidRDefault="009E1E4E" w:rsidP="00E01A56">
            <w:pPr>
              <w:pStyle w:val="TableText"/>
            </w:pPr>
            <w:r w:rsidRPr="00900ADE">
              <w:t>iReady Reading</w:t>
            </w:r>
          </w:p>
        </w:tc>
        <w:tc>
          <w:tcPr>
            <w:tcW w:w="3897" w:type="dxa"/>
          </w:tcPr>
          <w:p w14:paraId="5CAD06FA" w14:textId="7806228A" w:rsidR="00E9656F" w:rsidRPr="00900ADE" w:rsidRDefault="009E1E4E" w:rsidP="00E01A56">
            <w:pPr>
              <w:pStyle w:val="TableText"/>
            </w:pPr>
            <w:r w:rsidRPr="00900ADE">
              <w:t>Kindergarten</w:t>
            </w:r>
            <w:r w:rsidR="00242365" w:rsidRPr="00900ADE">
              <w:t xml:space="preserve"> </w:t>
            </w:r>
            <w:r w:rsidR="00FE6A8C" w:rsidRPr="00900ADE">
              <w:t>to Grade</w:t>
            </w:r>
            <w:r w:rsidR="00242365" w:rsidRPr="00900ADE">
              <w:t xml:space="preserve"> 10</w:t>
            </w:r>
          </w:p>
        </w:tc>
        <w:tc>
          <w:tcPr>
            <w:tcW w:w="3115" w:type="dxa"/>
          </w:tcPr>
          <w:p w14:paraId="74F17D88" w14:textId="1879388A" w:rsidR="00E9656F" w:rsidRPr="00900ADE" w:rsidRDefault="007F3F91" w:rsidP="00E01A56">
            <w:pPr>
              <w:pStyle w:val="TableText"/>
            </w:pPr>
            <w:r w:rsidRPr="00900ADE">
              <w:t xml:space="preserve">Fall, </w:t>
            </w:r>
            <w:r w:rsidR="00FE6A8C" w:rsidRPr="00900ADE">
              <w:t>w</w:t>
            </w:r>
            <w:r w:rsidRPr="00900ADE">
              <w:t xml:space="preserve">inter, and </w:t>
            </w:r>
            <w:r w:rsidR="00FE6A8C" w:rsidRPr="00900ADE">
              <w:t>s</w:t>
            </w:r>
            <w:r w:rsidRPr="00900ADE">
              <w:t>pring</w:t>
            </w:r>
          </w:p>
        </w:tc>
      </w:tr>
      <w:tr w:rsidR="00E9656F" w:rsidRPr="00900ADE" w14:paraId="2D6521F6" w14:textId="77777777" w:rsidTr="00E01A56">
        <w:trPr>
          <w:cnfStyle w:val="000000100000" w:firstRow="0" w:lastRow="0" w:firstColumn="0" w:lastColumn="0" w:oddVBand="0" w:evenVBand="0" w:oddHBand="1" w:evenHBand="0" w:firstRowFirstColumn="0" w:firstRowLastColumn="0" w:lastRowFirstColumn="0" w:lastRowLastColumn="0"/>
        </w:trPr>
        <w:tc>
          <w:tcPr>
            <w:tcW w:w="2332" w:type="dxa"/>
          </w:tcPr>
          <w:p w14:paraId="48EA9048" w14:textId="1DA7FB93" w:rsidR="00E9656F" w:rsidRPr="00900ADE" w:rsidRDefault="009E1E4E" w:rsidP="00E01A56">
            <w:pPr>
              <w:pStyle w:val="TableText"/>
            </w:pPr>
            <w:r w:rsidRPr="00900ADE">
              <w:t>iReady Math</w:t>
            </w:r>
          </w:p>
        </w:tc>
        <w:tc>
          <w:tcPr>
            <w:tcW w:w="3897" w:type="dxa"/>
          </w:tcPr>
          <w:p w14:paraId="69ADE9CE" w14:textId="02F3C94F" w:rsidR="00E9656F" w:rsidRPr="00900ADE" w:rsidRDefault="00242365" w:rsidP="00E01A56">
            <w:pPr>
              <w:pStyle w:val="TableText"/>
            </w:pPr>
            <w:r w:rsidRPr="00900ADE">
              <w:t xml:space="preserve">Kindergarten </w:t>
            </w:r>
            <w:r w:rsidR="00FE6A8C" w:rsidRPr="00900ADE">
              <w:t>to Grade</w:t>
            </w:r>
            <w:r w:rsidRPr="00900ADE">
              <w:t xml:space="preserve"> 10</w:t>
            </w:r>
          </w:p>
        </w:tc>
        <w:tc>
          <w:tcPr>
            <w:tcW w:w="3115" w:type="dxa"/>
          </w:tcPr>
          <w:p w14:paraId="4FEF60E5" w14:textId="5A5BCDA0" w:rsidR="00E9656F" w:rsidRPr="00900ADE" w:rsidRDefault="007F3F91" w:rsidP="00E01A56">
            <w:pPr>
              <w:pStyle w:val="TableText"/>
            </w:pPr>
            <w:r w:rsidRPr="00900ADE">
              <w:t xml:space="preserve">Fall, </w:t>
            </w:r>
            <w:r w:rsidR="00FE6A8C" w:rsidRPr="00900ADE">
              <w:t>w</w:t>
            </w:r>
            <w:r w:rsidRPr="00900ADE">
              <w:t xml:space="preserve">inter, and </w:t>
            </w:r>
            <w:r w:rsidR="00FE6A8C" w:rsidRPr="00900ADE">
              <w:t>s</w:t>
            </w:r>
            <w:r w:rsidRPr="00900ADE">
              <w:t>pring</w:t>
            </w:r>
          </w:p>
        </w:tc>
      </w:tr>
      <w:tr w:rsidR="00E9656F" w:rsidRPr="00900ADE" w14:paraId="6883F724" w14:textId="77777777" w:rsidTr="00E01A56">
        <w:tc>
          <w:tcPr>
            <w:tcW w:w="2332" w:type="dxa"/>
          </w:tcPr>
          <w:p w14:paraId="1BD49C02" w14:textId="46E9B40E" w:rsidR="00E9656F" w:rsidRPr="00900ADE" w:rsidRDefault="00242365" w:rsidP="00E01A56">
            <w:pPr>
              <w:pStyle w:val="TableText"/>
            </w:pPr>
            <w:r w:rsidRPr="00900ADE">
              <w:t>DIBELS</w:t>
            </w:r>
          </w:p>
        </w:tc>
        <w:tc>
          <w:tcPr>
            <w:tcW w:w="3897" w:type="dxa"/>
          </w:tcPr>
          <w:p w14:paraId="4671B0B3" w14:textId="334E4D9D" w:rsidR="00E9656F" w:rsidRPr="00900ADE" w:rsidRDefault="00242365" w:rsidP="00E01A56">
            <w:pPr>
              <w:pStyle w:val="TableText"/>
            </w:pPr>
            <w:r w:rsidRPr="00900ADE">
              <w:t xml:space="preserve">Kindergarten </w:t>
            </w:r>
            <w:r w:rsidR="00FE6A8C" w:rsidRPr="00900ADE">
              <w:t>to Grade</w:t>
            </w:r>
            <w:r w:rsidRPr="00900ADE">
              <w:t xml:space="preserve"> 5</w:t>
            </w:r>
          </w:p>
        </w:tc>
        <w:tc>
          <w:tcPr>
            <w:tcW w:w="3115" w:type="dxa"/>
          </w:tcPr>
          <w:p w14:paraId="129490CE" w14:textId="66214D41" w:rsidR="00E9656F" w:rsidRPr="00900ADE" w:rsidRDefault="007F3F91" w:rsidP="00E01A56">
            <w:pPr>
              <w:pStyle w:val="TableText"/>
            </w:pPr>
            <w:r w:rsidRPr="00900ADE">
              <w:t xml:space="preserve">Fall, </w:t>
            </w:r>
            <w:r w:rsidR="00FE6A8C" w:rsidRPr="00900ADE">
              <w:t>w</w:t>
            </w:r>
            <w:r w:rsidRPr="00900ADE">
              <w:t xml:space="preserve">inter, and </w:t>
            </w:r>
            <w:r w:rsidR="00FE6A8C" w:rsidRPr="00900ADE">
              <w:t>s</w:t>
            </w:r>
            <w:r w:rsidRPr="00900ADE">
              <w:t>pring</w:t>
            </w:r>
          </w:p>
        </w:tc>
      </w:tr>
      <w:tr w:rsidR="00242365" w:rsidRPr="00900ADE" w14:paraId="63789DF5" w14:textId="77777777" w:rsidTr="00E01A56">
        <w:trPr>
          <w:cnfStyle w:val="000000100000" w:firstRow="0" w:lastRow="0" w:firstColumn="0" w:lastColumn="0" w:oddVBand="0" w:evenVBand="0" w:oddHBand="1" w:evenHBand="0" w:firstRowFirstColumn="0" w:firstRowLastColumn="0" w:lastRowFirstColumn="0" w:lastRowLastColumn="0"/>
        </w:trPr>
        <w:tc>
          <w:tcPr>
            <w:tcW w:w="2332" w:type="dxa"/>
          </w:tcPr>
          <w:p w14:paraId="237846CE" w14:textId="3526F0D3" w:rsidR="00242365" w:rsidRPr="00900ADE" w:rsidRDefault="00242365" w:rsidP="00E01A56">
            <w:pPr>
              <w:pStyle w:val="TableText"/>
            </w:pPr>
            <w:r w:rsidRPr="00900ADE">
              <w:t>IXL Reading</w:t>
            </w:r>
          </w:p>
        </w:tc>
        <w:tc>
          <w:tcPr>
            <w:tcW w:w="3897" w:type="dxa"/>
          </w:tcPr>
          <w:p w14:paraId="58411092" w14:textId="3B5AB5CA" w:rsidR="00242365" w:rsidRPr="00900ADE" w:rsidRDefault="00FE6A8C" w:rsidP="00E01A56">
            <w:pPr>
              <w:pStyle w:val="TableText"/>
            </w:pPr>
            <w:r w:rsidRPr="00900ADE">
              <w:t>Grades 6-10</w:t>
            </w:r>
          </w:p>
        </w:tc>
        <w:tc>
          <w:tcPr>
            <w:tcW w:w="3115" w:type="dxa"/>
          </w:tcPr>
          <w:p w14:paraId="532592AB" w14:textId="7DF91374" w:rsidR="00242365" w:rsidRPr="00900ADE" w:rsidRDefault="007F3F91" w:rsidP="00E01A56">
            <w:pPr>
              <w:pStyle w:val="TableText"/>
            </w:pPr>
            <w:r w:rsidRPr="00900ADE">
              <w:t xml:space="preserve">Fall, </w:t>
            </w:r>
            <w:r w:rsidR="00FE6A8C" w:rsidRPr="00900ADE">
              <w:t>w</w:t>
            </w:r>
            <w:r w:rsidRPr="00900ADE">
              <w:t xml:space="preserve">inter, and </w:t>
            </w:r>
            <w:r w:rsidR="00FE6A8C" w:rsidRPr="00900ADE">
              <w:t>s</w:t>
            </w:r>
            <w:r w:rsidRPr="00900ADE">
              <w:t>pring</w:t>
            </w:r>
          </w:p>
        </w:tc>
      </w:tr>
      <w:tr w:rsidR="00242365" w:rsidRPr="00900ADE" w14:paraId="07D09602" w14:textId="77777777" w:rsidTr="00E01A56">
        <w:tc>
          <w:tcPr>
            <w:tcW w:w="2332" w:type="dxa"/>
          </w:tcPr>
          <w:p w14:paraId="041B7FE2" w14:textId="4D540FB3" w:rsidR="00242365" w:rsidRPr="00900ADE" w:rsidRDefault="00242365" w:rsidP="00E01A56">
            <w:pPr>
              <w:pStyle w:val="TableText"/>
            </w:pPr>
            <w:r w:rsidRPr="00900ADE">
              <w:t>IXL Math</w:t>
            </w:r>
          </w:p>
        </w:tc>
        <w:tc>
          <w:tcPr>
            <w:tcW w:w="3897" w:type="dxa"/>
          </w:tcPr>
          <w:p w14:paraId="2E05AD50" w14:textId="1086689F" w:rsidR="00242365" w:rsidRPr="00900ADE" w:rsidRDefault="00FE6A8C" w:rsidP="00E01A56">
            <w:pPr>
              <w:pStyle w:val="TableText"/>
            </w:pPr>
            <w:r w:rsidRPr="00900ADE">
              <w:t>Grades 6-10</w:t>
            </w:r>
          </w:p>
        </w:tc>
        <w:tc>
          <w:tcPr>
            <w:tcW w:w="3115" w:type="dxa"/>
          </w:tcPr>
          <w:p w14:paraId="2AD6A6FA" w14:textId="2E83F68B" w:rsidR="00242365" w:rsidRPr="00900ADE" w:rsidRDefault="007F3F91" w:rsidP="00E01A56">
            <w:pPr>
              <w:pStyle w:val="TableText"/>
            </w:pPr>
            <w:r w:rsidRPr="00900ADE">
              <w:t xml:space="preserve">Fall, </w:t>
            </w:r>
            <w:r w:rsidR="00FE6A8C" w:rsidRPr="00900ADE">
              <w:t>w</w:t>
            </w:r>
            <w:r w:rsidRPr="00900ADE">
              <w:t xml:space="preserve">inter, and </w:t>
            </w:r>
            <w:r w:rsidR="00FE6A8C" w:rsidRPr="00900ADE">
              <w:t>s</w:t>
            </w:r>
            <w:r w:rsidRPr="00900ADE">
              <w:t>pring</w:t>
            </w:r>
          </w:p>
        </w:tc>
      </w:tr>
      <w:tr w:rsidR="002F4A20" w:rsidRPr="00900ADE" w14:paraId="44BCFE8B" w14:textId="77777777" w:rsidTr="00E01A56">
        <w:trPr>
          <w:cnfStyle w:val="000000100000" w:firstRow="0" w:lastRow="0" w:firstColumn="0" w:lastColumn="0" w:oddVBand="0" w:evenVBand="0" w:oddHBand="1" w:evenHBand="0" w:firstRowFirstColumn="0" w:firstRowLastColumn="0" w:lastRowFirstColumn="0" w:lastRowLastColumn="0"/>
        </w:trPr>
        <w:tc>
          <w:tcPr>
            <w:tcW w:w="2332" w:type="dxa"/>
          </w:tcPr>
          <w:p w14:paraId="5C3C1BD8" w14:textId="0DFE0A0C" w:rsidR="002F4A20" w:rsidRPr="00900ADE" w:rsidRDefault="00EB5F43" w:rsidP="00E01A56">
            <w:pPr>
              <w:pStyle w:val="TableText"/>
            </w:pPr>
            <w:r w:rsidRPr="00900ADE">
              <w:t>MCAS</w:t>
            </w:r>
          </w:p>
        </w:tc>
        <w:tc>
          <w:tcPr>
            <w:tcW w:w="3897" w:type="dxa"/>
          </w:tcPr>
          <w:p w14:paraId="09052715" w14:textId="7D8A3B6B" w:rsidR="002F4A20" w:rsidRPr="00900ADE" w:rsidRDefault="00FE6A8C" w:rsidP="00E01A56">
            <w:pPr>
              <w:pStyle w:val="TableText"/>
            </w:pPr>
            <w:r w:rsidRPr="00900ADE">
              <w:t xml:space="preserve">Grades 3-8 </w:t>
            </w:r>
            <w:r w:rsidR="00D45E56" w:rsidRPr="00900ADE">
              <w:t>and 10</w:t>
            </w:r>
          </w:p>
        </w:tc>
        <w:tc>
          <w:tcPr>
            <w:tcW w:w="3115" w:type="dxa"/>
          </w:tcPr>
          <w:p w14:paraId="25B8FC8A" w14:textId="18C1B82A" w:rsidR="002F4A20" w:rsidRPr="00900ADE" w:rsidRDefault="007F3F91" w:rsidP="00E01A56">
            <w:pPr>
              <w:pStyle w:val="TableText"/>
            </w:pPr>
            <w:r w:rsidRPr="00900ADE">
              <w:t>Spring</w:t>
            </w:r>
          </w:p>
        </w:tc>
      </w:tr>
      <w:tr w:rsidR="002F4A20" w:rsidRPr="00900ADE" w14:paraId="15130F12" w14:textId="77777777" w:rsidTr="00E01A56">
        <w:tc>
          <w:tcPr>
            <w:tcW w:w="2332" w:type="dxa"/>
          </w:tcPr>
          <w:p w14:paraId="0D3BD40C" w14:textId="57565EAD" w:rsidR="002F4A20" w:rsidRPr="00900ADE" w:rsidRDefault="004A09FF" w:rsidP="00E01A56">
            <w:pPr>
              <w:pStyle w:val="TableText"/>
            </w:pPr>
            <w:r w:rsidRPr="00900ADE">
              <w:t>PSAT</w:t>
            </w:r>
          </w:p>
        </w:tc>
        <w:tc>
          <w:tcPr>
            <w:tcW w:w="3897" w:type="dxa"/>
          </w:tcPr>
          <w:p w14:paraId="4B4281A9" w14:textId="7D1AD0F4" w:rsidR="002F4A20" w:rsidRPr="00900ADE" w:rsidRDefault="00FE6A8C" w:rsidP="00E01A56">
            <w:pPr>
              <w:pStyle w:val="TableText"/>
            </w:pPr>
            <w:r w:rsidRPr="00900ADE">
              <w:t xml:space="preserve">Grades </w:t>
            </w:r>
            <w:r w:rsidR="004A09FF" w:rsidRPr="00900ADE">
              <w:t xml:space="preserve">10 </w:t>
            </w:r>
            <w:r w:rsidR="007F3F91" w:rsidRPr="00900ADE">
              <w:t>and 11</w:t>
            </w:r>
          </w:p>
        </w:tc>
        <w:tc>
          <w:tcPr>
            <w:tcW w:w="3115" w:type="dxa"/>
          </w:tcPr>
          <w:p w14:paraId="51751E2A" w14:textId="0B2A3536" w:rsidR="002F4A20" w:rsidRPr="00900ADE" w:rsidRDefault="007F3F91" w:rsidP="00E01A56">
            <w:pPr>
              <w:pStyle w:val="TableText"/>
            </w:pPr>
            <w:r w:rsidRPr="00900ADE">
              <w:t>Fall</w:t>
            </w:r>
          </w:p>
        </w:tc>
      </w:tr>
      <w:tr w:rsidR="002F4A20" w:rsidRPr="00900ADE" w14:paraId="046E6AC4" w14:textId="77777777" w:rsidTr="00E01A56">
        <w:trPr>
          <w:cnfStyle w:val="000000100000" w:firstRow="0" w:lastRow="0" w:firstColumn="0" w:lastColumn="0" w:oddVBand="0" w:evenVBand="0" w:oddHBand="1" w:evenHBand="0" w:firstRowFirstColumn="0" w:firstRowLastColumn="0" w:lastRowFirstColumn="0" w:lastRowLastColumn="0"/>
        </w:trPr>
        <w:tc>
          <w:tcPr>
            <w:tcW w:w="2332" w:type="dxa"/>
          </w:tcPr>
          <w:p w14:paraId="4476FA63" w14:textId="157207CD" w:rsidR="002F4A20" w:rsidRPr="00900ADE" w:rsidRDefault="007F3F91" w:rsidP="00E01A56">
            <w:pPr>
              <w:pStyle w:val="TableText"/>
            </w:pPr>
            <w:r w:rsidRPr="00900ADE">
              <w:t>SAT</w:t>
            </w:r>
          </w:p>
        </w:tc>
        <w:tc>
          <w:tcPr>
            <w:tcW w:w="3897" w:type="dxa"/>
          </w:tcPr>
          <w:p w14:paraId="23707093" w14:textId="0F2E5925" w:rsidR="002F4A20" w:rsidRPr="00900ADE" w:rsidRDefault="00FE6A8C" w:rsidP="00E01A56">
            <w:pPr>
              <w:pStyle w:val="TableText"/>
            </w:pPr>
            <w:r w:rsidRPr="00900ADE">
              <w:t xml:space="preserve">Grade </w:t>
            </w:r>
            <w:r w:rsidR="007F3F91" w:rsidRPr="00900ADE">
              <w:t>11</w:t>
            </w:r>
          </w:p>
        </w:tc>
        <w:tc>
          <w:tcPr>
            <w:tcW w:w="3115" w:type="dxa"/>
          </w:tcPr>
          <w:p w14:paraId="2B9B6B41" w14:textId="4FA9EDFF" w:rsidR="002F4A20" w:rsidRPr="00900ADE" w:rsidRDefault="007F3F91" w:rsidP="00E01A56">
            <w:pPr>
              <w:pStyle w:val="TableText"/>
            </w:pPr>
            <w:r w:rsidRPr="00900ADE">
              <w:t>Spring</w:t>
            </w:r>
          </w:p>
        </w:tc>
      </w:tr>
    </w:tbl>
    <w:p w14:paraId="79EB4750" w14:textId="5571E940" w:rsidR="00305DFA" w:rsidRPr="00900ADE" w:rsidRDefault="0017529C" w:rsidP="00E01A56">
      <w:pPr>
        <w:pStyle w:val="BodyText"/>
        <w:rPr>
          <w:color w:val="388600"/>
        </w:rPr>
      </w:pPr>
      <w:r w:rsidRPr="00900ADE">
        <w:t xml:space="preserve">In focus group discussions, district staff expressed that collected data provides a comprehensive understanding of each student. For example, district staff mentioned that in </w:t>
      </w:r>
      <w:r w:rsidR="007A40A4" w:rsidRPr="00900ADE">
        <w:t>i</w:t>
      </w:r>
      <w:r w:rsidRPr="00900ADE">
        <w:t xml:space="preserve">nstructional </w:t>
      </w:r>
      <w:r w:rsidR="007A40A4" w:rsidRPr="00900ADE">
        <w:t>s</w:t>
      </w:r>
      <w:r w:rsidRPr="00900ADE">
        <w:t xml:space="preserve">upport </w:t>
      </w:r>
      <w:r w:rsidR="007A40A4" w:rsidRPr="00900ADE">
        <w:t>t</w:t>
      </w:r>
      <w:r w:rsidRPr="00900ADE">
        <w:t>eam (IST) meetings</w:t>
      </w:r>
      <w:r w:rsidR="00542F31" w:rsidRPr="00900ADE">
        <w:t>, staff</w:t>
      </w:r>
      <w:r w:rsidRPr="00900ADE">
        <w:t xml:space="preserve"> integrat</w:t>
      </w:r>
      <w:r w:rsidR="007A40A4" w:rsidRPr="00900ADE">
        <w:t>e</w:t>
      </w:r>
      <w:r w:rsidRPr="00900ADE">
        <w:t xml:space="preserve"> nonacademic and academic data</w:t>
      </w:r>
      <w:r w:rsidR="0075295F" w:rsidRPr="00900ADE">
        <w:t xml:space="preserve"> to understand students’ needs</w:t>
      </w:r>
      <w:r w:rsidRPr="00900ADE">
        <w:t>. D</w:t>
      </w:r>
      <w:r w:rsidR="00DB7115" w:rsidRPr="00900ADE">
        <w:t xml:space="preserve">istrict leaders </w:t>
      </w:r>
      <w:r w:rsidR="00A1694C" w:rsidRPr="00900ADE">
        <w:t>described</w:t>
      </w:r>
      <w:r w:rsidR="00DB7115" w:rsidRPr="00900ADE">
        <w:t xml:space="preserve"> </w:t>
      </w:r>
      <w:r w:rsidR="00E64C9E" w:rsidRPr="00900ADE">
        <w:t xml:space="preserve">Medway </w:t>
      </w:r>
      <w:r w:rsidR="00A1694C" w:rsidRPr="00900ADE">
        <w:t>as</w:t>
      </w:r>
      <w:r w:rsidR="00E64C9E" w:rsidRPr="00900ADE">
        <w:t xml:space="preserve"> “a very data-rich district</w:t>
      </w:r>
      <w:r w:rsidR="007A40A4" w:rsidRPr="00900ADE">
        <w:t>,</w:t>
      </w:r>
      <w:r w:rsidR="000C766B" w:rsidRPr="00900ADE">
        <w:t>” and teachers at all levels reported reviewing data regularly</w:t>
      </w:r>
      <w:r w:rsidR="003C46A1" w:rsidRPr="00900ADE">
        <w:t>.</w:t>
      </w:r>
      <w:r w:rsidR="00F875E1" w:rsidRPr="00900ADE">
        <w:t xml:space="preserve"> </w:t>
      </w:r>
      <w:r w:rsidR="00A96A96" w:rsidRPr="00900ADE">
        <w:t xml:space="preserve">District staff said that </w:t>
      </w:r>
      <w:r w:rsidR="007A40A4" w:rsidRPr="00900ADE">
        <w:t>they use</w:t>
      </w:r>
      <w:r w:rsidR="00A96A96" w:rsidRPr="00900ADE">
        <w:t xml:space="preserve"> </w:t>
      </w:r>
      <w:r w:rsidR="00876D2F" w:rsidRPr="00900ADE">
        <w:t>standar</w:t>
      </w:r>
      <w:r w:rsidR="00753666" w:rsidRPr="00900ADE">
        <w:t xml:space="preserve">dized assessments as well as </w:t>
      </w:r>
      <w:r w:rsidR="00A96A96" w:rsidRPr="00900ADE">
        <w:t xml:space="preserve">opportunities </w:t>
      </w:r>
      <w:r w:rsidR="008F4BE5" w:rsidRPr="00900ADE">
        <w:t xml:space="preserve">to </w:t>
      </w:r>
      <w:r w:rsidR="00A96A96" w:rsidRPr="00900ADE">
        <w:t>assess students’ knowledge and skills through art gallery showcases</w:t>
      </w:r>
      <w:r w:rsidR="00753666" w:rsidRPr="00900ADE">
        <w:t xml:space="preserve">, </w:t>
      </w:r>
      <w:r w:rsidR="00A96A96" w:rsidRPr="00900ADE">
        <w:t xml:space="preserve">culminating presentations in the </w:t>
      </w:r>
      <w:r w:rsidR="007A40A4" w:rsidRPr="00900ADE">
        <w:t>P</w:t>
      </w:r>
      <w:r w:rsidR="00A96A96" w:rsidRPr="00900ADE">
        <w:t xml:space="preserve">athways program, and science fair participation. </w:t>
      </w:r>
      <w:r w:rsidR="007A40A4" w:rsidRPr="00900ADE">
        <w:t>An e</w:t>
      </w:r>
      <w:r w:rsidR="00F875E1" w:rsidRPr="00900ADE">
        <w:t xml:space="preserve">lementary teacher </w:t>
      </w:r>
      <w:r w:rsidR="009815E7" w:rsidRPr="00900ADE">
        <w:t>shared</w:t>
      </w:r>
      <w:r w:rsidR="007A40A4" w:rsidRPr="00900ADE">
        <w:t xml:space="preserve"> that</w:t>
      </w:r>
      <w:r w:rsidR="00211D44" w:rsidRPr="00900ADE">
        <w:t xml:space="preserve"> “I can pinpoint exactly what the students need to work on in both content areas</w:t>
      </w:r>
      <w:r w:rsidR="007A40A4" w:rsidRPr="00900ADE">
        <w:t xml:space="preserve"> . . .</w:t>
      </w:r>
      <w:r w:rsidR="00211D44" w:rsidRPr="00900ADE">
        <w:t xml:space="preserve"> because of all of the data that we</w:t>
      </w:r>
      <w:r w:rsidR="007A40A4" w:rsidRPr="00900ADE">
        <w:t>’</w:t>
      </w:r>
      <w:r w:rsidR="00211D44" w:rsidRPr="00900ADE">
        <w:t>re constantly collecting.”</w:t>
      </w:r>
      <w:r w:rsidR="003C46A1" w:rsidRPr="00900ADE">
        <w:t xml:space="preserve"> </w:t>
      </w:r>
      <w:r w:rsidR="004E368A" w:rsidRPr="00900ADE">
        <w:t xml:space="preserve">Middle school teachers also discussed collecting formative data through strategies such as exit tickets. </w:t>
      </w:r>
      <w:r w:rsidR="00A015D8" w:rsidRPr="00900ADE">
        <w:t>At the high school level, teachers reported using standardized tools such as IXL as well as “authentic and meaningful</w:t>
      </w:r>
      <w:r w:rsidR="00D06870" w:rsidRPr="00900ADE">
        <w:t xml:space="preserve"> assessments” in multiple academic departments. As one high school teacher </w:t>
      </w:r>
      <w:r w:rsidR="00B03014" w:rsidRPr="00900ADE">
        <w:t>explained</w:t>
      </w:r>
      <w:r w:rsidR="00D06870" w:rsidRPr="00900ADE">
        <w:t xml:space="preserve">, “I think the school has actually, as a whole, done a really good job with assessments.” </w:t>
      </w:r>
      <w:r w:rsidR="00C203BB" w:rsidRPr="00541FA3">
        <w:t xml:space="preserve">The comprehensive </w:t>
      </w:r>
      <w:r w:rsidR="003C46A1" w:rsidRPr="00541FA3">
        <w:t xml:space="preserve">data collection efforts </w:t>
      </w:r>
      <w:r w:rsidR="00C203BB" w:rsidRPr="00541FA3">
        <w:t xml:space="preserve">that the district has established </w:t>
      </w:r>
      <w:r w:rsidRPr="00541FA3">
        <w:t>are</w:t>
      </w:r>
      <w:r w:rsidR="003C46A1" w:rsidRPr="00541FA3">
        <w:t xml:space="preserve"> a strength of the district.</w:t>
      </w:r>
    </w:p>
    <w:p w14:paraId="6982A44E" w14:textId="44742961" w:rsidR="0083690C" w:rsidRPr="00900ADE" w:rsidRDefault="007A40A4" w:rsidP="00E01A56">
      <w:pPr>
        <w:pStyle w:val="BodyText"/>
      </w:pPr>
      <w:r w:rsidRPr="00900ADE">
        <w:t xml:space="preserve">According to district leaders, </w:t>
      </w:r>
      <w:r w:rsidR="008E0DE6" w:rsidRPr="00900ADE">
        <w:t>Medway</w:t>
      </w:r>
      <w:r w:rsidR="00696E23" w:rsidRPr="00900ADE">
        <w:t xml:space="preserve"> administers standardized assessments such as iReady, DIBELS</w:t>
      </w:r>
      <w:r w:rsidRPr="00900ADE">
        <w:t xml:space="preserve"> (Dynamic Indicators of Basic Early Literacy Skills)</w:t>
      </w:r>
      <w:r w:rsidR="00696E23" w:rsidRPr="00900ADE">
        <w:t>, and IXL thre</w:t>
      </w:r>
      <w:r w:rsidR="000B3454" w:rsidRPr="00900ADE">
        <w:t>e</w:t>
      </w:r>
      <w:r w:rsidR="00696E23" w:rsidRPr="00900ADE">
        <w:t xml:space="preserve"> times per year</w:t>
      </w:r>
      <w:r w:rsidR="000B3454" w:rsidRPr="00900ADE">
        <w:t>, typically in September, January, and May</w:t>
      </w:r>
      <w:r w:rsidR="00696E23" w:rsidRPr="00900ADE">
        <w:t>.</w:t>
      </w:r>
      <w:r w:rsidR="003C46A1" w:rsidRPr="00900ADE">
        <w:t xml:space="preserve"> </w:t>
      </w:r>
      <w:r w:rsidR="00243671" w:rsidRPr="00900ADE">
        <w:t xml:space="preserve">According to the </w:t>
      </w:r>
      <w:r w:rsidRPr="00900ADE">
        <w:t>s</w:t>
      </w:r>
      <w:r w:rsidR="00243671" w:rsidRPr="00900ADE">
        <w:t xml:space="preserve">uperintendent, </w:t>
      </w:r>
      <w:r w:rsidR="006E6C58" w:rsidRPr="00900ADE">
        <w:t xml:space="preserve">Medway does not publicly share the assessment plan or schedule, but school leaders reported that families </w:t>
      </w:r>
      <w:r w:rsidRPr="00900ADE">
        <w:t>receive updates</w:t>
      </w:r>
      <w:r w:rsidR="006E6C58" w:rsidRPr="00900ADE">
        <w:t xml:space="preserve"> when formal assessments, such as iReady and IXL, are happening. </w:t>
      </w:r>
      <w:r w:rsidR="00813B61" w:rsidRPr="00900ADE">
        <w:t xml:space="preserve">Elementary teachers reported that parents are aware of when </w:t>
      </w:r>
      <w:r w:rsidR="00446965" w:rsidRPr="00900ADE">
        <w:t xml:space="preserve">assessments take place </w:t>
      </w:r>
      <w:r w:rsidRPr="00900ADE">
        <w:t xml:space="preserve">because </w:t>
      </w:r>
      <w:r w:rsidR="00446965" w:rsidRPr="00900ADE">
        <w:t xml:space="preserve">they </w:t>
      </w:r>
      <w:r w:rsidR="00D936C0" w:rsidRPr="00900ADE">
        <w:t>receive benchmark reports.</w:t>
      </w:r>
    </w:p>
    <w:p w14:paraId="77990A05" w14:textId="49E29815" w:rsidR="00D9177D" w:rsidRPr="00900ADE" w:rsidRDefault="00F8736C" w:rsidP="00E01A56">
      <w:pPr>
        <w:pStyle w:val="BodyText"/>
      </w:pPr>
      <w:r w:rsidRPr="00900ADE">
        <w:t>T</w:t>
      </w:r>
      <w:r w:rsidR="0011491C" w:rsidRPr="00900ADE">
        <w:t xml:space="preserve">eachers </w:t>
      </w:r>
      <w:r w:rsidR="006167D4" w:rsidRPr="00900ADE">
        <w:t xml:space="preserve">reported </w:t>
      </w:r>
      <w:r w:rsidR="008A6841" w:rsidRPr="00900ADE">
        <w:t xml:space="preserve">having to </w:t>
      </w:r>
      <w:r w:rsidR="006167D4" w:rsidRPr="00900ADE">
        <w:t>sometimes revise planned</w:t>
      </w:r>
      <w:r w:rsidR="0011491C" w:rsidRPr="00900ADE">
        <w:t xml:space="preserve"> assessments to make them accessible for all students. For example, middle school teachers noted </w:t>
      </w:r>
      <w:r w:rsidR="001452B0" w:rsidRPr="00900ADE">
        <w:t xml:space="preserve">that </w:t>
      </w:r>
      <w:r w:rsidR="00066D45" w:rsidRPr="00900ADE">
        <w:t>in the new math</w:t>
      </w:r>
      <w:r w:rsidR="00591B9C" w:rsidRPr="00900ADE">
        <w:t>ematics</w:t>
      </w:r>
      <w:r w:rsidR="00066D45" w:rsidRPr="00900ADE">
        <w:t xml:space="preserve"> curriculum</w:t>
      </w:r>
      <w:r w:rsidR="00E72690" w:rsidRPr="00900ADE">
        <w:t xml:space="preserve"> (Illustrative Math)</w:t>
      </w:r>
      <w:r w:rsidR="00066D45" w:rsidRPr="00900ADE">
        <w:t xml:space="preserve">, </w:t>
      </w:r>
      <w:r w:rsidR="00075E6B" w:rsidRPr="00900ADE">
        <w:t xml:space="preserve">a consultant advised </w:t>
      </w:r>
      <w:r w:rsidR="00591B9C" w:rsidRPr="00900ADE">
        <w:t xml:space="preserve">that </w:t>
      </w:r>
      <w:r w:rsidR="00075E6B" w:rsidRPr="00900ADE">
        <w:t>t</w:t>
      </w:r>
      <w:r w:rsidR="001E5723" w:rsidRPr="00900ADE">
        <w:t xml:space="preserve">hey limit activities in one unit to support </w:t>
      </w:r>
      <w:r w:rsidR="00F3258B" w:rsidRPr="00900ADE">
        <w:t>English L</w:t>
      </w:r>
      <w:r w:rsidR="001E5723" w:rsidRPr="00900ADE">
        <w:t>earners, and teachers had to modify a subsequent assessment</w:t>
      </w:r>
      <w:r w:rsidR="00034B52" w:rsidRPr="00900ADE">
        <w:t xml:space="preserve"> to reflect just the material taught</w:t>
      </w:r>
      <w:r w:rsidR="006F2924" w:rsidRPr="00900ADE">
        <w:t xml:space="preserve">. </w:t>
      </w:r>
      <w:r w:rsidR="00591B9C" w:rsidRPr="00900ADE">
        <w:t>M</w:t>
      </w:r>
      <w:r w:rsidR="00284B1F" w:rsidRPr="00900ADE">
        <w:t xml:space="preserve">iddle school </w:t>
      </w:r>
      <w:r w:rsidR="006F2924" w:rsidRPr="00900ADE">
        <w:t xml:space="preserve">teachers </w:t>
      </w:r>
      <w:r w:rsidR="000D44B8" w:rsidRPr="00900ADE">
        <w:t xml:space="preserve">also </w:t>
      </w:r>
      <w:r w:rsidR="006F2924" w:rsidRPr="00900ADE">
        <w:t xml:space="preserve">noted that </w:t>
      </w:r>
      <w:r w:rsidR="00554BE1" w:rsidRPr="00900ADE">
        <w:t xml:space="preserve">they worked to simplify the language of Amplify assessments for </w:t>
      </w:r>
      <w:r w:rsidR="000D44B8" w:rsidRPr="00900ADE">
        <w:t>English L</w:t>
      </w:r>
      <w:r w:rsidR="00554BE1" w:rsidRPr="00900ADE">
        <w:t xml:space="preserve">earners. </w:t>
      </w:r>
      <w:r w:rsidRPr="00900ADE">
        <w:t>Elementary teachers agreed with</w:t>
      </w:r>
      <w:r w:rsidR="007228D4">
        <w:t xml:space="preserve"> them</w:t>
      </w:r>
      <w:r w:rsidR="00591B9C" w:rsidRPr="00900ADE">
        <w:t>,</w:t>
      </w:r>
      <w:r w:rsidRPr="00900ADE">
        <w:t xml:space="preserve"> </w:t>
      </w:r>
      <w:r w:rsidR="00BE7D9C" w:rsidRPr="00900ADE">
        <w:t>not</w:t>
      </w:r>
      <w:r w:rsidR="00591B9C" w:rsidRPr="00900ADE">
        <w:t>ing</w:t>
      </w:r>
      <w:r w:rsidR="00BE7D9C" w:rsidRPr="00900ADE">
        <w:t xml:space="preserve"> that </w:t>
      </w:r>
      <w:r w:rsidR="006C35AF" w:rsidRPr="00900ADE">
        <w:t>“some of the lesson quizzes aren</w:t>
      </w:r>
      <w:r w:rsidR="00591B9C" w:rsidRPr="00900ADE">
        <w:t>’</w:t>
      </w:r>
      <w:r w:rsidR="006C35AF" w:rsidRPr="00900ADE">
        <w:t>t accessible to all, including some of our special ed</w:t>
      </w:r>
      <w:r w:rsidR="00591B9C" w:rsidRPr="00900ADE">
        <w:t>[</w:t>
      </w:r>
      <w:proofErr w:type="spellStart"/>
      <w:r w:rsidR="00591B9C" w:rsidRPr="00900ADE">
        <w:t>ucation</w:t>
      </w:r>
      <w:proofErr w:type="spellEnd"/>
      <w:r w:rsidR="00591B9C" w:rsidRPr="00900ADE">
        <w:t>]</w:t>
      </w:r>
      <w:r w:rsidR="006C35AF" w:rsidRPr="00900ADE">
        <w:t xml:space="preserve"> population and our EL</w:t>
      </w:r>
      <w:r w:rsidR="004D087A" w:rsidRPr="00900ADE">
        <w:t xml:space="preserve"> [English Learner]</w:t>
      </w:r>
      <w:r w:rsidR="006C35AF" w:rsidRPr="00900ADE">
        <w:t xml:space="preserve"> population</w:t>
      </w:r>
      <w:r w:rsidR="008C787B" w:rsidRPr="00900ADE">
        <w:t xml:space="preserve"> . . . [</w:t>
      </w:r>
      <w:r w:rsidR="001E62A6" w:rsidRPr="00900ADE">
        <w:t>because] it’s very language</w:t>
      </w:r>
      <w:r w:rsidR="00591B9C" w:rsidRPr="00900ADE">
        <w:t xml:space="preserve"> </w:t>
      </w:r>
      <w:r w:rsidR="001E62A6" w:rsidRPr="00900ADE">
        <w:t>based.”</w:t>
      </w:r>
      <w:r w:rsidR="00E04781" w:rsidRPr="00900ADE">
        <w:t xml:space="preserve"> At the high school level, teachers reported</w:t>
      </w:r>
      <w:r w:rsidR="00083C52" w:rsidRPr="00900ADE">
        <w:t xml:space="preserve"> high confidence in their data work in general, but </w:t>
      </w:r>
      <w:r w:rsidR="00591B9C" w:rsidRPr="00900ADE">
        <w:t>they were frustrated</w:t>
      </w:r>
      <w:r w:rsidR="00083C52" w:rsidRPr="00900ADE">
        <w:t xml:space="preserve"> with supporting </w:t>
      </w:r>
      <w:r w:rsidR="004D087A" w:rsidRPr="00900ADE">
        <w:lastRenderedPageBreak/>
        <w:t xml:space="preserve">English Learners </w:t>
      </w:r>
      <w:r w:rsidR="00083C52" w:rsidRPr="00900ADE">
        <w:t xml:space="preserve">in scaffolding assessments, </w:t>
      </w:r>
      <w:r w:rsidR="00BD305F" w:rsidRPr="00900ADE">
        <w:t xml:space="preserve">with some departments </w:t>
      </w:r>
      <w:r w:rsidR="004D087A" w:rsidRPr="00900ADE">
        <w:t>voicing unhappiness with</w:t>
      </w:r>
      <w:r w:rsidR="00BD305F" w:rsidRPr="00900ADE">
        <w:t xml:space="preserve"> </w:t>
      </w:r>
      <w:r w:rsidR="00591B9C" w:rsidRPr="00900ADE">
        <w:t xml:space="preserve">the </w:t>
      </w:r>
      <w:r w:rsidR="00BD305F" w:rsidRPr="00900ADE">
        <w:t xml:space="preserve">resources </w:t>
      </w:r>
      <w:r w:rsidR="004D087A" w:rsidRPr="00900ADE">
        <w:t xml:space="preserve">available </w:t>
      </w:r>
      <w:r w:rsidR="00BD305F" w:rsidRPr="00900ADE">
        <w:t>and others not having supports to accommodate different</w:t>
      </w:r>
      <w:r w:rsidR="00BD305F" w:rsidRPr="00541FA3">
        <w:t xml:space="preserve"> needs.</w:t>
      </w:r>
      <w:r w:rsidR="005E73BD" w:rsidRPr="00541FA3">
        <w:t xml:space="preserve"> </w:t>
      </w:r>
      <w:r w:rsidR="001B55AD" w:rsidRPr="00541FA3">
        <w:t xml:space="preserve">Developing </w:t>
      </w:r>
      <w:r w:rsidR="005E73BD" w:rsidRPr="00541FA3">
        <w:t>support</w:t>
      </w:r>
      <w:r w:rsidR="001B55AD" w:rsidRPr="00541FA3">
        <w:t xml:space="preserve">s </w:t>
      </w:r>
      <w:r w:rsidR="0079262D">
        <w:t>to help</w:t>
      </w:r>
      <w:r w:rsidR="005E73BD" w:rsidRPr="00541FA3">
        <w:t xml:space="preserve"> teachers </w:t>
      </w:r>
      <w:r w:rsidR="00511BAE">
        <w:t xml:space="preserve">create scaffolds for </w:t>
      </w:r>
      <w:r w:rsidR="001B55AD" w:rsidRPr="00541FA3">
        <w:t>administer</w:t>
      </w:r>
      <w:r w:rsidR="00511BAE">
        <w:t>ing</w:t>
      </w:r>
      <w:r w:rsidR="005E73BD" w:rsidRPr="00541FA3">
        <w:t xml:space="preserve"> assessments </w:t>
      </w:r>
      <w:r w:rsidR="00905CF4" w:rsidRPr="00541FA3">
        <w:t>to</w:t>
      </w:r>
      <w:r w:rsidR="005E73BD" w:rsidRPr="00541FA3">
        <w:t xml:space="preserve"> students</w:t>
      </w:r>
      <w:r w:rsidR="001B55AD" w:rsidRPr="00541FA3">
        <w:t xml:space="preserve"> </w:t>
      </w:r>
      <w:r w:rsidR="00905CF4" w:rsidRPr="00541FA3">
        <w:t xml:space="preserve">with a variety of needs </w:t>
      </w:r>
      <w:r w:rsidR="00943B58" w:rsidRPr="00541FA3">
        <w:t xml:space="preserve">is an area </w:t>
      </w:r>
      <w:r w:rsidR="00DE6D6D" w:rsidRPr="00541FA3">
        <w:t>for</w:t>
      </w:r>
      <w:r w:rsidR="00943B58" w:rsidRPr="00541FA3">
        <w:t xml:space="preserve"> growth </w:t>
      </w:r>
      <w:r w:rsidR="002B6F1B" w:rsidRPr="00541FA3">
        <w:t>for Medway.</w:t>
      </w:r>
    </w:p>
    <w:p w14:paraId="0E4E29B0" w14:textId="6BA84C29" w:rsidR="008E0EE8" w:rsidRPr="00900ADE" w:rsidRDefault="00473308" w:rsidP="008E0EE8">
      <w:pPr>
        <w:pStyle w:val="Heading3"/>
      </w:pPr>
      <w:bookmarkStart w:id="44" w:name="_Data_Use"/>
      <w:bookmarkStart w:id="45" w:name="_Data_Use_and"/>
      <w:bookmarkEnd w:id="44"/>
      <w:bookmarkEnd w:id="45"/>
      <w:r w:rsidRPr="00900ADE">
        <w:t>Data Use</w:t>
      </w:r>
      <w:r w:rsidR="008E0EE8" w:rsidRPr="00900ADE">
        <w:t xml:space="preserve"> and Culture</w:t>
      </w:r>
    </w:p>
    <w:p w14:paraId="0D534F6A" w14:textId="66B8EAD0" w:rsidR="006321DE" w:rsidRPr="00900ADE" w:rsidRDefault="0062705E" w:rsidP="00E01A56">
      <w:pPr>
        <w:pStyle w:val="BodyTextposthead"/>
      </w:pPr>
      <w:r w:rsidRPr="00900ADE">
        <w:t xml:space="preserve">Medway’s </w:t>
      </w:r>
      <w:r w:rsidR="00C55239" w:rsidRPr="00900ADE">
        <w:t xml:space="preserve">articulated </w:t>
      </w:r>
      <w:r w:rsidRPr="00900ADE">
        <w:t>v</w:t>
      </w:r>
      <w:r w:rsidR="00243BE9" w:rsidRPr="00900ADE">
        <w:t xml:space="preserve">ision for data use </w:t>
      </w:r>
      <w:r w:rsidR="00C55239" w:rsidRPr="00900ADE">
        <w:t>includes</w:t>
      </w:r>
      <w:r w:rsidR="00243BE9" w:rsidRPr="00900ADE">
        <w:t xml:space="preserve"> </w:t>
      </w:r>
      <w:r w:rsidR="00C55239" w:rsidRPr="00900ADE">
        <w:t xml:space="preserve">district and school </w:t>
      </w:r>
      <w:r w:rsidR="00BB3391" w:rsidRPr="00900ADE">
        <w:t xml:space="preserve">teams </w:t>
      </w:r>
      <w:r w:rsidR="00C55239" w:rsidRPr="00900ADE">
        <w:t>using</w:t>
      </w:r>
      <w:r w:rsidR="00BB3391" w:rsidRPr="00900ADE">
        <w:t xml:space="preserve"> a combination of academic and other kinds of information to inform</w:t>
      </w:r>
      <w:r w:rsidR="004D7D72" w:rsidRPr="00900ADE">
        <w:t xml:space="preserve"> </w:t>
      </w:r>
      <w:r w:rsidR="009F0A52" w:rsidRPr="00900ADE">
        <w:t>the development</w:t>
      </w:r>
      <w:r w:rsidR="004D7D72" w:rsidRPr="00900ADE">
        <w:t xml:space="preserve"> and m</w:t>
      </w:r>
      <w:r w:rsidR="009F0A52" w:rsidRPr="00900ADE">
        <w:t>onitoring of</w:t>
      </w:r>
      <w:r w:rsidR="004D7D72" w:rsidRPr="00900ADE">
        <w:t xml:space="preserve"> priorities. </w:t>
      </w:r>
      <w:r w:rsidR="002F4A20" w:rsidRPr="00900ADE">
        <w:t xml:space="preserve">According to the </w:t>
      </w:r>
      <w:r w:rsidR="00591B9C" w:rsidRPr="00900ADE">
        <w:t>s</w:t>
      </w:r>
      <w:r w:rsidR="002F4A20" w:rsidRPr="00900ADE">
        <w:t xml:space="preserve">uperintendent, Medway collects and disaggregates student group data </w:t>
      </w:r>
      <w:r w:rsidR="00BF73E3" w:rsidRPr="00900ADE">
        <w:t xml:space="preserve">from multiple sources </w:t>
      </w:r>
      <w:r w:rsidR="002F4A20" w:rsidRPr="00900ADE">
        <w:t xml:space="preserve">to inform district planning, </w:t>
      </w:r>
      <w:r w:rsidR="00F165E6">
        <w:t>decision-making</w:t>
      </w:r>
      <w:r w:rsidR="002F4A20" w:rsidRPr="00900ADE">
        <w:t>, policies, and practices. According to district leaders, district staff regularly use grades</w:t>
      </w:r>
      <w:r w:rsidR="00591B9C" w:rsidRPr="00900ADE">
        <w:t>;</w:t>
      </w:r>
      <w:r w:rsidR="002F4A20" w:rsidRPr="00900ADE">
        <w:t xml:space="preserve"> attendance</w:t>
      </w:r>
      <w:r w:rsidR="00591B9C" w:rsidRPr="00900ADE">
        <w:t>;</w:t>
      </w:r>
      <w:r w:rsidR="002F4A20" w:rsidRPr="00900ADE">
        <w:t xml:space="preserve"> SST reports</w:t>
      </w:r>
      <w:r w:rsidR="00591B9C" w:rsidRPr="00900ADE">
        <w:t>;</w:t>
      </w:r>
      <w:r w:rsidR="002F4A20" w:rsidRPr="00900ADE">
        <w:t xml:space="preserve"> IEPs</w:t>
      </w:r>
      <w:r w:rsidR="00591B9C" w:rsidRPr="00900ADE">
        <w:t>;</w:t>
      </w:r>
      <w:r w:rsidR="002F4A20" w:rsidRPr="00900ADE">
        <w:t xml:space="preserve"> behavioral evaluations</w:t>
      </w:r>
      <w:r w:rsidR="00591B9C" w:rsidRPr="00900ADE">
        <w:t>;</w:t>
      </w:r>
      <w:r w:rsidR="002F4A20" w:rsidRPr="00900ADE">
        <w:t xml:space="preserve"> office referrals</w:t>
      </w:r>
      <w:r w:rsidR="00591B9C" w:rsidRPr="00900ADE">
        <w:t>;</w:t>
      </w:r>
      <w:r w:rsidR="002F4A20" w:rsidRPr="00900ADE">
        <w:t xml:space="preserve"> suspensions</w:t>
      </w:r>
      <w:r w:rsidR="00591B9C" w:rsidRPr="00900ADE">
        <w:t>;</w:t>
      </w:r>
      <w:r w:rsidR="002F4A20" w:rsidRPr="00900ADE">
        <w:t xml:space="preserve"> MCAS, ACCESS, AP scores, </w:t>
      </w:r>
      <w:r w:rsidR="00591B9C" w:rsidRPr="00900ADE">
        <w:t xml:space="preserve">and </w:t>
      </w:r>
      <w:r w:rsidR="002F4A20" w:rsidRPr="00900ADE">
        <w:t>SAT/ACT scores</w:t>
      </w:r>
      <w:r w:rsidR="00591B9C" w:rsidRPr="00900ADE">
        <w:t>;</w:t>
      </w:r>
      <w:r w:rsidR="00BF73E3" w:rsidRPr="00900ADE">
        <w:t xml:space="preserve"> and data from</w:t>
      </w:r>
      <w:r w:rsidR="002F4A20" w:rsidRPr="00900ADE">
        <w:t xml:space="preserve"> iReady, IXL, DIBELS, and Panorama to evaluate students’ academic, social-emotional, and behavioral needs. </w:t>
      </w:r>
      <w:r w:rsidR="00120195" w:rsidRPr="00900ADE">
        <w:t xml:space="preserve">Drawing from district and school staff focus groups and interviews, it is evident that Medway has the beginning of a shared data vision, which positions the </w:t>
      </w:r>
      <w:r w:rsidR="007A43D9">
        <w:t>data use as an important</w:t>
      </w:r>
      <w:r w:rsidR="004C36C1">
        <w:t xml:space="preserve"> and necessary activity for all staff in the</w:t>
      </w:r>
      <w:r w:rsidR="00120195" w:rsidRPr="00900ADE">
        <w:t xml:space="preserve"> district. </w:t>
      </w:r>
    </w:p>
    <w:p w14:paraId="5A2AFAAA" w14:textId="043A7029" w:rsidR="00541180" w:rsidRPr="00541FA3" w:rsidRDefault="00E63D7A" w:rsidP="00E01A56">
      <w:pPr>
        <w:pStyle w:val="BodyText"/>
      </w:pPr>
      <w:r>
        <w:t>In addition to the districtwide data vision, d</w:t>
      </w:r>
      <w:r w:rsidR="00120195" w:rsidRPr="00541FA3">
        <w:t>istrict staff</w:t>
      </w:r>
      <w:r w:rsidR="00591B9C" w:rsidRPr="00541FA3">
        <w:t xml:space="preserve"> create</w:t>
      </w:r>
      <w:r w:rsidR="00120195" w:rsidRPr="00541FA3">
        <w:t xml:space="preserve"> specific data visions at the school</w:t>
      </w:r>
      <w:r w:rsidR="00591B9C" w:rsidRPr="00541FA3">
        <w:t xml:space="preserve"> </w:t>
      </w:r>
      <w:r w:rsidR="00120195" w:rsidRPr="00541FA3">
        <w:t>level in Medway</w:t>
      </w:r>
      <w:r w:rsidR="0098318D" w:rsidRPr="00541FA3">
        <w:t xml:space="preserve">, and each school is expected to have data teams and leadership teams that use information to identify student needs and make decisions. </w:t>
      </w:r>
      <w:r w:rsidR="002A623F" w:rsidRPr="00541FA3">
        <w:t xml:space="preserve">Schools at all levels indicated at least some level of </w:t>
      </w:r>
      <w:r w:rsidR="00BE36D3" w:rsidRPr="00541FA3">
        <w:t xml:space="preserve">collaborative </w:t>
      </w:r>
      <w:r w:rsidR="002A623F" w:rsidRPr="00541FA3">
        <w:t xml:space="preserve">activity in data use, </w:t>
      </w:r>
      <w:r w:rsidR="00591B9C" w:rsidRPr="00541FA3">
        <w:t>al</w:t>
      </w:r>
      <w:r w:rsidR="002A623F" w:rsidRPr="00541FA3">
        <w:t>though this varied by department.</w:t>
      </w:r>
      <w:r w:rsidR="00BE36D3" w:rsidRPr="00541FA3">
        <w:t xml:space="preserve"> In focus groups, school staff explained that the district set</w:t>
      </w:r>
      <w:r w:rsidR="00591B9C" w:rsidRPr="00541FA3">
        <w:t>s</w:t>
      </w:r>
      <w:r w:rsidR="00104481" w:rsidRPr="00541FA3">
        <w:t xml:space="preserve"> </w:t>
      </w:r>
      <w:r w:rsidR="00BE36D3" w:rsidRPr="00541FA3">
        <w:t xml:space="preserve">expectations regarding student data review and developed structures </w:t>
      </w:r>
      <w:r w:rsidR="00591B9C" w:rsidRPr="00541FA3">
        <w:t xml:space="preserve">to </w:t>
      </w:r>
      <w:r w:rsidR="00BE36D3" w:rsidRPr="00541FA3">
        <w:t>facilitate regular data review cycles and adjustments to instruction. According to the superintendent, the district invested in data team trainings for all teachers a few years ago. Medway’s commitment to a shared understanding of</w:t>
      </w:r>
      <w:r w:rsidR="00996704" w:rsidRPr="00541FA3">
        <w:t xml:space="preserve"> collaborative</w:t>
      </w:r>
      <w:r w:rsidR="00BE36D3" w:rsidRPr="00541FA3">
        <w:t xml:space="preserve"> data use </w:t>
      </w:r>
      <w:r w:rsidR="00996704" w:rsidRPr="00541FA3">
        <w:t>among</w:t>
      </w:r>
      <w:r w:rsidR="00BE36D3" w:rsidRPr="00541FA3">
        <w:t xml:space="preserve"> teachers is a strength of the district. </w:t>
      </w:r>
    </w:p>
    <w:p w14:paraId="47441DAD" w14:textId="2321253A" w:rsidR="00A313A6" w:rsidRPr="00900ADE" w:rsidRDefault="00591B9C" w:rsidP="00E01A56">
      <w:pPr>
        <w:pStyle w:val="BodyText"/>
        <w:rPr>
          <w:spacing w:val="-2"/>
        </w:rPr>
      </w:pPr>
      <w:r w:rsidRPr="00900ADE">
        <w:rPr>
          <w:spacing w:val="-2"/>
        </w:rPr>
        <w:t>P</w:t>
      </w:r>
      <w:r w:rsidR="00A313A6" w:rsidRPr="00900ADE">
        <w:rPr>
          <w:spacing w:val="-2"/>
        </w:rPr>
        <w:t xml:space="preserve">rincipals and other </w:t>
      </w:r>
      <w:r w:rsidRPr="00900ADE">
        <w:rPr>
          <w:spacing w:val="-2"/>
        </w:rPr>
        <w:t xml:space="preserve">district </w:t>
      </w:r>
      <w:r w:rsidR="00A313A6" w:rsidRPr="00900ADE">
        <w:rPr>
          <w:spacing w:val="-2"/>
        </w:rPr>
        <w:t xml:space="preserve">staff agreed </w:t>
      </w:r>
      <w:r w:rsidRPr="00900ADE">
        <w:rPr>
          <w:spacing w:val="-2"/>
        </w:rPr>
        <w:t xml:space="preserve">that </w:t>
      </w:r>
      <w:r w:rsidR="006E6345" w:rsidRPr="00900ADE">
        <w:rPr>
          <w:spacing w:val="-2"/>
        </w:rPr>
        <w:t xml:space="preserve">they </w:t>
      </w:r>
      <w:r w:rsidR="00A313A6" w:rsidRPr="00900ADE">
        <w:rPr>
          <w:spacing w:val="-2"/>
        </w:rPr>
        <w:t>us</w:t>
      </w:r>
      <w:r w:rsidR="006E6345" w:rsidRPr="00900ADE">
        <w:rPr>
          <w:spacing w:val="-2"/>
        </w:rPr>
        <w:t>e</w:t>
      </w:r>
      <w:r w:rsidR="00A313A6" w:rsidRPr="00900ADE">
        <w:rPr>
          <w:spacing w:val="-2"/>
        </w:rPr>
        <w:t xml:space="preserve"> data to </w:t>
      </w:r>
      <w:r w:rsidR="006E6345" w:rsidRPr="00900ADE">
        <w:rPr>
          <w:spacing w:val="-2"/>
        </w:rPr>
        <w:t>regularly</w:t>
      </w:r>
      <w:r w:rsidR="00A313A6" w:rsidRPr="00900ADE">
        <w:rPr>
          <w:spacing w:val="-2"/>
        </w:rPr>
        <w:t xml:space="preserve"> monitor the experiences and outcomes of all students and </w:t>
      </w:r>
      <w:r w:rsidR="006E6345" w:rsidRPr="00900ADE">
        <w:rPr>
          <w:spacing w:val="-2"/>
        </w:rPr>
        <w:t>use</w:t>
      </w:r>
      <w:r w:rsidR="00A313A6" w:rsidRPr="00900ADE">
        <w:rPr>
          <w:spacing w:val="-2"/>
        </w:rPr>
        <w:t xml:space="preserve"> disaggregated data to adjust coursework offerings, such as support</w:t>
      </w:r>
      <w:r w:rsidRPr="00900ADE">
        <w:rPr>
          <w:spacing w:val="-2"/>
        </w:rPr>
        <w:t>ing</w:t>
      </w:r>
      <w:r w:rsidR="00A313A6" w:rsidRPr="00900ADE">
        <w:rPr>
          <w:spacing w:val="-2"/>
        </w:rPr>
        <w:t xml:space="preserve"> literacy work at the elementary level.</w:t>
      </w:r>
      <w:r w:rsidR="00A313A6" w:rsidRPr="00900ADE">
        <w:rPr>
          <w:b/>
          <w:bCs/>
          <w:spacing w:val="-2"/>
        </w:rPr>
        <w:t xml:space="preserve"> </w:t>
      </w:r>
      <w:r w:rsidR="00A313A6" w:rsidRPr="00900ADE">
        <w:rPr>
          <w:spacing w:val="-2"/>
        </w:rPr>
        <w:t xml:space="preserve">Principals reported that staff have “strong data practices and data meetings,” including related to instructional planning, assessing the implementation of deeper learning efforts, and conducting the teacher evaluation process. </w:t>
      </w:r>
      <w:r w:rsidR="00243A41" w:rsidRPr="00900ADE">
        <w:rPr>
          <w:spacing w:val="-2"/>
        </w:rPr>
        <w:t>However. s</w:t>
      </w:r>
      <w:r w:rsidR="00A313A6" w:rsidRPr="00900ADE">
        <w:rPr>
          <w:spacing w:val="-2"/>
        </w:rPr>
        <w:t xml:space="preserve">chool leaders also said that </w:t>
      </w:r>
      <w:r w:rsidR="00CA1729" w:rsidRPr="00900ADE">
        <w:rPr>
          <w:spacing w:val="-2"/>
        </w:rPr>
        <w:t xml:space="preserve">the needs of English Learners do not </w:t>
      </w:r>
      <w:r w:rsidR="00835A94" w:rsidRPr="00900ADE">
        <w:rPr>
          <w:spacing w:val="-2"/>
        </w:rPr>
        <w:t>garner enough attention in their</w:t>
      </w:r>
      <w:r w:rsidR="00A313A6" w:rsidRPr="00900ADE">
        <w:rPr>
          <w:spacing w:val="-2"/>
        </w:rPr>
        <w:t xml:space="preserve"> </w:t>
      </w:r>
      <w:r w:rsidR="00835A94" w:rsidRPr="00900ADE">
        <w:rPr>
          <w:spacing w:val="-2"/>
        </w:rPr>
        <w:t>data reviews</w:t>
      </w:r>
      <w:r w:rsidR="00A313A6" w:rsidRPr="00900ADE">
        <w:rPr>
          <w:spacing w:val="-2"/>
        </w:rPr>
        <w:t xml:space="preserve">, with one noting </w:t>
      </w:r>
      <w:r w:rsidRPr="00900ADE">
        <w:rPr>
          <w:spacing w:val="-2"/>
        </w:rPr>
        <w:t xml:space="preserve">that </w:t>
      </w:r>
      <w:r w:rsidR="00A313A6" w:rsidRPr="00900ADE">
        <w:rPr>
          <w:spacing w:val="-2"/>
        </w:rPr>
        <w:t>“we have a lot of work to go there</w:t>
      </w:r>
      <w:r w:rsidR="00CA1729" w:rsidRPr="00900ADE">
        <w:rPr>
          <w:spacing w:val="-2"/>
        </w:rPr>
        <w:t>.</w:t>
      </w:r>
      <w:r w:rsidR="00A313A6" w:rsidRPr="00900ADE">
        <w:rPr>
          <w:spacing w:val="-2"/>
        </w:rPr>
        <w:t>”</w:t>
      </w:r>
      <w:r w:rsidR="00243A41" w:rsidRPr="00900ADE">
        <w:rPr>
          <w:spacing w:val="-2"/>
        </w:rPr>
        <w:t xml:space="preserve"> As a district</w:t>
      </w:r>
      <w:r w:rsidRPr="00900ADE">
        <w:rPr>
          <w:spacing w:val="-2"/>
        </w:rPr>
        <w:t>,</w:t>
      </w:r>
      <w:r w:rsidR="00A313A6" w:rsidRPr="00900ADE">
        <w:rPr>
          <w:spacing w:val="-2"/>
        </w:rPr>
        <w:t xml:space="preserve"> </w:t>
      </w:r>
      <w:r w:rsidR="00824B79" w:rsidRPr="00900ADE">
        <w:rPr>
          <w:spacing w:val="-2"/>
        </w:rPr>
        <w:t>s</w:t>
      </w:r>
      <w:r w:rsidR="00A313A6" w:rsidRPr="00900ADE">
        <w:rPr>
          <w:spacing w:val="-2"/>
        </w:rPr>
        <w:t>taff reported that data sources</w:t>
      </w:r>
      <w:r w:rsidR="00824B79" w:rsidRPr="00900ADE">
        <w:rPr>
          <w:spacing w:val="-2"/>
        </w:rPr>
        <w:t xml:space="preserve"> for English Learners</w:t>
      </w:r>
      <w:r w:rsidR="00A313A6" w:rsidRPr="00900ADE">
        <w:rPr>
          <w:spacing w:val="-2"/>
        </w:rPr>
        <w:t xml:space="preserve"> included REACH Higher in </w:t>
      </w:r>
      <w:r w:rsidRPr="00900ADE">
        <w:rPr>
          <w:spacing w:val="-2"/>
        </w:rPr>
        <w:t>G</w:t>
      </w:r>
      <w:r w:rsidR="00A313A6" w:rsidRPr="00900ADE">
        <w:rPr>
          <w:spacing w:val="-2"/>
        </w:rPr>
        <w:t xml:space="preserve">rades K-4, Our World in </w:t>
      </w:r>
      <w:r w:rsidRPr="00900ADE">
        <w:rPr>
          <w:spacing w:val="-2"/>
        </w:rPr>
        <w:t>G</w:t>
      </w:r>
      <w:r w:rsidR="00A313A6" w:rsidRPr="00900ADE">
        <w:rPr>
          <w:spacing w:val="-2"/>
        </w:rPr>
        <w:t>rades 2-4, and National Geographic</w:t>
      </w:r>
      <w:r w:rsidR="007937B9" w:rsidRPr="00900ADE">
        <w:rPr>
          <w:spacing w:val="-2"/>
        </w:rPr>
        <w:t xml:space="preserve"> </w:t>
      </w:r>
      <w:r w:rsidR="00A313A6" w:rsidRPr="00900ADE">
        <w:rPr>
          <w:spacing w:val="-2"/>
        </w:rPr>
        <w:t xml:space="preserve">for </w:t>
      </w:r>
      <w:r w:rsidRPr="00900ADE">
        <w:rPr>
          <w:spacing w:val="-2"/>
        </w:rPr>
        <w:t xml:space="preserve">English Learners </w:t>
      </w:r>
      <w:r w:rsidR="00A313A6" w:rsidRPr="00900ADE">
        <w:rPr>
          <w:spacing w:val="-2"/>
        </w:rPr>
        <w:t xml:space="preserve">in </w:t>
      </w:r>
      <w:r w:rsidRPr="00900ADE">
        <w:rPr>
          <w:spacing w:val="-2"/>
        </w:rPr>
        <w:t>G</w:t>
      </w:r>
      <w:r w:rsidR="00A313A6" w:rsidRPr="00900ADE">
        <w:rPr>
          <w:spacing w:val="-2"/>
        </w:rPr>
        <w:t xml:space="preserve">rades 5-7. </w:t>
      </w:r>
    </w:p>
    <w:p w14:paraId="6A90F9D3" w14:textId="5F150FB8" w:rsidR="0062705E" w:rsidRPr="00900ADE" w:rsidRDefault="00AB0499" w:rsidP="00E01A56">
      <w:pPr>
        <w:pStyle w:val="BodyText"/>
      </w:pPr>
      <w:r w:rsidRPr="00900ADE">
        <w:t>E</w:t>
      </w:r>
      <w:r w:rsidR="00BC14FE" w:rsidRPr="00900ADE">
        <w:t>lementary</w:t>
      </w:r>
      <w:r w:rsidRPr="00900ADE">
        <w:t xml:space="preserve"> teachers reported u</w:t>
      </w:r>
      <w:r w:rsidR="008B01BB" w:rsidRPr="00900ADE">
        <w:t>s</w:t>
      </w:r>
      <w:r w:rsidRPr="00900ADE">
        <w:t>ing DIBELS and iReady data to support literacy</w:t>
      </w:r>
      <w:r w:rsidR="00636CF3" w:rsidRPr="00900ADE">
        <w:t xml:space="preserve">, as well as some </w:t>
      </w:r>
      <w:r w:rsidR="003B6743" w:rsidRPr="00900ADE">
        <w:t>additional information on early literacy</w:t>
      </w:r>
      <w:r w:rsidR="00591B9C" w:rsidRPr="00900ADE">
        <w:t>,</w:t>
      </w:r>
      <w:r w:rsidR="003B6743" w:rsidRPr="00900ADE">
        <w:t xml:space="preserve"> such as letter and sound awareness at the preschool level</w:t>
      </w:r>
      <w:r w:rsidR="0093036A" w:rsidRPr="00900ADE">
        <w:t xml:space="preserve">. </w:t>
      </w:r>
      <w:r w:rsidR="00787E34" w:rsidRPr="00900ADE">
        <w:t>Teacher</w:t>
      </w:r>
      <w:r w:rsidR="008B01BB" w:rsidRPr="00900ADE">
        <w:t>s</w:t>
      </w:r>
      <w:r w:rsidR="00787E34" w:rsidRPr="00900ADE">
        <w:t xml:space="preserve"> characterized the team’s use of data at this level as </w:t>
      </w:r>
      <w:r w:rsidR="008B01BB" w:rsidRPr="00900ADE">
        <w:t>“</w:t>
      </w:r>
      <w:r w:rsidR="0021579C" w:rsidRPr="00900ADE">
        <w:t>robust</w:t>
      </w:r>
      <w:r w:rsidR="008B01BB" w:rsidRPr="00900ADE">
        <w:t>”</w:t>
      </w:r>
      <w:r w:rsidR="0021579C" w:rsidRPr="00900ADE">
        <w:t xml:space="preserve"> and tied closely to their extensive literacy work. </w:t>
      </w:r>
      <w:r w:rsidR="00591B9C" w:rsidRPr="00900ADE">
        <w:t>E</w:t>
      </w:r>
      <w:r w:rsidR="0093036A" w:rsidRPr="00900ADE">
        <w:t>lementary teachers also reported using iReady to assess math</w:t>
      </w:r>
      <w:r w:rsidR="00591B9C" w:rsidRPr="00900ADE">
        <w:t>ematics</w:t>
      </w:r>
      <w:r w:rsidR="0093036A" w:rsidRPr="00900ADE">
        <w:t xml:space="preserve"> proficiency, </w:t>
      </w:r>
      <w:r w:rsidR="00591B9C" w:rsidRPr="00900ADE">
        <w:t xml:space="preserve">but </w:t>
      </w:r>
      <w:r w:rsidR="0093036A" w:rsidRPr="00900ADE">
        <w:t xml:space="preserve">they </w:t>
      </w:r>
      <w:r w:rsidR="00636CF3" w:rsidRPr="00900ADE">
        <w:t>characterized that system as “not as robust</w:t>
      </w:r>
      <w:r w:rsidR="00C80A51" w:rsidRPr="00900ADE">
        <w:t>.</w:t>
      </w:r>
      <w:r w:rsidR="00636CF3" w:rsidRPr="00900ADE">
        <w:t>”</w:t>
      </w:r>
      <w:r w:rsidR="00BC14FE" w:rsidRPr="00900ADE">
        <w:t xml:space="preserve"> All middle school teachers discussed the assessments that they use and how they scaffold assessments for their learners</w:t>
      </w:r>
      <w:r w:rsidR="00E430B7" w:rsidRPr="00900ADE">
        <w:t xml:space="preserve">, including </w:t>
      </w:r>
      <w:r w:rsidR="00B666FD" w:rsidRPr="00900ADE">
        <w:t xml:space="preserve">iReady and DIBELS data, as well as teacher-created </w:t>
      </w:r>
      <w:r w:rsidR="00C54C04" w:rsidRPr="00900ADE">
        <w:t xml:space="preserve">and curriculum-embedded </w:t>
      </w:r>
      <w:r w:rsidR="00B666FD" w:rsidRPr="00900ADE">
        <w:t>exit tickets</w:t>
      </w:r>
      <w:r w:rsidR="00BC14FE" w:rsidRPr="00900ADE">
        <w:t>.</w:t>
      </w:r>
      <w:r w:rsidR="004501E4" w:rsidRPr="00900ADE">
        <w:t xml:space="preserve"> Teachers reported </w:t>
      </w:r>
      <w:r w:rsidR="00A236FF" w:rsidRPr="00900ADE">
        <w:t xml:space="preserve">meeting multiple times per </w:t>
      </w:r>
      <w:r w:rsidR="00F06CF4" w:rsidRPr="00900ADE">
        <w:t xml:space="preserve">six-day </w:t>
      </w:r>
      <w:r w:rsidR="00A236FF" w:rsidRPr="00900ADE">
        <w:t>cycle in cross-department teams (e.g.,</w:t>
      </w:r>
      <w:r w:rsidR="000F0CA2" w:rsidRPr="00900ADE">
        <w:t xml:space="preserve"> </w:t>
      </w:r>
      <w:r w:rsidR="00A236FF" w:rsidRPr="00900ADE">
        <w:lastRenderedPageBreak/>
        <w:t>math</w:t>
      </w:r>
      <w:r w:rsidR="00591B9C" w:rsidRPr="00900ADE">
        <w:t>ematics</w:t>
      </w:r>
      <w:r w:rsidR="00A236FF" w:rsidRPr="00900ADE">
        <w:t xml:space="preserve"> and science teachers at a grade level) to discuss</w:t>
      </w:r>
      <w:r w:rsidR="000F0CA2" w:rsidRPr="00900ADE">
        <w:t xml:space="preserve"> data in PLC meetings.</w:t>
      </w:r>
      <w:r w:rsidR="00BC14FE" w:rsidRPr="00900ADE">
        <w:t xml:space="preserve"> High school teachers stated </w:t>
      </w:r>
      <w:r w:rsidR="00591B9C" w:rsidRPr="00900ADE">
        <w:t>having</w:t>
      </w:r>
      <w:r w:rsidR="008B0C40" w:rsidRPr="00900ADE">
        <w:t xml:space="preserve"> some use of IXL at their level, but they more frequently rely on </w:t>
      </w:r>
      <w:r w:rsidR="00E865DF" w:rsidRPr="00900ADE">
        <w:t xml:space="preserve">assessments that come with curricular materials or </w:t>
      </w:r>
      <w:r w:rsidR="0052436F" w:rsidRPr="00900ADE">
        <w:t>common assessments in each department</w:t>
      </w:r>
      <w:r w:rsidR="00591B9C" w:rsidRPr="00900ADE">
        <w:t>.</w:t>
      </w:r>
      <w:r w:rsidR="006C049D" w:rsidRPr="00900ADE">
        <w:t xml:space="preserve"> </w:t>
      </w:r>
      <w:r w:rsidR="00591B9C" w:rsidRPr="00900ADE">
        <w:t>H</w:t>
      </w:r>
      <w:r w:rsidR="006C049D" w:rsidRPr="00900ADE">
        <w:t xml:space="preserve">igh school staff </w:t>
      </w:r>
      <w:r w:rsidR="00591B9C" w:rsidRPr="00900ADE">
        <w:t xml:space="preserve">also </w:t>
      </w:r>
      <w:r w:rsidR="006C049D" w:rsidRPr="00900ADE">
        <w:t>reported looking at this information frequently</w:t>
      </w:r>
      <w:r w:rsidR="00591B9C" w:rsidRPr="00900ADE">
        <w:t>,</w:t>
      </w:r>
      <w:r w:rsidR="006C049D" w:rsidRPr="00900ADE">
        <w:t xml:space="preserve"> often with colleagues. </w:t>
      </w:r>
      <w:r w:rsidR="00507746">
        <w:t>Additionally,</w:t>
      </w:r>
      <w:r w:rsidR="005518EF">
        <w:t xml:space="preserve"> focus group participants from the </w:t>
      </w:r>
      <w:r w:rsidR="00507746">
        <w:t>h</w:t>
      </w:r>
      <w:r w:rsidR="00333865" w:rsidRPr="00900ADE">
        <w:t xml:space="preserve">igh school reported that examining common assessments </w:t>
      </w:r>
      <w:r w:rsidR="00C80A51" w:rsidRPr="00900ADE">
        <w:t>occurred</w:t>
      </w:r>
      <w:r w:rsidR="00333865" w:rsidRPr="00900ADE">
        <w:t xml:space="preserve"> more </w:t>
      </w:r>
      <w:r w:rsidR="00C80A51" w:rsidRPr="00900ADE">
        <w:t xml:space="preserve">often </w:t>
      </w:r>
      <w:r w:rsidR="00A92C7B" w:rsidRPr="00900ADE">
        <w:t>in</w:t>
      </w:r>
      <w:r w:rsidR="00333865" w:rsidRPr="00900ADE">
        <w:t xml:space="preserve"> science and social </w:t>
      </w:r>
      <w:r w:rsidR="00A92C7B" w:rsidRPr="00900ADE">
        <w:t>studies</w:t>
      </w:r>
      <w:r w:rsidR="00333865" w:rsidRPr="00900ADE">
        <w:t xml:space="preserve"> and less </w:t>
      </w:r>
      <w:r w:rsidR="00A92C7B" w:rsidRPr="00900ADE">
        <w:t>often</w:t>
      </w:r>
      <w:r w:rsidR="00333865" w:rsidRPr="00900ADE">
        <w:t xml:space="preserve"> in the English department.</w:t>
      </w:r>
      <w:r w:rsidR="000F0CA2" w:rsidRPr="00900ADE">
        <w:t xml:space="preserve"> Across all schools, teachers generally agreed that their schools are supporting them with data use.</w:t>
      </w:r>
    </w:p>
    <w:p w14:paraId="08074CA2" w14:textId="50789C0F" w:rsidR="00E753A8" w:rsidRPr="00541FA3" w:rsidRDefault="00973B3B" w:rsidP="00E01A56">
      <w:pPr>
        <w:pStyle w:val="BodyText"/>
      </w:pPr>
      <w:r w:rsidRPr="00541FA3">
        <w:t xml:space="preserve">According to school leaders and teachers, </w:t>
      </w:r>
      <w:r w:rsidR="0097122B" w:rsidRPr="00541FA3">
        <w:t xml:space="preserve">Medway </w:t>
      </w:r>
      <w:r w:rsidRPr="00541FA3">
        <w:t>provides educators with access to relevant data; however, school leaders explained that the district currently does not have data dashboards</w:t>
      </w:r>
      <w:r w:rsidR="00DF168F" w:rsidRPr="00541FA3">
        <w:t xml:space="preserve"> that allow all staff to access and analy</w:t>
      </w:r>
      <w:r w:rsidR="002064CA" w:rsidRPr="00541FA3">
        <w:t>ze relevant data efficiently</w:t>
      </w:r>
      <w:r w:rsidR="0074061D" w:rsidRPr="00541FA3">
        <w:t>.</w:t>
      </w:r>
      <w:r w:rsidR="002064CA" w:rsidRPr="00541FA3">
        <w:t xml:space="preserve"> </w:t>
      </w:r>
      <w:r w:rsidR="0074061D" w:rsidRPr="00541FA3">
        <w:t>As a result,</w:t>
      </w:r>
      <w:r w:rsidRPr="00541FA3">
        <w:t xml:space="preserve"> </w:t>
      </w:r>
      <w:r w:rsidR="0097122B" w:rsidRPr="00541FA3">
        <w:t>although schools have</w:t>
      </w:r>
      <w:r w:rsidRPr="00541FA3">
        <w:t xml:space="preserve"> “strong data practices and data meetings</w:t>
      </w:r>
      <w:r w:rsidR="0097122B" w:rsidRPr="00541FA3">
        <w:t>,</w:t>
      </w:r>
      <w:r w:rsidRPr="00541FA3">
        <w:t>”</w:t>
      </w:r>
      <w:r w:rsidR="00BE1AC5" w:rsidRPr="00541FA3">
        <w:t xml:space="preserve"> staff</w:t>
      </w:r>
      <w:r w:rsidRPr="00541FA3">
        <w:t xml:space="preserve"> </w:t>
      </w:r>
      <w:r w:rsidR="00E479B3" w:rsidRPr="00541FA3">
        <w:t xml:space="preserve">are </w:t>
      </w:r>
      <w:r w:rsidRPr="00541FA3">
        <w:t>analyzing data by hand</w:t>
      </w:r>
      <w:r w:rsidR="009E372C" w:rsidRPr="00541FA3">
        <w:t xml:space="preserve"> (i.e.</w:t>
      </w:r>
      <w:r w:rsidR="0097122B" w:rsidRPr="00541FA3">
        <w:t>,</w:t>
      </w:r>
      <w:r w:rsidR="009E372C" w:rsidRPr="00541FA3">
        <w:t xml:space="preserve"> creating spreadsheets</w:t>
      </w:r>
      <w:r w:rsidR="004040DE" w:rsidRPr="00541FA3">
        <w:t>)</w:t>
      </w:r>
      <w:r w:rsidRPr="00541FA3">
        <w:t xml:space="preserve">. District leaders noted that </w:t>
      </w:r>
      <w:r w:rsidR="0097122B" w:rsidRPr="00541FA3">
        <w:t>Medway</w:t>
      </w:r>
      <w:r w:rsidRPr="00541FA3">
        <w:t xml:space="preserve"> is planning to partner with </w:t>
      </w:r>
      <w:r w:rsidR="00162F40" w:rsidRPr="00541FA3">
        <w:t xml:space="preserve">a </w:t>
      </w:r>
      <w:r w:rsidR="000A40A7" w:rsidRPr="00541FA3">
        <w:t>software developer to create a data platform</w:t>
      </w:r>
      <w:r w:rsidRPr="00541FA3">
        <w:t xml:space="preserve"> to address this need.</w:t>
      </w:r>
      <w:r w:rsidR="00A07996" w:rsidRPr="00541FA3">
        <w:t xml:space="preserve"> School </w:t>
      </w:r>
      <w:r w:rsidR="0040768E" w:rsidRPr="00541FA3">
        <w:t>staff</w:t>
      </w:r>
      <w:r w:rsidR="00C17096" w:rsidRPr="00541FA3">
        <w:t>, particularly at the high school level,</w:t>
      </w:r>
      <w:r w:rsidR="0040768E" w:rsidRPr="00541FA3">
        <w:t xml:space="preserve"> explained </w:t>
      </w:r>
      <w:r w:rsidR="0097122B" w:rsidRPr="00541FA3">
        <w:t>using</w:t>
      </w:r>
      <w:r w:rsidR="0040768E" w:rsidRPr="00541FA3">
        <w:t xml:space="preserve"> a significant amount of their planning and collaborative time to organize data</w:t>
      </w:r>
      <w:r w:rsidR="0097122B" w:rsidRPr="00541FA3">
        <w:t>,</w:t>
      </w:r>
      <w:r w:rsidR="006D011E" w:rsidRPr="00541FA3">
        <w:t xml:space="preserve"> so they do not have as much time to analyze data</w:t>
      </w:r>
      <w:r w:rsidR="00116E43" w:rsidRPr="00541FA3">
        <w:t xml:space="preserve"> or discuss implications of </w:t>
      </w:r>
      <w:r w:rsidR="0097122B" w:rsidRPr="00541FA3">
        <w:t xml:space="preserve">the </w:t>
      </w:r>
      <w:r w:rsidR="00116E43" w:rsidRPr="00541FA3">
        <w:t>results</w:t>
      </w:r>
      <w:r w:rsidR="006D011E" w:rsidRPr="00541FA3">
        <w:t>.</w:t>
      </w:r>
      <w:r w:rsidR="00116E43" w:rsidRPr="00541FA3">
        <w:t xml:space="preserve"> Providing data analysis support at the high school level is an area for growth in the district.</w:t>
      </w:r>
      <w:r w:rsidR="006D011E" w:rsidRPr="00541FA3">
        <w:t xml:space="preserve"> </w:t>
      </w:r>
      <w:r w:rsidR="00E753A8" w:rsidRPr="00541FA3">
        <w:t xml:space="preserve">Elementary </w:t>
      </w:r>
      <w:r w:rsidR="00557B52" w:rsidRPr="00541FA3">
        <w:t xml:space="preserve">and middle school </w:t>
      </w:r>
      <w:r w:rsidR="00E753A8" w:rsidRPr="00541FA3">
        <w:t xml:space="preserve">teachers noted that the district provides them with access to Continuum, a data tool from HILL for Literacy, which helps </w:t>
      </w:r>
      <w:r w:rsidR="00841AAE" w:rsidRPr="00541FA3">
        <w:t xml:space="preserve">them </w:t>
      </w:r>
      <w:r w:rsidR="00E753A8" w:rsidRPr="00541FA3">
        <w:t>“make informed decisions using DIBELS, iReady, and a few other literacy measures in a really systematic way</w:t>
      </w:r>
      <w:r w:rsidR="00FD535D" w:rsidRPr="00541FA3">
        <w:t xml:space="preserve">.” </w:t>
      </w:r>
    </w:p>
    <w:p w14:paraId="1136DCC5" w14:textId="4541D009" w:rsidR="00473308" w:rsidRPr="00900ADE" w:rsidRDefault="00473308" w:rsidP="00473308">
      <w:pPr>
        <w:pStyle w:val="Heading3"/>
      </w:pPr>
      <w:bookmarkStart w:id="46" w:name="_Sharing_Results"/>
      <w:bookmarkStart w:id="47" w:name="_Sharing_Data"/>
      <w:bookmarkEnd w:id="46"/>
      <w:bookmarkEnd w:id="47"/>
      <w:r w:rsidRPr="00900ADE">
        <w:t xml:space="preserve">Sharing </w:t>
      </w:r>
      <w:r w:rsidR="008E0EE8" w:rsidRPr="00900ADE">
        <w:t>Data</w:t>
      </w:r>
    </w:p>
    <w:p w14:paraId="43F8B9C7" w14:textId="4B4AF801" w:rsidR="00026DD8" w:rsidRPr="00900ADE" w:rsidRDefault="00465DA7" w:rsidP="00E01A56">
      <w:pPr>
        <w:pStyle w:val="BodyTextposthead"/>
      </w:pPr>
      <w:r w:rsidRPr="00900ADE">
        <w:t xml:space="preserve">District and school leaders in </w:t>
      </w:r>
      <w:r w:rsidR="00D17A1B" w:rsidRPr="00900ADE">
        <w:t xml:space="preserve">Medway </w:t>
      </w:r>
      <w:r w:rsidRPr="00900ADE">
        <w:t>expect teachers to communicate with families about student performance</w:t>
      </w:r>
      <w:r w:rsidR="00463B02" w:rsidRPr="00900ADE">
        <w:t>,</w:t>
      </w:r>
      <w:r w:rsidRPr="00900ADE">
        <w:t xml:space="preserve"> </w:t>
      </w:r>
      <w:r w:rsidR="00BB2A39" w:rsidRPr="00900ADE">
        <w:t xml:space="preserve">and </w:t>
      </w:r>
      <w:r w:rsidRPr="00900ADE">
        <w:t xml:space="preserve">teachers and families noted that the district </w:t>
      </w:r>
      <w:r w:rsidR="00463B02" w:rsidRPr="00900ADE">
        <w:t>shares</w:t>
      </w:r>
      <w:r w:rsidRPr="00900ADE">
        <w:t xml:space="preserve"> evidence of student, school, and district performance.</w:t>
      </w:r>
      <w:r w:rsidR="009218EA" w:rsidRPr="00900ADE">
        <w:t xml:space="preserve"> However, </w:t>
      </w:r>
      <w:r w:rsidR="00E87DC8" w:rsidRPr="00900ADE">
        <w:t xml:space="preserve">staff shared that </w:t>
      </w:r>
      <w:r w:rsidR="00BB2A39" w:rsidRPr="00900ADE">
        <w:t>district</w:t>
      </w:r>
      <w:r w:rsidR="009218EA" w:rsidRPr="00900ADE">
        <w:t xml:space="preserve"> expectations are not specific</w:t>
      </w:r>
      <w:r w:rsidR="001E1187" w:rsidRPr="00900ADE">
        <w:t>,</w:t>
      </w:r>
      <w:r w:rsidR="009218EA" w:rsidRPr="00900ADE">
        <w:t xml:space="preserve"> and</w:t>
      </w:r>
      <w:r w:rsidR="00E87DC8" w:rsidRPr="00900ADE">
        <w:t>,</w:t>
      </w:r>
      <w:r w:rsidR="009218EA" w:rsidRPr="00900ADE">
        <w:t xml:space="preserve"> in practice</w:t>
      </w:r>
      <w:r w:rsidR="00E87DC8" w:rsidRPr="00900ADE">
        <w:t>,</w:t>
      </w:r>
      <w:r w:rsidR="00BC1EE4" w:rsidRPr="00900ADE">
        <w:t xml:space="preserve"> staff do not consistently share data with parents and students </w:t>
      </w:r>
      <w:r w:rsidR="004200CD" w:rsidRPr="00900ADE">
        <w:t>at all levels within the district</w:t>
      </w:r>
      <w:r w:rsidR="00BB2A39" w:rsidRPr="00900ADE">
        <w:t>.</w:t>
      </w:r>
      <w:r w:rsidR="00C265EF" w:rsidRPr="00900ADE">
        <w:t xml:space="preserve"> </w:t>
      </w:r>
    </w:p>
    <w:p w14:paraId="7AB208F2" w14:textId="474C6E7A" w:rsidR="00BC1EE4" w:rsidRPr="00900ADE" w:rsidRDefault="001E1187" w:rsidP="00E01A56">
      <w:pPr>
        <w:pStyle w:val="BodyText"/>
      </w:pPr>
      <w:r w:rsidRPr="00900ADE">
        <w:t>Medway</w:t>
      </w:r>
      <w:r w:rsidR="00BC1EE4" w:rsidRPr="00900ADE">
        <w:t xml:space="preserve"> </w:t>
      </w:r>
      <w:r w:rsidR="00074F70" w:rsidRPr="00900ADE">
        <w:t>uses the</w:t>
      </w:r>
      <w:r w:rsidR="00BC1EE4" w:rsidRPr="00900ADE">
        <w:t xml:space="preserve"> </w:t>
      </w:r>
      <w:r w:rsidR="00074F70" w:rsidRPr="00900ADE">
        <w:t xml:space="preserve">Infinite Campus </w:t>
      </w:r>
      <w:r w:rsidR="00BC1EE4" w:rsidRPr="00900ADE">
        <w:t>system</w:t>
      </w:r>
      <w:r w:rsidR="00074F70" w:rsidRPr="00900ADE">
        <w:t xml:space="preserve"> to allow </w:t>
      </w:r>
      <w:r w:rsidR="00BC1EE4" w:rsidRPr="00900ADE">
        <w:t>families to monitor student academic data, including grades on assignments, overall course grades, and assessment scores. District staff reported that care with student data is a high priority. According to district leaders, digital platforms that collect, store, and share student data are reviewed and monitored to ensure ongoing compliance with student data privacy laws and regulations, but the frequency</w:t>
      </w:r>
      <w:r w:rsidR="00DB1215" w:rsidRPr="00900ADE">
        <w:t xml:space="preserve"> of this review </w:t>
      </w:r>
      <w:r w:rsidR="00BC1EE4" w:rsidRPr="00900ADE">
        <w:t xml:space="preserve">varies by </w:t>
      </w:r>
      <w:r w:rsidRPr="00900ADE">
        <w:t xml:space="preserve">the </w:t>
      </w:r>
      <w:r w:rsidR="00BC1EE4" w:rsidRPr="00900ADE">
        <w:t xml:space="preserve">platform. </w:t>
      </w:r>
      <w:r w:rsidRPr="00900ADE">
        <w:t>D</w:t>
      </w:r>
      <w:r w:rsidR="00BC1EE4" w:rsidRPr="00900ADE">
        <w:t xml:space="preserve">istrict leaders </w:t>
      </w:r>
      <w:r w:rsidRPr="00900ADE">
        <w:t xml:space="preserve">also </w:t>
      </w:r>
      <w:r w:rsidR="00BC1EE4" w:rsidRPr="00900ADE">
        <w:t xml:space="preserve">reported that the district does not offer professional learning for staff </w:t>
      </w:r>
      <w:r w:rsidRPr="00900ADE">
        <w:t xml:space="preserve">about </w:t>
      </w:r>
      <w:r w:rsidR="00BC1EE4" w:rsidRPr="00900ADE">
        <w:t>student data privacy law</w:t>
      </w:r>
      <w:r w:rsidRPr="00900ADE">
        <w:t>s</w:t>
      </w:r>
      <w:r w:rsidR="00BC1EE4" w:rsidRPr="00900ADE">
        <w:t xml:space="preserve">, policies, and best practices for safeguarding student information. Medway is a member of </w:t>
      </w:r>
      <w:r w:rsidR="00433921" w:rsidRPr="00900ADE">
        <w:t>The Education</w:t>
      </w:r>
      <w:r w:rsidR="00C120F2" w:rsidRPr="00900ADE">
        <w:t xml:space="preserve"> </w:t>
      </w:r>
      <w:r w:rsidR="00BC1EE4" w:rsidRPr="00900ADE">
        <w:t>Collaborative</w:t>
      </w:r>
      <w:r w:rsidR="00251AC6" w:rsidRPr="00900ADE">
        <w:t xml:space="preserve"> (TEC)</w:t>
      </w:r>
      <w:r w:rsidR="00105DFD" w:rsidRPr="00900ADE">
        <w:t xml:space="preserve">, an </w:t>
      </w:r>
      <w:r w:rsidR="00D649DE" w:rsidRPr="00900ADE">
        <w:t>interdistrict partnership,</w:t>
      </w:r>
      <w:r w:rsidR="00BC1EE4" w:rsidRPr="00900ADE">
        <w:t xml:space="preserve"> and participates in the Student Data Privacy Alliance. </w:t>
      </w:r>
    </w:p>
    <w:p w14:paraId="1F3A28E0" w14:textId="1BB24F01" w:rsidR="00BC1EE4" w:rsidRPr="00900ADE" w:rsidRDefault="008C7DF2" w:rsidP="00E01A56">
      <w:pPr>
        <w:pStyle w:val="BodyText"/>
      </w:pPr>
      <w:r w:rsidRPr="00900ADE">
        <w:t>Elementary school leaders and teachers reported that they send home “a color copy report of [students</w:t>
      </w:r>
      <w:r w:rsidR="001E1187" w:rsidRPr="00900ADE">
        <w:t>’</w:t>
      </w:r>
      <w:r w:rsidRPr="00900ADE">
        <w:t xml:space="preserve">] DIBELS and iReady </w:t>
      </w:r>
      <w:r w:rsidR="001E1187" w:rsidRPr="00900ADE">
        <w:t xml:space="preserve">[results] </w:t>
      </w:r>
      <w:r w:rsidRPr="00900ADE">
        <w:t xml:space="preserve">to every parent twice a year” with an explanation </w:t>
      </w:r>
      <w:r w:rsidR="001E1187" w:rsidRPr="00900ADE">
        <w:t xml:space="preserve">about </w:t>
      </w:r>
      <w:r w:rsidRPr="00900ADE">
        <w:t xml:space="preserve">how to read the results. </w:t>
      </w:r>
      <w:r w:rsidR="00BC1EE4" w:rsidRPr="00900ADE">
        <w:t>Elementary teachers reported that they share data with students if “they have a goal that they</w:t>
      </w:r>
      <w:r w:rsidR="001E1187" w:rsidRPr="00900ADE">
        <w:t>’</w:t>
      </w:r>
      <w:r w:rsidR="00BC1EE4" w:rsidRPr="00900ADE">
        <w:t>re tracking</w:t>
      </w:r>
      <w:r w:rsidR="001E1187" w:rsidRPr="00900ADE">
        <w:t>,</w:t>
      </w:r>
      <w:r w:rsidR="00BC1EE4" w:rsidRPr="00900ADE">
        <w:t xml:space="preserve">” and students have </w:t>
      </w:r>
      <w:r w:rsidR="00211A30" w:rsidRPr="00900ADE">
        <w:t xml:space="preserve">some </w:t>
      </w:r>
      <w:r w:rsidR="00BC1EE4" w:rsidRPr="00900ADE">
        <w:t>access to see their iReady and Panorama data.</w:t>
      </w:r>
      <w:r w:rsidR="00211A30" w:rsidRPr="00900ADE">
        <w:t xml:space="preserve"> Staff, however, noted that</w:t>
      </w:r>
      <w:r w:rsidR="005F633A" w:rsidRPr="00900ADE">
        <w:t xml:space="preserve"> students, particularly in </w:t>
      </w:r>
      <w:r w:rsidR="001E1187" w:rsidRPr="00900ADE">
        <w:t xml:space="preserve">the </w:t>
      </w:r>
      <w:r w:rsidR="005F633A" w:rsidRPr="00900ADE">
        <w:t>younger grades, may not have been instructed how to track goals or understand the kinds of information available to them in benchmark programs.</w:t>
      </w:r>
      <w:r w:rsidR="00FE5375" w:rsidRPr="00900ADE">
        <w:t xml:space="preserve"> Parents receive updates on benchmark assessment results</w:t>
      </w:r>
      <w:r w:rsidR="00C55548" w:rsidRPr="00900ADE">
        <w:t xml:space="preserve"> three times per year, as well as </w:t>
      </w:r>
      <w:r w:rsidR="00C34A74" w:rsidRPr="00900ADE">
        <w:t xml:space="preserve">“a cover </w:t>
      </w:r>
      <w:r w:rsidR="00C34A74" w:rsidRPr="00900ADE">
        <w:lastRenderedPageBreak/>
        <w:t>letter that explains [the data] and</w:t>
      </w:r>
      <w:r w:rsidR="008C787B" w:rsidRPr="00900ADE">
        <w:t xml:space="preserve"> . . . </w:t>
      </w:r>
      <w:r w:rsidR="00C34A74" w:rsidRPr="00900ADE">
        <w:t xml:space="preserve">how to interpret it.” The letters also invite parents to contact teachers with additional questions. </w:t>
      </w:r>
    </w:p>
    <w:p w14:paraId="585B4AC3" w14:textId="167297DF" w:rsidR="00253C95" w:rsidRPr="00900ADE" w:rsidRDefault="0061197A" w:rsidP="0095523E">
      <w:pPr>
        <w:pStyle w:val="BodyText"/>
        <w:rPr>
          <w:spacing w:val="-2"/>
        </w:rPr>
      </w:pPr>
      <w:r w:rsidRPr="00900ADE">
        <w:rPr>
          <w:spacing w:val="-2"/>
        </w:rPr>
        <w:t>At the middle and high school levels, teachers rely primarily on Infinite Campus for parents and students to see grades, but interview and focus group respondents described its use as inconsistent. Middle school students reported that “it really depends on the teacher whether you can understand” what grades are based on, if</w:t>
      </w:r>
      <w:r w:rsidR="001E1187" w:rsidRPr="00900ADE">
        <w:rPr>
          <w:spacing w:val="-2"/>
        </w:rPr>
        <w:t xml:space="preserve"> work is</w:t>
      </w:r>
      <w:r w:rsidRPr="00900ADE">
        <w:rPr>
          <w:spacing w:val="-2"/>
        </w:rPr>
        <w:t xml:space="preserve"> missing, or when tasks are due. </w:t>
      </w:r>
      <w:r w:rsidR="001E1187" w:rsidRPr="00900ADE">
        <w:rPr>
          <w:spacing w:val="-2"/>
        </w:rPr>
        <w:t>In addition</w:t>
      </w:r>
      <w:r w:rsidRPr="00900ADE">
        <w:rPr>
          <w:spacing w:val="-2"/>
        </w:rPr>
        <w:t>, when teachers do communicate with students</w:t>
      </w:r>
      <w:r w:rsidR="001E1187" w:rsidRPr="00900ADE">
        <w:rPr>
          <w:spacing w:val="-2"/>
        </w:rPr>
        <w:t>,</w:t>
      </w:r>
      <w:r w:rsidRPr="00900ADE">
        <w:rPr>
          <w:spacing w:val="-2"/>
        </w:rPr>
        <w:t xml:space="preserve"> it is more about grades or missing assignments, </w:t>
      </w:r>
      <w:r w:rsidR="001E1187" w:rsidRPr="00900ADE">
        <w:rPr>
          <w:spacing w:val="-2"/>
        </w:rPr>
        <w:t>not</w:t>
      </w:r>
      <w:r w:rsidRPr="00900ADE">
        <w:rPr>
          <w:spacing w:val="-2"/>
        </w:rPr>
        <w:t xml:space="preserve"> broader goals. Students said teachers “won’t necessarily tell you ‘I think you’re doing really great, or I see you’re struggling with this specific topic, </w:t>
      </w:r>
      <w:r w:rsidR="001E1187" w:rsidRPr="00900ADE">
        <w:rPr>
          <w:spacing w:val="-2"/>
        </w:rPr>
        <w:t xml:space="preserve">[so] </w:t>
      </w:r>
      <w:r w:rsidRPr="00900ADE">
        <w:rPr>
          <w:spacing w:val="-2"/>
        </w:rPr>
        <w:t>maybe you should stay after school or something to help out</w:t>
      </w:r>
      <w:r w:rsidR="001E1187" w:rsidRPr="00900ADE">
        <w:rPr>
          <w:spacing w:val="-2"/>
        </w:rPr>
        <w:t>.</w:t>
      </w:r>
      <w:r w:rsidRPr="00900ADE">
        <w:rPr>
          <w:spacing w:val="-2"/>
        </w:rPr>
        <w:t>’”</w:t>
      </w:r>
      <w:r w:rsidR="00C2776C" w:rsidRPr="00900ADE">
        <w:rPr>
          <w:spacing w:val="-2"/>
        </w:rPr>
        <w:t xml:space="preserve"> </w:t>
      </w:r>
    </w:p>
    <w:p w14:paraId="315D3DCD" w14:textId="4EC16A19" w:rsidR="00F9476C" w:rsidRPr="00900ADE" w:rsidRDefault="00C2776C" w:rsidP="0095523E">
      <w:pPr>
        <w:pStyle w:val="BodyText"/>
      </w:pPr>
      <w:r w:rsidRPr="00900ADE">
        <w:t>At the high school, both teachers and students agreed that the communication they receive from teachers regarding their achievement and progress varies.</w:t>
      </w:r>
      <w:r w:rsidR="004B3A6C" w:rsidRPr="00900ADE">
        <w:t xml:space="preserve"> </w:t>
      </w:r>
      <w:r w:rsidR="00253C95" w:rsidRPr="00900ADE">
        <w:t>S</w:t>
      </w:r>
      <w:r w:rsidR="004B3A6C" w:rsidRPr="00900ADE">
        <w:t xml:space="preserve">taff said they </w:t>
      </w:r>
      <w:r w:rsidR="001E1187" w:rsidRPr="00900ADE">
        <w:t>have expectations</w:t>
      </w:r>
      <w:r w:rsidR="004B3A6C" w:rsidRPr="00900ADE">
        <w:t xml:space="preserve"> to update electronic gradebooks every few weeks</w:t>
      </w:r>
      <w:r w:rsidR="00177835" w:rsidRPr="00900ADE">
        <w:t>. In practice, however, teache</w:t>
      </w:r>
      <w:r w:rsidR="00253C95" w:rsidRPr="00900ADE">
        <w:t>r</w:t>
      </w:r>
      <w:r w:rsidR="00177835" w:rsidRPr="00900ADE">
        <w:t>s said “not everybody does it</w:t>
      </w:r>
      <w:r w:rsidR="003510A2" w:rsidRPr="00900ADE">
        <w:t>.</w:t>
      </w:r>
      <w:r w:rsidR="00177835" w:rsidRPr="00900ADE">
        <w:t>”</w:t>
      </w:r>
      <w:r w:rsidR="003510A2" w:rsidRPr="00900ADE">
        <w:t xml:space="preserve"> High school teachers generally agreed that staff care about students and will reach out</w:t>
      </w:r>
      <w:r w:rsidR="00E6621F" w:rsidRPr="00900ADE">
        <w:t xml:space="preserve"> if “</w:t>
      </w:r>
      <w:r w:rsidR="002B1598" w:rsidRPr="00900ADE">
        <w:t>a student is struggling</w:t>
      </w:r>
      <w:r w:rsidR="001E1187" w:rsidRPr="00900ADE">
        <w:t xml:space="preserve"> [or]</w:t>
      </w:r>
      <w:r w:rsidR="002B1598" w:rsidRPr="00900ADE">
        <w:t xml:space="preserve"> they</w:t>
      </w:r>
      <w:r w:rsidR="001E1187" w:rsidRPr="00900ADE">
        <w:t>’</w:t>
      </w:r>
      <w:r w:rsidR="002B1598" w:rsidRPr="00900ADE">
        <w:t>ve been out sick, and we</w:t>
      </w:r>
      <w:r w:rsidR="001E1187" w:rsidRPr="00900ADE">
        <w:t>’</w:t>
      </w:r>
      <w:r w:rsidR="002B1598" w:rsidRPr="00900ADE">
        <w:t>ll work one-on-one with them.”</w:t>
      </w:r>
      <w:r w:rsidR="00CA5D44" w:rsidRPr="00900ADE">
        <w:t xml:space="preserve"> High school students agreed with this, noting that teachers informed them about</w:t>
      </w:r>
      <w:r w:rsidR="000C0FBC" w:rsidRPr="00900ADE">
        <w:t xml:space="preserve"> grades and missing assignments</w:t>
      </w:r>
      <w:r w:rsidR="00CA5D44" w:rsidRPr="00900ADE">
        <w:t xml:space="preserve"> with varying levels of consistency. </w:t>
      </w:r>
      <w:r w:rsidR="001E1187" w:rsidRPr="00900ADE">
        <w:t>H</w:t>
      </w:r>
      <w:r w:rsidR="00CA5D44" w:rsidRPr="00900ADE">
        <w:t>igh school students explained that their grades are accessible through an app, but not all teachers post grades in a timely manner.</w:t>
      </w:r>
      <w:r w:rsidR="00443BB9" w:rsidRPr="00900ADE">
        <w:t xml:space="preserve"> Teacher and student focus group participants reported that the district does not set expectations </w:t>
      </w:r>
      <w:r w:rsidR="009C54EB" w:rsidRPr="00900ADE">
        <w:t xml:space="preserve">for </w:t>
      </w:r>
      <w:r w:rsidR="00443BB9" w:rsidRPr="00900ADE">
        <w:t>engaging all students in goal setting and data review.</w:t>
      </w:r>
      <w:r w:rsidR="009A75C7">
        <w:t xml:space="preserve"> Therefore, consistently reviewing data, sharing results, and setting goals with students at the secondary level is an area for growth</w:t>
      </w:r>
      <w:r w:rsidR="00E92FE9">
        <w:t>.</w:t>
      </w:r>
      <w:r w:rsidR="009A75C7" w:rsidRPr="00900ADE">
        <w:t xml:space="preserve"> </w:t>
      </w:r>
      <w:r w:rsidR="00D1142E" w:rsidRPr="00900ADE">
        <w:t xml:space="preserve"> </w:t>
      </w:r>
    </w:p>
    <w:p w14:paraId="61CC3C7F" w14:textId="1C022A2D" w:rsidR="00DB73F0" w:rsidRPr="00541FA3" w:rsidRDefault="00D21EE0" w:rsidP="0095523E">
      <w:pPr>
        <w:pStyle w:val="BodyText"/>
      </w:pPr>
      <w:r>
        <w:t>Additionally, f</w:t>
      </w:r>
      <w:r w:rsidR="00774CC5" w:rsidRPr="00541FA3">
        <w:t xml:space="preserve">amilies </w:t>
      </w:r>
      <w:r w:rsidR="000C0FBC" w:rsidRPr="00541FA3">
        <w:t>reported</w:t>
      </w:r>
      <w:r w:rsidR="00774CC5" w:rsidRPr="00541FA3">
        <w:t xml:space="preserve"> that </w:t>
      </w:r>
      <w:r w:rsidR="00C80AEE" w:rsidRPr="00541FA3">
        <w:t>the level of communication they receive varies</w:t>
      </w:r>
      <w:r w:rsidR="00704DF4" w:rsidRPr="00541FA3">
        <w:t>. F</w:t>
      </w:r>
      <w:r w:rsidR="001416C7" w:rsidRPr="00541FA3">
        <w:t>or example</w:t>
      </w:r>
      <w:r w:rsidR="00704DF4" w:rsidRPr="00541FA3">
        <w:t>,</w:t>
      </w:r>
      <w:r w:rsidR="001416C7" w:rsidRPr="00541FA3">
        <w:t xml:space="preserve"> </w:t>
      </w:r>
      <w:r w:rsidR="002D09AD" w:rsidRPr="00541FA3">
        <w:t xml:space="preserve">a family noted </w:t>
      </w:r>
      <w:r w:rsidR="009C54EB" w:rsidRPr="00541FA3">
        <w:t xml:space="preserve">that </w:t>
      </w:r>
      <w:r w:rsidR="002D09AD" w:rsidRPr="00541FA3">
        <w:t>“they do a much better job in elementary school</w:t>
      </w:r>
      <w:r w:rsidR="009C54EB" w:rsidRPr="00541FA3">
        <w:t>.</w:t>
      </w:r>
      <w:r w:rsidR="002D09AD" w:rsidRPr="00541FA3">
        <w:t xml:space="preserve"> I think we get more progress reports on those kids. Once they get older, it</w:t>
      </w:r>
      <w:r w:rsidR="009C54EB" w:rsidRPr="00541FA3">
        <w:t>’</w:t>
      </w:r>
      <w:r w:rsidR="002D09AD" w:rsidRPr="00541FA3">
        <w:t>s less and less</w:t>
      </w:r>
      <w:r w:rsidR="009C54EB" w:rsidRPr="00541FA3">
        <w:t>,</w:t>
      </w:r>
      <w:r w:rsidR="006D54AD" w:rsidRPr="00541FA3">
        <w:t xml:space="preserve"> a</w:t>
      </w:r>
      <w:r w:rsidR="002D09AD" w:rsidRPr="00541FA3">
        <w:t>nd I think you kind of are finding out when it</w:t>
      </w:r>
      <w:r w:rsidR="009C54EB" w:rsidRPr="00541FA3">
        <w:t>’</w:t>
      </w:r>
      <w:r w:rsidR="002D09AD" w:rsidRPr="00541FA3">
        <w:t>s too late.</w:t>
      </w:r>
      <w:r w:rsidR="006D54AD" w:rsidRPr="00541FA3">
        <w:t>”</w:t>
      </w:r>
      <w:r w:rsidR="00D1142E" w:rsidRPr="00541FA3">
        <w:t xml:space="preserve"> </w:t>
      </w:r>
      <w:r w:rsidR="00356AFF">
        <w:t xml:space="preserve">Increasing the frequency and consistency with which teachers share data with families </w:t>
      </w:r>
      <w:r w:rsidR="00704DF4" w:rsidRPr="00541FA3">
        <w:t>i</w:t>
      </w:r>
      <w:r w:rsidR="00D1142E" w:rsidRPr="00541FA3">
        <w:t xml:space="preserve">s an area </w:t>
      </w:r>
      <w:r w:rsidR="00DE6D6D" w:rsidRPr="00541FA3">
        <w:t>for</w:t>
      </w:r>
      <w:r w:rsidR="00D1142E" w:rsidRPr="00541FA3">
        <w:t xml:space="preserve"> gr</w:t>
      </w:r>
      <w:r w:rsidR="005F1D33" w:rsidRPr="00541FA3">
        <w:t>owth for the district.</w:t>
      </w:r>
      <w:r w:rsidR="004358F1">
        <w:t xml:space="preserve"> </w:t>
      </w:r>
    </w:p>
    <w:p w14:paraId="18115117" w14:textId="77777777" w:rsidR="002B4CEF" w:rsidRPr="00900ADE" w:rsidRDefault="002B4CEF" w:rsidP="002B4CEF">
      <w:pPr>
        <w:pStyle w:val="Heading3"/>
      </w:pPr>
      <w:r w:rsidRPr="00900ADE">
        <w:t>DESE Recommendations</w:t>
      </w:r>
    </w:p>
    <w:p w14:paraId="6B609048" w14:textId="22B48BFC" w:rsidR="002B4CEF" w:rsidRPr="00AF0A15" w:rsidRDefault="00BC4750" w:rsidP="002B4CEF">
      <w:pPr>
        <w:pStyle w:val="Bullet1"/>
        <w:rPr>
          <w:bCs/>
        </w:rPr>
      </w:pPr>
      <w:r>
        <w:rPr>
          <w:i/>
          <w:iCs/>
        </w:rPr>
        <w:t>The district should</w:t>
      </w:r>
      <w:r w:rsidR="00C27928">
        <w:rPr>
          <w:i/>
          <w:iCs/>
        </w:rPr>
        <w:t xml:space="preserve"> </w:t>
      </w:r>
      <w:r w:rsidR="00CE405F">
        <w:rPr>
          <w:i/>
          <w:iCs/>
        </w:rPr>
        <w:t xml:space="preserve">have </w:t>
      </w:r>
      <w:r w:rsidR="00C27928">
        <w:rPr>
          <w:i/>
          <w:iCs/>
        </w:rPr>
        <w:t>coaches</w:t>
      </w:r>
      <w:r w:rsidR="00DE0625">
        <w:rPr>
          <w:i/>
          <w:iCs/>
        </w:rPr>
        <w:t xml:space="preserve">, curriculum instructional leaders, and department heads </w:t>
      </w:r>
      <w:r w:rsidR="00CE405F">
        <w:rPr>
          <w:i/>
          <w:iCs/>
        </w:rPr>
        <w:t xml:space="preserve">partner with </w:t>
      </w:r>
      <w:r w:rsidR="00DE0625">
        <w:rPr>
          <w:i/>
          <w:iCs/>
        </w:rPr>
        <w:t xml:space="preserve">teachers </w:t>
      </w:r>
      <w:r w:rsidR="00D70D37">
        <w:rPr>
          <w:i/>
          <w:iCs/>
        </w:rPr>
        <w:t xml:space="preserve">to implement the </w:t>
      </w:r>
      <w:r w:rsidR="00CE405F">
        <w:rPr>
          <w:i/>
          <w:iCs/>
        </w:rPr>
        <w:t xml:space="preserve">necessary accommodations and scaffolds </w:t>
      </w:r>
      <w:r w:rsidR="00D70D37">
        <w:rPr>
          <w:i/>
          <w:iCs/>
        </w:rPr>
        <w:t>on assessments for English Learners and Students with Disabilities</w:t>
      </w:r>
      <w:r w:rsidR="00AC4C4B">
        <w:rPr>
          <w:i/>
          <w:iCs/>
        </w:rPr>
        <w:t xml:space="preserve">. </w:t>
      </w:r>
    </w:p>
    <w:p w14:paraId="3F052BC0" w14:textId="6EF72E84" w:rsidR="00AF0A15" w:rsidRPr="00AF0A15" w:rsidRDefault="00BC4750" w:rsidP="002B4CEF">
      <w:pPr>
        <w:pStyle w:val="Bullet1"/>
        <w:rPr>
          <w:bCs/>
        </w:rPr>
      </w:pPr>
      <w:r>
        <w:rPr>
          <w:i/>
          <w:iCs/>
        </w:rPr>
        <w:t xml:space="preserve">The district should </w:t>
      </w:r>
      <w:r w:rsidR="00BE48DD">
        <w:rPr>
          <w:i/>
          <w:iCs/>
        </w:rPr>
        <w:t>empower</w:t>
      </w:r>
      <w:r w:rsidR="001E3FDB">
        <w:rPr>
          <w:i/>
          <w:iCs/>
        </w:rPr>
        <w:t xml:space="preserve"> teachers with tools</w:t>
      </w:r>
      <w:r w:rsidR="00FC0A0B">
        <w:rPr>
          <w:i/>
          <w:iCs/>
        </w:rPr>
        <w:t xml:space="preserve">, such as </w:t>
      </w:r>
      <w:r w:rsidR="000E1913">
        <w:rPr>
          <w:i/>
          <w:iCs/>
        </w:rPr>
        <w:t xml:space="preserve">the </w:t>
      </w:r>
      <w:r w:rsidR="00FC0A0B">
        <w:rPr>
          <w:i/>
          <w:iCs/>
        </w:rPr>
        <w:t>Open Architects</w:t>
      </w:r>
      <w:r w:rsidR="000E1913">
        <w:rPr>
          <w:i/>
          <w:iCs/>
        </w:rPr>
        <w:t xml:space="preserve"> platform</w:t>
      </w:r>
      <w:r w:rsidR="00FC0A0B">
        <w:rPr>
          <w:i/>
          <w:iCs/>
        </w:rPr>
        <w:t>,</w:t>
      </w:r>
      <w:r w:rsidR="001E3FDB">
        <w:rPr>
          <w:i/>
          <w:iCs/>
        </w:rPr>
        <w:t xml:space="preserve"> to efficiently organize and analyze student data so that </w:t>
      </w:r>
      <w:r w:rsidR="000430E7">
        <w:rPr>
          <w:i/>
          <w:iCs/>
        </w:rPr>
        <w:t xml:space="preserve">it </w:t>
      </w:r>
      <w:r w:rsidR="001E3FDB">
        <w:rPr>
          <w:i/>
          <w:iCs/>
        </w:rPr>
        <w:t xml:space="preserve">can be used to inform instruction. </w:t>
      </w:r>
    </w:p>
    <w:p w14:paraId="5AD4B112" w14:textId="3C2F4870" w:rsidR="00D07F56" w:rsidRDefault="00AF0A15" w:rsidP="00D07F56">
      <w:pPr>
        <w:pStyle w:val="Bullet1"/>
        <w:rPr>
          <w:bCs/>
        </w:rPr>
      </w:pPr>
      <w:r>
        <w:rPr>
          <w:i/>
          <w:iCs/>
        </w:rPr>
        <w:t xml:space="preserve">The district should </w:t>
      </w:r>
      <w:r w:rsidR="001B5994">
        <w:rPr>
          <w:i/>
          <w:iCs/>
        </w:rPr>
        <w:t>reinforce expectations</w:t>
      </w:r>
      <w:r>
        <w:rPr>
          <w:i/>
          <w:iCs/>
        </w:rPr>
        <w:t xml:space="preserve"> around sharing data with students and should </w:t>
      </w:r>
      <w:r w:rsidR="00E406E5">
        <w:rPr>
          <w:i/>
          <w:iCs/>
        </w:rPr>
        <w:t>provide professional learning opportunities to support teachers in engaging students in developmentally-appropriate data review</w:t>
      </w:r>
      <w:r w:rsidR="003B7A7E">
        <w:rPr>
          <w:i/>
          <w:iCs/>
        </w:rPr>
        <w:t>s</w:t>
      </w:r>
      <w:r w:rsidR="00E406E5">
        <w:rPr>
          <w:i/>
          <w:iCs/>
        </w:rPr>
        <w:t xml:space="preserve"> and goal</w:t>
      </w:r>
      <w:r w:rsidR="003B7A7E">
        <w:rPr>
          <w:i/>
          <w:iCs/>
        </w:rPr>
        <w:t>-</w:t>
      </w:r>
      <w:r w:rsidR="00E406E5">
        <w:rPr>
          <w:i/>
          <w:iCs/>
        </w:rPr>
        <w:t xml:space="preserve">setting. </w:t>
      </w:r>
    </w:p>
    <w:p w14:paraId="02935D0B" w14:textId="6045BB16" w:rsidR="00E406E5" w:rsidRPr="00D07F56" w:rsidRDefault="00E406E5" w:rsidP="00D07F56">
      <w:pPr>
        <w:pStyle w:val="Bullet1"/>
        <w:rPr>
          <w:bCs/>
        </w:rPr>
      </w:pPr>
      <w:r w:rsidRPr="00D07F56">
        <w:rPr>
          <w:i/>
          <w:iCs/>
        </w:rPr>
        <w:t>The district should</w:t>
      </w:r>
      <w:r w:rsidR="000E2482">
        <w:rPr>
          <w:i/>
          <w:iCs/>
        </w:rPr>
        <w:t xml:space="preserve"> further investigate the barriers that prevent consistent data sharing with families and</w:t>
      </w:r>
      <w:r w:rsidRPr="00D07F56">
        <w:rPr>
          <w:i/>
          <w:iCs/>
        </w:rPr>
        <w:t xml:space="preserve"> </w:t>
      </w:r>
      <w:r w:rsidR="00D07F56">
        <w:rPr>
          <w:i/>
          <w:iCs/>
        </w:rPr>
        <w:t>work with school leaders to establish co</w:t>
      </w:r>
      <w:r w:rsidR="000E2482">
        <w:rPr>
          <w:i/>
          <w:iCs/>
        </w:rPr>
        <w:t>nsistent expectations for f</w:t>
      </w:r>
      <w:r w:rsidR="00BC4750">
        <w:rPr>
          <w:i/>
          <w:iCs/>
        </w:rPr>
        <w:t xml:space="preserve">amily engagement around sharing assessment results and information on academic progress. </w:t>
      </w:r>
    </w:p>
    <w:p w14:paraId="28D1950D" w14:textId="48E9ED86" w:rsidR="008D6102" w:rsidRPr="00900ADE" w:rsidRDefault="008D6102" w:rsidP="008D6102">
      <w:pPr>
        <w:spacing w:line="240" w:lineRule="auto"/>
        <w:rPr>
          <w:bCs/>
        </w:rPr>
      </w:pPr>
    </w:p>
    <w:p w14:paraId="0B4FDEA8" w14:textId="77777777" w:rsidR="008D6102" w:rsidRPr="00900ADE" w:rsidRDefault="008D6102" w:rsidP="008D6102">
      <w:pPr>
        <w:pStyle w:val="Heading2"/>
      </w:pPr>
      <w:bookmarkStart w:id="48" w:name="_Human_Resources_and"/>
      <w:bookmarkStart w:id="49" w:name="_Toc101446230"/>
      <w:bookmarkStart w:id="50" w:name="_Toc202873111"/>
      <w:bookmarkEnd w:id="48"/>
      <w:r w:rsidRPr="00900ADE">
        <w:lastRenderedPageBreak/>
        <w:t>Human Resources and Professional Development</w:t>
      </w:r>
      <w:bookmarkEnd w:id="49"/>
      <w:bookmarkEnd w:id="50"/>
    </w:p>
    <w:p w14:paraId="4B6AABB6" w14:textId="2CDC3361" w:rsidR="00F751ED" w:rsidRPr="00541FA3" w:rsidRDefault="00F751ED" w:rsidP="008327C3">
      <w:pPr>
        <w:pStyle w:val="BodyText"/>
      </w:pPr>
      <w:r w:rsidRPr="00541FA3">
        <w:t xml:space="preserve">This section examines the extent to which the district has established systems, policies, and practices that allow administrators to effectively recruit, hire, onboard, and support a highly effective, diverse, and culturally responsive workforce. It also focuses on the systems and structures that </w:t>
      </w:r>
      <w:r w:rsidR="00697125" w:rsidRPr="00541FA3">
        <w:t xml:space="preserve">the district </w:t>
      </w:r>
      <w:r w:rsidR="002A2B60" w:rsidRPr="00541FA3">
        <w:t xml:space="preserve">uses to </w:t>
      </w:r>
      <w:r w:rsidRPr="00541FA3">
        <w:t>provide all educators with ongoing access to high-quality professional learning and actionable feedback and establishes a culture that fosters collaboration, retention, recognition, and advancement.</w:t>
      </w:r>
    </w:p>
    <w:p w14:paraId="7136409B" w14:textId="71851E2B" w:rsidR="002C6E1C" w:rsidRPr="00541FA3" w:rsidRDefault="002C6E1C" w:rsidP="008327C3">
      <w:pPr>
        <w:pStyle w:val="BodyText"/>
        <w:rPr>
          <w:highlight w:val="green"/>
        </w:rPr>
      </w:pPr>
      <w:r w:rsidRPr="00541FA3">
        <w:t xml:space="preserve">Table </w:t>
      </w:r>
      <w:r w:rsidR="008327C3" w:rsidRPr="00541FA3">
        <w:t>7</w:t>
      </w:r>
      <w:r w:rsidR="00163C7A" w:rsidRPr="00541FA3">
        <w:t xml:space="preserve"> </w:t>
      </w:r>
      <w:r w:rsidRPr="00541FA3">
        <w:t>summarizes key strengths and areas for growth in human resources and professional development</w:t>
      </w:r>
      <w:r w:rsidR="00B525D4" w:rsidRPr="00541FA3">
        <w:t xml:space="preserve"> in Medway</w:t>
      </w:r>
      <w:r w:rsidRPr="00541FA3">
        <w:t>.</w:t>
      </w:r>
    </w:p>
    <w:p w14:paraId="66CEE916" w14:textId="44C94317" w:rsidR="00B827DE" w:rsidRPr="00900ADE" w:rsidRDefault="00B827DE" w:rsidP="00B827DE">
      <w:pPr>
        <w:pStyle w:val="TableTitle0"/>
      </w:pPr>
      <w:r w:rsidRPr="00900ADE">
        <w:t xml:space="preserve">Table </w:t>
      </w:r>
      <w:r w:rsidR="008327C3" w:rsidRPr="00900ADE">
        <w:t>7</w:t>
      </w:r>
      <w:r w:rsidRPr="00900ADE">
        <w:t xml:space="preserve">. Summary of </w:t>
      </w:r>
      <w:r w:rsidR="002C6E1C" w:rsidRPr="00900ADE">
        <w:t xml:space="preserve">Key Strengths </w:t>
      </w:r>
      <w:r w:rsidRPr="00900ADE">
        <w:t xml:space="preserve">and </w:t>
      </w:r>
      <w:r w:rsidR="002C6E1C" w:rsidRPr="00900ADE">
        <w:t xml:space="preserve">Areas </w:t>
      </w:r>
      <w:r w:rsidRPr="00900ADE">
        <w:t xml:space="preserve">for </w:t>
      </w:r>
      <w:r w:rsidR="002C6E1C" w:rsidRPr="00900ADE">
        <w:t>Growth:</w:t>
      </w:r>
      <w:r w:rsidRPr="00900ADE">
        <w:t xml:space="preserve"> Human Resources and Professional Development</w:t>
      </w:r>
      <w:r w:rsidR="002C6E1C" w:rsidRPr="00900ADE">
        <w:t xml:space="preserve"> Standard</w:t>
      </w:r>
    </w:p>
    <w:tbl>
      <w:tblPr>
        <w:tblStyle w:val="MSVTable1"/>
        <w:tblW w:w="5000" w:type="pct"/>
        <w:tblLook w:val="04A0" w:firstRow="1" w:lastRow="0" w:firstColumn="1" w:lastColumn="0" w:noHBand="0" w:noVBand="1"/>
      </w:tblPr>
      <w:tblGrid>
        <w:gridCol w:w="1792"/>
        <w:gridCol w:w="3420"/>
        <w:gridCol w:w="4132"/>
      </w:tblGrid>
      <w:tr w:rsidR="00B827DE" w:rsidRPr="00900ADE" w14:paraId="5AF94F4A" w14:textId="77777777" w:rsidTr="006F1D0C">
        <w:trPr>
          <w:cnfStyle w:val="100000000000" w:firstRow="1" w:lastRow="0" w:firstColumn="0" w:lastColumn="0" w:oddVBand="0" w:evenVBand="0" w:oddHBand="0" w:evenHBand="0" w:firstRowFirstColumn="0" w:firstRowLastColumn="0" w:lastRowFirstColumn="0" w:lastRowLastColumn="0"/>
          <w:tblHeader/>
        </w:trPr>
        <w:tc>
          <w:tcPr>
            <w:tcW w:w="1792" w:type="dxa"/>
          </w:tcPr>
          <w:p w14:paraId="2AD0DE9D" w14:textId="77777777" w:rsidR="00B827DE" w:rsidRPr="00510408" w:rsidRDefault="00B827DE" w:rsidP="008327C3">
            <w:pPr>
              <w:pStyle w:val="TableColHeadingCenter"/>
            </w:pPr>
            <w:r w:rsidRPr="00510408">
              <w:t>Indicator</w:t>
            </w:r>
          </w:p>
        </w:tc>
        <w:tc>
          <w:tcPr>
            <w:tcW w:w="3420" w:type="dxa"/>
          </w:tcPr>
          <w:p w14:paraId="29F8FCE9" w14:textId="77777777" w:rsidR="00B827DE" w:rsidRPr="00900ADE" w:rsidRDefault="00B827DE" w:rsidP="008327C3">
            <w:pPr>
              <w:pStyle w:val="TableColHeadingCenter"/>
            </w:pPr>
            <w:r w:rsidRPr="00900ADE">
              <w:t>Strengths</w:t>
            </w:r>
          </w:p>
        </w:tc>
        <w:tc>
          <w:tcPr>
            <w:tcW w:w="4132" w:type="dxa"/>
          </w:tcPr>
          <w:p w14:paraId="500B423F" w14:textId="6D40DEB3" w:rsidR="00B827DE" w:rsidRPr="00900ADE" w:rsidRDefault="00B827DE" w:rsidP="008327C3">
            <w:pPr>
              <w:pStyle w:val="TableColHeadingCenter"/>
            </w:pPr>
            <w:r w:rsidRPr="00900ADE">
              <w:t xml:space="preserve">Areas for </w:t>
            </w:r>
            <w:r w:rsidR="002C6E1C" w:rsidRPr="00900ADE">
              <w:t>growth</w:t>
            </w:r>
          </w:p>
        </w:tc>
      </w:tr>
      <w:tr w:rsidR="00B827DE" w:rsidRPr="00900ADE" w14:paraId="3B52DFA7" w14:textId="77777777" w:rsidTr="006F1D0C">
        <w:trPr>
          <w:cnfStyle w:val="000000100000" w:firstRow="0" w:lastRow="0" w:firstColumn="0" w:lastColumn="0" w:oddVBand="0" w:evenVBand="0" w:oddHBand="1" w:evenHBand="0" w:firstRowFirstColumn="0" w:firstRowLastColumn="0" w:lastRowFirstColumn="0" w:lastRowLastColumn="0"/>
        </w:trPr>
        <w:tc>
          <w:tcPr>
            <w:tcW w:w="1792" w:type="dxa"/>
          </w:tcPr>
          <w:p w14:paraId="2963B302" w14:textId="30F80966" w:rsidR="00B827DE" w:rsidRPr="00900ADE" w:rsidRDefault="00444346" w:rsidP="008327C3">
            <w:pPr>
              <w:pStyle w:val="TableSubheading"/>
            </w:pPr>
            <w:hyperlink w:anchor="_Infrastructure" w:history="1">
              <w:r w:rsidRPr="00900ADE">
                <w:rPr>
                  <w:rStyle w:val="Hyperlink"/>
                </w:rPr>
                <w:t>Human Resources I</w:t>
              </w:r>
              <w:r w:rsidR="00B827DE" w:rsidRPr="00900ADE">
                <w:rPr>
                  <w:rStyle w:val="Hyperlink"/>
                </w:rPr>
                <w:t>nfrastructure</w:t>
              </w:r>
              <w:r w:rsidRPr="00900ADE">
                <w:rPr>
                  <w:rStyle w:val="Hyperlink"/>
                </w:rPr>
                <w:t>, Policies, and Practices</w:t>
              </w:r>
            </w:hyperlink>
          </w:p>
        </w:tc>
        <w:tc>
          <w:tcPr>
            <w:tcW w:w="3420" w:type="dxa"/>
          </w:tcPr>
          <w:p w14:paraId="70D7277E" w14:textId="34F78FD5" w:rsidR="00B827DE" w:rsidRPr="00900ADE" w:rsidRDefault="002E040E" w:rsidP="007D69BA">
            <w:pPr>
              <w:pStyle w:val="TableBullet1"/>
              <w:rPr>
                <w:bdr w:val="none" w:sz="0" w:space="0" w:color="auto" w:frame="1"/>
              </w:rPr>
            </w:pPr>
            <w:r w:rsidRPr="00900ADE">
              <w:rPr>
                <w:rFonts w:eastAsiaTheme="minorEastAsia"/>
              </w:rPr>
              <w:t>The district is using more data, particularly from exit interviews, to inform human resources policies, procedures, and practices</w:t>
            </w:r>
            <w:r w:rsidR="005467B0" w:rsidRPr="00900ADE">
              <w:rPr>
                <w:rFonts w:eastAsiaTheme="minorEastAsia"/>
              </w:rPr>
              <w:t>.</w:t>
            </w:r>
          </w:p>
        </w:tc>
        <w:tc>
          <w:tcPr>
            <w:tcW w:w="4132" w:type="dxa"/>
          </w:tcPr>
          <w:p w14:paraId="09130FD4" w14:textId="41D85AB6" w:rsidR="00B827DE" w:rsidRPr="00900ADE" w:rsidRDefault="00691362" w:rsidP="008327C3">
            <w:pPr>
              <w:pStyle w:val="TableBullet1"/>
            </w:pPr>
            <w:r>
              <w:t>T</w:t>
            </w:r>
            <w:r w:rsidR="00E276E1" w:rsidRPr="00F619D5">
              <w:t>ransition</w:t>
            </w:r>
            <w:r w:rsidR="00E276E1">
              <w:t>ing</w:t>
            </w:r>
            <w:r w:rsidR="00E276E1" w:rsidRPr="00F619D5">
              <w:t xml:space="preserve"> to electronic records</w:t>
            </w:r>
            <w:r w:rsidR="00E276E1">
              <w:t xml:space="preserve"> to create more efficiencies for staff in accessing accurate human resources information</w:t>
            </w:r>
          </w:p>
        </w:tc>
      </w:tr>
      <w:tr w:rsidR="00B827DE" w:rsidRPr="00900ADE" w14:paraId="53443622" w14:textId="77777777" w:rsidTr="006F1D0C">
        <w:tc>
          <w:tcPr>
            <w:tcW w:w="1792" w:type="dxa"/>
          </w:tcPr>
          <w:p w14:paraId="755AE6E0" w14:textId="1608BE1C" w:rsidR="00B827DE" w:rsidRPr="00900ADE" w:rsidRDefault="00444346" w:rsidP="005D13E7">
            <w:pPr>
              <w:pStyle w:val="TableSubheading"/>
              <w:rPr>
                <w:bdr w:val="none" w:sz="0" w:space="0" w:color="auto" w:frame="1"/>
              </w:rPr>
            </w:pPr>
            <w:hyperlink w:anchor="_Staffing_1" w:history="1">
              <w:r w:rsidRPr="00900ADE">
                <w:rPr>
                  <w:rStyle w:val="Hyperlink"/>
                  <w:bdr w:val="none" w:sz="0" w:space="0" w:color="auto" w:frame="1"/>
                </w:rPr>
                <w:t>Staffing</w:t>
              </w:r>
            </w:hyperlink>
          </w:p>
        </w:tc>
        <w:tc>
          <w:tcPr>
            <w:tcW w:w="3420" w:type="dxa"/>
          </w:tcPr>
          <w:p w14:paraId="3FB9A05C" w14:textId="77777777" w:rsidR="00B827DE" w:rsidRPr="00C90431" w:rsidRDefault="18537B5E" w:rsidP="008327C3">
            <w:pPr>
              <w:pStyle w:val="TableBullet1"/>
            </w:pPr>
            <w:r w:rsidRPr="00900ADE">
              <w:t xml:space="preserve">The evaluation process </w:t>
            </w:r>
            <w:r w:rsidR="7BB4BA0C" w:rsidRPr="00900ADE">
              <w:t xml:space="preserve">excels in </w:t>
            </w:r>
            <w:r w:rsidRPr="00900ADE">
              <w:t>highlight</w:t>
            </w:r>
            <w:r w:rsidR="5318C85A" w:rsidRPr="00900ADE">
              <w:t>ing</w:t>
            </w:r>
            <w:r w:rsidRPr="00900ADE">
              <w:t xml:space="preserve"> areas of strength for teachers and administrators</w:t>
            </w:r>
            <w:r w:rsidRPr="00900ADE">
              <w:rPr>
                <w:sz w:val="22"/>
              </w:rPr>
              <w:t>.</w:t>
            </w:r>
          </w:p>
          <w:p w14:paraId="3B581E14" w14:textId="6CC61084" w:rsidR="00C90431" w:rsidRPr="00900ADE" w:rsidRDefault="00C90431" w:rsidP="008327C3">
            <w:pPr>
              <w:pStyle w:val="TableBullet1"/>
            </w:pPr>
            <w:r>
              <w:rPr>
                <w:rFonts w:eastAsiaTheme="minorEastAsia"/>
              </w:rPr>
              <w:t>The district’s efforts to create a more positive staff culture.</w:t>
            </w:r>
          </w:p>
        </w:tc>
        <w:tc>
          <w:tcPr>
            <w:tcW w:w="4132" w:type="dxa"/>
          </w:tcPr>
          <w:p w14:paraId="55B7229E" w14:textId="7303542C" w:rsidR="00B827DE" w:rsidRPr="00900ADE" w:rsidRDefault="329B2D9C" w:rsidP="008327C3">
            <w:pPr>
              <w:pStyle w:val="TableBullet1"/>
            </w:pPr>
            <w:r w:rsidRPr="00900ADE">
              <w:t>Diversifying staff to be more reflective of the student body</w:t>
            </w:r>
          </w:p>
          <w:p w14:paraId="3E86C519" w14:textId="044A6454" w:rsidR="00B827DE" w:rsidRPr="00900ADE" w:rsidRDefault="5ACCED06" w:rsidP="008327C3">
            <w:pPr>
              <w:pStyle w:val="TableBullet1"/>
            </w:pPr>
            <w:r w:rsidRPr="00900ADE">
              <w:t xml:space="preserve">Articulating areas for improvement </w:t>
            </w:r>
            <w:r w:rsidR="6B6020FD" w:rsidRPr="00900ADE">
              <w:t>and actionable feedback</w:t>
            </w:r>
            <w:r w:rsidRPr="00900ADE">
              <w:t xml:space="preserve"> more consistently in the evaluation process to support all staff in continuous instructional and professional improvement</w:t>
            </w:r>
          </w:p>
        </w:tc>
      </w:tr>
      <w:tr w:rsidR="00B827DE" w:rsidRPr="00900ADE" w14:paraId="05C4AE65" w14:textId="77777777" w:rsidTr="006F1D0C">
        <w:trPr>
          <w:cnfStyle w:val="000000100000" w:firstRow="0" w:lastRow="0" w:firstColumn="0" w:lastColumn="0" w:oddVBand="0" w:evenVBand="0" w:oddHBand="1" w:evenHBand="0" w:firstRowFirstColumn="0" w:firstRowLastColumn="0" w:lastRowFirstColumn="0" w:lastRowLastColumn="0"/>
        </w:trPr>
        <w:tc>
          <w:tcPr>
            <w:tcW w:w="1792" w:type="dxa"/>
          </w:tcPr>
          <w:p w14:paraId="7ADD9F53" w14:textId="6133CEE3" w:rsidR="00B827DE" w:rsidRPr="00900ADE" w:rsidRDefault="00444346" w:rsidP="005D13E7">
            <w:pPr>
              <w:pStyle w:val="TableSubheading"/>
              <w:rPr>
                <w:bdr w:val="none" w:sz="0" w:space="0" w:color="auto" w:frame="1"/>
              </w:rPr>
            </w:pPr>
            <w:hyperlink w:anchor="_Professional_Learning" w:history="1">
              <w:r w:rsidRPr="00900ADE">
                <w:rPr>
                  <w:rStyle w:val="Hyperlink"/>
                  <w:bdr w:val="none" w:sz="0" w:space="0" w:color="auto" w:frame="1"/>
                </w:rPr>
                <w:t>Professional Learning</w:t>
              </w:r>
            </w:hyperlink>
          </w:p>
        </w:tc>
        <w:tc>
          <w:tcPr>
            <w:tcW w:w="3420" w:type="dxa"/>
          </w:tcPr>
          <w:p w14:paraId="6E5D7E42" w14:textId="19151C77" w:rsidR="00B827DE" w:rsidRPr="00900ADE" w:rsidRDefault="00B827DE" w:rsidP="008327C3">
            <w:pPr>
              <w:pStyle w:val="TableBullet1"/>
              <w:numPr>
                <w:ilvl w:val="0"/>
                <w:numId w:val="0"/>
              </w:numPr>
              <w:ind w:left="360" w:hanging="360"/>
              <w:rPr>
                <w:bdr w:val="none" w:sz="0" w:space="0" w:color="auto" w:frame="1"/>
              </w:rPr>
            </w:pPr>
          </w:p>
        </w:tc>
        <w:tc>
          <w:tcPr>
            <w:tcW w:w="4132" w:type="dxa"/>
          </w:tcPr>
          <w:p w14:paraId="0A5D2528" w14:textId="77777777" w:rsidR="00FA1D1E" w:rsidRPr="00FA1D1E" w:rsidRDefault="00361BCA" w:rsidP="008327C3">
            <w:pPr>
              <w:pStyle w:val="TableBullet1"/>
            </w:pPr>
            <w:r>
              <w:rPr>
                <w:rFonts w:eastAsia="Aptos" w:cs="Aptos"/>
              </w:rPr>
              <w:t>I</w:t>
            </w:r>
            <w:r w:rsidRPr="00F619D5">
              <w:rPr>
                <w:rFonts w:eastAsia="Aptos" w:cs="Aptos"/>
              </w:rPr>
              <w:t xml:space="preserve">mproving the consistency of </w:t>
            </w:r>
            <w:r>
              <w:rPr>
                <w:rFonts w:eastAsia="Aptos" w:cs="Aptos"/>
              </w:rPr>
              <w:t xml:space="preserve">conducting </w:t>
            </w:r>
            <w:r w:rsidRPr="00F619D5">
              <w:rPr>
                <w:rFonts w:eastAsia="Aptos" w:cs="Aptos"/>
              </w:rPr>
              <w:t>walkthroughs and</w:t>
            </w:r>
            <w:r>
              <w:rPr>
                <w:rFonts w:eastAsia="Aptos" w:cs="Aptos"/>
              </w:rPr>
              <w:t xml:space="preserve"> offering</w:t>
            </w:r>
            <w:r w:rsidRPr="00F619D5">
              <w:rPr>
                <w:rFonts w:eastAsia="Aptos" w:cs="Aptos"/>
              </w:rPr>
              <w:t xml:space="preserve"> actionable feedback</w:t>
            </w:r>
            <w:r>
              <w:rPr>
                <w:rFonts w:eastAsia="Aptos" w:cs="Aptos"/>
              </w:rPr>
              <w:t xml:space="preserve"> that guides professional learning</w:t>
            </w:r>
          </w:p>
          <w:p w14:paraId="31BD9609" w14:textId="41F26017" w:rsidR="00D74648" w:rsidRPr="00900ADE" w:rsidRDefault="00D74648" w:rsidP="008327C3">
            <w:pPr>
              <w:pStyle w:val="TableBullet1"/>
            </w:pPr>
            <w:r w:rsidRPr="00F619D5">
              <w:t xml:space="preserve">Increasing the opportunities for educators to </w:t>
            </w:r>
            <w:r>
              <w:t>have input on professional</w:t>
            </w:r>
            <w:r w:rsidRPr="00F619D5">
              <w:t xml:space="preserve"> development opportunities</w:t>
            </w:r>
            <w:r>
              <w:t>, particularly in self-identified areas of need like support for multilingual learners</w:t>
            </w:r>
          </w:p>
          <w:p w14:paraId="0199EAFA" w14:textId="094CBE0F" w:rsidR="00B827DE" w:rsidRDefault="6E07B702" w:rsidP="008327C3">
            <w:pPr>
              <w:pStyle w:val="TableBullet1"/>
            </w:pPr>
            <w:r w:rsidRPr="00900ADE">
              <w:t xml:space="preserve">Protecting collaboration time </w:t>
            </w:r>
            <w:r w:rsidR="00775392">
              <w:t>and</w:t>
            </w:r>
            <w:r w:rsidR="00BB23BF">
              <w:t xml:space="preserve"> </w:t>
            </w:r>
            <w:r w:rsidRPr="00900ADE">
              <w:t>optimiz</w:t>
            </w:r>
            <w:r w:rsidR="00BB23BF">
              <w:t>ing</w:t>
            </w:r>
            <w:r w:rsidRPr="00900ADE">
              <w:t xml:space="preserve"> </w:t>
            </w:r>
            <w:r w:rsidR="00BB23BF">
              <w:t>the use of this</w:t>
            </w:r>
            <w:r w:rsidRPr="00900ADE">
              <w:t xml:space="preserve"> time</w:t>
            </w:r>
          </w:p>
          <w:p w14:paraId="13C19D85" w14:textId="343F10ED" w:rsidR="003037A4" w:rsidRPr="00900ADE" w:rsidRDefault="003037A4" w:rsidP="008327C3">
            <w:pPr>
              <w:pStyle w:val="TableBullet1"/>
            </w:pPr>
            <w:r>
              <w:t>Restructuring the teacher mentoring program</w:t>
            </w:r>
          </w:p>
        </w:tc>
      </w:tr>
    </w:tbl>
    <w:p w14:paraId="5601B273" w14:textId="7B6326FB" w:rsidR="00B827DE" w:rsidRPr="00900ADE" w:rsidRDefault="00444346" w:rsidP="008327C3">
      <w:pPr>
        <w:pStyle w:val="Heading3"/>
      </w:pPr>
      <w:bookmarkStart w:id="51" w:name="_Infrastructure"/>
      <w:bookmarkStart w:id="52" w:name="_Human_Resources_Infrastructure,"/>
      <w:bookmarkStart w:id="53" w:name="_Human_Resources_Infrastructure,_1"/>
      <w:bookmarkEnd w:id="51"/>
      <w:bookmarkEnd w:id="52"/>
      <w:bookmarkEnd w:id="53"/>
      <w:r w:rsidRPr="00900ADE">
        <w:t xml:space="preserve">Human Resources </w:t>
      </w:r>
      <w:r w:rsidR="00B827DE" w:rsidRPr="00900ADE">
        <w:t>Infrastructure</w:t>
      </w:r>
      <w:r w:rsidRPr="00900ADE">
        <w:t>, Policies, and Practices</w:t>
      </w:r>
    </w:p>
    <w:p w14:paraId="3C1F41A4" w14:textId="532D2EBD" w:rsidR="00063987" w:rsidRPr="00900ADE" w:rsidRDefault="3E2988E1" w:rsidP="008327C3">
      <w:pPr>
        <w:pStyle w:val="BodyTextposthead"/>
        <w:rPr>
          <w:rFonts w:eastAsia="Aptos" w:cs="Aptos"/>
        </w:rPr>
      </w:pPr>
      <w:r w:rsidRPr="00900ADE">
        <w:t>Researcher</w:t>
      </w:r>
      <w:r w:rsidR="346B497B" w:rsidRPr="00900ADE">
        <w:t>s</w:t>
      </w:r>
      <w:r w:rsidRPr="00900ADE">
        <w:t xml:space="preserve"> at </w:t>
      </w:r>
      <w:r w:rsidR="006B53BA" w:rsidRPr="00900ADE">
        <w:t xml:space="preserve">the </w:t>
      </w:r>
      <w:r w:rsidRPr="00900ADE">
        <w:t>University of Massachusetts</w:t>
      </w:r>
      <w:r w:rsidR="006B53BA" w:rsidRPr="00900ADE">
        <w:t>–</w:t>
      </w:r>
      <w:r w:rsidRPr="00900ADE">
        <w:t xml:space="preserve">Boston studied </w:t>
      </w:r>
      <w:r w:rsidR="006A6C59" w:rsidRPr="00900ADE">
        <w:t xml:space="preserve">Medway’s </w:t>
      </w:r>
      <w:r w:rsidRPr="00900ADE">
        <w:t xml:space="preserve">central office organizational structure and released a </w:t>
      </w:r>
      <w:r w:rsidR="440C529A" w:rsidRPr="00900ADE">
        <w:t xml:space="preserve">report </w:t>
      </w:r>
      <w:r w:rsidR="50575806" w:rsidRPr="00900ADE">
        <w:t>in</w:t>
      </w:r>
      <w:r w:rsidR="440C529A" w:rsidRPr="00900ADE">
        <w:t xml:space="preserve"> October 2023 titled “Medway Public Schools: Central Office Organizational Study</w:t>
      </w:r>
      <w:r w:rsidR="589E2A7F" w:rsidRPr="00900ADE">
        <w:t>.</w:t>
      </w:r>
      <w:r w:rsidR="440C529A" w:rsidRPr="00900ADE">
        <w:t>”</w:t>
      </w:r>
      <w:r w:rsidR="6E63EA88" w:rsidRPr="00900ADE">
        <w:t xml:space="preserve"> Regarding</w:t>
      </w:r>
      <w:r w:rsidR="440C529A" w:rsidRPr="00900ADE">
        <w:t xml:space="preserve"> the district’s human resources department</w:t>
      </w:r>
      <w:r w:rsidR="49725B5F" w:rsidRPr="00900ADE">
        <w:t>, t</w:t>
      </w:r>
      <w:r w:rsidR="440C529A" w:rsidRPr="00900ADE">
        <w:t xml:space="preserve">he </w:t>
      </w:r>
      <w:r w:rsidR="468661BC" w:rsidRPr="00900ADE">
        <w:t>resea</w:t>
      </w:r>
      <w:r w:rsidR="490146D7" w:rsidRPr="00900ADE">
        <w:t>r</w:t>
      </w:r>
      <w:r w:rsidR="468661BC" w:rsidRPr="00900ADE">
        <w:t>chers</w:t>
      </w:r>
      <w:r w:rsidR="440C529A" w:rsidRPr="00900ADE">
        <w:t xml:space="preserve"> concluded that “</w:t>
      </w:r>
      <w:r w:rsidR="006B53BA" w:rsidRPr="00900ADE">
        <w:t>t</w:t>
      </w:r>
      <w:r w:rsidR="15C4CF77" w:rsidRPr="00900ADE">
        <w:t xml:space="preserve">he </w:t>
      </w:r>
      <w:r w:rsidR="006B53BA" w:rsidRPr="00900ADE">
        <w:t>h</w:t>
      </w:r>
      <w:r w:rsidR="440C529A" w:rsidRPr="00900ADE">
        <w:t xml:space="preserve">uman </w:t>
      </w:r>
      <w:r w:rsidR="006B53BA" w:rsidRPr="00900ADE">
        <w:t>r</w:t>
      </w:r>
      <w:r w:rsidR="440C529A" w:rsidRPr="00900ADE">
        <w:t xml:space="preserve">esources </w:t>
      </w:r>
      <w:r w:rsidR="004D3F6A">
        <w:t>d</w:t>
      </w:r>
      <w:r w:rsidR="440C529A" w:rsidRPr="00900ADE">
        <w:t xml:space="preserve">epartment is in transition with several key areas </w:t>
      </w:r>
      <w:r w:rsidR="440C529A" w:rsidRPr="00900ADE">
        <w:lastRenderedPageBreak/>
        <w:t>of responsibility unsettled. Decision-making authority for staffing needs, compensation, and procurement lacks clarity</w:t>
      </w:r>
      <w:r w:rsidR="00BE6E46" w:rsidRPr="00900ADE">
        <w:t>.</w:t>
      </w:r>
      <w:r w:rsidR="005467B0" w:rsidRPr="00900ADE">
        <w:t>”</w:t>
      </w:r>
      <w:r w:rsidR="440C529A" w:rsidRPr="00900ADE">
        <w:rPr>
          <w:rFonts w:eastAsia="Aptos" w:cs="Aptos"/>
        </w:rPr>
        <w:t xml:space="preserve"> </w:t>
      </w:r>
    </w:p>
    <w:p w14:paraId="21C7F0E1" w14:textId="5555947D" w:rsidR="00B17DD5" w:rsidRPr="00900ADE" w:rsidRDefault="00D46078" w:rsidP="008327C3">
      <w:pPr>
        <w:pStyle w:val="BodyText"/>
        <w:rPr>
          <w:rFonts w:eastAsiaTheme="minorEastAsia"/>
        </w:rPr>
      </w:pPr>
      <w:r w:rsidRPr="00900ADE">
        <w:t xml:space="preserve">According to interviews and </w:t>
      </w:r>
      <w:r w:rsidR="007A25EE" w:rsidRPr="00900ADE">
        <w:t>documents, t</w:t>
      </w:r>
      <w:r w:rsidR="099C5494" w:rsidRPr="00900ADE">
        <w:t xml:space="preserve">he </w:t>
      </w:r>
      <w:r w:rsidR="15C4CF77" w:rsidRPr="00900ADE">
        <w:t xml:space="preserve">district has </w:t>
      </w:r>
      <w:r w:rsidR="00D44410" w:rsidRPr="00900ADE">
        <w:t>implemented</w:t>
      </w:r>
      <w:r w:rsidR="099C5494" w:rsidRPr="00900ADE">
        <w:t xml:space="preserve"> changes</w:t>
      </w:r>
      <w:r w:rsidR="00840476" w:rsidRPr="00900ADE">
        <w:t xml:space="preserve"> to address the findings of the study</w:t>
      </w:r>
      <w:r w:rsidR="006B53BA" w:rsidRPr="00900ADE">
        <w:t>,</w:t>
      </w:r>
      <w:r w:rsidR="00B1323D" w:rsidRPr="00900ADE">
        <w:t xml:space="preserve"> including </w:t>
      </w:r>
      <w:r w:rsidR="56011DFC" w:rsidRPr="00900ADE">
        <w:t>creat</w:t>
      </w:r>
      <w:r w:rsidR="00B1323D" w:rsidRPr="00900ADE">
        <w:t>ing</w:t>
      </w:r>
      <w:r w:rsidR="56011DFC" w:rsidRPr="00900ADE">
        <w:t xml:space="preserve"> </w:t>
      </w:r>
      <w:r w:rsidR="15C4CF77" w:rsidRPr="00900ADE">
        <w:t>a human resources</w:t>
      </w:r>
      <w:r w:rsidR="399DB3FF" w:rsidRPr="00900ADE">
        <w:t xml:space="preserve"> </w:t>
      </w:r>
      <w:r w:rsidR="15C4CF77" w:rsidRPr="00900ADE">
        <w:t>manager</w:t>
      </w:r>
      <w:r w:rsidR="00842C85" w:rsidRPr="00900ADE">
        <w:t xml:space="preserve"> </w:t>
      </w:r>
      <w:r w:rsidR="1F4211C5" w:rsidRPr="00900ADE">
        <w:t xml:space="preserve">position </w:t>
      </w:r>
      <w:r w:rsidR="000E7962" w:rsidRPr="00900ADE">
        <w:t xml:space="preserve">in </w:t>
      </w:r>
      <w:r w:rsidR="27249C62" w:rsidRPr="00900ADE">
        <w:t>202</w:t>
      </w:r>
      <w:r w:rsidR="00210E7E" w:rsidRPr="00900ADE">
        <w:t>3</w:t>
      </w:r>
      <w:r w:rsidR="1F4211C5" w:rsidRPr="00900ADE">
        <w:t xml:space="preserve"> </w:t>
      </w:r>
      <w:r w:rsidR="264A23BE" w:rsidRPr="00900ADE">
        <w:t xml:space="preserve">and </w:t>
      </w:r>
      <w:r w:rsidR="21553535" w:rsidRPr="00900ADE">
        <w:rPr>
          <w:rFonts w:eastAsiaTheme="minorEastAsia"/>
        </w:rPr>
        <w:t>hir</w:t>
      </w:r>
      <w:r w:rsidR="00B1323D" w:rsidRPr="00900ADE">
        <w:rPr>
          <w:rFonts w:eastAsiaTheme="minorEastAsia"/>
        </w:rPr>
        <w:t>ing</w:t>
      </w:r>
      <w:r w:rsidR="21553535" w:rsidRPr="00900ADE">
        <w:rPr>
          <w:rFonts w:eastAsiaTheme="minorEastAsia"/>
        </w:rPr>
        <w:t xml:space="preserve"> </w:t>
      </w:r>
      <w:r w:rsidR="000E7962" w:rsidRPr="00900ADE">
        <w:rPr>
          <w:rFonts w:eastAsiaTheme="minorEastAsia"/>
        </w:rPr>
        <w:t>a part-time</w:t>
      </w:r>
      <w:r w:rsidR="15C4CF77" w:rsidRPr="00900ADE">
        <w:rPr>
          <w:rFonts w:eastAsiaTheme="minorEastAsia"/>
        </w:rPr>
        <w:t xml:space="preserve"> </w:t>
      </w:r>
      <w:r w:rsidR="006B53BA" w:rsidRPr="00900ADE">
        <w:rPr>
          <w:rFonts w:eastAsiaTheme="minorEastAsia"/>
        </w:rPr>
        <w:t>human resources</w:t>
      </w:r>
      <w:r w:rsidR="15C4CF77" w:rsidRPr="00900ADE">
        <w:rPr>
          <w:rFonts w:eastAsiaTheme="minorEastAsia"/>
        </w:rPr>
        <w:t xml:space="preserve"> assistant</w:t>
      </w:r>
      <w:r w:rsidR="004252DA" w:rsidRPr="00900ADE">
        <w:rPr>
          <w:rFonts w:eastAsiaTheme="minorEastAsia"/>
        </w:rPr>
        <w:t xml:space="preserve"> in 2024</w:t>
      </w:r>
      <w:r w:rsidR="15C4CF77" w:rsidRPr="00900ADE">
        <w:rPr>
          <w:rFonts w:eastAsiaTheme="minorEastAsia"/>
        </w:rPr>
        <w:t>.</w:t>
      </w:r>
      <w:r w:rsidR="117BE2C4" w:rsidRPr="00900ADE">
        <w:rPr>
          <w:rFonts w:eastAsiaTheme="minorEastAsia"/>
        </w:rPr>
        <w:t xml:space="preserve"> </w:t>
      </w:r>
      <w:r w:rsidR="00174FF0" w:rsidRPr="00900ADE">
        <w:rPr>
          <w:rFonts w:eastAsiaTheme="minorEastAsia"/>
        </w:rPr>
        <w:t>D</w:t>
      </w:r>
      <w:r w:rsidR="005B70B9" w:rsidRPr="00900ADE">
        <w:rPr>
          <w:rFonts w:eastAsiaTheme="minorEastAsia"/>
        </w:rPr>
        <w:t>istrict staff</w:t>
      </w:r>
      <w:r w:rsidR="00174FF0" w:rsidRPr="00900ADE">
        <w:rPr>
          <w:rFonts w:eastAsiaTheme="minorEastAsia"/>
        </w:rPr>
        <w:t xml:space="preserve"> state that they</w:t>
      </w:r>
      <w:r w:rsidR="00FB51F5" w:rsidRPr="00900ADE">
        <w:rPr>
          <w:rFonts w:eastAsiaTheme="minorEastAsia"/>
        </w:rPr>
        <w:t xml:space="preserve"> now</w:t>
      </w:r>
      <w:r w:rsidR="00842C85" w:rsidRPr="00900ADE">
        <w:rPr>
          <w:rFonts w:eastAsiaTheme="minorEastAsia"/>
        </w:rPr>
        <w:t xml:space="preserve"> </w:t>
      </w:r>
      <w:r w:rsidR="00340366" w:rsidRPr="00900ADE">
        <w:rPr>
          <w:rFonts w:eastAsiaTheme="minorEastAsia"/>
        </w:rPr>
        <w:t xml:space="preserve">have </w:t>
      </w:r>
      <w:r w:rsidR="15C4CF77" w:rsidRPr="00900ADE">
        <w:rPr>
          <w:rFonts w:eastAsiaTheme="minorEastAsia"/>
        </w:rPr>
        <w:t>the necessary staff to post</w:t>
      </w:r>
      <w:r w:rsidR="005467B0" w:rsidRPr="00900ADE">
        <w:rPr>
          <w:rFonts w:eastAsiaTheme="minorEastAsia"/>
        </w:rPr>
        <w:t xml:space="preserve"> </w:t>
      </w:r>
      <w:r w:rsidR="00F015A2" w:rsidRPr="00900ADE">
        <w:rPr>
          <w:rFonts w:eastAsiaTheme="minorEastAsia"/>
        </w:rPr>
        <w:t xml:space="preserve">job </w:t>
      </w:r>
      <w:r w:rsidR="15C4CF77" w:rsidRPr="00900ADE">
        <w:rPr>
          <w:rFonts w:eastAsiaTheme="minorEastAsia"/>
        </w:rPr>
        <w:t>positions, support the hiring process, onboard new employees,</w:t>
      </w:r>
      <w:r w:rsidR="24FD0223" w:rsidRPr="00900ADE">
        <w:rPr>
          <w:rFonts w:eastAsiaTheme="minorEastAsia"/>
        </w:rPr>
        <w:t xml:space="preserve"> </w:t>
      </w:r>
      <w:r w:rsidR="15C4CF77" w:rsidRPr="00900ADE">
        <w:rPr>
          <w:rFonts w:eastAsiaTheme="minorEastAsia"/>
        </w:rPr>
        <w:t xml:space="preserve">and </w:t>
      </w:r>
      <w:r w:rsidR="006C6190" w:rsidRPr="00900ADE">
        <w:rPr>
          <w:rFonts w:eastAsiaTheme="minorEastAsia"/>
        </w:rPr>
        <w:t>assist</w:t>
      </w:r>
      <w:r w:rsidR="15C4CF77" w:rsidRPr="00900ADE">
        <w:rPr>
          <w:rFonts w:eastAsiaTheme="minorEastAsia"/>
        </w:rPr>
        <w:t xml:space="preserve"> employees with workplace issues. </w:t>
      </w:r>
      <w:r w:rsidR="00181D77" w:rsidRPr="00900ADE">
        <w:rPr>
          <w:rFonts w:eastAsiaTheme="minorEastAsia"/>
        </w:rPr>
        <w:t>In addition, t</w:t>
      </w:r>
      <w:r w:rsidR="15C4CF77" w:rsidRPr="00900ADE">
        <w:rPr>
          <w:rFonts w:eastAsiaTheme="minorEastAsia"/>
        </w:rPr>
        <w:t xml:space="preserve">he </w:t>
      </w:r>
      <w:r w:rsidR="006B53BA" w:rsidRPr="00900ADE">
        <w:rPr>
          <w:rFonts w:eastAsiaTheme="minorEastAsia"/>
        </w:rPr>
        <w:t xml:space="preserve">human resources </w:t>
      </w:r>
      <w:r w:rsidR="15C4CF77" w:rsidRPr="00900ADE">
        <w:rPr>
          <w:rFonts w:eastAsiaTheme="minorEastAsia"/>
        </w:rPr>
        <w:t>department is</w:t>
      </w:r>
      <w:r w:rsidR="00635161">
        <w:rPr>
          <w:rFonts w:eastAsiaTheme="minorEastAsia"/>
        </w:rPr>
        <w:t xml:space="preserve"> in the process of</w:t>
      </w:r>
      <w:r w:rsidR="15C4CF77" w:rsidRPr="00900ADE">
        <w:rPr>
          <w:rFonts w:eastAsiaTheme="minorEastAsia"/>
        </w:rPr>
        <w:t xml:space="preserve"> digitizing employee records</w:t>
      </w:r>
      <w:r w:rsidR="002956DB" w:rsidRPr="00900ADE">
        <w:rPr>
          <w:rFonts w:eastAsiaTheme="minorEastAsia"/>
        </w:rPr>
        <w:t>, transitioning from paper records to electronic storage</w:t>
      </w:r>
      <w:r w:rsidR="15C4CF77" w:rsidRPr="00900ADE">
        <w:rPr>
          <w:rFonts w:eastAsiaTheme="minorEastAsia"/>
        </w:rPr>
        <w:t>.</w:t>
      </w:r>
      <w:r w:rsidR="0D204C56" w:rsidRPr="00900ADE">
        <w:rPr>
          <w:rFonts w:eastAsiaTheme="minorEastAsia"/>
        </w:rPr>
        <w:t xml:space="preserve"> </w:t>
      </w:r>
    </w:p>
    <w:p w14:paraId="06E43909" w14:textId="7CFAC85A" w:rsidR="00531E04" w:rsidRPr="00900ADE" w:rsidRDefault="15C4CF77" w:rsidP="008327C3">
      <w:pPr>
        <w:pStyle w:val="BodyText"/>
      </w:pPr>
      <w:r w:rsidRPr="00900ADE">
        <w:t xml:space="preserve">The district </w:t>
      </w:r>
      <w:r w:rsidR="00565BAB" w:rsidRPr="00900ADE">
        <w:t xml:space="preserve">partners with the town to </w:t>
      </w:r>
      <w:r w:rsidRPr="00900ADE">
        <w:t>use the MUNIS system</w:t>
      </w:r>
      <w:r w:rsidR="000D7A85" w:rsidRPr="00900ADE">
        <w:t xml:space="preserve"> to </w:t>
      </w:r>
      <w:r w:rsidR="001316A4" w:rsidRPr="00900ADE">
        <w:t xml:space="preserve">maintain some financial and human resources </w:t>
      </w:r>
      <w:r w:rsidR="00A73A96" w:rsidRPr="00900ADE">
        <w:t>records</w:t>
      </w:r>
      <w:r w:rsidR="00C16FCD" w:rsidRPr="00900ADE">
        <w:t>.</w:t>
      </w:r>
      <w:r w:rsidRPr="00900ADE">
        <w:t xml:space="preserve"> </w:t>
      </w:r>
      <w:r w:rsidR="006B53BA" w:rsidRPr="00900ADE">
        <w:t>T</w:t>
      </w:r>
      <w:r w:rsidR="00CA5E0A" w:rsidRPr="00900ADE">
        <w:t xml:space="preserve">he town pays for </w:t>
      </w:r>
      <w:r w:rsidR="00EC63F6">
        <w:t>the system</w:t>
      </w:r>
      <w:r w:rsidR="00CA5E0A" w:rsidRPr="00900ADE">
        <w:t xml:space="preserve">, </w:t>
      </w:r>
      <w:r w:rsidR="006B53BA" w:rsidRPr="00900ADE">
        <w:t xml:space="preserve">but </w:t>
      </w:r>
      <w:r w:rsidR="00CA5E0A" w:rsidRPr="00900ADE">
        <w:t xml:space="preserve">it does not </w:t>
      </w:r>
      <w:r w:rsidR="00EC63F6">
        <w:t xml:space="preserve">purchase </w:t>
      </w:r>
      <w:r w:rsidR="00CA5E0A" w:rsidRPr="00900ADE">
        <w:t xml:space="preserve">all </w:t>
      </w:r>
      <w:r w:rsidR="00B82180">
        <w:t>modules</w:t>
      </w:r>
      <w:r w:rsidR="00EC63F6">
        <w:t xml:space="preserve">, which the </w:t>
      </w:r>
      <w:r w:rsidR="00B65606" w:rsidRPr="00900ADE">
        <w:t xml:space="preserve">town considers unnecessary. </w:t>
      </w:r>
      <w:r w:rsidR="00EB291B">
        <w:t>However, a</w:t>
      </w:r>
      <w:r w:rsidRPr="00900ADE">
        <w:t>ccording to district leaders</w:t>
      </w:r>
      <w:r w:rsidR="5AA13F99" w:rsidRPr="00900ADE">
        <w:t>,</w:t>
      </w:r>
      <w:r w:rsidRPr="00900ADE">
        <w:t xml:space="preserve"> the needs </w:t>
      </w:r>
      <w:r w:rsidR="005693AF" w:rsidRPr="00900ADE">
        <w:t>of</w:t>
      </w:r>
      <w:r w:rsidRPr="00900ADE">
        <w:t xml:space="preserve"> the town and </w:t>
      </w:r>
      <w:r w:rsidR="006B53BA" w:rsidRPr="00900ADE">
        <w:t>the</w:t>
      </w:r>
      <w:r w:rsidRPr="00900ADE">
        <w:t xml:space="preserve"> district </w:t>
      </w:r>
      <w:r w:rsidR="00EF5AB7" w:rsidRPr="00900ADE">
        <w:t>differ</w:t>
      </w:r>
      <w:r w:rsidR="00313575">
        <w:t xml:space="preserve">, in part </w:t>
      </w:r>
      <w:r w:rsidR="00E22BA6">
        <w:t>as</w:t>
      </w:r>
      <w:r w:rsidR="00313575">
        <w:t xml:space="preserve"> the town has approximately half the number of employees compared to the district, and </w:t>
      </w:r>
      <w:r w:rsidR="00313575" w:rsidRPr="00900ADE">
        <w:t>town staff are spread over more departments, each with its own lead</w:t>
      </w:r>
      <w:r w:rsidR="00313575">
        <w:t xml:space="preserve"> who can manage hiring without the support of the MUNIS system</w:t>
      </w:r>
      <w:r w:rsidR="00313575" w:rsidRPr="00900ADE">
        <w:t xml:space="preserve">. </w:t>
      </w:r>
      <w:r w:rsidR="0026316E" w:rsidRPr="00900ADE">
        <w:t xml:space="preserve">For example, </w:t>
      </w:r>
      <w:r w:rsidR="006B1C00" w:rsidRPr="00900ADE">
        <w:t xml:space="preserve">onboarding and registering employees </w:t>
      </w:r>
      <w:r w:rsidR="00E70596" w:rsidRPr="00900ADE">
        <w:t>remains</w:t>
      </w:r>
      <w:r w:rsidR="006B1C00" w:rsidRPr="00900ADE">
        <w:t xml:space="preserve"> a </w:t>
      </w:r>
      <w:r w:rsidR="006B53BA" w:rsidRPr="00900ADE">
        <w:t>time-consuming</w:t>
      </w:r>
      <w:r w:rsidR="00710D60">
        <w:t>,</w:t>
      </w:r>
      <w:r w:rsidR="006B53BA" w:rsidRPr="00900ADE">
        <w:t xml:space="preserve"> </w:t>
      </w:r>
      <w:r w:rsidR="006B1C00" w:rsidRPr="00900ADE">
        <w:t>paper</w:t>
      </w:r>
      <w:r w:rsidR="003B4C2E">
        <w:t>-based</w:t>
      </w:r>
      <w:r w:rsidR="006B1C00" w:rsidRPr="00900ADE">
        <w:t xml:space="preserve"> process</w:t>
      </w:r>
      <w:r w:rsidR="00E70596" w:rsidRPr="00900ADE">
        <w:t xml:space="preserve"> </w:t>
      </w:r>
      <w:r w:rsidR="006B53BA" w:rsidRPr="00900ADE">
        <w:t xml:space="preserve">given </w:t>
      </w:r>
      <w:r w:rsidR="00442186" w:rsidRPr="00900ADE">
        <w:t xml:space="preserve">the </w:t>
      </w:r>
      <w:r w:rsidR="00444681" w:rsidRPr="00900ADE">
        <w:t>number of employees</w:t>
      </w:r>
      <w:r w:rsidR="003B4C2E">
        <w:t xml:space="preserve">. </w:t>
      </w:r>
      <w:r w:rsidR="00710D60">
        <w:t xml:space="preserve">There is a module within </w:t>
      </w:r>
      <w:r w:rsidR="004B5B4A">
        <w:t xml:space="preserve">MUNIS </w:t>
      </w:r>
      <w:r w:rsidR="00710D60">
        <w:t xml:space="preserve">that </w:t>
      </w:r>
      <w:r w:rsidR="004B5B4A">
        <w:t xml:space="preserve">could </w:t>
      </w:r>
      <w:r w:rsidR="00E1354B">
        <w:t>streamline</w:t>
      </w:r>
      <w:r w:rsidR="00710D60">
        <w:t xml:space="preserve"> </w:t>
      </w:r>
      <w:r w:rsidR="004B5B4A">
        <w:t xml:space="preserve">this process, </w:t>
      </w:r>
      <w:r w:rsidR="00710D60">
        <w:t xml:space="preserve">but </w:t>
      </w:r>
      <w:r w:rsidR="004B5B4A">
        <w:t xml:space="preserve">the town </w:t>
      </w:r>
      <w:r w:rsidR="00655107">
        <w:t xml:space="preserve">sees this function as unnecessary and has decided not to </w:t>
      </w:r>
      <w:r w:rsidR="00710D60">
        <w:t xml:space="preserve">purchase this </w:t>
      </w:r>
      <w:r w:rsidR="00655107">
        <w:t xml:space="preserve">functionality. </w:t>
      </w:r>
    </w:p>
    <w:p w14:paraId="1D8E7907" w14:textId="3BE51277" w:rsidR="004965AB" w:rsidRPr="00900ADE" w:rsidRDefault="00326143" w:rsidP="008327C3">
      <w:pPr>
        <w:pStyle w:val="BodyText"/>
      </w:pPr>
      <w:r w:rsidRPr="00900ADE">
        <w:t>The town maintains W-2s, tax, and payroll records</w:t>
      </w:r>
      <w:r w:rsidR="00531E04" w:rsidRPr="00900ADE">
        <w:t xml:space="preserve"> for employees</w:t>
      </w:r>
      <w:r w:rsidRPr="00900ADE">
        <w:t>.</w:t>
      </w:r>
      <w:r w:rsidR="00442186" w:rsidRPr="00900ADE">
        <w:t xml:space="preserve"> </w:t>
      </w:r>
      <w:r w:rsidR="008B2ADD" w:rsidRPr="00900ADE">
        <w:t xml:space="preserve">One area that </w:t>
      </w:r>
      <w:r w:rsidR="005E5E34" w:rsidRPr="00900ADE">
        <w:t>town systems are</w:t>
      </w:r>
      <w:r w:rsidR="008B2ADD" w:rsidRPr="00900ADE">
        <w:t xml:space="preserve"> </w:t>
      </w:r>
      <w:r w:rsidR="009B7DF4" w:rsidRPr="00900ADE">
        <w:t>deficient in</w:t>
      </w:r>
      <w:r w:rsidR="002B6C54">
        <w:t>, according to central office staff,</w:t>
      </w:r>
      <w:r w:rsidR="009B7DF4" w:rsidRPr="00900ADE">
        <w:t xml:space="preserve"> is </w:t>
      </w:r>
      <w:r w:rsidR="005E1325" w:rsidRPr="00900ADE">
        <w:t>employee</w:t>
      </w:r>
      <w:r w:rsidR="00187685" w:rsidRPr="00900ADE">
        <w:t xml:space="preserve"> </w:t>
      </w:r>
      <w:r w:rsidR="005E1325" w:rsidRPr="00900ADE">
        <w:t xml:space="preserve">access to </w:t>
      </w:r>
      <w:r w:rsidR="00D74411" w:rsidRPr="00900ADE">
        <w:t xml:space="preserve">specific </w:t>
      </w:r>
      <w:r w:rsidR="00821128" w:rsidRPr="00900ADE">
        <w:t xml:space="preserve">electronic </w:t>
      </w:r>
      <w:r w:rsidR="009E0330" w:rsidRPr="00900ADE">
        <w:t>documents.</w:t>
      </w:r>
      <w:r w:rsidR="009B7DF4" w:rsidRPr="00900ADE">
        <w:t xml:space="preserve"> </w:t>
      </w:r>
      <w:r w:rsidR="00821128" w:rsidRPr="00900ADE">
        <w:t>Consequently</w:t>
      </w:r>
      <w:r w:rsidR="00CE0BE8" w:rsidRPr="00900ADE">
        <w:t xml:space="preserve">, </w:t>
      </w:r>
      <w:r w:rsidR="00821128" w:rsidRPr="00900ADE">
        <w:t>Medway</w:t>
      </w:r>
      <w:r w:rsidR="00661FE6" w:rsidRPr="00900ADE">
        <w:t xml:space="preserve"> </w:t>
      </w:r>
      <w:r w:rsidR="00862733">
        <w:t>is in the process of developing</w:t>
      </w:r>
      <w:r w:rsidR="00862733" w:rsidRPr="00900ADE">
        <w:t xml:space="preserve"> </w:t>
      </w:r>
      <w:r w:rsidR="00C86426" w:rsidRPr="00900ADE">
        <w:t xml:space="preserve">an </w:t>
      </w:r>
      <w:r w:rsidR="15C4CF77" w:rsidRPr="00900ADE">
        <w:t xml:space="preserve">employee portal so that employees can access tax documents </w:t>
      </w:r>
      <w:r w:rsidR="002B6C54">
        <w:t xml:space="preserve">both on paper and </w:t>
      </w:r>
      <w:r w:rsidR="15C4CF77" w:rsidRPr="00900ADE">
        <w:t>electronically</w:t>
      </w:r>
      <w:r w:rsidR="002B6C54">
        <w:t xml:space="preserve"> within the town’s MUNIS portal</w:t>
      </w:r>
      <w:r w:rsidR="001F2581" w:rsidRPr="00900ADE">
        <w:t xml:space="preserve">. District staff said </w:t>
      </w:r>
      <w:r w:rsidR="00821128" w:rsidRPr="00900ADE">
        <w:t xml:space="preserve">that </w:t>
      </w:r>
      <w:r w:rsidR="004965AB" w:rsidRPr="00900ADE">
        <w:t xml:space="preserve">employees will receive </w:t>
      </w:r>
      <w:r w:rsidR="00855E1B" w:rsidRPr="00900ADE">
        <w:t>W</w:t>
      </w:r>
      <w:r w:rsidR="00821128" w:rsidRPr="00900ADE">
        <w:t>-</w:t>
      </w:r>
      <w:r w:rsidR="00855E1B" w:rsidRPr="00900ADE">
        <w:t xml:space="preserve">2s </w:t>
      </w:r>
      <w:r w:rsidR="00821128" w:rsidRPr="00900ADE">
        <w:t xml:space="preserve">in </w:t>
      </w:r>
      <w:r w:rsidR="00855E1B" w:rsidRPr="00900ADE">
        <w:t>both paper a</w:t>
      </w:r>
      <w:r w:rsidR="00C16FCD" w:rsidRPr="00900ADE">
        <w:t xml:space="preserve">nd </w:t>
      </w:r>
      <w:r w:rsidR="00855E1B" w:rsidRPr="00900ADE">
        <w:t>electronic</w:t>
      </w:r>
      <w:r w:rsidR="00821128" w:rsidRPr="00900ADE">
        <w:t xml:space="preserve"> form</w:t>
      </w:r>
      <w:r w:rsidR="00855E1B" w:rsidRPr="00900ADE">
        <w:t xml:space="preserve"> for</w:t>
      </w:r>
      <w:r w:rsidR="15C4CF77" w:rsidRPr="00900ADE">
        <w:t xml:space="preserve"> </w:t>
      </w:r>
      <w:r w:rsidR="00F84A02">
        <w:t>the</w:t>
      </w:r>
      <w:r w:rsidR="00F84A02" w:rsidRPr="00900ADE">
        <w:t xml:space="preserve"> </w:t>
      </w:r>
      <w:r w:rsidR="00FC24DF" w:rsidRPr="00900ADE">
        <w:t>second</w:t>
      </w:r>
      <w:r w:rsidR="15C4CF77" w:rsidRPr="00900ADE">
        <w:t xml:space="preserve"> </w:t>
      </w:r>
      <w:r w:rsidR="00855E1B" w:rsidRPr="00900ADE">
        <w:t>time</w:t>
      </w:r>
      <w:r w:rsidR="004965AB" w:rsidRPr="00900ADE">
        <w:t xml:space="preserve"> for 2024 taxes</w:t>
      </w:r>
      <w:r w:rsidR="15C4CF77" w:rsidRPr="00900ADE">
        <w:t xml:space="preserve">. </w:t>
      </w:r>
    </w:p>
    <w:p w14:paraId="49039DAD" w14:textId="5F1C0348" w:rsidR="00A36E2F" w:rsidRPr="00900ADE" w:rsidRDefault="005A7309" w:rsidP="008327C3">
      <w:pPr>
        <w:pStyle w:val="BodyText"/>
        <w:rPr>
          <w:color w:val="FF0000"/>
        </w:rPr>
      </w:pPr>
      <w:r w:rsidRPr="00900ADE">
        <w:t xml:space="preserve">Another area in which the district recognizes inefficiencies is </w:t>
      </w:r>
      <w:r w:rsidR="002D1701">
        <w:t xml:space="preserve">in </w:t>
      </w:r>
      <w:r w:rsidRPr="00900ADE">
        <w:t xml:space="preserve">tracking staff attendance. Currently, the </w:t>
      </w:r>
      <w:r w:rsidR="00821128" w:rsidRPr="00900ADE">
        <w:t xml:space="preserve">human resources </w:t>
      </w:r>
      <w:r w:rsidRPr="00900ADE">
        <w:t xml:space="preserve">office tracks staff attendance as well as accrued </w:t>
      </w:r>
      <w:r w:rsidR="00593666" w:rsidRPr="00900ADE">
        <w:t xml:space="preserve">sick and vacation </w:t>
      </w:r>
      <w:r w:rsidRPr="00900ADE">
        <w:t>time for staff</w:t>
      </w:r>
      <w:r w:rsidR="00A05F98" w:rsidRPr="00900ADE">
        <w:t>.</w:t>
      </w:r>
      <w:r w:rsidR="009B3C20">
        <w:t xml:space="preserve"> Currently</w:t>
      </w:r>
      <w:r w:rsidR="00F84A02">
        <w:t>,</w:t>
      </w:r>
      <w:r w:rsidR="009B3C20">
        <w:t xml:space="preserve"> staff can see this information on paystubs or by logging on to the Frontline System, according to district staff.</w:t>
      </w:r>
      <w:r w:rsidR="264A23BE" w:rsidRPr="00900ADE">
        <w:t xml:space="preserve"> </w:t>
      </w:r>
      <w:r w:rsidRPr="00900ADE">
        <w:t xml:space="preserve">MUNIS </w:t>
      </w:r>
      <w:r w:rsidR="00821128" w:rsidRPr="00900ADE">
        <w:t>can</w:t>
      </w:r>
      <w:r w:rsidRPr="00900ADE">
        <w:t xml:space="preserve"> track these data points. </w:t>
      </w:r>
      <w:r w:rsidR="006612EE" w:rsidRPr="00900ADE">
        <w:t xml:space="preserve">However, </w:t>
      </w:r>
      <w:r w:rsidR="00AF5FE0">
        <w:t>district and municipal staff were still trying to get the system to accurately report</w:t>
      </w:r>
      <w:r w:rsidR="00737D4B">
        <w:t xml:space="preserve"> sick time</w:t>
      </w:r>
      <w:r w:rsidR="00FA5F5F" w:rsidRPr="00900ADE">
        <w:t xml:space="preserve"> at the time of the </w:t>
      </w:r>
      <w:r w:rsidR="00821128" w:rsidRPr="00900ADE">
        <w:t xml:space="preserve">site </w:t>
      </w:r>
      <w:r w:rsidR="00FA5F5F" w:rsidRPr="00900ADE">
        <w:t>visit</w:t>
      </w:r>
      <w:r w:rsidR="00C44997">
        <w:t>,</w:t>
      </w:r>
      <w:r w:rsidR="00327DE7" w:rsidRPr="00900ADE">
        <w:t xml:space="preserve"> </w:t>
      </w:r>
      <w:r w:rsidR="00821128" w:rsidRPr="00900ADE">
        <w:t>given</w:t>
      </w:r>
      <w:r w:rsidR="00327DE7" w:rsidRPr="00900ADE">
        <w:t xml:space="preserve"> challenges in getting accurate information into the system</w:t>
      </w:r>
      <w:r w:rsidR="00FA5F5F" w:rsidRPr="00900ADE">
        <w:t xml:space="preserve">. </w:t>
      </w:r>
      <w:r w:rsidR="6EC39EF6" w:rsidRPr="00900ADE">
        <w:t xml:space="preserve">Despite </w:t>
      </w:r>
      <w:r w:rsidR="00A66910" w:rsidRPr="00900ADE">
        <w:t>ongoing</w:t>
      </w:r>
      <w:r w:rsidR="6EC39EF6" w:rsidRPr="00900ADE">
        <w:t xml:space="preserve"> </w:t>
      </w:r>
      <w:r w:rsidR="00835BDE" w:rsidRPr="00900ADE">
        <w:t>improvements</w:t>
      </w:r>
      <w:r w:rsidR="6EC39EF6" w:rsidRPr="00900ADE">
        <w:t xml:space="preserve">, teacher focus group participants reported challenges </w:t>
      </w:r>
      <w:r w:rsidR="00821128" w:rsidRPr="00900ADE">
        <w:t xml:space="preserve">in </w:t>
      </w:r>
      <w:r w:rsidR="6EC39EF6" w:rsidRPr="00900ADE">
        <w:t xml:space="preserve">getting consistent information from the </w:t>
      </w:r>
      <w:r w:rsidR="00821128" w:rsidRPr="00900ADE">
        <w:t xml:space="preserve">human resources </w:t>
      </w:r>
      <w:r w:rsidR="6EC39EF6" w:rsidRPr="00900ADE">
        <w:t>department</w:t>
      </w:r>
      <w:r w:rsidR="00EE3EE0" w:rsidRPr="00900ADE">
        <w:t xml:space="preserve">. </w:t>
      </w:r>
      <w:r w:rsidR="00821128" w:rsidRPr="00F619D5">
        <w:t>Thus,</w:t>
      </w:r>
      <w:r w:rsidR="00B80EB5" w:rsidRPr="00F619D5">
        <w:t xml:space="preserve"> </w:t>
      </w:r>
      <w:r w:rsidR="00495FBF" w:rsidRPr="00F619D5">
        <w:t>the</w:t>
      </w:r>
      <w:r w:rsidR="00B80EB5" w:rsidRPr="00F619D5">
        <w:t xml:space="preserve"> </w:t>
      </w:r>
      <w:r w:rsidR="33B8B051" w:rsidRPr="00F619D5">
        <w:t>transition to electronic records</w:t>
      </w:r>
      <w:r w:rsidR="00E276E1">
        <w:t xml:space="preserve"> to create more efficiencies for staff in accessing accurate human resources information</w:t>
      </w:r>
      <w:r w:rsidR="00B52124" w:rsidRPr="00F619D5">
        <w:t xml:space="preserve"> </w:t>
      </w:r>
      <w:r w:rsidR="00821128" w:rsidRPr="00F619D5">
        <w:t xml:space="preserve">remains </w:t>
      </w:r>
      <w:r w:rsidR="00EE3EE0" w:rsidRPr="00900ADE">
        <w:t xml:space="preserve">an area </w:t>
      </w:r>
      <w:r w:rsidR="00DE6D6D" w:rsidRPr="00900ADE">
        <w:t>for</w:t>
      </w:r>
      <w:r w:rsidR="00EE3EE0" w:rsidRPr="00900ADE">
        <w:t xml:space="preserve"> growth</w:t>
      </w:r>
      <w:r w:rsidR="006631F4" w:rsidRPr="00900ADE">
        <w:t xml:space="preserve"> for Medway</w:t>
      </w:r>
      <w:r w:rsidR="00EE3EE0" w:rsidRPr="00900ADE">
        <w:t>.</w:t>
      </w:r>
    </w:p>
    <w:p w14:paraId="6A7A87C0" w14:textId="046F401C" w:rsidR="00821128" w:rsidRPr="00900ADE" w:rsidRDefault="00821128" w:rsidP="008327C3">
      <w:pPr>
        <w:pStyle w:val="BodyText"/>
      </w:pPr>
      <w:bookmarkStart w:id="54" w:name="_Staffing"/>
      <w:bookmarkEnd w:id="54"/>
      <w:r w:rsidRPr="00900ADE">
        <w:t>Medway</w:t>
      </w:r>
      <w:r w:rsidR="181DE90B" w:rsidRPr="00900ADE">
        <w:t xml:space="preserve"> </w:t>
      </w:r>
      <w:r w:rsidR="006009C0">
        <w:t xml:space="preserve">uses </w:t>
      </w:r>
      <w:r w:rsidR="181DE90B" w:rsidRPr="00900ADE">
        <w:t>data</w:t>
      </w:r>
      <w:r w:rsidR="003C3608">
        <w:t xml:space="preserve"> collected in exit interviews </w:t>
      </w:r>
      <w:r w:rsidR="181DE90B" w:rsidRPr="00900ADE">
        <w:t>to inform human resources policies, procedures, and practices</w:t>
      </w:r>
      <w:r w:rsidR="00224EDF" w:rsidRPr="00900ADE">
        <w:t xml:space="preserve">, </w:t>
      </w:r>
      <w:r w:rsidRPr="00900ADE">
        <w:t xml:space="preserve">which is </w:t>
      </w:r>
      <w:r w:rsidR="00224EDF" w:rsidRPr="00900ADE">
        <w:t>a strength of the district</w:t>
      </w:r>
      <w:r w:rsidR="181DE90B" w:rsidRPr="00900ADE">
        <w:t xml:space="preserve">. </w:t>
      </w:r>
      <w:r w:rsidR="00936C5E" w:rsidRPr="00900ADE">
        <w:t>T</w:t>
      </w:r>
      <w:r w:rsidR="181DE90B" w:rsidRPr="00900ADE">
        <w:t xml:space="preserve">he </w:t>
      </w:r>
      <w:r w:rsidRPr="00900ADE">
        <w:t xml:space="preserve">human resources </w:t>
      </w:r>
      <w:r w:rsidR="181DE90B" w:rsidRPr="00900ADE">
        <w:t xml:space="preserve">manager has created structures </w:t>
      </w:r>
      <w:r w:rsidRPr="00900ADE">
        <w:t xml:space="preserve">for </w:t>
      </w:r>
      <w:r w:rsidR="181DE90B" w:rsidRPr="00900ADE">
        <w:t xml:space="preserve">conducting exit interviews with departing staff and </w:t>
      </w:r>
      <w:r w:rsidR="00E17526" w:rsidRPr="00900ADE">
        <w:t xml:space="preserve">capturing </w:t>
      </w:r>
      <w:r w:rsidR="181DE90B" w:rsidRPr="00900ADE">
        <w:t>their resignation reasons in MUNIS</w:t>
      </w:r>
      <w:r w:rsidR="0CB9DC42" w:rsidRPr="00900ADE">
        <w:t>, creating</w:t>
      </w:r>
      <w:r w:rsidR="181DE90B" w:rsidRPr="00900ADE">
        <w:t xml:space="preserve"> different categories</w:t>
      </w:r>
      <w:r w:rsidRPr="00900ADE">
        <w:t>,</w:t>
      </w:r>
      <w:r w:rsidR="181DE90B" w:rsidRPr="00900ADE">
        <w:t xml:space="preserve"> </w:t>
      </w:r>
      <w:r w:rsidR="00534013" w:rsidRPr="00900ADE">
        <w:t xml:space="preserve">which allows </w:t>
      </w:r>
      <w:r w:rsidR="181DE90B" w:rsidRPr="00900ADE">
        <w:t xml:space="preserve">the district </w:t>
      </w:r>
      <w:r w:rsidR="3EE291F2" w:rsidRPr="00900ADE">
        <w:t xml:space="preserve">to </w:t>
      </w:r>
      <w:r w:rsidR="00846F06" w:rsidRPr="00900ADE">
        <w:t>capture</w:t>
      </w:r>
      <w:r w:rsidR="3EE291F2" w:rsidRPr="00900ADE">
        <w:t xml:space="preserve"> and analyze </w:t>
      </w:r>
      <w:r w:rsidR="00534013" w:rsidRPr="00900ADE">
        <w:t>this information</w:t>
      </w:r>
      <w:r w:rsidR="181DE90B" w:rsidRPr="00900ADE">
        <w:t xml:space="preserve">. </w:t>
      </w:r>
      <w:r w:rsidR="1CC27988" w:rsidRPr="00900ADE">
        <w:t xml:space="preserve">As a result, </w:t>
      </w:r>
      <w:bookmarkStart w:id="55" w:name="_Hlk195615364"/>
      <w:r w:rsidR="1CC27988" w:rsidRPr="00900ADE">
        <w:t xml:space="preserve">district leaders </w:t>
      </w:r>
      <w:bookmarkEnd w:id="55"/>
      <w:r w:rsidR="1CC27988" w:rsidRPr="00900ADE">
        <w:t xml:space="preserve">reported </w:t>
      </w:r>
      <w:r w:rsidR="003E27DF">
        <w:t>learning</w:t>
      </w:r>
      <w:r w:rsidR="00A57731">
        <w:t xml:space="preserve"> the specific reasons why people leave. For example</w:t>
      </w:r>
      <w:r w:rsidR="003E3A11">
        <w:t xml:space="preserve">, </w:t>
      </w:r>
      <w:r w:rsidR="003150CD">
        <w:t>one district leader reported that data</w:t>
      </w:r>
      <w:r w:rsidR="003150CD" w:rsidRPr="00900ADE">
        <w:t xml:space="preserve"> collected within the past year show</w:t>
      </w:r>
      <w:r w:rsidR="003150CD">
        <w:t>ed</w:t>
      </w:r>
      <w:r w:rsidR="003150CD" w:rsidRPr="00900ADE">
        <w:t xml:space="preserve"> that salaries</w:t>
      </w:r>
      <w:r w:rsidR="003150CD">
        <w:t xml:space="preserve"> for</w:t>
      </w:r>
      <w:r w:rsidR="003150CD" w:rsidRPr="00900ADE">
        <w:t xml:space="preserve"> nonunion staff</w:t>
      </w:r>
      <w:r w:rsidR="003150CD">
        <w:t xml:space="preserve"> and </w:t>
      </w:r>
      <w:r w:rsidR="003150CD" w:rsidRPr="00900ADE">
        <w:t>teacher working conditions</w:t>
      </w:r>
      <w:r w:rsidR="003150CD">
        <w:t xml:space="preserve"> are among the reasons why staff leave the district</w:t>
      </w:r>
      <w:r w:rsidR="00BE0795">
        <w:t xml:space="preserve">. In one case, </w:t>
      </w:r>
      <w:r w:rsidR="1CC27988" w:rsidRPr="00900ADE">
        <w:t>two</w:t>
      </w:r>
      <w:r w:rsidR="181DE90B" w:rsidRPr="00900ADE">
        <w:t xml:space="preserve"> middle school </w:t>
      </w:r>
      <w:r w:rsidR="1CC27988" w:rsidRPr="00900ADE">
        <w:t>specialist</w:t>
      </w:r>
      <w:r w:rsidR="181DE90B" w:rsidRPr="00900ADE">
        <w:t xml:space="preserve"> teachers </w:t>
      </w:r>
      <w:r w:rsidR="003E27DF">
        <w:t>resigned</w:t>
      </w:r>
      <w:r w:rsidR="00A57731">
        <w:t xml:space="preserve"> </w:t>
      </w:r>
      <w:r w:rsidR="181DE90B" w:rsidRPr="00900ADE">
        <w:t xml:space="preserve">because </w:t>
      </w:r>
      <w:r w:rsidR="008C00FA">
        <w:t>of high workloads in which they taught 10 sections of students</w:t>
      </w:r>
      <w:r w:rsidR="00D17FFD">
        <w:t xml:space="preserve"> each</w:t>
      </w:r>
      <w:r w:rsidR="181DE90B" w:rsidRPr="00900ADE">
        <w:t xml:space="preserve">. </w:t>
      </w:r>
      <w:r w:rsidR="003E3A11">
        <w:t xml:space="preserve">As a result, the </w:t>
      </w:r>
      <w:r w:rsidR="181DE90B" w:rsidRPr="00900ADE">
        <w:t xml:space="preserve">middle school is working on changing its schedule and the </w:t>
      </w:r>
      <w:r w:rsidR="181DE90B" w:rsidRPr="00900ADE">
        <w:lastRenderedPageBreak/>
        <w:t xml:space="preserve">structure of </w:t>
      </w:r>
      <w:r w:rsidR="21C2AF79" w:rsidRPr="00900ADE">
        <w:t>those specialist teaching</w:t>
      </w:r>
      <w:r w:rsidR="181DE90B" w:rsidRPr="00900ADE">
        <w:t xml:space="preserve"> position</w:t>
      </w:r>
      <w:r w:rsidR="21C2AF79" w:rsidRPr="00900ADE">
        <w:t>s</w:t>
      </w:r>
      <w:r w:rsidR="00E74948" w:rsidRPr="00900ADE">
        <w:t xml:space="preserve"> </w:t>
      </w:r>
      <w:r w:rsidR="00BB175C">
        <w:t>in an</w:t>
      </w:r>
      <w:r w:rsidR="00BB175C" w:rsidRPr="00900ADE">
        <w:t xml:space="preserve"> </w:t>
      </w:r>
      <w:r w:rsidR="00E74948" w:rsidRPr="00900ADE">
        <w:t xml:space="preserve">attempt to </w:t>
      </w:r>
      <w:r w:rsidR="00A01444" w:rsidRPr="00900ADE">
        <w:t>stem the losses of other staff who may have similar concerns</w:t>
      </w:r>
      <w:r w:rsidR="181DE90B" w:rsidRPr="00900ADE">
        <w:t xml:space="preserve">. </w:t>
      </w:r>
    </w:p>
    <w:p w14:paraId="3BA9DB66" w14:textId="105B8C16" w:rsidR="00B827DE" w:rsidRPr="00900ADE" w:rsidRDefault="00444346" w:rsidP="00E33DAF">
      <w:pPr>
        <w:pStyle w:val="Heading3"/>
        <w:tabs>
          <w:tab w:val="left" w:pos="2393"/>
        </w:tabs>
        <w:rPr>
          <w:szCs w:val="28"/>
        </w:rPr>
      </w:pPr>
      <w:bookmarkStart w:id="56" w:name="_Staffing_1"/>
      <w:bookmarkEnd w:id="56"/>
      <w:r w:rsidRPr="00900ADE">
        <w:t>Staffing</w:t>
      </w:r>
    </w:p>
    <w:p w14:paraId="2D019B73" w14:textId="1BC268E2" w:rsidR="0079587E" w:rsidRPr="00900ADE" w:rsidRDefault="06728D98" w:rsidP="008327C3">
      <w:pPr>
        <w:pStyle w:val="BodyTextposthead"/>
      </w:pPr>
      <w:r w:rsidRPr="00900ADE">
        <w:t>District leaders</w:t>
      </w:r>
      <w:r w:rsidR="65C5D853" w:rsidRPr="00900ADE">
        <w:t xml:space="preserve"> </w:t>
      </w:r>
      <w:r w:rsidR="6E23C4DA" w:rsidRPr="00900ADE">
        <w:t>provided a clear p</w:t>
      </w:r>
      <w:r w:rsidR="31E11B75" w:rsidRPr="00900ADE">
        <w:t>ic</w:t>
      </w:r>
      <w:r w:rsidR="6E23C4DA" w:rsidRPr="00900ADE">
        <w:t xml:space="preserve">ture of the </w:t>
      </w:r>
      <w:r w:rsidR="65C5D853" w:rsidRPr="00900ADE">
        <w:t xml:space="preserve">policies and processes in place to </w:t>
      </w:r>
      <w:r w:rsidR="3D41BE5B" w:rsidRPr="00900ADE">
        <w:t>recruit, hire, and onboard</w:t>
      </w:r>
      <w:r w:rsidR="65C5D853" w:rsidRPr="00900ADE">
        <w:t xml:space="preserve"> new staff. </w:t>
      </w:r>
      <w:r w:rsidR="5BC32EDA" w:rsidRPr="00900ADE">
        <w:t>T</w:t>
      </w:r>
      <w:r w:rsidR="5B50A17A" w:rsidRPr="00900ADE">
        <w:t xml:space="preserve">he </w:t>
      </w:r>
      <w:r w:rsidR="32120891" w:rsidRPr="00900ADE">
        <w:t xml:space="preserve">process begins with </w:t>
      </w:r>
      <w:r w:rsidR="0089479F" w:rsidRPr="00900ADE">
        <w:t xml:space="preserve">the </w:t>
      </w:r>
      <w:r w:rsidR="006650B2" w:rsidRPr="00900ADE">
        <w:t xml:space="preserve">human resources </w:t>
      </w:r>
      <w:r w:rsidR="65C5D853" w:rsidRPr="00900ADE">
        <w:t xml:space="preserve">manager </w:t>
      </w:r>
      <w:r w:rsidR="5B50A17A" w:rsidRPr="00900ADE">
        <w:t>work</w:t>
      </w:r>
      <w:r w:rsidR="16946775" w:rsidRPr="00900ADE">
        <w:t>ing</w:t>
      </w:r>
      <w:r w:rsidR="65C5D853" w:rsidRPr="00900ADE">
        <w:t xml:space="preserve"> with hiring managers</w:t>
      </w:r>
      <w:r w:rsidR="6F4C4E31" w:rsidRPr="00900ADE">
        <w:t>, who are usually principals,</w:t>
      </w:r>
      <w:r w:rsidR="65C5D853" w:rsidRPr="00900ADE">
        <w:t xml:space="preserve"> to post jobs and assist with recruiting. The hiring managers conduct interviews</w:t>
      </w:r>
      <w:r w:rsidR="006650B2" w:rsidRPr="00900ADE">
        <w:t>,</w:t>
      </w:r>
      <w:r w:rsidR="65C5D853" w:rsidRPr="00900ADE">
        <w:t xml:space="preserve"> and the superintendent meets with the final</w:t>
      </w:r>
      <w:r w:rsidR="52C8EF35" w:rsidRPr="00900ADE">
        <w:t xml:space="preserve"> </w:t>
      </w:r>
      <w:r w:rsidR="35FC0DA3" w:rsidRPr="00900ADE">
        <w:t>candidate</w:t>
      </w:r>
      <w:r w:rsidR="66301BFA" w:rsidRPr="00900ADE">
        <w:t xml:space="preserve"> recommended by </w:t>
      </w:r>
      <w:r w:rsidR="00AD4557">
        <w:t>each</w:t>
      </w:r>
      <w:r w:rsidR="00AD4557" w:rsidRPr="00900ADE">
        <w:t xml:space="preserve"> </w:t>
      </w:r>
      <w:r w:rsidR="66301BFA" w:rsidRPr="00900ADE">
        <w:t>principal</w:t>
      </w:r>
      <w:r w:rsidR="65C5D853" w:rsidRPr="00900ADE">
        <w:t xml:space="preserve">. </w:t>
      </w:r>
      <w:r w:rsidR="4F62EA3B" w:rsidRPr="00900ADE">
        <w:t xml:space="preserve">School leaders </w:t>
      </w:r>
      <w:r w:rsidR="0094044A" w:rsidRPr="00900ADE">
        <w:t>confirmed the process outlined by district leaders and</w:t>
      </w:r>
      <w:r w:rsidR="4F62EA3B" w:rsidRPr="00900ADE">
        <w:t xml:space="preserve"> agreed that they have </w:t>
      </w:r>
      <w:r w:rsidR="00AD4557">
        <w:t xml:space="preserve">primary </w:t>
      </w:r>
      <w:r w:rsidR="4F62EA3B" w:rsidRPr="00900ADE">
        <w:t>responsibility for hiring people in their buildings</w:t>
      </w:r>
      <w:r w:rsidR="5793F9D3" w:rsidRPr="00900ADE">
        <w:t xml:space="preserve">. </w:t>
      </w:r>
      <w:r w:rsidR="2F28A9F1" w:rsidRPr="00900ADE">
        <w:t>In terms of using data, district leaders described</w:t>
      </w:r>
      <w:r w:rsidR="6B3410D4" w:rsidRPr="00900ADE">
        <w:t xml:space="preserve"> using </w:t>
      </w:r>
      <w:r w:rsidR="380B7852" w:rsidRPr="00900ADE">
        <w:t xml:space="preserve">information </w:t>
      </w:r>
      <w:r w:rsidR="6B3410D4" w:rsidRPr="00900ADE">
        <w:t>a</w:t>
      </w:r>
      <w:r w:rsidR="45C759E6" w:rsidRPr="00900ADE">
        <w:t>bout</w:t>
      </w:r>
      <w:r w:rsidR="6B3410D4" w:rsidRPr="00900ADE">
        <w:t xml:space="preserve"> the grade</w:t>
      </w:r>
      <w:r w:rsidR="006650B2" w:rsidRPr="00900ADE">
        <w:t xml:space="preserve"> </w:t>
      </w:r>
      <w:r w:rsidR="6B3410D4" w:rsidRPr="00900ADE">
        <w:t xml:space="preserve">levels of </w:t>
      </w:r>
      <w:r w:rsidR="001946F2" w:rsidRPr="00900ADE">
        <w:t>S</w:t>
      </w:r>
      <w:r w:rsidR="6B3410D4" w:rsidRPr="00900ADE">
        <w:t xml:space="preserve">tudents with </w:t>
      </w:r>
      <w:r w:rsidR="001946F2" w:rsidRPr="00900ADE">
        <w:t>D</w:t>
      </w:r>
      <w:r w:rsidR="6B3410D4" w:rsidRPr="00900ADE">
        <w:t xml:space="preserve">isabilities and English </w:t>
      </w:r>
      <w:r w:rsidR="001946F2" w:rsidRPr="00900ADE">
        <w:t>L</w:t>
      </w:r>
      <w:r w:rsidR="6B3410D4" w:rsidRPr="00900ADE">
        <w:t xml:space="preserve">earners to </w:t>
      </w:r>
      <w:r w:rsidR="2F28A9F1" w:rsidRPr="00900ADE">
        <w:t>project</w:t>
      </w:r>
      <w:r w:rsidR="33D2FA48" w:rsidRPr="00900ADE">
        <w:t xml:space="preserve"> </w:t>
      </w:r>
      <w:r w:rsidR="2F28A9F1" w:rsidRPr="00900ADE">
        <w:t>needs for additional student services</w:t>
      </w:r>
      <w:r w:rsidR="5642EA54" w:rsidRPr="00900ADE">
        <w:t xml:space="preserve"> as students advance to different sc</w:t>
      </w:r>
      <w:r w:rsidR="548A955F" w:rsidRPr="00900ADE">
        <w:t>hool buildings.</w:t>
      </w:r>
    </w:p>
    <w:p w14:paraId="5851DC87" w14:textId="7AFDFC19" w:rsidR="65C5D853" w:rsidRPr="00900ADE" w:rsidRDefault="020EA115" w:rsidP="008327C3">
      <w:pPr>
        <w:pStyle w:val="BodyText"/>
        <w:rPr>
          <w:rFonts w:eastAsia="Franklin Gothic Book" w:cs="Franklin Gothic Book"/>
          <w:color w:val="ED0000"/>
        </w:rPr>
      </w:pPr>
      <w:r w:rsidRPr="00900ADE">
        <w:t xml:space="preserve">District leaders </w:t>
      </w:r>
      <w:r w:rsidR="005E46DE">
        <w:t xml:space="preserve">described changes to staffing priorities resulting from the </w:t>
      </w:r>
      <w:r w:rsidR="00535EA2" w:rsidRPr="00900ADE">
        <w:t xml:space="preserve">University of Massachusetts–Boston </w:t>
      </w:r>
      <w:r w:rsidR="005E46DE">
        <w:t>report</w:t>
      </w:r>
      <w:r w:rsidR="00D2665D">
        <w:t>,</w:t>
      </w:r>
      <w:r w:rsidR="00535EA2">
        <w:t xml:space="preserve"> in addition to changes to the</w:t>
      </w:r>
      <w:r w:rsidR="002128B6">
        <w:t xml:space="preserve"> structure of the</w:t>
      </w:r>
      <w:r w:rsidR="00535EA2">
        <w:t xml:space="preserve"> human resources office.</w:t>
      </w:r>
      <w:r w:rsidR="005E46DE" w:rsidRPr="00900ADE">
        <w:t xml:space="preserve"> </w:t>
      </w:r>
      <w:r w:rsidR="002128B6">
        <w:t>The report</w:t>
      </w:r>
      <w:r w:rsidRPr="00900ADE">
        <w:t xml:space="preserve"> highlight</w:t>
      </w:r>
      <w:r w:rsidR="006650B2" w:rsidRPr="00900ADE">
        <w:t>ed</w:t>
      </w:r>
      <w:r w:rsidRPr="00900ADE">
        <w:t xml:space="preserve"> the </w:t>
      </w:r>
      <w:r w:rsidR="1035DF86" w:rsidRPr="00900ADE">
        <w:t xml:space="preserve">fact </w:t>
      </w:r>
      <w:r w:rsidRPr="00900ADE">
        <w:t>that the staff does not reflect the student body</w:t>
      </w:r>
      <w:r w:rsidR="006650B2" w:rsidRPr="00900ADE">
        <w:t xml:space="preserve">, which </w:t>
      </w:r>
      <w:r w:rsidR="00441399">
        <w:t>was</w:t>
      </w:r>
      <w:r w:rsidR="00441399" w:rsidRPr="00900ADE">
        <w:t xml:space="preserve"> </w:t>
      </w:r>
      <w:r w:rsidRPr="00900ADE">
        <w:t>“incredibly painful for the community</w:t>
      </w:r>
      <w:r w:rsidR="00441399">
        <w:t>,</w:t>
      </w:r>
      <w:r w:rsidRPr="00900ADE">
        <w:t>”</w:t>
      </w:r>
      <w:r w:rsidR="00441399">
        <w:t xml:space="preserve"> </w:t>
      </w:r>
      <w:r w:rsidR="00D04E2A">
        <w:t>a</w:t>
      </w:r>
      <w:r w:rsidR="00441399">
        <w:t>ccording to one district leader.</w:t>
      </w:r>
      <w:r w:rsidRPr="00900ADE">
        <w:t xml:space="preserve"> As a result, </w:t>
      </w:r>
      <w:r w:rsidR="00D2665D">
        <w:t>the</w:t>
      </w:r>
      <w:r w:rsidR="00D2665D" w:rsidRPr="00900ADE">
        <w:t xml:space="preserve"> </w:t>
      </w:r>
      <w:r w:rsidR="1F6E60EE" w:rsidRPr="00900ADE">
        <w:t xml:space="preserve">Medway Public Schools Equity Plan, which was presented to the </w:t>
      </w:r>
      <w:r w:rsidR="006650B2" w:rsidRPr="00900ADE">
        <w:t>s</w:t>
      </w:r>
      <w:r w:rsidR="1F6E60EE" w:rsidRPr="00900ADE">
        <w:t xml:space="preserve">chool </w:t>
      </w:r>
      <w:r w:rsidR="006650B2" w:rsidRPr="00900ADE">
        <w:t>c</w:t>
      </w:r>
      <w:r w:rsidR="1F6E60EE" w:rsidRPr="00900ADE">
        <w:t xml:space="preserve">ommittee on June </w:t>
      </w:r>
      <w:r w:rsidR="215C665A" w:rsidRPr="00900ADE">
        <w:t>15, 2023, identifie</w:t>
      </w:r>
      <w:r w:rsidR="00716172" w:rsidRPr="00900ADE">
        <w:t>d</w:t>
      </w:r>
      <w:r w:rsidR="215C665A" w:rsidRPr="00900ADE">
        <w:t xml:space="preserve"> employing and retaining</w:t>
      </w:r>
      <w:r w:rsidR="1367BF25" w:rsidRPr="00900ADE">
        <w:t xml:space="preserve"> a diverse faculty and staff as the first objective under </w:t>
      </w:r>
      <w:r w:rsidR="006650B2" w:rsidRPr="00900ADE">
        <w:t xml:space="preserve">the third </w:t>
      </w:r>
      <w:r w:rsidR="1367BF25" w:rsidRPr="00900ADE">
        <w:t>priority</w:t>
      </w:r>
      <w:r w:rsidR="4B23DAFC" w:rsidRPr="00900ADE">
        <w:t xml:space="preserve">: Develop a </w:t>
      </w:r>
      <w:r w:rsidR="07C3B959" w:rsidRPr="00900ADE">
        <w:t>p</w:t>
      </w:r>
      <w:r w:rsidR="4B23DAFC" w:rsidRPr="00900ADE">
        <w:t xml:space="preserve">rofessional </w:t>
      </w:r>
      <w:r w:rsidR="044C33BD" w:rsidRPr="00900ADE">
        <w:t>c</w:t>
      </w:r>
      <w:r w:rsidR="4B23DAFC" w:rsidRPr="00900ADE">
        <w:t xml:space="preserve">limate </w:t>
      </w:r>
      <w:r w:rsidR="006650B2" w:rsidRPr="00900ADE">
        <w:t xml:space="preserve">in which </w:t>
      </w:r>
      <w:r w:rsidR="59A581CA" w:rsidRPr="00900ADE">
        <w:t xml:space="preserve">adult and student diversity and perspectives are valued. </w:t>
      </w:r>
      <w:r w:rsidR="1F6E60EE" w:rsidRPr="00900ADE">
        <w:t>(</w:t>
      </w:r>
      <w:r w:rsidR="00791DFF" w:rsidRPr="00900ADE">
        <w:t>C</w:t>
      </w:r>
      <w:r w:rsidR="004E593F" w:rsidRPr="00900ADE">
        <w:t xml:space="preserve">urrently, according to DESE data, </w:t>
      </w:r>
      <w:r w:rsidR="00834218">
        <w:rPr>
          <w:rFonts w:eastAsia="Aptos Narrow" w:cs="Aptos Narrow"/>
        </w:rPr>
        <w:t>10</w:t>
      </w:r>
      <w:r w:rsidR="004E593F" w:rsidRPr="00900ADE">
        <w:rPr>
          <w:rFonts w:eastAsia="Aptos Narrow" w:cs="Aptos Narrow"/>
        </w:rPr>
        <w:t xml:space="preserve"> percent of the district’s students are Hispanic</w:t>
      </w:r>
      <w:r w:rsidR="005412F6">
        <w:rPr>
          <w:rFonts w:eastAsia="Aptos Narrow" w:cs="Aptos Narrow"/>
        </w:rPr>
        <w:t xml:space="preserve"> or Latino</w:t>
      </w:r>
      <w:r w:rsidR="006650B2" w:rsidRPr="00900ADE">
        <w:rPr>
          <w:rFonts w:eastAsia="Aptos Narrow" w:cs="Aptos Narrow"/>
        </w:rPr>
        <w:t>,</w:t>
      </w:r>
      <w:r w:rsidR="004E593F" w:rsidRPr="00900ADE">
        <w:rPr>
          <w:rFonts w:eastAsia="Aptos Narrow" w:cs="Aptos Narrow"/>
        </w:rPr>
        <w:t xml:space="preserve"> </w:t>
      </w:r>
      <w:r w:rsidR="006650B2" w:rsidRPr="00900ADE">
        <w:rPr>
          <w:rFonts w:eastAsia="Aptos Narrow" w:cs="Aptos Narrow"/>
        </w:rPr>
        <w:t xml:space="preserve">but only </w:t>
      </w:r>
      <w:r w:rsidR="00834218">
        <w:rPr>
          <w:rFonts w:eastAsia="Aptos Narrow" w:cs="Aptos Narrow"/>
        </w:rPr>
        <w:t>2</w:t>
      </w:r>
      <w:r w:rsidR="004E593F" w:rsidRPr="00900ADE">
        <w:rPr>
          <w:rFonts w:eastAsia="Aptos Narrow" w:cs="Aptos Narrow"/>
        </w:rPr>
        <w:t xml:space="preserve"> percent of </w:t>
      </w:r>
      <w:r w:rsidR="006650B2" w:rsidRPr="00900ADE">
        <w:rPr>
          <w:rFonts w:eastAsia="Aptos Narrow" w:cs="Aptos Narrow"/>
        </w:rPr>
        <w:t xml:space="preserve">the </w:t>
      </w:r>
      <w:r w:rsidR="004E593F" w:rsidRPr="00900ADE">
        <w:rPr>
          <w:rFonts w:eastAsia="Aptos Narrow" w:cs="Aptos Narrow"/>
        </w:rPr>
        <w:t>teachers are Hispanic</w:t>
      </w:r>
      <w:r w:rsidR="005412F6">
        <w:rPr>
          <w:rFonts w:eastAsia="Aptos Narrow" w:cs="Aptos Narrow"/>
        </w:rPr>
        <w:t xml:space="preserve"> or Latino</w:t>
      </w:r>
      <w:r w:rsidR="00834218">
        <w:rPr>
          <w:rFonts w:eastAsia="Aptos Narrow" w:cs="Aptos Narrow"/>
        </w:rPr>
        <w:t xml:space="preserve"> as 2025</w:t>
      </w:r>
      <w:r w:rsidR="004E593F" w:rsidRPr="00900ADE">
        <w:rPr>
          <w:rFonts w:eastAsia="Aptos Narrow" w:cs="Aptos Narrow"/>
        </w:rPr>
        <w:t xml:space="preserve">, with no Hispanic </w:t>
      </w:r>
      <w:r w:rsidR="00995E9B">
        <w:rPr>
          <w:rFonts w:eastAsia="Aptos Narrow" w:cs="Aptos Narrow"/>
        </w:rPr>
        <w:t xml:space="preserve">or Latino </w:t>
      </w:r>
      <w:r w:rsidR="004E593F" w:rsidRPr="00900ADE">
        <w:rPr>
          <w:rFonts w:eastAsia="Aptos Narrow" w:cs="Aptos Narrow"/>
        </w:rPr>
        <w:t>administrators</w:t>
      </w:r>
      <w:r w:rsidR="00834218">
        <w:rPr>
          <w:rFonts w:eastAsia="Aptos Narrow" w:cs="Aptos Narrow"/>
        </w:rPr>
        <w:t xml:space="preserve"> as </w:t>
      </w:r>
      <w:r w:rsidR="00FF4C1A">
        <w:rPr>
          <w:rFonts w:eastAsia="Aptos Narrow" w:cs="Aptos Narrow"/>
        </w:rPr>
        <w:t>o</w:t>
      </w:r>
      <w:r w:rsidR="00834218">
        <w:rPr>
          <w:rFonts w:eastAsia="Aptos Narrow" w:cs="Aptos Narrow"/>
        </w:rPr>
        <w:t>f 2023</w:t>
      </w:r>
      <w:r w:rsidR="00CC4CC7" w:rsidRPr="00900ADE">
        <w:rPr>
          <w:rFonts w:eastAsia="Aptos Narrow" w:cs="Aptos Narrow"/>
        </w:rPr>
        <w:t>.</w:t>
      </w:r>
      <w:r w:rsidR="00791DFF" w:rsidRPr="00900ADE">
        <w:rPr>
          <w:rFonts w:eastAsia="Aptos Narrow" w:cs="Aptos Narrow"/>
        </w:rPr>
        <w:t xml:space="preserve">) </w:t>
      </w:r>
      <w:r w:rsidR="00CC4CC7" w:rsidRPr="00900ADE">
        <w:t>T</w:t>
      </w:r>
      <w:r w:rsidR="65C5D853" w:rsidRPr="00900ADE">
        <w:t xml:space="preserve">he district </w:t>
      </w:r>
      <w:r w:rsidR="006650B2" w:rsidRPr="00900ADE">
        <w:t>is trying</w:t>
      </w:r>
      <w:r w:rsidR="65C5D853" w:rsidRPr="00900ADE">
        <w:t xml:space="preserve"> to expand its recruiting efforts </w:t>
      </w:r>
      <w:r w:rsidR="004E593F" w:rsidRPr="00900ADE">
        <w:t>to diversify i</w:t>
      </w:r>
      <w:r w:rsidR="001E1EC4" w:rsidRPr="00900ADE">
        <w:t xml:space="preserve">ts staff </w:t>
      </w:r>
      <w:r w:rsidR="65C5D853" w:rsidRPr="00900ADE">
        <w:t xml:space="preserve">by attending different job fairs and more actively reaching out to local state colleges and universities. </w:t>
      </w:r>
      <w:r w:rsidR="00C22DE8" w:rsidRPr="00900ADE">
        <w:t>District and school leaders</w:t>
      </w:r>
      <w:r w:rsidR="004B4C01" w:rsidRPr="00900ADE">
        <w:t xml:space="preserve"> and teacher</w:t>
      </w:r>
      <w:r w:rsidR="00890F11" w:rsidRPr="00900ADE">
        <w:t xml:space="preserve"> </w:t>
      </w:r>
      <w:r w:rsidR="31ABDACD" w:rsidRPr="00900ADE">
        <w:rPr>
          <w:rFonts w:eastAsiaTheme="minorEastAsia"/>
          <w:color w:val="000000" w:themeColor="text1"/>
        </w:rPr>
        <w:t>f</w:t>
      </w:r>
      <w:r w:rsidR="65C5D853" w:rsidRPr="00900ADE">
        <w:t xml:space="preserve">ocus group participants reported </w:t>
      </w:r>
      <w:r w:rsidR="00FA6FE7" w:rsidRPr="00900ADE">
        <w:t xml:space="preserve">continued </w:t>
      </w:r>
      <w:r w:rsidR="65C5D853" w:rsidRPr="00900ADE">
        <w:t>challenges with recruiting diverse candidates</w:t>
      </w:r>
      <w:r w:rsidR="0021729A" w:rsidRPr="00900ADE">
        <w:t xml:space="preserve">, </w:t>
      </w:r>
      <w:r w:rsidR="006650B2" w:rsidRPr="00900ADE">
        <w:t xml:space="preserve">and </w:t>
      </w:r>
      <w:r w:rsidR="0021729A" w:rsidRPr="00900ADE">
        <w:t xml:space="preserve">several respondents reported </w:t>
      </w:r>
      <w:r w:rsidR="006650B2" w:rsidRPr="00900ADE">
        <w:t>that such recruitment i</w:t>
      </w:r>
      <w:r w:rsidR="0021729A" w:rsidRPr="00900ADE">
        <w:t xml:space="preserve">s </w:t>
      </w:r>
      <w:r w:rsidR="00B2508A" w:rsidRPr="00900ADE">
        <w:t>still a current goal</w:t>
      </w:r>
      <w:r w:rsidR="65C5D853" w:rsidRPr="00900ADE">
        <w:t xml:space="preserve">. </w:t>
      </w:r>
      <w:r w:rsidR="65C5D853" w:rsidRPr="00F619D5">
        <w:rPr>
          <w:rFonts w:eastAsia="Aptos Narrow" w:cs="Aptos Narrow"/>
        </w:rPr>
        <w:t>Diversifying</w:t>
      </w:r>
      <w:r w:rsidR="65C5D853" w:rsidRPr="00F619D5">
        <w:rPr>
          <w:rFonts w:eastAsia="Franklin Gothic Book" w:cs="Franklin Gothic Book"/>
        </w:rPr>
        <w:t xml:space="preserve"> the </w:t>
      </w:r>
      <w:r w:rsidR="6EB1CF46" w:rsidRPr="00F619D5">
        <w:rPr>
          <w:rFonts w:eastAsia="Franklin Gothic Book" w:cs="Franklin Gothic Book"/>
        </w:rPr>
        <w:t>staff</w:t>
      </w:r>
      <w:r w:rsidR="00444053" w:rsidRPr="00F619D5">
        <w:rPr>
          <w:rFonts w:eastAsia="Franklin Gothic Book" w:cs="Franklin Gothic Book"/>
        </w:rPr>
        <w:t>, including teachers and leaders,</w:t>
      </w:r>
      <w:r w:rsidR="65C5D853" w:rsidRPr="00F619D5">
        <w:rPr>
          <w:rFonts w:eastAsia="Franklin Gothic Book" w:cs="Franklin Gothic Book"/>
        </w:rPr>
        <w:t xml:space="preserve"> to be more reflective of the student body is an area for growth.</w:t>
      </w:r>
    </w:p>
    <w:p w14:paraId="6F069BEB" w14:textId="47DB2028" w:rsidR="00064006" w:rsidRPr="00900ADE" w:rsidRDefault="00E023CE" w:rsidP="008327C3">
      <w:pPr>
        <w:pStyle w:val="BodyText"/>
      </w:pPr>
      <w:r w:rsidRPr="00900ADE">
        <w:t xml:space="preserve">Despite efforts to move more </w:t>
      </w:r>
      <w:r w:rsidR="00B554F4">
        <w:t>human resources processes</w:t>
      </w:r>
      <w:r w:rsidR="00B554F4" w:rsidRPr="00900ADE">
        <w:t xml:space="preserve"> </w:t>
      </w:r>
      <w:r w:rsidRPr="00900ADE">
        <w:t xml:space="preserve">online, </w:t>
      </w:r>
      <w:r w:rsidR="009F1D16" w:rsidRPr="00900ADE">
        <w:t xml:space="preserve">district leaders stated that </w:t>
      </w:r>
      <w:r w:rsidRPr="00900ADE">
        <w:t>o</w:t>
      </w:r>
      <w:r w:rsidR="00903C2B" w:rsidRPr="00900ADE">
        <w:t xml:space="preserve">nboarding </w:t>
      </w:r>
      <w:r w:rsidR="006136BC">
        <w:t>remains paper-based</w:t>
      </w:r>
      <w:r w:rsidR="004F1E22" w:rsidRPr="00900ADE">
        <w:t xml:space="preserve">. </w:t>
      </w:r>
      <w:r w:rsidR="009F1D16" w:rsidRPr="00900ADE">
        <w:t>After completing the onboarding process</w:t>
      </w:r>
      <w:r w:rsidR="00467459" w:rsidRPr="00900ADE">
        <w:t>, i</w:t>
      </w:r>
      <w:r w:rsidR="35FC0DA3" w:rsidRPr="00900ADE">
        <w:t xml:space="preserve">f the person is hired prior to the start of the </w:t>
      </w:r>
      <w:r w:rsidR="009F1D16" w:rsidRPr="00900ADE">
        <w:t xml:space="preserve">school </w:t>
      </w:r>
      <w:r w:rsidR="35FC0DA3" w:rsidRPr="00900ADE">
        <w:t xml:space="preserve">year, they attend a two-day staff orientation in August led by the assistant superintendent. </w:t>
      </w:r>
      <w:r w:rsidR="54B480B1" w:rsidRPr="00900ADE">
        <w:t xml:space="preserve">All district staff and building leaders attend </w:t>
      </w:r>
      <w:r w:rsidR="106ABB8E" w:rsidRPr="00900ADE">
        <w:t xml:space="preserve">at least </w:t>
      </w:r>
      <w:r w:rsidR="54B480B1" w:rsidRPr="00900ADE">
        <w:t>part of the orientation</w:t>
      </w:r>
      <w:r w:rsidR="009102D8" w:rsidRPr="00900ADE">
        <w:t xml:space="preserve"> to </w:t>
      </w:r>
      <w:r w:rsidR="00782731" w:rsidRPr="00900ADE">
        <w:t>begin building connections between new and returning staff</w:t>
      </w:r>
      <w:r w:rsidR="54B480B1" w:rsidRPr="00900ADE">
        <w:t xml:space="preserve">. </w:t>
      </w:r>
      <w:r w:rsidR="35FC0DA3" w:rsidRPr="00900ADE">
        <w:t xml:space="preserve">According to </w:t>
      </w:r>
      <w:r w:rsidR="2960708E" w:rsidRPr="00900ADE">
        <w:t>an onboarding presentation provided by the district</w:t>
      </w:r>
      <w:r w:rsidR="75178CE3" w:rsidRPr="00900ADE">
        <w:t>, t</w:t>
      </w:r>
      <w:r w:rsidR="35FC0DA3" w:rsidRPr="00900ADE">
        <w:t>he agenda include</w:t>
      </w:r>
      <w:r w:rsidR="009F1D16" w:rsidRPr="00900ADE">
        <w:t>s</w:t>
      </w:r>
      <w:r w:rsidR="35FC0DA3" w:rsidRPr="00900ADE">
        <w:t xml:space="preserve"> the district’s values and priorities, followed by information about human resources, wellness, student support, supervision, evaluation, and equity. </w:t>
      </w:r>
      <w:r w:rsidR="00363253" w:rsidRPr="00900ADE">
        <w:t>At the start of the 2024-</w:t>
      </w:r>
      <w:r w:rsidR="00B0694E" w:rsidRPr="00900ADE">
        <w:t>20</w:t>
      </w:r>
      <w:r w:rsidR="00363253" w:rsidRPr="00900ADE">
        <w:t>25 school year</w:t>
      </w:r>
      <w:r w:rsidR="0DE86221" w:rsidRPr="00900ADE">
        <w:t xml:space="preserve">, the district also developed an onboarding process for staff hired after the school year begins, which </w:t>
      </w:r>
      <w:r w:rsidR="009F1D16" w:rsidRPr="00900ADE">
        <w:t xml:space="preserve">was </w:t>
      </w:r>
      <w:r w:rsidR="00A91C03" w:rsidRPr="00900ADE">
        <w:t xml:space="preserve">a </w:t>
      </w:r>
      <w:r w:rsidR="002540F9" w:rsidRPr="00900ADE">
        <w:t>major need</w:t>
      </w:r>
      <w:r w:rsidR="0DE86221" w:rsidRPr="00900ADE">
        <w:t xml:space="preserve"> according to district leaders</w:t>
      </w:r>
      <w:r w:rsidR="547F156C" w:rsidRPr="00900ADE">
        <w:t xml:space="preserve">. </w:t>
      </w:r>
      <w:r w:rsidR="6684A253" w:rsidRPr="00900ADE">
        <w:t xml:space="preserve">The district </w:t>
      </w:r>
      <w:r w:rsidR="60B0FD81" w:rsidRPr="00900ADE">
        <w:t xml:space="preserve">also </w:t>
      </w:r>
      <w:r w:rsidR="6684A253" w:rsidRPr="00900ADE">
        <w:t>offers a mentoring program to help support new hires.</w:t>
      </w:r>
    </w:p>
    <w:p w14:paraId="758DFDD3" w14:textId="2D80555C" w:rsidR="28CBCA21" w:rsidRPr="00900ADE" w:rsidRDefault="686F45B1" w:rsidP="008327C3">
      <w:pPr>
        <w:pStyle w:val="BodyText"/>
        <w:rPr>
          <w:color w:val="000000" w:themeColor="text1"/>
        </w:rPr>
      </w:pPr>
      <w:r w:rsidRPr="00900ADE">
        <w:t>District staff described the district’s approach to educator evaluation as following DESE’s model for evaluation language</w:t>
      </w:r>
      <w:r w:rsidR="009F1D16" w:rsidRPr="00900ADE">
        <w:t>,</w:t>
      </w:r>
      <w:r w:rsidRPr="00900ADE">
        <w:t xml:space="preserve"> standards, </w:t>
      </w:r>
      <w:r w:rsidR="009F1D16" w:rsidRPr="00900ADE">
        <w:t xml:space="preserve">and </w:t>
      </w:r>
      <w:r w:rsidRPr="00900ADE">
        <w:t xml:space="preserve">indicators. According to DESE data, </w:t>
      </w:r>
      <w:r w:rsidRPr="00900ADE">
        <w:rPr>
          <w:rFonts w:eastAsia="Aptos Narrow" w:cs="Aptos Narrow"/>
        </w:rPr>
        <w:t xml:space="preserve">5.9 percent of evaluated educators </w:t>
      </w:r>
      <w:r w:rsidR="008E284A" w:rsidRPr="00900ADE">
        <w:rPr>
          <w:rFonts w:eastAsia="Aptos Narrow" w:cs="Aptos Narrow"/>
        </w:rPr>
        <w:t xml:space="preserve">in Medway </w:t>
      </w:r>
      <w:r w:rsidRPr="00900ADE">
        <w:rPr>
          <w:rFonts w:eastAsia="Aptos Narrow" w:cs="Aptos Narrow"/>
        </w:rPr>
        <w:t>were rated as “needs improvement,” which is twice the state rate of 2.7</w:t>
      </w:r>
      <w:r w:rsidR="009F1D16" w:rsidRPr="00900ADE">
        <w:rPr>
          <w:rFonts w:eastAsia="Aptos Narrow" w:cs="Aptos Narrow"/>
        </w:rPr>
        <w:t> </w:t>
      </w:r>
      <w:r w:rsidRPr="00900ADE">
        <w:rPr>
          <w:rFonts w:eastAsia="Aptos Narrow" w:cs="Aptos Narrow"/>
        </w:rPr>
        <w:t>percent. District leaders attributed this discrepancy to the fact that they have high expectations of their teachers</w:t>
      </w:r>
      <w:r w:rsidR="009F1D16" w:rsidRPr="00900ADE">
        <w:rPr>
          <w:rFonts w:eastAsia="Aptos Narrow" w:cs="Aptos Narrow"/>
        </w:rPr>
        <w:t>,</w:t>
      </w:r>
      <w:r w:rsidRPr="00900ADE">
        <w:rPr>
          <w:rFonts w:eastAsia="Aptos Narrow" w:cs="Aptos Narrow"/>
        </w:rPr>
        <w:t xml:space="preserve"> and </w:t>
      </w:r>
      <w:r w:rsidR="009F1D16" w:rsidRPr="00900ADE">
        <w:rPr>
          <w:rFonts w:eastAsia="Aptos Narrow" w:cs="Aptos Narrow"/>
        </w:rPr>
        <w:t xml:space="preserve">they </w:t>
      </w:r>
      <w:r w:rsidRPr="00900ADE">
        <w:rPr>
          <w:rFonts w:eastAsia="Aptos Narrow" w:cs="Aptos Narrow"/>
        </w:rPr>
        <w:t>are not willing to mark everyone as proficient.</w:t>
      </w:r>
      <w:r w:rsidRPr="00900ADE">
        <w:t xml:space="preserve"> </w:t>
      </w:r>
      <w:r w:rsidR="09A6C248" w:rsidRPr="00900ADE">
        <w:t xml:space="preserve">In contrast, several </w:t>
      </w:r>
      <w:r w:rsidR="09A6C248" w:rsidRPr="00900ADE">
        <w:lastRenderedPageBreak/>
        <w:t>educators attributed the lower ratings to a “l</w:t>
      </w:r>
      <w:r w:rsidR="09A6C248" w:rsidRPr="00900ADE">
        <w:rPr>
          <w:color w:val="000000" w:themeColor="text1"/>
        </w:rPr>
        <w:t>ack of support</w:t>
      </w:r>
      <w:r w:rsidR="28C4A160" w:rsidRPr="00900ADE">
        <w:rPr>
          <w:color w:val="000000" w:themeColor="text1"/>
        </w:rPr>
        <w:t xml:space="preserve">” with difficult classrooms, sometimes with multiple students who struggle </w:t>
      </w:r>
      <w:r w:rsidR="00263570" w:rsidRPr="00900ADE">
        <w:rPr>
          <w:color w:val="000000" w:themeColor="text1"/>
        </w:rPr>
        <w:t xml:space="preserve">with </w:t>
      </w:r>
      <w:r w:rsidR="28C4A160" w:rsidRPr="00900ADE">
        <w:rPr>
          <w:color w:val="000000" w:themeColor="text1"/>
        </w:rPr>
        <w:t>behavior</w:t>
      </w:r>
      <w:r w:rsidR="00263570" w:rsidRPr="00900ADE">
        <w:rPr>
          <w:color w:val="000000" w:themeColor="text1"/>
        </w:rPr>
        <w:t xml:space="preserve"> issues</w:t>
      </w:r>
      <w:r w:rsidR="28C4A160" w:rsidRPr="00900ADE">
        <w:rPr>
          <w:color w:val="000000" w:themeColor="text1"/>
        </w:rPr>
        <w:t>.</w:t>
      </w:r>
    </w:p>
    <w:p w14:paraId="474A9480" w14:textId="50E02CF7" w:rsidR="28CBCA21" w:rsidRPr="00900ADE" w:rsidRDefault="28CBCA21" w:rsidP="008327C3">
      <w:pPr>
        <w:pStyle w:val="BodyText"/>
      </w:pPr>
      <w:r w:rsidRPr="00900ADE">
        <w:t xml:space="preserve">District records suggest that teacher evaluations are consistently completed using Vector Solutions. AIR used simple random sampling to select the sample of 10 percent of 109 teachers (11 teachers) due for summative evaluations for the 2023-2024 school year. All teachers selected for review </w:t>
      </w:r>
      <w:r w:rsidR="009F1D16" w:rsidRPr="00900ADE">
        <w:t xml:space="preserve">(100 percent) </w:t>
      </w:r>
      <w:r w:rsidRPr="00900ADE">
        <w:t xml:space="preserve">had a summative evaluation available for review. However, one teacher evaluation available for review was incomplete and omitted required components, including a rating for each standard or an overall rating. Nearly all evaluation documents reviewed </w:t>
      </w:r>
      <w:r w:rsidR="009F1D16" w:rsidRPr="00900ADE">
        <w:t xml:space="preserve">(91 percent) </w:t>
      </w:r>
      <w:r w:rsidRPr="00900ADE">
        <w:t xml:space="preserve">included a student learning SMART (specific, measurable, achievable, realistic, and timely) goal and a professional practice SMART goal. All the teachers’ progress toward their student learning and professional goals were evaluated. All evaluations reviewed (100 percent) included multiple sources of evidence, such as observations, student work samples, or other evidence to support progress toward student learning goals, professional learning goals, standards, and indicators. All summative evaluations included feedback for each standard and overall feedback related to the teacher’s overall rating. All teacher evaluations </w:t>
      </w:r>
      <w:r w:rsidR="009F1D16" w:rsidRPr="00900ADE">
        <w:t xml:space="preserve">also </w:t>
      </w:r>
      <w:r w:rsidRPr="00900ADE">
        <w:t xml:space="preserve">included feedback naming strengths or practices </w:t>
      </w:r>
      <w:r w:rsidR="009F1D16" w:rsidRPr="00900ADE">
        <w:t xml:space="preserve">that </w:t>
      </w:r>
      <w:r w:rsidRPr="00900ADE">
        <w:t>the teacher should continue</w:t>
      </w:r>
      <w:r w:rsidR="009F1D16" w:rsidRPr="00900ADE">
        <w:t>;</w:t>
      </w:r>
      <w:r w:rsidRPr="00900ADE">
        <w:t xml:space="preserve"> however</w:t>
      </w:r>
      <w:r w:rsidR="0045665D" w:rsidRPr="00900ADE">
        <w:t>,</w:t>
      </w:r>
      <w:r w:rsidRPr="00900ADE">
        <w:t xml:space="preserve"> three</w:t>
      </w:r>
      <w:r w:rsidR="009F1D16" w:rsidRPr="00900ADE">
        <w:t xml:space="preserve"> </w:t>
      </w:r>
      <w:r w:rsidRPr="00900ADE">
        <w:t>quarter</w:t>
      </w:r>
      <w:r w:rsidR="004D619D" w:rsidRPr="00900ADE">
        <w:t>s</w:t>
      </w:r>
      <w:r w:rsidRPr="00900ADE">
        <w:t xml:space="preserve"> of the evaluations </w:t>
      </w:r>
      <w:r w:rsidR="009F1D16" w:rsidRPr="00900ADE">
        <w:t xml:space="preserve">(73 percent) </w:t>
      </w:r>
      <w:r w:rsidRPr="00900ADE">
        <w:t>included feedback indicating areas of improvement</w:t>
      </w:r>
      <w:r w:rsidR="006624A1">
        <w:t>, and about one quarter lacked this feedback</w:t>
      </w:r>
      <w:r w:rsidRPr="00900ADE">
        <w:t>.</w:t>
      </w:r>
    </w:p>
    <w:p w14:paraId="6625EFC7" w14:textId="06489279" w:rsidR="28CBCA21" w:rsidRPr="00900ADE" w:rsidRDefault="28CBCA21" w:rsidP="008327C3">
      <w:pPr>
        <w:pStyle w:val="BodyText"/>
      </w:pPr>
      <w:r w:rsidRPr="00900ADE">
        <w:t xml:space="preserve">District records suggest that administration evaluations </w:t>
      </w:r>
      <w:r w:rsidR="00385944">
        <w:t>are also</w:t>
      </w:r>
      <w:r w:rsidRPr="00900ADE">
        <w:t xml:space="preserve"> completed using Vector Solutions. Of the 11 administrative district staff who were due for a summative evaluation for the 2023-2024 school year, all evaluations </w:t>
      </w:r>
      <w:r w:rsidR="009F1D16" w:rsidRPr="00900ADE">
        <w:t xml:space="preserve">(100 percent) </w:t>
      </w:r>
      <w:r w:rsidRPr="00900ADE">
        <w:t>were available for review</w:t>
      </w:r>
      <w:r w:rsidR="009F1D16" w:rsidRPr="00900ADE">
        <w:t>;</w:t>
      </w:r>
      <w:r w:rsidRPr="00900ADE">
        <w:t xml:space="preserve"> however</w:t>
      </w:r>
      <w:r w:rsidR="009F1D16" w:rsidRPr="00900ADE">
        <w:t>,</w:t>
      </w:r>
      <w:r w:rsidRPr="00900ADE">
        <w:t xml:space="preserve"> only </w:t>
      </w:r>
      <w:r w:rsidR="009F1D16" w:rsidRPr="00900ADE">
        <w:t xml:space="preserve">10 evaluations </w:t>
      </w:r>
      <w:r w:rsidRPr="00900ADE">
        <w:t>(91 percent) were complete with performance ratings and assessment of progress toward goals. Nearly all</w:t>
      </w:r>
      <w:r w:rsidR="009F1D16" w:rsidRPr="00900ADE">
        <w:t xml:space="preserve"> evaluations</w:t>
      </w:r>
      <w:r w:rsidRPr="00900ADE">
        <w:t xml:space="preserve"> (91 percent) included student learning</w:t>
      </w:r>
      <w:r w:rsidR="009F1D16" w:rsidRPr="00900ADE">
        <w:t>,</w:t>
      </w:r>
      <w:r w:rsidRPr="00900ADE">
        <w:t xml:space="preserve"> professional practice, and school improvement SMART goals. All the evaluations reviewed </w:t>
      </w:r>
      <w:r w:rsidR="009F1D16" w:rsidRPr="00900ADE">
        <w:t xml:space="preserve">(100 percent) </w:t>
      </w:r>
      <w:r w:rsidRPr="00900ADE">
        <w:t xml:space="preserve">included multiple sources of evidence to assess performance on summative evaluation standards and included feedback for each standard. Nearly all </w:t>
      </w:r>
      <w:r w:rsidR="00E74D38">
        <w:t>administrator</w:t>
      </w:r>
      <w:r w:rsidR="00E74D38" w:rsidRPr="00900ADE">
        <w:t xml:space="preserve"> </w:t>
      </w:r>
      <w:r w:rsidRPr="00900ADE">
        <w:t xml:space="preserve">evaluations reviewed </w:t>
      </w:r>
      <w:r w:rsidR="009F1D16" w:rsidRPr="00900ADE">
        <w:t xml:space="preserve">(91 percent) </w:t>
      </w:r>
      <w:r w:rsidRPr="00900ADE">
        <w:t>included comments with specific, actionable feedback naming each administrator’s strengths</w:t>
      </w:r>
      <w:r w:rsidR="009F1D16" w:rsidRPr="00900ADE">
        <w:t>;</w:t>
      </w:r>
      <w:r w:rsidRPr="00900ADE">
        <w:t xml:space="preserve"> however</w:t>
      </w:r>
      <w:r w:rsidR="0045665D" w:rsidRPr="00900ADE">
        <w:t>,</w:t>
      </w:r>
      <w:r w:rsidRPr="00900ADE">
        <w:t xml:space="preserve"> only eight of the evaluations reviewed </w:t>
      </w:r>
      <w:r w:rsidR="009F1D16" w:rsidRPr="00900ADE">
        <w:t xml:space="preserve">(73 percent) </w:t>
      </w:r>
      <w:r w:rsidRPr="00900ADE">
        <w:t>identified areas of improvement for administrative district staff.</w:t>
      </w:r>
      <w:r w:rsidR="002F27B4" w:rsidRPr="00900ADE">
        <w:t xml:space="preserve"> </w:t>
      </w:r>
    </w:p>
    <w:p w14:paraId="613225CA" w14:textId="37C8E4FF" w:rsidR="28CBCA21" w:rsidRPr="00900ADE" w:rsidRDefault="28CBCA21" w:rsidP="008327C3">
      <w:pPr>
        <w:pStyle w:val="BodyText"/>
        <w:rPr>
          <w:rFonts w:ascii="Franklin Gothic Book" w:eastAsia="Franklin Gothic Book" w:hAnsi="Franklin Gothic Book" w:cs="Tahoma"/>
        </w:rPr>
      </w:pPr>
      <w:r w:rsidRPr="00900ADE">
        <w:rPr>
          <w:rFonts w:ascii="Franklin Gothic Book" w:eastAsia="Franklin Gothic Book" w:hAnsi="Franklin Gothic Book" w:cs="Tahoma"/>
        </w:rPr>
        <w:t xml:space="preserve">Taken together, the review of teacher and administrator evaluations </w:t>
      </w:r>
      <w:r w:rsidR="001573A5">
        <w:rPr>
          <w:rFonts w:ascii="Franklin Gothic Book" w:eastAsia="Franklin Gothic Book" w:hAnsi="Franklin Gothic Book" w:cs="Tahoma"/>
        </w:rPr>
        <w:t>indicates</w:t>
      </w:r>
      <w:r w:rsidR="001573A5" w:rsidRPr="00900ADE">
        <w:rPr>
          <w:rFonts w:ascii="Franklin Gothic Book" w:eastAsia="Franklin Gothic Book" w:hAnsi="Franklin Gothic Book" w:cs="Tahoma"/>
        </w:rPr>
        <w:t xml:space="preserve"> </w:t>
      </w:r>
      <w:r w:rsidRPr="00777247">
        <w:rPr>
          <w:rFonts w:ascii="Franklin Gothic Book" w:eastAsia="Franklin Gothic Book" w:hAnsi="Franklin Gothic Book" w:cs="Tahoma"/>
        </w:rPr>
        <w:t xml:space="preserve">that </w:t>
      </w:r>
      <w:r w:rsidR="00311E8A" w:rsidRPr="00777247">
        <w:rPr>
          <w:rStyle w:val="Greentext"/>
          <w:color w:val="auto"/>
        </w:rPr>
        <w:t xml:space="preserve">the </w:t>
      </w:r>
      <w:r w:rsidRPr="00777247">
        <w:rPr>
          <w:rStyle w:val="Greentext"/>
          <w:color w:val="auto"/>
        </w:rPr>
        <w:t xml:space="preserve">district </w:t>
      </w:r>
      <w:r w:rsidR="07DBBE1E" w:rsidRPr="00777247">
        <w:rPr>
          <w:rStyle w:val="Greentext"/>
          <w:color w:val="auto"/>
        </w:rPr>
        <w:t>excels</w:t>
      </w:r>
      <w:r w:rsidR="00311E8A" w:rsidRPr="00777247">
        <w:rPr>
          <w:rStyle w:val="Greentext"/>
          <w:color w:val="auto"/>
        </w:rPr>
        <w:t xml:space="preserve"> </w:t>
      </w:r>
      <w:r w:rsidRPr="00777247">
        <w:rPr>
          <w:rStyle w:val="Greentext"/>
          <w:color w:val="auto"/>
        </w:rPr>
        <w:t>in highlighting areas of strength through the evaluation process for teachers and administrators</w:t>
      </w:r>
      <w:r w:rsidR="00FE6E10">
        <w:rPr>
          <w:rStyle w:val="Greentext"/>
          <w:color w:val="auto"/>
        </w:rPr>
        <w:t xml:space="preserve">, which is a strength of the </w:t>
      </w:r>
      <w:r w:rsidR="00F84CEF">
        <w:rPr>
          <w:rStyle w:val="Greentext"/>
          <w:color w:val="auto"/>
        </w:rPr>
        <w:t>district</w:t>
      </w:r>
      <w:r w:rsidRPr="00777247">
        <w:t>.</w:t>
      </w:r>
      <w:r w:rsidRPr="00777247">
        <w:rPr>
          <w:rFonts w:ascii="Franklin Gothic Book" w:eastAsia="Franklin Gothic Book" w:hAnsi="Franklin Gothic Book" w:cs="Tahoma"/>
        </w:rPr>
        <w:t xml:space="preserve"> </w:t>
      </w:r>
    </w:p>
    <w:p w14:paraId="480727C5" w14:textId="77A7B5C2" w:rsidR="009F1D16" w:rsidRPr="00900ADE" w:rsidRDefault="003A0AFA" w:rsidP="008327C3">
      <w:pPr>
        <w:pStyle w:val="BodyText"/>
        <w:rPr>
          <w:rFonts w:cs="Tahoma (Body CS)"/>
        </w:rPr>
      </w:pPr>
      <w:r w:rsidRPr="00900ADE">
        <w:rPr>
          <w:rFonts w:cs="Tahoma (Body CS)"/>
        </w:rPr>
        <w:t xml:space="preserve">Despite this strength, </w:t>
      </w:r>
      <w:r w:rsidR="009A512E" w:rsidRPr="00900ADE">
        <w:rPr>
          <w:rFonts w:cs="Tahoma (Body CS)"/>
        </w:rPr>
        <w:t>district leaders a</w:t>
      </w:r>
      <w:r w:rsidR="00343EDE" w:rsidRPr="00900ADE">
        <w:rPr>
          <w:rFonts w:cs="Tahoma (Body CS)"/>
        </w:rPr>
        <w:t>cknowledg</w:t>
      </w:r>
      <w:r w:rsidR="009A512E" w:rsidRPr="00900ADE">
        <w:rPr>
          <w:rFonts w:cs="Tahoma (Body CS)"/>
        </w:rPr>
        <w:t>ed</w:t>
      </w:r>
      <w:r w:rsidR="00343EDE" w:rsidRPr="00900ADE">
        <w:rPr>
          <w:rFonts w:cs="Tahoma (Body CS)"/>
        </w:rPr>
        <w:t xml:space="preserve"> that</w:t>
      </w:r>
      <w:r w:rsidR="00751EDE" w:rsidRPr="00900ADE">
        <w:rPr>
          <w:rFonts w:cs="Tahoma (Body CS)"/>
        </w:rPr>
        <w:t xml:space="preserve"> the lack of </w:t>
      </w:r>
      <w:r w:rsidR="00343EDE" w:rsidRPr="00900ADE">
        <w:rPr>
          <w:rFonts w:cs="Tahoma (Body CS)"/>
        </w:rPr>
        <w:t>consistenc</w:t>
      </w:r>
      <w:r w:rsidR="00751EDE" w:rsidRPr="00900ADE">
        <w:rPr>
          <w:rFonts w:cs="Tahoma (Body CS)"/>
        </w:rPr>
        <w:t>y</w:t>
      </w:r>
      <w:r w:rsidR="004C061D" w:rsidRPr="00900ADE">
        <w:rPr>
          <w:rFonts w:cs="Tahoma (Body CS)"/>
        </w:rPr>
        <w:t xml:space="preserve"> in providing </w:t>
      </w:r>
      <w:r w:rsidR="00DB79E1" w:rsidRPr="00900ADE">
        <w:rPr>
          <w:rFonts w:cs="Tahoma (Body CS)"/>
        </w:rPr>
        <w:t xml:space="preserve">evaluation </w:t>
      </w:r>
      <w:r w:rsidR="004C061D" w:rsidRPr="00900ADE">
        <w:rPr>
          <w:rFonts w:cs="Tahoma (Body CS)"/>
        </w:rPr>
        <w:t>feedback</w:t>
      </w:r>
      <w:r w:rsidR="00612A65" w:rsidRPr="00900ADE">
        <w:rPr>
          <w:rFonts w:cs="Tahoma (Body CS)"/>
        </w:rPr>
        <w:t xml:space="preserve"> to teachers</w:t>
      </w:r>
      <w:r w:rsidR="00343EDE" w:rsidRPr="00900ADE">
        <w:rPr>
          <w:rFonts w:cs="Tahoma (Body CS)"/>
        </w:rPr>
        <w:t xml:space="preserve"> </w:t>
      </w:r>
      <w:r w:rsidR="00D740D3" w:rsidRPr="00900ADE">
        <w:rPr>
          <w:rFonts w:cs="Tahoma (Body CS)"/>
        </w:rPr>
        <w:t>across the district</w:t>
      </w:r>
      <w:r w:rsidR="00343EDE" w:rsidRPr="00900ADE">
        <w:rPr>
          <w:rFonts w:cs="Tahoma (Body CS)"/>
        </w:rPr>
        <w:t xml:space="preserve"> </w:t>
      </w:r>
      <w:r w:rsidR="00751EDE" w:rsidRPr="00900ADE">
        <w:rPr>
          <w:rFonts w:cs="Tahoma (Body CS)"/>
        </w:rPr>
        <w:t>is</w:t>
      </w:r>
      <w:r w:rsidR="00343EDE" w:rsidRPr="00900ADE">
        <w:rPr>
          <w:rFonts w:cs="Tahoma (Body CS)"/>
        </w:rPr>
        <w:t xml:space="preserve"> “really problematic</w:t>
      </w:r>
      <w:r w:rsidR="009A512E" w:rsidRPr="00900ADE">
        <w:rPr>
          <w:rFonts w:cs="Tahoma (Body CS)"/>
        </w:rPr>
        <w:t>.</w:t>
      </w:r>
      <w:r w:rsidR="00343EDE" w:rsidRPr="00900ADE">
        <w:rPr>
          <w:rFonts w:cs="Tahoma (Body CS)"/>
        </w:rPr>
        <w:t>”</w:t>
      </w:r>
      <w:r w:rsidR="0045665D" w:rsidRPr="00900ADE">
        <w:rPr>
          <w:rFonts w:cs="Tahoma (Body CS)"/>
        </w:rPr>
        <w:t xml:space="preserve"> These leaders</w:t>
      </w:r>
      <w:r w:rsidR="00343EDE" w:rsidRPr="00900ADE">
        <w:rPr>
          <w:rFonts w:cs="Tahoma (Body CS)"/>
        </w:rPr>
        <w:t xml:space="preserve"> reported continuing to work with administrators to make</w:t>
      </w:r>
      <w:r w:rsidR="0045665D" w:rsidRPr="00900ADE">
        <w:rPr>
          <w:rFonts w:cs="Tahoma (Body CS)"/>
        </w:rPr>
        <w:t xml:space="preserve"> teacher</w:t>
      </w:r>
      <w:r w:rsidR="00343EDE" w:rsidRPr="00900ADE">
        <w:rPr>
          <w:rFonts w:cs="Tahoma (Body CS)"/>
        </w:rPr>
        <w:t xml:space="preserve"> feedback consistent and actionable. </w:t>
      </w:r>
      <w:r w:rsidR="006768F0" w:rsidRPr="00900ADE">
        <w:rPr>
          <w:rFonts w:cs="Tahoma (Body CS)"/>
        </w:rPr>
        <w:t>In interviews and focus groups, d</w:t>
      </w:r>
      <w:r w:rsidR="00AE6CFF" w:rsidRPr="00900ADE">
        <w:rPr>
          <w:rFonts w:cs="Tahoma (Body CS)"/>
        </w:rPr>
        <w:t xml:space="preserve">istrict leaders </w:t>
      </w:r>
      <w:r w:rsidR="004645F0" w:rsidRPr="00900ADE">
        <w:rPr>
          <w:rFonts w:cs="Tahoma (Body CS)"/>
        </w:rPr>
        <w:t xml:space="preserve">discussed </w:t>
      </w:r>
      <w:r w:rsidR="00356501" w:rsidRPr="00900ADE">
        <w:rPr>
          <w:rFonts w:cs="Tahoma (Body CS)"/>
        </w:rPr>
        <w:t xml:space="preserve">how they are using educator </w:t>
      </w:r>
      <w:r w:rsidR="00BD3890" w:rsidRPr="00900ADE">
        <w:rPr>
          <w:rFonts w:cs="Tahoma (Body CS)"/>
        </w:rPr>
        <w:t>input</w:t>
      </w:r>
      <w:r w:rsidR="00356501" w:rsidRPr="00900ADE">
        <w:rPr>
          <w:rFonts w:cs="Tahoma (Body CS)"/>
        </w:rPr>
        <w:t xml:space="preserve"> to </w:t>
      </w:r>
      <w:r w:rsidR="00360F90" w:rsidRPr="00900ADE">
        <w:rPr>
          <w:rFonts w:cs="Tahoma (Body CS)"/>
        </w:rPr>
        <w:t xml:space="preserve">modify the feedback process, specifically how they </w:t>
      </w:r>
      <w:r w:rsidR="00AE6CFF" w:rsidRPr="00900ADE">
        <w:rPr>
          <w:rFonts w:cs="Tahoma (Body CS)"/>
        </w:rPr>
        <w:t xml:space="preserve">formalized the </w:t>
      </w:r>
      <w:r w:rsidR="00F95D46" w:rsidRPr="00900ADE">
        <w:rPr>
          <w:rFonts w:cs="Tahoma (Body CS)"/>
        </w:rPr>
        <w:t>practice that a</w:t>
      </w:r>
      <w:r w:rsidR="00AE6CFF" w:rsidRPr="00900ADE">
        <w:rPr>
          <w:rFonts w:cs="Tahoma (Body CS)"/>
        </w:rPr>
        <w:t xml:space="preserve"> </w:t>
      </w:r>
      <w:r w:rsidR="00992D59" w:rsidRPr="00900ADE">
        <w:rPr>
          <w:rFonts w:cs="Tahoma (Body CS)"/>
        </w:rPr>
        <w:t>leader</w:t>
      </w:r>
      <w:r w:rsidR="00AE6CFF" w:rsidRPr="00900ADE">
        <w:rPr>
          <w:rFonts w:cs="Tahoma (Body CS)"/>
        </w:rPr>
        <w:t xml:space="preserve"> who </w:t>
      </w:r>
      <w:r w:rsidR="00223CF0" w:rsidRPr="00900ADE">
        <w:rPr>
          <w:rFonts w:cs="Tahoma (Body CS)"/>
        </w:rPr>
        <w:t>leaves</w:t>
      </w:r>
      <w:r w:rsidR="00AE6CFF" w:rsidRPr="00900ADE">
        <w:rPr>
          <w:rFonts w:cs="Tahoma (Body CS)"/>
        </w:rPr>
        <w:t xml:space="preserve"> feedback</w:t>
      </w:r>
      <w:r w:rsidR="00BF4314" w:rsidRPr="00900ADE">
        <w:rPr>
          <w:rFonts w:cs="Tahoma (Body CS)"/>
        </w:rPr>
        <w:t xml:space="preserve"> for a teacher</w:t>
      </w:r>
      <w:r w:rsidR="00AE6CFF" w:rsidRPr="00900ADE">
        <w:rPr>
          <w:rFonts w:cs="Tahoma (Body CS)"/>
        </w:rPr>
        <w:t xml:space="preserve"> </w:t>
      </w:r>
    </w:p>
    <w:p w14:paraId="376DB4C2" w14:textId="14B4A476" w:rsidR="009F1D16" w:rsidRPr="00900ADE" w:rsidRDefault="00AE6CFF" w:rsidP="009F1D16">
      <w:pPr>
        <w:pStyle w:val="BlockQuote"/>
      </w:pPr>
      <w:r w:rsidRPr="00900ADE">
        <w:t>will actually have a face-to-face conversation with them before they put it into the TeachPoint system, because of feedback [the district] got about how impersonal it felt to wait three days and then</w:t>
      </w:r>
      <w:r w:rsidR="009F1D16" w:rsidRPr="00900ADE">
        <w:t>,</w:t>
      </w:r>
      <w:r w:rsidRPr="00900ADE">
        <w:t xml:space="preserve"> poof, something pops up in TeachPoint and you haven</w:t>
      </w:r>
      <w:r w:rsidR="009F1D16" w:rsidRPr="00900ADE">
        <w:t>’</w:t>
      </w:r>
      <w:r w:rsidRPr="00900ADE">
        <w:t>t had</w:t>
      </w:r>
      <w:r w:rsidR="00A237BD" w:rsidRPr="00900ADE">
        <w:t>,</w:t>
      </w:r>
      <w:r w:rsidRPr="00900ADE">
        <w:t xml:space="preserve"> as a teacher</w:t>
      </w:r>
      <w:r w:rsidR="00A237BD" w:rsidRPr="00900ADE">
        <w:t>,</w:t>
      </w:r>
      <w:r w:rsidRPr="00900ADE">
        <w:t xml:space="preserve"> the opportunity to sort of explain the context or anything.</w:t>
      </w:r>
    </w:p>
    <w:p w14:paraId="345ED104" w14:textId="752AA206" w:rsidR="00C501C8" w:rsidRPr="00900ADE" w:rsidRDefault="004266E1" w:rsidP="009F1D16">
      <w:pPr>
        <w:pStyle w:val="BodyText"/>
        <w:rPr>
          <w:rFonts w:eastAsiaTheme="minorEastAsia"/>
        </w:rPr>
      </w:pPr>
      <w:r w:rsidRPr="00900ADE">
        <w:lastRenderedPageBreak/>
        <w:t>In addition</w:t>
      </w:r>
      <w:r w:rsidR="00AE6CFF" w:rsidRPr="00900ADE">
        <w:t>,</w:t>
      </w:r>
      <w:r w:rsidR="5CC824B5" w:rsidRPr="00900ADE">
        <w:t xml:space="preserve"> </w:t>
      </w:r>
      <w:r w:rsidR="1E733FF3" w:rsidRPr="00900ADE">
        <w:t>a review of documents indicates that</w:t>
      </w:r>
      <w:r w:rsidR="00AE6CFF" w:rsidRPr="00900ADE">
        <w:t xml:space="preserve"> </w:t>
      </w:r>
      <w:r w:rsidR="007F2B13" w:rsidRPr="00900ADE">
        <w:t xml:space="preserve">feedback processes </w:t>
      </w:r>
      <w:r w:rsidR="58475FCB" w:rsidRPr="00900ADE">
        <w:t xml:space="preserve">for supervision and evaluation </w:t>
      </w:r>
      <w:r w:rsidR="00707B9F" w:rsidRPr="00900ADE">
        <w:t>were</w:t>
      </w:r>
      <w:r w:rsidR="007F2B13" w:rsidRPr="00900ADE">
        <w:t xml:space="preserve"> address</w:t>
      </w:r>
      <w:r w:rsidR="00707B9F" w:rsidRPr="00900ADE">
        <w:t>ed</w:t>
      </w:r>
      <w:r w:rsidR="007F2B13" w:rsidRPr="00900ADE">
        <w:t xml:space="preserve"> through</w:t>
      </w:r>
      <w:r w:rsidR="00AE6CFF" w:rsidRPr="00900ADE">
        <w:t xml:space="preserve"> </w:t>
      </w:r>
      <w:r w:rsidR="00AE6CFF" w:rsidRPr="00900ADE">
        <w:rPr>
          <w:rFonts w:eastAsiaTheme="minorEastAsia"/>
        </w:rPr>
        <w:t>a</w:t>
      </w:r>
      <w:r w:rsidR="005B5F94" w:rsidRPr="00900ADE">
        <w:rPr>
          <w:rFonts w:eastAsiaTheme="minorEastAsia"/>
        </w:rPr>
        <w:t>n undated</w:t>
      </w:r>
      <w:r w:rsidR="00AE6CFF" w:rsidRPr="00900ADE">
        <w:rPr>
          <w:rFonts w:eastAsiaTheme="minorEastAsia"/>
        </w:rPr>
        <w:t xml:space="preserve"> </w:t>
      </w:r>
      <w:r w:rsidR="00F70ADC" w:rsidRPr="00900ADE">
        <w:rPr>
          <w:rFonts w:eastAsiaTheme="minorEastAsia"/>
        </w:rPr>
        <w:t>PowerPoint</w:t>
      </w:r>
      <w:r w:rsidR="00AE6CFF" w:rsidRPr="00900ADE">
        <w:rPr>
          <w:rFonts w:eastAsiaTheme="minorEastAsia"/>
        </w:rPr>
        <w:t xml:space="preserve"> </w:t>
      </w:r>
      <w:r w:rsidR="005B5F94" w:rsidRPr="00900ADE">
        <w:rPr>
          <w:rFonts w:eastAsiaTheme="minorEastAsia"/>
        </w:rPr>
        <w:t xml:space="preserve">presentation </w:t>
      </w:r>
      <w:r w:rsidR="00C501C8" w:rsidRPr="00900ADE">
        <w:rPr>
          <w:rFonts w:eastAsiaTheme="minorEastAsia"/>
        </w:rPr>
        <w:t xml:space="preserve">for leaders </w:t>
      </w:r>
      <w:r w:rsidR="00AE6CFF" w:rsidRPr="00900ADE">
        <w:rPr>
          <w:rFonts w:eastAsiaTheme="minorEastAsia"/>
        </w:rPr>
        <w:t>titled “Educator Supervision and Evaluation in 2024-</w:t>
      </w:r>
      <w:r w:rsidR="00B0694E" w:rsidRPr="00900ADE">
        <w:rPr>
          <w:rFonts w:eastAsiaTheme="minorEastAsia"/>
        </w:rPr>
        <w:t>20</w:t>
      </w:r>
      <w:r w:rsidR="00AE6CFF" w:rsidRPr="00900ADE">
        <w:rPr>
          <w:rFonts w:eastAsiaTheme="minorEastAsia"/>
        </w:rPr>
        <w:t>25</w:t>
      </w:r>
      <w:r w:rsidR="67BFB8CA" w:rsidRPr="00900ADE">
        <w:rPr>
          <w:rFonts w:eastAsiaTheme="minorEastAsia"/>
        </w:rPr>
        <w:t>.</w:t>
      </w:r>
      <w:r w:rsidR="009F1D16" w:rsidRPr="00900ADE">
        <w:rPr>
          <w:rFonts w:eastAsiaTheme="minorEastAsia"/>
        </w:rPr>
        <w:t>”</w:t>
      </w:r>
      <w:r w:rsidR="00AE6CFF" w:rsidRPr="00900ADE">
        <w:rPr>
          <w:rFonts w:eastAsiaTheme="minorEastAsia"/>
        </w:rPr>
        <w:t xml:space="preserve"> </w:t>
      </w:r>
    </w:p>
    <w:p w14:paraId="2A8B83EE" w14:textId="231BA47F" w:rsidR="00AE6CFF" w:rsidRPr="00900ADE" w:rsidRDefault="00AE6CFF" w:rsidP="008327C3">
      <w:pPr>
        <w:pStyle w:val="BodyText"/>
        <w:rPr>
          <w:rFonts w:eastAsia="Franklin Gothic Book" w:cs="Franklin Gothic Book"/>
          <w:color w:val="ED0000"/>
        </w:rPr>
      </w:pPr>
      <w:r w:rsidRPr="00900ADE">
        <w:rPr>
          <w:rFonts w:eastAsiaTheme="minorEastAsia"/>
        </w:rPr>
        <w:t>Similar to district leaders, teacher focus grou</w:t>
      </w:r>
      <w:r w:rsidRPr="00900ADE">
        <w:rPr>
          <w:rFonts w:eastAsia="Aptos" w:cs="Aptos"/>
        </w:rPr>
        <w:t xml:space="preserve">p participants reported inconsistencies with the evaluations. </w:t>
      </w:r>
      <w:r w:rsidRPr="00900ADE">
        <w:t>A teacher stated</w:t>
      </w:r>
      <w:r w:rsidR="007878F2" w:rsidRPr="00900ADE">
        <w:t xml:space="preserve">, </w:t>
      </w:r>
      <w:r w:rsidRPr="00900ADE">
        <w:t>“We need consistency in the district</w:t>
      </w:r>
      <w:r w:rsidR="007878F2" w:rsidRPr="00900ADE">
        <w:t>,</w:t>
      </w:r>
      <w:r w:rsidRPr="00900ADE">
        <w:t xml:space="preserve"> from the McGovern school to the high school</w:t>
      </w:r>
      <w:r w:rsidR="007878F2" w:rsidRPr="00900ADE">
        <w:t>,</w:t>
      </w:r>
      <w:r w:rsidRPr="00900ADE">
        <w:t xml:space="preserve"> on </w:t>
      </w:r>
      <w:r w:rsidR="007878F2" w:rsidRPr="00900ADE">
        <w:t>‘</w:t>
      </w:r>
      <w:r w:rsidRPr="00900ADE">
        <w:t>this is what an exemplary teacher looks like.</w:t>
      </w:r>
      <w:r w:rsidR="007878F2" w:rsidRPr="00900ADE">
        <w:t>’</w:t>
      </w:r>
      <w:r w:rsidRPr="00900ADE">
        <w:t>”</w:t>
      </w:r>
      <w:r w:rsidRPr="00900ADE">
        <w:rPr>
          <w:rFonts w:eastAsia="Aptos" w:cs="Aptos"/>
        </w:rPr>
        <w:t xml:space="preserve"> Teachers </w:t>
      </w:r>
      <w:r w:rsidR="007878F2" w:rsidRPr="00900ADE">
        <w:rPr>
          <w:rFonts w:eastAsia="Aptos" w:cs="Aptos"/>
        </w:rPr>
        <w:t>provided</w:t>
      </w:r>
      <w:r w:rsidRPr="00900ADE">
        <w:rPr>
          <w:rFonts w:eastAsia="Aptos" w:cs="Aptos"/>
        </w:rPr>
        <w:t xml:space="preserve"> mixed </w:t>
      </w:r>
      <w:r w:rsidR="007878F2" w:rsidRPr="00900ADE">
        <w:rPr>
          <w:rFonts w:eastAsia="Aptos" w:cs="Aptos"/>
        </w:rPr>
        <w:t>opinio</w:t>
      </w:r>
      <w:r w:rsidR="00BA6EC5" w:rsidRPr="00900ADE">
        <w:rPr>
          <w:rFonts w:eastAsia="Aptos" w:cs="Aptos"/>
        </w:rPr>
        <w:t>n</w:t>
      </w:r>
      <w:r w:rsidR="007878F2" w:rsidRPr="00900ADE">
        <w:rPr>
          <w:rFonts w:eastAsia="Aptos" w:cs="Aptos"/>
        </w:rPr>
        <w:t xml:space="preserve">s </w:t>
      </w:r>
      <w:r w:rsidRPr="00900ADE">
        <w:rPr>
          <w:rFonts w:eastAsia="Aptos" w:cs="Aptos"/>
        </w:rPr>
        <w:t xml:space="preserve">about the usefulness of the feedback process. </w:t>
      </w:r>
      <w:r w:rsidR="009F1D16" w:rsidRPr="00900ADE">
        <w:rPr>
          <w:rFonts w:eastAsia="Aptos" w:cs="Aptos"/>
        </w:rPr>
        <w:t>One</w:t>
      </w:r>
      <w:r w:rsidRPr="00900ADE">
        <w:rPr>
          <w:rFonts w:eastAsia="Aptos" w:cs="Aptos"/>
        </w:rPr>
        <w:t xml:space="preserve"> teacher reported the feedback as “helpful and collaborative,” </w:t>
      </w:r>
      <w:r w:rsidR="009F1D16" w:rsidRPr="00900ADE">
        <w:rPr>
          <w:rFonts w:eastAsia="Aptos" w:cs="Aptos"/>
        </w:rPr>
        <w:t xml:space="preserve">whereas </w:t>
      </w:r>
      <w:r w:rsidRPr="00900ADE">
        <w:rPr>
          <w:rFonts w:eastAsia="Aptos" w:cs="Aptos"/>
        </w:rPr>
        <w:t xml:space="preserve">other teachers did not find </w:t>
      </w:r>
      <w:r w:rsidR="009F1D16" w:rsidRPr="00900ADE">
        <w:rPr>
          <w:rFonts w:eastAsia="Aptos" w:cs="Aptos"/>
        </w:rPr>
        <w:t>the feedback</w:t>
      </w:r>
      <w:r w:rsidRPr="00900ADE">
        <w:rPr>
          <w:rFonts w:eastAsia="Aptos" w:cs="Aptos"/>
        </w:rPr>
        <w:t xml:space="preserve"> to be supportive, with some noting that feedback was infrequent and not substantive. Another teacher explained</w:t>
      </w:r>
      <w:r w:rsidR="00BA6EC5" w:rsidRPr="00900ADE">
        <w:rPr>
          <w:rFonts w:eastAsia="Aptos" w:cs="Aptos"/>
        </w:rPr>
        <w:t xml:space="preserve">, </w:t>
      </w:r>
      <w:r w:rsidRPr="00900ADE">
        <w:rPr>
          <w:rFonts w:eastAsia="Aptos" w:cs="Aptos"/>
        </w:rPr>
        <w:t>“</w:t>
      </w:r>
      <w:r w:rsidRPr="00900ADE">
        <w:t>I feel like there</w:t>
      </w:r>
      <w:r w:rsidR="009F1D16" w:rsidRPr="00900ADE">
        <w:t>’</w:t>
      </w:r>
      <w:r w:rsidRPr="00900ADE">
        <w:t>s a disconnect between evaluation and teacher improvement, and one is not used to improve the other, which is why it feels like a gotcha, even if that</w:t>
      </w:r>
      <w:r w:rsidR="009F1D16" w:rsidRPr="00900ADE">
        <w:t>’</w:t>
      </w:r>
      <w:r w:rsidRPr="00900ADE">
        <w:t xml:space="preserve">s not what they intend.” </w:t>
      </w:r>
      <w:r w:rsidR="005768DD" w:rsidRPr="00F619D5">
        <w:rPr>
          <w:rFonts w:eastAsia="Franklin Gothic Book" w:cs="Franklin Gothic Book"/>
        </w:rPr>
        <w:t>Providing timely, consistent,</w:t>
      </w:r>
      <w:r w:rsidRPr="00F619D5">
        <w:rPr>
          <w:rFonts w:eastAsia="Franklin Gothic Book" w:cs="Franklin Gothic Book"/>
        </w:rPr>
        <w:t xml:space="preserve"> and actionable feedback </w:t>
      </w:r>
      <w:r w:rsidR="005768DD" w:rsidRPr="00F619D5">
        <w:rPr>
          <w:rFonts w:eastAsia="Franklin Gothic Book" w:cs="Franklin Gothic Book"/>
        </w:rPr>
        <w:t>through</w:t>
      </w:r>
      <w:r w:rsidRPr="00F619D5">
        <w:rPr>
          <w:rFonts w:eastAsia="Franklin Gothic Book" w:cs="Franklin Gothic Book"/>
        </w:rPr>
        <w:t xml:space="preserve"> the evaluation process is an area for growth</w:t>
      </w:r>
      <w:r w:rsidR="005768DD" w:rsidRPr="00F619D5">
        <w:rPr>
          <w:rFonts w:eastAsia="Franklin Gothic Book" w:cs="Franklin Gothic Book"/>
        </w:rPr>
        <w:t xml:space="preserve"> for the district</w:t>
      </w:r>
      <w:r w:rsidRPr="00F619D5">
        <w:rPr>
          <w:rFonts w:eastAsia="Franklin Gothic Book" w:cs="Franklin Gothic Book"/>
        </w:rPr>
        <w:t>.</w:t>
      </w:r>
    </w:p>
    <w:p w14:paraId="77B4A623" w14:textId="720FCDE7" w:rsidR="00064E9E" w:rsidRPr="00900ADE" w:rsidRDefault="004D0EED" w:rsidP="008327C3">
      <w:pPr>
        <w:pStyle w:val="BodyText"/>
      </w:pPr>
      <w:r w:rsidRPr="00900ADE">
        <w:t xml:space="preserve">Despite </w:t>
      </w:r>
      <w:r w:rsidR="003E335A" w:rsidRPr="00900ADE">
        <w:t>the inconsistency with evaluation feedback, d</w:t>
      </w:r>
      <w:r w:rsidR="6E785CDD" w:rsidRPr="00900ADE">
        <w:t>istrict</w:t>
      </w:r>
      <w:r w:rsidR="002B28C4" w:rsidRPr="00900ADE">
        <w:t xml:space="preserve"> and school</w:t>
      </w:r>
      <w:r w:rsidR="6E785CDD" w:rsidRPr="00900ADE">
        <w:t xml:space="preserve"> </w:t>
      </w:r>
      <w:r w:rsidR="001C12AA" w:rsidRPr="00900ADE">
        <w:t xml:space="preserve">leaders </w:t>
      </w:r>
      <w:r w:rsidR="006C0953" w:rsidRPr="00900ADE">
        <w:t>focus on</w:t>
      </w:r>
      <w:r w:rsidR="3D63D4C9" w:rsidRPr="00900ADE">
        <w:t xml:space="preserve"> </w:t>
      </w:r>
      <w:r w:rsidR="6E785CDD" w:rsidRPr="00900ADE">
        <w:t>recognizing outstanding educators</w:t>
      </w:r>
      <w:r w:rsidR="00D617F7" w:rsidRPr="00900ADE">
        <w:t xml:space="preserve"> and providing opportunities for teachers to excel</w:t>
      </w:r>
      <w:r w:rsidR="6E785CDD" w:rsidRPr="00900ADE">
        <w:t xml:space="preserve">. </w:t>
      </w:r>
      <w:r w:rsidR="006C0953" w:rsidRPr="00900ADE">
        <w:t>A</w:t>
      </w:r>
      <w:r w:rsidR="47473755" w:rsidRPr="00900ADE">
        <w:t>ccording to interviews with district lea</w:t>
      </w:r>
      <w:r w:rsidR="3AD7320B" w:rsidRPr="00900ADE">
        <w:t>d</w:t>
      </w:r>
      <w:r w:rsidR="47473755" w:rsidRPr="00900ADE">
        <w:t>ers,</w:t>
      </w:r>
      <w:r w:rsidR="575CA44B" w:rsidRPr="00900ADE">
        <w:t xml:space="preserve"> </w:t>
      </w:r>
      <w:r w:rsidR="6E785CDD" w:rsidRPr="00900ADE">
        <w:t xml:space="preserve">the superintendent publicly recognized </w:t>
      </w:r>
      <w:r w:rsidR="475701DF" w:rsidRPr="00900ADE">
        <w:t xml:space="preserve">teachers and staff </w:t>
      </w:r>
      <w:r w:rsidR="3BD74F9C" w:rsidRPr="00900ADE">
        <w:t xml:space="preserve">at a </w:t>
      </w:r>
      <w:r w:rsidR="00144BD2" w:rsidRPr="00900ADE">
        <w:t xml:space="preserve">recent </w:t>
      </w:r>
      <w:r w:rsidR="3BD74F9C" w:rsidRPr="00900ADE">
        <w:t>districtwide meeting</w:t>
      </w:r>
      <w:r w:rsidR="13266D2D" w:rsidRPr="00900ADE">
        <w:t>.</w:t>
      </w:r>
      <w:r w:rsidR="6E785CDD" w:rsidRPr="00900ADE">
        <w:t xml:space="preserve"> </w:t>
      </w:r>
      <w:r w:rsidR="00FB625A" w:rsidRPr="00900ADE">
        <w:t>One</w:t>
      </w:r>
      <w:r w:rsidR="503A8073" w:rsidRPr="00900ADE">
        <w:t xml:space="preserve"> building leader reported </w:t>
      </w:r>
      <w:r w:rsidR="00C03A8D" w:rsidRPr="00900ADE">
        <w:t xml:space="preserve">having a ritual of providing teachers with </w:t>
      </w:r>
      <w:r w:rsidR="503A8073" w:rsidRPr="00900ADE">
        <w:t xml:space="preserve">a </w:t>
      </w:r>
      <w:r w:rsidR="503A8073" w:rsidRPr="00900ADE">
        <w:rPr>
          <w:color w:val="000000" w:themeColor="text1"/>
        </w:rPr>
        <w:t xml:space="preserve">bronze Mustang </w:t>
      </w:r>
      <w:r w:rsidR="00C7408B" w:rsidRPr="00900ADE">
        <w:rPr>
          <w:color w:val="000000" w:themeColor="text1"/>
        </w:rPr>
        <w:t>trophy</w:t>
      </w:r>
      <w:r w:rsidR="503A8073" w:rsidRPr="00900ADE">
        <w:rPr>
          <w:color w:val="000000" w:themeColor="text1"/>
        </w:rPr>
        <w:t xml:space="preserve"> to recognize </w:t>
      </w:r>
      <w:r w:rsidR="004C5D05" w:rsidRPr="00900ADE">
        <w:rPr>
          <w:color w:val="000000" w:themeColor="text1"/>
        </w:rPr>
        <w:t xml:space="preserve">staff </w:t>
      </w:r>
      <w:r w:rsidR="004C1905" w:rsidRPr="00900ADE">
        <w:rPr>
          <w:color w:val="000000" w:themeColor="text1"/>
        </w:rPr>
        <w:t xml:space="preserve">who contributed </w:t>
      </w:r>
      <w:r w:rsidR="00C7408B" w:rsidRPr="00900ADE">
        <w:rPr>
          <w:color w:val="000000" w:themeColor="text1"/>
        </w:rPr>
        <w:t xml:space="preserve">extra </w:t>
      </w:r>
      <w:r w:rsidR="004C1905" w:rsidRPr="00900ADE">
        <w:rPr>
          <w:color w:val="000000" w:themeColor="text1"/>
        </w:rPr>
        <w:t>efforts</w:t>
      </w:r>
      <w:r w:rsidR="00BD6204" w:rsidRPr="00900ADE">
        <w:rPr>
          <w:color w:val="000000" w:themeColor="text1"/>
        </w:rPr>
        <w:t xml:space="preserve"> on special projects</w:t>
      </w:r>
      <w:r w:rsidR="503A8073" w:rsidRPr="00900ADE">
        <w:rPr>
          <w:color w:val="000000" w:themeColor="text1"/>
        </w:rPr>
        <w:t>.</w:t>
      </w:r>
    </w:p>
    <w:p w14:paraId="706060C7" w14:textId="3FB51F32" w:rsidR="00444346" w:rsidRPr="00900ADE" w:rsidRDefault="126EEF14" w:rsidP="008327C3">
      <w:pPr>
        <w:pStyle w:val="BodyText"/>
        <w:rPr>
          <w:rFonts w:eastAsia="Aptos" w:cs="Aptos"/>
          <w:b/>
          <w:bCs/>
        </w:rPr>
      </w:pPr>
      <w:r w:rsidRPr="00900ADE">
        <w:t>In terms of developing pathways for advancement, d</w:t>
      </w:r>
      <w:r w:rsidR="6E785CDD" w:rsidRPr="00900ADE">
        <w:t>istrict staff and school leaders reported trying to</w:t>
      </w:r>
      <w:r w:rsidR="67174348" w:rsidRPr="00900ADE">
        <w:t xml:space="preserve"> </w:t>
      </w:r>
      <w:r w:rsidR="6E785CDD" w:rsidRPr="00900ADE">
        <w:t xml:space="preserve">create opportunities in </w:t>
      </w:r>
      <w:r w:rsidR="00C94C4A" w:rsidRPr="00900ADE">
        <w:t xml:space="preserve">the </w:t>
      </w:r>
      <w:r w:rsidR="6E785CDD" w:rsidRPr="00900ADE">
        <w:t xml:space="preserve">district </w:t>
      </w:r>
      <w:r w:rsidR="00C94C4A" w:rsidRPr="00900ADE">
        <w:t>to</w:t>
      </w:r>
      <w:r w:rsidR="6E785CDD" w:rsidRPr="00900ADE">
        <w:t xml:space="preserve"> support </w:t>
      </w:r>
      <w:r w:rsidR="00C94C4A" w:rsidRPr="00900ADE">
        <w:t xml:space="preserve">staff </w:t>
      </w:r>
      <w:r w:rsidR="48A1A96E" w:rsidRPr="00900ADE">
        <w:t>who are seeking to advance in their careers.</w:t>
      </w:r>
      <w:r w:rsidR="6E785CDD" w:rsidRPr="00900ADE">
        <w:t xml:space="preserve"> </w:t>
      </w:r>
      <w:r w:rsidR="346BD62C" w:rsidRPr="00900ADE">
        <w:t xml:space="preserve">District leaders </w:t>
      </w:r>
      <w:r w:rsidR="00C94C4A" w:rsidRPr="00900ADE">
        <w:t xml:space="preserve">pointed out </w:t>
      </w:r>
      <w:r w:rsidR="346BD62C" w:rsidRPr="00900ADE">
        <w:t xml:space="preserve">that the union contract </w:t>
      </w:r>
      <w:r w:rsidR="00144BD2" w:rsidRPr="00900ADE">
        <w:t xml:space="preserve">has </w:t>
      </w:r>
      <w:r w:rsidR="346BD62C" w:rsidRPr="00900ADE">
        <w:rPr>
          <w:rFonts w:eastAsia="Aptos" w:cs="Aptos"/>
          <w:color w:val="000000" w:themeColor="text1"/>
        </w:rPr>
        <w:t>provisions for course credit or reimbursement.</w:t>
      </w:r>
      <w:r w:rsidR="7CF4DE21" w:rsidRPr="00900ADE">
        <w:rPr>
          <w:rFonts w:eastAsia="Aptos" w:cs="Aptos"/>
          <w:color w:val="000000" w:themeColor="text1"/>
        </w:rPr>
        <w:t xml:space="preserve"> </w:t>
      </w:r>
      <w:r w:rsidR="00442760">
        <w:rPr>
          <w:rFonts w:eastAsia="Aptos" w:cs="Aptos"/>
          <w:color w:val="000000" w:themeColor="text1"/>
        </w:rPr>
        <w:t xml:space="preserve">District staff also described a willingness to discuss alternate roles with teachers if there were needs in other areas of the district. </w:t>
      </w:r>
      <w:r w:rsidR="7CF4DE21" w:rsidRPr="00900ADE">
        <w:rPr>
          <w:rFonts w:eastAsia="Aptos" w:cs="Aptos"/>
          <w:color w:val="000000" w:themeColor="text1"/>
        </w:rPr>
        <w:t xml:space="preserve">In addition, </w:t>
      </w:r>
      <w:r w:rsidR="0BFBCB32" w:rsidRPr="00900ADE">
        <w:t>teacher leadership opportunities, including</w:t>
      </w:r>
      <w:r w:rsidR="00544070" w:rsidRPr="00900ADE">
        <w:t xml:space="preserve"> serving as</w:t>
      </w:r>
      <w:r w:rsidR="0BFBCB32" w:rsidRPr="00900ADE">
        <w:t xml:space="preserve"> </w:t>
      </w:r>
      <w:r w:rsidR="79DD9ACD" w:rsidRPr="00900ADE">
        <w:t>literacy specialists (</w:t>
      </w:r>
      <w:r w:rsidR="3C5FDF78" w:rsidRPr="00900ADE">
        <w:t>e</w:t>
      </w:r>
      <w:r w:rsidR="79DD9ACD" w:rsidRPr="00900ADE">
        <w:t xml:space="preserve">lementary schools), </w:t>
      </w:r>
      <w:r w:rsidR="0BFBCB32" w:rsidRPr="00900ADE">
        <w:t xml:space="preserve">curriculum instructional leaders </w:t>
      </w:r>
      <w:r w:rsidR="1486480F" w:rsidRPr="00900ADE">
        <w:t>(middle schools)</w:t>
      </w:r>
      <w:r w:rsidR="0098612C" w:rsidRPr="00900ADE">
        <w:t>,</w:t>
      </w:r>
      <w:r w:rsidR="408ED2F1" w:rsidRPr="00900ADE">
        <w:t xml:space="preserve"> </w:t>
      </w:r>
      <w:r w:rsidR="0BFBCB32" w:rsidRPr="00900ADE">
        <w:t xml:space="preserve">and </w:t>
      </w:r>
      <w:r w:rsidR="04D521DB" w:rsidRPr="00900ADE">
        <w:t>department heads (high school)</w:t>
      </w:r>
      <w:r w:rsidR="408ED2F1" w:rsidRPr="00900ADE">
        <w:t xml:space="preserve"> </w:t>
      </w:r>
      <w:r w:rsidR="0098612C" w:rsidRPr="00900ADE">
        <w:t xml:space="preserve">are all </w:t>
      </w:r>
      <w:r w:rsidR="00E87EF2" w:rsidRPr="00900ADE">
        <w:t xml:space="preserve">available to </w:t>
      </w:r>
      <w:r w:rsidR="00544070" w:rsidRPr="00900ADE">
        <w:t xml:space="preserve">current </w:t>
      </w:r>
      <w:r w:rsidR="00E87EF2" w:rsidRPr="00900ADE">
        <w:t>staff</w:t>
      </w:r>
      <w:r w:rsidR="6E785CDD" w:rsidRPr="00900ADE">
        <w:t xml:space="preserve">. </w:t>
      </w:r>
    </w:p>
    <w:p w14:paraId="17454629" w14:textId="74A083B6" w:rsidR="00144BD2" w:rsidRPr="00900ADE" w:rsidDel="00AF2FB7" w:rsidRDefault="78A0F908" w:rsidP="008327C3">
      <w:pPr>
        <w:pStyle w:val="BodyText"/>
        <w:rPr>
          <w:rFonts w:eastAsiaTheme="minorEastAsia"/>
        </w:rPr>
      </w:pPr>
      <w:r w:rsidRPr="00900ADE">
        <w:t xml:space="preserve"> </w:t>
      </w:r>
      <w:r w:rsidR="6E785CDD" w:rsidRPr="00900ADE" w:rsidDel="00AF2FB7">
        <w:t>District leaders describe</w:t>
      </w:r>
      <w:r w:rsidR="602A1E26" w:rsidRPr="00900ADE" w:rsidDel="00AF2FB7">
        <w:t>d</w:t>
      </w:r>
      <w:r w:rsidR="6E785CDD" w:rsidRPr="00900ADE" w:rsidDel="00AF2FB7">
        <w:t xml:space="preserve"> their approach to retaining educators</w:t>
      </w:r>
      <w:r w:rsidR="00C76D47" w:rsidRPr="00900ADE" w:rsidDel="00AF2FB7">
        <w:t xml:space="preserve"> as multifaceted, including </w:t>
      </w:r>
      <w:r w:rsidR="004D0724" w:rsidRPr="00900ADE" w:rsidDel="00AF2FB7">
        <w:t xml:space="preserve">both personable approaches and </w:t>
      </w:r>
      <w:r w:rsidR="00255F1E" w:rsidRPr="00900ADE" w:rsidDel="00AF2FB7">
        <w:t xml:space="preserve">supports for staff. </w:t>
      </w:r>
      <w:r w:rsidR="00231AB4" w:rsidRPr="00900ADE" w:rsidDel="00AF2FB7">
        <w:t>In trying to balance formal human resources systems with individual interactions, leaders reported</w:t>
      </w:r>
      <w:r w:rsidR="6E785CDD" w:rsidRPr="00900ADE" w:rsidDel="00AF2FB7">
        <w:t xml:space="preserve"> </w:t>
      </w:r>
      <w:r w:rsidR="6E785CDD" w:rsidRPr="00900ADE" w:rsidDel="00AF2FB7">
        <w:rPr>
          <w:rFonts w:eastAsiaTheme="minorEastAsia"/>
        </w:rPr>
        <w:t xml:space="preserve">using a personal touch to reach out to new staff members to </w:t>
      </w:r>
      <w:r w:rsidR="00786695" w:rsidRPr="00900ADE" w:rsidDel="00AF2FB7">
        <w:rPr>
          <w:rFonts w:eastAsiaTheme="minorEastAsia"/>
        </w:rPr>
        <w:t>determine</w:t>
      </w:r>
      <w:r w:rsidR="00B4228E" w:rsidRPr="00900ADE" w:rsidDel="00AF2FB7">
        <w:rPr>
          <w:rFonts w:eastAsiaTheme="minorEastAsia"/>
        </w:rPr>
        <w:t xml:space="preserve"> </w:t>
      </w:r>
      <w:r w:rsidR="6E785CDD" w:rsidRPr="00900ADE" w:rsidDel="00AF2FB7">
        <w:rPr>
          <w:rFonts w:eastAsiaTheme="minorEastAsia"/>
        </w:rPr>
        <w:t xml:space="preserve">if they need assistance and let them know that district leaders are available to </w:t>
      </w:r>
      <w:r w:rsidR="00011FE3" w:rsidRPr="00900ADE" w:rsidDel="00AF2FB7">
        <w:rPr>
          <w:rFonts w:eastAsiaTheme="minorEastAsia"/>
        </w:rPr>
        <w:t xml:space="preserve">support </w:t>
      </w:r>
      <w:r w:rsidR="6E785CDD" w:rsidRPr="00900ADE" w:rsidDel="00AF2FB7">
        <w:rPr>
          <w:rFonts w:eastAsiaTheme="minorEastAsia"/>
        </w:rPr>
        <w:t>them. The superintendent also send</w:t>
      </w:r>
      <w:r w:rsidR="2DAB9AD7" w:rsidRPr="00900ADE" w:rsidDel="00AF2FB7">
        <w:rPr>
          <w:rFonts w:eastAsiaTheme="minorEastAsia"/>
        </w:rPr>
        <w:t xml:space="preserve">s </w:t>
      </w:r>
      <w:r w:rsidR="6E785CDD" w:rsidRPr="00900ADE" w:rsidDel="00AF2FB7">
        <w:rPr>
          <w:rFonts w:eastAsiaTheme="minorEastAsia"/>
        </w:rPr>
        <w:t xml:space="preserve">note cards to new staff a few times </w:t>
      </w:r>
      <w:r w:rsidR="5BDA9385" w:rsidRPr="00900ADE" w:rsidDel="00AF2FB7">
        <w:rPr>
          <w:rFonts w:eastAsiaTheme="minorEastAsia"/>
        </w:rPr>
        <w:t>during the</w:t>
      </w:r>
      <w:r w:rsidR="6E785CDD" w:rsidRPr="00900ADE" w:rsidDel="00AF2FB7">
        <w:rPr>
          <w:rFonts w:eastAsiaTheme="minorEastAsia"/>
        </w:rPr>
        <w:t xml:space="preserve"> year.</w:t>
      </w:r>
      <w:r w:rsidR="00891057" w:rsidRPr="00900ADE" w:rsidDel="00AF2FB7">
        <w:rPr>
          <w:rFonts w:eastAsiaTheme="minorEastAsia"/>
        </w:rPr>
        <w:t xml:space="preserve"> </w:t>
      </w:r>
    </w:p>
    <w:p w14:paraId="27ABFFDA" w14:textId="522A4144" w:rsidR="00444346" w:rsidRDefault="00891057" w:rsidP="008327C3">
      <w:pPr>
        <w:pStyle w:val="BodyText"/>
        <w:rPr>
          <w:rFonts w:eastAsiaTheme="minorEastAsia"/>
        </w:rPr>
      </w:pPr>
      <w:r w:rsidRPr="00900ADE">
        <w:rPr>
          <w:rFonts w:eastAsiaTheme="minorEastAsia"/>
        </w:rPr>
        <w:t xml:space="preserve">To improve </w:t>
      </w:r>
      <w:r w:rsidR="004F4732">
        <w:rPr>
          <w:rFonts w:eastAsiaTheme="minorEastAsia"/>
        </w:rPr>
        <w:t>staff</w:t>
      </w:r>
      <w:r w:rsidR="004F4732" w:rsidRPr="00900ADE">
        <w:rPr>
          <w:rFonts w:eastAsiaTheme="minorEastAsia"/>
        </w:rPr>
        <w:t xml:space="preserve"> </w:t>
      </w:r>
      <w:r w:rsidRPr="00900ADE">
        <w:rPr>
          <w:rFonts w:eastAsiaTheme="minorEastAsia"/>
        </w:rPr>
        <w:t xml:space="preserve">culture and climate across buildings, district leaders reported that principals are working to create informal activities and events that “highlight joy in buildings.” They are intentionally working to create </w:t>
      </w:r>
      <w:r w:rsidR="003A6B60">
        <w:rPr>
          <w:rFonts w:eastAsiaTheme="minorEastAsia"/>
        </w:rPr>
        <w:t>positive staff cultures</w:t>
      </w:r>
      <w:r w:rsidR="003A6B60" w:rsidRPr="00900ADE">
        <w:rPr>
          <w:rFonts w:eastAsiaTheme="minorEastAsia"/>
        </w:rPr>
        <w:t xml:space="preserve"> </w:t>
      </w:r>
      <w:r w:rsidRPr="00900ADE">
        <w:rPr>
          <w:rFonts w:eastAsiaTheme="minorEastAsia"/>
        </w:rPr>
        <w:t>and connections.</w:t>
      </w:r>
      <w:r w:rsidR="00BE239F" w:rsidRPr="00900ADE">
        <w:rPr>
          <w:rFonts w:eastAsiaTheme="minorEastAsia"/>
        </w:rPr>
        <w:t xml:space="preserve"> Principals within the district agreed that their district fosters a positive, productive, and inclusive work environment. They also described working to promote a sense of belonging and build trust</w:t>
      </w:r>
      <w:r w:rsidR="00777180">
        <w:rPr>
          <w:rFonts w:eastAsiaTheme="minorEastAsia"/>
        </w:rPr>
        <w:t xml:space="preserve"> among their respective </w:t>
      </w:r>
      <w:r w:rsidR="00E638E2">
        <w:rPr>
          <w:rFonts w:eastAsiaTheme="minorEastAsia"/>
        </w:rPr>
        <w:t>staff</w:t>
      </w:r>
      <w:r w:rsidR="00BE239F" w:rsidRPr="00900ADE">
        <w:rPr>
          <w:rFonts w:eastAsiaTheme="minorEastAsia"/>
        </w:rPr>
        <w:t>.</w:t>
      </w:r>
      <w:r w:rsidR="00694D82" w:rsidRPr="00900ADE">
        <w:rPr>
          <w:rFonts w:eastAsiaTheme="minorEastAsia"/>
        </w:rPr>
        <w:t xml:space="preserve"> </w:t>
      </w:r>
      <w:r w:rsidR="00694D82" w:rsidRPr="00900ADE">
        <w:rPr>
          <w:rFonts w:eastAsia="Aptos Narrow" w:cs="Aptos Narrow"/>
        </w:rPr>
        <w:t xml:space="preserve">One leader reported that they </w:t>
      </w:r>
      <w:r w:rsidR="00786CB2" w:rsidRPr="00900ADE">
        <w:rPr>
          <w:rFonts w:eastAsia="Aptos Narrow" w:cs="Aptos Narrow"/>
        </w:rPr>
        <w:t xml:space="preserve">are </w:t>
      </w:r>
      <w:r w:rsidR="00694D82" w:rsidRPr="00900ADE">
        <w:rPr>
          <w:rFonts w:eastAsia="Aptos Narrow" w:cs="Aptos Narrow"/>
        </w:rPr>
        <w:t>“leaning into some of the more difficult conversations and really trying to make sure that people feel truly valued and supported and heard.”</w:t>
      </w:r>
      <w:r w:rsidR="00694D82" w:rsidRPr="00900ADE">
        <w:rPr>
          <w:rFonts w:eastAsiaTheme="minorEastAsia"/>
        </w:rPr>
        <w:t xml:space="preserve"> </w:t>
      </w:r>
      <w:r w:rsidR="00BE239F" w:rsidRPr="00900ADE">
        <w:rPr>
          <w:rFonts w:eastAsiaTheme="minorEastAsia"/>
        </w:rPr>
        <w:t>A</w:t>
      </w:r>
      <w:r w:rsidR="00694D82" w:rsidRPr="00900ADE">
        <w:rPr>
          <w:rFonts w:eastAsiaTheme="minorEastAsia"/>
        </w:rPr>
        <w:t>nother</w:t>
      </w:r>
      <w:r w:rsidR="00BE239F" w:rsidRPr="00900ADE">
        <w:rPr>
          <w:rFonts w:eastAsiaTheme="minorEastAsia"/>
        </w:rPr>
        <w:t xml:space="preserve"> leader stated</w:t>
      </w:r>
      <w:r w:rsidR="00786CB2" w:rsidRPr="00900ADE">
        <w:rPr>
          <w:rFonts w:eastAsiaTheme="minorEastAsia"/>
        </w:rPr>
        <w:t xml:space="preserve">, </w:t>
      </w:r>
      <w:r w:rsidR="00BE239F" w:rsidRPr="00900ADE">
        <w:rPr>
          <w:rFonts w:eastAsiaTheme="minorEastAsia"/>
        </w:rPr>
        <w:t>“</w:t>
      </w:r>
      <w:r w:rsidR="00BE239F" w:rsidRPr="00900ADE">
        <w:rPr>
          <w:color w:val="000000" w:themeColor="text1"/>
        </w:rPr>
        <w:t xml:space="preserve">I think all of us </w:t>
      </w:r>
      <w:r w:rsidR="00BE0249" w:rsidRPr="00900ADE">
        <w:rPr>
          <w:color w:val="000000" w:themeColor="text1"/>
        </w:rPr>
        <w:t xml:space="preserve">[as principals] </w:t>
      </w:r>
      <w:r w:rsidR="00BE239F" w:rsidRPr="00900ADE">
        <w:rPr>
          <w:color w:val="000000" w:themeColor="text1"/>
        </w:rPr>
        <w:t xml:space="preserve">have worked really hard to have these thoughtful </w:t>
      </w:r>
      <w:r w:rsidR="00786CB2" w:rsidRPr="00900ADE">
        <w:rPr>
          <w:color w:val="000000" w:themeColor="text1"/>
        </w:rPr>
        <w:t>discussions</w:t>
      </w:r>
      <w:r w:rsidR="00BE239F" w:rsidRPr="00900ADE">
        <w:rPr>
          <w:color w:val="000000" w:themeColor="text1"/>
        </w:rPr>
        <w:t xml:space="preserve"> about providing opportunities to include our faculty in </w:t>
      </w:r>
      <w:r w:rsidR="00F165E6">
        <w:rPr>
          <w:color w:val="000000" w:themeColor="text1"/>
        </w:rPr>
        <w:t>decision-making</w:t>
      </w:r>
      <w:r w:rsidR="00BE239F" w:rsidRPr="00900ADE">
        <w:rPr>
          <w:color w:val="000000" w:themeColor="text1"/>
        </w:rPr>
        <w:t xml:space="preserve"> </w:t>
      </w:r>
      <w:r w:rsidR="00BE239F" w:rsidRPr="00900ADE">
        <w:t xml:space="preserve">and to ensure that we have wellness programs for our staff as well.” </w:t>
      </w:r>
      <w:r w:rsidR="00BE239F" w:rsidRPr="00900ADE">
        <w:rPr>
          <w:rFonts w:eastAsiaTheme="minorEastAsia"/>
        </w:rPr>
        <w:t xml:space="preserve">Another leader offered an example of a staff-led initiative on each payday, when departments take responsibility to host a breakfast throughout the year. Another school has afterschool gatherings and celebrates staff birthdays. A leader summed up their efforts: </w:t>
      </w:r>
      <w:r w:rsidR="00BE239F" w:rsidRPr="00900ADE">
        <w:rPr>
          <w:rFonts w:eastAsiaTheme="minorEastAsia"/>
        </w:rPr>
        <w:lastRenderedPageBreak/>
        <w:t xml:space="preserve">“We know that if we put the investment into making them feel good about coming to work, having access to things that they need, they can perform better in the classroom for the kids.” </w:t>
      </w:r>
      <w:r w:rsidR="008B1273">
        <w:rPr>
          <w:rFonts w:eastAsiaTheme="minorEastAsia"/>
        </w:rPr>
        <w:t>Leaders cited as an example that</w:t>
      </w:r>
      <w:r w:rsidR="008B1273" w:rsidRPr="00900ADE">
        <w:rPr>
          <w:rFonts w:eastAsiaTheme="minorEastAsia"/>
        </w:rPr>
        <w:t xml:space="preserve"> </w:t>
      </w:r>
      <w:r w:rsidR="00E638E2">
        <w:rPr>
          <w:rFonts w:eastAsiaTheme="minorEastAsia"/>
        </w:rPr>
        <w:t xml:space="preserve">the </w:t>
      </w:r>
      <w:r w:rsidR="005928F2" w:rsidRPr="00900ADE">
        <w:rPr>
          <w:rFonts w:eastAsiaTheme="minorEastAsia"/>
        </w:rPr>
        <w:t>district has a fee-for-service daycare</w:t>
      </w:r>
      <w:r w:rsidR="001B5D37" w:rsidRPr="00900ADE">
        <w:rPr>
          <w:rFonts w:eastAsiaTheme="minorEastAsia"/>
        </w:rPr>
        <w:t xml:space="preserve"> for the children of employees</w:t>
      </w:r>
      <w:r w:rsidR="003C4DDF">
        <w:rPr>
          <w:rFonts w:eastAsiaTheme="minorEastAsia"/>
        </w:rPr>
        <w:t>,</w:t>
      </w:r>
      <w:r w:rsidR="005928F2" w:rsidRPr="00900ADE">
        <w:rPr>
          <w:rFonts w:eastAsiaTheme="minorEastAsia"/>
        </w:rPr>
        <w:t xml:space="preserve"> </w:t>
      </w:r>
      <w:r w:rsidR="003C4DDF">
        <w:rPr>
          <w:rFonts w:eastAsiaTheme="minorEastAsia"/>
        </w:rPr>
        <w:t>which</w:t>
      </w:r>
      <w:r w:rsidR="003C4DDF" w:rsidRPr="00900ADE">
        <w:rPr>
          <w:rFonts w:eastAsiaTheme="minorEastAsia"/>
        </w:rPr>
        <w:t xml:space="preserve"> </w:t>
      </w:r>
      <w:r w:rsidR="00FE3366" w:rsidRPr="00900ADE">
        <w:rPr>
          <w:rFonts w:eastAsiaTheme="minorEastAsia"/>
        </w:rPr>
        <w:t xml:space="preserve">leaders said they hope </w:t>
      </w:r>
      <w:r w:rsidR="005928F2" w:rsidRPr="00900ADE">
        <w:rPr>
          <w:rFonts w:eastAsiaTheme="minorEastAsia"/>
        </w:rPr>
        <w:t>help</w:t>
      </w:r>
      <w:r w:rsidR="008558CE">
        <w:rPr>
          <w:rFonts w:eastAsiaTheme="minorEastAsia"/>
        </w:rPr>
        <w:t>s</w:t>
      </w:r>
      <w:r w:rsidR="005928F2" w:rsidRPr="00900ADE">
        <w:rPr>
          <w:rFonts w:eastAsiaTheme="minorEastAsia"/>
        </w:rPr>
        <w:t xml:space="preserve"> </w:t>
      </w:r>
      <w:r w:rsidR="00144BD2" w:rsidRPr="00900ADE">
        <w:rPr>
          <w:rFonts w:eastAsiaTheme="minorEastAsia"/>
        </w:rPr>
        <w:t>with</w:t>
      </w:r>
      <w:r w:rsidR="005928F2" w:rsidRPr="00900ADE">
        <w:rPr>
          <w:rFonts w:eastAsiaTheme="minorEastAsia"/>
        </w:rPr>
        <w:t xml:space="preserve"> retention.</w:t>
      </w:r>
      <w:r w:rsidR="00C90431">
        <w:rPr>
          <w:rFonts w:eastAsiaTheme="minorEastAsia"/>
        </w:rPr>
        <w:t xml:space="preserve"> These efforts to create a more positive staff culture are a strength of the district. </w:t>
      </w:r>
    </w:p>
    <w:p w14:paraId="63241C39" w14:textId="77777777" w:rsidR="00036267" w:rsidRDefault="00AF2FB7" w:rsidP="00AF2FB7">
      <w:pPr>
        <w:pStyle w:val="BodyText"/>
        <w:rPr>
          <w:rFonts w:eastAsiaTheme="minorEastAsia"/>
        </w:rPr>
      </w:pPr>
      <w:r w:rsidRPr="00900ADE">
        <w:t xml:space="preserve">District leaders described their approach to retaining educators as multifaceted, including both personable approaches and supports for staff. In trying to balance formal human resources systems with individual interactions, leaders reported </w:t>
      </w:r>
      <w:r w:rsidRPr="00900ADE">
        <w:rPr>
          <w:rFonts w:eastAsiaTheme="minorEastAsia"/>
        </w:rPr>
        <w:t xml:space="preserve">using a personal touch to reach out to new staff members to determine if they need assistance and let them know that district leaders are available to support them. The superintendent also sends note cards to new staff a few times during the year. </w:t>
      </w:r>
    </w:p>
    <w:p w14:paraId="74AF436C" w14:textId="591F4F54" w:rsidR="005357A8" w:rsidRPr="00900ADE" w:rsidRDefault="00986F69" w:rsidP="00AF2FB7">
      <w:pPr>
        <w:pStyle w:val="BodyText"/>
        <w:rPr>
          <w:rFonts w:eastAsiaTheme="minorEastAsia"/>
        </w:rPr>
      </w:pPr>
      <w:r>
        <w:rPr>
          <w:rFonts w:eastAsiaTheme="minorEastAsia"/>
        </w:rPr>
        <w:t>A</w:t>
      </w:r>
      <w:r w:rsidRPr="00900ADE">
        <w:t xml:space="preserve">ccording to DESE data, teacher retention increased from 77.4 percent in 2022 to 87.6 percent in 2024, which is above the state rate of 85.8 percent. </w:t>
      </w:r>
      <w:r w:rsidR="00CD5E54">
        <w:t xml:space="preserve">Despite </w:t>
      </w:r>
      <w:r w:rsidR="00F50B5A">
        <w:t xml:space="preserve">the </w:t>
      </w:r>
      <w:r w:rsidR="00CD5E54">
        <w:t>efforts to retain staff</w:t>
      </w:r>
      <w:r w:rsidR="0060396D">
        <w:t xml:space="preserve"> and create more positive </w:t>
      </w:r>
      <w:r w:rsidR="00FE4530">
        <w:t>environments</w:t>
      </w:r>
      <w:r w:rsidR="00CD5E54">
        <w:t>,</w:t>
      </w:r>
      <w:r w:rsidR="005357A8" w:rsidRPr="00900ADE">
        <w:t xml:space="preserve"> district leader</w:t>
      </w:r>
      <w:r w:rsidR="009323F1">
        <w:t>s</w:t>
      </w:r>
      <w:r w:rsidR="005357A8" w:rsidRPr="00900ADE">
        <w:t xml:space="preserve"> explained that</w:t>
      </w:r>
      <w:r w:rsidR="00036267">
        <w:t>, while</w:t>
      </w:r>
      <w:r w:rsidR="00FD7133">
        <w:t xml:space="preserve"> staff </w:t>
      </w:r>
      <w:r w:rsidR="00FE4530">
        <w:t>retention is</w:t>
      </w:r>
      <w:r w:rsidR="00FD7133">
        <w:t xml:space="preserve"> improving, </w:t>
      </w:r>
      <w:r w:rsidR="00036267">
        <w:t>it remains</w:t>
      </w:r>
      <w:r w:rsidR="00FD7133">
        <w:t xml:space="preserve"> very</w:t>
      </w:r>
      <w:r w:rsidR="005357A8" w:rsidRPr="00900ADE">
        <w:t xml:space="preserve"> challenging. </w:t>
      </w:r>
      <w:r w:rsidR="00F84CEF" w:rsidRPr="00900ADE">
        <w:t xml:space="preserve">Student focus group participants also recognized </w:t>
      </w:r>
      <w:r w:rsidR="003C4DDF">
        <w:t xml:space="preserve">the </w:t>
      </w:r>
      <w:r w:rsidR="00F84CEF" w:rsidRPr="00900ADE">
        <w:t>high turnover of their teachers, particularly in the mathematics department and among some athletic coaches in the high school.</w:t>
      </w:r>
      <w:r w:rsidR="005357A8" w:rsidRPr="00900ADE">
        <w:t xml:space="preserve"> </w:t>
      </w:r>
      <w:r w:rsidR="00C320A8">
        <w:rPr>
          <w:spacing w:val="-2"/>
        </w:rPr>
        <w:t>P</w:t>
      </w:r>
      <w:r w:rsidR="00C320A8" w:rsidRPr="00900ADE">
        <w:rPr>
          <w:spacing w:val="-2"/>
        </w:rPr>
        <w:t xml:space="preserve">articipants in a teacher focus group shared that many of </w:t>
      </w:r>
      <w:r w:rsidR="00C320A8">
        <w:rPr>
          <w:spacing w:val="-2"/>
        </w:rPr>
        <w:t>the culture and retention</w:t>
      </w:r>
      <w:r w:rsidR="00C320A8" w:rsidRPr="00900ADE">
        <w:rPr>
          <w:spacing w:val="-2"/>
        </w:rPr>
        <w:t xml:space="preserve"> efforts are not </w:t>
      </w:r>
      <w:r w:rsidR="00C320A8">
        <w:rPr>
          <w:spacing w:val="-2"/>
        </w:rPr>
        <w:t xml:space="preserve">always </w:t>
      </w:r>
      <w:r w:rsidR="00C320A8" w:rsidRPr="00900ADE">
        <w:rPr>
          <w:spacing w:val="-2"/>
        </w:rPr>
        <w:t>factors in</w:t>
      </w:r>
      <w:r w:rsidR="00C320A8">
        <w:rPr>
          <w:spacing w:val="-2"/>
        </w:rPr>
        <w:t xml:space="preserve"> teachers’</w:t>
      </w:r>
      <w:r w:rsidR="00C320A8" w:rsidRPr="00900ADE">
        <w:rPr>
          <w:spacing w:val="-2"/>
        </w:rPr>
        <w:t xml:space="preserve"> retention</w:t>
      </w:r>
      <w:r w:rsidR="00C320A8">
        <w:rPr>
          <w:spacing w:val="-2"/>
        </w:rPr>
        <w:t xml:space="preserve"> decisions</w:t>
      </w:r>
      <w:r w:rsidR="00C320A8" w:rsidRPr="00900ADE">
        <w:rPr>
          <w:spacing w:val="-2"/>
        </w:rPr>
        <w:t xml:space="preserve">. </w:t>
      </w:r>
      <w:r w:rsidR="00C320A8">
        <w:rPr>
          <w:spacing w:val="-2"/>
        </w:rPr>
        <w:t>These s</w:t>
      </w:r>
      <w:r w:rsidR="00C320A8" w:rsidRPr="00900ADE">
        <w:rPr>
          <w:spacing w:val="-2"/>
        </w:rPr>
        <w:t>taff reported relationships with colleagues as the main reason they stay: “I love the people I work with, and that’s probably why I’ve never left.” For others, staff said that the common reason(s) that staff leave the district is a lack of support from the administration.</w:t>
      </w:r>
      <w:r w:rsidR="001C0216">
        <w:t xml:space="preserve"> </w:t>
      </w:r>
      <w:r w:rsidR="005357A8">
        <w:t>Another</w:t>
      </w:r>
      <w:r w:rsidR="005357A8" w:rsidRPr="00900ADE">
        <w:t xml:space="preserve"> principal</w:t>
      </w:r>
      <w:r w:rsidR="005357A8">
        <w:t xml:space="preserve"> agreed on the challenge of staff turnover, </w:t>
      </w:r>
      <w:r w:rsidR="00DD102C">
        <w:t>but</w:t>
      </w:r>
      <w:r w:rsidR="005357A8" w:rsidRPr="00900ADE">
        <w:t xml:space="preserve"> attribute</w:t>
      </w:r>
      <w:r w:rsidR="005357A8">
        <w:t>d</w:t>
      </w:r>
      <w:r w:rsidR="005357A8" w:rsidRPr="00900ADE">
        <w:t xml:space="preserve"> part of the reason to the district’s “strong focus on teaching outcomes for students,” which can create pressure on teachers. </w:t>
      </w:r>
    </w:p>
    <w:p w14:paraId="59262635" w14:textId="7CF1005B" w:rsidR="00B42C34" w:rsidRPr="00900ADE" w:rsidRDefault="00075434" w:rsidP="008327C3">
      <w:pPr>
        <w:pStyle w:val="BodyText"/>
      </w:pPr>
      <w:r w:rsidRPr="00900ADE">
        <w:rPr>
          <w:spacing w:val="-2"/>
        </w:rPr>
        <w:t xml:space="preserve">Teacher focus group participants indicated that the health and wellness supports that the district provides are inconsistent across </w:t>
      </w:r>
      <w:r w:rsidR="003576E7">
        <w:rPr>
          <w:spacing w:val="-2"/>
        </w:rPr>
        <w:t>buildings</w:t>
      </w:r>
      <w:r w:rsidR="003576E7" w:rsidRPr="00900ADE">
        <w:rPr>
          <w:spacing w:val="-2"/>
        </w:rPr>
        <w:t xml:space="preserve"> </w:t>
      </w:r>
      <w:r w:rsidRPr="00900ADE">
        <w:rPr>
          <w:spacing w:val="-2"/>
        </w:rPr>
        <w:t xml:space="preserve">and do not necessarily meet the needs of </w:t>
      </w:r>
      <w:r w:rsidR="003576E7">
        <w:rPr>
          <w:spacing w:val="-2"/>
        </w:rPr>
        <w:t xml:space="preserve">all </w:t>
      </w:r>
      <w:r w:rsidRPr="00900ADE">
        <w:rPr>
          <w:spacing w:val="-2"/>
        </w:rPr>
        <w:t xml:space="preserve">educators. </w:t>
      </w:r>
      <w:r w:rsidR="00EE5741">
        <w:rPr>
          <w:spacing w:val="-2"/>
        </w:rPr>
        <w:t>Several f</w:t>
      </w:r>
      <w:r w:rsidRPr="00900ADE">
        <w:rPr>
          <w:spacing w:val="-2"/>
        </w:rPr>
        <w:t xml:space="preserve">ocus group participants reported not being asked </w:t>
      </w:r>
      <w:r w:rsidR="006F7A5A" w:rsidRPr="00900ADE">
        <w:rPr>
          <w:spacing w:val="-2"/>
        </w:rPr>
        <w:t>what they need to be successful</w:t>
      </w:r>
      <w:r w:rsidR="00352195" w:rsidRPr="00900ADE">
        <w:rPr>
          <w:spacing w:val="-2"/>
        </w:rPr>
        <w:t>,</w:t>
      </w:r>
      <w:r w:rsidRPr="00900ADE">
        <w:rPr>
          <w:spacing w:val="-2"/>
        </w:rPr>
        <w:t xml:space="preserve"> suggest</w:t>
      </w:r>
      <w:r w:rsidR="00144BD2" w:rsidRPr="00900ADE">
        <w:rPr>
          <w:spacing w:val="-2"/>
        </w:rPr>
        <w:t>ing</w:t>
      </w:r>
      <w:r w:rsidRPr="00900ADE">
        <w:rPr>
          <w:spacing w:val="-2"/>
        </w:rPr>
        <w:t xml:space="preserve"> that the current district </w:t>
      </w:r>
      <w:r w:rsidR="00EE5741">
        <w:rPr>
          <w:spacing w:val="-2"/>
        </w:rPr>
        <w:t xml:space="preserve">wellness </w:t>
      </w:r>
      <w:r w:rsidRPr="00900ADE">
        <w:rPr>
          <w:spacing w:val="-2"/>
        </w:rPr>
        <w:t>programming, such as yoga classes, is not what educators want. They suggested that t</w:t>
      </w:r>
      <w:r w:rsidRPr="00900ADE">
        <w:rPr>
          <w:rFonts w:eastAsia="Aptos Narrow" w:cs="Aptos Narrow"/>
          <w:spacing w:val="-2"/>
        </w:rPr>
        <w:t xml:space="preserve">eachers need to feel supported and feel </w:t>
      </w:r>
      <w:r w:rsidR="00144BD2" w:rsidRPr="00900ADE">
        <w:rPr>
          <w:rFonts w:eastAsia="Aptos Narrow" w:cs="Aptos Narrow"/>
          <w:spacing w:val="-2"/>
        </w:rPr>
        <w:t xml:space="preserve">as if </w:t>
      </w:r>
      <w:r w:rsidRPr="00900ADE">
        <w:rPr>
          <w:rFonts w:eastAsia="Aptos Narrow" w:cs="Aptos Narrow"/>
          <w:spacing w:val="-2"/>
        </w:rPr>
        <w:t xml:space="preserve">they can go to their respective administrator and </w:t>
      </w:r>
      <w:r w:rsidR="00232344" w:rsidRPr="00900ADE">
        <w:rPr>
          <w:rFonts w:eastAsia="Aptos Narrow" w:cs="Aptos Narrow"/>
          <w:spacing w:val="-2"/>
        </w:rPr>
        <w:t>“</w:t>
      </w:r>
      <w:r w:rsidRPr="00900ADE">
        <w:rPr>
          <w:rFonts w:eastAsia="Aptos Narrow" w:cs="Aptos Narrow"/>
          <w:spacing w:val="-2"/>
        </w:rPr>
        <w:t>just vent if they need to vent or ask for help if they need help</w:t>
      </w:r>
      <w:r w:rsidR="00144BD2" w:rsidRPr="00900ADE">
        <w:rPr>
          <w:rFonts w:eastAsia="Aptos Narrow" w:cs="Aptos Narrow"/>
          <w:spacing w:val="-2"/>
        </w:rPr>
        <w:t>.</w:t>
      </w:r>
      <w:r w:rsidR="00232344" w:rsidRPr="00900ADE">
        <w:rPr>
          <w:rFonts w:eastAsia="Aptos Narrow" w:cs="Aptos Narrow"/>
          <w:spacing w:val="-2"/>
        </w:rPr>
        <w:t>”</w:t>
      </w:r>
      <w:r w:rsidRPr="00900ADE">
        <w:rPr>
          <w:rFonts w:eastAsia="Aptos Narrow" w:cs="Aptos Narrow"/>
          <w:spacing w:val="-2"/>
        </w:rPr>
        <w:t xml:space="preserve"> </w:t>
      </w:r>
      <w:r w:rsidR="00144BD2" w:rsidRPr="00900ADE">
        <w:rPr>
          <w:rFonts w:eastAsia="Aptos Narrow" w:cs="Aptos Narrow"/>
          <w:spacing w:val="-2"/>
        </w:rPr>
        <w:t>C</w:t>
      </w:r>
      <w:r w:rsidRPr="00900ADE">
        <w:rPr>
          <w:rFonts w:eastAsia="Aptos Narrow" w:cs="Aptos Narrow"/>
          <w:spacing w:val="-2"/>
        </w:rPr>
        <w:t xml:space="preserve">urrently, </w:t>
      </w:r>
      <w:r w:rsidR="00B42C34" w:rsidRPr="00900ADE">
        <w:rPr>
          <w:rFonts w:eastAsia="Aptos Narrow" w:cs="Aptos Narrow"/>
          <w:spacing w:val="-2"/>
        </w:rPr>
        <w:t xml:space="preserve">some teachers </w:t>
      </w:r>
      <w:r w:rsidR="00AE5E43" w:rsidRPr="00900ADE">
        <w:rPr>
          <w:rFonts w:eastAsia="Aptos Narrow" w:cs="Aptos Narrow"/>
          <w:spacing w:val="-2"/>
        </w:rPr>
        <w:t>feel</w:t>
      </w:r>
      <w:r w:rsidR="00B42C34" w:rsidRPr="00900ADE">
        <w:rPr>
          <w:rFonts w:eastAsia="Aptos Narrow" w:cs="Aptos Narrow"/>
          <w:spacing w:val="-2"/>
        </w:rPr>
        <w:t xml:space="preserve"> </w:t>
      </w:r>
      <w:r w:rsidR="00144BD2" w:rsidRPr="00900ADE">
        <w:rPr>
          <w:rFonts w:eastAsia="Aptos Narrow" w:cs="Aptos Narrow"/>
          <w:spacing w:val="-2"/>
        </w:rPr>
        <w:t xml:space="preserve">that such </w:t>
      </w:r>
      <w:r w:rsidR="00B42C34" w:rsidRPr="00900ADE">
        <w:rPr>
          <w:rFonts w:eastAsia="Aptos Narrow" w:cs="Aptos Narrow"/>
          <w:spacing w:val="-2"/>
        </w:rPr>
        <w:t>opportunities are not open to them</w:t>
      </w:r>
      <w:r w:rsidRPr="00900ADE">
        <w:rPr>
          <w:rFonts w:eastAsia="Aptos Narrow" w:cs="Aptos Narrow"/>
          <w:spacing w:val="-2"/>
        </w:rPr>
        <w:t>.</w:t>
      </w:r>
      <w:r w:rsidR="00AE5E43" w:rsidRPr="00900ADE">
        <w:rPr>
          <w:rFonts w:eastAsia="Aptos Narrow" w:cs="Aptos Narrow"/>
          <w:spacing w:val="-2"/>
        </w:rPr>
        <w:t xml:space="preserve"> For example, two teachers shared that some newer teachers are afraid to speak up</w:t>
      </w:r>
      <w:r w:rsidR="0023673E" w:rsidRPr="00900ADE">
        <w:rPr>
          <w:rFonts w:eastAsia="Aptos Narrow" w:cs="Aptos Narrow"/>
          <w:spacing w:val="-2"/>
        </w:rPr>
        <w:t xml:space="preserve"> because of </w:t>
      </w:r>
      <w:r w:rsidR="003C4DDF">
        <w:rPr>
          <w:rFonts w:eastAsia="Aptos Narrow" w:cs="Aptos Narrow"/>
          <w:spacing w:val="-2"/>
        </w:rPr>
        <w:t xml:space="preserve">the </w:t>
      </w:r>
      <w:r w:rsidR="00EF3B9C" w:rsidRPr="00900ADE">
        <w:rPr>
          <w:rFonts w:eastAsia="Aptos Narrow" w:cs="Aptos Narrow"/>
          <w:spacing w:val="-2"/>
        </w:rPr>
        <w:t>fear of retaliation</w:t>
      </w:r>
      <w:r w:rsidR="00144BD2" w:rsidRPr="00900ADE">
        <w:rPr>
          <w:rFonts w:eastAsia="Aptos Narrow" w:cs="Aptos Narrow"/>
          <w:spacing w:val="-2"/>
        </w:rPr>
        <w:t>;</w:t>
      </w:r>
      <w:r w:rsidR="0023673E" w:rsidRPr="00900ADE">
        <w:rPr>
          <w:rFonts w:eastAsia="Aptos Narrow" w:cs="Aptos Narrow"/>
          <w:spacing w:val="-2"/>
        </w:rPr>
        <w:t xml:space="preserve"> for some staff</w:t>
      </w:r>
      <w:r w:rsidR="00144BD2" w:rsidRPr="00900ADE">
        <w:rPr>
          <w:rFonts w:eastAsia="Aptos Narrow" w:cs="Aptos Narrow"/>
          <w:spacing w:val="-2"/>
        </w:rPr>
        <w:t>,</w:t>
      </w:r>
      <w:r w:rsidR="0023673E" w:rsidRPr="00900ADE">
        <w:rPr>
          <w:rFonts w:eastAsia="Aptos Narrow" w:cs="Aptos Narrow"/>
          <w:spacing w:val="-2"/>
        </w:rPr>
        <w:t xml:space="preserve"> this fear</w:t>
      </w:r>
      <w:r w:rsidR="00D450E9" w:rsidRPr="00900ADE">
        <w:rPr>
          <w:rFonts w:eastAsia="Aptos Narrow" w:cs="Aptos Narrow"/>
          <w:spacing w:val="-2"/>
        </w:rPr>
        <w:t xml:space="preserve"> reduces participation even in </w:t>
      </w:r>
      <w:r w:rsidR="00B04889">
        <w:rPr>
          <w:rFonts w:eastAsia="Aptos Narrow" w:cs="Aptos Narrow"/>
          <w:spacing w:val="-2"/>
        </w:rPr>
        <w:t xml:space="preserve">anonymous </w:t>
      </w:r>
      <w:r w:rsidR="00D450E9" w:rsidRPr="00900ADE">
        <w:rPr>
          <w:rFonts w:eastAsia="Aptos Narrow" w:cs="Aptos Narrow"/>
          <w:spacing w:val="-2"/>
        </w:rPr>
        <w:t>staff surveys.</w:t>
      </w:r>
      <w:r w:rsidR="005A2C9E" w:rsidRPr="00900ADE">
        <w:rPr>
          <w:rFonts w:eastAsia="Aptos Narrow" w:cs="Aptos Narrow"/>
          <w:spacing w:val="-2"/>
        </w:rPr>
        <w:t xml:space="preserve"> One teacher described reporting an issue to human resources that </w:t>
      </w:r>
      <w:r w:rsidR="00865CC4" w:rsidRPr="00900ADE">
        <w:rPr>
          <w:rFonts w:eastAsia="Aptos Narrow" w:cs="Aptos Narrow"/>
          <w:spacing w:val="-2"/>
        </w:rPr>
        <w:t>a staff member understood to be confidential</w:t>
      </w:r>
      <w:r w:rsidR="00646C0D">
        <w:rPr>
          <w:rFonts w:eastAsia="Aptos Narrow" w:cs="Aptos Narrow"/>
          <w:spacing w:val="-2"/>
        </w:rPr>
        <w:t>,</w:t>
      </w:r>
      <w:r w:rsidR="00865CC4" w:rsidRPr="00900ADE">
        <w:rPr>
          <w:rFonts w:eastAsia="Aptos Narrow" w:cs="Aptos Narrow"/>
          <w:spacing w:val="-2"/>
        </w:rPr>
        <w:t xml:space="preserve"> but was rela</w:t>
      </w:r>
      <w:r w:rsidR="00EF3B9C" w:rsidRPr="00900ADE">
        <w:rPr>
          <w:rFonts w:eastAsia="Aptos Narrow" w:cs="Aptos Narrow"/>
          <w:spacing w:val="-2"/>
        </w:rPr>
        <w:t>y</w:t>
      </w:r>
      <w:r w:rsidR="00865CC4" w:rsidRPr="00900ADE">
        <w:rPr>
          <w:rFonts w:eastAsia="Aptos Narrow" w:cs="Aptos Narrow"/>
          <w:spacing w:val="-2"/>
        </w:rPr>
        <w:t xml:space="preserve">ed </w:t>
      </w:r>
      <w:r w:rsidR="00EF3B9C" w:rsidRPr="00900ADE">
        <w:rPr>
          <w:rFonts w:eastAsia="Aptos Narrow" w:cs="Aptos Narrow"/>
          <w:spacing w:val="-2"/>
        </w:rPr>
        <w:t xml:space="preserve">back </w:t>
      </w:r>
      <w:r w:rsidR="00865CC4" w:rsidRPr="00900ADE">
        <w:rPr>
          <w:rFonts w:eastAsia="Aptos Narrow" w:cs="Aptos Narrow"/>
          <w:spacing w:val="-2"/>
        </w:rPr>
        <w:t>to their administrator and the union.</w:t>
      </w:r>
      <w:r w:rsidRPr="00900ADE">
        <w:rPr>
          <w:rFonts w:eastAsia="Aptos Narrow" w:cs="Aptos Narrow"/>
          <w:spacing w:val="-2"/>
        </w:rPr>
        <w:t xml:space="preserve"> </w:t>
      </w:r>
      <w:r w:rsidR="00B04889">
        <w:rPr>
          <w:rFonts w:eastAsia="Aptos Narrow" w:cs="Aptos Narrow"/>
          <w:spacing w:val="-2"/>
        </w:rPr>
        <w:t xml:space="preserve">Some teacher focus group </w:t>
      </w:r>
      <w:r w:rsidR="00B04889">
        <w:rPr>
          <w:spacing w:val="-2"/>
        </w:rPr>
        <w:t>p</w:t>
      </w:r>
      <w:r w:rsidR="00EE5B48" w:rsidRPr="00900ADE">
        <w:rPr>
          <w:spacing w:val="-2"/>
        </w:rPr>
        <w:t xml:space="preserve">articipants shared that they believe that the district’s newer leaders are </w:t>
      </w:r>
      <w:r w:rsidR="00144BD2" w:rsidRPr="00900ADE">
        <w:rPr>
          <w:spacing w:val="-2"/>
        </w:rPr>
        <w:t xml:space="preserve">trying </w:t>
      </w:r>
      <w:r w:rsidR="00EE5B48" w:rsidRPr="00900ADE">
        <w:rPr>
          <w:spacing w:val="-2"/>
        </w:rPr>
        <w:t>to improve these issues</w:t>
      </w:r>
      <w:r w:rsidR="0093650C" w:rsidRPr="00900ADE">
        <w:rPr>
          <w:spacing w:val="-2"/>
        </w:rPr>
        <w:t xml:space="preserve">. </w:t>
      </w:r>
    </w:p>
    <w:p w14:paraId="49BFCF5E" w14:textId="7C71D69E" w:rsidR="00B42C34" w:rsidRPr="00900ADE" w:rsidRDefault="00B42C34" w:rsidP="00B42C34">
      <w:pPr>
        <w:pStyle w:val="Heading3"/>
        <w:tabs>
          <w:tab w:val="left" w:pos="2393"/>
        </w:tabs>
      </w:pPr>
      <w:bookmarkStart w:id="57" w:name="_Professional_Learning"/>
      <w:bookmarkEnd w:id="57"/>
      <w:r w:rsidRPr="00900ADE">
        <w:t>Professional Learning</w:t>
      </w:r>
    </w:p>
    <w:p w14:paraId="1E664DE2" w14:textId="3A169C87" w:rsidR="00266608" w:rsidRPr="00F619D5" w:rsidRDefault="6E7DE7A3" w:rsidP="008327C3">
      <w:pPr>
        <w:pStyle w:val="BodyTextposthead"/>
        <w:rPr>
          <w:rFonts w:eastAsia="Aptos" w:cs="Aptos"/>
        </w:rPr>
      </w:pPr>
      <w:r w:rsidRPr="00F619D5">
        <w:t xml:space="preserve">District </w:t>
      </w:r>
      <w:r w:rsidR="6B6A8CF2" w:rsidRPr="00F619D5">
        <w:t>leader</w:t>
      </w:r>
      <w:r w:rsidR="1FD2718A" w:rsidRPr="00F619D5">
        <w:t>s</w:t>
      </w:r>
      <w:r w:rsidRPr="00F619D5">
        <w:t xml:space="preserve"> reported </w:t>
      </w:r>
      <w:r w:rsidR="001A2C28" w:rsidRPr="00F619D5">
        <w:t xml:space="preserve">primarily </w:t>
      </w:r>
      <w:r w:rsidRPr="00F619D5">
        <w:t xml:space="preserve">using </w:t>
      </w:r>
      <w:r w:rsidR="6BE67EDD" w:rsidRPr="00F619D5">
        <w:t>observation</w:t>
      </w:r>
      <w:r w:rsidR="00A619DA" w:rsidRPr="00F619D5">
        <w:t>s</w:t>
      </w:r>
      <w:r w:rsidR="6BE67EDD" w:rsidRPr="00F619D5">
        <w:t xml:space="preserve"> and feedback</w:t>
      </w:r>
      <w:r w:rsidR="001A2C28" w:rsidRPr="00F619D5">
        <w:t xml:space="preserve"> from the walkthrough process</w:t>
      </w:r>
      <w:r w:rsidR="6BE67EDD" w:rsidRPr="00F619D5">
        <w:t xml:space="preserve"> </w:t>
      </w:r>
      <w:r w:rsidR="37BBA0E1" w:rsidRPr="00F619D5">
        <w:t xml:space="preserve">to </w:t>
      </w:r>
      <w:r w:rsidR="6BE67EDD" w:rsidRPr="00F619D5">
        <w:t>provide educators with guidance to support all students.</w:t>
      </w:r>
      <w:r w:rsidR="36DCAF47" w:rsidRPr="00F619D5">
        <w:t xml:space="preserve"> </w:t>
      </w:r>
      <w:r w:rsidR="002F7E23" w:rsidRPr="00F619D5">
        <w:t xml:space="preserve">Principals similarly reported that they co-observe classrooms periodically with district leaders. </w:t>
      </w:r>
      <w:r w:rsidR="48C607FF" w:rsidRPr="00F619D5">
        <w:t>For their observations, d</w:t>
      </w:r>
      <w:r w:rsidRPr="00F619D5">
        <w:rPr>
          <w:rFonts w:eastAsia="Aptos" w:cs="Aptos"/>
        </w:rPr>
        <w:t xml:space="preserve">istrict </w:t>
      </w:r>
      <w:r w:rsidR="008A2844" w:rsidRPr="00F619D5">
        <w:rPr>
          <w:rFonts w:eastAsia="Aptos" w:cs="Aptos"/>
        </w:rPr>
        <w:t xml:space="preserve">and school </w:t>
      </w:r>
      <w:r w:rsidRPr="00F619D5">
        <w:rPr>
          <w:rFonts w:eastAsia="Aptos" w:cs="Aptos"/>
        </w:rPr>
        <w:t>leader</w:t>
      </w:r>
      <w:r w:rsidR="00AB1356" w:rsidRPr="00F619D5">
        <w:rPr>
          <w:rFonts w:eastAsia="Aptos" w:cs="Aptos"/>
        </w:rPr>
        <w:t>s</w:t>
      </w:r>
      <w:r w:rsidRPr="00F619D5">
        <w:rPr>
          <w:rFonts w:eastAsia="Aptos" w:cs="Aptos"/>
        </w:rPr>
        <w:t xml:space="preserve"> reported using a “claim, evidence, inference, </w:t>
      </w:r>
      <w:r w:rsidR="00646C0D">
        <w:rPr>
          <w:rFonts w:eastAsia="Aptos" w:cs="Aptos"/>
        </w:rPr>
        <w:t>judgment</w:t>
      </w:r>
      <w:r w:rsidRPr="00F619D5">
        <w:rPr>
          <w:rFonts w:eastAsia="Aptos" w:cs="Aptos"/>
        </w:rPr>
        <w:t xml:space="preserve">” model. They emphasized the importance of transparency and communication as well as prioritizing </w:t>
      </w:r>
      <w:r w:rsidR="46FF31BA" w:rsidRPr="00F619D5">
        <w:rPr>
          <w:rFonts w:eastAsia="Aptos" w:cs="Aptos"/>
        </w:rPr>
        <w:t xml:space="preserve">in-person </w:t>
      </w:r>
      <w:r w:rsidR="75EB6BC0" w:rsidRPr="00F619D5">
        <w:rPr>
          <w:rFonts w:eastAsia="Aptos" w:cs="Aptos"/>
        </w:rPr>
        <w:t>meeting</w:t>
      </w:r>
      <w:r w:rsidR="6747A9D6" w:rsidRPr="00F619D5">
        <w:rPr>
          <w:rFonts w:eastAsia="Aptos" w:cs="Aptos"/>
        </w:rPr>
        <w:t>s</w:t>
      </w:r>
      <w:r w:rsidRPr="00F619D5">
        <w:rPr>
          <w:rFonts w:eastAsia="Aptos" w:cs="Aptos"/>
        </w:rPr>
        <w:t xml:space="preserve"> with teachers before putting anything in writing. In contrast, teachers </w:t>
      </w:r>
      <w:r w:rsidR="00A67BE5" w:rsidRPr="00F619D5">
        <w:rPr>
          <w:rFonts w:eastAsia="Aptos" w:cs="Aptos"/>
        </w:rPr>
        <w:t xml:space="preserve">stated that </w:t>
      </w:r>
      <w:r w:rsidR="00F9781C" w:rsidRPr="00F619D5">
        <w:rPr>
          <w:rFonts w:eastAsia="Aptos" w:cs="Aptos"/>
        </w:rPr>
        <w:t xml:space="preserve">any guidance provided </w:t>
      </w:r>
      <w:r w:rsidR="00F9781C" w:rsidRPr="00F619D5">
        <w:rPr>
          <w:rFonts w:eastAsia="Aptos" w:cs="Aptos"/>
        </w:rPr>
        <w:lastRenderedPageBreak/>
        <w:t>through the walkthrough process is inconsistent</w:t>
      </w:r>
      <w:r w:rsidR="00826CB0" w:rsidRPr="00F619D5">
        <w:rPr>
          <w:rFonts w:eastAsia="Aptos" w:cs="Aptos"/>
        </w:rPr>
        <w:t xml:space="preserve"> </w:t>
      </w:r>
      <w:r w:rsidR="002B2515" w:rsidRPr="00F619D5">
        <w:rPr>
          <w:rFonts w:eastAsia="Aptos" w:cs="Aptos"/>
        </w:rPr>
        <w:t>with</w:t>
      </w:r>
      <w:r w:rsidR="009114BB">
        <w:rPr>
          <w:rFonts w:eastAsia="Aptos" w:cs="Aptos"/>
        </w:rPr>
        <w:t xml:space="preserve"> wide variation in the</w:t>
      </w:r>
      <w:r w:rsidRPr="00F619D5">
        <w:rPr>
          <w:rFonts w:eastAsia="Aptos" w:cs="Aptos"/>
        </w:rPr>
        <w:t xml:space="preserve"> number of times </w:t>
      </w:r>
      <w:r w:rsidR="002B2515" w:rsidRPr="00F619D5">
        <w:rPr>
          <w:rFonts w:eastAsia="Aptos" w:cs="Aptos"/>
        </w:rPr>
        <w:t xml:space="preserve">that </w:t>
      </w:r>
      <w:r w:rsidRPr="00F619D5">
        <w:rPr>
          <w:rFonts w:eastAsia="Aptos" w:cs="Aptos"/>
        </w:rPr>
        <w:t xml:space="preserve">teachers are observed. For instance, if </w:t>
      </w:r>
      <w:r w:rsidR="002B2515" w:rsidRPr="00F619D5">
        <w:rPr>
          <w:rFonts w:eastAsia="Aptos" w:cs="Aptos"/>
        </w:rPr>
        <w:t xml:space="preserve">teachers </w:t>
      </w:r>
      <w:r w:rsidRPr="00F619D5">
        <w:rPr>
          <w:rFonts w:eastAsia="Aptos" w:cs="Aptos"/>
        </w:rPr>
        <w:t xml:space="preserve">are implementing a new program, they might be observed in 10 to 15 walkthroughs, while other teachers might </w:t>
      </w:r>
      <w:r w:rsidR="002B2515" w:rsidRPr="00F619D5">
        <w:rPr>
          <w:rFonts w:eastAsia="Aptos" w:cs="Aptos"/>
        </w:rPr>
        <w:t xml:space="preserve">have </w:t>
      </w:r>
      <w:r w:rsidRPr="00F619D5">
        <w:rPr>
          <w:rFonts w:eastAsia="Aptos" w:cs="Aptos"/>
        </w:rPr>
        <w:t>only one walkthrough. One educator who teaches a non</w:t>
      </w:r>
      <w:r w:rsidR="00716836">
        <w:rPr>
          <w:rFonts w:eastAsia="Aptos" w:cs="Aptos"/>
        </w:rPr>
        <w:t>-</w:t>
      </w:r>
      <w:r w:rsidRPr="00F619D5">
        <w:rPr>
          <w:rFonts w:eastAsia="Aptos" w:cs="Aptos"/>
        </w:rPr>
        <w:t xml:space="preserve">tested subject </w:t>
      </w:r>
      <w:r w:rsidR="00826CB0" w:rsidRPr="00F619D5">
        <w:rPr>
          <w:rFonts w:eastAsia="Aptos" w:cs="Aptos"/>
        </w:rPr>
        <w:t>and</w:t>
      </w:r>
      <w:r w:rsidRPr="00F619D5">
        <w:rPr>
          <w:rFonts w:eastAsia="Aptos" w:cs="Aptos"/>
        </w:rPr>
        <w:t xml:space="preserve"> reported no walkthroughs</w:t>
      </w:r>
      <w:r w:rsidR="002A4D4A">
        <w:rPr>
          <w:rFonts w:eastAsia="Aptos" w:cs="Aptos"/>
        </w:rPr>
        <w:t xml:space="preserve"> in the past year, and</w:t>
      </w:r>
      <w:r w:rsidRPr="00F619D5">
        <w:rPr>
          <w:rFonts w:eastAsia="Aptos" w:cs="Aptos"/>
        </w:rPr>
        <w:t xml:space="preserve"> stated that “it makes me feel like I’m not a valued employee because no one comes to my room.” Another teacher echoed, “I barely ever see anybody come through my room.” </w:t>
      </w:r>
      <w:r w:rsidR="167E34B2" w:rsidRPr="00F619D5">
        <w:rPr>
          <w:rFonts w:eastAsia="Aptos" w:cs="Aptos"/>
        </w:rPr>
        <w:t>With regard to feedback, a</w:t>
      </w:r>
      <w:r w:rsidRPr="00F619D5">
        <w:rPr>
          <w:rFonts w:eastAsia="Aptos" w:cs="Aptos"/>
        </w:rPr>
        <w:t xml:space="preserve"> different teacher reported not getting feedback until April or May. </w:t>
      </w:r>
      <w:r w:rsidR="0F4DBC09" w:rsidRPr="00F619D5">
        <w:rPr>
          <w:rFonts w:eastAsia="Aptos" w:cs="Aptos"/>
        </w:rPr>
        <w:t>Other e</w:t>
      </w:r>
      <w:r w:rsidRPr="00F619D5">
        <w:rPr>
          <w:rFonts w:eastAsia="Aptos" w:cs="Aptos"/>
        </w:rPr>
        <w:t>ducators described “sometimes” receiving feedback</w:t>
      </w:r>
      <w:r w:rsidR="0D7F5841" w:rsidRPr="00F619D5">
        <w:rPr>
          <w:rFonts w:eastAsia="Aptos" w:cs="Aptos"/>
        </w:rPr>
        <w:t xml:space="preserve"> from the</w:t>
      </w:r>
      <w:r w:rsidR="4D3998C3" w:rsidRPr="00F619D5">
        <w:rPr>
          <w:rFonts w:eastAsia="Aptos" w:cs="Aptos"/>
        </w:rPr>
        <w:t>se</w:t>
      </w:r>
      <w:r w:rsidR="0D7F5841" w:rsidRPr="00F619D5">
        <w:rPr>
          <w:rFonts w:eastAsia="Aptos" w:cs="Aptos"/>
        </w:rPr>
        <w:t xml:space="preserve"> walkthroughs</w:t>
      </w:r>
      <w:r w:rsidRPr="00F619D5">
        <w:rPr>
          <w:rFonts w:eastAsia="Aptos" w:cs="Aptos"/>
        </w:rPr>
        <w:t xml:space="preserve">, which is </w:t>
      </w:r>
      <w:r w:rsidR="4384E853" w:rsidRPr="00F619D5">
        <w:rPr>
          <w:rFonts w:eastAsia="Aptos" w:cs="Aptos"/>
        </w:rPr>
        <w:t>shared as</w:t>
      </w:r>
      <w:r w:rsidRPr="00F619D5">
        <w:rPr>
          <w:rFonts w:eastAsia="Aptos" w:cs="Aptos"/>
        </w:rPr>
        <w:t xml:space="preserve"> trends across classrooms, rather than individual feedback. Other</w:t>
      </w:r>
      <w:r w:rsidR="00FA2DFE" w:rsidRPr="00F619D5">
        <w:rPr>
          <w:rFonts w:eastAsia="Aptos" w:cs="Aptos"/>
        </w:rPr>
        <w:t xml:space="preserve"> teacher</w:t>
      </w:r>
      <w:r w:rsidRPr="00F619D5">
        <w:rPr>
          <w:rFonts w:eastAsia="Aptos" w:cs="Aptos"/>
        </w:rPr>
        <w:t>s reported wanting more actionable and nuanced feedback.</w:t>
      </w:r>
      <w:r w:rsidR="004D1EF7">
        <w:rPr>
          <w:rFonts w:eastAsia="Aptos" w:cs="Aptos"/>
        </w:rPr>
        <w:t xml:space="preserve"> As described in the preceding section (see Staffing), </w:t>
      </w:r>
      <w:r w:rsidR="004B4EA1">
        <w:rPr>
          <w:rFonts w:eastAsia="Aptos" w:cs="Aptos"/>
        </w:rPr>
        <w:t>the district is actively working to improve individualized feedback through the formal evaluation process.</w:t>
      </w:r>
      <w:r w:rsidRPr="00F619D5">
        <w:rPr>
          <w:rFonts w:eastAsia="Aptos" w:cs="Aptos"/>
        </w:rPr>
        <w:t xml:space="preserve"> </w:t>
      </w:r>
      <w:r w:rsidR="004B4EA1">
        <w:rPr>
          <w:rFonts w:eastAsia="Aptos" w:cs="Aptos"/>
        </w:rPr>
        <w:t>Similarly, i</w:t>
      </w:r>
      <w:r w:rsidRPr="00F619D5">
        <w:rPr>
          <w:rFonts w:eastAsia="Aptos" w:cs="Aptos"/>
        </w:rPr>
        <w:t xml:space="preserve">mproving the consistency of </w:t>
      </w:r>
      <w:r w:rsidR="00361BCA">
        <w:rPr>
          <w:rFonts w:eastAsia="Aptos" w:cs="Aptos"/>
        </w:rPr>
        <w:t xml:space="preserve">conducting </w:t>
      </w:r>
      <w:r w:rsidRPr="00F619D5">
        <w:rPr>
          <w:rFonts w:eastAsia="Aptos" w:cs="Aptos"/>
        </w:rPr>
        <w:t>walkthroughs and</w:t>
      </w:r>
      <w:r w:rsidR="00361BCA">
        <w:rPr>
          <w:rFonts w:eastAsia="Aptos" w:cs="Aptos"/>
        </w:rPr>
        <w:t xml:space="preserve"> offering</w:t>
      </w:r>
      <w:r w:rsidRPr="00F619D5">
        <w:rPr>
          <w:rFonts w:eastAsia="Aptos" w:cs="Aptos"/>
        </w:rPr>
        <w:t xml:space="preserve"> actionable feedback</w:t>
      </w:r>
      <w:r w:rsidR="00361BCA">
        <w:rPr>
          <w:rFonts w:eastAsia="Aptos" w:cs="Aptos"/>
        </w:rPr>
        <w:t xml:space="preserve"> that guides professional learning for teachers, grade levels, or departments</w:t>
      </w:r>
      <w:r w:rsidRPr="00F619D5">
        <w:rPr>
          <w:rFonts w:eastAsia="Aptos" w:cs="Aptos"/>
        </w:rPr>
        <w:t xml:space="preserve"> is an area fo</w:t>
      </w:r>
      <w:r w:rsidR="0B14C345" w:rsidRPr="00F619D5">
        <w:rPr>
          <w:rFonts w:eastAsia="Aptos" w:cs="Aptos"/>
        </w:rPr>
        <w:t>r growth</w:t>
      </w:r>
      <w:r w:rsidR="00EF3B9C" w:rsidRPr="00F619D5">
        <w:rPr>
          <w:rFonts w:eastAsia="Aptos" w:cs="Aptos"/>
        </w:rPr>
        <w:t xml:space="preserve">. </w:t>
      </w:r>
    </w:p>
    <w:p w14:paraId="3FE90281" w14:textId="31CAE2BC" w:rsidR="00BD7F68" w:rsidRPr="00900ADE" w:rsidRDefault="00631D29" w:rsidP="00257FDD">
      <w:pPr>
        <w:pStyle w:val="BodyText"/>
        <w:rPr>
          <w:color w:val="000000" w:themeColor="text1"/>
        </w:rPr>
      </w:pPr>
      <w:r w:rsidRPr="00900ADE">
        <w:t xml:space="preserve">Other forms of professional learning in the district heavily focus on </w:t>
      </w:r>
      <w:r w:rsidR="004172E0" w:rsidRPr="00900ADE">
        <w:t xml:space="preserve">the use of directed PLC time. Among </w:t>
      </w:r>
      <w:r w:rsidR="008E56A5">
        <w:t>teacher focus group participants, staff at the elementary level</w:t>
      </w:r>
      <w:r w:rsidR="00BF1A10">
        <w:t xml:space="preserve"> more often reported taking part in professional development that was recent, impactful, and </w:t>
      </w:r>
      <w:r w:rsidR="00FB7BC2">
        <w:t xml:space="preserve">shared with other staff. This was particularly true in elementary literacy. </w:t>
      </w:r>
      <w:r w:rsidR="00D7603F" w:rsidRPr="00900ADE">
        <w:t>I</w:t>
      </w:r>
      <w:r w:rsidR="10BB6F0D" w:rsidRPr="00900ADE">
        <w:t>n 2023-</w:t>
      </w:r>
      <w:r w:rsidR="002B2515" w:rsidRPr="00900ADE">
        <w:t>20</w:t>
      </w:r>
      <w:r w:rsidR="10BB6F0D" w:rsidRPr="00900ADE">
        <w:t>24, professional development</w:t>
      </w:r>
      <w:r w:rsidR="605FEA53" w:rsidRPr="00900ADE">
        <w:t xml:space="preserve"> offering</w:t>
      </w:r>
      <w:r w:rsidR="4D05251C" w:rsidRPr="00900ADE">
        <w:t>s</w:t>
      </w:r>
      <w:r w:rsidR="10BB6F0D" w:rsidRPr="00900ADE">
        <w:t xml:space="preserve"> included Building Thinking Classrooms in Mathematics,</w:t>
      </w:r>
      <w:r w:rsidR="78053B6A" w:rsidRPr="00900ADE">
        <w:t xml:space="preserve"> Intellectual Preparation by TNTP</w:t>
      </w:r>
      <w:r w:rsidR="00F84C74" w:rsidRPr="00900ADE">
        <w:t xml:space="preserve"> (formerly The New Teacher Project)</w:t>
      </w:r>
      <w:r w:rsidR="78053B6A" w:rsidRPr="00900ADE">
        <w:t xml:space="preserve">, and </w:t>
      </w:r>
      <w:r w:rsidR="22F11818" w:rsidRPr="00900ADE">
        <w:t xml:space="preserve">Supporting Student Writing by </w:t>
      </w:r>
      <w:r w:rsidR="00DB00C8" w:rsidRPr="00900ADE">
        <w:t>HILL</w:t>
      </w:r>
      <w:r w:rsidR="78053B6A" w:rsidRPr="00900ADE">
        <w:t xml:space="preserve"> for Literacy.</w:t>
      </w:r>
      <w:r w:rsidR="10BB6F0D" w:rsidRPr="00900ADE">
        <w:t xml:space="preserve"> </w:t>
      </w:r>
      <w:r w:rsidR="00BD7F68" w:rsidRPr="00900ADE">
        <w:t xml:space="preserve">The district also provides </w:t>
      </w:r>
      <w:r w:rsidR="002B2515" w:rsidRPr="00900ADE">
        <w:t>one-on-one</w:t>
      </w:r>
      <w:r w:rsidR="00BD7F68" w:rsidRPr="00900ADE">
        <w:t xml:space="preserve"> coaching that, in recent years, has been </w:t>
      </w:r>
      <w:r w:rsidR="00DB00C8" w:rsidRPr="00900ADE">
        <w:t xml:space="preserve">offered primarily at </w:t>
      </w:r>
      <w:r w:rsidR="00BD7F68" w:rsidRPr="00900ADE">
        <w:t>the elementary level in conjunction with the district</w:t>
      </w:r>
      <w:r w:rsidR="00DB00C8" w:rsidRPr="00900ADE">
        <w:t>’s</w:t>
      </w:r>
      <w:r w:rsidR="00BD7F68" w:rsidRPr="00900ADE">
        <w:t xml:space="preserve"> early literacy efforts. </w:t>
      </w:r>
      <w:r w:rsidR="00A427FA" w:rsidRPr="00900ADE">
        <w:t>Elementary teachers reported</w:t>
      </w:r>
      <w:r w:rsidR="00FE3820" w:rsidRPr="00900ADE">
        <w:t xml:space="preserve"> general levels of satisfaction with their support from </w:t>
      </w:r>
      <w:r w:rsidR="00DB00C8" w:rsidRPr="00900ADE">
        <w:t>HILL</w:t>
      </w:r>
      <w:r w:rsidR="00EF4BBB" w:rsidRPr="00900ADE">
        <w:t xml:space="preserve"> for</w:t>
      </w:r>
      <w:r w:rsidR="00FE3820" w:rsidRPr="00900ADE">
        <w:t xml:space="preserve"> </w:t>
      </w:r>
      <w:r w:rsidR="002B2515" w:rsidRPr="00900ADE">
        <w:t>L</w:t>
      </w:r>
      <w:r w:rsidR="00EF10CC" w:rsidRPr="00900ADE">
        <w:t>iteracy, including PLC time; these staff did note</w:t>
      </w:r>
      <w:r w:rsidR="002B2515" w:rsidRPr="00900ADE">
        <w:t>, however,</w:t>
      </w:r>
      <w:r w:rsidR="00EF10CC" w:rsidRPr="00900ADE">
        <w:t xml:space="preserve"> a preference for more collaboration with specialists, such as special </w:t>
      </w:r>
      <w:r w:rsidR="002B2515" w:rsidRPr="00900ADE">
        <w:t>education teachers</w:t>
      </w:r>
      <w:r w:rsidR="00EF10CC" w:rsidRPr="00900ADE">
        <w:t xml:space="preserve">. </w:t>
      </w:r>
      <w:r w:rsidR="006050E7">
        <w:t xml:space="preserve">Among teacher focus group participants, </w:t>
      </w:r>
      <w:r w:rsidR="005A119B" w:rsidRPr="00900ADE">
        <w:t>secondary (</w:t>
      </w:r>
      <w:r w:rsidR="00EF4BBB" w:rsidRPr="00900ADE">
        <w:t>m</w:t>
      </w:r>
      <w:r w:rsidR="00AF1E0C" w:rsidRPr="00900ADE">
        <w:t>iddle and high school</w:t>
      </w:r>
      <w:r w:rsidR="005A119B" w:rsidRPr="00900ADE">
        <w:t>)</w:t>
      </w:r>
      <w:r w:rsidR="00AF1E0C" w:rsidRPr="00900ADE">
        <w:t xml:space="preserve"> </w:t>
      </w:r>
      <w:r w:rsidR="00D80652">
        <w:t>teachers more commonly reported</w:t>
      </w:r>
      <w:r w:rsidR="00AF1E0C" w:rsidRPr="00900ADE">
        <w:t xml:space="preserve"> being dissatisfied with professional development, including PLC time. </w:t>
      </w:r>
      <w:r w:rsidR="00BD7F68" w:rsidRPr="00900ADE">
        <w:t>At the</w:t>
      </w:r>
      <w:r w:rsidR="005A119B" w:rsidRPr="00900ADE">
        <w:t>se</w:t>
      </w:r>
      <w:r w:rsidR="00BD7F68" w:rsidRPr="00900ADE">
        <w:t xml:space="preserve"> level</w:t>
      </w:r>
      <w:r w:rsidR="005A119B" w:rsidRPr="00900ADE">
        <w:t>s</w:t>
      </w:r>
      <w:r w:rsidR="00BD7F68" w:rsidRPr="00900ADE">
        <w:t xml:space="preserve">, more teachers voiced dissatisfaction with the utility of the professional development. </w:t>
      </w:r>
      <w:r w:rsidR="00AF1E0C" w:rsidRPr="00900ADE">
        <w:t xml:space="preserve">One secondary </w:t>
      </w:r>
      <w:r w:rsidR="00BD7F68" w:rsidRPr="00900ADE">
        <w:rPr>
          <w:color w:val="000000" w:themeColor="text1"/>
        </w:rPr>
        <w:t>teacher stated</w:t>
      </w:r>
      <w:r w:rsidR="005A119B" w:rsidRPr="00900ADE">
        <w:rPr>
          <w:color w:val="000000" w:themeColor="text1"/>
        </w:rPr>
        <w:t xml:space="preserve">, </w:t>
      </w:r>
      <w:r w:rsidR="00BD7F68" w:rsidRPr="00900ADE">
        <w:rPr>
          <w:color w:val="000000" w:themeColor="text1"/>
        </w:rPr>
        <w:t>“We haven</w:t>
      </w:r>
      <w:r w:rsidR="002B2515" w:rsidRPr="00900ADE">
        <w:rPr>
          <w:color w:val="000000" w:themeColor="text1"/>
        </w:rPr>
        <w:t>’</w:t>
      </w:r>
      <w:r w:rsidR="00BD7F68" w:rsidRPr="00900ADE">
        <w:rPr>
          <w:color w:val="000000" w:themeColor="text1"/>
        </w:rPr>
        <w:t xml:space="preserve">t had useful PD </w:t>
      </w:r>
      <w:r w:rsidR="002B2515" w:rsidRPr="00900ADE">
        <w:rPr>
          <w:color w:val="000000" w:themeColor="text1"/>
        </w:rPr>
        <w:t xml:space="preserve">[professional development] </w:t>
      </w:r>
      <w:r w:rsidR="00BD7F68" w:rsidRPr="00900ADE">
        <w:rPr>
          <w:color w:val="000000" w:themeColor="text1"/>
        </w:rPr>
        <w:t>in a very long time.”</w:t>
      </w:r>
      <w:r w:rsidR="00BD7F68" w:rsidRPr="00900ADE">
        <w:t xml:space="preserve"> Another </w:t>
      </w:r>
      <w:r w:rsidR="00AF1E0C" w:rsidRPr="00900ADE">
        <w:t xml:space="preserve">secondary </w:t>
      </w:r>
      <w:r w:rsidR="00BD7F68" w:rsidRPr="00900ADE">
        <w:t xml:space="preserve">teacher </w:t>
      </w:r>
      <w:r w:rsidR="00AF1E0C" w:rsidRPr="00900ADE">
        <w:t xml:space="preserve">reported frustration with the level of direction </w:t>
      </w:r>
      <w:r w:rsidR="002B2515" w:rsidRPr="00900ADE">
        <w:t xml:space="preserve">during </w:t>
      </w:r>
      <w:r w:rsidR="00AF1E0C" w:rsidRPr="00900ADE">
        <w:t>PLC time</w:t>
      </w:r>
      <w:r w:rsidR="0056439E" w:rsidRPr="00900ADE">
        <w:t>, saying</w:t>
      </w:r>
      <w:r w:rsidR="002B2515" w:rsidRPr="00900ADE">
        <w:t xml:space="preserve"> that</w:t>
      </w:r>
      <w:r w:rsidR="0056439E" w:rsidRPr="00900ADE">
        <w:t xml:space="preserve"> </w:t>
      </w:r>
      <w:r w:rsidR="00BD7F68" w:rsidRPr="00900ADE">
        <w:t>“t</w:t>
      </w:r>
      <w:r w:rsidR="00BD7F68" w:rsidRPr="00900ADE">
        <w:rPr>
          <w:color w:val="000000" w:themeColor="text1"/>
        </w:rPr>
        <w:t>here</w:t>
      </w:r>
      <w:r w:rsidR="002B2515" w:rsidRPr="00900ADE">
        <w:rPr>
          <w:color w:val="000000" w:themeColor="text1"/>
        </w:rPr>
        <w:t>’</w:t>
      </w:r>
      <w:r w:rsidR="00BD7F68" w:rsidRPr="00900ADE">
        <w:rPr>
          <w:color w:val="000000" w:themeColor="text1"/>
        </w:rPr>
        <w:t>s just a lack of trust that we</w:t>
      </w:r>
      <w:r w:rsidR="002B2515" w:rsidRPr="00900ADE">
        <w:rPr>
          <w:color w:val="000000" w:themeColor="text1"/>
        </w:rPr>
        <w:t>’</w:t>
      </w:r>
      <w:r w:rsidR="00BD7F68" w:rsidRPr="00900ADE">
        <w:rPr>
          <w:color w:val="000000" w:themeColor="text1"/>
        </w:rPr>
        <w:t xml:space="preserve">ll use that </w:t>
      </w:r>
      <w:r w:rsidR="0056439E" w:rsidRPr="00900ADE">
        <w:rPr>
          <w:color w:val="000000" w:themeColor="text1"/>
        </w:rPr>
        <w:t xml:space="preserve">[PLC] </w:t>
      </w:r>
      <w:r w:rsidR="00BD7F68" w:rsidRPr="00900ADE">
        <w:rPr>
          <w:color w:val="000000" w:themeColor="text1"/>
        </w:rPr>
        <w:t xml:space="preserve">time appropriately,” suggesting that they “have a lot of PD time that we could use more effectively.” </w:t>
      </w:r>
    </w:p>
    <w:p w14:paraId="779E1B53" w14:textId="1095EA16" w:rsidR="694CFF1E" w:rsidRPr="00F619D5" w:rsidRDefault="0056439E" w:rsidP="00257FDD">
      <w:pPr>
        <w:pStyle w:val="BodyText"/>
      </w:pPr>
      <w:r w:rsidRPr="00900ADE">
        <w:t xml:space="preserve">District leaders said that Medway uses multiple sources to select, develop, and monitor the effectiveness of </w:t>
      </w:r>
      <w:r w:rsidR="00DE19D7" w:rsidRPr="00900ADE">
        <w:t xml:space="preserve">its </w:t>
      </w:r>
      <w:r w:rsidRPr="00900ADE">
        <w:t xml:space="preserve">professional development offerings. </w:t>
      </w:r>
      <w:r w:rsidR="0EE9F398" w:rsidRPr="00900ADE">
        <w:t>District leaders reported using</w:t>
      </w:r>
      <w:r w:rsidR="694CFF1E" w:rsidRPr="00900ADE">
        <w:t xml:space="preserve"> surveys</w:t>
      </w:r>
      <w:r w:rsidR="00796EBC" w:rsidRPr="00900ADE">
        <w:t>,</w:t>
      </w:r>
      <w:r w:rsidR="694CFF1E" w:rsidRPr="00900ADE">
        <w:t xml:space="preserve"> exit tickets</w:t>
      </w:r>
      <w:r w:rsidR="00796EBC" w:rsidRPr="00900ADE">
        <w:t>, and</w:t>
      </w:r>
      <w:r w:rsidR="694CFF1E" w:rsidRPr="00900ADE">
        <w:t xml:space="preserve"> informal</w:t>
      </w:r>
      <w:r w:rsidR="00796EBC" w:rsidRPr="00900ADE">
        <w:t xml:space="preserve"> discussions to get feedback on </w:t>
      </w:r>
      <w:r w:rsidR="00286650" w:rsidRPr="00900ADE">
        <w:t>sessions.</w:t>
      </w:r>
      <w:r w:rsidR="694CFF1E" w:rsidRPr="00900ADE">
        <w:t xml:space="preserve"> </w:t>
      </w:r>
      <w:r w:rsidR="00286650" w:rsidRPr="00900ADE">
        <w:t>H</w:t>
      </w:r>
      <w:r w:rsidR="694CFF1E" w:rsidRPr="00900ADE">
        <w:t xml:space="preserve">owever, teachers reported that </w:t>
      </w:r>
      <w:r w:rsidR="00DE19D7" w:rsidRPr="00900ADE">
        <w:t xml:space="preserve">the district does not </w:t>
      </w:r>
      <w:r w:rsidR="694CFF1E" w:rsidRPr="00900ADE">
        <w:t>incorporate</w:t>
      </w:r>
      <w:r w:rsidR="00DE19D7" w:rsidRPr="00900ADE">
        <w:t xml:space="preserve"> their input</w:t>
      </w:r>
      <w:r w:rsidR="694CFF1E" w:rsidRPr="00900ADE">
        <w:t xml:space="preserve"> into determining the professional development offering</w:t>
      </w:r>
      <w:r w:rsidR="1131A257" w:rsidRPr="00900ADE">
        <w:t>s</w:t>
      </w:r>
      <w:r w:rsidR="005943F8" w:rsidRPr="00900ADE">
        <w:t>.</w:t>
      </w:r>
      <w:r w:rsidR="694CFF1E" w:rsidRPr="00900ADE">
        <w:t xml:space="preserve"> </w:t>
      </w:r>
      <w:r w:rsidR="00DE19D7" w:rsidRPr="00F619D5">
        <w:t>Concerning</w:t>
      </w:r>
      <w:r w:rsidR="694CFF1E" w:rsidRPr="00F619D5">
        <w:t xml:space="preserve"> their input into the topics, a </w:t>
      </w:r>
      <w:r w:rsidR="008846D5" w:rsidRPr="00F619D5">
        <w:t xml:space="preserve">secondary </w:t>
      </w:r>
      <w:r w:rsidR="694CFF1E" w:rsidRPr="00F619D5">
        <w:t>teacher explained that “</w:t>
      </w:r>
      <w:r w:rsidR="70940F6B" w:rsidRPr="00F619D5">
        <w:t>w</w:t>
      </w:r>
      <w:r w:rsidR="694CFF1E" w:rsidRPr="00F619D5">
        <w:t xml:space="preserve">e fill out Google forms about what we would like to have for PD session. [We] never get what we ask for.” </w:t>
      </w:r>
      <w:r w:rsidR="00DE19D7" w:rsidRPr="00F619D5">
        <w:t>For</w:t>
      </w:r>
      <w:r w:rsidR="694CFF1E" w:rsidRPr="00F619D5">
        <w:t xml:space="preserve"> example, </w:t>
      </w:r>
      <w:r w:rsidR="00D56885">
        <w:t xml:space="preserve">multiple </w:t>
      </w:r>
      <w:r w:rsidR="00851968" w:rsidRPr="00F619D5">
        <w:t>teachers stated that</w:t>
      </w:r>
      <w:r w:rsidR="694CFF1E" w:rsidRPr="00F619D5">
        <w:t xml:space="preserve"> they have not received </w:t>
      </w:r>
      <w:r w:rsidR="00D56885">
        <w:t>sufficient</w:t>
      </w:r>
      <w:r w:rsidR="00D56885" w:rsidRPr="00F619D5">
        <w:t xml:space="preserve"> </w:t>
      </w:r>
      <w:r w:rsidR="694CFF1E" w:rsidRPr="00F619D5">
        <w:t xml:space="preserve">professional development about how to support English Learners, despite the recent demographic changes. Another </w:t>
      </w:r>
      <w:r w:rsidR="00842DA3" w:rsidRPr="00F619D5">
        <w:t xml:space="preserve">secondary </w:t>
      </w:r>
      <w:r w:rsidR="694CFF1E" w:rsidRPr="00F619D5">
        <w:t xml:space="preserve">teacher suggested that it would be useful </w:t>
      </w:r>
      <w:r w:rsidR="00DE19D7" w:rsidRPr="00F619D5">
        <w:t>to have</w:t>
      </w:r>
      <w:r w:rsidR="694CFF1E" w:rsidRPr="00F619D5">
        <w:t xml:space="preserve"> dedicated time on </w:t>
      </w:r>
      <w:r w:rsidR="00911658" w:rsidRPr="00F619D5">
        <w:t xml:space="preserve">professional development </w:t>
      </w:r>
      <w:r w:rsidR="694CFF1E" w:rsidRPr="00F619D5">
        <w:t>days or half days for cross</w:t>
      </w:r>
      <w:r w:rsidR="00DE19D7" w:rsidRPr="00F619D5">
        <w:t>-</w:t>
      </w:r>
      <w:r w:rsidR="694CFF1E" w:rsidRPr="00F619D5">
        <w:t xml:space="preserve">department collaboration. </w:t>
      </w:r>
      <w:r w:rsidR="29FED819" w:rsidRPr="00F619D5">
        <w:t xml:space="preserve">Increasing the opportunities for educators to </w:t>
      </w:r>
      <w:r w:rsidR="00D74648">
        <w:t>have input on professional</w:t>
      </w:r>
      <w:r w:rsidR="29FED819" w:rsidRPr="00F619D5">
        <w:t xml:space="preserve"> development opportunities</w:t>
      </w:r>
      <w:r w:rsidR="00D74648">
        <w:t xml:space="preserve">, particularly in self-identified areas of need </w:t>
      </w:r>
      <w:r w:rsidR="005337CC">
        <w:t xml:space="preserve">such as </w:t>
      </w:r>
      <w:r w:rsidR="00D74648">
        <w:t>support for multilingual learners,</w:t>
      </w:r>
      <w:r w:rsidR="29FED819" w:rsidRPr="00F619D5">
        <w:t xml:space="preserve"> </w:t>
      </w:r>
      <w:r w:rsidR="3B66E315" w:rsidRPr="00F619D5">
        <w:t>is an area for growth</w:t>
      </w:r>
      <w:r w:rsidR="00DE1013" w:rsidRPr="00F619D5">
        <w:t xml:space="preserve"> for the district</w:t>
      </w:r>
      <w:r w:rsidR="3B66E315" w:rsidRPr="00F619D5">
        <w:t>.</w:t>
      </w:r>
    </w:p>
    <w:p w14:paraId="02D92258" w14:textId="6020B971" w:rsidR="694CFF1E" w:rsidRPr="00900ADE" w:rsidRDefault="694CFF1E" w:rsidP="00257FDD">
      <w:pPr>
        <w:pStyle w:val="BodyText"/>
      </w:pPr>
      <w:r w:rsidRPr="00900ADE">
        <w:lastRenderedPageBreak/>
        <w:t xml:space="preserve">District and school leaders </w:t>
      </w:r>
      <w:r w:rsidR="62FB6006" w:rsidRPr="00900ADE">
        <w:t>describ</w:t>
      </w:r>
      <w:r w:rsidRPr="00900ADE">
        <w:t>ed th</w:t>
      </w:r>
      <w:r w:rsidR="13A7DBC2" w:rsidRPr="00900ADE">
        <w:t>e</w:t>
      </w:r>
      <w:r w:rsidR="6AA8452A" w:rsidRPr="00900ADE">
        <w:t xml:space="preserve"> PLC</w:t>
      </w:r>
      <w:r w:rsidR="00911658" w:rsidRPr="00900ADE">
        <w:t>s</w:t>
      </w:r>
      <w:r w:rsidR="6AA8452A" w:rsidRPr="00900ADE">
        <w:t xml:space="preserve"> a</w:t>
      </w:r>
      <w:r w:rsidR="7EAF3C99" w:rsidRPr="00900ADE">
        <w:t>s</w:t>
      </w:r>
      <w:r w:rsidR="6AA8452A" w:rsidRPr="00900ADE">
        <w:t xml:space="preserve"> a key part of their professional learning strategy, </w:t>
      </w:r>
      <w:r w:rsidR="00F605B2" w:rsidRPr="00900ADE">
        <w:t>giving</w:t>
      </w:r>
      <w:r w:rsidRPr="00900ADE">
        <w:t xml:space="preserve"> teachers time to collaborate within their subject area or grade level and across subjects at </w:t>
      </w:r>
      <w:r w:rsidR="00F605B2" w:rsidRPr="00900ADE">
        <w:t xml:space="preserve">various </w:t>
      </w:r>
      <w:r w:rsidRPr="00900ADE">
        <w:t xml:space="preserve">grade levels. </w:t>
      </w:r>
      <w:r w:rsidR="0073494B" w:rsidRPr="00900ADE">
        <w:rPr>
          <w:rFonts w:eastAsiaTheme="minorEastAsia"/>
        </w:rPr>
        <w:t xml:space="preserve">Leaders reported that PLC time </w:t>
      </w:r>
      <w:r w:rsidR="00DE19D7" w:rsidRPr="00900ADE">
        <w:rPr>
          <w:rFonts w:eastAsiaTheme="minorEastAsia"/>
        </w:rPr>
        <w:t xml:space="preserve">helps teachers </w:t>
      </w:r>
      <w:r w:rsidR="00F605B2" w:rsidRPr="00900ADE">
        <w:rPr>
          <w:rFonts w:eastAsiaTheme="minorEastAsia"/>
        </w:rPr>
        <w:t>examine</w:t>
      </w:r>
      <w:r w:rsidR="0073494B" w:rsidRPr="00900ADE">
        <w:rPr>
          <w:rFonts w:eastAsiaTheme="minorEastAsia"/>
        </w:rPr>
        <w:t xml:space="preserve"> different assessments, analyze data, identify standards </w:t>
      </w:r>
      <w:r w:rsidR="00DE19D7" w:rsidRPr="00900ADE">
        <w:rPr>
          <w:rFonts w:eastAsiaTheme="minorEastAsia"/>
        </w:rPr>
        <w:t xml:space="preserve">in which </w:t>
      </w:r>
      <w:r w:rsidR="0073494B" w:rsidRPr="00900ADE">
        <w:rPr>
          <w:rFonts w:eastAsiaTheme="minorEastAsia"/>
        </w:rPr>
        <w:t xml:space="preserve">students performed well or </w:t>
      </w:r>
      <w:r w:rsidR="00DE19D7" w:rsidRPr="00900ADE">
        <w:rPr>
          <w:rFonts w:eastAsiaTheme="minorEastAsia"/>
        </w:rPr>
        <w:t xml:space="preserve">did not </w:t>
      </w:r>
      <w:r w:rsidR="0073494B" w:rsidRPr="00900ADE">
        <w:rPr>
          <w:rFonts w:eastAsiaTheme="minorEastAsia"/>
        </w:rPr>
        <w:t xml:space="preserve">perform well, and </w:t>
      </w:r>
      <w:r w:rsidR="00902BE6" w:rsidRPr="00900ADE">
        <w:rPr>
          <w:rFonts w:eastAsiaTheme="minorEastAsia"/>
        </w:rPr>
        <w:t>determine how teachers</w:t>
      </w:r>
      <w:r w:rsidR="0073494B" w:rsidRPr="00900ADE">
        <w:rPr>
          <w:rFonts w:eastAsiaTheme="minorEastAsia"/>
        </w:rPr>
        <w:t xml:space="preserve"> </w:t>
      </w:r>
      <w:r w:rsidR="00902BE6" w:rsidRPr="00900ADE">
        <w:rPr>
          <w:rFonts w:eastAsiaTheme="minorEastAsia"/>
        </w:rPr>
        <w:t>wil</w:t>
      </w:r>
      <w:r w:rsidR="00615415" w:rsidRPr="00900ADE">
        <w:rPr>
          <w:rFonts w:eastAsiaTheme="minorEastAsia"/>
        </w:rPr>
        <w:t>l</w:t>
      </w:r>
      <w:r w:rsidR="0073494B" w:rsidRPr="00900ADE">
        <w:rPr>
          <w:rFonts w:eastAsiaTheme="minorEastAsia"/>
        </w:rPr>
        <w:t xml:space="preserve"> address gaps.</w:t>
      </w:r>
      <w:r w:rsidR="0073494B" w:rsidRPr="00900ADE">
        <w:rPr>
          <w:rFonts w:eastAsia="Franklin Gothic Book" w:cs="Franklin Gothic Book"/>
        </w:rPr>
        <w:t xml:space="preserve"> </w:t>
      </w:r>
      <w:r w:rsidR="7DFB2459" w:rsidRPr="00900ADE">
        <w:rPr>
          <w:rFonts w:eastAsiaTheme="minorEastAsia"/>
        </w:rPr>
        <w:t>At the same time, s</w:t>
      </w:r>
      <w:r w:rsidR="4F2A0238" w:rsidRPr="00900ADE">
        <w:rPr>
          <w:color w:val="000000" w:themeColor="text1"/>
        </w:rPr>
        <w:t xml:space="preserve">chool </w:t>
      </w:r>
      <w:r w:rsidR="4F2A0238" w:rsidRPr="00900ADE">
        <w:t>leaders described PLCs as “fairly autonomous” with “</w:t>
      </w:r>
      <w:r w:rsidR="4F2A0238" w:rsidRPr="00900ADE">
        <w:rPr>
          <w:color w:val="000000" w:themeColor="text1"/>
        </w:rPr>
        <w:t>varying levels of administrative or leadership support.”</w:t>
      </w:r>
      <w:r w:rsidR="4F2A0238" w:rsidRPr="00900ADE">
        <w:t xml:space="preserve"> </w:t>
      </w:r>
      <w:r w:rsidR="6C8C1304" w:rsidRPr="00900ADE">
        <w:rPr>
          <w:color w:val="000000" w:themeColor="text1"/>
        </w:rPr>
        <w:t xml:space="preserve">Leaders described PLCs as </w:t>
      </w:r>
      <w:r w:rsidR="005337CC">
        <w:rPr>
          <w:color w:val="000000" w:themeColor="text1"/>
        </w:rPr>
        <w:t>teacher-driven</w:t>
      </w:r>
      <w:r w:rsidR="6C8C1304" w:rsidRPr="00900ADE">
        <w:rPr>
          <w:color w:val="000000" w:themeColor="text1"/>
        </w:rPr>
        <w:t xml:space="preserve">, with a reporting structure </w:t>
      </w:r>
      <w:r w:rsidR="00DE19D7" w:rsidRPr="00900ADE">
        <w:rPr>
          <w:color w:val="000000" w:themeColor="text1"/>
        </w:rPr>
        <w:t xml:space="preserve">in which </w:t>
      </w:r>
      <w:r w:rsidR="6C8C1304" w:rsidRPr="00900ADE">
        <w:rPr>
          <w:color w:val="000000" w:themeColor="text1"/>
        </w:rPr>
        <w:t xml:space="preserve">teachers give administrators notes on what they are doing. </w:t>
      </w:r>
      <w:r w:rsidR="00D9679E" w:rsidRPr="00900ADE">
        <w:t xml:space="preserve">In contrast, </w:t>
      </w:r>
      <w:r w:rsidR="00EB46C8" w:rsidRPr="00900ADE">
        <w:t>one school leader maintained that the PLCs in th</w:t>
      </w:r>
      <w:r w:rsidR="00D9679E" w:rsidRPr="00900ADE">
        <w:t>e</w:t>
      </w:r>
      <w:r w:rsidR="00EB46C8" w:rsidRPr="00900ADE">
        <w:t>i</w:t>
      </w:r>
      <w:r w:rsidR="00D9679E" w:rsidRPr="00900ADE">
        <w:t>r</w:t>
      </w:r>
      <w:r w:rsidR="00EB46C8" w:rsidRPr="00900ADE">
        <w:t xml:space="preserve"> particular school are co-constructed </w:t>
      </w:r>
      <w:r w:rsidR="00650CB9" w:rsidRPr="00900ADE">
        <w:t>by administration</w:t>
      </w:r>
      <w:r w:rsidR="4F2A0238" w:rsidRPr="00900ADE">
        <w:t xml:space="preserve"> and </w:t>
      </w:r>
      <w:r w:rsidR="00650CB9" w:rsidRPr="00900ADE">
        <w:t>teachers</w:t>
      </w:r>
      <w:r w:rsidR="4F2A0238" w:rsidRPr="00900ADE">
        <w:t xml:space="preserve"> and</w:t>
      </w:r>
      <w:r w:rsidR="00650CB9" w:rsidRPr="00900ADE">
        <w:t xml:space="preserve"> are</w:t>
      </w:r>
      <w:r w:rsidR="4F2A0238" w:rsidRPr="00900ADE">
        <w:t xml:space="preserve"> “</w:t>
      </w:r>
      <w:r w:rsidR="4F2A0238" w:rsidRPr="00900ADE">
        <w:rPr>
          <w:color w:val="000000" w:themeColor="text1"/>
        </w:rPr>
        <w:t xml:space="preserve">less autonomous than in any other building.” </w:t>
      </w:r>
    </w:p>
    <w:p w14:paraId="42C65810" w14:textId="35AB41AA" w:rsidR="694CFF1E" w:rsidRPr="00411343" w:rsidRDefault="002275FE" w:rsidP="00257FDD">
      <w:pPr>
        <w:pStyle w:val="BodyText"/>
      </w:pPr>
      <w:r w:rsidRPr="00900ADE">
        <w:t xml:space="preserve">Teacher </w:t>
      </w:r>
      <w:r w:rsidR="00DE19D7" w:rsidRPr="00900ADE">
        <w:t xml:space="preserve">interviews </w:t>
      </w:r>
      <w:r w:rsidRPr="00900ADE">
        <w:t xml:space="preserve">confirmed </w:t>
      </w:r>
      <w:r w:rsidR="008303E0" w:rsidRPr="00900ADE">
        <w:t xml:space="preserve">that </w:t>
      </w:r>
      <w:r w:rsidR="694CFF1E" w:rsidRPr="00900ADE">
        <w:t xml:space="preserve">the amount of </w:t>
      </w:r>
      <w:r w:rsidR="7C040F17" w:rsidRPr="00900ADE">
        <w:t xml:space="preserve">collaboration </w:t>
      </w:r>
      <w:r w:rsidR="694CFF1E" w:rsidRPr="00900ADE">
        <w:t xml:space="preserve">time </w:t>
      </w:r>
      <w:r w:rsidR="56DC0917" w:rsidRPr="00900ADE">
        <w:t xml:space="preserve">for </w:t>
      </w:r>
      <w:r w:rsidR="694CFF1E" w:rsidRPr="00900ADE">
        <w:t xml:space="preserve">educators </w:t>
      </w:r>
      <w:r w:rsidR="44697850" w:rsidRPr="00900ADE">
        <w:t>i</w:t>
      </w:r>
      <w:r w:rsidR="694CFF1E" w:rsidRPr="00900ADE">
        <w:t>s inconsistent</w:t>
      </w:r>
      <w:r w:rsidR="00723B57">
        <w:t xml:space="preserve"> across buildings</w:t>
      </w:r>
      <w:r w:rsidR="694CFF1E" w:rsidRPr="00900ADE">
        <w:t>. A teacher explained that “</w:t>
      </w:r>
      <w:r w:rsidR="694CFF1E" w:rsidRPr="00900ADE">
        <w:rPr>
          <w:color w:val="000000" w:themeColor="text1"/>
        </w:rPr>
        <w:t>it just depends on the building you</w:t>
      </w:r>
      <w:r w:rsidR="00DE19D7" w:rsidRPr="00900ADE">
        <w:rPr>
          <w:color w:val="000000" w:themeColor="text1"/>
        </w:rPr>
        <w:t>’</w:t>
      </w:r>
      <w:r w:rsidR="694CFF1E" w:rsidRPr="00900ADE">
        <w:rPr>
          <w:color w:val="000000" w:themeColor="text1"/>
        </w:rPr>
        <w:t>re in, and how it</w:t>
      </w:r>
      <w:r w:rsidR="00DE19D7" w:rsidRPr="00900ADE">
        <w:rPr>
          <w:color w:val="000000" w:themeColor="text1"/>
        </w:rPr>
        <w:t>’</w:t>
      </w:r>
      <w:r w:rsidR="694CFF1E" w:rsidRPr="00900ADE">
        <w:rPr>
          <w:color w:val="000000" w:themeColor="text1"/>
        </w:rPr>
        <w:t xml:space="preserve">s utilized, and how the administrator likes to utilize it.” </w:t>
      </w:r>
      <w:r w:rsidR="00196E02" w:rsidRPr="00900ADE">
        <w:rPr>
          <w:color w:val="000000" w:themeColor="text1"/>
        </w:rPr>
        <w:t>S</w:t>
      </w:r>
      <w:r w:rsidR="00605833" w:rsidRPr="00900ADE">
        <w:t>ome t</w:t>
      </w:r>
      <w:r w:rsidR="2F5D368A" w:rsidRPr="00900ADE">
        <w:t xml:space="preserve">eachers </w:t>
      </w:r>
      <w:r w:rsidR="00196E02" w:rsidRPr="00900ADE">
        <w:t>shared the perspective</w:t>
      </w:r>
      <w:r w:rsidR="2F5D368A" w:rsidRPr="00900ADE">
        <w:t xml:space="preserve"> that </w:t>
      </w:r>
      <w:r w:rsidR="00AB1A70" w:rsidRPr="00900ADE">
        <w:t xml:space="preserve">PLC </w:t>
      </w:r>
      <w:r w:rsidR="2F5D368A" w:rsidRPr="00900ADE">
        <w:t xml:space="preserve">agendas should be </w:t>
      </w:r>
      <w:r w:rsidR="005337CC">
        <w:t>teacher-driven</w:t>
      </w:r>
      <w:r w:rsidR="2F5D368A" w:rsidRPr="00900ADE">
        <w:t xml:space="preserve"> and focused on “</w:t>
      </w:r>
      <w:r w:rsidR="2F5D368A" w:rsidRPr="00900ADE">
        <w:rPr>
          <w:color w:val="000000" w:themeColor="text1"/>
        </w:rPr>
        <w:t>talking about [student] behavior, grades, curriculum, and how we can best support our students and achieving success</w:t>
      </w:r>
      <w:r w:rsidR="00DE19D7" w:rsidRPr="00900ADE">
        <w:rPr>
          <w:color w:val="000000" w:themeColor="text1"/>
        </w:rPr>
        <w:t>.</w:t>
      </w:r>
      <w:r w:rsidR="2F5D368A" w:rsidRPr="00900ADE">
        <w:rPr>
          <w:color w:val="000000" w:themeColor="text1"/>
        </w:rPr>
        <w:t>”</w:t>
      </w:r>
      <w:r w:rsidR="00CF18CC" w:rsidRPr="00900ADE">
        <w:rPr>
          <w:color w:val="000000" w:themeColor="text1"/>
        </w:rPr>
        <w:t xml:space="preserve"> </w:t>
      </w:r>
      <w:r w:rsidR="00DE19D7" w:rsidRPr="00900ADE">
        <w:rPr>
          <w:color w:val="000000" w:themeColor="text1"/>
        </w:rPr>
        <w:t xml:space="preserve">They </w:t>
      </w:r>
      <w:r w:rsidR="00CF18CC" w:rsidRPr="00900ADE">
        <w:rPr>
          <w:color w:val="000000" w:themeColor="text1"/>
        </w:rPr>
        <w:t>voiced frustration that</w:t>
      </w:r>
      <w:r w:rsidR="2F5D368A" w:rsidRPr="00900ADE">
        <w:t xml:space="preserve"> administrators sometimes use the time for other topics</w:t>
      </w:r>
      <w:r w:rsidR="00196E02" w:rsidRPr="00900ADE">
        <w:t xml:space="preserve">. </w:t>
      </w:r>
      <w:r w:rsidR="00CF18CC" w:rsidRPr="00900ADE">
        <w:t xml:space="preserve">However, </w:t>
      </w:r>
      <w:r w:rsidR="00605833" w:rsidRPr="00900ADE">
        <w:t xml:space="preserve">other teachers felt that the lack of guidance </w:t>
      </w:r>
      <w:r w:rsidR="00CF18CC" w:rsidRPr="00900ADE">
        <w:t xml:space="preserve">for PLCs </w:t>
      </w:r>
      <w:r w:rsidR="00605833" w:rsidRPr="00900ADE">
        <w:t>is a hindrance to using the time effectively. One teacher described the challenge of persuading colleagues to use PLC time to look at data</w:t>
      </w:r>
      <w:r w:rsidR="00CF18CC" w:rsidRPr="00900ADE">
        <w:t xml:space="preserve">, </w:t>
      </w:r>
      <w:r w:rsidR="00605833" w:rsidRPr="00900ADE">
        <w:t>explain</w:t>
      </w:r>
      <w:r w:rsidR="00CF18CC" w:rsidRPr="00900ADE">
        <w:t>ing</w:t>
      </w:r>
      <w:r w:rsidR="00605833" w:rsidRPr="00900ADE">
        <w:t xml:space="preserve"> that “g</w:t>
      </w:r>
      <w:r w:rsidR="00605833" w:rsidRPr="00900ADE">
        <w:rPr>
          <w:color w:val="000000" w:themeColor="text1"/>
        </w:rPr>
        <w:t xml:space="preserve">etting them on board to see that PLC </w:t>
      </w:r>
      <w:r w:rsidR="00DE19D7" w:rsidRPr="00900ADE">
        <w:rPr>
          <w:color w:val="000000" w:themeColor="text1"/>
        </w:rPr>
        <w:t xml:space="preserve">[time] </w:t>
      </w:r>
      <w:r w:rsidR="00605833" w:rsidRPr="00900ADE">
        <w:rPr>
          <w:color w:val="000000" w:themeColor="text1"/>
        </w:rPr>
        <w:t>is not a prep period</w:t>
      </w:r>
      <w:r w:rsidR="00CF18CC" w:rsidRPr="00900ADE">
        <w:rPr>
          <w:color w:val="000000" w:themeColor="text1"/>
        </w:rPr>
        <w:t>”</w:t>
      </w:r>
      <w:r w:rsidR="00605833" w:rsidRPr="00900ADE">
        <w:rPr>
          <w:color w:val="000000" w:themeColor="text1"/>
        </w:rPr>
        <w:t xml:space="preserve"> </w:t>
      </w:r>
      <w:r w:rsidR="00CF18CC" w:rsidRPr="00900ADE">
        <w:rPr>
          <w:color w:val="000000" w:themeColor="text1"/>
        </w:rPr>
        <w:t xml:space="preserve">has been a challenge </w:t>
      </w:r>
      <w:r w:rsidR="00605833" w:rsidRPr="00900ADE">
        <w:rPr>
          <w:color w:val="000000" w:themeColor="text1"/>
        </w:rPr>
        <w:t>for some of them.</w:t>
      </w:r>
      <w:r w:rsidR="2F5D368A" w:rsidRPr="00900ADE">
        <w:t xml:space="preserve"> </w:t>
      </w:r>
      <w:r w:rsidR="513D6FA0" w:rsidRPr="00900ADE">
        <w:t>Furthermore</w:t>
      </w:r>
      <w:r w:rsidR="5568FDC9" w:rsidRPr="00900ADE">
        <w:t xml:space="preserve">, the </w:t>
      </w:r>
      <w:r w:rsidR="7E72E792" w:rsidRPr="00900ADE">
        <w:t>regularly</w:t>
      </w:r>
      <w:r w:rsidR="694CFF1E" w:rsidRPr="00900ADE">
        <w:t xml:space="preserve"> </w:t>
      </w:r>
      <w:r w:rsidR="601EC587" w:rsidRPr="00900ADE">
        <w:t>scheduled</w:t>
      </w:r>
      <w:r w:rsidR="694CFF1E" w:rsidRPr="00900ADE">
        <w:t xml:space="preserve"> collaborative time does not always happen</w:t>
      </w:r>
      <w:r w:rsidR="00DE19D7" w:rsidRPr="00900ADE">
        <w:t>,</w:t>
      </w:r>
      <w:r w:rsidR="694CFF1E" w:rsidRPr="00900ADE">
        <w:t xml:space="preserve"> and the time </w:t>
      </w:r>
      <w:r w:rsidR="00570551">
        <w:t xml:space="preserve">is </w:t>
      </w:r>
      <w:r w:rsidR="08634A26" w:rsidRPr="00900ADE">
        <w:t>sometimes</w:t>
      </w:r>
      <w:r w:rsidR="694CFF1E" w:rsidRPr="00900ADE">
        <w:t xml:space="preserve"> </w:t>
      </w:r>
      <w:r w:rsidR="373640CB" w:rsidRPr="00900ADE">
        <w:t xml:space="preserve">used for </w:t>
      </w:r>
      <w:r w:rsidR="694CFF1E" w:rsidRPr="00900ADE">
        <w:t xml:space="preserve">IEP and </w:t>
      </w:r>
      <w:r w:rsidR="00DE19D7" w:rsidRPr="00900ADE">
        <w:t xml:space="preserve">Section </w:t>
      </w:r>
      <w:r w:rsidR="694CFF1E" w:rsidRPr="00900ADE">
        <w:t>504 meetings</w:t>
      </w:r>
      <w:r w:rsidR="719D56F4" w:rsidRPr="00900ADE">
        <w:t>, according to focus group participants</w:t>
      </w:r>
      <w:r w:rsidR="694CFF1E" w:rsidRPr="00900ADE">
        <w:t xml:space="preserve">. One teacher </w:t>
      </w:r>
      <w:r w:rsidR="00EC661F" w:rsidRPr="00900ADE">
        <w:t xml:space="preserve">recalled attending </w:t>
      </w:r>
      <w:r w:rsidR="00DE19D7" w:rsidRPr="00900ADE">
        <w:t xml:space="preserve">only </w:t>
      </w:r>
      <w:r w:rsidR="00EC661F" w:rsidRPr="00900ADE">
        <w:t xml:space="preserve">one PLC meeting </w:t>
      </w:r>
      <w:r w:rsidR="00DE19D7" w:rsidRPr="00900ADE">
        <w:t xml:space="preserve">in </w:t>
      </w:r>
      <w:r w:rsidR="00EC661F" w:rsidRPr="00900ADE">
        <w:t xml:space="preserve">January, when </w:t>
      </w:r>
      <w:r w:rsidR="00DE19D7" w:rsidRPr="00900ADE">
        <w:t>the expectation is</w:t>
      </w:r>
      <w:r w:rsidR="00EC661F" w:rsidRPr="00900ADE">
        <w:t xml:space="preserve"> that PLCs meet more </w:t>
      </w:r>
      <w:r w:rsidR="00353C75" w:rsidRPr="00900ADE">
        <w:t>than monthly</w:t>
      </w:r>
      <w:r w:rsidR="00EC661F" w:rsidRPr="00900ADE">
        <w:t>.</w:t>
      </w:r>
      <w:r w:rsidR="694CFF1E" w:rsidRPr="00900ADE">
        <w:t xml:space="preserve"> Teachers </w:t>
      </w:r>
      <w:r w:rsidR="694CFF1E" w:rsidRPr="00411343">
        <w:t>also</w:t>
      </w:r>
      <w:r w:rsidR="1A9DA075" w:rsidRPr="00411343">
        <w:t xml:space="preserve"> describ</w:t>
      </w:r>
      <w:r w:rsidR="694CFF1E" w:rsidRPr="00411343">
        <w:t>ed the inability of special education and E</w:t>
      </w:r>
      <w:r w:rsidR="00353C75" w:rsidRPr="00411343">
        <w:t xml:space="preserve">nglish </w:t>
      </w:r>
      <w:r w:rsidR="694CFF1E" w:rsidRPr="00411343">
        <w:t>L</w:t>
      </w:r>
      <w:r w:rsidR="00353C75" w:rsidRPr="00411343">
        <w:t>earner specialists</w:t>
      </w:r>
      <w:r w:rsidR="694CFF1E" w:rsidRPr="00411343">
        <w:t xml:space="preserve"> to attend their PLCs </w:t>
      </w:r>
      <w:r w:rsidR="1F559CDD" w:rsidRPr="00411343">
        <w:t>a</w:t>
      </w:r>
      <w:r w:rsidR="694CFF1E" w:rsidRPr="00411343">
        <w:t xml:space="preserve">s a </w:t>
      </w:r>
      <w:r w:rsidR="00353C75" w:rsidRPr="00411343">
        <w:t>“</w:t>
      </w:r>
      <w:r w:rsidR="694CFF1E" w:rsidRPr="00411343">
        <w:t>missed opportunity</w:t>
      </w:r>
      <w:r w:rsidR="00DE19D7" w:rsidRPr="00411343">
        <w:t>,</w:t>
      </w:r>
      <w:r w:rsidR="00353C75" w:rsidRPr="00411343">
        <w:t>”</w:t>
      </w:r>
      <w:r w:rsidR="00B502B5" w:rsidRPr="00411343">
        <w:t xml:space="preserve"> and district leaders agreed </w:t>
      </w:r>
      <w:r w:rsidR="005A7C10" w:rsidRPr="00411343">
        <w:t>that this opportunity varies across schools</w:t>
      </w:r>
      <w:r w:rsidR="00353C75" w:rsidRPr="00411343">
        <w:t>.</w:t>
      </w:r>
      <w:r w:rsidR="1D3FA4DC" w:rsidRPr="00411343">
        <w:t xml:space="preserve"> </w:t>
      </w:r>
      <w:r w:rsidR="7D83B7EB" w:rsidRPr="00411343">
        <w:t xml:space="preserve">Protecting collaboration time and </w:t>
      </w:r>
      <w:r w:rsidR="3BAA7063" w:rsidRPr="00411343">
        <w:t>optimiz</w:t>
      </w:r>
      <w:r w:rsidR="0036317C">
        <w:t>ing the use of this</w:t>
      </w:r>
      <w:r w:rsidR="3BAA7063" w:rsidRPr="00411343">
        <w:t xml:space="preserve"> time is an area for growth</w:t>
      </w:r>
      <w:r w:rsidR="00385AFF" w:rsidRPr="00411343">
        <w:t xml:space="preserve"> for </w:t>
      </w:r>
      <w:r w:rsidR="00DE19D7" w:rsidRPr="00411343">
        <w:t>Medway</w:t>
      </w:r>
      <w:r w:rsidR="3BAA7063" w:rsidRPr="00411343">
        <w:t>.</w:t>
      </w:r>
    </w:p>
    <w:p w14:paraId="47B0537B" w14:textId="345B971F" w:rsidR="00DE19D7" w:rsidRPr="00900ADE" w:rsidRDefault="7A25ECB2" w:rsidP="00257FDD">
      <w:pPr>
        <w:pStyle w:val="BodyText"/>
      </w:pPr>
      <w:r w:rsidRPr="00900ADE">
        <w:t>The district supports</w:t>
      </w:r>
      <w:r w:rsidR="7B3E7F3C" w:rsidRPr="00900ADE">
        <w:t xml:space="preserve"> new educators</w:t>
      </w:r>
      <w:r w:rsidRPr="00900ADE">
        <w:t xml:space="preserve"> through</w:t>
      </w:r>
      <w:r w:rsidR="7B3E7F3C" w:rsidRPr="00900ADE">
        <w:t xml:space="preserve"> a two-day orientation in August</w:t>
      </w:r>
      <w:r w:rsidR="0097004C">
        <w:t xml:space="preserve"> (which all staff and building leaders attend)</w:t>
      </w:r>
      <w:r w:rsidR="7B3E7F3C" w:rsidRPr="00900ADE">
        <w:t xml:space="preserve">, a mentoring program, and new educator professional learning. </w:t>
      </w:r>
      <w:r w:rsidR="007C7C09" w:rsidRPr="00900ADE">
        <w:t>A</w:t>
      </w:r>
      <w:r w:rsidR="00936F0F" w:rsidRPr="00900ADE">
        <w:t>ccording to a</w:t>
      </w:r>
      <w:r w:rsidR="007C7C09" w:rsidRPr="00900ADE">
        <w:t xml:space="preserve"> district leader</w:t>
      </w:r>
      <w:r w:rsidR="00E95085" w:rsidRPr="00900ADE">
        <w:t>,</w:t>
      </w:r>
      <w:r w:rsidR="007C7C09" w:rsidRPr="00900ADE">
        <w:t xml:space="preserve"> </w:t>
      </w:r>
      <w:r w:rsidR="00936F0F" w:rsidRPr="00900ADE">
        <w:t xml:space="preserve">the purpose of the </w:t>
      </w:r>
      <w:r w:rsidR="7B3E7F3C" w:rsidRPr="00900ADE">
        <w:t>mentoring program</w:t>
      </w:r>
      <w:r w:rsidR="00936F0F" w:rsidRPr="00900ADE">
        <w:t xml:space="preserve"> is</w:t>
      </w:r>
      <w:r w:rsidR="5E868D42" w:rsidRPr="00900ADE">
        <w:t xml:space="preserve"> </w:t>
      </w:r>
      <w:r w:rsidR="7B3E7F3C" w:rsidRPr="00900ADE">
        <w:t>to mak</w:t>
      </w:r>
      <w:r w:rsidR="00315719" w:rsidRPr="00900ADE">
        <w:t>e</w:t>
      </w:r>
      <w:r w:rsidR="7B3E7F3C" w:rsidRPr="00900ADE">
        <w:t xml:space="preserve"> sure that new teachers have a safe home base where they can feel celebrated and appreciated. According to the </w:t>
      </w:r>
      <w:r w:rsidR="7B3E7F3C" w:rsidRPr="00900ADE">
        <w:rPr>
          <w:i/>
          <w:iCs/>
        </w:rPr>
        <w:t>New Educator Induction Handbook</w:t>
      </w:r>
      <w:r w:rsidR="7B3E7F3C" w:rsidRPr="00900ADE">
        <w:t xml:space="preserve">, </w:t>
      </w:r>
    </w:p>
    <w:p w14:paraId="66E72BF6" w14:textId="2E65E8FE" w:rsidR="00DE19D7" w:rsidRPr="00900ADE" w:rsidRDefault="00DE19D7" w:rsidP="00DE19D7">
      <w:pPr>
        <w:pStyle w:val="BlockQuote"/>
      </w:pPr>
      <w:r w:rsidRPr="00900ADE">
        <w:t>T</w:t>
      </w:r>
      <w:r w:rsidR="7B3E7F3C" w:rsidRPr="00900ADE">
        <w:t>he purpose of the Medway Public Schools Mentoring Program is to provide a framework of</w:t>
      </w:r>
      <w:r w:rsidR="7B3E7F3C" w:rsidRPr="00900ADE">
        <w:rPr>
          <w:b/>
          <w:bCs/>
        </w:rPr>
        <w:t xml:space="preserve"> </w:t>
      </w:r>
      <w:r w:rsidR="7B3E7F3C" w:rsidRPr="00900ADE">
        <w:t xml:space="preserve">professional support for educators new to the district. In a collegial environment, experienced and new educators will be working together to further their professional growth. The expected results of the Mentoring Program will be effective teaching and enhanced Medway student learning. </w:t>
      </w:r>
    </w:p>
    <w:p w14:paraId="6139F76F" w14:textId="69DD149D" w:rsidR="7B3E7F3C" w:rsidRPr="00900ADE" w:rsidRDefault="7B3E7F3C" w:rsidP="00257FDD">
      <w:pPr>
        <w:pStyle w:val="BodyText"/>
      </w:pPr>
      <w:r w:rsidRPr="00900ADE">
        <w:t>To identify mentors, district leaders reported that the positions are</w:t>
      </w:r>
      <w:r w:rsidR="3645BC32" w:rsidRPr="00900ADE">
        <w:t xml:space="preserve"> posted</w:t>
      </w:r>
      <w:r w:rsidRPr="00900ADE">
        <w:t xml:space="preserve"> in the spring</w:t>
      </w:r>
      <w:r w:rsidR="00DE19D7" w:rsidRPr="00900ADE">
        <w:t>,</w:t>
      </w:r>
      <w:r w:rsidRPr="00900ADE">
        <w:t xml:space="preserve"> and building leaders make recommendations for teacher mentors. According to a district leader, the district has faced challenges in getting people to commit to the position. In some cases, they have had to assign mentors from a different building, particularly when </w:t>
      </w:r>
      <w:r w:rsidR="00DE19D7" w:rsidRPr="00900ADE">
        <w:t>a</w:t>
      </w:r>
      <w:r w:rsidR="00336358">
        <w:t xml:space="preserve"> </w:t>
      </w:r>
      <w:r w:rsidR="00A47B1A" w:rsidRPr="00900ADE">
        <w:t xml:space="preserve">new </w:t>
      </w:r>
      <w:r w:rsidR="00C642E1" w:rsidRPr="00900ADE">
        <w:t>employee is</w:t>
      </w:r>
      <w:r w:rsidRPr="00900ADE">
        <w:t xml:space="preserve"> in</w:t>
      </w:r>
      <w:r w:rsidR="00C642E1" w:rsidRPr="00900ADE">
        <w:t xml:space="preserve"> a</w:t>
      </w:r>
      <w:r w:rsidRPr="00900ADE">
        <w:t xml:space="preserve"> specialized field</w:t>
      </w:r>
      <w:r w:rsidR="00DE19D7" w:rsidRPr="00900ADE">
        <w:t>,</w:t>
      </w:r>
      <w:r w:rsidRPr="00900ADE">
        <w:t xml:space="preserve"> such as E</w:t>
      </w:r>
      <w:r w:rsidR="00C642E1" w:rsidRPr="00900ADE">
        <w:t xml:space="preserve">nglish </w:t>
      </w:r>
      <w:r w:rsidR="00A645B5">
        <w:t>as a Second Language</w:t>
      </w:r>
      <w:r w:rsidR="004A3F0E">
        <w:t xml:space="preserve"> (ESL)</w:t>
      </w:r>
      <w:r w:rsidRPr="00900ADE">
        <w:t xml:space="preserve">. All mentors receive training, which includes a discussion of the </w:t>
      </w:r>
      <w:r w:rsidRPr="00900ADE">
        <w:lastRenderedPageBreak/>
        <w:t>roles and responsibilities. During the year, district leaders convene mentors and mentees, both separately and jointly.</w:t>
      </w:r>
    </w:p>
    <w:p w14:paraId="41B95D2F" w14:textId="6F48618E" w:rsidR="00373EBE" w:rsidRDefault="00373EBE" w:rsidP="00257FDD">
      <w:pPr>
        <w:pStyle w:val="Heading3"/>
        <w:rPr>
          <w:rFonts w:asciiTheme="minorHAnsi" w:hAnsiTheme="minorHAnsi"/>
          <w:color w:val="auto"/>
          <w:sz w:val="22"/>
        </w:rPr>
      </w:pPr>
      <w:r w:rsidRPr="00373EBE">
        <w:rPr>
          <w:rFonts w:asciiTheme="minorHAnsi" w:hAnsiTheme="minorHAnsi"/>
          <w:color w:val="auto"/>
          <w:sz w:val="22"/>
        </w:rPr>
        <w:t xml:space="preserve">Despite these supports, teachers shared several concerns about the ability of the district to adequately support new teachers. Several teacher focus group participants reported that the district could provide more effective mentoring, particularly at the secondary level. A teacher explained that “we are not a district that can support new teachers. If you are here and you need a lot of support, we don’t have the manpower to get that done.” Another teacher stated that questions from new teachers go into a “black hole.” A different teacher stated that the mentor program is “not run as effectively as it can be.” In addition, they questioned the process for choosing mentors, stating that some people who would like to be part of the program are not chosen. </w:t>
      </w:r>
      <w:r w:rsidR="00E0679B">
        <w:rPr>
          <w:rFonts w:asciiTheme="minorHAnsi" w:hAnsiTheme="minorHAnsi"/>
          <w:color w:val="auto"/>
          <w:sz w:val="22"/>
        </w:rPr>
        <w:t>D</w:t>
      </w:r>
      <w:r w:rsidRPr="00373EBE">
        <w:rPr>
          <w:rFonts w:asciiTheme="minorHAnsi" w:hAnsiTheme="minorHAnsi"/>
          <w:color w:val="auto"/>
          <w:sz w:val="22"/>
        </w:rPr>
        <w:t>istrict leaders</w:t>
      </w:r>
      <w:r w:rsidR="00E0679B">
        <w:rPr>
          <w:rFonts w:asciiTheme="minorHAnsi" w:hAnsiTheme="minorHAnsi"/>
          <w:color w:val="auto"/>
          <w:sz w:val="22"/>
        </w:rPr>
        <w:t xml:space="preserve"> disputed this perspective, stating that </w:t>
      </w:r>
      <w:r w:rsidRPr="00373EBE">
        <w:rPr>
          <w:rFonts w:asciiTheme="minorHAnsi" w:hAnsiTheme="minorHAnsi"/>
          <w:color w:val="auto"/>
          <w:sz w:val="22"/>
        </w:rPr>
        <w:t>Medway provides a mentor for all first-year teachers</w:t>
      </w:r>
      <w:r w:rsidR="002573B9">
        <w:rPr>
          <w:rFonts w:asciiTheme="minorHAnsi" w:hAnsiTheme="minorHAnsi"/>
          <w:color w:val="auto"/>
          <w:sz w:val="22"/>
        </w:rPr>
        <w:t xml:space="preserve">, and that </w:t>
      </w:r>
      <w:r w:rsidRPr="00373EBE">
        <w:rPr>
          <w:rFonts w:asciiTheme="minorHAnsi" w:hAnsiTheme="minorHAnsi"/>
          <w:color w:val="auto"/>
          <w:sz w:val="22"/>
        </w:rPr>
        <w:t xml:space="preserve">staff who are new to the district </w:t>
      </w:r>
      <w:r w:rsidR="002573B9">
        <w:rPr>
          <w:rFonts w:asciiTheme="minorHAnsi" w:hAnsiTheme="minorHAnsi"/>
          <w:color w:val="auto"/>
          <w:sz w:val="22"/>
        </w:rPr>
        <w:t>(</w:t>
      </w:r>
      <w:r w:rsidRPr="00373EBE">
        <w:rPr>
          <w:rFonts w:asciiTheme="minorHAnsi" w:hAnsiTheme="minorHAnsi"/>
          <w:color w:val="auto"/>
          <w:sz w:val="22"/>
        </w:rPr>
        <w:t>but not new to teaching</w:t>
      </w:r>
      <w:r w:rsidR="002573B9">
        <w:rPr>
          <w:rFonts w:asciiTheme="minorHAnsi" w:hAnsiTheme="minorHAnsi"/>
          <w:color w:val="auto"/>
          <w:sz w:val="22"/>
        </w:rPr>
        <w:t>)</w:t>
      </w:r>
      <w:r w:rsidRPr="00373EBE">
        <w:rPr>
          <w:rFonts w:asciiTheme="minorHAnsi" w:hAnsiTheme="minorHAnsi"/>
          <w:color w:val="auto"/>
          <w:sz w:val="22"/>
        </w:rPr>
        <w:t xml:space="preserve"> are assigned mentors</w:t>
      </w:r>
      <w:r w:rsidR="002573B9">
        <w:rPr>
          <w:rFonts w:asciiTheme="minorHAnsi" w:hAnsiTheme="minorHAnsi"/>
          <w:color w:val="auto"/>
          <w:sz w:val="22"/>
        </w:rPr>
        <w:t xml:space="preserve">, </w:t>
      </w:r>
      <w:r w:rsidRPr="00373EBE">
        <w:rPr>
          <w:rFonts w:asciiTheme="minorHAnsi" w:hAnsiTheme="minorHAnsi"/>
          <w:color w:val="auto"/>
          <w:sz w:val="22"/>
        </w:rPr>
        <w:t>depending on the level of support they need. Given the challenges described by staff, restructuring the teacher mentoring program is an area for growth.</w:t>
      </w:r>
    </w:p>
    <w:p w14:paraId="010626EC" w14:textId="7F38BD7F" w:rsidR="002B4CEF" w:rsidRPr="00900ADE" w:rsidRDefault="002B4CEF" w:rsidP="00257FDD">
      <w:pPr>
        <w:pStyle w:val="Heading3"/>
      </w:pPr>
      <w:r w:rsidRPr="00900ADE">
        <w:t>DESE Recommendations</w:t>
      </w:r>
    </w:p>
    <w:p w14:paraId="640FE2CE" w14:textId="0602D7F3" w:rsidR="002B4CEF" w:rsidRPr="00DD63FD" w:rsidRDefault="00BA2F06" w:rsidP="002B4CEF">
      <w:pPr>
        <w:pStyle w:val="Bullet1"/>
        <w:rPr>
          <w:bCs/>
        </w:rPr>
      </w:pPr>
      <w:r>
        <w:rPr>
          <w:i/>
          <w:iCs/>
        </w:rPr>
        <w:t xml:space="preserve">The district should collaborate with the town to </w:t>
      </w:r>
      <w:r w:rsidR="006603C3">
        <w:rPr>
          <w:i/>
          <w:iCs/>
        </w:rPr>
        <w:t xml:space="preserve">leverage </w:t>
      </w:r>
      <w:r w:rsidR="00515A43">
        <w:rPr>
          <w:i/>
          <w:iCs/>
        </w:rPr>
        <w:t>MUNIS</w:t>
      </w:r>
      <w:r w:rsidR="006603C3">
        <w:rPr>
          <w:i/>
          <w:iCs/>
        </w:rPr>
        <w:t xml:space="preserve">, potentially with additional modules, </w:t>
      </w:r>
      <w:r w:rsidR="002207DA">
        <w:rPr>
          <w:i/>
          <w:iCs/>
        </w:rPr>
        <w:t>to</w:t>
      </w:r>
      <w:r w:rsidR="00515A43">
        <w:rPr>
          <w:i/>
          <w:iCs/>
        </w:rPr>
        <w:t xml:space="preserve"> increase efficiency and accuracy in hiring, tracking employee time, and managing </w:t>
      </w:r>
      <w:r w:rsidR="002207DA">
        <w:rPr>
          <w:i/>
          <w:iCs/>
        </w:rPr>
        <w:t xml:space="preserve">employees’ </w:t>
      </w:r>
      <w:r w:rsidR="00515A43">
        <w:rPr>
          <w:i/>
          <w:iCs/>
        </w:rPr>
        <w:t>tax information and paystubs.</w:t>
      </w:r>
    </w:p>
    <w:p w14:paraId="72A5D267" w14:textId="4D3EB28A" w:rsidR="00DD63FD" w:rsidRPr="00E51735" w:rsidRDefault="00DD63FD" w:rsidP="002B4CEF">
      <w:pPr>
        <w:pStyle w:val="Bullet1"/>
        <w:rPr>
          <w:bCs/>
        </w:rPr>
      </w:pPr>
      <w:r>
        <w:rPr>
          <w:i/>
          <w:iCs/>
        </w:rPr>
        <w:t xml:space="preserve">The district should </w:t>
      </w:r>
      <w:r w:rsidR="00E03DB4">
        <w:rPr>
          <w:i/>
          <w:iCs/>
        </w:rPr>
        <w:t xml:space="preserve">continue its efforts </w:t>
      </w:r>
      <w:r>
        <w:rPr>
          <w:i/>
          <w:iCs/>
        </w:rPr>
        <w:t>to diversify its teaching staff</w:t>
      </w:r>
      <w:r w:rsidR="00F95D2E">
        <w:rPr>
          <w:i/>
          <w:iCs/>
        </w:rPr>
        <w:t xml:space="preserve"> and explore additional opportunities to recruit and retain teachers</w:t>
      </w:r>
      <w:r w:rsidR="000F078C">
        <w:rPr>
          <w:i/>
          <w:iCs/>
        </w:rPr>
        <w:t xml:space="preserve"> who identify as Hispanic or Latino</w:t>
      </w:r>
      <w:r w:rsidR="00F95D2E">
        <w:rPr>
          <w:i/>
          <w:iCs/>
        </w:rPr>
        <w:t>.</w:t>
      </w:r>
    </w:p>
    <w:p w14:paraId="79F0CA44" w14:textId="6ED8E116" w:rsidR="003A6124" w:rsidRPr="00D60C79" w:rsidRDefault="003A6124" w:rsidP="002B4CEF">
      <w:pPr>
        <w:pStyle w:val="Bullet1"/>
        <w:rPr>
          <w:bCs/>
          <w:i/>
          <w:iCs/>
        </w:rPr>
      </w:pPr>
      <w:r w:rsidRPr="00D60C79">
        <w:rPr>
          <w:bCs/>
          <w:i/>
          <w:iCs/>
        </w:rPr>
        <w:t xml:space="preserve">The district should </w:t>
      </w:r>
      <w:r w:rsidR="0039048E">
        <w:rPr>
          <w:bCs/>
          <w:i/>
          <w:iCs/>
        </w:rPr>
        <w:t xml:space="preserve">find ways to provide </w:t>
      </w:r>
      <w:r w:rsidR="0039324F">
        <w:rPr>
          <w:bCs/>
          <w:i/>
          <w:iCs/>
        </w:rPr>
        <w:t xml:space="preserve">actionable, </w:t>
      </w:r>
      <w:r w:rsidRPr="00D60C79">
        <w:rPr>
          <w:bCs/>
          <w:i/>
          <w:iCs/>
        </w:rPr>
        <w:t xml:space="preserve">constructive feedback </w:t>
      </w:r>
      <w:r w:rsidR="0039324F">
        <w:rPr>
          <w:bCs/>
          <w:i/>
          <w:iCs/>
        </w:rPr>
        <w:t xml:space="preserve">through the </w:t>
      </w:r>
      <w:r w:rsidRPr="00D60C79">
        <w:rPr>
          <w:bCs/>
          <w:i/>
          <w:iCs/>
        </w:rPr>
        <w:t>evaluation</w:t>
      </w:r>
      <w:r w:rsidR="0039324F">
        <w:rPr>
          <w:bCs/>
          <w:i/>
          <w:iCs/>
        </w:rPr>
        <w:t xml:space="preserve"> process</w:t>
      </w:r>
      <w:r w:rsidRPr="00D60C79">
        <w:rPr>
          <w:bCs/>
          <w:i/>
          <w:iCs/>
        </w:rPr>
        <w:t>.</w:t>
      </w:r>
    </w:p>
    <w:p w14:paraId="0D05145C" w14:textId="6701CBA7" w:rsidR="00E51735" w:rsidRPr="00D60C79" w:rsidRDefault="00D60C79" w:rsidP="002B4CEF">
      <w:pPr>
        <w:pStyle w:val="Bullet1"/>
        <w:rPr>
          <w:bCs/>
          <w:i/>
          <w:iCs/>
        </w:rPr>
      </w:pPr>
      <w:r>
        <w:rPr>
          <w:bCs/>
          <w:i/>
          <w:iCs/>
        </w:rPr>
        <w:t xml:space="preserve">The district should </w:t>
      </w:r>
      <w:r w:rsidR="005502C7">
        <w:rPr>
          <w:bCs/>
          <w:i/>
          <w:iCs/>
        </w:rPr>
        <w:t>identify the barriers school leaders face in consistently observing classrooms and providing useful feedback and work with school leaders to</w:t>
      </w:r>
      <w:r w:rsidR="00F21AE9">
        <w:rPr>
          <w:bCs/>
          <w:i/>
          <w:iCs/>
        </w:rPr>
        <w:t xml:space="preserve"> identify solutions. </w:t>
      </w:r>
    </w:p>
    <w:p w14:paraId="7FCE4845" w14:textId="4B23527B" w:rsidR="0042189D" w:rsidRPr="00D60C79" w:rsidRDefault="0042189D" w:rsidP="002B4CEF">
      <w:pPr>
        <w:pStyle w:val="Bullet1"/>
        <w:rPr>
          <w:bCs/>
          <w:i/>
          <w:iCs/>
        </w:rPr>
      </w:pPr>
      <w:r w:rsidRPr="00D60C79">
        <w:rPr>
          <w:bCs/>
          <w:i/>
          <w:iCs/>
        </w:rPr>
        <w:t xml:space="preserve">The district should </w:t>
      </w:r>
      <w:r w:rsidR="00604408" w:rsidRPr="00D60C79">
        <w:rPr>
          <w:bCs/>
          <w:i/>
          <w:iCs/>
        </w:rPr>
        <w:t>systematize its selection of prof</w:t>
      </w:r>
      <w:r w:rsidR="008700BC" w:rsidRPr="00D60C79">
        <w:rPr>
          <w:bCs/>
          <w:i/>
          <w:iCs/>
        </w:rPr>
        <w:t xml:space="preserve">essional development opportunities and </w:t>
      </w:r>
      <w:r w:rsidR="00CE2CD8" w:rsidRPr="00D60C79">
        <w:rPr>
          <w:bCs/>
          <w:i/>
          <w:iCs/>
        </w:rPr>
        <w:t xml:space="preserve">sincerely consider teacher feedback and requests when selecting and developing its offerings. </w:t>
      </w:r>
    </w:p>
    <w:p w14:paraId="0890CD2A" w14:textId="50625F7C" w:rsidR="000A3A9B" w:rsidRDefault="000A3A9B" w:rsidP="002B4CEF">
      <w:pPr>
        <w:pStyle w:val="Bullet1"/>
        <w:rPr>
          <w:bCs/>
          <w:i/>
          <w:iCs/>
        </w:rPr>
      </w:pPr>
      <w:r w:rsidRPr="00D60C79">
        <w:rPr>
          <w:bCs/>
          <w:i/>
          <w:iCs/>
        </w:rPr>
        <w:t xml:space="preserve">The district should </w:t>
      </w:r>
      <w:r w:rsidR="00D86FBB" w:rsidRPr="00D60C79">
        <w:rPr>
          <w:bCs/>
          <w:i/>
          <w:iCs/>
        </w:rPr>
        <w:t>guide school leaders to</w:t>
      </w:r>
      <w:r w:rsidR="00A92F7E" w:rsidRPr="00D60C79">
        <w:rPr>
          <w:bCs/>
          <w:i/>
          <w:iCs/>
        </w:rPr>
        <w:t xml:space="preserve"> protect scheduled PLC time and to work collaboratively with teachers to design PLC agendas that both meet teachers’ needs and optimize the limited time available for collaboration</w:t>
      </w:r>
      <w:r w:rsidR="00A85A15" w:rsidRPr="00D60C79">
        <w:rPr>
          <w:bCs/>
          <w:i/>
          <w:iCs/>
        </w:rPr>
        <w:t xml:space="preserve">. </w:t>
      </w:r>
    </w:p>
    <w:p w14:paraId="5937FB42" w14:textId="362339CE" w:rsidR="00FF17FA" w:rsidRPr="00D60C79" w:rsidRDefault="00FF17FA" w:rsidP="002B4CEF">
      <w:pPr>
        <w:pStyle w:val="Bullet1"/>
        <w:rPr>
          <w:bCs/>
          <w:i/>
          <w:iCs/>
        </w:rPr>
      </w:pPr>
      <w:r>
        <w:rPr>
          <w:bCs/>
          <w:i/>
          <w:iCs/>
        </w:rPr>
        <w:t>The district should critically examine the efficacy of its teacher mentoring program</w:t>
      </w:r>
      <w:r w:rsidR="003B4B40">
        <w:rPr>
          <w:bCs/>
          <w:i/>
          <w:iCs/>
        </w:rPr>
        <w:t xml:space="preserve"> and make adjustments so that it provides effective support for new teachers at all levels.</w:t>
      </w:r>
    </w:p>
    <w:p w14:paraId="77600101" w14:textId="77777777" w:rsidR="008D6102" w:rsidRPr="00D60C79" w:rsidRDefault="008D6102" w:rsidP="008D6102">
      <w:pPr>
        <w:spacing w:line="240" w:lineRule="auto"/>
        <w:rPr>
          <w:bCs/>
          <w:i/>
          <w:iCs/>
        </w:rPr>
      </w:pPr>
      <w:r w:rsidRPr="00D60C79">
        <w:rPr>
          <w:bCs/>
          <w:i/>
          <w:iCs/>
        </w:rPr>
        <w:br w:type="page"/>
      </w:r>
    </w:p>
    <w:p w14:paraId="3913897C" w14:textId="77777777" w:rsidR="008D6102" w:rsidRPr="00900ADE" w:rsidRDefault="008D6102" w:rsidP="008D6102">
      <w:pPr>
        <w:pStyle w:val="Heading2"/>
      </w:pPr>
      <w:bookmarkStart w:id="58" w:name="_Student_Support"/>
      <w:bookmarkStart w:id="59" w:name="_Toc101446231"/>
      <w:bookmarkStart w:id="60" w:name="_Toc202873112"/>
      <w:bookmarkEnd w:id="58"/>
      <w:r w:rsidRPr="00900ADE">
        <w:lastRenderedPageBreak/>
        <w:t>Student Support</w:t>
      </w:r>
      <w:bookmarkEnd w:id="59"/>
      <w:bookmarkEnd w:id="60"/>
    </w:p>
    <w:p w14:paraId="4675061C" w14:textId="490CF74A" w:rsidR="00E341DA" w:rsidRPr="00900ADE" w:rsidRDefault="00E341DA" w:rsidP="00AF7025">
      <w:pPr>
        <w:pStyle w:val="BodyText"/>
      </w:pPr>
      <w:bookmarkStart w:id="61" w:name="_Toc101446232"/>
      <w:bookmarkEnd w:id="20"/>
      <w:r w:rsidRPr="00900ADE">
        <w:t>This section focuses on the extent to which the district supports the whole student by creating safe and supportive environments, meeting students’ health and well</w:t>
      </w:r>
      <w:r w:rsidR="0043306E" w:rsidRPr="00900ADE">
        <w:t>-</w:t>
      </w:r>
      <w:r w:rsidRPr="00900ADE">
        <w:t>being needs, and engaging all families. It also focuses on the extent to which these supports are built on a robust MTSS that flexibly assesses and addresses each student’s academic, social</w:t>
      </w:r>
      <w:r w:rsidR="0043306E" w:rsidRPr="00900ADE">
        <w:t>-</w:t>
      </w:r>
      <w:r w:rsidRPr="00900ADE">
        <w:t>emotional, and behavioral strengths and needs.</w:t>
      </w:r>
    </w:p>
    <w:p w14:paraId="7355BFE9" w14:textId="501EA9B5" w:rsidR="002C6E1C" w:rsidRPr="00900ADE" w:rsidRDefault="002C6E1C" w:rsidP="00AF7025">
      <w:pPr>
        <w:pStyle w:val="BodyText"/>
      </w:pPr>
      <w:r w:rsidRPr="00900ADE">
        <w:t xml:space="preserve">Table </w:t>
      </w:r>
      <w:r w:rsidR="00090F28" w:rsidRPr="00900ADE">
        <w:t>8</w:t>
      </w:r>
      <w:r w:rsidR="009D3EFF" w:rsidRPr="00900ADE">
        <w:t xml:space="preserve"> </w:t>
      </w:r>
      <w:r w:rsidRPr="00900ADE">
        <w:t>summarizes key strengths and areas for growth in student support</w:t>
      </w:r>
      <w:r w:rsidR="00B525D4" w:rsidRPr="00900ADE">
        <w:t xml:space="preserve"> in Medway</w:t>
      </w:r>
      <w:r w:rsidRPr="00900ADE">
        <w:t>.</w:t>
      </w:r>
    </w:p>
    <w:p w14:paraId="0EB4E056" w14:textId="01F6CD3A" w:rsidR="00B827DE" w:rsidRPr="00900ADE" w:rsidRDefault="00B827DE" w:rsidP="00B827DE">
      <w:pPr>
        <w:pStyle w:val="TableTitle0"/>
      </w:pPr>
      <w:r w:rsidRPr="00900ADE">
        <w:t xml:space="preserve">Table </w:t>
      </w:r>
      <w:r w:rsidR="00090F28" w:rsidRPr="00900ADE">
        <w:t>8</w:t>
      </w:r>
      <w:r w:rsidRPr="00900ADE">
        <w:t xml:space="preserve">. Summary of </w:t>
      </w:r>
      <w:r w:rsidR="002C6E1C" w:rsidRPr="00900ADE">
        <w:t xml:space="preserve">Key Strengths </w:t>
      </w:r>
      <w:r w:rsidRPr="00900ADE">
        <w:t xml:space="preserve">and </w:t>
      </w:r>
      <w:r w:rsidR="002C6E1C" w:rsidRPr="00900ADE">
        <w:t xml:space="preserve">Areas </w:t>
      </w:r>
      <w:r w:rsidRPr="00900ADE">
        <w:t xml:space="preserve">for </w:t>
      </w:r>
      <w:r w:rsidR="002C6E1C" w:rsidRPr="00900ADE">
        <w:t>Growth:</w:t>
      </w:r>
      <w:r w:rsidRPr="00900ADE">
        <w:t xml:space="preserve"> Student Support</w:t>
      </w:r>
      <w:r w:rsidR="002C6E1C" w:rsidRPr="00900ADE">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900ADE" w14:paraId="29A087A1" w14:textId="77777777" w:rsidTr="00086ABC">
        <w:trPr>
          <w:cnfStyle w:val="100000000000" w:firstRow="1" w:lastRow="0" w:firstColumn="0" w:lastColumn="0" w:oddVBand="0" w:evenVBand="0" w:oddHBand="0" w:evenHBand="0" w:firstRowFirstColumn="0" w:firstRowLastColumn="0" w:lastRowFirstColumn="0" w:lastRowLastColumn="0"/>
          <w:tblHeader/>
        </w:trPr>
        <w:tc>
          <w:tcPr>
            <w:tcW w:w="912" w:type="pct"/>
          </w:tcPr>
          <w:p w14:paraId="4C0F0075" w14:textId="77777777" w:rsidR="00B827DE" w:rsidRPr="00510408" w:rsidRDefault="00B827DE" w:rsidP="00B827DE">
            <w:pPr>
              <w:pStyle w:val="TableColHeadingCenter"/>
              <w:rPr>
                <w:bdr w:val="none" w:sz="0" w:space="0" w:color="auto" w:frame="1"/>
              </w:rPr>
            </w:pPr>
            <w:r w:rsidRPr="00510408">
              <w:rPr>
                <w:bdr w:val="none" w:sz="0" w:space="0" w:color="auto" w:frame="1"/>
              </w:rPr>
              <w:t>Indicator</w:t>
            </w:r>
          </w:p>
        </w:tc>
        <w:tc>
          <w:tcPr>
            <w:tcW w:w="2117" w:type="pct"/>
          </w:tcPr>
          <w:p w14:paraId="769171B3" w14:textId="77777777" w:rsidR="00B827DE" w:rsidRPr="00900ADE" w:rsidRDefault="00B827DE" w:rsidP="00B827DE">
            <w:pPr>
              <w:pStyle w:val="TableColHeadingCenter"/>
              <w:rPr>
                <w:bdr w:val="none" w:sz="0" w:space="0" w:color="auto" w:frame="1"/>
              </w:rPr>
            </w:pPr>
            <w:r w:rsidRPr="00900ADE">
              <w:rPr>
                <w:bdr w:val="none" w:sz="0" w:space="0" w:color="auto" w:frame="1"/>
              </w:rPr>
              <w:t>Strengths</w:t>
            </w:r>
          </w:p>
        </w:tc>
        <w:tc>
          <w:tcPr>
            <w:tcW w:w="1971" w:type="pct"/>
          </w:tcPr>
          <w:p w14:paraId="44C3E121" w14:textId="17C71646" w:rsidR="00B827DE" w:rsidRPr="00900ADE" w:rsidRDefault="00B827DE" w:rsidP="00B827DE">
            <w:pPr>
              <w:pStyle w:val="TableColHeadingCenter"/>
              <w:rPr>
                <w:bdr w:val="none" w:sz="0" w:space="0" w:color="auto" w:frame="1"/>
              </w:rPr>
            </w:pPr>
            <w:r w:rsidRPr="00900ADE">
              <w:rPr>
                <w:bdr w:val="none" w:sz="0" w:space="0" w:color="auto" w:frame="1"/>
              </w:rPr>
              <w:t xml:space="preserve">Areas for </w:t>
            </w:r>
            <w:r w:rsidR="002C6E1C" w:rsidRPr="00900ADE">
              <w:rPr>
                <w:bdr w:val="none" w:sz="0" w:space="0" w:color="auto" w:frame="1"/>
              </w:rPr>
              <w:t>growth</w:t>
            </w:r>
          </w:p>
        </w:tc>
      </w:tr>
      <w:tr w:rsidR="00B827DE" w:rsidRPr="00900ADE"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45AC57BD" w:rsidR="00B827DE" w:rsidRPr="00900ADE" w:rsidRDefault="00B827DE" w:rsidP="005D13E7">
            <w:pPr>
              <w:pStyle w:val="TableSubheading"/>
              <w:rPr>
                <w:bdr w:val="none" w:sz="0" w:space="0" w:color="auto" w:frame="1"/>
              </w:rPr>
            </w:pPr>
            <w:hyperlink w:anchor="_Safe_and_Supportive" w:history="1">
              <w:r w:rsidRPr="00900ADE">
                <w:rPr>
                  <w:rStyle w:val="Hyperlink"/>
                  <w:bdr w:val="none" w:sz="0" w:space="0" w:color="auto" w:frame="1"/>
                </w:rPr>
                <w:t xml:space="preserve">Safe and </w:t>
              </w:r>
              <w:r w:rsidR="008E78FB" w:rsidRPr="00900ADE">
                <w:rPr>
                  <w:rStyle w:val="Hyperlink"/>
                  <w:bdr w:val="none" w:sz="0" w:space="0" w:color="auto" w:frame="1"/>
                </w:rPr>
                <w:t>S</w:t>
              </w:r>
              <w:r w:rsidRPr="00900ADE">
                <w:rPr>
                  <w:rStyle w:val="Hyperlink"/>
                  <w:bdr w:val="none" w:sz="0" w:space="0" w:color="auto" w:frame="1"/>
                </w:rPr>
                <w:t xml:space="preserve">upportive </w:t>
              </w:r>
              <w:r w:rsidR="008E78FB" w:rsidRPr="00900ADE">
                <w:rPr>
                  <w:rStyle w:val="Hyperlink"/>
                  <w:bdr w:val="none" w:sz="0" w:space="0" w:color="auto" w:frame="1"/>
                </w:rPr>
                <w:t>S</w:t>
              </w:r>
              <w:r w:rsidRPr="00900ADE">
                <w:rPr>
                  <w:rStyle w:val="Hyperlink"/>
                  <w:bdr w:val="none" w:sz="0" w:space="0" w:color="auto" w:frame="1"/>
                </w:rPr>
                <w:t xml:space="preserve">chool </w:t>
              </w:r>
              <w:r w:rsidR="008E78FB" w:rsidRPr="00900ADE">
                <w:rPr>
                  <w:rStyle w:val="Hyperlink"/>
                  <w:bdr w:val="none" w:sz="0" w:space="0" w:color="auto" w:frame="1"/>
                </w:rPr>
                <w:t>C</w:t>
              </w:r>
              <w:r w:rsidRPr="00900ADE">
                <w:rPr>
                  <w:rStyle w:val="Hyperlink"/>
                  <w:bdr w:val="none" w:sz="0" w:space="0" w:color="auto" w:frame="1"/>
                </w:rPr>
                <w:t xml:space="preserve">limate and </w:t>
              </w:r>
              <w:r w:rsidR="008E78FB" w:rsidRPr="00900ADE">
                <w:rPr>
                  <w:rStyle w:val="Hyperlink"/>
                  <w:bdr w:val="none" w:sz="0" w:space="0" w:color="auto" w:frame="1"/>
                </w:rPr>
                <w:t>C</w:t>
              </w:r>
              <w:r w:rsidRPr="00900ADE">
                <w:rPr>
                  <w:rStyle w:val="Hyperlink"/>
                  <w:bdr w:val="none" w:sz="0" w:space="0" w:color="auto" w:frame="1"/>
                </w:rPr>
                <w:t>ulture</w:t>
              </w:r>
            </w:hyperlink>
          </w:p>
        </w:tc>
        <w:tc>
          <w:tcPr>
            <w:tcW w:w="2117" w:type="pct"/>
          </w:tcPr>
          <w:p w14:paraId="132C8480" w14:textId="4CC7EA02" w:rsidR="00B827DE" w:rsidRPr="00900ADE" w:rsidRDefault="009E5C7A" w:rsidP="007D69BA">
            <w:pPr>
              <w:pStyle w:val="TableBullet1"/>
              <w:rPr>
                <w:bdr w:val="none" w:sz="0" w:space="0" w:color="auto" w:frame="1"/>
              </w:rPr>
            </w:pPr>
            <w:r w:rsidRPr="00900ADE">
              <w:t>Students generally feel welcome, respected, and safe in their schools.</w:t>
            </w:r>
          </w:p>
        </w:tc>
        <w:tc>
          <w:tcPr>
            <w:tcW w:w="1971" w:type="pct"/>
          </w:tcPr>
          <w:p w14:paraId="27C0EEB3" w14:textId="688FD8C4" w:rsidR="00E300B4" w:rsidRPr="00900ADE" w:rsidRDefault="00E300B4" w:rsidP="0043306E">
            <w:pPr>
              <w:pStyle w:val="TableBullet1"/>
            </w:pPr>
            <w:r w:rsidRPr="00900ADE">
              <w:t xml:space="preserve">Establishing more Tier 2 </w:t>
            </w:r>
            <w:r w:rsidR="00A33855" w:rsidRPr="00900ADE">
              <w:t xml:space="preserve">behavior </w:t>
            </w:r>
            <w:r w:rsidRPr="00900ADE">
              <w:t xml:space="preserve">supports </w:t>
            </w:r>
          </w:p>
          <w:p w14:paraId="2DE3D9E0" w14:textId="576483BB" w:rsidR="00D77667" w:rsidRPr="00900ADE" w:rsidRDefault="00E300B4" w:rsidP="0043306E">
            <w:pPr>
              <w:pStyle w:val="TableBullet1"/>
            </w:pPr>
            <w:r w:rsidRPr="00900ADE">
              <w:t>Developing a consistent process for gathering</w:t>
            </w:r>
            <w:r w:rsidR="00FA6336" w:rsidRPr="00900ADE">
              <w:t xml:space="preserve"> student feedback</w:t>
            </w:r>
          </w:p>
        </w:tc>
      </w:tr>
      <w:tr w:rsidR="008E78FB" w:rsidRPr="00900ADE" w14:paraId="1CE8C21F" w14:textId="77777777" w:rsidTr="00B827DE">
        <w:tc>
          <w:tcPr>
            <w:tcW w:w="912" w:type="pct"/>
          </w:tcPr>
          <w:p w14:paraId="2F6553E8" w14:textId="2E08453A" w:rsidR="008E78FB" w:rsidRPr="00900ADE" w:rsidRDefault="008E78FB" w:rsidP="005D13E7">
            <w:pPr>
              <w:pStyle w:val="TableSubheading"/>
            </w:pPr>
            <w:hyperlink w:anchor="_Tiered_Systems_of" w:history="1">
              <w:r w:rsidRPr="00900ADE">
                <w:rPr>
                  <w:rStyle w:val="Hyperlink"/>
                </w:rPr>
                <w:t>Health and Well</w:t>
              </w:r>
              <w:r w:rsidR="0043306E" w:rsidRPr="00900ADE">
                <w:rPr>
                  <w:rStyle w:val="Hyperlink"/>
                </w:rPr>
                <w:t>-B</w:t>
              </w:r>
              <w:r w:rsidRPr="00900ADE">
                <w:rPr>
                  <w:rStyle w:val="Hyperlink"/>
                </w:rPr>
                <w:t>eing</w:t>
              </w:r>
            </w:hyperlink>
          </w:p>
        </w:tc>
        <w:tc>
          <w:tcPr>
            <w:tcW w:w="2117" w:type="pct"/>
          </w:tcPr>
          <w:p w14:paraId="5D50A4F9" w14:textId="28B295D7" w:rsidR="008E78FB" w:rsidRPr="00900ADE" w:rsidRDefault="00222215" w:rsidP="00222215">
            <w:pPr>
              <w:pStyle w:val="TableBullet1"/>
              <w:rPr>
                <w:bdr w:val="none" w:sz="0" w:space="0" w:color="auto" w:frame="1"/>
              </w:rPr>
            </w:pPr>
            <w:r w:rsidRPr="00222215">
              <w:t xml:space="preserve">The amount of mental health services across Tier 2 and 3 </w:t>
            </w:r>
            <w:r w:rsidR="005E1D43">
              <w:t xml:space="preserve">at the elementary and middle school </w:t>
            </w:r>
            <w:r w:rsidRPr="00222215">
              <w:t>offered for students</w:t>
            </w:r>
          </w:p>
        </w:tc>
        <w:tc>
          <w:tcPr>
            <w:tcW w:w="1971" w:type="pct"/>
          </w:tcPr>
          <w:p w14:paraId="79D5DF69" w14:textId="0B82EE42" w:rsidR="008E78FB" w:rsidRPr="00900ADE" w:rsidRDefault="00E713F8" w:rsidP="0043306E">
            <w:pPr>
              <w:pStyle w:val="TableBullet1"/>
            </w:pPr>
            <w:r>
              <w:t>Systematizing access to</w:t>
            </w:r>
            <w:r w:rsidR="008D1026" w:rsidRPr="00900ADE">
              <w:t xml:space="preserve"> mental health services for students at </w:t>
            </w:r>
            <w:r w:rsidR="0043306E" w:rsidRPr="00900ADE">
              <w:t xml:space="preserve">the </w:t>
            </w:r>
            <w:r w:rsidR="008D1026" w:rsidRPr="00900ADE">
              <w:t>secondary levels</w:t>
            </w:r>
          </w:p>
        </w:tc>
      </w:tr>
      <w:tr w:rsidR="000B782E" w:rsidRPr="00900ADE" w14:paraId="56DC2E99" w14:textId="77777777">
        <w:trPr>
          <w:cnfStyle w:val="000000100000" w:firstRow="0" w:lastRow="0" w:firstColumn="0" w:lastColumn="0" w:oddVBand="0" w:evenVBand="0" w:oddHBand="1" w:evenHBand="0" w:firstRowFirstColumn="0" w:firstRowLastColumn="0" w:lastRowFirstColumn="0" w:lastRowLastColumn="0"/>
        </w:trPr>
        <w:tc>
          <w:tcPr>
            <w:tcW w:w="912" w:type="pct"/>
          </w:tcPr>
          <w:p w14:paraId="3DCA32C2" w14:textId="54CAAD15" w:rsidR="000B782E" w:rsidRPr="00900ADE" w:rsidRDefault="000B782E">
            <w:pPr>
              <w:pStyle w:val="TableSubheading"/>
              <w:rPr>
                <w:bdr w:val="none" w:sz="0" w:space="0" w:color="auto" w:frame="1"/>
              </w:rPr>
            </w:pPr>
            <w:hyperlink w:anchor="_Family_and_Community" w:history="1">
              <w:r w:rsidRPr="00900ADE">
                <w:rPr>
                  <w:rStyle w:val="Hyperlink"/>
                  <w:bdr w:val="none" w:sz="0" w:space="0" w:color="auto" w:frame="1"/>
                </w:rPr>
                <w:t>Family and Community Partnerships</w:t>
              </w:r>
            </w:hyperlink>
          </w:p>
        </w:tc>
        <w:tc>
          <w:tcPr>
            <w:tcW w:w="2117" w:type="pct"/>
          </w:tcPr>
          <w:p w14:paraId="110A16EB" w14:textId="288778F5" w:rsidR="000B782E" w:rsidRPr="00900ADE" w:rsidRDefault="00D37C70" w:rsidP="0043306E">
            <w:pPr>
              <w:pStyle w:val="TableBullet1"/>
            </w:pPr>
            <w:r w:rsidRPr="00900ADE">
              <w:t>Medway has a wraparound service program</w:t>
            </w:r>
            <w:r w:rsidR="0043306E" w:rsidRPr="00900ADE">
              <w:t xml:space="preserve"> consisting</w:t>
            </w:r>
            <w:r w:rsidRPr="00900ADE">
              <w:t xml:space="preserve"> of a district social worker, a therapeutic mentor, a parent coach, and Care Solace</w:t>
            </w:r>
            <w:r w:rsidR="0026205C" w:rsidRPr="00900ADE">
              <w:t>.</w:t>
            </w:r>
          </w:p>
        </w:tc>
        <w:tc>
          <w:tcPr>
            <w:tcW w:w="1971" w:type="pct"/>
          </w:tcPr>
          <w:p w14:paraId="4B1DF210" w14:textId="6A738235" w:rsidR="000B782E" w:rsidRPr="00900ADE" w:rsidRDefault="00C10A48" w:rsidP="0043306E">
            <w:pPr>
              <w:pStyle w:val="TableBullet1"/>
            </w:pPr>
            <w:r w:rsidRPr="00900ADE">
              <w:t xml:space="preserve">Creating meaningful opportunities for family members to share feedback and impact </w:t>
            </w:r>
            <w:r w:rsidR="00F165E6">
              <w:t>decision-making</w:t>
            </w:r>
          </w:p>
        </w:tc>
      </w:tr>
      <w:tr w:rsidR="00B827DE" w:rsidRPr="00900ADE" w14:paraId="491E4833" w14:textId="77777777" w:rsidTr="00B827DE">
        <w:tc>
          <w:tcPr>
            <w:tcW w:w="912" w:type="pct"/>
          </w:tcPr>
          <w:p w14:paraId="0084A27B" w14:textId="6FA66273" w:rsidR="00B827DE" w:rsidRPr="00900ADE" w:rsidRDefault="000B782E" w:rsidP="005D13E7">
            <w:pPr>
              <w:pStyle w:val="TableSubheading"/>
              <w:rPr>
                <w:bdr w:val="none" w:sz="0" w:space="0" w:color="auto" w:frame="1"/>
              </w:rPr>
            </w:pPr>
            <w:hyperlink w:anchor="_Multi-Tiered_Systems_of" w:history="1">
              <w:r w:rsidRPr="00900ADE">
                <w:rPr>
                  <w:rStyle w:val="Hyperlink"/>
                  <w:bdr w:val="none" w:sz="0" w:space="0" w:color="auto" w:frame="1"/>
                </w:rPr>
                <w:t>Multi</w:t>
              </w:r>
              <w:r w:rsidR="006F4231" w:rsidRPr="00900ADE">
                <w:rPr>
                  <w:rStyle w:val="Hyperlink"/>
                  <w:bdr w:val="none" w:sz="0" w:space="0" w:color="auto" w:frame="1"/>
                </w:rPr>
                <w:t>-T</w:t>
              </w:r>
              <w:r w:rsidR="00B827DE" w:rsidRPr="00900ADE">
                <w:rPr>
                  <w:rStyle w:val="Hyperlink"/>
                  <w:bdr w:val="none" w:sz="0" w:space="0" w:color="auto" w:frame="1"/>
                </w:rPr>
                <w:t xml:space="preserve">iered </w:t>
              </w:r>
              <w:r w:rsidR="006F4231" w:rsidRPr="00900ADE">
                <w:rPr>
                  <w:rStyle w:val="Hyperlink"/>
                  <w:bdr w:val="none" w:sz="0" w:space="0" w:color="auto" w:frame="1"/>
                </w:rPr>
                <w:t>S</w:t>
              </w:r>
              <w:r w:rsidR="00B827DE" w:rsidRPr="00900ADE">
                <w:rPr>
                  <w:rStyle w:val="Hyperlink"/>
                  <w:bdr w:val="none" w:sz="0" w:space="0" w:color="auto" w:frame="1"/>
                </w:rPr>
                <w:t xml:space="preserve">ystems of </w:t>
              </w:r>
              <w:r w:rsidR="006F4231" w:rsidRPr="00900ADE">
                <w:rPr>
                  <w:rStyle w:val="Hyperlink"/>
                  <w:bdr w:val="none" w:sz="0" w:space="0" w:color="auto" w:frame="1"/>
                </w:rPr>
                <w:t>S</w:t>
              </w:r>
              <w:r w:rsidR="00B827DE" w:rsidRPr="00900ADE">
                <w:rPr>
                  <w:rStyle w:val="Hyperlink"/>
                  <w:bdr w:val="none" w:sz="0" w:space="0" w:color="auto" w:frame="1"/>
                </w:rPr>
                <w:t>upport</w:t>
              </w:r>
              <w:r w:rsidR="006F4231" w:rsidRPr="00900ADE">
                <w:rPr>
                  <w:rStyle w:val="Hyperlink"/>
                  <w:bdr w:val="none" w:sz="0" w:space="0" w:color="auto" w:frame="1"/>
                </w:rPr>
                <w:t xml:space="preserve"> (MTSS)</w:t>
              </w:r>
            </w:hyperlink>
          </w:p>
        </w:tc>
        <w:tc>
          <w:tcPr>
            <w:tcW w:w="2117" w:type="pct"/>
          </w:tcPr>
          <w:p w14:paraId="7B5A0406" w14:textId="1C587D90" w:rsidR="00B827DE" w:rsidRPr="00900ADE" w:rsidRDefault="00B827DE" w:rsidP="00AF7025">
            <w:pPr>
              <w:pStyle w:val="TableBullet1"/>
              <w:numPr>
                <w:ilvl w:val="0"/>
                <w:numId w:val="0"/>
              </w:numPr>
              <w:ind w:left="360"/>
              <w:rPr>
                <w:bdr w:val="none" w:sz="0" w:space="0" w:color="auto" w:frame="1"/>
              </w:rPr>
            </w:pPr>
          </w:p>
        </w:tc>
        <w:tc>
          <w:tcPr>
            <w:tcW w:w="1971" w:type="pct"/>
          </w:tcPr>
          <w:p w14:paraId="28707236" w14:textId="33095FBE" w:rsidR="00255969" w:rsidRDefault="004748BB" w:rsidP="0043306E">
            <w:pPr>
              <w:pStyle w:val="TableBullet1"/>
            </w:pPr>
            <w:r>
              <w:t xml:space="preserve">Adding specificity to the MTSS process, which includes creating an MTSS guidebook, monitoring the effectiveness, having </w:t>
            </w:r>
            <w:r w:rsidR="000B0339">
              <w:t xml:space="preserve">consistent districtwide </w:t>
            </w:r>
            <w:r>
              <w:t>progress monitoring procedures, and supporting schools in scheduling to provide time for Tier 2 and 3 interventions</w:t>
            </w:r>
          </w:p>
          <w:p w14:paraId="475954FD" w14:textId="4F3D620F" w:rsidR="00597A7F" w:rsidRPr="00900ADE" w:rsidRDefault="003348EF" w:rsidP="0043306E">
            <w:pPr>
              <w:pStyle w:val="TableBullet1"/>
            </w:pPr>
            <w:r>
              <w:t>D</w:t>
            </w:r>
            <w:r w:rsidR="00597A7F" w:rsidRPr="00597A7F">
              <w:t xml:space="preserve">eveloping districtwide guidance for staff regarding how to support students, especially English Learners, who are receiving Tier 2 and Tier 3 services </w:t>
            </w:r>
          </w:p>
        </w:tc>
      </w:tr>
    </w:tbl>
    <w:p w14:paraId="6FDD5EB4" w14:textId="3A48E896" w:rsidR="00B827DE" w:rsidRPr="00900ADE" w:rsidRDefault="00B827DE" w:rsidP="00B827DE">
      <w:pPr>
        <w:pStyle w:val="Heading3"/>
      </w:pPr>
      <w:bookmarkStart w:id="62" w:name="_Safe_and_Supportive"/>
      <w:bookmarkEnd w:id="62"/>
      <w:r w:rsidRPr="00900ADE">
        <w:t>Safe and Supportive School Climate and Culture</w:t>
      </w:r>
    </w:p>
    <w:p w14:paraId="2F7E4408" w14:textId="4D9D403D" w:rsidR="00E77CD9" w:rsidRPr="007529E3" w:rsidRDefault="006F5F8C" w:rsidP="00C81DDB">
      <w:pPr>
        <w:pStyle w:val="BodyTextposthead"/>
      </w:pPr>
      <w:r w:rsidRPr="007529E3">
        <w:t xml:space="preserve">Medway has </w:t>
      </w:r>
      <w:r w:rsidR="008824E7" w:rsidRPr="007529E3">
        <w:t>several plans in place to support</w:t>
      </w:r>
      <w:r w:rsidR="003C3401">
        <w:t xml:space="preserve"> and monitor</w:t>
      </w:r>
      <w:r w:rsidR="008824E7" w:rsidRPr="007529E3">
        <w:t xml:space="preserve"> student</w:t>
      </w:r>
      <w:r w:rsidR="004C3CF5" w:rsidRPr="007529E3">
        <w:t>s’ sense of well</w:t>
      </w:r>
      <w:r w:rsidR="0043306E" w:rsidRPr="007529E3">
        <w:t>-</w:t>
      </w:r>
      <w:r w:rsidR="004C3CF5" w:rsidRPr="007529E3">
        <w:t xml:space="preserve">being. </w:t>
      </w:r>
      <w:r w:rsidR="00C81DDB" w:rsidRPr="007529E3">
        <w:t>According to students and their families, students generally feel welcome, respected, and safe in their schools</w:t>
      </w:r>
      <w:r w:rsidR="009E5C7A" w:rsidRPr="007529E3">
        <w:t xml:space="preserve">, </w:t>
      </w:r>
      <w:r w:rsidR="0043306E" w:rsidRPr="007529E3">
        <w:t xml:space="preserve">which is </w:t>
      </w:r>
      <w:r w:rsidR="009E5C7A" w:rsidRPr="007529E3">
        <w:t>a strength of the district.</w:t>
      </w:r>
      <w:r w:rsidR="00C81DDB" w:rsidRPr="007529E3">
        <w:t xml:space="preserve"> High school students</w:t>
      </w:r>
      <w:r w:rsidR="00DE65A1" w:rsidRPr="007529E3">
        <w:t xml:space="preserve"> in a focus group all </w:t>
      </w:r>
      <w:r w:rsidR="00F90EB3" w:rsidRPr="007529E3">
        <w:t>indicated</w:t>
      </w:r>
      <w:r w:rsidR="00C81DDB" w:rsidRPr="007529E3">
        <w:t xml:space="preserve"> </w:t>
      </w:r>
      <w:r w:rsidR="0043306E" w:rsidRPr="007529E3">
        <w:t>having</w:t>
      </w:r>
      <w:r w:rsidR="00C81DDB" w:rsidRPr="007529E3">
        <w:t xml:space="preserve"> a trusted adult at their school</w:t>
      </w:r>
      <w:r w:rsidR="00F90EB3" w:rsidRPr="007529E3">
        <w:t>. However, a majority of these students</w:t>
      </w:r>
      <w:r w:rsidR="006A38C6" w:rsidRPr="007529E3">
        <w:t xml:space="preserve"> said</w:t>
      </w:r>
      <w:r w:rsidR="00C81DDB" w:rsidRPr="007529E3">
        <w:t xml:space="preserve"> </w:t>
      </w:r>
      <w:r w:rsidR="0043306E" w:rsidRPr="007529E3">
        <w:t xml:space="preserve">that </w:t>
      </w:r>
      <w:r w:rsidR="00C81DDB" w:rsidRPr="007529E3">
        <w:t xml:space="preserve">the degree to which they feel welcome, respected, and safe </w:t>
      </w:r>
      <w:r w:rsidR="006A38C6" w:rsidRPr="007529E3">
        <w:t xml:space="preserve">in general </w:t>
      </w:r>
      <w:r w:rsidR="00C81DDB" w:rsidRPr="007529E3">
        <w:t xml:space="preserve">at school “depends on the situation and the teacher.” Middle school students reported </w:t>
      </w:r>
      <w:r w:rsidR="0043306E" w:rsidRPr="007529E3">
        <w:t>feeling</w:t>
      </w:r>
      <w:r w:rsidR="00C81DDB" w:rsidRPr="007529E3">
        <w:t xml:space="preserve"> welcomed, especially when the “principal and vice principal </w:t>
      </w:r>
      <w:r w:rsidR="00C81DDB" w:rsidRPr="007529E3">
        <w:lastRenderedPageBreak/>
        <w:t>come outside every day when we’re going into school to stand outside, gree</w:t>
      </w:r>
      <w:r w:rsidR="1B6F3490" w:rsidRPr="007529E3">
        <w:t>t</w:t>
      </w:r>
      <w:r w:rsidR="00C81DDB" w:rsidRPr="007529E3">
        <w:t xml:space="preserve"> us, and ask about our day.” </w:t>
      </w:r>
      <w:r w:rsidR="0043306E" w:rsidRPr="007529E3">
        <w:t>S</w:t>
      </w:r>
      <w:r w:rsidR="00C81DDB" w:rsidRPr="007529E3">
        <w:t xml:space="preserve">tudents </w:t>
      </w:r>
      <w:r w:rsidR="0043306E" w:rsidRPr="007529E3">
        <w:t xml:space="preserve">also </w:t>
      </w:r>
      <w:r w:rsidR="00C81DDB" w:rsidRPr="007529E3">
        <w:t>reported that the extracurricular options, including theater, jazz band, and afterschool programs, provide a welcoming environment for students to find their place in the school.</w:t>
      </w:r>
      <w:r w:rsidR="00227896" w:rsidRPr="007529E3">
        <w:t xml:space="preserve"> A review of district documents indicated that the district </w:t>
      </w:r>
      <w:r w:rsidR="00607AFE" w:rsidRPr="007529E3">
        <w:t>also has</w:t>
      </w:r>
      <w:r w:rsidR="00DE690A" w:rsidRPr="007529E3">
        <w:t xml:space="preserve"> </w:t>
      </w:r>
      <w:r w:rsidR="00227896" w:rsidRPr="007529E3">
        <w:t>a crisis plan, which includes evacuation information, an emergency response plan,</w:t>
      </w:r>
      <w:r w:rsidR="00227896" w:rsidRPr="007529E3">
        <w:rPr>
          <w:b/>
          <w:bCs/>
          <w:i/>
          <w:iCs/>
        </w:rPr>
        <w:t xml:space="preserve"> </w:t>
      </w:r>
      <w:r w:rsidR="00227896" w:rsidRPr="007529E3">
        <w:t>and a bullying prevention plan.</w:t>
      </w:r>
    </w:p>
    <w:p w14:paraId="1A04B07D" w14:textId="10219FEE" w:rsidR="00E77CD9" w:rsidRPr="00900ADE" w:rsidRDefault="00E77CD9" w:rsidP="009704AD">
      <w:pPr>
        <w:pStyle w:val="BodyText"/>
      </w:pPr>
      <w:r w:rsidRPr="00900ADE">
        <w:t xml:space="preserve">According to district leaders, the district collects and uses Panorama </w:t>
      </w:r>
      <w:proofErr w:type="spellStart"/>
      <w:r w:rsidRPr="00900ADE">
        <w:t>triannually</w:t>
      </w:r>
      <w:proofErr w:type="spellEnd"/>
      <w:r w:rsidRPr="00900ADE">
        <w:t xml:space="preserve"> and </w:t>
      </w:r>
      <w:r w:rsidR="0043306E" w:rsidRPr="00900ADE">
        <w:t xml:space="preserve">the </w:t>
      </w:r>
      <w:r w:rsidRPr="00900ADE">
        <w:t xml:space="preserve">MetroWest Adolescent Health Survey biennially to regularly monitor school and district culture. The </w:t>
      </w:r>
      <w:r w:rsidR="00A130AB" w:rsidRPr="00900ADE">
        <w:t>s</w:t>
      </w:r>
      <w:r w:rsidRPr="00900ADE">
        <w:t xml:space="preserve">uperintendent and other district leaders added that </w:t>
      </w:r>
      <w:r w:rsidR="0043306E" w:rsidRPr="00900ADE">
        <w:t xml:space="preserve">teachers use </w:t>
      </w:r>
      <w:r w:rsidRPr="00900ADE">
        <w:t>some additional assessments to collect information on classroom and school culture. All schools within the district reported conducting a school climate survey</w:t>
      </w:r>
      <w:r w:rsidR="00AA03BD" w:rsidRPr="00900ADE">
        <w:t>, but h</w:t>
      </w:r>
      <w:r w:rsidRPr="00900ADE">
        <w:t>igh school students reported that the Panorama survey was long and</w:t>
      </w:r>
      <w:r w:rsidR="00EA4C6B">
        <w:t xml:space="preserve"> that</w:t>
      </w:r>
      <w:r w:rsidRPr="00900ADE">
        <w:t xml:space="preserve"> “a lot of people don’t do it.”</w:t>
      </w:r>
    </w:p>
    <w:p w14:paraId="07D3CDEA" w14:textId="462CB194" w:rsidR="00ED1D17" w:rsidRPr="00900ADE" w:rsidRDefault="00403EA1" w:rsidP="009704AD">
      <w:pPr>
        <w:pStyle w:val="BodyText"/>
        <w:rPr>
          <w:spacing w:val="-2"/>
        </w:rPr>
      </w:pPr>
      <w:r w:rsidRPr="00900ADE">
        <w:rPr>
          <w:spacing w:val="-2"/>
        </w:rPr>
        <w:t xml:space="preserve">District leaders reported </w:t>
      </w:r>
      <w:r w:rsidR="003202C2" w:rsidRPr="00900ADE">
        <w:rPr>
          <w:spacing w:val="-2"/>
        </w:rPr>
        <w:t>having</w:t>
      </w:r>
      <w:r w:rsidRPr="00900ADE">
        <w:rPr>
          <w:spacing w:val="-2"/>
        </w:rPr>
        <w:t xml:space="preserve"> a districtwide student discipline policy. </w:t>
      </w:r>
      <w:r w:rsidR="00702629" w:rsidRPr="00900ADE">
        <w:rPr>
          <w:spacing w:val="-2"/>
        </w:rPr>
        <w:t xml:space="preserve">Middle school students noted </w:t>
      </w:r>
      <w:r w:rsidR="003202C2" w:rsidRPr="00900ADE">
        <w:rPr>
          <w:spacing w:val="-2"/>
        </w:rPr>
        <w:t>having</w:t>
      </w:r>
      <w:r w:rsidR="00702629" w:rsidRPr="00900ADE">
        <w:rPr>
          <w:spacing w:val="-2"/>
        </w:rPr>
        <w:t xml:space="preserve"> consistent rules and consequences, but </w:t>
      </w:r>
      <w:r w:rsidR="003202C2" w:rsidRPr="00900ADE">
        <w:rPr>
          <w:spacing w:val="-2"/>
        </w:rPr>
        <w:t>some</w:t>
      </w:r>
      <w:r w:rsidR="00702629" w:rsidRPr="00900ADE">
        <w:rPr>
          <w:spacing w:val="-2"/>
        </w:rPr>
        <w:t xml:space="preserve">times the consequences get applied to all students instead of just those who are breaking the rules. </w:t>
      </w:r>
      <w:r w:rsidRPr="00900ADE">
        <w:rPr>
          <w:spacing w:val="-2"/>
        </w:rPr>
        <w:t xml:space="preserve">However, high school students reported that, </w:t>
      </w:r>
      <w:r w:rsidR="003202C2" w:rsidRPr="00900ADE">
        <w:rPr>
          <w:spacing w:val="-2"/>
        </w:rPr>
        <w:t xml:space="preserve">although </w:t>
      </w:r>
      <w:r w:rsidRPr="00900ADE">
        <w:rPr>
          <w:spacing w:val="-2"/>
        </w:rPr>
        <w:t>there are expectations, consequences are not consistent across students</w:t>
      </w:r>
      <w:r w:rsidR="00FA6C96" w:rsidRPr="00900ADE">
        <w:rPr>
          <w:spacing w:val="-2"/>
        </w:rPr>
        <w:t>. Students said that</w:t>
      </w:r>
      <w:r w:rsidR="0082323D" w:rsidRPr="00900ADE">
        <w:rPr>
          <w:spacing w:val="-2"/>
        </w:rPr>
        <w:t>,</w:t>
      </w:r>
      <w:r w:rsidR="00FA6C96" w:rsidRPr="00900ADE">
        <w:rPr>
          <w:spacing w:val="-2"/>
        </w:rPr>
        <w:t xml:space="preserve"> for example, </w:t>
      </w:r>
      <w:r w:rsidR="00866FC3" w:rsidRPr="00900ADE">
        <w:rPr>
          <w:spacing w:val="-2"/>
        </w:rPr>
        <w:t>some</w:t>
      </w:r>
      <w:r w:rsidR="0082323D" w:rsidRPr="00900ADE">
        <w:rPr>
          <w:spacing w:val="-2"/>
        </w:rPr>
        <w:t xml:space="preserve"> students damage </w:t>
      </w:r>
      <w:r w:rsidR="003202C2" w:rsidRPr="00900ADE">
        <w:rPr>
          <w:spacing w:val="-2"/>
        </w:rPr>
        <w:t xml:space="preserve">the </w:t>
      </w:r>
      <w:r w:rsidR="0082323D" w:rsidRPr="00900ADE">
        <w:rPr>
          <w:spacing w:val="-2"/>
        </w:rPr>
        <w:t>bathrooms</w:t>
      </w:r>
      <w:r w:rsidR="00866FC3" w:rsidRPr="00900ADE">
        <w:rPr>
          <w:spacing w:val="-2"/>
        </w:rPr>
        <w:t xml:space="preserve"> or have poor attendance </w:t>
      </w:r>
      <w:r w:rsidR="003202C2" w:rsidRPr="00900ADE">
        <w:rPr>
          <w:spacing w:val="-2"/>
        </w:rPr>
        <w:t>with</w:t>
      </w:r>
      <w:r w:rsidR="00866FC3" w:rsidRPr="00900ADE">
        <w:rPr>
          <w:spacing w:val="-2"/>
        </w:rPr>
        <w:t xml:space="preserve"> seem</w:t>
      </w:r>
      <w:r w:rsidR="003202C2" w:rsidRPr="00900ADE">
        <w:rPr>
          <w:spacing w:val="-2"/>
        </w:rPr>
        <w:t>ingly</w:t>
      </w:r>
      <w:r w:rsidR="00866FC3" w:rsidRPr="00900ADE">
        <w:rPr>
          <w:spacing w:val="-2"/>
        </w:rPr>
        <w:t xml:space="preserve"> few consequences</w:t>
      </w:r>
      <w:r w:rsidR="00702629" w:rsidRPr="00900ADE">
        <w:rPr>
          <w:spacing w:val="-2"/>
        </w:rPr>
        <w:t xml:space="preserve">, </w:t>
      </w:r>
      <w:r w:rsidR="003202C2" w:rsidRPr="00900ADE">
        <w:rPr>
          <w:spacing w:val="-2"/>
        </w:rPr>
        <w:t xml:space="preserve">whereas </w:t>
      </w:r>
      <w:r w:rsidR="00702629" w:rsidRPr="00900ADE">
        <w:rPr>
          <w:spacing w:val="-2"/>
        </w:rPr>
        <w:t>other students are held to a high standard</w:t>
      </w:r>
      <w:r w:rsidRPr="00900ADE">
        <w:rPr>
          <w:spacing w:val="-2"/>
        </w:rPr>
        <w:t>.</w:t>
      </w:r>
      <w:r w:rsidR="00702629" w:rsidRPr="00900ADE">
        <w:rPr>
          <w:spacing w:val="-2"/>
        </w:rPr>
        <w:t xml:space="preserve"> One high school student said</w:t>
      </w:r>
      <w:r w:rsidR="008D5063" w:rsidRPr="00900ADE">
        <w:rPr>
          <w:spacing w:val="-2"/>
        </w:rPr>
        <w:t>, “</w:t>
      </w:r>
      <w:r w:rsidR="003202C2" w:rsidRPr="00900ADE">
        <w:rPr>
          <w:spacing w:val="-2"/>
        </w:rPr>
        <w:t>T</w:t>
      </w:r>
      <w:r w:rsidR="009A3BAB" w:rsidRPr="00900ADE">
        <w:rPr>
          <w:spacing w:val="-2"/>
        </w:rPr>
        <w:t>he school</w:t>
      </w:r>
      <w:r w:rsidR="003202C2" w:rsidRPr="00900ADE">
        <w:rPr>
          <w:spacing w:val="-2"/>
        </w:rPr>
        <w:t>’</w:t>
      </w:r>
      <w:r w:rsidR="009A3BAB" w:rsidRPr="00900ADE">
        <w:rPr>
          <w:spacing w:val="-2"/>
        </w:rPr>
        <w:t xml:space="preserve">s almost like separating the two parts,” </w:t>
      </w:r>
      <w:r w:rsidR="00530205" w:rsidRPr="00900ADE">
        <w:rPr>
          <w:spacing w:val="-2"/>
        </w:rPr>
        <w:t>between students who follow the rules and do their work and students “</w:t>
      </w:r>
      <w:r w:rsidR="00FB408D" w:rsidRPr="00900ADE">
        <w:rPr>
          <w:spacing w:val="-2"/>
        </w:rPr>
        <w:t>who are skipping class and in the bathrooms all the time.”</w:t>
      </w:r>
      <w:r w:rsidRPr="00900ADE">
        <w:rPr>
          <w:spacing w:val="-2"/>
        </w:rPr>
        <w:t xml:space="preserve"> </w:t>
      </w:r>
      <w:r w:rsidR="001B7C27" w:rsidRPr="00900ADE">
        <w:rPr>
          <w:spacing w:val="-2"/>
        </w:rPr>
        <w:t xml:space="preserve">State data </w:t>
      </w:r>
      <w:r w:rsidR="006C5A99">
        <w:rPr>
          <w:spacing w:val="-2"/>
        </w:rPr>
        <w:t>show</w:t>
      </w:r>
      <w:r w:rsidR="001B7C27" w:rsidRPr="00900ADE">
        <w:rPr>
          <w:spacing w:val="-2"/>
        </w:rPr>
        <w:t xml:space="preserve"> </w:t>
      </w:r>
      <w:r w:rsidR="003202C2" w:rsidRPr="00900ADE">
        <w:rPr>
          <w:spacing w:val="-2"/>
        </w:rPr>
        <w:t xml:space="preserve">that </w:t>
      </w:r>
      <w:r w:rsidR="001B7C27" w:rsidRPr="00900ADE">
        <w:rPr>
          <w:spacing w:val="-2"/>
        </w:rPr>
        <w:t>both in-school and out-of-school suspension rates</w:t>
      </w:r>
      <w:r w:rsidR="007314E6" w:rsidRPr="00900ADE">
        <w:rPr>
          <w:spacing w:val="-2"/>
        </w:rPr>
        <w:t xml:space="preserve"> </w:t>
      </w:r>
      <w:r w:rsidR="00B851C8">
        <w:rPr>
          <w:spacing w:val="-2"/>
        </w:rPr>
        <w:t xml:space="preserve">are </w:t>
      </w:r>
      <w:r w:rsidR="007314E6" w:rsidRPr="00900ADE">
        <w:rPr>
          <w:spacing w:val="-2"/>
        </w:rPr>
        <w:t>below the state rate.</w:t>
      </w:r>
      <w:r w:rsidR="0055531E" w:rsidRPr="00900ADE">
        <w:rPr>
          <w:spacing w:val="-2"/>
        </w:rPr>
        <w:t xml:space="preserve"> </w:t>
      </w:r>
    </w:p>
    <w:p w14:paraId="634C92F5" w14:textId="781128A8" w:rsidR="00403EA1" w:rsidRPr="007529E3" w:rsidRDefault="00403EA1" w:rsidP="009704AD">
      <w:pPr>
        <w:pStyle w:val="BodyText"/>
      </w:pPr>
      <w:r w:rsidRPr="007529E3">
        <w:t xml:space="preserve">According to the district leaders, the director of wellness, and student support staff, </w:t>
      </w:r>
      <w:r w:rsidR="007C71AF" w:rsidRPr="007529E3">
        <w:t>Medway</w:t>
      </w:r>
      <w:r w:rsidRPr="007529E3">
        <w:t xml:space="preserve"> provides some resources to address intensive behavioral support needs. For example, Medway has a LINKS program</w:t>
      </w:r>
      <w:r w:rsidR="003A7555">
        <w:t>, which is a Tier 3 safe space and behavior pull-out program,</w:t>
      </w:r>
      <w:r w:rsidRPr="007529E3">
        <w:t xml:space="preserve"> at </w:t>
      </w:r>
      <w:r w:rsidR="007C71AF" w:rsidRPr="007529E3">
        <w:t>Burke-</w:t>
      </w:r>
      <w:r w:rsidRPr="007529E3">
        <w:t>Memorial, Medway Middle School, and Medway High School</w:t>
      </w:r>
      <w:r w:rsidR="00F009F8">
        <w:t>,</w:t>
      </w:r>
      <w:r w:rsidRPr="007529E3">
        <w:t xml:space="preserve"> and </w:t>
      </w:r>
      <w:r w:rsidR="00E51325">
        <w:t>two</w:t>
      </w:r>
      <w:r w:rsidRPr="007529E3">
        <w:t xml:space="preserve"> </w:t>
      </w:r>
      <w:r w:rsidR="00476877" w:rsidRPr="007529E3">
        <w:t>Board Certified Behavior Analyst</w:t>
      </w:r>
      <w:r w:rsidR="00E51325">
        <w:t>s</w:t>
      </w:r>
      <w:r w:rsidR="00476877" w:rsidRPr="007529E3">
        <w:t xml:space="preserve"> </w:t>
      </w:r>
      <w:r w:rsidRPr="007529E3">
        <w:t>shared across the district</w:t>
      </w:r>
      <w:r w:rsidR="00E51325">
        <w:t xml:space="preserve"> at the time of the review</w:t>
      </w:r>
      <w:r w:rsidRPr="007529E3">
        <w:t xml:space="preserve">. However, staff noted a need for more Tier 2 </w:t>
      </w:r>
      <w:r w:rsidR="67BDBBC9" w:rsidRPr="007529E3">
        <w:t>behavior</w:t>
      </w:r>
      <w:r w:rsidRPr="007529E3">
        <w:t xml:space="preserve"> supports at all levels, </w:t>
      </w:r>
      <w:r w:rsidR="007C71AF" w:rsidRPr="007529E3">
        <w:t xml:space="preserve">which is </w:t>
      </w:r>
      <w:r w:rsidRPr="007529E3">
        <w:t xml:space="preserve">an area </w:t>
      </w:r>
      <w:r w:rsidR="00DE6D6D" w:rsidRPr="007529E3">
        <w:t>for</w:t>
      </w:r>
      <w:r w:rsidRPr="007529E3">
        <w:t xml:space="preserve"> growth for the district.</w:t>
      </w:r>
      <w:r w:rsidR="008B3D8C" w:rsidRPr="007529E3">
        <w:t xml:space="preserve"> In particular, </w:t>
      </w:r>
      <w:r w:rsidR="00AC5C4C" w:rsidRPr="007529E3">
        <w:t xml:space="preserve">school-level </w:t>
      </w:r>
      <w:r w:rsidR="008B3D8C" w:rsidRPr="007529E3">
        <w:t xml:space="preserve">staff reported that </w:t>
      </w:r>
      <w:r w:rsidR="007C71AF" w:rsidRPr="007529E3">
        <w:t>multiple,</w:t>
      </w:r>
      <w:r w:rsidR="008B3D8C" w:rsidRPr="007529E3">
        <w:t xml:space="preserve"> previously available</w:t>
      </w:r>
      <w:r w:rsidR="007C71AF" w:rsidRPr="007529E3">
        <w:t>,</w:t>
      </w:r>
      <w:r w:rsidR="008B3D8C" w:rsidRPr="007529E3">
        <w:t xml:space="preserve"> small-group nonacademic supports are no longer available to students</w:t>
      </w:r>
      <w:r w:rsidR="007C71AF" w:rsidRPr="007529E3">
        <w:t>, including</w:t>
      </w:r>
      <w:r w:rsidR="00627CC1" w:rsidRPr="007529E3">
        <w:t xml:space="preserve"> a learning lab to support executive functioning</w:t>
      </w:r>
      <w:r w:rsidR="00414D53" w:rsidRPr="007529E3">
        <w:t xml:space="preserve">, groups to support </w:t>
      </w:r>
      <w:r w:rsidR="00564234" w:rsidRPr="007529E3">
        <w:t xml:space="preserve">students dealing with </w:t>
      </w:r>
      <w:r w:rsidR="00414D53" w:rsidRPr="007529E3">
        <w:t xml:space="preserve">stress and anxiety, and </w:t>
      </w:r>
      <w:r w:rsidR="00907ABC" w:rsidRPr="007529E3">
        <w:t xml:space="preserve">supports for students </w:t>
      </w:r>
      <w:r w:rsidR="007C71AF" w:rsidRPr="007529E3">
        <w:t>with</w:t>
      </w:r>
      <w:r w:rsidR="00907ABC" w:rsidRPr="007529E3">
        <w:t xml:space="preserve"> extended absences for medical reasons. Staff said in focus groups that an increase in overall student needs has overwhelmed </w:t>
      </w:r>
      <w:r w:rsidR="00D576B7" w:rsidRPr="007529E3">
        <w:t>counseling staff</w:t>
      </w:r>
      <w:r w:rsidR="0067121B" w:rsidRPr="007529E3">
        <w:t xml:space="preserve"> who </w:t>
      </w:r>
      <w:r w:rsidR="00564234" w:rsidRPr="007529E3">
        <w:t>previously</w:t>
      </w:r>
      <w:r w:rsidR="0067121B" w:rsidRPr="007529E3">
        <w:t xml:space="preserve"> provided these small</w:t>
      </w:r>
      <w:r w:rsidR="007C71AF" w:rsidRPr="007529E3">
        <w:t>-</w:t>
      </w:r>
      <w:r w:rsidR="0067121B" w:rsidRPr="007529E3">
        <w:t xml:space="preserve">group supports. </w:t>
      </w:r>
      <w:r w:rsidR="007C71AF" w:rsidRPr="007529E3">
        <w:t xml:space="preserve">As </w:t>
      </w:r>
      <w:r w:rsidR="00DB4622" w:rsidRPr="007529E3">
        <w:t>one staff member</w:t>
      </w:r>
      <w:r w:rsidR="007C71AF" w:rsidRPr="007529E3">
        <w:t xml:space="preserve"> said</w:t>
      </w:r>
      <w:r w:rsidR="00DB4622" w:rsidRPr="007529E3">
        <w:t>, “</w:t>
      </w:r>
      <w:r w:rsidR="007C71AF" w:rsidRPr="007529E3">
        <w:t xml:space="preserve">A </w:t>
      </w:r>
      <w:r w:rsidR="00DB4622" w:rsidRPr="007529E3">
        <w:t xml:space="preserve">lot of this could be nipped in the bud if we had more </w:t>
      </w:r>
      <w:r w:rsidR="007C71AF" w:rsidRPr="007529E3">
        <w:t>T</w:t>
      </w:r>
      <w:r w:rsidR="00DB4622" w:rsidRPr="007529E3">
        <w:t xml:space="preserve">ier </w:t>
      </w:r>
      <w:r w:rsidR="007C71AF" w:rsidRPr="007529E3">
        <w:t>2</w:t>
      </w:r>
      <w:r w:rsidR="00DB4622" w:rsidRPr="007529E3">
        <w:t xml:space="preserve"> interventions.”</w:t>
      </w:r>
      <w:r w:rsidR="003A4BEE">
        <w:t xml:space="preserve"> In response, district leaders </w:t>
      </w:r>
      <w:r w:rsidR="0005295A">
        <w:t>highlighted</w:t>
      </w:r>
      <w:r w:rsidR="003A4BEE">
        <w:t xml:space="preserve"> </w:t>
      </w:r>
      <w:r w:rsidR="004E352E">
        <w:t xml:space="preserve">the shifting of select responsibilities to free up counselor time; </w:t>
      </w:r>
      <w:r w:rsidR="006B515B">
        <w:t>unique staffing, including</w:t>
      </w:r>
      <w:r w:rsidR="001458C2">
        <w:t xml:space="preserve"> an adjustment counselor dedicated to Tier 2 supports; </w:t>
      </w:r>
      <w:r w:rsidR="006B515B">
        <w:t>and overall staffing levels exceeding those recommended by professional organizations.</w:t>
      </w:r>
    </w:p>
    <w:p w14:paraId="1EFFFBF1" w14:textId="5C8F408E" w:rsidR="005C508E" w:rsidRPr="00900ADE" w:rsidRDefault="007D281D" w:rsidP="009704AD">
      <w:pPr>
        <w:pStyle w:val="BodyText"/>
      </w:pPr>
      <w:r w:rsidRPr="00900ADE">
        <w:t xml:space="preserve">According to the student policy manual, the district implements attendance policies to increase attendance and engagement to prevent and mitigate the effects of chronic absenteeism. </w:t>
      </w:r>
      <w:r w:rsidR="003C2179" w:rsidRPr="00900ADE">
        <w:t xml:space="preserve">District leaders reported that </w:t>
      </w:r>
      <w:r w:rsidR="00A33855" w:rsidRPr="00900ADE">
        <w:t>Medway</w:t>
      </w:r>
      <w:r w:rsidR="003C2179" w:rsidRPr="00900ADE">
        <w:t xml:space="preserve"> is working on attendance issues, especially at the secondary level. The director of student services noted that last year they worked with high school counselors to address barriers students face when accessing schools</w:t>
      </w:r>
      <w:r w:rsidR="007C71AF" w:rsidRPr="00900ADE">
        <w:t>,</w:t>
      </w:r>
      <w:r w:rsidR="003C2179" w:rsidRPr="00900ADE">
        <w:t xml:space="preserve"> “whether it’s transportation, whether it’s food, whether there</w:t>
      </w:r>
      <w:r w:rsidR="007C71AF" w:rsidRPr="00900ADE">
        <w:t>’</w:t>
      </w:r>
      <w:r w:rsidR="003C2179" w:rsidRPr="00900ADE">
        <w:t>s some kind of other services needed at home</w:t>
      </w:r>
      <w:r w:rsidR="007C71AF" w:rsidRPr="00900ADE">
        <w:t>—</w:t>
      </w:r>
      <w:r w:rsidR="003C2179" w:rsidRPr="00900ADE">
        <w:t xml:space="preserve">those teams help identify what </w:t>
      </w:r>
      <w:r w:rsidR="003C2179" w:rsidRPr="00900ADE">
        <w:lastRenderedPageBreak/>
        <w:t xml:space="preserve">is part of that.” </w:t>
      </w:r>
      <w:r w:rsidR="007C71AF" w:rsidRPr="00900ADE">
        <w:t>In addition</w:t>
      </w:r>
      <w:r w:rsidR="003C2179" w:rsidRPr="00900ADE">
        <w:t xml:space="preserve">, district respondents noted </w:t>
      </w:r>
      <w:r w:rsidR="007C71AF" w:rsidRPr="00900ADE">
        <w:t xml:space="preserve">that </w:t>
      </w:r>
      <w:r w:rsidR="003C2179" w:rsidRPr="00900ADE">
        <w:t>they have a school avoidance task force that reviews data related to attendance and factors for absenteeism</w:t>
      </w:r>
      <w:r w:rsidR="007C71AF" w:rsidRPr="00900ADE">
        <w:t>,</w:t>
      </w:r>
      <w:r w:rsidR="003C2179" w:rsidRPr="00900ADE">
        <w:t xml:space="preserve"> report</w:t>
      </w:r>
      <w:r w:rsidR="007C71AF" w:rsidRPr="00900ADE">
        <w:t>ing</w:t>
      </w:r>
      <w:r w:rsidR="003C2179" w:rsidRPr="00900ADE">
        <w:t xml:space="preserve"> that the district has “seen improvement in our attendance since starting that task force.”</w:t>
      </w:r>
      <w:r w:rsidR="00340386" w:rsidRPr="00900ADE">
        <w:t xml:space="preserve"> </w:t>
      </w:r>
      <w:r w:rsidR="007C71AF" w:rsidRPr="00900ADE">
        <w:t>S</w:t>
      </w:r>
      <w:r w:rsidR="002F175C" w:rsidRPr="00900ADE">
        <w:t>tate data</w:t>
      </w:r>
      <w:r w:rsidR="007C71AF" w:rsidRPr="00900ADE">
        <w:t xml:space="preserve"> support this </w:t>
      </w:r>
      <w:r w:rsidR="003E1631">
        <w:t>perspective</w:t>
      </w:r>
      <w:r w:rsidR="007C71AF" w:rsidRPr="00900ADE">
        <w:t>.</w:t>
      </w:r>
      <w:r w:rsidR="002F175C" w:rsidRPr="00900ADE">
        <w:t xml:space="preserve"> </w:t>
      </w:r>
      <w:r w:rsidR="00857C10" w:rsidRPr="00900ADE">
        <w:t>The chronic absent</w:t>
      </w:r>
      <w:r w:rsidR="00F0098A" w:rsidRPr="00900ADE">
        <w:t>eeism</w:t>
      </w:r>
      <w:r w:rsidR="00857C10" w:rsidRPr="00900ADE">
        <w:t xml:space="preserve"> rate for all students in Medway </w:t>
      </w:r>
      <w:r w:rsidR="00DB756D">
        <w:t>wa</w:t>
      </w:r>
      <w:r w:rsidR="00857C10" w:rsidRPr="00900ADE">
        <w:t>s 8.7 percent</w:t>
      </w:r>
      <w:r w:rsidR="00072CA9">
        <w:t xml:space="preserve"> for 2023-</w:t>
      </w:r>
      <w:r w:rsidR="00F009F8">
        <w:t>20</w:t>
      </w:r>
      <w:r w:rsidR="00072CA9">
        <w:t>24, down from 12.3 percent in 202</w:t>
      </w:r>
      <w:r w:rsidR="00FA1FB0">
        <w:t>2</w:t>
      </w:r>
      <w:r w:rsidR="00072CA9">
        <w:t>-</w:t>
      </w:r>
      <w:r w:rsidR="00F009F8">
        <w:t>20</w:t>
      </w:r>
      <w:r w:rsidR="00072CA9">
        <w:t>2</w:t>
      </w:r>
      <w:r w:rsidR="00FA1FB0">
        <w:t>3</w:t>
      </w:r>
      <w:r w:rsidR="00F009F8">
        <w:t xml:space="preserve"> </w:t>
      </w:r>
      <w:r w:rsidR="00072CA9">
        <w:t xml:space="preserve"> and 12.6 </w:t>
      </w:r>
      <w:r w:rsidR="007073E2">
        <w:t xml:space="preserve">percent </w:t>
      </w:r>
      <w:r w:rsidR="00072CA9">
        <w:t>in 202</w:t>
      </w:r>
      <w:r w:rsidR="00FA1FB0">
        <w:t>1</w:t>
      </w:r>
      <w:r w:rsidR="00072CA9">
        <w:t>-</w:t>
      </w:r>
      <w:r w:rsidR="00542690">
        <w:t>20</w:t>
      </w:r>
      <w:r w:rsidR="00072CA9">
        <w:t>2</w:t>
      </w:r>
      <w:r w:rsidR="00FA1FB0">
        <w:t>2</w:t>
      </w:r>
      <w:r w:rsidR="0023060D" w:rsidRPr="00900ADE">
        <w:t xml:space="preserve">. </w:t>
      </w:r>
      <w:r w:rsidR="007C71AF" w:rsidRPr="00900ADE">
        <w:t>The</w:t>
      </w:r>
      <w:r w:rsidR="00857C10" w:rsidRPr="00900ADE">
        <w:t xml:space="preserve"> chronic absent</w:t>
      </w:r>
      <w:r w:rsidR="007D43B4" w:rsidRPr="00900ADE">
        <w:t>eeism</w:t>
      </w:r>
      <w:r w:rsidR="00857C10" w:rsidRPr="00900ADE">
        <w:t xml:space="preserve"> rate for each student group except Asian students was </w:t>
      </w:r>
      <w:r w:rsidR="00072CA9">
        <w:t xml:space="preserve">also </w:t>
      </w:r>
      <w:r w:rsidR="00857C10" w:rsidRPr="00900ADE">
        <w:t>below the state rate</w:t>
      </w:r>
      <w:r w:rsidR="00072CA9">
        <w:t xml:space="preserve"> (19.7 percent overall) in 2023-</w:t>
      </w:r>
      <w:r w:rsidR="00542690">
        <w:t>20</w:t>
      </w:r>
      <w:r w:rsidR="00072CA9">
        <w:t>24</w:t>
      </w:r>
      <w:r w:rsidR="007D43B4" w:rsidRPr="00900ADE">
        <w:t>,</w:t>
      </w:r>
      <w:r w:rsidR="00857C10" w:rsidRPr="00900ADE">
        <w:t xml:space="preserve"> in most cases by </w:t>
      </w:r>
      <w:r w:rsidR="007D43B4" w:rsidRPr="00900ADE">
        <w:t xml:space="preserve">at least </w:t>
      </w:r>
      <w:r w:rsidR="00857C10" w:rsidRPr="00900ADE">
        <w:t>10 percentage points.</w:t>
      </w:r>
    </w:p>
    <w:p w14:paraId="6363AA72" w14:textId="531953F8" w:rsidR="00A204B9" w:rsidRPr="007529E3" w:rsidRDefault="00A204B9" w:rsidP="009704AD">
      <w:pPr>
        <w:pStyle w:val="BodyText"/>
      </w:pPr>
      <w:r w:rsidRPr="007529E3">
        <w:t xml:space="preserve">High school students noted </w:t>
      </w:r>
      <w:r w:rsidR="00AB334A" w:rsidRPr="007529E3">
        <w:t>having</w:t>
      </w:r>
      <w:r w:rsidRPr="007529E3">
        <w:t xml:space="preserve"> a few teachers who ask for their feedback on their classes, but it is not often</w:t>
      </w:r>
      <w:r w:rsidR="008E0DE6" w:rsidRPr="007529E3">
        <w:t>,</w:t>
      </w:r>
      <w:r w:rsidRPr="007529E3">
        <w:t xml:space="preserve"> and they do</w:t>
      </w:r>
      <w:r w:rsidR="00DA194F" w:rsidRPr="007529E3">
        <w:t xml:space="preserve"> not</w:t>
      </w:r>
      <w:r w:rsidRPr="007529E3">
        <w:t xml:space="preserve"> feel </w:t>
      </w:r>
      <w:r w:rsidR="00AB334A" w:rsidRPr="007529E3">
        <w:t xml:space="preserve">as if </w:t>
      </w:r>
      <w:r w:rsidRPr="007529E3">
        <w:t xml:space="preserve">they have seen </w:t>
      </w:r>
      <w:r w:rsidR="006D01DA" w:rsidRPr="007529E3">
        <w:t>many</w:t>
      </w:r>
      <w:r w:rsidRPr="007529E3">
        <w:t xml:space="preserve"> change</w:t>
      </w:r>
      <w:r w:rsidR="006D01DA" w:rsidRPr="007529E3">
        <w:t>s</w:t>
      </w:r>
      <w:r w:rsidRPr="007529E3">
        <w:t xml:space="preserve"> as a result of </w:t>
      </w:r>
      <w:r w:rsidR="007D43B4" w:rsidRPr="007529E3">
        <w:t xml:space="preserve">providing </w:t>
      </w:r>
      <w:r w:rsidRPr="007529E3">
        <w:t xml:space="preserve">feedback. Students noted that they have requested the principal </w:t>
      </w:r>
      <w:r w:rsidR="00AB334A" w:rsidRPr="007529E3">
        <w:t xml:space="preserve">to </w:t>
      </w:r>
      <w:r w:rsidRPr="007529E3">
        <w:t xml:space="preserve">add </w:t>
      </w:r>
      <w:r w:rsidR="00FE3D2D" w:rsidRPr="007529E3">
        <w:t xml:space="preserve">the student club </w:t>
      </w:r>
      <w:r w:rsidRPr="007529E3">
        <w:t xml:space="preserve">Distributive Education Clubs of America to their school, but </w:t>
      </w:r>
      <w:r w:rsidR="00AB334A" w:rsidRPr="007529E3">
        <w:t xml:space="preserve">limited </w:t>
      </w:r>
      <w:r w:rsidRPr="007529E3">
        <w:t xml:space="preserve">staffing </w:t>
      </w:r>
      <w:r w:rsidR="00AB334A" w:rsidRPr="007529E3">
        <w:t>prevented adding</w:t>
      </w:r>
      <w:r w:rsidRPr="007529E3">
        <w:t xml:space="preserve"> </w:t>
      </w:r>
      <w:r w:rsidR="00AB334A" w:rsidRPr="007529E3">
        <w:t>the club</w:t>
      </w:r>
      <w:r w:rsidRPr="007529E3">
        <w:t xml:space="preserve">. Middle school students reported that they have never been asked about changes they would like to see in their school. </w:t>
      </w:r>
      <w:r w:rsidR="000E5620" w:rsidRPr="007529E3">
        <w:t xml:space="preserve">Developing a </w:t>
      </w:r>
      <w:r w:rsidR="00572474" w:rsidRPr="007529E3">
        <w:t xml:space="preserve">consistent process for </w:t>
      </w:r>
      <w:r w:rsidR="00E300B4" w:rsidRPr="007529E3">
        <w:t>gathering</w:t>
      </w:r>
      <w:r w:rsidR="00572474" w:rsidRPr="007529E3">
        <w:t xml:space="preserve"> </w:t>
      </w:r>
      <w:r w:rsidR="00E300B4" w:rsidRPr="007529E3">
        <w:t xml:space="preserve">student </w:t>
      </w:r>
      <w:r w:rsidR="00572474" w:rsidRPr="007529E3">
        <w:t xml:space="preserve">feedback on the learning environment is an area </w:t>
      </w:r>
      <w:r w:rsidR="00DE6D6D" w:rsidRPr="007529E3">
        <w:t>for</w:t>
      </w:r>
      <w:r w:rsidR="00572474" w:rsidRPr="007529E3">
        <w:t xml:space="preserve"> growth for the district. </w:t>
      </w:r>
    </w:p>
    <w:p w14:paraId="2B4225B9" w14:textId="0B9A7EE0" w:rsidR="00890B24" w:rsidRPr="00900ADE" w:rsidRDefault="00890B24" w:rsidP="00B827DE">
      <w:pPr>
        <w:pStyle w:val="Heading3"/>
      </w:pPr>
      <w:bookmarkStart w:id="63" w:name="_Tiered_Systems_of"/>
      <w:bookmarkStart w:id="64" w:name="_Health_and_Wellbeing"/>
      <w:bookmarkEnd w:id="63"/>
      <w:bookmarkEnd w:id="64"/>
      <w:r w:rsidRPr="00900ADE">
        <w:t>Health and Well</w:t>
      </w:r>
      <w:r w:rsidR="00CF0AFF" w:rsidRPr="00900ADE">
        <w:t>-B</w:t>
      </w:r>
      <w:r w:rsidRPr="00900ADE">
        <w:t>eing</w:t>
      </w:r>
    </w:p>
    <w:p w14:paraId="64F7D908" w14:textId="58770EEA" w:rsidR="006F773D" w:rsidRPr="00900ADE" w:rsidRDefault="001E641F" w:rsidP="009704AD">
      <w:pPr>
        <w:pStyle w:val="BodyTextposthead"/>
        <w:rPr>
          <w:color w:val="00B050"/>
        </w:rPr>
      </w:pPr>
      <w:r w:rsidRPr="00900ADE">
        <w:t xml:space="preserve">According to school leaders and teachers, </w:t>
      </w:r>
      <w:r w:rsidR="00CF0AFF" w:rsidRPr="00900ADE">
        <w:t>Medway</w:t>
      </w:r>
      <w:r w:rsidRPr="00900ADE">
        <w:t xml:space="preserve"> offers health and physical education to all students at their schools</w:t>
      </w:r>
      <w:r w:rsidRPr="00FD4515">
        <w:t>.</w:t>
      </w:r>
      <w:r w:rsidR="00855183" w:rsidRPr="00900ADE">
        <w:t xml:space="preserve"> E</w:t>
      </w:r>
      <w:r w:rsidR="00FE2A6E" w:rsidRPr="00900ADE">
        <w:t>le</w:t>
      </w:r>
      <w:r w:rsidR="00636EB7" w:rsidRPr="00900ADE">
        <w:t xml:space="preserve">mentary teachers noted that </w:t>
      </w:r>
      <w:r w:rsidR="00A875D5" w:rsidRPr="00900ADE">
        <w:t>students have access to recess</w:t>
      </w:r>
      <w:r w:rsidR="00893C4E">
        <w:t>, but s</w:t>
      </w:r>
      <w:r w:rsidR="007C1AF1" w:rsidRPr="00900ADE">
        <w:t xml:space="preserve">taff </w:t>
      </w:r>
      <w:r w:rsidR="0082590D">
        <w:t>noted</w:t>
      </w:r>
      <w:r w:rsidR="0082590D" w:rsidRPr="00900ADE">
        <w:t xml:space="preserve"> </w:t>
      </w:r>
      <w:r w:rsidR="00CF0AFF" w:rsidRPr="00900ADE">
        <w:t xml:space="preserve">that </w:t>
      </w:r>
      <w:r w:rsidR="00825C3B" w:rsidRPr="00900ADE">
        <w:t xml:space="preserve">they think students would benefit from </w:t>
      </w:r>
      <w:r w:rsidR="00CF0AFF" w:rsidRPr="00900ADE">
        <w:t xml:space="preserve">having </w:t>
      </w:r>
      <w:r w:rsidR="00F8682E" w:rsidRPr="00900ADE">
        <w:t xml:space="preserve">another </w:t>
      </w:r>
      <w:r w:rsidR="00825C3B" w:rsidRPr="00900ADE">
        <w:t xml:space="preserve">recess break. One teacher </w:t>
      </w:r>
      <w:r w:rsidR="00314C2C">
        <w:t>stated</w:t>
      </w:r>
      <w:r w:rsidR="00314C2C" w:rsidRPr="00900ADE">
        <w:t xml:space="preserve"> </w:t>
      </w:r>
      <w:r w:rsidR="00825C3B" w:rsidRPr="00900ADE">
        <w:t xml:space="preserve">that </w:t>
      </w:r>
      <w:r w:rsidR="007C1AF1" w:rsidRPr="00900ADE">
        <w:t>after returning from the pandemic,</w:t>
      </w:r>
      <w:r w:rsidR="006800FC" w:rsidRPr="00900ADE">
        <w:t xml:space="preserve"> they had two recesses during the day</w:t>
      </w:r>
      <w:r w:rsidR="00CF0AFF" w:rsidRPr="00900ADE">
        <w:t>,</w:t>
      </w:r>
      <w:r w:rsidR="006800FC" w:rsidRPr="00900ADE">
        <w:t xml:space="preserve"> and </w:t>
      </w:r>
      <w:r w:rsidR="009C6342" w:rsidRPr="00900ADE">
        <w:t xml:space="preserve">“the benefits were so high” for </w:t>
      </w:r>
      <w:r w:rsidR="00AD166A" w:rsidRPr="00900ADE">
        <w:t xml:space="preserve">students’ “ability to stay focused [and] their ability to connect and feel part of the classroom with their peers or with their teachers.” </w:t>
      </w:r>
      <w:r w:rsidR="00855183" w:rsidRPr="00900ADE">
        <w:t>Middle school students reported that they ha</w:t>
      </w:r>
      <w:r w:rsidR="001A4574" w:rsidRPr="00900ADE">
        <w:t>ve</w:t>
      </w:r>
      <w:r w:rsidR="00855183" w:rsidRPr="00900ADE">
        <w:t xml:space="preserve"> recess, which they enjoy, but they felt it was too short</w:t>
      </w:r>
      <w:r w:rsidR="00FF2852" w:rsidRPr="00900ADE">
        <w:t xml:space="preserve">. </w:t>
      </w:r>
    </w:p>
    <w:p w14:paraId="250EC438" w14:textId="3B111D15" w:rsidR="004729D1" w:rsidRPr="00900ADE" w:rsidRDefault="000C541E" w:rsidP="009704AD">
      <w:pPr>
        <w:pStyle w:val="BodyText"/>
      </w:pPr>
      <w:r w:rsidRPr="00900ADE">
        <w:t xml:space="preserve">The district maintains a local wellness policy, as required by law. The policy provides protocols that establish an environment that prioritizes student health, well-being, and the ability to learn. </w:t>
      </w:r>
      <w:r w:rsidR="001A4574" w:rsidRPr="00900ADE">
        <w:t>D</w:t>
      </w:r>
      <w:r w:rsidR="00520F81" w:rsidRPr="00900ADE">
        <w:t>istrict principals</w:t>
      </w:r>
      <w:r w:rsidR="001A4574" w:rsidRPr="00900ADE">
        <w:t xml:space="preserve"> </w:t>
      </w:r>
      <w:r w:rsidR="004F1C96" w:rsidRPr="00900ADE">
        <w:t>reported</w:t>
      </w:r>
      <w:r w:rsidR="00520F81" w:rsidRPr="00900ADE">
        <w:t xml:space="preserve"> that </w:t>
      </w:r>
      <w:r w:rsidR="001A4574" w:rsidRPr="00900ADE">
        <w:t>Medway</w:t>
      </w:r>
      <w:r w:rsidR="00520F81" w:rsidRPr="00900ADE">
        <w:t xml:space="preserve"> has tiered mental and behavioral health services that </w:t>
      </w:r>
      <w:r w:rsidR="000574B3" w:rsidRPr="00900ADE">
        <w:t xml:space="preserve">differ by school and </w:t>
      </w:r>
      <w:r w:rsidR="00520F81" w:rsidRPr="00900ADE">
        <w:t xml:space="preserve">support most students’ mental and emotional wellness. </w:t>
      </w:r>
      <w:r w:rsidR="00B26153" w:rsidRPr="00900ADE">
        <w:t xml:space="preserve">District staff reported that, in general, the district is trying to connect students more with “outside clinical staff who basically are seeing kids during the school day.” </w:t>
      </w:r>
      <w:r w:rsidR="00980D49" w:rsidRPr="00900ADE">
        <w:t xml:space="preserve">Elementary school leaders reported that they offer </w:t>
      </w:r>
      <w:r w:rsidR="00296EBD" w:rsidRPr="00900ADE">
        <w:t xml:space="preserve">tiered counseling support, </w:t>
      </w:r>
      <w:r w:rsidR="000574B3" w:rsidRPr="00900ADE">
        <w:t>R</w:t>
      </w:r>
      <w:r w:rsidR="00296EBD" w:rsidRPr="00900ADE">
        <w:t xml:space="preserve">esponsive </w:t>
      </w:r>
      <w:r w:rsidR="000574B3" w:rsidRPr="00900ADE">
        <w:t>C</w:t>
      </w:r>
      <w:r w:rsidR="00296EBD" w:rsidRPr="00900ADE">
        <w:t xml:space="preserve">lassroom practices, </w:t>
      </w:r>
      <w:r w:rsidR="00C2684B" w:rsidRPr="00900ADE">
        <w:t>Everyday SEL</w:t>
      </w:r>
      <w:r w:rsidR="000574B3" w:rsidRPr="00900ADE">
        <w:t xml:space="preserve"> lessons</w:t>
      </w:r>
      <w:r w:rsidR="00C2684B" w:rsidRPr="00900ADE">
        <w:t xml:space="preserve">, </w:t>
      </w:r>
      <w:r w:rsidR="00A315F1" w:rsidRPr="00900ADE">
        <w:t xml:space="preserve">and </w:t>
      </w:r>
      <w:r w:rsidR="00CF0AFF" w:rsidRPr="00900ADE">
        <w:t xml:space="preserve">social-emotional learning </w:t>
      </w:r>
      <w:r w:rsidR="00570AFF" w:rsidRPr="00900ADE">
        <w:t>groups</w:t>
      </w:r>
      <w:r w:rsidR="00A315F1" w:rsidRPr="00900ADE">
        <w:t xml:space="preserve">. Middle school leaders reported that they offer </w:t>
      </w:r>
      <w:r w:rsidR="00B5130C" w:rsidRPr="00900ADE">
        <w:t>small</w:t>
      </w:r>
      <w:r w:rsidR="00CF0AFF" w:rsidRPr="00900ADE">
        <w:t>-</w:t>
      </w:r>
      <w:r w:rsidR="00B5130C" w:rsidRPr="00900ADE">
        <w:t xml:space="preserve">group counseling, </w:t>
      </w:r>
      <w:r w:rsidR="00CF0AFF" w:rsidRPr="00900ADE">
        <w:t>one-on-one</w:t>
      </w:r>
      <w:r w:rsidR="00B5130C" w:rsidRPr="00900ADE">
        <w:t xml:space="preserve"> counseling, </w:t>
      </w:r>
      <w:r w:rsidR="00842960" w:rsidRPr="00900ADE">
        <w:t>in-school outpatient therapy</w:t>
      </w:r>
      <w:r w:rsidR="00C66C66" w:rsidRPr="00900ADE">
        <w:t>,</w:t>
      </w:r>
      <w:r w:rsidR="00167614" w:rsidRPr="00900ADE">
        <w:t xml:space="preserve"> </w:t>
      </w:r>
      <w:r w:rsidR="00F857F0" w:rsidRPr="00900ADE">
        <w:t xml:space="preserve">an emotionally based school avoidance task force, </w:t>
      </w:r>
      <w:r w:rsidR="00167614" w:rsidRPr="00900ADE">
        <w:t>and</w:t>
      </w:r>
      <w:r w:rsidR="00C66C66" w:rsidRPr="00900ADE">
        <w:t xml:space="preserve"> Cart</w:t>
      </w:r>
      <w:r w:rsidR="00CF0AFF" w:rsidRPr="00900ADE">
        <w:t>w</w:t>
      </w:r>
      <w:r w:rsidR="00C66C66" w:rsidRPr="00900ADE">
        <w:t>heel Tel</w:t>
      </w:r>
      <w:r w:rsidR="00C82A27">
        <w:t>e</w:t>
      </w:r>
      <w:r w:rsidR="00C66C66" w:rsidRPr="00900ADE">
        <w:t>therapy</w:t>
      </w:r>
      <w:r w:rsidR="00F857F0" w:rsidRPr="00900ADE">
        <w:t>.</w:t>
      </w:r>
      <w:r w:rsidR="00E00207" w:rsidRPr="00900ADE">
        <w:t xml:space="preserve"> </w:t>
      </w:r>
      <w:r w:rsidR="002023E0">
        <w:t xml:space="preserve">The </w:t>
      </w:r>
      <w:r w:rsidR="00BD50F5">
        <w:t xml:space="preserve">amount of </w:t>
      </w:r>
      <w:r w:rsidR="00B77C5C">
        <w:t xml:space="preserve">mental and behavioral health services across Tier 2 and 3 </w:t>
      </w:r>
      <w:r w:rsidR="005E1D43">
        <w:t xml:space="preserve">at the elementary and middle school </w:t>
      </w:r>
      <w:r w:rsidR="00B77C5C">
        <w:t xml:space="preserve">offered for students is a strength of the district. </w:t>
      </w:r>
    </w:p>
    <w:p w14:paraId="267565D2" w14:textId="6677671D" w:rsidR="00CF0AFF" w:rsidRPr="00900ADE" w:rsidRDefault="00E00207" w:rsidP="009704AD">
      <w:pPr>
        <w:pStyle w:val="BodyText"/>
        <w:rPr>
          <w:spacing w:val="-2"/>
        </w:rPr>
      </w:pPr>
      <w:r w:rsidRPr="00900ADE">
        <w:rPr>
          <w:spacing w:val="-2"/>
        </w:rPr>
        <w:t>High school leaders reported</w:t>
      </w:r>
      <w:r w:rsidR="006E0EC2" w:rsidRPr="00900ADE">
        <w:rPr>
          <w:spacing w:val="-2"/>
        </w:rPr>
        <w:t xml:space="preserve"> that they offer a flex block </w:t>
      </w:r>
      <w:r w:rsidR="00CF0AFF" w:rsidRPr="00900ADE">
        <w:rPr>
          <w:spacing w:val="-2"/>
        </w:rPr>
        <w:t xml:space="preserve">during which </w:t>
      </w:r>
      <w:r w:rsidR="006E0EC2" w:rsidRPr="00900ADE">
        <w:rPr>
          <w:spacing w:val="-2"/>
        </w:rPr>
        <w:t xml:space="preserve">students can </w:t>
      </w:r>
      <w:r w:rsidR="00501E4B" w:rsidRPr="00900ADE">
        <w:rPr>
          <w:spacing w:val="-2"/>
        </w:rPr>
        <w:t xml:space="preserve">access </w:t>
      </w:r>
      <w:r w:rsidR="00364DA3" w:rsidRPr="00900ADE">
        <w:rPr>
          <w:spacing w:val="-2"/>
        </w:rPr>
        <w:t>T</w:t>
      </w:r>
      <w:r w:rsidR="00365395" w:rsidRPr="00900ADE">
        <w:rPr>
          <w:spacing w:val="-2"/>
        </w:rPr>
        <w:t xml:space="preserve">ier 2 </w:t>
      </w:r>
      <w:r w:rsidR="00B10873" w:rsidRPr="00900ADE">
        <w:rPr>
          <w:spacing w:val="-2"/>
        </w:rPr>
        <w:t>supports</w:t>
      </w:r>
      <w:r w:rsidR="004729D1" w:rsidRPr="00900ADE">
        <w:rPr>
          <w:spacing w:val="-2"/>
        </w:rPr>
        <w:t>, but h</w:t>
      </w:r>
      <w:r w:rsidR="00E17F2E" w:rsidRPr="00900ADE">
        <w:rPr>
          <w:spacing w:val="-2"/>
        </w:rPr>
        <w:t>igh school</w:t>
      </w:r>
      <w:r w:rsidR="008969EE" w:rsidRPr="00900ADE">
        <w:rPr>
          <w:spacing w:val="-2"/>
        </w:rPr>
        <w:t xml:space="preserve"> teachers noted</w:t>
      </w:r>
      <w:r w:rsidR="0050618E" w:rsidRPr="00900ADE">
        <w:rPr>
          <w:spacing w:val="-2"/>
        </w:rPr>
        <w:t xml:space="preserve"> the challenge of a</w:t>
      </w:r>
      <w:r w:rsidR="0061649A">
        <w:rPr>
          <w:spacing w:val="-2"/>
        </w:rPr>
        <w:t>ligning</w:t>
      </w:r>
      <w:r w:rsidR="0050618E" w:rsidRPr="00900ADE">
        <w:rPr>
          <w:spacing w:val="-2"/>
        </w:rPr>
        <w:t xml:space="preserve"> some of these supports with the flex block</w:t>
      </w:r>
      <w:r w:rsidR="00103147">
        <w:rPr>
          <w:spacing w:val="-2"/>
        </w:rPr>
        <w:t>. In addition, teachers noted that there are not many Tier 2 services available at the high school</w:t>
      </w:r>
      <w:r w:rsidR="00FD5625">
        <w:rPr>
          <w:spacing w:val="-2"/>
        </w:rPr>
        <w:t xml:space="preserve"> and for students who do not qualify for an IEP </w:t>
      </w:r>
      <w:r w:rsidR="00092AB5">
        <w:rPr>
          <w:spacing w:val="-2"/>
        </w:rPr>
        <w:t>they may not be getting the services they need</w:t>
      </w:r>
      <w:r w:rsidR="00662774">
        <w:rPr>
          <w:spacing w:val="-2"/>
        </w:rPr>
        <w:t xml:space="preserve">, </w:t>
      </w:r>
      <w:r w:rsidR="00202F70" w:rsidRPr="00900ADE">
        <w:rPr>
          <w:spacing w:val="-2"/>
        </w:rPr>
        <w:t>with one teacher saying,</w:t>
      </w:r>
      <w:r w:rsidR="008969EE" w:rsidRPr="00900ADE">
        <w:rPr>
          <w:spacing w:val="-2"/>
        </w:rPr>
        <w:t xml:space="preserve"> </w:t>
      </w:r>
    </w:p>
    <w:p w14:paraId="4B83DA13" w14:textId="2E5697F7" w:rsidR="00FD5625" w:rsidRPr="00900ADE" w:rsidRDefault="00CF0AFF" w:rsidP="00CF0AFF">
      <w:pPr>
        <w:pStyle w:val="BlockQuote"/>
      </w:pPr>
      <w:r w:rsidRPr="00900ADE">
        <w:lastRenderedPageBreak/>
        <w:t>W</w:t>
      </w:r>
      <w:r w:rsidR="00E3392D" w:rsidRPr="00900ADE">
        <w:t xml:space="preserve">e have </w:t>
      </w:r>
      <w:r w:rsidR="000B0DBC" w:rsidRPr="00900ADE">
        <w:t xml:space="preserve">a program for IEP students </w:t>
      </w:r>
      <w:r w:rsidR="004729D1" w:rsidRPr="00900ADE">
        <w:t>with</w:t>
      </w:r>
      <w:r w:rsidR="000B0DBC" w:rsidRPr="00900ADE">
        <w:t xml:space="preserve"> social and emotional needs, but you have to have the IEP to be qualified for that program</w:t>
      </w:r>
      <w:r w:rsidR="00092AB5">
        <w:t>…</w:t>
      </w:r>
      <w:r w:rsidR="004729D1" w:rsidRPr="00900ADE">
        <w:t xml:space="preserve"> </w:t>
      </w:r>
      <w:r w:rsidR="00FD5625" w:rsidRPr="00FD5625">
        <w:t>anything that doesn't hit that IEP benchmark, I don't really know how we're servicing them anymore</w:t>
      </w:r>
      <w:r w:rsidR="00092AB5">
        <w:t>.</w:t>
      </w:r>
    </w:p>
    <w:p w14:paraId="53C38BA5" w14:textId="0647E448" w:rsidR="00520F81" w:rsidRPr="00C82A27" w:rsidRDefault="00557E08" w:rsidP="00CF0AFF">
      <w:pPr>
        <w:pStyle w:val="BodyText"/>
      </w:pPr>
      <w:r w:rsidRPr="00C82A27">
        <w:t xml:space="preserve">In addition, high school students reported that </w:t>
      </w:r>
      <w:r w:rsidR="00CF0AFF" w:rsidRPr="00C82A27">
        <w:t xml:space="preserve">the </w:t>
      </w:r>
      <w:r w:rsidRPr="00C82A27">
        <w:t xml:space="preserve">flex block is helpful but is a time used for academic support, nonacademic support, </w:t>
      </w:r>
      <w:r w:rsidR="00CF0AFF" w:rsidRPr="00C82A27">
        <w:t>and</w:t>
      </w:r>
      <w:r w:rsidRPr="00C82A27">
        <w:t xml:space="preserve"> </w:t>
      </w:r>
      <w:r w:rsidR="008F5E50" w:rsidRPr="00C82A27">
        <w:t>some assemblies.</w:t>
      </w:r>
      <w:r w:rsidR="003C6DC9" w:rsidRPr="00C82A27">
        <w:t xml:space="preserve"> </w:t>
      </w:r>
      <w:r w:rsidR="00CF0AFF" w:rsidRPr="00C82A27">
        <w:t>S</w:t>
      </w:r>
      <w:r w:rsidR="003C6DC9" w:rsidRPr="00C82A27">
        <w:t xml:space="preserve">tudents generally were </w:t>
      </w:r>
      <w:r w:rsidR="00AD5F64" w:rsidRPr="00C82A27">
        <w:t>quite happy with the flex block structure</w:t>
      </w:r>
      <w:r w:rsidR="000C594B" w:rsidRPr="00C82A27">
        <w:t xml:space="preserve"> and complimentary of several individual counselors, but neither students nor staff reported a systematic effort that could connect students with counseling if needed.</w:t>
      </w:r>
      <w:r w:rsidR="00AD5F64" w:rsidRPr="00C82A27">
        <w:t xml:space="preserve"> </w:t>
      </w:r>
      <w:r w:rsidR="00E713F8">
        <w:t xml:space="preserve">Systematizing access to </w:t>
      </w:r>
      <w:r w:rsidR="00064E48" w:rsidRPr="00C82A27">
        <w:t xml:space="preserve">mental health services for </w:t>
      </w:r>
      <w:r w:rsidR="00422525" w:rsidRPr="00C82A27">
        <w:t xml:space="preserve">students at </w:t>
      </w:r>
      <w:r w:rsidR="00CF0AFF" w:rsidRPr="00C82A27">
        <w:t xml:space="preserve">the </w:t>
      </w:r>
      <w:r w:rsidR="00422525" w:rsidRPr="00C82A27">
        <w:t>secondary</w:t>
      </w:r>
      <w:r w:rsidR="009A2D0F" w:rsidRPr="00C82A27">
        <w:t xml:space="preserve"> levels is an area </w:t>
      </w:r>
      <w:r w:rsidR="00DE6D6D" w:rsidRPr="00C82A27">
        <w:t>for</w:t>
      </w:r>
      <w:r w:rsidR="009A2D0F" w:rsidRPr="00C82A27">
        <w:t xml:space="preserve"> growth for the district. </w:t>
      </w:r>
    </w:p>
    <w:p w14:paraId="59695C6E" w14:textId="3B0EE62A" w:rsidR="00B827DE" w:rsidRPr="00900ADE" w:rsidRDefault="00B827DE" w:rsidP="00B827DE">
      <w:pPr>
        <w:pStyle w:val="Heading3"/>
      </w:pPr>
      <w:bookmarkStart w:id="65" w:name="_Family_and_Community"/>
      <w:bookmarkEnd w:id="65"/>
      <w:r w:rsidRPr="00900ADE">
        <w:t>Family and Community Partnerships</w:t>
      </w:r>
    </w:p>
    <w:p w14:paraId="559CCBD1" w14:textId="15CB40A1" w:rsidR="00027DAD" w:rsidRPr="00473731" w:rsidRDefault="00C10A48" w:rsidP="009704AD">
      <w:pPr>
        <w:pStyle w:val="BodyTextposthead"/>
      </w:pPr>
      <w:r w:rsidRPr="00473731">
        <w:t xml:space="preserve">Although </w:t>
      </w:r>
      <w:r w:rsidR="00CF0AFF" w:rsidRPr="00473731">
        <w:t xml:space="preserve">Medway </w:t>
      </w:r>
      <w:r w:rsidR="00BF0FC2" w:rsidRPr="00473731">
        <w:t>do</w:t>
      </w:r>
      <w:r w:rsidR="00814696" w:rsidRPr="00473731">
        <w:t>es</w:t>
      </w:r>
      <w:r w:rsidR="00BF0FC2" w:rsidRPr="00473731">
        <w:t xml:space="preserve"> not provide guidance </w:t>
      </w:r>
      <w:r w:rsidR="0F92895B" w:rsidRPr="00473731">
        <w:t xml:space="preserve">for staff </w:t>
      </w:r>
      <w:r w:rsidR="00BF0FC2" w:rsidRPr="00473731">
        <w:t>on family communication</w:t>
      </w:r>
      <w:r w:rsidR="001D42A0" w:rsidRPr="00473731">
        <w:t xml:space="preserve">, </w:t>
      </w:r>
      <w:r w:rsidRPr="00473731">
        <w:t>s</w:t>
      </w:r>
      <w:r w:rsidR="00027DAD" w:rsidRPr="00473731">
        <w:t xml:space="preserve">chool leaders noted </w:t>
      </w:r>
      <w:r w:rsidR="00CF0AFF" w:rsidRPr="00473731">
        <w:t>hav</w:t>
      </w:r>
      <w:r w:rsidR="00B815FC">
        <w:t>ing</w:t>
      </w:r>
      <w:r w:rsidR="00CF0AFF" w:rsidRPr="00473731">
        <w:t xml:space="preserve"> a commitment</w:t>
      </w:r>
      <w:r w:rsidR="00027DAD" w:rsidRPr="00473731">
        <w:t xml:space="preserve"> “to informing families about where their child stands</w:t>
      </w:r>
      <w:r w:rsidR="00FD547F" w:rsidRPr="00473731">
        <w:t xml:space="preserve">,” </w:t>
      </w:r>
      <w:r w:rsidR="007A0EA3">
        <w:t xml:space="preserve">indicating </w:t>
      </w:r>
      <w:r w:rsidR="00FD547F" w:rsidRPr="00473731">
        <w:t>some school</w:t>
      </w:r>
      <w:r w:rsidR="00CF0AFF" w:rsidRPr="00473731">
        <w:t>-</w:t>
      </w:r>
      <w:r w:rsidR="00FD547F" w:rsidRPr="00473731">
        <w:t xml:space="preserve">level standardization </w:t>
      </w:r>
      <w:r w:rsidR="0049470A">
        <w:t>around</w:t>
      </w:r>
      <w:r w:rsidR="0049470A" w:rsidRPr="00473731">
        <w:t xml:space="preserve"> </w:t>
      </w:r>
      <w:r w:rsidR="00FD547F" w:rsidRPr="00473731">
        <w:t xml:space="preserve">sharing assessment results. </w:t>
      </w:r>
      <w:r w:rsidR="00CF0AFF" w:rsidRPr="00473731">
        <w:t>S</w:t>
      </w:r>
      <w:r w:rsidR="005418C0" w:rsidRPr="00473731">
        <w:t xml:space="preserve">chool leaders </w:t>
      </w:r>
      <w:r w:rsidR="00CF0AFF" w:rsidRPr="00473731">
        <w:t xml:space="preserve">also </w:t>
      </w:r>
      <w:r w:rsidR="005418C0" w:rsidRPr="00473731">
        <w:t>r</w:t>
      </w:r>
      <w:r w:rsidR="00FD547F" w:rsidRPr="00473731">
        <w:t xml:space="preserve">eported that </w:t>
      </w:r>
      <w:r w:rsidR="005418C0" w:rsidRPr="00473731">
        <w:t xml:space="preserve">Medway </w:t>
      </w:r>
      <w:r w:rsidR="00CF0AFF" w:rsidRPr="00473731">
        <w:t>ha</w:t>
      </w:r>
      <w:r w:rsidR="005418C0" w:rsidRPr="00473731">
        <w:t>s</w:t>
      </w:r>
      <w:r w:rsidR="00CF0AFF" w:rsidRPr="00473731">
        <w:t xml:space="preserve"> a</w:t>
      </w:r>
      <w:r w:rsidR="005418C0" w:rsidRPr="00473731">
        <w:t xml:space="preserve"> </w:t>
      </w:r>
      <w:r w:rsidR="00FD547F" w:rsidRPr="00473731">
        <w:t>commit</w:t>
      </w:r>
      <w:r w:rsidR="00CF0AFF" w:rsidRPr="00473731">
        <w:t>ment</w:t>
      </w:r>
      <w:r w:rsidR="00FD547F" w:rsidRPr="00473731">
        <w:t xml:space="preserve"> to </w:t>
      </w:r>
      <w:r w:rsidR="005418C0" w:rsidRPr="00473731">
        <w:t xml:space="preserve">“ensuring that not only students but </w:t>
      </w:r>
      <w:r w:rsidR="00CF0AFF" w:rsidRPr="00473731">
        <w:t xml:space="preserve">[also] </w:t>
      </w:r>
      <w:r w:rsidR="005418C0" w:rsidRPr="00473731">
        <w:t xml:space="preserve">their </w:t>
      </w:r>
      <w:r w:rsidR="003C2893" w:rsidRPr="00473731">
        <w:t xml:space="preserve">families have access to </w:t>
      </w:r>
      <w:r w:rsidR="005418C0" w:rsidRPr="00473731">
        <w:t xml:space="preserve">appropriate care for their mental health,” which district staff agreed with. </w:t>
      </w:r>
    </w:p>
    <w:p w14:paraId="58B56E3F" w14:textId="3F0DA878" w:rsidR="0056514C" w:rsidRPr="00473731" w:rsidRDefault="005418C0" w:rsidP="009704AD">
      <w:pPr>
        <w:pStyle w:val="BodyText"/>
      </w:pPr>
      <w:r w:rsidRPr="00473731">
        <w:t>D</w:t>
      </w:r>
      <w:r w:rsidR="00011081" w:rsidRPr="00473731">
        <w:t xml:space="preserve">istrict leaders reported gathering family feedback </w:t>
      </w:r>
      <w:r w:rsidR="00BF0FC2" w:rsidRPr="00473731">
        <w:t>through surveys</w:t>
      </w:r>
      <w:r w:rsidR="00CF0AFF" w:rsidRPr="00473731">
        <w:t>,</w:t>
      </w:r>
      <w:r w:rsidR="00D66075" w:rsidRPr="00473731">
        <w:t xml:space="preserve"> not</w:t>
      </w:r>
      <w:r w:rsidR="00CF0AFF" w:rsidRPr="00473731">
        <w:t>ing</w:t>
      </w:r>
      <w:r w:rsidR="00D66075" w:rsidRPr="00473731">
        <w:t xml:space="preserve"> </w:t>
      </w:r>
      <w:r w:rsidR="0056514C" w:rsidRPr="00473731">
        <w:t>that the strategic planning process</w:t>
      </w:r>
      <w:r w:rsidR="00283E37" w:rsidRPr="00473731">
        <w:t xml:space="preserve"> included</w:t>
      </w:r>
      <w:r w:rsidR="0056514C" w:rsidRPr="00473731">
        <w:t xml:space="preserve"> </w:t>
      </w:r>
      <w:r w:rsidR="00283E37" w:rsidRPr="00473731">
        <w:t xml:space="preserve">student and family </w:t>
      </w:r>
      <w:r w:rsidR="0056514C" w:rsidRPr="00473731">
        <w:t xml:space="preserve">surveys on a variety of different areas, including </w:t>
      </w:r>
      <w:r w:rsidR="00C527F0" w:rsidRPr="00473731">
        <w:t>classroom instruction</w:t>
      </w:r>
      <w:r w:rsidR="0056514C" w:rsidRPr="00473731">
        <w:t xml:space="preserve">, </w:t>
      </w:r>
      <w:r w:rsidR="00C527F0" w:rsidRPr="00473731">
        <w:t>school</w:t>
      </w:r>
      <w:r w:rsidR="0056514C" w:rsidRPr="00473731">
        <w:t xml:space="preserve"> programming, and student</w:t>
      </w:r>
      <w:r w:rsidR="00C527F0" w:rsidRPr="00473731">
        <w:t xml:space="preserve"> feelings</w:t>
      </w:r>
      <w:r w:rsidR="005C21CD">
        <w:t xml:space="preserve"> about their school day</w:t>
      </w:r>
      <w:r w:rsidR="00C527F0" w:rsidRPr="00473731">
        <w:t>.</w:t>
      </w:r>
      <w:r w:rsidR="000E7C1E" w:rsidRPr="00473731">
        <w:t xml:space="preserve"> </w:t>
      </w:r>
      <w:r w:rsidR="00CF0AFF" w:rsidRPr="00473731">
        <w:t>In addition</w:t>
      </w:r>
      <w:r w:rsidR="000E7C1E" w:rsidRPr="00473731">
        <w:t xml:space="preserve">, during the equity planning </w:t>
      </w:r>
      <w:r w:rsidR="00E929B4" w:rsidRPr="00473731">
        <w:t>process,</w:t>
      </w:r>
      <w:r w:rsidR="00A642FA" w:rsidRPr="00473731">
        <w:t xml:space="preserve"> </w:t>
      </w:r>
      <w:r w:rsidR="000E7C1E" w:rsidRPr="00473731">
        <w:t xml:space="preserve">district leaders conducted several surveys with families to </w:t>
      </w:r>
      <w:r w:rsidR="00A642FA" w:rsidRPr="00473731">
        <w:t>gather</w:t>
      </w:r>
      <w:r w:rsidR="000E7C1E" w:rsidRPr="00473731">
        <w:t xml:space="preserve"> their perspective</w:t>
      </w:r>
      <w:r w:rsidR="00A642FA" w:rsidRPr="00473731">
        <w:t>s</w:t>
      </w:r>
      <w:r w:rsidR="000E7C1E" w:rsidRPr="00473731">
        <w:t xml:space="preserve"> on equity in the district</w:t>
      </w:r>
      <w:r w:rsidR="00CA5EFF" w:rsidRPr="00473731">
        <w:t xml:space="preserve">, and </w:t>
      </w:r>
      <w:r w:rsidR="00573637">
        <w:t xml:space="preserve">some </w:t>
      </w:r>
      <w:r w:rsidR="00CA5EFF" w:rsidRPr="00473731">
        <w:t>parents reported serving on</w:t>
      </w:r>
      <w:r w:rsidR="00D634FF" w:rsidRPr="00473731">
        <w:t xml:space="preserve"> a diversity, </w:t>
      </w:r>
      <w:r w:rsidR="00424B12" w:rsidRPr="00473731">
        <w:t>equity, and inclusion committee</w:t>
      </w:r>
      <w:r w:rsidR="000E7C1E" w:rsidRPr="00473731">
        <w:t xml:space="preserve">. </w:t>
      </w:r>
    </w:p>
    <w:p w14:paraId="25AD84DF" w14:textId="7A9041BA" w:rsidR="009662D2" w:rsidRPr="00473731" w:rsidRDefault="00E523CA" w:rsidP="009704AD">
      <w:pPr>
        <w:pStyle w:val="BodyText"/>
      </w:pPr>
      <w:r w:rsidRPr="00473731">
        <w:t>Communication takes place primarily at the school level in Medway. Teachers at the elementary school</w:t>
      </w:r>
      <w:r w:rsidR="00CF0AFF" w:rsidRPr="00473731">
        <w:t>s</w:t>
      </w:r>
      <w:r w:rsidRPr="00473731">
        <w:t xml:space="preserve"> reported communicating with parents on how their student is doing academically</w:t>
      </w:r>
      <w:r w:rsidR="009104A7">
        <w:t>,</w:t>
      </w:r>
      <w:r w:rsidRPr="00473731">
        <w:t xml:space="preserve"> but noted the need for more translation services. High school teachers said, “</w:t>
      </w:r>
      <w:r w:rsidR="00CF0AFF" w:rsidRPr="00473731">
        <w:t>T</w:t>
      </w:r>
      <w:r w:rsidRPr="00473731">
        <w:t xml:space="preserve">here are very high expectations of communication with parents regarding failing students, or students who are in danger of failing.” </w:t>
      </w:r>
      <w:r w:rsidR="00DB54D4" w:rsidRPr="00473731">
        <w:rPr>
          <w:rFonts w:eastAsiaTheme="minorEastAsia"/>
        </w:rPr>
        <w:t xml:space="preserve">The district also has a “spotlight on excellence” monthly video series that they share internally and externally to highlight special things happening across the district. The most recent spotlight focused on a community garden at one of the elementary schools and the partnership with a local food pantry. </w:t>
      </w:r>
      <w:r w:rsidR="009662D2" w:rsidRPr="00473731">
        <w:t xml:space="preserve">Families in the focus groups reported that </w:t>
      </w:r>
      <w:r w:rsidR="00DC00A1" w:rsidRPr="00473731">
        <w:t>the communication they receive from schools differ</w:t>
      </w:r>
      <w:r w:rsidR="00AD62E0" w:rsidRPr="00473731">
        <w:t>s</w:t>
      </w:r>
      <w:r w:rsidR="00DC00A1" w:rsidRPr="00473731">
        <w:t xml:space="preserve"> across grade levels</w:t>
      </w:r>
      <w:r w:rsidR="00651A6B" w:rsidRPr="00473731">
        <w:t>,</w:t>
      </w:r>
      <w:r w:rsidR="00904F8C" w:rsidRPr="00473731">
        <w:t xml:space="preserve"> </w:t>
      </w:r>
      <w:r w:rsidR="00C5758C" w:rsidRPr="00473731">
        <w:t>not</w:t>
      </w:r>
      <w:r w:rsidR="00651A6B" w:rsidRPr="00473731">
        <w:t>ing that</w:t>
      </w:r>
      <w:r w:rsidR="00C5758C" w:rsidRPr="00473731">
        <w:t xml:space="preserve"> </w:t>
      </w:r>
      <w:r w:rsidR="00751747" w:rsidRPr="00473731">
        <w:t>“</w:t>
      </w:r>
      <w:r w:rsidR="0048709B" w:rsidRPr="00473731">
        <w:t>t</w:t>
      </w:r>
      <w:r w:rsidR="00751747" w:rsidRPr="00473731">
        <w:t>here</w:t>
      </w:r>
      <w:r w:rsidR="00651A6B" w:rsidRPr="00473731">
        <w:t>’</w:t>
      </w:r>
      <w:r w:rsidR="00751747" w:rsidRPr="00473731">
        <w:t>s no standard communication to parents when there</w:t>
      </w:r>
      <w:r w:rsidR="00651A6B" w:rsidRPr="00473731">
        <w:t>’</w:t>
      </w:r>
      <w:r w:rsidR="00751747" w:rsidRPr="00473731">
        <w:t>s an issue with your child or there</w:t>
      </w:r>
      <w:r w:rsidR="00651A6B" w:rsidRPr="00473731">
        <w:t>’</w:t>
      </w:r>
      <w:r w:rsidR="00751747" w:rsidRPr="00473731">
        <w:t>s an issue in the classroom</w:t>
      </w:r>
      <w:r w:rsidR="0048709B" w:rsidRPr="00473731">
        <w:t>.”</w:t>
      </w:r>
      <w:r w:rsidR="00AF2727" w:rsidRPr="00473731">
        <w:t xml:space="preserve"> </w:t>
      </w:r>
      <w:r w:rsidR="00651A6B" w:rsidRPr="00473731">
        <w:t>F</w:t>
      </w:r>
      <w:r w:rsidR="00AF2727" w:rsidRPr="00473731">
        <w:t xml:space="preserve">amilies </w:t>
      </w:r>
      <w:r w:rsidR="00651A6B" w:rsidRPr="00473731">
        <w:t xml:space="preserve">also </w:t>
      </w:r>
      <w:r w:rsidR="00AF2727" w:rsidRPr="00473731">
        <w:t xml:space="preserve">felt </w:t>
      </w:r>
      <w:r w:rsidR="00651A6B" w:rsidRPr="00473731">
        <w:t xml:space="preserve">as if </w:t>
      </w:r>
      <w:r w:rsidR="00AF2727" w:rsidRPr="00473731">
        <w:t xml:space="preserve">they had to advocate </w:t>
      </w:r>
      <w:r w:rsidR="005C6560" w:rsidRPr="00473731">
        <w:t>to get the</w:t>
      </w:r>
      <w:r w:rsidR="004B702D" w:rsidRPr="00473731">
        <w:t xml:space="preserve"> supports their child need</w:t>
      </w:r>
      <w:r w:rsidR="005C6560" w:rsidRPr="00473731">
        <w:t>s</w:t>
      </w:r>
      <w:r w:rsidR="00141C5A" w:rsidRPr="00473731">
        <w:t xml:space="preserve"> and reported concern for </w:t>
      </w:r>
      <w:r w:rsidR="00A5639F" w:rsidRPr="00473731">
        <w:t xml:space="preserve">families that may not </w:t>
      </w:r>
      <w:r w:rsidR="00DA717A">
        <w:t xml:space="preserve">have the time </w:t>
      </w:r>
      <w:r w:rsidR="00F67ACE">
        <w:t xml:space="preserve">for advocacy or </w:t>
      </w:r>
      <w:r w:rsidR="00DA717A">
        <w:t>be as savvy</w:t>
      </w:r>
      <w:r w:rsidR="00A5639F" w:rsidRPr="00473731">
        <w:t xml:space="preserve">. </w:t>
      </w:r>
      <w:r w:rsidR="007C503D" w:rsidRPr="00473731">
        <w:t xml:space="preserve">Parents serving on committees and </w:t>
      </w:r>
      <w:r w:rsidR="00473731" w:rsidRPr="00473731">
        <w:t xml:space="preserve">school </w:t>
      </w:r>
      <w:r w:rsidR="007C503D" w:rsidRPr="00473731">
        <w:t xml:space="preserve">site councils similarly said that </w:t>
      </w:r>
      <w:r w:rsidR="00B26B1B" w:rsidRPr="00473731">
        <w:t xml:space="preserve">being part of these efforts was the only time they felt informed, but </w:t>
      </w:r>
      <w:r w:rsidR="00651A6B" w:rsidRPr="00473731">
        <w:t xml:space="preserve">they </w:t>
      </w:r>
      <w:r w:rsidR="00B26B1B" w:rsidRPr="00473731">
        <w:t xml:space="preserve">also felt </w:t>
      </w:r>
      <w:r w:rsidR="00651A6B" w:rsidRPr="00473731">
        <w:t xml:space="preserve">that their </w:t>
      </w:r>
      <w:r w:rsidR="00B26B1B" w:rsidRPr="00473731">
        <w:t>input was limited. For example, one parent said, “I find that you have to be part of committees in order to even be mindful of what</w:t>
      </w:r>
      <w:r w:rsidR="00651A6B" w:rsidRPr="00473731">
        <w:t>’</w:t>
      </w:r>
      <w:r w:rsidR="00B26B1B" w:rsidRPr="00473731">
        <w:t>s going on half the time</w:t>
      </w:r>
      <w:r w:rsidR="008C787B" w:rsidRPr="00473731">
        <w:t xml:space="preserve"> . . . [</w:t>
      </w:r>
      <w:r w:rsidR="006C46EB" w:rsidRPr="00473731">
        <w:t>but] I don</w:t>
      </w:r>
      <w:r w:rsidR="00651A6B" w:rsidRPr="00473731">
        <w:t>’</w:t>
      </w:r>
      <w:r w:rsidR="006C46EB" w:rsidRPr="00473731">
        <w:t>t know how much say we did have in those committees.</w:t>
      </w:r>
      <w:r w:rsidR="00B61F50" w:rsidRPr="00473731">
        <w:t xml:space="preserve">” </w:t>
      </w:r>
      <w:r w:rsidR="005F1009">
        <w:t>A</w:t>
      </w:r>
      <w:r w:rsidR="00B61F50" w:rsidRPr="00473731">
        <w:t>nother parent agreed, saying</w:t>
      </w:r>
      <w:r w:rsidR="00E34625" w:rsidRPr="00473731">
        <w:t>, “I was frustrated to know</w:t>
      </w:r>
      <w:r w:rsidR="00D875B4">
        <w:t xml:space="preserve"> [that I was]</w:t>
      </w:r>
      <w:r w:rsidR="00E34625" w:rsidRPr="00473731">
        <w:t xml:space="preserve"> sitting at the same table that I had years ago as a teacher, </w:t>
      </w:r>
      <w:r w:rsidR="00D875B4">
        <w:t>[now]</w:t>
      </w:r>
      <w:r w:rsidR="00E34625" w:rsidRPr="00473731">
        <w:t xml:space="preserve"> sitting on the other side as a parent</w:t>
      </w:r>
      <w:r w:rsidR="00D875B4">
        <w:t>,</w:t>
      </w:r>
      <w:r w:rsidR="00E34625" w:rsidRPr="00473731">
        <w:t xml:space="preserve"> and seeing that our input was basically not included.” </w:t>
      </w:r>
      <w:r w:rsidR="00C10A48" w:rsidRPr="00473731">
        <w:t xml:space="preserve">Creating </w:t>
      </w:r>
      <w:r w:rsidR="00B14275" w:rsidRPr="00473731">
        <w:t xml:space="preserve">meaningful opportunities </w:t>
      </w:r>
      <w:r w:rsidR="00C10A48" w:rsidRPr="00473731">
        <w:t xml:space="preserve">for family members to share feedback and impact </w:t>
      </w:r>
      <w:r w:rsidR="00F165E6">
        <w:t>decision-making</w:t>
      </w:r>
      <w:r w:rsidR="00C10A48" w:rsidRPr="00473731">
        <w:t xml:space="preserve"> is an area </w:t>
      </w:r>
      <w:r w:rsidR="00DE6D6D" w:rsidRPr="00473731">
        <w:t>for</w:t>
      </w:r>
      <w:r w:rsidR="00C10A48" w:rsidRPr="00473731">
        <w:t xml:space="preserve"> growth for the district.</w:t>
      </w:r>
    </w:p>
    <w:p w14:paraId="2A48F568" w14:textId="0F925856" w:rsidR="00F46ADD" w:rsidRPr="00473731" w:rsidRDefault="00952D51" w:rsidP="009704AD">
      <w:pPr>
        <w:pStyle w:val="BodyText"/>
      </w:pPr>
      <w:r w:rsidRPr="00473731">
        <w:lastRenderedPageBreak/>
        <w:t xml:space="preserve">District staff and school leaders reported that </w:t>
      </w:r>
      <w:r w:rsidR="00AE748F" w:rsidRPr="00473731">
        <w:t>the district</w:t>
      </w:r>
      <w:r w:rsidRPr="00473731">
        <w:t xml:space="preserve"> maintains relationships with </w:t>
      </w:r>
      <w:r w:rsidR="00D12169" w:rsidRPr="00473731">
        <w:t xml:space="preserve">the Medway Village Food Pantry and the YMCA </w:t>
      </w:r>
      <w:r w:rsidRPr="00473731">
        <w:t xml:space="preserve">to provide services and enriching experiences to students and families </w:t>
      </w:r>
      <w:r w:rsidR="004A3B89" w:rsidRPr="00473731">
        <w:t xml:space="preserve">both </w:t>
      </w:r>
      <w:r w:rsidRPr="00473731">
        <w:t xml:space="preserve">during and outside the school day. </w:t>
      </w:r>
      <w:r w:rsidR="00AF3A94" w:rsidRPr="00473731">
        <w:t xml:space="preserve">District staff reported that the </w:t>
      </w:r>
      <w:r w:rsidR="00C7033A" w:rsidRPr="00473731">
        <w:t xml:space="preserve">director of student services reported working closely with the </w:t>
      </w:r>
      <w:r w:rsidR="00DE318A" w:rsidRPr="00473731">
        <w:t>special education parent advisory council (</w:t>
      </w:r>
      <w:r w:rsidR="00C7033A" w:rsidRPr="00473731">
        <w:t>SEPAC</w:t>
      </w:r>
      <w:r w:rsidR="00DE318A" w:rsidRPr="00473731">
        <w:t>)</w:t>
      </w:r>
      <w:r w:rsidR="00C7033A" w:rsidRPr="00473731">
        <w:t xml:space="preserve"> to provide community </w:t>
      </w:r>
      <w:r w:rsidR="00F04B98" w:rsidRPr="00473731">
        <w:t>events for students</w:t>
      </w:r>
      <w:r w:rsidR="0013328E" w:rsidRPr="00473731">
        <w:t xml:space="preserve">, such as </w:t>
      </w:r>
      <w:r w:rsidR="001462DD" w:rsidRPr="00473731">
        <w:t xml:space="preserve">“sensory-friendly haunted hayrides” and </w:t>
      </w:r>
      <w:r w:rsidR="00DE318A" w:rsidRPr="00473731">
        <w:t>demonstrations by</w:t>
      </w:r>
      <w:r w:rsidR="001462DD" w:rsidRPr="00473731">
        <w:t xml:space="preserve"> Medway police </w:t>
      </w:r>
      <w:r w:rsidR="00DE318A" w:rsidRPr="00473731">
        <w:t>and</w:t>
      </w:r>
      <w:r w:rsidR="001462DD" w:rsidRPr="00473731">
        <w:t xml:space="preserve"> fire</w:t>
      </w:r>
      <w:r w:rsidR="00DE318A" w:rsidRPr="00473731">
        <w:t>fighters</w:t>
      </w:r>
      <w:r w:rsidR="001462DD" w:rsidRPr="00473731">
        <w:t xml:space="preserve">. </w:t>
      </w:r>
      <w:r w:rsidR="00AF3A94" w:rsidRPr="00473731">
        <w:t xml:space="preserve">Staff also indicated that the </w:t>
      </w:r>
      <w:r w:rsidR="00D9372C" w:rsidRPr="00473731">
        <w:t>Medway Community Education team, a self-sustaining department that offer</w:t>
      </w:r>
      <w:r w:rsidR="00F928FA" w:rsidRPr="00473731">
        <w:t>s</w:t>
      </w:r>
      <w:r w:rsidR="00D9372C" w:rsidRPr="00473731">
        <w:t xml:space="preserve"> year-round learning and enrichment programs outside </w:t>
      </w:r>
      <w:r w:rsidR="00651A6B" w:rsidRPr="00473731">
        <w:t>regular</w:t>
      </w:r>
      <w:r w:rsidR="00D9372C" w:rsidRPr="00473731">
        <w:t xml:space="preserve"> school time,</w:t>
      </w:r>
      <w:r w:rsidR="00F46ADD" w:rsidRPr="00473731">
        <w:t xml:space="preserve"> </w:t>
      </w:r>
      <w:r w:rsidR="00316D87" w:rsidRPr="00473731">
        <w:t>reaches</w:t>
      </w:r>
      <w:r w:rsidR="00AF3A94" w:rsidRPr="00473731">
        <w:t xml:space="preserve"> out to families to invite the</w:t>
      </w:r>
      <w:r w:rsidR="00DE318A" w:rsidRPr="00473731">
        <w:t>m</w:t>
      </w:r>
      <w:r w:rsidR="00AF3A94" w:rsidRPr="00473731">
        <w:t xml:space="preserve"> to </w:t>
      </w:r>
      <w:r w:rsidR="00A42185" w:rsidRPr="00473731">
        <w:t>free</w:t>
      </w:r>
      <w:r w:rsidR="00574A4F" w:rsidRPr="00473731">
        <w:t xml:space="preserve"> after school programs for students across the district.</w:t>
      </w:r>
      <w:r w:rsidR="00F34357" w:rsidRPr="00473731">
        <w:t xml:space="preserve"> </w:t>
      </w:r>
    </w:p>
    <w:p w14:paraId="4142D4E9" w14:textId="6B6528CD" w:rsidR="005F7A41" w:rsidRPr="00473731" w:rsidRDefault="00FE4C0A" w:rsidP="009704AD">
      <w:pPr>
        <w:pStyle w:val="BodyText"/>
      </w:pPr>
      <w:r w:rsidRPr="00473731">
        <w:t>According to district leaders, the district identifies and connects students and families with wraparound services</w:t>
      </w:r>
      <w:r w:rsidR="00D37C70" w:rsidRPr="00473731">
        <w:t xml:space="preserve">. </w:t>
      </w:r>
      <w:r w:rsidR="00D37C70" w:rsidRPr="00473731">
        <w:rPr>
          <w:rStyle w:val="Greentext"/>
          <w:color w:val="auto"/>
        </w:rPr>
        <w:t xml:space="preserve">Medway has a </w:t>
      </w:r>
      <w:r w:rsidR="00E4706A" w:rsidRPr="00473731">
        <w:rPr>
          <w:rStyle w:val="Greentext"/>
          <w:color w:val="auto"/>
        </w:rPr>
        <w:t xml:space="preserve">wraparound service </w:t>
      </w:r>
      <w:r w:rsidR="0020480D" w:rsidRPr="00473731">
        <w:rPr>
          <w:rStyle w:val="Greentext"/>
          <w:color w:val="auto"/>
        </w:rPr>
        <w:t>team</w:t>
      </w:r>
      <w:r w:rsidR="00651A6B" w:rsidRPr="00473731">
        <w:rPr>
          <w:rStyle w:val="Greentext"/>
          <w:color w:val="auto"/>
        </w:rPr>
        <w:t xml:space="preserve"> consisting</w:t>
      </w:r>
      <w:r w:rsidR="00706B5B" w:rsidRPr="00473731">
        <w:rPr>
          <w:rStyle w:val="Greentext"/>
          <w:color w:val="auto"/>
        </w:rPr>
        <w:t xml:space="preserve"> of a district social worker, a therapeutic mentor, a parent coach, and </w:t>
      </w:r>
      <w:r w:rsidR="00531E86" w:rsidRPr="00473731">
        <w:rPr>
          <w:rStyle w:val="Greentext"/>
          <w:color w:val="auto"/>
        </w:rPr>
        <w:t xml:space="preserve">an </w:t>
      </w:r>
      <w:r w:rsidR="00FC5B44" w:rsidRPr="00473731">
        <w:rPr>
          <w:rStyle w:val="Greentext"/>
          <w:color w:val="auto"/>
        </w:rPr>
        <w:t>external mental health provider</w:t>
      </w:r>
      <w:r w:rsidR="00651A6B" w:rsidRPr="00473731">
        <w:rPr>
          <w:rStyle w:val="Greentext"/>
          <w:color w:val="auto"/>
        </w:rPr>
        <w:t xml:space="preserve">, which </w:t>
      </w:r>
      <w:r w:rsidR="00D37C70" w:rsidRPr="00473731">
        <w:rPr>
          <w:rStyle w:val="Greentext"/>
          <w:color w:val="auto"/>
        </w:rPr>
        <w:t>is a strength of the district</w:t>
      </w:r>
      <w:r w:rsidR="00872B5C" w:rsidRPr="00473731">
        <w:t xml:space="preserve">. </w:t>
      </w:r>
      <w:r w:rsidR="00FC5B44" w:rsidRPr="00473731">
        <w:t xml:space="preserve">A district staff member </w:t>
      </w:r>
      <w:r w:rsidR="00911BD8" w:rsidRPr="00473731">
        <w:t>explained that t</w:t>
      </w:r>
      <w:r w:rsidR="001123A0" w:rsidRPr="00473731">
        <w:t xml:space="preserve">he </w:t>
      </w:r>
      <w:r w:rsidR="00651A6B" w:rsidRPr="00473731">
        <w:t>d</w:t>
      </w:r>
      <w:r w:rsidR="001123A0" w:rsidRPr="00473731">
        <w:t xml:space="preserve">irector of </w:t>
      </w:r>
      <w:r w:rsidR="00651A6B" w:rsidRPr="00473731">
        <w:t>w</w:t>
      </w:r>
      <w:r w:rsidR="001123A0" w:rsidRPr="00473731">
        <w:t xml:space="preserve">ellness </w:t>
      </w:r>
      <w:r w:rsidR="00911BD8" w:rsidRPr="00473731">
        <w:t>helps the district</w:t>
      </w:r>
      <w:r w:rsidR="001123A0" w:rsidRPr="00473731">
        <w:t xml:space="preserve"> proactively identif</w:t>
      </w:r>
      <w:r w:rsidR="00911BD8" w:rsidRPr="00473731">
        <w:t>y</w:t>
      </w:r>
      <w:r w:rsidR="001123A0" w:rsidRPr="00473731">
        <w:t xml:space="preserve"> the needs of students and families </w:t>
      </w:r>
      <w:r w:rsidR="00EC353D" w:rsidRPr="00473731">
        <w:t>through their school counselor</w:t>
      </w:r>
      <w:r w:rsidR="006E440B" w:rsidRPr="00473731">
        <w:t>s</w:t>
      </w:r>
      <w:r w:rsidR="004606F1" w:rsidRPr="00473731">
        <w:t xml:space="preserve"> or at a</w:t>
      </w:r>
      <w:r w:rsidR="00651A6B" w:rsidRPr="00473731">
        <w:t>n</w:t>
      </w:r>
      <w:r w:rsidR="004606F1" w:rsidRPr="00473731">
        <w:t xml:space="preserve"> </w:t>
      </w:r>
      <w:r w:rsidR="00651A6B" w:rsidRPr="00473731">
        <w:t>SST</w:t>
      </w:r>
      <w:r w:rsidR="004606F1" w:rsidRPr="00473731">
        <w:t xml:space="preserve"> meeting and then the district social worker connects them with the appropriate </w:t>
      </w:r>
      <w:r w:rsidR="00FC40CB">
        <w:t>out-of-school</w:t>
      </w:r>
      <w:r w:rsidR="004606F1" w:rsidRPr="00473731">
        <w:t xml:space="preserve"> resources. </w:t>
      </w:r>
      <w:r w:rsidR="00651A6B" w:rsidRPr="00473731">
        <w:t>T</w:t>
      </w:r>
      <w:r w:rsidR="00BC69ED" w:rsidRPr="00473731">
        <w:t>hese same district staff</w:t>
      </w:r>
      <w:r w:rsidRPr="00473731">
        <w:t xml:space="preserve"> </w:t>
      </w:r>
      <w:r w:rsidR="00651A6B" w:rsidRPr="00473731">
        <w:t xml:space="preserve">also </w:t>
      </w:r>
      <w:r w:rsidRPr="00473731">
        <w:t>agreed that their systems and available services meet the needs of their student population</w:t>
      </w:r>
      <w:r w:rsidR="00651A6B" w:rsidRPr="00473731">
        <w:t>; however, they</w:t>
      </w:r>
      <w:r w:rsidRPr="00473731">
        <w:t xml:space="preserve"> noted that with</w:t>
      </w:r>
      <w:r w:rsidR="003B5690" w:rsidRPr="00473731">
        <w:t xml:space="preserve"> </w:t>
      </w:r>
      <w:r w:rsidRPr="00473731">
        <w:t xml:space="preserve">changing </w:t>
      </w:r>
      <w:r w:rsidR="00FE39F0" w:rsidRPr="00473731">
        <w:t xml:space="preserve">student </w:t>
      </w:r>
      <w:r w:rsidRPr="00473731">
        <w:t>demographic</w:t>
      </w:r>
      <w:r w:rsidR="003B5690" w:rsidRPr="00473731">
        <w:t>s</w:t>
      </w:r>
      <w:r w:rsidR="00651A6B" w:rsidRPr="00473731">
        <w:t>,</w:t>
      </w:r>
      <w:r w:rsidRPr="00473731">
        <w:t xml:space="preserve"> the</w:t>
      </w:r>
      <w:r w:rsidR="00FE39F0" w:rsidRPr="00473731">
        <w:t xml:space="preserve"> </w:t>
      </w:r>
      <w:r w:rsidR="00FC40CB">
        <w:t>district's</w:t>
      </w:r>
      <w:r w:rsidR="00FC40CB" w:rsidRPr="00473731">
        <w:t xml:space="preserve"> </w:t>
      </w:r>
      <w:r w:rsidRPr="00473731">
        <w:t xml:space="preserve">needs </w:t>
      </w:r>
      <w:r w:rsidR="00651A6B" w:rsidRPr="00473731">
        <w:t xml:space="preserve">also </w:t>
      </w:r>
      <w:r w:rsidRPr="00473731">
        <w:t>are changing</w:t>
      </w:r>
      <w:r w:rsidR="00BC69ED" w:rsidRPr="00473731">
        <w:t xml:space="preserve">. Staff reported </w:t>
      </w:r>
      <w:r w:rsidR="00651A6B" w:rsidRPr="00473731">
        <w:t xml:space="preserve">that </w:t>
      </w:r>
      <w:r w:rsidR="00BC69ED" w:rsidRPr="00473731">
        <w:t>they are working to</w:t>
      </w:r>
      <w:r w:rsidRPr="00473731">
        <w:t xml:space="preserve"> adapt to meet the</w:t>
      </w:r>
      <w:r w:rsidR="00FC40CB">
        <w:t>se</w:t>
      </w:r>
      <w:r w:rsidRPr="00473731">
        <w:t xml:space="preserve"> changing needs. </w:t>
      </w:r>
    </w:p>
    <w:p w14:paraId="5D523900" w14:textId="253BE5B1" w:rsidR="005F7A41" w:rsidRPr="00900ADE" w:rsidRDefault="005F7A41" w:rsidP="005F7A41">
      <w:pPr>
        <w:pStyle w:val="Heading3"/>
      </w:pPr>
      <w:bookmarkStart w:id="66" w:name="_Multi-Tiered_Systems_of"/>
      <w:bookmarkEnd w:id="66"/>
      <w:r w:rsidRPr="00900ADE">
        <w:t>Multi-Tiered Systems of Support</w:t>
      </w:r>
    </w:p>
    <w:p w14:paraId="559EB829" w14:textId="38AA7FDE" w:rsidR="00C55DFF" w:rsidRPr="00473731" w:rsidRDefault="00DB7838" w:rsidP="005C6A8C">
      <w:pPr>
        <w:pStyle w:val="BodyTextposthead"/>
        <w:rPr>
          <w:rFonts w:ascii="Aptos" w:hAnsi="Aptos"/>
        </w:rPr>
      </w:pPr>
      <w:r w:rsidRPr="00473731">
        <w:t xml:space="preserve">District staff reported </w:t>
      </w:r>
      <w:r w:rsidR="00D0232D" w:rsidRPr="00473731">
        <w:t>attempt</w:t>
      </w:r>
      <w:r w:rsidR="00A6357C" w:rsidRPr="00473731">
        <w:t>ing</w:t>
      </w:r>
      <w:r w:rsidR="0056325D" w:rsidRPr="00473731">
        <w:t xml:space="preserve"> to </w:t>
      </w:r>
      <w:r w:rsidR="00B16647" w:rsidRPr="00473731">
        <w:t xml:space="preserve">define and clarify their </w:t>
      </w:r>
      <w:r w:rsidR="00DF4E0D" w:rsidRPr="00473731">
        <w:t>support process</w:t>
      </w:r>
      <w:r w:rsidR="2D56B82A">
        <w:t xml:space="preserve"> in recent years</w:t>
      </w:r>
      <w:r w:rsidR="00DF4E0D">
        <w:t>.</w:t>
      </w:r>
      <w:r w:rsidR="00334F16" w:rsidRPr="00473731">
        <w:t xml:space="preserve"> However, </w:t>
      </w:r>
      <w:r w:rsidR="00A6357C" w:rsidRPr="00473731">
        <w:t xml:space="preserve">although </w:t>
      </w:r>
      <w:r w:rsidR="00A179AC" w:rsidRPr="00473731">
        <w:t xml:space="preserve">schools across </w:t>
      </w:r>
      <w:r w:rsidR="0004440E" w:rsidRPr="00473731">
        <w:t xml:space="preserve">Medway </w:t>
      </w:r>
      <w:r w:rsidR="00A179AC" w:rsidRPr="00473731">
        <w:t xml:space="preserve">offer </w:t>
      </w:r>
      <w:r w:rsidR="0004440E" w:rsidRPr="00473731">
        <w:t>both nonacademic and academic interventions</w:t>
      </w:r>
      <w:r w:rsidR="00806483" w:rsidRPr="00473731">
        <w:t xml:space="preserve"> (see Curriculum &amp; Instruction</w:t>
      </w:r>
      <w:r w:rsidR="00316D87" w:rsidRPr="00473731">
        <w:t xml:space="preserve"> standard</w:t>
      </w:r>
      <w:r w:rsidR="00491881" w:rsidRPr="00473731">
        <w:t>,</w:t>
      </w:r>
      <w:r w:rsidR="00316D87" w:rsidRPr="00473731">
        <w:t xml:space="preserve"> </w:t>
      </w:r>
      <w:r w:rsidR="00A6357C" w:rsidRPr="00473731">
        <w:t xml:space="preserve">along with </w:t>
      </w:r>
      <w:r w:rsidR="00491881" w:rsidRPr="00473731">
        <w:t>Safe and Supportive School Climate and Culture and Health and Well</w:t>
      </w:r>
      <w:r w:rsidR="00A6357C" w:rsidRPr="00473731">
        <w:t>-B</w:t>
      </w:r>
      <w:r w:rsidR="00491881" w:rsidRPr="00473731">
        <w:t>eing</w:t>
      </w:r>
      <w:r w:rsidR="00316D87" w:rsidRPr="00473731">
        <w:t xml:space="preserve"> indicators</w:t>
      </w:r>
      <w:r w:rsidR="00806483" w:rsidRPr="00473731">
        <w:t>)</w:t>
      </w:r>
      <w:r w:rsidR="0004440E" w:rsidRPr="00473731">
        <w:t>, t</w:t>
      </w:r>
      <w:r w:rsidR="00C55DFF" w:rsidRPr="00473731">
        <w:t>he district does not have a</w:t>
      </w:r>
      <w:r w:rsidR="00A6357C" w:rsidRPr="00473731">
        <w:t>n</w:t>
      </w:r>
      <w:r w:rsidR="00C55DFF" w:rsidRPr="00473731">
        <w:t xml:space="preserve"> MTSS guidebook that clearly defines the systems’ three tiers of support</w:t>
      </w:r>
      <w:r w:rsidR="00604574" w:rsidRPr="00473731">
        <w:t xml:space="preserve">, </w:t>
      </w:r>
      <w:r w:rsidR="00C55DFF" w:rsidRPr="00473731">
        <w:t>details how the district applies an adaptable MTSS</w:t>
      </w:r>
      <w:r w:rsidR="00604574" w:rsidRPr="00473731">
        <w:t xml:space="preserve"> </w:t>
      </w:r>
      <w:r w:rsidR="00C55DFF" w:rsidRPr="00473731">
        <w:t>to implement interventions for students,</w:t>
      </w:r>
      <w:r w:rsidR="00604574" w:rsidRPr="00473731">
        <w:t xml:space="preserve"> or </w:t>
      </w:r>
      <w:r w:rsidR="00A6357C" w:rsidRPr="00473731">
        <w:t xml:space="preserve">details </w:t>
      </w:r>
      <w:r w:rsidR="00604574" w:rsidRPr="00473731">
        <w:t>how to implement components of an MTSS system</w:t>
      </w:r>
      <w:r w:rsidR="00C55DFF" w:rsidRPr="00473731">
        <w:t>.</w:t>
      </w:r>
      <w:r w:rsidR="003A6ECE" w:rsidRPr="00473731">
        <w:rPr>
          <w:rStyle w:val="CommentReference"/>
          <w:sz w:val="22"/>
          <w:szCs w:val="22"/>
        </w:rPr>
        <w:t xml:space="preserve"> </w:t>
      </w:r>
      <w:r w:rsidR="003A6ECE" w:rsidRPr="00473731">
        <w:t>A</w:t>
      </w:r>
      <w:r w:rsidR="00C55DFF" w:rsidRPr="00473731">
        <w:t xml:space="preserve">ccording to </w:t>
      </w:r>
      <w:r w:rsidR="00C55DFF" w:rsidRPr="00473731">
        <w:rPr>
          <w:bCs/>
          <w:iCs/>
        </w:rPr>
        <w:t xml:space="preserve">district leaders, school leaders, </w:t>
      </w:r>
      <w:r w:rsidR="00967433" w:rsidRPr="00473731">
        <w:rPr>
          <w:bCs/>
          <w:iCs/>
        </w:rPr>
        <w:t xml:space="preserve">and </w:t>
      </w:r>
      <w:r w:rsidR="00C55DFF" w:rsidRPr="00473731">
        <w:rPr>
          <w:bCs/>
          <w:iCs/>
        </w:rPr>
        <w:t>teachers</w:t>
      </w:r>
      <w:r w:rsidR="00C55DFF" w:rsidRPr="00473731">
        <w:t xml:space="preserve">, the district </w:t>
      </w:r>
      <w:r w:rsidR="00594539" w:rsidRPr="00473731">
        <w:t>offers all students</w:t>
      </w:r>
      <w:r w:rsidR="00C55DFF" w:rsidRPr="00473731">
        <w:t xml:space="preserve"> Tier 1 academic, social-emotional, and behavioral supports</w:t>
      </w:r>
      <w:r w:rsidR="00967433" w:rsidRPr="00473731">
        <w:t xml:space="preserve">, </w:t>
      </w:r>
      <w:r w:rsidR="001F4102" w:rsidRPr="00473731">
        <w:t>with</w:t>
      </w:r>
      <w:r w:rsidR="00967433" w:rsidRPr="00473731">
        <w:t xml:space="preserve"> offerings </w:t>
      </w:r>
      <w:r w:rsidR="001F4102" w:rsidRPr="00473731">
        <w:t xml:space="preserve">that </w:t>
      </w:r>
      <w:r w:rsidR="00967433" w:rsidRPr="00473731">
        <w:t>vary by grade level</w:t>
      </w:r>
      <w:r w:rsidR="001F4102" w:rsidRPr="00473731">
        <w:t xml:space="preserve">, </w:t>
      </w:r>
      <w:r w:rsidR="009D422F" w:rsidRPr="00473731">
        <w:t>includ</w:t>
      </w:r>
      <w:r w:rsidR="001F4102" w:rsidRPr="00473731">
        <w:t>ing</w:t>
      </w:r>
      <w:r w:rsidR="009D422F" w:rsidRPr="00473731">
        <w:t xml:space="preserve"> </w:t>
      </w:r>
      <w:r w:rsidR="00F510CF" w:rsidRPr="00473731">
        <w:t xml:space="preserve">a </w:t>
      </w:r>
      <w:r w:rsidR="00A6357C" w:rsidRPr="00473731">
        <w:t xml:space="preserve">social-emotional learning </w:t>
      </w:r>
      <w:r w:rsidR="00F510CF" w:rsidRPr="00473731">
        <w:t>curriculum</w:t>
      </w:r>
      <w:r w:rsidR="001F4102" w:rsidRPr="00473731">
        <w:t xml:space="preserve"> used</w:t>
      </w:r>
      <w:r w:rsidR="00F510CF" w:rsidRPr="00473731">
        <w:t xml:space="preserve"> in </w:t>
      </w:r>
      <w:r w:rsidR="00930AB0" w:rsidRPr="00473731">
        <w:t xml:space="preserve">Grades </w:t>
      </w:r>
      <w:r w:rsidR="00F510CF" w:rsidRPr="00473731">
        <w:t>K-4</w:t>
      </w:r>
      <w:r w:rsidR="00073CE6" w:rsidRPr="00473731">
        <w:t xml:space="preserve">. </w:t>
      </w:r>
      <w:r w:rsidR="004E7BC3" w:rsidRPr="00473731">
        <w:t xml:space="preserve">Medway schools </w:t>
      </w:r>
      <w:r w:rsidR="001A3C86" w:rsidRPr="00473731">
        <w:t xml:space="preserve">also </w:t>
      </w:r>
      <w:r w:rsidR="00C55DFF" w:rsidRPr="00473731">
        <w:t>provide</w:t>
      </w:r>
      <w:r w:rsidR="00C55DFF" w:rsidRPr="00473731">
        <w:rPr>
          <w:b/>
        </w:rPr>
        <w:t xml:space="preserve"> </w:t>
      </w:r>
      <w:r w:rsidR="004E7BC3" w:rsidRPr="00473731">
        <w:t xml:space="preserve">some </w:t>
      </w:r>
      <w:r w:rsidR="00C55DFF" w:rsidRPr="00473731">
        <w:t xml:space="preserve">Tier 2 and </w:t>
      </w:r>
      <w:r w:rsidR="00A6357C" w:rsidRPr="00473731">
        <w:t xml:space="preserve">Tier </w:t>
      </w:r>
      <w:r w:rsidR="00C55DFF" w:rsidRPr="00473731">
        <w:t>3 interventions for students who need additional support to access the curriculum or learning environment,</w:t>
      </w:r>
      <w:r w:rsidR="004E7BC3" w:rsidRPr="00473731">
        <w:t xml:space="preserve"> but </w:t>
      </w:r>
      <w:r w:rsidR="00761016" w:rsidRPr="00473731">
        <w:t>approaches to assessment and assignment</w:t>
      </w:r>
      <w:r w:rsidR="004E7BC3" w:rsidRPr="00473731">
        <w:t xml:space="preserve"> </w:t>
      </w:r>
      <w:r w:rsidR="000A55AA" w:rsidRPr="00473731">
        <w:t>do not result in all students getting connected to supports</w:t>
      </w:r>
      <w:r w:rsidR="004E7BC3" w:rsidRPr="00473731">
        <w:t xml:space="preserve"> across the district. </w:t>
      </w:r>
    </w:p>
    <w:p w14:paraId="62967087" w14:textId="2C8CFAAF" w:rsidR="00E4154C" w:rsidRPr="00473731" w:rsidRDefault="003106D8" w:rsidP="005C6A8C">
      <w:pPr>
        <w:pStyle w:val="BodyText"/>
      </w:pPr>
      <w:r w:rsidRPr="00473731">
        <w:t xml:space="preserve">The district </w:t>
      </w:r>
      <w:r w:rsidR="00B75772" w:rsidRPr="00473731">
        <w:t xml:space="preserve">does not </w:t>
      </w:r>
      <w:r w:rsidR="00A6357C" w:rsidRPr="00473731">
        <w:t xml:space="preserve">(a) </w:t>
      </w:r>
      <w:r w:rsidRPr="00473731">
        <w:t xml:space="preserve">monitor the effectiveness of </w:t>
      </w:r>
      <w:r w:rsidR="00A6357C" w:rsidRPr="00473731">
        <w:t xml:space="preserve">its </w:t>
      </w:r>
      <w:r w:rsidR="00E41E23" w:rsidRPr="00473731">
        <w:t>MTSS</w:t>
      </w:r>
      <w:r w:rsidRPr="00473731">
        <w:t xml:space="preserve"> </w:t>
      </w:r>
      <w:r w:rsidR="00E41E23" w:rsidRPr="00473731">
        <w:t>process</w:t>
      </w:r>
      <w:r w:rsidR="003327E2" w:rsidRPr="00473731">
        <w:t>,</w:t>
      </w:r>
      <w:r w:rsidR="00BF7E23" w:rsidRPr="00473731">
        <w:t xml:space="preserve"> </w:t>
      </w:r>
      <w:r w:rsidR="00A6357C" w:rsidRPr="00473731">
        <w:t xml:space="preserve">(b) </w:t>
      </w:r>
      <w:r w:rsidR="00BF7E23" w:rsidRPr="00473731">
        <w:t xml:space="preserve">have </w:t>
      </w:r>
      <w:r w:rsidR="000B0339">
        <w:t xml:space="preserve">consistent </w:t>
      </w:r>
      <w:r w:rsidR="00BF7E23" w:rsidRPr="00473731">
        <w:t xml:space="preserve">districtwide </w:t>
      </w:r>
      <w:r w:rsidR="00B43F75" w:rsidRPr="00473731">
        <w:t>progress monitoring procedures that support access to and movement throughout the three tiers of instruction</w:t>
      </w:r>
      <w:r w:rsidR="003327E2" w:rsidRPr="00473731">
        <w:t>, or</w:t>
      </w:r>
      <w:r w:rsidR="00B43F75" w:rsidRPr="00473731">
        <w:t xml:space="preserve"> </w:t>
      </w:r>
      <w:r w:rsidR="004331B9" w:rsidRPr="00473731">
        <w:t xml:space="preserve">(c) </w:t>
      </w:r>
      <w:r w:rsidR="00B43F75" w:rsidRPr="00473731">
        <w:t>support schools in developing schedules that provide teachers with sufficient time to support students who receive Tier 2 and Tier 3 interventions</w:t>
      </w:r>
      <w:r w:rsidR="00652BED" w:rsidRPr="00473731">
        <w:t xml:space="preserve">. </w:t>
      </w:r>
      <w:r w:rsidR="004331B9" w:rsidRPr="00473731">
        <w:t xml:space="preserve">Because </w:t>
      </w:r>
      <w:r w:rsidR="00652BED" w:rsidRPr="00473731">
        <w:t xml:space="preserve">interventions vary by school, </w:t>
      </w:r>
      <w:r w:rsidR="00735D79" w:rsidRPr="00473731">
        <w:t xml:space="preserve">school leaders noted different </w:t>
      </w:r>
      <w:r w:rsidR="00420408" w:rsidRPr="00473731">
        <w:t>data</w:t>
      </w:r>
      <w:r w:rsidR="00735D79" w:rsidRPr="00473731">
        <w:t xml:space="preserve"> </w:t>
      </w:r>
      <w:r w:rsidR="004331B9" w:rsidRPr="00473731">
        <w:t>for</w:t>
      </w:r>
      <w:r w:rsidR="00420408" w:rsidRPr="00473731">
        <w:t xml:space="preserve"> identify</w:t>
      </w:r>
      <w:r w:rsidR="004331B9" w:rsidRPr="00473731">
        <w:t>ing</w:t>
      </w:r>
      <w:r w:rsidR="00420408" w:rsidRPr="00473731">
        <w:t xml:space="preserve"> students for interventions</w:t>
      </w:r>
      <w:r w:rsidRPr="00473731">
        <w:t xml:space="preserve">. </w:t>
      </w:r>
      <w:r w:rsidR="003F0E32" w:rsidRPr="00473731">
        <w:t>E</w:t>
      </w:r>
      <w:r w:rsidR="00943E12" w:rsidRPr="00473731">
        <w:t>lementary school leaders noted that</w:t>
      </w:r>
      <w:r w:rsidR="003F0E32" w:rsidRPr="00473731">
        <w:t>,</w:t>
      </w:r>
      <w:r w:rsidR="00943E12" w:rsidRPr="00473731">
        <w:t xml:space="preserve"> </w:t>
      </w:r>
      <w:r w:rsidR="00F156B8" w:rsidRPr="00473731">
        <w:t xml:space="preserve">specifically in literacy, teachers </w:t>
      </w:r>
      <w:r w:rsidR="003F0E32" w:rsidRPr="00473731">
        <w:t>review</w:t>
      </w:r>
      <w:r w:rsidR="00F156B8" w:rsidRPr="00473731">
        <w:t xml:space="preserve"> data </w:t>
      </w:r>
      <w:r w:rsidR="003F0E32" w:rsidRPr="00473731">
        <w:t xml:space="preserve">every six </w:t>
      </w:r>
      <w:r w:rsidR="00001F0C" w:rsidRPr="00473731">
        <w:t>to</w:t>
      </w:r>
      <w:r w:rsidR="003F0E32" w:rsidRPr="00473731">
        <w:t xml:space="preserve"> eight weeks to determine</w:t>
      </w:r>
      <w:r w:rsidR="00F156B8" w:rsidRPr="00473731">
        <w:t xml:space="preserve"> </w:t>
      </w:r>
      <w:r w:rsidR="003F0E32" w:rsidRPr="00473731">
        <w:t xml:space="preserve">student </w:t>
      </w:r>
      <w:r w:rsidR="00F156B8" w:rsidRPr="00473731">
        <w:t>deficit</w:t>
      </w:r>
      <w:r w:rsidR="003F0E32" w:rsidRPr="00473731">
        <w:t>s</w:t>
      </w:r>
      <w:r w:rsidR="00342A96" w:rsidRPr="00473731">
        <w:t>.</w:t>
      </w:r>
      <w:r w:rsidR="00F156B8" w:rsidRPr="00473731">
        <w:t xml:space="preserve"> </w:t>
      </w:r>
      <w:r w:rsidR="003F0E32" w:rsidRPr="00473731">
        <w:t>M</w:t>
      </w:r>
      <w:r w:rsidR="00853318" w:rsidRPr="00473731">
        <w:t>iddle school</w:t>
      </w:r>
      <w:r w:rsidR="00415EB4" w:rsidRPr="00473731">
        <w:t xml:space="preserve"> leadership</w:t>
      </w:r>
      <w:r w:rsidR="00853318" w:rsidRPr="00473731">
        <w:t xml:space="preserve"> </w:t>
      </w:r>
      <w:r w:rsidR="003F0E32" w:rsidRPr="00473731">
        <w:t xml:space="preserve">revealed </w:t>
      </w:r>
      <w:r w:rsidR="004331B9" w:rsidRPr="00473731">
        <w:t xml:space="preserve">that </w:t>
      </w:r>
      <w:r w:rsidR="00853318" w:rsidRPr="00473731">
        <w:t xml:space="preserve">they </w:t>
      </w:r>
      <w:r w:rsidR="00F9549D" w:rsidRPr="00473731">
        <w:t xml:space="preserve">review </w:t>
      </w:r>
      <w:r w:rsidR="003F0E32" w:rsidRPr="00473731">
        <w:t xml:space="preserve">data </w:t>
      </w:r>
      <w:r w:rsidR="00F9549D" w:rsidRPr="00473731">
        <w:t xml:space="preserve">quarterly </w:t>
      </w:r>
      <w:r w:rsidR="00B44283" w:rsidRPr="00473731">
        <w:t xml:space="preserve">to assess where students stand. High school leaders reported </w:t>
      </w:r>
      <w:r w:rsidR="004331B9" w:rsidRPr="00473731">
        <w:t xml:space="preserve">that </w:t>
      </w:r>
      <w:r w:rsidR="00FF59D3" w:rsidRPr="00473731">
        <w:t xml:space="preserve">they “do not have the staffing nor the time built into our schedule to offer these wonderful resources that’s happening in the other schools.” </w:t>
      </w:r>
      <w:r w:rsidR="007A0B0D">
        <w:t xml:space="preserve">Adding specificity to the MTSS process, which includes creating an </w:t>
      </w:r>
      <w:r w:rsidR="007A0B0D">
        <w:lastRenderedPageBreak/>
        <w:t xml:space="preserve">MTSS guidebook, </w:t>
      </w:r>
      <w:r w:rsidR="00CF2CF7">
        <w:t xml:space="preserve">monitoring the effectiveness, </w:t>
      </w:r>
      <w:r w:rsidR="006B2B0D">
        <w:t>having progress monitoring procedures, and supporting schools in scheduling</w:t>
      </w:r>
      <w:r w:rsidR="004748BB">
        <w:t xml:space="preserve"> to provide time for Tier 2 and 3 interventions, is an area of growth for the district. </w:t>
      </w:r>
    </w:p>
    <w:p w14:paraId="58EA9846" w14:textId="1F29723C" w:rsidR="00C55DFF" w:rsidRPr="00473731" w:rsidRDefault="004331B9" w:rsidP="005C6A8C">
      <w:pPr>
        <w:pStyle w:val="BodyText"/>
      </w:pPr>
      <w:r w:rsidRPr="00473731">
        <w:t>Medway</w:t>
      </w:r>
      <w:r w:rsidR="003106D8" w:rsidRPr="00473731">
        <w:t xml:space="preserve"> engage</w:t>
      </w:r>
      <w:r w:rsidR="00FF59D3" w:rsidRPr="00473731">
        <w:t>s</w:t>
      </w:r>
      <w:r w:rsidR="003106D8" w:rsidRPr="00473731">
        <w:t xml:space="preserve"> families and students in </w:t>
      </w:r>
      <w:r w:rsidR="00F165E6">
        <w:t>decision-making</w:t>
      </w:r>
      <w:r w:rsidR="003106D8" w:rsidRPr="00473731">
        <w:t xml:space="preserve"> and the delivery of </w:t>
      </w:r>
      <w:r w:rsidR="00FF59D3" w:rsidRPr="00473731">
        <w:t>some</w:t>
      </w:r>
      <w:r w:rsidR="002506E8" w:rsidRPr="00473731">
        <w:t xml:space="preserve"> but not all</w:t>
      </w:r>
      <w:r w:rsidR="00FF59D3" w:rsidRPr="00473731">
        <w:t xml:space="preserve"> </w:t>
      </w:r>
      <w:r w:rsidR="003106D8" w:rsidRPr="00473731">
        <w:t>tiered supports. </w:t>
      </w:r>
      <w:r w:rsidR="00FF59D3" w:rsidRPr="00473731">
        <w:t>For example, community ed</w:t>
      </w:r>
      <w:r w:rsidR="00761016" w:rsidRPr="00473731">
        <w:t>ucation</w:t>
      </w:r>
      <w:r w:rsidR="00FF59D3" w:rsidRPr="00473731">
        <w:t xml:space="preserve"> leaders reported that they communicate with families </w:t>
      </w:r>
      <w:r w:rsidRPr="00473731">
        <w:t xml:space="preserve">after </w:t>
      </w:r>
      <w:r w:rsidR="00FF59D3" w:rsidRPr="00473731">
        <w:t xml:space="preserve">students have been identified for WIN programming. </w:t>
      </w:r>
      <w:r w:rsidRPr="00473731">
        <w:t>For</w:t>
      </w:r>
      <w:r w:rsidR="003106D8" w:rsidRPr="00473731">
        <w:t xml:space="preserve"> </w:t>
      </w:r>
      <w:r w:rsidR="00342A96" w:rsidRPr="00473731">
        <w:t>S</w:t>
      </w:r>
      <w:r w:rsidR="003106D8" w:rsidRPr="00473731">
        <w:t xml:space="preserve">tudents with </w:t>
      </w:r>
      <w:r w:rsidR="00342A96" w:rsidRPr="00473731">
        <w:t>D</w:t>
      </w:r>
      <w:r w:rsidR="003106D8" w:rsidRPr="00473731">
        <w:t xml:space="preserve">isabilities, district leaders indicated that </w:t>
      </w:r>
      <w:r w:rsidRPr="00473731">
        <w:t>Medway</w:t>
      </w:r>
      <w:r w:rsidR="003106D8" w:rsidRPr="00473731">
        <w:t xml:space="preserve"> </w:t>
      </w:r>
      <w:r w:rsidRPr="00473731">
        <w:t xml:space="preserve">makes sure </w:t>
      </w:r>
      <w:r w:rsidR="003106D8" w:rsidRPr="00473731">
        <w:t>that these students receiv</w:t>
      </w:r>
      <w:r w:rsidRPr="00473731">
        <w:t>e</w:t>
      </w:r>
      <w:r w:rsidR="003106D8" w:rsidRPr="00473731">
        <w:t xml:space="preserve"> the necessary services. </w:t>
      </w:r>
      <w:r w:rsidR="00561224" w:rsidRPr="00473731">
        <w:t xml:space="preserve">For example, district leaders reported that </w:t>
      </w:r>
      <w:r w:rsidRPr="00473731">
        <w:t>SST</w:t>
      </w:r>
      <w:r w:rsidR="00561224" w:rsidRPr="00473731">
        <w:t xml:space="preserve"> meetings include </w:t>
      </w:r>
      <w:r w:rsidR="00342A96" w:rsidRPr="00473731">
        <w:t>S</w:t>
      </w:r>
      <w:r w:rsidR="00561224" w:rsidRPr="00473731">
        <w:t xml:space="preserve">tudents with </w:t>
      </w:r>
      <w:r w:rsidR="00342A96" w:rsidRPr="00473731">
        <w:t>D</w:t>
      </w:r>
      <w:r w:rsidR="00561224" w:rsidRPr="00473731">
        <w:t>isabilities</w:t>
      </w:r>
      <w:r w:rsidRPr="00473731">
        <w:t>,</w:t>
      </w:r>
      <w:r w:rsidR="00D1236D" w:rsidRPr="00473731">
        <w:t xml:space="preserve"> and </w:t>
      </w:r>
      <w:r w:rsidR="00A43354" w:rsidRPr="00473731">
        <w:t xml:space="preserve">they are creating </w:t>
      </w:r>
      <w:r w:rsidR="0029597F" w:rsidRPr="00473731">
        <w:t>social</w:t>
      </w:r>
      <w:r w:rsidRPr="00473731">
        <w:t>-</w:t>
      </w:r>
      <w:r w:rsidR="0029597F" w:rsidRPr="00473731">
        <w:t xml:space="preserve">emotional groups </w:t>
      </w:r>
      <w:r w:rsidR="00D1236D" w:rsidRPr="00473731">
        <w:t>tailored to the students in the group. However, for English Learners</w:t>
      </w:r>
      <w:r w:rsidR="2B59D140" w:rsidRPr="00473731">
        <w:t>,</w:t>
      </w:r>
      <w:r w:rsidR="00D1236D" w:rsidRPr="00473731">
        <w:t xml:space="preserve"> district leaders </w:t>
      </w:r>
      <w:r w:rsidR="00532212" w:rsidRPr="00473731">
        <w:t xml:space="preserve">reported </w:t>
      </w:r>
      <w:r w:rsidRPr="00473731">
        <w:t xml:space="preserve">additional </w:t>
      </w:r>
      <w:r w:rsidR="00532212" w:rsidRPr="00473731">
        <w:t>challeng</w:t>
      </w:r>
      <w:r w:rsidR="00267EFD" w:rsidRPr="00473731">
        <w:t xml:space="preserve">es </w:t>
      </w:r>
      <w:r w:rsidRPr="00473731">
        <w:t>as</w:t>
      </w:r>
      <w:r w:rsidR="00425B6F" w:rsidRPr="00473731">
        <w:t xml:space="preserve"> the</w:t>
      </w:r>
      <w:r w:rsidR="00267EFD" w:rsidRPr="00473731">
        <w:t xml:space="preserve"> population </w:t>
      </w:r>
      <w:r w:rsidRPr="00473731">
        <w:t xml:space="preserve">increases </w:t>
      </w:r>
      <w:r w:rsidR="00267EFD" w:rsidRPr="00473731">
        <w:t>in the district</w:t>
      </w:r>
      <w:r w:rsidRPr="00473731">
        <w:t>.</w:t>
      </w:r>
      <w:r w:rsidR="00425B6F" w:rsidRPr="00473731">
        <w:t xml:space="preserve"> </w:t>
      </w:r>
      <w:r w:rsidRPr="00473731">
        <w:t xml:space="preserve">Translation </w:t>
      </w:r>
      <w:r w:rsidR="00DA1639" w:rsidRPr="00473731">
        <w:t xml:space="preserve">services </w:t>
      </w:r>
      <w:r w:rsidR="00425B6F" w:rsidRPr="00473731">
        <w:t xml:space="preserve">are </w:t>
      </w:r>
      <w:r w:rsidR="00DA1639" w:rsidRPr="00473731">
        <w:t>available</w:t>
      </w:r>
      <w:r w:rsidR="00123DCF" w:rsidRPr="00473731">
        <w:t xml:space="preserve">, but </w:t>
      </w:r>
      <w:r w:rsidR="00B06051" w:rsidRPr="00473731">
        <w:t>the population has</w:t>
      </w:r>
      <w:r w:rsidR="00425B6F" w:rsidRPr="00473731">
        <w:t xml:space="preserve"> not yet </w:t>
      </w:r>
      <w:r w:rsidR="00B06051" w:rsidRPr="00473731">
        <w:t xml:space="preserve">grown enough to have Spanish-based counseling groups. </w:t>
      </w:r>
      <w:r w:rsidRPr="00473731">
        <w:t>In addition</w:t>
      </w:r>
      <w:r w:rsidR="00EF631A" w:rsidRPr="00473731">
        <w:t xml:space="preserve">, district student service leaders reported that English Learners </w:t>
      </w:r>
      <w:r w:rsidRPr="00473731">
        <w:t xml:space="preserve">often </w:t>
      </w:r>
      <w:r w:rsidR="00AA596C" w:rsidRPr="00473731">
        <w:t>are dually identified</w:t>
      </w:r>
      <w:r w:rsidRPr="00473731">
        <w:t>,</w:t>
      </w:r>
      <w:r w:rsidR="00AA596C" w:rsidRPr="00473731">
        <w:t xml:space="preserve"> and </w:t>
      </w:r>
      <w:r w:rsidR="00D23D6B" w:rsidRPr="00473731">
        <w:t xml:space="preserve">there is a </w:t>
      </w:r>
      <w:r w:rsidR="008E21CA" w:rsidRPr="00473731">
        <w:t>“</w:t>
      </w:r>
      <w:r w:rsidR="00D23D6B" w:rsidRPr="00473731">
        <w:t xml:space="preserve">need to </w:t>
      </w:r>
      <w:r w:rsidR="008645C4" w:rsidRPr="00473731">
        <w:t>identify is it a language acquisition issue or is it really a cognitive issue</w:t>
      </w:r>
      <w:r w:rsidRPr="00473731">
        <w:t xml:space="preserve">?” </w:t>
      </w:r>
      <w:r w:rsidR="00486E7B" w:rsidRPr="00473731">
        <w:t xml:space="preserve">High school teachers noted a need for more resources to support the </w:t>
      </w:r>
      <w:r w:rsidR="007A4031" w:rsidRPr="00473731">
        <w:t>English</w:t>
      </w:r>
      <w:r w:rsidR="00B47BA1" w:rsidRPr="00473731">
        <w:t xml:space="preserve"> </w:t>
      </w:r>
      <w:r w:rsidR="007A4031" w:rsidRPr="00473731">
        <w:t>L</w:t>
      </w:r>
      <w:r w:rsidR="00B47BA1" w:rsidRPr="00473731">
        <w:t xml:space="preserve">earners in their school. </w:t>
      </w:r>
      <w:r w:rsidR="0025132D" w:rsidRPr="00473731">
        <w:t xml:space="preserve">Based on </w:t>
      </w:r>
      <w:r w:rsidR="00781EFA" w:rsidRPr="00473731">
        <w:t xml:space="preserve">the </w:t>
      </w:r>
      <w:r w:rsidR="0025132D" w:rsidRPr="00473731">
        <w:t>increas</w:t>
      </w:r>
      <w:r w:rsidR="00781EFA" w:rsidRPr="00473731">
        <w:t>e in</w:t>
      </w:r>
      <w:r w:rsidR="0025132D" w:rsidRPr="00473731">
        <w:t xml:space="preserve"> </w:t>
      </w:r>
      <w:r w:rsidR="00781EFA" w:rsidRPr="00473731">
        <w:t>students in</w:t>
      </w:r>
      <w:r w:rsidR="0025132D" w:rsidRPr="00473731">
        <w:t xml:space="preserve"> need</w:t>
      </w:r>
      <w:r w:rsidR="00781EFA" w:rsidRPr="00473731">
        <w:t xml:space="preserve"> of services</w:t>
      </w:r>
      <w:r w:rsidR="00227D85" w:rsidRPr="00473731">
        <w:t>,</w:t>
      </w:r>
      <w:r w:rsidR="0025132D" w:rsidRPr="00473731">
        <w:t xml:space="preserve"> </w:t>
      </w:r>
      <w:r w:rsidR="00222667" w:rsidRPr="00473731">
        <w:t>d</w:t>
      </w:r>
      <w:r w:rsidR="006C1507" w:rsidRPr="00473731">
        <w:t xml:space="preserve">eveloping districtwide guidance for </w:t>
      </w:r>
      <w:r w:rsidR="1B0B7FB1" w:rsidRPr="00473731">
        <w:t>staff</w:t>
      </w:r>
      <w:r w:rsidR="006C1507" w:rsidRPr="00473731">
        <w:t xml:space="preserve"> </w:t>
      </w:r>
      <w:r w:rsidR="00781EFA" w:rsidRPr="00473731">
        <w:t>regarding</w:t>
      </w:r>
      <w:r w:rsidR="007E251F" w:rsidRPr="00473731">
        <w:t xml:space="preserve"> how </w:t>
      </w:r>
      <w:r w:rsidR="00781EFA" w:rsidRPr="00473731">
        <w:t>to support</w:t>
      </w:r>
      <w:r w:rsidR="007E251F" w:rsidRPr="00473731">
        <w:t xml:space="preserve"> student</w:t>
      </w:r>
      <w:r w:rsidR="00781EFA" w:rsidRPr="00473731">
        <w:t>s</w:t>
      </w:r>
      <w:r w:rsidR="004A1C92">
        <w:t>, especially English Learners,</w:t>
      </w:r>
      <w:r w:rsidR="007E251F" w:rsidRPr="00473731">
        <w:t xml:space="preserve"> </w:t>
      </w:r>
      <w:r w:rsidR="00781EFA" w:rsidRPr="00473731">
        <w:t>who</w:t>
      </w:r>
      <w:r w:rsidR="007E251F" w:rsidRPr="00473731">
        <w:t xml:space="preserve"> </w:t>
      </w:r>
      <w:r w:rsidR="00255969" w:rsidRPr="00473731">
        <w:t xml:space="preserve">are receiving </w:t>
      </w:r>
      <w:r w:rsidR="00781EFA" w:rsidRPr="00473731">
        <w:t>Tier 2 and Tier 3</w:t>
      </w:r>
      <w:r w:rsidR="00255969" w:rsidRPr="00473731">
        <w:t xml:space="preserve"> services is an area </w:t>
      </w:r>
      <w:r w:rsidR="00DE6D6D" w:rsidRPr="00473731">
        <w:t>for</w:t>
      </w:r>
      <w:r w:rsidR="00255969" w:rsidRPr="00473731">
        <w:t xml:space="preserve"> growth for the district. </w:t>
      </w:r>
    </w:p>
    <w:p w14:paraId="6F5D797E" w14:textId="6DF38A42" w:rsidR="002B4CEF" w:rsidRPr="00900ADE" w:rsidRDefault="002B4CEF" w:rsidP="002B4CEF">
      <w:pPr>
        <w:pStyle w:val="Heading3"/>
      </w:pPr>
      <w:r w:rsidRPr="00900ADE">
        <w:t>DESE Recommendations</w:t>
      </w:r>
    </w:p>
    <w:p w14:paraId="700AD2ED" w14:textId="71AA6D71" w:rsidR="002B4CEF" w:rsidRPr="001F4E7E" w:rsidRDefault="00603B8D" w:rsidP="002B4CEF">
      <w:pPr>
        <w:pStyle w:val="Bullet1"/>
        <w:rPr>
          <w:bCs/>
        </w:rPr>
      </w:pPr>
      <w:r>
        <w:rPr>
          <w:i/>
          <w:iCs/>
        </w:rPr>
        <w:t xml:space="preserve">The district should further assess the need for </w:t>
      </w:r>
      <w:r w:rsidR="00E62AEA">
        <w:rPr>
          <w:i/>
          <w:iCs/>
        </w:rPr>
        <w:t>T</w:t>
      </w:r>
      <w:r>
        <w:rPr>
          <w:i/>
          <w:iCs/>
        </w:rPr>
        <w:t xml:space="preserve">ier 2 behavioral supports across the district and work with school leaders to </w:t>
      </w:r>
      <w:r w:rsidR="001F4E7E">
        <w:rPr>
          <w:i/>
          <w:iCs/>
        </w:rPr>
        <w:t xml:space="preserve">select and implement interventions that meet students’ behavioral needs. </w:t>
      </w:r>
    </w:p>
    <w:p w14:paraId="031DD7D4" w14:textId="7FD66D6F" w:rsidR="001F4E7E" w:rsidRPr="00E62AEA" w:rsidRDefault="00717A22" w:rsidP="002B4CEF">
      <w:pPr>
        <w:pStyle w:val="Bullet1"/>
        <w:rPr>
          <w:i/>
        </w:rPr>
      </w:pPr>
      <w:r w:rsidRPr="00E62AEA">
        <w:rPr>
          <w:i/>
        </w:rPr>
        <w:t>The district should develop a system for gathering</w:t>
      </w:r>
      <w:r w:rsidR="00937258" w:rsidRPr="00E62AEA">
        <w:rPr>
          <w:i/>
        </w:rPr>
        <w:t xml:space="preserve"> and responding to student feedback on the</w:t>
      </w:r>
      <w:r w:rsidR="00841202" w:rsidRPr="00E62AEA">
        <w:rPr>
          <w:i/>
        </w:rPr>
        <w:t xml:space="preserve"> learning environment and</w:t>
      </w:r>
      <w:r w:rsidR="00F80CE9" w:rsidRPr="00E62AEA">
        <w:rPr>
          <w:i/>
        </w:rPr>
        <w:t xml:space="preserve"> create authentic opportunities for students</w:t>
      </w:r>
      <w:r w:rsidR="00D43B52" w:rsidRPr="00E62AEA">
        <w:rPr>
          <w:i/>
        </w:rPr>
        <w:t xml:space="preserve"> to be involved in decision-making at the school level. </w:t>
      </w:r>
    </w:p>
    <w:p w14:paraId="5D90C148" w14:textId="67C5B2D4" w:rsidR="005513A8" w:rsidRDefault="00084C0E" w:rsidP="000C6D2D">
      <w:pPr>
        <w:pStyle w:val="Bullet1"/>
        <w:rPr>
          <w:i/>
        </w:rPr>
      </w:pPr>
      <w:r w:rsidRPr="00E62AEA">
        <w:rPr>
          <w:i/>
        </w:rPr>
        <w:t xml:space="preserve">The district should develop a clear and accessible system for matching </w:t>
      </w:r>
      <w:r w:rsidR="0013328D" w:rsidRPr="00E62AEA">
        <w:rPr>
          <w:i/>
        </w:rPr>
        <w:t>students t</w:t>
      </w:r>
      <w:r w:rsidR="000C6D2D" w:rsidRPr="00E62AEA">
        <w:rPr>
          <w:i/>
        </w:rPr>
        <w:t xml:space="preserve">o </w:t>
      </w:r>
      <w:r w:rsidR="005513A8" w:rsidRPr="00E62AEA">
        <w:rPr>
          <w:i/>
        </w:rPr>
        <w:t>mental health supports</w:t>
      </w:r>
      <w:r w:rsidR="0063578B" w:rsidRPr="00E62AEA">
        <w:rPr>
          <w:i/>
        </w:rPr>
        <w:t xml:space="preserve">, particularly at the secondary level. </w:t>
      </w:r>
    </w:p>
    <w:p w14:paraId="68630851" w14:textId="14102FA8" w:rsidR="004134E3" w:rsidRDefault="004134E3" w:rsidP="000C6D2D">
      <w:pPr>
        <w:pStyle w:val="Bullet1"/>
        <w:rPr>
          <w:i/>
        </w:rPr>
      </w:pPr>
      <w:r>
        <w:rPr>
          <w:i/>
        </w:rPr>
        <w:t>The district should leverage its existing school councils</w:t>
      </w:r>
      <w:r w:rsidR="00E10E72">
        <w:rPr>
          <w:i/>
        </w:rPr>
        <w:t>, committees, and communication tools to</w:t>
      </w:r>
      <w:r w:rsidR="00213809">
        <w:rPr>
          <w:i/>
        </w:rPr>
        <w:t xml:space="preserve"> create meaningful </w:t>
      </w:r>
      <w:r w:rsidR="0054702A">
        <w:rPr>
          <w:i/>
        </w:rPr>
        <w:t>avenues for families to provide feedback to the district. Once feedback is collected, the district should proactively communicate the ways in which this fee</w:t>
      </w:r>
      <w:r w:rsidR="00877687">
        <w:rPr>
          <w:i/>
        </w:rPr>
        <w:t xml:space="preserve">dback is being implemented to influence district and/or school </w:t>
      </w:r>
      <w:r w:rsidR="00F165E6">
        <w:rPr>
          <w:i/>
        </w:rPr>
        <w:t>decision-making</w:t>
      </w:r>
      <w:r w:rsidR="00877687">
        <w:rPr>
          <w:i/>
        </w:rPr>
        <w:t xml:space="preserve">. </w:t>
      </w:r>
    </w:p>
    <w:p w14:paraId="244379CB" w14:textId="1A81A8C1" w:rsidR="006650CA" w:rsidRDefault="0011173A" w:rsidP="000C6D2D">
      <w:pPr>
        <w:pStyle w:val="Bullet1"/>
        <w:rPr>
          <w:i/>
        </w:rPr>
      </w:pPr>
      <w:r w:rsidRPr="0011173A">
        <w:rPr>
          <w:i/>
        </w:rPr>
        <w:t xml:space="preserve">The district should </w:t>
      </w:r>
      <w:r w:rsidR="00592917">
        <w:rPr>
          <w:i/>
        </w:rPr>
        <w:t xml:space="preserve">add specificity to its MTSS by defining </w:t>
      </w:r>
      <w:r w:rsidR="0021522F">
        <w:rPr>
          <w:i/>
        </w:rPr>
        <w:t>its tier</w:t>
      </w:r>
      <w:r w:rsidR="000C4284">
        <w:rPr>
          <w:i/>
        </w:rPr>
        <w:t>s of instruction</w:t>
      </w:r>
      <w:r w:rsidR="00293FF2">
        <w:rPr>
          <w:i/>
        </w:rPr>
        <w:t>,</w:t>
      </w:r>
      <w:r w:rsidR="00592917">
        <w:rPr>
          <w:i/>
        </w:rPr>
        <w:t xml:space="preserve"> regularly reviewing its efficacy</w:t>
      </w:r>
      <w:r w:rsidR="008F44A3">
        <w:rPr>
          <w:i/>
        </w:rPr>
        <w:t>, and assisting leaders in implementation with scheduling support</w:t>
      </w:r>
      <w:r w:rsidR="006650CA">
        <w:rPr>
          <w:i/>
        </w:rPr>
        <w:t>.</w:t>
      </w:r>
    </w:p>
    <w:p w14:paraId="17C7438B" w14:textId="16483045" w:rsidR="008E2035" w:rsidRPr="00E62AEA" w:rsidRDefault="00C20478" w:rsidP="000C6D2D">
      <w:pPr>
        <w:pStyle w:val="Bullet1"/>
        <w:rPr>
          <w:i/>
        </w:rPr>
      </w:pPr>
      <w:r>
        <w:rPr>
          <w:i/>
        </w:rPr>
        <w:t>When refining its multi-tiered systems of support, t</w:t>
      </w:r>
      <w:r w:rsidR="006319E9">
        <w:rPr>
          <w:i/>
        </w:rPr>
        <w:t>he district should</w:t>
      </w:r>
      <w:r>
        <w:rPr>
          <w:i/>
        </w:rPr>
        <w:t xml:space="preserve"> carefully consider the needs of its English Learner population</w:t>
      </w:r>
      <w:r w:rsidR="000B0B6B">
        <w:rPr>
          <w:i/>
        </w:rPr>
        <w:t xml:space="preserve">, identify strategies </w:t>
      </w:r>
      <w:r w:rsidR="000A0F5D">
        <w:rPr>
          <w:i/>
        </w:rPr>
        <w:t>for determining students’ needs</w:t>
      </w:r>
      <w:r w:rsidR="00421889">
        <w:rPr>
          <w:i/>
        </w:rPr>
        <w:t>, and implement</w:t>
      </w:r>
      <w:r w:rsidR="005C6673">
        <w:rPr>
          <w:i/>
        </w:rPr>
        <w:t xml:space="preserve"> interventions that</w:t>
      </w:r>
      <w:r w:rsidR="00C27FA1">
        <w:rPr>
          <w:i/>
        </w:rPr>
        <w:t xml:space="preserve"> effectively support all students</w:t>
      </w:r>
      <w:r w:rsidR="00963112">
        <w:rPr>
          <w:i/>
        </w:rPr>
        <w:t xml:space="preserve">, including English Learners. </w:t>
      </w:r>
    </w:p>
    <w:p w14:paraId="2075BC88" w14:textId="4869B9AF" w:rsidR="002B4CEF" w:rsidRPr="00900ADE" w:rsidRDefault="002B4CEF" w:rsidP="00D84D8F">
      <w:pPr>
        <w:pStyle w:val="BodyText"/>
      </w:pPr>
    </w:p>
    <w:p w14:paraId="4A6A5268" w14:textId="20BF8A16" w:rsidR="008D6102" w:rsidRPr="00900ADE" w:rsidRDefault="008D6102" w:rsidP="008D6102">
      <w:pPr>
        <w:pStyle w:val="Heading2"/>
      </w:pPr>
      <w:bookmarkStart w:id="67" w:name="_Financial_and_Asset"/>
      <w:bookmarkStart w:id="68" w:name="_Toc202873113"/>
      <w:bookmarkEnd w:id="67"/>
      <w:r w:rsidRPr="00900ADE">
        <w:lastRenderedPageBreak/>
        <w:t>Financial and Asset Management</w:t>
      </w:r>
      <w:bookmarkEnd w:id="61"/>
      <w:bookmarkEnd w:id="68"/>
    </w:p>
    <w:p w14:paraId="188CF4B7" w14:textId="35C94F4E" w:rsidR="003B2ED7" w:rsidRPr="00900ADE" w:rsidRDefault="003B2ED7" w:rsidP="005C6A8C">
      <w:pPr>
        <w:pStyle w:val="BodyText"/>
      </w:pPr>
      <w:r w:rsidRPr="00900ADE">
        <w:t xml:space="preserve">This section focuses on the extent to which, through its policies, systems, and procedures, the district strategically allocates and </w:t>
      </w:r>
      <w:r w:rsidR="004331B9" w:rsidRPr="00900ADE">
        <w:t xml:space="preserve">uses </w:t>
      </w:r>
      <w:r w:rsidRPr="00900ADE">
        <w:t xml:space="preserve">funding and other resources in alignment with applicable laws to improve all students’ performance, opportunities, and outcomes. It also focuses on </w:t>
      </w:r>
      <w:r w:rsidR="004331B9" w:rsidRPr="00900ADE">
        <w:t>how</w:t>
      </w:r>
      <w:r w:rsidRPr="00900ADE">
        <w:t xml:space="preserve"> the district collaborates with its partners to run daily operations, manage its assets, and develop long-term plans for sustainability.</w:t>
      </w:r>
    </w:p>
    <w:p w14:paraId="542F10D1" w14:textId="5D714C05" w:rsidR="00494638" w:rsidRPr="00900ADE" w:rsidRDefault="00494638" w:rsidP="005C6A8C">
      <w:pPr>
        <w:pStyle w:val="BodyText"/>
      </w:pPr>
      <w:r w:rsidRPr="00900ADE">
        <w:t xml:space="preserve">Table </w:t>
      </w:r>
      <w:r w:rsidR="005C6A8C" w:rsidRPr="00900ADE">
        <w:t>9</w:t>
      </w:r>
      <w:r w:rsidR="008C36C6" w:rsidRPr="00900ADE">
        <w:t xml:space="preserve"> </w:t>
      </w:r>
      <w:r w:rsidRPr="00900ADE">
        <w:t>summarizes key strengths and areas for growth in financial and asset management</w:t>
      </w:r>
      <w:r w:rsidR="00B525D4" w:rsidRPr="00900ADE">
        <w:t xml:space="preserve"> in Medway</w:t>
      </w:r>
      <w:r w:rsidRPr="00900ADE">
        <w:t>.</w:t>
      </w:r>
    </w:p>
    <w:p w14:paraId="127D9DF7" w14:textId="11B82D5D" w:rsidR="00B827DE" w:rsidRPr="00900ADE" w:rsidRDefault="00B827DE" w:rsidP="00B827DE">
      <w:pPr>
        <w:pStyle w:val="TableTitle0"/>
      </w:pPr>
      <w:r w:rsidRPr="00900ADE">
        <w:t xml:space="preserve">Table </w:t>
      </w:r>
      <w:r w:rsidR="005C6A8C" w:rsidRPr="00900ADE">
        <w:t>9</w:t>
      </w:r>
      <w:r w:rsidRPr="00900ADE">
        <w:t xml:space="preserve">. Summary of </w:t>
      </w:r>
      <w:r w:rsidR="00494638" w:rsidRPr="00900ADE">
        <w:t xml:space="preserve">Key Strengths </w:t>
      </w:r>
      <w:r w:rsidRPr="00900ADE">
        <w:t xml:space="preserve">and </w:t>
      </w:r>
      <w:r w:rsidR="00494638" w:rsidRPr="00900ADE">
        <w:t xml:space="preserve">Areas </w:t>
      </w:r>
      <w:r w:rsidRPr="00900ADE">
        <w:t xml:space="preserve">for </w:t>
      </w:r>
      <w:r w:rsidR="00494638" w:rsidRPr="00900ADE">
        <w:t>Growth:</w:t>
      </w:r>
      <w:r w:rsidRPr="00900ADE">
        <w:t xml:space="preserve"> Financial and Asset Management</w:t>
      </w:r>
      <w:r w:rsidR="00494638" w:rsidRPr="00900ADE">
        <w:t xml:space="preserve"> Standard</w:t>
      </w:r>
    </w:p>
    <w:tbl>
      <w:tblPr>
        <w:tblStyle w:val="MSVTable1"/>
        <w:tblW w:w="5000" w:type="pct"/>
        <w:tblLook w:val="04A0" w:firstRow="1" w:lastRow="0" w:firstColumn="1" w:lastColumn="0" w:noHBand="0" w:noVBand="1"/>
      </w:tblPr>
      <w:tblGrid>
        <w:gridCol w:w="1882"/>
        <w:gridCol w:w="3691"/>
        <w:gridCol w:w="3771"/>
      </w:tblGrid>
      <w:tr w:rsidR="00B827DE" w:rsidRPr="00900ADE" w14:paraId="32BDE053" w14:textId="77777777" w:rsidTr="004331B9">
        <w:trPr>
          <w:cnfStyle w:val="100000000000" w:firstRow="1" w:lastRow="0" w:firstColumn="0" w:lastColumn="0" w:oddVBand="0" w:evenVBand="0" w:oddHBand="0" w:evenHBand="0" w:firstRowFirstColumn="0" w:firstRowLastColumn="0" w:lastRowFirstColumn="0" w:lastRowLastColumn="0"/>
          <w:tblHeader/>
        </w:trPr>
        <w:tc>
          <w:tcPr>
            <w:tcW w:w="1007" w:type="pct"/>
          </w:tcPr>
          <w:p w14:paraId="7821BEB4" w14:textId="77777777" w:rsidR="00B827DE" w:rsidRPr="00510408" w:rsidRDefault="00B827DE" w:rsidP="00B827DE">
            <w:pPr>
              <w:pStyle w:val="TableColHeadingCenter"/>
              <w:rPr>
                <w:bdr w:val="none" w:sz="0" w:space="0" w:color="auto" w:frame="1"/>
              </w:rPr>
            </w:pPr>
            <w:r w:rsidRPr="00510408">
              <w:rPr>
                <w:bdr w:val="none" w:sz="0" w:space="0" w:color="auto" w:frame="1"/>
              </w:rPr>
              <w:t>Indicator</w:t>
            </w:r>
          </w:p>
        </w:tc>
        <w:tc>
          <w:tcPr>
            <w:tcW w:w="1975" w:type="pct"/>
          </w:tcPr>
          <w:p w14:paraId="419E0583" w14:textId="77777777" w:rsidR="00B827DE" w:rsidRPr="00900ADE" w:rsidRDefault="00B827DE" w:rsidP="00B827DE">
            <w:pPr>
              <w:pStyle w:val="TableColHeadingCenter"/>
              <w:rPr>
                <w:bdr w:val="none" w:sz="0" w:space="0" w:color="auto" w:frame="1"/>
              </w:rPr>
            </w:pPr>
            <w:r w:rsidRPr="00900ADE">
              <w:rPr>
                <w:bdr w:val="none" w:sz="0" w:space="0" w:color="auto" w:frame="1"/>
              </w:rPr>
              <w:t>Strengths</w:t>
            </w:r>
          </w:p>
        </w:tc>
        <w:tc>
          <w:tcPr>
            <w:tcW w:w="2018" w:type="pct"/>
          </w:tcPr>
          <w:p w14:paraId="664651D2" w14:textId="0C40A2BC" w:rsidR="00B827DE" w:rsidRPr="00900ADE" w:rsidRDefault="00B827DE" w:rsidP="00B827DE">
            <w:pPr>
              <w:pStyle w:val="TableColHeadingCenter"/>
              <w:rPr>
                <w:bdr w:val="none" w:sz="0" w:space="0" w:color="auto" w:frame="1"/>
              </w:rPr>
            </w:pPr>
            <w:r w:rsidRPr="00900ADE">
              <w:rPr>
                <w:bdr w:val="none" w:sz="0" w:space="0" w:color="auto" w:frame="1"/>
              </w:rPr>
              <w:t xml:space="preserve">Areas for </w:t>
            </w:r>
            <w:r w:rsidR="00494638" w:rsidRPr="00900ADE">
              <w:rPr>
                <w:bdr w:val="none" w:sz="0" w:space="0" w:color="auto" w:frame="1"/>
              </w:rPr>
              <w:t>growth</w:t>
            </w:r>
          </w:p>
        </w:tc>
      </w:tr>
      <w:tr w:rsidR="00B827DE" w:rsidRPr="00900ADE" w14:paraId="6A18501A" w14:textId="77777777" w:rsidTr="004331B9">
        <w:trPr>
          <w:cnfStyle w:val="000000100000" w:firstRow="0" w:lastRow="0" w:firstColumn="0" w:lastColumn="0" w:oddVBand="0" w:evenVBand="0" w:oddHBand="1" w:evenHBand="0" w:firstRowFirstColumn="0" w:firstRowLastColumn="0" w:lastRowFirstColumn="0" w:lastRowLastColumn="0"/>
        </w:trPr>
        <w:tc>
          <w:tcPr>
            <w:tcW w:w="1007" w:type="pct"/>
          </w:tcPr>
          <w:p w14:paraId="39538D5F" w14:textId="755DC606" w:rsidR="00B827DE" w:rsidRPr="00900ADE" w:rsidRDefault="00B827DE" w:rsidP="005D13E7">
            <w:pPr>
              <w:pStyle w:val="TableSubheading"/>
              <w:rPr>
                <w:bdr w:val="none" w:sz="0" w:space="0" w:color="auto" w:frame="1"/>
              </w:rPr>
            </w:pPr>
            <w:hyperlink w:anchor="_Business_Office_Staffing" w:history="1">
              <w:r w:rsidRPr="00900ADE">
                <w:rPr>
                  <w:rStyle w:val="Hyperlink"/>
                  <w:bdr w:val="none" w:sz="0" w:space="0" w:color="auto" w:frame="1"/>
                </w:rPr>
                <w:t>Bu</w:t>
              </w:r>
              <w:r w:rsidR="00041E9B" w:rsidRPr="00900ADE">
                <w:rPr>
                  <w:rStyle w:val="Hyperlink"/>
                  <w:bdr w:val="none" w:sz="0" w:space="0" w:color="auto" w:frame="1"/>
                </w:rPr>
                <w:t>siness Office Staffing and Infrastructure</w:t>
              </w:r>
            </w:hyperlink>
          </w:p>
        </w:tc>
        <w:tc>
          <w:tcPr>
            <w:tcW w:w="1975" w:type="pct"/>
          </w:tcPr>
          <w:p w14:paraId="2305B76F" w14:textId="604C5681" w:rsidR="00B827DE" w:rsidRPr="00900ADE" w:rsidRDefault="00DD2453" w:rsidP="007D69BA">
            <w:pPr>
              <w:pStyle w:val="TableBullet1"/>
              <w:rPr>
                <w:szCs w:val="20"/>
                <w:bdr w:val="none" w:sz="0" w:space="0" w:color="auto" w:frame="1"/>
              </w:rPr>
            </w:pPr>
            <w:r w:rsidRPr="00900ADE">
              <w:rPr>
                <w:color w:val="000000" w:themeColor="text1"/>
                <w:szCs w:val="20"/>
              </w:rPr>
              <w:t xml:space="preserve">The district tracks the budget </w:t>
            </w:r>
            <w:r w:rsidR="0082225E" w:rsidRPr="00900ADE">
              <w:rPr>
                <w:color w:val="000000" w:themeColor="text1"/>
                <w:szCs w:val="20"/>
              </w:rPr>
              <w:t>consistently throughout the year</w:t>
            </w:r>
            <w:r w:rsidRPr="00900ADE">
              <w:rPr>
                <w:color w:val="000000" w:themeColor="text1"/>
                <w:szCs w:val="20"/>
              </w:rPr>
              <w:t xml:space="preserve"> and work</w:t>
            </w:r>
            <w:r w:rsidR="004331B9" w:rsidRPr="00900ADE">
              <w:rPr>
                <w:color w:val="000000" w:themeColor="text1"/>
                <w:szCs w:val="20"/>
              </w:rPr>
              <w:t>s</w:t>
            </w:r>
            <w:r w:rsidRPr="00900ADE">
              <w:rPr>
                <w:color w:val="000000" w:themeColor="text1"/>
                <w:szCs w:val="20"/>
              </w:rPr>
              <w:t xml:space="preserve"> collaboratively with the school committee and department leadership to improve financial awareness and avoid overspending.</w:t>
            </w:r>
          </w:p>
          <w:p w14:paraId="55633859" w14:textId="1F378B4F" w:rsidR="00607FEC" w:rsidRPr="00900ADE" w:rsidRDefault="00607FEC" w:rsidP="005C6A8C">
            <w:pPr>
              <w:pStyle w:val="TableBullet1"/>
              <w:rPr>
                <w:bdr w:val="none" w:sz="0" w:space="0" w:color="auto" w:frame="1"/>
              </w:rPr>
            </w:pPr>
            <w:r w:rsidRPr="00900ADE">
              <w:rPr>
                <w:bdr w:val="none" w:sz="0" w:space="0" w:color="auto" w:frame="1"/>
              </w:rPr>
              <w:t xml:space="preserve">District staff and town officials describe their professional working relationship </w:t>
            </w:r>
            <w:r w:rsidR="004331B9" w:rsidRPr="00900ADE">
              <w:rPr>
                <w:bdr w:val="none" w:sz="0" w:space="0" w:color="auto" w:frame="1"/>
              </w:rPr>
              <w:t xml:space="preserve">related to </w:t>
            </w:r>
            <w:r w:rsidRPr="00900ADE">
              <w:rPr>
                <w:bdr w:val="none" w:sz="0" w:space="0" w:color="auto" w:frame="1"/>
              </w:rPr>
              <w:t>fiscal planning and shared services</w:t>
            </w:r>
            <w:r w:rsidR="004C09C2" w:rsidRPr="00900ADE">
              <w:rPr>
                <w:bdr w:val="none" w:sz="0" w:space="0" w:color="auto" w:frame="1"/>
              </w:rPr>
              <w:t xml:space="preserve"> as strong</w:t>
            </w:r>
            <w:r w:rsidRPr="00900ADE">
              <w:rPr>
                <w:bdr w:val="none" w:sz="0" w:space="0" w:color="auto" w:frame="1"/>
              </w:rPr>
              <w:t>.</w:t>
            </w:r>
          </w:p>
        </w:tc>
        <w:tc>
          <w:tcPr>
            <w:tcW w:w="2018" w:type="pct"/>
          </w:tcPr>
          <w:p w14:paraId="5A758912" w14:textId="69B83F9A" w:rsidR="00B827DE" w:rsidRPr="00900ADE" w:rsidRDefault="00B827DE" w:rsidP="005C6A8C">
            <w:pPr>
              <w:pStyle w:val="TableBullet1"/>
              <w:numPr>
                <w:ilvl w:val="0"/>
                <w:numId w:val="0"/>
              </w:numPr>
              <w:rPr>
                <w:szCs w:val="20"/>
                <w:bdr w:val="none" w:sz="0" w:space="0" w:color="auto" w:frame="1"/>
              </w:rPr>
            </w:pPr>
          </w:p>
        </w:tc>
      </w:tr>
      <w:tr w:rsidR="00B827DE" w:rsidRPr="00900ADE" w14:paraId="0ADE789F" w14:textId="77777777" w:rsidTr="004331B9">
        <w:tc>
          <w:tcPr>
            <w:tcW w:w="1007" w:type="pct"/>
          </w:tcPr>
          <w:p w14:paraId="41C5EA1C" w14:textId="28A63A33" w:rsidR="00B827DE" w:rsidRPr="00900ADE" w:rsidRDefault="00041E9B" w:rsidP="005D13E7">
            <w:pPr>
              <w:pStyle w:val="TableSubheading"/>
              <w:rPr>
                <w:bdr w:val="none" w:sz="0" w:space="0" w:color="auto" w:frame="1"/>
              </w:rPr>
            </w:pPr>
            <w:hyperlink w:anchor="_Budgeting_and_Budget" w:history="1">
              <w:r w:rsidRPr="00900ADE">
                <w:rPr>
                  <w:rStyle w:val="Hyperlink"/>
                  <w:bdr w:val="none" w:sz="0" w:space="0" w:color="auto" w:frame="1"/>
                </w:rPr>
                <w:t>Budgeting and Budget Process</w:t>
              </w:r>
            </w:hyperlink>
          </w:p>
        </w:tc>
        <w:tc>
          <w:tcPr>
            <w:tcW w:w="1975" w:type="pct"/>
          </w:tcPr>
          <w:p w14:paraId="7DF4C81F" w14:textId="662B8BD1" w:rsidR="00B827DE" w:rsidRPr="00900ADE" w:rsidRDefault="000E27B9" w:rsidP="007D69BA">
            <w:pPr>
              <w:pStyle w:val="TableBullet1"/>
              <w:rPr>
                <w:szCs w:val="20"/>
                <w:bdr w:val="none" w:sz="0" w:space="0" w:color="auto" w:frame="1"/>
              </w:rPr>
            </w:pPr>
            <w:r w:rsidRPr="00900ADE">
              <w:rPr>
                <w:rFonts w:cs="Segoe UI"/>
                <w:color w:val="242424"/>
                <w:szCs w:val="20"/>
                <w:shd w:val="clear" w:color="auto" w:fill="FAFAFA"/>
              </w:rPr>
              <w:t xml:space="preserve">The budget development and approval process </w:t>
            </w:r>
            <w:r w:rsidR="008E0DE6" w:rsidRPr="00900ADE">
              <w:rPr>
                <w:rFonts w:cs="Segoe UI"/>
                <w:color w:val="242424"/>
                <w:szCs w:val="20"/>
                <w:shd w:val="clear" w:color="auto" w:fill="FAFAFA"/>
              </w:rPr>
              <w:t xml:space="preserve">is </w:t>
            </w:r>
            <w:r w:rsidRPr="00900ADE">
              <w:rPr>
                <w:rFonts w:cs="Segoe UI"/>
                <w:color w:val="242424"/>
                <w:szCs w:val="20"/>
                <w:shd w:val="clear" w:color="auto" w:fill="FAFAFA"/>
              </w:rPr>
              <w:t>well</w:t>
            </w:r>
            <w:r w:rsidR="004331B9" w:rsidRPr="00900ADE">
              <w:rPr>
                <w:rFonts w:cs="Segoe UI"/>
                <w:color w:val="242424"/>
                <w:szCs w:val="20"/>
                <w:shd w:val="clear" w:color="auto" w:fill="FAFAFA"/>
              </w:rPr>
              <w:t xml:space="preserve"> </w:t>
            </w:r>
            <w:r w:rsidRPr="00900ADE">
              <w:rPr>
                <w:rFonts w:cs="Segoe UI"/>
                <w:color w:val="242424"/>
                <w:szCs w:val="20"/>
                <w:shd w:val="clear" w:color="auto" w:fill="FAFAFA"/>
              </w:rPr>
              <w:t xml:space="preserve">structured, involving multiple stages and </w:t>
            </w:r>
            <w:r w:rsidR="004224E0" w:rsidRPr="00900ADE">
              <w:rPr>
                <w:rFonts w:cs="Segoe UI"/>
                <w:color w:val="242424"/>
                <w:szCs w:val="20"/>
                <w:shd w:val="clear" w:color="auto" w:fill="FAFAFA"/>
              </w:rPr>
              <w:t>constituent</w:t>
            </w:r>
            <w:r w:rsidRPr="00900ADE">
              <w:rPr>
                <w:rFonts w:cs="Segoe UI"/>
                <w:color w:val="242424"/>
                <w:szCs w:val="20"/>
                <w:shd w:val="clear" w:color="auto" w:fill="FAFAFA"/>
              </w:rPr>
              <w:t xml:space="preserve"> input</w:t>
            </w:r>
            <w:r w:rsidR="0054503A" w:rsidRPr="00900ADE">
              <w:rPr>
                <w:rFonts w:cs="Segoe UI"/>
                <w:color w:val="242424"/>
                <w:szCs w:val="20"/>
                <w:shd w:val="clear" w:color="auto" w:fill="FAFAFA"/>
              </w:rPr>
              <w:t>.</w:t>
            </w:r>
          </w:p>
          <w:p w14:paraId="60B306E4" w14:textId="697D0F1C" w:rsidR="00B827DE" w:rsidRPr="00900ADE" w:rsidRDefault="00093A63" w:rsidP="007D69BA">
            <w:pPr>
              <w:pStyle w:val="TableBullet1"/>
              <w:rPr>
                <w:szCs w:val="20"/>
              </w:rPr>
            </w:pPr>
            <w:r w:rsidRPr="00900ADE">
              <w:rPr>
                <w:rFonts w:cs="Segoe UI"/>
                <w:color w:val="242424"/>
                <w:szCs w:val="20"/>
                <w:shd w:val="clear" w:color="auto" w:fill="FFFFFF"/>
              </w:rPr>
              <w:t>Budget presentations and documents are available on the district website.</w:t>
            </w:r>
          </w:p>
        </w:tc>
        <w:tc>
          <w:tcPr>
            <w:tcW w:w="2018" w:type="pct"/>
          </w:tcPr>
          <w:p w14:paraId="4F1C470C" w14:textId="2859D7AC" w:rsidR="00B827DE" w:rsidRPr="00900ADE" w:rsidRDefault="009A5EAD" w:rsidP="009A5EAD">
            <w:pPr>
              <w:pStyle w:val="TableBullet1"/>
              <w:rPr>
                <w:szCs w:val="20"/>
                <w:bdr w:val="none" w:sz="0" w:space="0" w:color="auto" w:frame="1"/>
              </w:rPr>
            </w:pPr>
            <w:r w:rsidRPr="00900ADE">
              <w:t xml:space="preserve">Addressing </w:t>
            </w:r>
            <w:r w:rsidRPr="00900ADE" w:rsidDel="00600F64">
              <w:t xml:space="preserve">concerns about funding </w:t>
            </w:r>
            <w:r w:rsidRPr="00900ADE">
              <w:t xml:space="preserve">levels </w:t>
            </w:r>
            <w:r w:rsidRPr="00900ADE" w:rsidDel="00600F64">
              <w:t>for the coming years</w:t>
            </w:r>
          </w:p>
        </w:tc>
      </w:tr>
      <w:tr w:rsidR="00B827DE" w:rsidRPr="00900ADE" w14:paraId="178D87DE" w14:textId="77777777" w:rsidTr="004331B9">
        <w:trPr>
          <w:cnfStyle w:val="000000100000" w:firstRow="0" w:lastRow="0" w:firstColumn="0" w:lastColumn="0" w:oddVBand="0" w:evenVBand="0" w:oddHBand="1" w:evenHBand="0" w:firstRowFirstColumn="0" w:firstRowLastColumn="0" w:lastRowFirstColumn="0" w:lastRowLastColumn="0"/>
        </w:trPr>
        <w:tc>
          <w:tcPr>
            <w:tcW w:w="1007" w:type="pct"/>
          </w:tcPr>
          <w:p w14:paraId="13C61666" w14:textId="3A5CD4A2" w:rsidR="00B827DE" w:rsidRPr="00900ADE" w:rsidRDefault="00041E9B" w:rsidP="005D13E7">
            <w:pPr>
              <w:pStyle w:val="TableSubheading"/>
              <w:rPr>
                <w:bdr w:val="none" w:sz="0" w:space="0" w:color="auto" w:frame="1"/>
              </w:rPr>
            </w:pPr>
            <w:hyperlink w:anchor="_Operations" w:history="1">
              <w:r w:rsidRPr="00900ADE">
                <w:rPr>
                  <w:rStyle w:val="Hyperlink"/>
                  <w:bdr w:val="none" w:sz="0" w:space="0" w:color="auto" w:frame="1"/>
                </w:rPr>
                <w:t>Operations</w:t>
              </w:r>
            </w:hyperlink>
          </w:p>
        </w:tc>
        <w:tc>
          <w:tcPr>
            <w:tcW w:w="1975" w:type="pct"/>
          </w:tcPr>
          <w:p w14:paraId="31560818" w14:textId="53CA317F" w:rsidR="00B827DE" w:rsidRPr="00900ADE" w:rsidRDefault="00B827DE" w:rsidP="005C6A8C">
            <w:pPr>
              <w:pStyle w:val="TableBullet1"/>
              <w:numPr>
                <w:ilvl w:val="0"/>
                <w:numId w:val="0"/>
              </w:numPr>
              <w:ind w:left="360" w:hanging="360"/>
              <w:rPr>
                <w:szCs w:val="20"/>
                <w:bdr w:val="none" w:sz="0" w:space="0" w:color="auto" w:frame="1"/>
              </w:rPr>
            </w:pPr>
          </w:p>
        </w:tc>
        <w:tc>
          <w:tcPr>
            <w:tcW w:w="2018" w:type="pct"/>
          </w:tcPr>
          <w:p w14:paraId="4C814DAB" w14:textId="2F9FCF42" w:rsidR="00C82CAF" w:rsidRPr="00900ADE" w:rsidRDefault="00C82CAF" w:rsidP="007D69BA">
            <w:pPr>
              <w:pStyle w:val="TableBullet1"/>
              <w:rPr>
                <w:szCs w:val="20"/>
                <w:bdr w:val="none" w:sz="0" w:space="0" w:color="auto" w:frame="1"/>
              </w:rPr>
            </w:pPr>
            <w:r w:rsidRPr="00900ADE">
              <w:rPr>
                <w:szCs w:val="20"/>
                <w:bdr w:val="none" w:sz="0" w:space="0" w:color="auto" w:frame="1"/>
              </w:rPr>
              <w:t xml:space="preserve">Addressing concerns about how town and school staff can </w:t>
            </w:r>
            <w:r w:rsidR="009A1531" w:rsidRPr="00900ADE">
              <w:rPr>
                <w:szCs w:val="20"/>
                <w:bdr w:val="none" w:sz="0" w:space="0" w:color="auto" w:frame="1"/>
              </w:rPr>
              <w:t xml:space="preserve">more effectively </w:t>
            </w:r>
            <w:r w:rsidRPr="00900ADE">
              <w:rPr>
                <w:szCs w:val="20"/>
                <w:bdr w:val="none" w:sz="0" w:space="0" w:color="auto" w:frame="1"/>
              </w:rPr>
              <w:t xml:space="preserve">collaborate </w:t>
            </w:r>
            <w:r w:rsidR="004331B9" w:rsidRPr="00900ADE">
              <w:rPr>
                <w:szCs w:val="20"/>
                <w:bdr w:val="none" w:sz="0" w:space="0" w:color="auto" w:frame="1"/>
              </w:rPr>
              <w:t xml:space="preserve">about </w:t>
            </w:r>
            <w:r w:rsidRPr="00900ADE">
              <w:rPr>
                <w:szCs w:val="20"/>
                <w:bdr w:val="none" w:sz="0" w:space="0" w:color="auto" w:frame="1"/>
              </w:rPr>
              <w:t>the maintenance and support of student technology infrastructure</w:t>
            </w:r>
          </w:p>
        </w:tc>
      </w:tr>
      <w:tr w:rsidR="00B827DE" w:rsidRPr="00900ADE" w14:paraId="671ADB7B" w14:textId="77777777" w:rsidTr="004331B9">
        <w:tc>
          <w:tcPr>
            <w:tcW w:w="1007" w:type="pct"/>
          </w:tcPr>
          <w:p w14:paraId="2BA214F5" w14:textId="0C42C7F6" w:rsidR="00B827DE" w:rsidRPr="00900ADE" w:rsidRDefault="00041E9B" w:rsidP="005D13E7">
            <w:pPr>
              <w:pStyle w:val="TableSubheading"/>
              <w:rPr>
                <w:bdr w:val="none" w:sz="0" w:space="0" w:color="auto" w:frame="1"/>
              </w:rPr>
            </w:pPr>
            <w:hyperlink w:anchor="_Managing_Capital_Assets" w:history="1">
              <w:r w:rsidRPr="00900ADE">
                <w:rPr>
                  <w:rStyle w:val="Hyperlink"/>
                  <w:bdr w:val="none" w:sz="0" w:space="0" w:color="auto" w:frame="1"/>
                </w:rPr>
                <w:t>Managing C</w:t>
              </w:r>
              <w:r w:rsidR="00B827DE" w:rsidRPr="00900ADE">
                <w:rPr>
                  <w:rStyle w:val="Hyperlink"/>
                  <w:bdr w:val="none" w:sz="0" w:space="0" w:color="auto" w:frame="1"/>
                </w:rPr>
                <w:t xml:space="preserve">apital </w:t>
              </w:r>
              <w:r w:rsidRPr="00900ADE">
                <w:rPr>
                  <w:rStyle w:val="Hyperlink"/>
                  <w:bdr w:val="none" w:sz="0" w:space="0" w:color="auto" w:frame="1"/>
                </w:rPr>
                <w:t>Assets and Capital P</w:t>
              </w:r>
              <w:r w:rsidR="00B827DE" w:rsidRPr="00900ADE">
                <w:rPr>
                  <w:rStyle w:val="Hyperlink"/>
                  <w:bdr w:val="none" w:sz="0" w:space="0" w:color="auto" w:frame="1"/>
                </w:rPr>
                <w:t>lanning</w:t>
              </w:r>
            </w:hyperlink>
          </w:p>
        </w:tc>
        <w:tc>
          <w:tcPr>
            <w:tcW w:w="1975" w:type="pct"/>
          </w:tcPr>
          <w:p w14:paraId="040AD585" w14:textId="27F77C70" w:rsidR="00B827DE" w:rsidRPr="00900ADE" w:rsidRDefault="008E61E2" w:rsidP="007D69BA">
            <w:pPr>
              <w:pStyle w:val="TableBullet1"/>
              <w:rPr>
                <w:szCs w:val="20"/>
                <w:bdr w:val="none" w:sz="0" w:space="0" w:color="auto" w:frame="1"/>
              </w:rPr>
            </w:pPr>
            <w:r w:rsidRPr="00900ADE">
              <w:rPr>
                <w:szCs w:val="20"/>
                <w:bdr w:val="none" w:sz="0" w:space="0" w:color="auto" w:frame="1"/>
              </w:rPr>
              <w:t xml:space="preserve">The </w:t>
            </w:r>
            <w:r w:rsidRPr="00900ADE">
              <w:rPr>
                <w:rFonts w:cs="Segoe UI"/>
                <w:color w:val="242424"/>
                <w:szCs w:val="20"/>
              </w:rPr>
              <w:t>town provides significant support for capital expenses, such as replacing roofs and purchasing school vans, which helps maintain district facilities.</w:t>
            </w:r>
          </w:p>
        </w:tc>
        <w:tc>
          <w:tcPr>
            <w:tcW w:w="2018" w:type="pct"/>
          </w:tcPr>
          <w:p w14:paraId="2EAE12FA" w14:textId="1CAC3C9A" w:rsidR="00B827DE" w:rsidRPr="00C94B25" w:rsidRDefault="00B827DE" w:rsidP="00E53F8F">
            <w:pPr>
              <w:pStyle w:val="TableBullet1"/>
              <w:numPr>
                <w:ilvl w:val="0"/>
                <w:numId w:val="0"/>
              </w:numPr>
              <w:ind w:left="360"/>
              <w:rPr>
                <w:szCs w:val="20"/>
                <w:bdr w:val="none" w:sz="0" w:space="0" w:color="auto" w:frame="1"/>
              </w:rPr>
            </w:pPr>
          </w:p>
        </w:tc>
      </w:tr>
    </w:tbl>
    <w:p w14:paraId="0C62F5A6" w14:textId="4945FE1A" w:rsidR="00B827DE" w:rsidRPr="00900ADE" w:rsidRDefault="00041E9B" w:rsidP="00B827DE">
      <w:pPr>
        <w:pStyle w:val="Heading3"/>
      </w:pPr>
      <w:bookmarkStart w:id="69" w:name="_Budget_Documentation_and"/>
      <w:bookmarkStart w:id="70" w:name="_Business_Office_Staffing"/>
      <w:bookmarkEnd w:id="69"/>
      <w:bookmarkEnd w:id="70"/>
      <w:r w:rsidRPr="00900ADE">
        <w:t>Business Office Staffing and Infrastructure</w:t>
      </w:r>
    </w:p>
    <w:p w14:paraId="4A37425E" w14:textId="33C233AF" w:rsidR="00950D74" w:rsidRPr="00900ADE" w:rsidRDefault="00950D74" w:rsidP="005C6A8C">
      <w:pPr>
        <w:pStyle w:val="BodyTextposthead"/>
      </w:pPr>
      <w:r w:rsidRPr="00900ADE">
        <w:t xml:space="preserve">According to reports from district leaders, the business office has sufficient staff to support daily operations and annual planning. Key staff reporting to the </w:t>
      </w:r>
      <w:r w:rsidR="00B31839" w:rsidRPr="00900ADE">
        <w:t>d</w:t>
      </w:r>
      <w:r w:rsidRPr="00900ADE">
        <w:t xml:space="preserve">irector of </w:t>
      </w:r>
      <w:r w:rsidR="00B31839" w:rsidRPr="00900ADE">
        <w:t>f</w:t>
      </w:r>
      <w:r w:rsidRPr="00900ADE">
        <w:t xml:space="preserve">inance and </w:t>
      </w:r>
      <w:r w:rsidR="00B31839" w:rsidRPr="00900ADE">
        <w:t>o</w:t>
      </w:r>
      <w:r w:rsidRPr="00900ADE">
        <w:t xml:space="preserve">perations include </w:t>
      </w:r>
      <w:r w:rsidRPr="00900ADE">
        <w:lastRenderedPageBreak/>
        <w:t xml:space="preserve">an assistant business manager, a payroll coordinator, and an assistant </w:t>
      </w:r>
      <w:r w:rsidR="00B31839" w:rsidRPr="00900ADE">
        <w:t xml:space="preserve">who </w:t>
      </w:r>
      <w:r w:rsidRPr="00900ADE">
        <w:t xml:space="preserve">supports the </w:t>
      </w:r>
      <w:r w:rsidR="00B31839" w:rsidRPr="00900ADE">
        <w:t>b</w:t>
      </w:r>
      <w:r w:rsidRPr="00900ADE">
        <w:t xml:space="preserve">usiness </w:t>
      </w:r>
      <w:r w:rsidR="00B31839" w:rsidRPr="00900ADE">
        <w:t>o</w:t>
      </w:r>
      <w:r w:rsidRPr="00900ADE">
        <w:t xml:space="preserve">ffice for </w:t>
      </w:r>
      <w:r w:rsidR="00805701" w:rsidRPr="00900ADE">
        <w:t>half</w:t>
      </w:r>
      <w:r w:rsidRPr="00900ADE">
        <w:t xml:space="preserve"> of their time. </w:t>
      </w:r>
      <w:r w:rsidR="00B31839" w:rsidRPr="00900ADE">
        <w:t>Medway</w:t>
      </w:r>
      <w:r w:rsidRPr="00900ADE">
        <w:t xml:space="preserve"> also </w:t>
      </w:r>
      <w:r w:rsidR="00B31839" w:rsidRPr="00900ADE">
        <w:t xml:space="preserve">has </w:t>
      </w:r>
      <w:r w:rsidRPr="00900ADE">
        <w:t>a transportation coordinator and a director of facilities. Food services</w:t>
      </w:r>
      <w:r w:rsidR="002378E3">
        <w:t xml:space="preserve">, </w:t>
      </w:r>
      <w:r w:rsidR="0072034C">
        <w:t>however</w:t>
      </w:r>
      <w:r w:rsidR="002378E3">
        <w:t>,</w:t>
      </w:r>
      <w:r w:rsidRPr="00900ADE">
        <w:t xml:space="preserve"> </w:t>
      </w:r>
      <w:r w:rsidR="001D36CB" w:rsidRPr="00900ADE">
        <w:t>are</w:t>
      </w:r>
      <w:r w:rsidRPr="00900ADE">
        <w:t xml:space="preserve"> contracted out. </w:t>
      </w:r>
    </w:p>
    <w:p w14:paraId="2E6489A5" w14:textId="3C458223" w:rsidR="00950D74" w:rsidRPr="00900ADE" w:rsidRDefault="00950D74" w:rsidP="005C6A8C">
      <w:pPr>
        <w:pStyle w:val="BodyText"/>
      </w:pPr>
      <w:r w:rsidRPr="00900ADE">
        <w:t xml:space="preserve">The </w:t>
      </w:r>
      <w:r w:rsidR="00B31839" w:rsidRPr="00900ADE">
        <w:t>s</w:t>
      </w:r>
      <w:r w:rsidRPr="00900ADE">
        <w:t xml:space="preserve">chool </w:t>
      </w:r>
      <w:r w:rsidR="00B31839" w:rsidRPr="00900ADE">
        <w:t>c</w:t>
      </w:r>
      <w:r w:rsidRPr="00900ADE">
        <w:t xml:space="preserve">ommittee </w:t>
      </w:r>
      <w:r w:rsidR="003A7A8A" w:rsidRPr="00900ADE">
        <w:t xml:space="preserve">facilitated </w:t>
      </w:r>
      <w:r w:rsidRPr="00900ADE">
        <w:t>a multiyear review of all policies</w:t>
      </w:r>
      <w:r w:rsidR="00E34182">
        <w:t>, including financial policies,</w:t>
      </w:r>
      <w:r w:rsidRPr="00900ADE">
        <w:t xml:space="preserve"> </w:t>
      </w:r>
      <w:r w:rsidR="00B31839" w:rsidRPr="00900ADE">
        <w:t>at</w:t>
      </w:r>
      <w:r w:rsidRPr="00900ADE">
        <w:t xml:space="preserve"> Medway, which concluded in May 2021. The</w:t>
      </w:r>
      <w:r w:rsidR="009F0541" w:rsidRPr="00900ADE">
        <w:t xml:space="preserve"> resulting revised and expanded</w:t>
      </w:r>
      <w:r w:rsidRPr="00900ADE">
        <w:t xml:space="preserve"> policy manual includes a comprehensive fiscal management section that details policies covering 16 areas</w:t>
      </w:r>
      <w:r w:rsidR="00B31839" w:rsidRPr="00900ADE">
        <w:t>,</w:t>
      </w:r>
      <w:r w:rsidRPr="00900ADE">
        <w:t xml:space="preserve"> including budget planning, audits, purchasing authority, procurement requirements, and payment procedures. These policies specify compliance with state and federal requirements, establish an internal system of checks and balances, and provide continuity to operations when staffing disruptions arise.</w:t>
      </w:r>
      <w:r w:rsidR="006A5A0B" w:rsidRPr="00900ADE">
        <w:t xml:space="preserve"> </w:t>
      </w:r>
    </w:p>
    <w:p w14:paraId="045ACB74" w14:textId="438E1312" w:rsidR="00950D74" w:rsidRPr="00900ADE" w:rsidRDefault="00950D74" w:rsidP="005C6A8C">
      <w:pPr>
        <w:pStyle w:val="BodyText"/>
      </w:pPr>
      <w:r w:rsidRPr="00900ADE">
        <w:t>The district uses the MUNIS financial management system to monitor and control resources. This system align</w:t>
      </w:r>
      <w:r w:rsidR="00B31839" w:rsidRPr="00900ADE">
        <w:t>s</w:t>
      </w:r>
      <w:r w:rsidRPr="00900ADE">
        <w:t xml:space="preserve"> with the Uniform Massachusetts Accounting System through a long account code that includes the DESE function codes, organizational codes (i.e., department, location, or unit where </w:t>
      </w:r>
      <w:r w:rsidR="00DD755A">
        <w:t xml:space="preserve">the </w:t>
      </w:r>
      <w:r w:rsidRPr="00900ADE">
        <w:t xml:space="preserve">transaction occurred), and object codes (i.e., type of expenditure, revenue source). </w:t>
      </w:r>
    </w:p>
    <w:p w14:paraId="079E5866" w14:textId="5918E763" w:rsidR="00FA0DB6" w:rsidRPr="00900ADE" w:rsidRDefault="00000669" w:rsidP="005C6A8C">
      <w:pPr>
        <w:pStyle w:val="BodyText"/>
        <w:rPr>
          <w:rFonts w:cs="Tahoma (Body CS)"/>
          <w:spacing w:val="-2"/>
        </w:rPr>
      </w:pPr>
      <w:r w:rsidRPr="00900ADE">
        <w:rPr>
          <w:rFonts w:cs="Tahoma (Body CS)"/>
          <w:spacing w:val="-2"/>
        </w:rPr>
        <w:t xml:space="preserve">According to district staff, the process for managing financial records is thorough and involves multiple levels of review to ensure accuracy. Staff also </w:t>
      </w:r>
      <w:r w:rsidR="00CB3E0F" w:rsidRPr="00900ADE">
        <w:rPr>
          <w:rFonts w:cs="Tahoma (Body CS)"/>
          <w:spacing w:val="-2"/>
        </w:rPr>
        <w:t>reported</w:t>
      </w:r>
      <w:r w:rsidRPr="00900ADE">
        <w:rPr>
          <w:rFonts w:cs="Tahoma (Body CS)"/>
          <w:spacing w:val="-2"/>
        </w:rPr>
        <w:t xml:space="preserve"> that they track the budget </w:t>
      </w:r>
      <w:r w:rsidR="0082225E" w:rsidRPr="00900ADE">
        <w:rPr>
          <w:rFonts w:cs="Tahoma (Body CS)"/>
          <w:spacing w:val="-2"/>
        </w:rPr>
        <w:t>consistently throughout the year</w:t>
      </w:r>
      <w:r w:rsidRPr="00900ADE">
        <w:rPr>
          <w:rFonts w:cs="Tahoma (Body CS)"/>
          <w:spacing w:val="-2"/>
        </w:rPr>
        <w:t xml:space="preserve"> and work collaboratively with school and department leaders to improve financial awareness and avoid overspending</w:t>
      </w:r>
      <w:r w:rsidR="008B777D" w:rsidRPr="00900ADE">
        <w:rPr>
          <w:rFonts w:cs="Tahoma (Body CS)"/>
          <w:spacing w:val="-2"/>
        </w:rPr>
        <w:t>, which is a strength of the district</w:t>
      </w:r>
      <w:r w:rsidRPr="00900ADE">
        <w:rPr>
          <w:rFonts w:cs="Tahoma (Body CS)"/>
          <w:spacing w:val="-2"/>
        </w:rPr>
        <w:t xml:space="preserve">. </w:t>
      </w:r>
      <w:r w:rsidR="00842B7A" w:rsidRPr="00900ADE">
        <w:rPr>
          <w:rFonts w:cs="Tahoma (Body CS)"/>
          <w:spacing w:val="-2"/>
        </w:rPr>
        <w:t xml:space="preserve">Tracking includes </w:t>
      </w:r>
      <w:r w:rsidR="00390AB4" w:rsidRPr="00900ADE">
        <w:rPr>
          <w:rFonts w:cs="Tahoma (Body CS)"/>
          <w:spacing w:val="-2"/>
        </w:rPr>
        <w:t xml:space="preserve">the director of finance and operations providing </w:t>
      </w:r>
      <w:r w:rsidR="002533A1" w:rsidRPr="00900ADE">
        <w:rPr>
          <w:rFonts w:cs="Tahoma (Body CS)"/>
          <w:spacing w:val="-2"/>
        </w:rPr>
        <w:t xml:space="preserve">monthly updates </w:t>
      </w:r>
      <w:r w:rsidR="00C616B5" w:rsidRPr="00900ADE">
        <w:rPr>
          <w:rFonts w:cs="Tahoma (Body CS)"/>
          <w:spacing w:val="-2"/>
        </w:rPr>
        <w:t xml:space="preserve">to the school committee. These updates include a memo, with the budget broken into </w:t>
      </w:r>
      <w:r w:rsidR="00336E1C" w:rsidRPr="00900ADE">
        <w:rPr>
          <w:rFonts w:cs="Tahoma (Body CS)"/>
          <w:spacing w:val="-2"/>
        </w:rPr>
        <w:t xml:space="preserve">categories, as well as the director attending meetings to answer questions about </w:t>
      </w:r>
      <w:r w:rsidR="00CB1DB5" w:rsidRPr="00900ADE">
        <w:rPr>
          <w:rFonts w:cs="Tahoma (Body CS)"/>
          <w:spacing w:val="-2"/>
        </w:rPr>
        <w:t xml:space="preserve">the memo and budget tracking. Staff at the district level reported that the school committee and </w:t>
      </w:r>
      <w:r w:rsidR="00B31839" w:rsidRPr="00900ADE">
        <w:rPr>
          <w:rFonts w:cs="Tahoma (Body CS)"/>
          <w:spacing w:val="-2"/>
        </w:rPr>
        <w:t xml:space="preserve">the </w:t>
      </w:r>
      <w:r w:rsidR="00CB1DB5" w:rsidRPr="00900ADE">
        <w:rPr>
          <w:rFonts w:cs="Tahoma (Body CS)"/>
          <w:spacing w:val="-2"/>
        </w:rPr>
        <w:t xml:space="preserve">finance director instituted this process in the past year. </w:t>
      </w:r>
    </w:p>
    <w:p w14:paraId="2005D282" w14:textId="4C00FAED" w:rsidR="00000669" w:rsidRPr="00900ADE" w:rsidRDefault="000B7DF1" w:rsidP="005C6A8C">
      <w:pPr>
        <w:pStyle w:val="BodyText"/>
      </w:pPr>
      <w:r>
        <w:t>D</w:t>
      </w:r>
      <w:r w:rsidR="00000669" w:rsidRPr="00900ADE">
        <w:t xml:space="preserve">istrict staff did not specify </w:t>
      </w:r>
      <w:r>
        <w:t>a</w:t>
      </w:r>
      <w:r w:rsidRPr="00900ADE">
        <w:t xml:space="preserve"> </w:t>
      </w:r>
      <w:r w:rsidR="00000669" w:rsidRPr="00900ADE">
        <w:t>system for preserving, categorizing, or destroying financial documents</w:t>
      </w:r>
      <w:r w:rsidR="0080714F">
        <w:t xml:space="preserve">. Central office staff </w:t>
      </w:r>
      <w:r w:rsidR="00000669" w:rsidRPr="00900ADE">
        <w:t>did convey a sense of confidence in the district</w:t>
      </w:r>
      <w:r w:rsidR="004C09C2" w:rsidRPr="00900ADE">
        <w:t>’</w:t>
      </w:r>
      <w:r w:rsidR="00000669" w:rsidRPr="00900ADE">
        <w:t>s financial management and a commitment to responsible budgeting</w:t>
      </w:r>
      <w:r w:rsidR="0080714F">
        <w:t xml:space="preserve">, citing processes such as </w:t>
      </w:r>
      <w:r w:rsidR="00287A2F">
        <w:t xml:space="preserve">regular updates </w:t>
      </w:r>
      <w:r w:rsidR="00DB471A">
        <w:t>and reconciliations and the number of staff involved in tracking and approving regular expenses</w:t>
      </w:r>
      <w:r w:rsidR="00000669" w:rsidRPr="00900ADE">
        <w:t>.</w:t>
      </w:r>
      <w:r w:rsidR="00947C4B" w:rsidRPr="00900ADE">
        <w:t xml:space="preserve"> Multiple staff</w:t>
      </w:r>
      <w:r w:rsidR="00AB3B32" w:rsidRPr="00900ADE">
        <w:t>,</w:t>
      </w:r>
      <w:r w:rsidR="00947C4B" w:rsidRPr="00900ADE">
        <w:t xml:space="preserve"> </w:t>
      </w:r>
      <w:r w:rsidR="00AB3B32" w:rsidRPr="00900ADE">
        <w:t>including the assistant shared between finance and human resources</w:t>
      </w:r>
      <w:r w:rsidR="004C09C2" w:rsidRPr="00900ADE">
        <w:t>,</w:t>
      </w:r>
      <w:r w:rsidR="00AB3B32" w:rsidRPr="00900ADE">
        <w:t xml:space="preserve"> as well as the director of finance and operations, </w:t>
      </w:r>
      <w:r w:rsidR="004C09C2" w:rsidRPr="00900ADE">
        <w:t>participate</w:t>
      </w:r>
      <w:r w:rsidR="00947C4B" w:rsidRPr="00900ADE">
        <w:t xml:space="preserve"> in the </w:t>
      </w:r>
      <w:r w:rsidR="00AB3B32" w:rsidRPr="00900ADE">
        <w:t xml:space="preserve">invoice approval </w:t>
      </w:r>
      <w:r w:rsidR="00947C4B" w:rsidRPr="00900ADE">
        <w:t>process and assembl</w:t>
      </w:r>
      <w:r w:rsidR="004C09C2" w:rsidRPr="00900ADE">
        <w:t>e</w:t>
      </w:r>
      <w:r w:rsidR="00947C4B" w:rsidRPr="00900ADE">
        <w:t xml:space="preserve"> related costs into regular warrants for the school committee. </w:t>
      </w:r>
      <w:r w:rsidR="00AB3B32" w:rsidRPr="00900ADE">
        <w:t>Following the internal processes</w:t>
      </w:r>
      <w:r w:rsidR="004C09C2" w:rsidRPr="00900ADE">
        <w:t>,</w:t>
      </w:r>
      <w:r w:rsidR="00AB3B32" w:rsidRPr="00900ADE">
        <w:t xml:space="preserve"> staff</w:t>
      </w:r>
      <w:r w:rsidR="00C64FC0" w:rsidRPr="00900ADE">
        <w:t xml:space="preserve"> </w:t>
      </w:r>
      <w:r w:rsidR="004C09C2" w:rsidRPr="00900ADE">
        <w:t xml:space="preserve">present the budget </w:t>
      </w:r>
      <w:r w:rsidR="00C64FC0" w:rsidRPr="00900ADE">
        <w:t xml:space="preserve">to the school committee for approval. </w:t>
      </w:r>
      <w:r w:rsidR="00CB1DB5" w:rsidRPr="00900ADE">
        <w:t>According to district leaders, the business manager and an administrative assistant handle all accounts payable, including scanning invoices for the school committee to review, securing approval for payment from district staff and the school committee, and paying approved bills</w:t>
      </w:r>
      <w:r w:rsidR="008116B4" w:rsidRPr="00900ADE">
        <w:t xml:space="preserve">. </w:t>
      </w:r>
    </w:p>
    <w:p w14:paraId="1A379986" w14:textId="081E6010" w:rsidR="00000669" w:rsidRPr="00900ADE" w:rsidRDefault="00000669" w:rsidP="005C6A8C">
      <w:pPr>
        <w:pStyle w:val="BodyText"/>
      </w:pPr>
      <w:r w:rsidRPr="00900ADE">
        <w:t xml:space="preserve">According to district staff and town officials, the district and town agree on the process and timeline for incorporating the school committee’s budgeting process into the municipality’s budgeting process, as well as the roles, responsibilities, and costs assumed by each party. </w:t>
      </w:r>
      <w:r w:rsidR="004C09C2" w:rsidRPr="00900ADE">
        <w:t xml:space="preserve">Although </w:t>
      </w:r>
      <w:r w:rsidRPr="00900ADE">
        <w:t xml:space="preserve">there is no formal agreement available on the </w:t>
      </w:r>
      <w:r w:rsidR="00CD358C" w:rsidRPr="00900ADE">
        <w:t>district’s</w:t>
      </w:r>
      <w:r w:rsidRPr="00900ADE">
        <w:t xml:space="preserve"> website, budget presentations </w:t>
      </w:r>
      <w:r w:rsidR="004C09C2" w:rsidRPr="00900ADE">
        <w:t xml:space="preserve">do </w:t>
      </w:r>
      <w:r w:rsidRPr="00900ADE">
        <w:t xml:space="preserve">publicize the budget timeline, including school committee and town meetings </w:t>
      </w:r>
      <w:r w:rsidR="004C09C2" w:rsidRPr="00900ADE">
        <w:t xml:space="preserve">during which </w:t>
      </w:r>
      <w:r w:rsidRPr="00900ADE">
        <w:t>budget approvals take place.</w:t>
      </w:r>
    </w:p>
    <w:p w14:paraId="7720F9F6" w14:textId="6CDAB6BC" w:rsidR="00C8444D" w:rsidRPr="00900ADE" w:rsidRDefault="00000669" w:rsidP="005C6A8C">
      <w:pPr>
        <w:pStyle w:val="BodyText"/>
      </w:pPr>
      <w:r w:rsidRPr="00900ADE">
        <w:t xml:space="preserve">District staff and town officials describe their </w:t>
      </w:r>
      <w:r w:rsidR="002E02F2" w:rsidRPr="00900ADE">
        <w:t>professional</w:t>
      </w:r>
      <w:r w:rsidRPr="00900ADE">
        <w:t xml:space="preserve"> working relationship</w:t>
      </w:r>
      <w:r w:rsidR="00607FEC" w:rsidRPr="00900ADE">
        <w:t xml:space="preserve"> </w:t>
      </w:r>
      <w:r w:rsidR="004C09C2" w:rsidRPr="00900ADE">
        <w:t xml:space="preserve">related to </w:t>
      </w:r>
      <w:r w:rsidR="00607FEC" w:rsidRPr="00900ADE">
        <w:t>fiscal planning and shared services</w:t>
      </w:r>
      <w:r w:rsidR="004C09C2" w:rsidRPr="00900ADE">
        <w:t xml:space="preserve"> as strong</w:t>
      </w:r>
      <w:r w:rsidR="002E02F2" w:rsidRPr="00900ADE">
        <w:t>, which is a strength</w:t>
      </w:r>
      <w:r w:rsidR="00390AB4" w:rsidRPr="00900ADE">
        <w:t>.</w:t>
      </w:r>
      <w:r w:rsidR="00B879C9" w:rsidRPr="00900ADE">
        <w:t xml:space="preserve"> </w:t>
      </w:r>
      <w:r w:rsidRPr="00900ADE">
        <w:t>A district leader shared, “We</w:t>
      </w:r>
      <w:r w:rsidR="004C09C2" w:rsidRPr="00900ADE">
        <w:t>’</w:t>
      </w:r>
      <w:r w:rsidRPr="00900ADE">
        <w:t xml:space="preserve">ve been blessed here with an excellent relationship with the municipality. The finance director is top notch in </w:t>
      </w:r>
      <w:r w:rsidRPr="00900ADE">
        <w:lastRenderedPageBreak/>
        <w:t>the town, and we work well together.” The leader went on to say, “There are functions that the district relies on the town for, but the town manager is very responsive. It</w:t>
      </w:r>
      <w:r w:rsidR="004C09C2" w:rsidRPr="00900ADE">
        <w:t>’</w:t>
      </w:r>
      <w:r w:rsidRPr="00900ADE">
        <w:t xml:space="preserve">s very collaborative and </w:t>
      </w:r>
      <w:r w:rsidR="004C09C2" w:rsidRPr="00900ADE">
        <w:t xml:space="preserve">[a] </w:t>
      </w:r>
      <w:r w:rsidRPr="00900ADE">
        <w:t>positive relationship</w:t>
      </w:r>
      <w:r w:rsidR="00162A86" w:rsidRPr="00900ADE">
        <w:t xml:space="preserve"> [between the two departments]</w:t>
      </w:r>
      <w:r w:rsidRPr="00900ADE">
        <w:t>.” Another district staff member described a positive relationship between the district and the municipality’s Department of Public Works (DPW), explaining, “I</w:t>
      </w:r>
      <w:r w:rsidR="004C09C2" w:rsidRPr="00900ADE">
        <w:t>’</w:t>
      </w:r>
      <w:r w:rsidRPr="00900ADE">
        <w:t>m in constant contact with them. We meet weekly. It</w:t>
      </w:r>
      <w:r w:rsidR="004C09C2" w:rsidRPr="00900ADE">
        <w:t>’</w:t>
      </w:r>
      <w:r w:rsidRPr="00900ADE">
        <w:t xml:space="preserve">s a good relationship.” District staff also mentioned </w:t>
      </w:r>
      <w:r w:rsidR="00AD5E0E" w:rsidRPr="00900ADE">
        <w:t>effective collaboration</w:t>
      </w:r>
      <w:r w:rsidRPr="00900ADE">
        <w:t xml:space="preserve"> with the </w:t>
      </w:r>
      <w:r w:rsidR="004C09C2" w:rsidRPr="00900ADE">
        <w:t>p</w:t>
      </w:r>
      <w:r w:rsidRPr="00900ADE">
        <w:t xml:space="preserve">olice and </w:t>
      </w:r>
      <w:r w:rsidR="004C09C2" w:rsidRPr="00900ADE">
        <w:t>f</w:t>
      </w:r>
      <w:r w:rsidRPr="00900ADE">
        <w:t xml:space="preserve">ire </w:t>
      </w:r>
      <w:r w:rsidR="004C09C2" w:rsidRPr="00900ADE">
        <w:t>d</w:t>
      </w:r>
      <w:r w:rsidRPr="00900ADE">
        <w:t>epartments and the Building Commission.</w:t>
      </w:r>
      <w:r w:rsidR="00AD5E0E" w:rsidRPr="00900ADE">
        <w:t xml:space="preserve"> </w:t>
      </w:r>
      <w:r w:rsidRPr="00900ADE">
        <w:t xml:space="preserve">When asked about the town’s relationship with the school committee and the finance committee, a town official responded that there is “complete trust.” He went on to say, “We have our moments, and I think that just comes from working together for </w:t>
      </w:r>
      <w:r w:rsidR="00D20CDD">
        <w:t>[many]</w:t>
      </w:r>
      <w:r w:rsidRPr="00900ADE">
        <w:t xml:space="preserve"> years. It</w:t>
      </w:r>
      <w:r w:rsidR="004C09C2" w:rsidRPr="00900ADE">
        <w:t>’</w:t>
      </w:r>
      <w:r w:rsidRPr="00900ADE">
        <w:t>s more of like a family type environment where, you know, even families will battle with each other once in a while.”</w:t>
      </w:r>
      <w:r w:rsidR="00413F3A" w:rsidRPr="00900ADE">
        <w:t xml:space="preserve"> </w:t>
      </w:r>
      <w:r w:rsidRPr="00900ADE">
        <w:t xml:space="preserve">A town official pointed out that the town is responsible for identifying revenue sources and providing them to the district. </w:t>
      </w:r>
    </w:p>
    <w:p w14:paraId="1ECCF473" w14:textId="0EF97DD1" w:rsidR="00B827DE" w:rsidRPr="00900ADE" w:rsidRDefault="00041E9B" w:rsidP="00B827DE">
      <w:pPr>
        <w:pStyle w:val="Heading3"/>
      </w:pPr>
      <w:bookmarkStart w:id="71" w:name="_Budgeting_and_Budget"/>
      <w:bookmarkEnd w:id="71"/>
      <w:r w:rsidRPr="00900ADE">
        <w:t>Budgeting and Budget Process</w:t>
      </w:r>
    </w:p>
    <w:p w14:paraId="11D65FCB" w14:textId="224E6600" w:rsidR="00AF7D66" w:rsidRPr="00900ADE" w:rsidRDefault="0081223E" w:rsidP="005C6A8C">
      <w:pPr>
        <w:pStyle w:val="BodyTextposthead"/>
      </w:pPr>
      <w:r w:rsidRPr="00900ADE">
        <w:t xml:space="preserve">According to the Chapter 70 district profile, </w:t>
      </w:r>
      <w:r w:rsidR="00342D94" w:rsidRPr="00900ADE">
        <w:t>Medway</w:t>
      </w:r>
      <w:r w:rsidRPr="00900ADE">
        <w:t xml:space="preserve"> exceed</w:t>
      </w:r>
      <w:r w:rsidR="00E05867">
        <w:t>ed</w:t>
      </w:r>
      <w:r w:rsidRPr="00900ADE">
        <w:t xml:space="preserve"> net school spending requirements for </w:t>
      </w:r>
      <w:r w:rsidR="00342D94" w:rsidRPr="00900ADE">
        <w:t xml:space="preserve">fiscal year 2024 </w:t>
      </w:r>
      <w:r w:rsidRPr="00900ADE">
        <w:t>by 2</w:t>
      </w:r>
      <w:r w:rsidR="00B4729F">
        <w:t>0.5</w:t>
      </w:r>
      <w:r w:rsidR="00342D94" w:rsidRPr="00900ADE">
        <w:t xml:space="preserve"> percent, or </w:t>
      </w:r>
      <w:r w:rsidRPr="00900ADE">
        <w:t>$</w:t>
      </w:r>
      <w:r w:rsidR="00B4729F">
        <w:t>6,180,090</w:t>
      </w:r>
      <w:r w:rsidRPr="00900ADE">
        <w:t xml:space="preserve"> above the required </w:t>
      </w:r>
      <w:r w:rsidR="00342D94" w:rsidRPr="00900ADE">
        <w:t xml:space="preserve">fiscal year 2024 </w:t>
      </w:r>
      <w:r w:rsidRPr="00900ADE">
        <w:t xml:space="preserve">net school spending requirement. </w:t>
      </w:r>
      <w:r w:rsidR="00342D94" w:rsidRPr="00900ADE">
        <w:t>In addition</w:t>
      </w:r>
      <w:r w:rsidRPr="00900ADE">
        <w:t xml:space="preserve">, </w:t>
      </w:r>
      <w:r w:rsidR="00181253">
        <w:t>total</w:t>
      </w:r>
      <w:r w:rsidRPr="00900ADE">
        <w:t xml:space="preserve"> per pupil funding </w:t>
      </w:r>
      <w:r w:rsidR="00C47914" w:rsidRPr="00900ADE">
        <w:t xml:space="preserve">in </w:t>
      </w:r>
      <w:r w:rsidR="00342D94" w:rsidRPr="00900ADE">
        <w:t xml:space="preserve">fiscal year 2023 </w:t>
      </w:r>
      <w:r w:rsidRPr="00900ADE">
        <w:t>was $</w:t>
      </w:r>
      <w:r w:rsidR="008F5797">
        <w:t>21,885</w:t>
      </w:r>
      <w:r w:rsidRPr="00900ADE">
        <w:t xml:space="preserve">, </w:t>
      </w:r>
      <w:r w:rsidR="00342D94" w:rsidRPr="00900ADE">
        <w:t xml:space="preserve">which is </w:t>
      </w:r>
      <w:r w:rsidR="008F5797">
        <w:t>slightly higher</w:t>
      </w:r>
      <w:r w:rsidRPr="00900ADE">
        <w:t xml:space="preserve"> than the state average</w:t>
      </w:r>
      <w:r w:rsidR="69CC9155" w:rsidRPr="00900ADE">
        <w:t xml:space="preserve"> of $21,377</w:t>
      </w:r>
      <w:r w:rsidR="58B1FB49" w:rsidRPr="00900ADE">
        <w:t>.</w:t>
      </w:r>
      <w:r w:rsidRPr="00900ADE">
        <w:t xml:space="preserve"> </w:t>
      </w:r>
    </w:p>
    <w:p w14:paraId="38DBE2F5" w14:textId="3E6076F6" w:rsidR="00380FCD" w:rsidRPr="00900ADE" w:rsidRDefault="0041655E" w:rsidP="005C6A8C">
      <w:pPr>
        <w:pStyle w:val="BodyText"/>
      </w:pPr>
      <w:r w:rsidRPr="00900ADE">
        <w:t>S</w:t>
      </w:r>
      <w:r w:rsidR="009A5EAD" w:rsidRPr="00900ADE">
        <w:t xml:space="preserve">ome </w:t>
      </w:r>
      <w:r w:rsidR="00F73D0C" w:rsidRPr="00900ADE">
        <w:t xml:space="preserve">district leaders and </w:t>
      </w:r>
      <w:r w:rsidR="0081223E" w:rsidRPr="00900ADE">
        <w:t>teachers</w:t>
      </w:r>
      <w:r w:rsidRPr="00900ADE">
        <w:t xml:space="preserve"> feel that</w:t>
      </w:r>
      <w:r w:rsidR="0081223E" w:rsidRPr="00900ADE">
        <w:t xml:space="preserve"> the district’s budget does not p</w:t>
      </w:r>
      <w:r w:rsidR="00A42347" w:rsidRPr="00900ADE">
        <w:t>rovide</w:t>
      </w:r>
      <w:r w:rsidR="0081223E" w:rsidRPr="00900ADE">
        <w:t xml:space="preserve"> </w:t>
      </w:r>
      <w:r w:rsidR="00CD26A8" w:rsidRPr="00900ADE">
        <w:t>adequate</w:t>
      </w:r>
      <w:r w:rsidR="0081223E" w:rsidRPr="00900ADE">
        <w:t xml:space="preserve"> levels of funding for key instructional resources. </w:t>
      </w:r>
      <w:r w:rsidR="00FD12E3" w:rsidRPr="00900ADE">
        <w:t>For example, one</w:t>
      </w:r>
      <w:r w:rsidR="00F73D0C" w:rsidRPr="00900ADE">
        <w:t xml:space="preserve"> district leader </w:t>
      </w:r>
      <w:r w:rsidR="001658F6" w:rsidRPr="00900ADE">
        <w:t>spoke of having to cut positions</w:t>
      </w:r>
      <w:r w:rsidR="00CF0F66" w:rsidRPr="00900ADE">
        <w:t xml:space="preserve">, particularly between </w:t>
      </w:r>
      <w:r w:rsidR="00342D94" w:rsidRPr="00900ADE">
        <w:t xml:space="preserve">fiscal years 2023 </w:t>
      </w:r>
      <w:r w:rsidR="00CF0F66" w:rsidRPr="00900ADE">
        <w:t xml:space="preserve">and </w:t>
      </w:r>
      <w:r w:rsidR="00342D94" w:rsidRPr="00900ADE">
        <w:t>2024</w:t>
      </w:r>
      <w:r w:rsidR="001658F6" w:rsidRPr="00900ADE">
        <w:t>. They said, “</w:t>
      </w:r>
      <w:r w:rsidR="007B706E" w:rsidRPr="00900ADE">
        <w:t>I think we have done that in a smart way without deep impacts to student experience</w:t>
      </w:r>
      <w:r w:rsidR="00FD12E3" w:rsidRPr="00900ADE">
        <w:t>,</w:t>
      </w:r>
      <w:r w:rsidR="007B706E" w:rsidRPr="00900ADE">
        <w:t>”</w:t>
      </w:r>
      <w:r w:rsidR="00FD12E3" w:rsidRPr="00900ADE">
        <w:t xml:space="preserve"> </w:t>
      </w:r>
      <w:r w:rsidR="0011226B" w:rsidRPr="00900ADE">
        <w:t>b</w:t>
      </w:r>
      <w:r w:rsidR="00FD12E3" w:rsidRPr="00900ADE">
        <w:t xml:space="preserve">ut nonetheless described </w:t>
      </w:r>
      <w:r w:rsidR="001F1853" w:rsidRPr="00900ADE">
        <w:t>removing 14 staff from a district of this size as a difficult process</w:t>
      </w:r>
      <w:r w:rsidR="00FD12E3" w:rsidRPr="00900ADE">
        <w:t>.</w:t>
      </w:r>
      <w:r w:rsidR="007B706E" w:rsidRPr="00900ADE">
        <w:t xml:space="preserve"> </w:t>
      </w:r>
      <w:r w:rsidR="000072E2" w:rsidRPr="00900ADE">
        <w:t>Teachers seemed to feel the cuts more strongly</w:t>
      </w:r>
      <w:r w:rsidR="00F4756B" w:rsidRPr="00900ADE">
        <w:t xml:space="preserve">, and several </w:t>
      </w:r>
      <w:r w:rsidR="00342D94" w:rsidRPr="00900ADE">
        <w:t xml:space="preserve">teachers </w:t>
      </w:r>
      <w:r w:rsidR="00F4756B" w:rsidRPr="00900ADE">
        <w:t xml:space="preserve">reported the perception that cuts </w:t>
      </w:r>
      <w:r w:rsidR="00342D94" w:rsidRPr="00900ADE">
        <w:t>occurred in</w:t>
      </w:r>
      <w:r w:rsidR="00F4756B" w:rsidRPr="00900ADE">
        <w:t xml:space="preserve"> teaching positions</w:t>
      </w:r>
      <w:r w:rsidR="00342D94" w:rsidRPr="00900ADE">
        <w:t>,</w:t>
      </w:r>
      <w:r w:rsidR="00F4756B" w:rsidRPr="00900ADE">
        <w:t xml:space="preserve"> </w:t>
      </w:r>
      <w:r w:rsidR="00342D94" w:rsidRPr="00900ADE">
        <w:t xml:space="preserve">whereas </w:t>
      </w:r>
      <w:r w:rsidR="00F4756B" w:rsidRPr="00900ADE">
        <w:t>central office staffing gr</w:t>
      </w:r>
      <w:r w:rsidR="00342D94" w:rsidRPr="00900ADE">
        <w:t>e</w:t>
      </w:r>
      <w:r w:rsidR="00F4756B" w:rsidRPr="00900ADE">
        <w:t>w</w:t>
      </w:r>
      <w:r w:rsidR="000072E2" w:rsidRPr="00900ADE">
        <w:t xml:space="preserve">. </w:t>
      </w:r>
      <w:r w:rsidR="0081223E" w:rsidRPr="00900ADE">
        <w:t xml:space="preserve">A </w:t>
      </w:r>
      <w:r w:rsidR="00114592" w:rsidRPr="00900ADE">
        <w:t>teacher</w:t>
      </w:r>
      <w:r w:rsidR="0081223E" w:rsidRPr="00900ADE">
        <w:t xml:space="preserve"> shared </w:t>
      </w:r>
      <w:r w:rsidR="00114592" w:rsidRPr="00900ADE">
        <w:t>their</w:t>
      </w:r>
      <w:r w:rsidR="0081223E" w:rsidRPr="00900ADE">
        <w:t xml:space="preserve"> belief that the district</w:t>
      </w:r>
      <w:r w:rsidR="00342D94" w:rsidRPr="00900ADE">
        <w:t>’</w:t>
      </w:r>
      <w:r w:rsidR="0081223E" w:rsidRPr="00900ADE">
        <w:t>s budget too heavily focuse</w:t>
      </w:r>
      <w:r w:rsidR="00342D94" w:rsidRPr="00900ADE">
        <w:t>s</w:t>
      </w:r>
      <w:r w:rsidR="0081223E" w:rsidRPr="00900ADE">
        <w:t xml:space="preserve"> on administrative and central office staff, </w:t>
      </w:r>
      <w:r w:rsidR="6FEDF076" w:rsidRPr="00900ADE">
        <w:t xml:space="preserve">arguing </w:t>
      </w:r>
      <w:r w:rsidR="0081223E" w:rsidRPr="00900ADE">
        <w:t xml:space="preserve">that </w:t>
      </w:r>
      <w:r w:rsidR="008B3F10" w:rsidRPr="00900ADE">
        <w:t>ma</w:t>
      </w:r>
      <w:r w:rsidR="00A105AE" w:rsidRPr="00900ADE">
        <w:t>n</w:t>
      </w:r>
      <w:r w:rsidR="008B3F10" w:rsidRPr="00900ADE">
        <w:t xml:space="preserve">y teachers perceive that </w:t>
      </w:r>
      <w:r w:rsidR="00A105AE" w:rsidRPr="00900ADE">
        <w:t xml:space="preserve">the number of staff in the central office has increased significantly </w:t>
      </w:r>
      <w:r w:rsidR="00342D94" w:rsidRPr="00900ADE">
        <w:t xml:space="preserve">during </w:t>
      </w:r>
      <w:r w:rsidR="0081223E" w:rsidRPr="00900ADE">
        <w:t xml:space="preserve">the past </w:t>
      </w:r>
      <w:r w:rsidR="008B3F10" w:rsidRPr="00900ADE">
        <w:t>severa</w:t>
      </w:r>
      <w:r w:rsidR="00CF527B" w:rsidRPr="00900ADE">
        <w:t>l</w:t>
      </w:r>
      <w:r w:rsidR="008B3F10" w:rsidRPr="00900ADE">
        <w:t xml:space="preserve"> </w:t>
      </w:r>
      <w:r w:rsidR="0081223E" w:rsidRPr="00900ADE">
        <w:t>years</w:t>
      </w:r>
      <w:r w:rsidR="00F6036E" w:rsidRPr="00900ADE">
        <w:t xml:space="preserve">, </w:t>
      </w:r>
      <w:r w:rsidR="00342D94" w:rsidRPr="00900ADE">
        <w:t xml:space="preserve">whereas </w:t>
      </w:r>
      <w:r w:rsidR="00CF527B" w:rsidRPr="00900ADE">
        <w:t>support for school-level staff</w:t>
      </w:r>
      <w:r w:rsidR="00F6036E" w:rsidRPr="00900ADE">
        <w:t xml:space="preserve"> has decreased</w:t>
      </w:r>
      <w:r w:rsidR="0081223E" w:rsidRPr="00900ADE">
        <w:t>. Another teacher shared, “We</w:t>
      </w:r>
      <w:r w:rsidR="00342D94" w:rsidRPr="00900ADE">
        <w:t>’</w:t>
      </w:r>
      <w:r w:rsidR="0081223E" w:rsidRPr="00900ADE">
        <w:t>re fighting to get tissues and pencils in our classroom. And</w:t>
      </w:r>
      <w:r w:rsidR="00342D94" w:rsidRPr="00900ADE">
        <w:t>,</w:t>
      </w:r>
      <w:r w:rsidR="0081223E" w:rsidRPr="00900ADE">
        <w:t xml:space="preserve"> teachers, we need help. But we</w:t>
      </w:r>
      <w:r w:rsidR="00342D94" w:rsidRPr="00900ADE">
        <w:t>’</w:t>
      </w:r>
      <w:r w:rsidR="0081223E" w:rsidRPr="00900ADE">
        <w:t>re funding central office staff.”</w:t>
      </w:r>
      <w:r w:rsidR="00246AA4" w:rsidRPr="00900ADE">
        <w:t xml:space="preserve"> </w:t>
      </w:r>
    </w:p>
    <w:p w14:paraId="16850A55" w14:textId="5CA72718" w:rsidR="00246AA4" w:rsidRPr="00900ADE" w:rsidRDefault="00773D77" w:rsidP="005C6A8C">
      <w:pPr>
        <w:pStyle w:val="BodyText"/>
      </w:pPr>
      <w:r w:rsidRPr="00900ADE">
        <w:t>Despite these perceptions, a</w:t>
      </w:r>
      <w:r w:rsidR="00246AA4" w:rsidRPr="00900ADE">
        <w:t xml:space="preserve"> review of the district’s budget books from </w:t>
      </w:r>
      <w:r w:rsidR="00342D94" w:rsidRPr="00900ADE">
        <w:t xml:space="preserve">fiscal years 2020 </w:t>
      </w:r>
      <w:r w:rsidR="00246AA4" w:rsidRPr="00900ADE">
        <w:t xml:space="preserve">through </w:t>
      </w:r>
      <w:r w:rsidR="00342D94" w:rsidRPr="00900ADE">
        <w:t>2025</w:t>
      </w:r>
      <w:r w:rsidR="00246AA4" w:rsidRPr="00900ADE">
        <w:t>, which include staffing levels</w:t>
      </w:r>
      <w:r w:rsidR="00D55B86" w:rsidRPr="00900ADE">
        <w:t xml:space="preserve"> going back to </w:t>
      </w:r>
      <w:r w:rsidR="00342D94" w:rsidRPr="00900ADE">
        <w:t>fiscal year 2015</w:t>
      </w:r>
      <w:r w:rsidR="00D55B86" w:rsidRPr="00900ADE">
        <w:t>, indicate that central office staffing levels have been relatively stable</w:t>
      </w:r>
      <w:r w:rsidR="00073CAB" w:rsidRPr="00900ADE">
        <w:t xml:space="preserve">. </w:t>
      </w:r>
      <w:r w:rsidR="00AF298D" w:rsidRPr="00900ADE">
        <w:t xml:space="preserve">At the central office, there </w:t>
      </w:r>
      <w:r w:rsidR="00342D94" w:rsidRPr="00900ADE">
        <w:t xml:space="preserve">was </w:t>
      </w:r>
      <w:r w:rsidR="00AF298D" w:rsidRPr="00900ADE">
        <w:t xml:space="preserve">no change in the </w:t>
      </w:r>
      <w:r w:rsidR="00B112F5" w:rsidRPr="00900ADE">
        <w:t xml:space="preserve">last five years in the </w:t>
      </w:r>
      <w:r w:rsidR="00AF298D" w:rsidRPr="00900ADE">
        <w:t xml:space="preserve">number of staff in the office of the superintendent, the business office, </w:t>
      </w:r>
      <w:r w:rsidR="003C780E" w:rsidRPr="00900ADE">
        <w:t>or curriculum</w:t>
      </w:r>
      <w:r w:rsidRPr="00900ADE">
        <w:t>, and the number of</w:t>
      </w:r>
      <w:r w:rsidR="003C780E" w:rsidRPr="00900ADE">
        <w:t xml:space="preserve"> central office staff in student services and curriculum program coordination roles</w:t>
      </w:r>
      <w:r w:rsidR="00B112F5" w:rsidRPr="00900ADE">
        <w:t xml:space="preserve"> </w:t>
      </w:r>
      <w:r w:rsidR="00DE1008" w:rsidRPr="00900ADE">
        <w:t xml:space="preserve">during </w:t>
      </w:r>
      <w:r w:rsidR="00200D72" w:rsidRPr="00900ADE">
        <w:t>the time period reviewed</w:t>
      </w:r>
      <w:r w:rsidRPr="00900ADE">
        <w:t xml:space="preserve"> </w:t>
      </w:r>
      <w:r w:rsidR="003D3779" w:rsidRPr="00900ADE">
        <w:t>decreased</w:t>
      </w:r>
      <w:r w:rsidR="00073CAB" w:rsidRPr="00900ADE">
        <w:t xml:space="preserve">. </w:t>
      </w:r>
      <w:r w:rsidR="005412E1" w:rsidRPr="00900ADE">
        <w:t xml:space="preserve">District staff added that they adjusted the responsibilities of some staff </w:t>
      </w:r>
      <w:r w:rsidR="000B7DF1">
        <w:t xml:space="preserve">in finance and operations in recent years </w:t>
      </w:r>
      <w:r w:rsidR="005412E1" w:rsidRPr="00900ADE">
        <w:t xml:space="preserve">and, as a result, feel they are now in a good place with staffing. </w:t>
      </w:r>
      <w:r w:rsidR="000A7E75" w:rsidRPr="00900ADE">
        <w:t xml:space="preserve">In total, there were 306 </w:t>
      </w:r>
      <w:r w:rsidR="003D3779" w:rsidRPr="00900ADE">
        <w:t>positions</w:t>
      </w:r>
      <w:r w:rsidR="000A7E75" w:rsidRPr="00900ADE">
        <w:t xml:space="preserve"> in the district in </w:t>
      </w:r>
      <w:r w:rsidR="00DE1008" w:rsidRPr="00900ADE">
        <w:t xml:space="preserve">fiscal year 2015 </w:t>
      </w:r>
      <w:r w:rsidR="000A7E75" w:rsidRPr="00900ADE">
        <w:t xml:space="preserve">and 317 positions in the budget in </w:t>
      </w:r>
      <w:r w:rsidR="00DE1008" w:rsidRPr="00900ADE">
        <w:t>fiscal year 2025</w:t>
      </w:r>
      <w:r w:rsidR="000A7E75" w:rsidRPr="00900ADE">
        <w:t xml:space="preserve">. In roughly this same time frame, some increase </w:t>
      </w:r>
      <w:r w:rsidR="00DE1008" w:rsidRPr="00900ADE">
        <w:t xml:space="preserve">occurred </w:t>
      </w:r>
      <w:r w:rsidR="000A7E75" w:rsidRPr="00900ADE">
        <w:t xml:space="preserve">in the number of paraprofessionals in the district, </w:t>
      </w:r>
      <w:r w:rsidR="00DE1008" w:rsidRPr="00900ADE">
        <w:t xml:space="preserve">with </w:t>
      </w:r>
      <w:r w:rsidR="000A7E75" w:rsidRPr="00900ADE">
        <w:t>a decrease in the number of teachers, particularly at the high school</w:t>
      </w:r>
      <w:r w:rsidR="00D71031" w:rsidRPr="00900ADE">
        <w:t xml:space="preserve">, from </w:t>
      </w:r>
      <w:r w:rsidR="00DE1008" w:rsidRPr="00900ADE">
        <w:t>slightly more than</w:t>
      </w:r>
      <w:r w:rsidR="00D71031" w:rsidRPr="00900ADE">
        <w:t xml:space="preserve"> 48 </w:t>
      </w:r>
      <w:r w:rsidR="00DE1008" w:rsidRPr="00900ADE">
        <w:t xml:space="preserve">total </w:t>
      </w:r>
      <w:r w:rsidR="00D71031" w:rsidRPr="00900ADE">
        <w:t xml:space="preserve">positions in </w:t>
      </w:r>
      <w:r w:rsidR="00DE1008" w:rsidRPr="00900ADE">
        <w:t xml:space="preserve">fiscal year 2018 </w:t>
      </w:r>
      <w:r w:rsidR="00D71031" w:rsidRPr="00900ADE">
        <w:t xml:space="preserve">to </w:t>
      </w:r>
      <w:r w:rsidR="00C01972" w:rsidRPr="00900ADE">
        <w:t xml:space="preserve">39 </w:t>
      </w:r>
      <w:r w:rsidR="00DE1008" w:rsidRPr="00900ADE">
        <w:t xml:space="preserve">total </w:t>
      </w:r>
      <w:r w:rsidR="00C01972" w:rsidRPr="00900ADE">
        <w:t xml:space="preserve">positions in </w:t>
      </w:r>
      <w:r w:rsidR="00DE1008" w:rsidRPr="00900ADE">
        <w:t>fiscal year 2025</w:t>
      </w:r>
      <w:r w:rsidR="000A7E75" w:rsidRPr="00900ADE">
        <w:t>.</w:t>
      </w:r>
      <w:r w:rsidR="00923D2A" w:rsidRPr="00900ADE">
        <w:t xml:space="preserve"> </w:t>
      </w:r>
      <w:r w:rsidR="00DE1008" w:rsidRPr="00900ADE">
        <w:t xml:space="preserve">During </w:t>
      </w:r>
      <w:r w:rsidR="00923D2A" w:rsidRPr="00900ADE">
        <w:t xml:space="preserve">this same </w:t>
      </w:r>
      <w:r w:rsidR="0013220F">
        <w:t>period</w:t>
      </w:r>
      <w:r w:rsidR="00923D2A" w:rsidRPr="00900ADE">
        <w:t xml:space="preserve">, a review of budget documents indicates roughly the same number of teachers </w:t>
      </w:r>
      <w:r w:rsidR="00F538E3" w:rsidRPr="00900ADE">
        <w:t>at the elementary level,</w:t>
      </w:r>
      <w:r w:rsidR="00C7444C" w:rsidRPr="00900ADE">
        <w:t xml:space="preserve"> two fewer Grade</w:t>
      </w:r>
      <w:r w:rsidR="00DE1008" w:rsidRPr="00900ADE">
        <w:t>s</w:t>
      </w:r>
      <w:r w:rsidR="00C7444C" w:rsidRPr="00900ADE">
        <w:t xml:space="preserve"> 7 and 8 teachers, </w:t>
      </w:r>
      <w:r w:rsidR="00191D17" w:rsidRPr="00900ADE">
        <w:t>a similar number of</w:t>
      </w:r>
      <w:r w:rsidR="00F538E3" w:rsidRPr="00900ADE">
        <w:t xml:space="preserve"> special education teachers,</w:t>
      </w:r>
      <w:r w:rsidR="00191D17" w:rsidRPr="00900ADE">
        <w:t xml:space="preserve"> and an additional E</w:t>
      </w:r>
      <w:r w:rsidR="009106D2" w:rsidRPr="00900ADE">
        <w:t xml:space="preserve">nglish </w:t>
      </w:r>
      <w:r w:rsidR="00191D17" w:rsidRPr="00900ADE">
        <w:lastRenderedPageBreak/>
        <w:t>L</w:t>
      </w:r>
      <w:r w:rsidR="009106D2" w:rsidRPr="00900ADE">
        <w:t>earner</w:t>
      </w:r>
      <w:r w:rsidR="00191D17" w:rsidRPr="00900ADE">
        <w:t xml:space="preserve"> </w:t>
      </w:r>
      <w:r w:rsidR="00FA3D56" w:rsidRPr="00900ADE">
        <w:t xml:space="preserve">teacher. </w:t>
      </w:r>
      <w:r w:rsidR="0083064D">
        <w:t>Additionally, the</w:t>
      </w:r>
      <w:r w:rsidR="0083064D" w:rsidRPr="00900ADE">
        <w:t xml:space="preserve"> </w:t>
      </w:r>
      <w:r w:rsidR="00F92946" w:rsidRPr="00900ADE">
        <w:t xml:space="preserve">average teacher salary </w:t>
      </w:r>
      <w:r w:rsidR="009106D2" w:rsidRPr="00900ADE">
        <w:t xml:space="preserve">in </w:t>
      </w:r>
      <w:r w:rsidR="00DE1008" w:rsidRPr="00900ADE">
        <w:t>fiscal year 2023 wa</w:t>
      </w:r>
      <w:r w:rsidR="009106D2" w:rsidRPr="00900ADE">
        <w:t>s</w:t>
      </w:r>
      <w:r w:rsidR="00F92946" w:rsidRPr="00900ADE">
        <w:t xml:space="preserve"> $94,749, which is higher than the state average of $89,576. </w:t>
      </w:r>
    </w:p>
    <w:p w14:paraId="46D1A442" w14:textId="1393AB1F" w:rsidR="00F67785" w:rsidRPr="00900ADE" w:rsidRDefault="00FA3D56" w:rsidP="005C6A8C">
      <w:pPr>
        <w:pStyle w:val="BodyText"/>
      </w:pPr>
      <w:r w:rsidRPr="00900ADE">
        <w:t xml:space="preserve">Regarding overall staffing and </w:t>
      </w:r>
      <w:r w:rsidR="00DE1008" w:rsidRPr="00900ADE">
        <w:t xml:space="preserve">the </w:t>
      </w:r>
      <w:r w:rsidRPr="00900ADE">
        <w:t xml:space="preserve">budget, </w:t>
      </w:r>
      <w:r w:rsidR="007E36E1" w:rsidRPr="00900ADE" w:rsidDel="00600F64">
        <w:t>d</w:t>
      </w:r>
      <w:r w:rsidR="005B21D7" w:rsidRPr="00900ADE" w:rsidDel="00600F64">
        <w:t xml:space="preserve">istrict leaders voiced concerns about </w:t>
      </w:r>
      <w:r w:rsidR="001C4B0B" w:rsidRPr="00900ADE" w:rsidDel="00600F64">
        <w:t xml:space="preserve">funding </w:t>
      </w:r>
      <w:r w:rsidR="00EF0BC8" w:rsidRPr="00900ADE">
        <w:t xml:space="preserve">levels </w:t>
      </w:r>
      <w:r w:rsidR="001C4B0B" w:rsidRPr="00900ADE" w:rsidDel="00600F64">
        <w:t>for the coming years</w:t>
      </w:r>
      <w:r w:rsidR="00EF0BC8" w:rsidRPr="00900ADE">
        <w:t xml:space="preserve">, and addressing this </w:t>
      </w:r>
      <w:r w:rsidR="009A5EAD" w:rsidRPr="00900ADE">
        <w:t>funding issue is an area for growth</w:t>
      </w:r>
      <w:r w:rsidR="001C4B0B" w:rsidRPr="00900ADE" w:rsidDel="00600F64">
        <w:t xml:space="preserve">. </w:t>
      </w:r>
      <w:r w:rsidR="00805ECB" w:rsidRPr="00900ADE" w:rsidDel="00600F64">
        <w:t>One</w:t>
      </w:r>
      <w:r w:rsidR="00CE277B" w:rsidRPr="00900ADE" w:rsidDel="00600F64">
        <w:t xml:space="preserve"> leader </w:t>
      </w:r>
      <w:r w:rsidR="00094A9B" w:rsidRPr="00900ADE" w:rsidDel="00600F64">
        <w:t>shared, “I do believe that our staffing is anticipated to not meet student needs for next year</w:t>
      </w:r>
      <w:r w:rsidR="008C787B" w:rsidRPr="00900ADE">
        <w:t xml:space="preserve"> . . .</w:t>
      </w:r>
      <w:r w:rsidR="008C787B" w:rsidRPr="00900ADE" w:rsidDel="00600F64">
        <w:t xml:space="preserve"> </w:t>
      </w:r>
      <w:r w:rsidR="005843F6" w:rsidRPr="00900ADE" w:rsidDel="00600F64">
        <w:t>an 8.4</w:t>
      </w:r>
      <w:r w:rsidR="00DE1008" w:rsidRPr="00900ADE">
        <w:t xml:space="preserve"> percent</w:t>
      </w:r>
      <w:r w:rsidR="005843F6" w:rsidRPr="00900ADE" w:rsidDel="00600F64">
        <w:t xml:space="preserve"> increase [in funding] </w:t>
      </w:r>
      <w:r w:rsidR="00461266" w:rsidRPr="00900ADE" w:rsidDel="00600F64">
        <w:t xml:space="preserve">that we are looking for </w:t>
      </w:r>
      <w:proofErr w:type="spellStart"/>
      <w:r w:rsidR="00461266" w:rsidRPr="00900ADE" w:rsidDel="00600F64">
        <w:t>for</w:t>
      </w:r>
      <w:proofErr w:type="spellEnd"/>
      <w:r w:rsidR="00461266" w:rsidRPr="00900ADE" w:rsidDel="00600F64">
        <w:t xml:space="preserve"> next year.”</w:t>
      </w:r>
      <w:r w:rsidR="00805ECB" w:rsidRPr="00900ADE" w:rsidDel="00600F64">
        <w:t xml:space="preserve"> Another district leader </w:t>
      </w:r>
      <w:r w:rsidR="00BB02D6" w:rsidRPr="00900ADE">
        <w:t>echoed this sentiment, saying</w:t>
      </w:r>
      <w:r w:rsidR="00DE1008" w:rsidRPr="00900ADE">
        <w:t>,</w:t>
      </w:r>
      <w:r w:rsidR="00BB02D6" w:rsidRPr="00900ADE">
        <w:t xml:space="preserve"> </w:t>
      </w:r>
      <w:r w:rsidR="0040325B" w:rsidRPr="00900ADE" w:rsidDel="00600F64">
        <w:t>“We’ve been living a little bit on borrowed time</w:t>
      </w:r>
      <w:r w:rsidR="008C787B" w:rsidRPr="00900ADE">
        <w:t>. . . .</w:t>
      </w:r>
      <w:r w:rsidR="008C787B" w:rsidRPr="00900ADE" w:rsidDel="00600F64">
        <w:t xml:space="preserve"> </w:t>
      </w:r>
      <w:r w:rsidR="000B4DEE" w:rsidRPr="00900ADE" w:rsidDel="00600F64">
        <w:t xml:space="preserve">So what makes FY26 </w:t>
      </w:r>
      <w:r w:rsidR="00DE1008" w:rsidRPr="00900ADE">
        <w:t xml:space="preserve">[fiscal year 2026] </w:t>
      </w:r>
      <w:r w:rsidR="000B4DEE" w:rsidRPr="00900ADE" w:rsidDel="00600F64">
        <w:t>really challenging is</w:t>
      </w:r>
      <w:r w:rsidR="00C84AA4" w:rsidRPr="00900ADE" w:rsidDel="00600F64">
        <w:t xml:space="preserve"> the pent</w:t>
      </w:r>
      <w:r w:rsidR="008E0DE6" w:rsidRPr="00900ADE">
        <w:t>-</w:t>
      </w:r>
      <w:r w:rsidR="00C84AA4" w:rsidRPr="00900ADE" w:rsidDel="00600F64">
        <w:t>up structural funding problem that we’ve had.</w:t>
      </w:r>
      <w:r w:rsidR="007E36E1" w:rsidRPr="00900ADE" w:rsidDel="00600F64">
        <w:t>”</w:t>
      </w:r>
      <w:r w:rsidR="002A19BE" w:rsidRPr="00900ADE">
        <w:t xml:space="preserve"> </w:t>
      </w:r>
      <w:r w:rsidR="0084737E" w:rsidRPr="00900ADE">
        <w:t>Interview participants</w:t>
      </w:r>
      <w:r w:rsidR="002A19BE" w:rsidRPr="00900ADE">
        <w:t xml:space="preserve"> described some</w:t>
      </w:r>
      <w:r w:rsidR="0084737E" w:rsidRPr="00900ADE">
        <w:t xml:space="preserve"> challenges </w:t>
      </w:r>
      <w:r w:rsidR="00F67785" w:rsidRPr="00900ADE">
        <w:t xml:space="preserve">between town and district </w:t>
      </w:r>
      <w:r w:rsidR="00DE1008" w:rsidRPr="00900ADE">
        <w:t xml:space="preserve">stakeholders </w:t>
      </w:r>
      <w:r w:rsidR="00F67785" w:rsidRPr="00900ADE">
        <w:t xml:space="preserve">in discussing </w:t>
      </w:r>
      <w:r w:rsidR="00F92946" w:rsidRPr="00900ADE">
        <w:t xml:space="preserve">appropriate levels of budget growth from year to year. Respondents indicated that </w:t>
      </w:r>
      <w:r w:rsidR="00C92AA5" w:rsidRPr="00900ADE">
        <w:t xml:space="preserve">overall enrollment has been steady for the past five years, </w:t>
      </w:r>
      <w:r w:rsidR="00DE1008" w:rsidRPr="00900ADE">
        <w:t xml:space="preserve">but the number of </w:t>
      </w:r>
      <w:r w:rsidR="00C92AA5" w:rsidRPr="00900ADE">
        <w:t xml:space="preserve">students classified as </w:t>
      </w:r>
      <w:r w:rsidR="00556685" w:rsidRPr="00900ADE">
        <w:t>H</w:t>
      </w:r>
      <w:r w:rsidR="00C92AA5" w:rsidRPr="00900ADE">
        <w:t xml:space="preserve">igh </w:t>
      </w:r>
      <w:r w:rsidR="00556685" w:rsidRPr="00900ADE">
        <w:t>N</w:t>
      </w:r>
      <w:r w:rsidR="00C92AA5" w:rsidRPr="00900ADE">
        <w:t xml:space="preserve">eeds </w:t>
      </w:r>
      <w:r w:rsidR="00DE1008" w:rsidRPr="00900ADE">
        <w:t xml:space="preserve">increased </w:t>
      </w:r>
      <w:r w:rsidR="00C92AA5" w:rsidRPr="00900ADE">
        <w:t xml:space="preserve">from </w:t>
      </w:r>
      <w:r w:rsidR="00004547" w:rsidRPr="00900ADE">
        <w:t>25</w:t>
      </w:r>
      <w:r w:rsidR="00DE1008" w:rsidRPr="00900ADE">
        <w:t xml:space="preserve"> percent</w:t>
      </w:r>
      <w:r w:rsidR="00004547" w:rsidRPr="00900ADE">
        <w:t xml:space="preserve"> to 30</w:t>
      </w:r>
      <w:r w:rsidR="00DE1008" w:rsidRPr="00900ADE">
        <w:t xml:space="preserve"> percent</w:t>
      </w:r>
      <w:r w:rsidR="00004547" w:rsidRPr="00900ADE">
        <w:t xml:space="preserve"> in that same </w:t>
      </w:r>
      <w:r w:rsidR="00157156">
        <w:t>period</w:t>
      </w:r>
      <w:r w:rsidR="00004547" w:rsidRPr="00900ADE">
        <w:t xml:space="preserve">. The percentage of students who are </w:t>
      </w:r>
      <w:r w:rsidR="00556685" w:rsidRPr="00900ADE">
        <w:t>English L</w:t>
      </w:r>
      <w:r w:rsidR="00004547" w:rsidRPr="00900ADE">
        <w:t xml:space="preserve">earners </w:t>
      </w:r>
      <w:r w:rsidR="00556685" w:rsidRPr="00900ADE">
        <w:t xml:space="preserve">also </w:t>
      </w:r>
      <w:r w:rsidR="00004547" w:rsidRPr="00900ADE">
        <w:t>increased from 1.4</w:t>
      </w:r>
      <w:r w:rsidR="00DE1008" w:rsidRPr="00900ADE">
        <w:t xml:space="preserve"> percent</w:t>
      </w:r>
      <w:r w:rsidR="00004547" w:rsidRPr="00900ADE">
        <w:t xml:space="preserve"> to </w:t>
      </w:r>
      <w:r w:rsidR="00DE5FF2" w:rsidRPr="00900ADE">
        <w:t>4.4</w:t>
      </w:r>
      <w:r w:rsidR="00DE1008" w:rsidRPr="00900ADE">
        <w:t xml:space="preserve"> percent</w:t>
      </w:r>
      <w:r w:rsidR="00DE5FF2" w:rsidRPr="00900ADE">
        <w:t xml:space="preserve"> in the past five years. </w:t>
      </w:r>
      <w:r w:rsidR="001C5C9E" w:rsidRPr="00900ADE">
        <w:t>District officials stated that they were unsure whether staffing across schools was adequate and if budgetary resources were equitably allocated.</w:t>
      </w:r>
      <w:r w:rsidR="001C5C9E" w:rsidRPr="00900ADE" w:rsidDel="001C5C9E">
        <w:t xml:space="preserve"> </w:t>
      </w:r>
      <w:r w:rsidR="00DE5FF2" w:rsidRPr="00900ADE">
        <w:t xml:space="preserve">Beyond staffing, the district is moving to have more equitable funding across schools, such as considering how to deploy </w:t>
      </w:r>
      <w:r w:rsidR="00C1457B" w:rsidRPr="00900ADE">
        <w:t xml:space="preserve">a </w:t>
      </w:r>
      <w:r w:rsidR="00250D7A" w:rsidRPr="00900ADE">
        <w:t xml:space="preserve">limited </w:t>
      </w:r>
      <w:r w:rsidR="009F04E6">
        <w:t>number of</w:t>
      </w:r>
      <w:r w:rsidR="00992574">
        <w:t xml:space="preserve"> </w:t>
      </w:r>
      <w:r w:rsidR="00250D7A" w:rsidRPr="00900ADE">
        <w:t>E</w:t>
      </w:r>
      <w:r w:rsidR="004A2611" w:rsidRPr="00900ADE">
        <w:t xml:space="preserve">nglish </w:t>
      </w:r>
      <w:r w:rsidR="00250D7A" w:rsidRPr="00900ADE">
        <w:t>L</w:t>
      </w:r>
      <w:r w:rsidR="004A2611" w:rsidRPr="00900ADE">
        <w:t>earner</w:t>
      </w:r>
      <w:r w:rsidR="00250D7A" w:rsidRPr="00900ADE">
        <w:t xml:space="preserve"> specialist</w:t>
      </w:r>
      <w:r w:rsidR="00992574">
        <w:t>s</w:t>
      </w:r>
      <w:r w:rsidR="00DE5FF2" w:rsidRPr="00900ADE">
        <w:t xml:space="preserve">. </w:t>
      </w:r>
    </w:p>
    <w:p w14:paraId="20DF3826" w14:textId="23189137" w:rsidR="00C1457B" w:rsidRPr="00900ADE" w:rsidRDefault="00D21598" w:rsidP="005C6A8C">
      <w:pPr>
        <w:pStyle w:val="BodyText"/>
      </w:pPr>
      <w:r w:rsidRPr="00900ADE">
        <w:t xml:space="preserve">District leaders added that the district budgets for anticipated out-of-district special education placements and related transportation costs. A district leader explained, “The student services department here has made a really good push at trying to meet the needs of more of our students in </w:t>
      </w:r>
      <w:r w:rsidR="00C1457B" w:rsidRPr="00900ADE">
        <w:t xml:space="preserve">[the] </w:t>
      </w:r>
      <w:r w:rsidRPr="00900ADE">
        <w:t>district, which helps because of tuition and also transportation.” Despite these efforts, in the past two years</w:t>
      </w:r>
      <w:r w:rsidR="00C1457B" w:rsidRPr="00900ADE">
        <w:t>,</w:t>
      </w:r>
      <w:r w:rsidRPr="00900ADE">
        <w:t xml:space="preserve"> the out-of-district special education budget</w:t>
      </w:r>
      <w:r w:rsidR="00C1457B" w:rsidRPr="00900ADE">
        <w:t xml:space="preserve"> increased by 20 percent</w:t>
      </w:r>
      <w:r w:rsidRPr="00900ADE">
        <w:t xml:space="preserve">. To be prepared for a continued increase in the special education budget, the district plans for one or two additional students </w:t>
      </w:r>
      <w:r w:rsidR="00264C1B">
        <w:t xml:space="preserve">annually </w:t>
      </w:r>
      <w:r w:rsidRPr="00900ADE">
        <w:t>as a contingency.</w:t>
      </w:r>
      <w:r w:rsidR="002136F2">
        <w:t xml:space="preserve"> </w:t>
      </w:r>
      <w:r w:rsidR="00EF1EDB">
        <w:t xml:space="preserve">Combined with trying to support more students with in-district services, </w:t>
      </w:r>
      <w:r w:rsidR="00B05B09">
        <w:t>the district also accepts non-resident tuition dollars. District staff reported that, since these funds are more difficult to predict</w:t>
      </w:r>
      <w:r w:rsidR="00811272">
        <w:t>—and may decrease if local enrollment increases--</w:t>
      </w:r>
      <w:r w:rsidR="00B05B09">
        <w:t>they attempt to budget these funds for more tempor</w:t>
      </w:r>
      <w:r w:rsidR="008F6219">
        <w:t>ary uses, rather than commit them to lines such as additional teaching positions.</w:t>
      </w:r>
      <w:r w:rsidR="00621397" w:rsidRPr="00900ADE">
        <w:t xml:space="preserve"> </w:t>
      </w:r>
    </w:p>
    <w:p w14:paraId="6247F8E1" w14:textId="4519569E" w:rsidR="0081223E" w:rsidRDefault="0081223E" w:rsidP="005C6A8C">
      <w:pPr>
        <w:pStyle w:val="BodyText"/>
      </w:pPr>
      <w:r w:rsidRPr="00900ADE">
        <w:t xml:space="preserve">District leaders, school-based staff, and school committee members described the budgeting process. Beginning as early as September, district leaders ask </w:t>
      </w:r>
      <w:r w:rsidR="00466937" w:rsidRPr="00900ADE">
        <w:t xml:space="preserve">the </w:t>
      </w:r>
      <w:r w:rsidRPr="00900ADE">
        <w:t>budget manager</w:t>
      </w:r>
      <w:r w:rsidR="0010348A" w:rsidRPr="00900ADE">
        <w:t>,</w:t>
      </w:r>
      <w:r w:rsidR="00E60D8F" w:rsidRPr="00900ADE">
        <w:t xml:space="preserve"> </w:t>
      </w:r>
      <w:r w:rsidR="00C1457B" w:rsidRPr="00900ADE">
        <w:t>all</w:t>
      </w:r>
      <w:r w:rsidRPr="00900ADE">
        <w:t xml:space="preserve"> four principals, </w:t>
      </w:r>
      <w:r w:rsidR="00C1457B" w:rsidRPr="00900ADE">
        <w:t xml:space="preserve">the </w:t>
      </w:r>
      <w:r w:rsidRPr="00900ADE">
        <w:t xml:space="preserve">director of facilities, </w:t>
      </w:r>
      <w:r w:rsidR="00C1457B" w:rsidRPr="00900ADE">
        <w:t xml:space="preserve">the </w:t>
      </w:r>
      <w:r w:rsidRPr="00900ADE">
        <w:t xml:space="preserve">director of special services, </w:t>
      </w:r>
      <w:r w:rsidR="00C1457B" w:rsidRPr="00900ADE">
        <w:t xml:space="preserve">the </w:t>
      </w:r>
      <w:r w:rsidRPr="00900ADE">
        <w:t>director of technology, and the assistant superintendent</w:t>
      </w:r>
      <w:r w:rsidR="00E60D8F" w:rsidRPr="00900ADE">
        <w:t xml:space="preserve"> (</w:t>
      </w:r>
      <w:r w:rsidR="005404A3" w:rsidRPr="00900ADE">
        <w:t>who supports</w:t>
      </w:r>
      <w:r w:rsidRPr="00900ADE">
        <w:t xml:space="preserve"> curriculum and professional development</w:t>
      </w:r>
      <w:r w:rsidR="00E60D8F" w:rsidRPr="00900ADE">
        <w:t>)</w:t>
      </w:r>
      <w:r w:rsidRPr="00900ADE">
        <w:t xml:space="preserve"> to </w:t>
      </w:r>
      <w:r w:rsidR="00E60D8F" w:rsidRPr="00900ADE">
        <w:t xml:space="preserve">complete </w:t>
      </w:r>
      <w:r w:rsidRPr="00900ADE">
        <w:t xml:space="preserve">spreadsheets with their budget requests for the following year. The budget managers work with their teams to create budget projections before Thanksgiving. At the same time, the </w:t>
      </w:r>
      <w:r w:rsidR="00C1457B" w:rsidRPr="00900ADE">
        <w:t>d</w:t>
      </w:r>
      <w:r w:rsidRPr="00900ADE">
        <w:t xml:space="preserve">irector of </w:t>
      </w:r>
      <w:r w:rsidR="00C1457B" w:rsidRPr="00900ADE">
        <w:t>f</w:t>
      </w:r>
      <w:r w:rsidRPr="00900ADE">
        <w:t xml:space="preserve">inance and </w:t>
      </w:r>
      <w:r w:rsidR="00C1457B" w:rsidRPr="00900ADE">
        <w:t>o</w:t>
      </w:r>
      <w:r w:rsidRPr="00900ADE">
        <w:t xml:space="preserve">perations begins to </w:t>
      </w:r>
      <w:r w:rsidR="00820F73" w:rsidRPr="00900ADE">
        <w:t>develop</w:t>
      </w:r>
      <w:r w:rsidRPr="00900ADE">
        <w:t xml:space="preserve"> the budget based on salaries and financial expectations related to enrollment projections, school choice, and special education. </w:t>
      </w:r>
    </w:p>
    <w:p w14:paraId="3B2DA7D3" w14:textId="70F8BC17" w:rsidR="00991DCF" w:rsidRPr="00900ADE" w:rsidRDefault="00991DCF" w:rsidP="00991DCF">
      <w:pPr>
        <w:pStyle w:val="BodyText"/>
      </w:pPr>
      <w:r w:rsidRPr="00900ADE">
        <w:t xml:space="preserve">Student enrollment and needs data also inform annual planning for budgeting and staffing. According to district leaders, the district primarily uses student projected enrollment (actual and New England School Development Council report) and internal projections of student group populations to assess staffing needs across schools. District staff described how they work with the four principals to understand students with unique needs (e.g., </w:t>
      </w:r>
      <w:r w:rsidR="00F67ACE">
        <w:t>S</w:t>
      </w:r>
      <w:r w:rsidRPr="00900ADE">
        <w:t xml:space="preserve">tudents with </w:t>
      </w:r>
      <w:r w:rsidR="00F67ACE">
        <w:t>Disabilities</w:t>
      </w:r>
      <w:r w:rsidRPr="00900ADE">
        <w:t xml:space="preserve">, English </w:t>
      </w:r>
      <w:r w:rsidRPr="00900ADE">
        <w:lastRenderedPageBreak/>
        <w:t>Learners) and schools’ staffing requirements to meet those needs. This use of student enrollment and needs data helps leaders determine their “absolute” and “minimum” needs for staffing. District staff said that if budget cuts are necessary to offset such additions, they have the most accurate understanding of other needs in the district. In addition, district leaders also have gathered staff perspectives in support of</w:t>
      </w:r>
      <w:r w:rsidRPr="00900ADE">
        <w:rPr>
          <w:rFonts w:eastAsia="Aptos Narrow" w:cs="Aptos Narrow"/>
        </w:rPr>
        <w:t xml:space="preserve"> the district’s efforts to diversify its workforce. A leader reported that the district has an equity action plan that focuses on “what it’s like to be an employee here, an employee’s sense of belonging and respect, and those kinds of things.” </w:t>
      </w:r>
    </w:p>
    <w:p w14:paraId="6F92CD9D" w14:textId="43D61980" w:rsidR="3B31F788" w:rsidRDefault="0081223E" w:rsidP="005C6A8C">
      <w:pPr>
        <w:pStyle w:val="BodyText"/>
        <w:rPr>
          <w:rFonts w:cs="Segoe UI"/>
          <w:color w:val="242424"/>
          <w:shd w:val="clear" w:color="auto" w:fill="FAFAFA"/>
        </w:rPr>
      </w:pPr>
      <w:r w:rsidRPr="00900ADE">
        <w:t>From November through February</w:t>
      </w:r>
      <w:r w:rsidR="00C1457B" w:rsidRPr="00900ADE">
        <w:t>,</w:t>
      </w:r>
      <w:r w:rsidRPr="00900ADE">
        <w:t xml:space="preserve"> district leadership reviews budget requests and meets to discuss staffing needs. During this time</w:t>
      </w:r>
      <w:r w:rsidR="00C1457B" w:rsidRPr="00900ADE">
        <w:t>,</w:t>
      </w:r>
      <w:r w:rsidRPr="00900ADE">
        <w:t xml:space="preserve"> the </w:t>
      </w:r>
      <w:r w:rsidR="00C1457B" w:rsidRPr="00900ADE">
        <w:t>s</w:t>
      </w:r>
      <w:r w:rsidRPr="00900ADE">
        <w:t xml:space="preserve">chool </w:t>
      </w:r>
      <w:r w:rsidR="00C1457B" w:rsidRPr="00900ADE">
        <w:t>c</w:t>
      </w:r>
      <w:r w:rsidRPr="00900ADE">
        <w:t>ommittee</w:t>
      </w:r>
      <w:r w:rsidR="00C1457B" w:rsidRPr="00900ADE">
        <w:t>’s</w:t>
      </w:r>
      <w:r w:rsidRPr="00900ADE">
        <w:t xml:space="preserve"> </w:t>
      </w:r>
      <w:r w:rsidR="00C1457B" w:rsidRPr="00900ADE">
        <w:t>b</w:t>
      </w:r>
      <w:r w:rsidRPr="00900ADE">
        <w:t xml:space="preserve">udget </w:t>
      </w:r>
      <w:r w:rsidR="00C1457B" w:rsidRPr="00900ADE">
        <w:t>s</w:t>
      </w:r>
      <w:r w:rsidRPr="00900ADE">
        <w:t xml:space="preserve">ubcommittee meets monthly and </w:t>
      </w:r>
      <w:r w:rsidR="00C1457B" w:rsidRPr="00900ADE">
        <w:t xml:space="preserve">receives </w:t>
      </w:r>
      <w:r w:rsidRPr="00900ADE">
        <w:t xml:space="preserve">budget reports from the district. Also, the district holds virtual listening tours to discuss the budget in all four schools. </w:t>
      </w:r>
      <w:r w:rsidR="007729DE" w:rsidRPr="00900ADE">
        <w:t xml:space="preserve">In addition, </w:t>
      </w:r>
      <w:r w:rsidR="00552439" w:rsidRPr="00900ADE">
        <w:t>in January</w:t>
      </w:r>
      <w:r w:rsidR="00C1457B" w:rsidRPr="00900ADE">
        <w:t>,</w:t>
      </w:r>
      <w:r w:rsidR="00552439" w:rsidRPr="00900ADE">
        <w:t xml:space="preserve"> </w:t>
      </w:r>
      <w:r w:rsidR="007729DE" w:rsidRPr="00900ADE">
        <w:t xml:space="preserve">the district hosts a </w:t>
      </w:r>
      <w:proofErr w:type="spellStart"/>
      <w:r w:rsidR="007729DE" w:rsidRPr="00900ADE">
        <w:t>triboard</w:t>
      </w:r>
      <w:proofErr w:type="spellEnd"/>
      <w:r w:rsidR="007729DE" w:rsidRPr="00900ADE">
        <w:t xml:space="preserve"> meeting</w:t>
      </w:r>
      <w:r w:rsidR="006C76E2" w:rsidRPr="00900ADE">
        <w:t xml:space="preserve"> </w:t>
      </w:r>
      <w:r w:rsidR="00D410D7" w:rsidRPr="00900ADE">
        <w:t xml:space="preserve">with the full </w:t>
      </w:r>
      <w:r w:rsidR="00C15781">
        <w:t>membership</w:t>
      </w:r>
      <w:r w:rsidR="00C15781" w:rsidRPr="00900ADE">
        <w:t xml:space="preserve"> </w:t>
      </w:r>
      <w:r w:rsidR="00D410D7" w:rsidRPr="00900ADE">
        <w:t xml:space="preserve">of the </w:t>
      </w:r>
      <w:r w:rsidR="00FF5356">
        <w:t>s</w:t>
      </w:r>
      <w:r w:rsidR="00D410D7" w:rsidRPr="00900ADE">
        <w:t xml:space="preserve">elect </w:t>
      </w:r>
      <w:r w:rsidR="00FF5356">
        <w:t>b</w:t>
      </w:r>
      <w:r w:rsidR="00D410D7" w:rsidRPr="00900ADE">
        <w:t>oard</w:t>
      </w:r>
      <w:r w:rsidR="00BA076D" w:rsidRPr="00900ADE">
        <w:t>,</w:t>
      </w:r>
      <w:r w:rsidR="00D410D7" w:rsidRPr="00900ADE">
        <w:t xml:space="preserve"> </w:t>
      </w:r>
      <w:r w:rsidR="00BA076D" w:rsidRPr="00900ADE">
        <w:t xml:space="preserve">the </w:t>
      </w:r>
      <w:r w:rsidR="00C1457B" w:rsidRPr="00900ADE">
        <w:t>finance c</w:t>
      </w:r>
      <w:r w:rsidR="00D410D7" w:rsidRPr="00900ADE">
        <w:t>ommittee</w:t>
      </w:r>
      <w:r w:rsidR="00BA076D" w:rsidRPr="00900ADE">
        <w:t>,</w:t>
      </w:r>
      <w:r w:rsidR="00D410D7" w:rsidRPr="00900ADE">
        <w:t xml:space="preserve"> and </w:t>
      </w:r>
      <w:r w:rsidR="00BA076D" w:rsidRPr="00900ADE">
        <w:t xml:space="preserve">the </w:t>
      </w:r>
      <w:r w:rsidR="00C1457B" w:rsidRPr="00900ADE">
        <w:t>s</w:t>
      </w:r>
      <w:r w:rsidR="00D410D7" w:rsidRPr="00900ADE">
        <w:t xml:space="preserve">chool </w:t>
      </w:r>
      <w:r w:rsidR="00C1457B" w:rsidRPr="00900ADE">
        <w:t>c</w:t>
      </w:r>
      <w:r w:rsidR="00D410D7" w:rsidRPr="00900ADE">
        <w:t>ommittee.</w:t>
      </w:r>
      <w:r w:rsidR="000C2E44" w:rsidRPr="00900ADE">
        <w:t xml:space="preserve"> The meeting’s purpose is to share </w:t>
      </w:r>
      <w:r w:rsidR="0090445D" w:rsidRPr="00900ADE">
        <w:t>school department expenditures and needs</w:t>
      </w:r>
      <w:r w:rsidR="00256681" w:rsidRPr="00900ADE">
        <w:t xml:space="preserve"> and answer questions</w:t>
      </w:r>
      <w:r w:rsidR="0D4ACDAF" w:rsidRPr="00900ADE">
        <w:t xml:space="preserve"> from town finance leaders who closely monitor the development of the district’s budget</w:t>
      </w:r>
      <w:r w:rsidR="0090445D" w:rsidRPr="00900ADE">
        <w:t>.</w:t>
      </w:r>
      <w:r w:rsidR="005B2DE1" w:rsidRPr="00900ADE">
        <w:t xml:space="preserve"> </w:t>
      </w:r>
      <w:r w:rsidRPr="00900ADE">
        <w:t xml:space="preserve">After the </w:t>
      </w:r>
      <w:r w:rsidR="004371B5" w:rsidRPr="00900ADE">
        <w:t>s</w:t>
      </w:r>
      <w:r w:rsidRPr="00900ADE">
        <w:t xml:space="preserve">uperintendent and the </w:t>
      </w:r>
      <w:r w:rsidR="004371B5" w:rsidRPr="00900ADE">
        <w:t>s</w:t>
      </w:r>
      <w:r w:rsidRPr="00900ADE">
        <w:t xml:space="preserve">chool </w:t>
      </w:r>
      <w:r w:rsidR="004371B5" w:rsidRPr="00900ADE">
        <w:t>c</w:t>
      </w:r>
      <w:r w:rsidRPr="00900ADE">
        <w:t xml:space="preserve">ommittee meet to review the budget in mid-February, the preliminary budget is presented formally to the </w:t>
      </w:r>
      <w:r w:rsidR="001A3C21" w:rsidRPr="00900ADE">
        <w:t>s</w:t>
      </w:r>
      <w:r w:rsidRPr="00900ADE">
        <w:t xml:space="preserve">chool </w:t>
      </w:r>
      <w:r w:rsidR="001A3C21" w:rsidRPr="00900ADE">
        <w:t>c</w:t>
      </w:r>
      <w:r w:rsidRPr="00900ADE">
        <w:t xml:space="preserve">ommittee at the end of the month. The </w:t>
      </w:r>
      <w:r w:rsidR="001A3C21" w:rsidRPr="00900ADE">
        <w:t>s</w:t>
      </w:r>
      <w:r w:rsidRPr="00900ADE">
        <w:t xml:space="preserve">chool </w:t>
      </w:r>
      <w:r w:rsidR="001A3C21" w:rsidRPr="00900ADE">
        <w:t>c</w:t>
      </w:r>
      <w:r w:rsidRPr="00900ADE">
        <w:t>ommittee holds a public hearing to discuss the budget in mid-March and then votes later in the month. The budget is formally approved by the town in its annual meeting in mid-May. Throughout this process, a budget advisory group consist</w:t>
      </w:r>
      <w:r w:rsidR="00C1457B" w:rsidRPr="00900ADE">
        <w:t>ing</w:t>
      </w:r>
      <w:r w:rsidRPr="00900ADE">
        <w:t xml:space="preserve"> of the superintendent, the director of finance and operations, two members of the finance committee, </w:t>
      </w:r>
      <w:r w:rsidR="009A3795">
        <w:t xml:space="preserve">and </w:t>
      </w:r>
      <w:r w:rsidRPr="00900ADE">
        <w:t xml:space="preserve">two members of the town’s </w:t>
      </w:r>
      <w:r w:rsidR="00C1457B" w:rsidRPr="00900ADE">
        <w:t>S</w:t>
      </w:r>
      <w:r w:rsidRPr="00900ADE">
        <w:t xml:space="preserve">elect </w:t>
      </w:r>
      <w:r w:rsidR="00C1457B" w:rsidRPr="00900ADE">
        <w:t>B</w:t>
      </w:r>
      <w:r w:rsidRPr="00900ADE">
        <w:t>oard provide</w:t>
      </w:r>
      <w:r w:rsidR="009A3795">
        <w:t>s</w:t>
      </w:r>
      <w:r w:rsidRPr="00900ADE">
        <w:t xml:space="preserve"> guidance on the budg</w:t>
      </w:r>
      <w:r w:rsidRPr="005050A3">
        <w:rPr>
          <w:rFonts w:cs="Segoe UI"/>
          <w:color w:val="242424"/>
        </w:rPr>
        <w:t>et.</w:t>
      </w:r>
      <w:r w:rsidR="008E7AB6" w:rsidRPr="005050A3">
        <w:rPr>
          <w:rFonts w:cs="Segoe UI"/>
          <w:color w:val="242424"/>
        </w:rPr>
        <w:t xml:space="preserve"> </w:t>
      </w:r>
      <w:r w:rsidR="006F7AD7" w:rsidRPr="005050A3">
        <w:rPr>
          <w:rFonts w:cs="Segoe UI"/>
          <w:color w:val="242424"/>
        </w:rPr>
        <w:t>The budget development and approval process is well</w:t>
      </w:r>
      <w:r w:rsidR="00C1457B" w:rsidRPr="005050A3">
        <w:rPr>
          <w:rFonts w:cs="Segoe UI"/>
          <w:color w:val="242424"/>
        </w:rPr>
        <w:t xml:space="preserve"> </w:t>
      </w:r>
      <w:r w:rsidR="006F7AD7" w:rsidRPr="005050A3">
        <w:rPr>
          <w:rFonts w:cs="Segoe UI"/>
          <w:color w:val="242424"/>
        </w:rPr>
        <w:t xml:space="preserve">structured, involving multiple stages and </w:t>
      </w:r>
      <w:r w:rsidR="00C1457B" w:rsidRPr="005050A3">
        <w:rPr>
          <w:rFonts w:cs="Segoe UI"/>
          <w:color w:val="242424"/>
        </w:rPr>
        <w:t xml:space="preserve">stakeholder </w:t>
      </w:r>
      <w:r w:rsidR="006F7AD7" w:rsidRPr="005050A3">
        <w:rPr>
          <w:rFonts w:cs="Segoe UI"/>
          <w:color w:val="242424"/>
        </w:rPr>
        <w:t>input</w:t>
      </w:r>
      <w:r w:rsidR="006F7AD7" w:rsidRPr="00371DC4">
        <w:rPr>
          <w:rFonts w:cs="Segoe UI"/>
          <w:color w:val="242424"/>
        </w:rPr>
        <w:t xml:space="preserve">, </w:t>
      </w:r>
      <w:r w:rsidR="00C1457B" w:rsidRPr="00371DC4">
        <w:rPr>
          <w:rFonts w:cs="Segoe UI"/>
          <w:color w:val="242424"/>
        </w:rPr>
        <w:t xml:space="preserve">which is </w:t>
      </w:r>
      <w:r w:rsidR="006F7AD7" w:rsidRPr="00371DC4">
        <w:rPr>
          <w:rFonts w:cs="Segoe UI"/>
          <w:color w:val="242424"/>
        </w:rPr>
        <w:t>a strength of the district</w:t>
      </w:r>
      <w:r w:rsidR="006F7AD7" w:rsidRPr="00371DC4">
        <w:rPr>
          <w:rFonts w:cs="Segoe UI"/>
          <w:color w:val="242424"/>
          <w:shd w:val="clear" w:color="auto" w:fill="FAFAFA"/>
        </w:rPr>
        <w:t>.</w:t>
      </w:r>
      <w:r w:rsidR="006F7AD7" w:rsidRPr="00900ADE">
        <w:rPr>
          <w:rFonts w:cs="Segoe UI"/>
          <w:color w:val="242424"/>
          <w:shd w:val="clear" w:color="auto" w:fill="FAFAFA"/>
        </w:rPr>
        <w:t xml:space="preserve"> </w:t>
      </w:r>
    </w:p>
    <w:p w14:paraId="0007D503" w14:textId="1154BF3D" w:rsidR="005C524F" w:rsidRPr="00900ADE" w:rsidRDefault="0081223E" w:rsidP="00C1457B">
      <w:pPr>
        <w:pStyle w:val="BodyText"/>
      </w:pPr>
      <w:r w:rsidRPr="00900ADE">
        <w:t xml:space="preserve">District leaders and school committee members agree that the review and approval process is timely and culminates in an easily accessible, publicly available budget that documents </w:t>
      </w:r>
      <w:r w:rsidR="008020C7" w:rsidRPr="00900ADE">
        <w:t xml:space="preserve">and </w:t>
      </w:r>
      <w:r w:rsidRPr="00900ADE">
        <w:t>clearly identif</w:t>
      </w:r>
      <w:r w:rsidR="008020C7" w:rsidRPr="00900ADE">
        <w:t xml:space="preserve">ies </w:t>
      </w:r>
      <w:r w:rsidRPr="00900ADE">
        <w:t>funds associated with grants, student activities and organizations, fees, and revolving funds.</w:t>
      </w:r>
      <w:r w:rsidR="008020C7" w:rsidRPr="00900ADE">
        <w:t xml:space="preserve"> </w:t>
      </w:r>
      <w:r w:rsidRPr="00900ADE">
        <w:t xml:space="preserve">However, </w:t>
      </w:r>
      <w:r w:rsidR="00651AAA" w:rsidRPr="00900ADE">
        <w:t>district staff reported that</w:t>
      </w:r>
      <w:r w:rsidRPr="00900ADE">
        <w:t xml:space="preserve"> </w:t>
      </w:r>
      <w:r w:rsidR="007E55AF" w:rsidRPr="00900ADE">
        <w:t xml:space="preserve">the </w:t>
      </w:r>
      <w:r w:rsidRPr="00900ADE">
        <w:t>town</w:t>
      </w:r>
      <w:r w:rsidR="00C1457B" w:rsidRPr="00900ADE">
        <w:t xml:space="preserve"> does not calculate its</w:t>
      </w:r>
      <w:r w:rsidR="007E55AF" w:rsidRPr="00900ADE">
        <w:t xml:space="preserve"> financial</w:t>
      </w:r>
      <w:r w:rsidRPr="00900ADE">
        <w:t xml:space="preserve"> support</w:t>
      </w:r>
      <w:r w:rsidR="007E55AF" w:rsidRPr="00900ADE">
        <w:t xml:space="preserve"> based on district needs but </w:t>
      </w:r>
      <w:r w:rsidR="00C1457B" w:rsidRPr="00900ADE">
        <w:t>rather</w:t>
      </w:r>
      <w:r w:rsidRPr="00900ADE">
        <w:t xml:space="preserve"> by the limited amount of funds available. Historically, the town provides the “number” </w:t>
      </w:r>
      <w:r w:rsidR="00624028">
        <w:t>that it</w:t>
      </w:r>
      <w:r w:rsidR="00624028" w:rsidRPr="00900ADE">
        <w:t xml:space="preserve"> </w:t>
      </w:r>
      <w:r w:rsidRPr="00900ADE">
        <w:t>can contribute to the district. A district leader explained</w:t>
      </w:r>
      <w:r w:rsidR="00C1457B" w:rsidRPr="00900ADE">
        <w:t xml:space="preserve"> as follows:</w:t>
      </w:r>
      <w:r w:rsidRPr="00900ADE">
        <w:t xml:space="preserve"> </w:t>
      </w:r>
    </w:p>
    <w:p w14:paraId="3D059823" w14:textId="4A82B89C" w:rsidR="0081223E" w:rsidRPr="00900ADE" w:rsidRDefault="0081223E" w:rsidP="005C6A8C">
      <w:pPr>
        <w:pStyle w:val="BlockQuote"/>
      </w:pPr>
      <w:r w:rsidRPr="00900ADE">
        <w:t>[</w:t>
      </w:r>
      <w:r w:rsidR="005C524F" w:rsidRPr="00900ADE">
        <w:t>T</w:t>
      </w:r>
      <w:r w:rsidRPr="00900ADE">
        <w:t>own officials] would tell us early on what their contribution would be, and it didn</w:t>
      </w:r>
      <w:r w:rsidR="00A51A07" w:rsidRPr="00900ADE">
        <w:t>’</w:t>
      </w:r>
      <w:r w:rsidRPr="00900ADE">
        <w:t xml:space="preserve">t change, </w:t>
      </w:r>
      <w:r w:rsidR="00C2259A" w:rsidRPr="00900ADE">
        <w:t xml:space="preserve">it </w:t>
      </w:r>
      <w:r w:rsidRPr="00900ADE">
        <w:t>didn</w:t>
      </w:r>
      <w:r w:rsidR="00A51A07" w:rsidRPr="00900ADE">
        <w:t>’</w:t>
      </w:r>
      <w:r w:rsidRPr="00900ADE">
        <w:t xml:space="preserve">t change after that. </w:t>
      </w:r>
      <w:r w:rsidR="00C2259A" w:rsidRPr="00900ADE">
        <w:t>I</w:t>
      </w:r>
      <w:r w:rsidRPr="00900ADE">
        <w:t>n other words, it</w:t>
      </w:r>
      <w:r w:rsidR="00A51A07" w:rsidRPr="00900ADE">
        <w:t>’</w:t>
      </w:r>
      <w:r w:rsidRPr="00900ADE">
        <w:t>s not a conversation of what the needs are to make sure that we continue to provide what we think is the very best education possible. It was really about</w:t>
      </w:r>
      <w:r w:rsidR="001B0F5B" w:rsidRPr="00900ADE">
        <w:t>,</w:t>
      </w:r>
      <w:r w:rsidRPr="00900ADE">
        <w:t xml:space="preserve"> </w:t>
      </w:r>
      <w:r w:rsidR="005C524F" w:rsidRPr="00900ADE">
        <w:t>“</w:t>
      </w:r>
      <w:r w:rsidR="001A48FB" w:rsidRPr="00900ADE">
        <w:t>W</w:t>
      </w:r>
      <w:r w:rsidRPr="00900ADE">
        <w:t>e have X amount of dollars</w:t>
      </w:r>
      <w:r w:rsidR="008C787B" w:rsidRPr="00900ADE">
        <w:t xml:space="preserve">” . . . </w:t>
      </w:r>
      <w:r w:rsidR="00DB4350" w:rsidRPr="00900ADE">
        <w:t>which I</w:t>
      </w:r>
      <w:r w:rsidRPr="00900ADE">
        <w:t xml:space="preserve"> actually think is a bit stifling to </w:t>
      </w:r>
      <w:r w:rsidR="00DB4350" w:rsidRPr="00900ADE">
        <w:t>transparency around what our needs are.</w:t>
      </w:r>
    </w:p>
    <w:p w14:paraId="1AAA4E02" w14:textId="199C3162" w:rsidR="0081223E" w:rsidRPr="00900ADE" w:rsidRDefault="0081223E" w:rsidP="005C6A8C">
      <w:pPr>
        <w:pStyle w:val="BodyText"/>
      </w:pPr>
      <w:r w:rsidRPr="00900ADE">
        <w:t>District leadership discussed the district’s efforts to raise funds through grants</w:t>
      </w:r>
      <w:r w:rsidR="001A48FB" w:rsidRPr="00900ADE">
        <w:t>,</w:t>
      </w:r>
      <w:r w:rsidRPr="00900ADE">
        <w:t xml:space="preserve"> explaining, “Medway really goes for everything</w:t>
      </w:r>
      <w:r w:rsidR="008C787B" w:rsidRPr="00900ADE">
        <w:t xml:space="preserve"> . . . </w:t>
      </w:r>
      <w:r w:rsidRPr="00900ADE">
        <w:t>and they are</w:t>
      </w:r>
      <w:r w:rsidR="001A48FB" w:rsidRPr="00900ADE">
        <w:t>,</w:t>
      </w:r>
      <w:r w:rsidRPr="00900ADE">
        <w:t xml:space="preserve"> I think</w:t>
      </w:r>
      <w:r w:rsidR="001A48FB" w:rsidRPr="00900ADE">
        <w:t>,</w:t>
      </w:r>
      <w:r w:rsidRPr="00900ADE">
        <w:t xml:space="preserve"> incredibly successful.” </w:t>
      </w:r>
      <w:r w:rsidR="00C838CD" w:rsidRPr="00900ADE">
        <w:t xml:space="preserve">Multiple staff characterized the district’s grant activity as </w:t>
      </w:r>
      <w:r w:rsidR="00052094" w:rsidRPr="00900ADE">
        <w:t xml:space="preserve">high compared </w:t>
      </w:r>
      <w:r w:rsidR="001A48FB" w:rsidRPr="00900ADE">
        <w:t xml:space="preserve">with </w:t>
      </w:r>
      <w:r w:rsidR="00052094" w:rsidRPr="00900ADE">
        <w:t xml:space="preserve">other districts. </w:t>
      </w:r>
      <w:r w:rsidRPr="00900ADE">
        <w:t>Budget documents indicate that state and federal grant funding align</w:t>
      </w:r>
      <w:r w:rsidR="001A48FB" w:rsidRPr="00900ADE">
        <w:t>s</w:t>
      </w:r>
      <w:r w:rsidRPr="00900ADE">
        <w:t xml:space="preserve"> with district needs. The business manager monitors grant drawdowns to ensure that grant terms and requirements are followed in a timely manner. The business office </w:t>
      </w:r>
      <w:r w:rsidR="00624028">
        <w:t>is also</w:t>
      </w:r>
      <w:r w:rsidR="001A48FB" w:rsidRPr="00900ADE">
        <w:t xml:space="preserve"> </w:t>
      </w:r>
      <w:r w:rsidRPr="00900ADE">
        <w:t xml:space="preserve">responsible for monitoring contracts and, in recent years, has </w:t>
      </w:r>
      <w:r w:rsidR="00624028">
        <w:t xml:space="preserve">solicited </w:t>
      </w:r>
      <w:r w:rsidR="00456EC3">
        <w:t>new bids for service on</w:t>
      </w:r>
      <w:r w:rsidR="005A529B" w:rsidRPr="00900ADE">
        <w:t xml:space="preserve"> </w:t>
      </w:r>
      <w:r w:rsidR="001A48FB" w:rsidRPr="00900ADE">
        <w:t xml:space="preserve">expired </w:t>
      </w:r>
      <w:r w:rsidRPr="00900ADE">
        <w:t xml:space="preserve">contracts. </w:t>
      </w:r>
    </w:p>
    <w:p w14:paraId="127F6DA8" w14:textId="36A6C4E4" w:rsidR="0081223E" w:rsidRPr="00900ADE" w:rsidRDefault="0081223E" w:rsidP="005C6A8C">
      <w:pPr>
        <w:pStyle w:val="BodyText"/>
      </w:pPr>
      <w:r w:rsidRPr="00900ADE">
        <w:lastRenderedPageBreak/>
        <w:t>District leaders spoke about their efforts to address budget concerns to avoid reductions, especially to staffing. A leader explained</w:t>
      </w:r>
      <w:r w:rsidR="001A48FB" w:rsidRPr="00900ADE">
        <w:t xml:space="preserve"> as follows:</w:t>
      </w:r>
      <w:r w:rsidRPr="00900ADE">
        <w:t xml:space="preserve"> </w:t>
      </w:r>
    </w:p>
    <w:p w14:paraId="0757177C" w14:textId="63F35A66" w:rsidR="0081223E" w:rsidRPr="00900ADE" w:rsidRDefault="0081223E" w:rsidP="005C6A8C">
      <w:pPr>
        <w:pStyle w:val="BlockQuote"/>
      </w:pPr>
      <w:r w:rsidRPr="00900ADE">
        <w:t>I think what we</w:t>
      </w:r>
      <w:r w:rsidR="001A48FB" w:rsidRPr="00900ADE">
        <w:t>’</w:t>
      </w:r>
      <w:r w:rsidRPr="00900ADE">
        <w:t>ve really tried to do is identify opportunities to either grow the pie or to become more efficient. So</w:t>
      </w:r>
      <w:r w:rsidR="004A48D7" w:rsidRPr="00900ADE">
        <w:t>,</w:t>
      </w:r>
      <w:r w:rsidRPr="00900ADE">
        <w:t xml:space="preserve"> things like </w:t>
      </w:r>
      <w:r w:rsidR="008C787B" w:rsidRPr="00900ADE">
        <w:t xml:space="preserve">. . . </w:t>
      </w:r>
      <w:r w:rsidRPr="00900ADE">
        <w:t xml:space="preserve">the purchase of minivans for specialized transportation, </w:t>
      </w:r>
      <w:r w:rsidR="00100946" w:rsidRPr="00900ADE">
        <w:t>. . .</w:t>
      </w:r>
      <w:r w:rsidRPr="00900ADE">
        <w:t xml:space="preserve"> sign electrical contracts working with the town to make sure that we understand what our electrical rates are,</w:t>
      </w:r>
      <w:r w:rsidR="004E3809" w:rsidRPr="00900ADE">
        <w:t xml:space="preserve"> </w:t>
      </w:r>
      <w:r w:rsidR="00100946" w:rsidRPr="00900ADE">
        <w:t>. . .</w:t>
      </w:r>
      <w:r w:rsidRPr="00900ADE">
        <w:t xml:space="preserve"> adding solar panels [to district schools], </w:t>
      </w:r>
      <w:r w:rsidR="00100946" w:rsidRPr="00900ADE">
        <w:t>. . .</w:t>
      </w:r>
      <w:r w:rsidRPr="00900ADE">
        <w:t xml:space="preserve"> looking at internal [special education programs to reduce] out-of-district </w:t>
      </w:r>
      <w:r w:rsidR="00DB696A" w:rsidRPr="00900ADE">
        <w:t>[placements].</w:t>
      </w:r>
    </w:p>
    <w:p w14:paraId="332C9A15" w14:textId="014D4C61" w:rsidR="0081223E" w:rsidRPr="00900ADE" w:rsidRDefault="00C65468" w:rsidP="005C6A8C">
      <w:pPr>
        <w:pStyle w:val="BodyText"/>
      </w:pPr>
      <w:r w:rsidRPr="00900ADE">
        <w:t xml:space="preserve">In the short term </w:t>
      </w:r>
      <w:r w:rsidR="00EB1BFB">
        <w:t>(</w:t>
      </w:r>
      <w:r w:rsidR="001A48FB" w:rsidRPr="00900ADE">
        <w:t>fiscal year 2025</w:t>
      </w:r>
      <w:r w:rsidR="00EB1BFB">
        <w:t>)</w:t>
      </w:r>
      <w:r w:rsidRPr="00900ADE">
        <w:t xml:space="preserve">, </w:t>
      </w:r>
      <w:r w:rsidR="001A48FB" w:rsidRPr="00900ADE">
        <w:t xml:space="preserve">respondents said </w:t>
      </w:r>
      <w:r w:rsidRPr="00900ADE">
        <w:t>the financial state is solid</w:t>
      </w:r>
      <w:r w:rsidR="68A92B3F" w:rsidRPr="00900ADE">
        <w:t>.</w:t>
      </w:r>
      <w:r w:rsidRPr="00900ADE">
        <w:t xml:space="preserve"> </w:t>
      </w:r>
      <w:r w:rsidR="7878A2C2" w:rsidRPr="00900ADE">
        <w:t>Medway</w:t>
      </w:r>
      <w:r w:rsidR="00522EE9" w:rsidRPr="00900ADE">
        <w:t xml:space="preserve"> </w:t>
      </w:r>
      <w:r w:rsidRPr="00900ADE">
        <w:t>addressed unexpected expenses by not spending 100</w:t>
      </w:r>
      <w:r w:rsidR="001A48FB" w:rsidRPr="00900ADE">
        <w:t xml:space="preserve"> percent</w:t>
      </w:r>
      <w:r w:rsidRPr="00900ADE">
        <w:t xml:space="preserve"> of </w:t>
      </w:r>
      <w:r w:rsidR="001A48FB" w:rsidRPr="00900ADE">
        <w:t>the c</w:t>
      </w:r>
      <w:r w:rsidRPr="00900ADE">
        <w:t xml:space="preserve">ircuit </w:t>
      </w:r>
      <w:r w:rsidR="001A48FB" w:rsidRPr="00900ADE">
        <w:t>b</w:t>
      </w:r>
      <w:r w:rsidRPr="00900ADE">
        <w:t xml:space="preserve">reaker funds in the year </w:t>
      </w:r>
      <w:r w:rsidR="001D75E0">
        <w:t xml:space="preserve">the </w:t>
      </w:r>
      <w:r w:rsidRPr="00900ADE">
        <w:t xml:space="preserve">funds are received. Going forward, </w:t>
      </w:r>
      <w:r w:rsidR="00624028">
        <w:t>district-level</w:t>
      </w:r>
      <w:r w:rsidR="002A444A">
        <w:t xml:space="preserve"> respondents said there is likely a need to request as much as</w:t>
      </w:r>
      <w:r w:rsidR="66457EB8" w:rsidRPr="00900ADE">
        <w:t xml:space="preserve"> an</w:t>
      </w:r>
      <w:r w:rsidR="68A92B3F" w:rsidRPr="00900ADE">
        <w:t xml:space="preserve"> </w:t>
      </w:r>
      <w:r w:rsidRPr="00900ADE">
        <w:t>8.4</w:t>
      </w:r>
      <w:r w:rsidR="001A48FB" w:rsidRPr="00900ADE">
        <w:t xml:space="preserve"> percent</w:t>
      </w:r>
      <w:r w:rsidRPr="00900ADE">
        <w:t xml:space="preserve"> increase</w:t>
      </w:r>
      <w:r w:rsidR="47B2E4F3" w:rsidRPr="00900ADE">
        <w:t xml:space="preserve"> in the budget</w:t>
      </w:r>
      <w:r w:rsidR="00511FB3">
        <w:t xml:space="preserve"> to maintain services. These estimates </w:t>
      </w:r>
      <w:r w:rsidR="001D75E0">
        <w:t xml:space="preserve">prompted </w:t>
      </w:r>
      <w:r w:rsidR="00511FB3">
        <w:t>some respondents to report that</w:t>
      </w:r>
      <w:r w:rsidRPr="00900ADE">
        <w:t xml:space="preserve"> the district may be looking </w:t>
      </w:r>
      <w:r w:rsidR="00511FB3">
        <w:t>to</w:t>
      </w:r>
      <w:r w:rsidRPr="00900ADE">
        <w:t xml:space="preserve"> </w:t>
      </w:r>
      <w:r w:rsidR="179111D8" w:rsidRPr="00900ADE">
        <w:t>propos</w:t>
      </w:r>
      <w:r w:rsidR="00511FB3">
        <w:t xml:space="preserve">e </w:t>
      </w:r>
      <w:r w:rsidRPr="00900ADE">
        <w:t>an override in the town in a year or two</w:t>
      </w:r>
      <w:r w:rsidR="5CFBF983" w:rsidRPr="00900ADE">
        <w:t xml:space="preserve">, but </w:t>
      </w:r>
      <w:r w:rsidR="001A48FB" w:rsidRPr="00900ADE">
        <w:t xml:space="preserve">they </w:t>
      </w:r>
      <w:r w:rsidR="5CFBF983" w:rsidRPr="00900ADE">
        <w:t xml:space="preserve">also </w:t>
      </w:r>
      <w:r w:rsidR="02E25F92" w:rsidRPr="00900ADE">
        <w:t xml:space="preserve">noted that some local </w:t>
      </w:r>
      <w:r w:rsidR="001A48FB" w:rsidRPr="00900ADE">
        <w:t xml:space="preserve">people </w:t>
      </w:r>
      <w:r w:rsidR="02E25F92" w:rsidRPr="00900ADE">
        <w:t>might not be comfortable with such a proposal</w:t>
      </w:r>
      <w:r w:rsidRPr="00900ADE">
        <w:t>.</w:t>
      </w:r>
      <w:r w:rsidR="004A6461">
        <w:t xml:space="preserve"> </w:t>
      </w:r>
      <w:r w:rsidR="0081223E" w:rsidRPr="00900ADE">
        <w:t xml:space="preserve">The district does not have a formal multiyear financial plan that incorporates projected enrollment and required staffing, cost-of-living adjustments set in its collective bargaining agreements, and anticipated increases in its service contracts. </w:t>
      </w:r>
      <w:r w:rsidR="00061BB1" w:rsidRPr="00900ADE">
        <w:t>The</w:t>
      </w:r>
      <w:r w:rsidR="0081223E" w:rsidRPr="00900ADE">
        <w:t xml:space="preserve"> </w:t>
      </w:r>
      <w:r w:rsidR="007A1355" w:rsidRPr="00900ADE">
        <w:t>s</w:t>
      </w:r>
      <w:r w:rsidR="0081223E" w:rsidRPr="00900ADE">
        <w:t xml:space="preserve">uperintendent and the </w:t>
      </w:r>
      <w:r w:rsidR="007A1355" w:rsidRPr="00900ADE">
        <w:t>s</w:t>
      </w:r>
      <w:r w:rsidR="0081223E" w:rsidRPr="00900ADE">
        <w:t xml:space="preserve">chool </w:t>
      </w:r>
      <w:r w:rsidR="007A1355" w:rsidRPr="00900ADE">
        <w:t>c</w:t>
      </w:r>
      <w:r w:rsidR="0081223E" w:rsidRPr="00900ADE">
        <w:t>ommittee</w:t>
      </w:r>
      <w:r w:rsidR="00EA3121">
        <w:t xml:space="preserve"> are primarily </w:t>
      </w:r>
      <w:r w:rsidR="0081223E" w:rsidRPr="00900ADE">
        <w:t xml:space="preserve">responsible for </w:t>
      </w:r>
      <w:r w:rsidR="00A36517" w:rsidRPr="00900ADE">
        <w:t>longer-term</w:t>
      </w:r>
      <w:r w:rsidR="0081223E" w:rsidRPr="00900ADE">
        <w:t xml:space="preserve"> planning</w:t>
      </w:r>
      <w:r w:rsidR="0025660F" w:rsidRPr="00900ADE">
        <w:t xml:space="preserve">, including </w:t>
      </w:r>
      <w:r w:rsidR="0081223E" w:rsidRPr="00900ADE">
        <w:t>projecting enrollment.</w:t>
      </w:r>
    </w:p>
    <w:p w14:paraId="2375117F" w14:textId="19ED87EB" w:rsidR="001A48FB" w:rsidRPr="00900ADE" w:rsidRDefault="005D36C8" w:rsidP="005C6A8C">
      <w:pPr>
        <w:pStyle w:val="BodyText"/>
      </w:pPr>
      <w:r w:rsidRPr="00900ADE">
        <w:rPr>
          <w:rFonts w:cs="Segoe UI"/>
          <w:color w:val="242424"/>
          <w:shd w:val="clear" w:color="auto" w:fill="FFFFFF"/>
        </w:rPr>
        <w:t xml:space="preserve">Budget presentations and documents are available </w:t>
      </w:r>
      <w:r w:rsidR="00F56AC7" w:rsidRPr="00900ADE">
        <w:rPr>
          <w:rFonts w:cs="Segoe UI"/>
          <w:color w:val="242424"/>
          <w:shd w:val="clear" w:color="auto" w:fill="FFFFFF"/>
        </w:rPr>
        <w:t xml:space="preserve">to the public </w:t>
      </w:r>
      <w:r w:rsidRPr="00900ADE">
        <w:rPr>
          <w:rFonts w:cs="Segoe UI"/>
          <w:color w:val="242424"/>
          <w:shd w:val="clear" w:color="auto" w:fill="FFFFFF"/>
        </w:rPr>
        <w:t>on the district website</w:t>
      </w:r>
      <w:r w:rsidR="00F56AC7" w:rsidRPr="00900ADE">
        <w:rPr>
          <w:rFonts w:cs="Segoe UI"/>
          <w:color w:val="242424"/>
          <w:shd w:val="clear" w:color="auto" w:fill="FFFFFF"/>
        </w:rPr>
        <w:t xml:space="preserve">, </w:t>
      </w:r>
      <w:r w:rsidR="001A48FB" w:rsidRPr="00900ADE">
        <w:rPr>
          <w:rFonts w:cs="Segoe UI"/>
          <w:color w:val="242424"/>
          <w:shd w:val="clear" w:color="auto" w:fill="FFFFFF"/>
        </w:rPr>
        <w:t xml:space="preserve">which is </w:t>
      </w:r>
      <w:r w:rsidR="00F56AC7" w:rsidRPr="00900ADE">
        <w:rPr>
          <w:rFonts w:cs="Segoe UI"/>
          <w:color w:val="242424"/>
          <w:shd w:val="clear" w:color="auto" w:fill="FFFFFF"/>
        </w:rPr>
        <w:t>a strength of the district</w:t>
      </w:r>
      <w:r w:rsidRPr="00900ADE">
        <w:rPr>
          <w:rFonts w:cs="Segoe UI"/>
          <w:color w:val="242424"/>
          <w:shd w:val="clear" w:color="auto" w:fill="FFFFFF"/>
        </w:rPr>
        <w:t xml:space="preserve">. </w:t>
      </w:r>
      <w:r w:rsidR="00990E54" w:rsidRPr="00900ADE">
        <w:t xml:space="preserve">The </w:t>
      </w:r>
      <w:r w:rsidR="001A48FB" w:rsidRPr="00900ADE">
        <w:t>s</w:t>
      </w:r>
      <w:r w:rsidR="00990E54" w:rsidRPr="00900ADE">
        <w:t xml:space="preserve">chool </w:t>
      </w:r>
      <w:r w:rsidR="001A48FB" w:rsidRPr="00900ADE">
        <w:t>c</w:t>
      </w:r>
      <w:r w:rsidR="00990E54" w:rsidRPr="00900ADE">
        <w:t xml:space="preserve">ommittee </w:t>
      </w:r>
      <w:r w:rsidR="001A48FB" w:rsidRPr="00900ADE">
        <w:t>web</w:t>
      </w:r>
      <w:r w:rsidR="00990E54" w:rsidRPr="00900ADE">
        <w:t xml:space="preserve">page of the </w:t>
      </w:r>
      <w:r w:rsidR="001A48FB" w:rsidRPr="00900ADE">
        <w:t xml:space="preserve">Medway </w:t>
      </w:r>
      <w:r w:rsidR="00990E54" w:rsidRPr="00900ADE">
        <w:t xml:space="preserve">website includes a link to budget presentations; the </w:t>
      </w:r>
      <w:r w:rsidR="001A48FB" w:rsidRPr="00900ADE">
        <w:t xml:space="preserve">fiscal year 2025 </w:t>
      </w:r>
      <w:r w:rsidR="00990E54" w:rsidRPr="00900ADE">
        <w:t xml:space="preserve">preliminary budget presentation includes a “Financial Overview/Timeline” with details on the budget process </w:t>
      </w:r>
      <w:r w:rsidR="001A48FB" w:rsidRPr="00900ADE">
        <w:t xml:space="preserve">and </w:t>
      </w:r>
      <w:r w:rsidR="00990E54" w:rsidRPr="00900ADE">
        <w:t xml:space="preserve">dates of meetings, hearings, and votes. </w:t>
      </w:r>
      <w:r w:rsidR="001A48FB" w:rsidRPr="00900ADE">
        <w:t>E</w:t>
      </w:r>
      <w:r w:rsidR="0081223E" w:rsidRPr="00900ADE">
        <w:t>vidence from school</w:t>
      </w:r>
      <w:r w:rsidRPr="00900ADE">
        <w:t xml:space="preserve"> </w:t>
      </w:r>
      <w:r w:rsidR="0081223E" w:rsidRPr="00900ADE">
        <w:t xml:space="preserve">committee meeting minutes, school committee members, and </w:t>
      </w:r>
      <w:r w:rsidR="00F879BA" w:rsidRPr="00900ADE">
        <w:t xml:space="preserve">interviews </w:t>
      </w:r>
      <w:r w:rsidR="001A48FB" w:rsidRPr="00900ADE">
        <w:t xml:space="preserve">with </w:t>
      </w:r>
      <w:r w:rsidR="0081223E" w:rsidRPr="00900ADE">
        <w:t>district leaders</w:t>
      </w:r>
      <w:r w:rsidR="001A48FB" w:rsidRPr="00900ADE">
        <w:t xml:space="preserve"> shows</w:t>
      </w:r>
      <w:r w:rsidR="0081223E" w:rsidRPr="00900ADE">
        <w:t xml:space="preserve"> that the district provides budget updates to the school committee </w:t>
      </w:r>
      <w:r w:rsidR="00427EC0" w:rsidRPr="00900ADE">
        <w:t xml:space="preserve">monthly </w:t>
      </w:r>
      <w:r w:rsidR="0081223E" w:rsidRPr="00900ADE">
        <w:t>a</w:t>
      </w:r>
      <w:r w:rsidR="00427EC0" w:rsidRPr="00900ADE">
        <w:t xml:space="preserve">nd </w:t>
      </w:r>
      <w:r w:rsidR="0081223E" w:rsidRPr="00900ADE">
        <w:t xml:space="preserve">works with budget managers to track and adjust current year spending. According to a school committee member, the district’s finance director provides </w:t>
      </w:r>
    </w:p>
    <w:p w14:paraId="4F2E0CCF" w14:textId="0EFF8A6A" w:rsidR="001A48FB" w:rsidRPr="00900ADE" w:rsidRDefault="0081223E" w:rsidP="001A48FB">
      <w:pPr>
        <w:pStyle w:val="BlockQuote"/>
      </w:pPr>
      <w:r w:rsidRPr="00900ADE">
        <w:t>an updated memo along with a spreadsheet</w:t>
      </w:r>
      <w:r w:rsidR="001A48FB" w:rsidRPr="00900ADE">
        <w:t xml:space="preserve"> . . . </w:t>
      </w:r>
      <w:r w:rsidRPr="00900ADE">
        <w:t>with the balance of the operating budget, where we are in our revolving accounts, what those balances are, and how we are tracking so that we can catch it early if we</w:t>
      </w:r>
      <w:r w:rsidR="001A48FB" w:rsidRPr="00900ADE">
        <w:t>’</w:t>
      </w:r>
      <w:r w:rsidRPr="00900ADE">
        <w:t>re going to overspend.</w:t>
      </w:r>
    </w:p>
    <w:p w14:paraId="25AFA3AC" w14:textId="7C6DB61B" w:rsidR="0081223E" w:rsidRPr="00900ADE" w:rsidRDefault="0081223E" w:rsidP="001A48FB">
      <w:pPr>
        <w:pStyle w:val="BodyText"/>
      </w:pPr>
      <w:r w:rsidRPr="00900ADE">
        <w:t xml:space="preserve">Also, the district hires independent financial auditing services each year and implements recommendations from those audits in a timely manner. </w:t>
      </w:r>
    </w:p>
    <w:p w14:paraId="7CAA2897" w14:textId="77777777" w:rsidR="00950D74" w:rsidRPr="00900ADE" w:rsidRDefault="00950D74" w:rsidP="00950D74">
      <w:pPr>
        <w:pStyle w:val="Heading3"/>
      </w:pPr>
      <w:bookmarkStart w:id="72" w:name="_Operations"/>
      <w:bookmarkEnd w:id="72"/>
      <w:r w:rsidRPr="00900ADE">
        <w:t>Operations</w:t>
      </w:r>
    </w:p>
    <w:p w14:paraId="34C7D40C" w14:textId="6037407C" w:rsidR="00462549" w:rsidRPr="00900ADE" w:rsidRDefault="00B12D6E" w:rsidP="005C6A8C">
      <w:pPr>
        <w:pStyle w:val="BodyTextposthead"/>
      </w:pPr>
      <w:r w:rsidRPr="00215102">
        <w:t>The facilities department has adequate staffing, and there is a formal agreement with the DPW for maintaining building exteriors, landscaping, and maintaining fields, ensuring well-maintained buildings and grounds.</w:t>
      </w:r>
      <w:r w:rsidR="004D276A" w:rsidRPr="00215102">
        <w:t xml:space="preserve">. </w:t>
      </w:r>
      <w:r w:rsidR="00462549" w:rsidRPr="00D35F45">
        <w:t xml:space="preserve">To maintain buildings and grounds, the </w:t>
      </w:r>
      <w:r w:rsidR="0053704C" w:rsidRPr="00D35F45">
        <w:t xml:space="preserve">Medway </w:t>
      </w:r>
      <w:r w:rsidR="00462549" w:rsidRPr="00D35F45">
        <w:t xml:space="preserve">facilities department </w:t>
      </w:r>
      <w:r w:rsidR="0053704C" w:rsidRPr="00D35F45">
        <w:t>ha</w:t>
      </w:r>
      <w:r w:rsidR="00462549" w:rsidRPr="00D35F45">
        <w:t xml:space="preserve">s a director, </w:t>
      </w:r>
      <w:r w:rsidR="00634D42" w:rsidRPr="00D35F45">
        <w:t>a</w:t>
      </w:r>
      <w:r w:rsidR="00462549" w:rsidRPr="00D35F45">
        <w:t xml:space="preserve"> half-time administrative assistant, two maintenance staff, and seven custodians. The director also manages </w:t>
      </w:r>
      <w:r w:rsidR="00634D42" w:rsidRPr="00D35F45">
        <w:t xml:space="preserve">a contract with </w:t>
      </w:r>
      <w:r w:rsidR="00462549" w:rsidRPr="00D35F45">
        <w:t xml:space="preserve">an outside cleaning company. Also, the town </w:t>
      </w:r>
      <w:r w:rsidR="00D16438" w:rsidRPr="00D35F45">
        <w:t>has</w:t>
      </w:r>
      <w:r w:rsidR="00462549" w:rsidRPr="00D35F45">
        <w:t xml:space="preserve"> a formal, written agreement with the DPW specifying that the DPW is “responsible for all of [the district’s] fields and parking lots between snow removal and grass cutting.” </w:t>
      </w:r>
      <w:r w:rsidR="00ED7C54" w:rsidRPr="00D35F45">
        <w:t xml:space="preserve">According to district staff, </w:t>
      </w:r>
      <w:r w:rsidR="00462549" w:rsidRPr="00D35F45">
        <w:t>the district has “a pretty healthy facility usage program at the middle school and the high school</w:t>
      </w:r>
      <w:r w:rsidR="00013D84" w:rsidRPr="00D35F45">
        <w:t>,</w:t>
      </w:r>
      <w:r w:rsidR="00462549" w:rsidRPr="00D35F45">
        <w:t xml:space="preserve">” </w:t>
      </w:r>
      <w:r w:rsidR="00753CC5" w:rsidRPr="00D35F45">
        <w:t xml:space="preserve">which </w:t>
      </w:r>
      <w:r w:rsidR="00D35F45">
        <w:t>provides</w:t>
      </w:r>
      <w:r w:rsidR="00D35F45" w:rsidRPr="00D35F45">
        <w:t xml:space="preserve"> </w:t>
      </w:r>
      <w:r w:rsidR="00753CC5" w:rsidRPr="00D35F45">
        <w:t xml:space="preserve">the </w:t>
      </w:r>
      <w:r w:rsidR="0071039C" w:rsidRPr="00D35F45">
        <w:t xml:space="preserve">district </w:t>
      </w:r>
      <w:r w:rsidR="008B021A" w:rsidRPr="00D35F45">
        <w:t xml:space="preserve">additional </w:t>
      </w:r>
      <w:r w:rsidR="0071039C" w:rsidRPr="00D35F45">
        <w:t xml:space="preserve">revenue by </w:t>
      </w:r>
      <w:r w:rsidR="000C1C0C">
        <w:t>renting space to</w:t>
      </w:r>
      <w:r w:rsidR="000C1C0C" w:rsidRPr="00D35F45">
        <w:t xml:space="preserve"> </w:t>
      </w:r>
      <w:r w:rsidR="0071039C" w:rsidRPr="00D35F45">
        <w:t>community members</w:t>
      </w:r>
      <w:r w:rsidR="008B021A" w:rsidRPr="00D35F45">
        <w:t>.</w:t>
      </w:r>
    </w:p>
    <w:p w14:paraId="711E985D" w14:textId="301A8043" w:rsidR="00462549" w:rsidRPr="00900ADE" w:rsidRDefault="00D95DA4" w:rsidP="005C6A8C">
      <w:pPr>
        <w:pStyle w:val="BodyText"/>
      </w:pPr>
      <w:r w:rsidRPr="00900ADE">
        <w:lastRenderedPageBreak/>
        <w:t xml:space="preserve">However, </w:t>
      </w:r>
      <w:r w:rsidR="0053704C" w:rsidRPr="00900ADE">
        <w:t>many</w:t>
      </w:r>
      <w:r w:rsidR="00E25197" w:rsidRPr="00900ADE">
        <w:t xml:space="preserve"> </w:t>
      </w:r>
      <w:r w:rsidR="00A231C4" w:rsidRPr="00900ADE">
        <w:t>concern</w:t>
      </w:r>
      <w:r w:rsidR="00E25197" w:rsidRPr="00900ADE">
        <w:t xml:space="preserve">s </w:t>
      </w:r>
      <w:r w:rsidR="0053704C" w:rsidRPr="00900ADE">
        <w:t xml:space="preserve">arose </w:t>
      </w:r>
      <w:r w:rsidR="00E25197" w:rsidRPr="00900ADE">
        <w:t>about</w:t>
      </w:r>
      <w:r w:rsidR="004B07BC" w:rsidRPr="00900ADE">
        <w:t xml:space="preserve"> </w:t>
      </w:r>
      <w:r w:rsidR="00462549" w:rsidRPr="00900ADE">
        <w:t>the facilities</w:t>
      </w:r>
      <w:r w:rsidR="004B07BC" w:rsidRPr="00900ADE">
        <w:t>.</w:t>
      </w:r>
      <w:r w:rsidR="00462549" w:rsidRPr="00900ADE">
        <w:t xml:space="preserve"> </w:t>
      </w:r>
      <w:r w:rsidR="004B07BC" w:rsidRPr="00900ADE">
        <w:t>P</w:t>
      </w:r>
      <w:r w:rsidR="00462549" w:rsidRPr="00900ADE">
        <w:t xml:space="preserve">arents </w:t>
      </w:r>
      <w:r w:rsidR="00DD1A43" w:rsidRPr="00900ADE">
        <w:t xml:space="preserve">reported </w:t>
      </w:r>
      <w:r w:rsidR="00462549" w:rsidRPr="00900ADE">
        <w:t>a lack of clean water in several of the school buildings</w:t>
      </w:r>
      <w:r w:rsidR="0053704C" w:rsidRPr="00900ADE">
        <w:t>,</w:t>
      </w:r>
      <w:r w:rsidR="00462549" w:rsidRPr="00900ADE">
        <w:t xml:space="preserve"> </w:t>
      </w:r>
      <w:r w:rsidR="00A231C4" w:rsidRPr="00900ADE">
        <w:t xml:space="preserve">and </w:t>
      </w:r>
      <w:r w:rsidR="00630067" w:rsidRPr="00900ADE">
        <w:t>others</w:t>
      </w:r>
      <w:r w:rsidR="0000432D" w:rsidRPr="00900ADE">
        <w:t xml:space="preserve"> </w:t>
      </w:r>
      <w:r w:rsidR="0077650C" w:rsidRPr="00900ADE">
        <w:t>mentioned</w:t>
      </w:r>
      <w:r w:rsidR="003B7235" w:rsidRPr="00900ADE">
        <w:t xml:space="preserve"> </w:t>
      </w:r>
      <w:r w:rsidR="005E0B39" w:rsidRPr="00900ADE">
        <w:t xml:space="preserve">broken lights and </w:t>
      </w:r>
      <w:r w:rsidR="002F781E" w:rsidRPr="00900ADE">
        <w:t>lockers that would</w:t>
      </w:r>
      <w:r w:rsidRPr="00900ADE">
        <w:t xml:space="preserve"> </w:t>
      </w:r>
      <w:r w:rsidR="002F781E" w:rsidRPr="00900ADE">
        <w:t>n</w:t>
      </w:r>
      <w:r w:rsidRPr="00900ADE">
        <w:t>o</w:t>
      </w:r>
      <w:r w:rsidR="002F781E" w:rsidRPr="00900ADE">
        <w:t>t open</w:t>
      </w:r>
      <w:r w:rsidR="0077650C" w:rsidRPr="00900ADE">
        <w:t xml:space="preserve"> in the middle school</w:t>
      </w:r>
      <w:r w:rsidR="002F781E" w:rsidRPr="00900ADE">
        <w:t xml:space="preserve">. </w:t>
      </w:r>
      <w:r w:rsidR="00457E45" w:rsidRPr="00900ADE">
        <w:t>Some h</w:t>
      </w:r>
      <w:r w:rsidR="00A744C7" w:rsidRPr="00900ADE">
        <w:t xml:space="preserve">igh school students also </w:t>
      </w:r>
      <w:r w:rsidR="00626BA2" w:rsidRPr="00900ADE">
        <w:t xml:space="preserve">reported </w:t>
      </w:r>
      <w:r w:rsidR="00371DF5" w:rsidRPr="00900ADE">
        <w:t>that the</w:t>
      </w:r>
      <w:r w:rsidR="00457E45" w:rsidRPr="00900ADE">
        <w:t>y avoided the</w:t>
      </w:r>
      <w:r w:rsidR="00371DF5" w:rsidRPr="00900ADE">
        <w:t xml:space="preserve"> </w:t>
      </w:r>
      <w:r w:rsidR="008B1BC0" w:rsidRPr="00900ADE">
        <w:t xml:space="preserve">bathrooms </w:t>
      </w:r>
      <w:r w:rsidR="0053704C" w:rsidRPr="00900ADE">
        <w:t>given their</w:t>
      </w:r>
      <w:r w:rsidR="00457E45" w:rsidRPr="00900ADE">
        <w:t xml:space="preserve"> </w:t>
      </w:r>
      <w:r w:rsidR="6FD4DA95" w:rsidRPr="00900ADE">
        <w:t>condition</w:t>
      </w:r>
      <w:r w:rsidR="0050612E" w:rsidRPr="00900ADE">
        <w:t>.</w:t>
      </w:r>
      <w:r w:rsidR="00DA65DD" w:rsidRPr="00900ADE">
        <w:t xml:space="preserve"> </w:t>
      </w:r>
      <w:r w:rsidR="002712BB" w:rsidRPr="00900ADE">
        <w:t>However, no respondents described a formal process for requesting and responding to maintenance services</w:t>
      </w:r>
      <w:r w:rsidR="00F458C1">
        <w:t xml:space="preserve">, </w:t>
      </w:r>
      <w:r w:rsidR="00E92375">
        <w:t xml:space="preserve">though </w:t>
      </w:r>
      <w:r w:rsidR="00F458C1">
        <w:t xml:space="preserve">district </w:t>
      </w:r>
      <w:r w:rsidR="00E92375">
        <w:t>leaders</w:t>
      </w:r>
      <w:r w:rsidR="00F458C1">
        <w:t xml:space="preserve"> </w:t>
      </w:r>
      <w:r w:rsidR="00E92375">
        <w:t xml:space="preserve">cited </w:t>
      </w:r>
      <w:r w:rsidR="00F458C1">
        <w:t xml:space="preserve">a </w:t>
      </w:r>
      <w:r w:rsidR="00E92375">
        <w:t xml:space="preserve">facilities ticket system </w:t>
      </w:r>
      <w:r w:rsidR="00AA6731">
        <w:t>and annual water testing upon later review</w:t>
      </w:r>
      <w:r w:rsidR="002712BB" w:rsidRPr="00900ADE">
        <w:t xml:space="preserve">. </w:t>
      </w:r>
      <w:r w:rsidR="00616BCE" w:rsidRPr="00900ADE">
        <w:t xml:space="preserve"> </w:t>
      </w:r>
    </w:p>
    <w:p w14:paraId="402663F0" w14:textId="05F58A3D" w:rsidR="00462549" w:rsidRPr="00900ADE" w:rsidRDefault="00462549" w:rsidP="005C6A8C">
      <w:pPr>
        <w:pStyle w:val="BodyText"/>
      </w:pPr>
      <w:r w:rsidRPr="00900ADE">
        <w:t xml:space="preserve">District leaders reported that the district has a new contract in place for transportation. </w:t>
      </w:r>
      <w:r w:rsidR="005620F8" w:rsidRPr="00900ADE">
        <w:t xml:space="preserve">According to </w:t>
      </w:r>
      <w:r w:rsidR="00B120BB" w:rsidRPr="00900ADE">
        <w:t>district policies</w:t>
      </w:r>
      <w:r w:rsidR="005620F8" w:rsidRPr="00900ADE">
        <w:t xml:space="preserve"> posted on </w:t>
      </w:r>
      <w:r w:rsidR="00F969F9" w:rsidRPr="00900ADE">
        <w:t xml:space="preserve">the </w:t>
      </w:r>
      <w:r w:rsidR="00CC33C3" w:rsidRPr="00900ADE">
        <w:t>s</w:t>
      </w:r>
      <w:r w:rsidR="00285CC6" w:rsidRPr="00900ADE">
        <w:t xml:space="preserve">chool </w:t>
      </w:r>
      <w:r w:rsidR="00CC33C3" w:rsidRPr="00900ADE">
        <w:t>c</w:t>
      </w:r>
      <w:r w:rsidR="00285CC6" w:rsidRPr="00900ADE">
        <w:t xml:space="preserve">ommittee </w:t>
      </w:r>
      <w:r w:rsidR="007410E3" w:rsidRPr="00900ADE">
        <w:t>web</w:t>
      </w:r>
      <w:r w:rsidR="00285CC6" w:rsidRPr="00900ADE">
        <w:t xml:space="preserve">page of the </w:t>
      </w:r>
      <w:r w:rsidR="007410E3" w:rsidRPr="00900ADE">
        <w:t xml:space="preserve">Medway </w:t>
      </w:r>
      <w:r w:rsidR="00F969F9" w:rsidRPr="00900ADE">
        <w:t>website</w:t>
      </w:r>
      <w:r w:rsidR="0040262C" w:rsidRPr="00900ADE">
        <w:t>,</w:t>
      </w:r>
      <w:r w:rsidR="00F969F9" w:rsidRPr="00900ADE">
        <w:t xml:space="preserve"> </w:t>
      </w:r>
      <w:r w:rsidR="007410E3" w:rsidRPr="00900ADE">
        <w:t xml:space="preserve">the provision of </w:t>
      </w:r>
      <w:r w:rsidR="0040262C" w:rsidRPr="00900ADE">
        <w:t>school</w:t>
      </w:r>
      <w:r w:rsidRPr="00900ADE">
        <w:t xml:space="preserve"> bus transportation is in accordance with state and federal law</w:t>
      </w:r>
      <w:r w:rsidR="007410E3" w:rsidRPr="00900ADE">
        <w:t>,</w:t>
      </w:r>
      <w:r w:rsidRPr="00900ADE">
        <w:t xml:space="preserve"> and all applicable regulations </w:t>
      </w:r>
      <w:r w:rsidR="00A72C0D" w:rsidRPr="00900ADE">
        <w:t>for</w:t>
      </w:r>
      <w:r w:rsidRPr="00900ADE">
        <w:t xml:space="preserve"> all eligible students based on distance from school, school grade level, and </w:t>
      </w:r>
      <w:r w:rsidR="00113260" w:rsidRPr="00900ADE">
        <w:t xml:space="preserve">free </w:t>
      </w:r>
      <w:r w:rsidR="007410E3" w:rsidRPr="00900ADE">
        <w:t xml:space="preserve">or </w:t>
      </w:r>
      <w:r w:rsidR="00113260" w:rsidRPr="00900ADE">
        <w:t>reduced-price lunch</w:t>
      </w:r>
      <w:r w:rsidRPr="00900ADE">
        <w:t xml:space="preserve"> eligibility. For those not eligible for transportation, the parent/guardian of the student is responsible</w:t>
      </w:r>
      <w:r w:rsidR="00E4421B" w:rsidRPr="00900ADE">
        <w:t xml:space="preserve"> for transportation</w:t>
      </w:r>
      <w:r w:rsidRPr="00900ADE">
        <w:t>, but the district has a “Pay to Ride” program</w:t>
      </w:r>
      <w:r w:rsidR="00E4421B" w:rsidRPr="00900ADE">
        <w:t xml:space="preserve"> available</w:t>
      </w:r>
      <w:r w:rsidRPr="00900ADE">
        <w:t xml:space="preserve">. The </w:t>
      </w:r>
      <w:r w:rsidR="007410E3" w:rsidRPr="00900ADE">
        <w:t xml:space="preserve">Medway </w:t>
      </w:r>
      <w:r w:rsidRPr="00900ADE">
        <w:t>website provides information on the student transportation policy and a student handbook.</w:t>
      </w:r>
    </w:p>
    <w:p w14:paraId="26EC77FB" w14:textId="0D77D532" w:rsidR="00E157C4" w:rsidRPr="00900ADE" w:rsidRDefault="00E157C4" w:rsidP="005C6A8C">
      <w:pPr>
        <w:pStyle w:val="BodyText"/>
      </w:pPr>
      <w:r w:rsidRPr="00900ADE">
        <w:t xml:space="preserve">The majority of the district’s transportation expenses </w:t>
      </w:r>
      <w:r w:rsidR="007410E3" w:rsidRPr="00900ADE">
        <w:t>come from</w:t>
      </w:r>
      <w:r w:rsidRPr="00900ADE">
        <w:t xml:space="preserve"> its </w:t>
      </w:r>
      <w:r w:rsidR="007410E3" w:rsidRPr="00900ADE">
        <w:t>g</w:t>
      </w:r>
      <w:r w:rsidRPr="00900ADE">
        <w:t xml:space="preserve">eneral </w:t>
      </w:r>
      <w:r w:rsidR="007410E3" w:rsidRPr="00900ADE">
        <w:t>f</w:t>
      </w:r>
      <w:r w:rsidRPr="00900ADE">
        <w:t xml:space="preserve">und. This includes home/school transportation through the school year, late buses, and summer transportation. Athletic and class trip </w:t>
      </w:r>
      <w:r w:rsidR="00316520">
        <w:t>transportation</w:t>
      </w:r>
      <w:r w:rsidR="00316520" w:rsidRPr="00900ADE">
        <w:t xml:space="preserve"> </w:t>
      </w:r>
      <w:r w:rsidRPr="00900ADE">
        <w:t>costs are outside the general fund and funded by individual student fees. The district had covered the cost of transportation home for students who stayed late for additional supports or activities</w:t>
      </w:r>
      <w:r w:rsidR="00316520">
        <w:t>,</w:t>
      </w:r>
      <w:r w:rsidRPr="00900ADE">
        <w:t xml:space="preserve"> but end</w:t>
      </w:r>
      <w:r w:rsidR="007410E3" w:rsidRPr="00900ADE">
        <w:t>ed</w:t>
      </w:r>
      <w:r w:rsidRPr="00900ADE">
        <w:t xml:space="preserve"> that service in the 2021-2022 school year </w:t>
      </w:r>
      <w:r w:rsidR="007410E3" w:rsidRPr="00900ADE">
        <w:t>because of a</w:t>
      </w:r>
      <w:r w:rsidRPr="00900ADE">
        <w:t xml:space="preserve"> lack of funding. </w:t>
      </w:r>
    </w:p>
    <w:p w14:paraId="08850853" w14:textId="50680429" w:rsidR="00950D74" w:rsidRPr="00900ADE" w:rsidRDefault="005A7682" w:rsidP="005C6A8C">
      <w:pPr>
        <w:pStyle w:val="BodyText"/>
        <w:rPr>
          <w:color w:val="000000" w:themeColor="text1"/>
        </w:rPr>
      </w:pPr>
      <w:r w:rsidRPr="00900ADE">
        <w:rPr>
          <w:rFonts w:cs="Arial"/>
          <w:color w:val="000000" w:themeColor="text1"/>
        </w:rPr>
        <w:t xml:space="preserve">The </w:t>
      </w:r>
      <w:r w:rsidR="007410E3" w:rsidRPr="00900ADE">
        <w:rPr>
          <w:rFonts w:cs="Arial"/>
          <w:color w:val="000000" w:themeColor="text1"/>
        </w:rPr>
        <w:t>IT</w:t>
      </w:r>
      <w:r w:rsidRPr="00900ADE">
        <w:rPr>
          <w:rFonts w:cs="Arial"/>
          <w:color w:val="000000" w:themeColor="text1"/>
        </w:rPr>
        <w:t xml:space="preserve"> department </w:t>
      </w:r>
      <w:r w:rsidR="000C1C0C">
        <w:rPr>
          <w:rFonts w:cs="Arial"/>
          <w:color w:val="000000" w:themeColor="text1"/>
        </w:rPr>
        <w:t xml:space="preserve">head </w:t>
      </w:r>
      <w:r w:rsidRPr="00900ADE">
        <w:rPr>
          <w:rFonts w:cs="Arial"/>
          <w:color w:val="000000" w:themeColor="text1"/>
        </w:rPr>
        <w:t>is a shared position between the town and school departments.</w:t>
      </w:r>
      <w:r w:rsidRPr="00900ADE">
        <w:rPr>
          <w:rFonts w:cs="Segoe UI"/>
          <w:color w:val="242424"/>
          <w:shd w:val="clear" w:color="auto" w:fill="FAFAFA"/>
        </w:rPr>
        <w:t xml:space="preserve"> </w:t>
      </w:r>
      <w:r w:rsidR="002B74D2" w:rsidRPr="00900ADE">
        <w:t xml:space="preserve">Families register new students online, with guidance available on the </w:t>
      </w:r>
      <w:r w:rsidR="007410E3" w:rsidRPr="00900ADE">
        <w:t xml:space="preserve">Medway </w:t>
      </w:r>
      <w:r w:rsidR="002B74D2" w:rsidRPr="00900ADE">
        <w:t xml:space="preserve">website. </w:t>
      </w:r>
      <w:r w:rsidR="007410E3" w:rsidRPr="00900ADE">
        <w:t>A</w:t>
      </w:r>
      <w:r w:rsidR="002B74D2" w:rsidRPr="00900ADE">
        <w:t xml:space="preserve">n application for school choice applicants </w:t>
      </w:r>
      <w:r w:rsidR="007410E3" w:rsidRPr="00900ADE">
        <w:t xml:space="preserve">also is </w:t>
      </w:r>
      <w:r w:rsidR="002B74D2" w:rsidRPr="00900ADE">
        <w:t xml:space="preserve">on the </w:t>
      </w:r>
      <w:r w:rsidR="007410E3" w:rsidRPr="00900ADE">
        <w:t xml:space="preserve">Medway </w:t>
      </w:r>
      <w:r w:rsidR="002B74D2" w:rsidRPr="00900ADE">
        <w:t xml:space="preserve">website. </w:t>
      </w:r>
      <w:r w:rsidR="00807EC5" w:rsidRPr="00900ADE">
        <w:t xml:space="preserve">Regarding student </w:t>
      </w:r>
      <w:r w:rsidR="005F276A" w:rsidRPr="00900ADE">
        <w:t>technology, a</w:t>
      </w:r>
      <w:r w:rsidR="00950D74" w:rsidRPr="00900ADE">
        <w:t xml:space="preserve">ccording to the district website, </w:t>
      </w:r>
      <w:r w:rsidR="005F276A" w:rsidRPr="00900ADE">
        <w:t>Medway</w:t>
      </w:r>
      <w:r w:rsidR="00950D74" w:rsidRPr="00900ADE">
        <w:t xml:space="preserve"> provides its students and staff with the hardware, software, and related licenses and support for everyday learning and daily operations. </w:t>
      </w:r>
      <w:r w:rsidR="00950D74" w:rsidRPr="00900ADE">
        <w:rPr>
          <w:color w:val="000000" w:themeColor="text1"/>
        </w:rPr>
        <w:t xml:space="preserve">All students in Grades 5-12 </w:t>
      </w:r>
      <w:r w:rsidR="007410E3" w:rsidRPr="00900ADE">
        <w:rPr>
          <w:color w:val="000000" w:themeColor="text1"/>
        </w:rPr>
        <w:t>receive</w:t>
      </w:r>
      <w:r w:rsidR="00950D74" w:rsidRPr="00900ADE">
        <w:rPr>
          <w:color w:val="000000" w:themeColor="text1"/>
        </w:rPr>
        <w:t xml:space="preserve"> a school-owned Chromebook that is available to them at school and </w:t>
      </w:r>
      <w:r w:rsidR="00DB09B2">
        <w:rPr>
          <w:color w:val="000000" w:themeColor="text1"/>
        </w:rPr>
        <w:t xml:space="preserve">at </w:t>
      </w:r>
      <w:r w:rsidR="00950D74" w:rsidRPr="00900ADE">
        <w:rPr>
          <w:color w:val="000000" w:themeColor="text1"/>
        </w:rPr>
        <w:t>home</w:t>
      </w:r>
      <w:r w:rsidR="00BE7AF4" w:rsidRPr="00900ADE">
        <w:rPr>
          <w:color w:val="000000" w:themeColor="text1"/>
        </w:rPr>
        <w:t xml:space="preserve"> throughout the school year</w:t>
      </w:r>
      <w:r w:rsidR="00950D74" w:rsidRPr="00900ADE">
        <w:rPr>
          <w:color w:val="000000" w:themeColor="text1"/>
        </w:rPr>
        <w:t xml:space="preserve">. The district </w:t>
      </w:r>
      <w:r w:rsidR="00C74538" w:rsidRPr="00900ADE">
        <w:rPr>
          <w:color w:val="000000" w:themeColor="text1"/>
        </w:rPr>
        <w:t xml:space="preserve">website </w:t>
      </w:r>
      <w:r w:rsidR="00950D74" w:rsidRPr="00900ADE">
        <w:rPr>
          <w:color w:val="000000" w:themeColor="text1"/>
        </w:rPr>
        <w:t>posts links to policies and procedures regarding technology access and use.</w:t>
      </w:r>
    </w:p>
    <w:p w14:paraId="729D137E" w14:textId="1A57D1C7" w:rsidR="00462549" w:rsidRPr="00900ADE" w:rsidRDefault="00462549" w:rsidP="005C6A8C">
      <w:pPr>
        <w:pStyle w:val="BodyText"/>
      </w:pPr>
      <w:r w:rsidRPr="00900ADE">
        <w:t xml:space="preserve">Some teachers pointed out concerns about the support for technology. A high school teacher shared </w:t>
      </w:r>
      <w:r w:rsidR="00117B29" w:rsidRPr="00900ADE">
        <w:t>their</w:t>
      </w:r>
      <w:r w:rsidRPr="00900ADE">
        <w:t xml:space="preserve"> concern with </w:t>
      </w:r>
      <w:r w:rsidR="00DB09B2">
        <w:t xml:space="preserve">the </w:t>
      </w:r>
      <w:r w:rsidRPr="00900ADE">
        <w:t>maintenance of student technology</w:t>
      </w:r>
      <w:r w:rsidR="00C74538" w:rsidRPr="00900ADE">
        <w:t>:</w:t>
      </w:r>
    </w:p>
    <w:p w14:paraId="0F01C396" w14:textId="15A54649" w:rsidR="00462549" w:rsidRPr="00900ADE" w:rsidRDefault="00462549" w:rsidP="005C6A8C">
      <w:pPr>
        <w:pStyle w:val="BlockQuote"/>
      </w:pPr>
      <w:r w:rsidRPr="00900ADE">
        <w:t>We have one-to-one Chromebooks assigned to every student. At the middle school and high school level, it</w:t>
      </w:r>
      <w:r w:rsidR="007410E3" w:rsidRPr="00900ADE">
        <w:t>’</w:t>
      </w:r>
      <w:r w:rsidRPr="00900ADE">
        <w:t>s in the student</w:t>
      </w:r>
      <w:r w:rsidR="007410E3" w:rsidRPr="00900ADE">
        <w:t>’</w:t>
      </w:r>
      <w:r w:rsidRPr="00900ADE">
        <w:t>s possession. They travel with it. At the elementary levels, it</w:t>
      </w:r>
      <w:r w:rsidR="007410E3" w:rsidRPr="00900ADE">
        <w:t>’</w:t>
      </w:r>
      <w:r w:rsidRPr="00900ADE">
        <w:t>s one-to-one in carts that live in the classrooms. But if a student</w:t>
      </w:r>
      <w:r w:rsidR="007410E3" w:rsidRPr="00900ADE">
        <w:t>’</w:t>
      </w:r>
      <w:r w:rsidRPr="00900ADE">
        <w:t>s device is misplaced or broken</w:t>
      </w:r>
      <w:r w:rsidR="007410E3" w:rsidRPr="00900ADE">
        <w:t xml:space="preserve"> </w:t>
      </w:r>
      <w:r w:rsidRPr="00900ADE">
        <w:t>.</w:t>
      </w:r>
      <w:r w:rsidR="007410E3" w:rsidRPr="00900ADE">
        <w:t xml:space="preserve"> </w:t>
      </w:r>
      <w:r w:rsidRPr="00900ADE">
        <w:t>.</w:t>
      </w:r>
      <w:r w:rsidR="007410E3" w:rsidRPr="00900ADE">
        <w:t xml:space="preserve"> </w:t>
      </w:r>
      <w:r w:rsidRPr="00900ADE">
        <w:t>., we may not have anything to lend them while theirs is getting fixed. And I</w:t>
      </w:r>
      <w:r w:rsidR="007410E3" w:rsidRPr="00900ADE">
        <w:t>’</w:t>
      </w:r>
      <w:r w:rsidRPr="00900ADE">
        <w:t>ve worked in other places where we had a bigger store of loaners, or the repair timeline was quicker, and it wasn</w:t>
      </w:r>
      <w:r w:rsidR="007410E3" w:rsidRPr="00900ADE">
        <w:t>’</w:t>
      </w:r>
      <w:r w:rsidRPr="00900ADE">
        <w:t>t a problem. But we have students who</w:t>
      </w:r>
      <w:r w:rsidR="007410E3" w:rsidRPr="00900ADE">
        <w:t>’</w:t>
      </w:r>
      <w:r w:rsidRPr="00900ADE">
        <w:t>ve been without a device that they can reasonably count on for weeks while their device is getting fixed.</w:t>
      </w:r>
    </w:p>
    <w:p w14:paraId="51B8F9E1" w14:textId="4DFC01B9" w:rsidR="00462549" w:rsidRPr="00354BD6" w:rsidRDefault="00CC6827" w:rsidP="00354BD6">
      <w:pPr>
        <w:pStyle w:val="BodyText"/>
      </w:pPr>
      <w:r w:rsidRPr="00354BD6">
        <w:t xml:space="preserve">Students </w:t>
      </w:r>
      <w:r w:rsidR="006D4772" w:rsidRPr="00354BD6">
        <w:t xml:space="preserve">and parents </w:t>
      </w:r>
      <w:r w:rsidR="00800AA5" w:rsidRPr="00354BD6">
        <w:t>similarly described a high reliance on technology</w:t>
      </w:r>
      <w:r w:rsidR="00D1171D" w:rsidRPr="00354BD6">
        <w:t xml:space="preserve"> in classrooms</w:t>
      </w:r>
      <w:r w:rsidR="00800AA5" w:rsidRPr="00354BD6">
        <w:t xml:space="preserve">, but </w:t>
      </w:r>
      <w:r w:rsidR="007410E3" w:rsidRPr="00354BD6">
        <w:t xml:space="preserve">they </w:t>
      </w:r>
      <w:r w:rsidR="00800AA5" w:rsidRPr="00354BD6">
        <w:t xml:space="preserve">reported fewer concerns about </w:t>
      </w:r>
      <w:r w:rsidR="007410E3" w:rsidRPr="00354BD6">
        <w:t xml:space="preserve">the </w:t>
      </w:r>
      <w:r w:rsidR="00800AA5" w:rsidRPr="00354BD6">
        <w:t xml:space="preserve">condition or accessibility of these tools. </w:t>
      </w:r>
      <w:r w:rsidR="33F43CFA" w:rsidRPr="00354BD6">
        <w:t>An I</w:t>
      </w:r>
      <w:r w:rsidR="1DCB8D94" w:rsidRPr="00354BD6">
        <w:t>nformation Technology</w:t>
      </w:r>
      <w:r w:rsidR="33F43CFA" w:rsidRPr="00354BD6">
        <w:t xml:space="preserve"> </w:t>
      </w:r>
      <w:r w:rsidR="007410E3" w:rsidRPr="00354BD6">
        <w:t>and</w:t>
      </w:r>
      <w:r w:rsidR="00462549" w:rsidRPr="00354BD6">
        <w:t xml:space="preserve"> Educational Technology Needs Assessment report</w:t>
      </w:r>
      <w:r w:rsidR="007410E3" w:rsidRPr="00354BD6">
        <w:t>,</w:t>
      </w:r>
      <w:r w:rsidR="00462549" w:rsidRPr="00354BD6">
        <w:t xml:space="preserve"> published in May 2024, identified several critical areas requiring substantial improvement and provided a series of </w:t>
      </w:r>
      <w:r w:rsidR="00462549" w:rsidRPr="00354BD6">
        <w:lastRenderedPageBreak/>
        <w:t>recommendations aimed at improving the district’s technology infrastructure and capabilities to enhance operations as well as teaching and learning with technology.</w:t>
      </w:r>
      <w:r w:rsidR="009F78DF" w:rsidRPr="00354BD6">
        <w:t xml:space="preserve"> These recommendations included improving the </w:t>
      </w:r>
      <w:r w:rsidR="00002A86" w:rsidRPr="00354BD6">
        <w:t xml:space="preserve">ticketing system, </w:t>
      </w:r>
      <w:r w:rsidR="007410E3" w:rsidRPr="00354BD6">
        <w:t xml:space="preserve">the </w:t>
      </w:r>
      <w:r w:rsidR="00A93843" w:rsidRPr="00354BD6">
        <w:t>device manage</w:t>
      </w:r>
      <w:r w:rsidR="00DE77C4" w:rsidRPr="00354BD6">
        <w:t xml:space="preserve">ment and tracking process, </w:t>
      </w:r>
      <w:r w:rsidR="00FB548A" w:rsidRPr="00354BD6">
        <w:t xml:space="preserve">cybersecurity, </w:t>
      </w:r>
      <w:r w:rsidR="00FC671F" w:rsidRPr="00354BD6">
        <w:t xml:space="preserve">and aligning </w:t>
      </w:r>
      <w:r w:rsidR="007410E3" w:rsidRPr="00354BD6">
        <w:t>IT</w:t>
      </w:r>
      <w:r w:rsidR="00E64831" w:rsidRPr="00354BD6">
        <w:t xml:space="preserve"> </w:t>
      </w:r>
      <w:r w:rsidR="00FB548A" w:rsidRPr="00354BD6">
        <w:t>decisions more closely with district strategic plans through better communication.</w:t>
      </w:r>
      <w:r w:rsidR="00753937" w:rsidRPr="00354BD6">
        <w:t xml:space="preserve"> Addressing concerns about how town and school staff can more effectively </w:t>
      </w:r>
      <w:r w:rsidR="00342CAC">
        <w:t xml:space="preserve">lead and </w:t>
      </w:r>
      <w:r w:rsidR="00753937" w:rsidRPr="00354BD6">
        <w:t>collaborate around the maintenance and support of student technology infrastructure is an area for growth.</w:t>
      </w:r>
      <w:r w:rsidR="00093CAA" w:rsidRPr="00354BD6">
        <w:t xml:space="preserve"> </w:t>
      </w:r>
    </w:p>
    <w:p w14:paraId="5813CB61" w14:textId="529E9E79" w:rsidR="00A72BD4" w:rsidRPr="00900ADE" w:rsidRDefault="00A72BD4" w:rsidP="005C6A8C">
      <w:pPr>
        <w:pStyle w:val="BodyText"/>
      </w:pPr>
      <w:r w:rsidRPr="00900ADE">
        <w:t xml:space="preserve">District leaders did not </w:t>
      </w:r>
      <w:r w:rsidR="004E1506" w:rsidRPr="00900ADE">
        <w:t>discuss</w:t>
      </w:r>
      <w:r w:rsidRPr="00900ADE">
        <w:t xml:space="preserve"> food services</w:t>
      </w:r>
      <w:r w:rsidR="003305B0">
        <w:t xml:space="preserve"> in interviews</w:t>
      </w:r>
      <w:r w:rsidRPr="00900ADE">
        <w:t xml:space="preserve">, but the </w:t>
      </w:r>
      <w:r w:rsidR="007410E3" w:rsidRPr="00900ADE">
        <w:t xml:space="preserve">Medway </w:t>
      </w:r>
      <w:r w:rsidRPr="00900ADE">
        <w:t xml:space="preserve">website </w:t>
      </w:r>
      <w:r w:rsidRPr="00900ADE">
        <w:rPr>
          <w:shd w:val="clear" w:color="auto" w:fill="FFFFFF"/>
        </w:rPr>
        <w:t xml:space="preserve">has information about </w:t>
      </w:r>
      <w:r w:rsidR="004B033B" w:rsidRPr="00900ADE">
        <w:rPr>
          <w:shd w:val="clear" w:color="auto" w:fill="FFFFFF"/>
        </w:rPr>
        <w:t xml:space="preserve">lunch menus and </w:t>
      </w:r>
      <w:r w:rsidRPr="00900ADE">
        <w:rPr>
          <w:shd w:val="clear" w:color="auto" w:fill="FFFFFF"/>
        </w:rPr>
        <w:t xml:space="preserve">free </w:t>
      </w:r>
      <w:r w:rsidR="007410E3" w:rsidRPr="00900ADE">
        <w:rPr>
          <w:shd w:val="clear" w:color="auto" w:fill="FFFFFF"/>
        </w:rPr>
        <w:t xml:space="preserve">or </w:t>
      </w:r>
      <w:r w:rsidRPr="00900ADE">
        <w:rPr>
          <w:shd w:val="clear" w:color="auto" w:fill="FFFFFF"/>
        </w:rPr>
        <w:t>reduced</w:t>
      </w:r>
      <w:r w:rsidR="007410E3" w:rsidRPr="00900ADE">
        <w:rPr>
          <w:shd w:val="clear" w:color="auto" w:fill="FFFFFF"/>
        </w:rPr>
        <w:t>-price</w:t>
      </w:r>
      <w:r w:rsidRPr="00900ADE">
        <w:rPr>
          <w:shd w:val="clear" w:color="auto" w:fill="FFFFFF"/>
        </w:rPr>
        <w:t xml:space="preserve"> lunc</w:t>
      </w:r>
      <w:r w:rsidR="004B033B" w:rsidRPr="00900ADE">
        <w:rPr>
          <w:shd w:val="clear" w:color="auto" w:fill="FFFFFF"/>
        </w:rPr>
        <w:t>h; q</w:t>
      </w:r>
      <w:r w:rsidRPr="00900ADE">
        <w:t xml:space="preserve">ualifying families are eligible for reduced-price or free </w:t>
      </w:r>
      <w:r w:rsidRPr="00900ADE">
        <w:rPr>
          <w:rStyle w:val="Strong"/>
          <w:b w:val="0"/>
          <w:bCs w:val="0"/>
          <w:color w:val="000000" w:themeColor="text1"/>
        </w:rPr>
        <w:t>breakfast and lunch</w:t>
      </w:r>
      <w:r w:rsidRPr="00900ADE">
        <w:t>. Application forms are available in English, Spanish, and Portuguese. Also, neither families nor students discussed the food provided or reported having input into menu development.</w:t>
      </w:r>
    </w:p>
    <w:p w14:paraId="651753C6" w14:textId="07BC428D" w:rsidR="00462549" w:rsidRPr="00900ADE" w:rsidRDefault="00462549" w:rsidP="005C6A8C">
      <w:pPr>
        <w:pStyle w:val="BodyText"/>
        <w:rPr>
          <w:b/>
          <w:bCs/>
        </w:rPr>
      </w:pPr>
      <w:r w:rsidRPr="00900ADE">
        <w:t xml:space="preserve">The </w:t>
      </w:r>
      <w:r w:rsidR="007410E3" w:rsidRPr="00900ADE">
        <w:t xml:space="preserve">Medway </w:t>
      </w:r>
      <w:r w:rsidRPr="00900ADE">
        <w:t>policy manual specifies a process for purchasing supplies and services and effectively manag</w:t>
      </w:r>
      <w:r w:rsidR="001C5A68" w:rsidRPr="00900ADE">
        <w:t>ing</w:t>
      </w:r>
      <w:r w:rsidRPr="00900ADE">
        <w:t xml:space="preserve"> contracts with vendors in alignment with state laws. District staff added that, with its municipal partners, the district executes and manages contracts with its vendors and established timelines to proactively track the end of contracts and provide sufficient time for renewal or rebidding for core district services. Town officials agreed but explained </w:t>
      </w:r>
      <w:r w:rsidR="007410E3" w:rsidRPr="00900ADE">
        <w:t xml:space="preserve">that </w:t>
      </w:r>
      <w:r w:rsidRPr="00900ADE">
        <w:t xml:space="preserve">they play a very limited role in </w:t>
      </w:r>
      <w:r w:rsidR="007410E3" w:rsidRPr="00900ADE">
        <w:t xml:space="preserve">the </w:t>
      </w:r>
      <w:r w:rsidRPr="00900ADE">
        <w:t>procurement of supplies or managing contract</w:t>
      </w:r>
      <w:r w:rsidR="007410E3" w:rsidRPr="00900ADE">
        <w:t>s</w:t>
      </w:r>
      <w:r w:rsidRPr="00900ADE">
        <w:t xml:space="preserve"> with vendors.</w:t>
      </w:r>
    </w:p>
    <w:p w14:paraId="22E56B0C" w14:textId="79B53EB9" w:rsidR="00B827DE" w:rsidRPr="00900ADE" w:rsidRDefault="00041E9B" w:rsidP="00B827DE">
      <w:pPr>
        <w:pStyle w:val="Heading3"/>
      </w:pPr>
      <w:bookmarkStart w:id="73" w:name="_Managing_Capital_Assets"/>
      <w:bookmarkEnd w:id="73"/>
      <w:r w:rsidRPr="00900ADE">
        <w:t xml:space="preserve">Managing </w:t>
      </w:r>
      <w:r w:rsidR="00B827DE" w:rsidRPr="00900ADE">
        <w:t xml:space="preserve">Capital </w:t>
      </w:r>
      <w:r w:rsidRPr="00900ADE">
        <w:t xml:space="preserve">Assets and Capital </w:t>
      </w:r>
      <w:r w:rsidR="00B827DE" w:rsidRPr="00900ADE">
        <w:t>Planning</w:t>
      </w:r>
    </w:p>
    <w:p w14:paraId="18971341" w14:textId="482EA47C" w:rsidR="00950D74" w:rsidRPr="00900ADE" w:rsidRDefault="00950D74" w:rsidP="005C6A8C">
      <w:pPr>
        <w:pStyle w:val="BodyText"/>
      </w:pPr>
      <w:r w:rsidRPr="00900ADE">
        <w:t xml:space="preserve">The district develops its own five-year capital plan that describes future capital needs based on facility assessments. </w:t>
      </w:r>
      <w:r w:rsidR="00901454" w:rsidRPr="00900ADE">
        <w:t>According to one district leader</w:t>
      </w:r>
      <w:r w:rsidRPr="00900ADE">
        <w:t xml:space="preserve">, there are no major outstanding issues for the district because “there’s nothing really aged.” There was no mention from district staff on collecting input from district or community </w:t>
      </w:r>
      <w:r w:rsidR="004224E0" w:rsidRPr="00900ADE">
        <w:t>constituent</w:t>
      </w:r>
      <w:r w:rsidRPr="00900ADE">
        <w:t xml:space="preserve">s </w:t>
      </w:r>
      <w:r w:rsidR="00901454" w:rsidRPr="00900ADE">
        <w:t>on short or long-term facility needs</w:t>
      </w:r>
      <w:r w:rsidR="00DB09B2">
        <w:t>,</w:t>
      </w:r>
      <w:r w:rsidR="00901454" w:rsidRPr="00900ADE">
        <w:t xml:space="preserve"> other than the facilities director</w:t>
      </w:r>
      <w:r w:rsidR="00BE47DF" w:rsidRPr="00900ADE">
        <w:t xml:space="preserve"> and collaborators from the town</w:t>
      </w:r>
      <w:r w:rsidR="00901454" w:rsidRPr="00900ADE">
        <w:t>.</w:t>
      </w:r>
      <w:r w:rsidR="00BE47DF" w:rsidRPr="00900ADE">
        <w:t xml:space="preserve"> </w:t>
      </w:r>
    </w:p>
    <w:p w14:paraId="2AE3D977" w14:textId="77777777" w:rsidR="003E0A6C" w:rsidRDefault="00950D74" w:rsidP="005C6A8C">
      <w:pPr>
        <w:pStyle w:val="BodyText"/>
      </w:pPr>
      <w:r w:rsidRPr="00900ADE">
        <w:t xml:space="preserve">The district presents the capital plan to the school committee </w:t>
      </w:r>
      <w:r w:rsidR="00F81006" w:rsidRPr="00900ADE">
        <w:t xml:space="preserve">every </w:t>
      </w:r>
      <w:r w:rsidRPr="00900ADE">
        <w:t xml:space="preserve">November for review. After their line-by-line examination and, if necessary, changes are made, the plan goes to the town manager and the town’s </w:t>
      </w:r>
      <w:r w:rsidR="004F6A20" w:rsidRPr="00900ADE">
        <w:t>c</w:t>
      </w:r>
      <w:r w:rsidRPr="00900ADE">
        <w:t xml:space="preserve">apital </w:t>
      </w:r>
      <w:r w:rsidR="004F6A20" w:rsidRPr="00900ADE">
        <w:t>i</w:t>
      </w:r>
      <w:r w:rsidRPr="00900ADE">
        <w:t xml:space="preserve">mprovement </w:t>
      </w:r>
      <w:r w:rsidR="004F6A20" w:rsidRPr="00900ADE">
        <w:t>c</w:t>
      </w:r>
      <w:r w:rsidRPr="00900ADE">
        <w:t xml:space="preserve">ommittee. </w:t>
      </w:r>
    </w:p>
    <w:p w14:paraId="1E95275B" w14:textId="77777777" w:rsidR="003E0A6C" w:rsidRPr="00900ADE" w:rsidRDefault="00950D74" w:rsidP="003E0A6C">
      <w:pPr>
        <w:pStyle w:val="BodyTextposthead"/>
        <w:rPr>
          <w:bdr w:val="none" w:sz="0" w:space="0" w:color="auto" w:frame="1"/>
        </w:rPr>
      </w:pPr>
      <w:r w:rsidRPr="00900ADE">
        <w:t>Members of this committee do a walkthrough of the schools</w:t>
      </w:r>
      <w:r w:rsidR="00F81006" w:rsidRPr="00900ADE">
        <w:t xml:space="preserve"> annually</w:t>
      </w:r>
      <w:r w:rsidR="00901454" w:rsidRPr="00900ADE">
        <w:t>.</w:t>
      </w:r>
      <w:r w:rsidRPr="00900ADE">
        <w:t xml:space="preserve"> </w:t>
      </w:r>
      <w:r w:rsidR="003E0A6C" w:rsidRPr="00900ADE">
        <w:t>As reported by district staff, Medway has a director of facilities who leads annual walkthroughs with a capital improvement committee to identify major needs and then tracks ongoing needs on an as-needed basis. District staff reported good relationships between district facilities management and town staff who support capital improvement. These same respondents described a productive working relationship in identifying annual requests and making plans to address those requests. However, a description of a formal system for tracking needs related to the replacement or disposal of goods, beyond individual expertise, is lacking.</w:t>
      </w:r>
    </w:p>
    <w:p w14:paraId="76CA6B7E" w14:textId="5B1383EE" w:rsidR="00950D74" w:rsidRPr="00900ADE" w:rsidRDefault="00950D74" w:rsidP="005C6A8C">
      <w:pPr>
        <w:pStyle w:val="BodyText"/>
      </w:pPr>
      <w:r w:rsidRPr="00900ADE">
        <w:t>According to district leaders, when it comes to capital expenses, the district does not get all that they ask for, but “there</w:t>
      </w:r>
      <w:r w:rsidR="004F6A20" w:rsidRPr="00900ADE">
        <w:t>’</w:t>
      </w:r>
      <w:r w:rsidRPr="00900ADE">
        <w:t>s a lot of effort to ensure that [the] facilities are well maintained and that [the district has their] needs met.”</w:t>
      </w:r>
    </w:p>
    <w:p w14:paraId="4E8ABA88" w14:textId="4F2F827A" w:rsidR="00901454" w:rsidRPr="00900ADE" w:rsidRDefault="002E02F2" w:rsidP="005C6A8C">
      <w:pPr>
        <w:pStyle w:val="BodyText"/>
      </w:pPr>
      <w:r w:rsidRPr="00900ADE">
        <w:lastRenderedPageBreak/>
        <w:t>A strength of the district is how t</w:t>
      </w:r>
      <w:r w:rsidR="00106C8A" w:rsidRPr="00900ADE">
        <w:rPr>
          <w:bdr w:val="none" w:sz="0" w:space="0" w:color="auto" w:frame="1"/>
        </w:rPr>
        <w:t xml:space="preserve">he </w:t>
      </w:r>
      <w:r w:rsidR="00106C8A" w:rsidRPr="00900ADE">
        <w:t>town provides significant support for capital expenses, such as replacing roofs and purchasing school vans, which helps maintain district facilities</w:t>
      </w:r>
      <w:r w:rsidR="00E463DF" w:rsidRPr="00900ADE">
        <w:t xml:space="preserve"> and capital assets</w:t>
      </w:r>
      <w:r w:rsidR="00106C8A" w:rsidRPr="00900ADE">
        <w:t xml:space="preserve">. </w:t>
      </w:r>
      <w:r w:rsidR="00901454" w:rsidRPr="00900ADE">
        <w:t xml:space="preserve">A school committee member described the support provided by the town: </w:t>
      </w:r>
    </w:p>
    <w:p w14:paraId="3B22D3B1" w14:textId="0C6EE581" w:rsidR="00901454" w:rsidRPr="00900ADE" w:rsidRDefault="00901454" w:rsidP="005C6A8C">
      <w:pPr>
        <w:pStyle w:val="BlockQuote"/>
      </w:pPr>
      <w:r w:rsidRPr="00900ADE">
        <w:t xml:space="preserve">I am very grateful to the town </w:t>
      </w:r>
      <w:r w:rsidR="008C787B" w:rsidRPr="00900ADE">
        <w:t xml:space="preserve">. . . </w:t>
      </w:r>
      <w:r w:rsidRPr="00900ADE">
        <w:t xml:space="preserve">We just had a lot of roofs that have been replaced, and we have not had to go out and borrow for those. [Another example is we told the school committee], </w:t>
      </w:r>
      <w:r w:rsidR="004F6A20" w:rsidRPr="00900ADE">
        <w:t>“</w:t>
      </w:r>
      <w:r w:rsidRPr="00900ADE">
        <w:t xml:space="preserve">we can save money by purchasing our own school vans and </w:t>
      </w:r>
      <w:r w:rsidR="008C787B" w:rsidRPr="00900ADE">
        <w:t xml:space="preserve">. . . </w:t>
      </w:r>
      <w:r w:rsidRPr="00900ADE">
        <w:t>providing some of that specialized transportation for our school district, and this is how much it will save us. Would you consider helping us purchase a van?</w:t>
      </w:r>
      <w:r w:rsidR="004F6A20" w:rsidRPr="00900ADE">
        <w:t>”</w:t>
      </w:r>
      <w:r w:rsidRPr="00900ADE">
        <w:t xml:space="preserve"> And they have said yes.</w:t>
      </w:r>
    </w:p>
    <w:p w14:paraId="0EA4E4DB" w14:textId="34998A12" w:rsidR="74A7C0AD" w:rsidRPr="00900ADE" w:rsidRDefault="004F6A20" w:rsidP="005C6A8C">
      <w:pPr>
        <w:pStyle w:val="BodyText"/>
      </w:pPr>
      <w:r w:rsidRPr="00900ADE">
        <w:t>S</w:t>
      </w:r>
      <w:r w:rsidR="74A7C0AD" w:rsidRPr="00900ADE">
        <w:t xml:space="preserve">everal respondents described some disagreement </w:t>
      </w:r>
      <w:r w:rsidRPr="00900ADE">
        <w:t xml:space="preserve">about </w:t>
      </w:r>
      <w:r w:rsidR="74A7C0AD" w:rsidRPr="00900ADE">
        <w:t xml:space="preserve">the overall sufficiency of resources, </w:t>
      </w:r>
      <w:r w:rsidRPr="00900ADE">
        <w:t xml:space="preserve">but </w:t>
      </w:r>
      <w:r w:rsidR="74A7C0AD" w:rsidRPr="00900ADE">
        <w:t xml:space="preserve">participants generally agreed on support for capital </w:t>
      </w:r>
      <w:r w:rsidR="00623B7F" w:rsidRPr="00900ADE">
        <w:t>maintenance</w:t>
      </w:r>
      <w:r w:rsidR="74A7C0AD" w:rsidRPr="00900ADE">
        <w:t xml:space="preserve"> in the district. </w:t>
      </w:r>
    </w:p>
    <w:p w14:paraId="6A8BD12D" w14:textId="77777777" w:rsidR="002B4CEF" w:rsidRPr="00900ADE" w:rsidRDefault="002B4CEF" w:rsidP="002B4CEF">
      <w:pPr>
        <w:pStyle w:val="Heading3"/>
      </w:pPr>
      <w:r w:rsidRPr="00900ADE">
        <w:t>DESE Recommendations</w:t>
      </w:r>
    </w:p>
    <w:p w14:paraId="10E4978C" w14:textId="6AEEEE72" w:rsidR="002B4CEF" w:rsidRPr="003737EA" w:rsidRDefault="008A1626" w:rsidP="002B4CEF">
      <w:pPr>
        <w:pStyle w:val="Bullet1"/>
        <w:rPr>
          <w:bCs/>
        </w:rPr>
      </w:pPr>
      <w:r>
        <w:rPr>
          <w:i/>
          <w:iCs/>
        </w:rPr>
        <w:t>The district should</w:t>
      </w:r>
      <w:r w:rsidR="00C57795">
        <w:rPr>
          <w:i/>
          <w:iCs/>
        </w:rPr>
        <w:t xml:space="preserve"> </w:t>
      </w:r>
      <w:r w:rsidR="00D045F0">
        <w:rPr>
          <w:i/>
          <w:iCs/>
        </w:rPr>
        <w:t xml:space="preserve">partner with its municipal stakeholders to proactively </w:t>
      </w:r>
      <w:r w:rsidR="00F57234">
        <w:rPr>
          <w:i/>
          <w:iCs/>
        </w:rPr>
        <w:t xml:space="preserve">identify </w:t>
      </w:r>
      <w:r w:rsidR="00017F1A">
        <w:rPr>
          <w:i/>
          <w:iCs/>
        </w:rPr>
        <w:t xml:space="preserve">sustainable, </w:t>
      </w:r>
      <w:r w:rsidR="00F1195B">
        <w:rPr>
          <w:i/>
          <w:iCs/>
        </w:rPr>
        <w:t xml:space="preserve">long-term financial plans that address </w:t>
      </w:r>
      <w:r w:rsidR="00017F1A">
        <w:rPr>
          <w:i/>
          <w:iCs/>
        </w:rPr>
        <w:t>anticipated budget shortfalls</w:t>
      </w:r>
      <w:r w:rsidR="00FF0FAA">
        <w:rPr>
          <w:i/>
          <w:iCs/>
        </w:rPr>
        <w:t xml:space="preserve"> while </w:t>
      </w:r>
      <w:r w:rsidR="009A5407">
        <w:rPr>
          <w:i/>
          <w:iCs/>
        </w:rPr>
        <w:t xml:space="preserve">continuing to </w:t>
      </w:r>
      <w:r w:rsidR="00CB6EE1">
        <w:rPr>
          <w:i/>
          <w:iCs/>
        </w:rPr>
        <w:t xml:space="preserve">provide resources for </w:t>
      </w:r>
      <w:r w:rsidR="009A5407">
        <w:rPr>
          <w:i/>
          <w:iCs/>
        </w:rPr>
        <w:t>students’ needs</w:t>
      </w:r>
      <w:r w:rsidR="0074593F">
        <w:rPr>
          <w:i/>
          <w:iCs/>
        </w:rPr>
        <w:t xml:space="preserve">. </w:t>
      </w:r>
    </w:p>
    <w:p w14:paraId="7C3B9CDA" w14:textId="4DB65874" w:rsidR="003737EA" w:rsidRDefault="003737EA" w:rsidP="00F2227D">
      <w:pPr>
        <w:pStyle w:val="Bullet1"/>
      </w:pPr>
      <w:r>
        <w:rPr>
          <w:i/>
          <w:iCs/>
        </w:rPr>
        <w:t>The district should</w:t>
      </w:r>
      <w:r w:rsidR="00024819">
        <w:rPr>
          <w:i/>
          <w:iCs/>
        </w:rPr>
        <w:t xml:space="preserve"> follow </w:t>
      </w:r>
      <w:r w:rsidR="00F14EDC">
        <w:rPr>
          <w:i/>
          <w:iCs/>
        </w:rPr>
        <w:t xml:space="preserve">up </w:t>
      </w:r>
      <w:r w:rsidR="00024819">
        <w:rPr>
          <w:i/>
          <w:iCs/>
        </w:rPr>
        <w:t>on the May 2024 report on</w:t>
      </w:r>
      <w:r w:rsidR="003C74BC">
        <w:rPr>
          <w:i/>
          <w:iCs/>
        </w:rPr>
        <w:t xml:space="preserve"> technology support and implement recommendations, where feasible, to address </w:t>
      </w:r>
      <w:r w:rsidR="00EC7DD0">
        <w:rPr>
          <w:i/>
          <w:iCs/>
        </w:rPr>
        <w:t xml:space="preserve">critical </w:t>
      </w:r>
      <w:r w:rsidR="003C74BC">
        <w:rPr>
          <w:i/>
          <w:iCs/>
        </w:rPr>
        <w:t xml:space="preserve">concerns </w:t>
      </w:r>
      <w:r w:rsidR="00EC7DD0">
        <w:rPr>
          <w:i/>
          <w:iCs/>
        </w:rPr>
        <w:t xml:space="preserve">regarding </w:t>
      </w:r>
      <w:r w:rsidR="006E5D9B">
        <w:rPr>
          <w:i/>
          <w:iCs/>
        </w:rPr>
        <w:t xml:space="preserve">leadership, </w:t>
      </w:r>
      <w:r w:rsidR="003D49FF">
        <w:rPr>
          <w:i/>
          <w:iCs/>
        </w:rPr>
        <w:t>operations</w:t>
      </w:r>
      <w:r w:rsidR="006E5D9B">
        <w:rPr>
          <w:i/>
          <w:iCs/>
        </w:rPr>
        <w:t>,</w:t>
      </w:r>
      <w:r w:rsidR="003D49FF">
        <w:rPr>
          <w:i/>
          <w:iCs/>
        </w:rPr>
        <w:t xml:space="preserve"> and tracking</w:t>
      </w:r>
      <w:r>
        <w:rPr>
          <w:i/>
          <w:iCs/>
        </w:rPr>
        <w:t>.</w:t>
      </w:r>
    </w:p>
    <w:p w14:paraId="5907066C" w14:textId="77777777" w:rsidR="00AE50A0" w:rsidRDefault="00AE50A0" w:rsidP="009E578A">
      <w:pPr>
        <w:pStyle w:val="Heading2"/>
        <w:sectPr w:rsidR="00AE50A0" w:rsidSect="00D67AD2">
          <w:footerReference w:type="default" r:id="rId30"/>
          <w:headerReference w:type="first" r:id="rId31"/>
          <w:pgSz w:w="12240" w:h="15840" w:code="1"/>
          <w:pgMar w:top="1440" w:right="1440" w:bottom="1440" w:left="1440" w:header="720" w:footer="720" w:gutter="0"/>
          <w:pgNumType w:start="1"/>
          <w:cols w:space="720"/>
          <w:docGrid w:linePitch="360"/>
        </w:sectPr>
      </w:pPr>
    </w:p>
    <w:p w14:paraId="3086BDED" w14:textId="6668ACD0" w:rsidR="008E314D" w:rsidRPr="00900ADE" w:rsidRDefault="008E314D" w:rsidP="009E578A">
      <w:pPr>
        <w:pStyle w:val="Heading2"/>
      </w:pPr>
      <w:bookmarkStart w:id="74" w:name="_Toc202873114"/>
      <w:r w:rsidRPr="00900ADE">
        <w:lastRenderedPageBreak/>
        <w:t>Appendix A</w:t>
      </w:r>
      <w:r w:rsidR="006A3A0E" w:rsidRPr="00900ADE">
        <w:t>.</w:t>
      </w:r>
      <w:r w:rsidRPr="00900ADE">
        <w:t xml:space="preserve"> </w:t>
      </w:r>
      <w:bookmarkEnd w:id="4"/>
      <w:bookmarkEnd w:id="5"/>
      <w:bookmarkEnd w:id="6"/>
      <w:r w:rsidR="00E475E7" w:rsidRPr="00900ADE">
        <w:t>Summary of Site Visit Activities</w:t>
      </w:r>
      <w:bookmarkEnd w:id="7"/>
      <w:bookmarkEnd w:id="74"/>
    </w:p>
    <w:p w14:paraId="5CB5BDC4" w14:textId="03C25C40" w:rsidR="00B827DE" w:rsidRPr="00900ADE" w:rsidRDefault="00B827DE" w:rsidP="00900D3E">
      <w:pPr>
        <w:pStyle w:val="BodyText"/>
      </w:pPr>
      <w:r w:rsidRPr="00900ADE">
        <w:t xml:space="preserve">The </w:t>
      </w:r>
      <w:r w:rsidR="00494638" w:rsidRPr="00900ADE">
        <w:t>AIR</w:t>
      </w:r>
      <w:r w:rsidRPr="00900ADE">
        <w:t xml:space="preserve"> team completed the following activities as part of the district review activities in </w:t>
      </w:r>
      <w:r w:rsidR="004E63CD" w:rsidRPr="00900ADE">
        <w:t>Medway</w:t>
      </w:r>
      <w:r w:rsidRPr="00900ADE">
        <w:t>. The team conducted </w:t>
      </w:r>
      <w:r w:rsidR="004E63CD" w:rsidRPr="00900ADE">
        <w:t xml:space="preserve">64 </w:t>
      </w:r>
      <w:r w:rsidRPr="00900ADE">
        <w:t xml:space="preserve">classroom observations during the week of </w:t>
      </w:r>
      <w:r w:rsidR="005D569B" w:rsidRPr="00900ADE">
        <w:t xml:space="preserve">January </w:t>
      </w:r>
      <w:r w:rsidR="00AE7B26" w:rsidRPr="00900ADE">
        <w:t>13, 2025</w:t>
      </w:r>
      <w:r w:rsidRPr="00900ADE">
        <w:t xml:space="preserve">, and held interviews and focus groups between </w:t>
      </w:r>
      <w:r w:rsidR="00AE7B26" w:rsidRPr="00900ADE">
        <w:t>January 13 and January 17</w:t>
      </w:r>
      <w:r w:rsidRPr="00900ADE">
        <w:t>. The site visit team conducted interviews and focus groups with the following representatives from the school and the district: </w:t>
      </w:r>
    </w:p>
    <w:p w14:paraId="433DFA3E" w14:textId="77777777" w:rsidR="00B827DE" w:rsidRPr="00900ADE" w:rsidRDefault="00B827DE" w:rsidP="00900D3E">
      <w:pPr>
        <w:pStyle w:val="Bullet1"/>
      </w:pPr>
      <w:r w:rsidRPr="00900ADE">
        <w:t xml:space="preserve">Superintendent </w:t>
      </w:r>
    </w:p>
    <w:p w14:paraId="3BB607E5" w14:textId="77777777" w:rsidR="00B827DE" w:rsidRPr="00900ADE" w:rsidRDefault="00B827DE" w:rsidP="00900D3E">
      <w:pPr>
        <w:pStyle w:val="Bullet1"/>
      </w:pPr>
      <w:r w:rsidRPr="00900ADE">
        <w:t xml:space="preserve">Other district leaders </w:t>
      </w:r>
    </w:p>
    <w:p w14:paraId="5159C132" w14:textId="77777777" w:rsidR="00B827DE" w:rsidRPr="00900ADE" w:rsidRDefault="00B827DE" w:rsidP="00900D3E">
      <w:pPr>
        <w:pStyle w:val="Bullet1"/>
      </w:pPr>
      <w:r w:rsidRPr="00900ADE">
        <w:t xml:space="preserve">School committee members </w:t>
      </w:r>
    </w:p>
    <w:p w14:paraId="7B556F4E" w14:textId="5259C376" w:rsidR="00B827DE" w:rsidRPr="00900ADE" w:rsidRDefault="00B827DE" w:rsidP="00900D3E">
      <w:pPr>
        <w:pStyle w:val="Bullet1"/>
      </w:pPr>
      <w:r w:rsidRPr="00900ADE">
        <w:t xml:space="preserve">Teachers’ association </w:t>
      </w:r>
      <w:r w:rsidR="00A97439" w:rsidRPr="00900ADE">
        <w:t xml:space="preserve">leadership </w:t>
      </w:r>
    </w:p>
    <w:p w14:paraId="179C02DE" w14:textId="77777777" w:rsidR="00B827DE" w:rsidRPr="00900ADE" w:rsidRDefault="00B827DE" w:rsidP="00900D3E">
      <w:pPr>
        <w:pStyle w:val="Bullet1"/>
      </w:pPr>
      <w:r w:rsidRPr="00900ADE">
        <w:t xml:space="preserve">Principals </w:t>
      </w:r>
    </w:p>
    <w:p w14:paraId="5726B81E" w14:textId="77777777" w:rsidR="00B827DE" w:rsidRPr="00900ADE" w:rsidRDefault="00B827DE" w:rsidP="00900D3E">
      <w:pPr>
        <w:pStyle w:val="Bullet1"/>
      </w:pPr>
      <w:r w:rsidRPr="00900ADE">
        <w:t xml:space="preserve">Teachers </w:t>
      </w:r>
    </w:p>
    <w:p w14:paraId="03723CF4" w14:textId="77777777" w:rsidR="00B827DE" w:rsidRPr="00900ADE" w:rsidRDefault="00B827DE" w:rsidP="00900D3E">
      <w:pPr>
        <w:pStyle w:val="Bullet1"/>
      </w:pPr>
      <w:r w:rsidRPr="00900ADE">
        <w:t xml:space="preserve">Support specialists </w:t>
      </w:r>
    </w:p>
    <w:p w14:paraId="50991F40" w14:textId="77777777" w:rsidR="00B827DE" w:rsidRPr="00900ADE" w:rsidRDefault="00B827DE" w:rsidP="00900D3E">
      <w:pPr>
        <w:pStyle w:val="Bullet1"/>
      </w:pPr>
      <w:r w:rsidRPr="00900ADE">
        <w:t xml:space="preserve">Parents </w:t>
      </w:r>
    </w:p>
    <w:p w14:paraId="1D50C673" w14:textId="77777777" w:rsidR="00B827DE" w:rsidRPr="00900ADE" w:rsidRDefault="00B827DE" w:rsidP="00900D3E">
      <w:pPr>
        <w:pStyle w:val="Bullet1"/>
      </w:pPr>
      <w:r w:rsidRPr="00900ADE">
        <w:t xml:space="preserve">Students </w:t>
      </w:r>
    </w:p>
    <w:p w14:paraId="3ED9E858" w14:textId="77777777" w:rsidR="00B827DE" w:rsidRPr="00900ADE" w:rsidRDefault="00B827DE" w:rsidP="00900D3E">
      <w:pPr>
        <w:pStyle w:val="Bullet1"/>
      </w:pPr>
      <w:r w:rsidRPr="00900ADE">
        <w:t xml:space="preserve">Town representative </w:t>
      </w:r>
    </w:p>
    <w:p w14:paraId="48B34525" w14:textId="24EFC9BA" w:rsidR="00B827DE" w:rsidRPr="00900ADE" w:rsidRDefault="00B827DE" w:rsidP="00900D3E">
      <w:pPr>
        <w:pStyle w:val="BodyText"/>
      </w:pPr>
      <w:r w:rsidRPr="00900ADE">
        <w:t>The review team analyzed multiple datasets and reviewed numerous documents before and during the site visit, including</w:t>
      </w:r>
      <w:r w:rsidR="00494638" w:rsidRPr="00900ADE">
        <w:t xml:space="preserve"> the following</w:t>
      </w:r>
      <w:r w:rsidRPr="00900ADE">
        <w:t xml:space="preserve">: </w:t>
      </w:r>
    </w:p>
    <w:p w14:paraId="207079BB" w14:textId="1E1AA310" w:rsidR="00B827DE" w:rsidRPr="00900ADE" w:rsidRDefault="00B827DE" w:rsidP="00B827DE">
      <w:pPr>
        <w:pStyle w:val="Bullet1"/>
      </w:pPr>
      <w:r w:rsidRPr="00900ADE">
        <w:t>Student and school performance data, including achievement and growth, enrollment, graduation, dropout, retention, suspension, and attendance rates</w:t>
      </w:r>
    </w:p>
    <w:p w14:paraId="15FAB3E2" w14:textId="7EEE6304" w:rsidR="00B827DE" w:rsidRPr="00900ADE" w:rsidRDefault="00B827DE" w:rsidP="00B827DE">
      <w:pPr>
        <w:pStyle w:val="Bullet1"/>
      </w:pPr>
      <w:r w:rsidRPr="00900ADE">
        <w:t xml:space="preserve">Data on the district’s staffing and finances </w:t>
      </w:r>
    </w:p>
    <w:p w14:paraId="4DD39A60" w14:textId="7A31A1A3" w:rsidR="00B827DE" w:rsidRPr="00900ADE" w:rsidRDefault="0054101D" w:rsidP="00B827DE">
      <w:pPr>
        <w:pStyle w:val="Bullet1"/>
      </w:pPr>
      <w:r w:rsidRPr="00900ADE">
        <w:t xml:space="preserve">Curricular </w:t>
      </w:r>
      <w:r w:rsidR="00B827DE" w:rsidRPr="00900ADE">
        <w:t>review process and timeline</w:t>
      </w:r>
    </w:p>
    <w:p w14:paraId="49D63455" w14:textId="0CAA5FB5" w:rsidR="00B827DE" w:rsidRPr="00900ADE" w:rsidRDefault="00E300A7" w:rsidP="00B827DE">
      <w:pPr>
        <w:pStyle w:val="Bullet1"/>
      </w:pPr>
      <w:r w:rsidRPr="00900ADE">
        <w:t xml:space="preserve">Medway </w:t>
      </w:r>
      <w:r w:rsidR="00B827DE" w:rsidRPr="00900ADE">
        <w:t xml:space="preserve">curriculum </w:t>
      </w:r>
      <w:r w:rsidRPr="00900ADE">
        <w:t>scope and sequence</w:t>
      </w:r>
      <w:r w:rsidR="00B72D8C" w:rsidRPr="00900ADE">
        <w:t xml:space="preserve"> documents</w:t>
      </w:r>
    </w:p>
    <w:p w14:paraId="39A28A74" w14:textId="212B18BC" w:rsidR="00B827DE" w:rsidRPr="00900ADE" w:rsidRDefault="00B827DE" w:rsidP="00B827DE">
      <w:pPr>
        <w:pStyle w:val="Bullet1"/>
      </w:pPr>
      <w:r w:rsidRPr="00900ADE">
        <w:t>Published educational reports on the district by DESE, the New England Association of Schools and Colleges, and the former Office of Educational Quality and Accountability</w:t>
      </w:r>
    </w:p>
    <w:p w14:paraId="2BA65B5C" w14:textId="64699D20" w:rsidR="00B827DE" w:rsidRPr="00900ADE" w:rsidRDefault="00B827DE" w:rsidP="00B827DE">
      <w:pPr>
        <w:pStyle w:val="Bullet1"/>
      </w:pPr>
      <w:r w:rsidRPr="00900ADE">
        <w:t xml:space="preserve">District documents such as district and </w:t>
      </w:r>
      <w:r w:rsidR="00494638" w:rsidRPr="00900ADE">
        <w:t xml:space="preserve">school </w:t>
      </w:r>
      <w:r w:rsidRPr="00900ADE">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900ADE" w:rsidRDefault="00B827DE" w:rsidP="00B827DE">
      <w:pPr>
        <w:pStyle w:val="Bullet1"/>
      </w:pPr>
      <w:r w:rsidRPr="00900ADE">
        <w:t>All completed program and administrator evaluations and a random selection of completed teacher evaluations</w:t>
      </w:r>
    </w:p>
    <w:p w14:paraId="463A5006" w14:textId="131068F2" w:rsidR="008D6102" w:rsidRPr="00900ADE" w:rsidRDefault="008D6102" w:rsidP="00DA6C44">
      <w:pPr>
        <w:pStyle w:val="Bullet1"/>
        <w:numPr>
          <w:ilvl w:val="0"/>
          <w:numId w:val="0"/>
        </w:numPr>
        <w:ind w:left="720" w:hanging="360"/>
      </w:pPr>
    </w:p>
    <w:p w14:paraId="6A7B59BA" w14:textId="77777777" w:rsidR="006D0B48" w:rsidRPr="00900ADE" w:rsidRDefault="006D0B48" w:rsidP="00BD50B0">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900ADE" w:rsidSect="00AE50A0">
          <w:type w:val="continuous"/>
          <w:pgSz w:w="12240" w:h="15840" w:code="1"/>
          <w:pgMar w:top="1440" w:right="1440" w:bottom="1440" w:left="1440" w:header="720" w:footer="720" w:gutter="0"/>
          <w:pgNumType w:start="1"/>
          <w:cols w:space="720"/>
          <w:docGrid w:linePitch="360"/>
        </w:sectPr>
      </w:pPr>
    </w:p>
    <w:p w14:paraId="2A2032DD" w14:textId="77777777" w:rsidR="00486B55" w:rsidRPr="00900ADE" w:rsidRDefault="00486B55" w:rsidP="00486B55">
      <w:pPr>
        <w:pStyle w:val="Heading2"/>
        <w:pageBreakBefore w:val="0"/>
      </w:pPr>
      <w:bookmarkStart w:id="75" w:name="_Toc101878651"/>
      <w:bookmarkStart w:id="76" w:name="_Toc202873115"/>
      <w:bookmarkStart w:id="77" w:name="_Hlk100740908"/>
      <w:bookmarkStart w:id="78" w:name="_Toc101878652"/>
      <w:bookmarkStart w:id="79" w:name="_Toc101878650"/>
      <w:r w:rsidRPr="00900ADE">
        <w:lastRenderedPageBreak/>
        <w:t>Appendix B. Districtwide Instructional Observation Report</w:t>
      </w:r>
      <w:bookmarkEnd w:id="75"/>
      <w:bookmarkEnd w:id="76"/>
      <w:r w:rsidRPr="00900ADE">
        <w:t xml:space="preserve"> </w:t>
      </w:r>
    </w:p>
    <w:p w14:paraId="6E957328" w14:textId="77777777" w:rsidR="00840E7A" w:rsidRPr="00900ADE" w:rsidRDefault="00840E7A" w:rsidP="00821E46">
      <w:pPr>
        <w:pStyle w:val="BodyTextposthead"/>
        <w:sectPr w:rsidR="00840E7A" w:rsidRPr="00900ADE" w:rsidSect="00D67AD2">
          <w:footerReference w:type="default" r:id="rId32"/>
          <w:headerReference w:type="first" r:id="rId33"/>
          <w:pgSz w:w="12240" w:h="15840" w:code="1"/>
          <w:pgMar w:top="1440" w:right="1440" w:bottom="1440" w:left="1440" w:header="720" w:footer="720" w:gutter="0"/>
          <w:pgNumType w:start="1"/>
          <w:cols w:space="720"/>
          <w:docGrid w:linePitch="360"/>
        </w:sectPr>
      </w:pPr>
    </w:p>
    <w:p w14:paraId="2F60BB48" w14:textId="77777777" w:rsidR="00840E7A" w:rsidRPr="00900ADE" w:rsidRDefault="00840E7A">
      <w:pPr>
        <w:pStyle w:val="CoverSubtitle"/>
      </w:pPr>
    </w:p>
    <w:p w14:paraId="2CFD8728" w14:textId="77777777" w:rsidR="00840E7A" w:rsidRPr="00900ADE" w:rsidRDefault="00840E7A">
      <w:pPr>
        <w:pStyle w:val="CoverSubtitle"/>
      </w:pPr>
    </w:p>
    <w:p w14:paraId="1536E6BF" w14:textId="77777777" w:rsidR="00840E7A" w:rsidRPr="00900ADE" w:rsidRDefault="00840E7A">
      <w:pPr>
        <w:pStyle w:val="CoverSubtitle"/>
      </w:pPr>
    </w:p>
    <w:p w14:paraId="763EDF5C" w14:textId="77777777" w:rsidR="00840E7A" w:rsidRPr="00900ADE" w:rsidRDefault="00840E7A">
      <w:pPr>
        <w:pStyle w:val="CoverSubtitle"/>
      </w:pPr>
    </w:p>
    <w:p w14:paraId="650BD28B" w14:textId="77777777" w:rsidR="00840E7A" w:rsidRPr="00900ADE" w:rsidRDefault="00840E7A">
      <w:pPr>
        <w:pStyle w:val="CoverSubtitle"/>
      </w:pPr>
    </w:p>
    <w:p w14:paraId="1198FDBC" w14:textId="77777777" w:rsidR="00840E7A" w:rsidRPr="00900ADE" w:rsidRDefault="00840E7A">
      <w:pPr>
        <w:pStyle w:val="CoverSubtitle"/>
      </w:pPr>
    </w:p>
    <w:p w14:paraId="354AC39B" w14:textId="77777777" w:rsidR="00840E7A" w:rsidRPr="00900ADE" w:rsidRDefault="00840E7A">
      <w:pPr>
        <w:pStyle w:val="CoverSubtitle"/>
      </w:pPr>
      <w:bookmarkStart w:id="80" w:name="District1"/>
      <w:r w:rsidRPr="00900ADE">
        <w:t>Medway</w:t>
      </w:r>
      <w:bookmarkEnd w:id="80"/>
      <w:r w:rsidRPr="00900ADE">
        <w:t xml:space="preserve"> Public Schools</w:t>
      </w:r>
    </w:p>
    <w:p w14:paraId="103ECE87" w14:textId="77777777" w:rsidR="00840E7A" w:rsidRPr="00900ADE" w:rsidRDefault="00840E7A">
      <w:pPr>
        <w:pStyle w:val="CoverSubtitle3"/>
        <w:ind w:right="-126"/>
      </w:pPr>
      <w:r w:rsidRPr="00900ADE">
        <w:t>Classroom Visits: Summary of Findings</w:t>
      </w:r>
    </w:p>
    <w:p w14:paraId="5485D3E1" w14:textId="6807D1E1" w:rsidR="00840E7A" w:rsidRPr="00622879" w:rsidRDefault="00840E7A" w:rsidP="0058278B">
      <w:pPr>
        <w:pStyle w:val="CoverSubtitle2-SIOR"/>
        <w:spacing w:before="760"/>
        <w:rPr>
          <w:color w:val="auto"/>
        </w:rPr>
      </w:pPr>
      <w:r w:rsidRPr="00622879">
        <w:rPr>
          <w:color w:val="auto"/>
        </w:rPr>
        <w:t>Districtwide Instructional Observation Report</w:t>
      </w:r>
    </w:p>
    <w:p w14:paraId="2D1E397A" w14:textId="77777777" w:rsidR="00840E7A" w:rsidRPr="00900ADE" w:rsidRDefault="00840E7A">
      <w:pPr>
        <w:pStyle w:val="CoverDate"/>
      </w:pPr>
      <w:bookmarkStart w:id="81" w:name="MonthName1"/>
      <w:r w:rsidRPr="00900ADE">
        <w:t>January</w:t>
      </w:r>
      <w:bookmarkEnd w:id="81"/>
      <w:r w:rsidRPr="00900ADE">
        <w:t xml:space="preserve"> </w:t>
      </w:r>
      <w:bookmarkStart w:id="82" w:name="Year1"/>
      <w:r w:rsidRPr="00900ADE">
        <w:t>2025</w:t>
      </w:r>
      <w:bookmarkEnd w:id="82"/>
    </w:p>
    <w:p w14:paraId="7B8FD5E2" w14:textId="77777777" w:rsidR="00840E7A" w:rsidRPr="00900ADE" w:rsidRDefault="00840E7A" w:rsidP="00183FE8">
      <w:pPr>
        <w:pStyle w:val="Cover-AIRaddress"/>
        <w:spacing w:before="6000"/>
      </w:pPr>
      <w:r w:rsidRPr="00900ADE">
        <w:t>201 Jones Road</w:t>
      </w:r>
      <w:r w:rsidRPr="00900ADE">
        <w:br/>
        <w:t>Waltham, Massachusetts</w:t>
      </w:r>
      <w:r w:rsidRPr="00900ADE">
        <w:br/>
        <w:t>781-373-7000 | TTY 877.334.3499</w:t>
      </w:r>
    </w:p>
    <w:p w14:paraId="580D33C4" w14:textId="77777777" w:rsidR="00840E7A" w:rsidRPr="00900ADE" w:rsidRDefault="00840E7A">
      <w:pPr>
        <w:pStyle w:val="Cover-AIRaddress"/>
        <w:rPr>
          <w:sz w:val="18"/>
        </w:rPr>
      </w:pPr>
      <w:hyperlink r:id="rId34" w:history="1">
        <w:r w:rsidRPr="00900ADE">
          <w:rPr>
            <w:rStyle w:val="FranklinGothicDemi"/>
            <w:u w:val="single"/>
          </w:rPr>
          <w:t>www.air.org</w:t>
        </w:r>
      </w:hyperlink>
      <w:r w:rsidRPr="00900ADE">
        <w:tab/>
      </w:r>
    </w:p>
    <w:p w14:paraId="0D87B901" w14:textId="77777777" w:rsidR="00840E7A" w:rsidRPr="00900ADE" w:rsidRDefault="00840E7A">
      <w:pPr>
        <w:pStyle w:val="Cover-AIRaddress"/>
        <w:rPr>
          <w:sz w:val="18"/>
        </w:rPr>
      </w:pPr>
    </w:p>
    <w:p w14:paraId="2AD103D4" w14:textId="77777777" w:rsidR="00840E7A" w:rsidRPr="00900ADE" w:rsidRDefault="00840E7A">
      <w:pPr>
        <w:pStyle w:val="Cover-AIRaddress"/>
        <w:sectPr w:rsidR="00840E7A" w:rsidRPr="00900ADE" w:rsidSect="004F7D73">
          <w:headerReference w:type="default" r:id="rId35"/>
          <w:footerReference w:type="default" r:id="rId36"/>
          <w:pgSz w:w="12240" w:h="15840" w:code="1"/>
          <w:pgMar w:top="720" w:right="1008" w:bottom="720" w:left="1008" w:header="720" w:footer="720" w:gutter="0"/>
          <w:cols w:space="720"/>
          <w:docGrid w:linePitch="360"/>
        </w:sectPr>
      </w:pPr>
    </w:p>
    <w:p w14:paraId="3EE820C1" w14:textId="77777777" w:rsidR="00840E7A" w:rsidRPr="00900ADE" w:rsidRDefault="00840E7A">
      <w:pPr>
        <w:pStyle w:val="TOCHeading"/>
      </w:pPr>
      <w:r w:rsidRPr="00900ADE">
        <w:lastRenderedPageBreak/>
        <w:t>Contents</w:t>
      </w:r>
    </w:p>
    <w:p w14:paraId="6A3D6FFE" w14:textId="77777777" w:rsidR="00840E7A" w:rsidRPr="00900ADE" w:rsidRDefault="00840E7A">
      <w:pPr>
        <w:spacing w:after="120"/>
        <w:jc w:val="right"/>
        <w:rPr>
          <w:rFonts w:ascii="Calibri" w:eastAsia="Times New Roman" w:hAnsi="Calibri" w:cs="Calibri"/>
          <w:b/>
          <w:bCs/>
          <w:szCs w:val="20"/>
        </w:rPr>
      </w:pPr>
      <w:r w:rsidRPr="00900ADE">
        <w:rPr>
          <w:rFonts w:ascii="Calibri" w:eastAsia="Times New Roman" w:hAnsi="Calibri" w:cs="Calibri"/>
          <w:b/>
          <w:bCs/>
          <w:szCs w:val="20"/>
        </w:rPr>
        <w:t>Page</w:t>
      </w:r>
    </w:p>
    <w:p w14:paraId="51FE41FB" w14:textId="00743BBF" w:rsidR="00840E7A" w:rsidRPr="00900ADE" w:rsidRDefault="00840E7A">
      <w:pPr>
        <w:pStyle w:val="TOC1"/>
        <w:tabs>
          <w:tab w:val="right" w:leader="dot" w:pos="9350"/>
        </w:tabs>
        <w:rPr>
          <w:rFonts w:eastAsiaTheme="minorEastAsia"/>
        </w:rPr>
      </w:pPr>
      <w:r w:rsidRPr="00900ADE">
        <w:rPr>
          <w:rFonts w:ascii="Calibri" w:eastAsia="Times New Roman" w:hAnsi="Calibri" w:cs="Calibri"/>
          <w:b/>
          <w:bCs/>
          <w:szCs w:val="20"/>
        </w:rPr>
        <w:fldChar w:fldCharType="begin"/>
      </w:r>
      <w:r w:rsidRPr="00900ADE">
        <w:rPr>
          <w:rFonts w:ascii="Calibri" w:eastAsia="Times New Roman" w:hAnsi="Calibri" w:cs="Calibri"/>
          <w:b/>
          <w:bCs/>
          <w:szCs w:val="20"/>
        </w:rPr>
        <w:instrText xml:space="preserve"> TOC \h \z \t "Heading 2 - SIOR,1" </w:instrText>
      </w:r>
      <w:r w:rsidRPr="00900ADE">
        <w:rPr>
          <w:rFonts w:ascii="Calibri" w:eastAsia="Times New Roman" w:hAnsi="Calibri" w:cs="Calibri"/>
          <w:b/>
          <w:bCs/>
          <w:szCs w:val="20"/>
        </w:rPr>
        <w:fldChar w:fldCharType="separate"/>
      </w:r>
      <w:hyperlink w:anchor="_Toc92194253" w:history="1">
        <w:r w:rsidRPr="00900ADE">
          <w:rPr>
            <w:rStyle w:val="Hyperlink"/>
          </w:rPr>
          <w:t>Introduction</w:t>
        </w:r>
        <w:r w:rsidRPr="00900ADE">
          <w:rPr>
            <w:webHidden/>
          </w:rPr>
          <w:tab/>
        </w:r>
        <w:r w:rsidR="00284CD2" w:rsidRPr="00900ADE">
          <w:rPr>
            <w:webHidden/>
          </w:rPr>
          <w:t>B-</w:t>
        </w:r>
        <w:r w:rsidRPr="00900ADE">
          <w:rPr>
            <w:webHidden/>
          </w:rPr>
          <w:fldChar w:fldCharType="begin"/>
        </w:r>
        <w:r w:rsidRPr="00900ADE">
          <w:rPr>
            <w:webHidden/>
          </w:rPr>
          <w:instrText xml:space="preserve"> PAGEREF _Toc92194253 \h </w:instrText>
        </w:r>
        <w:r w:rsidRPr="00900ADE">
          <w:rPr>
            <w:webHidden/>
          </w:rPr>
        </w:r>
        <w:r w:rsidRPr="00900ADE">
          <w:rPr>
            <w:webHidden/>
          </w:rPr>
          <w:fldChar w:fldCharType="separate"/>
        </w:r>
        <w:r w:rsidR="00284CD2" w:rsidRPr="00900ADE">
          <w:rPr>
            <w:webHidden/>
          </w:rPr>
          <w:t>4</w:t>
        </w:r>
        <w:r w:rsidRPr="00900ADE">
          <w:rPr>
            <w:webHidden/>
          </w:rPr>
          <w:fldChar w:fldCharType="end"/>
        </w:r>
      </w:hyperlink>
    </w:p>
    <w:p w14:paraId="22362ACE" w14:textId="094352F3" w:rsidR="00840E7A" w:rsidRPr="00900ADE" w:rsidRDefault="00840E7A">
      <w:pPr>
        <w:pStyle w:val="TOC1"/>
        <w:tabs>
          <w:tab w:val="right" w:leader="dot" w:pos="9350"/>
        </w:tabs>
        <w:rPr>
          <w:rFonts w:eastAsiaTheme="minorEastAsia"/>
        </w:rPr>
      </w:pPr>
      <w:hyperlink w:anchor="_Toc92194254" w:history="1">
        <w:r w:rsidRPr="00900ADE">
          <w:rPr>
            <w:rStyle w:val="Hyperlink"/>
          </w:rPr>
          <w:t>Positive Climate</w:t>
        </w:r>
        <w:r w:rsidRPr="00900ADE">
          <w:rPr>
            <w:webHidden/>
          </w:rPr>
          <w:tab/>
        </w:r>
        <w:r w:rsidR="00284CD2" w:rsidRPr="00900ADE">
          <w:rPr>
            <w:webHidden/>
          </w:rPr>
          <w:t>B-</w:t>
        </w:r>
        <w:r w:rsidRPr="00900ADE">
          <w:rPr>
            <w:webHidden/>
          </w:rPr>
          <w:fldChar w:fldCharType="begin"/>
        </w:r>
        <w:r w:rsidRPr="00900ADE">
          <w:rPr>
            <w:webHidden/>
          </w:rPr>
          <w:instrText xml:space="preserve"> PAGEREF _Toc92194254 \h </w:instrText>
        </w:r>
        <w:r w:rsidRPr="00900ADE">
          <w:rPr>
            <w:webHidden/>
          </w:rPr>
        </w:r>
        <w:r w:rsidRPr="00900ADE">
          <w:rPr>
            <w:webHidden/>
          </w:rPr>
          <w:fldChar w:fldCharType="separate"/>
        </w:r>
        <w:r w:rsidR="00284CD2" w:rsidRPr="00900ADE">
          <w:rPr>
            <w:webHidden/>
          </w:rPr>
          <w:t>6</w:t>
        </w:r>
        <w:r w:rsidRPr="00900ADE">
          <w:rPr>
            <w:webHidden/>
          </w:rPr>
          <w:fldChar w:fldCharType="end"/>
        </w:r>
      </w:hyperlink>
    </w:p>
    <w:p w14:paraId="1314D48A" w14:textId="4DB0CE0F" w:rsidR="00840E7A" w:rsidRPr="00900ADE" w:rsidRDefault="00840E7A">
      <w:pPr>
        <w:pStyle w:val="TOC1"/>
        <w:tabs>
          <w:tab w:val="right" w:leader="dot" w:pos="9350"/>
        </w:tabs>
        <w:rPr>
          <w:rFonts w:eastAsiaTheme="minorEastAsia"/>
        </w:rPr>
      </w:pPr>
      <w:hyperlink w:anchor="_Toc92194255" w:history="1">
        <w:r w:rsidRPr="00900ADE">
          <w:rPr>
            <w:rStyle w:val="Hyperlink"/>
          </w:rPr>
          <w:t>Teacher Sensitivity</w:t>
        </w:r>
        <w:r w:rsidRPr="00900ADE">
          <w:rPr>
            <w:webHidden/>
          </w:rPr>
          <w:tab/>
        </w:r>
        <w:r w:rsidR="00284CD2" w:rsidRPr="00900ADE">
          <w:rPr>
            <w:webHidden/>
          </w:rPr>
          <w:t>B-</w:t>
        </w:r>
        <w:r w:rsidRPr="00900ADE">
          <w:rPr>
            <w:webHidden/>
          </w:rPr>
          <w:fldChar w:fldCharType="begin"/>
        </w:r>
        <w:r w:rsidRPr="00900ADE">
          <w:rPr>
            <w:webHidden/>
          </w:rPr>
          <w:instrText xml:space="preserve"> PAGEREF _Toc92194255 \h </w:instrText>
        </w:r>
        <w:r w:rsidRPr="00900ADE">
          <w:rPr>
            <w:webHidden/>
          </w:rPr>
        </w:r>
        <w:r w:rsidRPr="00900ADE">
          <w:rPr>
            <w:webHidden/>
          </w:rPr>
          <w:fldChar w:fldCharType="separate"/>
        </w:r>
        <w:r w:rsidR="00284CD2" w:rsidRPr="00900ADE">
          <w:rPr>
            <w:webHidden/>
          </w:rPr>
          <w:t>7</w:t>
        </w:r>
        <w:r w:rsidRPr="00900ADE">
          <w:rPr>
            <w:webHidden/>
          </w:rPr>
          <w:fldChar w:fldCharType="end"/>
        </w:r>
      </w:hyperlink>
    </w:p>
    <w:p w14:paraId="212A7259" w14:textId="4735C216" w:rsidR="00840E7A" w:rsidRPr="00900ADE" w:rsidRDefault="00840E7A">
      <w:pPr>
        <w:pStyle w:val="TOC1"/>
        <w:tabs>
          <w:tab w:val="right" w:leader="dot" w:pos="9350"/>
        </w:tabs>
        <w:rPr>
          <w:rFonts w:eastAsiaTheme="minorEastAsia"/>
        </w:rPr>
      </w:pPr>
      <w:hyperlink w:anchor="_Toc92194256" w:history="1">
        <w:r w:rsidRPr="00900ADE">
          <w:rPr>
            <w:rStyle w:val="Hyperlink"/>
          </w:rPr>
          <w:t>Regard for Student Perspectives</w:t>
        </w:r>
        <w:r w:rsidRPr="00900ADE">
          <w:rPr>
            <w:webHidden/>
          </w:rPr>
          <w:tab/>
        </w:r>
        <w:r w:rsidR="00284CD2" w:rsidRPr="00900ADE">
          <w:rPr>
            <w:webHidden/>
          </w:rPr>
          <w:t>B-</w:t>
        </w:r>
        <w:r w:rsidRPr="00900ADE">
          <w:rPr>
            <w:webHidden/>
          </w:rPr>
          <w:fldChar w:fldCharType="begin"/>
        </w:r>
        <w:r w:rsidRPr="00900ADE">
          <w:rPr>
            <w:webHidden/>
          </w:rPr>
          <w:instrText xml:space="preserve"> PAGEREF _Toc92194256 \h </w:instrText>
        </w:r>
        <w:r w:rsidRPr="00900ADE">
          <w:rPr>
            <w:webHidden/>
          </w:rPr>
        </w:r>
        <w:r w:rsidRPr="00900ADE">
          <w:rPr>
            <w:webHidden/>
          </w:rPr>
          <w:fldChar w:fldCharType="separate"/>
        </w:r>
        <w:r w:rsidR="00284CD2" w:rsidRPr="00900ADE">
          <w:rPr>
            <w:webHidden/>
          </w:rPr>
          <w:t>8</w:t>
        </w:r>
        <w:r w:rsidRPr="00900ADE">
          <w:rPr>
            <w:webHidden/>
          </w:rPr>
          <w:fldChar w:fldCharType="end"/>
        </w:r>
      </w:hyperlink>
    </w:p>
    <w:p w14:paraId="74718D5B" w14:textId="79D2F832" w:rsidR="00840E7A" w:rsidRPr="00900ADE" w:rsidRDefault="00840E7A">
      <w:pPr>
        <w:pStyle w:val="TOC1"/>
        <w:tabs>
          <w:tab w:val="right" w:leader="dot" w:pos="9350"/>
        </w:tabs>
        <w:rPr>
          <w:rFonts w:eastAsiaTheme="minorEastAsia"/>
        </w:rPr>
      </w:pPr>
      <w:hyperlink w:anchor="_Toc92194257" w:history="1">
        <w:r w:rsidRPr="00900ADE">
          <w:rPr>
            <w:rStyle w:val="Hyperlink"/>
          </w:rPr>
          <w:t>Negative Climate</w:t>
        </w:r>
        <w:r w:rsidRPr="00900ADE">
          <w:rPr>
            <w:webHidden/>
          </w:rPr>
          <w:tab/>
        </w:r>
        <w:r w:rsidR="00284CD2" w:rsidRPr="00900ADE">
          <w:rPr>
            <w:webHidden/>
          </w:rPr>
          <w:t>B-</w:t>
        </w:r>
        <w:r w:rsidRPr="00900ADE">
          <w:rPr>
            <w:webHidden/>
          </w:rPr>
          <w:fldChar w:fldCharType="begin"/>
        </w:r>
        <w:r w:rsidRPr="00900ADE">
          <w:rPr>
            <w:webHidden/>
          </w:rPr>
          <w:instrText xml:space="preserve"> PAGEREF _Toc92194257 \h </w:instrText>
        </w:r>
        <w:r w:rsidRPr="00900ADE">
          <w:rPr>
            <w:webHidden/>
          </w:rPr>
        </w:r>
        <w:r w:rsidRPr="00900ADE">
          <w:rPr>
            <w:webHidden/>
          </w:rPr>
          <w:fldChar w:fldCharType="separate"/>
        </w:r>
        <w:r w:rsidR="00284CD2" w:rsidRPr="00900ADE">
          <w:rPr>
            <w:webHidden/>
          </w:rPr>
          <w:t>9</w:t>
        </w:r>
        <w:r w:rsidRPr="00900ADE">
          <w:rPr>
            <w:webHidden/>
          </w:rPr>
          <w:fldChar w:fldCharType="end"/>
        </w:r>
      </w:hyperlink>
    </w:p>
    <w:p w14:paraId="4348D1C5" w14:textId="72DD02ED" w:rsidR="00840E7A" w:rsidRPr="00900ADE" w:rsidRDefault="00840E7A">
      <w:pPr>
        <w:pStyle w:val="TOC1"/>
        <w:tabs>
          <w:tab w:val="right" w:leader="dot" w:pos="9350"/>
        </w:tabs>
        <w:rPr>
          <w:rFonts w:eastAsiaTheme="minorEastAsia"/>
        </w:rPr>
      </w:pPr>
      <w:hyperlink w:anchor="_Toc92194258" w:history="1">
        <w:r w:rsidRPr="00900ADE">
          <w:rPr>
            <w:rStyle w:val="Hyperlink"/>
          </w:rPr>
          <w:t>Behavior Management</w:t>
        </w:r>
        <w:r w:rsidRPr="00900ADE">
          <w:rPr>
            <w:webHidden/>
          </w:rPr>
          <w:tab/>
        </w:r>
        <w:r w:rsidR="00284CD2" w:rsidRPr="00900ADE">
          <w:rPr>
            <w:webHidden/>
          </w:rPr>
          <w:t>B-</w:t>
        </w:r>
        <w:r w:rsidRPr="00900ADE">
          <w:rPr>
            <w:webHidden/>
          </w:rPr>
          <w:fldChar w:fldCharType="begin"/>
        </w:r>
        <w:r w:rsidRPr="00900ADE">
          <w:rPr>
            <w:webHidden/>
          </w:rPr>
          <w:instrText xml:space="preserve"> PAGEREF _Toc92194258 \h </w:instrText>
        </w:r>
        <w:r w:rsidRPr="00900ADE">
          <w:rPr>
            <w:webHidden/>
          </w:rPr>
        </w:r>
        <w:r w:rsidRPr="00900ADE">
          <w:rPr>
            <w:webHidden/>
          </w:rPr>
          <w:fldChar w:fldCharType="separate"/>
        </w:r>
        <w:r w:rsidR="00284CD2" w:rsidRPr="00900ADE">
          <w:rPr>
            <w:webHidden/>
          </w:rPr>
          <w:t>10</w:t>
        </w:r>
        <w:r w:rsidRPr="00900ADE">
          <w:rPr>
            <w:webHidden/>
          </w:rPr>
          <w:fldChar w:fldCharType="end"/>
        </w:r>
      </w:hyperlink>
    </w:p>
    <w:p w14:paraId="5BA45A31" w14:textId="79D2157B" w:rsidR="00840E7A" w:rsidRPr="00900ADE" w:rsidRDefault="00840E7A">
      <w:pPr>
        <w:pStyle w:val="TOC1"/>
        <w:tabs>
          <w:tab w:val="right" w:leader="dot" w:pos="9350"/>
        </w:tabs>
        <w:rPr>
          <w:rFonts w:eastAsiaTheme="minorEastAsia"/>
        </w:rPr>
      </w:pPr>
      <w:hyperlink w:anchor="_Toc92194259" w:history="1">
        <w:r w:rsidRPr="00900ADE">
          <w:rPr>
            <w:rStyle w:val="Hyperlink"/>
          </w:rPr>
          <w:t>Productivity</w:t>
        </w:r>
        <w:r w:rsidRPr="00900ADE">
          <w:rPr>
            <w:webHidden/>
          </w:rPr>
          <w:tab/>
        </w:r>
        <w:r w:rsidR="00284CD2" w:rsidRPr="00900ADE">
          <w:rPr>
            <w:webHidden/>
          </w:rPr>
          <w:t>B-</w:t>
        </w:r>
        <w:r w:rsidRPr="00900ADE">
          <w:rPr>
            <w:webHidden/>
          </w:rPr>
          <w:fldChar w:fldCharType="begin"/>
        </w:r>
        <w:r w:rsidRPr="00900ADE">
          <w:rPr>
            <w:webHidden/>
          </w:rPr>
          <w:instrText xml:space="preserve"> PAGEREF _Toc92194259 \h </w:instrText>
        </w:r>
        <w:r w:rsidRPr="00900ADE">
          <w:rPr>
            <w:webHidden/>
          </w:rPr>
        </w:r>
        <w:r w:rsidRPr="00900ADE">
          <w:rPr>
            <w:webHidden/>
          </w:rPr>
          <w:fldChar w:fldCharType="separate"/>
        </w:r>
        <w:r w:rsidR="00284CD2" w:rsidRPr="00900ADE">
          <w:rPr>
            <w:webHidden/>
          </w:rPr>
          <w:t>11</w:t>
        </w:r>
        <w:r w:rsidRPr="00900ADE">
          <w:rPr>
            <w:webHidden/>
          </w:rPr>
          <w:fldChar w:fldCharType="end"/>
        </w:r>
      </w:hyperlink>
    </w:p>
    <w:p w14:paraId="4B24EBA8" w14:textId="4AAD3DBD" w:rsidR="00840E7A" w:rsidRPr="00900ADE" w:rsidRDefault="00840E7A">
      <w:pPr>
        <w:pStyle w:val="TOC1"/>
        <w:tabs>
          <w:tab w:val="right" w:leader="dot" w:pos="9350"/>
        </w:tabs>
        <w:rPr>
          <w:rFonts w:eastAsiaTheme="minorEastAsia"/>
        </w:rPr>
      </w:pPr>
      <w:hyperlink w:anchor="_Toc92194260" w:history="1">
        <w:r w:rsidRPr="00900ADE">
          <w:rPr>
            <w:rStyle w:val="Hyperlink"/>
          </w:rPr>
          <w:t>Instructional Learning Formats</w:t>
        </w:r>
        <w:r w:rsidRPr="00900ADE">
          <w:rPr>
            <w:webHidden/>
          </w:rPr>
          <w:tab/>
        </w:r>
        <w:r w:rsidR="00284CD2" w:rsidRPr="00900ADE">
          <w:rPr>
            <w:webHidden/>
          </w:rPr>
          <w:t>B-</w:t>
        </w:r>
        <w:r w:rsidRPr="00900ADE">
          <w:rPr>
            <w:webHidden/>
          </w:rPr>
          <w:fldChar w:fldCharType="begin"/>
        </w:r>
        <w:r w:rsidRPr="00900ADE">
          <w:rPr>
            <w:webHidden/>
          </w:rPr>
          <w:instrText xml:space="preserve"> PAGEREF _Toc92194260 \h </w:instrText>
        </w:r>
        <w:r w:rsidRPr="00900ADE">
          <w:rPr>
            <w:webHidden/>
          </w:rPr>
        </w:r>
        <w:r w:rsidRPr="00900ADE">
          <w:rPr>
            <w:webHidden/>
          </w:rPr>
          <w:fldChar w:fldCharType="separate"/>
        </w:r>
        <w:r w:rsidR="00284CD2" w:rsidRPr="00900ADE">
          <w:rPr>
            <w:webHidden/>
          </w:rPr>
          <w:t>12</w:t>
        </w:r>
        <w:r w:rsidRPr="00900ADE">
          <w:rPr>
            <w:webHidden/>
          </w:rPr>
          <w:fldChar w:fldCharType="end"/>
        </w:r>
      </w:hyperlink>
    </w:p>
    <w:p w14:paraId="62716E69" w14:textId="7EA8463D" w:rsidR="00840E7A" w:rsidRPr="00900ADE" w:rsidRDefault="00840E7A">
      <w:pPr>
        <w:pStyle w:val="TOC1"/>
        <w:tabs>
          <w:tab w:val="right" w:leader="dot" w:pos="9350"/>
        </w:tabs>
        <w:rPr>
          <w:rFonts w:eastAsiaTheme="minorEastAsia"/>
        </w:rPr>
      </w:pPr>
      <w:hyperlink w:anchor="_Toc92194261" w:history="1">
        <w:r w:rsidRPr="00900ADE">
          <w:rPr>
            <w:rStyle w:val="Hyperlink"/>
          </w:rPr>
          <w:t>Concept Development</w:t>
        </w:r>
        <w:r w:rsidRPr="00900ADE">
          <w:rPr>
            <w:webHidden/>
          </w:rPr>
          <w:tab/>
        </w:r>
        <w:r w:rsidR="00284CD2" w:rsidRPr="00900ADE">
          <w:rPr>
            <w:webHidden/>
          </w:rPr>
          <w:t>B-</w:t>
        </w:r>
        <w:r w:rsidRPr="00900ADE">
          <w:rPr>
            <w:webHidden/>
          </w:rPr>
          <w:fldChar w:fldCharType="begin"/>
        </w:r>
        <w:r w:rsidRPr="00900ADE">
          <w:rPr>
            <w:webHidden/>
          </w:rPr>
          <w:instrText xml:space="preserve"> PAGEREF _Toc92194261 \h </w:instrText>
        </w:r>
        <w:r w:rsidRPr="00900ADE">
          <w:rPr>
            <w:webHidden/>
          </w:rPr>
        </w:r>
        <w:r w:rsidRPr="00900ADE">
          <w:rPr>
            <w:webHidden/>
          </w:rPr>
          <w:fldChar w:fldCharType="separate"/>
        </w:r>
        <w:r w:rsidR="00284CD2" w:rsidRPr="00900ADE">
          <w:rPr>
            <w:webHidden/>
          </w:rPr>
          <w:t>13</w:t>
        </w:r>
        <w:r w:rsidRPr="00900ADE">
          <w:rPr>
            <w:webHidden/>
          </w:rPr>
          <w:fldChar w:fldCharType="end"/>
        </w:r>
      </w:hyperlink>
    </w:p>
    <w:p w14:paraId="34A59EF1" w14:textId="38431D43" w:rsidR="00840E7A" w:rsidRPr="00900ADE" w:rsidRDefault="00840E7A">
      <w:pPr>
        <w:pStyle w:val="TOC1"/>
        <w:tabs>
          <w:tab w:val="right" w:leader="dot" w:pos="9350"/>
        </w:tabs>
        <w:rPr>
          <w:rFonts w:eastAsiaTheme="minorEastAsia"/>
        </w:rPr>
      </w:pPr>
      <w:hyperlink w:anchor="_Toc92194262" w:history="1">
        <w:r w:rsidRPr="00900ADE">
          <w:rPr>
            <w:rStyle w:val="Hyperlink"/>
          </w:rPr>
          <w:t>Content Understanding</w:t>
        </w:r>
        <w:r w:rsidRPr="00900ADE">
          <w:rPr>
            <w:webHidden/>
          </w:rPr>
          <w:tab/>
        </w:r>
        <w:r w:rsidR="00284CD2" w:rsidRPr="00900ADE">
          <w:rPr>
            <w:webHidden/>
          </w:rPr>
          <w:t>B-</w:t>
        </w:r>
        <w:r w:rsidRPr="00900ADE">
          <w:rPr>
            <w:webHidden/>
          </w:rPr>
          <w:fldChar w:fldCharType="begin"/>
        </w:r>
        <w:r w:rsidRPr="00900ADE">
          <w:rPr>
            <w:webHidden/>
          </w:rPr>
          <w:instrText xml:space="preserve"> PAGEREF _Toc92194262 \h </w:instrText>
        </w:r>
        <w:r w:rsidRPr="00900ADE">
          <w:rPr>
            <w:webHidden/>
          </w:rPr>
        </w:r>
        <w:r w:rsidRPr="00900ADE">
          <w:rPr>
            <w:webHidden/>
          </w:rPr>
          <w:fldChar w:fldCharType="separate"/>
        </w:r>
        <w:r w:rsidR="00284CD2" w:rsidRPr="00900ADE">
          <w:rPr>
            <w:webHidden/>
          </w:rPr>
          <w:t>14</w:t>
        </w:r>
        <w:r w:rsidRPr="00900ADE">
          <w:rPr>
            <w:webHidden/>
          </w:rPr>
          <w:fldChar w:fldCharType="end"/>
        </w:r>
      </w:hyperlink>
    </w:p>
    <w:p w14:paraId="50CF5380" w14:textId="28767139" w:rsidR="00840E7A" w:rsidRPr="00900ADE" w:rsidRDefault="00840E7A">
      <w:pPr>
        <w:pStyle w:val="TOC1"/>
        <w:tabs>
          <w:tab w:val="right" w:leader="dot" w:pos="9350"/>
        </w:tabs>
        <w:rPr>
          <w:rFonts w:eastAsiaTheme="minorEastAsia"/>
        </w:rPr>
      </w:pPr>
      <w:hyperlink w:anchor="_Toc92194263" w:history="1">
        <w:r w:rsidRPr="00900ADE">
          <w:rPr>
            <w:rStyle w:val="Hyperlink"/>
          </w:rPr>
          <w:t>Analysis and Inquiry</w:t>
        </w:r>
        <w:r w:rsidRPr="00900ADE">
          <w:rPr>
            <w:webHidden/>
          </w:rPr>
          <w:tab/>
        </w:r>
        <w:r w:rsidR="00284CD2" w:rsidRPr="00900ADE">
          <w:rPr>
            <w:webHidden/>
          </w:rPr>
          <w:t>B-</w:t>
        </w:r>
        <w:r w:rsidRPr="00900ADE">
          <w:rPr>
            <w:webHidden/>
          </w:rPr>
          <w:fldChar w:fldCharType="begin"/>
        </w:r>
        <w:r w:rsidRPr="00900ADE">
          <w:rPr>
            <w:webHidden/>
          </w:rPr>
          <w:instrText xml:space="preserve"> PAGEREF _Toc92194263 \h </w:instrText>
        </w:r>
        <w:r w:rsidRPr="00900ADE">
          <w:rPr>
            <w:webHidden/>
          </w:rPr>
        </w:r>
        <w:r w:rsidRPr="00900ADE">
          <w:rPr>
            <w:webHidden/>
          </w:rPr>
          <w:fldChar w:fldCharType="separate"/>
        </w:r>
        <w:r w:rsidR="00284CD2" w:rsidRPr="00900ADE">
          <w:rPr>
            <w:webHidden/>
          </w:rPr>
          <w:t>15</w:t>
        </w:r>
        <w:r w:rsidRPr="00900ADE">
          <w:rPr>
            <w:webHidden/>
          </w:rPr>
          <w:fldChar w:fldCharType="end"/>
        </w:r>
      </w:hyperlink>
    </w:p>
    <w:p w14:paraId="3CC32812" w14:textId="35CC6595" w:rsidR="00840E7A" w:rsidRPr="00900ADE" w:rsidRDefault="00840E7A">
      <w:pPr>
        <w:pStyle w:val="TOC1"/>
        <w:tabs>
          <w:tab w:val="right" w:leader="dot" w:pos="9350"/>
        </w:tabs>
        <w:rPr>
          <w:rFonts w:eastAsiaTheme="minorEastAsia"/>
        </w:rPr>
      </w:pPr>
      <w:hyperlink w:anchor="_Toc92194264" w:history="1">
        <w:r w:rsidRPr="00900ADE">
          <w:rPr>
            <w:rStyle w:val="Hyperlink"/>
          </w:rPr>
          <w:t>Quality of Feedback</w:t>
        </w:r>
        <w:r w:rsidRPr="00900ADE">
          <w:rPr>
            <w:webHidden/>
          </w:rPr>
          <w:tab/>
        </w:r>
        <w:r w:rsidR="00284CD2" w:rsidRPr="00900ADE">
          <w:rPr>
            <w:webHidden/>
          </w:rPr>
          <w:t>B-</w:t>
        </w:r>
        <w:r w:rsidRPr="00900ADE">
          <w:rPr>
            <w:webHidden/>
          </w:rPr>
          <w:fldChar w:fldCharType="begin"/>
        </w:r>
        <w:r w:rsidRPr="00900ADE">
          <w:rPr>
            <w:webHidden/>
          </w:rPr>
          <w:instrText xml:space="preserve"> PAGEREF _Toc92194264 \h </w:instrText>
        </w:r>
        <w:r w:rsidRPr="00900ADE">
          <w:rPr>
            <w:webHidden/>
          </w:rPr>
        </w:r>
        <w:r w:rsidRPr="00900ADE">
          <w:rPr>
            <w:webHidden/>
          </w:rPr>
          <w:fldChar w:fldCharType="separate"/>
        </w:r>
        <w:r w:rsidR="00284CD2" w:rsidRPr="00900ADE">
          <w:rPr>
            <w:webHidden/>
          </w:rPr>
          <w:t>16</w:t>
        </w:r>
        <w:r w:rsidRPr="00900ADE">
          <w:rPr>
            <w:webHidden/>
          </w:rPr>
          <w:fldChar w:fldCharType="end"/>
        </w:r>
      </w:hyperlink>
    </w:p>
    <w:p w14:paraId="25E51AD3" w14:textId="6AD27C1F" w:rsidR="00840E7A" w:rsidRPr="00900ADE" w:rsidRDefault="00840E7A">
      <w:pPr>
        <w:pStyle w:val="TOC1"/>
        <w:tabs>
          <w:tab w:val="right" w:leader="dot" w:pos="9350"/>
        </w:tabs>
        <w:rPr>
          <w:rFonts w:eastAsiaTheme="minorEastAsia"/>
        </w:rPr>
      </w:pPr>
      <w:hyperlink w:anchor="_Toc92194265" w:history="1">
        <w:r w:rsidRPr="00900ADE">
          <w:rPr>
            <w:rStyle w:val="Hyperlink"/>
          </w:rPr>
          <w:t>Language Modeling</w:t>
        </w:r>
        <w:r w:rsidRPr="00900ADE">
          <w:rPr>
            <w:webHidden/>
          </w:rPr>
          <w:tab/>
        </w:r>
        <w:r w:rsidR="00284CD2" w:rsidRPr="00900ADE">
          <w:rPr>
            <w:webHidden/>
          </w:rPr>
          <w:t>B-</w:t>
        </w:r>
        <w:r w:rsidRPr="00900ADE">
          <w:rPr>
            <w:webHidden/>
          </w:rPr>
          <w:fldChar w:fldCharType="begin"/>
        </w:r>
        <w:r w:rsidRPr="00900ADE">
          <w:rPr>
            <w:webHidden/>
          </w:rPr>
          <w:instrText xml:space="preserve"> PAGEREF _Toc92194265 \h </w:instrText>
        </w:r>
        <w:r w:rsidRPr="00900ADE">
          <w:rPr>
            <w:webHidden/>
          </w:rPr>
        </w:r>
        <w:r w:rsidRPr="00900ADE">
          <w:rPr>
            <w:webHidden/>
          </w:rPr>
          <w:fldChar w:fldCharType="separate"/>
        </w:r>
        <w:r w:rsidR="00284CD2" w:rsidRPr="00900ADE">
          <w:rPr>
            <w:webHidden/>
          </w:rPr>
          <w:t>17</w:t>
        </w:r>
        <w:r w:rsidRPr="00900ADE">
          <w:rPr>
            <w:webHidden/>
          </w:rPr>
          <w:fldChar w:fldCharType="end"/>
        </w:r>
      </w:hyperlink>
    </w:p>
    <w:p w14:paraId="6142D3C9" w14:textId="1BB8892A" w:rsidR="00840E7A" w:rsidRPr="00900ADE" w:rsidRDefault="00840E7A">
      <w:pPr>
        <w:pStyle w:val="TOC1"/>
        <w:tabs>
          <w:tab w:val="right" w:leader="dot" w:pos="9350"/>
        </w:tabs>
        <w:rPr>
          <w:rFonts w:eastAsiaTheme="minorEastAsia"/>
        </w:rPr>
      </w:pPr>
      <w:hyperlink w:anchor="_Toc92194266" w:history="1">
        <w:r w:rsidRPr="00900ADE">
          <w:rPr>
            <w:rStyle w:val="Hyperlink"/>
          </w:rPr>
          <w:t>Instructional Dialogue</w:t>
        </w:r>
        <w:r w:rsidRPr="00900ADE">
          <w:rPr>
            <w:webHidden/>
          </w:rPr>
          <w:tab/>
        </w:r>
        <w:r w:rsidR="00284CD2" w:rsidRPr="00900ADE">
          <w:rPr>
            <w:webHidden/>
          </w:rPr>
          <w:t>B-</w:t>
        </w:r>
        <w:r w:rsidRPr="00900ADE">
          <w:rPr>
            <w:webHidden/>
          </w:rPr>
          <w:fldChar w:fldCharType="begin"/>
        </w:r>
        <w:r w:rsidRPr="00900ADE">
          <w:rPr>
            <w:webHidden/>
          </w:rPr>
          <w:instrText xml:space="preserve"> PAGEREF _Toc92194266 \h </w:instrText>
        </w:r>
        <w:r w:rsidRPr="00900ADE">
          <w:rPr>
            <w:webHidden/>
          </w:rPr>
        </w:r>
        <w:r w:rsidRPr="00900ADE">
          <w:rPr>
            <w:webHidden/>
          </w:rPr>
          <w:fldChar w:fldCharType="separate"/>
        </w:r>
        <w:r w:rsidR="00284CD2" w:rsidRPr="00900ADE">
          <w:rPr>
            <w:webHidden/>
          </w:rPr>
          <w:t>18</w:t>
        </w:r>
        <w:r w:rsidRPr="00900ADE">
          <w:rPr>
            <w:webHidden/>
          </w:rPr>
          <w:fldChar w:fldCharType="end"/>
        </w:r>
      </w:hyperlink>
    </w:p>
    <w:p w14:paraId="5BC3BCA1" w14:textId="3E41468F" w:rsidR="00840E7A" w:rsidRPr="00900ADE" w:rsidRDefault="00840E7A">
      <w:pPr>
        <w:pStyle w:val="TOC1"/>
        <w:tabs>
          <w:tab w:val="right" w:leader="dot" w:pos="9350"/>
        </w:tabs>
        <w:rPr>
          <w:rFonts w:eastAsiaTheme="minorEastAsia"/>
        </w:rPr>
      </w:pPr>
      <w:hyperlink w:anchor="_Toc92194267" w:history="1">
        <w:r w:rsidRPr="00900ADE">
          <w:rPr>
            <w:rStyle w:val="Hyperlink"/>
          </w:rPr>
          <w:t>Student Engagement</w:t>
        </w:r>
        <w:r w:rsidRPr="00900ADE">
          <w:rPr>
            <w:webHidden/>
          </w:rPr>
          <w:tab/>
        </w:r>
        <w:r w:rsidR="00284CD2" w:rsidRPr="00900ADE">
          <w:rPr>
            <w:webHidden/>
          </w:rPr>
          <w:t>B-</w:t>
        </w:r>
        <w:r w:rsidRPr="00900ADE">
          <w:rPr>
            <w:webHidden/>
          </w:rPr>
          <w:fldChar w:fldCharType="begin"/>
        </w:r>
        <w:r w:rsidRPr="00900ADE">
          <w:rPr>
            <w:webHidden/>
          </w:rPr>
          <w:instrText xml:space="preserve"> PAGEREF _Toc92194267 \h </w:instrText>
        </w:r>
        <w:r w:rsidRPr="00900ADE">
          <w:rPr>
            <w:webHidden/>
          </w:rPr>
        </w:r>
        <w:r w:rsidRPr="00900ADE">
          <w:rPr>
            <w:webHidden/>
          </w:rPr>
          <w:fldChar w:fldCharType="separate"/>
        </w:r>
        <w:r w:rsidR="00284CD2" w:rsidRPr="00900ADE">
          <w:rPr>
            <w:webHidden/>
          </w:rPr>
          <w:t>19</w:t>
        </w:r>
        <w:r w:rsidRPr="00900ADE">
          <w:rPr>
            <w:webHidden/>
          </w:rPr>
          <w:fldChar w:fldCharType="end"/>
        </w:r>
      </w:hyperlink>
    </w:p>
    <w:p w14:paraId="7F285AEE" w14:textId="59C8DE21" w:rsidR="00840E7A" w:rsidRPr="00900ADE" w:rsidRDefault="00840E7A">
      <w:pPr>
        <w:pStyle w:val="TOC1"/>
        <w:tabs>
          <w:tab w:val="right" w:leader="dot" w:pos="9350"/>
        </w:tabs>
        <w:rPr>
          <w:rFonts w:eastAsiaTheme="minorEastAsia"/>
        </w:rPr>
      </w:pPr>
      <w:hyperlink w:anchor="_Toc92194268" w:history="1">
        <w:r w:rsidRPr="00900ADE">
          <w:rPr>
            <w:rStyle w:val="Hyperlink"/>
          </w:rPr>
          <w:t>Summary of Average Ratings: Grades K-5</w:t>
        </w:r>
        <w:r w:rsidRPr="00900ADE">
          <w:rPr>
            <w:webHidden/>
          </w:rPr>
          <w:tab/>
        </w:r>
        <w:r w:rsidR="00284CD2" w:rsidRPr="00900ADE">
          <w:rPr>
            <w:webHidden/>
          </w:rPr>
          <w:t>B-</w:t>
        </w:r>
        <w:r w:rsidRPr="00900ADE">
          <w:rPr>
            <w:webHidden/>
          </w:rPr>
          <w:fldChar w:fldCharType="begin"/>
        </w:r>
        <w:r w:rsidRPr="00900ADE">
          <w:rPr>
            <w:webHidden/>
          </w:rPr>
          <w:instrText xml:space="preserve"> PAGEREF _Toc92194268 \h </w:instrText>
        </w:r>
        <w:r w:rsidRPr="00900ADE">
          <w:rPr>
            <w:webHidden/>
          </w:rPr>
        </w:r>
        <w:r w:rsidRPr="00900ADE">
          <w:rPr>
            <w:webHidden/>
          </w:rPr>
          <w:fldChar w:fldCharType="separate"/>
        </w:r>
        <w:r w:rsidR="00284CD2" w:rsidRPr="00900ADE">
          <w:rPr>
            <w:webHidden/>
          </w:rPr>
          <w:t>20</w:t>
        </w:r>
        <w:r w:rsidRPr="00900ADE">
          <w:rPr>
            <w:webHidden/>
          </w:rPr>
          <w:fldChar w:fldCharType="end"/>
        </w:r>
      </w:hyperlink>
    </w:p>
    <w:p w14:paraId="4A35529F" w14:textId="70D0FAE0" w:rsidR="00840E7A" w:rsidRPr="00900ADE" w:rsidRDefault="00840E7A">
      <w:pPr>
        <w:pStyle w:val="TOC1"/>
        <w:tabs>
          <w:tab w:val="right" w:leader="dot" w:pos="9350"/>
        </w:tabs>
        <w:rPr>
          <w:rFonts w:eastAsiaTheme="minorEastAsia"/>
        </w:rPr>
      </w:pPr>
      <w:hyperlink w:anchor="_Toc92194269" w:history="1">
        <w:r w:rsidRPr="00900ADE">
          <w:rPr>
            <w:rStyle w:val="Hyperlink"/>
          </w:rPr>
          <w:t>Summary of Average Ratings: Grades 6-8</w:t>
        </w:r>
        <w:r w:rsidRPr="00900ADE">
          <w:rPr>
            <w:webHidden/>
          </w:rPr>
          <w:tab/>
        </w:r>
        <w:r w:rsidR="00284CD2" w:rsidRPr="00900ADE">
          <w:rPr>
            <w:webHidden/>
          </w:rPr>
          <w:t>B-</w:t>
        </w:r>
        <w:r w:rsidRPr="00900ADE">
          <w:rPr>
            <w:webHidden/>
          </w:rPr>
          <w:fldChar w:fldCharType="begin"/>
        </w:r>
        <w:r w:rsidRPr="00900ADE">
          <w:rPr>
            <w:webHidden/>
          </w:rPr>
          <w:instrText xml:space="preserve"> PAGEREF _Toc92194269 \h </w:instrText>
        </w:r>
        <w:r w:rsidRPr="00900ADE">
          <w:rPr>
            <w:webHidden/>
          </w:rPr>
        </w:r>
        <w:r w:rsidRPr="00900ADE">
          <w:rPr>
            <w:webHidden/>
          </w:rPr>
          <w:fldChar w:fldCharType="separate"/>
        </w:r>
        <w:r w:rsidR="00284CD2" w:rsidRPr="00900ADE">
          <w:rPr>
            <w:webHidden/>
          </w:rPr>
          <w:t>21</w:t>
        </w:r>
        <w:r w:rsidRPr="00900ADE">
          <w:rPr>
            <w:webHidden/>
          </w:rPr>
          <w:fldChar w:fldCharType="end"/>
        </w:r>
      </w:hyperlink>
    </w:p>
    <w:p w14:paraId="7AAF88D5" w14:textId="47D24ADA" w:rsidR="00840E7A" w:rsidRPr="00900ADE" w:rsidRDefault="00840E7A">
      <w:pPr>
        <w:pStyle w:val="TOC1"/>
        <w:tabs>
          <w:tab w:val="right" w:leader="dot" w:pos="9350"/>
        </w:tabs>
        <w:rPr>
          <w:rFonts w:eastAsiaTheme="minorEastAsia"/>
        </w:rPr>
      </w:pPr>
      <w:hyperlink w:anchor="_Toc92194270" w:history="1">
        <w:r w:rsidRPr="00900ADE">
          <w:rPr>
            <w:rStyle w:val="Hyperlink"/>
          </w:rPr>
          <w:t>Summary of Average Ratings: Grades 9-12</w:t>
        </w:r>
        <w:r w:rsidRPr="00900ADE">
          <w:rPr>
            <w:webHidden/>
          </w:rPr>
          <w:tab/>
        </w:r>
        <w:r w:rsidR="00284CD2" w:rsidRPr="00900ADE">
          <w:rPr>
            <w:webHidden/>
          </w:rPr>
          <w:t>B-</w:t>
        </w:r>
        <w:r w:rsidRPr="00900ADE">
          <w:rPr>
            <w:webHidden/>
          </w:rPr>
          <w:fldChar w:fldCharType="begin"/>
        </w:r>
        <w:r w:rsidRPr="00900ADE">
          <w:rPr>
            <w:webHidden/>
          </w:rPr>
          <w:instrText xml:space="preserve"> PAGEREF _Toc92194270 \h </w:instrText>
        </w:r>
        <w:r w:rsidRPr="00900ADE">
          <w:rPr>
            <w:webHidden/>
          </w:rPr>
        </w:r>
        <w:r w:rsidRPr="00900ADE">
          <w:rPr>
            <w:webHidden/>
          </w:rPr>
          <w:fldChar w:fldCharType="separate"/>
        </w:r>
        <w:r w:rsidR="00284CD2" w:rsidRPr="00900ADE">
          <w:rPr>
            <w:webHidden/>
          </w:rPr>
          <w:t>22</w:t>
        </w:r>
        <w:r w:rsidRPr="00900ADE">
          <w:rPr>
            <w:webHidden/>
          </w:rPr>
          <w:fldChar w:fldCharType="end"/>
        </w:r>
      </w:hyperlink>
    </w:p>
    <w:p w14:paraId="3B2142DF" w14:textId="019C452B" w:rsidR="00840E7A" w:rsidRPr="00900ADE" w:rsidRDefault="00840E7A">
      <w:pPr>
        <w:pStyle w:val="TOC1"/>
        <w:tabs>
          <w:tab w:val="right" w:leader="dot" w:pos="9350"/>
        </w:tabs>
        <w:rPr>
          <w:rFonts w:eastAsiaTheme="minorEastAsia"/>
        </w:rPr>
      </w:pPr>
      <w:hyperlink w:anchor="_Toc92194271" w:history="1">
        <w:r w:rsidRPr="00900ADE">
          <w:rPr>
            <w:rStyle w:val="Hyperlink"/>
          </w:rPr>
          <w:t>References</w:t>
        </w:r>
        <w:r w:rsidRPr="00900ADE">
          <w:rPr>
            <w:webHidden/>
          </w:rPr>
          <w:tab/>
        </w:r>
        <w:r w:rsidR="00284CD2" w:rsidRPr="00900ADE">
          <w:rPr>
            <w:webHidden/>
          </w:rPr>
          <w:t>B-</w:t>
        </w:r>
        <w:r w:rsidRPr="00900ADE">
          <w:rPr>
            <w:webHidden/>
          </w:rPr>
          <w:fldChar w:fldCharType="begin"/>
        </w:r>
        <w:r w:rsidRPr="00900ADE">
          <w:rPr>
            <w:webHidden/>
          </w:rPr>
          <w:instrText xml:space="preserve"> PAGEREF _Toc92194271 \h </w:instrText>
        </w:r>
        <w:r w:rsidRPr="00900ADE">
          <w:rPr>
            <w:webHidden/>
          </w:rPr>
        </w:r>
        <w:r w:rsidRPr="00900ADE">
          <w:rPr>
            <w:webHidden/>
          </w:rPr>
          <w:fldChar w:fldCharType="separate"/>
        </w:r>
        <w:r w:rsidR="00284CD2" w:rsidRPr="00900ADE">
          <w:rPr>
            <w:webHidden/>
          </w:rPr>
          <w:t>23</w:t>
        </w:r>
        <w:r w:rsidRPr="00900ADE">
          <w:rPr>
            <w:webHidden/>
          </w:rPr>
          <w:fldChar w:fldCharType="end"/>
        </w:r>
      </w:hyperlink>
    </w:p>
    <w:p w14:paraId="1388F03F" w14:textId="297CA2A4" w:rsidR="00840E7A" w:rsidRPr="00900ADE" w:rsidRDefault="00840E7A" w:rsidP="00183FE8">
      <w:pPr>
        <w:spacing w:after="120"/>
        <w:rPr>
          <w:rFonts w:ascii="Calibri" w:eastAsia="Times New Roman" w:hAnsi="Calibri" w:cs="Calibri"/>
          <w:b/>
          <w:bCs/>
          <w:szCs w:val="20"/>
        </w:rPr>
      </w:pPr>
      <w:r w:rsidRPr="00900ADE">
        <w:rPr>
          <w:rFonts w:ascii="Calibri" w:eastAsia="Times New Roman" w:hAnsi="Calibri" w:cs="Calibri"/>
          <w:b/>
          <w:bCs/>
          <w:szCs w:val="20"/>
        </w:rPr>
        <w:fldChar w:fldCharType="end"/>
      </w:r>
    </w:p>
    <w:p w14:paraId="0775684C" w14:textId="77777777" w:rsidR="00840E7A" w:rsidRPr="00900ADE" w:rsidRDefault="00840E7A">
      <w:pPr>
        <w:spacing w:after="120"/>
        <w:rPr>
          <w:rFonts w:ascii="Calibri" w:eastAsia="Times New Roman" w:hAnsi="Calibri" w:cs="Calibri"/>
          <w:b/>
          <w:bCs/>
          <w:szCs w:val="20"/>
        </w:rPr>
      </w:pPr>
    </w:p>
    <w:p w14:paraId="3E2EE30F" w14:textId="77777777" w:rsidR="00840E7A" w:rsidRPr="00900ADE" w:rsidRDefault="00840E7A">
      <w:pPr>
        <w:spacing w:after="120"/>
        <w:jc w:val="right"/>
        <w:rPr>
          <w:rFonts w:ascii="Calibri" w:eastAsia="Times New Roman" w:hAnsi="Calibri" w:cs="Calibri"/>
          <w:b/>
          <w:bCs/>
          <w:szCs w:val="20"/>
        </w:rPr>
        <w:sectPr w:rsidR="00840E7A" w:rsidRPr="00900ADE" w:rsidSect="00E44E5D">
          <w:headerReference w:type="default" r:id="rId37"/>
          <w:footerReference w:type="default" r:id="rId38"/>
          <w:footnotePr>
            <w:numRestart w:val="eachSect"/>
          </w:footnotePr>
          <w:pgSz w:w="12240" w:h="15840"/>
          <w:pgMar w:top="1080" w:right="1440" w:bottom="1080" w:left="1440" w:header="720" w:footer="720" w:gutter="0"/>
          <w:cols w:space="720"/>
          <w:docGrid w:linePitch="360"/>
        </w:sectPr>
      </w:pPr>
    </w:p>
    <w:p w14:paraId="27C979D0" w14:textId="77777777" w:rsidR="00840E7A" w:rsidRPr="00900ADE" w:rsidRDefault="00840E7A">
      <w:pPr>
        <w:pStyle w:val="Heading2-SIOR"/>
        <w:pageBreakBefore w:val="0"/>
      </w:pPr>
      <w:bookmarkStart w:id="83" w:name="_Toc411329825"/>
      <w:bookmarkStart w:id="84" w:name="_Toc430114874"/>
      <w:bookmarkStart w:id="85" w:name="_Toc496109989"/>
      <w:bookmarkStart w:id="86" w:name="_Toc92194253"/>
      <w:r w:rsidRPr="00900ADE">
        <w:lastRenderedPageBreak/>
        <w:t>Introduction</w:t>
      </w:r>
      <w:bookmarkEnd w:id="83"/>
      <w:bookmarkEnd w:id="84"/>
      <w:bookmarkEnd w:id="85"/>
      <w:bookmarkEnd w:id="86"/>
    </w:p>
    <w:p w14:paraId="7752DF59" w14:textId="77777777" w:rsidR="00840E7A" w:rsidRPr="00900ADE" w:rsidRDefault="00840E7A">
      <w:pPr>
        <w:pStyle w:val="BodyText"/>
      </w:pPr>
      <w:r w:rsidRPr="00900ADE">
        <w:t xml:space="preserve">The </w:t>
      </w:r>
      <w:r w:rsidRPr="00900ADE">
        <w:rPr>
          <w:i/>
        </w:rPr>
        <w:t xml:space="preserve">Districtwide Instructional Observation Report </w:t>
      </w:r>
      <w:r w:rsidRPr="00900ADE">
        <w:t xml:space="preserve">presents ratings for the classroom observations that were conducted by certified observers at American Institutes for Research (AIR) as part of the Massachusetts District Reviews. </w:t>
      </w:r>
    </w:p>
    <w:p w14:paraId="414F61C7" w14:textId="77777777" w:rsidR="00840E7A" w:rsidRPr="00900ADE" w:rsidRDefault="00840E7A">
      <w:pPr>
        <w:pStyle w:val="BodyText"/>
      </w:pPr>
      <w:bookmarkStart w:id="87" w:name="N_Observers1"/>
      <w:r w:rsidRPr="00900ADE">
        <w:t>Three</w:t>
      </w:r>
      <w:bookmarkEnd w:id="87"/>
      <w:r w:rsidRPr="00900ADE">
        <w:t xml:space="preserve"> observers visited </w:t>
      </w:r>
      <w:bookmarkStart w:id="88" w:name="District2"/>
      <w:r w:rsidRPr="00900ADE">
        <w:t>Medway</w:t>
      </w:r>
      <w:bookmarkEnd w:id="88"/>
      <w:r w:rsidRPr="00900ADE">
        <w:t xml:space="preserve"> Public Schools during the week of </w:t>
      </w:r>
      <w:bookmarkStart w:id="89" w:name="Obs_Dates1"/>
      <w:r w:rsidRPr="00900ADE">
        <w:t>January 13, 2025</w:t>
      </w:r>
      <w:bookmarkEnd w:id="89"/>
      <w:r w:rsidRPr="00900ADE">
        <w:t xml:space="preserve">. Observers conducted </w:t>
      </w:r>
      <w:bookmarkStart w:id="90" w:name="N_Observations1"/>
      <w:r w:rsidRPr="00900ADE">
        <w:t>70</w:t>
      </w:r>
      <w:bookmarkEnd w:id="90"/>
      <w:r w:rsidRPr="00900ADE">
        <w:t xml:space="preserve"> observations in a sample of classrooms across </w:t>
      </w:r>
      <w:bookmarkStart w:id="91" w:name="N_SchoolsObserved1"/>
      <w:r w:rsidRPr="00900ADE">
        <w:t>four</w:t>
      </w:r>
      <w:bookmarkEnd w:id="91"/>
      <w:r w:rsidRPr="00900ADE">
        <w:t xml:space="preserve"> schools. Observations were conducted in grades K-12 and focused primarily on literacy, English language arts, and mathematics instruction. </w:t>
      </w:r>
    </w:p>
    <w:p w14:paraId="1D66E04B" w14:textId="77777777" w:rsidR="00840E7A" w:rsidRPr="00900ADE" w:rsidRDefault="00840E7A">
      <w:pPr>
        <w:pStyle w:val="BodyText"/>
      </w:pPr>
      <w:r w:rsidRPr="00900ADE">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0EB75E4A" w14:textId="77777777" w:rsidR="00840E7A" w:rsidRPr="00900ADE" w:rsidRDefault="00840E7A">
      <w:pPr>
        <w:pStyle w:val="BodyText"/>
      </w:pPr>
      <w:r w:rsidRPr="00900ADE">
        <w:t>The K–3 protocol includes 10 classroom dimensions related to three domains: Emotional Support, Classroom Organization, and Instructional Support (listed in Table 1).</w:t>
      </w:r>
    </w:p>
    <w:p w14:paraId="2BA8E379" w14:textId="77777777" w:rsidR="00840E7A" w:rsidRPr="00900ADE" w:rsidRDefault="00840E7A">
      <w:pPr>
        <w:pStyle w:val="TableTitle0"/>
      </w:pPr>
      <w:r w:rsidRPr="00900ADE">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840E7A" w:rsidRPr="00900ADE" w14:paraId="2364DA58" w14:textId="77777777" w:rsidTr="002E384C">
        <w:trPr>
          <w:cnfStyle w:val="100000000000" w:firstRow="1" w:lastRow="0" w:firstColumn="0" w:lastColumn="0" w:oddVBand="0" w:evenVBand="0" w:oddHBand="0" w:evenHBand="0" w:firstRowFirstColumn="0" w:firstRowLastColumn="0" w:lastRowFirstColumn="0" w:lastRowLastColumn="0"/>
          <w:trHeight w:val="278"/>
          <w:tblHeader/>
          <w:jc w:val="center"/>
        </w:trPr>
        <w:tc>
          <w:tcPr>
            <w:tcW w:w="3192" w:type="dxa"/>
          </w:tcPr>
          <w:p w14:paraId="092B6157" w14:textId="77777777" w:rsidR="00840E7A" w:rsidRPr="00510408" w:rsidRDefault="00840E7A">
            <w:pPr>
              <w:pStyle w:val="TableColHeadingCenter"/>
              <w:rPr>
                <w:rFonts w:eastAsia="MS Mincho"/>
              </w:rPr>
            </w:pPr>
            <w:r w:rsidRPr="00510408">
              <w:rPr>
                <w:rFonts w:eastAsia="MS Mincho"/>
              </w:rPr>
              <w:t>Emotional Support</w:t>
            </w:r>
          </w:p>
        </w:tc>
        <w:tc>
          <w:tcPr>
            <w:tcW w:w="3192" w:type="dxa"/>
          </w:tcPr>
          <w:p w14:paraId="60420BEA" w14:textId="77777777" w:rsidR="00840E7A" w:rsidRPr="00900ADE" w:rsidRDefault="00840E7A">
            <w:pPr>
              <w:pStyle w:val="TableColHeadingCenter"/>
              <w:rPr>
                <w:rFonts w:eastAsia="MS Mincho"/>
              </w:rPr>
            </w:pPr>
            <w:r w:rsidRPr="00900ADE">
              <w:rPr>
                <w:rFonts w:eastAsia="MS Mincho"/>
              </w:rPr>
              <w:t>Classroom Organization</w:t>
            </w:r>
          </w:p>
        </w:tc>
        <w:tc>
          <w:tcPr>
            <w:tcW w:w="3192" w:type="dxa"/>
          </w:tcPr>
          <w:p w14:paraId="60CFEA85" w14:textId="77777777" w:rsidR="00840E7A" w:rsidRPr="00900ADE" w:rsidRDefault="00840E7A">
            <w:pPr>
              <w:pStyle w:val="TableColHeadingCenter"/>
              <w:rPr>
                <w:rFonts w:eastAsia="MS Mincho"/>
              </w:rPr>
            </w:pPr>
            <w:r w:rsidRPr="00900ADE">
              <w:rPr>
                <w:rFonts w:eastAsia="MS Mincho"/>
              </w:rPr>
              <w:t>Instructional Support</w:t>
            </w:r>
          </w:p>
        </w:tc>
      </w:tr>
      <w:tr w:rsidR="00840E7A" w:rsidRPr="00900ADE" w14:paraId="3E8A0576" w14:textId="77777777" w:rsidTr="00974E16">
        <w:trPr>
          <w:jc w:val="center"/>
        </w:trPr>
        <w:tc>
          <w:tcPr>
            <w:tcW w:w="3192" w:type="dxa"/>
          </w:tcPr>
          <w:p w14:paraId="6F191644" w14:textId="77777777" w:rsidR="00840E7A" w:rsidRPr="00900ADE" w:rsidRDefault="00840E7A" w:rsidP="00840E7A">
            <w:pPr>
              <w:pStyle w:val="TableBullet1"/>
              <w:numPr>
                <w:ilvl w:val="0"/>
                <w:numId w:val="7"/>
              </w:numPr>
            </w:pPr>
            <w:r w:rsidRPr="00900ADE">
              <w:t>Positive Climate</w:t>
            </w:r>
          </w:p>
          <w:p w14:paraId="307826AA" w14:textId="77777777" w:rsidR="00840E7A" w:rsidRPr="00900ADE" w:rsidRDefault="00840E7A" w:rsidP="00840E7A">
            <w:pPr>
              <w:pStyle w:val="TableBullet1"/>
              <w:numPr>
                <w:ilvl w:val="0"/>
                <w:numId w:val="7"/>
              </w:numPr>
            </w:pPr>
            <w:r w:rsidRPr="00900ADE">
              <w:t>Negative Climate</w:t>
            </w:r>
          </w:p>
          <w:p w14:paraId="0C701A42" w14:textId="77777777" w:rsidR="00840E7A" w:rsidRPr="00900ADE" w:rsidRDefault="00840E7A" w:rsidP="00840E7A">
            <w:pPr>
              <w:pStyle w:val="TableBullet1"/>
              <w:numPr>
                <w:ilvl w:val="0"/>
                <w:numId w:val="7"/>
              </w:numPr>
            </w:pPr>
            <w:r w:rsidRPr="00900ADE">
              <w:t>Teacher Sensitivity</w:t>
            </w:r>
          </w:p>
          <w:p w14:paraId="43AC08EE" w14:textId="77777777" w:rsidR="00840E7A" w:rsidRPr="00900ADE" w:rsidRDefault="00840E7A" w:rsidP="00840E7A">
            <w:pPr>
              <w:pStyle w:val="TableBullet1"/>
              <w:numPr>
                <w:ilvl w:val="0"/>
                <w:numId w:val="7"/>
              </w:numPr>
            </w:pPr>
            <w:r w:rsidRPr="00900ADE">
              <w:t>Regard for Student Perspectives</w:t>
            </w:r>
          </w:p>
        </w:tc>
        <w:tc>
          <w:tcPr>
            <w:tcW w:w="3192" w:type="dxa"/>
          </w:tcPr>
          <w:p w14:paraId="39DF59B8" w14:textId="77777777" w:rsidR="00840E7A" w:rsidRPr="00900ADE" w:rsidRDefault="00840E7A" w:rsidP="00840E7A">
            <w:pPr>
              <w:pStyle w:val="TableBullet1"/>
              <w:numPr>
                <w:ilvl w:val="0"/>
                <w:numId w:val="7"/>
              </w:numPr>
            </w:pPr>
            <w:r w:rsidRPr="00900ADE">
              <w:t>Behavior Management</w:t>
            </w:r>
          </w:p>
          <w:p w14:paraId="4881B7B8" w14:textId="77777777" w:rsidR="00840E7A" w:rsidRPr="00900ADE" w:rsidRDefault="00840E7A" w:rsidP="00840E7A">
            <w:pPr>
              <w:pStyle w:val="TableBullet1"/>
              <w:numPr>
                <w:ilvl w:val="0"/>
                <w:numId w:val="7"/>
              </w:numPr>
            </w:pPr>
            <w:r w:rsidRPr="00900ADE">
              <w:t>Productivity</w:t>
            </w:r>
          </w:p>
          <w:p w14:paraId="3371D973" w14:textId="77777777" w:rsidR="00840E7A" w:rsidRPr="00900ADE" w:rsidRDefault="00840E7A" w:rsidP="00840E7A">
            <w:pPr>
              <w:pStyle w:val="TableBullet1"/>
              <w:numPr>
                <w:ilvl w:val="0"/>
                <w:numId w:val="7"/>
              </w:numPr>
            </w:pPr>
            <w:r w:rsidRPr="00900ADE">
              <w:t>Instructional Learning Formats</w:t>
            </w:r>
          </w:p>
        </w:tc>
        <w:tc>
          <w:tcPr>
            <w:tcW w:w="3192" w:type="dxa"/>
          </w:tcPr>
          <w:p w14:paraId="31AFCED2" w14:textId="77777777" w:rsidR="00840E7A" w:rsidRPr="00900ADE" w:rsidRDefault="00840E7A" w:rsidP="00840E7A">
            <w:pPr>
              <w:pStyle w:val="TableBullet1"/>
              <w:numPr>
                <w:ilvl w:val="0"/>
                <w:numId w:val="7"/>
              </w:numPr>
            </w:pPr>
            <w:r w:rsidRPr="00900ADE">
              <w:t>Concept Development</w:t>
            </w:r>
          </w:p>
          <w:p w14:paraId="409E110D" w14:textId="77777777" w:rsidR="00840E7A" w:rsidRPr="00900ADE" w:rsidRDefault="00840E7A" w:rsidP="00840E7A">
            <w:pPr>
              <w:pStyle w:val="TableBullet1"/>
              <w:numPr>
                <w:ilvl w:val="0"/>
                <w:numId w:val="7"/>
              </w:numPr>
            </w:pPr>
            <w:r w:rsidRPr="00900ADE">
              <w:t>Quality of Feedback</w:t>
            </w:r>
          </w:p>
          <w:p w14:paraId="0B00F37F" w14:textId="77777777" w:rsidR="00840E7A" w:rsidRPr="00900ADE" w:rsidRDefault="00840E7A" w:rsidP="00840E7A">
            <w:pPr>
              <w:pStyle w:val="TableBullet1"/>
              <w:numPr>
                <w:ilvl w:val="0"/>
                <w:numId w:val="7"/>
              </w:numPr>
            </w:pPr>
            <w:r w:rsidRPr="00900ADE">
              <w:t>Language Modeling</w:t>
            </w:r>
          </w:p>
        </w:tc>
      </w:tr>
    </w:tbl>
    <w:p w14:paraId="50004DCB" w14:textId="77777777" w:rsidR="00840E7A" w:rsidRPr="00900ADE" w:rsidRDefault="00840E7A">
      <w:pPr>
        <w:pStyle w:val="BodyText"/>
      </w:pPr>
      <w:r w:rsidRPr="00900ADE">
        <w:t xml:space="preserve">The Upper Elementary and Secondary protocols include 11 classroom dimensions related to three domains: Emotional Support, Classroom Organization, and Instructional Support (listed in Table 2), in addition to Student Engagement. </w:t>
      </w:r>
    </w:p>
    <w:p w14:paraId="36B53AFD" w14:textId="77777777" w:rsidR="00840E7A" w:rsidRPr="00900ADE" w:rsidRDefault="00840E7A">
      <w:pPr>
        <w:pStyle w:val="TableTitle0"/>
      </w:pPr>
      <w:r w:rsidRPr="00900ADE">
        <w:t>Table 2. CLASS Upper Elementary and Secondary Domains and Dimensions</w:t>
      </w:r>
    </w:p>
    <w:tbl>
      <w:tblPr>
        <w:tblStyle w:val="MSVTable1"/>
        <w:tblW w:w="5000" w:type="pct"/>
        <w:jc w:val="center"/>
        <w:tblLook w:val="06A0" w:firstRow="1" w:lastRow="0" w:firstColumn="1" w:lastColumn="0" w:noHBand="1" w:noVBand="1"/>
      </w:tblPr>
      <w:tblGrid>
        <w:gridCol w:w="3111"/>
        <w:gridCol w:w="3114"/>
        <w:gridCol w:w="3119"/>
      </w:tblGrid>
      <w:tr w:rsidR="00840E7A" w:rsidRPr="00900ADE" w14:paraId="26125F73" w14:textId="77777777" w:rsidTr="002E384C">
        <w:trPr>
          <w:cnfStyle w:val="100000000000" w:firstRow="1" w:lastRow="0" w:firstColumn="0" w:lastColumn="0" w:oddVBand="0" w:evenVBand="0" w:oddHBand="0" w:evenHBand="0" w:firstRowFirstColumn="0" w:firstRowLastColumn="0" w:lastRowFirstColumn="0" w:lastRowLastColumn="0"/>
          <w:tblHeader/>
          <w:jc w:val="center"/>
        </w:trPr>
        <w:tc>
          <w:tcPr>
            <w:tcW w:w="3111" w:type="dxa"/>
          </w:tcPr>
          <w:p w14:paraId="61A4D85F" w14:textId="77777777" w:rsidR="00840E7A" w:rsidRPr="00900ADE" w:rsidRDefault="00840E7A">
            <w:pPr>
              <w:pStyle w:val="TableColHeadingCenter"/>
              <w:rPr>
                <w:rFonts w:eastAsia="MS Mincho"/>
              </w:rPr>
            </w:pPr>
            <w:bookmarkStart w:id="92" w:name="_Toc411329826"/>
            <w:bookmarkStart w:id="93" w:name="_Toc430114875"/>
            <w:bookmarkStart w:id="94" w:name="_Toc496109990"/>
            <w:r w:rsidRPr="00900ADE">
              <w:rPr>
                <w:rFonts w:eastAsia="MS Mincho"/>
              </w:rPr>
              <w:t>Emotional Support</w:t>
            </w:r>
          </w:p>
        </w:tc>
        <w:tc>
          <w:tcPr>
            <w:tcW w:w="3114" w:type="dxa"/>
          </w:tcPr>
          <w:p w14:paraId="0C0D93E6" w14:textId="77777777" w:rsidR="00840E7A" w:rsidRPr="00900ADE" w:rsidRDefault="00840E7A">
            <w:pPr>
              <w:pStyle w:val="TableColHeadingCenter"/>
              <w:rPr>
                <w:rFonts w:eastAsia="MS Mincho"/>
              </w:rPr>
            </w:pPr>
            <w:r w:rsidRPr="00900ADE">
              <w:rPr>
                <w:rFonts w:eastAsia="MS Mincho"/>
              </w:rPr>
              <w:t>Classroom Organization</w:t>
            </w:r>
          </w:p>
        </w:tc>
        <w:tc>
          <w:tcPr>
            <w:tcW w:w="3119" w:type="dxa"/>
          </w:tcPr>
          <w:p w14:paraId="7FEF9ACB" w14:textId="77777777" w:rsidR="00840E7A" w:rsidRPr="00900ADE" w:rsidRDefault="00840E7A">
            <w:pPr>
              <w:pStyle w:val="TableColHeadingCenter"/>
              <w:rPr>
                <w:rFonts w:eastAsia="MS Mincho"/>
              </w:rPr>
            </w:pPr>
            <w:r w:rsidRPr="00900ADE">
              <w:rPr>
                <w:rFonts w:eastAsia="MS Mincho"/>
              </w:rPr>
              <w:t>Instructional Support</w:t>
            </w:r>
          </w:p>
        </w:tc>
      </w:tr>
      <w:tr w:rsidR="00840E7A" w:rsidRPr="00900ADE" w14:paraId="6CFAB646" w14:textId="77777777" w:rsidTr="00974E16">
        <w:trPr>
          <w:jc w:val="center"/>
        </w:trPr>
        <w:tc>
          <w:tcPr>
            <w:tcW w:w="3111" w:type="dxa"/>
          </w:tcPr>
          <w:p w14:paraId="29E48270" w14:textId="77777777" w:rsidR="00840E7A" w:rsidRPr="00900ADE" w:rsidRDefault="00840E7A" w:rsidP="00840E7A">
            <w:pPr>
              <w:pStyle w:val="TableBullet1"/>
              <w:numPr>
                <w:ilvl w:val="0"/>
                <w:numId w:val="7"/>
              </w:numPr>
            </w:pPr>
            <w:r w:rsidRPr="00900ADE">
              <w:t>Positive Climate</w:t>
            </w:r>
          </w:p>
          <w:p w14:paraId="3E6CDD5A" w14:textId="77777777" w:rsidR="00840E7A" w:rsidRPr="00900ADE" w:rsidRDefault="00840E7A" w:rsidP="00840E7A">
            <w:pPr>
              <w:pStyle w:val="TableBullet1"/>
              <w:numPr>
                <w:ilvl w:val="0"/>
                <w:numId w:val="7"/>
              </w:numPr>
            </w:pPr>
            <w:r w:rsidRPr="00900ADE">
              <w:t>Teacher Sensitivity</w:t>
            </w:r>
          </w:p>
          <w:p w14:paraId="7174974A" w14:textId="77777777" w:rsidR="00840E7A" w:rsidRPr="00900ADE" w:rsidRDefault="00840E7A" w:rsidP="00840E7A">
            <w:pPr>
              <w:pStyle w:val="TableBullet1"/>
              <w:numPr>
                <w:ilvl w:val="0"/>
                <w:numId w:val="7"/>
              </w:numPr>
            </w:pPr>
            <w:r w:rsidRPr="00900ADE">
              <w:t>Regard for Student Perspectives</w:t>
            </w:r>
          </w:p>
        </w:tc>
        <w:tc>
          <w:tcPr>
            <w:tcW w:w="3114" w:type="dxa"/>
          </w:tcPr>
          <w:p w14:paraId="20DCEAAB" w14:textId="77777777" w:rsidR="00840E7A" w:rsidRPr="00900ADE" w:rsidRDefault="00840E7A" w:rsidP="00840E7A">
            <w:pPr>
              <w:pStyle w:val="TableBullet1"/>
              <w:numPr>
                <w:ilvl w:val="0"/>
                <w:numId w:val="7"/>
              </w:numPr>
              <w:rPr>
                <w:b/>
                <w:bCs/>
                <w:szCs w:val="20"/>
              </w:rPr>
            </w:pPr>
            <w:r w:rsidRPr="00900ADE">
              <w:t>Behavior Management</w:t>
            </w:r>
          </w:p>
          <w:p w14:paraId="56237477" w14:textId="77777777" w:rsidR="00840E7A" w:rsidRPr="00900ADE" w:rsidRDefault="00840E7A" w:rsidP="00840E7A">
            <w:pPr>
              <w:pStyle w:val="TableBullet1"/>
              <w:numPr>
                <w:ilvl w:val="0"/>
                <w:numId w:val="7"/>
              </w:numPr>
              <w:rPr>
                <w:b/>
                <w:bCs/>
                <w:szCs w:val="20"/>
              </w:rPr>
            </w:pPr>
            <w:r w:rsidRPr="00900ADE">
              <w:t>Productivity</w:t>
            </w:r>
          </w:p>
          <w:p w14:paraId="2937EAF9" w14:textId="77777777" w:rsidR="00840E7A" w:rsidRPr="00900ADE" w:rsidRDefault="00840E7A" w:rsidP="00840E7A">
            <w:pPr>
              <w:pStyle w:val="TableBullet1"/>
              <w:numPr>
                <w:ilvl w:val="0"/>
                <w:numId w:val="7"/>
              </w:numPr>
            </w:pPr>
            <w:r w:rsidRPr="00900ADE">
              <w:t>Negative Climate</w:t>
            </w:r>
          </w:p>
        </w:tc>
        <w:tc>
          <w:tcPr>
            <w:tcW w:w="3119" w:type="dxa"/>
          </w:tcPr>
          <w:p w14:paraId="613E21F4" w14:textId="77777777" w:rsidR="00840E7A" w:rsidRPr="00900ADE" w:rsidRDefault="00840E7A" w:rsidP="00840E7A">
            <w:pPr>
              <w:pStyle w:val="TableBullet1"/>
              <w:numPr>
                <w:ilvl w:val="0"/>
                <w:numId w:val="7"/>
              </w:numPr>
              <w:rPr>
                <w:b/>
                <w:bCs/>
                <w:szCs w:val="20"/>
              </w:rPr>
            </w:pPr>
            <w:r w:rsidRPr="00900ADE">
              <w:t xml:space="preserve">Instructional Learning Formats </w:t>
            </w:r>
          </w:p>
          <w:p w14:paraId="27A98321" w14:textId="77777777" w:rsidR="00840E7A" w:rsidRPr="00900ADE" w:rsidRDefault="00840E7A" w:rsidP="00840E7A">
            <w:pPr>
              <w:pStyle w:val="TableBullet1"/>
              <w:numPr>
                <w:ilvl w:val="0"/>
                <w:numId w:val="7"/>
              </w:numPr>
              <w:rPr>
                <w:b/>
                <w:bCs/>
                <w:szCs w:val="20"/>
              </w:rPr>
            </w:pPr>
            <w:r w:rsidRPr="00900ADE">
              <w:t>Content Understanding</w:t>
            </w:r>
          </w:p>
          <w:p w14:paraId="2D185BA3" w14:textId="77777777" w:rsidR="00840E7A" w:rsidRPr="00900ADE" w:rsidRDefault="00840E7A" w:rsidP="00840E7A">
            <w:pPr>
              <w:pStyle w:val="TableBullet1"/>
              <w:numPr>
                <w:ilvl w:val="0"/>
                <w:numId w:val="7"/>
              </w:numPr>
              <w:rPr>
                <w:b/>
                <w:bCs/>
                <w:szCs w:val="20"/>
              </w:rPr>
            </w:pPr>
            <w:r w:rsidRPr="00900ADE">
              <w:t>Analysis and Inquiry</w:t>
            </w:r>
          </w:p>
          <w:p w14:paraId="1A803D1B" w14:textId="77777777" w:rsidR="00840E7A" w:rsidRPr="00900ADE" w:rsidRDefault="00840E7A" w:rsidP="00840E7A">
            <w:pPr>
              <w:pStyle w:val="TableBullet1"/>
              <w:numPr>
                <w:ilvl w:val="0"/>
                <w:numId w:val="7"/>
              </w:numPr>
              <w:rPr>
                <w:b/>
                <w:bCs/>
                <w:szCs w:val="20"/>
              </w:rPr>
            </w:pPr>
            <w:r w:rsidRPr="00900ADE">
              <w:t>Quality of Feedback</w:t>
            </w:r>
          </w:p>
          <w:p w14:paraId="44B4F3D3" w14:textId="77777777" w:rsidR="00840E7A" w:rsidRPr="00900ADE" w:rsidRDefault="00840E7A" w:rsidP="00840E7A">
            <w:pPr>
              <w:pStyle w:val="TableBullet1"/>
              <w:numPr>
                <w:ilvl w:val="0"/>
                <w:numId w:val="7"/>
              </w:numPr>
              <w:rPr>
                <w:b/>
                <w:bCs/>
                <w:szCs w:val="20"/>
              </w:rPr>
            </w:pPr>
            <w:r w:rsidRPr="00900ADE">
              <w:t>Instructional Dialogue</w:t>
            </w:r>
          </w:p>
        </w:tc>
      </w:tr>
      <w:tr w:rsidR="00840E7A" w:rsidRPr="00900ADE" w14:paraId="39D54612" w14:textId="77777777" w:rsidTr="00974E16">
        <w:trPr>
          <w:jc w:val="center"/>
        </w:trPr>
        <w:tc>
          <w:tcPr>
            <w:tcW w:w="3111" w:type="dxa"/>
            <w:tcBorders>
              <w:right w:val="nil"/>
            </w:tcBorders>
            <w:shd w:val="clear" w:color="auto" w:fill="D9E2F3" w:themeFill="accent5" w:themeFillTint="33"/>
          </w:tcPr>
          <w:p w14:paraId="692F865A" w14:textId="77777777" w:rsidR="00840E7A" w:rsidRPr="00900ADE" w:rsidRDefault="00840E7A">
            <w:pPr>
              <w:pStyle w:val="TableSubheadingCentered"/>
            </w:pPr>
          </w:p>
        </w:tc>
        <w:tc>
          <w:tcPr>
            <w:tcW w:w="3114" w:type="dxa"/>
            <w:tcBorders>
              <w:left w:val="nil"/>
              <w:right w:val="nil"/>
            </w:tcBorders>
            <w:shd w:val="clear" w:color="auto" w:fill="D9E2F3" w:themeFill="accent5" w:themeFillTint="33"/>
          </w:tcPr>
          <w:p w14:paraId="5F420C53" w14:textId="77777777" w:rsidR="00840E7A" w:rsidRPr="00900ADE" w:rsidRDefault="00840E7A">
            <w:pPr>
              <w:pStyle w:val="TableSubheadingCentered"/>
            </w:pPr>
            <w:r w:rsidRPr="00900ADE">
              <w:t>Student Engagement</w:t>
            </w:r>
          </w:p>
        </w:tc>
        <w:tc>
          <w:tcPr>
            <w:tcW w:w="3119" w:type="dxa"/>
            <w:tcBorders>
              <w:left w:val="nil"/>
            </w:tcBorders>
            <w:shd w:val="clear" w:color="auto" w:fill="D9E2F3" w:themeFill="accent5" w:themeFillTint="33"/>
          </w:tcPr>
          <w:p w14:paraId="03DFBFFF" w14:textId="77777777" w:rsidR="00840E7A" w:rsidRPr="00900ADE" w:rsidRDefault="00840E7A">
            <w:pPr>
              <w:pStyle w:val="TableSubheadingCentered"/>
            </w:pPr>
          </w:p>
        </w:tc>
      </w:tr>
    </w:tbl>
    <w:p w14:paraId="45EDEF5D" w14:textId="77777777" w:rsidR="00840E7A" w:rsidRPr="00900ADE" w:rsidRDefault="00840E7A">
      <w:pPr>
        <w:pStyle w:val="BodyText"/>
      </w:pPr>
      <w:r w:rsidRPr="00900ADE">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w:t>
      </w:r>
      <w:r w:rsidRPr="00900ADE">
        <w:lastRenderedPageBreak/>
        <w:t xml:space="preserve">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54049FEC" w14:textId="77777777" w:rsidR="00840E7A" w:rsidRPr="00900ADE" w:rsidRDefault="00840E7A">
      <w:pPr>
        <w:pStyle w:val="BodyText"/>
      </w:pPr>
      <w:r w:rsidRPr="00900ADE">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5077F21B" w14:textId="77777777" w:rsidR="00840E7A" w:rsidRPr="00900ADE" w:rsidRDefault="00840E7A">
      <w:pPr>
        <w:pStyle w:val="BodyText"/>
        <w:rPr>
          <w:spacing w:val="-2"/>
        </w:rPr>
      </w:pPr>
      <w:r w:rsidRPr="00900ADE">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248FD9B1" w14:textId="77777777" w:rsidR="00840E7A" w:rsidRPr="00900ADE" w:rsidRDefault="00840E7A">
      <w:pPr>
        <w:pStyle w:val="BodyText"/>
      </w:pPr>
      <w:r w:rsidRPr="00900ADE">
        <w:t xml:space="preserve">In this report, each CLASS dimension is defined, and descriptions of the dimensions at the high (6 or 7), middle (3, 4, or 5), and low levels (1 or 2) are presented </w:t>
      </w:r>
      <w:r w:rsidRPr="00900ADE">
        <w:rPr>
          <w:i/>
        </w:rPr>
        <w:t>(definitions and rating descriptions are derived from the CLASS K–3</w:t>
      </w:r>
      <w:r w:rsidRPr="00900ADE">
        <w:t>,</w:t>
      </w:r>
      <w:r w:rsidRPr="00900ADE">
        <w:rPr>
          <w:i/>
        </w:rPr>
        <w:t xml:space="preserve"> Upper Elementary, and Secondary Manuals).</w:t>
      </w:r>
      <w:r w:rsidRPr="00900ADE">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3D9F13A6" w14:textId="77777777" w:rsidR="00840E7A" w:rsidRPr="00900ADE" w:rsidRDefault="00840E7A">
      <w:pPr>
        <w:pStyle w:val="Heading2-SIOR"/>
      </w:pPr>
      <w:bookmarkStart w:id="95" w:name="_Toc92194254"/>
      <w:bookmarkStart w:id="96" w:name="_Hlk92190807"/>
      <w:r w:rsidRPr="00900ADE">
        <w:lastRenderedPageBreak/>
        <w:t>Positive Climate</w:t>
      </w:r>
      <w:bookmarkEnd w:id="92"/>
      <w:bookmarkEnd w:id="93"/>
      <w:bookmarkEnd w:id="94"/>
      <w:bookmarkEnd w:id="95"/>
    </w:p>
    <w:p w14:paraId="1AC19190" w14:textId="77777777" w:rsidR="00840E7A" w:rsidRPr="00900ADE" w:rsidRDefault="00840E7A">
      <w:pPr>
        <w:pStyle w:val="BodyTextDomain"/>
      </w:pPr>
      <w:r w:rsidRPr="00900ADE">
        <w:t>Emotional Support domain, Grades K−12</w:t>
      </w:r>
    </w:p>
    <w:p w14:paraId="0EF9F504" w14:textId="77777777" w:rsidR="00840E7A" w:rsidRPr="00900ADE" w:rsidRDefault="00840E7A">
      <w:pPr>
        <w:pStyle w:val="BodyText"/>
      </w:pPr>
      <w:r w:rsidRPr="00900ADE">
        <w:t>Positive Climate reflects the emotional connection between the teacher and students and among students and the warmth, respect, and enjoyment communicated by verbal and nonverbal interactions (</w:t>
      </w:r>
      <w:r w:rsidRPr="00900ADE">
        <w:rPr>
          <w:i/>
        </w:rPr>
        <w:t>CLASS K–3 Manual</w:t>
      </w:r>
      <w:r w:rsidRPr="00900ADE">
        <w:t xml:space="preserve">, p. 23, </w:t>
      </w:r>
      <w:r w:rsidRPr="00900ADE">
        <w:rPr>
          <w:i/>
        </w:rPr>
        <w:t xml:space="preserve">CLASS Upper Elementary Manual, </w:t>
      </w:r>
      <w:r w:rsidRPr="00900ADE">
        <w:t xml:space="preserve">p. 21, </w:t>
      </w:r>
      <w:r w:rsidRPr="00900ADE">
        <w:rPr>
          <w:i/>
        </w:rPr>
        <w:t>CLASS Secondary Manual</w:t>
      </w:r>
      <w:r w:rsidRPr="00900ADE">
        <w:t>, p. 21). Table 3 (as well as tables for the remaining dimensions) includes the number of classrooms for each rating on each dimension and the district average for that dimension.</w:t>
      </w:r>
    </w:p>
    <w:p w14:paraId="26395AAB" w14:textId="77777777" w:rsidR="00840E7A" w:rsidRPr="00900ADE" w:rsidRDefault="00840E7A">
      <w:pPr>
        <w:pStyle w:val="TableTitle0"/>
      </w:pPr>
      <w:r w:rsidRPr="00900ADE">
        <w:t>Table 3. Positive Climate: Number of Classrooms for Each Rating and District Average</w:t>
      </w:r>
    </w:p>
    <w:p w14:paraId="01581F27" w14:textId="77777777" w:rsidR="00840E7A" w:rsidRPr="00900ADE" w:rsidRDefault="00840E7A">
      <w:pPr>
        <w:pStyle w:val="BodyTextDemi"/>
      </w:pPr>
      <w:r w:rsidRPr="00900ADE">
        <w:t xml:space="preserve">Positive Climate District Average*: </w:t>
      </w:r>
      <w:bookmarkStart w:id="97" w:name="Dist_PC_Avg"/>
      <w:r w:rsidRPr="00900ADE">
        <w:t>4.8</w:t>
      </w:r>
      <w:bookmarkEnd w:id="97"/>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1D073352"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2CAFC428" w14:textId="77777777" w:rsidR="00840E7A" w:rsidRPr="00900ADE" w:rsidRDefault="00840E7A" w:rsidP="00BB559C">
            <w:pPr>
              <w:pStyle w:val="TableColHeadingCenter"/>
              <w:rPr>
                <w:rFonts w:eastAsia="MS Mincho"/>
              </w:rPr>
            </w:pPr>
            <w:bookmarkStart w:id="98" w:name="Tbl_PC"/>
            <w:r w:rsidRPr="00900ADE">
              <w:rPr>
                <w:rFonts w:eastAsia="MS Mincho"/>
              </w:rPr>
              <w:t>Grade Band</w:t>
            </w:r>
          </w:p>
        </w:tc>
        <w:tc>
          <w:tcPr>
            <w:tcW w:w="874" w:type="dxa"/>
            <w:vAlign w:val="bottom"/>
          </w:tcPr>
          <w:p w14:paraId="6E04F3B8"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4F06C03C"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51098CB2"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76676CC4"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78C48ED0"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27A7CC42"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6B53BBD8"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065A2C55"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4C636ADB"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24586D29" w14:textId="77777777" w:rsidTr="00BB559C">
        <w:trPr>
          <w:jc w:val="center"/>
        </w:trPr>
        <w:tc>
          <w:tcPr>
            <w:tcW w:w="1431" w:type="dxa"/>
            <w:shd w:val="clear" w:color="auto" w:fill="D9E2F3" w:themeFill="accent5" w:themeFillTint="33"/>
          </w:tcPr>
          <w:p w14:paraId="38488983" w14:textId="77777777" w:rsidR="00840E7A" w:rsidRPr="00900ADE" w:rsidRDefault="00840E7A">
            <w:pPr>
              <w:pStyle w:val="TableSubheadingCentered"/>
            </w:pPr>
          </w:p>
        </w:tc>
        <w:tc>
          <w:tcPr>
            <w:tcW w:w="874" w:type="dxa"/>
            <w:shd w:val="clear" w:color="auto" w:fill="D9E2F3" w:themeFill="accent5" w:themeFillTint="33"/>
          </w:tcPr>
          <w:p w14:paraId="51D02D52" w14:textId="77777777" w:rsidR="00840E7A" w:rsidRPr="00900ADE" w:rsidRDefault="00840E7A">
            <w:pPr>
              <w:pStyle w:val="TableSubheadingCentered"/>
            </w:pPr>
            <w:r w:rsidRPr="00900ADE">
              <w:t>1</w:t>
            </w:r>
          </w:p>
        </w:tc>
        <w:tc>
          <w:tcPr>
            <w:tcW w:w="874" w:type="dxa"/>
            <w:shd w:val="clear" w:color="auto" w:fill="D9E2F3" w:themeFill="accent5" w:themeFillTint="33"/>
          </w:tcPr>
          <w:p w14:paraId="3A678E9D" w14:textId="77777777" w:rsidR="00840E7A" w:rsidRPr="00900ADE" w:rsidRDefault="00840E7A">
            <w:pPr>
              <w:pStyle w:val="TableSubheadingCentered"/>
            </w:pPr>
            <w:r w:rsidRPr="00900ADE">
              <w:t>2</w:t>
            </w:r>
          </w:p>
        </w:tc>
        <w:tc>
          <w:tcPr>
            <w:tcW w:w="874" w:type="dxa"/>
            <w:shd w:val="clear" w:color="auto" w:fill="D9E2F3" w:themeFill="accent5" w:themeFillTint="33"/>
          </w:tcPr>
          <w:p w14:paraId="31D6DF20" w14:textId="77777777" w:rsidR="00840E7A" w:rsidRPr="00900ADE" w:rsidRDefault="00840E7A">
            <w:pPr>
              <w:pStyle w:val="TableSubheadingCentered"/>
            </w:pPr>
            <w:r w:rsidRPr="00900ADE">
              <w:t>3</w:t>
            </w:r>
          </w:p>
        </w:tc>
        <w:tc>
          <w:tcPr>
            <w:tcW w:w="875" w:type="dxa"/>
            <w:shd w:val="clear" w:color="auto" w:fill="D9E2F3" w:themeFill="accent5" w:themeFillTint="33"/>
          </w:tcPr>
          <w:p w14:paraId="1B3A8A0C" w14:textId="77777777" w:rsidR="00840E7A" w:rsidRPr="00900ADE" w:rsidRDefault="00840E7A">
            <w:pPr>
              <w:pStyle w:val="TableSubheadingCentered"/>
            </w:pPr>
            <w:r w:rsidRPr="00900ADE">
              <w:t>4</w:t>
            </w:r>
          </w:p>
        </w:tc>
        <w:tc>
          <w:tcPr>
            <w:tcW w:w="875" w:type="dxa"/>
            <w:shd w:val="clear" w:color="auto" w:fill="D9E2F3" w:themeFill="accent5" w:themeFillTint="33"/>
          </w:tcPr>
          <w:p w14:paraId="2FCEA369" w14:textId="77777777" w:rsidR="00840E7A" w:rsidRPr="00900ADE" w:rsidRDefault="00840E7A">
            <w:pPr>
              <w:pStyle w:val="TableSubheadingCentered"/>
            </w:pPr>
            <w:r w:rsidRPr="00900ADE">
              <w:t>5</w:t>
            </w:r>
          </w:p>
        </w:tc>
        <w:tc>
          <w:tcPr>
            <w:tcW w:w="874" w:type="dxa"/>
            <w:shd w:val="clear" w:color="auto" w:fill="D9E2F3" w:themeFill="accent5" w:themeFillTint="33"/>
          </w:tcPr>
          <w:p w14:paraId="255FBDB3" w14:textId="77777777" w:rsidR="00840E7A" w:rsidRPr="00900ADE" w:rsidRDefault="00840E7A">
            <w:pPr>
              <w:pStyle w:val="TableSubheadingCentered"/>
            </w:pPr>
            <w:r w:rsidRPr="00900ADE">
              <w:t>6</w:t>
            </w:r>
          </w:p>
        </w:tc>
        <w:tc>
          <w:tcPr>
            <w:tcW w:w="875" w:type="dxa"/>
            <w:shd w:val="clear" w:color="auto" w:fill="D9E2F3" w:themeFill="accent5" w:themeFillTint="33"/>
          </w:tcPr>
          <w:p w14:paraId="64FD4B99" w14:textId="77777777" w:rsidR="00840E7A" w:rsidRPr="00900ADE" w:rsidRDefault="00840E7A">
            <w:pPr>
              <w:pStyle w:val="TableSubheadingCentered"/>
            </w:pPr>
            <w:r w:rsidRPr="00900ADE">
              <w:t>7</w:t>
            </w:r>
          </w:p>
        </w:tc>
        <w:tc>
          <w:tcPr>
            <w:tcW w:w="900" w:type="dxa"/>
            <w:shd w:val="clear" w:color="auto" w:fill="D9E2F3" w:themeFill="accent5" w:themeFillTint="33"/>
          </w:tcPr>
          <w:p w14:paraId="644A2909" w14:textId="77777777" w:rsidR="00840E7A" w:rsidRPr="00900ADE" w:rsidRDefault="00840E7A">
            <w:pPr>
              <w:pStyle w:val="TableSubheadingCentered"/>
            </w:pPr>
            <w:r w:rsidRPr="00900ADE">
              <w:t>70</w:t>
            </w:r>
          </w:p>
        </w:tc>
        <w:tc>
          <w:tcPr>
            <w:tcW w:w="892" w:type="dxa"/>
            <w:shd w:val="clear" w:color="auto" w:fill="D9E2F3" w:themeFill="accent5" w:themeFillTint="33"/>
          </w:tcPr>
          <w:p w14:paraId="0C153329" w14:textId="77777777" w:rsidR="00840E7A" w:rsidRPr="00900ADE" w:rsidRDefault="00840E7A">
            <w:pPr>
              <w:pStyle w:val="TableSubheadingCentered"/>
            </w:pPr>
            <w:r w:rsidRPr="00900ADE">
              <w:t>4.8</w:t>
            </w:r>
          </w:p>
        </w:tc>
      </w:tr>
      <w:tr w:rsidR="00840E7A" w:rsidRPr="00900ADE" w14:paraId="4B0A1168" w14:textId="77777777" w:rsidTr="00BB559C">
        <w:trPr>
          <w:jc w:val="center"/>
        </w:trPr>
        <w:tc>
          <w:tcPr>
            <w:tcW w:w="1431" w:type="dxa"/>
          </w:tcPr>
          <w:p w14:paraId="6F607963" w14:textId="77777777" w:rsidR="00840E7A" w:rsidRPr="00900ADE" w:rsidRDefault="00840E7A">
            <w:pPr>
              <w:pStyle w:val="TableText"/>
            </w:pPr>
            <w:r w:rsidRPr="00900ADE">
              <w:t>Grades K-5</w:t>
            </w:r>
          </w:p>
        </w:tc>
        <w:tc>
          <w:tcPr>
            <w:tcW w:w="874" w:type="dxa"/>
          </w:tcPr>
          <w:p w14:paraId="631DAD58"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048FF5D8"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21D71006" w14:textId="77777777" w:rsidR="00840E7A" w:rsidRPr="00900ADE" w:rsidRDefault="00840E7A">
            <w:pPr>
              <w:pStyle w:val="TableTextCentered"/>
              <w:rPr>
                <w:rFonts w:eastAsia="Times New Roman"/>
              </w:rPr>
            </w:pPr>
            <w:r w:rsidRPr="00900ADE">
              <w:rPr>
                <w:rFonts w:eastAsia="Times New Roman"/>
              </w:rPr>
              <w:t>3</w:t>
            </w:r>
          </w:p>
        </w:tc>
        <w:tc>
          <w:tcPr>
            <w:tcW w:w="875" w:type="dxa"/>
          </w:tcPr>
          <w:p w14:paraId="528E84A1" w14:textId="77777777" w:rsidR="00840E7A" w:rsidRPr="00900ADE" w:rsidRDefault="00840E7A">
            <w:pPr>
              <w:pStyle w:val="TableTextCentered"/>
              <w:rPr>
                <w:rFonts w:eastAsia="Times New Roman"/>
              </w:rPr>
            </w:pPr>
            <w:r w:rsidRPr="00900ADE">
              <w:rPr>
                <w:rFonts w:eastAsia="Times New Roman"/>
              </w:rPr>
              <w:t>5</w:t>
            </w:r>
          </w:p>
        </w:tc>
        <w:tc>
          <w:tcPr>
            <w:tcW w:w="875" w:type="dxa"/>
          </w:tcPr>
          <w:p w14:paraId="4082F525" w14:textId="77777777" w:rsidR="00840E7A" w:rsidRPr="00900ADE" w:rsidRDefault="00840E7A">
            <w:pPr>
              <w:pStyle w:val="TableTextCentered"/>
              <w:rPr>
                <w:rFonts w:eastAsia="Times New Roman"/>
              </w:rPr>
            </w:pPr>
            <w:r w:rsidRPr="00900ADE">
              <w:rPr>
                <w:rFonts w:eastAsia="Times New Roman"/>
              </w:rPr>
              <w:t>11</w:t>
            </w:r>
          </w:p>
        </w:tc>
        <w:tc>
          <w:tcPr>
            <w:tcW w:w="874" w:type="dxa"/>
          </w:tcPr>
          <w:p w14:paraId="7B03726A" w14:textId="77777777" w:rsidR="00840E7A" w:rsidRPr="00900ADE" w:rsidRDefault="00840E7A">
            <w:pPr>
              <w:pStyle w:val="TableTextCentered"/>
              <w:rPr>
                <w:rFonts w:eastAsia="Times New Roman"/>
              </w:rPr>
            </w:pPr>
            <w:r w:rsidRPr="00900ADE">
              <w:rPr>
                <w:rFonts w:eastAsia="Times New Roman"/>
              </w:rPr>
              <w:t>7</w:t>
            </w:r>
          </w:p>
        </w:tc>
        <w:tc>
          <w:tcPr>
            <w:tcW w:w="875" w:type="dxa"/>
          </w:tcPr>
          <w:p w14:paraId="4E4954E0" w14:textId="77777777" w:rsidR="00840E7A" w:rsidRPr="00900ADE" w:rsidRDefault="00840E7A">
            <w:pPr>
              <w:pStyle w:val="TableTextCentered"/>
              <w:rPr>
                <w:rFonts w:eastAsia="Times New Roman"/>
              </w:rPr>
            </w:pPr>
            <w:r w:rsidRPr="00900ADE">
              <w:rPr>
                <w:rFonts w:eastAsia="Times New Roman"/>
              </w:rPr>
              <w:t>7</w:t>
            </w:r>
          </w:p>
        </w:tc>
        <w:tc>
          <w:tcPr>
            <w:tcW w:w="900" w:type="dxa"/>
          </w:tcPr>
          <w:p w14:paraId="6E4A05B1" w14:textId="77777777" w:rsidR="00840E7A" w:rsidRPr="00900ADE" w:rsidRDefault="00840E7A">
            <w:pPr>
              <w:pStyle w:val="TableTextCentered"/>
              <w:rPr>
                <w:rFonts w:eastAsia="Times New Roman"/>
              </w:rPr>
            </w:pPr>
            <w:r w:rsidRPr="00900ADE">
              <w:rPr>
                <w:rFonts w:eastAsia="Times New Roman"/>
              </w:rPr>
              <w:t>34</w:t>
            </w:r>
          </w:p>
        </w:tc>
        <w:tc>
          <w:tcPr>
            <w:tcW w:w="892" w:type="dxa"/>
          </w:tcPr>
          <w:p w14:paraId="28C93BDB" w14:textId="77777777" w:rsidR="00840E7A" w:rsidRPr="00900ADE" w:rsidRDefault="00840E7A">
            <w:pPr>
              <w:pStyle w:val="TableTextCentered"/>
              <w:rPr>
                <w:rFonts w:eastAsia="Times New Roman"/>
              </w:rPr>
            </w:pPr>
            <w:r w:rsidRPr="00900ADE">
              <w:rPr>
                <w:rFonts w:eastAsia="Times New Roman"/>
              </w:rPr>
              <w:t>5.2</w:t>
            </w:r>
          </w:p>
        </w:tc>
      </w:tr>
      <w:tr w:rsidR="00840E7A" w:rsidRPr="00900ADE" w14:paraId="2BC0B475" w14:textId="77777777" w:rsidTr="00BB559C">
        <w:trPr>
          <w:jc w:val="center"/>
        </w:trPr>
        <w:tc>
          <w:tcPr>
            <w:tcW w:w="1431" w:type="dxa"/>
          </w:tcPr>
          <w:p w14:paraId="5C4A9C3F" w14:textId="77777777" w:rsidR="00840E7A" w:rsidRPr="00900ADE" w:rsidRDefault="00840E7A">
            <w:pPr>
              <w:pStyle w:val="TableText"/>
            </w:pPr>
            <w:r w:rsidRPr="00900ADE">
              <w:t>Grades 6-8</w:t>
            </w:r>
          </w:p>
        </w:tc>
        <w:tc>
          <w:tcPr>
            <w:tcW w:w="874" w:type="dxa"/>
          </w:tcPr>
          <w:p w14:paraId="3558F215"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304BD743"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688DF1B1"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287DF0AA" w14:textId="77777777" w:rsidR="00840E7A" w:rsidRPr="00900ADE" w:rsidRDefault="00840E7A">
            <w:pPr>
              <w:pStyle w:val="TableTextCentered"/>
              <w:rPr>
                <w:rFonts w:eastAsia="Times New Roman"/>
              </w:rPr>
            </w:pPr>
            <w:r w:rsidRPr="00900ADE">
              <w:rPr>
                <w:rFonts w:eastAsia="Times New Roman"/>
              </w:rPr>
              <w:t>7</w:t>
            </w:r>
          </w:p>
        </w:tc>
        <w:tc>
          <w:tcPr>
            <w:tcW w:w="875" w:type="dxa"/>
          </w:tcPr>
          <w:p w14:paraId="028669AD" w14:textId="77777777" w:rsidR="00840E7A" w:rsidRPr="00900ADE" w:rsidRDefault="00840E7A">
            <w:pPr>
              <w:pStyle w:val="TableTextCentered"/>
              <w:rPr>
                <w:rFonts w:eastAsia="Times New Roman"/>
              </w:rPr>
            </w:pPr>
            <w:r w:rsidRPr="00900ADE">
              <w:rPr>
                <w:rFonts w:eastAsia="Times New Roman"/>
              </w:rPr>
              <w:t>3</w:t>
            </w:r>
          </w:p>
        </w:tc>
        <w:tc>
          <w:tcPr>
            <w:tcW w:w="874" w:type="dxa"/>
          </w:tcPr>
          <w:p w14:paraId="7990C2FF"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4195B6D6" w14:textId="77777777" w:rsidR="00840E7A" w:rsidRPr="00900ADE" w:rsidRDefault="00840E7A">
            <w:pPr>
              <w:pStyle w:val="TableTextCentered"/>
              <w:rPr>
                <w:rFonts w:eastAsia="Times New Roman"/>
              </w:rPr>
            </w:pPr>
            <w:r w:rsidRPr="00900ADE">
              <w:rPr>
                <w:rFonts w:eastAsia="Times New Roman"/>
              </w:rPr>
              <w:t>1</w:t>
            </w:r>
          </w:p>
        </w:tc>
        <w:tc>
          <w:tcPr>
            <w:tcW w:w="900" w:type="dxa"/>
          </w:tcPr>
          <w:p w14:paraId="27940670" w14:textId="77777777" w:rsidR="00840E7A" w:rsidRPr="00900ADE" w:rsidRDefault="00840E7A">
            <w:pPr>
              <w:pStyle w:val="TableTextCentered"/>
              <w:rPr>
                <w:rFonts w:eastAsia="Times New Roman"/>
              </w:rPr>
            </w:pPr>
            <w:r w:rsidRPr="00900ADE">
              <w:rPr>
                <w:rFonts w:eastAsia="Times New Roman"/>
              </w:rPr>
              <w:t>16</w:t>
            </w:r>
          </w:p>
        </w:tc>
        <w:tc>
          <w:tcPr>
            <w:tcW w:w="892" w:type="dxa"/>
          </w:tcPr>
          <w:p w14:paraId="74C7B03B" w14:textId="77777777" w:rsidR="00840E7A" w:rsidRPr="00900ADE" w:rsidRDefault="00840E7A">
            <w:pPr>
              <w:pStyle w:val="TableTextCentered"/>
              <w:rPr>
                <w:rFonts w:eastAsia="Times New Roman"/>
              </w:rPr>
            </w:pPr>
            <w:r w:rsidRPr="00900ADE">
              <w:rPr>
                <w:rFonts w:eastAsia="Times New Roman"/>
              </w:rPr>
              <w:t>4.3</w:t>
            </w:r>
          </w:p>
        </w:tc>
      </w:tr>
      <w:tr w:rsidR="00840E7A" w:rsidRPr="00900ADE" w14:paraId="1FA69EB2" w14:textId="77777777" w:rsidTr="00BB559C">
        <w:trPr>
          <w:jc w:val="center"/>
        </w:trPr>
        <w:tc>
          <w:tcPr>
            <w:tcW w:w="1431" w:type="dxa"/>
          </w:tcPr>
          <w:p w14:paraId="1AD7AB12" w14:textId="77777777" w:rsidR="00840E7A" w:rsidRPr="00900ADE" w:rsidRDefault="00840E7A">
            <w:pPr>
              <w:pStyle w:val="TableText"/>
            </w:pPr>
            <w:r w:rsidRPr="00900ADE">
              <w:t>Grades 9-12</w:t>
            </w:r>
          </w:p>
        </w:tc>
        <w:tc>
          <w:tcPr>
            <w:tcW w:w="874" w:type="dxa"/>
          </w:tcPr>
          <w:p w14:paraId="5ECA9EB7"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1E37AFC5"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595ED183"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25986A3B" w14:textId="77777777" w:rsidR="00840E7A" w:rsidRPr="00900ADE" w:rsidRDefault="00840E7A">
            <w:pPr>
              <w:pStyle w:val="TableTextCentered"/>
              <w:rPr>
                <w:rFonts w:eastAsia="Times New Roman"/>
              </w:rPr>
            </w:pPr>
            <w:r w:rsidRPr="00900ADE">
              <w:rPr>
                <w:rFonts w:eastAsia="Times New Roman"/>
              </w:rPr>
              <w:t>8</w:t>
            </w:r>
          </w:p>
        </w:tc>
        <w:tc>
          <w:tcPr>
            <w:tcW w:w="875" w:type="dxa"/>
          </w:tcPr>
          <w:p w14:paraId="63301287" w14:textId="77777777" w:rsidR="00840E7A" w:rsidRPr="00900ADE" w:rsidRDefault="00840E7A">
            <w:pPr>
              <w:pStyle w:val="TableTextCentered"/>
              <w:rPr>
                <w:rFonts w:eastAsia="Times New Roman"/>
              </w:rPr>
            </w:pPr>
            <w:r w:rsidRPr="00900ADE">
              <w:rPr>
                <w:rFonts w:eastAsia="Times New Roman"/>
              </w:rPr>
              <w:t>6</w:t>
            </w:r>
          </w:p>
        </w:tc>
        <w:tc>
          <w:tcPr>
            <w:tcW w:w="874" w:type="dxa"/>
          </w:tcPr>
          <w:p w14:paraId="4643AE9E" w14:textId="77777777" w:rsidR="00840E7A" w:rsidRPr="00900ADE" w:rsidRDefault="00840E7A">
            <w:pPr>
              <w:pStyle w:val="TableTextCentered"/>
              <w:rPr>
                <w:rFonts w:eastAsia="Times New Roman"/>
              </w:rPr>
            </w:pPr>
            <w:r w:rsidRPr="00900ADE">
              <w:rPr>
                <w:rFonts w:eastAsia="Times New Roman"/>
              </w:rPr>
              <w:t>4</w:t>
            </w:r>
          </w:p>
        </w:tc>
        <w:tc>
          <w:tcPr>
            <w:tcW w:w="875" w:type="dxa"/>
          </w:tcPr>
          <w:p w14:paraId="2D8EBA9E"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579A035B" w14:textId="77777777" w:rsidR="00840E7A" w:rsidRPr="00900ADE" w:rsidRDefault="00840E7A">
            <w:pPr>
              <w:pStyle w:val="TableTextCentered"/>
              <w:rPr>
                <w:rFonts w:eastAsia="Times New Roman"/>
              </w:rPr>
            </w:pPr>
            <w:r w:rsidRPr="00900ADE">
              <w:rPr>
                <w:rFonts w:eastAsia="Times New Roman"/>
              </w:rPr>
              <w:t>20</w:t>
            </w:r>
          </w:p>
        </w:tc>
        <w:tc>
          <w:tcPr>
            <w:tcW w:w="892" w:type="dxa"/>
          </w:tcPr>
          <w:p w14:paraId="4A7FB098" w14:textId="77777777" w:rsidR="00840E7A" w:rsidRPr="00900ADE" w:rsidRDefault="00840E7A">
            <w:pPr>
              <w:pStyle w:val="TableTextCentered"/>
              <w:rPr>
                <w:rFonts w:eastAsia="Times New Roman"/>
              </w:rPr>
            </w:pPr>
            <w:r w:rsidRPr="00900ADE">
              <w:rPr>
                <w:rFonts w:eastAsia="Times New Roman"/>
              </w:rPr>
              <w:t>4.6</w:t>
            </w:r>
          </w:p>
        </w:tc>
      </w:tr>
    </w:tbl>
    <w:bookmarkEnd w:id="98"/>
    <w:p w14:paraId="5622E695" w14:textId="77777777" w:rsidR="00840E7A" w:rsidRPr="00900ADE" w:rsidRDefault="00840E7A">
      <w:pPr>
        <w:pStyle w:val="TableNote"/>
      </w:pPr>
      <w:r w:rsidRPr="00900ADE">
        <w:rPr>
          <w:szCs w:val="20"/>
        </w:rPr>
        <w:t>*</w:t>
      </w:r>
      <w:r w:rsidRPr="00900ADE">
        <w:t xml:space="preserve">The district average is an average of the observation scores. In Table 3, the district average is computed as: </w:t>
      </w:r>
      <w:r w:rsidRPr="00900ADE">
        <w:br/>
      </w:r>
      <w:bookmarkStart w:id="99" w:name="Dist_PC_Calc"/>
      <w:r w:rsidRPr="00900ADE">
        <w:t>([1 x 1] + [2 x 1] + [3 x 7] + [4 x 20] + [5 x 20] + [6 x 13] + [7 x 8]) ÷ 70 observations = 4.8</w:t>
      </w:r>
      <w:bookmarkEnd w:id="99"/>
    </w:p>
    <w:p w14:paraId="13F4CCC1" w14:textId="77777777" w:rsidR="00840E7A" w:rsidRPr="00900ADE" w:rsidRDefault="00840E7A">
      <w:pPr>
        <w:pStyle w:val="BodyText"/>
      </w:pPr>
      <w:r w:rsidRPr="00900ADE">
        <w:rPr>
          <w:rStyle w:val="BodyTextDemiChar"/>
        </w:rPr>
        <w:t>Ratings in the Low Range</w:t>
      </w:r>
      <w:r w:rsidRPr="00900ADE">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315FCDCC" w14:textId="77777777" w:rsidR="00840E7A" w:rsidRPr="00900ADE" w:rsidRDefault="00840E7A">
      <w:pPr>
        <w:pStyle w:val="BodyText"/>
      </w:pPr>
      <w:r w:rsidRPr="00900ADE">
        <w:rPr>
          <w:rStyle w:val="BodyTextDemiChar"/>
        </w:rPr>
        <w:t>Ratings in the Middle Range.</w:t>
      </w:r>
      <w:r w:rsidRPr="00900ADE">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4366E21A" w14:textId="77777777" w:rsidR="00840E7A" w:rsidRPr="00900ADE" w:rsidRDefault="00840E7A">
      <w:pPr>
        <w:pStyle w:val="BodyText"/>
      </w:pPr>
      <w:r w:rsidRPr="00900ADE">
        <w:rPr>
          <w:rStyle w:val="BodyTextDemiChar"/>
        </w:rPr>
        <w:t xml:space="preserve">Ratings in the High Range. </w:t>
      </w:r>
      <w:r w:rsidRPr="00900ADE">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96"/>
    <w:p w14:paraId="5CFCD4DD" w14:textId="77777777" w:rsidR="00840E7A" w:rsidRPr="00900ADE" w:rsidRDefault="00840E7A">
      <w:pPr>
        <w:spacing w:after="160" w:line="259" w:lineRule="auto"/>
      </w:pPr>
      <w:r w:rsidRPr="00900ADE">
        <w:br w:type="page"/>
      </w:r>
    </w:p>
    <w:p w14:paraId="6A7EFED2" w14:textId="77777777" w:rsidR="00840E7A" w:rsidRPr="00900ADE" w:rsidRDefault="00840E7A">
      <w:pPr>
        <w:pStyle w:val="Heading2-SIOR"/>
      </w:pPr>
      <w:bookmarkStart w:id="100" w:name="_Toc411329828"/>
      <w:bookmarkStart w:id="101" w:name="_Toc430114876"/>
      <w:bookmarkStart w:id="102" w:name="_Toc92194255"/>
      <w:r w:rsidRPr="00900ADE">
        <w:lastRenderedPageBreak/>
        <w:t>Teacher Sensitivity</w:t>
      </w:r>
      <w:bookmarkEnd w:id="100"/>
      <w:bookmarkEnd w:id="101"/>
      <w:bookmarkEnd w:id="102"/>
    </w:p>
    <w:p w14:paraId="2502A4A5" w14:textId="77777777" w:rsidR="00840E7A" w:rsidRPr="00900ADE" w:rsidRDefault="00840E7A">
      <w:pPr>
        <w:pStyle w:val="BodyTextDomain"/>
      </w:pPr>
      <w:r w:rsidRPr="00900ADE">
        <w:t>Emotional Support domain, Grades K−12</w:t>
      </w:r>
    </w:p>
    <w:p w14:paraId="7173060F" w14:textId="77777777" w:rsidR="00840E7A" w:rsidRPr="00900ADE" w:rsidRDefault="00840E7A">
      <w:pPr>
        <w:pStyle w:val="BodyText"/>
      </w:pPr>
      <w:r w:rsidRPr="00900ADE">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900ADE">
        <w:rPr>
          <w:i/>
        </w:rPr>
        <w:t>CLASS K–3 Manual,</w:t>
      </w:r>
      <w:r w:rsidRPr="00900ADE">
        <w:t xml:space="preserve"> p. 32, </w:t>
      </w:r>
      <w:r w:rsidRPr="00900ADE">
        <w:rPr>
          <w:i/>
        </w:rPr>
        <w:t xml:space="preserve">CLASS Upper Elementary Manual, </w:t>
      </w:r>
      <w:r w:rsidRPr="00900ADE">
        <w:t xml:space="preserve">p. 27, </w:t>
      </w:r>
      <w:r w:rsidRPr="00900ADE">
        <w:rPr>
          <w:i/>
        </w:rPr>
        <w:t>CLASS Secondary Manual,</w:t>
      </w:r>
      <w:r w:rsidRPr="00900ADE">
        <w:t xml:space="preserve"> p. 27). </w:t>
      </w:r>
    </w:p>
    <w:p w14:paraId="64BC6F86" w14:textId="77777777" w:rsidR="00840E7A" w:rsidRPr="00900ADE" w:rsidRDefault="00840E7A">
      <w:pPr>
        <w:pStyle w:val="TableTitle0"/>
      </w:pPr>
      <w:r w:rsidRPr="00900ADE">
        <w:t>Table 4. Teacher Sensitivity: Number of Classrooms for Each Rating and District Average</w:t>
      </w:r>
    </w:p>
    <w:p w14:paraId="2C0F4E1C" w14:textId="77777777" w:rsidR="00840E7A" w:rsidRPr="00900ADE" w:rsidRDefault="00840E7A">
      <w:pPr>
        <w:pStyle w:val="BodyTextDemi"/>
      </w:pPr>
      <w:r w:rsidRPr="00900ADE">
        <w:t xml:space="preserve">Teacher Sensitivity District Average*: </w:t>
      </w:r>
      <w:bookmarkStart w:id="103" w:name="Dist_TS_Avg"/>
      <w:r w:rsidRPr="00900ADE">
        <w:t>5.0</w:t>
      </w:r>
      <w:bookmarkEnd w:id="103"/>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282FF9DA"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62344742" w14:textId="77777777" w:rsidR="00840E7A" w:rsidRPr="00900ADE" w:rsidRDefault="00840E7A" w:rsidP="00BB559C">
            <w:pPr>
              <w:pStyle w:val="TableColHeadingCenter"/>
              <w:rPr>
                <w:rFonts w:eastAsia="MS Mincho"/>
              </w:rPr>
            </w:pPr>
            <w:bookmarkStart w:id="104" w:name="Tbl_TS"/>
            <w:r w:rsidRPr="00900ADE">
              <w:rPr>
                <w:rFonts w:eastAsia="MS Mincho"/>
              </w:rPr>
              <w:t>Grade Band</w:t>
            </w:r>
          </w:p>
        </w:tc>
        <w:tc>
          <w:tcPr>
            <w:tcW w:w="874" w:type="dxa"/>
            <w:vAlign w:val="bottom"/>
          </w:tcPr>
          <w:p w14:paraId="0A9EACEF"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045D0D44"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00D2A546"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2C1B316B"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2A43982F"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7E321EE5"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63D83B40"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7965F8D0"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58073959"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4BD58C51" w14:textId="77777777" w:rsidTr="00BB559C">
        <w:trPr>
          <w:jc w:val="center"/>
        </w:trPr>
        <w:tc>
          <w:tcPr>
            <w:tcW w:w="1431" w:type="dxa"/>
            <w:shd w:val="clear" w:color="auto" w:fill="D9E2F3" w:themeFill="accent5" w:themeFillTint="33"/>
          </w:tcPr>
          <w:p w14:paraId="5390F6F6" w14:textId="77777777" w:rsidR="00840E7A" w:rsidRPr="00900ADE" w:rsidRDefault="00840E7A">
            <w:pPr>
              <w:pStyle w:val="TableSubheadingCentered"/>
            </w:pPr>
          </w:p>
        </w:tc>
        <w:tc>
          <w:tcPr>
            <w:tcW w:w="874" w:type="dxa"/>
            <w:shd w:val="clear" w:color="auto" w:fill="D9E2F3" w:themeFill="accent5" w:themeFillTint="33"/>
          </w:tcPr>
          <w:p w14:paraId="7B5F223E" w14:textId="77777777" w:rsidR="00840E7A" w:rsidRPr="00900ADE" w:rsidRDefault="00840E7A">
            <w:pPr>
              <w:pStyle w:val="TableSubheadingCentered"/>
            </w:pPr>
            <w:r w:rsidRPr="00900ADE">
              <w:t>1</w:t>
            </w:r>
          </w:p>
        </w:tc>
        <w:tc>
          <w:tcPr>
            <w:tcW w:w="874" w:type="dxa"/>
            <w:shd w:val="clear" w:color="auto" w:fill="D9E2F3" w:themeFill="accent5" w:themeFillTint="33"/>
          </w:tcPr>
          <w:p w14:paraId="0BB18D6D" w14:textId="77777777" w:rsidR="00840E7A" w:rsidRPr="00900ADE" w:rsidRDefault="00840E7A">
            <w:pPr>
              <w:pStyle w:val="TableSubheadingCentered"/>
            </w:pPr>
            <w:r w:rsidRPr="00900ADE">
              <w:t>2</w:t>
            </w:r>
          </w:p>
        </w:tc>
        <w:tc>
          <w:tcPr>
            <w:tcW w:w="874" w:type="dxa"/>
            <w:shd w:val="clear" w:color="auto" w:fill="D9E2F3" w:themeFill="accent5" w:themeFillTint="33"/>
          </w:tcPr>
          <w:p w14:paraId="358B4D77" w14:textId="77777777" w:rsidR="00840E7A" w:rsidRPr="00900ADE" w:rsidRDefault="00840E7A">
            <w:pPr>
              <w:pStyle w:val="TableSubheadingCentered"/>
            </w:pPr>
            <w:r w:rsidRPr="00900ADE">
              <w:t>3</w:t>
            </w:r>
          </w:p>
        </w:tc>
        <w:tc>
          <w:tcPr>
            <w:tcW w:w="875" w:type="dxa"/>
            <w:shd w:val="clear" w:color="auto" w:fill="D9E2F3" w:themeFill="accent5" w:themeFillTint="33"/>
          </w:tcPr>
          <w:p w14:paraId="3C2790EB" w14:textId="77777777" w:rsidR="00840E7A" w:rsidRPr="00900ADE" w:rsidRDefault="00840E7A">
            <w:pPr>
              <w:pStyle w:val="TableSubheadingCentered"/>
            </w:pPr>
            <w:r w:rsidRPr="00900ADE">
              <w:t>4</w:t>
            </w:r>
          </w:p>
        </w:tc>
        <w:tc>
          <w:tcPr>
            <w:tcW w:w="875" w:type="dxa"/>
            <w:shd w:val="clear" w:color="auto" w:fill="D9E2F3" w:themeFill="accent5" w:themeFillTint="33"/>
          </w:tcPr>
          <w:p w14:paraId="54EF542C" w14:textId="77777777" w:rsidR="00840E7A" w:rsidRPr="00900ADE" w:rsidRDefault="00840E7A">
            <w:pPr>
              <w:pStyle w:val="TableSubheadingCentered"/>
            </w:pPr>
            <w:r w:rsidRPr="00900ADE">
              <w:t>5</w:t>
            </w:r>
          </w:p>
        </w:tc>
        <w:tc>
          <w:tcPr>
            <w:tcW w:w="874" w:type="dxa"/>
            <w:shd w:val="clear" w:color="auto" w:fill="D9E2F3" w:themeFill="accent5" w:themeFillTint="33"/>
          </w:tcPr>
          <w:p w14:paraId="7C7CFCCA" w14:textId="77777777" w:rsidR="00840E7A" w:rsidRPr="00900ADE" w:rsidRDefault="00840E7A">
            <w:pPr>
              <w:pStyle w:val="TableSubheadingCentered"/>
            </w:pPr>
            <w:r w:rsidRPr="00900ADE">
              <w:t>6</w:t>
            </w:r>
          </w:p>
        </w:tc>
        <w:tc>
          <w:tcPr>
            <w:tcW w:w="875" w:type="dxa"/>
            <w:shd w:val="clear" w:color="auto" w:fill="D9E2F3" w:themeFill="accent5" w:themeFillTint="33"/>
          </w:tcPr>
          <w:p w14:paraId="61FAC54C" w14:textId="77777777" w:rsidR="00840E7A" w:rsidRPr="00900ADE" w:rsidRDefault="00840E7A">
            <w:pPr>
              <w:pStyle w:val="TableSubheadingCentered"/>
            </w:pPr>
            <w:r w:rsidRPr="00900ADE">
              <w:t>7</w:t>
            </w:r>
          </w:p>
        </w:tc>
        <w:tc>
          <w:tcPr>
            <w:tcW w:w="900" w:type="dxa"/>
            <w:shd w:val="clear" w:color="auto" w:fill="D9E2F3" w:themeFill="accent5" w:themeFillTint="33"/>
          </w:tcPr>
          <w:p w14:paraId="6C6FCE72" w14:textId="77777777" w:rsidR="00840E7A" w:rsidRPr="00900ADE" w:rsidRDefault="00840E7A">
            <w:pPr>
              <w:pStyle w:val="TableSubheadingCentered"/>
            </w:pPr>
            <w:r w:rsidRPr="00900ADE">
              <w:t>70</w:t>
            </w:r>
          </w:p>
        </w:tc>
        <w:tc>
          <w:tcPr>
            <w:tcW w:w="892" w:type="dxa"/>
            <w:shd w:val="clear" w:color="auto" w:fill="D9E2F3" w:themeFill="accent5" w:themeFillTint="33"/>
          </w:tcPr>
          <w:p w14:paraId="184FE374" w14:textId="77777777" w:rsidR="00840E7A" w:rsidRPr="00900ADE" w:rsidRDefault="00840E7A">
            <w:pPr>
              <w:pStyle w:val="TableSubheadingCentered"/>
            </w:pPr>
            <w:r w:rsidRPr="00900ADE">
              <w:t>5.0</w:t>
            </w:r>
          </w:p>
        </w:tc>
      </w:tr>
      <w:tr w:rsidR="00840E7A" w:rsidRPr="00900ADE" w14:paraId="43077228" w14:textId="77777777" w:rsidTr="00BB559C">
        <w:trPr>
          <w:jc w:val="center"/>
        </w:trPr>
        <w:tc>
          <w:tcPr>
            <w:tcW w:w="1431" w:type="dxa"/>
          </w:tcPr>
          <w:p w14:paraId="5A74DB96" w14:textId="77777777" w:rsidR="00840E7A" w:rsidRPr="00900ADE" w:rsidRDefault="00840E7A">
            <w:pPr>
              <w:pStyle w:val="TableText"/>
            </w:pPr>
            <w:r w:rsidRPr="00900ADE">
              <w:t>Grades K-5</w:t>
            </w:r>
          </w:p>
        </w:tc>
        <w:tc>
          <w:tcPr>
            <w:tcW w:w="874" w:type="dxa"/>
          </w:tcPr>
          <w:p w14:paraId="5018F35D"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683D29DF"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0D7C5038"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751E1FA6" w14:textId="77777777" w:rsidR="00840E7A" w:rsidRPr="00900ADE" w:rsidRDefault="00840E7A">
            <w:pPr>
              <w:pStyle w:val="TableTextCentered"/>
              <w:rPr>
                <w:rFonts w:eastAsia="Times New Roman"/>
              </w:rPr>
            </w:pPr>
            <w:r w:rsidRPr="00900ADE">
              <w:rPr>
                <w:rFonts w:eastAsia="Times New Roman"/>
              </w:rPr>
              <w:t>6</w:t>
            </w:r>
          </w:p>
        </w:tc>
        <w:tc>
          <w:tcPr>
            <w:tcW w:w="875" w:type="dxa"/>
          </w:tcPr>
          <w:p w14:paraId="1FB1230F" w14:textId="77777777" w:rsidR="00840E7A" w:rsidRPr="00900ADE" w:rsidRDefault="00840E7A">
            <w:pPr>
              <w:pStyle w:val="TableTextCentered"/>
              <w:rPr>
                <w:rFonts w:eastAsia="Times New Roman"/>
              </w:rPr>
            </w:pPr>
            <w:r w:rsidRPr="00900ADE">
              <w:rPr>
                <w:rFonts w:eastAsia="Times New Roman"/>
              </w:rPr>
              <w:t>10</w:t>
            </w:r>
          </w:p>
        </w:tc>
        <w:tc>
          <w:tcPr>
            <w:tcW w:w="874" w:type="dxa"/>
          </w:tcPr>
          <w:p w14:paraId="699AC4BF" w14:textId="77777777" w:rsidR="00840E7A" w:rsidRPr="00900ADE" w:rsidRDefault="00840E7A">
            <w:pPr>
              <w:pStyle w:val="TableTextCentered"/>
              <w:rPr>
                <w:rFonts w:eastAsia="Times New Roman"/>
              </w:rPr>
            </w:pPr>
            <w:r w:rsidRPr="00900ADE">
              <w:rPr>
                <w:rFonts w:eastAsia="Times New Roman"/>
              </w:rPr>
              <w:t>10</w:t>
            </w:r>
          </w:p>
        </w:tc>
        <w:tc>
          <w:tcPr>
            <w:tcW w:w="875" w:type="dxa"/>
          </w:tcPr>
          <w:p w14:paraId="717ACC78" w14:textId="77777777" w:rsidR="00840E7A" w:rsidRPr="00900ADE" w:rsidRDefault="00840E7A">
            <w:pPr>
              <w:pStyle w:val="TableTextCentered"/>
              <w:rPr>
                <w:rFonts w:eastAsia="Times New Roman"/>
              </w:rPr>
            </w:pPr>
            <w:r w:rsidRPr="00900ADE">
              <w:rPr>
                <w:rFonts w:eastAsia="Times New Roman"/>
              </w:rPr>
              <w:t>7</w:t>
            </w:r>
          </w:p>
        </w:tc>
        <w:tc>
          <w:tcPr>
            <w:tcW w:w="900" w:type="dxa"/>
          </w:tcPr>
          <w:p w14:paraId="0F0305D1" w14:textId="77777777" w:rsidR="00840E7A" w:rsidRPr="00900ADE" w:rsidRDefault="00840E7A">
            <w:pPr>
              <w:pStyle w:val="TableTextCentered"/>
              <w:rPr>
                <w:rFonts w:eastAsia="Times New Roman"/>
              </w:rPr>
            </w:pPr>
            <w:r w:rsidRPr="00900ADE">
              <w:rPr>
                <w:rFonts w:eastAsia="Times New Roman"/>
              </w:rPr>
              <w:t>34</w:t>
            </w:r>
          </w:p>
        </w:tc>
        <w:tc>
          <w:tcPr>
            <w:tcW w:w="892" w:type="dxa"/>
          </w:tcPr>
          <w:p w14:paraId="0202DDE6" w14:textId="77777777" w:rsidR="00840E7A" w:rsidRPr="00900ADE" w:rsidRDefault="00840E7A">
            <w:pPr>
              <w:pStyle w:val="TableTextCentered"/>
              <w:rPr>
                <w:rFonts w:eastAsia="Times New Roman"/>
              </w:rPr>
            </w:pPr>
            <w:r w:rsidRPr="00900ADE">
              <w:rPr>
                <w:rFonts w:eastAsia="Times New Roman"/>
              </w:rPr>
              <w:t>5.5</w:t>
            </w:r>
          </w:p>
        </w:tc>
      </w:tr>
      <w:tr w:rsidR="00840E7A" w:rsidRPr="00900ADE" w14:paraId="16D65923" w14:textId="77777777" w:rsidTr="00BB559C">
        <w:trPr>
          <w:jc w:val="center"/>
        </w:trPr>
        <w:tc>
          <w:tcPr>
            <w:tcW w:w="1431" w:type="dxa"/>
          </w:tcPr>
          <w:p w14:paraId="0FB34BD1" w14:textId="77777777" w:rsidR="00840E7A" w:rsidRPr="00900ADE" w:rsidRDefault="00840E7A">
            <w:pPr>
              <w:pStyle w:val="TableText"/>
            </w:pPr>
            <w:r w:rsidRPr="00900ADE">
              <w:t>Grades 6-8</w:t>
            </w:r>
          </w:p>
        </w:tc>
        <w:tc>
          <w:tcPr>
            <w:tcW w:w="874" w:type="dxa"/>
          </w:tcPr>
          <w:p w14:paraId="6C704EE4"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2B8F62FC"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36D53597" w14:textId="77777777" w:rsidR="00840E7A" w:rsidRPr="00900ADE" w:rsidRDefault="00840E7A">
            <w:pPr>
              <w:pStyle w:val="TableTextCentered"/>
              <w:rPr>
                <w:rFonts w:eastAsia="Times New Roman"/>
              </w:rPr>
            </w:pPr>
            <w:r w:rsidRPr="00900ADE">
              <w:rPr>
                <w:rFonts w:eastAsia="Times New Roman"/>
              </w:rPr>
              <w:t>3</w:t>
            </w:r>
          </w:p>
        </w:tc>
        <w:tc>
          <w:tcPr>
            <w:tcW w:w="875" w:type="dxa"/>
          </w:tcPr>
          <w:p w14:paraId="2C75A5BE"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3864333B" w14:textId="77777777" w:rsidR="00840E7A" w:rsidRPr="00900ADE" w:rsidRDefault="00840E7A">
            <w:pPr>
              <w:pStyle w:val="TableTextCentered"/>
              <w:rPr>
                <w:rFonts w:eastAsia="Times New Roman"/>
              </w:rPr>
            </w:pPr>
            <w:r w:rsidRPr="00900ADE">
              <w:rPr>
                <w:rFonts w:eastAsia="Times New Roman"/>
              </w:rPr>
              <w:t>4</w:t>
            </w:r>
          </w:p>
        </w:tc>
        <w:tc>
          <w:tcPr>
            <w:tcW w:w="874" w:type="dxa"/>
          </w:tcPr>
          <w:p w14:paraId="770E23AA" w14:textId="77777777" w:rsidR="00840E7A" w:rsidRPr="00900ADE" w:rsidRDefault="00840E7A">
            <w:pPr>
              <w:pStyle w:val="TableTextCentered"/>
              <w:rPr>
                <w:rFonts w:eastAsia="Times New Roman"/>
              </w:rPr>
            </w:pPr>
            <w:r w:rsidRPr="00900ADE">
              <w:rPr>
                <w:rFonts w:eastAsia="Times New Roman"/>
              </w:rPr>
              <w:t>5</w:t>
            </w:r>
          </w:p>
        </w:tc>
        <w:tc>
          <w:tcPr>
            <w:tcW w:w="875" w:type="dxa"/>
          </w:tcPr>
          <w:p w14:paraId="747B2AAA" w14:textId="77777777" w:rsidR="00840E7A" w:rsidRPr="00900ADE" w:rsidRDefault="00840E7A">
            <w:pPr>
              <w:pStyle w:val="TableTextCentered"/>
              <w:rPr>
                <w:rFonts w:eastAsia="Times New Roman"/>
              </w:rPr>
            </w:pPr>
            <w:r w:rsidRPr="00900ADE">
              <w:rPr>
                <w:rFonts w:eastAsia="Times New Roman"/>
              </w:rPr>
              <w:t>1</w:t>
            </w:r>
          </w:p>
        </w:tc>
        <w:tc>
          <w:tcPr>
            <w:tcW w:w="900" w:type="dxa"/>
          </w:tcPr>
          <w:p w14:paraId="3420A9FA" w14:textId="77777777" w:rsidR="00840E7A" w:rsidRPr="00900ADE" w:rsidRDefault="00840E7A">
            <w:pPr>
              <w:pStyle w:val="TableTextCentered"/>
              <w:rPr>
                <w:rFonts w:eastAsia="Times New Roman"/>
              </w:rPr>
            </w:pPr>
            <w:r w:rsidRPr="00900ADE">
              <w:rPr>
                <w:rFonts w:eastAsia="Times New Roman"/>
              </w:rPr>
              <w:t>16</w:t>
            </w:r>
          </w:p>
        </w:tc>
        <w:tc>
          <w:tcPr>
            <w:tcW w:w="892" w:type="dxa"/>
          </w:tcPr>
          <w:p w14:paraId="6425BD26" w14:textId="77777777" w:rsidR="00840E7A" w:rsidRPr="00900ADE" w:rsidRDefault="00840E7A">
            <w:pPr>
              <w:pStyle w:val="TableTextCentered"/>
              <w:rPr>
                <w:rFonts w:eastAsia="Times New Roman"/>
              </w:rPr>
            </w:pPr>
            <w:r w:rsidRPr="00900ADE">
              <w:rPr>
                <w:rFonts w:eastAsia="Times New Roman"/>
              </w:rPr>
              <w:t>4.8</w:t>
            </w:r>
          </w:p>
        </w:tc>
      </w:tr>
      <w:tr w:rsidR="00840E7A" w:rsidRPr="00900ADE" w14:paraId="19AE129E" w14:textId="77777777" w:rsidTr="00BB559C">
        <w:trPr>
          <w:jc w:val="center"/>
        </w:trPr>
        <w:tc>
          <w:tcPr>
            <w:tcW w:w="1431" w:type="dxa"/>
          </w:tcPr>
          <w:p w14:paraId="382650A2" w14:textId="77777777" w:rsidR="00840E7A" w:rsidRPr="00900ADE" w:rsidRDefault="00840E7A">
            <w:pPr>
              <w:pStyle w:val="TableText"/>
            </w:pPr>
            <w:r w:rsidRPr="00900ADE">
              <w:t>Grades 9-12</w:t>
            </w:r>
          </w:p>
        </w:tc>
        <w:tc>
          <w:tcPr>
            <w:tcW w:w="874" w:type="dxa"/>
          </w:tcPr>
          <w:p w14:paraId="30F0242E"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07A8BD93"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6F7D611A"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38032532" w14:textId="77777777" w:rsidR="00840E7A" w:rsidRPr="00900ADE" w:rsidRDefault="00840E7A">
            <w:pPr>
              <w:pStyle w:val="TableTextCentered"/>
              <w:rPr>
                <w:rFonts w:eastAsia="Times New Roman"/>
              </w:rPr>
            </w:pPr>
            <w:r w:rsidRPr="00900ADE">
              <w:rPr>
                <w:rFonts w:eastAsia="Times New Roman"/>
              </w:rPr>
              <w:t>11</w:t>
            </w:r>
          </w:p>
        </w:tc>
        <w:tc>
          <w:tcPr>
            <w:tcW w:w="875" w:type="dxa"/>
          </w:tcPr>
          <w:p w14:paraId="6BB6C7A7" w14:textId="77777777" w:rsidR="00840E7A" w:rsidRPr="00900ADE" w:rsidRDefault="00840E7A">
            <w:pPr>
              <w:pStyle w:val="TableTextCentered"/>
              <w:rPr>
                <w:rFonts w:eastAsia="Times New Roman"/>
              </w:rPr>
            </w:pPr>
            <w:r w:rsidRPr="00900ADE">
              <w:rPr>
                <w:rFonts w:eastAsia="Times New Roman"/>
              </w:rPr>
              <w:t>5</w:t>
            </w:r>
          </w:p>
        </w:tc>
        <w:tc>
          <w:tcPr>
            <w:tcW w:w="874" w:type="dxa"/>
          </w:tcPr>
          <w:p w14:paraId="5E163F5D"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1689A9A1" w14:textId="77777777" w:rsidR="00840E7A" w:rsidRPr="00900ADE" w:rsidRDefault="00840E7A">
            <w:pPr>
              <w:pStyle w:val="TableTextCentered"/>
              <w:rPr>
                <w:rFonts w:eastAsia="Times New Roman"/>
              </w:rPr>
            </w:pPr>
            <w:r w:rsidRPr="00900ADE">
              <w:rPr>
                <w:rFonts w:eastAsia="Times New Roman"/>
              </w:rPr>
              <w:t>1</w:t>
            </w:r>
          </w:p>
        </w:tc>
        <w:tc>
          <w:tcPr>
            <w:tcW w:w="900" w:type="dxa"/>
          </w:tcPr>
          <w:p w14:paraId="3A3D4CF8" w14:textId="77777777" w:rsidR="00840E7A" w:rsidRPr="00900ADE" w:rsidRDefault="00840E7A">
            <w:pPr>
              <w:pStyle w:val="TableTextCentered"/>
              <w:rPr>
                <w:rFonts w:eastAsia="Times New Roman"/>
              </w:rPr>
            </w:pPr>
            <w:r w:rsidRPr="00900ADE">
              <w:rPr>
                <w:rFonts w:eastAsia="Times New Roman"/>
              </w:rPr>
              <w:t>20</w:t>
            </w:r>
          </w:p>
        </w:tc>
        <w:tc>
          <w:tcPr>
            <w:tcW w:w="892" w:type="dxa"/>
          </w:tcPr>
          <w:p w14:paraId="5CBEAADF" w14:textId="77777777" w:rsidR="00840E7A" w:rsidRPr="00900ADE" w:rsidRDefault="00840E7A">
            <w:pPr>
              <w:pStyle w:val="TableTextCentered"/>
              <w:rPr>
                <w:rFonts w:eastAsia="Times New Roman"/>
              </w:rPr>
            </w:pPr>
            <w:r w:rsidRPr="00900ADE">
              <w:rPr>
                <w:rFonts w:eastAsia="Times New Roman"/>
              </w:rPr>
              <w:t>4.6</w:t>
            </w:r>
          </w:p>
        </w:tc>
      </w:tr>
    </w:tbl>
    <w:bookmarkEnd w:id="104"/>
    <w:p w14:paraId="460CF690" w14:textId="77777777" w:rsidR="00840E7A" w:rsidRPr="00900ADE" w:rsidRDefault="00840E7A">
      <w:pPr>
        <w:pStyle w:val="TableNote"/>
      </w:pPr>
      <w:r w:rsidRPr="00900ADE">
        <w:t xml:space="preserve">*The district average is an average of the observation scores. In Table 4, the district average is computed as: </w:t>
      </w:r>
      <w:r w:rsidRPr="00900ADE">
        <w:br/>
      </w:r>
      <w:bookmarkStart w:id="105" w:name="Dist_TS_Calc"/>
      <w:r w:rsidRPr="00900ADE">
        <w:t>([2 x 1] + [3 x 5] + [4 x 19] + [5 x 19] + [6 x 17] + [7 x 9]) ÷ 70 observations = 5.0</w:t>
      </w:r>
      <w:bookmarkEnd w:id="105"/>
    </w:p>
    <w:p w14:paraId="7A5BD0DE" w14:textId="77777777" w:rsidR="00840E7A" w:rsidRPr="00900ADE" w:rsidRDefault="00840E7A">
      <w:pPr>
        <w:pStyle w:val="BodyText"/>
      </w:pPr>
      <w:r w:rsidRPr="00900ADE">
        <w:rPr>
          <w:rStyle w:val="BodyTextDemiChar"/>
        </w:rPr>
        <w:t>Ratings in the Low Range.</w:t>
      </w:r>
      <w:r w:rsidRPr="00900ADE">
        <w:t xml:space="preserve"> In these sessions, the teacher has not been aware of students who </w:t>
      </w:r>
      <w:r w:rsidRPr="00900ADE">
        <w:rPr>
          <w:spacing w:val="-4"/>
        </w:rPr>
        <w:t>need extra support and pays little attention to students’ needs. As a result, students are frustrated</w:t>
      </w:r>
      <w:r w:rsidRPr="00900ADE">
        <w:t xml:space="preserve">, confused, and disengaged. The teacher is unresponsive to and dismissive of students and may ignore students, squash their enthusiasm, and not allow them to share their moods or feelings. </w:t>
      </w:r>
      <w:r w:rsidRPr="00900ADE">
        <w:rPr>
          <w:spacing w:val="-4"/>
        </w:rPr>
        <w:t>The teacher is not effective in addressing students’ needs and does not appropriately acknowledge situations that may be upsetting to students. Students rarely seek support from the teacher</w:t>
      </w:r>
      <w:r w:rsidRPr="00900ADE">
        <w:t xml:space="preserve"> and minimize conversations with the teacher, not sharing ideas or responding to questions.</w:t>
      </w:r>
    </w:p>
    <w:p w14:paraId="2F68DDB2" w14:textId="77777777" w:rsidR="00840E7A" w:rsidRPr="00900ADE" w:rsidRDefault="00840E7A">
      <w:pPr>
        <w:pStyle w:val="BodyText"/>
      </w:pPr>
      <w:r w:rsidRPr="00900ADE">
        <w:rPr>
          <w:rStyle w:val="BodyTextDemiChar"/>
        </w:rPr>
        <w:t>Ratings in the Middle Range.</w:t>
      </w:r>
      <w:r w:rsidRPr="00900ADE">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650DB1AE" w14:textId="77777777" w:rsidR="00840E7A" w:rsidRPr="00900ADE" w:rsidRDefault="00840E7A">
      <w:pPr>
        <w:pStyle w:val="BodyText"/>
      </w:pPr>
      <w:r w:rsidRPr="00900ADE">
        <w:rPr>
          <w:rStyle w:val="BodyTextDemiChar"/>
        </w:rPr>
        <w:t>Ratings in the High Range.</w:t>
      </w:r>
      <w:r w:rsidRPr="00900ADE">
        <w:t xml:space="preserve"> The teacher’s awareness of students and their needs is consistent </w:t>
      </w:r>
      <w:r w:rsidRPr="00900ADE">
        <w:rPr>
          <w:spacing w:val="-4"/>
        </w:rPr>
        <w:t>and accurate. The teacher may predict how difficult a new task is for a student and acknowledge</w:t>
      </w:r>
      <w:r w:rsidRPr="00900ADE">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59664D01" w14:textId="77777777" w:rsidR="00840E7A" w:rsidRPr="00900ADE" w:rsidRDefault="00840E7A">
      <w:pPr>
        <w:spacing w:after="160" w:line="259" w:lineRule="auto"/>
      </w:pPr>
      <w:r w:rsidRPr="00900ADE">
        <w:br w:type="page"/>
      </w:r>
    </w:p>
    <w:p w14:paraId="44A515AD" w14:textId="77777777" w:rsidR="00840E7A" w:rsidRPr="00900ADE" w:rsidRDefault="00840E7A">
      <w:pPr>
        <w:pStyle w:val="Heading2-SIOR"/>
      </w:pPr>
      <w:bookmarkStart w:id="106" w:name="_Toc411329829"/>
      <w:bookmarkStart w:id="107" w:name="_Toc430114877"/>
      <w:bookmarkStart w:id="108" w:name="_Toc92194256"/>
      <w:r w:rsidRPr="00900ADE">
        <w:lastRenderedPageBreak/>
        <w:t>Regard for Student Perspectives</w:t>
      </w:r>
      <w:bookmarkEnd w:id="106"/>
      <w:bookmarkEnd w:id="107"/>
      <w:bookmarkEnd w:id="108"/>
    </w:p>
    <w:p w14:paraId="0C3D606C" w14:textId="77777777" w:rsidR="00840E7A" w:rsidRPr="00900ADE" w:rsidRDefault="00840E7A">
      <w:pPr>
        <w:pStyle w:val="BodyTextDomain"/>
      </w:pPr>
      <w:r w:rsidRPr="00900ADE">
        <w:t>Emotional Support domain, Grades K−12</w:t>
      </w:r>
    </w:p>
    <w:p w14:paraId="29A8C928" w14:textId="77777777" w:rsidR="00840E7A" w:rsidRPr="00900ADE" w:rsidRDefault="00840E7A">
      <w:pPr>
        <w:pStyle w:val="BodyText"/>
      </w:pPr>
      <w:r w:rsidRPr="00900ADE">
        <w:t>Regard for Student Perspectives captures the degree to which the teacher’s interactions with students and classroom activities place an emphasis on students’ interests, motivations, and points of view and encourage student responsibility and autonomy (</w:t>
      </w:r>
      <w:r w:rsidRPr="00900ADE">
        <w:rPr>
          <w:i/>
        </w:rPr>
        <w:t>CLASS K–3 Manual,</w:t>
      </w:r>
      <w:r w:rsidRPr="00900ADE">
        <w:t xml:space="preserve"> p. 38, </w:t>
      </w:r>
      <w:r w:rsidRPr="00900ADE">
        <w:rPr>
          <w:i/>
        </w:rPr>
        <w:t xml:space="preserve">CLASS Upper Elementary Manual, </w:t>
      </w:r>
      <w:r w:rsidRPr="00900ADE">
        <w:t xml:space="preserve">p. 35, </w:t>
      </w:r>
      <w:r w:rsidRPr="00900ADE">
        <w:rPr>
          <w:i/>
          <w:spacing w:val="-4"/>
        </w:rPr>
        <w:t>CLASS Secondary Manual</w:t>
      </w:r>
      <w:r w:rsidRPr="00900ADE">
        <w:rPr>
          <w:spacing w:val="-4"/>
        </w:rPr>
        <w:t>, p. 35</w:t>
      </w:r>
      <w:r w:rsidRPr="00900ADE">
        <w:t xml:space="preserve">). </w:t>
      </w:r>
    </w:p>
    <w:p w14:paraId="4B39C6AB" w14:textId="77777777" w:rsidR="00840E7A" w:rsidRPr="00900ADE" w:rsidRDefault="00840E7A">
      <w:pPr>
        <w:pStyle w:val="TableTitle0"/>
      </w:pPr>
      <w:r w:rsidRPr="00900ADE">
        <w:t>Table 5. Regard for Student Perspectives: Number of Classrooms for Each Rating and District Average</w:t>
      </w:r>
    </w:p>
    <w:p w14:paraId="02875E60" w14:textId="77777777" w:rsidR="00840E7A" w:rsidRPr="00900ADE" w:rsidRDefault="00840E7A">
      <w:pPr>
        <w:pStyle w:val="BodyTextDemi"/>
      </w:pPr>
      <w:r w:rsidRPr="00900ADE">
        <w:t xml:space="preserve">Regard for Student Perspectives District Average*: </w:t>
      </w:r>
      <w:bookmarkStart w:id="109" w:name="Dist_RSP_Avg"/>
      <w:r w:rsidRPr="00900ADE">
        <w:t>3.4</w:t>
      </w:r>
      <w:bookmarkEnd w:id="109"/>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08EFA73B"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1E3C2A98" w14:textId="77777777" w:rsidR="00840E7A" w:rsidRPr="00900ADE" w:rsidRDefault="00840E7A" w:rsidP="00BB559C">
            <w:pPr>
              <w:pStyle w:val="TableColHeadingCenter"/>
              <w:rPr>
                <w:rFonts w:eastAsia="MS Mincho"/>
              </w:rPr>
            </w:pPr>
            <w:bookmarkStart w:id="110" w:name="Tbl_RSP"/>
            <w:r w:rsidRPr="00900ADE">
              <w:rPr>
                <w:rFonts w:eastAsia="MS Mincho"/>
              </w:rPr>
              <w:t>Grade Band</w:t>
            </w:r>
          </w:p>
        </w:tc>
        <w:tc>
          <w:tcPr>
            <w:tcW w:w="874" w:type="dxa"/>
            <w:vAlign w:val="bottom"/>
          </w:tcPr>
          <w:p w14:paraId="053AD906"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3DA47074"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687AF199"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4F936428"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647629BF"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242C6EB6"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57A00C4A"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32045A5C"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6C0B4F57"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39F2135E" w14:textId="77777777" w:rsidTr="00BB559C">
        <w:trPr>
          <w:jc w:val="center"/>
        </w:trPr>
        <w:tc>
          <w:tcPr>
            <w:tcW w:w="1431" w:type="dxa"/>
            <w:shd w:val="clear" w:color="auto" w:fill="D9E2F3" w:themeFill="accent5" w:themeFillTint="33"/>
          </w:tcPr>
          <w:p w14:paraId="6CEF4830" w14:textId="77777777" w:rsidR="00840E7A" w:rsidRPr="00900ADE" w:rsidRDefault="00840E7A">
            <w:pPr>
              <w:pStyle w:val="TableSubheadingCentered"/>
            </w:pPr>
          </w:p>
        </w:tc>
        <w:tc>
          <w:tcPr>
            <w:tcW w:w="874" w:type="dxa"/>
            <w:shd w:val="clear" w:color="auto" w:fill="D9E2F3" w:themeFill="accent5" w:themeFillTint="33"/>
          </w:tcPr>
          <w:p w14:paraId="32B15DC3" w14:textId="77777777" w:rsidR="00840E7A" w:rsidRPr="00900ADE" w:rsidRDefault="00840E7A">
            <w:pPr>
              <w:pStyle w:val="TableSubheadingCentered"/>
            </w:pPr>
            <w:r w:rsidRPr="00900ADE">
              <w:t>1</w:t>
            </w:r>
          </w:p>
        </w:tc>
        <w:tc>
          <w:tcPr>
            <w:tcW w:w="874" w:type="dxa"/>
            <w:shd w:val="clear" w:color="auto" w:fill="D9E2F3" w:themeFill="accent5" w:themeFillTint="33"/>
          </w:tcPr>
          <w:p w14:paraId="5966D349" w14:textId="77777777" w:rsidR="00840E7A" w:rsidRPr="00900ADE" w:rsidRDefault="00840E7A">
            <w:pPr>
              <w:pStyle w:val="TableSubheadingCentered"/>
            </w:pPr>
            <w:r w:rsidRPr="00900ADE">
              <w:t>2</w:t>
            </w:r>
          </w:p>
        </w:tc>
        <w:tc>
          <w:tcPr>
            <w:tcW w:w="874" w:type="dxa"/>
            <w:shd w:val="clear" w:color="auto" w:fill="D9E2F3" w:themeFill="accent5" w:themeFillTint="33"/>
          </w:tcPr>
          <w:p w14:paraId="58C4825E" w14:textId="77777777" w:rsidR="00840E7A" w:rsidRPr="00900ADE" w:rsidRDefault="00840E7A">
            <w:pPr>
              <w:pStyle w:val="TableSubheadingCentered"/>
            </w:pPr>
            <w:r w:rsidRPr="00900ADE">
              <w:t>3</w:t>
            </w:r>
          </w:p>
        </w:tc>
        <w:tc>
          <w:tcPr>
            <w:tcW w:w="875" w:type="dxa"/>
            <w:shd w:val="clear" w:color="auto" w:fill="D9E2F3" w:themeFill="accent5" w:themeFillTint="33"/>
          </w:tcPr>
          <w:p w14:paraId="05CA2ABE" w14:textId="77777777" w:rsidR="00840E7A" w:rsidRPr="00900ADE" w:rsidRDefault="00840E7A">
            <w:pPr>
              <w:pStyle w:val="TableSubheadingCentered"/>
            </w:pPr>
            <w:r w:rsidRPr="00900ADE">
              <w:t>4</w:t>
            </w:r>
          </w:p>
        </w:tc>
        <w:tc>
          <w:tcPr>
            <w:tcW w:w="875" w:type="dxa"/>
            <w:shd w:val="clear" w:color="auto" w:fill="D9E2F3" w:themeFill="accent5" w:themeFillTint="33"/>
          </w:tcPr>
          <w:p w14:paraId="37D65F4A" w14:textId="77777777" w:rsidR="00840E7A" w:rsidRPr="00900ADE" w:rsidRDefault="00840E7A">
            <w:pPr>
              <w:pStyle w:val="TableSubheadingCentered"/>
            </w:pPr>
            <w:r w:rsidRPr="00900ADE">
              <w:t>5</w:t>
            </w:r>
          </w:p>
        </w:tc>
        <w:tc>
          <w:tcPr>
            <w:tcW w:w="874" w:type="dxa"/>
            <w:shd w:val="clear" w:color="auto" w:fill="D9E2F3" w:themeFill="accent5" w:themeFillTint="33"/>
          </w:tcPr>
          <w:p w14:paraId="3612706D" w14:textId="77777777" w:rsidR="00840E7A" w:rsidRPr="00900ADE" w:rsidRDefault="00840E7A">
            <w:pPr>
              <w:pStyle w:val="TableSubheadingCentered"/>
            </w:pPr>
            <w:r w:rsidRPr="00900ADE">
              <w:t>6</w:t>
            </w:r>
          </w:p>
        </w:tc>
        <w:tc>
          <w:tcPr>
            <w:tcW w:w="875" w:type="dxa"/>
            <w:shd w:val="clear" w:color="auto" w:fill="D9E2F3" w:themeFill="accent5" w:themeFillTint="33"/>
          </w:tcPr>
          <w:p w14:paraId="7C6FD791" w14:textId="77777777" w:rsidR="00840E7A" w:rsidRPr="00900ADE" w:rsidRDefault="00840E7A">
            <w:pPr>
              <w:pStyle w:val="TableSubheadingCentered"/>
            </w:pPr>
            <w:r w:rsidRPr="00900ADE">
              <w:t>7</w:t>
            </w:r>
          </w:p>
        </w:tc>
        <w:tc>
          <w:tcPr>
            <w:tcW w:w="900" w:type="dxa"/>
            <w:shd w:val="clear" w:color="auto" w:fill="D9E2F3" w:themeFill="accent5" w:themeFillTint="33"/>
          </w:tcPr>
          <w:p w14:paraId="69ADCAF0" w14:textId="77777777" w:rsidR="00840E7A" w:rsidRPr="00900ADE" w:rsidRDefault="00840E7A">
            <w:pPr>
              <w:pStyle w:val="TableSubheadingCentered"/>
            </w:pPr>
            <w:r w:rsidRPr="00900ADE">
              <w:t>70</w:t>
            </w:r>
          </w:p>
        </w:tc>
        <w:tc>
          <w:tcPr>
            <w:tcW w:w="892" w:type="dxa"/>
            <w:shd w:val="clear" w:color="auto" w:fill="D9E2F3" w:themeFill="accent5" w:themeFillTint="33"/>
          </w:tcPr>
          <w:p w14:paraId="4B4F3D5E" w14:textId="77777777" w:rsidR="00840E7A" w:rsidRPr="00900ADE" w:rsidRDefault="00840E7A">
            <w:pPr>
              <w:pStyle w:val="TableSubheadingCentered"/>
            </w:pPr>
            <w:r w:rsidRPr="00900ADE">
              <w:t>3.4</w:t>
            </w:r>
          </w:p>
        </w:tc>
      </w:tr>
      <w:tr w:rsidR="00840E7A" w:rsidRPr="00900ADE" w14:paraId="2EC3D420" w14:textId="77777777" w:rsidTr="00BB559C">
        <w:trPr>
          <w:jc w:val="center"/>
        </w:trPr>
        <w:tc>
          <w:tcPr>
            <w:tcW w:w="1431" w:type="dxa"/>
          </w:tcPr>
          <w:p w14:paraId="16DDDD49" w14:textId="77777777" w:rsidR="00840E7A" w:rsidRPr="00900ADE" w:rsidRDefault="00840E7A">
            <w:pPr>
              <w:pStyle w:val="TableText"/>
            </w:pPr>
            <w:r w:rsidRPr="00900ADE">
              <w:t>Grades K-5</w:t>
            </w:r>
          </w:p>
        </w:tc>
        <w:tc>
          <w:tcPr>
            <w:tcW w:w="874" w:type="dxa"/>
          </w:tcPr>
          <w:p w14:paraId="587EEEB8"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1898E156" w14:textId="77777777" w:rsidR="00840E7A" w:rsidRPr="00900ADE" w:rsidRDefault="00840E7A">
            <w:pPr>
              <w:pStyle w:val="TableTextCentered"/>
              <w:rPr>
                <w:rFonts w:eastAsia="Times New Roman"/>
              </w:rPr>
            </w:pPr>
            <w:r w:rsidRPr="00900ADE">
              <w:rPr>
                <w:rFonts w:eastAsia="Times New Roman"/>
              </w:rPr>
              <w:t>9</w:t>
            </w:r>
          </w:p>
        </w:tc>
        <w:tc>
          <w:tcPr>
            <w:tcW w:w="874" w:type="dxa"/>
          </w:tcPr>
          <w:p w14:paraId="3C096793" w14:textId="77777777" w:rsidR="00840E7A" w:rsidRPr="00900ADE" w:rsidRDefault="00840E7A">
            <w:pPr>
              <w:pStyle w:val="TableTextCentered"/>
              <w:rPr>
                <w:rFonts w:eastAsia="Times New Roman"/>
              </w:rPr>
            </w:pPr>
            <w:r w:rsidRPr="00900ADE">
              <w:rPr>
                <w:rFonts w:eastAsia="Times New Roman"/>
              </w:rPr>
              <w:t>6</w:t>
            </w:r>
          </w:p>
        </w:tc>
        <w:tc>
          <w:tcPr>
            <w:tcW w:w="875" w:type="dxa"/>
          </w:tcPr>
          <w:p w14:paraId="4FD7493E" w14:textId="77777777" w:rsidR="00840E7A" w:rsidRPr="00900ADE" w:rsidRDefault="00840E7A">
            <w:pPr>
              <w:pStyle w:val="TableTextCentered"/>
              <w:rPr>
                <w:rFonts w:eastAsia="Times New Roman"/>
              </w:rPr>
            </w:pPr>
            <w:r w:rsidRPr="00900ADE">
              <w:rPr>
                <w:rFonts w:eastAsia="Times New Roman"/>
              </w:rPr>
              <w:t>6</w:t>
            </w:r>
          </w:p>
        </w:tc>
        <w:tc>
          <w:tcPr>
            <w:tcW w:w="875" w:type="dxa"/>
          </w:tcPr>
          <w:p w14:paraId="1121BD5F" w14:textId="77777777" w:rsidR="00840E7A" w:rsidRPr="00900ADE" w:rsidRDefault="00840E7A">
            <w:pPr>
              <w:pStyle w:val="TableTextCentered"/>
              <w:rPr>
                <w:rFonts w:eastAsia="Times New Roman"/>
              </w:rPr>
            </w:pPr>
            <w:r w:rsidRPr="00900ADE">
              <w:rPr>
                <w:rFonts w:eastAsia="Times New Roman"/>
              </w:rPr>
              <w:t>5</w:t>
            </w:r>
          </w:p>
        </w:tc>
        <w:tc>
          <w:tcPr>
            <w:tcW w:w="874" w:type="dxa"/>
          </w:tcPr>
          <w:p w14:paraId="566AA3ED" w14:textId="77777777" w:rsidR="00840E7A" w:rsidRPr="00900ADE" w:rsidRDefault="00840E7A">
            <w:pPr>
              <w:pStyle w:val="TableTextCentered"/>
              <w:rPr>
                <w:rFonts w:eastAsia="Times New Roman"/>
              </w:rPr>
            </w:pPr>
            <w:r w:rsidRPr="00900ADE">
              <w:rPr>
                <w:rFonts w:eastAsia="Times New Roman"/>
              </w:rPr>
              <w:t>5</w:t>
            </w:r>
          </w:p>
        </w:tc>
        <w:tc>
          <w:tcPr>
            <w:tcW w:w="875" w:type="dxa"/>
          </w:tcPr>
          <w:p w14:paraId="541FA0B3" w14:textId="77777777" w:rsidR="00840E7A" w:rsidRPr="00900ADE" w:rsidRDefault="00840E7A">
            <w:pPr>
              <w:pStyle w:val="TableTextCentered"/>
              <w:rPr>
                <w:rFonts w:eastAsia="Times New Roman"/>
              </w:rPr>
            </w:pPr>
            <w:r w:rsidRPr="00900ADE">
              <w:rPr>
                <w:rFonts w:eastAsia="Times New Roman"/>
              </w:rPr>
              <w:t>2</w:t>
            </w:r>
          </w:p>
        </w:tc>
        <w:tc>
          <w:tcPr>
            <w:tcW w:w="900" w:type="dxa"/>
          </w:tcPr>
          <w:p w14:paraId="5C64D88E" w14:textId="77777777" w:rsidR="00840E7A" w:rsidRPr="00900ADE" w:rsidRDefault="00840E7A">
            <w:pPr>
              <w:pStyle w:val="TableTextCentered"/>
              <w:rPr>
                <w:rFonts w:eastAsia="Times New Roman"/>
              </w:rPr>
            </w:pPr>
            <w:r w:rsidRPr="00900ADE">
              <w:rPr>
                <w:rFonts w:eastAsia="Times New Roman"/>
              </w:rPr>
              <w:t>34</w:t>
            </w:r>
          </w:p>
        </w:tc>
        <w:tc>
          <w:tcPr>
            <w:tcW w:w="892" w:type="dxa"/>
          </w:tcPr>
          <w:p w14:paraId="23D49E26" w14:textId="77777777" w:rsidR="00840E7A" w:rsidRPr="00900ADE" w:rsidRDefault="00840E7A">
            <w:pPr>
              <w:pStyle w:val="TableTextCentered"/>
              <w:rPr>
                <w:rFonts w:eastAsia="Times New Roman"/>
              </w:rPr>
            </w:pPr>
            <w:r w:rsidRPr="00900ADE">
              <w:rPr>
                <w:rFonts w:eastAsia="Times New Roman"/>
              </w:rPr>
              <w:t>3.8</w:t>
            </w:r>
          </w:p>
        </w:tc>
      </w:tr>
      <w:tr w:rsidR="00840E7A" w:rsidRPr="00900ADE" w14:paraId="45A2BA98" w14:textId="77777777" w:rsidTr="00BB559C">
        <w:trPr>
          <w:jc w:val="center"/>
        </w:trPr>
        <w:tc>
          <w:tcPr>
            <w:tcW w:w="1431" w:type="dxa"/>
          </w:tcPr>
          <w:p w14:paraId="29AD8B92" w14:textId="77777777" w:rsidR="00840E7A" w:rsidRPr="00900ADE" w:rsidRDefault="00840E7A">
            <w:pPr>
              <w:pStyle w:val="TableText"/>
            </w:pPr>
            <w:r w:rsidRPr="00900ADE">
              <w:t>Grades 6-8</w:t>
            </w:r>
          </w:p>
        </w:tc>
        <w:tc>
          <w:tcPr>
            <w:tcW w:w="874" w:type="dxa"/>
          </w:tcPr>
          <w:p w14:paraId="01D01F82"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28556BEF" w14:textId="77777777" w:rsidR="00840E7A" w:rsidRPr="00900ADE" w:rsidRDefault="00840E7A">
            <w:pPr>
              <w:pStyle w:val="TableTextCentered"/>
              <w:rPr>
                <w:rFonts w:eastAsia="Times New Roman"/>
              </w:rPr>
            </w:pPr>
            <w:r w:rsidRPr="00900ADE">
              <w:rPr>
                <w:rFonts w:eastAsia="Times New Roman"/>
              </w:rPr>
              <w:t>4</w:t>
            </w:r>
          </w:p>
        </w:tc>
        <w:tc>
          <w:tcPr>
            <w:tcW w:w="874" w:type="dxa"/>
          </w:tcPr>
          <w:p w14:paraId="701A8205" w14:textId="77777777" w:rsidR="00840E7A" w:rsidRPr="00900ADE" w:rsidRDefault="00840E7A">
            <w:pPr>
              <w:pStyle w:val="TableTextCentered"/>
              <w:rPr>
                <w:rFonts w:eastAsia="Times New Roman"/>
              </w:rPr>
            </w:pPr>
            <w:r w:rsidRPr="00900ADE">
              <w:rPr>
                <w:rFonts w:eastAsia="Times New Roman"/>
              </w:rPr>
              <w:t>6</w:t>
            </w:r>
          </w:p>
        </w:tc>
        <w:tc>
          <w:tcPr>
            <w:tcW w:w="875" w:type="dxa"/>
          </w:tcPr>
          <w:p w14:paraId="43FAF4A0" w14:textId="77777777" w:rsidR="00840E7A" w:rsidRPr="00900ADE" w:rsidRDefault="00840E7A">
            <w:pPr>
              <w:pStyle w:val="TableTextCentered"/>
              <w:rPr>
                <w:rFonts w:eastAsia="Times New Roman"/>
              </w:rPr>
            </w:pPr>
            <w:r w:rsidRPr="00900ADE">
              <w:rPr>
                <w:rFonts w:eastAsia="Times New Roman"/>
              </w:rPr>
              <w:t>4</w:t>
            </w:r>
          </w:p>
        </w:tc>
        <w:tc>
          <w:tcPr>
            <w:tcW w:w="875" w:type="dxa"/>
          </w:tcPr>
          <w:p w14:paraId="0D876CE1" w14:textId="77777777" w:rsidR="00840E7A" w:rsidRPr="00900ADE" w:rsidRDefault="00840E7A">
            <w:pPr>
              <w:pStyle w:val="TableTextCentered"/>
              <w:rPr>
                <w:rFonts w:eastAsia="Times New Roman"/>
              </w:rPr>
            </w:pPr>
            <w:r w:rsidRPr="00900ADE">
              <w:rPr>
                <w:rFonts w:eastAsia="Times New Roman"/>
              </w:rPr>
              <w:t>2</w:t>
            </w:r>
          </w:p>
        </w:tc>
        <w:tc>
          <w:tcPr>
            <w:tcW w:w="874" w:type="dxa"/>
          </w:tcPr>
          <w:p w14:paraId="1F68A38B"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0C56E0FE"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7C022D69" w14:textId="77777777" w:rsidR="00840E7A" w:rsidRPr="00900ADE" w:rsidRDefault="00840E7A">
            <w:pPr>
              <w:pStyle w:val="TableTextCentered"/>
              <w:rPr>
                <w:rFonts w:eastAsia="Times New Roman"/>
              </w:rPr>
            </w:pPr>
            <w:r w:rsidRPr="00900ADE">
              <w:rPr>
                <w:rFonts w:eastAsia="Times New Roman"/>
              </w:rPr>
              <w:t>16</w:t>
            </w:r>
          </w:p>
        </w:tc>
        <w:tc>
          <w:tcPr>
            <w:tcW w:w="892" w:type="dxa"/>
          </w:tcPr>
          <w:p w14:paraId="7A951DBC" w14:textId="77777777" w:rsidR="00840E7A" w:rsidRPr="00900ADE" w:rsidRDefault="00840E7A">
            <w:pPr>
              <w:pStyle w:val="TableTextCentered"/>
              <w:rPr>
                <w:rFonts w:eastAsia="Times New Roman"/>
              </w:rPr>
            </w:pPr>
            <w:r w:rsidRPr="00900ADE">
              <w:rPr>
                <w:rFonts w:eastAsia="Times New Roman"/>
              </w:rPr>
              <w:t>3.3</w:t>
            </w:r>
          </w:p>
        </w:tc>
      </w:tr>
      <w:tr w:rsidR="00840E7A" w:rsidRPr="00900ADE" w14:paraId="7C01EA42" w14:textId="77777777" w:rsidTr="00BB559C">
        <w:trPr>
          <w:jc w:val="center"/>
        </w:trPr>
        <w:tc>
          <w:tcPr>
            <w:tcW w:w="1431" w:type="dxa"/>
          </w:tcPr>
          <w:p w14:paraId="0EDD3875" w14:textId="77777777" w:rsidR="00840E7A" w:rsidRPr="00900ADE" w:rsidRDefault="00840E7A">
            <w:pPr>
              <w:pStyle w:val="TableText"/>
            </w:pPr>
            <w:r w:rsidRPr="00900ADE">
              <w:t>Grades 9-12</w:t>
            </w:r>
          </w:p>
        </w:tc>
        <w:tc>
          <w:tcPr>
            <w:tcW w:w="874" w:type="dxa"/>
          </w:tcPr>
          <w:p w14:paraId="57CB8ECF" w14:textId="77777777" w:rsidR="00840E7A" w:rsidRPr="00900ADE" w:rsidRDefault="00840E7A">
            <w:pPr>
              <w:pStyle w:val="TableTextCentered"/>
              <w:rPr>
                <w:rFonts w:eastAsia="Times New Roman"/>
              </w:rPr>
            </w:pPr>
            <w:r w:rsidRPr="00900ADE">
              <w:rPr>
                <w:rFonts w:eastAsia="Times New Roman"/>
              </w:rPr>
              <w:t>2</w:t>
            </w:r>
          </w:p>
        </w:tc>
        <w:tc>
          <w:tcPr>
            <w:tcW w:w="874" w:type="dxa"/>
          </w:tcPr>
          <w:p w14:paraId="37327EC8" w14:textId="77777777" w:rsidR="00840E7A" w:rsidRPr="00900ADE" w:rsidRDefault="00840E7A">
            <w:pPr>
              <w:pStyle w:val="TableTextCentered"/>
              <w:rPr>
                <w:rFonts w:eastAsia="Times New Roman"/>
              </w:rPr>
            </w:pPr>
            <w:r w:rsidRPr="00900ADE">
              <w:rPr>
                <w:rFonts w:eastAsia="Times New Roman"/>
              </w:rPr>
              <w:t>6</w:t>
            </w:r>
          </w:p>
        </w:tc>
        <w:tc>
          <w:tcPr>
            <w:tcW w:w="874" w:type="dxa"/>
          </w:tcPr>
          <w:p w14:paraId="2736817E" w14:textId="77777777" w:rsidR="00840E7A" w:rsidRPr="00900ADE" w:rsidRDefault="00840E7A">
            <w:pPr>
              <w:pStyle w:val="TableTextCentered"/>
              <w:rPr>
                <w:rFonts w:eastAsia="Times New Roman"/>
              </w:rPr>
            </w:pPr>
            <w:r w:rsidRPr="00900ADE">
              <w:rPr>
                <w:rFonts w:eastAsia="Times New Roman"/>
              </w:rPr>
              <w:t>7</w:t>
            </w:r>
          </w:p>
        </w:tc>
        <w:tc>
          <w:tcPr>
            <w:tcW w:w="875" w:type="dxa"/>
          </w:tcPr>
          <w:p w14:paraId="71129982" w14:textId="77777777" w:rsidR="00840E7A" w:rsidRPr="00900ADE" w:rsidRDefault="00840E7A">
            <w:pPr>
              <w:pStyle w:val="TableTextCentered"/>
              <w:rPr>
                <w:rFonts w:eastAsia="Times New Roman"/>
              </w:rPr>
            </w:pPr>
            <w:r w:rsidRPr="00900ADE">
              <w:rPr>
                <w:rFonts w:eastAsia="Times New Roman"/>
              </w:rPr>
              <w:t>3</w:t>
            </w:r>
          </w:p>
        </w:tc>
        <w:tc>
          <w:tcPr>
            <w:tcW w:w="875" w:type="dxa"/>
          </w:tcPr>
          <w:p w14:paraId="71980F27" w14:textId="77777777" w:rsidR="00840E7A" w:rsidRPr="00900ADE" w:rsidRDefault="00840E7A">
            <w:pPr>
              <w:pStyle w:val="TableTextCentered"/>
              <w:rPr>
                <w:rFonts w:eastAsia="Times New Roman"/>
              </w:rPr>
            </w:pPr>
            <w:r w:rsidRPr="00900ADE">
              <w:rPr>
                <w:rFonts w:eastAsia="Times New Roman"/>
              </w:rPr>
              <w:t>2</w:t>
            </w:r>
          </w:p>
        </w:tc>
        <w:tc>
          <w:tcPr>
            <w:tcW w:w="874" w:type="dxa"/>
          </w:tcPr>
          <w:p w14:paraId="718A3FFA"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5FC560EA"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3223DE08" w14:textId="77777777" w:rsidR="00840E7A" w:rsidRPr="00900ADE" w:rsidRDefault="00840E7A">
            <w:pPr>
              <w:pStyle w:val="TableTextCentered"/>
              <w:rPr>
                <w:rFonts w:eastAsia="Times New Roman"/>
              </w:rPr>
            </w:pPr>
            <w:r w:rsidRPr="00900ADE">
              <w:rPr>
                <w:rFonts w:eastAsia="Times New Roman"/>
              </w:rPr>
              <w:t>20</w:t>
            </w:r>
          </w:p>
        </w:tc>
        <w:tc>
          <w:tcPr>
            <w:tcW w:w="892" w:type="dxa"/>
          </w:tcPr>
          <w:p w14:paraId="25099766" w14:textId="77777777" w:rsidR="00840E7A" w:rsidRPr="00900ADE" w:rsidRDefault="00840E7A">
            <w:pPr>
              <w:pStyle w:val="TableTextCentered"/>
              <w:rPr>
                <w:rFonts w:eastAsia="Times New Roman"/>
              </w:rPr>
            </w:pPr>
            <w:r w:rsidRPr="00900ADE">
              <w:rPr>
                <w:rFonts w:eastAsia="Times New Roman"/>
              </w:rPr>
              <w:t>2.9</w:t>
            </w:r>
          </w:p>
        </w:tc>
      </w:tr>
    </w:tbl>
    <w:bookmarkEnd w:id="110"/>
    <w:p w14:paraId="7084EDBE" w14:textId="77777777" w:rsidR="00840E7A" w:rsidRPr="00900ADE" w:rsidRDefault="00840E7A">
      <w:pPr>
        <w:pStyle w:val="TableNote"/>
      </w:pPr>
      <w:r w:rsidRPr="00900ADE">
        <w:t xml:space="preserve">*The district average is an average of the observation scores. In Table 5, the district average is computed as: </w:t>
      </w:r>
      <w:r w:rsidRPr="00900ADE">
        <w:br/>
      </w:r>
      <w:bookmarkStart w:id="111" w:name="Dist_RSP_Calc"/>
      <w:r w:rsidRPr="00900ADE">
        <w:t>([1 x 3] + [2 x 19] + [3 x 19] + [4 x 13] + [5 x 9] + [6 x 5] + [7 x 2]) ÷ 70 observations = 3.4</w:t>
      </w:r>
      <w:bookmarkEnd w:id="111"/>
    </w:p>
    <w:p w14:paraId="36A19752" w14:textId="77777777" w:rsidR="00840E7A" w:rsidRPr="00900ADE" w:rsidRDefault="00840E7A">
      <w:pPr>
        <w:pStyle w:val="BodyText"/>
      </w:pPr>
      <w:r w:rsidRPr="00900ADE">
        <w:rPr>
          <w:rStyle w:val="BodyTextDemiChar"/>
        </w:rPr>
        <w:t>Ratings in the Low Range.</w:t>
      </w:r>
      <w:r w:rsidRPr="00900ADE">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70370405" w14:textId="77777777" w:rsidR="00840E7A" w:rsidRPr="00900ADE" w:rsidRDefault="00840E7A">
      <w:pPr>
        <w:pStyle w:val="BodyText"/>
      </w:pPr>
      <w:r w:rsidRPr="00900ADE">
        <w:rPr>
          <w:rStyle w:val="BodyTextDemiChar"/>
        </w:rPr>
        <w:t>Ratings in the Middle Range.</w:t>
      </w:r>
      <w:r w:rsidRPr="00900ADE">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09A22EDA" w14:textId="77777777" w:rsidR="00840E7A" w:rsidRPr="00900ADE" w:rsidRDefault="00840E7A">
      <w:pPr>
        <w:pStyle w:val="BodyText"/>
      </w:pPr>
      <w:r w:rsidRPr="00900ADE">
        <w:rPr>
          <w:rStyle w:val="BodyTextDemiChar"/>
        </w:rPr>
        <w:t xml:space="preserve">Ratings in the High Range. </w:t>
      </w:r>
      <w:r w:rsidRPr="00900ADE">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2DEC1E90" w14:textId="77777777" w:rsidR="00840E7A" w:rsidRPr="00900ADE" w:rsidRDefault="00840E7A">
      <w:pPr>
        <w:spacing w:after="160" w:line="259" w:lineRule="auto"/>
        <w:rPr>
          <w:rFonts w:eastAsiaTheme="majorEastAsia"/>
        </w:rPr>
      </w:pPr>
      <w:r w:rsidRPr="00900ADE">
        <w:rPr>
          <w:rFonts w:eastAsiaTheme="majorEastAsia"/>
        </w:rPr>
        <w:br w:type="page"/>
      </w:r>
    </w:p>
    <w:p w14:paraId="565D4B16" w14:textId="77777777" w:rsidR="00840E7A" w:rsidRPr="00900ADE" w:rsidRDefault="00840E7A">
      <w:pPr>
        <w:pStyle w:val="Heading2-SIOR"/>
      </w:pPr>
      <w:bookmarkStart w:id="112" w:name="_Toc430114878"/>
      <w:bookmarkStart w:id="113" w:name="_Toc92194257"/>
      <w:r w:rsidRPr="00900ADE">
        <w:lastRenderedPageBreak/>
        <w:t>Negative Climate</w:t>
      </w:r>
      <w:bookmarkEnd w:id="112"/>
      <w:bookmarkEnd w:id="113"/>
    </w:p>
    <w:p w14:paraId="54165D7D" w14:textId="77777777" w:rsidR="00840E7A" w:rsidRPr="00900ADE" w:rsidRDefault="00840E7A">
      <w:pPr>
        <w:pStyle w:val="BodyTextDomain"/>
      </w:pPr>
      <w:r w:rsidRPr="00900ADE">
        <w:t>Emotional Support domain, Grades K</w:t>
      </w:r>
      <w:r w:rsidRPr="00900ADE">
        <w:rPr>
          <w:rFonts w:ascii="Vijaya" w:hAnsi="Vijaya" w:cs="Vijaya"/>
        </w:rPr>
        <w:t xml:space="preserve">− </w:t>
      </w:r>
      <w:r w:rsidRPr="00900ADE">
        <w:t>3</w:t>
      </w:r>
      <w:r w:rsidRPr="00900ADE">
        <w:br/>
        <w:t>Classroom Organization domain, Grades 4</w:t>
      </w:r>
      <w:r w:rsidRPr="00900ADE">
        <w:rPr>
          <w:rFonts w:ascii="Vijaya" w:hAnsi="Vijaya" w:cs="Vijaya"/>
        </w:rPr>
        <w:t xml:space="preserve">− </w:t>
      </w:r>
      <w:r w:rsidRPr="00900ADE">
        <w:t>12</w:t>
      </w:r>
    </w:p>
    <w:p w14:paraId="790D5DB9" w14:textId="0152A7F0" w:rsidR="00840E7A" w:rsidRPr="00900ADE" w:rsidRDefault="00840E7A">
      <w:pPr>
        <w:pStyle w:val="BodyText"/>
      </w:pPr>
      <w:r w:rsidRPr="00900ADE">
        <w:t>Negative Climate reflects the overall level of expressed negativity in the classroom. The frequency, quality, and intensity of teacher and student negativity are key to this dimension (</w:t>
      </w:r>
      <w:r w:rsidRPr="00900ADE">
        <w:rPr>
          <w:i/>
        </w:rPr>
        <w:t>CLASS K–3 Manual</w:t>
      </w:r>
      <w:r w:rsidRPr="00900ADE">
        <w:t xml:space="preserve">, p. 28, </w:t>
      </w:r>
      <w:r w:rsidRPr="00900ADE">
        <w:rPr>
          <w:i/>
        </w:rPr>
        <w:t xml:space="preserve">CLASS Upper Elementary Manual, </w:t>
      </w:r>
      <w:r w:rsidRPr="00900ADE">
        <w:t xml:space="preserve">p. 55, </w:t>
      </w:r>
      <w:r w:rsidRPr="00900ADE">
        <w:rPr>
          <w:i/>
        </w:rPr>
        <w:t>CLASS Secondary Manual,</w:t>
      </w:r>
      <w:r w:rsidRPr="00900ADE">
        <w:t xml:space="preserve"> p. 55). 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900ADE">
        <w:rPr>
          <w:rStyle w:val="FootnoteReference"/>
        </w:rPr>
        <w:footnoteReference w:id="7"/>
      </w:r>
      <w:r w:rsidRPr="00900ADE">
        <w:t xml:space="preserve"> </w:t>
      </w:r>
    </w:p>
    <w:p w14:paraId="10D16FD5" w14:textId="77777777" w:rsidR="00840E7A" w:rsidRPr="00900ADE" w:rsidRDefault="00840E7A">
      <w:pPr>
        <w:pStyle w:val="TableTitle0"/>
      </w:pPr>
      <w:r w:rsidRPr="00900ADE">
        <w:t>Table 6. Negative Climate: Number of Classrooms for Each Rating and District Average</w:t>
      </w:r>
    </w:p>
    <w:p w14:paraId="4DBBE7F7" w14:textId="77777777" w:rsidR="00840E7A" w:rsidRPr="00900ADE" w:rsidRDefault="00840E7A">
      <w:pPr>
        <w:pStyle w:val="BodyTextDemi"/>
      </w:pPr>
      <w:r w:rsidRPr="00900ADE">
        <w:t xml:space="preserve">Negative Climate District Average*: </w:t>
      </w:r>
      <w:bookmarkStart w:id="114" w:name="Dist_NC_Avg"/>
      <w:r w:rsidRPr="00900ADE">
        <w:t>6.9</w:t>
      </w:r>
      <w:bookmarkEnd w:id="114"/>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7ED21F2F"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3CBEC14D" w14:textId="77777777" w:rsidR="00840E7A" w:rsidRPr="00510408" w:rsidRDefault="00840E7A" w:rsidP="00BB559C">
            <w:pPr>
              <w:pStyle w:val="TableColHeadingCenter"/>
              <w:rPr>
                <w:rFonts w:eastAsia="MS Mincho"/>
              </w:rPr>
            </w:pPr>
            <w:bookmarkStart w:id="115" w:name="Tbl_NC"/>
            <w:r w:rsidRPr="00510408">
              <w:rPr>
                <w:rFonts w:eastAsia="MS Mincho"/>
              </w:rPr>
              <w:t>Grade Band</w:t>
            </w:r>
          </w:p>
        </w:tc>
        <w:tc>
          <w:tcPr>
            <w:tcW w:w="874" w:type="dxa"/>
            <w:vAlign w:val="bottom"/>
          </w:tcPr>
          <w:p w14:paraId="7D0A8741"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17F3B21D"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7B04D2C8"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0317311B"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2BC38265"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066E2F45"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4C1814A0"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52DC1E8F"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618D2505"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07EBDE91" w14:textId="77777777" w:rsidTr="00BB559C">
        <w:trPr>
          <w:jc w:val="center"/>
        </w:trPr>
        <w:tc>
          <w:tcPr>
            <w:tcW w:w="1431" w:type="dxa"/>
            <w:shd w:val="clear" w:color="auto" w:fill="D9E2F3" w:themeFill="accent5" w:themeFillTint="33"/>
          </w:tcPr>
          <w:p w14:paraId="5E033D44" w14:textId="77777777" w:rsidR="00840E7A" w:rsidRPr="00900ADE" w:rsidRDefault="00840E7A">
            <w:pPr>
              <w:pStyle w:val="TableSubheadingCentered"/>
            </w:pPr>
          </w:p>
        </w:tc>
        <w:tc>
          <w:tcPr>
            <w:tcW w:w="874" w:type="dxa"/>
            <w:shd w:val="clear" w:color="auto" w:fill="D9E2F3" w:themeFill="accent5" w:themeFillTint="33"/>
          </w:tcPr>
          <w:p w14:paraId="3D5248D3" w14:textId="77777777" w:rsidR="00840E7A" w:rsidRPr="00900ADE" w:rsidRDefault="00840E7A">
            <w:pPr>
              <w:pStyle w:val="TableSubheadingCentered"/>
            </w:pPr>
            <w:r w:rsidRPr="00900ADE">
              <w:t>1</w:t>
            </w:r>
          </w:p>
        </w:tc>
        <w:tc>
          <w:tcPr>
            <w:tcW w:w="874" w:type="dxa"/>
            <w:shd w:val="clear" w:color="auto" w:fill="D9E2F3" w:themeFill="accent5" w:themeFillTint="33"/>
          </w:tcPr>
          <w:p w14:paraId="18C08871" w14:textId="77777777" w:rsidR="00840E7A" w:rsidRPr="00900ADE" w:rsidRDefault="00840E7A">
            <w:pPr>
              <w:pStyle w:val="TableSubheadingCentered"/>
            </w:pPr>
            <w:r w:rsidRPr="00900ADE">
              <w:t>2</w:t>
            </w:r>
          </w:p>
        </w:tc>
        <w:tc>
          <w:tcPr>
            <w:tcW w:w="874" w:type="dxa"/>
            <w:shd w:val="clear" w:color="auto" w:fill="D9E2F3" w:themeFill="accent5" w:themeFillTint="33"/>
          </w:tcPr>
          <w:p w14:paraId="2D3F1CF6" w14:textId="77777777" w:rsidR="00840E7A" w:rsidRPr="00900ADE" w:rsidRDefault="00840E7A">
            <w:pPr>
              <w:pStyle w:val="TableSubheadingCentered"/>
            </w:pPr>
            <w:r w:rsidRPr="00900ADE">
              <w:t>3</w:t>
            </w:r>
          </w:p>
        </w:tc>
        <w:tc>
          <w:tcPr>
            <w:tcW w:w="875" w:type="dxa"/>
            <w:shd w:val="clear" w:color="auto" w:fill="D9E2F3" w:themeFill="accent5" w:themeFillTint="33"/>
          </w:tcPr>
          <w:p w14:paraId="6946CEE6" w14:textId="77777777" w:rsidR="00840E7A" w:rsidRPr="00900ADE" w:rsidRDefault="00840E7A">
            <w:pPr>
              <w:pStyle w:val="TableSubheadingCentered"/>
            </w:pPr>
            <w:r w:rsidRPr="00900ADE">
              <w:t>4</w:t>
            </w:r>
          </w:p>
        </w:tc>
        <w:tc>
          <w:tcPr>
            <w:tcW w:w="875" w:type="dxa"/>
            <w:shd w:val="clear" w:color="auto" w:fill="D9E2F3" w:themeFill="accent5" w:themeFillTint="33"/>
          </w:tcPr>
          <w:p w14:paraId="5C7C3CF9" w14:textId="77777777" w:rsidR="00840E7A" w:rsidRPr="00900ADE" w:rsidRDefault="00840E7A">
            <w:pPr>
              <w:pStyle w:val="TableSubheadingCentered"/>
            </w:pPr>
            <w:r w:rsidRPr="00900ADE">
              <w:t>5</w:t>
            </w:r>
          </w:p>
        </w:tc>
        <w:tc>
          <w:tcPr>
            <w:tcW w:w="874" w:type="dxa"/>
            <w:shd w:val="clear" w:color="auto" w:fill="D9E2F3" w:themeFill="accent5" w:themeFillTint="33"/>
          </w:tcPr>
          <w:p w14:paraId="253BFA1F" w14:textId="77777777" w:rsidR="00840E7A" w:rsidRPr="00900ADE" w:rsidRDefault="00840E7A">
            <w:pPr>
              <w:pStyle w:val="TableSubheadingCentered"/>
            </w:pPr>
            <w:r w:rsidRPr="00900ADE">
              <w:t>6</w:t>
            </w:r>
          </w:p>
        </w:tc>
        <w:tc>
          <w:tcPr>
            <w:tcW w:w="875" w:type="dxa"/>
            <w:shd w:val="clear" w:color="auto" w:fill="D9E2F3" w:themeFill="accent5" w:themeFillTint="33"/>
          </w:tcPr>
          <w:p w14:paraId="08F72CB0" w14:textId="77777777" w:rsidR="00840E7A" w:rsidRPr="00900ADE" w:rsidRDefault="00840E7A">
            <w:pPr>
              <w:pStyle w:val="TableSubheadingCentered"/>
            </w:pPr>
            <w:r w:rsidRPr="00900ADE">
              <w:t>7</w:t>
            </w:r>
          </w:p>
        </w:tc>
        <w:tc>
          <w:tcPr>
            <w:tcW w:w="900" w:type="dxa"/>
            <w:shd w:val="clear" w:color="auto" w:fill="D9E2F3" w:themeFill="accent5" w:themeFillTint="33"/>
          </w:tcPr>
          <w:p w14:paraId="0D7A22F9" w14:textId="77777777" w:rsidR="00840E7A" w:rsidRPr="00900ADE" w:rsidRDefault="00840E7A">
            <w:pPr>
              <w:pStyle w:val="TableSubheadingCentered"/>
            </w:pPr>
            <w:r w:rsidRPr="00900ADE">
              <w:t>70</w:t>
            </w:r>
          </w:p>
        </w:tc>
        <w:tc>
          <w:tcPr>
            <w:tcW w:w="892" w:type="dxa"/>
            <w:shd w:val="clear" w:color="auto" w:fill="D9E2F3" w:themeFill="accent5" w:themeFillTint="33"/>
          </w:tcPr>
          <w:p w14:paraId="219C656E" w14:textId="77777777" w:rsidR="00840E7A" w:rsidRPr="00900ADE" w:rsidRDefault="00840E7A">
            <w:pPr>
              <w:pStyle w:val="TableSubheadingCentered"/>
            </w:pPr>
            <w:r w:rsidRPr="00900ADE">
              <w:t>6.9</w:t>
            </w:r>
          </w:p>
        </w:tc>
      </w:tr>
      <w:tr w:rsidR="00840E7A" w:rsidRPr="00900ADE" w14:paraId="07BCB2D1" w14:textId="77777777" w:rsidTr="00BB559C">
        <w:trPr>
          <w:jc w:val="center"/>
        </w:trPr>
        <w:tc>
          <w:tcPr>
            <w:tcW w:w="1431" w:type="dxa"/>
          </w:tcPr>
          <w:p w14:paraId="7EC61D97" w14:textId="77777777" w:rsidR="00840E7A" w:rsidRPr="00900ADE" w:rsidRDefault="00840E7A">
            <w:pPr>
              <w:pStyle w:val="TableText"/>
            </w:pPr>
            <w:r w:rsidRPr="00900ADE">
              <w:t>Grades K-5</w:t>
            </w:r>
          </w:p>
        </w:tc>
        <w:tc>
          <w:tcPr>
            <w:tcW w:w="874" w:type="dxa"/>
          </w:tcPr>
          <w:p w14:paraId="116A1D8C"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2EFC48B8"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1F7E91EA"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55B07408"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6D602F52"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1E044385" w14:textId="77777777" w:rsidR="00840E7A" w:rsidRPr="00900ADE" w:rsidRDefault="00840E7A">
            <w:pPr>
              <w:pStyle w:val="TableTextCentered"/>
              <w:rPr>
                <w:rFonts w:eastAsia="Times New Roman"/>
              </w:rPr>
            </w:pPr>
            <w:r w:rsidRPr="00900ADE">
              <w:rPr>
                <w:rFonts w:eastAsia="Times New Roman"/>
              </w:rPr>
              <w:t>3</w:t>
            </w:r>
          </w:p>
        </w:tc>
        <w:tc>
          <w:tcPr>
            <w:tcW w:w="875" w:type="dxa"/>
          </w:tcPr>
          <w:p w14:paraId="249EF9FE" w14:textId="77777777" w:rsidR="00840E7A" w:rsidRPr="00900ADE" w:rsidRDefault="00840E7A">
            <w:pPr>
              <w:pStyle w:val="TableTextCentered"/>
              <w:rPr>
                <w:rFonts w:eastAsia="Times New Roman"/>
              </w:rPr>
            </w:pPr>
            <w:r w:rsidRPr="00900ADE">
              <w:rPr>
                <w:rFonts w:eastAsia="Times New Roman"/>
              </w:rPr>
              <w:t>31</w:t>
            </w:r>
          </w:p>
        </w:tc>
        <w:tc>
          <w:tcPr>
            <w:tcW w:w="900" w:type="dxa"/>
          </w:tcPr>
          <w:p w14:paraId="01E9535A" w14:textId="77777777" w:rsidR="00840E7A" w:rsidRPr="00900ADE" w:rsidRDefault="00840E7A">
            <w:pPr>
              <w:pStyle w:val="TableTextCentered"/>
              <w:rPr>
                <w:rFonts w:eastAsia="Times New Roman"/>
              </w:rPr>
            </w:pPr>
            <w:r w:rsidRPr="00900ADE">
              <w:rPr>
                <w:rFonts w:eastAsia="Times New Roman"/>
              </w:rPr>
              <w:t>34</w:t>
            </w:r>
          </w:p>
        </w:tc>
        <w:tc>
          <w:tcPr>
            <w:tcW w:w="892" w:type="dxa"/>
          </w:tcPr>
          <w:p w14:paraId="6F2F6182" w14:textId="77777777" w:rsidR="00840E7A" w:rsidRPr="00900ADE" w:rsidRDefault="00840E7A">
            <w:pPr>
              <w:pStyle w:val="TableTextCentered"/>
              <w:rPr>
                <w:rFonts w:eastAsia="Times New Roman"/>
              </w:rPr>
            </w:pPr>
            <w:r w:rsidRPr="00900ADE">
              <w:rPr>
                <w:rFonts w:eastAsia="Times New Roman"/>
              </w:rPr>
              <w:t>6.9</w:t>
            </w:r>
          </w:p>
        </w:tc>
      </w:tr>
      <w:tr w:rsidR="00840E7A" w:rsidRPr="00900ADE" w14:paraId="526456D9" w14:textId="77777777" w:rsidTr="00BB559C">
        <w:trPr>
          <w:jc w:val="center"/>
        </w:trPr>
        <w:tc>
          <w:tcPr>
            <w:tcW w:w="1431" w:type="dxa"/>
          </w:tcPr>
          <w:p w14:paraId="6D24A668" w14:textId="77777777" w:rsidR="00840E7A" w:rsidRPr="00900ADE" w:rsidRDefault="00840E7A">
            <w:pPr>
              <w:pStyle w:val="TableText"/>
            </w:pPr>
            <w:r w:rsidRPr="00900ADE">
              <w:t>Grades 6-8</w:t>
            </w:r>
          </w:p>
        </w:tc>
        <w:tc>
          <w:tcPr>
            <w:tcW w:w="874" w:type="dxa"/>
          </w:tcPr>
          <w:p w14:paraId="3210E39C"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4CF8AD04"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7B124805"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0761D24B"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4ECD3F11"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32F95561"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224D3ACA" w14:textId="77777777" w:rsidR="00840E7A" w:rsidRPr="00900ADE" w:rsidRDefault="00840E7A">
            <w:pPr>
              <w:pStyle w:val="TableTextCentered"/>
              <w:rPr>
                <w:rFonts w:eastAsia="Times New Roman"/>
              </w:rPr>
            </w:pPr>
            <w:r w:rsidRPr="00900ADE">
              <w:rPr>
                <w:rFonts w:eastAsia="Times New Roman"/>
              </w:rPr>
              <w:t>14</w:t>
            </w:r>
          </w:p>
        </w:tc>
        <w:tc>
          <w:tcPr>
            <w:tcW w:w="900" w:type="dxa"/>
          </w:tcPr>
          <w:p w14:paraId="07D514FA" w14:textId="77777777" w:rsidR="00840E7A" w:rsidRPr="00900ADE" w:rsidRDefault="00840E7A">
            <w:pPr>
              <w:pStyle w:val="TableTextCentered"/>
              <w:rPr>
                <w:rFonts w:eastAsia="Times New Roman"/>
              </w:rPr>
            </w:pPr>
            <w:r w:rsidRPr="00900ADE">
              <w:rPr>
                <w:rFonts w:eastAsia="Times New Roman"/>
              </w:rPr>
              <w:t>16</w:t>
            </w:r>
          </w:p>
        </w:tc>
        <w:tc>
          <w:tcPr>
            <w:tcW w:w="892" w:type="dxa"/>
          </w:tcPr>
          <w:p w14:paraId="14927A23" w14:textId="77777777" w:rsidR="00840E7A" w:rsidRPr="00900ADE" w:rsidRDefault="00840E7A">
            <w:pPr>
              <w:pStyle w:val="TableTextCentered"/>
              <w:rPr>
                <w:rFonts w:eastAsia="Times New Roman"/>
              </w:rPr>
            </w:pPr>
            <w:r w:rsidRPr="00900ADE">
              <w:rPr>
                <w:rFonts w:eastAsia="Times New Roman"/>
              </w:rPr>
              <w:t>6.9</w:t>
            </w:r>
          </w:p>
        </w:tc>
      </w:tr>
      <w:tr w:rsidR="00840E7A" w:rsidRPr="00900ADE" w14:paraId="7F3CE555" w14:textId="77777777" w:rsidTr="00BB559C">
        <w:trPr>
          <w:jc w:val="center"/>
        </w:trPr>
        <w:tc>
          <w:tcPr>
            <w:tcW w:w="1431" w:type="dxa"/>
          </w:tcPr>
          <w:p w14:paraId="6E649D45" w14:textId="77777777" w:rsidR="00840E7A" w:rsidRPr="00900ADE" w:rsidRDefault="00840E7A">
            <w:pPr>
              <w:pStyle w:val="TableText"/>
            </w:pPr>
            <w:r w:rsidRPr="00900ADE">
              <w:t>Grades 9-12</w:t>
            </w:r>
          </w:p>
        </w:tc>
        <w:tc>
          <w:tcPr>
            <w:tcW w:w="874" w:type="dxa"/>
          </w:tcPr>
          <w:p w14:paraId="24F24320"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7D05DB31"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64B6EC52"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5894FA00"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6647C7A3"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6AC298CC"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466CA91E" w14:textId="77777777" w:rsidR="00840E7A" w:rsidRPr="00900ADE" w:rsidRDefault="00840E7A">
            <w:pPr>
              <w:pStyle w:val="TableTextCentered"/>
              <w:rPr>
                <w:rFonts w:eastAsia="Times New Roman"/>
              </w:rPr>
            </w:pPr>
            <w:r w:rsidRPr="00900ADE">
              <w:rPr>
                <w:rFonts w:eastAsia="Times New Roman"/>
              </w:rPr>
              <w:t>18</w:t>
            </w:r>
          </w:p>
        </w:tc>
        <w:tc>
          <w:tcPr>
            <w:tcW w:w="900" w:type="dxa"/>
          </w:tcPr>
          <w:p w14:paraId="51A0CA06" w14:textId="77777777" w:rsidR="00840E7A" w:rsidRPr="00900ADE" w:rsidRDefault="00840E7A">
            <w:pPr>
              <w:pStyle w:val="TableTextCentered"/>
              <w:rPr>
                <w:rFonts w:eastAsia="Times New Roman"/>
              </w:rPr>
            </w:pPr>
            <w:r w:rsidRPr="00900ADE">
              <w:rPr>
                <w:rFonts w:eastAsia="Times New Roman"/>
              </w:rPr>
              <w:t>20</w:t>
            </w:r>
          </w:p>
        </w:tc>
        <w:tc>
          <w:tcPr>
            <w:tcW w:w="892" w:type="dxa"/>
          </w:tcPr>
          <w:p w14:paraId="20733820" w14:textId="77777777" w:rsidR="00840E7A" w:rsidRPr="00900ADE" w:rsidRDefault="00840E7A">
            <w:pPr>
              <w:pStyle w:val="TableTextCentered"/>
              <w:rPr>
                <w:rFonts w:eastAsia="Times New Roman"/>
              </w:rPr>
            </w:pPr>
            <w:r w:rsidRPr="00900ADE">
              <w:rPr>
                <w:rFonts w:eastAsia="Times New Roman"/>
              </w:rPr>
              <w:t>6.9</w:t>
            </w:r>
          </w:p>
        </w:tc>
      </w:tr>
    </w:tbl>
    <w:bookmarkEnd w:id="115"/>
    <w:p w14:paraId="5E36F98B" w14:textId="77777777" w:rsidR="00840E7A" w:rsidRPr="00900ADE" w:rsidRDefault="00840E7A">
      <w:pPr>
        <w:pStyle w:val="TableNote"/>
      </w:pPr>
      <w:r w:rsidRPr="00900ADE">
        <w:t xml:space="preserve">*The district average is an average of the observation scores. In Table 6, the district average is computed as: </w:t>
      </w:r>
      <w:r w:rsidRPr="00900ADE">
        <w:br/>
      </w:r>
      <w:bookmarkStart w:id="116" w:name="Dist_NC_Calc"/>
      <w:r w:rsidRPr="00900ADE">
        <w:t>([6 x 7] + [7 x 63]) ÷ 70 observations = 6.9</w:t>
      </w:r>
      <w:bookmarkEnd w:id="116"/>
    </w:p>
    <w:p w14:paraId="7E103983" w14:textId="77777777" w:rsidR="00840E7A" w:rsidRPr="00900ADE" w:rsidRDefault="00840E7A">
      <w:pPr>
        <w:pStyle w:val="BodyText"/>
      </w:pPr>
      <w:r w:rsidRPr="00900ADE">
        <w:rPr>
          <w:rStyle w:val="BodyTextDemiChar"/>
        </w:rPr>
        <w:t>Ratings in the Low Range.</w:t>
      </w:r>
      <w:r w:rsidRPr="00900ADE">
        <w:rPr>
          <w:b/>
        </w:rPr>
        <w:t xml:space="preserve"> </w:t>
      </w:r>
      <w:r w:rsidRPr="00900ADE">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4F7B45A2" w14:textId="77777777" w:rsidR="00840E7A" w:rsidRPr="00900ADE" w:rsidRDefault="00840E7A">
      <w:pPr>
        <w:pStyle w:val="BodyText"/>
      </w:pPr>
      <w:r w:rsidRPr="00900ADE">
        <w:rPr>
          <w:rStyle w:val="BodyTextDemiChar"/>
        </w:rPr>
        <w:t>Ratings in the Middle Range.</w:t>
      </w:r>
      <w:r w:rsidRPr="00900ADE">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472B392F" w14:textId="77777777" w:rsidR="00840E7A" w:rsidRPr="00900ADE" w:rsidRDefault="00840E7A">
      <w:pPr>
        <w:pStyle w:val="BodyText"/>
        <w:rPr>
          <w:rFonts w:eastAsiaTheme="majorEastAsia"/>
        </w:rPr>
      </w:pPr>
      <w:r w:rsidRPr="00900ADE">
        <w:rPr>
          <w:rStyle w:val="BodyTextDemiChar"/>
        </w:rPr>
        <w:t>Ratings in the High Range.</w:t>
      </w:r>
      <w:r w:rsidRPr="00900ADE">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603D980A" w14:textId="77777777" w:rsidR="00840E7A" w:rsidRPr="00900ADE" w:rsidRDefault="00840E7A">
      <w:pPr>
        <w:spacing w:after="160" w:line="259" w:lineRule="auto"/>
      </w:pPr>
      <w:r w:rsidRPr="00900ADE">
        <w:br w:type="page"/>
      </w:r>
    </w:p>
    <w:p w14:paraId="35FE9AEA" w14:textId="77777777" w:rsidR="00840E7A" w:rsidRPr="00900ADE" w:rsidRDefault="00840E7A">
      <w:pPr>
        <w:pStyle w:val="Heading2-SIOR"/>
      </w:pPr>
      <w:bookmarkStart w:id="117" w:name="_Toc430114879"/>
      <w:bookmarkStart w:id="118" w:name="_Toc92194258"/>
      <w:r w:rsidRPr="00900ADE">
        <w:lastRenderedPageBreak/>
        <w:t>Behavior Management</w:t>
      </w:r>
      <w:bookmarkEnd w:id="117"/>
      <w:bookmarkEnd w:id="118"/>
    </w:p>
    <w:p w14:paraId="0389D056" w14:textId="77777777" w:rsidR="00840E7A" w:rsidRPr="00900ADE" w:rsidRDefault="00840E7A">
      <w:pPr>
        <w:pStyle w:val="BodyTextDomain"/>
      </w:pPr>
      <w:r w:rsidRPr="00900ADE">
        <w:t>Classroom Organization domain, Grades K−12</w:t>
      </w:r>
    </w:p>
    <w:p w14:paraId="590A381A" w14:textId="77777777" w:rsidR="00840E7A" w:rsidRPr="00900ADE" w:rsidRDefault="00840E7A">
      <w:pPr>
        <w:pStyle w:val="BodyText"/>
      </w:pPr>
      <w:r w:rsidRPr="00900ADE">
        <w:t>Behavior Management refers to the teacher’s ability to provide clear behavioral expectations and use effective methods to prevent and redirect misbehavior (</w:t>
      </w:r>
      <w:r w:rsidRPr="00900ADE">
        <w:rPr>
          <w:i/>
        </w:rPr>
        <w:t>CLASS K–3 Manual</w:t>
      </w:r>
      <w:r w:rsidRPr="00900ADE">
        <w:t xml:space="preserve">, p. 45, </w:t>
      </w:r>
      <w:r w:rsidRPr="00900ADE">
        <w:rPr>
          <w:i/>
        </w:rPr>
        <w:t xml:space="preserve">CLASS Upper Elementary Manual, </w:t>
      </w:r>
      <w:r w:rsidRPr="00900ADE">
        <w:t xml:space="preserve">p. 41, </w:t>
      </w:r>
      <w:r w:rsidRPr="00900ADE">
        <w:rPr>
          <w:i/>
        </w:rPr>
        <w:t>CLASS Secondary Manual</w:t>
      </w:r>
      <w:r w:rsidRPr="00900ADE">
        <w:t>, p. 41).</w:t>
      </w:r>
    </w:p>
    <w:p w14:paraId="78171482" w14:textId="77777777" w:rsidR="00840E7A" w:rsidRPr="00900ADE" w:rsidRDefault="00840E7A">
      <w:pPr>
        <w:pStyle w:val="TableTitle0"/>
      </w:pPr>
      <w:r w:rsidRPr="00900ADE">
        <w:t>Table 7. Behavior Management: Number of Classrooms for Each Rating and District Average</w:t>
      </w:r>
    </w:p>
    <w:p w14:paraId="287AC1FA" w14:textId="77777777" w:rsidR="00840E7A" w:rsidRPr="00900ADE" w:rsidRDefault="00840E7A">
      <w:pPr>
        <w:pStyle w:val="BodyTextDemi"/>
      </w:pPr>
      <w:r w:rsidRPr="00900ADE">
        <w:t xml:space="preserve">Behavior Management District Average*: </w:t>
      </w:r>
      <w:bookmarkStart w:id="119" w:name="Dist_BM_Avg"/>
      <w:r w:rsidRPr="00900ADE">
        <w:t>6.6</w:t>
      </w:r>
      <w:bookmarkEnd w:id="119"/>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34936E0B"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08706C50" w14:textId="77777777" w:rsidR="00840E7A" w:rsidRPr="00900ADE" w:rsidRDefault="00840E7A" w:rsidP="00BB559C">
            <w:pPr>
              <w:pStyle w:val="TableColHeadingCenter"/>
              <w:rPr>
                <w:rFonts w:eastAsia="MS Mincho"/>
              </w:rPr>
            </w:pPr>
            <w:bookmarkStart w:id="120" w:name="Tbl_BM"/>
            <w:r w:rsidRPr="00900ADE">
              <w:rPr>
                <w:rFonts w:eastAsia="MS Mincho"/>
              </w:rPr>
              <w:t>Grade Band</w:t>
            </w:r>
          </w:p>
        </w:tc>
        <w:tc>
          <w:tcPr>
            <w:tcW w:w="874" w:type="dxa"/>
            <w:vAlign w:val="bottom"/>
          </w:tcPr>
          <w:p w14:paraId="5BF80065"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5433F988"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68F8C440"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2A8DB008"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18A6E226"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553E8AF8"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5B662AA7"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797F2B58"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1EAED7A4"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1F24FC24" w14:textId="77777777" w:rsidTr="00BB559C">
        <w:trPr>
          <w:jc w:val="center"/>
        </w:trPr>
        <w:tc>
          <w:tcPr>
            <w:tcW w:w="1431" w:type="dxa"/>
            <w:shd w:val="clear" w:color="auto" w:fill="D9E2F3" w:themeFill="accent5" w:themeFillTint="33"/>
          </w:tcPr>
          <w:p w14:paraId="16F17012" w14:textId="77777777" w:rsidR="00840E7A" w:rsidRPr="00900ADE" w:rsidRDefault="00840E7A">
            <w:pPr>
              <w:pStyle w:val="TableSubheadingCentered"/>
            </w:pPr>
          </w:p>
        </w:tc>
        <w:tc>
          <w:tcPr>
            <w:tcW w:w="874" w:type="dxa"/>
            <w:shd w:val="clear" w:color="auto" w:fill="D9E2F3" w:themeFill="accent5" w:themeFillTint="33"/>
          </w:tcPr>
          <w:p w14:paraId="47650E5F" w14:textId="77777777" w:rsidR="00840E7A" w:rsidRPr="00900ADE" w:rsidRDefault="00840E7A">
            <w:pPr>
              <w:pStyle w:val="TableSubheadingCentered"/>
            </w:pPr>
            <w:r w:rsidRPr="00900ADE">
              <w:t>1</w:t>
            </w:r>
          </w:p>
        </w:tc>
        <w:tc>
          <w:tcPr>
            <w:tcW w:w="874" w:type="dxa"/>
            <w:shd w:val="clear" w:color="auto" w:fill="D9E2F3" w:themeFill="accent5" w:themeFillTint="33"/>
          </w:tcPr>
          <w:p w14:paraId="0AE53652" w14:textId="77777777" w:rsidR="00840E7A" w:rsidRPr="00900ADE" w:rsidRDefault="00840E7A">
            <w:pPr>
              <w:pStyle w:val="TableSubheadingCentered"/>
            </w:pPr>
            <w:r w:rsidRPr="00900ADE">
              <w:t>2</w:t>
            </w:r>
          </w:p>
        </w:tc>
        <w:tc>
          <w:tcPr>
            <w:tcW w:w="874" w:type="dxa"/>
            <w:shd w:val="clear" w:color="auto" w:fill="D9E2F3" w:themeFill="accent5" w:themeFillTint="33"/>
          </w:tcPr>
          <w:p w14:paraId="1661992B" w14:textId="77777777" w:rsidR="00840E7A" w:rsidRPr="00900ADE" w:rsidRDefault="00840E7A">
            <w:pPr>
              <w:pStyle w:val="TableSubheadingCentered"/>
            </w:pPr>
            <w:r w:rsidRPr="00900ADE">
              <w:t>3</w:t>
            </w:r>
          </w:p>
        </w:tc>
        <w:tc>
          <w:tcPr>
            <w:tcW w:w="875" w:type="dxa"/>
            <w:shd w:val="clear" w:color="auto" w:fill="D9E2F3" w:themeFill="accent5" w:themeFillTint="33"/>
          </w:tcPr>
          <w:p w14:paraId="393DD4FF" w14:textId="77777777" w:rsidR="00840E7A" w:rsidRPr="00900ADE" w:rsidRDefault="00840E7A">
            <w:pPr>
              <w:pStyle w:val="TableSubheadingCentered"/>
            </w:pPr>
            <w:r w:rsidRPr="00900ADE">
              <w:t>4</w:t>
            </w:r>
          </w:p>
        </w:tc>
        <w:tc>
          <w:tcPr>
            <w:tcW w:w="875" w:type="dxa"/>
            <w:shd w:val="clear" w:color="auto" w:fill="D9E2F3" w:themeFill="accent5" w:themeFillTint="33"/>
          </w:tcPr>
          <w:p w14:paraId="14211454" w14:textId="77777777" w:rsidR="00840E7A" w:rsidRPr="00900ADE" w:rsidRDefault="00840E7A">
            <w:pPr>
              <w:pStyle w:val="TableSubheadingCentered"/>
            </w:pPr>
            <w:r w:rsidRPr="00900ADE">
              <w:t>5</w:t>
            </w:r>
          </w:p>
        </w:tc>
        <w:tc>
          <w:tcPr>
            <w:tcW w:w="874" w:type="dxa"/>
            <w:shd w:val="clear" w:color="auto" w:fill="D9E2F3" w:themeFill="accent5" w:themeFillTint="33"/>
          </w:tcPr>
          <w:p w14:paraId="54159E40" w14:textId="77777777" w:rsidR="00840E7A" w:rsidRPr="00900ADE" w:rsidRDefault="00840E7A">
            <w:pPr>
              <w:pStyle w:val="TableSubheadingCentered"/>
            </w:pPr>
            <w:r w:rsidRPr="00900ADE">
              <w:t>6</w:t>
            </w:r>
          </w:p>
        </w:tc>
        <w:tc>
          <w:tcPr>
            <w:tcW w:w="875" w:type="dxa"/>
            <w:shd w:val="clear" w:color="auto" w:fill="D9E2F3" w:themeFill="accent5" w:themeFillTint="33"/>
          </w:tcPr>
          <w:p w14:paraId="5C64DEE1" w14:textId="77777777" w:rsidR="00840E7A" w:rsidRPr="00900ADE" w:rsidRDefault="00840E7A">
            <w:pPr>
              <w:pStyle w:val="TableSubheadingCentered"/>
            </w:pPr>
            <w:r w:rsidRPr="00900ADE">
              <w:t>7</w:t>
            </w:r>
          </w:p>
        </w:tc>
        <w:tc>
          <w:tcPr>
            <w:tcW w:w="900" w:type="dxa"/>
            <w:shd w:val="clear" w:color="auto" w:fill="D9E2F3" w:themeFill="accent5" w:themeFillTint="33"/>
          </w:tcPr>
          <w:p w14:paraId="24C75194" w14:textId="77777777" w:rsidR="00840E7A" w:rsidRPr="00900ADE" w:rsidRDefault="00840E7A">
            <w:pPr>
              <w:pStyle w:val="TableSubheadingCentered"/>
            </w:pPr>
            <w:r w:rsidRPr="00900ADE">
              <w:t>70</w:t>
            </w:r>
          </w:p>
        </w:tc>
        <w:tc>
          <w:tcPr>
            <w:tcW w:w="892" w:type="dxa"/>
            <w:shd w:val="clear" w:color="auto" w:fill="D9E2F3" w:themeFill="accent5" w:themeFillTint="33"/>
          </w:tcPr>
          <w:p w14:paraId="0D916D91" w14:textId="77777777" w:rsidR="00840E7A" w:rsidRPr="00900ADE" w:rsidRDefault="00840E7A">
            <w:pPr>
              <w:pStyle w:val="TableSubheadingCentered"/>
            </w:pPr>
            <w:r w:rsidRPr="00900ADE">
              <w:t>6.6</w:t>
            </w:r>
          </w:p>
        </w:tc>
      </w:tr>
      <w:tr w:rsidR="00840E7A" w:rsidRPr="00900ADE" w14:paraId="1ED0BF39" w14:textId="77777777" w:rsidTr="00BB559C">
        <w:trPr>
          <w:jc w:val="center"/>
        </w:trPr>
        <w:tc>
          <w:tcPr>
            <w:tcW w:w="1431" w:type="dxa"/>
          </w:tcPr>
          <w:p w14:paraId="68E9A7D9" w14:textId="77777777" w:rsidR="00840E7A" w:rsidRPr="00900ADE" w:rsidRDefault="00840E7A">
            <w:pPr>
              <w:pStyle w:val="TableText"/>
            </w:pPr>
            <w:r w:rsidRPr="00900ADE">
              <w:t>Grades K-5</w:t>
            </w:r>
          </w:p>
        </w:tc>
        <w:tc>
          <w:tcPr>
            <w:tcW w:w="874" w:type="dxa"/>
          </w:tcPr>
          <w:p w14:paraId="66D92791"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33CFC98E"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45742B4C"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14ADCCDE"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6A991459" w14:textId="77777777" w:rsidR="00840E7A" w:rsidRPr="00900ADE" w:rsidRDefault="00840E7A">
            <w:pPr>
              <w:pStyle w:val="TableTextCentered"/>
              <w:rPr>
                <w:rFonts w:eastAsia="Times New Roman"/>
              </w:rPr>
            </w:pPr>
            <w:r w:rsidRPr="00900ADE">
              <w:rPr>
                <w:rFonts w:eastAsia="Times New Roman"/>
              </w:rPr>
              <w:t>3</w:t>
            </w:r>
          </w:p>
        </w:tc>
        <w:tc>
          <w:tcPr>
            <w:tcW w:w="874" w:type="dxa"/>
          </w:tcPr>
          <w:p w14:paraId="0DAE80EA" w14:textId="77777777" w:rsidR="00840E7A" w:rsidRPr="00900ADE" w:rsidRDefault="00840E7A">
            <w:pPr>
              <w:pStyle w:val="TableTextCentered"/>
              <w:rPr>
                <w:rFonts w:eastAsia="Times New Roman"/>
              </w:rPr>
            </w:pPr>
            <w:r w:rsidRPr="00900ADE">
              <w:rPr>
                <w:rFonts w:eastAsia="Times New Roman"/>
              </w:rPr>
              <w:t>6</w:t>
            </w:r>
          </w:p>
        </w:tc>
        <w:tc>
          <w:tcPr>
            <w:tcW w:w="875" w:type="dxa"/>
          </w:tcPr>
          <w:p w14:paraId="7A9437AB" w14:textId="77777777" w:rsidR="00840E7A" w:rsidRPr="00900ADE" w:rsidRDefault="00840E7A">
            <w:pPr>
              <w:pStyle w:val="TableTextCentered"/>
              <w:rPr>
                <w:rFonts w:eastAsia="Times New Roman"/>
              </w:rPr>
            </w:pPr>
            <w:r w:rsidRPr="00900ADE">
              <w:rPr>
                <w:rFonts w:eastAsia="Times New Roman"/>
              </w:rPr>
              <w:t>24</w:t>
            </w:r>
          </w:p>
        </w:tc>
        <w:tc>
          <w:tcPr>
            <w:tcW w:w="900" w:type="dxa"/>
          </w:tcPr>
          <w:p w14:paraId="232890D6" w14:textId="77777777" w:rsidR="00840E7A" w:rsidRPr="00900ADE" w:rsidRDefault="00840E7A">
            <w:pPr>
              <w:pStyle w:val="TableTextCentered"/>
              <w:rPr>
                <w:rFonts w:eastAsia="Times New Roman"/>
              </w:rPr>
            </w:pPr>
            <w:r w:rsidRPr="00900ADE">
              <w:rPr>
                <w:rFonts w:eastAsia="Times New Roman"/>
              </w:rPr>
              <w:t>34</w:t>
            </w:r>
          </w:p>
        </w:tc>
        <w:tc>
          <w:tcPr>
            <w:tcW w:w="892" w:type="dxa"/>
          </w:tcPr>
          <w:p w14:paraId="66492301" w14:textId="77777777" w:rsidR="00840E7A" w:rsidRPr="00900ADE" w:rsidRDefault="00840E7A">
            <w:pPr>
              <w:pStyle w:val="TableTextCentered"/>
              <w:rPr>
                <w:rFonts w:eastAsia="Times New Roman"/>
              </w:rPr>
            </w:pPr>
            <w:r w:rsidRPr="00900ADE">
              <w:rPr>
                <w:rFonts w:eastAsia="Times New Roman"/>
              </w:rPr>
              <w:t>6.5</w:t>
            </w:r>
          </w:p>
        </w:tc>
      </w:tr>
      <w:tr w:rsidR="00840E7A" w:rsidRPr="00900ADE" w14:paraId="508EA6D0" w14:textId="77777777" w:rsidTr="00BB559C">
        <w:trPr>
          <w:jc w:val="center"/>
        </w:trPr>
        <w:tc>
          <w:tcPr>
            <w:tcW w:w="1431" w:type="dxa"/>
          </w:tcPr>
          <w:p w14:paraId="4944A9B9" w14:textId="77777777" w:rsidR="00840E7A" w:rsidRPr="00900ADE" w:rsidRDefault="00840E7A">
            <w:pPr>
              <w:pStyle w:val="TableText"/>
            </w:pPr>
            <w:r w:rsidRPr="00900ADE">
              <w:t>Grades 6-8</w:t>
            </w:r>
          </w:p>
        </w:tc>
        <w:tc>
          <w:tcPr>
            <w:tcW w:w="874" w:type="dxa"/>
          </w:tcPr>
          <w:p w14:paraId="6A300B00"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5022F550"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6829D0A2"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2735B723"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52BF7CDA"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17258772"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15C9E87F" w14:textId="77777777" w:rsidR="00840E7A" w:rsidRPr="00900ADE" w:rsidRDefault="00840E7A">
            <w:pPr>
              <w:pStyle w:val="TableTextCentered"/>
              <w:rPr>
                <w:rFonts w:eastAsia="Times New Roman"/>
              </w:rPr>
            </w:pPr>
            <w:r w:rsidRPr="00900ADE">
              <w:rPr>
                <w:rFonts w:eastAsia="Times New Roman"/>
              </w:rPr>
              <w:t>14</w:t>
            </w:r>
          </w:p>
        </w:tc>
        <w:tc>
          <w:tcPr>
            <w:tcW w:w="900" w:type="dxa"/>
          </w:tcPr>
          <w:p w14:paraId="7DE91FEF" w14:textId="77777777" w:rsidR="00840E7A" w:rsidRPr="00900ADE" w:rsidRDefault="00840E7A">
            <w:pPr>
              <w:pStyle w:val="TableTextCentered"/>
              <w:rPr>
                <w:rFonts w:eastAsia="Times New Roman"/>
              </w:rPr>
            </w:pPr>
            <w:r w:rsidRPr="00900ADE">
              <w:rPr>
                <w:rFonts w:eastAsia="Times New Roman"/>
              </w:rPr>
              <w:t>16</w:t>
            </w:r>
          </w:p>
        </w:tc>
        <w:tc>
          <w:tcPr>
            <w:tcW w:w="892" w:type="dxa"/>
          </w:tcPr>
          <w:p w14:paraId="737AFED2" w14:textId="77777777" w:rsidR="00840E7A" w:rsidRPr="00900ADE" w:rsidRDefault="00840E7A">
            <w:pPr>
              <w:pStyle w:val="TableTextCentered"/>
              <w:rPr>
                <w:rFonts w:eastAsia="Times New Roman"/>
              </w:rPr>
            </w:pPr>
            <w:r w:rsidRPr="00900ADE">
              <w:rPr>
                <w:rFonts w:eastAsia="Times New Roman"/>
              </w:rPr>
              <w:t>6.5</w:t>
            </w:r>
          </w:p>
        </w:tc>
      </w:tr>
      <w:tr w:rsidR="00840E7A" w:rsidRPr="00900ADE" w14:paraId="48B77B4F" w14:textId="77777777" w:rsidTr="00BB559C">
        <w:trPr>
          <w:jc w:val="center"/>
        </w:trPr>
        <w:tc>
          <w:tcPr>
            <w:tcW w:w="1431" w:type="dxa"/>
          </w:tcPr>
          <w:p w14:paraId="0BA26264" w14:textId="77777777" w:rsidR="00840E7A" w:rsidRPr="00900ADE" w:rsidRDefault="00840E7A">
            <w:pPr>
              <w:pStyle w:val="TableText"/>
            </w:pPr>
            <w:r w:rsidRPr="00900ADE">
              <w:t>Grades 9-12</w:t>
            </w:r>
          </w:p>
        </w:tc>
        <w:tc>
          <w:tcPr>
            <w:tcW w:w="874" w:type="dxa"/>
          </w:tcPr>
          <w:p w14:paraId="6FA54E39"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33B6CDE1"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0704FD3E"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6573F875"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2D0F7E8A"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46764C66"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435DBDD8" w14:textId="77777777" w:rsidR="00840E7A" w:rsidRPr="00900ADE" w:rsidRDefault="00840E7A">
            <w:pPr>
              <w:pStyle w:val="TableTextCentered"/>
              <w:rPr>
                <w:rFonts w:eastAsia="Times New Roman"/>
              </w:rPr>
            </w:pPr>
            <w:r w:rsidRPr="00900ADE">
              <w:rPr>
                <w:rFonts w:eastAsia="Times New Roman"/>
              </w:rPr>
              <w:t>17</w:t>
            </w:r>
          </w:p>
        </w:tc>
        <w:tc>
          <w:tcPr>
            <w:tcW w:w="900" w:type="dxa"/>
          </w:tcPr>
          <w:p w14:paraId="7E48EAAC" w14:textId="77777777" w:rsidR="00840E7A" w:rsidRPr="00900ADE" w:rsidRDefault="00840E7A">
            <w:pPr>
              <w:pStyle w:val="TableTextCentered"/>
              <w:rPr>
                <w:rFonts w:eastAsia="Times New Roman"/>
              </w:rPr>
            </w:pPr>
            <w:r w:rsidRPr="00900ADE">
              <w:rPr>
                <w:rFonts w:eastAsia="Times New Roman"/>
              </w:rPr>
              <w:t>20</w:t>
            </w:r>
          </w:p>
        </w:tc>
        <w:tc>
          <w:tcPr>
            <w:tcW w:w="892" w:type="dxa"/>
          </w:tcPr>
          <w:p w14:paraId="4E5FB534" w14:textId="77777777" w:rsidR="00840E7A" w:rsidRPr="00900ADE" w:rsidRDefault="00840E7A">
            <w:pPr>
              <w:pStyle w:val="TableTextCentered"/>
              <w:rPr>
                <w:rFonts w:eastAsia="Times New Roman"/>
              </w:rPr>
            </w:pPr>
            <w:r w:rsidRPr="00900ADE">
              <w:rPr>
                <w:rFonts w:eastAsia="Times New Roman"/>
              </w:rPr>
              <w:t>6.8</w:t>
            </w:r>
          </w:p>
        </w:tc>
      </w:tr>
    </w:tbl>
    <w:bookmarkEnd w:id="120"/>
    <w:p w14:paraId="4202635C" w14:textId="77777777" w:rsidR="00840E7A" w:rsidRPr="00900ADE" w:rsidRDefault="00840E7A">
      <w:pPr>
        <w:pStyle w:val="TableNote"/>
      </w:pPr>
      <w:r w:rsidRPr="00900ADE">
        <w:t xml:space="preserve">*The district average is an average of the observation scores. In Table 7, the district average is computed as: </w:t>
      </w:r>
      <w:r w:rsidRPr="00900ADE">
        <w:br/>
      </w:r>
      <w:bookmarkStart w:id="121" w:name="Dist_BM_Calc"/>
      <w:r w:rsidRPr="00900ADE">
        <w:t>([2 x 2] + [4 x 1] + [5 x 4] + [6 x 8] + [7 x 55]) ÷ 70 observations = 6.6</w:t>
      </w:r>
      <w:bookmarkEnd w:id="121"/>
    </w:p>
    <w:p w14:paraId="70AA9C35" w14:textId="77777777" w:rsidR="00840E7A" w:rsidRPr="00900ADE" w:rsidRDefault="00840E7A">
      <w:pPr>
        <w:pStyle w:val="BodyText"/>
      </w:pPr>
      <w:r w:rsidRPr="00900ADE">
        <w:rPr>
          <w:rStyle w:val="BodyTextDemiChar"/>
        </w:rPr>
        <w:t>Ratings in the Low Range.</w:t>
      </w:r>
      <w:r w:rsidRPr="00900ADE">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5C378AA6" w14:textId="77777777" w:rsidR="00840E7A" w:rsidRPr="00900ADE" w:rsidRDefault="00840E7A">
      <w:pPr>
        <w:pStyle w:val="BodyText"/>
      </w:pPr>
      <w:r w:rsidRPr="00900ADE">
        <w:rPr>
          <w:rStyle w:val="BodyTextDemiChar"/>
        </w:rPr>
        <w:t>Ratings in the Middle Range.</w:t>
      </w:r>
      <w:r w:rsidRPr="00900ADE">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59CEE3A3" w14:textId="77777777" w:rsidR="00840E7A" w:rsidRPr="00900ADE" w:rsidRDefault="00840E7A">
      <w:pPr>
        <w:pStyle w:val="BodyText"/>
      </w:pPr>
      <w:r w:rsidRPr="00900ADE">
        <w:rPr>
          <w:rStyle w:val="BodyTextDemiChar"/>
        </w:rPr>
        <w:t>Ratings in the High Range.</w:t>
      </w:r>
      <w:r w:rsidRPr="00900ADE">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70FFBC2E" w14:textId="77777777" w:rsidR="00840E7A" w:rsidRPr="00900ADE" w:rsidRDefault="00840E7A">
      <w:pPr>
        <w:spacing w:after="160" w:line="259" w:lineRule="auto"/>
      </w:pPr>
      <w:r w:rsidRPr="00900ADE">
        <w:br w:type="page"/>
      </w:r>
    </w:p>
    <w:p w14:paraId="1DE313FE" w14:textId="77777777" w:rsidR="00840E7A" w:rsidRPr="00900ADE" w:rsidRDefault="00840E7A">
      <w:pPr>
        <w:pStyle w:val="Heading2-SIOR"/>
      </w:pPr>
      <w:bookmarkStart w:id="122" w:name="_Toc411329831"/>
      <w:bookmarkStart w:id="123" w:name="_Toc430114880"/>
      <w:bookmarkStart w:id="124" w:name="_Toc92194259"/>
      <w:r w:rsidRPr="00900ADE">
        <w:lastRenderedPageBreak/>
        <w:t>Productivity</w:t>
      </w:r>
      <w:bookmarkEnd w:id="122"/>
      <w:bookmarkEnd w:id="123"/>
      <w:bookmarkEnd w:id="124"/>
    </w:p>
    <w:p w14:paraId="2B82C4AD" w14:textId="77777777" w:rsidR="00840E7A" w:rsidRPr="00900ADE" w:rsidRDefault="00840E7A">
      <w:pPr>
        <w:pStyle w:val="BodyTextDomain"/>
      </w:pPr>
      <w:r w:rsidRPr="00900ADE">
        <w:t>Classroom Organization domain, Grades K−12</w:t>
      </w:r>
    </w:p>
    <w:p w14:paraId="52BFECAD" w14:textId="77777777" w:rsidR="00840E7A" w:rsidRPr="00900ADE" w:rsidRDefault="00840E7A">
      <w:pPr>
        <w:pStyle w:val="BodyText"/>
      </w:pPr>
      <w:r w:rsidRPr="00900ADE">
        <w:t>Productivity considers how well the teacher manages instructional time and routines and provides activities for students so that they have the opportunity to be involved in learning activities (</w:t>
      </w:r>
      <w:r w:rsidRPr="00900ADE">
        <w:rPr>
          <w:i/>
        </w:rPr>
        <w:t>CLASS K–3 Manual,</w:t>
      </w:r>
      <w:r w:rsidRPr="00900ADE">
        <w:t xml:space="preserve"> p. 51, </w:t>
      </w:r>
      <w:r w:rsidRPr="00900ADE">
        <w:rPr>
          <w:i/>
        </w:rPr>
        <w:t xml:space="preserve">CLASS Upper Elementary Manual, </w:t>
      </w:r>
      <w:r w:rsidRPr="00900ADE">
        <w:t xml:space="preserve">p. 49, </w:t>
      </w:r>
      <w:r w:rsidRPr="00900ADE">
        <w:rPr>
          <w:i/>
        </w:rPr>
        <w:t>CLASS Secondary Manual</w:t>
      </w:r>
      <w:r w:rsidRPr="00900ADE">
        <w:t xml:space="preserve">, p. 49). </w:t>
      </w:r>
    </w:p>
    <w:p w14:paraId="27E77BCC" w14:textId="77777777" w:rsidR="00840E7A" w:rsidRPr="00900ADE" w:rsidRDefault="00840E7A">
      <w:pPr>
        <w:pStyle w:val="TableTitle0"/>
      </w:pPr>
      <w:r w:rsidRPr="00900ADE">
        <w:t>Table 8. Productivity: Number of Classrooms for Each Rating and District Average</w:t>
      </w:r>
    </w:p>
    <w:p w14:paraId="7684F781" w14:textId="77777777" w:rsidR="00840E7A" w:rsidRPr="00900ADE" w:rsidRDefault="00840E7A">
      <w:pPr>
        <w:pStyle w:val="BodyTextDemi"/>
      </w:pPr>
      <w:r w:rsidRPr="00900ADE">
        <w:t xml:space="preserve">Productivity District Average*: </w:t>
      </w:r>
      <w:bookmarkStart w:id="125" w:name="Dist_PD_Avg"/>
      <w:r w:rsidRPr="00900ADE">
        <w:t>6.7</w:t>
      </w:r>
      <w:bookmarkEnd w:id="125"/>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4D78DEE1"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66180B1E" w14:textId="77777777" w:rsidR="00840E7A" w:rsidRPr="00900ADE" w:rsidRDefault="00840E7A" w:rsidP="00BB559C">
            <w:pPr>
              <w:pStyle w:val="TableColHeadingCenter"/>
              <w:rPr>
                <w:rFonts w:eastAsia="MS Mincho"/>
              </w:rPr>
            </w:pPr>
            <w:bookmarkStart w:id="126" w:name="Tbl_PD"/>
            <w:r w:rsidRPr="00900ADE">
              <w:rPr>
                <w:rFonts w:eastAsia="MS Mincho"/>
              </w:rPr>
              <w:t>Grade Band</w:t>
            </w:r>
          </w:p>
        </w:tc>
        <w:tc>
          <w:tcPr>
            <w:tcW w:w="874" w:type="dxa"/>
            <w:vAlign w:val="bottom"/>
          </w:tcPr>
          <w:p w14:paraId="436F7675"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26204A4F"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3FCF9071"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18E50D6E"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2640E84A"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231C229F"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0968E909"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18C0A563"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31957366"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35F38D8C" w14:textId="77777777" w:rsidTr="00BB559C">
        <w:trPr>
          <w:jc w:val="center"/>
        </w:trPr>
        <w:tc>
          <w:tcPr>
            <w:tcW w:w="1431" w:type="dxa"/>
            <w:shd w:val="clear" w:color="auto" w:fill="D9E2F3" w:themeFill="accent5" w:themeFillTint="33"/>
          </w:tcPr>
          <w:p w14:paraId="310B3AE0" w14:textId="77777777" w:rsidR="00840E7A" w:rsidRPr="00900ADE" w:rsidRDefault="00840E7A">
            <w:pPr>
              <w:pStyle w:val="TableSubheadingCentered"/>
            </w:pPr>
          </w:p>
        </w:tc>
        <w:tc>
          <w:tcPr>
            <w:tcW w:w="874" w:type="dxa"/>
            <w:shd w:val="clear" w:color="auto" w:fill="D9E2F3" w:themeFill="accent5" w:themeFillTint="33"/>
          </w:tcPr>
          <w:p w14:paraId="16DE74C0" w14:textId="77777777" w:rsidR="00840E7A" w:rsidRPr="00900ADE" w:rsidRDefault="00840E7A">
            <w:pPr>
              <w:pStyle w:val="TableSubheadingCentered"/>
            </w:pPr>
            <w:r w:rsidRPr="00900ADE">
              <w:t>1</w:t>
            </w:r>
          </w:p>
        </w:tc>
        <w:tc>
          <w:tcPr>
            <w:tcW w:w="874" w:type="dxa"/>
            <w:shd w:val="clear" w:color="auto" w:fill="D9E2F3" w:themeFill="accent5" w:themeFillTint="33"/>
          </w:tcPr>
          <w:p w14:paraId="6F31A743" w14:textId="77777777" w:rsidR="00840E7A" w:rsidRPr="00900ADE" w:rsidRDefault="00840E7A">
            <w:pPr>
              <w:pStyle w:val="TableSubheadingCentered"/>
            </w:pPr>
            <w:r w:rsidRPr="00900ADE">
              <w:t>2</w:t>
            </w:r>
          </w:p>
        </w:tc>
        <w:tc>
          <w:tcPr>
            <w:tcW w:w="874" w:type="dxa"/>
            <w:shd w:val="clear" w:color="auto" w:fill="D9E2F3" w:themeFill="accent5" w:themeFillTint="33"/>
          </w:tcPr>
          <w:p w14:paraId="5EEABA69" w14:textId="77777777" w:rsidR="00840E7A" w:rsidRPr="00900ADE" w:rsidRDefault="00840E7A">
            <w:pPr>
              <w:pStyle w:val="TableSubheadingCentered"/>
            </w:pPr>
            <w:r w:rsidRPr="00900ADE">
              <w:t>3</w:t>
            </w:r>
          </w:p>
        </w:tc>
        <w:tc>
          <w:tcPr>
            <w:tcW w:w="875" w:type="dxa"/>
            <w:shd w:val="clear" w:color="auto" w:fill="D9E2F3" w:themeFill="accent5" w:themeFillTint="33"/>
          </w:tcPr>
          <w:p w14:paraId="6DFE3EC2" w14:textId="77777777" w:rsidR="00840E7A" w:rsidRPr="00900ADE" w:rsidRDefault="00840E7A">
            <w:pPr>
              <w:pStyle w:val="TableSubheadingCentered"/>
            </w:pPr>
            <w:r w:rsidRPr="00900ADE">
              <w:t>4</w:t>
            </w:r>
          </w:p>
        </w:tc>
        <w:tc>
          <w:tcPr>
            <w:tcW w:w="875" w:type="dxa"/>
            <w:shd w:val="clear" w:color="auto" w:fill="D9E2F3" w:themeFill="accent5" w:themeFillTint="33"/>
          </w:tcPr>
          <w:p w14:paraId="4DBA98E7" w14:textId="77777777" w:rsidR="00840E7A" w:rsidRPr="00900ADE" w:rsidRDefault="00840E7A">
            <w:pPr>
              <w:pStyle w:val="TableSubheadingCentered"/>
            </w:pPr>
            <w:r w:rsidRPr="00900ADE">
              <w:t>5</w:t>
            </w:r>
          </w:p>
        </w:tc>
        <w:tc>
          <w:tcPr>
            <w:tcW w:w="874" w:type="dxa"/>
            <w:shd w:val="clear" w:color="auto" w:fill="D9E2F3" w:themeFill="accent5" w:themeFillTint="33"/>
          </w:tcPr>
          <w:p w14:paraId="0A88BCA6" w14:textId="77777777" w:rsidR="00840E7A" w:rsidRPr="00900ADE" w:rsidRDefault="00840E7A">
            <w:pPr>
              <w:pStyle w:val="TableSubheadingCentered"/>
            </w:pPr>
            <w:r w:rsidRPr="00900ADE">
              <w:t>6</w:t>
            </w:r>
          </w:p>
        </w:tc>
        <w:tc>
          <w:tcPr>
            <w:tcW w:w="875" w:type="dxa"/>
            <w:shd w:val="clear" w:color="auto" w:fill="D9E2F3" w:themeFill="accent5" w:themeFillTint="33"/>
          </w:tcPr>
          <w:p w14:paraId="3AB9E0E8" w14:textId="77777777" w:rsidR="00840E7A" w:rsidRPr="00900ADE" w:rsidRDefault="00840E7A">
            <w:pPr>
              <w:pStyle w:val="TableSubheadingCentered"/>
            </w:pPr>
            <w:r w:rsidRPr="00900ADE">
              <w:t>7</w:t>
            </w:r>
          </w:p>
        </w:tc>
        <w:tc>
          <w:tcPr>
            <w:tcW w:w="900" w:type="dxa"/>
            <w:shd w:val="clear" w:color="auto" w:fill="D9E2F3" w:themeFill="accent5" w:themeFillTint="33"/>
          </w:tcPr>
          <w:p w14:paraId="07F5EB64" w14:textId="77777777" w:rsidR="00840E7A" w:rsidRPr="00900ADE" w:rsidRDefault="00840E7A">
            <w:pPr>
              <w:pStyle w:val="TableSubheadingCentered"/>
            </w:pPr>
            <w:r w:rsidRPr="00900ADE">
              <w:t>70</w:t>
            </w:r>
          </w:p>
        </w:tc>
        <w:tc>
          <w:tcPr>
            <w:tcW w:w="892" w:type="dxa"/>
            <w:shd w:val="clear" w:color="auto" w:fill="D9E2F3" w:themeFill="accent5" w:themeFillTint="33"/>
          </w:tcPr>
          <w:p w14:paraId="00541D45" w14:textId="77777777" w:rsidR="00840E7A" w:rsidRPr="00900ADE" w:rsidRDefault="00840E7A">
            <w:pPr>
              <w:pStyle w:val="TableSubheadingCentered"/>
            </w:pPr>
            <w:r w:rsidRPr="00900ADE">
              <w:t>6.7</w:t>
            </w:r>
          </w:p>
        </w:tc>
      </w:tr>
      <w:tr w:rsidR="00840E7A" w:rsidRPr="00900ADE" w14:paraId="7EABB956" w14:textId="77777777" w:rsidTr="00BB559C">
        <w:trPr>
          <w:jc w:val="center"/>
        </w:trPr>
        <w:tc>
          <w:tcPr>
            <w:tcW w:w="1431" w:type="dxa"/>
          </w:tcPr>
          <w:p w14:paraId="5B8A1784" w14:textId="77777777" w:rsidR="00840E7A" w:rsidRPr="00900ADE" w:rsidRDefault="00840E7A">
            <w:pPr>
              <w:pStyle w:val="TableText"/>
            </w:pPr>
            <w:r w:rsidRPr="00900ADE">
              <w:t>Grades K-5</w:t>
            </w:r>
          </w:p>
        </w:tc>
        <w:tc>
          <w:tcPr>
            <w:tcW w:w="874" w:type="dxa"/>
          </w:tcPr>
          <w:p w14:paraId="5BB4FB24"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49138C43"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0DF8CDAB"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1CF6DF1B"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45D9DB4F" w14:textId="77777777" w:rsidR="00840E7A" w:rsidRPr="00900ADE" w:rsidRDefault="00840E7A">
            <w:pPr>
              <w:pStyle w:val="TableTextCentered"/>
              <w:rPr>
                <w:rFonts w:eastAsia="Times New Roman"/>
              </w:rPr>
            </w:pPr>
            <w:r w:rsidRPr="00900ADE">
              <w:rPr>
                <w:rFonts w:eastAsia="Times New Roman"/>
              </w:rPr>
              <w:t>2</w:t>
            </w:r>
          </w:p>
        </w:tc>
        <w:tc>
          <w:tcPr>
            <w:tcW w:w="874" w:type="dxa"/>
          </w:tcPr>
          <w:p w14:paraId="51BF50FF" w14:textId="77777777" w:rsidR="00840E7A" w:rsidRPr="00900ADE" w:rsidRDefault="00840E7A">
            <w:pPr>
              <w:pStyle w:val="TableTextCentered"/>
              <w:rPr>
                <w:rFonts w:eastAsia="Times New Roman"/>
              </w:rPr>
            </w:pPr>
            <w:r w:rsidRPr="00900ADE">
              <w:rPr>
                <w:rFonts w:eastAsia="Times New Roman"/>
              </w:rPr>
              <w:t>3</w:t>
            </w:r>
          </w:p>
        </w:tc>
        <w:tc>
          <w:tcPr>
            <w:tcW w:w="875" w:type="dxa"/>
          </w:tcPr>
          <w:p w14:paraId="339324AC" w14:textId="77777777" w:rsidR="00840E7A" w:rsidRPr="00900ADE" w:rsidRDefault="00840E7A">
            <w:pPr>
              <w:pStyle w:val="TableTextCentered"/>
              <w:rPr>
                <w:rFonts w:eastAsia="Times New Roman"/>
              </w:rPr>
            </w:pPr>
            <w:r w:rsidRPr="00900ADE">
              <w:rPr>
                <w:rFonts w:eastAsia="Times New Roman"/>
              </w:rPr>
              <w:t>28</w:t>
            </w:r>
          </w:p>
        </w:tc>
        <w:tc>
          <w:tcPr>
            <w:tcW w:w="900" w:type="dxa"/>
          </w:tcPr>
          <w:p w14:paraId="2EF2B2C0" w14:textId="77777777" w:rsidR="00840E7A" w:rsidRPr="00900ADE" w:rsidRDefault="00840E7A">
            <w:pPr>
              <w:pStyle w:val="TableTextCentered"/>
              <w:rPr>
                <w:rFonts w:eastAsia="Times New Roman"/>
              </w:rPr>
            </w:pPr>
            <w:r w:rsidRPr="00900ADE">
              <w:rPr>
                <w:rFonts w:eastAsia="Times New Roman"/>
              </w:rPr>
              <w:t>34</w:t>
            </w:r>
          </w:p>
        </w:tc>
        <w:tc>
          <w:tcPr>
            <w:tcW w:w="892" w:type="dxa"/>
          </w:tcPr>
          <w:p w14:paraId="2FC0488B" w14:textId="77777777" w:rsidR="00840E7A" w:rsidRPr="00900ADE" w:rsidRDefault="00840E7A">
            <w:pPr>
              <w:pStyle w:val="TableTextCentered"/>
              <w:rPr>
                <w:rFonts w:eastAsia="Times New Roman"/>
              </w:rPr>
            </w:pPr>
            <w:r w:rsidRPr="00900ADE">
              <w:rPr>
                <w:rFonts w:eastAsia="Times New Roman"/>
              </w:rPr>
              <w:t>6.7</w:t>
            </w:r>
          </w:p>
        </w:tc>
      </w:tr>
      <w:tr w:rsidR="00840E7A" w:rsidRPr="00900ADE" w14:paraId="0F3179B2" w14:textId="77777777" w:rsidTr="00BB559C">
        <w:trPr>
          <w:jc w:val="center"/>
        </w:trPr>
        <w:tc>
          <w:tcPr>
            <w:tcW w:w="1431" w:type="dxa"/>
          </w:tcPr>
          <w:p w14:paraId="1CF204F7" w14:textId="77777777" w:rsidR="00840E7A" w:rsidRPr="00900ADE" w:rsidRDefault="00840E7A">
            <w:pPr>
              <w:pStyle w:val="TableText"/>
            </w:pPr>
            <w:r w:rsidRPr="00900ADE">
              <w:t>Grades 6-8</w:t>
            </w:r>
          </w:p>
        </w:tc>
        <w:tc>
          <w:tcPr>
            <w:tcW w:w="874" w:type="dxa"/>
          </w:tcPr>
          <w:p w14:paraId="0BB540CA"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43833CAE"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1CBBBB00"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6901B608"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01B1323E"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05E12621"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29807CE9" w14:textId="77777777" w:rsidR="00840E7A" w:rsidRPr="00900ADE" w:rsidRDefault="00840E7A">
            <w:pPr>
              <w:pStyle w:val="TableTextCentered"/>
              <w:rPr>
                <w:rFonts w:eastAsia="Times New Roman"/>
              </w:rPr>
            </w:pPr>
            <w:r w:rsidRPr="00900ADE">
              <w:rPr>
                <w:rFonts w:eastAsia="Times New Roman"/>
              </w:rPr>
              <w:t>13</w:t>
            </w:r>
          </w:p>
        </w:tc>
        <w:tc>
          <w:tcPr>
            <w:tcW w:w="900" w:type="dxa"/>
          </w:tcPr>
          <w:p w14:paraId="4144B49A" w14:textId="77777777" w:rsidR="00840E7A" w:rsidRPr="00900ADE" w:rsidRDefault="00840E7A">
            <w:pPr>
              <w:pStyle w:val="TableTextCentered"/>
              <w:rPr>
                <w:rFonts w:eastAsia="Times New Roman"/>
              </w:rPr>
            </w:pPr>
            <w:r w:rsidRPr="00900ADE">
              <w:rPr>
                <w:rFonts w:eastAsia="Times New Roman"/>
              </w:rPr>
              <w:t>16</w:t>
            </w:r>
          </w:p>
        </w:tc>
        <w:tc>
          <w:tcPr>
            <w:tcW w:w="892" w:type="dxa"/>
          </w:tcPr>
          <w:p w14:paraId="03D14ADC" w14:textId="77777777" w:rsidR="00840E7A" w:rsidRPr="00900ADE" w:rsidRDefault="00840E7A">
            <w:pPr>
              <w:pStyle w:val="TableTextCentered"/>
              <w:rPr>
                <w:rFonts w:eastAsia="Times New Roman"/>
              </w:rPr>
            </w:pPr>
            <w:r w:rsidRPr="00900ADE">
              <w:rPr>
                <w:rFonts w:eastAsia="Times New Roman"/>
              </w:rPr>
              <w:t>6.6</w:t>
            </w:r>
          </w:p>
        </w:tc>
      </w:tr>
      <w:tr w:rsidR="00840E7A" w:rsidRPr="00900ADE" w14:paraId="0451F640" w14:textId="77777777" w:rsidTr="00BB559C">
        <w:trPr>
          <w:jc w:val="center"/>
        </w:trPr>
        <w:tc>
          <w:tcPr>
            <w:tcW w:w="1431" w:type="dxa"/>
          </w:tcPr>
          <w:p w14:paraId="781655BC" w14:textId="77777777" w:rsidR="00840E7A" w:rsidRPr="00900ADE" w:rsidRDefault="00840E7A">
            <w:pPr>
              <w:pStyle w:val="TableText"/>
            </w:pPr>
            <w:r w:rsidRPr="00900ADE">
              <w:t>Grades 9-12</w:t>
            </w:r>
          </w:p>
        </w:tc>
        <w:tc>
          <w:tcPr>
            <w:tcW w:w="874" w:type="dxa"/>
          </w:tcPr>
          <w:p w14:paraId="0BE416B8"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4848496A"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183546AB"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4EE4DBD2"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3CD1EEFE"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5CCA48BC"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5755328E" w14:textId="77777777" w:rsidR="00840E7A" w:rsidRPr="00900ADE" w:rsidRDefault="00840E7A">
            <w:pPr>
              <w:pStyle w:val="TableTextCentered"/>
              <w:rPr>
                <w:rFonts w:eastAsia="Times New Roman"/>
              </w:rPr>
            </w:pPr>
            <w:r w:rsidRPr="00900ADE">
              <w:rPr>
                <w:rFonts w:eastAsia="Times New Roman"/>
              </w:rPr>
              <w:t>17</w:t>
            </w:r>
          </w:p>
        </w:tc>
        <w:tc>
          <w:tcPr>
            <w:tcW w:w="900" w:type="dxa"/>
          </w:tcPr>
          <w:p w14:paraId="7A815EC1" w14:textId="77777777" w:rsidR="00840E7A" w:rsidRPr="00900ADE" w:rsidRDefault="00840E7A">
            <w:pPr>
              <w:pStyle w:val="TableTextCentered"/>
              <w:rPr>
                <w:rFonts w:eastAsia="Times New Roman"/>
              </w:rPr>
            </w:pPr>
            <w:r w:rsidRPr="00900ADE">
              <w:rPr>
                <w:rFonts w:eastAsia="Times New Roman"/>
              </w:rPr>
              <w:t>20</w:t>
            </w:r>
          </w:p>
        </w:tc>
        <w:tc>
          <w:tcPr>
            <w:tcW w:w="892" w:type="dxa"/>
          </w:tcPr>
          <w:p w14:paraId="501D04E7" w14:textId="77777777" w:rsidR="00840E7A" w:rsidRPr="00900ADE" w:rsidRDefault="00840E7A">
            <w:pPr>
              <w:pStyle w:val="TableTextCentered"/>
              <w:rPr>
                <w:rFonts w:eastAsia="Times New Roman"/>
              </w:rPr>
            </w:pPr>
            <w:r w:rsidRPr="00900ADE">
              <w:rPr>
                <w:rFonts w:eastAsia="Times New Roman"/>
              </w:rPr>
              <w:t>6.8</w:t>
            </w:r>
          </w:p>
        </w:tc>
      </w:tr>
    </w:tbl>
    <w:bookmarkEnd w:id="126"/>
    <w:p w14:paraId="5760B10B" w14:textId="77777777" w:rsidR="00840E7A" w:rsidRPr="00900ADE" w:rsidRDefault="00840E7A">
      <w:pPr>
        <w:pStyle w:val="TableNote"/>
        <w:rPr>
          <w:rFonts w:ascii="Franklin Gothic Book" w:hAnsi="Franklin Gothic Book"/>
        </w:rPr>
      </w:pPr>
      <w:r w:rsidRPr="00900ADE">
        <w:rPr>
          <w:rFonts w:ascii="Franklin Gothic Book" w:hAnsi="Franklin Gothic Book"/>
        </w:rPr>
        <w:t xml:space="preserve">*The district average is an average of the observation scores. In Table 8, the district average is computed as: </w:t>
      </w:r>
      <w:r w:rsidRPr="00900ADE">
        <w:rPr>
          <w:rFonts w:ascii="Franklin Gothic Book" w:hAnsi="Franklin Gothic Book"/>
        </w:rPr>
        <w:br/>
      </w:r>
      <w:bookmarkStart w:id="127" w:name="Dist_PD_Calc"/>
      <w:r w:rsidRPr="00900ADE">
        <w:rPr>
          <w:rFonts w:ascii="Franklin Gothic Book" w:hAnsi="Franklin Gothic Book"/>
        </w:rPr>
        <w:t>([3 x 2] + [5 x 4] + [6 x 6] + [7 x 58]) ÷ 70 observations = 6.7</w:t>
      </w:r>
      <w:bookmarkEnd w:id="127"/>
    </w:p>
    <w:p w14:paraId="3374CAE3" w14:textId="77777777" w:rsidR="00840E7A" w:rsidRPr="00900ADE" w:rsidRDefault="00840E7A">
      <w:pPr>
        <w:pStyle w:val="BodyText"/>
      </w:pPr>
      <w:r w:rsidRPr="00900ADE">
        <w:rPr>
          <w:rStyle w:val="BodyTextDemiChar"/>
        </w:rPr>
        <w:t xml:space="preserve">Ratings in the Low Range. </w:t>
      </w:r>
      <w:r w:rsidRPr="00900ADE">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229842C7" w14:textId="77777777" w:rsidR="00840E7A" w:rsidRPr="00900ADE" w:rsidRDefault="00840E7A">
      <w:pPr>
        <w:pStyle w:val="BodyText"/>
      </w:pPr>
      <w:r w:rsidRPr="00900ADE">
        <w:rPr>
          <w:rStyle w:val="BodyTextDemiChar"/>
        </w:rPr>
        <w:t xml:space="preserve">Ratings in the Middle Range. </w:t>
      </w:r>
      <w:r w:rsidRPr="00900ADE">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46469DBD" w14:textId="77777777" w:rsidR="00840E7A" w:rsidRPr="00900ADE" w:rsidRDefault="00840E7A">
      <w:pPr>
        <w:pStyle w:val="BodyText"/>
      </w:pPr>
      <w:r w:rsidRPr="00900ADE">
        <w:rPr>
          <w:rStyle w:val="BodyTextDemiChar"/>
        </w:rPr>
        <w:t xml:space="preserve">Ratings in the High Range. </w:t>
      </w:r>
      <w:r w:rsidRPr="00900ADE">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1E1E4683" w14:textId="77777777" w:rsidR="00840E7A" w:rsidRPr="00900ADE" w:rsidRDefault="00840E7A">
      <w:pPr>
        <w:spacing w:after="160" w:line="259" w:lineRule="auto"/>
      </w:pPr>
      <w:r w:rsidRPr="00900ADE">
        <w:br w:type="page"/>
      </w:r>
    </w:p>
    <w:p w14:paraId="0A83C3D2" w14:textId="77777777" w:rsidR="00840E7A" w:rsidRPr="00900ADE" w:rsidRDefault="00840E7A">
      <w:pPr>
        <w:pStyle w:val="Heading2-SIOR"/>
      </w:pPr>
      <w:bookmarkStart w:id="128" w:name="_Toc411329832"/>
      <w:bookmarkStart w:id="129" w:name="_Toc430114881"/>
      <w:bookmarkStart w:id="130" w:name="_Toc92194260"/>
      <w:r w:rsidRPr="00900ADE">
        <w:lastRenderedPageBreak/>
        <w:t>Instructional Learning Formats</w:t>
      </w:r>
      <w:bookmarkEnd w:id="128"/>
      <w:bookmarkEnd w:id="129"/>
      <w:bookmarkEnd w:id="130"/>
    </w:p>
    <w:p w14:paraId="7BFBF38D" w14:textId="77777777" w:rsidR="00840E7A" w:rsidRPr="00900ADE" w:rsidRDefault="00840E7A">
      <w:pPr>
        <w:pStyle w:val="BodyTextDomain"/>
        <w:spacing w:after="0"/>
      </w:pPr>
      <w:r w:rsidRPr="00900ADE">
        <w:t>Classroom Organization domain, Grades K</w:t>
      </w:r>
      <w:r w:rsidRPr="00900ADE">
        <w:rPr>
          <w:rFonts w:ascii="Vijaya" w:hAnsi="Vijaya" w:cs="Vijaya"/>
        </w:rPr>
        <w:t>−</w:t>
      </w:r>
      <w:r w:rsidRPr="00900ADE">
        <w:t xml:space="preserve">3 </w:t>
      </w:r>
    </w:p>
    <w:p w14:paraId="0BBB6522" w14:textId="77777777" w:rsidR="00840E7A" w:rsidRPr="00900ADE" w:rsidRDefault="00840E7A">
      <w:pPr>
        <w:pStyle w:val="BodyTextDomain"/>
        <w:spacing w:after="0"/>
      </w:pPr>
      <w:r w:rsidRPr="00900ADE">
        <w:t>Instructional Support domain, Grades 4</w:t>
      </w:r>
      <w:r w:rsidRPr="00900ADE">
        <w:rPr>
          <w:rFonts w:ascii="Vijaya" w:hAnsi="Vijaya" w:cs="Vijaya"/>
        </w:rPr>
        <w:t>−</w:t>
      </w:r>
      <w:r w:rsidRPr="00900ADE">
        <w:t xml:space="preserve"> 12</w:t>
      </w:r>
    </w:p>
    <w:p w14:paraId="2F237509" w14:textId="77777777" w:rsidR="00840E7A" w:rsidRPr="00900ADE" w:rsidRDefault="00840E7A">
      <w:pPr>
        <w:pStyle w:val="BodyText"/>
        <w:spacing w:before="120"/>
      </w:pPr>
      <w:r w:rsidRPr="00900ADE">
        <w:t>Instructional Learning Formats refer to the ways in which the teacher maximizes students’ interest, engagement, and abilities to learn from the lesson and activities (</w:t>
      </w:r>
      <w:r w:rsidRPr="00900ADE">
        <w:rPr>
          <w:i/>
        </w:rPr>
        <w:t>CLASS K–3 Manual</w:t>
      </w:r>
      <w:r w:rsidRPr="00900ADE">
        <w:t xml:space="preserve">, p. 57; </w:t>
      </w:r>
      <w:r w:rsidRPr="00900ADE">
        <w:rPr>
          <w:i/>
        </w:rPr>
        <w:t>CLASS Upper Elementary Manual</w:t>
      </w:r>
      <w:r w:rsidRPr="00900ADE">
        <w:t xml:space="preserve">, p. 63, </w:t>
      </w:r>
      <w:r w:rsidRPr="00900ADE">
        <w:rPr>
          <w:i/>
        </w:rPr>
        <w:t>CLASS Secondary Manual,</w:t>
      </w:r>
      <w:r w:rsidRPr="00900ADE">
        <w:t xml:space="preserve"> p. 61). </w:t>
      </w:r>
    </w:p>
    <w:p w14:paraId="7E4DB022" w14:textId="77777777" w:rsidR="00840E7A" w:rsidRPr="00900ADE" w:rsidRDefault="00840E7A">
      <w:pPr>
        <w:pStyle w:val="TableTitle0"/>
        <w:spacing w:before="120"/>
      </w:pPr>
      <w:r w:rsidRPr="00900ADE">
        <w:t>Table 9. Instructional Learning Formats: Number of Classrooms for Each Rating and District Average</w:t>
      </w:r>
    </w:p>
    <w:p w14:paraId="056B0EB4" w14:textId="77777777" w:rsidR="00840E7A" w:rsidRPr="00900ADE" w:rsidRDefault="00840E7A">
      <w:pPr>
        <w:pStyle w:val="BodyTextDemi"/>
        <w:spacing w:before="120"/>
      </w:pPr>
      <w:r w:rsidRPr="00900ADE">
        <w:t xml:space="preserve">Instructional Learning Formats District Average*: </w:t>
      </w:r>
      <w:bookmarkStart w:id="131" w:name="Dist_ILF_Avg"/>
      <w:r w:rsidRPr="00900ADE">
        <w:t>4.9</w:t>
      </w:r>
      <w:bookmarkEnd w:id="131"/>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7940EF19"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771FB6BA" w14:textId="77777777" w:rsidR="00840E7A" w:rsidRPr="00900ADE" w:rsidRDefault="00840E7A" w:rsidP="00BB559C">
            <w:pPr>
              <w:pStyle w:val="TableColHeadingCenter"/>
              <w:rPr>
                <w:rFonts w:eastAsia="MS Mincho"/>
              </w:rPr>
            </w:pPr>
            <w:bookmarkStart w:id="132" w:name="Tbl_ILF"/>
            <w:r w:rsidRPr="00900ADE">
              <w:rPr>
                <w:rFonts w:eastAsia="MS Mincho"/>
              </w:rPr>
              <w:t>Grade Band</w:t>
            </w:r>
          </w:p>
        </w:tc>
        <w:tc>
          <w:tcPr>
            <w:tcW w:w="874" w:type="dxa"/>
            <w:vAlign w:val="bottom"/>
          </w:tcPr>
          <w:p w14:paraId="16B1E546"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41B570E4"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68B8B916"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11A16E2A"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790C0DAE"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5E75D6E7"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69C23E26"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5BD716AA"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658D4FF2"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62DFF436" w14:textId="77777777" w:rsidTr="00BB559C">
        <w:trPr>
          <w:jc w:val="center"/>
        </w:trPr>
        <w:tc>
          <w:tcPr>
            <w:tcW w:w="1431" w:type="dxa"/>
            <w:shd w:val="clear" w:color="auto" w:fill="D9E2F3" w:themeFill="accent5" w:themeFillTint="33"/>
          </w:tcPr>
          <w:p w14:paraId="4B217968" w14:textId="77777777" w:rsidR="00840E7A" w:rsidRPr="00900ADE" w:rsidRDefault="00840E7A">
            <w:pPr>
              <w:pStyle w:val="TableSubheadingCentered"/>
            </w:pPr>
          </w:p>
        </w:tc>
        <w:tc>
          <w:tcPr>
            <w:tcW w:w="874" w:type="dxa"/>
            <w:shd w:val="clear" w:color="auto" w:fill="D9E2F3" w:themeFill="accent5" w:themeFillTint="33"/>
          </w:tcPr>
          <w:p w14:paraId="5E3B7733" w14:textId="77777777" w:rsidR="00840E7A" w:rsidRPr="00900ADE" w:rsidRDefault="00840E7A">
            <w:pPr>
              <w:pStyle w:val="TableSubheadingCentered"/>
            </w:pPr>
            <w:r w:rsidRPr="00900ADE">
              <w:t>1</w:t>
            </w:r>
          </w:p>
        </w:tc>
        <w:tc>
          <w:tcPr>
            <w:tcW w:w="874" w:type="dxa"/>
            <w:shd w:val="clear" w:color="auto" w:fill="D9E2F3" w:themeFill="accent5" w:themeFillTint="33"/>
          </w:tcPr>
          <w:p w14:paraId="2A58D95D" w14:textId="77777777" w:rsidR="00840E7A" w:rsidRPr="00900ADE" w:rsidRDefault="00840E7A">
            <w:pPr>
              <w:pStyle w:val="TableSubheadingCentered"/>
            </w:pPr>
            <w:r w:rsidRPr="00900ADE">
              <w:t>2</w:t>
            </w:r>
          </w:p>
        </w:tc>
        <w:tc>
          <w:tcPr>
            <w:tcW w:w="874" w:type="dxa"/>
            <w:shd w:val="clear" w:color="auto" w:fill="D9E2F3" w:themeFill="accent5" w:themeFillTint="33"/>
          </w:tcPr>
          <w:p w14:paraId="2D978599" w14:textId="77777777" w:rsidR="00840E7A" w:rsidRPr="00900ADE" w:rsidRDefault="00840E7A">
            <w:pPr>
              <w:pStyle w:val="TableSubheadingCentered"/>
            </w:pPr>
            <w:r w:rsidRPr="00900ADE">
              <w:t>3</w:t>
            </w:r>
          </w:p>
        </w:tc>
        <w:tc>
          <w:tcPr>
            <w:tcW w:w="875" w:type="dxa"/>
            <w:shd w:val="clear" w:color="auto" w:fill="D9E2F3" w:themeFill="accent5" w:themeFillTint="33"/>
          </w:tcPr>
          <w:p w14:paraId="28ED1CFE" w14:textId="77777777" w:rsidR="00840E7A" w:rsidRPr="00900ADE" w:rsidRDefault="00840E7A">
            <w:pPr>
              <w:pStyle w:val="TableSubheadingCentered"/>
            </w:pPr>
            <w:r w:rsidRPr="00900ADE">
              <w:t>4</w:t>
            </w:r>
          </w:p>
        </w:tc>
        <w:tc>
          <w:tcPr>
            <w:tcW w:w="875" w:type="dxa"/>
            <w:shd w:val="clear" w:color="auto" w:fill="D9E2F3" w:themeFill="accent5" w:themeFillTint="33"/>
          </w:tcPr>
          <w:p w14:paraId="2B7E1105" w14:textId="77777777" w:rsidR="00840E7A" w:rsidRPr="00900ADE" w:rsidRDefault="00840E7A">
            <w:pPr>
              <w:pStyle w:val="TableSubheadingCentered"/>
            </w:pPr>
            <w:r w:rsidRPr="00900ADE">
              <w:t>5</w:t>
            </w:r>
          </w:p>
        </w:tc>
        <w:tc>
          <w:tcPr>
            <w:tcW w:w="874" w:type="dxa"/>
            <w:shd w:val="clear" w:color="auto" w:fill="D9E2F3" w:themeFill="accent5" w:themeFillTint="33"/>
          </w:tcPr>
          <w:p w14:paraId="1E5FB101" w14:textId="77777777" w:rsidR="00840E7A" w:rsidRPr="00900ADE" w:rsidRDefault="00840E7A">
            <w:pPr>
              <w:pStyle w:val="TableSubheadingCentered"/>
            </w:pPr>
            <w:r w:rsidRPr="00900ADE">
              <w:t>6</w:t>
            </w:r>
          </w:p>
        </w:tc>
        <w:tc>
          <w:tcPr>
            <w:tcW w:w="875" w:type="dxa"/>
            <w:shd w:val="clear" w:color="auto" w:fill="D9E2F3" w:themeFill="accent5" w:themeFillTint="33"/>
          </w:tcPr>
          <w:p w14:paraId="58163214" w14:textId="77777777" w:rsidR="00840E7A" w:rsidRPr="00900ADE" w:rsidRDefault="00840E7A">
            <w:pPr>
              <w:pStyle w:val="TableSubheadingCentered"/>
            </w:pPr>
            <w:r w:rsidRPr="00900ADE">
              <w:t>7</w:t>
            </w:r>
          </w:p>
        </w:tc>
        <w:tc>
          <w:tcPr>
            <w:tcW w:w="900" w:type="dxa"/>
            <w:shd w:val="clear" w:color="auto" w:fill="D9E2F3" w:themeFill="accent5" w:themeFillTint="33"/>
          </w:tcPr>
          <w:p w14:paraId="668C0460" w14:textId="77777777" w:rsidR="00840E7A" w:rsidRPr="00900ADE" w:rsidRDefault="00840E7A">
            <w:pPr>
              <w:pStyle w:val="TableSubheadingCentered"/>
            </w:pPr>
            <w:r w:rsidRPr="00900ADE">
              <w:t>70</w:t>
            </w:r>
          </w:p>
        </w:tc>
        <w:tc>
          <w:tcPr>
            <w:tcW w:w="892" w:type="dxa"/>
            <w:shd w:val="clear" w:color="auto" w:fill="D9E2F3" w:themeFill="accent5" w:themeFillTint="33"/>
          </w:tcPr>
          <w:p w14:paraId="2490D249" w14:textId="77777777" w:rsidR="00840E7A" w:rsidRPr="00900ADE" w:rsidRDefault="00840E7A">
            <w:pPr>
              <w:pStyle w:val="TableSubheadingCentered"/>
            </w:pPr>
            <w:r w:rsidRPr="00900ADE">
              <w:t>4.9</w:t>
            </w:r>
          </w:p>
        </w:tc>
      </w:tr>
      <w:tr w:rsidR="00840E7A" w:rsidRPr="00900ADE" w14:paraId="1AC6538B" w14:textId="77777777" w:rsidTr="00BB559C">
        <w:trPr>
          <w:jc w:val="center"/>
        </w:trPr>
        <w:tc>
          <w:tcPr>
            <w:tcW w:w="1431" w:type="dxa"/>
          </w:tcPr>
          <w:p w14:paraId="44A8B693" w14:textId="77777777" w:rsidR="00840E7A" w:rsidRPr="00900ADE" w:rsidRDefault="00840E7A">
            <w:pPr>
              <w:pStyle w:val="TableText"/>
            </w:pPr>
            <w:r w:rsidRPr="00900ADE">
              <w:t>Grades K-5</w:t>
            </w:r>
          </w:p>
        </w:tc>
        <w:tc>
          <w:tcPr>
            <w:tcW w:w="874" w:type="dxa"/>
          </w:tcPr>
          <w:p w14:paraId="17710204"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65671A69"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3F6D0882"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54EC3F50" w14:textId="77777777" w:rsidR="00840E7A" w:rsidRPr="00900ADE" w:rsidRDefault="00840E7A">
            <w:pPr>
              <w:pStyle w:val="TableTextCentered"/>
              <w:rPr>
                <w:rFonts w:eastAsia="Times New Roman"/>
              </w:rPr>
            </w:pPr>
            <w:r w:rsidRPr="00900ADE">
              <w:rPr>
                <w:rFonts w:eastAsia="Times New Roman"/>
              </w:rPr>
              <w:t>7</w:t>
            </w:r>
          </w:p>
        </w:tc>
        <w:tc>
          <w:tcPr>
            <w:tcW w:w="875" w:type="dxa"/>
          </w:tcPr>
          <w:p w14:paraId="0645C2F9" w14:textId="77777777" w:rsidR="00840E7A" w:rsidRPr="00900ADE" w:rsidRDefault="00840E7A">
            <w:pPr>
              <w:pStyle w:val="TableTextCentered"/>
              <w:rPr>
                <w:rFonts w:eastAsia="Times New Roman"/>
              </w:rPr>
            </w:pPr>
            <w:r w:rsidRPr="00900ADE">
              <w:rPr>
                <w:rFonts w:eastAsia="Times New Roman"/>
              </w:rPr>
              <w:t>9</w:t>
            </w:r>
          </w:p>
        </w:tc>
        <w:tc>
          <w:tcPr>
            <w:tcW w:w="874" w:type="dxa"/>
          </w:tcPr>
          <w:p w14:paraId="3D5574F1" w14:textId="77777777" w:rsidR="00840E7A" w:rsidRPr="00900ADE" w:rsidRDefault="00840E7A">
            <w:pPr>
              <w:pStyle w:val="TableTextCentered"/>
              <w:rPr>
                <w:rFonts w:eastAsia="Times New Roman"/>
              </w:rPr>
            </w:pPr>
            <w:r w:rsidRPr="00900ADE">
              <w:rPr>
                <w:rFonts w:eastAsia="Times New Roman"/>
              </w:rPr>
              <w:t>11</w:t>
            </w:r>
          </w:p>
        </w:tc>
        <w:tc>
          <w:tcPr>
            <w:tcW w:w="875" w:type="dxa"/>
          </w:tcPr>
          <w:p w14:paraId="12741B05" w14:textId="77777777" w:rsidR="00840E7A" w:rsidRPr="00900ADE" w:rsidRDefault="00840E7A">
            <w:pPr>
              <w:pStyle w:val="TableTextCentered"/>
              <w:rPr>
                <w:rFonts w:eastAsia="Times New Roman"/>
              </w:rPr>
            </w:pPr>
            <w:r w:rsidRPr="00900ADE">
              <w:rPr>
                <w:rFonts w:eastAsia="Times New Roman"/>
              </w:rPr>
              <w:t>6</w:t>
            </w:r>
          </w:p>
        </w:tc>
        <w:tc>
          <w:tcPr>
            <w:tcW w:w="900" w:type="dxa"/>
          </w:tcPr>
          <w:p w14:paraId="0B3D3DA6" w14:textId="77777777" w:rsidR="00840E7A" w:rsidRPr="00900ADE" w:rsidRDefault="00840E7A">
            <w:pPr>
              <w:pStyle w:val="TableTextCentered"/>
              <w:rPr>
                <w:rFonts w:eastAsia="Times New Roman"/>
              </w:rPr>
            </w:pPr>
            <w:r w:rsidRPr="00900ADE">
              <w:rPr>
                <w:rFonts w:eastAsia="Times New Roman"/>
              </w:rPr>
              <w:t>34</w:t>
            </w:r>
          </w:p>
        </w:tc>
        <w:tc>
          <w:tcPr>
            <w:tcW w:w="892" w:type="dxa"/>
          </w:tcPr>
          <w:p w14:paraId="4772D0F0" w14:textId="77777777" w:rsidR="00840E7A" w:rsidRPr="00900ADE" w:rsidRDefault="00840E7A">
            <w:pPr>
              <w:pStyle w:val="TableTextCentered"/>
              <w:rPr>
                <w:rFonts w:eastAsia="Times New Roman"/>
              </w:rPr>
            </w:pPr>
            <w:r w:rsidRPr="00900ADE">
              <w:rPr>
                <w:rFonts w:eastAsia="Times New Roman"/>
              </w:rPr>
              <w:t>5.4</w:t>
            </w:r>
          </w:p>
        </w:tc>
      </w:tr>
      <w:tr w:rsidR="00840E7A" w:rsidRPr="00900ADE" w14:paraId="372A4711" w14:textId="77777777" w:rsidTr="00BB559C">
        <w:trPr>
          <w:jc w:val="center"/>
        </w:trPr>
        <w:tc>
          <w:tcPr>
            <w:tcW w:w="1431" w:type="dxa"/>
          </w:tcPr>
          <w:p w14:paraId="457FB27E" w14:textId="77777777" w:rsidR="00840E7A" w:rsidRPr="00900ADE" w:rsidRDefault="00840E7A">
            <w:pPr>
              <w:pStyle w:val="TableText"/>
            </w:pPr>
            <w:r w:rsidRPr="00900ADE">
              <w:t>Grades 6-8</w:t>
            </w:r>
          </w:p>
        </w:tc>
        <w:tc>
          <w:tcPr>
            <w:tcW w:w="874" w:type="dxa"/>
          </w:tcPr>
          <w:p w14:paraId="4EEF720D"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52F7343D"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709BE7FE"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281FE154" w14:textId="77777777" w:rsidR="00840E7A" w:rsidRPr="00900ADE" w:rsidRDefault="00840E7A">
            <w:pPr>
              <w:pStyle w:val="TableTextCentered"/>
              <w:rPr>
                <w:rFonts w:eastAsia="Times New Roman"/>
              </w:rPr>
            </w:pPr>
            <w:r w:rsidRPr="00900ADE">
              <w:rPr>
                <w:rFonts w:eastAsia="Times New Roman"/>
              </w:rPr>
              <w:t>3</w:t>
            </w:r>
          </w:p>
        </w:tc>
        <w:tc>
          <w:tcPr>
            <w:tcW w:w="875" w:type="dxa"/>
          </w:tcPr>
          <w:p w14:paraId="6A141646" w14:textId="77777777" w:rsidR="00840E7A" w:rsidRPr="00900ADE" w:rsidRDefault="00840E7A">
            <w:pPr>
              <w:pStyle w:val="TableTextCentered"/>
              <w:rPr>
                <w:rFonts w:eastAsia="Times New Roman"/>
              </w:rPr>
            </w:pPr>
            <w:r w:rsidRPr="00900ADE">
              <w:rPr>
                <w:rFonts w:eastAsia="Times New Roman"/>
              </w:rPr>
              <w:t>6</w:t>
            </w:r>
          </w:p>
        </w:tc>
        <w:tc>
          <w:tcPr>
            <w:tcW w:w="874" w:type="dxa"/>
          </w:tcPr>
          <w:p w14:paraId="1FA77591" w14:textId="77777777" w:rsidR="00840E7A" w:rsidRPr="00900ADE" w:rsidRDefault="00840E7A">
            <w:pPr>
              <w:pStyle w:val="TableTextCentered"/>
              <w:rPr>
                <w:rFonts w:eastAsia="Times New Roman"/>
              </w:rPr>
            </w:pPr>
            <w:r w:rsidRPr="00900ADE">
              <w:rPr>
                <w:rFonts w:eastAsia="Times New Roman"/>
              </w:rPr>
              <w:t>5</w:t>
            </w:r>
          </w:p>
        </w:tc>
        <w:tc>
          <w:tcPr>
            <w:tcW w:w="875" w:type="dxa"/>
          </w:tcPr>
          <w:p w14:paraId="7655F1FF"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5A31B7ED" w14:textId="77777777" w:rsidR="00840E7A" w:rsidRPr="00900ADE" w:rsidRDefault="00840E7A">
            <w:pPr>
              <w:pStyle w:val="TableTextCentered"/>
              <w:rPr>
                <w:rFonts w:eastAsia="Times New Roman"/>
              </w:rPr>
            </w:pPr>
            <w:r w:rsidRPr="00900ADE">
              <w:rPr>
                <w:rFonts w:eastAsia="Times New Roman"/>
              </w:rPr>
              <w:t>16</w:t>
            </w:r>
          </w:p>
        </w:tc>
        <w:tc>
          <w:tcPr>
            <w:tcW w:w="892" w:type="dxa"/>
          </w:tcPr>
          <w:p w14:paraId="4069D557" w14:textId="77777777" w:rsidR="00840E7A" w:rsidRPr="00900ADE" w:rsidRDefault="00840E7A">
            <w:pPr>
              <w:pStyle w:val="TableTextCentered"/>
              <w:rPr>
                <w:rFonts w:eastAsia="Times New Roman"/>
              </w:rPr>
            </w:pPr>
            <w:r w:rsidRPr="00900ADE">
              <w:rPr>
                <w:rFonts w:eastAsia="Times New Roman"/>
              </w:rPr>
              <w:t>4.8</w:t>
            </w:r>
          </w:p>
        </w:tc>
      </w:tr>
      <w:tr w:rsidR="00840E7A" w:rsidRPr="00900ADE" w14:paraId="2CF2EBEF" w14:textId="77777777" w:rsidTr="00BB559C">
        <w:trPr>
          <w:jc w:val="center"/>
        </w:trPr>
        <w:tc>
          <w:tcPr>
            <w:tcW w:w="1431" w:type="dxa"/>
          </w:tcPr>
          <w:p w14:paraId="6BF5368F" w14:textId="77777777" w:rsidR="00840E7A" w:rsidRPr="00900ADE" w:rsidRDefault="00840E7A">
            <w:pPr>
              <w:pStyle w:val="TableText"/>
            </w:pPr>
            <w:r w:rsidRPr="00900ADE">
              <w:t>Grades 9-12</w:t>
            </w:r>
          </w:p>
        </w:tc>
        <w:tc>
          <w:tcPr>
            <w:tcW w:w="874" w:type="dxa"/>
          </w:tcPr>
          <w:p w14:paraId="393AEE8E"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24DE98ED"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0A9D7FB0" w14:textId="77777777" w:rsidR="00840E7A" w:rsidRPr="00900ADE" w:rsidRDefault="00840E7A">
            <w:pPr>
              <w:pStyle w:val="TableTextCentered"/>
              <w:rPr>
                <w:rFonts w:eastAsia="Times New Roman"/>
              </w:rPr>
            </w:pPr>
            <w:r w:rsidRPr="00900ADE">
              <w:rPr>
                <w:rFonts w:eastAsia="Times New Roman"/>
              </w:rPr>
              <w:t>6</w:t>
            </w:r>
          </w:p>
        </w:tc>
        <w:tc>
          <w:tcPr>
            <w:tcW w:w="875" w:type="dxa"/>
          </w:tcPr>
          <w:p w14:paraId="57383045" w14:textId="77777777" w:rsidR="00840E7A" w:rsidRPr="00900ADE" w:rsidRDefault="00840E7A">
            <w:pPr>
              <w:pStyle w:val="TableTextCentered"/>
              <w:rPr>
                <w:rFonts w:eastAsia="Times New Roman"/>
              </w:rPr>
            </w:pPr>
            <w:r w:rsidRPr="00900ADE">
              <w:rPr>
                <w:rFonts w:eastAsia="Times New Roman"/>
              </w:rPr>
              <w:t>8</w:t>
            </w:r>
          </w:p>
        </w:tc>
        <w:tc>
          <w:tcPr>
            <w:tcW w:w="875" w:type="dxa"/>
          </w:tcPr>
          <w:p w14:paraId="21A09CC9" w14:textId="77777777" w:rsidR="00840E7A" w:rsidRPr="00900ADE" w:rsidRDefault="00840E7A">
            <w:pPr>
              <w:pStyle w:val="TableTextCentered"/>
              <w:rPr>
                <w:rFonts w:eastAsia="Times New Roman"/>
              </w:rPr>
            </w:pPr>
            <w:r w:rsidRPr="00900ADE">
              <w:rPr>
                <w:rFonts w:eastAsia="Times New Roman"/>
              </w:rPr>
              <w:t>2</w:t>
            </w:r>
          </w:p>
        </w:tc>
        <w:tc>
          <w:tcPr>
            <w:tcW w:w="874" w:type="dxa"/>
          </w:tcPr>
          <w:p w14:paraId="29AB9D11" w14:textId="77777777" w:rsidR="00840E7A" w:rsidRPr="00900ADE" w:rsidRDefault="00840E7A">
            <w:pPr>
              <w:pStyle w:val="TableTextCentered"/>
              <w:rPr>
                <w:rFonts w:eastAsia="Times New Roman"/>
              </w:rPr>
            </w:pPr>
            <w:r w:rsidRPr="00900ADE">
              <w:rPr>
                <w:rFonts w:eastAsia="Times New Roman"/>
              </w:rPr>
              <w:t>3</w:t>
            </w:r>
          </w:p>
        </w:tc>
        <w:tc>
          <w:tcPr>
            <w:tcW w:w="875" w:type="dxa"/>
          </w:tcPr>
          <w:p w14:paraId="37B56B0B"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45D864FB" w14:textId="77777777" w:rsidR="00840E7A" w:rsidRPr="00900ADE" w:rsidRDefault="00840E7A">
            <w:pPr>
              <w:pStyle w:val="TableTextCentered"/>
              <w:rPr>
                <w:rFonts w:eastAsia="Times New Roman"/>
              </w:rPr>
            </w:pPr>
            <w:r w:rsidRPr="00900ADE">
              <w:rPr>
                <w:rFonts w:eastAsia="Times New Roman"/>
              </w:rPr>
              <w:t>20</w:t>
            </w:r>
          </w:p>
        </w:tc>
        <w:tc>
          <w:tcPr>
            <w:tcW w:w="892" w:type="dxa"/>
          </w:tcPr>
          <w:p w14:paraId="19A6BED0" w14:textId="77777777" w:rsidR="00840E7A" w:rsidRPr="00900ADE" w:rsidRDefault="00840E7A">
            <w:pPr>
              <w:pStyle w:val="TableTextCentered"/>
              <w:rPr>
                <w:rFonts w:eastAsia="Times New Roman"/>
              </w:rPr>
            </w:pPr>
            <w:r w:rsidRPr="00900ADE">
              <w:rPr>
                <w:rFonts w:eastAsia="Times New Roman"/>
              </w:rPr>
              <w:t>4.0</w:t>
            </w:r>
          </w:p>
        </w:tc>
      </w:tr>
    </w:tbl>
    <w:bookmarkEnd w:id="132"/>
    <w:p w14:paraId="7E51F667" w14:textId="77777777" w:rsidR="00840E7A" w:rsidRPr="00900ADE" w:rsidRDefault="00840E7A">
      <w:pPr>
        <w:pStyle w:val="TableNote"/>
      </w:pPr>
      <w:r w:rsidRPr="00900ADE">
        <w:t xml:space="preserve">*The district average is an average of the observation scores. In Table 9, the district average is computed as: </w:t>
      </w:r>
      <w:r w:rsidRPr="00900ADE">
        <w:br/>
      </w:r>
      <w:bookmarkStart w:id="133" w:name="Dist_ILF_Calc"/>
      <w:r w:rsidRPr="00900ADE">
        <w:t>([2 x 2] + [3 x 8] + [4 x 18] + [5 x 17] + [6 x 19] + [7 x 6]) ÷ 70 observations = 4.9</w:t>
      </w:r>
      <w:bookmarkEnd w:id="133"/>
    </w:p>
    <w:p w14:paraId="2966D1AB" w14:textId="77777777" w:rsidR="00840E7A" w:rsidRPr="00900ADE" w:rsidRDefault="00840E7A">
      <w:pPr>
        <w:pStyle w:val="BodyText"/>
      </w:pPr>
      <w:r w:rsidRPr="00900ADE">
        <w:rPr>
          <w:rStyle w:val="BodyTextDemiChar"/>
        </w:rPr>
        <w:t>Ratings in the Low Range.</w:t>
      </w:r>
      <w:r w:rsidRPr="00900ADE">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68865786" w14:textId="77777777" w:rsidR="00840E7A" w:rsidRPr="00900ADE" w:rsidRDefault="00840E7A">
      <w:pPr>
        <w:pStyle w:val="BodyText"/>
      </w:pPr>
      <w:r w:rsidRPr="00900ADE">
        <w:rPr>
          <w:rStyle w:val="BodyTextDemiChar"/>
        </w:rPr>
        <w:t>Ratings in the Middle Range.</w:t>
      </w:r>
      <w:r w:rsidRPr="00900ADE">
        <w:rPr>
          <w:spacing w:val="-4"/>
        </w:rPr>
        <w:t xml:space="preserve"> At the middle range, the teacher sometimes facilitates engagement</w:t>
      </w:r>
      <w:r w:rsidRPr="00900ADE">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04D897AF" w14:textId="77777777" w:rsidR="00840E7A" w:rsidRPr="00900ADE" w:rsidRDefault="00840E7A">
      <w:pPr>
        <w:pStyle w:val="BodyText"/>
      </w:pPr>
      <w:r w:rsidRPr="00900ADE">
        <w:rPr>
          <w:rStyle w:val="BodyTextDemiChar"/>
        </w:rPr>
        <w:t>Ratings in the High Range.</w:t>
      </w:r>
      <w:r w:rsidRPr="00900ADE">
        <w:rPr>
          <w:b/>
        </w:rPr>
        <w:t xml:space="preserve"> </w:t>
      </w:r>
      <w:r w:rsidRPr="00900ADE">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043FCC8D" w14:textId="77777777" w:rsidR="00840E7A" w:rsidRPr="00900ADE" w:rsidRDefault="00840E7A">
      <w:pPr>
        <w:pStyle w:val="Heading2-SIOR"/>
      </w:pPr>
      <w:bookmarkStart w:id="134" w:name="_Toc411329833"/>
      <w:bookmarkStart w:id="135" w:name="_Toc430114882"/>
      <w:bookmarkStart w:id="136" w:name="_Toc92194261"/>
      <w:r w:rsidRPr="00900ADE">
        <w:lastRenderedPageBreak/>
        <w:t>Concept Development</w:t>
      </w:r>
      <w:bookmarkEnd w:id="134"/>
      <w:bookmarkEnd w:id="135"/>
      <w:bookmarkEnd w:id="136"/>
    </w:p>
    <w:p w14:paraId="1E96E4A3" w14:textId="77777777" w:rsidR="00840E7A" w:rsidRPr="00900ADE" w:rsidRDefault="00840E7A">
      <w:pPr>
        <w:pStyle w:val="BodyTextDomain"/>
      </w:pPr>
      <w:r w:rsidRPr="00900ADE">
        <w:t>Instructional Support domain, Grades K</w:t>
      </w:r>
      <w:r w:rsidRPr="00900ADE">
        <w:rPr>
          <w:rFonts w:ascii="Vijaya" w:hAnsi="Vijaya" w:cs="Vijaya"/>
        </w:rPr>
        <w:t>−</w:t>
      </w:r>
      <w:r w:rsidRPr="00900ADE">
        <w:t xml:space="preserve">3 </w:t>
      </w:r>
    </w:p>
    <w:p w14:paraId="1DCE0986" w14:textId="77777777" w:rsidR="00840E7A" w:rsidRPr="00900ADE" w:rsidRDefault="00840E7A">
      <w:pPr>
        <w:pStyle w:val="BodyText"/>
        <w:rPr>
          <w:spacing w:val="-2"/>
        </w:rPr>
      </w:pPr>
      <w:r w:rsidRPr="00900ADE">
        <w:rPr>
          <w:spacing w:val="-2"/>
        </w:rPr>
        <w:t>Concept Development refers to the teacher’s use of instructional discussions and activities to promote students’ higher order thinking skills and cognition and the teacher’s focus on understanding rather than on rote instruction (</w:t>
      </w:r>
      <w:r w:rsidRPr="00900ADE">
        <w:rPr>
          <w:i/>
          <w:spacing w:val="-2"/>
        </w:rPr>
        <w:t>CLASS K–3 Manual</w:t>
      </w:r>
      <w:r w:rsidRPr="00900ADE">
        <w:rPr>
          <w:spacing w:val="-2"/>
        </w:rPr>
        <w:t>, p. 64).</w:t>
      </w:r>
    </w:p>
    <w:p w14:paraId="04501806" w14:textId="77777777" w:rsidR="00840E7A" w:rsidRPr="00900ADE" w:rsidRDefault="00840E7A">
      <w:pPr>
        <w:pStyle w:val="TableTitle0"/>
      </w:pPr>
      <w:r w:rsidRPr="00900ADE">
        <w:t>Table 10. Concept Development: Number of Classrooms for Each Rating and District Average</w:t>
      </w:r>
    </w:p>
    <w:p w14:paraId="0FB65674" w14:textId="77777777" w:rsidR="00840E7A" w:rsidRPr="00900ADE" w:rsidRDefault="00840E7A">
      <w:pPr>
        <w:pStyle w:val="BodyTextDemi"/>
      </w:pPr>
      <w:r w:rsidRPr="00900ADE">
        <w:t xml:space="preserve">Concept Development District Average*: </w:t>
      </w:r>
      <w:bookmarkStart w:id="137" w:name="Dist_CD_Avg"/>
      <w:r w:rsidRPr="00900ADE">
        <w:t>2.3</w:t>
      </w:r>
      <w:bookmarkEnd w:id="137"/>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5603ACAD"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611F636D" w14:textId="77777777" w:rsidR="00840E7A" w:rsidRPr="00510408" w:rsidRDefault="00840E7A" w:rsidP="00BB559C">
            <w:pPr>
              <w:pStyle w:val="TableColHeadingCenter"/>
              <w:rPr>
                <w:rFonts w:eastAsia="MS Mincho"/>
              </w:rPr>
            </w:pPr>
            <w:bookmarkStart w:id="138" w:name="Tbl_CD"/>
            <w:r w:rsidRPr="00510408">
              <w:rPr>
                <w:rFonts w:eastAsia="MS Mincho"/>
              </w:rPr>
              <w:t>Grade Band</w:t>
            </w:r>
          </w:p>
        </w:tc>
        <w:tc>
          <w:tcPr>
            <w:tcW w:w="874" w:type="dxa"/>
            <w:vAlign w:val="bottom"/>
          </w:tcPr>
          <w:p w14:paraId="0C362AC9"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151420DD"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403D6878"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0EDDA78D"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68718B89"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6702F343"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773B5223"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39CB1222"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3E838149"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43AFB574" w14:textId="77777777" w:rsidTr="00BB559C">
        <w:trPr>
          <w:jc w:val="center"/>
        </w:trPr>
        <w:tc>
          <w:tcPr>
            <w:tcW w:w="1431" w:type="dxa"/>
            <w:shd w:val="clear" w:color="auto" w:fill="D9E2F3" w:themeFill="accent5" w:themeFillTint="33"/>
          </w:tcPr>
          <w:p w14:paraId="66045CE9" w14:textId="77777777" w:rsidR="00840E7A" w:rsidRPr="00900ADE" w:rsidRDefault="00840E7A">
            <w:pPr>
              <w:pStyle w:val="TableSubheadingCentered"/>
            </w:pPr>
          </w:p>
        </w:tc>
        <w:tc>
          <w:tcPr>
            <w:tcW w:w="874" w:type="dxa"/>
            <w:shd w:val="clear" w:color="auto" w:fill="D9E2F3" w:themeFill="accent5" w:themeFillTint="33"/>
          </w:tcPr>
          <w:p w14:paraId="506D3E58" w14:textId="77777777" w:rsidR="00840E7A" w:rsidRPr="00900ADE" w:rsidRDefault="00840E7A">
            <w:pPr>
              <w:pStyle w:val="TableSubheadingCentered"/>
            </w:pPr>
            <w:r w:rsidRPr="00900ADE">
              <w:t>1</w:t>
            </w:r>
          </w:p>
        </w:tc>
        <w:tc>
          <w:tcPr>
            <w:tcW w:w="874" w:type="dxa"/>
            <w:shd w:val="clear" w:color="auto" w:fill="D9E2F3" w:themeFill="accent5" w:themeFillTint="33"/>
          </w:tcPr>
          <w:p w14:paraId="09FD9ECC" w14:textId="77777777" w:rsidR="00840E7A" w:rsidRPr="00900ADE" w:rsidRDefault="00840E7A">
            <w:pPr>
              <w:pStyle w:val="TableSubheadingCentered"/>
            </w:pPr>
            <w:r w:rsidRPr="00900ADE">
              <w:t>2</w:t>
            </w:r>
          </w:p>
        </w:tc>
        <w:tc>
          <w:tcPr>
            <w:tcW w:w="874" w:type="dxa"/>
            <w:shd w:val="clear" w:color="auto" w:fill="D9E2F3" w:themeFill="accent5" w:themeFillTint="33"/>
          </w:tcPr>
          <w:p w14:paraId="61C1B001" w14:textId="77777777" w:rsidR="00840E7A" w:rsidRPr="00900ADE" w:rsidRDefault="00840E7A">
            <w:pPr>
              <w:pStyle w:val="TableSubheadingCentered"/>
            </w:pPr>
            <w:r w:rsidRPr="00900ADE">
              <w:t>3</w:t>
            </w:r>
          </w:p>
        </w:tc>
        <w:tc>
          <w:tcPr>
            <w:tcW w:w="875" w:type="dxa"/>
            <w:shd w:val="clear" w:color="auto" w:fill="D9E2F3" w:themeFill="accent5" w:themeFillTint="33"/>
          </w:tcPr>
          <w:p w14:paraId="5E8A0388" w14:textId="77777777" w:rsidR="00840E7A" w:rsidRPr="00900ADE" w:rsidRDefault="00840E7A">
            <w:pPr>
              <w:pStyle w:val="TableSubheadingCentered"/>
            </w:pPr>
            <w:r w:rsidRPr="00900ADE">
              <w:t>4</w:t>
            </w:r>
          </w:p>
        </w:tc>
        <w:tc>
          <w:tcPr>
            <w:tcW w:w="875" w:type="dxa"/>
            <w:shd w:val="clear" w:color="auto" w:fill="D9E2F3" w:themeFill="accent5" w:themeFillTint="33"/>
          </w:tcPr>
          <w:p w14:paraId="6FB66B32" w14:textId="77777777" w:rsidR="00840E7A" w:rsidRPr="00900ADE" w:rsidRDefault="00840E7A">
            <w:pPr>
              <w:pStyle w:val="TableSubheadingCentered"/>
            </w:pPr>
            <w:r w:rsidRPr="00900ADE">
              <w:t>5</w:t>
            </w:r>
          </w:p>
        </w:tc>
        <w:tc>
          <w:tcPr>
            <w:tcW w:w="874" w:type="dxa"/>
            <w:shd w:val="clear" w:color="auto" w:fill="D9E2F3" w:themeFill="accent5" w:themeFillTint="33"/>
          </w:tcPr>
          <w:p w14:paraId="443B417E" w14:textId="77777777" w:rsidR="00840E7A" w:rsidRPr="00900ADE" w:rsidRDefault="00840E7A">
            <w:pPr>
              <w:pStyle w:val="TableSubheadingCentered"/>
            </w:pPr>
            <w:r w:rsidRPr="00900ADE">
              <w:t>6</w:t>
            </w:r>
          </w:p>
        </w:tc>
        <w:tc>
          <w:tcPr>
            <w:tcW w:w="875" w:type="dxa"/>
            <w:shd w:val="clear" w:color="auto" w:fill="D9E2F3" w:themeFill="accent5" w:themeFillTint="33"/>
          </w:tcPr>
          <w:p w14:paraId="304C6101" w14:textId="77777777" w:rsidR="00840E7A" w:rsidRPr="00900ADE" w:rsidRDefault="00840E7A">
            <w:pPr>
              <w:pStyle w:val="TableSubheadingCentered"/>
            </w:pPr>
            <w:r w:rsidRPr="00900ADE">
              <w:t>7</w:t>
            </w:r>
          </w:p>
        </w:tc>
        <w:tc>
          <w:tcPr>
            <w:tcW w:w="900" w:type="dxa"/>
            <w:shd w:val="clear" w:color="auto" w:fill="D9E2F3" w:themeFill="accent5" w:themeFillTint="33"/>
          </w:tcPr>
          <w:p w14:paraId="7D324238" w14:textId="77777777" w:rsidR="00840E7A" w:rsidRPr="00900ADE" w:rsidRDefault="00840E7A">
            <w:pPr>
              <w:pStyle w:val="TableSubheadingCentered"/>
            </w:pPr>
            <w:r w:rsidRPr="00900ADE">
              <w:t>23</w:t>
            </w:r>
          </w:p>
        </w:tc>
        <w:tc>
          <w:tcPr>
            <w:tcW w:w="892" w:type="dxa"/>
            <w:shd w:val="clear" w:color="auto" w:fill="D9E2F3" w:themeFill="accent5" w:themeFillTint="33"/>
          </w:tcPr>
          <w:p w14:paraId="0C235CE7" w14:textId="77777777" w:rsidR="00840E7A" w:rsidRPr="00900ADE" w:rsidRDefault="00840E7A">
            <w:pPr>
              <w:pStyle w:val="TableSubheadingCentered"/>
            </w:pPr>
            <w:r w:rsidRPr="00900ADE">
              <w:t>2.3</w:t>
            </w:r>
          </w:p>
        </w:tc>
      </w:tr>
      <w:tr w:rsidR="00840E7A" w:rsidRPr="00900ADE" w14:paraId="4FF646C0" w14:textId="77777777" w:rsidTr="00BB559C">
        <w:trPr>
          <w:jc w:val="center"/>
        </w:trPr>
        <w:tc>
          <w:tcPr>
            <w:tcW w:w="1431" w:type="dxa"/>
          </w:tcPr>
          <w:p w14:paraId="46D0EB12" w14:textId="77777777" w:rsidR="00840E7A" w:rsidRPr="00900ADE" w:rsidRDefault="00840E7A">
            <w:pPr>
              <w:pStyle w:val="TableText"/>
            </w:pPr>
            <w:r w:rsidRPr="00900ADE">
              <w:t>Grades K-3**</w:t>
            </w:r>
          </w:p>
        </w:tc>
        <w:tc>
          <w:tcPr>
            <w:tcW w:w="874" w:type="dxa"/>
          </w:tcPr>
          <w:p w14:paraId="57D6F9C3" w14:textId="77777777" w:rsidR="00840E7A" w:rsidRPr="00900ADE" w:rsidRDefault="00840E7A">
            <w:pPr>
              <w:pStyle w:val="TableTextCentered"/>
              <w:rPr>
                <w:rFonts w:eastAsia="Times New Roman"/>
              </w:rPr>
            </w:pPr>
            <w:r w:rsidRPr="00900ADE">
              <w:rPr>
                <w:rFonts w:eastAsia="Times New Roman"/>
              </w:rPr>
              <w:t>4</w:t>
            </w:r>
          </w:p>
        </w:tc>
        <w:tc>
          <w:tcPr>
            <w:tcW w:w="874" w:type="dxa"/>
          </w:tcPr>
          <w:p w14:paraId="6D38A114" w14:textId="77777777" w:rsidR="00840E7A" w:rsidRPr="00900ADE" w:rsidRDefault="00840E7A">
            <w:pPr>
              <w:pStyle w:val="TableTextCentered"/>
              <w:rPr>
                <w:rFonts w:eastAsia="Times New Roman"/>
              </w:rPr>
            </w:pPr>
            <w:r w:rsidRPr="00900ADE">
              <w:rPr>
                <w:rFonts w:eastAsia="Times New Roman"/>
              </w:rPr>
              <w:t>11</w:t>
            </w:r>
          </w:p>
        </w:tc>
        <w:tc>
          <w:tcPr>
            <w:tcW w:w="874" w:type="dxa"/>
          </w:tcPr>
          <w:p w14:paraId="3088640B" w14:textId="77777777" w:rsidR="00840E7A" w:rsidRPr="00900ADE" w:rsidRDefault="00840E7A">
            <w:pPr>
              <w:pStyle w:val="TableTextCentered"/>
              <w:rPr>
                <w:rFonts w:eastAsia="Times New Roman"/>
              </w:rPr>
            </w:pPr>
            <w:r w:rsidRPr="00900ADE">
              <w:rPr>
                <w:rFonts w:eastAsia="Times New Roman"/>
              </w:rPr>
              <w:t>5</w:t>
            </w:r>
          </w:p>
        </w:tc>
        <w:tc>
          <w:tcPr>
            <w:tcW w:w="875" w:type="dxa"/>
          </w:tcPr>
          <w:p w14:paraId="7B72C37F"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7CC2E69B"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5C15B1BB"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475042A7"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6D19D3D6" w14:textId="77777777" w:rsidR="00840E7A" w:rsidRPr="00900ADE" w:rsidRDefault="00840E7A">
            <w:pPr>
              <w:pStyle w:val="TableTextCentered"/>
              <w:rPr>
                <w:rFonts w:eastAsia="Times New Roman"/>
              </w:rPr>
            </w:pPr>
            <w:r w:rsidRPr="00900ADE">
              <w:rPr>
                <w:rFonts w:eastAsia="Times New Roman"/>
              </w:rPr>
              <w:t>23</w:t>
            </w:r>
          </w:p>
        </w:tc>
        <w:tc>
          <w:tcPr>
            <w:tcW w:w="892" w:type="dxa"/>
          </w:tcPr>
          <w:p w14:paraId="12E0AA69" w14:textId="77777777" w:rsidR="00840E7A" w:rsidRPr="00900ADE" w:rsidRDefault="00840E7A">
            <w:pPr>
              <w:pStyle w:val="TableTextCentered"/>
              <w:rPr>
                <w:rFonts w:eastAsia="Times New Roman"/>
              </w:rPr>
            </w:pPr>
            <w:r w:rsidRPr="00900ADE">
              <w:rPr>
                <w:rFonts w:eastAsia="Times New Roman"/>
              </w:rPr>
              <w:t>2.3</w:t>
            </w:r>
          </w:p>
        </w:tc>
      </w:tr>
    </w:tbl>
    <w:bookmarkEnd w:id="138"/>
    <w:p w14:paraId="36050DF7" w14:textId="77777777" w:rsidR="00840E7A" w:rsidRPr="00900ADE" w:rsidRDefault="00840E7A">
      <w:pPr>
        <w:pStyle w:val="TableNote"/>
      </w:pPr>
      <w:r w:rsidRPr="00900ADE">
        <w:t xml:space="preserve">*The district average is an average of the observation scores. In Table 10, the district average is computed as: </w:t>
      </w:r>
      <w:r w:rsidRPr="00900ADE">
        <w:br/>
      </w:r>
      <w:bookmarkStart w:id="139" w:name="Dist_CD_Calc"/>
      <w:r w:rsidRPr="00900ADE">
        <w:t>([1 x 4] + [2 x 11] + [3 x 5] + [4 x 2] + [5 x 1]) ÷ 23 observations = 2.3</w:t>
      </w:r>
      <w:bookmarkEnd w:id="139"/>
    </w:p>
    <w:p w14:paraId="7AF58AE1" w14:textId="77777777" w:rsidR="00840E7A" w:rsidRPr="00900ADE" w:rsidRDefault="00840E7A">
      <w:pPr>
        <w:pStyle w:val="TableNote"/>
      </w:pPr>
      <w:r w:rsidRPr="00900ADE">
        <w:t>**Concept Development does not appear in the CLASS Upper Elementary Manual, therefore scores for the Elementary School Level represent grades K-3 only.</w:t>
      </w:r>
    </w:p>
    <w:p w14:paraId="38DDC4E3" w14:textId="77777777" w:rsidR="00840E7A" w:rsidRPr="00900ADE" w:rsidRDefault="00840E7A">
      <w:pPr>
        <w:pStyle w:val="BodyText"/>
      </w:pPr>
      <w:r w:rsidRPr="00900ADE">
        <w:rPr>
          <w:rStyle w:val="BodyTextDemiChar"/>
        </w:rPr>
        <w:t>Ratings in the Low Range.</w:t>
      </w:r>
      <w:r w:rsidRPr="00900ADE">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2ED708B7" w14:textId="77777777" w:rsidR="00840E7A" w:rsidRPr="00900ADE" w:rsidRDefault="00840E7A">
      <w:pPr>
        <w:pStyle w:val="BodyText"/>
      </w:pPr>
      <w:r w:rsidRPr="00900ADE">
        <w:rPr>
          <w:rStyle w:val="BodyTextDemiChar"/>
        </w:rPr>
        <w:t xml:space="preserve">Ratings in the Middle Range. </w:t>
      </w:r>
      <w:r w:rsidRPr="00900ADE">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0A761C91" w14:textId="77777777" w:rsidR="00840E7A" w:rsidRPr="00900ADE" w:rsidRDefault="00840E7A">
      <w:pPr>
        <w:pStyle w:val="BodyText"/>
      </w:pPr>
      <w:r w:rsidRPr="00900ADE">
        <w:rPr>
          <w:rStyle w:val="BodyTextDemiChar"/>
        </w:rPr>
        <w:t>Ratings in the High Range.</w:t>
      </w:r>
      <w:r w:rsidRPr="00900ADE">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7032901C" w14:textId="77777777" w:rsidR="00840E7A" w:rsidRPr="00900ADE" w:rsidRDefault="00840E7A">
      <w:pPr>
        <w:spacing w:after="160" w:line="259" w:lineRule="auto"/>
      </w:pPr>
      <w:r w:rsidRPr="00900ADE">
        <w:br w:type="page"/>
      </w:r>
    </w:p>
    <w:p w14:paraId="5ECF6D2B" w14:textId="77777777" w:rsidR="00840E7A" w:rsidRPr="00900ADE" w:rsidRDefault="00840E7A">
      <w:pPr>
        <w:pStyle w:val="Heading2-SIOR"/>
      </w:pPr>
      <w:bookmarkStart w:id="140" w:name="_Toc379881742"/>
      <w:bookmarkStart w:id="141" w:name="_Toc411329834"/>
      <w:bookmarkStart w:id="142" w:name="_Toc430114883"/>
      <w:bookmarkStart w:id="143" w:name="_Toc92194262"/>
      <w:r w:rsidRPr="00900ADE">
        <w:lastRenderedPageBreak/>
        <w:t>Content Understanding</w:t>
      </w:r>
      <w:bookmarkEnd w:id="140"/>
      <w:bookmarkEnd w:id="141"/>
      <w:bookmarkEnd w:id="142"/>
      <w:bookmarkEnd w:id="143"/>
    </w:p>
    <w:p w14:paraId="569BF325" w14:textId="77777777" w:rsidR="00840E7A" w:rsidRPr="00900ADE" w:rsidRDefault="00840E7A">
      <w:pPr>
        <w:pStyle w:val="BodyTextDomain"/>
      </w:pPr>
      <w:r w:rsidRPr="00900ADE">
        <w:t>Instructional Support domain, Grades 4</w:t>
      </w:r>
      <w:r w:rsidRPr="00900ADE">
        <w:rPr>
          <w:rFonts w:ascii="Vijaya" w:hAnsi="Vijaya" w:cs="Vijaya"/>
        </w:rPr>
        <w:t>−</w:t>
      </w:r>
      <w:r w:rsidRPr="00900ADE">
        <w:t xml:space="preserve"> 12</w:t>
      </w:r>
    </w:p>
    <w:p w14:paraId="37CBBB31" w14:textId="77777777" w:rsidR="00840E7A" w:rsidRPr="00900ADE" w:rsidRDefault="00840E7A">
      <w:pPr>
        <w:pStyle w:val="BodyText"/>
        <w:rPr>
          <w:spacing w:val="-2"/>
        </w:rPr>
      </w:pPr>
      <w:r w:rsidRPr="00900ADE">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900ADE">
        <w:rPr>
          <w:i/>
          <w:spacing w:val="-2"/>
        </w:rPr>
        <w:t>CLASS Upper Elementary Manual</w:t>
      </w:r>
      <w:r w:rsidRPr="00900ADE">
        <w:rPr>
          <w:spacing w:val="-2"/>
        </w:rPr>
        <w:t xml:space="preserve">, p. 70, </w:t>
      </w:r>
      <w:r w:rsidRPr="00900ADE">
        <w:rPr>
          <w:i/>
        </w:rPr>
        <w:t>CLASS Secondary Manual,</w:t>
      </w:r>
      <w:r w:rsidRPr="00900ADE">
        <w:t xml:space="preserve"> p. 68</w:t>
      </w:r>
      <w:r w:rsidRPr="00900ADE">
        <w:rPr>
          <w:spacing w:val="-2"/>
        </w:rPr>
        <w:t>).</w:t>
      </w:r>
    </w:p>
    <w:p w14:paraId="1DD91E18" w14:textId="77777777" w:rsidR="00840E7A" w:rsidRPr="00900ADE" w:rsidRDefault="00840E7A">
      <w:pPr>
        <w:pStyle w:val="TableTitle0"/>
      </w:pPr>
      <w:r w:rsidRPr="00900ADE">
        <w:t>Table 11. Content Understanding: Number of Classrooms for Each Rating and District Average</w:t>
      </w:r>
    </w:p>
    <w:p w14:paraId="2D6449A6" w14:textId="77777777" w:rsidR="00840E7A" w:rsidRPr="00900ADE" w:rsidRDefault="00840E7A">
      <w:pPr>
        <w:pStyle w:val="BodyTextDemi"/>
      </w:pPr>
      <w:r w:rsidRPr="00900ADE">
        <w:t xml:space="preserve">Content Understanding District Average*: </w:t>
      </w:r>
      <w:bookmarkStart w:id="144" w:name="Dist_CU_Avg"/>
      <w:r w:rsidRPr="00900ADE">
        <w:t>3.7</w:t>
      </w:r>
      <w:bookmarkEnd w:id="144"/>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3B83DC92"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7B6A315B" w14:textId="77777777" w:rsidR="00840E7A" w:rsidRPr="00900ADE" w:rsidRDefault="00840E7A" w:rsidP="00BB559C">
            <w:pPr>
              <w:pStyle w:val="TableColHeadingCenter"/>
              <w:rPr>
                <w:rFonts w:eastAsia="MS Mincho"/>
              </w:rPr>
            </w:pPr>
            <w:bookmarkStart w:id="145" w:name="Tbl_CU"/>
            <w:r w:rsidRPr="00900ADE">
              <w:rPr>
                <w:rFonts w:eastAsia="MS Mincho"/>
              </w:rPr>
              <w:t>Grade Band</w:t>
            </w:r>
          </w:p>
        </w:tc>
        <w:tc>
          <w:tcPr>
            <w:tcW w:w="874" w:type="dxa"/>
            <w:vAlign w:val="bottom"/>
          </w:tcPr>
          <w:p w14:paraId="33F457E9"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3FDD5631"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294079C2"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298BC6CB"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72561FE0"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6D11D52D"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602C027A"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1367E827"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1441CDE1"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320F782E" w14:textId="77777777" w:rsidTr="00BB559C">
        <w:trPr>
          <w:jc w:val="center"/>
        </w:trPr>
        <w:tc>
          <w:tcPr>
            <w:tcW w:w="1431" w:type="dxa"/>
            <w:shd w:val="clear" w:color="auto" w:fill="D9E2F3" w:themeFill="accent5" w:themeFillTint="33"/>
          </w:tcPr>
          <w:p w14:paraId="4CB1B0D8" w14:textId="77777777" w:rsidR="00840E7A" w:rsidRPr="00900ADE" w:rsidRDefault="00840E7A">
            <w:pPr>
              <w:pStyle w:val="TableSubheadingCentered"/>
            </w:pPr>
          </w:p>
        </w:tc>
        <w:tc>
          <w:tcPr>
            <w:tcW w:w="874" w:type="dxa"/>
            <w:shd w:val="clear" w:color="auto" w:fill="D9E2F3" w:themeFill="accent5" w:themeFillTint="33"/>
          </w:tcPr>
          <w:p w14:paraId="57DA2635" w14:textId="77777777" w:rsidR="00840E7A" w:rsidRPr="00900ADE" w:rsidRDefault="00840E7A">
            <w:pPr>
              <w:pStyle w:val="TableSubheadingCentered"/>
            </w:pPr>
            <w:r w:rsidRPr="00900ADE">
              <w:t>1</w:t>
            </w:r>
          </w:p>
        </w:tc>
        <w:tc>
          <w:tcPr>
            <w:tcW w:w="874" w:type="dxa"/>
            <w:shd w:val="clear" w:color="auto" w:fill="D9E2F3" w:themeFill="accent5" w:themeFillTint="33"/>
          </w:tcPr>
          <w:p w14:paraId="66F8B3FD" w14:textId="77777777" w:rsidR="00840E7A" w:rsidRPr="00900ADE" w:rsidRDefault="00840E7A">
            <w:pPr>
              <w:pStyle w:val="TableSubheadingCentered"/>
            </w:pPr>
            <w:r w:rsidRPr="00900ADE">
              <w:t>2</w:t>
            </w:r>
          </w:p>
        </w:tc>
        <w:tc>
          <w:tcPr>
            <w:tcW w:w="874" w:type="dxa"/>
            <w:shd w:val="clear" w:color="auto" w:fill="D9E2F3" w:themeFill="accent5" w:themeFillTint="33"/>
          </w:tcPr>
          <w:p w14:paraId="6E1DF0F6" w14:textId="77777777" w:rsidR="00840E7A" w:rsidRPr="00900ADE" w:rsidRDefault="00840E7A">
            <w:pPr>
              <w:pStyle w:val="TableSubheadingCentered"/>
            </w:pPr>
            <w:r w:rsidRPr="00900ADE">
              <w:t>3</w:t>
            </w:r>
          </w:p>
        </w:tc>
        <w:tc>
          <w:tcPr>
            <w:tcW w:w="875" w:type="dxa"/>
            <w:shd w:val="clear" w:color="auto" w:fill="D9E2F3" w:themeFill="accent5" w:themeFillTint="33"/>
          </w:tcPr>
          <w:p w14:paraId="0DB1F778" w14:textId="77777777" w:rsidR="00840E7A" w:rsidRPr="00900ADE" w:rsidRDefault="00840E7A">
            <w:pPr>
              <w:pStyle w:val="TableSubheadingCentered"/>
            </w:pPr>
            <w:r w:rsidRPr="00900ADE">
              <w:t>4</w:t>
            </w:r>
          </w:p>
        </w:tc>
        <w:tc>
          <w:tcPr>
            <w:tcW w:w="875" w:type="dxa"/>
            <w:shd w:val="clear" w:color="auto" w:fill="D9E2F3" w:themeFill="accent5" w:themeFillTint="33"/>
          </w:tcPr>
          <w:p w14:paraId="7F6F71DC" w14:textId="77777777" w:rsidR="00840E7A" w:rsidRPr="00900ADE" w:rsidRDefault="00840E7A">
            <w:pPr>
              <w:pStyle w:val="TableSubheadingCentered"/>
            </w:pPr>
            <w:r w:rsidRPr="00900ADE">
              <w:t>5</w:t>
            </w:r>
          </w:p>
        </w:tc>
        <w:tc>
          <w:tcPr>
            <w:tcW w:w="874" w:type="dxa"/>
            <w:shd w:val="clear" w:color="auto" w:fill="D9E2F3" w:themeFill="accent5" w:themeFillTint="33"/>
          </w:tcPr>
          <w:p w14:paraId="716FF8C2" w14:textId="77777777" w:rsidR="00840E7A" w:rsidRPr="00900ADE" w:rsidRDefault="00840E7A">
            <w:pPr>
              <w:pStyle w:val="TableSubheadingCentered"/>
            </w:pPr>
            <w:r w:rsidRPr="00900ADE">
              <w:t>6</w:t>
            </w:r>
          </w:p>
        </w:tc>
        <w:tc>
          <w:tcPr>
            <w:tcW w:w="875" w:type="dxa"/>
            <w:shd w:val="clear" w:color="auto" w:fill="D9E2F3" w:themeFill="accent5" w:themeFillTint="33"/>
          </w:tcPr>
          <w:p w14:paraId="6FA723C8" w14:textId="77777777" w:rsidR="00840E7A" w:rsidRPr="00900ADE" w:rsidRDefault="00840E7A">
            <w:pPr>
              <w:pStyle w:val="TableSubheadingCentered"/>
            </w:pPr>
            <w:r w:rsidRPr="00900ADE">
              <w:t>7</w:t>
            </w:r>
          </w:p>
        </w:tc>
        <w:tc>
          <w:tcPr>
            <w:tcW w:w="900" w:type="dxa"/>
            <w:shd w:val="clear" w:color="auto" w:fill="D9E2F3" w:themeFill="accent5" w:themeFillTint="33"/>
          </w:tcPr>
          <w:p w14:paraId="7A14B2DA" w14:textId="77777777" w:rsidR="00840E7A" w:rsidRPr="00900ADE" w:rsidRDefault="00840E7A">
            <w:pPr>
              <w:pStyle w:val="TableSubheadingCentered"/>
            </w:pPr>
            <w:r w:rsidRPr="00900ADE">
              <w:t>47</w:t>
            </w:r>
          </w:p>
        </w:tc>
        <w:tc>
          <w:tcPr>
            <w:tcW w:w="892" w:type="dxa"/>
            <w:shd w:val="clear" w:color="auto" w:fill="D9E2F3" w:themeFill="accent5" w:themeFillTint="33"/>
          </w:tcPr>
          <w:p w14:paraId="071E5780" w14:textId="77777777" w:rsidR="00840E7A" w:rsidRPr="00900ADE" w:rsidRDefault="00840E7A">
            <w:pPr>
              <w:pStyle w:val="TableSubheadingCentered"/>
            </w:pPr>
            <w:r w:rsidRPr="00900ADE">
              <w:t>3.7</w:t>
            </w:r>
          </w:p>
        </w:tc>
      </w:tr>
      <w:tr w:rsidR="00840E7A" w:rsidRPr="00900ADE" w14:paraId="22E4E712" w14:textId="77777777" w:rsidTr="00BB559C">
        <w:trPr>
          <w:jc w:val="center"/>
        </w:trPr>
        <w:tc>
          <w:tcPr>
            <w:tcW w:w="1431" w:type="dxa"/>
          </w:tcPr>
          <w:p w14:paraId="16825CC6" w14:textId="77777777" w:rsidR="00840E7A" w:rsidRPr="00900ADE" w:rsidRDefault="00840E7A">
            <w:pPr>
              <w:pStyle w:val="TableText"/>
            </w:pPr>
            <w:r w:rsidRPr="00900ADE">
              <w:t>Grades 4-5**</w:t>
            </w:r>
          </w:p>
        </w:tc>
        <w:tc>
          <w:tcPr>
            <w:tcW w:w="874" w:type="dxa"/>
          </w:tcPr>
          <w:p w14:paraId="222DC62A"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5117EF81"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1E4C1530"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67D58670"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059352C7" w14:textId="77777777" w:rsidR="00840E7A" w:rsidRPr="00900ADE" w:rsidRDefault="00840E7A">
            <w:pPr>
              <w:pStyle w:val="TableTextCentered"/>
              <w:rPr>
                <w:rFonts w:eastAsia="Times New Roman"/>
              </w:rPr>
            </w:pPr>
            <w:r w:rsidRPr="00900ADE">
              <w:rPr>
                <w:rFonts w:eastAsia="Times New Roman"/>
              </w:rPr>
              <w:t>4</w:t>
            </w:r>
          </w:p>
        </w:tc>
        <w:tc>
          <w:tcPr>
            <w:tcW w:w="874" w:type="dxa"/>
          </w:tcPr>
          <w:p w14:paraId="7FDB58D5"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1CEBDA98"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1F2DAC66" w14:textId="77777777" w:rsidR="00840E7A" w:rsidRPr="00900ADE" w:rsidRDefault="00840E7A">
            <w:pPr>
              <w:pStyle w:val="TableTextCentered"/>
              <w:rPr>
                <w:rFonts w:eastAsia="Times New Roman"/>
              </w:rPr>
            </w:pPr>
            <w:r w:rsidRPr="00900ADE">
              <w:rPr>
                <w:rFonts w:eastAsia="Times New Roman"/>
              </w:rPr>
              <w:t>11</w:t>
            </w:r>
          </w:p>
        </w:tc>
        <w:tc>
          <w:tcPr>
            <w:tcW w:w="892" w:type="dxa"/>
          </w:tcPr>
          <w:p w14:paraId="363B7ADB" w14:textId="77777777" w:rsidR="00840E7A" w:rsidRPr="00900ADE" w:rsidRDefault="00840E7A">
            <w:pPr>
              <w:pStyle w:val="TableTextCentered"/>
              <w:rPr>
                <w:rFonts w:eastAsia="Times New Roman"/>
              </w:rPr>
            </w:pPr>
            <w:r w:rsidRPr="00900ADE">
              <w:rPr>
                <w:rFonts w:eastAsia="Times New Roman"/>
              </w:rPr>
              <w:t>4.4</w:t>
            </w:r>
          </w:p>
        </w:tc>
      </w:tr>
      <w:tr w:rsidR="00840E7A" w:rsidRPr="00900ADE" w14:paraId="1B785C35" w14:textId="77777777" w:rsidTr="00BB559C">
        <w:trPr>
          <w:jc w:val="center"/>
        </w:trPr>
        <w:tc>
          <w:tcPr>
            <w:tcW w:w="1431" w:type="dxa"/>
          </w:tcPr>
          <w:p w14:paraId="42816A44" w14:textId="77777777" w:rsidR="00840E7A" w:rsidRPr="00900ADE" w:rsidRDefault="00840E7A">
            <w:pPr>
              <w:pStyle w:val="TableText"/>
            </w:pPr>
            <w:r w:rsidRPr="00900ADE">
              <w:t>Grades 6-8</w:t>
            </w:r>
          </w:p>
        </w:tc>
        <w:tc>
          <w:tcPr>
            <w:tcW w:w="874" w:type="dxa"/>
          </w:tcPr>
          <w:p w14:paraId="79D68C8A"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36DA822B"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77C08528" w14:textId="77777777" w:rsidR="00840E7A" w:rsidRPr="00900ADE" w:rsidRDefault="00840E7A">
            <w:pPr>
              <w:pStyle w:val="TableTextCentered"/>
              <w:rPr>
                <w:rFonts w:eastAsia="Times New Roman"/>
              </w:rPr>
            </w:pPr>
            <w:r w:rsidRPr="00900ADE">
              <w:rPr>
                <w:rFonts w:eastAsia="Times New Roman"/>
              </w:rPr>
              <w:t>6</w:t>
            </w:r>
          </w:p>
        </w:tc>
        <w:tc>
          <w:tcPr>
            <w:tcW w:w="875" w:type="dxa"/>
          </w:tcPr>
          <w:p w14:paraId="2FC1520F" w14:textId="77777777" w:rsidR="00840E7A" w:rsidRPr="00900ADE" w:rsidRDefault="00840E7A">
            <w:pPr>
              <w:pStyle w:val="TableTextCentered"/>
              <w:rPr>
                <w:rFonts w:eastAsia="Times New Roman"/>
              </w:rPr>
            </w:pPr>
            <w:r w:rsidRPr="00900ADE">
              <w:rPr>
                <w:rFonts w:eastAsia="Times New Roman"/>
              </w:rPr>
              <w:t>6</w:t>
            </w:r>
          </w:p>
        </w:tc>
        <w:tc>
          <w:tcPr>
            <w:tcW w:w="875" w:type="dxa"/>
          </w:tcPr>
          <w:p w14:paraId="2675CD1D" w14:textId="77777777" w:rsidR="00840E7A" w:rsidRPr="00900ADE" w:rsidRDefault="00840E7A">
            <w:pPr>
              <w:pStyle w:val="TableTextCentered"/>
              <w:rPr>
                <w:rFonts w:eastAsia="Times New Roman"/>
              </w:rPr>
            </w:pPr>
            <w:r w:rsidRPr="00900ADE">
              <w:rPr>
                <w:rFonts w:eastAsia="Times New Roman"/>
              </w:rPr>
              <w:t>2</w:t>
            </w:r>
          </w:p>
        </w:tc>
        <w:tc>
          <w:tcPr>
            <w:tcW w:w="874" w:type="dxa"/>
          </w:tcPr>
          <w:p w14:paraId="104A85D7"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15FD3458"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2DCDC007" w14:textId="77777777" w:rsidR="00840E7A" w:rsidRPr="00900ADE" w:rsidRDefault="00840E7A">
            <w:pPr>
              <w:pStyle w:val="TableTextCentered"/>
              <w:rPr>
                <w:rFonts w:eastAsia="Times New Roman"/>
              </w:rPr>
            </w:pPr>
            <w:r w:rsidRPr="00900ADE">
              <w:rPr>
                <w:rFonts w:eastAsia="Times New Roman"/>
              </w:rPr>
              <w:t>16</w:t>
            </w:r>
          </w:p>
        </w:tc>
        <w:tc>
          <w:tcPr>
            <w:tcW w:w="892" w:type="dxa"/>
          </w:tcPr>
          <w:p w14:paraId="494C9EE4" w14:textId="77777777" w:rsidR="00840E7A" w:rsidRPr="00900ADE" w:rsidRDefault="00840E7A">
            <w:pPr>
              <w:pStyle w:val="TableTextCentered"/>
              <w:rPr>
                <w:rFonts w:eastAsia="Times New Roman"/>
              </w:rPr>
            </w:pPr>
            <w:r w:rsidRPr="00900ADE">
              <w:rPr>
                <w:rFonts w:eastAsia="Times New Roman"/>
              </w:rPr>
              <w:t>3.8</w:t>
            </w:r>
          </w:p>
        </w:tc>
      </w:tr>
      <w:tr w:rsidR="00840E7A" w:rsidRPr="00900ADE" w14:paraId="2AFDB0D6" w14:textId="77777777" w:rsidTr="00BB559C">
        <w:trPr>
          <w:jc w:val="center"/>
        </w:trPr>
        <w:tc>
          <w:tcPr>
            <w:tcW w:w="1431" w:type="dxa"/>
          </w:tcPr>
          <w:p w14:paraId="73762CC0" w14:textId="77777777" w:rsidR="00840E7A" w:rsidRPr="00900ADE" w:rsidRDefault="00840E7A">
            <w:pPr>
              <w:pStyle w:val="TableText"/>
            </w:pPr>
            <w:r w:rsidRPr="00900ADE">
              <w:t>Grades 9-12</w:t>
            </w:r>
          </w:p>
        </w:tc>
        <w:tc>
          <w:tcPr>
            <w:tcW w:w="874" w:type="dxa"/>
          </w:tcPr>
          <w:p w14:paraId="179FB73E"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654571CE" w14:textId="77777777" w:rsidR="00840E7A" w:rsidRPr="00900ADE" w:rsidRDefault="00840E7A">
            <w:pPr>
              <w:pStyle w:val="TableTextCentered"/>
              <w:rPr>
                <w:rFonts w:eastAsia="Times New Roman"/>
              </w:rPr>
            </w:pPr>
            <w:r w:rsidRPr="00900ADE">
              <w:rPr>
                <w:rFonts w:eastAsia="Times New Roman"/>
              </w:rPr>
              <w:t>3</w:t>
            </w:r>
          </w:p>
        </w:tc>
        <w:tc>
          <w:tcPr>
            <w:tcW w:w="874" w:type="dxa"/>
          </w:tcPr>
          <w:p w14:paraId="342BD317" w14:textId="77777777" w:rsidR="00840E7A" w:rsidRPr="00900ADE" w:rsidRDefault="00840E7A">
            <w:pPr>
              <w:pStyle w:val="TableTextCentered"/>
              <w:rPr>
                <w:rFonts w:eastAsia="Times New Roman"/>
              </w:rPr>
            </w:pPr>
            <w:r w:rsidRPr="00900ADE">
              <w:rPr>
                <w:rFonts w:eastAsia="Times New Roman"/>
              </w:rPr>
              <w:t>6</w:t>
            </w:r>
          </w:p>
        </w:tc>
        <w:tc>
          <w:tcPr>
            <w:tcW w:w="875" w:type="dxa"/>
          </w:tcPr>
          <w:p w14:paraId="104DD860" w14:textId="77777777" w:rsidR="00840E7A" w:rsidRPr="00900ADE" w:rsidRDefault="00840E7A">
            <w:pPr>
              <w:pStyle w:val="TableTextCentered"/>
              <w:rPr>
                <w:rFonts w:eastAsia="Times New Roman"/>
              </w:rPr>
            </w:pPr>
            <w:r w:rsidRPr="00900ADE">
              <w:rPr>
                <w:rFonts w:eastAsia="Times New Roman"/>
              </w:rPr>
              <w:t>7</w:t>
            </w:r>
          </w:p>
        </w:tc>
        <w:tc>
          <w:tcPr>
            <w:tcW w:w="875" w:type="dxa"/>
          </w:tcPr>
          <w:p w14:paraId="15728523" w14:textId="77777777" w:rsidR="00840E7A" w:rsidRPr="00900ADE" w:rsidRDefault="00840E7A">
            <w:pPr>
              <w:pStyle w:val="TableTextCentered"/>
              <w:rPr>
                <w:rFonts w:eastAsia="Times New Roman"/>
              </w:rPr>
            </w:pPr>
            <w:r w:rsidRPr="00900ADE">
              <w:rPr>
                <w:rFonts w:eastAsia="Times New Roman"/>
              </w:rPr>
              <w:t>3</w:t>
            </w:r>
          </w:p>
        </w:tc>
        <w:tc>
          <w:tcPr>
            <w:tcW w:w="874" w:type="dxa"/>
          </w:tcPr>
          <w:p w14:paraId="656A5446"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3B2FE2FD"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3723CA6B" w14:textId="77777777" w:rsidR="00840E7A" w:rsidRPr="00900ADE" w:rsidRDefault="00840E7A">
            <w:pPr>
              <w:pStyle w:val="TableTextCentered"/>
              <w:rPr>
                <w:rFonts w:eastAsia="Times New Roman"/>
              </w:rPr>
            </w:pPr>
            <w:r w:rsidRPr="00900ADE">
              <w:rPr>
                <w:rFonts w:eastAsia="Times New Roman"/>
              </w:rPr>
              <w:t>20</w:t>
            </w:r>
          </w:p>
        </w:tc>
        <w:tc>
          <w:tcPr>
            <w:tcW w:w="892" w:type="dxa"/>
          </w:tcPr>
          <w:p w14:paraId="731941C9" w14:textId="77777777" w:rsidR="00840E7A" w:rsidRPr="00900ADE" w:rsidRDefault="00840E7A">
            <w:pPr>
              <w:pStyle w:val="TableTextCentered"/>
              <w:rPr>
                <w:rFonts w:eastAsia="Times New Roman"/>
              </w:rPr>
            </w:pPr>
            <w:r w:rsidRPr="00900ADE">
              <w:rPr>
                <w:rFonts w:eastAsia="Times New Roman"/>
              </w:rPr>
              <w:t>3.4</w:t>
            </w:r>
          </w:p>
        </w:tc>
      </w:tr>
    </w:tbl>
    <w:bookmarkEnd w:id="145"/>
    <w:p w14:paraId="6175BC1C" w14:textId="77777777" w:rsidR="00840E7A" w:rsidRPr="00900ADE" w:rsidRDefault="00840E7A">
      <w:pPr>
        <w:pStyle w:val="TableNote"/>
      </w:pPr>
      <w:r w:rsidRPr="00900ADE">
        <w:t xml:space="preserve">*The district average is an average of the observation scores. In Table 11, the district average is computed as: </w:t>
      </w:r>
      <w:r w:rsidRPr="00900ADE">
        <w:br/>
      </w:r>
      <w:bookmarkStart w:id="146" w:name="Dist_CU_Calc"/>
      <w:r w:rsidRPr="00900ADE">
        <w:t>([1 x 1] + [2 x 5] + [3 x 14] + [4 x 15] + [5 x 9] + [6 x 3]) ÷ 47 observations = 3.7</w:t>
      </w:r>
      <w:bookmarkEnd w:id="146"/>
    </w:p>
    <w:p w14:paraId="7CBE6B1D" w14:textId="77777777" w:rsidR="00840E7A" w:rsidRPr="00900ADE" w:rsidRDefault="00840E7A">
      <w:pPr>
        <w:pStyle w:val="TableNote"/>
      </w:pPr>
      <w:r w:rsidRPr="00900ADE">
        <w:t>**Content Understanding does not appear in the CLASS K-3 Manual, therefore scores for the Elementary School Level represent grades 4-5 only.</w:t>
      </w:r>
    </w:p>
    <w:p w14:paraId="30203BC9" w14:textId="77777777" w:rsidR="00840E7A" w:rsidRPr="00900ADE" w:rsidRDefault="00840E7A">
      <w:pPr>
        <w:pStyle w:val="BodyText"/>
      </w:pPr>
      <w:r w:rsidRPr="00900ADE">
        <w:rPr>
          <w:rStyle w:val="BodyTextDemiChar"/>
        </w:rPr>
        <w:t>Ratings in the Low Range.</w:t>
      </w:r>
      <w:r w:rsidRPr="00900ADE">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5FA2586C" w14:textId="77777777" w:rsidR="00840E7A" w:rsidRPr="00900ADE" w:rsidRDefault="00840E7A">
      <w:pPr>
        <w:pStyle w:val="BodyText"/>
      </w:pPr>
      <w:r w:rsidRPr="00900ADE">
        <w:rPr>
          <w:rStyle w:val="BodyTextDemiChar"/>
        </w:rPr>
        <w:t>Ratings in the Middle Range.</w:t>
      </w:r>
      <w:r w:rsidRPr="00900ADE">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72270F3B" w14:textId="77777777" w:rsidR="00840E7A" w:rsidRPr="00900ADE" w:rsidRDefault="00840E7A">
      <w:pPr>
        <w:pStyle w:val="BodyText"/>
      </w:pPr>
      <w:r w:rsidRPr="00900ADE">
        <w:rPr>
          <w:rStyle w:val="BodyTextDemiChar"/>
        </w:rPr>
        <w:t>Ratings in the High Range.</w:t>
      </w:r>
      <w:r w:rsidRPr="00900ADE">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 prior knowledge in ways that advance their understanding and clarify misconceptions.</w:t>
      </w:r>
      <w:r w:rsidRPr="00900ADE">
        <w:br w:type="page"/>
      </w:r>
    </w:p>
    <w:p w14:paraId="5F804F21" w14:textId="77777777" w:rsidR="00840E7A" w:rsidRPr="00900ADE" w:rsidRDefault="00840E7A">
      <w:pPr>
        <w:pStyle w:val="Heading2-SIOR"/>
      </w:pPr>
      <w:bookmarkStart w:id="147" w:name="_Toc379881743"/>
      <w:bookmarkStart w:id="148" w:name="_Toc411329835"/>
      <w:bookmarkStart w:id="149" w:name="_Toc430114884"/>
      <w:bookmarkStart w:id="150" w:name="_Toc92194263"/>
      <w:r w:rsidRPr="00900ADE">
        <w:lastRenderedPageBreak/>
        <w:t>Analysis and Inquiry</w:t>
      </w:r>
      <w:bookmarkEnd w:id="147"/>
      <w:bookmarkEnd w:id="148"/>
      <w:bookmarkEnd w:id="149"/>
      <w:bookmarkEnd w:id="150"/>
    </w:p>
    <w:p w14:paraId="58689933" w14:textId="77777777" w:rsidR="00840E7A" w:rsidRPr="00900ADE" w:rsidRDefault="00840E7A">
      <w:pPr>
        <w:pStyle w:val="BodyTextDomain"/>
      </w:pPr>
      <w:r w:rsidRPr="00900ADE">
        <w:t>Instructional Support domain, Grades 4</w:t>
      </w:r>
      <w:r w:rsidRPr="00900ADE">
        <w:rPr>
          <w:rFonts w:ascii="Vijaya" w:hAnsi="Vijaya" w:cs="Vijaya"/>
        </w:rPr>
        <w:t>−</w:t>
      </w:r>
      <w:r w:rsidRPr="00900ADE">
        <w:t xml:space="preserve"> 12</w:t>
      </w:r>
    </w:p>
    <w:p w14:paraId="3FCA2F2A" w14:textId="77777777" w:rsidR="00840E7A" w:rsidRPr="00900ADE" w:rsidRDefault="00840E7A">
      <w:pPr>
        <w:pStyle w:val="BodyText"/>
      </w:pPr>
      <w:r w:rsidRPr="00900ADE">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900ADE">
        <w:rPr>
          <w:i/>
        </w:rPr>
        <w:t>CLASS Upper Elementary Manual</w:t>
      </w:r>
      <w:r w:rsidRPr="00900ADE">
        <w:t>, p. 81,</w:t>
      </w:r>
      <w:r w:rsidRPr="00900ADE">
        <w:rPr>
          <w:i/>
        </w:rPr>
        <w:t xml:space="preserve"> CLASS Secondary Manual</w:t>
      </w:r>
      <w:r w:rsidRPr="00900ADE">
        <w:t>, p. 76).</w:t>
      </w:r>
    </w:p>
    <w:p w14:paraId="4A803ED7" w14:textId="77777777" w:rsidR="00840E7A" w:rsidRPr="00900ADE" w:rsidRDefault="00840E7A">
      <w:pPr>
        <w:pStyle w:val="TableTitle0"/>
      </w:pPr>
      <w:r w:rsidRPr="00900ADE">
        <w:t>Table 12. Analysis and Inquiry: Number of Classrooms for Each Rating and District Average</w:t>
      </w:r>
    </w:p>
    <w:p w14:paraId="34F79D1E" w14:textId="77777777" w:rsidR="00840E7A" w:rsidRPr="00900ADE" w:rsidRDefault="00840E7A">
      <w:pPr>
        <w:pStyle w:val="BodyTextDemi"/>
      </w:pPr>
      <w:r w:rsidRPr="00900ADE">
        <w:t xml:space="preserve">Analysis and Inquiry District Average*: </w:t>
      </w:r>
      <w:bookmarkStart w:id="151" w:name="Dist_AI_Avg"/>
      <w:r w:rsidRPr="00900ADE">
        <w:t>2.3</w:t>
      </w:r>
      <w:bookmarkEnd w:id="151"/>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7A5B34B2"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1A5347AA" w14:textId="77777777" w:rsidR="00840E7A" w:rsidRPr="00900ADE" w:rsidRDefault="00840E7A" w:rsidP="00BB559C">
            <w:pPr>
              <w:pStyle w:val="TableColHeadingCenter"/>
              <w:rPr>
                <w:rFonts w:eastAsia="MS Mincho"/>
              </w:rPr>
            </w:pPr>
            <w:bookmarkStart w:id="152" w:name="Tbl_AI"/>
            <w:r w:rsidRPr="00900ADE">
              <w:rPr>
                <w:rFonts w:eastAsia="MS Mincho"/>
              </w:rPr>
              <w:t>Grade Band</w:t>
            </w:r>
          </w:p>
        </w:tc>
        <w:tc>
          <w:tcPr>
            <w:tcW w:w="874" w:type="dxa"/>
            <w:vAlign w:val="bottom"/>
          </w:tcPr>
          <w:p w14:paraId="07F10E57"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45BFE151"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6D33C5BA"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76356096"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78C7499C"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105FCDE6"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466ABD82"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07F4EC9C"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5A25E1FB"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26609C50" w14:textId="77777777" w:rsidTr="00BB559C">
        <w:trPr>
          <w:jc w:val="center"/>
        </w:trPr>
        <w:tc>
          <w:tcPr>
            <w:tcW w:w="1431" w:type="dxa"/>
            <w:shd w:val="clear" w:color="auto" w:fill="D9E2F3" w:themeFill="accent5" w:themeFillTint="33"/>
          </w:tcPr>
          <w:p w14:paraId="18017AB1" w14:textId="77777777" w:rsidR="00840E7A" w:rsidRPr="00900ADE" w:rsidRDefault="00840E7A">
            <w:pPr>
              <w:pStyle w:val="TableSubheadingCentered"/>
            </w:pPr>
          </w:p>
        </w:tc>
        <w:tc>
          <w:tcPr>
            <w:tcW w:w="874" w:type="dxa"/>
            <w:shd w:val="clear" w:color="auto" w:fill="D9E2F3" w:themeFill="accent5" w:themeFillTint="33"/>
          </w:tcPr>
          <w:p w14:paraId="0BCC8CAE" w14:textId="77777777" w:rsidR="00840E7A" w:rsidRPr="00900ADE" w:rsidRDefault="00840E7A">
            <w:pPr>
              <w:pStyle w:val="TableSubheadingCentered"/>
            </w:pPr>
            <w:r w:rsidRPr="00900ADE">
              <w:t>1</w:t>
            </w:r>
          </w:p>
        </w:tc>
        <w:tc>
          <w:tcPr>
            <w:tcW w:w="874" w:type="dxa"/>
            <w:shd w:val="clear" w:color="auto" w:fill="D9E2F3" w:themeFill="accent5" w:themeFillTint="33"/>
          </w:tcPr>
          <w:p w14:paraId="413DA16A" w14:textId="77777777" w:rsidR="00840E7A" w:rsidRPr="00900ADE" w:rsidRDefault="00840E7A">
            <w:pPr>
              <w:pStyle w:val="TableSubheadingCentered"/>
            </w:pPr>
            <w:r w:rsidRPr="00900ADE">
              <w:t>2</w:t>
            </w:r>
          </w:p>
        </w:tc>
        <w:tc>
          <w:tcPr>
            <w:tcW w:w="874" w:type="dxa"/>
            <w:shd w:val="clear" w:color="auto" w:fill="D9E2F3" w:themeFill="accent5" w:themeFillTint="33"/>
          </w:tcPr>
          <w:p w14:paraId="74662DCE" w14:textId="77777777" w:rsidR="00840E7A" w:rsidRPr="00900ADE" w:rsidRDefault="00840E7A">
            <w:pPr>
              <w:pStyle w:val="TableSubheadingCentered"/>
            </w:pPr>
            <w:r w:rsidRPr="00900ADE">
              <w:t>3</w:t>
            </w:r>
          </w:p>
        </w:tc>
        <w:tc>
          <w:tcPr>
            <w:tcW w:w="875" w:type="dxa"/>
            <w:shd w:val="clear" w:color="auto" w:fill="D9E2F3" w:themeFill="accent5" w:themeFillTint="33"/>
          </w:tcPr>
          <w:p w14:paraId="0EF830EC" w14:textId="77777777" w:rsidR="00840E7A" w:rsidRPr="00900ADE" w:rsidRDefault="00840E7A">
            <w:pPr>
              <w:pStyle w:val="TableSubheadingCentered"/>
            </w:pPr>
            <w:r w:rsidRPr="00900ADE">
              <w:t>4</w:t>
            </w:r>
          </w:p>
        </w:tc>
        <w:tc>
          <w:tcPr>
            <w:tcW w:w="875" w:type="dxa"/>
            <w:shd w:val="clear" w:color="auto" w:fill="D9E2F3" w:themeFill="accent5" w:themeFillTint="33"/>
          </w:tcPr>
          <w:p w14:paraId="62799597" w14:textId="77777777" w:rsidR="00840E7A" w:rsidRPr="00900ADE" w:rsidRDefault="00840E7A">
            <w:pPr>
              <w:pStyle w:val="TableSubheadingCentered"/>
            </w:pPr>
            <w:r w:rsidRPr="00900ADE">
              <w:t>5</w:t>
            </w:r>
          </w:p>
        </w:tc>
        <w:tc>
          <w:tcPr>
            <w:tcW w:w="874" w:type="dxa"/>
            <w:shd w:val="clear" w:color="auto" w:fill="D9E2F3" w:themeFill="accent5" w:themeFillTint="33"/>
          </w:tcPr>
          <w:p w14:paraId="6D6CA31C" w14:textId="77777777" w:rsidR="00840E7A" w:rsidRPr="00900ADE" w:rsidRDefault="00840E7A">
            <w:pPr>
              <w:pStyle w:val="TableSubheadingCentered"/>
            </w:pPr>
            <w:r w:rsidRPr="00900ADE">
              <w:t>6</w:t>
            </w:r>
          </w:p>
        </w:tc>
        <w:tc>
          <w:tcPr>
            <w:tcW w:w="875" w:type="dxa"/>
            <w:shd w:val="clear" w:color="auto" w:fill="D9E2F3" w:themeFill="accent5" w:themeFillTint="33"/>
          </w:tcPr>
          <w:p w14:paraId="7BBA6088" w14:textId="77777777" w:rsidR="00840E7A" w:rsidRPr="00900ADE" w:rsidRDefault="00840E7A">
            <w:pPr>
              <w:pStyle w:val="TableSubheadingCentered"/>
            </w:pPr>
            <w:r w:rsidRPr="00900ADE">
              <w:t>7</w:t>
            </w:r>
          </w:p>
        </w:tc>
        <w:tc>
          <w:tcPr>
            <w:tcW w:w="900" w:type="dxa"/>
            <w:shd w:val="clear" w:color="auto" w:fill="D9E2F3" w:themeFill="accent5" w:themeFillTint="33"/>
          </w:tcPr>
          <w:p w14:paraId="381628E2" w14:textId="77777777" w:rsidR="00840E7A" w:rsidRPr="00900ADE" w:rsidRDefault="00840E7A">
            <w:pPr>
              <w:pStyle w:val="TableSubheadingCentered"/>
            </w:pPr>
            <w:r w:rsidRPr="00900ADE">
              <w:t>47</w:t>
            </w:r>
          </w:p>
        </w:tc>
        <w:tc>
          <w:tcPr>
            <w:tcW w:w="892" w:type="dxa"/>
            <w:shd w:val="clear" w:color="auto" w:fill="D9E2F3" w:themeFill="accent5" w:themeFillTint="33"/>
          </w:tcPr>
          <w:p w14:paraId="452B3A19" w14:textId="77777777" w:rsidR="00840E7A" w:rsidRPr="00900ADE" w:rsidRDefault="00840E7A">
            <w:pPr>
              <w:pStyle w:val="TableSubheadingCentered"/>
            </w:pPr>
            <w:r w:rsidRPr="00900ADE">
              <w:t>2.3</w:t>
            </w:r>
          </w:p>
        </w:tc>
      </w:tr>
      <w:tr w:rsidR="00840E7A" w:rsidRPr="00900ADE" w14:paraId="3EEC1C6A" w14:textId="77777777" w:rsidTr="00BB559C">
        <w:trPr>
          <w:jc w:val="center"/>
        </w:trPr>
        <w:tc>
          <w:tcPr>
            <w:tcW w:w="1431" w:type="dxa"/>
          </w:tcPr>
          <w:p w14:paraId="63596A9F" w14:textId="77777777" w:rsidR="00840E7A" w:rsidRPr="00900ADE" w:rsidRDefault="00840E7A">
            <w:pPr>
              <w:pStyle w:val="TableText"/>
            </w:pPr>
            <w:r w:rsidRPr="00900ADE">
              <w:t>Grades 4-5**</w:t>
            </w:r>
          </w:p>
        </w:tc>
        <w:tc>
          <w:tcPr>
            <w:tcW w:w="874" w:type="dxa"/>
          </w:tcPr>
          <w:p w14:paraId="785C537D" w14:textId="77777777" w:rsidR="00840E7A" w:rsidRPr="00900ADE" w:rsidRDefault="00840E7A">
            <w:pPr>
              <w:pStyle w:val="TableTextCentered"/>
              <w:rPr>
                <w:rFonts w:eastAsia="Times New Roman"/>
              </w:rPr>
            </w:pPr>
            <w:r w:rsidRPr="00900ADE">
              <w:rPr>
                <w:rFonts w:eastAsia="Times New Roman"/>
              </w:rPr>
              <w:t>4</w:t>
            </w:r>
          </w:p>
        </w:tc>
        <w:tc>
          <w:tcPr>
            <w:tcW w:w="874" w:type="dxa"/>
          </w:tcPr>
          <w:p w14:paraId="08FBDAAC" w14:textId="77777777" w:rsidR="00840E7A" w:rsidRPr="00900ADE" w:rsidRDefault="00840E7A">
            <w:pPr>
              <w:pStyle w:val="TableTextCentered"/>
              <w:rPr>
                <w:rFonts w:eastAsia="Times New Roman"/>
              </w:rPr>
            </w:pPr>
            <w:r w:rsidRPr="00900ADE">
              <w:rPr>
                <w:rFonts w:eastAsia="Times New Roman"/>
              </w:rPr>
              <w:t>2</w:t>
            </w:r>
          </w:p>
        </w:tc>
        <w:tc>
          <w:tcPr>
            <w:tcW w:w="874" w:type="dxa"/>
          </w:tcPr>
          <w:p w14:paraId="4100C07E"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54E56A9A"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00378511" w14:textId="77777777" w:rsidR="00840E7A" w:rsidRPr="00900ADE" w:rsidRDefault="00840E7A">
            <w:pPr>
              <w:pStyle w:val="TableTextCentered"/>
              <w:rPr>
                <w:rFonts w:eastAsia="Times New Roman"/>
              </w:rPr>
            </w:pPr>
            <w:r w:rsidRPr="00900ADE">
              <w:rPr>
                <w:rFonts w:eastAsia="Times New Roman"/>
              </w:rPr>
              <w:t>2</w:t>
            </w:r>
          </w:p>
        </w:tc>
        <w:tc>
          <w:tcPr>
            <w:tcW w:w="874" w:type="dxa"/>
          </w:tcPr>
          <w:p w14:paraId="6CF89EF6"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18F72FA5"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5DEB7A92" w14:textId="77777777" w:rsidR="00840E7A" w:rsidRPr="00900ADE" w:rsidRDefault="00840E7A">
            <w:pPr>
              <w:pStyle w:val="TableTextCentered"/>
              <w:rPr>
                <w:rFonts w:eastAsia="Times New Roman"/>
              </w:rPr>
            </w:pPr>
            <w:r w:rsidRPr="00900ADE">
              <w:rPr>
                <w:rFonts w:eastAsia="Times New Roman"/>
              </w:rPr>
              <w:t>11</w:t>
            </w:r>
          </w:p>
        </w:tc>
        <w:tc>
          <w:tcPr>
            <w:tcW w:w="892" w:type="dxa"/>
          </w:tcPr>
          <w:p w14:paraId="2DCA24A2" w14:textId="77777777" w:rsidR="00840E7A" w:rsidRPr="00900ADE" w:rsidRDefault="00840E7A">
            <w:pPr>
              <w:pStyle w:val="TableTextCentered"/>
              <w:rPr>
                <w:rFonts w:eastAsia="Times New Roman"/>
              </w:rPr>
            </w:pPr>
            <w:r w:rsidRPr="00900ADE">
              <w:rPr>
                <w:rFonts w:eastAsia="Times New Roman"/>
              </w:rPr>
              <w:t>2.5</w:t>
            </w:r>
          </w:p>
        </w:tc>
      </w:tr>
      <w:tr w:rsidR="00840E7A" w:rsidRPr="00900ADE" w14:paraId="00AEF889" w14:textId="77777777" w:rsidTr="00BB559C">
        <w:trPr>
          <w:jc w:val="center"/>
        </w:trPr>
        <w:tc>
          <w:tcPr>
            <w:tcW w:w="1431" w:type="dxa"/>
          </w:tcPr>
          <w:p w14:paraId="030AE5E1" w14:textId="77777777" w:rsidR="00840E7A" w:rsidRPr="00900ADE" w:rsidRDefault="00840E7A">
            <w:pPr>
              <w:pStyle w:val="TableText"/>
            </w:pPr>
            <w:r w:rsidRPr="00900ADE">
              <w:t>Grades 6-8</w:t>
            </w:r>
          </w:p>
        </w:tc>
        <w:tc>
          <w:tcPr>
            <w:tcW w:w="874" w:type="dxa"/>
          </w:tcPr>
          <w:p w14:paraId="54219445" w14:textId="77777777" w:rsidR="00840E7A" w:rsidRPr="00900ADE" w:rsidRDefault="00840E7A">
            <w:pPr>
              <w:pStyle w:val="TableTextCentered"/>
              <w:rPr>
                <w:rFonts w:eastAsia="Times New Roman"/>
              </w:rPr>
            </w:pPr>
            <w:r w:rsidRPr="00900ADE">
              <w:rPr>
                <w:rFonts w:eastAsia="Times New Roman"/>
              </w:rPr>
              <w:t>8</w:t>
            </w:r>
          </w:p>
        </w:tc>
        <w:tc>
          <w:tcPr>
            <w:tcW w:w="874" w:type="dxa"/>
          </w:tcPr>
          <w:p w14:paraId="2742095D" w14:textId="77777777" w:rsidR="00840E7A" w:rsidRPr="00900ADE" w:rsidRDefault="00840E7A">
            <w:pPr>
              <w:pStyle w:val="TableTextCentered"/>
              <w:rPr>
                <w:rFonts w:eastAsia="Times New Roman"/>
              </w:rPr>
            </w:pPr>
            <w:r w:rsidRPr="00900ADE">
              <w:rPr>
                <w:rFonts w:eastAsia="Times New Roman"/>
              </w:rPr>
              <w:t>3</w:t>
            </w:r>
          </w:p>
        </w:tc>
        <w:tc>
          <w:tcPr>
            <w:tcW w:w="874" w:type="dxa"/>
          </w:tcPr>
          <w:p w14:paraId="2B6E0DA7" w14:textId="77777777" w:rsidR="00840E7A" w:rsidRPr="00900ADE" w:rsidRDefault="00840E7A">
            <w:pPr>
              <w:pStyle w:val="TableTextCentered"/>
              <w:rPr>
                <w:rFonts w:eastAsia="Times New Roman"/>
              </w:rPr>
            </w:pPr>
            <w:r w:rsidRPr="00900ADE">
              <w:rPr>
                <w:rFonts w:eastAsia="Times New Roman"/>
              </w:rPr>
              <w:t>4</w:t>
            </w:r>
          </w:p>
        </w:tc>
        <w:tc>
          <w:tcPr>
            <w:tcW w:w="875" w:type="dxa"/>
          </w:tcPr>
          <w:p w14:paraId="380E837B"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1FD6C7EC"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0DC07218"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2AE5AF87"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488B9959" w14:textId="77777777" w:rsidR="00840E7A" w:rsidRPr="00900ADE" w:rsidRDefault="00840E7A">
            <w:pPr>
              <w:pStyle w:val="TableTextCentered"/>
              <w:rPr>
                <w:rFonts w:eastAsia="Times New Roman"/>
              </w:rPr>
            </w:pPr>
            <w:r w:rsidRPr="00900ADE">
              <w:rPr>
                <w:rFonts w:eastAsia="Times New Roman"/>
              </w:rPr>
              <w:t>16</w:t>
            </w:r>
          </w:p>
        </w:tc>
        <w:tc>
          <w:tcPr>
            <w:tcW w:w="892" w:type="dxa"/>
          </w:tcPr>
          <w:p w14:paraId="2E86B3DD" w14:textId="77777777" w:rsidR="00840E7A" w:rsidRPr="00900ADE" w:rsidRDefault="00840E7A">
            <w:pPr>
              <w:pStyle w:val="TableTextCentered"/>
              <w:rPr>
                <w:rFonts w:eastAsia="Times New Roman"/>
              </w:rPr>
            </w:pPr>
            <w:r w:rsidRPr="00900ADE">
              <w:rPr>
                <w:rFonts w:eastAsia="Times New Roman"/>
              </w:rPr>
              <w:t>1.9</w:t>
            </w:r>
          </w:p>
        </w:tc>
      </w:tr>
      <w:tr w:rsidR="00840E7A" w:rsidRPr="00900ADE" w14:paraId="6D6155FE" w14:textId="77777777" w:rsidTr="00BB559C">
        <w:trPr>
          <w:jc w:val="center"/>
        </w:trPr>
        <w:tc>
          <w:tcPr>
            <w:tcW w:w="1431" w:type="dxa"/>
          </w:tcPr>
          <w:p w14:paraId="53814BAD" w14:textId="77777777" w:rsidR="00840E7A" w:rsidRPr="00900ADE" w:rsidRDefault="00840E7A">
            <w:pPr>
              <w:pStyle w:val="TableText"/>
            </w:pPr>
            <w:r w:rsidRPr="00900ADE">
              <w:t>Grades 9-12</w:t>
            </w:r>
          </w:p>
        </w:tc>
        <w:tc>
          <w:tcPr>
            <w:tcW w:w="874" w:type="dxa"/>
          </w:tcPr>
          <w:p w14:paraId="224116A0" w14:textId="77777777" w:rsidR="00840E7A" w:rsidRPr="00900ADE" w:rsidRDefault="00840E7A">
            <w:pPr>
              <w:pStyle w:val="TableTextCentered"/>
              <w:rPr>
                <w:rFonts w:eastAsia="Times New Roman"/>
              </w:rPr>
            </w:pPr>
            <w:r w:rsidRPr="00900ADE">
              <w:rPr>
                <w:rFonts w:eastAsia="Times New Roman"/>
              </w:rPr>
              <w:t>3</w:t>
            </w:r>
          </w:p>
        </w:tc>
        <w:tc>
          <w:tcPr>
            <w:tcW w:w="874" w:type="dxa"/>
          </w:tcPr>
          <w:p w14:paraId="360DB0D9" w14:textId="77777777" w:rsidR="00840E7A" w:rsidRPr="00900ADE" w:rsidRDefault="00840E7A">
            <w:pPr>
              <w:pStyle w:val="TableTextCentered"/>
              <w:rPr>
                <w:rFonts w:eastAsia="Times New Roman"/>
              </w:rPr>
            </w:pPr>
            <w:r w:rsidRPr="00900ADE">
              <w:rPr>
                <w:rFonts w:eastAsia="Times New Roman"/>
              </w:rPr>
              <w:t>7</w:t>
            </w:r>
          </w:p>
        </w:tc>
        <w:tc>
          <w:tcPr>
            <w:tcW w:w="874" w:type="dxa"/>
          </w:tcPr>
          <w:p w14:paraId="46463B90" w14:textId="77777777" w:rsidR="00840E7A" w:rsidRPr="00900ADE" w:rsidRDefault="00840E7A">
            <w:pPr>
              <w:pStyle w:val="TableTextCentered"/>
              <w:rPr>
                <w:rFonts w:eastAsia="Times New Roman"/>
              </w:rPr>
            </w:pPr>
            <w:r w:rsidRPr="00900ADE">
              <w:rPr>
                <w:rFonts w:eastAsia="Times New Roman"/>
              </w:rPr>
              <w:t>6</w:t>
            </w:r>
          </w:p>
        </w:tc>
        <w:tc>
          <w:tcPr>
            <w:tcW w:w="875" w:type="dxa"/>
          </w:tcPr>
          <w:p w14:paraId="0F67EF23" w14:textId="77777777" w:rsidR="00840E7A" w:rsidRPr="00900ADE" w:rsidRDefault="00840E7A">
            <w:pPr>
              <w:pStyle w:val="TableTextCentered"/>
              <w:rPr>
                <w:rFonts w:eastAsia="Times New Roman"/>
              </w:rPr>
            </w:pPr>
            <w:r w:rsidRPr="00900ADE">
              <w:rPr>
                <w:rFonts w:eastAsia="Times New Roman"/>
              </w:rPr>
              <w:t>3</w:t>
            </w:r>
          </w:p>
        </w:tc>
        <w:tc>
          <w:tcPr>
            <w:tcW w:w="875" w:type="dxa"/>
          </w:tcPr>
          <w:p w14:paraId="214DD3CE"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41C34141"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7AAB3606"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15447519" w14:textId="77777777" w:rsidR="00840E7A" w:rsidRPr="00900ADE" w:rsidRDefault="00840E7A">
            <w:pPr>
              <w:pStyle w:val="TableTextCentered"/>
              <w:rPr>
                <w:rFonts w:eastAsia="Times New Roman"/>
              </w:rPr>
            </w:pPr>
            <w:r w:rsidRPr="00900ADE">
              <w:rPr>
                <w:rFonts w:eastAsia="Times New Roman"/>
              </w:rPr>
              <w:t>20</w:t>
            </w:r>
          </w:p>
        </w:tc>
        <w:tc>
          <w:tcPr>
            <w:tcW w:w="892" w:type="dxa"/>
          </w:tcPr>
          <w:p w14:paraId="7E4D0FBA" w14:textId="77777777" w:rsidR="00840E7A" w:rsidRPr="00900ADE" w:rsidRDefault="00840E7A">
            <w:pPr>
              <w:pStyle w:val="TableTextCentered"/>
              <w:rPr>
                <w:rFonts w:eastAsia="Times New Roman"/>
              </w:rPr>
            </w:pPr>
            <w:r w:rsidRPr="00900ADE">
              <w:rPr>
                <w:rFonts w:eastAsia="Times New Roman"/>
              </w:rPr>
              <w:t>2.6</w:t>
            </w:r>
          </w:p>
        </w:tc>
      </w:tr>
    </w:tbl>
    <w:bookmarkEnd w:id="152"/>
    <w:p w14:paraId="4A2CE231" w14:textId="77777777" w:rsidR="00840E7A" w:rsidRPr="00900ADE" w:rsidRDefault="00840E7A">
      <w:pPr>
        <w:pStyle w:val="TableNote"/>
      </w:pPr>
      <w:r w:rsidRPr="00900ADE">
        <w:t xml:space="preserve">*The district average is an average of the observation scores. In Table 12, the district average is computed as: </w:t>
      </w:r>
      <w:r w:rsidRPr="00900ADE">
        <w:br/>
      </w:r>
      <w:bookmarkStart w:id="153" w:name="Dist_AI_Calc"/>
      <w:r w:rsidRPr="00900ADE">
        <w:t>([1 x 15] + [2 x 12] + [3 x 12] + [4 x 5] + [5 x 3]) ÷ 47 observations = 2.3</w:t>
      </w:r>
      <w:bookmarkEnd w:id="153"/>
    </w:p>
    <w:p w14:paraId="36EE4173" w14:textId="77777777" w:rsidR="00840E7A" w:rsidRPr="00900ADE" w:rsidRDefault="00840E7A">
      <w:pPr>
        <w:pStyle w:val="TableNote"/>
      </w:pPr>
      <w:r w:rsidRPr="00900ADE">
        <w:t>**Analysis and Inquiry does not appear in the CLASS K-3 Manual, therefore scores for the Elementary School Level represent grades 4-5 only.</w:t>
      </w:r>
    </w:p>
    <w:p w14:paraId="6D51B5D6" w14:textId="77777777" w:rsidR="00840E7A" w:rsidRPr="00900ADE" w:rsidRDefault="00840E7A">
      <w:pPr>
        <w:pStyle w:val="BodyText"/>
      </w:pPr>
      <w:r w:rsidRPr="00900ADE">
        <w:rPr>
          <w:rStyle w:val="BodyTextDemiChar"/>
        </w:rPr>
        <w:t>Ratings in the Low Range.</w:t>
      </w:r>
      <w:r w:rsidRPr="00900ADE">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72B9C382" w14:textId="77777777" w:rsidR="00840E7A" w:rsidRPr="00900ADE" w:rsidRDefault="00840E7A">
      <w:pPr>
        <w:pStyle w:val="BodyText"/>
      </w:pPr>
      <w:r w:rsidRPr="00900ADE">
        <w:rPr>
          <w:rStyle w:val="BodyTextDemiChar"/>
        </w:rPr>
        <w:t>Ratings in the Middle Range.</w:t>
      </w:r>
      <w:r w:rsidRPr="00900ADE">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5B8E3A4D" w14:textId="77777777" w:rsidR="00840E7A" w:rsidRPr="00900ADE" w:rsidRDefault="00840E7A">
      <w:pPr>
        <w:pStyle w:val="BodyText"/>
      </w:pPr>
      <w:r w:rsidRPr="00900ADE">
        <w:rPr>
          <w:rStyle w:val="BodyTextDemiChar"/>
        </w:rPr>
        <w:t>Ratings in the High Range.</w:t>
      </w:r>
      <w:r w:rsidRPr="00900ADE">
        <w:t xml:space="preserve"> </w:t>
      </w:r>
      <w:r w:rsidRPr="00900ADE">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7A5F8159" w14:textId="77777777" w:rsidR="00840E7A" w:rsidRPr="00900ADE" w:rsidRDefault="00840E7A">
      <w:pPr>
        <w:spacing w:after="160" w:line="259" w:lineRule="auto"/>
      </w:pPr>
      <w:r w:rsidRPr="00900ADE">
        <w:br w:type="page"/>
      </w:r>
    </w:p>
    <w:p w14:paraId="3CF22A52" w14:textId="77777777" w:rsidR="00840E7A" w:rsidRPr="00900ADE" w:rsidRDefault="00840E7A">
      <w:pPr>
        <w:pStyle w:val="Heading2-SIOR"/>
      </w:pPr>
      <w:bookmarkStart w:id="154" w:name="_Toc411329836"/>
      <w:bookmarkStart w:id="155" w:name="_Toc430114885"/>
      <w:bookmarkStart w:id="156" w:name="_Toc92194264"/>
      <w:r w:rsidRPr="00900ADE">
        <w:lastRenderedPageBreak/>
        <w:t>Quality of Feedback</w:t>
      </w:r>
      <w:bookmarkEnd w:id="154"/>
      <w:bookmarkEnd w:id="155"/>
      <w:bookmarkEnd w:id="156"/>
    </w:p>
    <w:p w14:paraId="314E505A" w14:textId="77777777" w:rsidR="00840E7A" w:rsidRPr="00900ADE" w:rsidRDefault="00840E7A">
      <w:pPr>
        <w:pStyle w:val="BodyTextDomain"/>
      </w:pPr>
      <w:r w:rsidRPr="00900ADE">
        <w:t>Instructional Support domain, Grades K</w:t>
      </w:r>
      <w:r w:rsidRPr="00900ADE">
        <w:rPr>
          <w:rFonts w:ascii="Vijaya" w:hAnsi="Vijaya" w:cs="Vijaya"/>
        </w:rPr>
        <w:t>−</w:t>
      </w:r>
      <w:r w:rsidRPr="00900ADE">
        <w:t xml:space="preserve"> 12</w:t>
      </w:r>
    </w:p>
    <w:p w14:paraId="246D47E4" w14:textId="77777777" w:rsidR="00840E7A" w:rsidRPr="00900ADE" w:rsidRDefault="00840E7A">
      <w:pPr>
        <w:pStyle w:val="BodyText"/>
      </w:pPr>
      <w:r w:rsidRPr="00900ADE">
        <w:rPr>
          <w:spacing w:val="-2"/>
        </w:rPr>
        <w:t>Quality of Feedback refers to the degree to which the teacher provides feedback that expands learning and understanding and encourages continued participation in the learning activity (</w:t>
      </w:r>
      <w:r w:rsidRPr="00900ADE">
        <w:rPr>
          <w:i/>
          <w:spacing w:val="-2"/>
        </w:rPr>
        <w:t>CLASS K–3 Manual</w:t>
      </w:r>
      <w:r w:rsidRPr="00900ADE">
        <w:rPr>
          <w:spacing w:val="-2"/>
        </w:rPr>
        <w:t>, p. 72). In the upper elementary and secondary classrooms, significant feedback also may be provided by peers (</w:t>
      </w:r>
      <w:r w:rsidRPr="00900ADE">
        <w:rPr>
          <w:i/>
          <w:spacing w:val="-2"/>
        </w:rPr>
        <w:t>CLASS Upper Elementary Manual</w:t>
      </w:r>
      <w:r w:rsidRPr="00900ADE">
        <w:rPr>
          <w:spacing w:val="-2"/>
        </w:rPr>
        <w:t xml:space="preserve">, p. 89, </w:t>
      </w:r>
      <w:r w:rsidRPr="00900ADE">
        <w:rPr>
          <w:i/>
          <w:spacing w:val="-2"/>
        </w:rPr>
        <w:t>CLASS Secondary Manual</w:t>
      </w:r>
      <w:r w:rsidRPr="00900ADE">
        <w:rPr>
          <w:spacing w:val="-2"/>
        </w:rPr>
        <w:t>, p. 93).</w:t>
      </w:r>
      <w:r w:rsidRPr="00900ADE">
        <w:t xml:space="preserve"> Regardless of the source, the focus of the feedback motivates learning. </w:t>
      </w:r>
    </w:p>
    <w:p w14:paraId="0F6BBC57" w14:textId="77777777" w:rsidR="00840E7A" w:rsidRPr="00900ADE" w:rsidRDefault="00840E7A">
      <w:pPr>
        <w:pStyle w:val="TableTitle0"/>
      </w:pPr>
      <w:r w:rsidRPr="00900ADE">
        <w:t>Table 13. Quality of Feedback: Number of Classrooms for Each Rating and District Average</w:t>
      </w:r>
    </w:p>
    <w:p w14:paraId="33250629" w14:textId="77777777" w:rsidR="00840E7A" w:rsidRPr="00900ADE" w:rsidRDefault="00840E7A">
      <w:pPr>
        <w:pStyle w:val="BodyTextDemi"/>
      </w:pPr>
      <w:r w:rsidRPr="00900ADE">
        <w:t xml:space="preserve">Quality of Feedback District Average*: </w:t>
      </w:r>
      <w:bookmarkStart w:id="157" w:name="Dist_QF_Avg"/>
      <w:r w:rsidRPr="00900ADE">
        <w:t>2.9</w:t>
      </w:r>
      <w:bookmarkEnd w:id="157"/>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190E8C38"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2E6A2159" w14:textId="77777777" w:rsidR="00840E7A" w:rsidRPr="00900ADE" w:rsidRDefault="00840E7A" w:rsidP="00BB559C">
            <w:pPr>
              <w:pStyle w:val="TableColHeadingCenter"/>
              <w:rPr>
                <w:rFonts w:eastAsia="MS Mincho"/>
              </w:rPr>
            </w:pPr>
            <w:bookmarkStart w:id="158" w:name="Tbl_QF"/>
            <w:r w:rsidRPr="00900ADE">
              <w:rPr>
                <w:rFonts w:eastAsia="MS Mincho"/>
              </w:rPr>
              <w:t>Grade Band</w:t>
            </w:r>
          </w:p>
        </w:tc>
        <w:tc>
          <w:tcPr>
            <w:tcW w:w="874" w:type="dxa"/>
            <w:vAlign w:val="bottom"/>
          </w:tcPr>
          <w:p w14:paraId="388E0DA1"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3CAD991A"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6AD75C73"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63029818"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7591B558"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71E6EEFF"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436B9A8F"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12152569"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5048EF3B"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30AA4905" w14:textId="77777777" w:rsidTr="00BB559C">
        <w:trPr>
          <w:jc w:val="center"/>
        </w:trPr>
        <w:tc>
          <w:tcPr>
            <w:tcW w:w="1431" w:type="dxa"/>
            <w:shd w:val="clear" w:color="auto" w:fill="D9E2F3" w:themeFill="accent5" w:themeFillTint="33"/>
          </w:tcPr>
          <w:p w14:paraId="5E25F564" w14:textId="77777777" w:rsidR="00840E7A" w:rsidRPr="00900ADE" w:rsidRDefault="00840E7A">
            <w:pPr>
              <w:pStyle w:val="TableSubheadingCentered"/>
            </w:pPr>
          </w:p>
        </w:tc>
        <w:tc>
          <w:tcPr>
            <w:tcW w:w="874" w:type="dxa"/>
            <w:shd w:val="clear" w:color="auto" w:fill="D9E2F3" w:themeFill="accent5" w:themeFillTint="33"/>
          </w:tcPr>
          <w:p w14:paraId="7143EE3E" w14:textId="77777777" w:rsidR="00840E7A" w:rsidRPr="00900ADE" w:rsidRDefault="00840E7A">
            <w:pPr>
              <w:pStyle w:val="TableSubheadingCentered"/>
            </w:pPr>
            <w:r w:rsidRPr="00900ADE">
              <w:t>1</w:t>
            </w:r>
          </w:p>
        </w:tc>
        <w:tc>
          <w:tcPr>
            <w:tcW w:w="874" w:type="dxa"/>
            <w:shd w:val="clear" w:color="auto" w:fill="D9E2F3" w:themeFill="accent5" w:themeFillTint="33"/>
          </w:tcPr>
          <w:p w14:paraId="5617B676" w14:textId="77777777" w:rsidR="00840E7A" w:rsidRPr="00900ADE" w:rsidRDefault="00840E7A">
            <w:pPr>
              <w:pStyle w:val="TableSubheadingCentered"/>
            </w:pPr>
            <w:r w:rsidRPr="00900ADE">
              <w:t>2</w:t>
            </w:r>
          </w:p>
        </w:tc>
        <w:tc>
          <w:tcPr>
            <w:tcW w:w="874" w:type="dxa"/>
            <w:shd w:val="clear" w:color="auto" w:fill="D9E2F3" w:themeFill="accent5" w:themeFillTint="33"/>
          </w:tcPr>
          <w:p w14:paraId="66BFA31C" w14:textId="77777777" w:rsidR="00840E7A" w:rsidRPr="00900ADE" w:rsidRDefault="00840E7A">
            <w:pPr>
              <w:pStyle w:val="TableSubheadingCentered"/>
            </w:pPr>
            <w:r w:rsidRPr="00900ADE">
              <w:t>3</w:t>
            </w:r>
          </w:p>
        </w:tc>
        <w:tc>
          <w:tcPr>
            <w:tcW w:w="875" w:type="dxa"/>
            <w:shd w:val="clear" w:color="auto" w:fill="D9E2F3" w:themeFill="accent5" w:themeFillTint="33"/>
          </w:tcPr>
          <w:p w14:paraId="60E145A2" w14:textId="77777777" w:rsidR="00840E7A" w:rsidRPr="00900ADE" w:rsidRDefault="00840E7A">
            <w:pPr>
              <w:pStyle w:val="TableSubheadingCentered"/>
            </w:pPr>
            <w:r w:rsidRPr="00900ADE">
              <w:t>4</w:t>
            </w:r>
          </w:p>
        </w:tc>
        <w:tc>
          <w:tcPr>
            <w:tcW w:w="875" w:type="dxa"/>
            <w:shd w:val="clear" w:color="auto" w:fill="D9E2F3" w:themeFill="accent5" w:themeFillTint="33"/>
          </w:tcPr>
          <w:p w14:paraId="3D39373C" w14:textId="77777777" w:rsidR="00840E7A" w:rsidRPr="00900ADE" w:rsidRDefault="00840E7A">
            <w:pPr>
              <w:pStyle w:val="TableSubheadingCentered"/>
            </w:pPr>
            <w:r w:rsidRPr="00900ADE">
              <w:t>5</w:t>
            </w:r>
          </w:p>
        </w:tc>
        <w:tc>
          <w:tcPr>
            <w:tcW w:w="874" w:type="dxa"/>
            <w:shd w:val="clear" w:color="auto" w:fill="D9E2F3" w:themeFill="accent5" w:themeFillTint="33"/>
          </w:tcPr>
          <w:p w14:paraId="5708DB67" w14:textId="77777777" w:rsidR="00840E7A" w:rsidRPr="00900ADE" w:rsidRDefault="00840E7A">
            <w:pPr>
              <w:pStyle w:val="TableSubheadingCentered"/>
            </w:pPr>
            <w:r w:rsidRPr="00900ADE">
              <w:t>6</w:t>
            </w:r>
          </w:p>
        </w:tc>
        <w:tc>
          <w:tcPr>
            <w:tcW w:w="875" w:type="dxa"/>
            <w:shd w:val="clear" w:color="auto" w:fill="D9E2F3" w:themeFill="accent5" w:themeFillTint="33"/>
          </w:tcPr>
          <w:p w14:paraId="09D5D9C2" w14:textId="77777777" w:rsidR="00840E7A" w:rsidRPr="00900ADE" w:rsidRDefault="00840E7A">
            <w:pPr>
              <w:pStyle w:val="TableSubheadingCentered"/>
            </w:pPr>
            <w:r w:rsidRPr="00900ADE">
              <w:t>7</w:t>
            </w:r>
          </w:p>
        </w:tc>
        <w:tc>
          <w:tcPr>
            <w:tcW w:w="900" w:type="dxa"/>
            <w:shd w:val="clear" w:color="auto" w:fill="D9E2F3" w:themeFill="accent5" w:themeFillTint="33"/>
          </w:tcPr>
          <w:p w14:paraId="6C0FAB0F" w14:textId="77777777" w:rsidR="00840E7A" w:rsidRPr="00900ADE" w:rsidRDefault="00840E7A">
            <w:pPr>
              <w:pStyle w:val="TableSubheadingCentered"/>
            </w:pPr>
            <w:r w:rsidRPr="00900ADE">
              <w:t>70</w:t>
            </w:r>
          </w:p>
        </w:tc>
        <w:tc>
          <w:tcPr>
            <w:tcW w:w="892" w:type="dxa"/>
            <w:shd w:val="clear" w:color="auto" w:fill="D9E2F3" w:themeFill="accent5" w:themeFillTint="33"/>
          </w:tcPr>
          <w:p w14:paraId="30225882" w14:textId="77777777" w:rsidR="00840E7A" w:rsidRPr="00900ADE" w:rsidRDefault="00840E7A">
            <w:pPr>
              <w:pStyle w:val="TableSubheadingCentered"/>
            </w:pPr>
            <w:r w:rsidRPr="00900ADE">
              <w:t>2.9</w:t>
            </w:r>
          </w:p>
        </w:tc>
      </w:tr>
      <w:tr w:rsidR="00840E7A" w:rsidRPr="00900ADE" w14:paraId="472C22C6" w14:textId="77777777" w:rsidTr="00BB559C">
        <w:trPr>
          <w:jc w:val="center"/>
        </w:trPr>
        <w:tc>
          <w:tcPr>
            <w:tcW w:w="1431" w:type="dxa"/>
          </w:tcPr>
          <w:p w14:paraId="0FC01DD6" w14:textId="77777777" w:rsidR="00840E7A" w:rsidRPr="00900ADE" w:rsidRDefault="00840E7A">
            <w:pPr>
              <w:pStyle w:val="TableText"/>
            </w:pPr>
            <w:r w:rsidRPr="00900ADE">
              <w:t>Grades K-5</w:t>
            </w:r>
          </w:p>
        </w:tc>
        <w:tc>
          <w:tcPr>
            <w:tcW w:w="874" w:type="dxa"/>
          </w:tcPr>
          <w:p w14:paraId="58454620" w14:textId="77777777" w:rsidR="00840E7A" w:rsidRPr="00900ADE" w:rsidRDefault="00840E7A">
            <w:pPr>
              <w:pStyle w:val="TableTextCentered"/>
              <w:rPr>
                <w:rFonts w:eastAsia="Times New Roman"/>
              </w:rPr>
            </w:pPr>
            <w:r w:rsidRPr="00900ADE">
              <w:rPr>
                <w:rFonts w:eastAsia="Times New Roman"/>
              </w:rPr>
              <w:t>2</w:t>
            </w:r>
          </w:p>
        </w:tc>
        <w:tc>
          <w:tcPr>
            <w:tcW w:w="874" w:type="dxa"/>
          </w:tcPr>
          <w:p w14:paraId="74A019FB" w14:textId="77777777" w:rsidR="00840E7A" w:rsidRPr="00900ADE" w:rsidRDefault="00840E7A">
            <w:pPr>
              <w:pStyle w:val="TableTextCentered"/>
              <w:rPr>
                <w:rFonts w:eastAsia="Times New Roman"/>
              </w:rPr>
            </w:pPr>
            <w:r w:rsidRPr="00900ADE">
              <w:rPr>
                <w:rFonts w:eastAsia="Times New Roman"/>
              </w:rPr>
              <w:t>11</w:t>
            </w:r>
          </w:p>
        </w:tc>
        <w:tc>
          <w:tcPr>
            <w:tcW w:w="874" w:type="dxa"/>
          </w:tcPr>
          <w:p w14:paraId="3D11A2A7" w14:textId="77777777" w:rsidR="00840E7A" w:rsidRPr="00900ADE" w:rsidRDefault="00840E7A">
            <w:pPr>
              <w:pStyle w:val="TableTextCentered"/>
              <w:rPr>
                <w:rFonts w:eastAsia="Times New Roman"/>
              </w:rPr>
            </w:pPr>
            <w:r w:rsidRPr="00900ADE">
              <w:rPr>
                <w:rFonts w:eastAsia="Times New Roman"/>
              </w:rPr>
              <w:t>7</w:t>
            </w:r>
          </w:p>
        </w:tc>
        <w:tc>
          <w:tcPr>
            <w:tcW w:w="875" w:type="dxa"/>
          </w:tcPr>
          <w:p w14:paraId="6899ACDE" w14:textId="77777777" w:rsidR="00840E7A" w:rsidRPr="00900ADE" w:rsidRDefault="00840E7A">
            <w:pPr>
              <w:pStyle w:val="TableTextCentered"/>
              <w:rPr>
                <w:rFonts w:eastAsia="Times New Roman"/>
              </w:rPr>
            </w:pPr>
            <w:r w:rsidRPr="00900ADE">
              <w:rPr>
                <w:rFonts w:eastAsia="Times New Roman"/>
              </w:rPr>
              <w:t>8</w:t>
            </w:r>
          </w:p>
        </w:tc>
        <w:tc>
          <w:tcPr>
            <w:tcW w:w="875" w:type="dxa"/>
          </w:tcPr>
          <w:p w14:paraId="6A89B66F" w14:textId="77777777" w:rsidR="00840E7A" w:rsidRPr="00900ADE" w:rsidRDefault="00840E7A">
            <w:pPr>
              <w:pStyle w:val="TableTextCentered"/>
              <w:rPr>
                <w:rFonts w:eastAsia="Times New Roman"/>
              </w:rPr>
            </w:pPr>
            <w:r w:rsidRPr="00900ADE">
              <w:rPr>
                <w:rFonts w:eastAsia="Times New Roman"/>
              </w:rPr>
              <w:t>6</w:t>
            </w:r>
          </w:p>
        </w:tc>
        <w:tc>
          <w:tcPr>
            <w:tcW w:w="874" w:type="dxa"/>
          </w:tcPr>
          <w:p w14:paraId="4028AED8"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73C86B3C"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6AC6C3AC" w14:textId="77777777" w:rsidR="00840E7A" w:rsidRPr="00900ADE" w:rsidRDefault="00840E7A">
            <w:pPr>
              <w:pStyle w:val="TableTextCentered"/>
              <w:rPr>
                <w:rFonts w:eastAsia="Times New Roman"/>
              </w:rPr>
            </w:pPr>
            <w:r w:rsidRPr="00900ADE">
              <w:rPr>
                <w:rFonts w:eastAsia="Times New Roman"/>
              </w:rPr>
              <w:t>34</w:t>
            </w:r>
          </w:p>
        </w:tc>
        <w:tc>
          <w:tcPr>
            <w:tcW w:w="892" w:type="dxa"/>
          </w:tcPr>
          <w:p w14:paraId="664D8675" w14:textId="77777777" w:rsidR="00840E7A" w:rsidRPr="00900ADE" w:rsidRDefault="00840E7A">
            <w:pPr>
              <w:pStyle w:val="TableTextCentered"/>
              <w:rPr>
                <w:rFonts w:eastAsia="Times New Roman"/>
              </w:rPr>
            </w:pPr>
            <w:r w:rsidRPr="00900ADE">
              <w:rPr>
                <w:rFonts w:eastAsia="Times New Roman"/>
              </w:rPr>
              <w:t>3.1</w:t>
            </w:r>
          </w:p>
        </w:tc>
      </w:tr>
      <w:tr w:rsidR="00840E7A" w:rsidRPr="00900ADE" w14:paraId="7AF03BA8" w14:textId="77777777" w:rsidTr="00BB559C">
        <w:trPr>
          <w:jc w:val="center"/>
        </w:trPr>
        <w:tc>
          <w:tcPr>
            <w:tcW w:w="1431" w:type="dxa"/>
          </w:tcPr>
          <w:p w14:paraId="033EF1D5" w14:textId="77777777" w:rsidR="00840E7A" w:rsidRPr="00900ADE" w:rsidRDefault="00840E7A">
            <w:pPr>
              <w:pStyle w:val="TableText"/>
            </w:pPr>
            <w:r w:rsidRPr="00900ADE">
              <w:t>Grades 6-8</w:t>
            </w:r>
          </w:p>
        </w:tc>
        <w:tc>
          <w:tcPr>
            <w:tcW w:w="874" w:type="dxa"/>
          </w:tcPr>
          <w:p w14:paraId="20D01B13" w14:textId="77777777" w:rsidR="00840E7A" w:rsidRPr="00900ADE" w:rsidRDefault="00840E7A">
            <w:pPr>
              <w:pStyle w:val="TableTextCentered"/>
              <w:rPr>
                <w:rFonts w:eastAsia="Times New Roman"/>
              </w:rPr>
            </w:pPr>
            <w:r w:rsidRPr="00900ADE">
              <w:rPr>
                <w:rFonts w:eastAsia="Times New Roman"/>
              </w:rPr>
              <w:t>3</w:t>
            </w:r>
          </w:p>
        </w:tc>
        <w:tc>
          <w:tcPr>
            <w:tcW w:w="874" w:type="dxa"/>
          </w:tcPr>
          <w:p w14:paraId="6AAB5F33" w14:textId="77777777" w:rsidR="00840E7A" w:rsidRPr="00900ADE" w:rsidRDefault="00840E7A">
            <w:pPr>
              <w:pStyle w:val="TableTextCentered"/>
              <w:rPr>
                <w:rFonts w:eastAsia="Times New Roman"/>
              </w:rPr>
            </w:pPr>
            <w:r w:rsidRPr="00900ADE">
              <w:rPr>
                <w:rFonts w:eastAsia="Times New Roman"/>
              </w:rPr>
              <w:t>3</w:t>
            </w:r>
          </w:p>
        </w:tc>
        <w:tc>
          <w:tcPr>
            <w:tcW w:w="874" w:type="dxa"/>
          </w:tcPr>
          <w:p w14:paraId="4B701A51" w14:textId="77777777" w:rsidR="00840E7A" w:rsidRPr="00900ADE" w:rsidRDefault="00840E7A">
            <w:pPr>
              <w:pStyle w:val="TableTextCentered"/>
              <w:rPr>
                <w:rFonts w:eastAsia="Times New Roman"/>
              </w:rPr>
            </w:pPr>
            <w:r w:rsidRPr="00900ADE">
              <w:rPr>
                <w:rFonts w:eastAsia="Times New Roman"/>
              </w:rPr>
              <w:t>7</w:t>
            </w:r>
          </w:p>
        </w:tc>
        <w:tc>
          <w:tcPr>
            <w:tcW w:w="875" w:type="dxa"/>
          </w:tcPr>
          <w:p w14:paraId="26AE79C2"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0E81C346"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232D05F6"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114A6452"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6DF748DF" w14:textId="77777777" w:rsidR="00840E7A" w:rsidRPr="00900ADE" w:rsidRDefault="00840E7A">
            <w:pPr>
              <w:pStyle w:val="TableTextCentered"/>
              <w:rPr>
                <w:rFonts w:eastAsia="Times New Roman"/>
              </w:rPr>
            </w:pPr>
            <w:r w:rsidRPr="00900ADE">
              <w:rPr>
                <w:rFonts w:eastAsia="Times New Roman"/>
              </w:rPr>
              <w:t>16</w:t>
            </w:r>
          </w:p>
        </w:tc>
        <w:tc>
          <w:tcPr>
            <w:tcW w:w="892" w:type="dxa"/>
          </w:tcPr>
          <w:p w14:paraId="42B37DDC" w14:textId="77777777" w:rsidR="00840E7A" w:rsidRPr="00900ADE" w:rsidRDefault="00840E7A">
            <w:pPr>
              <w:pStyle w:val="TableTextCentered"/>
              <w:rPr>
                <w:rFonts w:eastAsia="Times New Roman"/>
              </w:rPr>
            </w:pPr>
            <w:r w:rsidRPr="00900ADE">
              <w:rPr>
                <w:rFonts w:eastAsia="Times New Roman"/>
              </w:rPr>
              <w:t>2.7</w:t>
            </w:r>
          </w:p>
        </w:tc>
      </w:tr>
      <w:tr w:rsidR="00840E7A" w:rsidRPr="00900ADE" w14:paraId="5CF0E917" w14:textId="77777777" w:rsidTr="00BB559C">
        <w:trPr>
          <w:jc w:val="center"/>
        </w:trPr>
        <w:tc>
          <w:tcPr>
            <w:tcW w:w="1431" w:type="dxa"/>
          </w:tcPr>
          <w:p w14:paraId="6D2D9AF5" w14:textId="77777777" w:rsidR="00840E7A" w:rsidRPr="00900ADE" w:rsidRDefault="00840E7A">
            <w:pPr>
              <w:pStyle w:val="TableText"/>
            </w:pPr>
            <w:r w:rsidRPr="00900ADE">
              <w:t>Grades 9-12</w:t>
            </w:r>
          </w:p>
        </w:tc>
        <w:tc>
          <w:tcPr>
            <w:tcW w:w="874" w:type="dxa"/>
          </w:tcPr>
          <w:p w14:paraId="099E9DD2" w14:textId="77777777" w:rsidR="00840E7A" w:rsidRPr="00900ADE" w:rsidRDefault="00840E7A">
            <w:pPr>
              <w:pStyle w:val="TableTextCentered"/>
              <w:rPr>
                <w:rFonts w:eastAsia="Times New Roman"/>
              </w:rPr>
            </w:pPr>
            <w:r w:rsidRPr="00900ADE">
              <w:rPr>
                <w:rFonts w:eastAsia="Times New Roman"/>
              </w:rPr>
              <w:t>6</w:t>
            </w:r>
          </w:p>
        </w:tc>
        <w:tc>
          <w:tcPr>
            <w:tcW w:w="874" w:type="dxa"/>
          </w:tcPr>
          <w:p w14:paraId="25193BA9" w14:textId="77777777" w:rsidR="00840E7A" w:rsidRPr="00900ADE" w:rsidRDefault="00840E7A">
            <w:pPr>
              <w:pStyle w:val="TableTextCentered"/>
              <w:rPr>
                <w:rFonts w:eastAsia="Times New Roman"/>
              </w:rPr>
            </w:pPr>
            <w:r w:rsidRPr="00900ADE">
              <w:rPr>
                <w:rFonts w:eastAsia="Times New Roman"/>
              </w:rPr>
              <w:t>4</w:t>
            </w:r>
          </w:p>
        </w:tc>
        <w:tc>
          <w:tcPr>
            <w:tcW w:w="874" w:type="dxa"/>
          </w:tcPr>
          <w:p w14:paraId="541288FA" w14:textId="77777777" w:rsidR="00840E7A" w:rsidRPr="00900ADE" w:rsidRDefault="00840E7A">
            <w:pPr>
              <w:pStyle w:val="TableTextCentered"/>
              <w:rPr>
                <w:rFonts w:eastAsia="Times New Roman"/>
              </w:rPr>
            </w:pPr>
            <w:r w:rsidRPr="00900ADE">
              <w:rPr>
                <w:rFonts w:eastAsia="Times New Roman"/>
              </w:rPr>
              <w:t>3</w:t>
            </w:r>
          </w:p>
        </w:tc>
        <w:tc>
          <w:tcPr>
            <w:tcW w:w="875" w:type="dxa"/>
          </w:tcPr>
          <w:p w14:paraId="661DBCB4" w14:textId="77777777" w:rsidR="00840E7A" w:rsidRPr="00900ADE" w:rsidRDefault="00840E7A">
            <w:pPr>
              <w:pStyle w:val="TableTextCentered"/>
              <w:rPr>
                <w:rFonts w:eastAsia="Times New Roman"/>
              </w:rPr>
            </w:pPr>
            <w:r w:rsidRPr="00900ADE">
              <w:rPr>
                <w:rFonts w:eastAsia="Times New Roman"/>
              </w:rPr>
              <w:t>5</w:t>
            </w:r>
          </w:p>
        </w:tc>
        <w:tc>
          <w:tcPr>
            <w:tcW w:w="875" w:type="dxa"/>
          </w:tcPr>
          <w:p w14:paraId="1DDD3616" w14:textId="77777777" w:rsidR="00840E7A" w:rsidRPr="00900ADE" w:rsidRDefault="00840E7A">
            <w:pPr>
              <w:pStyle w:val="TableTextCentered"/>
              <w:rPr>
                <w:rFonts w:eastAsia="Times New Roman"/>
              </w:rPr>
            </w:pPr>
            <w:r w:rsidRPr="00900ADE">
              <w:rPr>
                <w:rFonts w:eastAsia="Times New Roman"/>
              </w:rPr>
              <w:t>2</w:t>
            </w:r>
          </w:p>
        </w:tc>
        <w:tc>
          <w:tcPr>
            <w:tcW w:w="874" w:type="dxa"/>
          </w:tcPr>
          <w:p w14:paraId="4A70A4A9"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5E69C9D9"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1B717D99" w14:textId="77777777" w:rsidR="00840E7A" w:rsidRPr="00900ADE" w:rsidRDefault="00840E7A">
            <w:pPr>
              <w:pStyle w:val="TableTextCentered"/>
              <w:rPr>
                <w:rFonts w:eastAsia="Times New Roman"/>
              </w:rPr>
            </w:pPr>
            <w:r w:rsidRPr="00900ADE">
              <w:rPr>
                <w:rFonts w:eastAsia="Times New Roman"/>
              </w:rPr>
              <w:t>20</w:t>
            </w:r>
          </w:p>
        </w:tc>
        <w:tc>
          <w:tcPr>
            <w:tcW w:w="892" w:type="dxa"/>
          </w:tcPr>
          <w:p w14:paraId="6BEC2268" w14:textId="77777777" w:rsidR="00840E7A" w:rsidRPr="00900ADE" w:rsidRDefault="00840E7A">
            <w:pPr>
              <w:pStyle w:val="TableTextCentered"/>
              <w:rPr>
                <w:rFonts w:eastAsia="Times New Roman"/>
              </w:rPr>
            </w:pPr>
            <w:r w:rsidRPr="00900ADE">
              <w:rPr>
                <w:rFonts w:eastAsia="Times New Roman"/>
              </w:rPr>
              <w:t>2.7</w:t>
            </w:r>
          </w:p>
        </w:tc>
      </w:tr>
    </w:tbl>
    <w:bookmarkEnd w:id="158"/>
    <w:p w14:paraId="212AF432" w14:textId="77777777" w:rsidR="00840E7A" w:rsidRPr="00900ADE" w:rsidRDefault="00840E7A">
      <w:pPr>
        <w:pStyle w:val="TableNote"/>
        <w:rPr>
          <w:rFonts w:ascii="Franklin Gothic Book" w:hAnsi="Franklin Gothic Book"/>
        </w:rPr>
      </w:pPr>
      <w:r w:rsidRPr="00900ADE">
        <w:rPr>
          <w:rFonts w:ascii="Franklin Gothic Book" w:hAnsi="Franklin Gothic Book"/>
        </w:rPr>
        <w:t xml:space="preserve">*The district average is an average of the observation scores. In Table 13, the district average is computed as: </w:t>
      </w:r>
      <w:r w:rsidRPr="00900ADE">
        <w:rPr>
          <w:rFonts w:ascii="Franklin Gothic Book" w:hAnsi="Franklin Gothic Book"/>
        </w:rPr>
        <w:br/>
      </w:r>
      <w:bookmarkStart w:id="159" w:name="Dist_QF_Calc"/>
      <w:r w:rsidRPr="00900ADE">
        <w:rPr>
          <w:rFonts w:ascii="Franklin Gothic Book" w:hAnsi="Franklin Gothic Book"/>
        </w:rPr>
        <w:t>([1 x 11] + [2 x 18] + [3 x 17] + [4 x 15] + [5 x 9]) ÷ 70 observations = 2.9</w:t>
      </w:r>
      <w:bookmarkEnd w:id="159"/>
    </w:p>
    <w:p w14:paraId="07E6D7AB" w14:textId="77777777" w:rsidR="00840E7A" w:rsidRPr="00900ADE" w:rsidRDefault="00840E7A">
      <w:pPr>
        <w:pStyle w:val="BodyText"/>
      </w:pPr>
      <w:r w:rsidRPr="00900ADE">
        <w:rPr>
          <w:rStyle w:val="BodyTextDemiChar"/>
        </w:rPr>
        <w:t>Ratings in the Low Range.</w:t>
      </w:r>
      <w:r w:rsidRPr="00900ADE">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3DEC62C2" w14:textId="77777777" w:rsidR="00840E7A" w:rsidRPr="00900ADE" w:rsidRDefault="00840E7A">
      <w:pPr>
        <w:pStyle w:val="BodyText"/>
      </w:pPr>
      <w:r w:rsidRPr="00900ADE">
        <w:rPr>
          <w:rStyle w:val="BodyTextDemiChar"/>
        </w:rPr>
        <w:t>Ratings in the Middle Range.</w:t>
      </w:r>
      <w:r w:rsidRPr="00900ADE">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309589B0" w14:textId="77777777" w:rsidR="00840E7A" w:rsidRPr="00900ADE" w:rsidRDefault="00840E7A">
      <w:pPr>
        <w:pStyle w:val="BodyText"/>
      </w:pPr>
      <w:r w:rsidRPr="00900ADE">
        <w:rPr>
          <w:rStyle w:val="BodyTextDemiChar"/>
        </w:rPr>
        <w:t>Ratings in the High Range.</w:t>
      </w:r>
      <w:r w:rsidRPr="00900ADE">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73CFFD46" w14:textId="77777777" w:rsidR="00840E7A" w:rsidRPr="00900ADE" w:rsidRDefault="00840E7A">
      <w:pPr>
        <w:spacing w:after="160" w:line="259" w:lineRule="auto"/>
      </w:pPr>
      <w:r w:rsidRPr="00900ADE">
        <w:br w:type="page"/>
      </w:r>
    </w:p>
    <w:p w14:paraId="0D346C8E" w14:textId="77777777" w:rsidR="00840E7A" w:rsidRPr="00900ADE" w:rsidRDefault="00840E7A">
      <w:pPr>
        <w:pStyle w:val="Heading2-SIOR"/>
      </w:pPr>
      <w:bookmarkStart w:id="160" w:name="_Toc411329837"/>
      <w:bookmarkStart w:id="161" w:name="_Toc430114886"/>
      <w:bookmarkStart w:id="162" w:name="_Toc92194265"/>
      <w:r w:rsidRPr="00900ADE">
        <w:lastRenderedPageBreak/>
        <w:t>Language Modeling</w:t>
      </w:r>
      <w:bookmarkEnd w:id="160"/>
      <w:bookmarkEnd w:id="161"/>
      <w:bookmarkEnd w:id="162"/>
    </w:p>
    <w:p w14:paraId="2F353C75" w14:textId="77777777" w:rsidR="00840E7A" w:rsidRPr="00900ADE" w:rsidRDefault="00840E7A">
      <w:pPr>
        <w:pStyle w:val="BodyTextDomain"/>
      </w:pPr>
      <w:r w:rsidRPr="00900ADE">
        <w:t>Instructional Support domain, Grades K</w:t>
      </w:r>
      <w:r w:rsidRPr="00900ADE">
        <w:rPr>
          <w:rFonts w:ascii="Vijaya" w:hAnsi="Vijaya" w:cs="Vijaya"/>
        </w:rPr>
        <w:t xml:space="preserve">− </w:t>
      </w:r>
      <w:r w:rsidRPr="00900ADE">
        <w:t xml:space="preserve">3 </w:t>
      </w:r>
    </w:p>
    <w:p w14:paraId="285D292D" w14:textId="77777777" w:rsidR="00840E7A" w:rsidRPr="00900ADE" w:rsidRDefault="00840E7A">
      <w:pPr>
        <w:pStyle w:val="BodyText"/>
      </w:pPr>
      <w:r w:rsidRPr="00900ADE">
        <w:t>Language Modeling refers to the quality and amount of the teacher’s use of language stimulation and language facilitation techniques (</w:t>
      </w:r>
      <w:r w:rsidRPr="00900ADE">
        <w:rPr>
          <w:i/>
        </w:rPr>
        <w:t>CLASS K–3 Manual</w:t>
      </w:r>
      <w:r w:rsidRPr="00900ADE">
        <w:t>, p. 79).</w:t>
      </w:r>
    </w:p>
    <w:p w14:paraId="19016091" w14:textId="77777777" w:rsidR="00840E7A" w:rsidRPr="00900ADE" w:rsidRDefault="00840E7A">
      <w:pPr>
        <w:pStyle w:val="TableTitle0"/>
      </w:pPr>
      <w:r w:rsidRPr="00900ADE">
        <w:t>Table 14. Language Modeling: Number of Classrooms for Each Rating and District Average</w:t>
      </w:r>
    </w:p>
    <w:p w14:paraId="64E25D83" w14:textId="77777777" w:rsidR="00840E7A" w:rsidRPr="00900ADE" w:rsidRDefault="00840E7A">
      <w:pPr>
        <w:pStyle w:val="BodyTextDemi"/>
      </w:pPr>
      <w:r w:rsidRPr="00900ADE">
        <w:t xml:space="preserve">Language Modeling District Average*: </w:t>
      </w:r>
      <w:bookmarkStart w:id="163" w:name="Dist_LM_Avg"/>
      <w:r w:rsidRPr="00900ADE">
        <w:t>3.3</w:t>
      </w:r>
      <w:bookmarkEnd w:id="163"/>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3FCA5F1B"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5B2A4554" w14:textId="77777777" w:rsidR="00840E7A" w:rsidRPr="00900ADE" w:rsidRDefault="00840E7A" w:rsidP="00BB559C">
            <w:pPr>
              <w:pStyle w:val="TableColHeadingCenter"/>
              <w:rPr>
                <w:rFonts w:eastAsia="MS Mincho"/>
              </w:rPr>
            </w:pPr>
            <w:bookmarkStart w:id="164" w:name="Tbl_LM"/>
            <w:r w:rsidRPr="00900ADE">
              <w:rPr>
                <w:rFonts w:eastAsia="MS Mincho"/>
              </w:rPr>
              <w:t>Grade Band</w:t>
            </w:r>
          </w:p>
        </w:tc>
        <w:tc>
          <w:tcPr>
            <w:tcW w:w="874" w:type="dxa"/>
            <w:vAlign w:val="bottom"/>
          </w:tcPr>
          <w:p w14:paraId="7FB28014"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7DE873ED"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59B44441"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73AB66E0"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1196837B"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563ED2EF"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432EFF14"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7CFC7D73"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7D65A726"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60F0D8BB" w14:textId="77777777" w:rsidTr="00BB559C">
        <w:trPr>
          <w:jc w:val="center"/>
        </w:trPr>
        <w:tc>
          <w:tcPr>
            <w:tcW w:w="1431" w:type="dxa"/>
            <w:shd w:val="clear" w:color="auto" w:fill="D9E2F3" w:themeFill="accent5" w:themeFillTint="33"/>
          </w:tcPr>
          <w:p w14:paraId="51AF63DA" w14:textId="77777777" w:rsidR="00840E7A" w:rsidRPr="00900ADE" w:rsidRDefault="00840E7A">
            <w:pPr>
              <w:pStyle w:val="TableSubheadingCentered"/>
            </w:pPr>
          </w:p>
        </w:tc>
        <w:tc>
          <w:tcPr>
            <w:tcW w:w="874" w:type="dxa"/>
            <w:shd w:val="clear" w:color="auto" w:fill="D9E2F3" w:themeFill="accent5" w:themeFillTint="33"/>
          </w:tcPr>
          <w:p w14:paraId="50968241" w14:textId="77777777" w:rsidR="00840E7A" w:rsidRPr="00900ADE" w:rsidRDefault="00840E7A">
            <w:pPr>
              <w:pStyle w:val="TableSubheadingCentered"/>
            </w:pPr>
            <w:r w:rsidRPr="00900ADE">
              <w:t>1</w:t>
            </w:r>
          </w:p>
        </w:tc>
        <w:tc>
          <w:tcPr>
            <w:tcW w:w="874" w:type="dxa"/>
            <w:shd w:val="clear" w:color="auto" w:fill="D9E2F3" w:themeFill="accent5" w:themeFillTint="33"/>
          </w:tcPr>
          <w:p w14:paraId="390FCC35" w14:textId="77777777" w:rsidR="00840E7A" w:rsidRPr="00900ADE" w:rsidRDefault="00840E7A">
            <w:pPr>
              <w:pStyle w:val="TableSubheadingCentered"/>
            </w:pPr>
            <w:r w:rsidRPr="00900ADE">
              <w:t>2</w:t>
            </w:r>
          </w:p>
        </w:tc>
        <w:tc>
          <w:tcPr>
            <w:tcW w:w="874" w:type="dxa"/>
            <w:shd w:val="clear" w:color="auto" w:fill="D9E2F3" w:themeFill="accent5" w:themeFillTint="33"/>
          </w:tcPr>
          <w:p w14:paraId="2E19E9DE" w14:textId="77777777" w:rsidR="00840E7A" w:rsidRPr="00900ADE" w:rsidRDefault="00840E7A">
            <w:pPr>
              <w:pStyle w:val="TableSubheadingCentered"/>
            </w:pPr>
            <w:r w:rsidRPr="00900ADE">
              <w:t>3</w:t>
            </w:r>
          </w:p>
        </w:tc>
        <w:tc>
          <w:tcPr>
            <w:tcW w:w="875" w:type="dxa"/>
            <w:shd w:val="clear" w:color="auto" w:fill="D9E2F3" w:themeFill="accent5" w:themeFillTint="33"/>
          </w:tcPr>
          <w:p w14:paraId="332DB09B" w14:textId="77777777" w:rsidR="00840E7A" w:rsidRPr="00900ADE" w:rsidRDefault="00840E7A">
            <w:pPr>
              <w:pStyle w:val="TableSubheadingCentered"/>
            </w:pPr>
            <w:r w:rsidRPr="00900ADE">
              <w:t>4</w:t>
            </w:r>
          </w:p>
        </w:tc>
        <w:tc>
          <w:tcPr>
            <w:tcW w:w="875" w:type="dxa"/>
            <w:shd w:val="clear" w:color="auto" w:fill="D9E2F3" w:themeFill="accent5" w:themeFillTint="33"/>
          </w:tcPr>
          <w:p w14:paraId="7ADD04AB" w14:textId="77777777" w:rsidR="00840E7A" w:rsidRPr="00900ADE" w:rsidRDefault="00840E7A">
            <w:pPr>
              <w:pStyle w:val="TableSubheadingCentered"/>
            </w:pPr>
            <w:r w:rsidRPr="00900ADE">
              <w:t>5</w:t>
            </w:r>
          </w:p>
        </w:tc>
        <w:tc>
          <w:tcPr>
            <w:tcW w:w="874" w:type="dxa"/>
            <w:shd w:val="clear" w:color="auto" w:fill="D9E2F3" w:themeFill="accent5" w:themeFillTint="33"/>
          </w:tcPr>
          <w:p w14:paraId="0C091693" w14:textId="77777777" w:rsidR="00840E7A" w:rsidRPr="00900ADE" w:rsidRDefault="00840E7A">
            <w:pPr>
              <w:pStyle w:val="TableSubheadingCentered"/>
            </w:pPr>
            <w:r w:rsidRPr="00900ADE">
              <w:t>6</w:t>
            </w:r>
          </w:p>
        </w:tc>
        <w:tc>
          <w:tcPr>
            <w:tcW w:w="875" w:type="dxa"/>
            <w:shd w:val="clear" w:color="auto" w:fill="D9E2F3" w:themeFill="accent5" w:themeFillTint="33"/>
          </w:tcPr>
          <w:p w14:paraId="53B3C205" w14:textId="77777777" w:rsidR="00840E7A" w:rsidRPr="00900ADE" w:rsidRDefault="00840E7A">
            <w:pPr>
              <w:pStyle w:val="TableSubheadingCentered"/>
            </w:pPr>
            <w:r w:rsidRPr="00900ADE">
              <w:t>7</w:t>
            </w:r>
          </w:p>
        </w:tc>
        <w:tc>
          <w:tcPr>
            <w:tcW w:w="900" w:type="dxa"/>
            <w:shd w:val="clear" w:color="auto" w:fill="D9E2F3" w:themeFill="accent5" w:themeFillTint="33"/>
          </w:tcPr>
          <w:p w14:paraId="322711A2" w14:textId="77777777" w:rsidR="00840E7A" w:rsidRPr="00900ADE" w:rsidRDefault="00840E7A">
            <w:pPr>
              <w:pStyle w:val="TableSubheadingCentered"/>
            </w:pPr>
            <w:r w:rsidRPr="00900ADE">
              <w:t>23</w:t>
            </w:r>
          </w:p>
        </w:tc>
        <w:tc>
          <w:tcPr>
            <w:tcW w:w="892" w:type="dxa"/>
            <w:shd w:val="clear" w:color="auto" w:fill="D9E2F3" w:themeFill="accent5" w:themeFillTint="33"/>
          </w:tcPr>
          <w:p w14:paraId="1FDC4932" w14:textId="77777777" w:rsidR="00840E7A" w:rsidRPr="00900ADE" w:rsidRDefault="00840E7A">
            <w:pPr>
              <w:pStyle w:val="TableSubheadingCentered"/>
            </w:pPr>
            <w:r w:rsidRPr="00900ADE">
              <w:t>3.3</w:t>
            </w:r>
          </w:p>
        </w:tc>
      </w:tr>
      <w:tr w:rsidR="00840E7A" w:rsidRPr="00900ADE" w14:paraId="00A4AF52" w14:textId="77777777" w:rsidTr="00BB559C">
        <w:trPr>
          <w:jc w:val="center"/>
        </w:trPr>
        <w:tc>
          <w:tcPr>
            <w:tcW w:w="1431" w:type="dxa"/>
          </w:tcPr>
          <w:p w14:paraId="12B76869" w14:textId="77777777" w:rsidR="00840E7A" w:rsidRPr="00900ADE" w:rsidRDefault="00840E7A">
            <w:pPr>
              <w:pStyle w:val="TableText"/>
            </w:pPr>
            <w:r w:rsidRPr="00900ADE">
              <w:t>Grades K-3**</w:t>
            </w:r>
          </w:p>
        </w:tc>
        <w:tc>
          <w:tcPr>
            <w:tcW w:w="874" w:type="dxa"/>
          </w:tcPr>
          <w:p w14:paraId="212D3BE5"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5F5F790F" w14:textId="77777777" w:rsidR="00840E7A" w:rsidRPr="00900ADE" w:rsidRDefault="00840E7A">
            <w:pPr>
              <w:pStyle w:val="TableTextCentered"/>
              <w:rPr>
                <w:rFonts w:eastAsia="Times New Roman"/>
              </w:rPr>
            </w:pPr>
            <w:r w:rsidRPr="00900ADE">
              <w:rPr>
                <w:rFonts w:eastAsia="Times New Roman"/>
              </w:rPr>
              <w:t>4</w:t>
            </w:r>
          </w:p>
        </w:tc>
        <w:tc>
          <w:tcPr>
            <w:tcW w:w="874" w:type="dxa"/>
          </w:tcPr>
          <w:p w14:paraId="6CB42F7B" w14:textId="77777777" w:rsidR="00840E7A" w:rsidRPr="00900ADE" w:rsidRDefault="00840E7A">
            <w:pPr>
              <w:pStyle w:val="TableTextCentered"/>
              <w:rPr>
                <w:rFonts w:eastAsia="Times New Roman"/>
              </w:rPr>
            </w:pPr>
            <w:r w:rsidRPr="00900ADE">
              <w:rPr>
                <w:rFonts w:eastAsia="Times New Roman"/>
              </w:rPr>
              <w:t>7</w:t>
            </w:r>
          </w:p>
        </w:tc>
        <w:tc>
          <w:tcPr>
            <w:tcW w:w="875" w:type="dxa"/>
          </w:tcPr>
          <w:p w14:paraId="578E6543" w14:textId="77777777" w:rsidR="00840E7A" w:rsidRPr="00900ADE" w:rsidRDefault="00840E7A">
            <w:pPr>
              <w:pStyle w:val="TableTextCentered"/>
              <w:rPr>
                <w:rFonts w:eastAsia="Times New Roman"/>
              </w:rPr>
            </w:pPr>
            <w:r w:rsidRPr="00900ADE">
              <w:rPr>
                <w:rFonts w:eastAsia="Times New Roman"/>
              </w:rPr>
              <w:t>9</w:t>
            </w:r>
          </w:p>
        </w:tc>
        <w:tc>
          <w:tcPr>
            <w:tcW w:w="875" w:type="dxa"/>
          </w:tcPr>
          <w:p w14:paraId="0CCFA49E"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14EAFCBF"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15EED978"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07199F46" w14:textId="77777777" w:rsidR="00840E7A" w:rsidRPr="00900ADE" w:rsidRDefault="00840E7A">
            <w:pPr>
              <w:pStyle w:val="TableTextCentered"/>
              <w:rPr>
                <w:rFonts w:eastAsia="Times New Roman"/>
              </w:rPr>
            </w:pPr>
            <w:r w:rsidRPr="00900ADE">
              <w:rPr>
                <w:rFonts w:eastAsia="Times New Roman"/>
              </w:rPr>
              <w:t>23</w:t>
            </w:r>
          </w:p>
        </w:tc>
        <w:tc>
          <w:tcPr>
            <w:tcW w:w="892" w:type="dxa"/>
          </w:tcPr>
          <w:p w14:paraId="7CFFE943" w14:textId="77777777" w:rsidR="00840E7A" w:rsidRPr="00900ADE" w:rsidRDefault="00840E7A">
            <w:pPr>
              <w:pStyle w:val="TableTextCentered"/>
              <w:rPr>
                <w:rFonts w:eastAsia="Times New Roman"/>
              </w:rPr>
            </w:pPr>
            <w:r w:rsidRPr="00900ADE">
              <w:rPr>
                <w:rFonts w:eastAsia="Times New Roman"/>
              </w:rPr>
              <w:t>3.3</w:t>
            </w:r>
          </w:p>
        </w:tc>
      </w:tr>
    </w:tbl>
    <w:bookmarkEnd w:id="164"/>
    <w:p w14:paraId="48E6998E" w14:textId="77777777" w:rsidR="00840E7A" w:rsidRPr="00900ADE" w:rsidRDefault="00840E7A">
      <w:pPr>
        <w:pStyle w:val="TableNote"/>
      </w:pPr>
      <w:r w:rsidRPr="00900ADE">
        <w:t xml:space="preserve">*The district average is an average of the observation scores. In Table 14, the district average is computed as: </w:t>
      </w:r>
      <w:r w:rsidRPr="00900ADE">
        <w:br/>
      </w:r>
      <w:bookmarkStart w:id="165" w:name="Dist_LM_Calc"/>
      <w:r w:rsidRPr="00900ADE">
        <w:t>([1 x 1] + [2 x 4] + [3 x 7] + [4 x 9] + [5 x 1] + [6 x 1]) ÷ 23 observations = 3.3</w:t>
      </w:r>
      <w:bookmarkEnd w:id="165"/>
    </w:p>
    <w:p w14:paraId="519DC257" w14:textId="77777777" w:rsidR="00840E7A" w:rsidRPr="00900ADE" w:rsidRDefault="00840E7A">
      <w:pPr>
        <w:pStyle w:val="TableNote"/>
      </w:pPr>
      <w:r w:rsidRPr="00900ADE">
        <w:t>**Language Modeling does not appear in the CLASS Upper Elementary Manual, therefore scores for the Elementary School Level represent grades K-3 only.</w:t>
      </w:r>
    </w:p>
    <w:p w14:paraId="2C355C2C" w14:textId="77777777" w:rsidR="00840E7A" w:rsidRPr="00900ADE" w:rsidRDefault="00840E7A">
      <w:pPr>
        <w:pStyle w:val="BodyText"/>
      </w:pPr>
      <w:r w:rsidRPr="00900ADE">
        <w:rPr>
          <w:rStyle w:val="BodyTextDemiChar"/>
        </w:rPr>
        <w:t>Ratings in the Low Range.</w:t>
      </w:r>
      <w:r w:rsidRPr="00900ADE">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161DD24A" w14:textId="77777777" w:rsidR="00840E7A" w:rsidRPr="00900ADE" w:rsidRDefault="00840E7A">
      <w:pPr>
        <w:pStyle w:val="BodyText"/>
      </w:pPr>
      <w:r w:rsidRPr="00900ADE">
        <w:rPr>
          <w:rStyle w:val="BodyTextDemiChar"/>
        </w:rPr>
        <w:t>Ratings in the Middle Range.</w:t>
      </w:r>
      <w:r w:rsidRPr="00900ADE">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11190D3E" w14:textId="77777777" w:rsidR="00840E7A" w:rsidRPr="00900ADE" w:rsidRDefault="00840E7A">
      <w:pPr>
        <w:pStyle w:val="BodyText"/>
      </w:pPr>
      <w:r w:rsidRPr="00900ADE">
        <w:rPr>
          <w:rStyle w:val="BodyTextDemiChar"/>
        </w:rPr>
        <w:t>Ratings in the High Range.</w:t>
      </w:r>
      <w:r w:rsidRPr="00900ADE">
        <w:rPr>
          <w:b/>
        </w:rPr>
        <w:t xml:space="preserve"> </w:t>
      </w:r>
      <w:r w:rsidRPr="00900ADE">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091DCB62" w14:textId="77777777" w:rsidR="00840E7A" w:rsidRPr="004530C5" w:rsidRDefault="00840E7A">
      <w:pPr>
        <w:pStyle w:val="Heading2-SIOR"/>
        <w:rPr>
          <w:lang w:val="fr-FR"/>
        </w:rPr>
      </w:pPr>
      <w:bookmarkStart w:id="166" w:name="_Toc379881745"/>
      <w:bookmarkStart w:id="167" w:name="_Toc411329838"/>
      <w:bookmarkStart w:id="168" w:name="_Toc430114887"/>
      <w:bookmarkStart w:id="169" w:name="_Toc92194266"/>
      <w:r w:rsidRPr="004530C5">
        <w:rPr>
          <w:lang w:val="fr-FR"/>
        </w:rPr>
        <w:lastRenderedPageBreak/>
        <w:t>Instructional Dialogue</w:t>
      </w:r>
      <w:bookmarkEnd w:id="166"/>
      <w:bookmarkEnd w:id="167"/>
      <w:bookmarkEnd w:id="168"/>
      <w:bookmarkEnd w:id="169"/>
      <w:r w:rsidRPr="004530C5">
        <w:rPr>
          <w:lang w:val="fr-FR"/>
        </w:rPr>
        <w:t xml:space="preserve"> </w:t>
      </w:r>
    </w:p>
    <w:p w14:paraId="5710297E" w14:textId="77777777" w:rsidR="00840E7A" w:rsidRPr="004530C5" w:rsidRDefault="00840E7A">
      <w:pPr>
        <w:pStyle w:val="BodyTextDomain"/>
        <w:rPr>
          <w:lang w:val="fr-FR"/>
        </w:rPr>
      </w:pPr>
      <w:r w:rsidRPr="004530C5">
        <w:rPr>
          <w:lang w:val="fr-FR"/>
        </w:rPr>
        <w:t xml:space="preserve">Instructional Support </w:t>
      </w:r>
      <w:proofErr w:type="spellStart"/>
      <w:r w:rsidRPr="004530C5">
        <w:rPr>
          <w:lang w:val="fr-FR"/>
        </w:rPr>
        <w:t>domain</w:t>
      </w:r>
      <w:proofErr w:type="spellEnd"/>
      <w:r w:rsidRPr="004530C5">
        <w:rPr>
          <w:lang w:val="fr-FR"/>
        </w:rPr>
        <w:t>, Grades 4</w:t>
      </w:r>
      <w:r w:rsidRPr="004530C5">
        <w:rPr>
          <w:rFonts w:ascii="Vijaya" w:hAnsi="Vijaya" w:cs="Vijaya"/>
          <w:lang w:val="fr-FR"/>
        </w:rPr>
        <w:t xml:space="preserve">− </w:t>
      </w:r>
      <w:r w:rsidRPr="004530C5">
        <w:rPr>
          <w:lang w:val="fr-FR"/>
        </w:rPr>
        <w:t>12</w:t>
      </w:r>
    </w:p>
    <w:p w14:paraId="2214BE23" w14:textId="77777777" w:rsidR="00840E7A" w:rsidRPr="00900ADE" w:rsidRDefault="00840E7A">
      <w:pPr>
        <w:pStyle w:val="BodyText"/>
      </w:pPr>
      <w:r w:rsidRPr="00900ADE">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900ADE">
        <w:rPr>
          <w:i/>
        </w:rPr>
        <w:t>CLASS Upper Elementary Manual</w:t>
      </w:r>
      <w:r w:rsidRPr="00900ADE">
        <w:t xml:space="preserve">, p. 97, </w:t>
      </w:r>
      <w:r w:rsidRPr="00900ADE">
        <w:rPr>
          <w:i/>
        </w:rPr>
        <w:t>CLASS Secondary Manual</w:t>
      </w:r>
      <w:r w:rsidRPr="00900ADE">
        <w:t>, p. 101).</w:t>
      </w:r>
    </w:p>
    <w:p w14:paraId="10CF05C1" w14:textId="77777777" w:rsidR="00840E7A" w:rsidRPr="00900ADE" w:rsidRDefault="00840E7A">
      <w:pPr>
        <w:pStyle w:val="TableTitle0"/>
        <w:rPr>
          <w:spacing w:val="-4"/>
        </w:rPr>
      </w:pPr>
      <w:r w:rsidRPr="00900ADE">
        <w:rPr>
          <w:spacing w:val="-4"/>
        </w:rPr>
        <w:t>Table 15. Instructional Dialogue: Number of Classrooms for Each Rating and District Average</w:t>
      </w:r>
    </w:p>
    <w:p w14:paraId="711C8A10" w14:textId="77777777" w:rsidR="00840E7A" w:rsidRPr="00900ADE" w:rsidRDefault="00840E7A">
      <w:pPr>
        <w:pStyle w:val="BodyTextDemi"/>
      </w:pPr>
      <w:r w:rsidRPr="00900ADE">
        <w:t xml:space="preserve">Instructional Dialogue District Average*: </w:t>
      </w:r>
      <w:bookmarkStart w:id="170" w:name="Dist_ID_Avg"/>
      <w:r w:rsidRPr="00900ADE">
        <w:t>2.7</w:t>
      </w:r>
      <w:bookmarkEnd w:id="170"/>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57405CCB"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6EE9768E" w14:textId="77777777" w:rsidR="00840E7A" w:rsidRPr="00510408" w:rsidRDefault="00840E7A" w:rsidP="00BB559C">
            <w:pPr>
              <w:pStyle w:val="TableColHeadingCenter"/>
              <w:rPr>
                <w:rFonts w:eastAsia="MS Mincho"/>
              </w:rPr>
            </w:pPr>
            <w:bookmarkStart w:id="171" w:name="Tbl_ID"/>
            <w:r w:rsidRPr="00510408">
              <w:rPr>
                <w:rFonts w:eastAsia="MS Mincho"/>
              </w:rPr>
              <w:t>Grade Band</w:t>
            </w:r>
          </w:p>
        </w:tc>
        <w:tc>
          <w:tcPr>
            <w:tcW w:w="874" w:type="dxa"/>
            <w:vAlign w:val="bottom"/>
          </w:tcPr>
          <w:p w14:paraId="0D761169"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0586AB4F"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1A66B817"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71B0FB48"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2DA4EA73"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2AC309D5"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175CF1DE"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63B7A20B"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16D07C61"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0DD75B93" w14:textId="77777777" w:rsidTr="00BB559C">
        <w:trPr>
          <w:jc w:val="center"/>
        </w:trPr>
        <w:tc>
          <w:tcPr>
            <w:tcW w:w="1431" w:type="dxa"/>
            <w:shd w:val="clear" w:color="auto" w:fill="D9E2F3" w:themeFill="accent5" w:themeFillTint="33"/>
          </w:tcPr>
          <w:p w14:paraId="5B34C37E" w14:textId="77777777" w:rsidR="00840E7A" w:rsidRPr="00900ADE" w:rsidRDefault="00840E7A">
            <w:pPr>
              <w:pStyle w:val="TableSubheadingCentered"/>
            </w:pPr>
          </w:p>
        </w:tc>
        <w:tc>
          <w:tcPr>
            <w:tcW w:w="874" w:type="dxa"/>
            <w:shd w:val="clear" w:color="auto" w:fill="D9E2F3" w:themeFill="accent5" w:themeFillTint="33"/>
          </w:tcPr>
          <w:p w14:paraId="123C9A42" w14:textId="77777777" w:rsidR="00840E7A" w:rsidRPr="00900ADE" w:rsidRDefault="00840E7A">
            <w:pPr>
              <w:pStyle w:val="TableSubheadingCentered"/>
            </w:pPr>
            <w:r w:rsidRPr="00900ADE">
              <w:t>1</w:t>
            </w:r>
          </w:p>
        </w:tc>
        <w:tc>
          <w:tcPr>
            <w:tcW w:w="874" w:type="dxa"/>
            <w:shd w:val="clear" w:color="auto" w:fill="D9E2F3" w:themeFill="accent5" w:themeFillTint="33"/>
          </w:tcPr>
          <w:p w14:paraId="39F69584" w14:textId="77777777" w:rsidR="00840E7A" w:rsidRPr="00900ADE" w:rsidRDefault="00840E7A">
            <w:pPr>
              <w:pStyle w:val="TableSubheadingCentered"/>
            </w:pPr>
            <w:r w:rsidRPr="00900ADE">
              <w:t>2</w:t>
            </w:r>
          </w:p>
        </w:tc>
        <w:tc>
          <w:tcPr>
            <w:tcW w:w="874" w:type="dxa"/>
            <w:shd w:val="clear" w:color="auto" w:fill="D9E2F3" w:themeFill="accent5" w:themeFillTint="33"/>
          </w:tcPr>
          <w:p w14:paraId="43D2C3FE" w14:textId="77777777" w:rsidR="00840E7A" w:rsidRPr="00900ADE" w:rsidRDefault="00840E7A">
            <w:pPr>
              <w:pStyle w:val="TableSubheadingCentered"/>
            </w:pPr>
            <w:r w:rsidRPr="00900ADE">
              <w:t>3</w:t>
            </w:r>
          </w:p>
        </w:tc>
        <w:tc>
          <w:tcPr>
            <w:tcW w:w="875" w:type="dxa"/>
            <w:shd w:val="clear" w:color="auto" w:fill="D9E2F3" w:themeFill="accent5" w:themeFillTint="33"/>
          </w:tcPr>
          <w:p w14:paraId="07B5B55A" w14:textId="77777777" w:rsidR="00840E7A" w:rsidRPr="00900ADE" w:rsidRDefault="00840E7A">
            <w:pPr>
              <w:pStyle w:val="TableSubheadingCentered"/>
            </w:pPr>
            <w:r w:rsidRPr="00900ADE">
              <w:t>4</w:t>
            </w:r>
          </w:p>
        </w:tc>
        <w:tc>
          <w:tcPr>
            <w:tcW w:w="875" w:type="dxa"/>
            <w:shd w:val="clear" w:color="auto" w:fill="D9E2F3" w:themeFill="accent5" w:themeFillTint="33"/>
          </w:tcPr>
          <w:p w14:paraId="60FAFB82" w14:textId="77777777" w:rsidR="00840E7A" w:rsidRPr="00900ADE" w:rsidRDefault="00840E7A">
            <w:pPr>
              <w:pStyle w:val="TableSubheadingCentered"/>
            </w:pPr>
            <w:r w:rsidRPr="00900ADE">
              <w:t>5</w:t>
            </w:r>
          </w:p>
        </w:tc>
        <w:tc>
          <w:tcPr>
            <w:tcW w:w="874" w:type="dxa"/>
            <w:shd w:val="clear" w:color="auto" w:fill="D9E2F3" w:themeFill="accent5" w:themeFillTint="33"/>
          </w:tcPr>
          <w:p w14:paraId="178FA4D0" w14:textId="77777777" w:rsidR="00840E7A" w:rsidRPr="00900ADE" w:rsidRDefault="00840E7A">
            <w:pPr>
              <w:pStyle w:val="TableSubheadingCentered"/>
            </w:pPr>
            <w:r w:rsidRPr="00900ADE">
              <w:t>6</w:t>
            </w:r>
          </w:p>
        </w:tc>
        <w:tc>
          <w:tcPr>
            <w:tcW w:w="875" w:type="dxa"/>
            <w:shd w:val="clear" w:color="auto" w:fill="D9E2F3" w:themeFill="accent5" w:themeFillTint="33"/>
          </w:tcPr>
          <w:p w14:paraId="7CB27954" w14:textId="77777777" w:rsidR="00840E7A" w:rsidRPr="00900ADE" w:rsidRDefault="00840E7A">
            <w:pPr>
              <w:pStyle w:val="TableSubheadingCentered"/>
            </w:pPr>
            <w:r w:rsidRPr="00900ADE">
              <w:t>7</w:t>
            </w:r>
          </w:p>
        </w:tc>
        <w:tc>
          <w:tcPr>
            <w:tcW w:w="900" w:type="dxa"/>
            <w:shd w:val="clear" w:color="auto" w:fill="D9E2F3" w:themeFill="accent5" w:themeFillTint="33"/>
          </w:tcPr>
          <w:p w14:paraId="65E58D70" w14:textId="77777777" w:rsidR="00840E7A" w:rsidRPr="00900ADE" w:rsidRDefault="00840E7A">
            <w:pPr>
              <w:pStyle w:val="TableSubheadingCentered"/>
            </w:pPr>
            <w:r w:rsidRPr="00900ADE">
              <w:t>47</w:t>
            </w:r>
          </w:p>
        </w:tc>
        <w:tc>
          <w:tcPr>
            <w:tcW w:w="892" w:type="dxa"/>
            <w:shd w:val="clear" w:color="auto" w:fill="D9E2F3" w:themeFill="accent5" w:themeFillTint="33"/>
          </w:tcPr>
          <w:p w14:paraId="327000B1" w14:textId="77777777" w:rsidR="00840E7A" w:rsidRPr="00900ADE" w:rsidRDefault="00840E7A">
            <w:pPr>
              <w:pStyle w:val="TableSubheadingCentered"/>
            </w:pPr>
            <w:r w:rsidRPr="00900ADE">
              <w:t>2.7</w:t>
            </w:r>
          </w:p>
        </w:tc>
      </w:tr>
      <w:tr w:rsidR="00840E7A" w:rsidRPr="00900ADE" w14:paraId="689AC08D" w14:textId="77777777" w:rsidTr="00BB559C">
        <w:trPr>
          <w:jc w:val="center"/>
        </w:trPr>
        <w:tc>
          <w:tcPr>
            <w:tcW w:w="1431" w:type="dxa"/>
          </w:tcPr>
          <w:p w14:paraId="19E0BEA4" w14:textId="77777777" w:rsidR="00840E7A" w:rsidRPr="00900ADE" w:rsidRDefault="00840E7A">
            <w:pPr>
              <w:pStyle w:val="TableText"/>
            </w:pPr>
            <w:r w:rsidRPr="00900ADE">
              <w:t>Grades 4-5**</w:t>
            </w:r>
          </w:p>
        </w:tc>
        <w:tc>
          <w:tcPr>
            <w:tcW w:w="874" w:type="dxa"/>
          </w:tcPr>
          <w:p w14:paraId="5DFE61CF" w14:textId="77777777" w:rsidR="00840E7A" w:rsidRPr="00900ADE" w:rsidRDefault="00840E7A">
            <w:pPr>
              <w:pStyle w:val="TableTextCentered"/>
              <w:rPr>
                <w:rFonts w:eastAsia="Times New Roman"/>
              </w:rPr>
            </w:pPr>
            <w:r w:rsidRPr="00900ADE">
              <w:rPr>
                <w:rFonts w:eastAsia="Times New Roman"/>
              </w:rPr>
              <w:t>3</w:t>
            </w:r>
          </w:p>
        </w:tc>
        <w:tc>
          <w:tcPr>
            <w:tcW w:w="874" w:type="dxa"/>
          </w:tcPr>
          <w:p w14:paraId="02FB1FF0" w14:textId="77777777" w:rsidR="00840E7A" w:rsidRPr="00900ADE" w:rsidRDefault="00840E7A">
            <w:pPr>
              <w:pStyle w:val="TableTextCentered"/>
              <w:rPr>
                <w:rFonts w:eastAsia="Times New Roman"/>
              </w:rPr>
            </w:pPr>
            <w:r w:rsidRPr="00900ADE">
              <w:rPr>
                <w:rFonts w:eastAsia="Times New Roman"/>
              </w:rPr>
              <w:t>2</w:t>
            </w:r>
          </w:p>
        </w:tc>
        <w:tc>
          <w:tcPr>
            <w:tcW w:w="874" w:type="dxa"/>
          </w:tcPr>
          <w:p w14:paraId="7704F694"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1474750C"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52BAF957"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69FC7058"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146ED5D5"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7B0E1B80" w14:textId="77777777" w:rsidR="00840E7A" w:rsidRPr="00900ADE" w:rsidRDefault="00840E7A">
            <w:pPr>
              <w:pStyle w:val="TableTextCentered"/>
              <w:rPr>
                <w:rFonts w:eastAsia="Times New Roman"/>
              </w:rPr>
            </w:pPr>
            <w:r w:rsidRPr="00900ADE">
              <w:rPr>
                <w:rFonts w:eastAsia="Times New Roman"/>
              </w:rPr>
              <w:t>11</w:t>
            </w:r>
          </w:p>
        </w:tc>
        <w:tc>
          <w:tcPr>
            <w:tcW w:w="892" w:type="dxa"/>
          </w:tcPr>
          <w:p w14:paraId="6741F682" w14:textId="77777777" w:rsidR="00840E7A" w:rsidRPr="00900ADE" w:rsidRDefault="00840E7A">
            <w:pPr>
              <w:pStyle w:val="TableTextCentered"/>
              <w:rPr>
                <w:rFonts w:eastAsia="Times New Roman"/>
              </w:rPr>
            </w:pPr>
            <w:r w:rsidRPr="00900ADE">
              <w:rPr>
                <w:rFonts w:eastAsia="Times New Roman"/>
              </w:rPr>
              <w:t>2.9</w:t>
            </w:r>
          </w:p>
        </w:tc>
      </w:tr>
      <w:tr w:rsidR="00840E7A" w:rsidRPr="00900ADE" w14:paraId="450717FA" w14:textId="77777777" w:rsidTr="00BB559C">
        <w:trPr>
          <w:jc w:val="center"/>
        </w:trPr>
        <w:tc>
          <w:tcPr>
            <w:tcW w:w="1431" w:type="dxa"/>
          </w:tcPr>
          <w:p w14:paraId="13D9CD92" w14:textId="77777777" w:rsidR="00840E7A" w:rsidRPr="00900ADE" w:rsidRDefault="00840E7A">
            <w:pPr>
              <w:pStyle w:val="TableText"/>
            </w:pPr>
            <w:r w:rsidRPr="00900ADE">
              <w:t>Grades 6-8</w:t>
            </w:r>
          </w:p>
        </w:tc>
        <w:tc>
          <w:tcPr>
            <w:tcW w:w="874" w:type="dxa"/>
          </w:tcPr>
          <w:p w14:paraId="25B0268B" w14:textId="77777777" w:rsidR="00840E7A" w:rsidRPr="00900ADE" w:rsidRDefault="00840E7A">
            <w:pPr>
              <w:pStyle w:val="TableTextCentered"/>
              <w:rPr>
                <w:rFonts w:eastAsia="Times New Roman"/>
              </w:rPr>
            </w:pPr>
            <w:r w:rsidRPr="00900ADE">
              <w:rPr>
                <w:rFonts w:eastAsia="Times New Roman"/>
              </w:rPr>
              <w:t>3</w:t>
            </w:r>
          </w:p>
        </w:tc>
        <w:tc>
          <w:tcPr>
            <w:tcW w:w="874" w:type="dxa"/>
          </w:tcPr>
          <w:p w14:paraId="71C3676D" w14:textId="77777777" w:rsidR="00840E7A" w:rsidRPr="00900ADE" w:rsidRDefault="00840E7A">
            <w:pPr>
              <w:pStyle w:val="TableTextCentered"/>
              <w:rPr>
                <w:rFonts w:eastAsia="Times New Roman"/>
              </w:rPr>
            </w:pPr>
            <w:r w:rsidRPr="00900ADE">
              <w:rPr>
                <w:rFonts w:eastAsia="Times New Roman"/>
              </w:rPr>
              <w:t>6</w:t>
            </w:r>
          </w:p>
        </w:tc>
        <w:tc>
          <w:tcPr>
            <w:tcW w:w="874" w:type="dxa"/>
          </w:tcPr>
          <w:p w14:paraId="7063C4FE" w14:textId="77777777" w:rsidR="00840E7A" w:rsidRPr="00900ADE" w:rsidRDefault="00840E7A">
            <w:pPr>
              <w:pStyle w:val="TableTextCentered"/>
              <w:rPr>
                <w:rFonts w:eastAsia="Times New Roman"/>
              </w:rPr>
            </w:pPr>
            <w:r w:rsidRPr="00900ADE">
              <w:rPr>
                <w:rFonts w:eastAsia="Times New Roman"/>
              </w:rPr>
              <w:t>5</w:t>
            </w:r>
          </w:p>
        </w:tc>
        <w:tc>
          <w:tcPr>
            <w:tcW w:w="875" w:type="dxa"/>
          </w:tcPr>
          <w:p w14:paraId="3E8942FA"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32DB50A8"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22B1FCB9"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213907D2"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23EDC920" w14:textId="77777777" w:rsidR="00840E7A" w:rsidRPr="00900ADE" w:rsidRDefault="00840E7A">
            <w:pPr>
              <w:pStyle w:val="TableTextCentered"/>
              <w:rPr>
                <w:rFonts w:eastAsia="Times New Roman"/>
              </w:rPr>
            </w:pPr>
            <w:r w:rsidRPr="00900ADE">
              <w:rPr>
                <w:rFonts w:eastAsia="Times New Roman"/>
              </w:rPr>
              <w:t>16</w:t>
            </w:r>
          </w:p>
        </w:tc>
        <w:tc>
          <w:tcPr>
            <w:tcW w:w="892" w:type="dxa"/>
          </w:tcPr>
          <w:p w14:paraId="74498F30" w14:textId="77777777" w:rsidR="00840E7A" w:rsidRPr="00900ADE" w:rsidRDefault="00840E7A">
            <w:pPr>
              <w:pStyle w:val="TableTextCentered"/>
              <w:rPr>
                <w:rFonts w:eastAsia="Times New Roman"/>
              </w:rPr>
            </w:pPr>
            <w:r w:rsidRPr="00900ADE">
              <w:rPr>
                <w:rFonts w:eastAsia="Times New Roman"/>
              </w:rPr>
              <w:t>2.4</w:t>
            </w:r>
          </w:p>
        </w:tc>
      </w:tr>
      <w:tr w:rsidR="00840E7A" w:rsidRPr="00900ADE" w14:paraId="611DAE51" w14:textId="77777777" w:rsidTr="00BB559C">
        <w:trPr>
          <w:jc w:val="center"/>
        </w:trPr>
        <w:tc>
          <w:tcPr>
            <w:tcW w:w="1431" w:type="dxa"/>
          </w:tcPr>
          <w:p w14:paraId="3C2FAF42" w14:textId="77777777" w:rsidR="00840E7A" w:rsidRPr="00900ADE" w:rsidRDefault="00840E7A">
            <w:pPr>
              <w:pStyle w:val="TableText"/>
            </w:pPr>
            <w:r w:rsidRPr="00900ADE">
              <w:t>Grades 9-12</w:t>
            </w:r>
          </w:p>
        </w:tc>
        <w:tc>
          <w:tcPr>
            <w:tcW w:w="874" w:type="dxa"/>
          </w:tcPr>
          <w:p w14:paraId="0C633DDD" w14:textId="77777777" w:rsidR="00840E7A" w:rsidRPr="00900ADE" w:rsidRDefault="00840E7A">
            <w:pPr>
              <w:pStyle w:val="TableTextCentered"/>
              <w:rPr>
                <w:rFonts w:eastAsia="Times New Roman"/>
              </w:rPr>
            </w:pPr>
            <w:r w:rsidRPr="00900ADE">
              <w:rPr>
                <w:rFonts w:eastAsia="Times New Roman"/>
              </w:rPr>
              <w:t>5</w:t>
            </w:r>
          </w:p>
        </w:tc>
        <w:tc>
          <w:tcPr>
            <w:tcW w:w="874" w:type="dxa"/>
          </w:tcPr>
          <w:p w14:paraId="5648F451" w14:textId="77777777" w:rsidR="00840E7A" w:rsidRPr="00900ADE" w:rsidRDefault="00840E7A">
            <w:pPr>
              <w:pStyle w:val="TableTextCentered"/>
              <w:rPr>
                <w:rFonts w:eastAsia="Times New Roman"/>
              </w:rPr>
            </w:pPr>
            <w:r w:rsidRPr="00900ADE">
              <w:rPr>
                <w:rFonts w:eastAsia="Times New Roman"/>
              </w:rPr>
              <w:t>4</w:t>
            </w:r>
          </w:p>
        </w:tc>
        <w:tc>
          <w:tcPr>
            <w:tcW w:w="874" w:type="dxa"/>
          </w:tcPr>
          <w:p w14:paraId="47D1A7A2" w14:textId="77777777" w:rsidR="00840E7A" w:rsidRPr="00900ADE" w:rsidRDefault="00840E7A">
            <w:pPr>
              <w:pStyle w:val="TableTextCentered"/>
              <w:rPr>
                <w:rFonts w:eastAsia="Times New Roman"/>
              </w:rPr>
            </w:pPr>
            <w:r w:rsidRPr="00900ADE">
              <w:rPr>
                <w:rFonts w:eastAsia="Times New Roman"/>
              </w:rPr>
              <w:t>5</w:t>
            </w:r>
          </w:p>
        </w:tc>
        <w:tc>
          <w:tcPr>
            <w:tcW w:w="875" w:type="dxa"/>
          </w:tcPr>
          <w:p w14:paraId="5118D462" w14:textId="77777777" w:rsidR="00840E7A" w:rsidRPr="00900ADE" w:rsidRDefault="00840E7A">
            <w:pPr>
              <w:pStyle w:val="TableTextCentered"/>
              <w:rPr>
                <w:rFonts w:eastAsia="Times New Roman"/>
              </w:rPr>
            </w:pPr>
            <w:r w:rsidRPr="00900ADE">
              <w:rPr>
                <w:rFonts w:eastAsia="Times New Roman"/>
              </w:rPr>
              <w:t>4</w:t>
            </w:r>
          </w:p>
        </w:tc>
        <w:tc>
          <w:tcPr>
            <w:tcW w:w="875" w:type="dxa"/>
          </w:tcPr>
          <w:p w14:paraId="409887F9" w14:textId="77777777" w:rsidR="00840E7A" w:rsidRPr="00900ADE" w:rsidRDefault="00840E7A">
            <w:pPr>
              <w:pStyle w:val="TableTextCentered"/>
              <w:rPr>
                <w:rFonts w:eastAsia="Times New Roman"/>
              </w:rPr>
            </w:pPr>
            <w:r w:rsidRPr="00900ADE">
              <w:rPr>
                <w:rFonts w:eastAsia="Times New Roman"/>
              </w:rPr>
              <w:t>2</w:t>
            </w:r>
          </w:p>
        </w:tc>
        <w:tc>
          <w:tcPr>
            <w:tcW w:w="874" w:type="dxa"/>
          </w:tcPr>
          <w:p w14:paraId="36A5232A" w14:textId="77777777" w:rsidR="00840E7A" w:rsidRPr="00900ADE" w:rsidRDefault="00840E7A">
            <w:pPr>
              <w:pStyle w:val="TableTextCentered"/>
              <w:rPr>
                <w:rFonts w:eastAsia="Times New Roman"/>
              </w:rPr>
            </w:pPr>
            <w:r w:rsidRPr="00900ADE">
              <w:rPr>
                <w:rFonts w:eastAsia="Times New Roman"/>
              </w:rPr>
              <w:t>0</w:t>
            </w:r>
          </w:p>
        </w:tc>
        <w:tc>
          <w:tcPr>
            <w:tcW w:w="875" w:type="dxa"/>
          </w:tcPr>
          <w:p w14:paraId="7842D593"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37086802" w14:textId="77777777" w:rsidR="00840E7A" w:rsidRPr="00900ADE" w:rsidRDefault="00840E7A">
            <w:pPr>
              <w:pStyle w:val="TableTextCentered"/>
              <w:rPr>
                <w:rFonts w:eastAsia="Times New Roman"/>
              </w:rPr>
            </w:pPr>
            <w:r w:rsidRPr="00900ADE">
              <w:rPr>
                <w:rFonts w:eastAsia="Times New Roman"/>
              </w:rPr>
              <w:t>20</w:t>
            </w:r>
          </w:p>
        </w:tc>
        <w:tc>
          <w:tcPr>
            <w:tcW w:w="892" w:type="dxa"/>
          </w:tcPr>
          <w:p w14:paraId="588AD517" w14:textId="77777777" w:rsidR="00840E7A" w:rsidRPr="00900ADE" w:rsidRDefault="00840E7A">
            <w:pPr>
              <w:pStyle w:val="TableTextCentered"/>
              <w:rPr>
                <w:rFonts w:eastAsia="Times New Roman"/>
              </w:rPr>
            </w:pPr>
            <w:r w:rsidRPr="00900ADE">
              <w:rPr>
                <w:rFonts w:eastAsia="Times New Roman"/>
              </w:rPr>
              <w:t>2.7</w:t>
            </w:r>
          </w:p>
        </w:tc>
      </w:tr>
    </w:tbl>
    <w:bookmarkEnd w:id="171"/>
    <w:p w14:paraId="4AB546E5" w14:textId="77777777" w:rsidR="00840E7A" w:rsidRPr="00900ADE" w:rsidRDefault="00840E7A">
      <w:pPr>
        <w:pStyle w:val="TableNote"/>
      </w:pPr>
      <w:r w:rsidRPr="00900ADE">
        <w:t xml:space="preserve">*The district average is an average of the observation scores. In Table 15, the district average is computed as: </w:t>
      </w:r>
      <w:r w:rsidRPr="00900ADE">
        <w:br/>
      </w:r>
      <w:bookmarkStart w:id="172" w:name="Dist_ID_Calc"/>
      <w:r w:rsidRPr="00900ADE">
        <w:t>([1 x 11] + [2 x 12] + [3 x 12] + [4 x 7] + [5 x 4] + [6 x 1]) ÷ 47 observations = 2.7</w:t>
      </w:r>
      <w:bookmarkEnd w:id="172"/>
    </w:p>
    <w:p w14:paraId="276DA77E" w14:textId="77777777" w:rsidR="00840E7A" w:rsidRPr="00900ADE" w:rsidRDefault="00840E7A">
      <w:pPr>
        <w:pStyle w:val="TableNote"/>
      </w:pPr>
      <w:r w:rsidRPr="00900ADE">
        <w:t>**Instructional Dialogue does not appear in the CLASS K-3 Manual, therefore scores for the Elementary School Level represent grades 4-5 only.</w:t>
      </w:r>
    </w:p>
    <w:p w14:paraId="34BF609F" w14:textId="77777777" w:rsidR="00840E7A" w:rsidRPr="00900ADE" w:rsidRDefault="00840E7A">
      <w:pPr>
        <w:pStyle w:val="BodyText"/>
      </w:pPr>
      <w:r w:rsidRPr="00900ADE">
        <w:rPr>
          <w:rStyle w:val="BodyTextDemiChar"/>
        </w:rPr>
        <w:t>Ratings in the Low Range.</w:t>
      </w:r>
      <w:r w:rsidRPr="00900ADE">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2CEA710E" w14:textId="77777777" w:rsidR="00840E7A" w:rsidRPr="00900ADE" w:rsidRDefault="00840E7A">
      <w:pPr>
        <w:pStyle w:val="BodyText"/>
      </w:pPr>
      <w:r w:rsidRPr="00900ADE">
        <w:rPr>
          <w:rStyle w:val="BodyTextDemiChar"/>
        </w:rPr>
        <w:t>Ratings in the Middle Range.</w:t>
      </w:r>
      <w:r w:rsidRPr="00900ADE">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38FFEFE4" w14:textId="77777777" w:rsidR="00840E7A" w:rsidRPr="00900ADE" w:rsidRDefault="00840E7A">
      <w:pPr>
        <w:pStyle w:val="BodyText"/>
        <w:rPr>
          <w:rFonts w:cs="Times New Roman"/>
        </w:rPr>
      </w:pPr>
      <w:r w:rsidRPr="00900ADE">
        <w:rPr>
          <w:rStyle w:val="BodyTextDemiChar"/>
        </w:rPr>
        <w:t>Ratings in the High Range.</w:t>
      </w:r>
      <w:r w:rsidRPr="00900ADE">
        <w:rPr>
          <w:b/>
        </w:rPr>
        <w:t xml:space="preserve"> </w:t>
      </w:r>
      <w:r w:rsidRPr="00900ADE">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4DA2D472" w14:textId="77777777" w:rsidR="00840E7A" w:rsidRPr="004530C5" w:rsidRDefault="00840E7A">
      <w:pPr>
        <w:pStyle w:val="Heading2-SIOR"/>
        <w:rPr>
          <w:lang w:val="fr-FR"/>
        </w:rPr>
      </w:pPr>
      <w:bookmarkStart w:id="173" w:name="_Toc379881746"/>
      <w:bookmarkStart w:id="174" w:name="_Toc411329839"/>
      <w:bookmarkStart w:id="175" w:name="_Toc430114888"/>
      <w:bookmarkStart w:id="176" w:name="_Toc92194267"/>
      <w:r w:rsidRPr="004530C5">
        <w:rPr>
          <w:lang w:val="fr-FR"/>
        </w:rPr>
        <w:lastRenderedPageBreak/>
        <w:t>Student Engagement</w:t>
      </w:r>
      <w:bookmarkEnd w:id="173"/>
      <w:bookmarkEnd w:id="174"/>
      <w:bookmarkEnd w:id="175"/>
      <w:bookmarkEnd w:id="176"/>
    </w:p>
    <w:p w14:paraId="7ABCF25A" w14:textId="77777777" w:rsidR="00840E7A" w:rsidRPr="004530C5" w:rsidRDefault="00840E7A">
      <w:pPr>
        <w:pStyle w:val="BodyTextDomain"/>
        <w:rPr>
          <w:lang w:val="fr-FR"/>
        </w:rPr>
      </w:pPr>
      <w:r w:rsidRPr="004530C5">
        <w:rPr>
          <w:lang w:val="fr-FR"/>
        </w:rPr>
        <w:t xml:space="preserve">Student Engagement </w:t>
      </w:r>
      <w:proofErr w:type="spellStart"/>
      <w:r w:rsidRPr="004530C5">
        <w:rPr>
          <w:lang w:val="fr-FR"/>
        </w:rPr>
        <w:t>domain</w:t>
      </w:r>
      <w:proofErr w:type="spellEnd"/>
      <w:r w:rsidRPr="004530C5">
        <w:rPr>
          <w:lang w:val="fr-FR"/>
        </w:rPr>
        <w:t>, Grades 4</w:t>
      </w:r>
      <w:r w:rsidRPr="004530C5">
        <w:rPr>
          <w:rFonts w:ascii="Vijaya" w:hAnsi="Vijaya" w:cs="Vijaya"/>
          <w:lang w:val="fr-FR"/>
        </w:rPr>
        <w:t>−</w:t>
      </w:r>
      <w:r w:rsidRPr="004530C5">
        <w:rPr>
          <w:lang w:val="fr-FR"/>
        </w:rPr>
        <w:t xml:space="preserve">12 </w:t>
      </w:r>
    </w:p>
    <w:p w14:paraId="3DAA57D6" w14:textId="77777777" w:rsidR="00840E7A" w:rsidRPr="00900ADE" w:rsidRDefault="00840E7A">
      <w:pPr>
        <w:pStyle w:val="BodyText"/>
      </w:pPr>
      <w:r w:rsidRPr="00900ADE">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900ADE">
        <w:rPr>
          <w:i/>
        </w:rPr>
        <w:t>CLASS Upper Elementary Manual</w:t>
      </w:r>
      <w:r w:rsidRPr="00900ADE">
        <w:t xml:space="preserve">, p. 105). </w:t>
      </w:r>
    </w:p>
    <w:p w14:paraId="4AF8915F" w14:textId="77777777" w:rsidR="00840E7A" w:rsidRPr="00900ADE" w:rsidRDefault="00840E7A">
      <w:pPr>
        <w:pStyle w:val="TableTitle0"/>
        <w:rPr>
          <w:spacing w:val="-4"/>
        </w:rPr>
      </w:pPr>
      <w:r w:rsidRPr="00900ADE">
        <w:rPr>
          <w:spacing w:val="-4"/>
        </w:rPr>
        <w:t>Table 16. Student Engagement: Number of Classrooms for Each Rating and District Average</w:t>
      </w:r>
    </w:p>
    <w:p w14:paraId="3CEDC12E" w14:textId="77777777" w:rsidR="00840E7A" w:rsidRPr="00900ADE" w:rsidRDefault="00840E7A">
      <w:pPr>
        <w:pStyle w:val="BodyTextDemi"/>
      </w:pPr>
      <w:r w:rsidRPr="00900ADE">
        <w:t xml:space="preserve">Student Engagement District Average*: </w:t>
      </w:r>
      <w:bookmarkStart w:id="177" w:name="Dist_SE_Avg"/>
      <w:r w:rsidRPr="00900ADE">
        <w:t>4.4</w:t>
      </w:r>
      <w:bookmarkEnd w:id="177"/>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840E7A" w:rsidRPr="00900ADE" w14:paraId="429CA728" w14:textId="77777777" w:rsidTr="00BB559C">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0818C91F" w14:textId="77777777" w:rsidR="00840E7A" w:rsidRPr="00900ADE" w:rsidRDefault="00840E7A" w:rsidP="00BB559C">
            <w:pPr>
              <w:pStyle w:val="TableColHeadingCenter"/>
              <w:rPr>
                <w:rFonts w:eastAsia="MS Mincho"/>
              </w:rPr>
            </w:pPr>
            <w:bookmarkStart w:id="178" w:name="Tbl_SE"/>
            <w:r w:rsidRPr="00900ADE">
              <w:rPr>
                <w:rFonts w:eastAsia="MS Mincho"/>
              </w:rPr>
              <w:t>Grade Band</w:t>
            </w:r>
          </w:p>
        </w:tc>
        <w:tc>
          <w:tcPr>
            <w:tcW w:w="874" w:type="dxa"/>
            <w:vAlign w:val="bottom"/>
          </w:tcPr>
          <w:p w14:paraId="39E861B6"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22F9467B" w14:textId="77777777" w:rsidR="00840E7A" w:rsidRPr="00900ADE" w:rsidRDefault="00840E7A" w:rsidP="00BB559C">
            <w:pPr>
              <w:pStyle w:val="TableColHeadingCenter"/>
              <w:rPr>
                <w:rFonts w:eastAsia="MS Mincho"/>
              </w:rPr>
            </w:pPr>
            <w:r w:rsidRPr="00900ADE">
              <w:rPr>
                <w:rFonts w:eastAsia="MS Mincho"/>
              </w:rPr>
              <w:t>Low Range</w:t>
            </w:r>
          </w:p>
        </w:tc>
        <w:tc>
          <w:tcPr>
            <w:tcW w:w="874" w:type="dxa"/>
            <w:vAlign w:val="bottom"/>
          </w:tcPr>
          <w:p w14:paraId="50119B79"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4E86530A" w14:textId="77777777" w:rsidR="00840E7A" w:rsidRPr="00900ADE" w:rsidRDefault="00840E7A" w:rsidP="00BB559C">
            <w:pPr>
              <w:pStyle w:val="TableColHeadingCenter"/>
              <w:rPr>
                <w:rFonts w:eastAsia="MS Mincho"/>
              </w:rPr>
            </w:pPr>
            <w:r w:rsidRPr="00900ADE">
              <w:rPr>
                <w:rFonts w:eastAsia="MS Mincho"/>
              </w:rPr>
              <w:t>Middle Range</w:t>
            </w:r>
          </w:p>
        </w:tc>
        <w:tc>
          <w:tcPr>
            <w:tcW w:w="875" w:type="dxa"/>
            <w:vAlign w:val="bottom"/>
          </w:tcPr>
          <w:p w14:paraId="122C778F" w14:textId="77777777" w:rsidR="00840E7A" w:rsidRPr="00900ADE" w:rsidRDefault="00840E7A" w:rsidP="00BB559C">
            <w:pPr>
              <w:pStyle w:val="TableColHeadingCenter"/>
              <w:rPr>
                <w:rFonts w:eastAsia="MS Mincho"/>
              </w:rPr>
            </w:pPr>
            <w:r w:rsidRPr="00900ADE">
              <w:rPr>
                <w:rFonts w:eastAsia="MS Mincho"/>
              </w:rPr>
              <w:t>Middle Range</w:t>
            </w:r>
          </w:p>
        </w:tc>
        <w:tc>
          <w:tcPr>
            <w:tcW w:w="874" w:type="dxa"/>
            <w:vAlign w:val="bottom"/>
          </w:tcPr>
          <w:p w14:paraId="4EF36305" w14:textId="77777777" w:rsidR="00840E7A" w:rsidRPr="00900ADE" w:rsidRDefault="00840E7A" w:rsidP="00BB559C">
            <w:pPr>
              <w:pStyle w:val="TableColHeadingCenter"/>
              <w:rPr>
                <w:rFonts w:eastAsia="MS Mincho"/>
              </w:rPr>
            </w:pPr>
            <w:r w:rsidRPr="00900ADE">
              <w:rPr>
                <w:rFonts w:eastAsia="MS Mincho"/>
              </w:rPr>
              <w:t>High Range</w:t>
            </w:r>
          </w:p>
        </w:tc>
        <w:tc>
          <w:tcPr>
            <w:tcW w:w="875" w:type="dxa"/>
            <w:vAlign w:val="bottom"/>
          </w:tcPr>
          <w:p w14:paraId="6A2A87E3" w14:textId="77777777" w:rsidR="00840E7A" w:rsidRPr="00900ADE" w:rsidRDefault="00840E7A" w:rsidP="00BB559C">
            <w:pPr>
              <w:pStyle w:val="TableColHeadingCenter"/>
              <w:rPr>
                <w:rFonts w:eastAsia="MS Mincho"/>
              </w:rPr>
            </w:pPr>
            <w:r w:rsidRPr="00900ADE">
              <w:rPr>
                <w:rFonts w:eastAsia="MS Mincho"/>
              </w:rPr>
              <w:t>High Range</w:t>
            </w:r>
          </w:p>
        </w:tc>
        <w:tc>
          <w:tcPr>
            <w:tcW w:w="900" w:type="dxa"/>
            <w:vAlign w:val="bottom"/>
          </w:tcPr>
          <w:p w14:paraId="7CABFDD5" w14:textId="77777777" w:rsidR="00840E7A" w:rsidRPr="00900ADE" w:rsidRDefault="00840E7A" w:rsidP="00BB559C">
            <w:pPr>
              <w:pStyle w:val="TableColHeadingCenter"/>
              <w:rPr>
                <w:rFonts w:eastAsia="MS Mincho"/>
              </w:rPr>
            </w:pPr>
            <w:r w:rsidRPr="00900ADE">
              <w:rPr>
                <w:rFonts w:eastAsia="MS Mincho"/>
              </w:rPr>
              <w:t>n</w:t>
            </w:r>
          </w:p>
        </w:tc>
        <w:tc>
          <w:tcPr>
            <w:tcW w:w="892" w:type="dxa"/>
            <w:vAlign w:val="bottom"/>
          </w:tcPr>
          <w:p w14:paraId="6D35C392" w14:textId="77777777" w:rsidR="00840E7A" w:rsidRPr="00900ADE" w:rsidRDefault="00840E7A" w:rsidP="00BB559C">
            <w:pPr>
              <w:pStyle w:val="TableColHeadingCenter"/>
              <w:rPr>
                <w:rFonts w:eastAsia="MS Mincho"/>
              </w:rPr>
            </w:pPr>
            <w:r w:rsidRPr="00900ADE">
              <w:rPr>
                <w:rFonts w:eastAsia="MS Mincho"/>
              </w:rPr>
              <w:t>Average</w:t>
            </w:r>
          </w:p>
        </w:tc>
      </w:tr>
      <w:tr w:rsidR="00840E7A" w:rsidRPr="00900ADE" w14:paraId="37441AFB" w14:textId="77777777" w:rsidTr="00BB559C">
        <w:trPr>
          <w:jc w:val="center"/>
        </w:trPr>
        <w:tc>
          <w:tcPr>
            <w:tcW w:w="1431" w:type="dxa"/>
            <w:shd w:val="clear" w:color="auto" w:fill="D9E2F3" w:themeFill="accent5" w:themeFillTint="33"/>
          </w:tcPr>
          <w:p w14:paraId="0EC591C3" w14:textId="77777777" w:rsidR="00840E7A" w:rsidRPr="00900ADE" w:rsidRDefault="00840E7A">
            <w:pPr>
              <w:pStyle w:val="TableSubheadingCentered"/>
            </w:pPr>
          </w:p>
        </w:tc>
        <w:tc>
          <w:tcPr>
            <w:tcW w:w="874" w:type="dxa"/>
            <w:shd w:val="clear" w:color="auto" w:fill="D9E2F3" w:themeFill="accent5" w:themeFillTint="33"/>
          </w:tcPr>
          <w:p w14:paraId="4C758C5A" w14:textId="77777777" w:rsidR="00840E7A" w:rsidRPr="00900ADE" w:rsidRDefault="00840E7A">
            <w:pPr>
              <w:pStyle w:val="TableSubheadingCentered"/>
            </w:pPr>
            <w:r w:rsidRPr="00900ADE">
              <w:t>1</w:t>
            </w:r>
          </w:p>
        </w:tc>
        <w:tc>
          <w:tcPr>
            <w:tcW w:w="874" w:type="dxa"/>
            <w:shd w:val="clear" w:color="auto" w:fill="D9E2F3" w:themeFill="accent5" w:themeFillTint="33"/>
          </w:tcPr>
          <w:p w14:paraId="54964078" w14:textId="77777777" w:rsidR="00840E7A" w:rsidRPr="00900ADE" w:rsidRDefault="00840E7A">
            <w:pPr>
              <w:pStyle w:val="TableSubheadingCentered"/>
            </w:pPr>
            <w:r w:rsidRPr="00900ADE">
              <w:t>2</w:t>
            </w:r>
          </w:p>
        </w:tc>
        <w:tc>
          <w:tcPr>
            <w:tcW w:w="874" w:type="dxa"/>
            <w:shd w:val="clear" w:color="auto" w:fill="D9E2F3" w:themeFill="accent5" w:themeFillTint="33"/>
          </w:tcPr>
          <w:p w14:paraId="23342B64" w14:textId="77777777" w:rsidR="00840E7A" w:rsidRPr="00900ADE" w:rsidRDefault="00840E7A">
            <w:pPr>
              <w:pStyle w:val="TableSubheadingCentered"/>
            </w:pPr>
            <w:r w:rsidRPr="00900ADE">
              <w:t>3</w:t>
            </w:r>
          </w:p>
        </w:tc>
        <w:tc>
          <w:tcPr>
            <w:tcW w:w="875" w:type="dxa"/>
            <w:shd w:val="clear" w:color="auto" w:fill="D9E2F3" w:themeFill="accent5" w:themeFillTint="33"/>
          </w:tcPr>
          <w:p w14:paraId="23714F1B" w14:textId="77777777" w:rsidR="00840E7A" w:rsidRPr="00900ADE" w:rsidRDefault="00840E7A">
            <w:pPr>
              <w:pStyle w:val="TableSubheadingCentered"/>
            </w:pPr>
            <w:r w:rsidRPr="00900ADE">
              <w:t>4</w:t>
            </w:r>
          </w:p>
        </w:tc>
        <w:tc>
          <w:tcPr>
            <w:tcW w:w="875" w:type="dxa"/>
            <w:shd w:val="clear" w:color="auto" w:fill="D9E2F3" w:themeFill="accent5" w:themeFillTint="33"/>
          </w:tcPr>
          <w:p w14:paraId="4CF485FD" w14:textId="77777777" w:rsidR="00840E7A" w:rsidRPr="00900ADE" w:rsidRDefault="00840E7A">
            <w:pPr>
              <w:pStyle w:val="TableSubheadingCentered"/>
            </w:pPr>
            <w:r w:rsidRPr="00900ADE">
              <w:t>5</w:t>
            </w:r>
          </w:p>
        </w:tc>
        <w:tc>
          <w:tcPr>
            <w:tcW w:w="874" w:type="dxa"/>
            <w:shd w:val="clear" w:color="auto" w:fill="D9E2F3" w:themeFill="accent5" w:themeFillTint="33"/>
          </w:tcPr>
          <w:p w14:paraId="5BC52A2D" w14:textId="77777777" w:rsidR="00840E7A" w:rsidRPr="00900ADE" w:rsidRDefault="00840E7A">
            <w:pPr>
              <w:pStyle w:val="TableSubheadingCentered"/>
            </w:pPr>
            <w:r w:rsidRPr="00900ADE">
              <w:t>6</w:t>
            </w:r>
          </w:p>
        </w:tc>
        <w:tc>
          <w:tcPr>
            <w:tcW w:w="875" w:type="dxa"/>
            <w:shd w:val="clear" w:color="auto" w:fill="D9E2F3" w:themeFill="accent5" w:themeFillTint="33"/>
          </w:tcPr>
          <w:p w14:paraId="35EFF670" w14:textId="77777777" w:rsidR="00840E7A" w:rsidRPr="00900ADE" w:rsidRDefault="00840E7A">
            <w:pPr>
              <w:pStyle w:val="TableSubheadingCentered"/>
            </w:pPr>
            <w:r w:rsidRPr="00900ADE">
              <w:t>7</w:t>
            </w:r>
          </w:p>
        </w:tc>
        <w:tc>
          <w:tcPr>
            <w:tcW w:w="900" w:type="dxa"/>
            <w:shd w:val="clear" w:color="auto" w:fill="D9E2F3" w:themeFill="accent5" w:themeFillTint="33"/>
          </w:tcPr>
          <w:p w14:paraId="51CDE45A" w14:textId="77777777" w:rsidR="00840E7A" w:rsidRPr="00900ADE" w:rsidRDefault="00840E7A">
            <w:pPr>
              <w:pStyle w:val="TableSubheadingCentered"/>
            </w:pPr>
            <w:r w:rsidRPr="00900ADE">
              <w:t>47</w:t>
            </w:r>
          </w:p>
        </w:tc>
        <w:tc>
          <w:tcPr>
            <w:tcW w:w="892" w:type="dxa"/>
            <w:shd w:val="clear" w:color="auto" w:fill="D9E2F3" w:themeFill="accent5" w:themeFillTint="33"/>
          </w:tcPr>
          <w:p w14:paraId="62BE3D57" w14:textId="77777777" w:rsidR="00840E7A" w:rsidRPr="00900ADE" w:rsidRDefault="00840E7A">
            <w:pPr>
              <w:pStyle w:val="TableSubheadingCentered"/>
            </w:pPr>
            <w:r w:rsidRPr="00900ADE">
              <w:t>4.4</w:t>
            </w:r>
          </w:p>
        </w:tc>
      </w:tr>
      <w:tr w:rsidR="00840E7A" w:rsidRPr="00900ADE" w14:paraId="423AB5DC" w14:textId="77777777" w:rsidTr="00BB559C">
        <w:trPr>
          <w:jc w:val="center"/>
        </w:trPr>
        <w:tc>
          <w:tcPr>
            <w:tcW w:w="1431" w:type="dxa"/>
          </w:tcPr>
          <w:p w14:paraId="4ACBE9FF" w14:textId="77777777" w:rsidR="00840E7A" w:rsidRPr="00900ADE" w:rsidRDefault="00840E7A">
            <w:pPr>
              <w:pStyle w:val="TableText"/>
            </w:pPr>
            <w:r w:rsidRPr="00900ADE">
              <w:t>Grades 4-5**</w:t>
            </w:r>
          </w:p>
        </w:tc>
        <w:tc>
          <w:tcPr>
            <w:tcW w:w="874" w:type="dxa"/>
          </w:tcPr>
          <w:p w14:paraId="0BDCBB2C"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2E05512A"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1D078B5B" w14:textId="77777777" w:rsidR="00840E7A" w:rsidRPr="00900ADE" w:rsidRDefault="00840E7A">
            <w:pPr>
              <w:pStyle w:val="TableTextCentered"/>
              <w:rPr>
                <w:rFonts w:eastAsia="Times New Roman"/>
              </w:rPr>
            </w:pPr>
            <w:r w:rsidRPr="00900ADE">
              <w:rPr>
                <w:rFonts w:eastAsia="Times New Roman"/>
              </w:rPr>
              <w:t>2</w:t>
            </w:r>
          </w:p>
        </w:tc>
        <w:tc>
          <w:tcPr>
            <w:tcW w:w="875" w:type="dxa"/>
          </w:tcPr>
          <w:p w14:paraId="4579E665"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70887D57" w14:textId="77777777" w:rsidR="00840E7A" w:rsidRPr="00900ADE" w:rsidRDefault="00840E7A">
            <w:pPr>
              <w:pStyle w:val="TableTextCentered"/>
              <w:rPr>
                <w:rFonts w:eastAsia="Times New Roman"/>
              </w:rPr>
            </w:pPr>
            <w:r w:rsidRPr="00900ADE">
              <w:rPr>
                <w:rFonts w:eastAsia="Times New Roman"/>
              </w:rPr>
              <w:t>4</w:t>
            </w:r>
          </w:p>
        </w:tc>
        <w:tc>
          <w:tcPr>
            <w:tcW w:w="874" w:type="dxa"/>
          </w:tcPr>
          <w:p w14:paraId="3F3D6BD7" w14:textId="77777777" w:rsidR="00840E7A" w:rsidRPr="00900ADE" w:rsidRDefault="00840E7A">
            <w:pPr>
              <w:pStyle w:val="TableTextCentered"/>
              <w:rPr>
                <w:rFonts w:eastAsia="Times New Roman"/>
              </w:rPr>
            </w:pPr>
            <w:r w:rsidRPr="00900ADE">
              <w:rPr>
                <w:rFonts w:eastAsia="Times New Roman"/>
              </w:rPr>
              <w:t>3</w:t>
            </w:r>
          </w:p>
        </w:tc>
        <w:tc>
          <w:tcPr>
            <w:tcW w:w="875" w:type="dxa"/>
          </w:tcPr>
          <w:p w14:paraId="325EED0D" w14:textId="77777777" w:rsidR="00840E7A" w:rsidRPr="00900ADE" w:rsidRDefault="00840E7A">
            <w:pPr>
              <w:pStyle w:val="TableTextCentered"/>
              <w:rPr>
                <w:rFonts w:eastAsia="Times New Roman"/>
              </w:rPr>
            </w:pPr>
            <w:r w:rsidRPr="00900ADE">
              <w:rPr>
                <w:rFonts w:eastAsia="Times New Roman"/>
              </w:rPr>
              <w:t>1</w:t>
            </w:r>
          </w:p>
        </w:tc>
        <w:tc>
          <w:tcPr>
            <w:tcW w:w="900" w:type="dxa"/>
          </w:tcPr>
          <w:p w14:paraId="7EB8CC4F" w14:textId="77777777" w:rsidR="00840E7A" w:rsidRPr="00900ADE" w:rsidRDefault="00840E7A">
            <w:pPr>
              <w:pStyle w:val="TableTextCentered"/>
              <w:rPr>
                <w:rFonts w:eastAsia="Times New Roman"/>
              </w:rPr>
            </w:pPr>
            <w:r w:rsidRPr="00900ADE">
              <w:rPr>
                <w:rFonts w:eastAsia="Times New Roman"/>
              </w:rPr>
              <w:t>11</w:t>
            </w:r>
          </w:p>
        </w:tc>
        <w:tc>
          <w:tcPr>
            <w:tcW w:w="892" w:type="dxa"/>
          </w:tcPr>
          <w:p w14:paraId="1282E292" w14:textId="77777777" w:rsidR="00840E7A" w:rsidRPr="00900ADE" w:rsidRDefault="00840E7A">
            <w:pPr>
              <w:pStyle w:val="TableTextCentered"/>
              <w:rPr>
                <w:rFonts w:eastAsia="Times New Roman"/>
              </w:rPr>
            </w:pPr>
            <w:r w:rsidRPr="00900ADE">
              <w:rPr>
                <w:rFonts w:eastAsia="Times New Roman"/>
              </w:rPr>
              <w:t>5.0</w:t>
            </w:r>
          </w:p>
        </w:tc>
      </w:tr>
      <w:tr w:rsidR="00840E7A" w:rsidRPr="00900ADE" w14:paraId="3E9B3986" w14:textId="77777777" w:rsidTr="00BB559C">
        <w:trPr>
          <w:jc w:val="center"/>
        </w:trPr>
        <w:tc>
          <w:tcPr>
            <w:tcW w:w="1431" w:type="dxa"/>
          </w:tcPr>
          <w:p w14:paraId="615F82F3" w14:textId="77777777" w:rsidR="00840E7A" w:rsidRPr="00900ADE" w:rsidRDefault="00840E7A">
            <w:pPr>
              <w:pStyle w:val="TableText"/>
            </w:pPr>
            <w:r w:rsidRPr="00900ADE">
              <w:t>Grades 6-8</w:t>
            </w:r>
          </w:p>
        </w:tc>
        <w:tc>
          <w:tcPr>
            <w:tcW w:w="874" w:type="dxa"/>
          </w:tcPr>
          <w:p w14:paraId="282F8FCD" w14:textId="77777777" w:rsidR="00840E7A" w:rsidRPr="00900ADE" w:rsidRDefault="00840E7A">
            <w:pPr>
              <w:pStyle w:val="TableTextCentered"/>
              <w:rPr>
                <w:rFonts w:eastAsia="Times New Roman"/>
              </w:rPr>
            </w:pPr>
            <w:r w:rsidRPr="00900ADE">
              <w:rPr>
                <w:rFonts w:eastAsia="Times New Roman"/>
              </w:rPr>
              <w:t>1</w:t>
            </w:r>
          </w:p>
        </w:tc>
        <w:tc>
          <w:tcPr>
            <w:tcW w:w="874" w:type="dxa"/>
          </w:tcPr>
          <w:p w14:paraId="43AC780D"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4A8656A0" w14:textId="77777777" w:rsidR="00840E7A" w:rsidRPr="00900ADE" w:rsidRDefault="00840E7A">
            <w:pPr>
              <w:pStyle w:val="TableTextCentered"/>
              <w:rPr>
                <w:rFonts w:eastAsia="Times New Roman"/>
              </w:rPr>
            </w:pPr>
            <w:r w:rsidRPr="00900ADE">
              <w:rPr>
                <w:rFonts w:eastAsia="Times New Roman"/>
              </w:rPr>
              <w:t>1</w:t>
            </w:r>
          </w:p>
        </w:tc>
        <w:tc>
          <w:tcPr>
            <w:tcW w:w="875" w:type="dxa"/>
          </w:tcPr>
          <w:p w14:paraId="1EB6120B" w14:textId="77777777" w:rsidR="00840E7A" w:rsidRPr="00900ADE" w:rsidRDefault="00840E7A">
            <w:pPr>
              <w:pStyle w:val="TableTextCentered"/>
              <w:rPr>
                <w:rFonts w:eastAsia="Times New Roman"/>
              </w:rPr>
            </w:pPr>
            <w:r w:rsidRPr="00900ADE">
              <w:rPr>
                <w:rFonts w:eastAsia="Times New Roman"/>
              </w:rPr>
              <w:t>5</w:t>
            </w:r>
          </w:p>
        </w:tc>
        <w:tc>
          <w:tcPr>
            <w:tcW w:w="875" w:type="dxa"/>
          </w:tcPr>
          <w:p w14:paraId="49DEE246" w14:textId="77777777" w:rsidR="00840E7A" w:rsidRPr="00900ADE" w:rsidRDefault="00840E7A">
            <w:pPr>
              <w:pStyle w:val="TableTextCentered"/>
              <w:rPr>
                <w:rFonts w:eastAsia="Times New Roman"/>
              </w:rPr>
            </w:pPr>
            <w:r w:rsidRPr="00900ADE">
              <w:rPr>
                <w:rFonts w:eastAsia="Times New Roman"/>
              </w:rPr>
              <w:t>4</w:t>
            </w:r>
          </w:p>
        </w:tc>
        <w:tc>
          <w:tcPr>
            <w:tcW w:w="874" w:type="dxa"/>
          </w:tcPr>
          <w:p w14:paraId="069B6CB4" w14:textId="77777777" w:rsidR="00840E7A" w:rsidRPr="00900ADE" w:rsidRDefault="00840E7A">
            <w:pPr>
              <w:pStyle w:val="TableTextCentered"/>
              <w:rPr>
                <w:rFonts w:eastAsia="Times New Roman"/>
              </w:rPr>
            </w:pPr>
            <w:r w:rsidRPr="00900ADE">
              <w:rPr>
                <w:rFonts w:eastAsia="Times New Roman"/>
              </w:rPr>
              <w:t>4</w:t>
            </w:r>
          </w:p>
        </w:tc>
        <w:tc>
          <w:tcPr>
            <w:tcW w:w="875" w:type="dxa"/>
          </w:tcPr>
          <w:p w14:paraId="13A5DDA1" w14:textId="77777777" w:rsidR="00840E7A" w:rsidRPr="00900ADE" w:rsidRDefault="00840E7A">
            <w:pPr>
              <w:pStyle w:val="TableTextCentered"/>
              <w:rPr>
                <w:rFonts w:eastAsia="Times New Roman"/>
              </w:rPr>
            </w:pPr>
            <w:r w:rsidRPr="00900ADE">
              <w:rPr>
                <w:rFonts w:eastAsia="Times New Roman"/>
              </w:rPr>
              <w:t>1</w:t>
            </w:r>
          </w:p>
        </w:tc>
        <w:tc>
          <w:tcPr>
            <w:tcW w:w="900" w:type="dxa"/>
          </w:tcPr>
          <w:p w14:paraId="5D3431B8" w14:textId="77777777" w:rsidR="00840E7A" w:rsidRPr="00900ADE" w:rsidRDefault="00840E7A">
            <w:pPr>
              <w:pStyle w:val="TableTextCentered"/>
              <w:rPr>
                <w:rFonts w:eastAsia="Times New Roman"/>
              </w:rPr>
            </w:pPr>
            <w:r w:rsidRPr="00900ADE">
              <w:rPr>
                <w:rFonts w:eastAsia="Times New Roman"/>
              </w:rPr>
              <w:t>16</w:t>
            </w:r>
          </w:p>
        </w:tc>
        <w:tc>
          <w:tcPr>
            <w:tcW w:w="892" w:type="dxa"/>
          </w:tcPr>
          <w:p w14:paraId="36643D94" w14:textId="77777777" w:rsidR="00840E7A" w:rsidRPr="00900ADE" w:rsidRDefault="00840E7A">
            <w:pPr>
              <w:pStyle w:val="TableTextCentered"/>
              <w:rPr>
                <w:rFonts w:eastAsia="Times New Roman"/>
              </w:rPr>
            </w:pPr>
            <w:r w:rsidRPr="00900ADE">
              <w:rPr>
                <w:rFonts w:eastAsia="Times New Roman"/>
              </w:rPr>
              <w:t>4.7</w:t>
            </w:r>
          </w:p>
        </w:tc>
      </w:tr>
      <w:tr w:rsidR="00840E7A" w:rsidRPr="00900ADE" w14:paraId="163F3783" w14:textId="77777777" w:rsidTr="00BB559C">
        <w:trPr>
          <w:jc w:val="center"/>
        </w:trPr>
        <w:tc>
          <w:tcPr>
            <w:tcW w:w="1431" w:type="dxa"/>
          </w:tcPr>
          <w:p w14:paraId="63FA8C97" w14:textId="77777777" w:rsidR="00840E7A" w:rsidRPr="00900ADE" w:rsidRDefault="00840E7A">
            <w:pPr>
              <w:pStyle w:val="TableText"/>
            </w:pPr>
            <w:r w:rsidRPr="00900ADE">
              <w:t>Grades 9-12</w:t>
            </w:r>
          </w:p>
        </w:tc>
        <w:tc>
          <w:tcPr>
            <w:tcW w:w="874" w:type="dxa"/>
          </w:tcPr>
          <w:p w14:paraId="1DF05E90" w14:textId="77777777" w:rsidR="00840E7A" w:rsidRPr="00900ADE" w:rsidRDefault="00840E7A">
            <w:pPr>
              <w:pStyle w:val="TableTextCentered"/>
              <w:rPr>
                <w:rFonts w:eastAsia="Times New Roman"/>
              </w:rPr>
            </w:pPr>
            <w:r w:rsidRPr="00900ADE">
              <w:rPr>
                <w:rFonts w:eastAsia="Times New Roman"/>
              </w:rPr>
              <w:t>0</w:t>
            </w:r>
          </w:p>
        </w:tc>
        <w:tc>
          <w:tcPr>
            <w:tcW w:w="874" w:type="dxa"/>
          </w:tcPr>
          <w:p w14:paraId="29688EC2" w14:textId="77777777" w:rsidR="00840E7A" w:rsidRPr="00900ADE" w:rsidRDefault="00840E7A">
            <w:pPr>
              <w:pStyle w:val="TableTextCentered"/>
              <w:rPr>
                <w:rFonts w:eastAsia="Times New Roman"/>
              </w:rPr>
            </w:pPr>
            <w:r w:rsidRPr="00900ADE">
              <w:rPr>
                <w:rFonts w:eastAsia="Times New Roman"/>
              </w:rPr>
              <w:t>3</w:t>
            </w:r>
          </w:p>
        </w:tc>
        <w:tc>
          <w:tcPr>
            <w:tcW w:w="874" w:type="dxa"/>
          </w:tcPr>
          <w:p w14:paraId="2B397727" w14:textId="77777777" w:rsidR="00840E7A" w:rsidRPr="00900ADE" w:rsidRDefault="00840E7A">
            <w:pPr>
              <w:pStyle w:val="TableTextCentered"/>
              <w:rPr>
                <w:rFonts w:eastAsia="Times New Roman"/>
              </w:rPr>
            </w:pPr>
            <w:r w:rsidRPr="00900ADE">
              <w:rPr>
                <w:rFonts w:eastAsia="Times New Roman"/>
              </w:rPr>
              <w:t>6</w:t>
            </w:r>
          </w:p>
        </w:tc>
        <w:tc>
          <w:tcPr>
            <w:tcW w:w="875" w:type="dxa"/>
          </w:tcPr>
          <w:p w14:paraId="569CE25E" w14:textId="77777777" w:rsidR="00840E7A" w:rsidRPr="00900ADE" w:rsidRDefault="00840E7A">
            <w:pPr>
              <w:pStyle w:val="TableTextCentered"/>
              <w:rPr>
                <w:rFonts w:eastAsia="Times New Roman"/>
              </w:rPr>
            </w:pPr>
            <w:r w:rsidRPr="00900ADE">
              <w:rPr>
                <w:rFonts w:eastAsia="Times New Roman"/>
              </w:rPr>
              <w:t>4</w:t>
            </w:r>
          </w:p>
        </w:tc>
        <w:tc>
          <w:tcPr>
            <w:tcW w:w="875" w:type="dxa"/>
          </w:tcPr>
          <w:p w14:paraId="5BA509C3" w14:textId="77777777" w:rsidR="00840E7A" w:rsidRPr="00900ADE" w:rsidRDefault="00840E7A">
            <w:pPr>
              <w:pStyle w:val="TableTextCentered"/>
              <w:rPr>
                <w:rFonts w:eastAsia="Times New Roman"/>
              </w:rPr>
            </w:pPr>
            <w:r w:rsidRPr="00900ADE">
              <w:rPr>
                <w:rFonts w:eastAsia="Times New Roman"/>
              </w:rPr>
              <w:t>3</w:t>
            </w:r>
          </w:p>
        </w:tc>
        <w:tc>
          <w:tcPr>
            <w:tcW w:w="874" w:type="dxa"/>
          </w:tcPr>
          <w:p w14:paraId="657460F8" w14:textId="77777777" w:rsidR="00840E7A" w:rsidRPr="00900ADE" w:rsidRDefault="00840E7A">
            <w:pPr>
              <w:pStyle w:val="TableTextCentered"/>
              <w:rPr>
                <w:rFonts w:eastAsia="Times New Roman"/>
              </w:rPr>
            </w:pPr>
            <w:r w:rsidRPr="00900ADE">
              <w:rPr>
                <w:rFonts w:eastAsia="Times New Roman"/>
              </w:rPr>
              <w:t>4</w:t>
            </w:r>
          </w:p>
        </w:tc>
        <w:tc>
          <w:tcPr>
            <w:tcW w:w="875" w:type="dxa"/>
          </w:tcPr>
          <w:p w14:paraId="3CB8EFD9" w14:textId="77777777" w:rsidR="00840E7A" w:rsidRPr="00900ADE" w:rsidRDefault="00840E7A">
            <w:pPr>
              <w:pStyle w:val="TableTextCentered"/>
              <w:rPr>
                <w:rFonts w:eastAsia="Times New Roman"/>
              </w:rPr>
            </w:pPr>
            <w:r w:rsidRPr="00900ADE">
              <w:rPr>
                <w:rFonts w:eastAsia="Times New Roman"/>
              </w:rPr>
              <w:t>0</w:t>
            </w:r>
          </w:p>
        </w:tc>
        <w:tc>
          <w:tcPr>
            <w:tcW w:w="900" w:type="dxa"/>
          </w:tcPr>
          <w:p w14:paraId="1DD624F0" w14:textId="77777777" w:rsidR="00840E7A" w:rsidRPr="00900ADE" w:rsidRDefault="00840E7A">
            <w:pPr>
              <w:pStyle w:val="TableTextCentered"/>
              <w:rPr>
                <w:rFonts w:eastAsia="Times New Roman"/>
              </w:rPr>
            </w:pPr>
            <w:r w:rsidRPr="00900ADE">
              <w:rPr>
                <w:rFonts w:eastAsia="Times New Roman"/>
              </w:rPr>
              <w:t>20</w:t>
            </w:r>
          </w:p>
        </w:tc>
        <w:tc>
          <w:tcPr>
            <w:tcW w:w="892" w:type="dxa"/>
          </w:tcPr>
          <w:p w14:paraId="3B53BB24" w14:textId="77777777" w:rsidR="00840E7A" w:rsidRPr="00900ADE" w:rsidRDefault="00840E7A">
            <w:pPr>
              <w:pStyle w:val="TableTextCentered"/>
              <w:rPr>
                <w:rFonts w:eastAsia="Times New Roman"/>
              </w:rPr>
            </w:pPr>
            <w:r w:rsidRPr="00900ADE">
              <w:rPr>
                <w:rFonts w:eastAsia="Times New Roman"/>
              </w:rPr>
              <w:t>4.0</w:t>
            </w:r>
          </w:p>
        </w:tc>
      </w:tr>
    </w:tbl>
    <w:bookmarkEnd w:id="178"/>
    <w:p w14:paraId="1241517E" w14:textId="77777777" w:rsidR="00840E7A" w:rsidRPr="00900ADE" w:rsidRDefault="00840E7A">
      <w:pPr>
        <w:pStyle w:val="TableNote"/>
      </w:pPr>
      <w:r w:rsidRPr="00900ADE">
        <w:t xml:space="preserve">*The district average is an average of the observation scores. In Table 16, the district average is computed as: </w:t>
      </w:r>
      <w:r w:rsidRPr="00900ADE">
        <w:br/>
      </w:r>
      <w:bookmarkStart w:id="179" w:name="Dist_SE_Calc"/>
      <w:r w:rsidRPr="00900ADE">
        <w:t>([1 x 1] + [2 x 3] + [3 x 9] + [4 x 10] + [5 x 11] + [6 x 11] + [7 x 2]) ÷ 47 observations = 4.4</w:t>
      </w:r>
      <w:bookmarkEnd w:id="179"/>
    </w:p>
    <w:p w14:paraId="6EE00B63" w14:textId="77777777" w:rsidR="00840E7A" w:rsidRPr="00900ADE" w:rsidRDefault="00840E7A">
      <w:pPr>
        <w:pStyle w:val="TableNote"/>
      </w:pPr>
      <w:r w:rsidRPr="00900ADE">
        <w:t>**Student Engagement does not appear in the CLASS K-3 Manual, therefore scores for the Elementary School Level represent grades 4-5 only.</w:t>
      </w:r>
    </w:p>
    <w:p w14:paraId="2421D325" w14:textId="77777777" w:rsidR="00840E7A" w:rsidRPr="00900ADE" w:rsidRDefault="00840E7A">
      <w:pPr>
        <w:pStyle w:val="BodyText"/>
      </w:pPr>
      <w:r w:rsidRPr="00900ADE">
        <w:rPr>
          <w:rStyle w:val="BodyTextDemiChar"/>
        </w:rPr>
        <w:t>Ratings in the Low Range.</w:t>
      </w:r>
      <w:r w:rsidRPr="00900ADE">
        <w:t xml:space="preserve"> In the low range, the majority of students appear distracted or disengaged.</w:t>
      </w:r>
    </w:p>
    <w:p w14:paraId="40AE07C9" w14:textId="77777777" w:rsidR="00840E7A" w:rsidRPr="00900ADE" w:rsidRDefault="00840E7A">
      <w:pPr>
        <w:pStyle w:val="BodyText"/>
      </w:pPr>
      <w:r w:rsidRPr="00900ADE">
        <w:rPr>
          <w:rStyle w:val="BodyTextDemiChar"/>
        </w:rPr>
        <w:t>Ratings in the Middle Range.</w:t>
      </w:r>
      <w:r w:rsidRPr="00900ADE">
        <w:t xml:space="preserve"> In the middle range, students are passively engaged, listening to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6F6D7F96" w14:textId="77777777" w:rsidR="00840E7A" w:rsidRPr="00900ADE" w:rsidRDefault="00840E7A">
      <w:pPr>
        <w:pStyle w:val="BodyText"/>
      </w:pPr>
      <w:r w:rsidRPr="00900ADE">
        <w:rPr>
          <w:rStyle w:val="BodyTextDemiChar"/>
        </w:rPr>
        <w:t>Ratings in the High Range.</w:t>
      </w:r>
      <w:r w:rsidRPr="00900ADE">
        <w:t xml:space="preserve"> In the high range, most students are actively engaged in the classroom discussions and activities.</w:t>
      </w:r>
    </w:p>
    <w:p w14:paraId="56C487F7" w14:textId="77777777" w:rsidR="00840E7A" w:rsidRPr="00900ADE" w:rsidRDefault="00840E7A">
      <w:pPr>
        <w:pStyle w:val="Heading2-SIOR"/>
      </w:pPr>
      <w:bookmarkStart w:id="180" w:name="_Toc430114889"/>
      <w:bookmarkStart w:id="181" w:name="_Toc496109991"/>
      <w:bookmarkStart w:id="182" w:name="_Toc92194268"/>
      <w:r w:rsidRPr="00900ADE">
        <w:lastRenderedPageBreak/>
        <w:t>Summary of Average Ratings</w:t>
      </w:r>
      <w:bookmarkEnd w:id="180"/>
      <w:bookmarkEnd w:id="181"/>
      <w:r w:rsidRPr="00900ADE">
        <w:t xml:space="preserve">: </w:t>
      </w:r>
      <w:bookmarkEnd w:id="182"/>
      <w:r w:rsidRPr="00900ADE">
        <w:t>Grades K–5</w:t>
      </w:r>
    </w:p>
    <w:p w14:paraId="4CA0ECEA" w14:textId="77777777" w:rsidR="00840E7A" w:rsidRPr="00900ADE" w:rsidRDefault="00840E7A">
      <w:pPr>
        <w:pStyle w:val="TableTitle0"/>
      </w:pPr>
      <w:r w:rsidRPr="00900ADE">
        <w:t>Table 17. Summary Table of Average Ratings for Each Dimension in Grades K–5</w:t>
      </w:r>
    </w:p>
    <w:tbl>
      <w:tblPr>
        <w:tblStyle w:val="MSVTable1"/>
        <w:tblW w:w="5000" w:type="pct"/>
        <w:tblLayout w:type="fixed"/>
        <w:tblLook w:val="06A0" w:firstRow="1" w:lastRow="0" w:firstColumn="1" w:lastColumn="0" w:noHBand="1" w:noVBand="1"/>
      </w:tblPr>
      <w:tblGrid>
        <w:gridCol w:w="3296"/>
        <w:gridCol w:w="620"/>
        <w:gridCol w:w="655"/>
        <w:gridCol w:w="694"/>
        <w:gridCol w:w="694"/>
        <w:gridCol w:w="694"/>
        <w:gridCol w:w="608"/>
        <w:gridCol w:w="616"/>
        <w:gridCol w:w="515"/>
        <w:gridCol w:w="952"/>
      </w:tblGrid>
      <w:tr w:rsidR="00C732EB" w:rsidRPr="00900ADE" w14:paraId="560EFD05" w14:textId="77777777" w:rsidTr="00284CD2">
        <w:trPr>
          <w:cnfStyle w:val="100000000000" w:firstRow="1" w:lastRow="0" w:firstColumn="0" w:lastColumn="0" w:oddVBand="0" w:evenVBand="0" w:oddHBand="0" w:evenHBand="0" w:firstRowFirstColumn="0" w:firstRowLastColumn="0" w:lastRowFirstColumn="0" w:lastRowLastColumn="0"/>
          <w:tblHeader/>
        </w:trPr>
        <w:tc>
          <w:tcPr>
            <w:tcW w:w="3296" w:type="dxa"/>
            <w:tcBorders>
              <w:bottom w:val="nil"/>
            </w:tcBorders>
          </w:tcPr>
          <w:p w14:paraId="54ADB336" w14:textId="77777777" w:rsidR="00840E7A" w:rsidRPr="00900ADE" w:rsidRDefault="00840E7A">
            <w:pPr>
              <w:pStyle w:val="TableColHeadingCenter"/>
              <w:rPr>
                <w:rFonts w:eastAsia="MS Mincho"/>
              </w:rPr>
            </w:pPr>
          </w:p>
        </w:tc>
        <w:tc>
          <w:tcPr>
            <w:tcW w:w="620" w:type="dxa"/>
            <w:vAlign w:val="center"/>
          </w:tcPr>
          <w:p w14:paraId="26C0EF2B" w14:textId="77777777" w:rsidR="00840E7A" w:rsidRPr="00900ADE" w:rsidRDefault="00840E7A">
            <w:pPr>
              <w:pStyle w:val="TableColHeadingCenter"/>
              <w:rPr>
                <w:rFonts w:eastAsia="MS Mincho"/>
                <w:spacing w:val="-4"/>
                <w:sz w:val="18"/>
                <w:szCs w:val="18"/>
              </w:rPr>
            </w:pPr>
            <w:r w:rsidRPr="00900ADE">
              <w:rPr>
                <w:rFonts w:eastAsia="MS Mincho"/>
                <w:spacing w:val="-4"/>
                <w:sz w:val="18"/>
                <w:szCs w:val="18"/>
              </w:rPr>
              <w:t>Low Range</w:t>
            </w:r>
          </w:p>
        </w:tc>
        <w:tc>
          <w:tcPr>
            <w:tcW w:w="655" w:type="dxa"/>
            <w:vAlign w:val="center"/>
          </w:tcPr>
          <w:p w14:paraId="52A40236" w14:textId="77777777" w:rsidR="00840E7A" w:rsidRPr="00900ADE" w:rsidRDefault="00840E7A">
            <w:pPr>
              <w:pStyle w:val="TableColHeadingCenter"/>
              <w:rPr>
                <w:rFonts w:eastAsia="MS Mincho"/>
                <w:spacing w:val="-4"/>
                <w:sz w:val="18"/>
                <w:szCs w:val="18"/>
              </w:rPr>
            </w:pPr>
            <w:r w:rsidRPr="00900ADE">
              <w:rPr>
                <w:rFonts w:eastAsia="MS Mincho"/>
                <w:spacing w:val="-4"/>
                <w:sz w:val="18"/>
                <w:szCs w:val="18"/>
              </w:rPr>
              <w:t>Low Range</w:t>
            </w:r>
          </w:p>
        </w:tc>
        <w:tc>
          <w:tcPr>
            <w:tcW w:w="694" w:type="dxa"/>
            <w:vAlign w:val="center"/>
          </w:tcPr>
          <w:p w14:paraId="78F5B74B" w14:textId="77777777" w:rsidR="00840E7A" w:rsidRPr="00900ADE" w:rsidRDefault="00840E7A">
            <w:pPr>
              <w:pStyle w:val="TableColHeadingCenter"/>
              <w:rPr>
                <w:rFonts w:eastAsia="MS Mincho"/>
                <w:spacing w:val="-4"/>
                <w:sz w:val="18"/>
                <w:szCs w:val="18"/>
              </w:rPr>
            </w:pPr>
            <w:r w:rsidRPr="00900ADE">
              <w:rPr>
                <w:rFonts w:eastAsia="MS Mincho"/>
                <w:spacing w:val="-4"/>
                <w:sz w:val="18"/>
                <w:szCs w:val="18"/>
              </w:rPr>
              <w:t>Middle Range</w:t>
            </w:r>
          </w:p>
        </w:tc>
        <w:tc>
          <w:tcPr>
            <w:tcW w:w="694" w:type="dxa"/>
            <w:vAlign w:val="center"/>
          </w:tcPr>
          <w:p w14:paraId="0585A4BF" w14:textId="77777777" w:rsidR="00840E7A" w:rsidRPr="00900ADE" w:rsidRDefault="00840E7A">
            <w:pPr>
              <w:pStyle w:val="TableColHeadingCenter"/>
              <w:rPr>
                <w:rFonts w:eastAsia="MS Mincho"/>
                <w:spacing w:val="-4"/>
                <w:sz w:val="18"/>
                <w:szCs w:val="18"/>
              </w:rPr>
            </w:pPr>
            <w:r w:rsidRPr="00900ADE">
              <w:rPr>
                <w:rFonts w:eastAsia="MS Mincho"/>
                <w:spacing w:val="-4"/>
                <w:sz w:val="18"/>
                <w:szCs w:val="18"/>
              </w:rPr>
              <w:t>Middle Range</w:t>
            </w:r>
          </w:p>
        </w:tc>
        <w:tc>
          <w:tcPr>
            <w:tcW w:w="694" w:type="dxa"/>
            <w:vAlign w:val="center"/>
          </w:tcPr>
          <w:p w14:paraId="730DE776" w14:textId="77777777" w:rsidR="00840E7A" w:rsidRPr="00900ADE" w:rsidRDefault="00840E7A">
            <w:pPr>
              <w:pStyle w:val="TableColHeadingCenter"/>
              <w:rPr>
                <w:rFonts w:eastAsia="MS Mincho"/>
                <w:spacing w:val="-4"/>
                <w:sz w:val="18"/>
                <w:szCs w:val="18"/>
              </w:rPr>
            </w:pPr>
            <w:r w:rsidRPr="00900ADE">
              <w:rPr>
                <w:rFonts w:eastAsia="MS Mincho"/>
                <w:spacing w:val="-4"/>
                <w:sz w:val="18"/>
                <w:szCs w:val="18"/>
              </w:rPr>
              <w:t>Middle Range</w:t>
            </w:r>
          </w:p>
        </w:tc>
        <w:tc>
          <w:tcPr>
            <w:tcW w:w="608" w:type="dxa"/>
            <w:vAlign w:val="center"/>
          </w:tcPr>
          <w:p w14:paraId="77757CEB" w14:textId="77777777" w:rsidR="00840E7A" w:rsidRPr="00900ADE" w:rsidRDefault="00840E7A">
            <w:pPr>
              <w:pStyle w:val="TableColHeadingCenter"/>
              <w:rPr>
                <w:rFonts w:eastAsia="MS Mincho"/>
                <w:spacing w:val="-4"/>
                <w:sz w:val="18"/>
                <w:szCs w:val="18"/>
              </w:rPr>
            </w:pPr>
            <w:r w:rsidRPr="00900ADE">
              <w:rPr>
                <w:rFonts w:eastAsia="MS Mincho"/>
                <w:spacing w:val="-4"/>
                <w:sz w:val="18"/>
                <w:szCs w:val="18"/>
              </w:rPr>
              <w:t>High Range</w:t>
            </w:r>
          </w:p>
        </w:tc>
        <w:tc>
          <w:tcPr>
            <w:tcW w:w="616" w:type="dxa"/>
            <w:vAlign w:val="center"/>
          </w:tcPr>
          <w:p w14:paraId="714648AA" w14:textId="77777777" w:rsidR="00840E7A" w:rsidRPr="00900ADE" w:rsidRDefault="00840E7A">
            <w:pPr>
              <w:pStyle w:val="TableColHeadingCenter"/>
              <w:rPr>
                <w:rFonts w:eastAsia="MS Mincho"/>
                <w:spacing w:val="-4"/>
                <w:sz w:val="18"/>
                <w:szCs w:val="18"/>
              </w:rPr>
            </w:pPr>
            <w:r w:rsidRPr="00900ADE">
              <w:rPr>
                <w:rFonts w:eastAsia="MS Mincho"/>
                <w:spacing w:val="-4"/>
                <w:sz w:val="18"/>
                <w:szCs w:val="18"/>
              </w:rPr>
              <w:t>High Range</w:t>
            </w:r>
          </w:p>
        </w:tc>
        <w:tc>
          <w:tcPr>
            <w:tcW w:w="515" w:type="dxa"/>
            <w:tcBorders>
              <w:bottom w:val="nil"/>
            </w:tcBorders>
            <w:vAlign w:val="center"/>
          </w:tcPr>
          <w:p w14:paraId="305EA75B" w14:textId="77777777" w:rsidR="00840E7A" w:rsidRPr="00900ADE" w:rsidRDefault="00840E7A">
            <w:pPr>
              <w:pStyle w:val="TableColHeadingCenter"/>
              <w:rPr>
                <w:rFonts w:eastAsia="MS Mincho"/>
              </w:rPr>
            </w:pPr>
            <w:r w:rsidRPr="00900ADE">
              <w:rPr>
                <w:rFonts w:eastAsia="MS Mincho"/>
              </w:rPr>
              <w:t>n</w:t>
            </w:r>
          </w:p>
        </w:tc>
        <w:tc>
          <w:tcPr>
            <w:tcW w:w="952" w:type="dxa"/>
            <w:tcBorders>
              <w:bottom w:val="nil"/>
            </w:tcBorders>
            <w:vAlign w:val="center"/>
          </w:tcPr>
          <w:p w14:paraId="3A4722CE" w14:textId="77777777" w:rsidR="00840E7A" w:rsidRPr="00900ADE" w:rsidRDefault="00840E7A">
            <w:pPr>
              <w:pStyle w:val="TableColHeadingCenter"/>
              <w:rPr>
                <w:rFonts w:eastAsia="MS Mincho"/>
              </w:rPr>
            </w:pPr>
            <w:r w:rsidRPr="00900ADE">
              <w:rPr>
                <w:rFonts w:eastAsia="MS Mincho"/>
              </w:rPr>
              <w:t>Average Scores*</w:t>
            </w:r>
          </w:p>
        </w:tc>
      </w:tr>
      <w:tr w:rsidR="00C732EB" w:rsidRPr="00900ADE" w14:paraId="3455D0F1" w14:textId="77777777" w:rsidTr="00284CD2">
        <w:trPr>
          <w:cnfStyle w:val="100000000000" w:firstRow="1" w:lastRow="0" w:firstColumn="0" w:lastColumn="0" w:oddVBand="0" w:evenVBand="0" w:oddHBand="0" w:evenHBand="0" w:firstRowFirstColumn="0" w:firstRowLastColumn="0" w:lastRowFirstColumn="0" w:lastRowLastColumn="0"/>
          <w:tblHeader/>
        </w:trPr>
        <w:tc>
          <w:tcPr>
            <w:tcW w:w="3296" w:type="dxa"/>
            <w:tcBorders>
              <w:top w:val="nil"/>
            </w:tcBorders>
          </w:tcPr>
          <w:p w14:paraId="180D8DE6" w14:textId="77777777" w:rsidR="00840E7A" w:rsidRPr="00900ADE" w:rsidRDefault="00840E7A">
            <w:pPr>
              <w:pStyle w:val="TableColHeadingCenter"/>
              <w:rPr>
                <w:rFonts w:eastAsia="MS Mincho"/>
              </w:rPr>
            </w:pPr>
          </w:p>
        </w:tc>
        <w:tc>
          <w:tcPr>
            <w:tcW w:w="620" w:type="dxa"/>
            <w:vAlign w:val="center"/>
          </w:tcPr>
          <w:p w14:paraId="5B09654E" w14:textId="77777777" w:rsidR="00840E7A" w:rsidRPr="00900ADE" w:rsidRDefault="00840E7A">
            <w:pPr>
              <w:pStyle w:val="TableColHeadingCenter"/>
              <w:rPr>
                <w:rFonts w:eastAsia="MS Mincho"/>
              </w:rPr>
            </w:pPr>
            <w:r w:rsidRPr="00900ADE">
              <w:rPr>
                <w:rFonts w:eastAsia="MS Mincho"/>
              </w:rPr>
              <w:t>1</w:t>
            </w:r>
          </w:p>
        </w:tc>
        <w:tc>
          <w:tcPr>
            <w:tcW w:w="655" w:type="dxa"/>
            <w:vAlign w:val="center"/>
          </w:tcPr>
          <w:p w14:paraId="12803662" w14:textId="77777777" w:rsidR="00840E7A" w:rsidRPr="00900ADE" w:rsidRDefault="00840E7A">
            <w:pPr>
              <w:pStyle w:val="TableColHeadingCenter"/>
              <w:rPr>
                <w:rFonts w:eastAsia="MS Mincho"/>
              </w:rPr>
            </w:pPr>
            <w:r w:rsidRPr="00900ADE">
              <w:rPr>
                <w:rFonts w:eastAsia="MS Mincho"/>
              </w:rPr>
              <w:t>2</w:t>
            </w:r>
          </w:p>
        </w:tc>
        <w:tc>
          <w:tcPr>
            <w:tcW w:w="694" w:type="dxa"/>
            <w:vAlign w:val="center"/>
          </w:tcPr>
          <w:p w14:paraId="5BB3074C" w14:textId="77777777" w:rsidR="00840E7A" w:rsidRPr="00900ADE" w:rsidRDefault="00840E7A">
            <w:pPr>
              <w:pStyle w:val="TableColHeadingCenter"/>
              <w:rPr>
                <w:rFonts w:eastAsia="MS Mincho"/>
              </w:rPr>
            </w:pPr>
            <w:r w:rsidRPr="00900ADE">
              <w:rPr>
                <w:rFonts w:eastAsia="MS Mincho"/>
              </w:rPr>
              <w:t>3</w:t>
            </w:r>
          </w:p>
        </w:tc>
        <w:tc>
          <w:tcPr>
            <w:tcW w:w="694" w:type="dxa"/>
            <w:vAlign w:val="center"/>
          </w:tcPr>
          <w:p w14:paraId="7E2BC333" w14:textId="77777777" w:rsidR="00840E7A" w:rsidRPr="00900ADE" w:rsidRDefault="00840E7A">
            <w:pPr>
              <w:pStyle w:val="TableColHeadingCenter"/>
              <w:rPr>
                <w:rFonts w:eastAsia="MS Mincho"/>
              </w:rPr>
            </w:pPr>
            <w:r w:rsidRPr="00900ADE">
              <w:rPr>
                <w:rFonts w:eastAsia="MS Mincho"/>
              </w:rPr>
              <w:t>4</w:t>
            </w:r>
          </w:p>
        </w:tc>
        <w:tc>
          <w:tcPr>
            <w:tcW w:w="694" w:type="dxa"/>
            <w:vAlign w:val="center"/>
          </w:tcPr>
          <w:p w14:paraId="6FEC7E80" w14:textId="77777777" w:rsidR="00840E7A" w:rsidRPr="00900ADE" w:rsidRDefault="00840E7A">
            <w:pPr>
              <w:pStyle w:val="TableColHeadingCenter"/>
              <w:rPr>
                <w:rFonts w:eastAsia="MS Mincho"/>
              </w:rPr>
            </w:pPr>
            <w:r w:rsidRPr="00900ADE">
              <w:rPr>
                <w:rFonts w:eastAsia="MS Mincho"/>
              </w:rPr>
              <w:t>5</w:t>
            </w:r>
          </w:p>
        </w:tc>
        <w:tc>
          <w:tcPr>
            <w:tcW w:w="608" w:type="dxa"/>
            <w:vAlign w:val="center"/>
          </w:tcPr>
          <w:p w14:paraId="5EBDE1D2" w14:textId="77777777" w:rsidR="00840E7A" w:rsidRPr="00900ADE" w:rsidRDefault="00840E7A">
            <w:pPr>
              <w:pStyle w:val="TableColHeadingCenter"/>
              <w:rPr>
                <w:rFonts w:eastAsia="MS Mincho"/>
              </w:rPr>
            </w:pPr>
            <w:r w:rsidRPr="00900ADE">
              <w:rPr>
                <w:rFonts w:eastAsia="MS Mincho"/>
              </w:rPr>
              <w:t>6</w:t>
            </w:r>
          </w:p>
        </w:tc>
        <w:tc>
          <w:tcPr>
            <w:tcW w:w="616" w:type="dxa"/>
            <w:vAlign w:val="center"/>
          </w:tcPr>
          <w:p w14:paraId="358D0FBA" w14:textId="77777777" w:rsidR="00840E7A" w:rsidRPr="00900ADE" w:rsidRDefault="00840E7A">
            <w:pPr>
              <w:pStyle w:val="TableColHeadingCenter"/>
              <w:rPr>
                <w:rFonts w:eastAsia="MS Mincho"/>
              </w:rPr>
            </w:pPr>
            <w:r w:rsidRPr="00900ADE">
              <w:rPr>
                <w:rFonts w:eastAsia="MS Mincho"/>
              </w:rPr>
              <w:t>7</w:t>
            </w:r>
          </w:p>
        </w:tc>
        <w:tc>
          <w:tcPr>
            <w:tcW w:w="515" w:type="dxa"/>
            <w:tcBorders>
              <w:top w:val="nil"/>
            </w:tcBorders>
          </w:tcPr>
          <w:p w14:paraId="7FA1359F" w14:textId="77777777" w:rsidR="00840E7A" w:rsidRPr="00900ADE" w:rsidRDefault="00840E7A">
            <w:pPr>
              <w:pStyle w:val="TableColHeadingCenter"/>
              <w:rPr>
                <w:rFonts w:eastAsia="MS Mincho"/>
              </w:rPr>
            </w:pPr>
          </w:p>
        </w:tc>
        <w:tc>
          <w:tcPr>
            <w:tcW w:w="952" w:type="dxa"/>
            <w:tcBorders>
              <w:top w:val="nil"/>
            </w:tcBorders>
          </w:tcPr>
          <w:p w14:paraId="669319E8" w14:textId="77777777" w:rsidR="00840E7A" w:rsidRPr="00900ADE" w:rsidRDefault="00840E7A">
            <w:pPr>
              <w:pStyle w:val="TableColHeadingCenter"/>
              <w:rPr>
                <w:rFonts w:eastAsia="MS Mincho"/>
              </w:rPr>
            </w:pPr>
          </w:p>
        </w:tc>
      </w:tr>
      <w:tr w:rsidR="00840E7A" w:rsidRPr="00900ADE" w14:paraId="5D9DD779" w14:textId="77777777" w:rsidTr="00284CD2">
        <w:tc>
          <w:tcPr>
            <w:tcW w:w="3296" w:type="dxa"/>
            <w:shd w:val="clear" w:color="auto" w:fill="D9E2F3" w:themeFill="accent5" w:themeFillTint="33"/>
          </w:tcPr>
          <w:p w14:paraId="5B3D8A76" w14:textId="77777777" w:rsidR="00840E7A" w:rsidRPr="00900ADE" w:rsidRDefault="00840E7A">
            <w:pPr>
              <w:pStyle w:val="TableSubheading"/>
              <w:rPr>
                <w:rStyle w:val="FranklinGothicDemi"/>
              </w:rPr>
            </w:pPr>
            <w:r w:rsidRPr="00900ADE">
              <w:rPr>
                <w:rStyle w:val="FranklinGothicDemi"/>
              </w:rPr>
              <w:t>Emotional Support Domain</w:t>
            </w:r>
          </w:p>
        </w:tc>
        <w:tc>
          <w:tcPr>
            <w:tcW w:w="620" w:type="dxa"/>
            <w:shd w:val="clear" w:color="auto" w:fill="D9E2F3" w:themeFill="accent5" w:themeFillTint="33"/>
          </w:tcPr>
          <w:p w14:paraId="62F5B3B2" w14:textId="77777777" w:rsidR="00840E7A" w:rsidRPr="00900ADE" w:rsidRDefault="00840E7A">
            <w:pPr>
              <w:pStyle w:val="TableTextCenteredDemi"/>
              <w:rPr>
                <w:rFonts w:eastAsia="Times New Roman"/>
              </w:rPr>
            </w:pPr>
            <w:r w:rsidRPr="00900ADE">
              <w:rPr>
                <w:rFonts w:eastAsia="Times New Roman"/>
              </w:rPr>
              <w:t>1</w:t>
            </w:r>
          </w:p>
        </w:tc>
        <w:tc>
          <w:tcPr>
            <w:tcW w:w="655" w:type="dxa"/>
            <w:shd w:val="clear" w:color="auto" w:fill="D9E2F3" w:themeFill="accent5" w:themeFillTint="33"/>
          </w:tcPr>
          <w:p w14:paraId="06FBA3E9" w14:textId="77777777" w:rsidR="00840E7A" w:rsidRPr="00900ADE" w:rsidRDefault="00840E7A">
            <w:pPr>
              <w:pStyle w:val="TableTextCenteredDemi"/>
              <w:rPr>
                <w:rFonts w:eastAsia="Times New Roman"/>
              </w:rPr>
            </w:pPr>
            <w:r w:rsidRPr="00900ADE">
              <w:rPr>
                <w:rFonts w:eastAsia="Times New Roman"/>
              </w:rPr>
              <w:t>10</w:t>
            </w:r>
          </w:p>
        </w:tc>
        <w:tc>
          <w:tcPr>
            <w:tcW w:w="694" w:type="dxa"/>
            <w:shd w:val="clear" w:color="auto" w:fill="D9E2F3" w:themeFill="accent5" w:themeFillTint="33"/>
          </w:tcPr>
          <w:p w14:paraId="7ECBD8DD" w14:textId="77777777" w:rsidR="00840E7A" w:rsidRPr="00900ADE" w:rsidRDefault="00840E7A">
            <w:pPr>
              <w:pStyle w:val="TableTextCenteredDemi"/>
              <w:rPr>
                <w:rFonts w:eastAsia="Times New Roman"/>
              </w:rPr>
            </w:pPr>
            <w:r w:rsidRPr="00900ADE">
              <w:rPr>
                <w:rFonts w:eastAsia="Times New Roman"/>
              </w:rPr>
              <w:t>10</w:t>
            </w:r>
          </w:p>
        </w:tc>
        <w:tc>
          <w:tcPr>
            <w:tcW w:w="694" w:type="dxa"/>
            <w:shd w:val="clear" w:color="auto" w:fill="D9E2F3" w:themeFill="accent5" w:themeFillTint="33"/>
          </w:tcPr>
          <w:p w14:paraId="6D4B9177" w14:textId="77777777" w:rsidR="00840E7A" w:rsidRPr="00900ADE" w:rsidRDefault="00840E7A">
            <w:pPr>
              <w:pStyle w:val="TableTextCenteredDemi"/>
              <w:rPr>
                <w:rFonts w:eastAsia="Times New Roman"/>
              </w:rPr>
            </w:pPr>
            <w:r w:rsidRPr="00900ADE">
              <w:rPr>
                <w:rFonts w:eastAsia="Times New Roman"/>
              </w:rPr>
              <w:t>17</w:t>
            </w:r>
          </w:p>
        </w:tc>
        <w:tc>
          <w:tcPr>
            <w:tcW w:w="694" w:type="dxa"/>
            <w:shd w:val="clear" w:color="auto" w:fill="D9E2F3" w:themeFill="accent5" w:themeFillTint="33"/>
          </w:tcPr>
          <w:p w14:paraId="071873C0" w14:textId="77777777" w:rsidR="00840E7A" w:rsidRPr="00900ADE" w:rsidRDefault="00840E7A">
            <w:pPr>
              <w:pStyle w:val="TableTextCenteredDemi"/>
              <w:rPr>
                <w:rFonts w:eastAsia="Times New Roman"/>
              </w:rPr>
            </w:pPr>
            <w:r w:rsidRPr="00900ADE">
              <w:rPr>
                <w:rFonts w:eastAsia="Times New Roman"/>
              </w:rPr>
              <w:t>26</w:t>
            </w:r>
          </w:p>
        </w:tc>
        <w:tc>
          <w:tcPr>
            <w:tcW w:w="608" w:type="dxa"/>
            <w:shd w:val="clear" w:color="auto" w:fill="D9E2F3" w:themeFill="accent5" w:themeFillTint="33"/>
          </w:tcPr>
          <w:p w14:paraId="501D476B" w14:textId="77777777" w:rsidR="00840E7A" w:rsidRPr="00900ADE" w:rsidRDefault="00840E7A">
            <w:pPr>
              <w:pStyle w:val="TableTextCenteredDemi"/>
              <w:rPr>
                <w:rFonts w:eastAsia="Times New Roman"/>
              </w:rPr>
            </w:pPr>
            <w:r w:rsidRPr="00900ADE">
              <w:rPr>
                <w:rFonts w:eastAsia="Times New Roman"/>
              </w:rPr>
              <w:t>25</w:t>
            </w:r>
          </w:p>
        </w:tc>
        <w:tc>
          <w:tcPr>
            <w:tcW w:w="616" w:type="dxa"/>
            <w:shd w:val="clear" w:color="auto" w:fill="D9E2F3" w:themeFill="accent5" w:themeFillTint="33"/>
          </w:tcPr>
          <w:p w14:paraId="0E49B655" w14:textId="77777777" w:rsidR="00840E7A" w:rsidRPr="00900ADE" w:rsidRDefault="00840E7A">
            <w:pPr>
              <w:pStyle w:val="TableTextCenteredDemi"/>
              <w:rPr>
                <w:rFonts w:eastAsia="Times New Roman"/>
              </w:rPr>
            </w:pPr>
            <w:r w:rsidRPr="00900ADE">
              <w:rPr>
                <w:rFonts w:eastAsia="Times New Roman"/>
              </w:rPr>
              <w:t>47</w:t>
            </w:r>
          </w:p>
        </w:tc>
        <w:tc>
          <w:tcPr>
            <w:tcW w:w="515" w:type="dxa"/>
            <w:shd w:val="clear" w:color="auto" w:fill="D9E2F3" w:themeFill="accent5" w:themeFillTint="33"/>
          </w:tcPr>
          <w:p w14:paraId="3CE481EB" w14:textId="77777777" w:rsidR="00840E7A" w:rsidRPr="00900ADE" w:rsidRDefault="00840E7A">
            <w:pPr>
              <w:pStyle w:val="TableTextCenteredDemi"/>
              <w:rPr>
                <w:rFonts w:eastAsia="Times New Roman"/>
              </w:rPr>
            </w:pPr>
            <w:r w:rsidRPr="00900ADE">
              <w:rPr>
                <w:rFonts w:eastAsia="Times New Roman"/>
              </w:rPr>
              <w:t>136</w:t>
            </w:r>
          </w:p>
        </w:tc>
        <w:tc>
          <w:tcPr>
            <w:tcW w:w="952" w:type="dxa"/>
            <w:shd w:val="clear" w:color="auto" w:fill="D9E2F3" w:themeFill="accent5" w:themeFillTint="33"/>
          </w:tcPr>
          <w:p w14:paraId="2558E033" w14:textId="77777777" w:rsidR="00840E7A" w:rsidRPr="00900ADE" w:rsidRDefault="00840E7A">
            <w:pPr>
              <w:pStyle w:val="TableTextCenteredDemi"/>
              <w:rPr>
                <w:rFonts w:eastAsia="Times New Roman"/>
              </w:rPr>
            </w:pPr>
            <w:r w:rsidRPr="00900ADE">
              <w:rPr>
                <w:rFonts w:eastAsia="Times New Roman"/>
              </w:rPr>
              <w:t>5.4</w:t>
            </w:r>
          </w:p>
        </w:tc>
      </w:tr>
      <w:tr w:rsidR="00840E7A" w:rsidRPr="00900ADE" w14:paraId="6B5B6049" w14:textId="77777777" w:rsidTr="00284CD2">
        <w:tc>
          <w:tcPr>
            <w:tcW w:w="3296" w:type="dxa"/>
          </w:tcPr>
          <w:p w14:paraId="0B6019B9" w14:textId="77777777" w:rsidR="00840E7A" w:rsidRPr="00900ADE" w:rsidRDefault="00840E7A">
            <w:pPr>
              <w:pStyle w:val="TableText"/>
              <w:ind w:left="204"/>
              <w:rPr>
                <w:rFonts w:ascii="Franklin Gothic Book" w:hAnsi="Franklin Gothic Book"/>
                <w:b/>
                <w:bCs/>
              </w:rPr>
            </w:pPr>
            <w:r w:rsidRPr="00900ADE">
              <w:rPr>
                <w:rFonts w:ascii="Franklin Gothic Book" w:hAnsi="Franklin Gothic Book"/>
              </w:rPr>
              <w:t>Positive Climate</w:t>
            </w:r>
          </w:p>
        </w:tc>
        <w:tc>
          <w:tcPr>
            <w:tcW w:w="620" w:type="dxa"/>
          </w:tcPr>
          <w:p w14:paraId="00C77CBE" w14:textId="77777777" w:rsidR="00840E7A" w:rsidRPr="00900ADE" w:rsidRDefault="00840E7A">
            <w:pPr>
              <w:pStyle w:val="TableTextCentered"/>
              <w:rPr>
                <w:rFonts w:eastAsia="Times New Roman"/>
              </w:rPr>
            </w:pPr>
            <w:r w:rsidRPr="00900ADE">
              <w:rPr>
                <w:rFonts w:eastAsia="Times New Roman"/>
              </w:rPr>
              <w:t>0</w:t>
            </w:r>
          </w:p>
        </w:tc>
        <w:tc>
          <w:tcPr>
            <w:tcW w:w="655" w:type="dxa"/>
          </w:tcPr>
          <w:p w14:paraId="000930C9"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7BA1457E" w14:textId="77777777" w:rsidR="00840E7A" w:rsidRPr="00900ADE" w:rsidRDefault="00840E7A">
            <w:pPr>
              <w:pStyle w:val="TableTextCentered"/>
              <w:rPr>
                <w:rFonts w:eastAsia="Times New Roman"/>
              </w:rPr>
            </w:pPr>
            <w:r w:rsidRPr="00900ADE">
              <w:rPr>
                <w:rFonts w:eastAsia="Times New Roman"/>
              </w:rPr>
              <w:t>3</w:t>
            </w:r>
          </w:p>
        </w:tc>
        <w:tc>
          <w:tcPr>
            <w:tcW w:w="694" w:type="dxa"/>
          </w:tcPr>
          <w:p w14:paraId="74F3DA22" w14:textId="77777777" w:rsidR="00840E7A" w:rsidRPr="00900ADE" w:rsidRDefault="00840E7A">
            <w:pPr>
              <w:pStyle w:val="TableTextCentered"/>
              <w:rPr>
                <w:rFonts w:eastAsia="Times New Roman"/>
              </w:rPr>
            </w:pPr>
            <w:r w:rsidRPr="00900ADE">
              <w:rPr>
                <w:rFonts w:eastAsia="Times New Roman"/>
              </w:rPr>
              <w:t>5</w:t>
            </w:r>
          </w:p>
        </w:tc>
        <w:tc>
          <w:tcPr>
            <w:tcW w:w="694" w:type="dxa"/>
          </w:tcPr>
          <w:p w14:paraId="4A043892" w14:textId="77777777" w:rsidR="00840E7A" w:rsidRPr="00900ADE" w:rsidRDefault="00840E7A">
            <w:pPr>
              <w:pStyle w:val="TableTextCentered"/>
              <w:rPr>
                <w:rFonts w:eastAsia="Times New Roman"/>
              </w:rPr>
            </w:pPr>
            <w:r w:rsidRPr="00900ADE">
              <w:rPr>
                <w:rFonts w:eastAsia="Times New Roman"/>
              </w:rPr>
              <w:t>11</w:t>
            </w:r>
          </w:p>
        </w:tc>
        <w:tc>
          <w:tcPr>
            <w:tcW w:w="608" w:type="dxa"/>
          </w:tcPr>
          <w:p w14:paraId="1EFB1A60" w14:textId="77777777" w:rsidR="00840E7A" w:rsidRPr="00900ADE" w:rsidRDefault="00840E7A">
            <w:pPr>
              <w:pStyle w:val="TableTextCentered"/>
              <w:rPr>
                <w:rFonts w:eastAsia="Times New Roman"/>
              </w:rPr>
            </w:pPr>
            <w:r w:rsidRPr="00900ADE">
              <w:rPr>
                <w:rFonts w:eastAsia="Times New Roman"/>
              </w:rPr>
              <w:t>7</w:t>
            </w:r>
          </w:p>
        </w:tc>
        <w:tc>
          <w:tcPr>
            <w:tcW w:w="616" w:type="dxa"/>
          </w:tcPr>
          <w:p w14:paraId="222F867B" w14:textId="77777777" w:rsidR="00840E7A" w:rsidRPr="00900ADE" w:rsidRDefault="00840E7A">
            <w:pPr>
              <w:pStyle w:val="TableTextCentered"/>
              <w:rPr>
                <w:rFonts w:eastAsia="Times New Roman"/>
              </w:rPr>
            </w:pPr>
            <w:r w:rsidRPr="00900ADE">
              <w:rPr>
                <w:rFonts w:eastAsia="Times New Roman"/>
              </w:rPr>
              <w:t>7</w:t>
            </w:r>
          </w:p>
        </w:tc>
        <w:tc>
          <w:tcPr>
            <w:tcW w:w="515" w:type="dxa"/>
          </w:tcPr>
          <w:p w14:paraId="1446D99A" w14:textId="77777777" w:rsidR="00840E7A" w:rsidRPr="00900ADE" w:rsidRDefault="00840E7A">
            <w:pPr>
              <w:pStyle w:val="TableTextCentered"/>
              <w:rPr>
                <w:rFonts w:eastAsia="Times New Roman"/>
              </w:rPr>
            </w:pPr>
            <w:r w:rsidRPr="00900ADE">
              <w:rPr>
                <w:rFonts w:eastAsia="Times New Roman"/>
              </w:rPr>
              <w:t>34</w:t>
            </w:r>
          </w:p>
        </w:tc>
        <w:tc>
          <w:tcPr>
            <w:tcW w:w="952" w:type="dxa"/>
          </w:tcPr>
          <w:p w14:paraId="7D16B645" w14:textId="77777777" w:rsidR="00840E7A" w:rsidRPr="00900ADE" w:rsidRDefault="00840E7A">
            <w:pPr>
              <w:pStyle w:val="TableTextCentered"/>
              <w:rPr>
                <w:rFonts w:eastAsia="Times New Roman"/>
              </w:rPr>
            </w:pPr>
            <w:r w:rsidRPr="00900ADE">
              <w:rPr>
                <w:rFonts w:eastAsia="Times New Roman"/>
              </w:rPr>
              <w:t>5.2</w:t>
            </w:r>
          </w:p>
        </w:tc>
      </w:tr>
      <w:tr w:rsidR="00840E7A" w:rsidRPr="00900ADE" w14:paraId="5D65A156" w14:textId="77777777" w:rsidTr="00284CD2">
        <w:tc>
          <w:tcPr>
            <w:tcW w:w="3296" w:type="dxa"/>
          </w:tcPr>
          <w:p w14:paraId="2B89CE07" w14:textId="77777777" w:rsidR="00840E7A" w:rsidRPr="00900ADE" w:rsidRDefault="00840E7A">
            <w:pPr>
              <w:pStyle w:val="TableText"/>
              <w:ind w:left="204"/>
              <w:rPr>
                <w:rFonts w:ascii="Franklin Gothic Book" w:hAnsi="Franklin Gothic Book"/>
                <w:b/>
                <w:bCs/>
              </w:rPr>
            </w:pPr>
            <w:r w:rsidRPr="00900ADE">
              <w:rPr>
                <w:rFonts w:ascii="Franklin Gothic Book" w:hAnsi="Franklin Gothic Book"/>
              </w:rPr>
              <w:t>Negative Climate**</w:t>
            </w:r>
          </w:p>
        </w:tc>
        <w:tc>
          <w:tcPr>
            <w:tcW w:w="620" w:type="dxa"/>
          </w:tcPr>
          <w:p w14:paraId="60B19F9C" w14:textId="77777777" w:rsidR="00840E7A" w:rsidRPr="00900ADE" w:rsidRDefault="00840E7A">
            <w:pPr>
              <w:pStyle w:val="TableTextCentered"/>
              <w:rPr>
                <w:rFonts w:eastAsia="Times New Roman"/>
              </w:rPr>
            </w:pPr>
            <w:r w:rsidRPr="00900ADE">
              <w:rPr>
                <w:rFonts w:eastAsia="Times New Roman"/>
              </w:rPr>
              <w:t>0</w:t>
            </w:r>
          </w:p>
        </w:tc>
        <w:tc>
          <w:tcPr>
            <w:tcW w:w="655" w:type="dxa"/>
          </w:tcPr>
          <w:p w14:paraId="1944FEF0"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06F4F9CF"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7F202BA6"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10377B04" w14:textId="77777777" w:rsidR="00840E7A" w:rsidRPr="00900ADE" w:rsidRDefault="00840E7A">
            <w:pPr>
              <w:pStyle w:val="TableTextCentered"/>
              <w:rPr>
                <w:rFonts w:eastAsia="Times New Roman"/>
              </w:rPr>
            </w:pPr>
            <w:r w:rsidRPr="00900ADE">
              <w:rPr>
                <w:rFonts w:eastAsia="Times New Roman"/>
              </w:rPr>
              <w:t>0</w:t>
            </w:r>
          </w:p>
        </w:tc>
        <w:tc>
          <w:tcPr>
            <w:tcW w:w="608" w:type="dxa"/>
          </w:tcPr>
          <w:p w14:paraId="3B76F7BC" w14:textId="77777777" w:rsidR="00840E7A" w:rsidRPr="00900ADE" w:rsidRDefault="00840E7A">
            <w:pPr>
              <w:pStyle w:val="TableTextCentered"/>
              <w:rPr>
                <w:rFonts w:eastAsia="Times New Roman"/>
              </w:rPr>
            </w:pPr>
            <w:r w:rsidRPr="00900ADE">
              <w:rPr>
                <w:rFonts w:eastAsia="Times New Roman"/>
              </w:rPr>
              <w:t>3</w:t>
            </w:r>
          </w:p>
        </w:tc>
        <w:tc>
          <w:tcPr>
            <w:tcW w:w="616" w:type="dxa"/>
          </w:tcPr>
          <w:p w14:paraId="5E0AB260" w14:textId="77777777" w:rsidR="00840E7A" w:rsidRPr="00900ADE" w:rsidRDefault="00840E7A">
            <w:pPr>
              <w:pStyle w:val="TableTextCentered"/>
              <w:rPr>
                <w:rFonts w:eastAsia="Times New Roman"/>
              </w:rPr>
            </w:pPr>
            <w:r w:rsidRPr="00900ADE">
              <w:rPr>
                <w:rFonts w:eastAsia="Times New Roman"/>
              </w:rPr>
              <w:t>31</w:t>
            </w:r>
          </w:p>
        </w:tc>
        <w:tc>
          <w:tcPr>
            <w:tcW w:w="515" w:type="dxa"/>
          </w:tcPr>
          <w:p w14:paraId="5B69E6DD" w14:textId="77777777" w:rsidR="00840E7A" w:rsidRPr="00900ADE" w:rsidRDefault="00840E7A">
            <w:pPr>
              <w:pStyle w:val="TableTextCentered"/>
              <w:rPr>
                <w:rFonts w:eastAsia="Times New Roman"/>
              </w:rPr>
            </w:pPr>
            <w:r w:rsidRPr="00900ADE">
              <w:rPr>
                <w:rFonts w:eastAsia="Times New Roman"/>
              </w:rPr>
              <w:t>34</w:t>
            </w:r>
          </w:p>
        </w:tc>
        <w:tc>
          <w:tcPr>
            <w:tcW w:w="952" w:type="dxa"/>
          </w:tcPr>
          <w:p w14:paraId="08CA8BE6" w14:textId="77777777" w:rsidR="00840E7A" w:rsidRPr="00900ADE" w:rsidRDefault="00840E7A">
            <w:pPr>
              <w:pStyle w:val="TableTextCentered"/>
              <w:rPr>
                <w:rFonts w:eastAsia="Times New Roman"/>
              </w:rPr>
            </w:pPr>
            <w:r w:rsidRPr="00900ADE">
              <w:rPr>
                <w:rFonts w:eastAsia="Times New Roman"/>
              </w:rPr>
              <w:t>6.9</w:t>
            </w:r>
          </w:p>
        </w:tc>
      </w:tr>
      <w:tr w:rsidR="00840E7A" w:rsidRPr="00900ADE" w14:paraId="055A6574" w14:textId="77777777" w:rsidTr="00284CD2">
        <w:tc>
          <w:tcPr>
            <w:tcW w:w="3296" w:type="dxa"/>
          </w:tcPr>
          <w:p w14:paraId="1EEB5595" w14:textId="77777777" w:rsidR="00840E7A" w:rsidRPr="00900ADE" w:rsidRDefault="00840E7A">
            <w:pPr>
              <w:pStyle w:val="TableText"/>
              <w:ind w:left="204"/>
              <w:rPr>
                <w:rFonts w:ascii="Franklin Gothic Book" w:hAnsi="Franklin Gothic Book"/>
                <w:b/>
                <w:bCs/>
              </w:rPr>
            </w:pPr>
            <w:r w:rsidRPr="00900ADE">
              <w:rPr>
                <w:rFonts w:ascii="Franklin Gothic Book" w:hAnsi="Franklin Gothic Book"/>
              </w:rPr>
              <w:t>Teacher Sensitivity</w:t>
            </w:r>
          </w:p>
        </w:tc>
        <w:tc>
          <w:tcPr>
            <w:tcW w:w="620" w:type="dxa"/>
          </w:tcPr>
          <w:p w14:paraId="453EF9D7" w14:textId="77777777" w:rsidR="00840E7A" w:rsidRPr="00900ADE" w:rsidRDefault="00840E7A">
            <w:pPr>
              <w:pStyle w:val="TableTextCentered"/>
              <w:rPr>
                <w:rFonts w:eastAsia="Times New Roman"/>
              </w:rPr>
            </w:pPr>
            <w:r w:rsidRPr="00900ADE">
              <w:rPr>
                <w:rFonts w:eastAsia="Times New Roman"/>
              </w:rPr>
              <w:t>0</w:t>
            </w:r>
          </w:p>
        </w:tc>
        <w:tc>
          <w:tcPr>
            <w:tcW w:w="655" w:type="dxa"/>
          </w:tcPr>
          <w:p w14:paraId="1C03763D"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4BDBC06D"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4871ED43" w14:textId="77777777" w:rsidR="00840E7A" w:rsidRPr="00900ADE" w:rsidRDefault="00840E7A">
            <w:pPr>
              <w:pStyle w:val="TableTextCentered"/>
              <w:rPr>
                <w:rFonts w:eastAsia="Times New Roman"/>
              </w:rPr>
            </w:pPr>
            <w:r w:rsidRPr="00900ADE">
              <w:rPr>
                <w:rFonts w:eastAsia="Times New Roman"/>
              </w:rPr>
              <w:t>6</w:t>
            </w:r>
          </w:p>
        </w:tc>
        <w:tc>
          <w:tcPr>
            <w:tcW w:w="694" w:type="dxa"/>
          </w:tcPr>
          <w:p w14:paraId="55A8111C" w14:textId="77777777" w:rsidR="00840E7A" w:rsidRPr="00900ADE" w:rsidRDefault="00840E7A">
            <w:pPr>
              <w:pStyle w:val="TableTextCentered"/>
              <w:rPr>
                <w:rFonts w:eastAsia="Times New Roman"/>
              </w:rPr>
            </w:pPr>
            <w:r w:rsidRPr="00900ADE">
              <w:rPr>
                <w:rFonts w:eastAsia="Times New Roman"/>
              </w:rPr>
              <w:t>10</w:t>
            </w:r>
          </w:p>
        </w:tc>
        <w:tc>
          <w:tcPr>
            <w:tcW w:w="608" w:type="dxa"/>
          </w:tcPr>
          <w:p w14:paraId="2BA53CFC" w14:textId="77777777" w:rsidR="00840E7A" w:rsidRPr="00900ADE" w:rsidRDefault="00840E7A">
            <w:pPr>
              <w:pStyle w:val="TableTextCentered"/>
              <w:rPr>
                <w:rFonts w:eastAsia="Times New Roman"/>
              </w:rPr>
            </w:pPr>
            <w:r w:rsidRPr="00900ADE">
              <w:rPr>
                <w:rFonts w:eastAsia="Times New Roman"/>
              </w:rPr>
              <w:t>10</w:t>
            </w:r>
          </w:p>
        </w:tc>
        <w:tc>
          <w:tcPr>
            <w:tcW w:w="616" w:type="dxa"/>
          </w:tcPr>
          <w:p w14:paraId="7D2152E7" w14:textId="77777777" w:rsidR="00840E7A" w:rsidRPr="00900ADE" w:rsidRDefault="00840E7A">
            <w:pPr>
              <w:pStyle w:val="TableTextCentered"/>
              <w:rPr>
                <w:rFonts w:eastAsia="Times New Roman"/>
              </w:rPr>
            </w:pPr>
            <w:r w:rsidRPr="00900ADE">
              <w:rPr>
                <w:rFonts w:eastAsia="Times New Roman"/>
              </w:rPr>
              <w:t>7</w:t>
            </w:r>
          </w:p>
        </w:tc>
        <w:tc>
          <w:tcPr>
            <w:tcW w:w="515" w:type="dxa"/>
          </w:tcPr>
          <w:p w14:paraId="02767370" w14:textId="77777777" w:rsidR="00840E7A" w:rsidRPr="00900ADE" w:rsidRDefault="00840E7A">
            <w:pPr>
              <w:pStyle w:val="TableTextCentered"/>
              <w:rPr>
                <w:rFonts w:eastAsia="Times New Roman"/>
              </w:rPr>
            </w:pPr>
            <w:r w:rsidRPr="00900ADE">
              <w:rPr>
                <w:rFonts w:eastAsia="Times New Roman"/>
              </w:rPr>
              <w:t>34</w:t>
            </w:r>
          </w:p>
        </w:tc>
        <w:tc>
          <w:tcPr>
            <w:tcW w:w="952" w:type="dxa"/>
          </w:tcPr>
          <w:p w14:paraId="15374B8F" w14:textId="77777777" w:rsidR="00840E7A" w:rsidRPr="00900ADE" w:rsidRDefault="00840E7A">
            <w:pPr>
              <w:pStyle w:val="TableTextCentered"/>
              <w:rPr>
                <w:rFonts w:eastAsia="Times New Roman"/>
              </w:rPr>
            </w:pPr>
            <w:r w:rsidRPr="00900ADE">
              <w:rPr>
                <w:rFonts w:eastAsia="Times New Roman"/>
              </w:rPr>
              <w:t>5.5</w:t>
            </w:r>
          </w:p>
        </w:tc>
      </w:tr>
      <w:tr w:rsidR="00840E7A" w:rsidRPr="00900ADE" w14:paraId="376694EB" w14:textId="77777777" w:rsidTr="00284CD2">
        <w:tc>
          <w:tcPr>
            <w:tcW w:w="3296" w:type="dxa"/>
          </w:tcPr>
          <w:p w14:paraId="77F2B59B" w14:textId="77777777" w:rsidR="00840E7A" w:rsidRPr="00900ADE" w:rsidRDefault="00840E7A">
            <w:pPr>
              <w:pStyle w:val="TableText"/>
              <w:ind w:left="204"/>
              <w:rPr>
                <w:rFonts w:ascii="Franklin Gothic Book" w:hAnsi="Franklin Gothic Book"/>
                <w:b/>
                <w:bCs/>
              </w:rPr>
            </w:pPr>
            <w:r w:rsidRPr="00900ADE">
              <w:rPr>
                <w:rFonts w:ascii="Franklin Gothic Book" w:hAnsi="Franklin Gothic Book"/>
              </w:rPr>
              <w:t>Regard for Student Perspectives</w:t>
            </w:r>
          </w:p>
        </w:tc>
        <w:tc>
          <w:tcPr>
            <w:tcW w:w="620" w:type="dxa"/>
          </w:tcPr>
          <w:p w14:paraId="352DEA6E" w14:textId="77777777" w:rsidR="00840E7A" w:rsidRPr="00900ADE" w:rsidRDefault="00840E7A">
            <w:pPr>
              <w:pStyle w:val="TableTextCentered"/>
              <w:rPr>
                <w:rFonts w:eastAsia="Times New Roman"/>
              </w:rPr>
            </w:pPr>
            <w:r w:rsidRPr="00900ADE">
              <w:rPr>
                <w:rFonts w:eastAsia="Times New Roman"/>
              </w:rPr>
              <w:t>1</w:t>
            </w:r>
          </w:p>
        </w:tc>
        <w:tc>
          <w:tcPr>
            <w:tcW w:w="655" w:type="dxa"/>
          </w:tcPr>
          <w:p w14:paraId="3D873FD3" w14:textId="77777777" w:rsidR="00840E7A" w:rsidRPr="00900ADE" w:rsidRDefault="00840E7A">
            <w:pPr>
              <w:pStyle w:val="TableTextCentered"/>
              <w:rPr>
                <w:rFonts w:eastAsia="Times New Roman"/>
              </w:rPr>
            </w:pPr>
            <w:r w:rsidRPr="00900ADE">
              <w:rPr>
                <w:rFonts w:eastAsia="Times New Roman"/>
              </w:rPr>
              <w:t>9</w:t>
            </w:r>
          </w:p>
        </w:tc>
        <w:tc>
          <w:tcPr>
            <w:tcW w:w="694" w:type="dxa"/>
          </w:tcPr>
          <w:p w14:paraId="08A84E88" w14:textId="77777777" w:rsidR="00840E7A" w:rsidRPr="00900ADE" w:rsidRDefault="00840E7A">
            <w:pPr>
              <w:pStyle w:val="TableTextCentered"/>
              <w:rPr>
                <w:rFonts w:eastAsia="Times New Roman"/>
              </w:rPr>
            </w:pPr>
            <w:r w:rsidRPr="00900ADE">
              <w:rPr>
                <w:rFonts w:eastAsia="Times New Roman"/>
              </w:rPr>
              <w:t>6</w:t>
            </w:r>
          </w:p>
        </w:tc>
        <w:tc>
          <w:tcPr>
            <w:tcW w:w="694" w:type="dxa"/>
          </w:tcPr>
          <w:p w14:paraId="3BD978D2" w14:textId="77777777" w:rsidR="00840E7A" w:rsidRPr="00900ADE" w:rsidRDefault="00840E7A">
            <w:pPr>
              <w:pStyle w:val="TableTextCentered"/>
              <w:rPr>
                <w:rFonts w:eastAsia="Times New Roman"/>
              </w:rPr>
            </w:pPr>
            <w:r w:rsidRPr="00900ADE">
              <w:rPr>
                <w:rFonts w:eastAsia="Times New Roman"/>
              </w:rPr>
              <w:t>6</w:t>
            </w:r>
          </w:p>
        </w:tc>
        <w:tc>
          <w:tcPr>
            <w:tcW w:w="694" w:type="dxa"/>
          </w:tcPr>
          <w:p w14:paraId="20FCD9B9" w14:textId="77777777" w:rsidR="00840E7A" w:rsidRPr="00900ADE" w:rsidRDefault="00840E7A">
            <w:pPr>
              <w:pStyle w:val="TableTextCentered"/>
              <w:rPr>
                <w:rFonts w:eastAsia="Times New Roman"/>
              </w:rPr>
            </w:pPr>
            <w:r w:rsidRPr="00900ADE">
              <w:rPr>
                <w:rFonts w:eastAsia="Times New Roman"/>
              </w:rPr>
              <w:t>5</w:t>
            </w:r>
          </w:p>
        </w:tc>
        <w:tc>
          <w:tcPr>
            <w:tcW w:w="608" w:type="dxa"/>
          </w:tcPr>
          <w:p w14:paraId="1F3941FC" w14:textId="77777777" w:rsidR="00840E7A" w:rsidRPr="00900ADE" w:rsidRDefault="00840E7A">
            <w:pPr>
              <w:pStyle w:val="TableTextCentered"/>
              <w:rPr>
                <w:rFonts w:eastAsia="Times New Roman"/>
              </w:rPr>
            </w:pPr>
            <w:r w:rsidRPr="00900ADE">
              <w:rPr>
                <w:rFonts w:eastAsia="Times New Roman"/>
              </w:rPr>
              <w:t>5</w:t>
            </w:r>
          </w:p>
        </w:tc>
        <w:tc>
          <w:tcPr>
            <w:tcW w:w="616" w:type="dxa"/>
          </w:tcPr>
          <w:p w14:paraId="72A527BA" w14:textId="77777777" w:rsidR="00840E7A" w:rsidRPr="00900ADE" w:rsidRDefault="00840E7A">
            <w:pPr>
              <w:pStyle w:val="TableTextCentered"/>
              <w:rPr>
                <w:rFonts w:eastAsia="Times New Roman"/>
              </w:rPr>
            </w:pPr>
            <w:r w:rsidRPr="00900ADE">
              <w:rPr>
                <w:rFonts w:eastAsia="Times New Roman"/>
              </w:rPr>
              <w:t>2</w:t>
            </w:r>
          </w:p>
        </w:tc>
        <w:tc>
          <w:tcPr>
            <w:tcW w:w="515" w:type="dxa"/>
          </w:tcPr>
          <w:p w14:paraId="44F1F9D7" w14:textId="77777777" w:rsidR="00840E7A" w:rsidRPr="00900ADE" w:rsidRDefault="00840E7A">
            <w:pPr>
              <w:pStyle w:val="TableTextCentered"/>
              <w:rPr>
                <w:rFonts w:eastAsia="Times New Roman"/>
              </w:rPr>
            </w:pPr>
            <w:r w:rsidRPr="00900ADE">
              <w:rPr>
                <w:rFonts w:eastAsia="Times New Roman"/>
              </w:rPr>
              <w:t>34</w:t>
            </w:r>
          </w:p>
        </w:tc>
        <w:tc>
          <w:tcPr>
            <w:tcW w:w="952" w:type="dxa"/>
          </w:tcPr>
          <w:p w14:paraId="120A7CE8" w14:textId="77777777" w:rsidR="00840E7A" w:rsidRPr="00900ADE" w:rsidRDefault="00840E7A">
            <w:pPr>
              <w:pStyle w:val="TableTextCentered"/>
              <w:rPr>
                <w:rFonts w:eastAsia="Times New Roman"/>
              </w:rPr>
            </w:pPr>
            <w:r w:rsidRPr="00900ADE">
              <w:rPr>
                <w:rFonts w:eastAsia="Times New Roman"/>
              </w:rPr>
              <w:t>3.8</w:t>
            </w:r>
          </w:p>
        </w:tc>
      </w:tr>
      <w:tr w:rsidR="00840E7A" w:rsidRPr="00900ADE" w14:paraId="60AACD82" w14:textId="77777777" w:rsidTr="00284CD2">
        <w:tc>
          <w:tcPr>
            <w:tcW w:w="3296" w:type="dxa"/>
            <w:shd w:val="clear" w:color="auto" w:fill="D9E2F3" w:themeFill="accent5" w:themeFillTint="33"/>
          </w:tcPr>
          <w:p w14:paraId="756BBD88" w14:textId="77777777" w:rsidR="00840E7A" w:rsidRPr="00900ADE" w:rsidRDefault="00840E7A">
            <w:pPr>
              <w:pStyle w:val="TableSubheading"/>
              <w:rPr>
                <w:rStyle w:val="FranklinGothicDemi"/>
              </w:rPr>
            </w:pPr>
            <w:r w:rsidRPr="00900ADE">
              <w:rPr>
                <w:rStyle w:val="FranklinGothicDemi"/>
              </w:rPr>
              <w:t>Classroom Organization Domain</w:t>
            </w:r>
          </w:p>
        </w:tc>
        <w:tc>
          <w:tcPr>
            <w:tcW w:w="620" w:type="dxa"/>
            <w:shd w:val="clear" w:color="auto" w:fill="D9E2F3" w:themeFill="accent5" w:themeFillTint="33"/>
          </w:tcPr>
          <w:p w14:paraId="4152F328" w14:textId="77777777" w:rsidR="00840E7A" w:rsidRPr="00900ADE" w:rsidRDefault="00840E7A">
            <w:pPr>
              <w:pStyle w:val="TableTextCenteredDemi"/>
              <w:rPr>
                <w:rFonts w:eastAsia="Times New Roman"/>
              </w:rPr>
            </w:pPr>
            <w:r w:rsidRPr="00900ADE">
              <w:rPr>
                <w:rFonts w:eastAsia="Times New Roman"/>
              </w:rPr>
              <w:t>0</w:t>
            </w:r>
          </w:p>
        </w:tc>
        <w:tc>
          <w:tcPr>
            <w:tcW w:w="655" w:type="dxa"/>
            <w:shd w:val="clear" w:color="auto" w:fill="D9E2F3" w:themeFill="accent5" w:themeFillTint="33"/>
          </w:tcPr>
          <w:p w14:paraId="26471CF9" w14:textId="77777777" w:rsidR="00840E7A" w:rsidRPr="00900ADE" w:rsidRDefault="00840E7A">
            <w:pPr>
              <w:pStyle w:val="TableTextCenteredDemi"/>
              <w:rPr>
                <w:rFonts w:eastAsia="Times New Roman"/>
              </w:rPr>
            </w:pPr>
            <w:r w:rsidRPr="00900ADE">
              <w:rPr>
                <w:rFonts w:eastAsia="Times New Roman"/>
              </w:rPr>
              <w:t>1</w:t>
            </w:r>
          </w:p>
        </w:tc>
        <w:tc>
          <w:tcPr>
            <w:tcW w:w="694" w:type="dxa"/>
            <w:shd w:val="clear" w:color="auto" w:fill="D9E2F3" w:themeFill="accent5" w:themeFillTint="33"/>
          </w:tcPr>
          <w:p w14:paraId="112F5553" w14:textId="77777777" w:rsidR="00840E7A" w:rsidRPr="00900ADE" w:rsidRDefault="00840E7A">
            <w:pPr>
              <w:pStyle w:val="TableTextCenteredDemi"/>
              <w:rPr>
                <w:rFonts w:eastAsia="Times New Roman"/>
              </w:rPr>
            </w:pPr>
            <w:r w:rsidRPr="00900ADE">
              <w:rPr>
                <w:rFonts w:eastAsia="Times New Roman"/>
              </w:rPr>
              <w:t>2</w:t>
            </w:r>
          </w:p>
        </w:tc>
        <w:tc>
          <w:tcPr>
            <w:tcW w:w="694" w:type="dxa"/>
            <w:shd w:val="clear" w:color="auto" w:fill="D9E2F3" w:themeFill="accent5" w:themeFillTint="33"/>
          </w:tcPr>
          <w:p w14:paraId="5FE914F6" w14:textId="77777777" w:rsidR="00840E7A" w:rsidRPr="00900ADE" w:rsidRDefault="00840E7A">
            <w:pPr>
              <w:pStyle w:val="TableTextCenteredDemi"/>
              <w:rPr>
                <w:rFonts w:eastAsia="Times New Roman"/>
              </w:rPr>
            </w:pPr>
            <w:r w:rsidRPr="00900ADE">
              <w:rPr>
                <w:rFonts w:eastAsia="Times New Roman"/>
              </w:rPr>
              <w:t>7</w:t>
            </w:r>
          </w:p>
        </w:tc>
        <w:tc>
          <w:tcPr>
            <w:tcW w:w="694" w:type="dxa"/>
            <w:shd w:val="clear" w:color="auto" w:fill="D9E2F3" w:themeFill="accent5" w:themeFillTint="33"/>
          </w:tcPr>
          <w:p w14:paraId="0BD609F8" w14:textId="77777777" w:rsidR="00840E7A" w:rsidRPr="00900ADE" w:rsidRDefault="00840E7A">
            <w:pPr>
              <w:pStyle w:val="TableTextCenteredDemi"/>
              <w:rPr>
                <w:rFonts w:eastAsia="Times New Roman"/>
              </w:rPr>
            </w:pPr>
            <w:r w:rsidRPr="00900ADE">
              <w:rPr>
                <w:rFonts w:eastAsia="Times New Roman"/>
              </w:rPr>
              <w:t>14</w:t>
            </w:r>
          </w:p>
        </w:tc>
        <w:tc>
          <w:tcPr>
            <w:tcW w:w="608" w:type="dxa"/>
            <w:shd w:val="clear" w:color="auto" w:fill="D9E2F3" w:themeFill="accent5" w:themeFillTint="33"/>
          </w:tcPr>
          <w:p w14:paraId="2D493873" w14:textId="77777777" w:rsidR="00840E7A" w:rsidRPr="00900ADE" w:rsidRDefault="00840E7A">
            <w:pPr>
              <w:pStyle w:val="TableTextCenteredDemi"/>
              <w:rPr>
                <w:rFonts w:eastAsia="Times New Roman"/>
              </w:rPr>
            </w:pPr>
            <w:r w:rsidRPr="00900ADE">
              <w:rPr>
                <w:rFonts w:eastAsia="Times New Roman"/>
              </w:rPr>
              <w:t>20</w:t>
            </w:r>
          </w:p>
        </w:tc>
        <w:tc>
          <w:tcPr>
            <w:tcW w:w="616" w:type="dxa"/>
            <w:shd w:val="clear" w:color="auto" w:fill="D9E2F3" w:themeFill="accent5" w:themeFillTint="33"/>
          </w:tcPr>
          <w:p w14:paraId="6D0766F2" w14:textId="77777777" w:rsidR="00840E7A" w:rsidRPr="00900ADE" w:rsidRDefault="00840E7A">
            <w:pPr>
              <w:pStyle w:val="TableTextCenteredDemi"/>
              <w:rPr>
                <w:rFonts w:eastAsia="Times New Roman"/>
              </w:rPr>
            </w:pPr>
            <w:r w:rsidRPr="00900ADE">
              <w:rPr>
                <w:rFonts w:eastAsia="Times New Roman"/>
              </w:rPr>
              <w:t>58</w:t>
            </w:r>
          </w:p>
        </w:tc>
        <w:tc>
          <w:tcPr>
            <w:tcW w:w="515" w:type="dxa"/>
            <w:shd w:val="clear" w:color="auto" w:fill="D9E2F3" w:themeFill="accent5" w:themeFillTint="33"/>
          </w:tcPr>
          <w:p w14:paraId="50054394" w14:textId="77777777" w:rsidR="00840E7A" w:rsidRPr="00900ADE" w:rsidRDefault="00840E7A">
            <w:pPr>
              <w:pStyle w:val="TableTextCenteredDemi"/>
              <w:rPr>
                <w:rFonts w:eastAsia="Times New Roman"/>
              </w:rPr>
            </w:pPr>
            <w:r w:rsidRPr="00900ADE">
              <w:rPr>
                <w:rFonts w:eastAsia="Times New Roman"/>
              </w:rPr>
              <w:t>102</w:t>
            </w:r>
          </w:p>
        </w:tc>
        <w:tc>
          <w:tcPr>
            <w:tcW w:w="952" w:type="dxa"/>
            <w:shd w:val="clear" w:color="auto" w:fill="D9E2F3" w:themeFill="accent5" w:themeFillTint="33"/>
          </w:tcPr>
          <w:p w14:paraId="74FE73BB" w14:textId="77777777" w:rsidR="00840E7A" w:rsidRPr="00900ADE" w:rsidRDefault="00840E7A">
            <w:pPr>
              <w:pStyle w:val="TableTextCenteredDemi"/>
              <w:rPr>
                <w:rFonts w:eastAsia="Times New Roman"/>
              </w:rPr>
            </w:pPr>
            <w:r w:rsidRPr="00900ADE">
              <w:rPr>
                <w:rFonts w:eastAsia="Times New Roman"/>
              </w:rPr>
              <w:t>6.2</w:t>
            </w:r>
          </w:p>
        </w:tc>
      </w:tr>
      <w:tr w:rsidR="00840E7A" w:rsidRPr="00900ADE" w14:paraId="5D3BB925" w14:textId="77777777" w:rsidTr="00284CD2">
        <w:tc>
          <w:tcPr>
            <w:tcW w:w="3296" w:type="dxa"/>
          </w:tcPr>
          <w:p w14:paraId="139AE8BE" w14:textId="77777777" w:rsidR="00840E7A" w:rsidRPr="00900ADE" w:rsidRDefault="00840E7A">
            <w:pPr>
              <w:pStyle w:val="TableText"/>
              <w:ind w:left="204"/>
              <w:rPr>
                <w:rFonts w:ascii="Franklin Gothic Book" w:hAnsi="Franklin Gothic Book"/>
                <w:b/>
                <w:bCs/>
              </w:rPr>
            </w:pPr>
            <w:r w:rsidRPr="00900ADE">
              <w:rPr>
                <w:rFonts w:ascii="Franklin Gothic Book" w:hAnsi="Franklin Gothic Book"/>
              </w:rPr>
              <w:t>Behavior Management</w:t>
            </w:r>
          </w:p>
        </w:tc>
        <w:tc>
          <w:tcPr>
            <w:tcW w:w="620" w:type="dxa"/>
          </w:tcPr>
          <w:p w14:paraId="38DF85CF" w14:textId="77777777" w:rsidR="00840E7A" w:rsidRPr="00900ADE" w:rsidRDefault="00840E7A">
            <w:pPr>
              <w:pStyle w:val="TableTextCentered"/>
              <w:rPr>
                <w:rFonts w:eastAsia="Times New Roman"/>
              </w:rPr>
            </w:pPr>
            <w:r w:rsidRPr="00900ADE">
              <w:rPr>
                <w:rFonts w:eastAsia="Times New Roman"/>
              </w:rPr>
              <w:t>0</w:t>
            </w:r>
          </w:p>
        </w:tc>
        <w:tc>
          <w:tcPr>
            <w:tcW w:w="655" w:type="dxa"/>
          </w:tcPr>
          <w:p w14:paraId="721D264B"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6353121D"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04EAE0F1"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41C44170" w14:textId="77777777" w:rsidR="00840E7A" w:rsidRPr="00900ADE" w:rsidRDefault="00840E7A">
            <w:pPr>
              <w:pStyle w:val="TableTextCentered"/>
              <w:rPr>
                <w:rFonts w:eastAsia="Times New Roman"/>
              </w:rPr>
            </w:pPr>
            <w:r w:rsidRPr="00900ADE">
              <w:rPr>
                <w:rFonts w:eastAsia="Times New Roman"/>
              </w:rPr>
              <w:t>3</w:t>
            </w:r>
          </w:p>
        </w:tc>
        <w:tc>
          <w:tcPr>
            <w:tcW w:w="608" w:type="dxa"/>
          </w:tcPr>
          <w:p w14:paraId="210F2EE5" w14:textId="77777777" w:rsidR="00840E7A" w:rsidRPr="00900ADE" w:rsidRDefault="00840E7A">
            <w:pPr>
              <w:pStyle w:val="TableTextCentered"/>
              <w:rPr>
                <w:rFonts w:eastAsia="Times New Roman"/>
              </w:rPr>
            </w:pPr>
            <w:r w:rsidRPr="00900ADE">
              <w:rPr>
                <w:rFonts w:eastAsia="Times New Roman"/>
              </w:rPr>
              <w:t>6</w:t>
            </w:r>
          </w:p>
        </w:tc>
        <w:tc>
          <w:tcPr>
            <w:tcW w:w="616" w:type="dxa"/>
          </w:tcPr>
          <w:p w14:paraId="5E86CC6C" w14:textId="77777777" w:rsidR="00840E7A" w:rsidRPr="00900ADE" w:rsidRDefault="00840E7A">
            <w:pPr>
              <w:pStyle w:val="TableTextCentered"/>
              <w:rPr>
                <w:rFonts w:eastAsia="Times New Roman"/>
              </w:rPr>
            </w:pPr>
            <w:r w:rsidRPr="00900ADE">
              <w:rPr>
                <w:rFonts w:eastAsia="Times New Roman"/>
              </w:rPr>
              <w:t>24</w:t>
            </w:r>
          </w:p>
        </w:tc>
        <w:tc>
          <w:tcPr>
            <w:tcW w:w="515" w:type="dxa"/>
          </w:tcPr>
          <w:p w14:paraId="745D4524" w14:textId="77777777" w:rsidR="00840E7A" w:rsidRPr="00900ADE" w:rsidRDefault="00840E7A">
            <w:pPr>
              <w:pStyle w:val="TableTextCentered"/>
              <w:rPr>
                <w:rFonts w:eastAsia="Times New Roman"/>
              </w:rPr>
            </w:pPr>
            <w:r w:rsidRPr="00900ADE">
              <w:rPr>
                <w:rFonts w:eastAsia="Times New Roman"/>
              </w:rPr>
              <w:t>34</w:t>
            </w:r>
          </w:p>
        </w:tc>
        <w:tc>
          <w:tcPr>
            <w:tcW w:w="952" w:type="dxa"/>
          </w:tcPr>
          <w:p w14:paraId="39326439" w14:textId="77777777" w:rsidR="00840E7A" w:rsidRPr="00900ADE" w:rsidRDefault="00840E7A">
            <w:pPr>
              <w:pStyle w:val="TableTextCentered"/>
              <w:rPr>
                <w:rFonts w:eastAsia="Times New Roman"/>
              </w:rPr>
            </w:pPr>
            <w:r w:rsidRPr="00900ADE">
              <w:rPr>
                <w:rFonts w:eastAsia="Times New Roman"/>
              </w:rPr>
              <w:t>6.5</w:t>
            </w:r>
          </w:p>
        </w:tc>
      </w:tr>
      <w:tr w:rsidR="00840E7A" w:rsidRPr="00900ADE" w14:paraId="2B9D9DD4" w14:textId="77777777" w:rsidTr="00284CD2">
        <w:tc>
          <w:tcPr>
            <w:tcW w:w="3296" w:type="dxa"/>
          </w:tcPr>
          <w:p w14:paraId="573AA37F" w14:textId="77777777" w:rsidR="00840E7A" w:rsidRPr="00900ADE" w:rsidRDefault="00840E7A">
            <w:pPr>
              <w:pStyle w:val="TableText"/>
              <w:ind w:left="204"/>
              <w:rPr>
                <w:rFonts w:ascii="Franklin Gothic Book" w:hAnsi="Franklin Gothic Book"/>
                <w:b/>
                <w:bCs/>
              </w:rPr>
            </w:pPr>
            <w:r w:rsidRPr="00900ADE">
              <w:rPr>
                <w:rFonts w:ascii="Franklin Gothic Book" w:hAnsi="Franklin Gothic Book"/>
              </w:rPr>
              <w:t>Productivity</w:t>
            </w:r>
          </w:p>
        </w:tc>
        <w:tc>
          <w:tcPr>
            <w:tcW w:w="620" w:type="dxa"/>
          </w:tcPr>
          <w:p w14:paraId="7F9F1DEB" w14:textId="77777777" w:rsidR="00840E7A" w:rsidRPr="00900ADE" w:rsidRDefault="00840E7A">
            <w:pPr>
              <w:pStyle w:val="TableTextCentered"/>
              <w:rPr>
                <w:rFonts w:eastAsia="Times New Roman"/>
              </w:rPr>
            </w:pPr>
            <w:r w:rsidRPr="00900ADE">
              <w:rPr>
                <w:rFonts w:eastAsia="Times New Roman"/>
              </w:rPr>
              <w:t>0</w:t>
            </w:r>
          </w:p>
        </w:tc>
        <w:tc>
          <w:tcPr>
            <w:tcW w:w="655" w:type="dxa"/>
          </w:tcPr>
          <w:p w14:paraId="164BB7F6"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71DD07F2"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4786B5DE"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15FBCF4E" w14:textId="77777777" w:rsidR="00840E7A" w:rsidRPr="00900ADE" w:rsidRDefault="00840E7A">
            <w:pPr>
              <w:pStyle w:val="TableTextCentered"/>
              <w:rPr>
                <w:rFonts w:eastAsia="Times New Roman"/>
              </w:rPr>
            </w:pPr>
            <w:r w:rsidRPr="00900ADE">
              <w:rPr>
                <w:rFonts w:eastAsia="Times New Roman"/>
              </w:rPr>
              <w:t>2</w:t>
            </w:r>
          </w:p>
        </w:tc>
        <w:tc>
          <w:tcPr>
            <w:tcW w:w="608" w:type="dxa"/>
          </w:tcPr>
          <w:p w14:paraId="784CAC03" w14:textId="77777777" w:rsidR="00840E7A" w:rsidRPr="00900ADE" w:rsidRDefault="00840E7A">
            <w:pPr>
              <w:pStyle w:val="TableTextCentered"/>
              <w:rPr>
                <w:rFonts w:eastAsia="Times New Roman"/>
              </w:rPr>
            </w:pPr>
            <w:r w:rsidRPr="00900ADE">
              <w:rPr>
                <w:rFonts w:eastAsia="Times New Roman"/>
              </w:rPr>
              <w:t>3</w:t>
            </w:r>
          </w:p>
        </w:tc>
        <w:tc>
          <w:tcPr>
            <w:tcW w:w="616" w:type="dxa"/>
          </w:tcPr>
          <w:p w14:paraId="306FF6A3" w14:textId="77777777" w:rsidR="00840E7A" w:rsidRPr="00900ADE" w:rsidRDefault="00840E7A">
            <w:pPr>
              <w:pStyle w:val="TableTextCentered"/>
              <w:rPr>
                <w:rFonts w:eastAsia="Times New Roman"/>
              </w:rPr>
            </w:pPr>
            <w:r w:rsidRPr="00900ADE">
              <w:rPr>
                <w:rFonts w:eastAsia="Times New Roman"/>
              </w:rPr>
              <w:t>28</w:t>
            </w:r>
          </w:p>
        </w:tc>
        <w:tc>
          <w:tcPr>
            <w:tcW w:w="515" w:type="dxa"/>
          </w:tcPr>
          <w:p w14:paraId="52559551" w14:textId="77777777" w:rsidR="00840E7A" w:rsidRPr="00900ADE" w:rsidRDefault="00840E7A">
            <w:pPr>
              <w:pStyle w:val="TableTextCentered"/>
              <w:rPr>
                <w:rFonts w:eastAsia="Times New Roman"/>
              </w:rPr>
            </w:pPr>
            <w:r w:rsidRPr="00900ADE">
              <w:rPr>
                <w:rFonts w:eastAsia="Times New Roman"/>
              </w:rPr>
              <w:t>34</w:t>
            </w:r>
          </w:p>
        </w:tc>
        <w:tc>
          <w:tcPr>
            <w:tcW w:w="952" w:type="dxa"/>
          </w:tcPr>
          <w:p w14:paraId="384E36EB" w14:textId="77777777" w:rsidR="00840E7A" w:rsidRPr="00900ADE" w:rsidRDefault="00840E7A">
            <w:pPr>
              <w:pStyle w:val="TableTextCentered"/>
              <w:rPr>
                <w:rFonts w:eastAsia="Times New Roman"/>
              </w:rPr>
            </w:pPr>
            <w:r w:rsidRPr="00900ADE">
              <w:rPr>
                <w:rFonts w:eastAsia="Times New Roman"/>
              </w:rPr>
              <w:t>6.7</w:t>
            </w:r>
          </w:p>
        </w:tc>
      </w:tr>
      <w:tr w:rsidR="00840E7A" w:rsidRPr="00900ADE" w14:paraId="5513168C" w14:textId="77777777" w:rsidTr="00284CD2">
        <w:tc>
          <w:tcPr>
            <w:tcW w:w="3296" w:type="dxa"/>
          </w:tcPr>
          <w:p w14:paraId="58BC9A4B" w14:textId="77777777" w:rsidR="00840E7A" w:rsidRPr="00900ADE" w:rsidRDefault="00840E7A">
            <w:pPr>
              <w:pStyle w:val="TableText"/>
              <w:ind w:left="204"/>
              <w:rPr>
                <w:rFonts w:ascii="Franklin Gothic Book" w:hAnsi="Franklin Gothic Book"/>
                <w:b/>
                <w:bCs/>
              </w:rPr>
            </w:pPr>
            <w:r w:rsidRPr="00900ADE">
              <w:rPr>
                <w:rFonts w:ascii="Franklin Gothic Book" w:hAnsi="Franklin Gothic Book"/>
              </w:rPr>
              <w:t>Instructional Learning Formats***</w:t>
            </w:r>
          </w:p>
        </w:tc>
        <w:tc>
          <w:tcPr>
            <w:tcW w:w="620" w:type="dxa"/>
          </w:tcPr>
          <w:p w14:paraId="567805A3" w14:textId="77777777" w:rsidR="00840E7A" w:rsidRPr="00900ADE" w:rsidRDefault="00840E7A">
            <w:pPr>
              <w:pStyle w:val="TableTextCentered"/>
              <w:rPr>
                <w:rFonts w:eastAsia="Times New Roman"/>
              </w:rPr>
            </w:pPr>
            <w:r w:rsidRPr="00900ADE">
              <w:rPr>
                <w:rFonts w:eastAsia="Times New Roman"/>
              </w:rPr>
              <w:t>0</w:t>
            </w:r>
          </w:p>
        </w:tc>
        <w:tc>
          <w:tcPr>
            <w:tcW w:w="655" w:type="dxa"/>
          </w:tcPr>
          <w:p w14:paraId="557D289D"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3D8BE62D"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3B0A2FB4" w14:textId="77777777" w:rsidR="00840E7A" w:rsidRPr="00900ADE" w:rsidRDefault="00840E7A">
            <w:pPr>
              <w:pStyle w:val="TableTextCentered"/>
              <w:rPr>
                <w:rFonts w:eastAsia="Times New Roman"/>
              </w:rPr>
            </w:pPr>
            <w:r w:rsidRPr="00900ADE">
              <w:rPr>
                <w:rFonts w:eastAsia="Times New Roman"/>
              </w:rPr>
              <w:t>7</w:t>
            </w:r>
          </w:p>
        </w:tc>
        <w:tc>
          <w:tcPr>
            <w:tcW w:w="694" w:type="dxa"/>
          </w:tcPr>
          <w:p w14:paraId="10D4E0B0" w14:textId="77777777" w:rsidR="00840E7A" w:rsidRPr="00900ADE" w:rsidRDefault="00840E7A">
            <w:pPr>
              <w:pStyle w:val="TableTextCentered"/>
              <w:rPr>
                <w:rFonts w:eastAsia="Times New Roman"/>
              </w:rPr>
            </w:pPr>
            <w:r w:rsidRPr="00900ADE">
              <w:rPr>
                <w:rFonts w:eastAsia="Times New Roman"/>
              </w:rPr>
              <w:t>9</w:t>
            </w:r>
          </w:p>
        </w:tc>
        <w:tc>
          <w:tcPr>
            <w:tcW w:w="608" w:type="dxa"/>
          </w:tcPr>
          <w:p w14:paraId="51BC80AD" w14:textId="77777777" w:rsidR="00840E7A" w:rsidRPr="00900ADE" w:rsidRDefault="00840E7A">
            <w:pPr>
              <w:pStyle w:val="TableTextCentered"/>
              <w:rPr>
                <w:rFonts w:eastAsia="Times New Roman"/>
              </w:rPr>
            </w:pPr>
            <w:r w:rsidRPr="00900ADE">
              <w:rPr>
                <w:rFonts w:eastAsia="Times New Roman"/>
              </w:rPr>
              <w:t>11</w:t>
            </w:r>
          </w:p>
        </w:tc>
        <w:tc>
          <w:tcPr>
            <w:tcW w:w="616" w:type="dxa"/>
          </w:tcPr>
          <w:p w14:paraId="47A1444A" w14:textId="77777777" w:rsidR="00840E7A" w:rsidRPr="00900ADE" w:rsidRDefault="00840E7A">
            <w:pPr>
              <w:pStyle w:val="TableTextCentered"/>
              <w:rPr>
                <w:rFonts w:eastAsia="Times New Roman"/>
              </w:rPr>
            </w:pPr>
            <w:r w:rsidRPr="00900ADE">
              <w:rPr>
                <w:rFonts w:eastAsia="Times New Roman"/>
              </w:rPr>
              <w:t>6</w:t>
            </w:r>
          </w:p>
        </w:tc>
        <w:tc>
          <w:tcPr>
            <w:tcW w:w="515" w:type="dxa"/>
          </w:tcPr>
          <w:p w14:paraId="10C5A3C0" w14:textId="77777777" w:rsidR="00840E7A" w:rsidRPr="00900ADE" w:rsidRDefault="00840E7A">
            <w:pPr>
              <w:pStyle w:val="TableTextCentered"/>
              <w:rPr>
                <w:rFonts w:eastAsia="Times New Roman"/>
              </w:rPr>
            </w:pPr>
            <w:r w:rsidRPr="00900ADE">
              <w:rPr>
                <w:rFonts w:eastAsia="Times New Roman"/>
              </w:rPr>
              <w:t>34</w:t>
            </w:r>
          </w:p>
        </w:tc>
        <w:tc>
          <w:tcPr>
            <w:tcW w:w="952" w:type="dxa"/>
          </w:tcPr>
          <w:p w14:paraId="0927C090" w14:textId="77777777" w:rsidR="00840E7A" w:rsidRPr="00900ADE" w:rsidRDefault="00840E7A">
            <w:pPr>
              <w:pStyle w:val="TableTextCentered"/>
              <w:rPr>
                <w:rFonts w:eastAsia="Times New Roman"/>
              </w:rPr>
            </w:pPr>
            <w:r w:rsidRPr="00900ADE">
              <w:rPr>
                <w:rFonts w:eastAsia="Times New Roman"/>
              </w:rPr>
              <w:t>5.4</w:t>
            </w:r>
          </w:p>
        </w:tc>
      </w:tr>
      <w:tr w:rsidR="00840E7A" w:rsidRPr="00900ADE" w14:paraId="6147250C" w14:textId="77777777" w:rsidTr="00284CD2">
        <w:tc>
          <w:tcPr>
            <w:tcW w:w="3296" w:type="dxa"/>
            <w:shd w:val="clear" w:color="auto" w:fill="D9E2F3" w:themeFill="accent5" w:themeFillTint="33"/>
          </w:tcPr>
          <w:p w14:paraId="5854E894" w14:textId="77777777" w:rsidR="00840E7A" w:rsidRPr="00900ADE" w:rsidRDefault="00840E7A">
            <w:pPr>
              <w:pStyle w:val="TableSubheading"/>
              <w:rPr>
                <w:rStyle w:val="FranklinGothicDemi"/>
              </w:rPr>
            </w:pPr>
            <w:r w:rsidRPr="00900ADE">
              <w:rPr>
                <w:rStyle w:val="FranklinGothicDemi"/>
              </w:rPr>
              <w:t>Instructional Support Domain</w:t>
            </w:r>
          </w:p>
        </w:tc>
        <w:tc>
          <w:tcPr>
            <w:tcW w:w="620" w:type="dxa"/>
            <w:shd w:val="clear" w:color="auto" w:fill="D9E2F3" w:themeFill="accent5" w:themeFillTint="33"/>
          </w:tcPr>
          <w:p w14:paraId="4C6B48F0" w14:textId="77777777" w:rsidR="00840E7A" w:rsidRPr="00900ADE" w:rsidRDefault="00840E7A">
            <w:pPr>
              <w:pStyle w:val="TableTextCenteredDemi"/>
              <w:rPr>
                <w:rFonts w:eastAsia="Times New Roman"/>
              </w:rPr>
            </w:pPr>
            <w:r w:rsidRPr="00900ADE">
              <w:rPr>
                <w:rFonts w:eastAsia="Times New Roman"/>
              </w:rPr>
              <w:t>14</w:t>
            </w:r>
          </w:p>
        </w:tc>
        <w:tc>
          <w:tcPr>
            <w:tcW w:w="655" w:type="dxa"/>
            <w:shd w:val="clear" w:color="auto" w:fill="D9E2F3" w:themeFill="accent5" w:themeFillTint="33"/>
          </w:tcPr>
          <w:p w14:paraId="4AD9EA7D" w14:textId="77777777" w:rsidR="00840E7A" w:rsidRPr="00900ADE" w:rsidRDefault="00840E7A">
            <w:pPr>
              <w:pStyle w:val="TableTextCenteredDemi"/>
              <w:rPr>
                <w:rFonts w:eastAsia="Times New Roman"/>
              </w:rPr>
            </w:pPr>
            <w:r w:rsidRPr="00900ADE">
              <w:rPr>
                <w:rFonts w:eastAsia="Times New Roman"/>
              </w:rPr>
              <w:t>31</w:t>
            </w:r>
          </w:p>
        </w:tc>
        <w:tc>
          <w:tcPr>
            <w:tcW w:w="694" w:type="dxa"/>
            <w:shd w:val="clear" w:color="auto" w:fill="D9E2F3" w:themeFill="accent5" w:themeFillTint="33"/>
          </w:tcPr>
          <w:p w14:paraId="2505AC4E" w14:textId="77777777" w:rsidR="00840E7A" w:rsidRPr="00900ADE" w:rsidRDefault="00840E7A">
            <w:pPr>
              <w:pStyle w:val="TableTextCenteredDemi"/>
              <w:rPr>
                <w:rFonts w:eastAsia="Times New Roman"/>
              </w:rPr>
            </w:pPr>
            <w:r w:rsidRPr="00900ADE">
              <w:rPr>
                <w:rFonts w:eastAsia="Times New Roman"/>
              </w:rPr>
              <w:t>25</w:t>
            </w:r>
          </w:p>
        </w:tc>
        <w:tc>
          <w:tcPr>
            <w:tcW w:w="694" w:type="dxa"/>
            <w:shd w:val="clear" w:color="auto" w:fill="D9E2F3" w:themeFill="accent5" w:themeFillTint="33"/>
          </w:tcPr>
          <w:p w14:paraId="65AFFF94" w14:textId="77777777" w:rsidR="00840E7A" w:rsidRPr="00900ADE" w:rsidRDefault="00840E7A">
            <w:pPr>
              <w:pStyle w:val="TableTextCenteredDemi"/>
              <w:rPr>
                <w:rFonts w:eastAsia="Times New Roman"/>
              </w:rPr>
            </w:pPr>
            <w:r w:rsidRPr="00900ADE">
              <w:rPr>
                <w:rFonts w:eastAsia="Times New Roman"/>
              </w:rPr>
              <w:t>24</w:t>
            </w:r>
          </w:p>
        </w:tc>
        <w:tc>
          <w:tcPr>
            <w:tcW w:w="694" w:type="dxa"/>
            <w:shd w:val="clear" w:color="auto" w:fill="D9E2F3" w:themeFill="accent5" w:themeFillTint="33"/>
          </w:tcPr>
          <w:p w14:paraId="2BECC967" w14:textId="77777777" w:rsidR="00840E7A" w:rsidRPr="00900ADE" w:rsidRDefault="00840E7A">
            <w:pPr>
              <w:pStyle w:val="TableTextCenteredDemi"/>
              <w:rPr>
                <w:rFonts w:eastAsia="Times New Roman"/>
              </w:rPr>
            </w:pPr>
            <w:r w:rsidRPr="00900ADE">
              <w:rPr>
                <w:rFonts w:eastAsia="Times New Roman"/>
              </w:rPr>
              <w:t>15</w:t>
            </w:r>
          </w:p>
        </w:tc>
        <w:tc>
          <w:tcPr>
            <w:tcW w:w="608" w:type="dxa"/>
            <w:shd w:val="clear" w:color="auto" w:fill="D9E2F3" w:themeFill="accent5" w:themeFillTint="33"/>
          </w:tcPr>
          <w:p w14:paraId="35F738D4" w14:textId="77777777" w:rsidR="00840E7A" w:rsidRPr="00900ADE" w:rsidRDefault="00840E7A">
            <w:pPr>
              <w:pStyle w:val="TableTextCenteredDemi"/>
              <w:rPr>
                <w:rFonts w:eastAsia="Times New Roman"/>
              </w:rPr>
            </w:pPr>
            <w:r w:rsidRPr="00900ADE">
              <w:rPr>
                <w:rFonts w:eastAsia="Times New Roman"/>
              </w:rPr>
              <w:t>4</w:t>
            </w:r>
          </w:p>
        </w:tc>
        <w:tc>
          <w:tcPr>
            <w:tcW w:w="616" w:type="dxa"/>
            <w:shd w:val="clear" w:color="auto" w:fill="D9E2F3" w:themeFill="accent5" w:themeFillTint="33"/>
          </w:tcPr>
          <w:p w14:paraId="684BF0A2" w14:textId="77777777" w:rsidR="00840E7A" w:rsidRPr="00900ADE" w:rsidRDefault="00840E7A">
            <w:pPr>
              <w:pStyle w:val="TableTextCenteredDemi"/>
              <w:rPr>
                <w:rFonts w:eastAsia="Times New Roman"/>
              </w:rPr>
            </w:pPr>
            <w:r w:rsidRPr="00900ADE">
              <w:rPr>
                <w:rFonts w:eastAsia="Times New Roman"/>
              </w:rPr>
              <w:t>0</w:t>
            </w:r>
          </w:p>
        </w:tc>
        <w:tc>
          <w:tcPr>
            <w:tcW w:w="515" w:type="dxa"/>
            <w:shd w:val="clear" w:color="auto" w:fill="D9E2F3" w:themeFill="accent5" w:themeFillTint="33"/>
          </w:tcPr>
          <w:p w14:paraId="445B6BF7" w14:textId="77777777" w:rsidR="00840E7A" w:rsidRPr="00900ADE" w:rsidRDefault="00840E7A">
            <w:pPr>
              <w:pStyle w:val="TableTextCenteredDemi"/>
              <w:rPr>
                <w:rFonts w:eastAsia="Times New Roman"/>
              </w:rPr>
            </w:pPr>
            <w:r w:rsidRPr="00900ADE">
              <w:rPr>
                <w:rFonts w:eastAsia="Times New Roman"/>
              </w:rPr>
              <w:t>113</w:t>
            </w:r>
          </w:p>
        </w:tc>
        <w:tc>
          <w:tcPr>
            <w:tcW w:w="952" w:type="dxa"/>
            <w:shd w:val="clear" w:color="auto" w:fill="D9E2F3" w:themeFill="accent5" w:themeFillTint="33"/>
          </w:tcPr>
          <w:p w14:paraId="0249B8E7" w14:textId="77777777" w:rsidR="00840E7A" w:rsidRPr="00900ADE" w:rsidRDefault="00840E7A">
            <w:pPr>
              <w:pStyle w:val="TableTextCenteredDemi"/>
              <w:rPr>
                <w:rFonts w:eastAsia="Times New Roman"/>
              </w:rPr>
            </w:pPr>
            <w:r w:rsidRPr="00900ADE">
              <w:rPr>
                <w:rFonts w:eastAsia="Times New Roman"/>
              </w:rPr>
              <w:t>3.1</w:t>
            </w:r>
          </w:p>
        </w:tc>
      </w:tr>
      <w:tr w:rsidR="00840E7A" w:rsidRPr="00900ADE" w14:paraId="604DD745" w14:textId="77777777" w:rsidTr="00284CD2">
        <w:tc>
          <w:tcPr>
            <w:tcW w:w="3296" w:type="dxa"/>
          </w:tcPr>
          <w:p w14:paraId="016520DF" w14:textId="77777777" w:rsidR="00840E7A" w:rsidRPr="00900ADE" w:rsidRDefault="00840E7A">
            <w:pPr>
              <w:pStyle w:val="TableText"/>
              <w:ind w:left="204"/>
              <w:rPr>
                <w:rFonts w:ascii="Franklin Gothic Book" w:hAnsi="Franklin Gothic Book"/>
                <w:b/>
                <w:bCs/>
              </w:rPr>
            </w:pPr>
            <w:r w:rsidRPr="00900ADE">
              <w:rPr>
                <w:rFonts w:ascii="Franklin Gothic Book" w:hAnsi="Franklin Gothic Book"/>
              </w:rPr>
              <w:t>Concept Development (K-3 only)</w:t>
            </w:r>
          </w:p>
        </w:tc>
        <w:tc>
          <w:tcPr>
            <w:tcW w:w="620" w:type="dxa"/>
          </w:tcPr>
          <w:p w14:paraId="1FAAB785" w14:textId="77777777" w:rsidR="00840E7A" w:rsidRPr="00900ADE" w:rsidRDefault="00840E7A">
            <w:pPr>
              <w:pStyle w:val="TableTextCentered"/>
              <w:rPr>
                <w:rFonts w:eastAsia="Times New Roman"/>
              </w:rPr>
            </w:pPr>
            <w:r w:rsidRPr="00900ADE">
              <w:rPr>
                <w:rFonts w:eastAsia="Times New Roman"/>
              </w:rPr>
              <w:t>4</w:t>
            </w:r>
          </w:p>
        </w:tc>
        <w:tc>
          <w:tcPr>
            <w:tcW w:w="655" w:type="dxa"/>
          </w:tcPr>
          <w:p w14:paraId="734F3F1C" w14:textId="77777777" w:rsidR="00840E7A" w:rsidRPr="00900ADE" w:rsidRDefault="00840E7A">
            <w:pPr>
              <w:pStyle w:val="TableTextCentered"/>
              <w:rPr>
                <w:rFonts w:eastAsia="Times New Roman"/>
              </w:rPr>
            </w:pPr>
            <w:r w:rsidRPr="00900ADE">
              <w:rPr>
                <w:rFonts w:eastAsia="Times New Roman"/>
              </w:rPr>
              <w:t>11</w:t>
            </w:r>
          </w:p>
        </w:tc>
        <w:tc>
          <w:tcPr>
            <w:tcW w:w="694" w:type="dxa"/>
          </w:tcPr>
          <w:p w14:paraId="4234F9B0" w14:textId="77777777" w:rsidR="00840E7A" w:rsidRPr="00900ADE" w:rsidRDefault="00840E7A">
            <w:pPr>
              <w:pStyle w:val="TableTextCentered"/>
              <w:rPr>
                <w:rFonts w:eastAsia="Times New Roman"/>
              </w:rPr>
            </w:pPr>
            <w:r w:rsidRPr="00900ADE">
              <w:rPr>
                <w:rFonts w:eastAsia="Times New Roman"/>
              </w:rPr>
              <w:t>5</w:t>
            </w:r>
          </w:p>
        </w:tc>
        <w:tc>
          <w:tcPr>
            <w:tcW w:w="694" w:type="dxa"/>
          </w:tcPr>
          <w:p w14:paraId="055BB560" w14:textId="77777777" w:rsidR="00840E7A" w:rsidRPr="00900ADE" w:rsidRDefault="00840E7A">
            <w:pPr>
              <w:pStyle w:val="TableTextCentered"/>
              <w:rPr>
                <w:rFonts w:eastAsia="Times New Roman"/>
              </w:rPr>
            </w:pPr>
            <w:r w:rsidRPr="00900ADE">
              <w:rPr>
                <w:rFonts w:eastAsia="Times New Roman"/>
              </w:rPr>
              <w:t>2</w:t>
            </w:r>
          </w:p>
        </w:tc>
        <w:tc>
          <w:tcPr>
            <w:tcW w:w="694" w:type="dxa"/>
          </w:tcPr>
          <w:p w14:paraId="2A49CE96" w14:textId="77777777" w:rsidR="00840E7A" w:rsidRPr="00900ADE" w:rsidRDefault="00840E7A">
            <w:pPr>
              <w:pStyle w:val="TableTextCentered"/>
              <w:rPr>
                <w:rFonts w:eastAsia="Times New Roman"/>
              </w:rPr>
            </w:pPr>
            <w:r w:rsidRPr="00900ADE">
              <w:rPr>
                <w:rFonts w:eastAsia="Times New Roman"/>
              </w:rPr>
              <w:t>1</w:t>
            </w:r>
          </w:p>
        </w:tc>
        <w:tc>
          <w:tcPr>
            <w:tcW w:w="608" w:type="dxa"/>
          </w:tcPr>
          <w:p w14:paraId="6C87187F" w14:textId="77777777" w:rsidR="00840E7A" w:rsidRPr="00900ADE" w:rsidRDefault="00840E7A">
            <w:pPr>
              <w:pStyle w:val="TableTextCentered"/>
              <w:rPr>
                <w:rFonts w:eastAsia="Times New Roman"/>
              </w:rPr>
            </w:pPr>
            <w:r w:rsidRPr="00900ADE">
              <w:rPr>
                <w:rFonts w:eastAsia="Times New Roman"/>
              </w:rPr>
              <w:t>0</w:t>
            </w:r>
          </w:p>
        </w:tc>
        <w:tc>
          <w:tcPr>
            <w:tcW w:w="616" w:type="dxa"/>
          </w:tcPr>
          <w:p w14:paraId="15C3AF55" w14:textId="77777777" w:rsidR="00840E7A" w:rsidRPr="00900ADE" w:rsidRDefault="00840E7A">
            <w:pPr>
              <w:pStyle w:val="TableTextCentered"/>
              <w:rPr>
                <w:rFonts w:eastAsia="Times New Roman"/>
              </w:rPr>
            </w:pPr>
            <w:r w:rsidRPr="00900ADE">
              <w:rPr>
                <w:rFonts w:eastAsia="Times New Roman"/>
              </w:rPr>
              <w:t>0</w:t>
            </w:r>
          </w:p>
        </w:tc>
        <w:tc>
          <w:tcPr>
            <w:tcW w:w="515" w:type="dxa"/>
          </w:tcPr>
          <w:p w14:paraId="0F2A18A3" w14:textId="77777777" w:rsidR="00840E7A" w:rsidRPr="00900ADE" w:rsidRDefault="00840E7A">
            <w:pPr>
              <w:pStyle w:val="TableTextCentered"/>
              <w:rPr>
                <w:rFonts w:eastAsia="Times New Roman"/>
              </w:rPr>
            </w:pPr>
            <w:r w:rsidRPr="00900ADE">
              <w:rPr>
                <w:rFonts w:eastAsia="Times New Roman"/>
              </w:rPr>
              <w:t>23</w:t>
            </w:r>
          </w:p>
        </w:tc>
        <w:tc>
          <w:tcPr>
            <w:tcW w:w="952" w:type="dxa"/>
          </w:tcPr>
          <w:p w14:paraId="5CFFE700" w14:textId="77777777" w:rsidR="00840E7A" w:rsidRPr="00900ADE" w:rsidRDefault="00840E7A">
            <w:pPr>
              <w:pStyle w:val="TableTextCentered"/>
              <w:rPr>
                <w:rFonts w:eastAsia="Times New Roman"/>
              </w:rPr>
            </w:pPr>
            <w:r w:rsidRPr="00900ADE">
              <w:rPr>
                <w:rFonts w:eastAsia="Times New Roman"/>
              </w:rPr>
              <w:t>2.3</w:t>
            </w:r>
          </w:p>
        </w:tc>
      </w:tr>
      <w:tr w:rsidR="00840E7A" w:rsidRPr="00900ADE" w14:paraId="13833B18" w14:textId="77777777" w:rsidTr="00284CD2">
        <w:tc>
          <w:tcPr>
            <w:tcW w:w="3296" w:type="dxa"/>
            <w:vAlign w:val="center"/>
          </w:tcPr>
          <w:p w14:paraId="25485DF7" w14:textId="77777777" w:rsidR="00840E7A" w:rsidRPr="00900ADE" w:rsidRDefault="00840E7A">
            <w:pPr>
              <w:pStyle w:val="TableText"/>
              <w:ind w:left="204"/>
              <w:rPr>
                <w:rFonts w:ascii="Franklin Gothic Book" w:hAnsi="Franklin Gothic Book"/>
              </w:rPr>
            </w:pPr>
            <w:r w:rsidRPr="00900ADE">
              <w:rPr>
                <w:rFonts w:ascii="Franklin Gothic Book" w:hAnsi="Franklin Gothic Book"/>
              </w:rPr>
              <w:t>Content Understanding (UE only)</w:t>
            </w:r>
          </w:p>
        </w:tc>
        <w:tc>
          <w:tcPr>
            <w:tcW w:w="620" w:type="dxa"/>
          </w:tcPr>
          <w:p w14:paraId="644995C9" w14:textId="77777777" w:rsidR="00840E7A" w:rsidRPr="00900ADE" w:rsidRDefault="00840E7A">
            <w:pPr>
              <w:pStyle w:val="TableTextCentered"/>
              <w:rPr>
                <w:rFonts w:eastAsia="Times New Roman"/>
              </w:rPr>
            </w:pPr>
            <w:r w:rsidRPr="00900ADE">
              <w:rPr>
                <w:rFonts w:eastAsia="Times New Roman"/>
              </w:rPr>
              <w:t>0</w:t>
            </w:r>
          </w:p>
        </w:tc>
        <w:tc>
          <w:tcPr>
            <w:tcW w:w="655" w:type="dxa"/>
          </w:tcPr>
          <w:p w14:paraId="76041DAD"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16F37800" w14:textId="77777777" w:rsidR="00840E7A" w:rsidRPr="00900ADE" w:rsidRDefault="00840E7A">
            <w:pPr>
              <w:pStyle w:val="TableTextCentered"/>
              <w:rPr>
                <w:rFonts w:eastAsia="Times New Roman"/>
              </w:rPr>
            </w:pPr>
            <w:r w:rsidRPr="00900ADE">
              <w:rPr>
                <w:rFonts w:eastAsia="Times New Roman"/>
              </w:rPr>
              <w:t>2</w:t>
            </w:r>
          </w:p>
        </w:tc>
        <w:tc>
          <w:tcPr>
            <w:tcW w:w="694" w:type="dxa"/>
          </w:tcPr>
          <w:p w14:paraId="154F5F1C" w14:textId="77777777" w:rsidR="00840E7A" w:rsidRPr="00900ADE" w:rsidRDefault="00840E7A">
            <w:pPr>
              <w:pStyle w:val="TableTextCentered"/>
              <w:rPr>
                <w:rFonts w:eastAsia="Times New Roman"/>
              </w:rPr>
            </w:pPr>
            <w:r w:rsidRPr="00900ADE">
              <w:rPr>
                <w:rFonts w:eastAsia="Times New Roman"/>
              </w:rPr>
              <w:t>2</w:t>
            </w:r>
          </w:p>
        </w:tc>
        <w:tc>
          <w:tcPr>
            <w:tcW w:w="694" w:type="dxa"/>
          </w:tcPr>
          <w:p w14:paraId="2100771C" w14:textId="77777777" w:rsidR="00840E7A" w:rsidRPr="00900ADE" w:rsidRDefault="00840E7A">
            <w:pPr>
              <w:pStyle w:val="TableTextCentered"/>
              <w:rPr>
                <w:rFonts w:eastAsia="Times New Roman"/>
              </w:rPr>
            </w:pPr>
            <w:r w:rsidRPr="00900ADE">
              <w:rPr>
                <w:rFonts w:eastAsia="Times New Roman"/>
              </w:rPr>
              <w:t>4</w:t>
            </w:r>
          </w:p>
        </w:tc>
        <w:tc>
          <w:tcPr>
            <w:tcW w:w="608" w:type="dxa"/>
          </w:tcPr>
          <w:p w14:paraId="29E64105" w14:textId="77777777" w:rsidR="00840E7A" w:rsidRPr="00900ADE" w:rsidRDefault="00840E7A">
            <w:pPr>
              <w:pStyle w:val="TableTextCentered"/>
              <w:rPr>
                <w:rFonts w:eastAsia="Times New Roman"/>
              </w:rPr>
            </w:pPr>
            <w:r w:rsidRPr="00900ADE">
              <w:rPr>
                <w:rFonts w:eastAsia="Times New Roman"/>
              </w:rPr>
              <w:t>2</w:t>
            </w:r>
          </w:p>
        </w:tc>
        <w:tc>
          <w:tcPr>
            <w:tcW w:w="616" w:type="dxa"/>
          </w:tcPr>
          <w:p w14:paraId="01591A1D" w14:textId="77777777" w:rsidR="00840E7A" w:rsidRPr="00900ADE" w:rsidRDefault="00840E7A">
            <w:pPr>
              <w:pStyle w:val="TableTextCentered"/>
              <w:rPr>
                <w:rFonts w:eastAsia="Times New Roman"/>
              </w:rPr>
            </w:pPr>
            <w:r w:rsidRPr="00900ADE">
              <w:rPr>
                <w:rFonts w:eastAsia="Times New Roman"/>
              </w:rPr>
              <w:t>0</w:t>
            </w:r>
          </w:p>
        </w:tc>
        <w:tc>
          <w:tcPr>
            <w:tcW w:w="515" w:type="dxa"/>
          </w:tcPr>
          <w:p w14:paraId="524B6DFA" w14:textId="77777777" w:rsidR="00840E7A" w:rsidRPr="00900ADE" w:rsidRDefault="00840E7A">
            <w:pPr>
              <w:pStyle w:val="TableTextCentered"/>
              <w:rPr>
                <w:rFonts w:eastAsia="Times New Roman"/>
              </w:rPr>
            </w:pPr>
            <w:r w:rsidRPr="00900ADE">
              <w:rPr>
                <w:rFonts w:eastAsia="Times New Roman"/>
              </w:rPr>
              <w:t>11</w:t>
            </w:r>
          </w:p>
        </w:tc>
        <w:tc>
          <w:tcPr>
            <w:tcW w:w="952" w:type="dxa"/>
          </w:tcPr>
          <w:p w14:paraId="32C6E671" w14:textId="77777777" w:rsidR="00840E7A" w:rsidRPr="00900ADE" w:rsidRDefault="00840E7A">
            <w:pPr>
              <w:pStyle w:val="TableTextCentered"/>
              <w:rPr>
                <w:rFonts w:eastAsia="Times New Roman"/>
              </w:rPr>
            </w:pPr>
            <w:r w:rsidRPr="00900ADE">
              <w:rPr>
                <w:rFonts w:eastAsia="Times New Roman"/>
              </w:rPr>
              <w:t>4.4</w:t>
            </w:r>
          </w:p>
        </w:tc>
      </w:tr>
      <w:tr w:rsidR="00284CD2" w:rsidRPr="00900ADE" w14:paraId="514FB881" w14:textId="77777777" w:rsidTr="00284CD2">
        <w:tc>
          <w:tcPr>
            <w:tcW w:w="3296" w:type="dxa"/>
            <w:vAlign w:val="center"/>
          </w:tcPr>
          <w:p w14:paraId="2C7ECA7B" w14:textId="77777777" w:rsidR="00840E7A" w:rsidRPr="00900ADE" w:rsidRDefault="00840E7A">
            <w:pPr>
              <w:pStyle w:val="TableText"/>
              <w:ind w:left="204"/>
              <w:rPr>
                <w:rFonts w:ascii="Franklin Gothic Book" w:hAnsi="Franklin Gothic Book"/>
              </w:rPr>
            </w:pPr>
            <w:r w:rsidRPr="00900ADE">
              <w:rPr>
                <w:rFonts w:ascii="Franklin Gothic Book" w:hAnsi="Franklin Gothic Book"/>
              </w:rPr>
              <w:t>Analysis and Inquiry (UE only)</w:t>
            </w:r>
          </w:p>
        </w:tc>
        <w:tc>
          <w:tcPr>
            <w:tcW w:w="620" w:type="dxa"/>
          </w:tcPr>
          <w:p w14:paraId="172AA475" w14:textId="77777777" w:rsidR="00840E7A" w:rsidRPr="00900ADE" w:rsidRDefault="00840E7A">
            <w:pPr>
              <w:pStyle w:val="TableTextCentered"/>
              <w:rPr>
                <w:rFonts w:eastAsia="Times New Roman"/>
              </w:rPr>
            </w:pPr>
            <w:r w:rsidRPr="00900ADE">
              <w:rPr>
                <w:rFonts w:eastAsia="Times New Roman"/>
              </w:rPr>
              <w:t>4</w:t>
            </w:r>
          </w:p>
        </w:tc>
        <w:tc>
          <w:tcPr>
            <w:tcW w:w="655" w:type="dxa"/>
          </w:tcPr>
          <w:p w14:paraId="59F3D2D3" w14:textId="77777777" w:rsidR="00840E7A" w:rsidRPr="00900ADE" w:rsidRDefault="00840E7A">
            <w:pPr>
              <w:pStyle w:val="TableTextCentered"/>
              <w:rPr>
                <w:rFonts w:eastAsia="Times New Roman"/>
              </w:rPr>
            </w:pPr>
            <w:r w:rsidRPr="00900ADE">
              <w:rPr>
                <w:rFonts w:eastAsia="Times New Roman"/>
              </w:rPr>
              <w:t>2</w:t>
            </w:r>
          </w:p>
        </w:tc>
        <w:tc>
          <w:tcPr>
            <w:tcW w:w="694" w:type="dxa"/>
          </w:tcPr>
          <w:p w14:paraId="79EBDCF0" w14:textId="77777777" w:rsidR="00840E7A" w:rsidRPr="00900ADE" w:rsidRDefault="00840E7A">
            <w:pPr>
              <w:pStyle w:val="TableTextCentered"/>
              <w:rPr>
                <w:rFonts w:eastAsia="Times New Roman"/>
              </w:rPr>
            </w:pPr>
            <w:r w:rsidRPr="00900ADE">
              <w:rPr>
                <w:rFonts w:eastAsia="Times New Roman"/>
              </w:rPr>
              <w:t>2</w:t>
            </w:r>
          </w:p>
        </w:tc>
        <w:tc>
          <w:tcPr>
            <w:tcW w:w="694" w:type="dxa"/>
          </w:tcPr>
          <w:p w14:paraId="6887DFCB"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3FA14B48" w14:textId="77777777" w:rsidR="00840E7A" w:rsidRPr="00900ADE" w:rsidRDefault="00840E7A">
            <w:pPr>
              <w:pStyle w:val="TableTextCentered"/>
              <w:rPr>
                <w:rFonts w:eastAsia="Times New Roman"/>
              </w:rPr>
            </w:pPr>
            <w:r w:rsidRPr="00900ADE">
              <w:rPr>
                <w:rFonts w:eastAsia="Times New Roman"/>
              </w:rPr>
              <w:t>2</w:t>
            </w:r>
          </w:p>
        </w:tc>
        <w:tc>
          <w:tcPr>
            <w:tcW w:w="608" w:type="dxa"/>
          </w:tcPr>
          <w:p w14:paraId="29D1EF83" w14:textId="77777777" w:rsidR="00840E7A" w:rsidRPr="00900ADE" w:rsidRDefault="00840E7A">
            <w:pPr>
              <w:pStyle w:val="TableTextCentered"/>
              <w:rPr>
                <w:rFonts w:eastAsia="Times New Roman"/>
              </w:rPr>
            </w:pPr>
            <w:r w:rsidRPr="00900ADE">
              <w:rPr>
                <w:rFonts w:eastAsia="Times New Roman"/>
              </w:rPr>
              <w:t>0</w:t>
            </w:r>
          </w:p>
        </w:tc>
        <w:tc>
          <w:tcPr>
            <w:tcW w:w="616" w:type="dxa"/>
          </w:tcPr>
          <w:p w14:paraId="75DE2CB5" w14:textId="77777777" w:rsidR="00840E7A" w:rsidRPr="00900ADE" w:rsidRDefault="00840E7A">
            <w:pPr>
              <w:pStyle w:val="TableTextCentered"/>
              <w:rPr>
                <w:rFonts w:eastAsia="Times New Roman"/>
              </w:rPr>
            </w:pPr>
            <w:r w:rsidRPr="00900ADE">
              <w:rPr>
                <w:rFonts w:eastAsia="Times New Roman"/>
              </w:rPr>
              <w:t>0</w:t>
            </w:r>
          </w:p>
        </w:tc>
        <w:tc>
          <w:tcPr>
            <w:tcW w:w="515" w:type="dxa"/>
          </w:tcPr>
          <w:p w14:paraId="67661DD4" w14:textId="77777777" w:rsidR="00840E7A" w:rsidRPr="00900ADE" w:rsidRDefault="00840E7A">
            <w:pPr>
              <w:pStyle w:val="TableTextCentered"/>
              <w:rPr>
                <w:rFonts w:eastAsia="Times New Roman"/>
              </w:rPr>
            </w:pPr>
            <w:r w:rsidRPr="00900ADE">
              <w:rPr>
                <w:rFonts w:eastAsia="Times New Roman"/>
              </w:rPr>
              <w:t>11</w:t>
            </w:r>
          </w:p>
        </w:tc>
        <w:tc>
          <w:tcPr>
            <w:tcW w:w="952" w:type="dxa"/>
          </w:tcPr>
          <w:p w14:paraId="53933471" w14:textId="77777777" w:rsidR="00840E7A" w:rsidRPr="00900ADE" w:rsidRDefault="00840E7A">
            <w:pPr>
              <w:pStyle w:val="TableTextCentered"/>
              <w:rPr>
                <w:rFonts w:eastAsia="Times New Roman"/>
              </w:rPr>
            </w:pPr>
            <w:r w:rsidRPr="00900ADE">
              <w:rPr>
                <w:rFonts w:eastAsia="Times New Roman"/>
              </w:rPr>
              <w:t>2.5</w:t>
            </w:r>
          </w:p>
        </w:tc>
      </w:tr>
      <w:tr w:rsidR="00840E7A" w:rsidRPr="00900ADE" w14:paraId="6A96BEC3" w14:textId="77777777" w:rsidTr="00284CD2">
        <w:tc>
          <w:tcPr>
            <w:tcW w:w="3296" w:type="dxa"/>
          </w:tcPr>
          <w:p w14:paraId="7A660474" w14:textId="77777777" w:rsidR="00840E7A" w:rsidRPr="00900ADE" w:rsidRDefault="00840E7A">
            <w:pPr>
              <w:pStyle w:val="TableText"/>
              <w:ind w:left="204"/>
              <w:rPr>
                <w:rFonts w:ascii="Franklin Gothic Book" w:hAnsi="Franklin Gothic Book"/>
                <w:b/>
                <w:bCs/>
              </w:rPr>
            </w:pPr>
            <w:r w:rsidRPr="00900ADE">
              <w:rPr>
                <w:rFonts w:ascii="Franklin Gothic Book" w:hAnsi="Franklin Gothic Book"/>
              </w:rPr>
              <w:t>Quality of Feedback</w:t>
            </w:r>
          </w:p>
        </w:tc>
        <w:tc>
          <w:tcPr>
            <w:tcW w:w="620" w:type="dxa"/>
          </w:tcPr>
          <w:p w14:paraId="36C5BCF1" w14:textId="77777777" w:rsidR="00840E7A" w:rsidRPr="00900ADE" w:rsidRDefault="00840E7A">
            <w:pPr>
              <w:pStyle w:val="TableTextCentered"/>
              <w:rPr>
                <w:rFonts w:eastAsia="Times New Roman"/>
              </w:rPr>
            </w:pPr>
            <w:r w:rsidRPr="00900ADE">
              <w:rPr>
                <w:rFonts w:eastAsia="Times New Roman"/>
              </w:rPr>
              <w:t>2</w:t>
            </w:r>
          </w:p>
        </w:tc>
        <w:tc>
          <w:tcPr>
            <w:tcW w:w="655" w:type="dxa"/>
          </w:tcPr>
          <w:p w14:paraId="5AEE4B7B" w14:textId="77777777" w:rsidR="00840E7A" w:rsidRPr="00900ADE" w:rsidRDefault="00840E7A">
            <w:pPr>
              <w:pStyle w:val="TableTextCentered"/>
              <w:rPr>
                <w:rFonts w:eastAsia="Times New Roman"/>
              </w:rPr>
            </w:pPr>
            <w:r w:rsidRPr="00900ADE">
              <w:rPr>
                <w:rFonts w:eastAsia="Times New Roman"/>
              </w:rPr>
              <w:t>11</w:t>
            </w:r>
          </w:p>
        </w:tc>
        <w:tc>
          <w:tcPr>
            <w:tcW w:w="694" w:type="dxa"/>
          </w:tcPr>
          <w:p w14:paraId="02D29709" w14:textId="77777777" w:rsidR="00840E7A" w:rsidRPr="00900ADE" w:rsidRDefault="00840E7A">
            <w:pPr>
              <w:pStyle w:val="TableTextCentered"/>
              <w:rPr>
                <w:rFonts w:eastAsia="Times New Roman"/>
              </w:rPr>
            </w:pPr>
            <w:r w:rsidRPr="00900ADE">
              <w:rPr>
                <w:rFonts w:eastAsia="Times New Roman"/>
              </w:rPr>
              <w:t>7</w:t>
            </w:r>
          </w:p>
        </w:tc>
        <w:tc>
          <w:tcPr>
            <w:tcW w:w="694" w:type="dxa"/>
          </w:tcPr>
          <w:p w14:paraId="63F8F694" w14:textId="77777777" w:rsidR="00840E7A" w:rsidRPr="00900ADE" w:rsidRDefault="00840E7A">
            <w:pPr>
              <w:pStyle w:val="TableTextCentered"/>
              <w:rPr>
                <w:rFonts w:eastAsia="Times New Roman"/>
              </w:rPr>
            </w:pPr>
            <w:r w:rsidRPr="00900ADE">
              <w:rPr>
                <w:rFonts w:eastAsia="Times New Roman"/>
              </w:rPr>
              <w:t>8</w:t>
            </w:r>
          </w:p>
        </w:tc>
        <w:tc>
          <w:tcPr>
            <w:tcW w:w="694" w:type="dxa"/>
          </w:tcPr>
          <w:p w14:paraId="61188274" w14:textId="77777777" w:rsidR="00840E7A" w:rsidRPr="00900ADE" w:rsidRDefault="00840E7A">
            <w:pPr>
              <w:pStyle w:val="TableTextCentered"/>
              <w:rPr>
                <w:rFonts w:eastAsia="Times New Roman"/>
              </w:rPr>
            </w:pPr>
            <w:r w:rsidRPr="00900ADE">
              <w:rPr>
                <w:rFonts w:eastAsia="Times New Roman"/>
              </w:rPr>
              <w:t>6</w:t>
            </w:r>
          </w:p>
        </w:tc>
        <w:tc>
          <w:tcPr>
            <w:tcW w:w="608" w:type="dxa"/>
          </w:tcPr>
          <w:p w14:paraId="04518232" w14:textId="77777777" w:rsidR="00840E7A" w:rsidRPr="00900ADE" w:rsidRDefault="00840E7A">
            <w:pPr>
              <w:pStyle w:val="TableTextCentered"/>
              <w:rPr>
                <w:rFonts w:eastAsia="Times New Roman"/>
              </w:rPr>
            </w:pPr>
            <w:r w:rsidRPr="00900ADE">
              <w:rPr>
                <w:rFonts w:eastAsia="Times New Roman"/>
              </w:rPr>
              <w:t>0</w:t>
            </w:r>
          </w:p>
        </w:tc>
        <w:tc>
          <w:tcPr>
            <w:tcW w:w="616" w:type="dxa"/>
          </w:tcPr>
          <w:p w14:paraId="45FC7AC6" w14:textId="77777777" w:rsidR="00840E7A" w:rsidRPr="00900ADE" w:rsidRDefault="00840E7A">
            <w:pPr>
              <w:pStyle w:val="TableTextCentered"/>
              <w:rPr>
                <w:rFonts w:eastAsia="Times New Roman"/>
              </w:rPr>
            </w:pPr>
            <w:r w:rsidRPr="00900ADE">
              <w:rPr>
                <w:rFonts w:eastAsia="Times New Roman"/>
              </w:rPr>
              <w:t>0</w:t>
            </w:r>
          </w:p>
        </w:tc>
        <w:tc>
          <w:tcPr>
            <w:tcW w:w="515" w:type="dxa"/>
          </w:tcPr>
          <w:p w14:paraId="01FEEA21" w14:textId="77777777" w:rsidR="00840E7A" w:rsidRPr="00900ADE" w:rsidRDefault="00840E7A">
            <w:pPr>
              <w:pStyle w:val="TableTextCentered"/>
              <w:rPr>
                <w:rFonts w:eastAsia="Times New Roman"/>
              </w:rPr>
            </w:pPr>
            <w:r w:rsidRPr="00900ADE">
              <w:rPr>
                <w:rFonts w:eastAsia="Times New Roman"/>
              </w:rPr>
              <w:t>34</w:t>
            </w:r>
          </w:p>
        </w:tc>
        <w:tc>
          <w:tcPr>
            <w:tcW w:w="952" w:type="dxa"/>
          </w:tcPr>
          <w:p w14:paraId="2B68B28E" w14:textId="77777777" w:rsidR="00840E7A" w:rsidRPr="00900ADE" w:rsidRDefault="00840E7A">
            <w:pPr>
              <w:pStyle w:val="TableTextCentered"/>
              <w:rPr>
                <w:rFonts w:eastAsia="Times New Roman"/>
              </w:rPr>
            </w:pPr>
            <w:r w:rsidRPr="00900ADE">
              <w:rPr>
                <w:rFonts w:eastAsia="Times New Roman"/>
              </w:rPr>
              <w:t>3.1</w:t>
            </w:r>
          </w:p>
        </w:tc>
      </w:tr>
      <w:tr w:rsidR="00840E7A" w:rsidRPr="00900ADE" w14:paraId="55E0A94B" w14:textId="77777777" w:rsidTr="00284CD2">
        <w:tc>
          <w:tcPr>
            <w:tcW w:w="3296" w:type="dxa"/>
          </w:tcPr>
          <w:p w14:paraId="34213321" w14:textId="77777777" w:rsidR="00840E7A" w:rsidRPr="00900ADE" w:rsidRDefault="00840E7A">
            <w:pPr>
              <w:pStyle w:val="TableText"/>
              <w:ind w:left="204"/>
              <w:rPr>
                <w:rFonts w:ascii="Franklin Gothic Book" w:hAnsi="Franklin Gothic Book"/>
                <w:b/>
                <w:bCs/>
              </w:rPr>
            </w:pPr>
            <w:r w:rsidRPr="00900ADE">
              <w:rPr>
                <w:rFonts w:ascii="Franklin Gothic Book" w:hAnsi="Franklin Gothic Book"/>
              </w:rPr>
              <w:t>Language Modeling (K-3 only)</w:t>
            </w:r>
          </w:p>
        </w:tc>
        <w:tc>
          <w:tcPr>
            <w:tcW w:w="620" w:type="dxa"/>
          </w:tcPr>
          <w:p w14:paraId="78B34F3A" w14:textId="77777777" w:rsidR="00840E7A" w:rsidRPr="00900ADE" w:rsidRDefault="00840E7A">
            <w:pPr>
              <w:pStyle w:val="TableTextCentered"/>
              <w:rPr>
                <w:rFonts w:eastAsia="Times New Roman"/>
              </w:rPr>
            </w:pPr>
            <w:r w:rsidRPr="00900ADE">
              <w:rPr>
                <w:rFonts w:eastAsia="Times New Roman"/>
              </w:rPr>
              <w:t>1</w:t>
            </w:r>
          </w:p>
        </w:tc>
        <w:tc>
          <w:tcPr>
            <w:tcW w:w="655" w:type="dxa"/>
          </w:tcPr>
          <w:p w14:paraId="11F366E6" w14:textId="77777777" w:rsidR="00840E7A" w:rsidRPr="00900ADE" w:rsidRDefault="00840E7A">
            <w:pPr>
              <w:pStyle w:val="TableTextCentered"/>
              <w:rPr>
                <w:rFonts w:eastAsia="Times New Roman"/>
              </w:rPr>
            </w:pPr>
            <w:r w:rsidRPr="00900ADE">
              <w:rPr>
                <w:rFonts w:eastAsia="Times New Roman"/>
              </w:rPr>
              <w:t>4</w:t>
            </w:r>
          </w:p>
        </w:tc>
        <w:tc>
          <w:tcPr>
            <w:tcW w:w="694" w:type="dxa"/>
          </w:tcPr>
          <w:p w14:paraId="41BF3EBA" w14:textId="77777777" w:rsidR="00840E7A" w:rsidRPr="00900ADE" w:rsidRDefault="00840E7A">
            <w:pPr>
              <w:pStyle w:val="TableTextCentered"/>
              <w:rPr>
                <w:rFonts w:eastAsia="Times New Roman"/>
              </w:rPr>
            </w:pPr>
            <w:r w:rsidRPr="00900ADE">
              <w:rPr>
                <w:rFonts w:eastAsia="Times New Roman"/>
              </w:rPr>
              <w:t>7</w:t>
            </w:r>
          </w:p>
        </w:tc>
        <w:tc>
          <w:tcPr>
            <w:tcW w:w="694" w:type="dxa"/>
          </w:tcPr>
          <w:p w14:paraId="60D62FBF" w14:textId="77777777" w:rsidR="00840E7A" w:rsidRPr="00900ADE" w:rsidRDefault="00840E7A">
            <w:pPr>
              <w:pStyle w:val="TableTextCentered"/>
              <w:rPr>
                <w:rFonts w:eastAsia="Times New Roman"/>
              </w:rPr>
            </w:pPr>
            <w:r w:rsidRPr="00900ADE">
              <w:rPr>
                <w:rFonts w:eastAsia="Times New Roman"/>
              </w:rPr>
              <w:t>9</w:t>
            </w:r>
          </w:p>
        </w:tc>
        <w:tc>
          <w:tcPr>
            <w:tcW w:w="694" w:type="dxa"/>
          </w:tcPr>
          <w:p w14:paraId="13F2ABD9" w14:textId="77777777" w:rsidR="00840E7A" w:rsidRPr="00900ADE" w:rsidRDefault="00840E7A">
            <w:pPr>
              <w:pStyle w:val="TableTextCentered"/>
              <w:rPr>
                <w:rFonts w:eastAsia="Times New Roman"/>
              </w:rPr>
            </w:pPr>
            <w:r w:rsidRPr="00900ADE">
              <w:rPr>
                <w:rFonts w:eastAsia="Times New Roman"/>
              </w:rPr>
              <w:t>1</w:t>
            </w:r>
          </w:p>
        </w:tc>
        <w:tc>
          <w:tcPr>
            <w:tcW w:w="608" w:type="dxa"/>
          </w:tcPr>
          <w:p w14:paraId="5FB7682A" w14:textId="77777777" w:rsidR="00840E7A" w:rsidRPr="00900ADE" w:rsidRDefault="00840E7A">
            <w:pPr>
              <w:pStyle w:val="TableTextCentered"/>
              <w:rPr>
                <w:rFonts w:eastAsia="Times New Roman"/>
              </w:rPr>
            </w:pPr>
            <w:r w:rsidRPr="00900ADE">
              <w:rPr>
                <w:rFonts w:eastAsia="Times New Roman"/>
              </w:rPr>
              <w:t>1</w:t>
            </w:r>
          </w:p>
        </w:tc>
        <w:tc>
          <w:tcPr>
            <w:tcW w:w="616" w:type="dxa"/>
          </w:tcPr>
          <w:p w14:paraId="1A240646" w14:textId="77777777" w:rsidR="00840E7A" w:rsidRPr="00900ADE" w:rsidRDefault="00840E7A">
            <w:pPr>
              <w:pStyle w:val="TableTextCentered"/>
              <w:rPr>
                <w:rFonts w:eastAsia="Times New Roman"/>
              </w:rPr>
            </w:pPr>
            <w:r w:rsidRPr="00900ADE">
              <w:rPr>
                <w:rFonts w:eastAsia="Times New Roman"/>
              </w:rPr>
              <w:t>0</w:t>
            </w:r>
          </w:p>
        </w:tc>
        <w:tc>
          <w:tcPr>
            <w:tcW w:w="515" w:type="dxa"/>
          </w:tcPr>
          <w:p w14:paraId="73117E4C" w14:textId="77777777" w:rsidR="00840E7A" w:rsidRPr="00900ADE" w:rsidRDefault="00840E7A">
            <w:pPr>
              <w:pStyle w:val="TableTextCentered"/>
              <w:rPr>
                <w:rFonts w:eastAsia="Times New Roman"/>
              </w:rPr>
            </w:pPr>
            <w:r w:rsidRPr="00900ADE">
              <w:rPr>
                <w:rFonts w:eastAsia="Times New Roman"/>
              </w:rPr>
              <w:t>23</w:t>
            </w:r>
          </w:p>
        </w:tc>
        <w:tc>
          <w:tcPr>
            <w:tcW w:w="952" w:type="dxa"/>
          </w:tcPr>
          <w:p w14:paraId="012725C5" w14:textId="77777777" w:rsidR="00840E7A" w:rsidRPr="00900ADE" w:rsidRDefault="00840E7A">
            <w:pPr>
              <w:pStyle w:val="TableTextCentered"/>
              <w:rPr>
                <w:rFonts w:eastAsia="Times New Roman"/>
              </w:rPr>
            </w:pPr>
            <w:r w:rsidRPr="00900ADE">
              <w:rPr>
                <w:rFonts w:eastAsia="Times New Roman"/>
              </w:rPr>
              <w:t>3.3</w:t>
            </w:r>
          </w:p>
        </w:tc>
      </w:tr>
      <w:tr w:rsidR="00840E7A" w:rsidRPr="00900ADE" w14:paraId="764D0F81" w14:textId="77777777" w:rsidTr="00284CD2">
        <w:tc>
          <w:tcPr>
            <w:tcW w:w="3296" w:type="dxa"/>
            <w:vAlign w:val="center"/>
          </w:tcPr>
          <w:p w14:paraId="26CB7AF7" w14:textId="77777777" w:rsidR="00840E7A" w:rsidRPr="00900ADE" w:rsidRDefault="00840E7A">
            <w:pPr>
              <w:pStyle w:val="TableText"/>
              <w:ind w:left="204"/>
              <w:rPr>
                <w:rFonts w:ascii="Franklin Gothic Book" w:hAnsi="Franklin Gothic Book"/>
              </w:rPr>
            </w:pPr>
            <w:r w:rsidRPr="00900ADE">
              <w:rPr>
                <w:rFonts w:ascii="Franklin Gothic Book" w:hAnsi="Franklin Gothic Book"/>
              </w:rPr>
              <w:t>Instructional Dialogue (UE only)</w:t>
            </w:r>
          </w:p>
        </w:tc>
        <w:tc>
          <w:tcPr>
            <w:tcW w:w="620" w:type="dxa"/>
          </w:tcPr>
          <w:p w14:paraId="67391711" w14:textId="77777777" w:rsidR="00840E7A" w:rsidRPr="00900ADE" w:rsidRDefault="00840E7A">
            <w:pPr>
              <w:pStyle w:val="TableTextCentered"/>
              <w:rPr>
                <w:rFonts w:eastAsia="Times New Roman"/>
              </w:rPr>
            </w:pPr>
            <w:r w:rsidRPr="00900ADE">
              <w:rPr>
                <w:rFonts w:eastAsia="Times New Roman"/>
              </w:rPr>
              <w:t>3</w:t>
            </w:r>
          </w:p>
        </w:tc>
        <w:tc>
          <w:tcPr>
            <w:tcW w:w="655" w:type="dxa"/>
          </w:tcPr>
          <w:p w14:paraId="1436D001" w14:textId="77777777" w:rsidR="00840E7A" w:rsidRPr="00900ADE" w:rsidRDefault="00840E7A">
            <w:pPr>
              <w:pStyle w:val="TableTextCentered"/>
              <w:rPr>
                <w:rFonts w:eastAsia="Times New Roman"/>
              </w:rPr>
            </w:pPr>
            <w:r w:rsidRPr="00900ADE">
              <w:rPr>
                <w:rFonts w:eastAsia="Times New Roman"/>
              </w:rPr>
              <w:t>2</w:t>
            </w:r>
          </w:p>
        </w:tc>
        <w:tc>
          <w:tcPr>
            <w:tcW w:w="694" w:type="dxa"/>
          </w:tcPr>
          <w:p w14:paraId="15D66E43" w14:textId="77777777" w:rsidR="00840E7A" w:rsidRPr="00900ADE" w:rsidRDefault="00840E7A">
            <w:pPr>
              <w:pStyle w:val="TableTextCentered"/>
              <w:rPr>
                <w:rFonts w:eastAsia="Times New Roman"/>
              </w:rPr>
            </w:pPr>
            <w:r w:rsidRPr="00900ADE">
              <w:rPr>
                <w:rFonts w:eastAsia="Times New Roman"/>
              </w:rPr>
              <w:t>2</w:t>
            </w:r>
          </w:p>
        </w:tc>
        <w:tc>
          <w:tcPr>
            <w:tcW w:w="694" w:type="dxa"/>
          </w:tcPr>
          <w:p w14:paraId="5E50C725" w14:textId="77777777" w:rsidR="00840E7A" w:rsidRPr="00900ADE" w:rsidRDefault="00840E7A">
            <w:pPr>
              <w:pStyle w:val="TableTextCentered"/>
              <w:rPr>
                <w:rFonts w:eastAsia="Times New Roman"/>
              </w:rPr>
            </w:pPr>
            <w:r w:rsidRPr="00900ADE">
              <w:rPr>
                <w:rFonts w:eastAsia="Times New Roman"/>
              </w:rPr>
              <w:t>2</w:t>
            </w:r>
          </w:p>
        </w:tc>
        <w:tc>
          <w:tcPr>
            <w:tcW w:w="694" w:type="dxa"/>
          </w:tcPr>
          <w:p w14:paraId="5BF4C93B" w14:textId="77777777" w:rsidR="00840E7A" w:rsidRPr="00900ADE" w:rsidRDefault="00840E7A">
            <w:pPr>
              <w:pStyle w:val="TableTextCentered"/>
              <w:rPr>
                <w:rFonts w:eastAsia="Times New Roman"/>
              </w:rPr>
            </w:pPr>
            <w:r w:rsidRPr="00900ADE">
              <w:rPr>
                <w:rFonts w:eastAsia="Times New Roman"/>
              </w:rPr>
              <w:t>1</w:t>
            </w:r>
          </w:p>
        </w:tc>
        <w:tc>
          <w:tcPr>
            <w:tcW w:w="608" w:type="dxa"/>
          </w:tcPr>
          <w:p w14:paraId="58D8C0C3" w14:textId="77777777" w:rsidR="00840E7A" w:rsidRPr="00900ADE" w:rsidRDefault="00840E7A">
            <w:pPr>
              <w:pStyle w:val="TableTextCentered"/>
              <w:rPr>
                <w:rFonts w:eastAsia="Times New Roman"/>
              </w:rPr>
            </w:pPr>
            <w:r w:rsidRPr="00900ADE">
              <w:rPr>
                <w:rFonts w:eastAsia="Times New Roman"/>
              </w:rPr>
              <w:t>1</w:t>
            </w:r>
          </w:p>
        </w:tc>
        <w:tc>
          <w:tcPr>
            <w:tcW w:w="616" w:type="dxa"/>
          </w:tcPr>
          <w:p w14:paraId="0E67DB00" w14:textId="77777777" w:rsidR="00840E7A" w:rsidRPr="00900ADE" w:rsidRDefault="00840E7A">
            <w:pPr>
              <w:pStyle w:val="TableTextCentered"/>
              <w:rPr>
                <w:rFonts w:eastAsia="Times New Roman"/>
              </w:rPr>
            </w:pPr>
            <w:r w:rsidRPr="00900ADE">
              <w:rPr>
                <w:rFonts w:eastAsia="Times New Roman"/>
              </w:rPr>
              <w:t>0</w:t>
            </w:r>
          </w:p>
        </w:tc>
        <w:tc>
          <w:tcPr>
            <w:tcW w:w="515" w:type="dxa"/>
          </w:tcPr>
          <w:p w14:paraId="41494087" w14:textId="77777777" w:rsidR="00840E7A" w:rsidRPr="00900ADE" w:rsidRDefault="00840E7A">
            <w:pPr>
              <w:pStyle w:val="TableTextCentered"/>
              <w:rPr>
                <w:rFonts w:eastAsia="Times New Roman"/>
              </w:rPr>
            </w:pPr>
            <w:r w:rsidRPr="00900ADE">
              <w:rPr>
                <w:rFonts w:eastAsia="Times New Roman"/>
              </w:rPr>
              <w:t>11</w:t>
            </w:r>
          </w:p>
        </w:tc>
        <w:tc>
          <w:tcPr>
            <w:tcW w:w="952" w:type="dxa"/>
          </w:tcPr>
          <w:p w14:paraId="323D575B" w14:textId="77777777" w:rsidR="00840E7A" w:rsidRPr="00900ADE" w:rsidRDefault="00840E7A">
            <w:pPr>
              <w:pStyle w:val="TableTextCentered"/>
              <w:rPr>
                <w:rFonts w:eastAsia="Times New Roman"/>
              </w:rPr>
            </w:pPr>
            <w:r w:rsidRPr="00900ADE">
              <w:rPr>
                <w:rFonts w:eastAsia="Times New Roman"/>
              </w:rPr>
              <w:t>2.9</w:t>
            </w:r>
          </w:p>
        </w:tc>
      </w:tr>
      <w:tr w:rsidR="00840E7A" w:rsidRPr="00900ADE" w14:paraId="6F3BD660" w14:textId="77777777" w:rsidTr="00284CD2">
        <w:tc>
          <w:tcPr>
            <w:tcW w:w="3296" w:type="dxa"/>
            <w:shd w:val="clear" w:color="auto" w:fill="D9E2F3" w:themeFill="accent5" w:themeFillTint="33"/>
            <w:vAlign w:val="center"/>
          </w:tcPr>
          <w:p w14:paraId="0558B2B7" w14:textId="77777777" w:rsidR="00840E7A" w:rsidRPr="00900ADE" w:rsidRDefault="00840E7A">
            <w:pPr>
              <w:pStyle w:val="TableText"/>
              <w:rPr>
                <w:rStyle w:val="FranklinGothicDemi"/>
              </w:rPr>
            </w:pPr>
            <w:r w:rsidRPr="00900ADE">
              <w:rPr>
                <w:rStyle w:val="FranklinGothicDemi"/>
              </w:rPr>
              <w:t>Student Engagement (UE only)</w:t>
            </w:r>
          </w:p>
        </w:tc>
        <w:tc>
          <w:tcPr>
            <w:tcW w:w="620" w:type="dxa"/>
            <w:shd w:val="clear" w:color="auto" w:fill="D9E2F3" w:themeFill="accent5" w:themeFillTint="33"/>
          </w:tcPr>
          <w:p w14:paraId="36CCCADB" w14:textId="77777777" w:rsidR="00840E7A" w:rsidRPr="00900ADE" w:rsidRDefault="00840E7A">
            <w:pPr>
              <w:pStyle w:val="TableTextCentered"/>
              <w:rPr>
                <w:rFonts w:eastAsia="Times New Roman"/>
                <w:b/>
                <w:bCs/>
              </w:rPr>
            </w:pPr>
            <w:r w:rsidRPr="00900ADE">
              <w:rPr>
                <w:rFonts w:eastAsia="Times New Roman"/>
                <w:b/>
                <w:bCs/>
              </w:rPr>
              <w:t>0</w:t>
            </w:r>
          </w:p>
        </w:tc>
        <w:tc>
          <w:tcPr>
            <w:tcW w:w="655" w:type="dxa"/>
            <w:shd w:val="clear" w:color="auto" w:fill="D9E2F3" w:themeFill="accent5" w:themeFillTint="33"/>
          </w:tcPr>
          <w:p w14:paraId="698F0C1F" w14:textId="77777777" w:rsidR="00840E7A" w:rsidRPr="00900ADE" w:rsidRDefault="00840E7A">
            <w:pPr>
              <w:pStyle w:val="TableTextCentered"/>
              <w:rPr>
                <w:rFonts w:eastAsia="Times New Roman"/>
                <w:b/>
                <w:bCs/>
              </w:rPr>
            </w:pPr>
            <w:r w:rsidRPr="00900ADE">
              <w:rPr>
                <w:rFonts w:eastAsia="Times New Roman"/>
                <w:b/>
                <w:bCs/>
              </w:rPr>
              <w:t>0</w:t>
            </w:r>
          </w:p>
        </w:tc>
        <w:tc>
          <w:tcPr>
            <w:tcW w:w="694" w:type="dxa"/>
            <w:shd w:val="clear" w:color="auto" w:fill="D9E2F3" w:themeFill="accent5" w:themeFillTint="33"/>
          </w:tcPr>
          <w:p w14:paraId="2FD0F5ED" w14:textId="77777777" w:rsidR="00840E7A" w:rsidRPr="00900ADE" w:rsidRDefault="00840E7A">
            <w:pPr>
              <w:pStyle w:val="TableTextCentered"/>
              <w:rPr>
                <w:rFonts w:eastAsia="Times New Roman"/>
                <w:b/>
                <w:bCs/>
              </w:rPr>
            </w:pPr>
            <w:r w:rsidRPr="00900ADE">
              <w:rPr>
                <w:rFonts w:eastAsia="Times New Roman"/>
                <w:b/>
                <w:bCs/>
              </w:rPr>
              <w:t>2</w:t>
            </w:r>
          </w:p>
        </w:tc>
        <w:tc>
          <w:tcPr>
            <w:tcW w:w="694" w:type="dxa"/>
            <w:shd w:val="clear" w:color="auto" w:fill="D9E2F3" w:themeFill="accent5" w:themeFillTint="33"/>
          </w:tcPr>
          <w:p w14:paraId="7E7757D1" w14:textId="77777777" w:rsidR="00840E7A" w:rsidRPr="00900ADE" w:rsidRDefault="00840E7A">
            <w:pPr>
              <w:pStyle w:val="TableTextCentered"/>
              <w:rPr>
                <w:rFonts w:eastAsia="Times New Roman"/>
                <w:b/>
                <w:bCs/>
              </w:rPr>
            </w:pPr>
            <w:r w:rsidRPr="00900ADE">
              <w:rPr>
                <w:rFonts w:eastAsia="Times New Roman"/>
                <w:b/>
                <w:bCs/>
              </w:rPr>
              <w:t>1</w:t>
            </w:r>
          </w:p>
        </w:tc>
        <w:tc>
          <w:tcPr>
            <w:tcW w:w="694" w:type="dxa"/>
            <w:shd w:val="clear" w:color="auto" w:fill="D9E2F3" w:themeFill="accent5" w:themeFillTint="33"/>
          </w:tcPr>
          <w:p w14:paraId="4370DB25" w14:textId="77777777" w:rsidR="00840E7A" w:rsidRPr="00900ADE" w:rsidRDefault="00840E7A">
            <w:pPr>
              <w:pStyle w:val="TableTextCentered"/>
              <w:rPr>
                <w:rFonts w:eastAsia="Times New Roman"/>
                <w:b/>
                <w:bCs/>
              </w:rPr>
            </w:pPr>
            <w:r w:rsidRPr="00900ADE">
              <w:rPr>
                <w:rFonts w:eastAsia="Times New Roman"/>
                <w:b/>
                <w:bCs/>
              </w:rPr>
              <w:t>4</w:t>
            </w:r>
          </w:p>
        </w:tc>
        <w:tc>
          <w:tcPr>
            <w:tcW w:w="608" w:type="dxa"/>
            <w:shd w:val="clear" w:color="auto" w:fill="D9E2F3" w:themeFill="accent5" w:themeFillTint="33"/>
          </w:tcPr>
          <w:p w14:paraId="5B93FBC6" w14:textId="77777777" w:rsidR="00840E7A" w:rsidRPr="00900ADE" w:rsidRDefault="00840E7A">
            <w:pPr>
              <w:pStyle w:val="TableTextCentered"/>
              <w:rPr>
                <w:rFonts w:eastAsia="Times New Roman"/>
                <w:b/>
                <w:bCs/>
              </w:rPr>
            </w:pPr>
            <w:r w:rsidRPr="00900ADE">
              <w:rPr>
                <w:rFonts w:eastAsia="Times New Roman"/>
                <w:b/>
                <w:bCs/>
              </w:rPr>
              <w:t>3</w:t>
            </w:r>
          </w:p>
        </w:tc>
        <w:tc>
          <w:tcPr>
            <w:tcW w:w="616" w:type="dxa"/>
            <w:shd w:val="clear" w:color="auto" w:fill="D9E2F3" w:themeFill="accent5" w:themeFillTint="33"/>
          </w:tcPr>
          <w:p w14:paraId="572EB2E5" w14:textId="77777777" w:rsidR="00840E7A" w:rsidRPr="00900ADE" w:rsidRDefault="00840E7A">
            <w:pPr>
              <w:pStyle w:val="TableTextCentered"/>
              <w:rPr>
                <w:rFonts w:eastAsia="Times New Roman"/>
                <w:b/>
                <w:bCs/>
              </w:rPr>
            </w:pPr>
            <w:r w:rsidRPr="00900ADE">
              <w:rPr>
                <w:rFonts w:eastAsia="Times New Roman"/>
                <w:b/>
                <w:bCs/>
              </w:rPr>
              <w:t>1</w:t>
            </w:r>
          </w:p>
        </w:tc>
        <w:tc>
          <w:tcPr>
            <w:tcW w:w="515" w:type="dxa"/>
            <w:shd w:val="clear" w:color="auto" w:fill="D9E2F3" w:themeFill="accent5" w:themeFillTint="33"/>
          </w:tcPr>
          <w:p w14:paraId="3591DE79" w14:textId="77777777" w:rsidR="00840E7A" w:rsidRPr="00900ADE" w:rsidRDefault="00840E7A">
            <w:pPr>
              <w:pStyle w:val="TableTextCentered"/>
              <w:rPr>
                <w:rFonts w:eastAsia="Times New Roman"/>
                <w:b/>
                <w:bCs/>
              </w:rPr>
            </w:pPr>
            <w:r w:rsidRPr="00900ADE">
              <w:rPr>
                <w:rFonts w:eastAsia="Times New Roman"/>
                <w:b/>
                <w:bCs/>
              </w:rPr>
              <w:t>11</w:t>
            </w:r>
          </w:p>
        </w:tc>
        <w:tc>
          <w:tcPr>
            <w:tcW w:w="952" w:type="dxa"/>
            <w:shd w:val="clear" w:color="auto" w:fill="D9E2F3" w:themeFill="accent5" w:themeFillTint="33"/>
          </w:tcPr>
          <w:p w14:paraId="38109549" w14:textId="77777777" w:rsidR="00840E7A" w:rsidRPr="00900ADE" w:rsidRDefault="00840E7A">
            <w:pPr>
              <w:pStyle w:val="TableTextCentered"/>
              <w:rPr>
                <w:rFonts w:eastAsia="Times New Roman"/>
                <w:b/>
                <w:bCs/>
              </w:rPr>
            </w:pPr>
            <w:r w:rsidRPr="00900ADE">
              <w:rPr>
                <w:rFonts w:eastAsia="Times New Roman"/>
                <w:b/>
                <w:bCs/>
              </w:rPr>
              <w:t>5.0</w:t>
            </w:r>
          </w:p>
        </w:tc>
      </w:tr>
    </w:tbl>
    <w:p w14:paraId="659C1E4E" w14:textId="77777777" w:rsidR="00840E7A" w:rsidRPr="00900ADE" w:rsidRDefault="00840E7A">
      <w:pPr>
        <w:pStyle w:val="TableNote"/>
        <w:rPr>
          <w:szCs w:val="20"/>
        </w:rPr>
      </w:pPr>
      <w:r w:rsidRPr="00900ADE">
        <w:t xml:space="preserve">*The district average is an average of the scores. For example, for Positive Climate, the district average is computed as: </w:t>
      </w:r>
      <w:bookmarkStart w:id="183" w:name="Elem_PC_Calc"/>
      <w:r w:rsidRPr="00900ADE">
        <w:rPr>
          <w:szCs w:val="20"/>
        </w:rPr>
        <w:t>([2 x 1] + [3 x 3] + [4 x 5] + [5 x 11] + [6 x 7] + [7 x 7]) ÷ 34 observations = 5.2</w:t>
      </w:r>
      <w:bookmarkEnd w:id="183"/>
    </w:p>
    <w:p w14:paraId="314372E0" w14:textId="77777777" w:rsidR="00840E7A" w:rsidRPr="00900ADE" w:rsidRDefault="00840E7A">
      <w:pPr>
        <w:pStyle w:val="TableNote"/>
      </w:pPr>
      <w:r w:rsidRPr="00900ADE">
        <w:t xml:space="preserve">**Negative Climate is rated on an inverse scale. An original score of 1 is given a value of 7. The scoring in the table reflects the normalized adjustment: </w:t>
      </w:r>
      <w:bookmarkStart w:id="184" w:name="Elem_NC_Calc"/>
      <w:r w:rsidRPr="00900ADE">
        <w:t>([6 x 3] + [7 x 31]) ÷ 34 observations = 6.9</w:t>
      </w:r>
      <w:bookmarkEnd w:id="184"/>
      <w:r w:rsidRPr="00900ADE">
        <w:t>. In addition, Negative Climate appears in the Classroom Organization Domain for the Upper Elementary Manual.</w:t>
      </w:r>
    </w:p>
    <w:p w14:paraId="039ABB5E" w14:textId="77777777" w:rsidR="00840E7A" w:rsidRPr="00900ADE" w:rsidRDefault="00840E7A">
      <w:pPr>
        <w:pStyle w:val="TableNote"/>
      </w:pPr>
      <w:r w:rsidRPr="00900ADE">
        <w:t>***Instructional Learning Formats appears in the Instructional Support Domain for the Upper Elementary Manual.</w:t>
      </w:r>
    </w:p>
    <w:p w14:paraId="6212BD45" w14:textId="77777777" w:rsidR="00840E7A" w:rsidRPr="00900ADE" w:rsidRDefault="00840E7A">
      <w:pPr>
        <w:pStyle w:val="TableTitle0"/>
        <w:rPr>
          <w:rFonts w:ascii="Times New Roman" w:eastAsia="MS Mincho" w:hAnsi="Times New Roman" w:cs="Times New Roman"/>
          <w:b/>
          <w:sz w:val="20"/>
        </w:rPr>
      </w:pPr>
    </w:p>
    <w:p w14:paraId="03F3DBC8" w14:textId="77777777" w:rsidR="00840E7A" w:rsidRPr="00900ADE" w:rsidRDefault="00840E7A">
      <w:pPr>
        <w:pStyle w:val="TableTitle0"/>
        <w:rPr>
          <w:rFonts w:ascii="Times New Roman" w:eastAsia="MS Mincho" w:hAnsi="Times New Roman" w:cs="Times New Roman"/>
          <w:b/>
          <w:sz w:val="20"/>
        </w:rPr>
      </w:pPr>
    </w:p>
    <w:p w14:paraId="3D4347B8" w14:textId="77777777" w:rsidR="00840E7A" w:rsidRPr="00900ADE" w:rsidRDefault="00840E7A">
      <w:pPr>
        <w:pStyle w:val="TableTitle0"/>
        <w:rPr>
          <w:rFonts w:ascii="Times New Roman" w:eastAsia="MS Mincho" w:hAnsi="Times New Roman" w:cs="Times New Roman"/>
          <w:b/>
          <w:sz w:val="20"/>
        </w:rPr>
      </w:pPr>
    </w:p>
    <w:p w14:paraId="5923434C" w14:textId="77777777" w:rsidR="00840E7A" w:rsidRPr="00900ADE" w:rsidRDefault="00840E7A">
      <w:pPr>
        <w:pStyle w:val="TableTitle0"/>
        <w:rPr>
          <w:rFonts w:ascii="Times New Roman" w:eastAsia="MS Mincho" w:hAnsi="Times New Roman" w:cs="Times New Roman"/>
          <w:b/>
          <w:sz w:val="20"/>
        </w:rPr>
      </w:pPr>
    </w:p>
    <w:p w14:paraId="38D99234" w14:textId="77777777" w:rsidR="00840E7A" w:rsidRPr="00900ADE" w:rsidRDefault="00840E7A">
      <w:pPr>
        <w:pStyle w:val="TableTitle0"/>
        <w:rPr>
          <w:rFonts w:ascii="Times New Roman" w:eastAsia="MS Mincho" w:hAnsi="Times New Roman" w:cs="Times New Roman"/>
          <w:b/>
          <w:sz w:val="20"/>
        </w:rPr>
      </w:pPr>
    </w:p>
    <w:p w14:paraId="0DCA9555" w14:textId="77777777" w:rsidR="00840E7A" w:rsidRPr="00900ADE" w:rsidRDefault="00840E7A">
      <w:pPr>
        <w:pStyle w:val="Heading2-SIOR"/>
      </w:pPr>
      <w:bookmarkStart w:id="185" w:name="_Toc92194269"/>
      <w:r w:rsidRPr="00900ADE">
        <w:lastRenderedPageBreak/>
        <w:t xml:space="preserve">Summary of Average Ratings: </w:t>
      </w:r>
      <w:bookmarkEnd w:id="185"/>
      <w:r w:rsidRPr="00900ADE">
        <w:t>Grades 6–8</w:t>
      </w:r>
    </w:p>
    <w:p w14:paraId="2FCF9973" w14:textId="77777777" w:rsidR="00840E7A" w:rsidRPr="00900ADE" w:rsidRDefault="00840E7A">
      <w:pPr>
        <w:pStyle w:val="TableTitle0"/>
      </w:pPr>
      <w:r w:rsidRPr="00900ADE">
        <w:t>Table 18. Summary Table of Average Ratings for Each Dimension in Grades 6–8</w:t>
      </w:r>
    </w:p>
    <w:tbl>
      <w:tblPr>
        <w:tblStyle w:val="MSVTable1"/>
        <w:tblW w:w="5000" w:type="pct"/>
        <w:tblLayout w:type="fixed"/>
        <w:tblLook w:val="06A0" w:firstRow="1" w:lastRow="0" w:firstColumn="1" w:lastColumn="0" w:noHBand="1" w:noVBand="1"/>
      </w:tblPr>
      <w:tblGrid>
        <w:gridCol w:w="3096"/>
        <w:gridCol w:w="703"/>
        <w:gridCol w:w="666"/>
        <w:gridCol w:w="715"/>
        <w:gridCol w:w="694"/>
        <w:gridCol w:w="694"/>
        <w:gridCol w:w="694"/>
        <w:gridCol w:w="694"/>
        <w:gridCol w:w="522"/>
        <w:gridCol w:w="866"/>
      </w:tblGrid>
      <w:tr w:rsidR="00840E7A" w:rsidRPr="00900ADE" w14:paraId="53D67411" w14:textId="77777777" w:rsidTr="004E0AC2">
        <w:trPr>
          <w:cnfStyle w:val="100000000000" w:firstRow="1" w:lastRow="0" w:firstColumn="0" w:lastColumn="0" w:oddVBand="0" w:evenVBand="0" w:oddHBand="0" w:evenHBand="0" w:firstRowFirstColumn="0" w:firstRowLastColumn="0" w:lastRowFirstColumn="0" w:lastRowLastColumn="0"/>
          <w:tblHeader/>
        </w:trPr>
        <w:tc>
          <w:tcPr>
            <w:tcW w:w="3096" w:type="dxa"/>
            <w:tcBorders>
              <w:bottom w:val="nil"/>
            </w:tcBorders>
          </w:tcPr>
          <w:p w14:paraId="4A3E93C3" w14:textId="77777777" w:rsidR="00840E7A" w:rsidRPr="00900ADE" w:rsidRDefault="00840E7A">
            <w:pPr>
              <w:pStyle w:val="TableColHeadingCenter"/>
              <w:rPr>
                <w:rFonts w:eastAsia="MS Mincho"/>
              </w:rPr>
            </w:pPr>
          </w:p>
        </w:tc>
        <w:tc>
          <w:tcPr>
            <w:tcW w:w="703" w:type="dxa"/>
            <w:vAlign w:val="center"/>
          </w:tcPr>
          <w:p w14:paraId="5DB78883" w14:textId="77777777" w:rsidR="00840E7A" w:rsidRPr="00900ADE" w:rsidRDefault="00840E7A">
            <w:pPr>
              <w:pStyle w:val="TableColHeadingCenter"/>
              <w:rPr>
                <w:rFonts w:eastAsia="MS Mincho"/>
                <w:spacing w:val="-4"/>
              </w:rPr>
            </w:pPr>
            <w:r w:rsidRPr="00900ADE">
              <w:rPr>
                <w:rFonts w:eastAsia="MS Mincho"/>
                <w:spacing w:val="-4"/>
              </w:rPr>
              <w:t>Low Range</w:t>
            </w:r>
          </w:p>
        </w:tc>
        <w:tc>
          <w:tcPr>
            <w:tcW w:w="666" w:type="dxa"/>
            <w:vAlign w:val="center"/>
          </w:tcPr>
          <w:p w14:paraId="64FD0046" w14:textId="77777777" w:rsidR="00840E7A" w:rsidRPr="00900ADE" w:rsidRDefault="00840E7A">
            <w:pPr>
              <w:pStyle w:val="TableColHeadingCenter"/>
              <w:rPr>
                <w:rFonts w:eastAsia="MS Mincho"/>
                <w:spacing w:val="-4"/>
              </w:rPr>
            </w:pPr>
            <w:r w:rsidRPr="00900ADE">
              <w:rPr>
                <w:rFonts w:eastAsia="MS Mincho"/>
                <w:spacing w:val="-4"/>
              </w:rPr>
              <w:t>Low Range</w:t>
            </w:r>
          </w:p>
        </w:tc>
        <w:tc>
          <w:tcPr>
            <w:tcW w:w="715" w:type="dxa"/>
            <w:vAlign w:val="center"/>
          </w:tcPr>
          <w:p w14:paraId="590072D7" w14:textId="77777777" w:rsidR="00840E7A" w:rsidRPr="00900ADE" w:rsidRDefault="00840E7A">
            <w:pPr>
              <w:pStyle w:val="TableColHeadingCenter"/>
              <w:rPr>
                <w:rFonts w:eastAsia="MS Mincho"/>
                <w:spacing w:val="-4"/>
              </w:rPr>
            </w:pPr>
            <w:r w:rsidRPr="00900ADE">
              <w:rPr>
                <w:rFonts w:eastAsia="MS Mincho"/>
                <w:spacing w:val="-4"/>
              </w:rPr>
              <w:t>Middle Range</w:t>
            </w:r>
          </w:p>
        </w:tc>
        <w:tc>
          <w:tcPr>
            <w:tcW w:w="694" w:type="dxa"/>
            <w:vAlign w:val="center"/>
          </w:tcPr>
          <w:p w14:paraId="01429427" w14:textId="77777777" w:rsidR="00840E7A" w:rsidRPr="00900ADE" w:rsidRDefault="00840E7A">
            <w:pPr>
              <w:pStyle w:val="TableColHeadingCenter"/>
              <w:rPr>
                <w:rFonts w:eastAsia="MS Mincho"/>
                <w:spacing w:val="-4"/>
              </w:rPr>
            </w:pPr>
            <w:r w:rsidRPr="00900ADE">
              <w:rPr>
                <w:rFonts w:eastAsia="MS Mincho"/>
                <w:spacing w:val="-4"/>
              </w:rPr>
              <w:t>Middle Range</w:t>
            </w:r>
          </w:p>
        </w:tc>
        <w:tc>
          <w:tcPr>
            <w:tcW w:w="694" w:type="dxa"/>
            <w:vAlign w:val="center"/>
          </w:tcPr>
          <w:p w14:paraId="723A3AD0" w14:textId="77777777" w:rsidR="00840E7A" w:rsidRPr="00900ADE" w:rsidRDefault="00840E7A">
            <w:pPr>
              <w:pStyle w:val="TableColHeadingCenter"/>
              <w:rPr>
                <w:rFonts w:eastAsia="MS Mincho"/>
                <w:spacing w:val="-4"/>
              </w:rPr>
            </w:pPr>
            <w:r w:rsidRPr="00900ADE">
              <w:rPr>
                <w:rFonts w:eastAsia="MS Mincho"/>
                <w:spacing w:val="-4"/>
              </w:rPr>
              <w:t>Middle Range</w:t>
            </w:r>
          </w:p>
        </w:tc>
        <w:tc>
          <w:tcPr>
            <w:tcW w:w="694" w:type="dxa"/>
            <w:vAlign w:val="center"/>
          </w:tcPr>
          <w:p w14:paraId="3EEF2291" w14:textId="77777777" w:rsidR="00840E7A" w:rsidRPr="00900ADE" w:rsidRDefault="00840E7A">
            <w:pPr>
              <w:pStyle w:val="TableColHeadingCenter"/>
              <w:rPr>
                <w:rFonts w:eastAsia="MS Mincho"/>
                <w:spacing w:val="-4"/>
              </w:rPr>
            </w:pPr>
            <w:r w:rsidRPr="00900ADE">
              <w:rPr>
                <w:rFonts w:eastAsia="MS Mincho"/>
                <w:spacing w:val="-4"/>
              </w:rPr>
              <w:t>High Range</w:t>
            </w:r>
          </w:p>
        </w:tc>
        <w:tc>
          <w:tcPr>
            <w:tcW w:w="694" w:type="dxa"/>
            <w:vAlign w:val="center"/>
          </w:tcPr>
          <w:p w14:paraId="770DF45B" w14:textId="77777777" w:rsidR="00840E7A" w:rsidRPr="00900ADE" w:rsidRDefault="00840E7A">
            <w:pPr>
              <w:pStyle w:val="TableColHeadingCenter"/>
              <w:rPr>
                <w:rFonts w:eastAsia="MS Mincho"/>
                <w:spacing w:val="-4"/>
              </w:rPr>
            </w:pPr>
            <w:r w:rsidRPr="00900ADE">
              <w:rPr>
                <w:rFonts w:eastAsia="MS Mincho"/>
                <w:spacing w:val="-4"/>
              </w:rPr>
              <w:t>High Range</w:t>
            </w:r>
          </w:p>
        </w:tc>
        <w:tc>
          <w:tcPr>
            <w:tcW w:w="522" w:type="dxa"/>
            <w:tcBorders>
              <w:bottom w:val="nil"/>
            </w:tcBorders>
            <w:vAlign w:val="center"/>
          </w:tcPr>
          <w:p w14:paraId="6D644589" w14:textId="77777777" w:rsidR="00840E7A" w:rsidRPr="00900ADE" w:rsidRDefault="00840E7A">
            <w:pPr>
              <w:pStyle w:val="TableColHeadingCenter"/>
              <w:rPr>
                <w:rFonts w:eastAsia="MS Mincho"/>
              </w:rPr>
            </w:pPr>
            <w:r w:rsidRPr="00900ADE">
              <w:rPr>
                <w:rFonts w:eastAsia="MS Mincho"/>
              </w:rPr>
              <w:t>n</w:t>
            </w:r>
          </w:p>
        </w:tc>
        <w:tc>
          <w:tcPr>
            <w:tcW w:w="866" w:type="dxa"/>
            <w:tcBorders>
              <w:bottom w:val="nil"/>
            </w:tcBorders>
            <w:vAlign w:val="center"/>
          </w:tcPr>
          <w:p w14:paraId="3ACC89FD" w14:textId="77777777" w:rsidR="00840E7A" w:rsidRPr="00900ADE" w:rsidRDefault="00840E7A">
            <w:pPr>
              <w:pStyle w:val="TableColHeadingCenter"/>
              <w:rPr>
                <w:rFonts w:eastAsia="MS Mincho"/>
              </w:rPr>
            </w:pPr>
            <w:r w:rsidRPr="00900ADE">
              <w:rPr>
                <w:rFonts w:eastAsia="MS Mincho"/>
              </w:rPr>
              <w:t>Average Scores*</w:t>
            </w:r>
          </w:p>
        </w:tc>
      </w:tr>
      <w:tr w:rsidR="00840E7A" w:rsidRPr="00900ADE" w14:paraId="17B62B8A" w14:textId="77777777" w:rsidTr="004E0AC2">
        <w:trPr>
          <w:cnfStyle w:val="100000000000" w:firstRow="1" w:lastRow="0" w:firstColumn="0" w:lastColumn="0" w:oddVBand="0" w:evenVBand="0" w:oddHBand="0" w:evenHBand="0" w:firstRowFirstColumn="0" w:firstRowLastColumn="0" w:lastRowFirstColumn="0" w:lastRowLastColumn="0"/>
          <w:tblHeader/>
        </w:trPr>
        <w:tc>
          <w:tcPr>
            <w:tcW w:w="3096" w:type="dxa"/>
            <w:tcBorders>
              <w:top w:val="nil"/>
            </w:tcBorders>
          </w:tcPr>
          <w:p w14:paraId="652FA31D" w14:textId="77777777" w:rsidR="00840E7A" w:rsidRPr="00900ADE" w:rsidRDefault="00840E7A">
            <w:pPr>
              <w:pStyle w:val="TableColHeadingCenter"/>
              <w:rPr>
                <w:rFonts w:eastAsia="MS Mincho"/>
              </w:rPr>
            </w:pPr>
          </w:p>
        </w:tc>
        <w:tc>
          <w:tcPr>
            <w:tcW w:w="703" w:type="dxa"/>
            <w:vAlign w:val="center"/>
          </w:tcPr>
          <w:p w14:paraId="6F9181CC" w14:textId="77777777" w:rsidR="00840E7A" w:rsidRPr="00900ADE" w:rsidRDefault="00840E7A">
            <w:pPr>
              <w:pStyle w:val="TableColHeadingCenter"/>
              <w:rPr>
                <w:rFonts w:eastAsia="MS Mincho"/>
              </w:rPr>
            </w:pPr>
            <w:r w:rsidRPr="00900ADE">
              <w:rPr>
                <w:rFonts w:eastAsia="MS Mincho"/>
              </w:rPr>
              <w:t>1</w:t>
            </w:r>
          </w:p>
        </w:tc>
        <w:tc>
          <w:tcPr>
            <w:tcW w:w="666" w:type="dxa"/>
            <w:vAlign w:val="center"/>
          </w:tcPr>
          <w:p w14:paraId="3C2D6F63" w14:textId="77777777" w:rsidR="00840E7A" w:rsidRPr="00900ADE" w:rsidRDefault="00840E7A">
            <w:pPr>
              <w:pStyle w:val="TableColHeadingCenter"/>
              <w:rPr>
                <w:rFonts w:eastAsia="MS Mincho"/>
              </w:rPr>
            </w:pPr>
            <w:r w:rsidRPr="00900ADE">
              <w:rPr>
                <w:rFonts w:eastAsia="MS Mincho"/>
              </w:rPr>
              <w:t>2</w:t>
            </w:r>
          </w:p>
        </w:tc>
        <w:tc>
          <w:tcPr>
            <w:tcW w:w="715" w:type="dxa"/>
            <w:vAlign w:val="center"/>
          </w:tcPr>
          <w:p w14:paraId="3617019B" w14:textId="77777777" w:rsidR="00840E7A" w:rsidRPr="00900ADE" w:rsidRDefault="00840E7A">
            <w:pPr>
              <w:pStyle w:val="TableColHeadingCenter"/>
              <w:rPr>
                <w:rFonts w:eastAsia="MS Mincho"/>
              </w:rPr>
            </w:pPr>
            <w:r w:rsidRPr="00900ADE">
              <w:rPr>
                <w:rFonts w:eastAsia="MS Mincho"/>
              </w:rPr>
              <w:t>3</w:t>
            </w:r>
          </w:p>
        </w:tc>
        <w:tc>
          <w:tcPr>
            <w:tcW w:w="694" w:type="dxa"/>
            <w:vAlign w:val="center"/>
          </w:tcPr>
          <w:p w14:paraId="2BA56C94" w14:textId="77777777" w:rsidR="00840E7A" w:rsidRPr="00900ADE" w:rsidRDefault="00840E7A">
            <w:pPr>
              <w:pStyle w:val="TableColHeadingCenter"/>
              <w:rPr>
                <w:rFonts w:eastAsia="MS Mincho"/>
              </w:rPr>
            </w:pPr>
            <w:r w:rsidRPr="00900ADE">
              <w:rPr>
                <w:rFonts w:eastAsia="MS Mincho"/>
              </w:rPr>
              <w:t>4</w:t>
            </w:r>
          </w:p>
        </w:tc>
        <w:tc>
          <w:tcPr>
            <w:tcW w:w="694" w:type="dxa"/>
            <w:vAlign w:val="center"/>
          </w:tcPr>
          <w:p w14:paraId="0443385F" w14:textId="77777777" w:rsidR="00840E7A" w:rsidRPr="00900ADE" w:rsidRDefault="00840E7A">
            <w:pPr>
              <w:pStyle w:val="TableColHeadingCenter"/>
              <w:rPr>
                <w:rFonts w:eastAsia="MS Mincho"/>
              </w:rPr>
            </w:pPr>
            <w:r w:rsidRPr="00900ADE">
              <w:rPr>
                <w:rFonts w:eastAsia="MS Mincho"/>
              </w:rPr>
              <w:t>5</w:t>
            </w:r>
          </w:p>
        </w:tc>
        <w:tc>
          <w:tcPr>
            <w:tcW w:w="694" w:type="dxa"/>
            <w:vAlign w:val="center"/>
          </w:tcPr>
          <w:p w14:paraId="21D63662" w14:textId="77777777" w:rsidR="00840E7A" w:rsidRPr="00900ADE" w:rsidRDefault="00840E7A">
            <w:pPr>
              <w:pStyle w:val="TableColHeadingCenter"/>
              <w:rPr>
                <w:rFonts w:eastAsia="MS Mincho"/>
              </w:rPr>
            </w:pPr>
            <w:r w:rsidRPr="00900ADE">
              <w:rPr>
                <w:rFonts w:eastAsia="MS Mincho"/>
              </w:rPr>
              <w:t>6</w:t>
            </w:r>
          </w:p>
        </w:tc>
        <w:tc>
          <w:tcPr>
            <w:tcW w:w="694" w:type="dxa"/>
            <w:vAlign w:val="center"/>
          </w:tcPr>
          <w:p w14:paraId="31F104FA" w14:textId="77777777" w:rsidR="00840E7A" w:rsidRPr="00900ADE" w:rsidRDefault="00840E7A">
            <w:pPr>
              <w:pStyle w:val="TableColHeadingCenter"/>
              <w:rPr>
                <w:rFonts w:eastAsia="MS Mincho"/>
              </w:rPr>
            </w:pPr>
            <w:r w:rsidRPr="00900ADE">
              <w:rPr>
                <w:rFonts w:eastAsia="MS Mincho"/>
              </w:rPr>
              <w:t>7</w:t>
            </w:r>
          </w:p>
        </w:tc>
        <w:tc>
          <w:tcPr>
            <w:tcW w:w="522" w:type="dxa"/>
            <w:tcBorders>
              <w:top w:val="nil"/>
            </w:tcBorders>
          </w:tcPr>
          <w:p w14:paraId="0658A737" w14:textId="77777777" w:rsidR="00840E7A" w:rsidRPr="00900ADE" w:rsidRDefault="00840E7A">
            <w:pPr>
              <w:pStyle w:val="TableColHeadingCenter"/>
              <w:rPr>
                <w:rFonts w:eastAsia="MS Mincho"/>
              </w:rPr>
            </w:pPr>
          </w:p>
        </w:tc>
        <w:tc>
          <w:tcPr>
            <w:tcW w:w="866" w:type="dxa"/>
            <w:tcBorders>
              <w:top w:val="nil"/>
            </w:tcBorders>
          </w:tcPr>
          <w:p w14:paraId="1213ABE5" w14:textId="77777777" w:rsidR="00840E7A" w:rsidRPr="00900ADE" w:rsidRDefault="00840E7A">
            <w:pPr>
              <w:pStyle w:val="TableColHeadingCenter"/>
              <w:rPr>
                <w:rFonts w:eastAsia="MS Mincho"/>
              </w:rPr>
            </w:pPr>
          </w:p>
        </w:tc>
      </w:tr>
      <w:tr w:rsidR="00840E7A" w:rsidRPr="00900ADE" w14:paraId="25B3BD6A" w14:textId="77777777" w:rsidTr="004E0AC2">
        <w:tc>
          <w:tcPr>
            <w:tcW w:w="3096" w:type="dxa"/>
            <w:shd w:val="clear" w:color="auto" w:fill="D9E2F3" w:themeFill="accent5" w:themeFillTint="33"/>
            <w:vAlign w:val="center"/>
          </w:tcPr>
          <w:p w14:paraId="42B0FB37" w14:textId="77777777" w:rsidR="00840E7A" w:rsidRPr="00900ADE" w:rsidRDefault="00840E7A">
            <w:pPr>
              <w:pStyle w:val="TableSubheading"/>
            </w:pPr>
            <w:r w:rsidRPr="00900ADE">
              <w:t>Emotional Support Domain</w:t>
            </w:r>
          </w:p>
        </w:tc>
        <w:tc>
          <w:tcPr>
            <w:tcW w:w="703" w:type="dxa"/>
            <w:shd w:val="clear" w:color="auto" w:fill="D9E2F3" w:themeFill="accent5" w:themeFillTint="33"/>
          </w:tcPr>
          <w:p w14:paraId="1AA23BA8" w14:textId="77777777" w:rsidR="00840E7A" w:rsidRPr="00900ADE" w:rsidRDefault="00840E7A">
            <w:pPr>
              <w:pStyle w:val="TableTextCenteredDemi"/>
              <w:rPr>
                <w:rFonts w:eastAsia="Times New Roman"/>
              </w:rPr>
            </w:pPr>
            <w:r w:rsidRPr="00900ADE">
              <w:rPr>
                <w:rFonts w:eastAsia="Times New Roman"/>
              </w:rPr>
              <w:t>1</w:t>
            </w:r>
          </w:p>
        </w:tc>
        <w:tc>
          <w:tcPr>
            <w:tcW w:w="666" w:type="dxa"/>
            <w:shd w:val="clear" w:color="auto" w:fill="D9E2F3" w:themeFill="accent5" w:themeFillTint="33"/>
          </w:tcPr>
          <w:p w14:paraId="5CD76B3B" w14:textId="77777777" w:rsidR="00840E7A" w:rsidRPr="00900ADE" w:rsidRDefault="00840E7A">
            <w:pPr>
              <w:pStyle w:val="TableTextCenteredDemi"/>
              <w:rPr>
                <w:rFonts w:eastAsia="Times New Roman"/>
              </w:rPr>
            </w:pPr>
            <w:r w:rsidRPr="00900ADE">
              <w:rPr>
                <w:rFonts w:eastAsia="Times New Roman"/>
              </w:rPr>
              <w:t>5</w:t>
            </w:r>
          </w:p>
        </w:tc>
        <w:tc>
          <w:tcPr>
            <w:tcW w:w="715" w:type="dxa"/>
            <w:shd w:val="clear" w:color="auto" w:fill="D9E2F3" w:themeFill="accent5" w:themeFillTint="33"/>
          </w:tcPr>
          <w:p w14:paraId="4F39900C" w14:textId="77777777" w:rsidR="00840E7A" w:rsidRPr="00900ADE" w:rsidRDefault="00840E7A">
            <w:pPr>
              <w:pStyle w:val="TableTextCenteredDemi"/>
              <w:rPr>
                <w:rFonts w:eastAsia="Times New Roman"/>
              </w:rPr>
            </w:pPr>
            <w:r w:rsidRPr="00900ADE">
              <w:rPr>
                <w:rFonts w:eastAsia="Times New Roman"/>
              </w:rPr>
              <w:t>11</w:t>
            </w:r>
          </w:p>
        </w:tc>
        <w:tc>
          <w:tcPr>
            <w:tcW w:w="694" w:type="dxa"/>
            <w:shd w:val="clear" w:color="auto" w:fill="D9E2F3" w:themeFill="accent5" w:themeFillTint="33"/>
          </w:tcPr>
          <w:p w14:paraId="6E57FF7D" w14:textId="77777777" w:rsidR="00840E7A" w:rsidRPr="00900ADE" w:rsidRDefault="00840E7A">
            <w:pPr>
              <w:pStyle w:val="TableTextCenteredDemi"/>
              <w:rPr>
                <w:rFonts w:eastAsia="Times New Roman"/>
              </w:rPr>
            </w:pPr>
            <w:r w:rsidRPr="00900ADE">
              <w:rPr>
                <w:rFonts w:eastAsia="Times New Roman"/>
              </w:rPr>
              <w:t>13</w:t>
            </w:r>
          </w:p>
        </w:tc>
        <w:tc>
          <w:tcPr>
            <w:tcW w:w="694" w:type="dxa"/>
            <w:shd w:val="clear" w:color="auto" w:fill="D9E2F3" w:themeFill="accent5" w:themeFillTint="33"/>
          </w:tcPr>
          <w:p w14:paraId="40F1442A" w14:textId="77777777" w:rsidR="00840E7A" w:rsidRPr="00900ADE" w:rsidRDefault="00840E7A">
            <w:pPr>
              <w:pStyle w:val="TableTextCenteredDemi"/>
              <w:rPr>
                <w:rFonts w:eastAsia="Times New Roman"/>
              </w:rPr>
            </w:pPr>
            <w:r w:rsidRPr="00900ADE">
              <w:rPr>
                <w:rFonts w:eastAsia="Times New Roman"/>
              </w:rPr>
              <w:t>9</w:t>
            </w:r>
          </w:p>
        </w:tc>
        <w:tc>
          <w:tcPr>
            <w:tcW w:w="694" w:type="dxa"/>
            <w:shd w:val="clear" w:color="auto" w:fill="D9E2F3" w:themeFill="accent5" w:themeFillTint="33"/>
            <w:vAlign w:val="center"/>
          </w:tcPr>
          <w:p w14:paraId="02D0CC83" w14:textId="77777777" w:rsidR="00840E7A" w:rsidRPr="00900ADE" w:rsidRDefault="00840E7A">
            <w:pPr>
              <w:pStyle w:val="TableTextCenteredDemi"/>
              <w:rPr>
                <w:rFonts w:eastAsia="Times New Roman"/>
              </w:rPr>
            </w:pPr>
            <w:r w:rsidRPr="00900ADE">
              <w:rPr>
                <w:rFonts w:eastAsia="Times New Roman"/>
              </w:rPr>
              <w:t>7</w:t>
            </w:r>
          </w:p>
        </w:tc>
        <w:tc>
          <w:tcPr>
            <w:tcW w:w="694" w:type="dxa"/>
            <w:shd w:val="clear" w:color="auto" w:fill="D9E2F3" w:themeFill="accent5" w:themeFillTint="33"/>
            <w:vAlign w:val="center"/>
          </w:tcPr>
          <w:p w14:paraId="1F427B7C" w14:textId="77777777" w:rsidR="00840E7A" w:rsidRPr="00900ADE" w:rsidRDefault="00840E7A">
            <w:pPr>
              <w:pStyle w:val="TableTextCenteredDemi"/>
              <w:rPr>
                <w:rFonts w:eastAsia="Times New Roman"/>
              </w:rPr>
            </w:pPr>
            <w:r w:rsidRPr="00900ADE">
              <w:rPr>
                <w:rFonts w:eastAsia="Times New Roman"/>
              </w:rPr>
              <w:t>2</w:t>
            </w:r>
          </w:p>
        </w:tc>
        <w:tc>
          <w:tcPr>
            <w:tcW w:w="522" w:type="dxa"/>
            <w:shd w:val="clear" w:color="auto" w:fill="D9E2F3" w:themeFill="accent5" w:themeFillTint="33"/>
          </w:tcPr>
          <w:p w14:paraId="5487F8DF" w14:textId="77777777" w:rsidR="00840E7A" w:rsidRPr="00900ADE" w:rsidRDefault="00840E7A">
            <w:pPr>
              <w:pStyle w:val="TableTextCenteredDemi"/>
              <w:rPr>
                <w:rFonts w:eastAsia="Times New Roman"/>
              </w:rPr>
            </w:pPr>
            <w:r w:rsidRPr="00900ADE">
              <w:rPr>
                <w:rFonts w:eastAsia="Times New Roman"/>
              </w:rPr>
              <w:t>48</w:t>
            </w:r>
          </w:p>
        </w:tc>
        <w:tc>
          <w:tcPr>
            <w:tcW w:w="866" w:type="dxa"/>
            <w:shd w:val="clear" w:color="auto" w:fill="D9E2F3" w:themeFill="accent5" w:themeFillTint="33"/>
          </w:tcPr>
          <w:p w14:paraId="7F637606" w14:textId="77777777" w:rsidR="00840E7A" w:rsidRPr="00900ADE" w:rsidRDefault="00840E7A">
            <w:pPr>
              <w:pStyle w:val="TableTextCenteredDemi"/>
              <w:rPr>
                <w:rFonts w:eastAsia="Times New Roman"/>
              </w:rPr>
            </w:pPr>
            <w:r w:rsidRPr="00900ADE">
              <w:rPr>
                <w:rFonts w:eastAsia="Times New Roman"/>
              </w:rPr>
              <w:t>4.1</w:t>
            </w:r>
          </w:p>
        </w:tc>
      </w:tr>
      <w:tr w:rsidR="00840E7A" w:rsidRPr="00900ADE" w14:paraId="688A0E9D" w14:textId="77777777" w:rsidTr="004E0AC2">
        <w:tc>
          <w:tcPr>
            <w:tcW w:w="3096" w:type="dxa"/>
            <w:vAlign w:val="center"/>
          </w:tcPr>
          <w:p w14:paraId="7B766172" w14:textId="77777777" w:rsidR="00840E7A" w:rsidRPr="00900ADE" w:rsidRDefault="00840E7A">
            <w:pPr>
              <w:pStyle w:val="TableText"/>
              <w:ind w:left="204"/>
              <w:rPr>
                <w:b/>
                <w:bCs/>
              </w:rPr>
            </w:pPr>
            <w:r w:rsidRPr="00900ADE">
              <w:t>Positive Climate</w:t>
            </w:r>
          </w:p>
        </w:tc>
        <w:tc>
          <w:tcPr>
            <w:tcW w:w="703" w:type="dxa"/>
          </w:tcPr>
          <w:p w14:paraId="07855FBC" w14:textId="77777777" w:rsidR="00840E7A" w:rsidRPr="00900ADE" w:rsidRDefault="00840E7A">
            <w:pPr>
              <w:pStyle w:val="TableTextCentered"/>
              <w:rPr>
                <w:rFonts w:eastAsia="Times New Roman"/>
              </w:rPr>
            </w:pPr>
            <w:r w:rsidRPr="00900ADE">
              <w:rPr>
                <w:rFonts w:eastAsia="Times New Roman"/>
              </w:rPr>
              <w:t>1</w:t>
            </w:r>
          </w:p>
        </w:tc>
        <w:tc>
          <w:tcPr>
            <w:tcW w:w="666" w:type="dxa"/>
          </w:tcPr>
          <w:p w14:paraId="22B65297" w14:textId="77777777" w:rsidR="00840E7A" w:rsidRPr="00900ADE" w:rsidRDefault="00840E7A">
            <w:pPr>
              <w:pStyle w:val="TableTextCentered"/>
              <w:rPr>
                <w:rFonts w:eastAsia="Times New Roman"/>
              </w:rPr>
            </w:pPr>
            <w:r w:rsidRPr="00900ADE">
              <w:rPr>
                <w:rFonts w:eastAsia="Times New Roman"/>
              </w:rPr>
              <w:t>0</w:t>
            </w:r>
          </w:p>
        </w:tc>
        <w:tc>
          <w:tcPr>
            <w:tcW w:w="715" w:type="dxa"/>
          </w:tcPr>
          <w:p w14:paraId="478B3389" w14:textId="77777777" w:rsidR="00840E7A" w:rsidRPr="00900ADE" w:rsidRDefault="00840E7A">
            <w:pPr>
              <w:pStyle w:val="TableTextCentered"/>
              <w:rPr>
                <w:rFonts w:eastAsia="Times New Roman"/>
              </w:rPr>
            </w:pPr>
            <w:r w:rsidRPr="00900ADE">
              <w:rPr>
                <w:rFonts w:eastAsia="Times New Roman"/>
              </w:rPr>
              <w:t>2</w:t>
            </w:r>
          </w:p>
        </w:tc>
        <w:tc>
          <w:tcPr>
            <w:tcW w:w="694" w:type="dxa"/>
          </w:tcPr>
          <w:p w14:paraId="4244EFF4" w14:textId="77777777" w:rsidR="00840E7A" w:rsidRPr="00900ADE" w:rsidRDefault="00840E7A">
            <w:pPr>
              <w:pStyle w:val="TableTextCentered"/>
              <w:rPr>
                <w:rFonts w:eastAsia="Times New Roman"/>
              </w:rPr>
            </w:pPr>
            <w:r w:rsidRPr="00900ADE">
              <w:rPr>
                <w:rFonts w:eastAsia="Times New Roman"/>
              </w:rPr>
              <w:t>7</w:t>
            </w:r>
          </w:p>
        </w:tc>
        <w:tc>
          <w:tcPr>
            <w:tcW w:w="694" w:type="dxa"/>
          </w:tcPr>
          <w:p w14:paraId="69B62DAB" w14:textId="77777777" w:rsidR="00840E7A" w:rsidRPr="00900ADE" w:rsidRDefault="00840E7A">
            <w:pPr>
              <w:pStyle w:val="TableTextCentered"/>
              <w:rPr>
                <w:rFonts w:eastAsia="Times New Roman"/>
              </w:rPr>
            </w:pPr>
            <w:r w:rsidRPr="00900ADE">
              <w:rPr>
                <w:rFonts w:eastAsia="Times New Roman"/>
              </w:rPr>
              <w:t>3</w:t>
            </w:r>
          </w:p>
        </w:tc>
        <w:tc>
          <w:tcPr>
            <w:tcW w:w="694" w:type="dxa"/>
            <w:vAlign w:val="center"/>
          </w:tcPr>
          <w:p w14:paraId="0D02E4A6" w14:textId="77777777" w:rsidR="00840E7A" w:rsidRPr="00900ADE" w:rsidRDefault="00840E7A">
            <w:pPr>
              <w:pStyle w:val="TableTextCentered"/>
              <w:rPr>
                <w:rFonts w:eastAsia="Times New Roman"/>
              </w:rPr>
            </w:pPr>
            <w:r w:rsidRPr="00900ADE">
              <w:rPr>
                <w:rFonts w:eastAsia="Times New Roman"/>
              </w:rPr>
              <w:t>2</w:t>
            </w:r>
          </w:p>
        </w:tc>
        <w:tc>
          <w:tcPr>
            <w:tcW w:w="694" w:type="dxa"/>
            <w:vAlign w:val="center"/>
          </w:tcPr>
          <w:p w14:paraId="430A5A85" w14:textId="77777777" w:rsidR="00840E7A" w:rsidRPr="00900ADE" w:rsidRDefault="00840E7A">
            <w:pPr>
              <w:pStyle w:val="TableTextCentered"/>
              <w:rPr>
                <w:rFonts w:eastAsia="Times New Roman"/>
              </w:rPr>
            </w:pPr>
            <w:r w:rsidRPr="00900ADE">
              <w:rPr>
                <w:rFonts w:eastAsia="Times New Roman"/>
              </w:rPr>
              <w:t>1</w:t>
            </w:r>
          </w:p>
        </w:tc>
        <w:tc>
          <w:tcPr>
            <w:tcW w:w="522" w:type="dxa"/>
          </w:tcPr>
          <w:p w14:paraId="7F3F6C37" w14:textId="77777777" w:rsidR="00840E7A" w:rsidRPr="00900ADE" w:rsidRDefault="00840E7A">
            <w:pPr>
              <w:pStyle w:val="TableTextCentered"/>
              <w:rPr>
                <w:rFonts w:eastAsia="Times New Roman"/>
              </w:rPr>
            </w:pPr>
            <w:r w:rsidRPr="00900ADE">
              <w:rPr>
                <w:rFonts w:eastAsia="Times New Roman"/>
              </w:rPr>
              <w:t>16</w:t>
            </w:r>
          </w:p>
        </w:tc>
        <w:tc>
          <w:tcPr>
            <w:tcW w:w="866" w:type="dxa"/>
          </w:tcPr>
          <w:p w14:paraId="3F277A42" w14:textId="77777777" w:rsidR="00840E7A" w:rsidRPr="00900ADE" w:rsidRDefault="00840E7A">
            <w:pPr>
              <w:pStyle w:val="TableTextCentered"/>
              <w:rPr>
                <w:rFonts w:eastAsia="Times New Roman"/>
              </w:rPr>
            </w:pPr>
            <w:r w:rsidRPr="00900ADE">
              <w:rPr>
                <w:rFonts w:eastAsia="Times New Roman"/>
              </w:rPr>
              <w:t>4.3</w:t>
            </w:r>
          </w:p>
        </w:tc>
      </w:tr>
      <w:tr w:rsidR="004E0AC2" w:rsidRPr="00900ADE" w14:paraId="311D3A39" w14:textId="77777777" w:rsidTr="004E0AC2">
        <w:tc>
          <w:tcPr>
            <w:tcW w:w="3096" w:type="dxa"/>
            <w:vAlign w:val="center"/>
          </w:tcPr>
          <w:p w14:paraId="135F98AB" w14:textId="77777777" w:rsidR="00840E7A" w:rsidRPr="00900ADE" w:rsidRDefault="00840E7A">
            <w:pPr>
              <w:pStyle w:val="TableText"/>
              <w:ind w:left="204"/>
              <w:rPr>
                <w:b/>
                <w:bCs/>
              </w:rPr>
            </w:pPr>
            <w:r w:rsidRPr="00900ADE">
              <w:t>Teacher Sensitivity</w:t>
            </w:r>
          </w:p>
        </w:tc>
        <w:tc>
          <w:tcPr>
            <w:tcW w:w="703" w:type="dxa"/>
          </w:tcPr>
          <w:p w14:paraId="5570A6B8"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5DB8CF70" w14:textId="77777777" w:rsidR="00840E7A" w:rsidRPr="00900ADE" w:rsidRDefault="00840E7A">
            <w:pPr>
              <w:pStyle w:val="TableTextCentered"/>
              <w:rPr>
                <w:rFonts w:eastAsia="Times New Roman"/>
              </w:rPr>
            </w:pPr>
            <w:r w:rsidRPr="00900ADE">
              <w:rPr>
                <w:rFonts w:eastAsia="Times New Roman"/>
              </w:rPr>
              <w:t>1</w:t>
            </w:r>
          </w:p>
        </w:tc>
        <w:tc>
          <w:tcPr>
            <w:tcW w:w="715" w:type="dxa"/>
          </w:tcPr>
          <w:p w14:paraId="15FAD96D" w14:textId="77777777" w:rsidR="00840E7A" w:rsidRPr="00900ADE" w:rsidRDefault="00840E7A">
            <w:pPr>
              <w:pStyle w:val="TableTextCentered"/>
              <w:rPr>
                <w:rFonts w:eastAsia="Times New Roman"/>
              </w:rPr>
            </w:pPr>
            <w:r w:rsidRPr="00900ADE">
              <w:rPr>
                <w:rFonts w:eastAsia="Times New Roman"/>
              </w:rPr>
              <w:t>3</w:t>
            </w:r>
          </w:p>
        </w:tc>
        <w:tc>
          <w:tcPr>
            <w:tcW w:w="694" w:type="dxa"/>
          </w:tcPr>
          <w:p w14:paraId="5373E6FD" w14:textId="77777777" w:rsidR="00840E7A" w:rsidRPr="00900ADE" w:rsidRDefault="00840E7A">
            <w:pPr>
              <w:pStyle w:val="TableTextCentered"/>
              <w:rPr>
                <w:rFonts w:eastAsia="Times New Roman"/>
              </w:rPr>
            </w:pPr>
            <w:r w:rsidRPr="00900ADE">
              <w:rPr>
                <w:rFonts w:eastAsia="Times New Roman"/>
              </w:rPr>
              <w:t>2</w:t>
            </w:r>
          </w:p>
        </w:tc>
        <w:tc>
          <w:tcPr>
            <w:tcW w:w="694" w:type="dxa"/>
          </w:tcPr>
          <w:p w14:paraId="20716130" w14:textId="77777777" w:rsidR="00840E7A" w:rsidRPr="00900ADE" w:rsidRDefault="00840E7A">
            <w:pPr>
              <w:pStyle w:val="TableTextCentered"/>
              <w:rPr>
                <w:rFonts w:eastAsia="Times New Roman"/>
              </w:rPr>
            </w:pPr>
            <w:r w:rsidRPr="00900ADE">
              <w:rPr>
                <w:rFonts w:eastAsia="Times New Roman"/>
              </w:rPr>
              <w:t>4</w:t>
            </w:r>
          </w:p>
        </w:tc>
        <w:tc>
          <w:tcPr>
            <w:tcW w:w="694" w:type="dxa"/>
            <w:vAlign w:val="center"/>
          </w:tcPr>
          <w:p w14:paraId="38AA29C8" w14:textId="77777777" w:rsidR="00840E7A" w:rsidRPr="00900ADE" w:rsidRDefault="00840E7A">
            <w:pPr>
              <w:pStyle w:val="TableTextCentered"/>
              <w:rPr>
                <w:rFonts w:eastAsia="Times New Roman"/>
              </w:rPr>
            </w:pPr>
            <w:r w:rsidRPr="00900ADE">
              <w:rPr>
                <w:rFonts w:eastAsia="Times New Roman"/>
              </w:rPr>
              <w:t>5</w:t>
            </w:r>
          </w:p>
        </w:tc>
        <w:tc>
          <w:tcPr>
            <w:tcW w:w="694" w:type="dxa"/>
            <w:vAlign w:val="center"/>
          </w:tcPr>
          <w:p w14:paraId="7311B219" w14:textId="77777777" w:rsidR="00840E7A" w:rsidRPr="00900ADE" w:rsidRDefault="00840E7A">
            <w:pPr>
              <w:pStyle w:val="TableTextCentered"/>
              <w:rPr>
                <w:rFonts w:eastAsia="Times New Roman"/>
              </w:rPr>
            </w:pPr>
            <w:r w:rsidRPr="00900ADE">
              <w:rPr>
                <w:rFonts w:eastAsia="Times New Roman"/>
              </w:rPr>
              <w:t>1</w:t>
            </w:r>
          </w:p>
        </w:tc>
        <w:tc>
          <w:tcPr>
            <w:tcW w:w="522" w:type="dxa"/>
          </w:tcPr>
          <w:p w14:paraId="08EA5E20" w14:textId="77777777" w:rsidR="00840E7A" w:rsidRPr="00900ADE" w:rsidRDefault="00840E7A">
            <w:pPr>
              <w:pStyle w:val="TableTextCentered"/>
              <w:rPr>
                <w:rFonts w:eastAsia="Times New Roman"/>
              </w:rPr>
            </w:pPr>
            <w:r w:rsidRPr="00900ADE">
              <w:rPr>
                <w:rFonts w:eastAsia="Times New Roman"/>
              </w:rPr>
              <w:t>16</w:t>
            </w:r>
          </w:p>
        </w:tc>
        <w:tc>
          <w:tcPr>
            <w:tcW w:w="866" w:type="dxa"/>
          </w:tcPr>
          <w:p w14:paraId="22299A9D" w14:textId="77777777" w:rsidR="00840E7A" w:rsidRPr="00900ADE" w:rsidRDefault="00840E7A">
            <w:pPr>
              <w:pStyle w:val="TableTextCentered"/>
              <w:rPr>
                <w:rFonts w:eastAsia="Times New Roman"/>
              </w:rPr>
            </w:pPr>
            <w:r w:rsidRPr="00900ADE">
              <w:rPr>
                <w:rFonts w:eastAsia="Times New Roman"/>
              </w:rPr>
              <w:t>4.8</w:t>
            </w:r>
          </w:p>
        </w:tc>
      </w:tr>
      <w:tr w:rsidR="00840E7A" w:rsidRPr="00900ADE" w14:paraId="77B0AC57" w14:textId="77777777" w:rsidTr="004E0AC2">
        <w:tc>
          <w:tcPr>
            <w:tcW w:w="3096" w:type="dxa"/>
            <w:vAlign w:val="center"/>
          </w:tcPr>
          <w:p w14:paraId="494F7798" w14:textId="77777777" w:rsidR="00840E7A" w:rsidRPr="00900ADE" w:rsidRDefault="00840E7A">
            <w:pPr>
              <w:pStyle w:val="TableText"/>
              <w:ind w:left="204"/>
              <w:rPr>
                <w:b/>
                <w:bCs/>
              </w:rPr>
            </w:pPr>
            <w:r w:rsidRPr="00900ADE">
              <w:t>Regard for Student Perspectives</w:t>
            </w:r>
          </w:p>
        </w:tc>
        <w:tc>
          <w:tcPr>
            <w:tcW w:w="703" w:type="dxa"/>
          </w:tcPr>
          <w:p w14:paraId="08ABE8B9"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460BC744" w14:textId="77777777" w:rsidR="00840E7A" w:rsidRPr="00900ADE" w:rsidRDefault="00840E7A">
            <w:pPr>
              <w:pStyle w:val="TableTextCentered"/>
              <w:rPr>
                <w:rFonts w:eastAsia="Times New Roman"/>
              </w:rPr>
            </w:pPr>
            <w:r w:rsidRPr="00900ADE">
              <w:rPr>
                <w:rFonts w:eastAsia="Times New Roman"/>
              </w:rPr>
              <w:t>4</w:t>
            </w:r>
          </w:p>
        </w:tc>
        <w:tc>
          <w:tcPr>
            <w:tcW w:w="715" w:type="dxa"/>
          </w:tcPr>
          <w:p w14:paraId="4CE84F2C" w14:textId="77777777" w:rsidR="00840E7A" w:rsidRPr="00900ADE" w:rsidRDefault="00840E7A">
            <w:pPr>
              <w:pStyle w:val="TableTextCentered"/>
              <w:rPr>
                <w:rFonts w:eastAsia="Times New Roman"/>
              </w:rPr>
            </w:pPr>
            <w:r w:rsidRPr="00900ADE">
              <w:rPr>
                <w:rFonts w:eastAsia="Times New Roman"/>
              </w:rPr>
              <w:t>6</w:t>
            </w:r>
          </w:p>
        </w:tc>
        <w:tc>
          <w:tcPr>
            <w:tcW w:w="694" w:type="dxa"/>
          </w:tcPr>
          <w:p w14:paraId="0732322A" w14:textId="77777777" w:rsidR="00840E7A" w:rsidRPr="00900ADE" w:rsidRDefault="00840E7A">
            <w:pPr>
              <w:pStyle w:val="TableTextCentered"/>
              <w:rPr>
                <w:rFonts w:eastAsia="Times New Roman"/>
              </w:rPr>
            </w:pPr>
            <w:r w:rsidRPr="00900ADE">
              <w:rPr>
                <w:rFonts w:eastAsia="Times New Roman"/>
              </w:rPr>
              <w:t>4</w:t>
            </w:r>
          </w:p>
        </w:tc>
        <w:tc>
          <w:tcPr>
            <w:tcW w:w="694" w:type="dxa"/>
          </w:tcPr>
          <w:p w14:paraId="2BBB2D4E" w14:textId="77777777" w:rsidR="00840E7A" w:rsidRPr="00900ADE" w:rsidRDefault="00840E7A">
            <w:pPr>
              <w:pStyle w:val="TableTextCentered"/>
              <w:rPr>
                <w:rFonts w:eastAsia="Times New Roman"/>
              </w:rPr>
            </w:pPr>
            <w:r w:rsidRPr="00900ADE">
              <w:rPr>
                <w:rFonts w:eastAsia="Times New Roman"/>
              </w:rPr>
              <w:t>2</w:t>
            </w:r>
          </w:p>
        </w:tc>
        <w:tc>
          <w:tcPr>
            <w:tcW w:w="694" w:type="dxa"/>
            <w:vAlign w:val="center"/>
          </w:tcPr>
          <w:p w14:paraId="46C5DE14"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2FE58FD1"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14CB03A5" w14:textId="77777777" w:rsidR="00840E7A" w:rsidRPr="00900ADE" w:rsidRDefault="00840E7A">
            <w:pPr>
              <w:pStyle w:val="TableTextCentered"/>
              <w:rPr>
                <w:rFonts w:eastAsia="Times New Roman"/>
              </w:rPr>
            </w:pPr>
            <w:r w:rsidRPr="00900ADE">
              <w:rPr>
                <w:rFonts w:eastAsia="Times New Roman"/>
              </w:rPr>
              <w:t>16</w:t>
            </w:r>
          </w:p>
        </w:tc>
        <w:tc>
          <w:tcPr>
            <w:tcW w:w="866" w:type="dxa"/>
          </w:tcPr>
          <w:p w14:paraId="4B5785B1" w14:textId="77777777" w:rsidR="00840E7A" w:rsidRPr="00900ADE" w:rsidRDefault="00840E7A">
            <w:pPr>
              <w:pStyle w:val="TableTextCentered"/>
              <w:rPr>
                <w:rFonts w:eastAsia="Times New Roman"/>
              </w:rPr>
            </w:pPr>
            <w:r w:rsidRPr="00900ADE">
              <w:rPr>
                <w:rFonts w:eastAsia="Times New Roman"/>
              </w:rPr>
              <w:t>3.3</w:t>
            </w:r>
          </w:p>
        </w:tc>
      </w:tr>
      <w:tr w:rsidR="00840E7A" w:rsidRPr="00900ADE" w14:paraId="780BBE9A" w14:textId="77777777" w:rsidTr="004E0AC2">
        <w:tc>
          <w:tcPr>
            <w:tcW w:w="3096" w:type="dxa"/>
            <w:shd w:val="clear" w:color="auto" w:fill="D9E2F3" w:themeFill="accent5" w:themeFillTint="33"/>
            <w:vAlign w:val="center"/>
          </w:tcPr>
          <w:p w14:paraId="4FD08C07" w14:textId="77777777" w:rsidR="00840E7A" w:rsidRPr="00900ADE" w:rsidRDefault="00840E7A">
            <w:pPr>
              <w:pStyle w:val="TableSubheading"/>
              <w:rPr>
                <w:szCs w:val="20"/>
              </w:rPr>
            </w:pPr>
            <w:r w:rsidRPr="00900ADE">
              <w:t>Classroom Organization Domain</w:t>
            </w:r>
          </w:p>
        </w:tc>
        <w:tc>
          <w:tcPr>
            <w:tcW w:w="703" w:type="dxa"/>
            <w:shd w:val="clear" w:color="auto" w:fill="D9E2F3" w:themeFill="accent5" w:themeFillTint="33"/>
          </w:tcPr>
          <w:p w14:paraId="0E98BD4A" w14:textId="77777777" w:rsidR="00840E7A" w:rsidRPr="00900ADE" w:rsidRDefault="00840E7A">
            <w:pPr>
              <w:pStyle w:val="TableTextCenteredDemi"/>
              <w:rPr>
                <w:rFonts w:eastAsia="Times New Roman"/>
              </w:rPr>
            </w:pPr>
            <w:r w:rsidRPr="00900ADE">
              <w:rPr>
                <w:rFonts w:eastAsia="Times New Roman"/>
              </w:rPr>
              <w:t>0</w:t>
            </w:r>
          </w:p>
        </w:tc>
        <w:tc>
          <w:tcPr>
            <w:tcW w:w="666" w:type="dxa"/>
            <w:shd w:val="clear" w:color="auto" w:fill="D9E2F3" w:themeFill="accent5" w:themeFillTint="33"/>
          </w:tcPr>
          <w:p w14:paraId="14A28412" w14:textId="77777777" w:rsidR="00840E7A" w:rsidRPr="00900ADE" w:rsidRDefault="00840E7A">
            <w:pPr>
              <w:pStyle w:val="TableTextCenteredDemi"/>
              <w:rPr>
                <w:rFonts w:eastAsia="Times New Roman"/>
              </w:rPr>
            </w:pPr>
            <w:r w:rsidRPr="00900ADE">
              <w:rPr>
                <w:rFonts w:eastAsia="Times New Roman"/>
              </w:rPr>
              <w:t>1</w:t>
            </w:r>
          </w:p>
        </w:tc>
        <w:tc>
          <w:tcPr>
            <w:tcW w:w="715" w:type="dxa"/>
            <w:shd w:val="clear" w:color="auto" w:fill="D9E2F3" w:themeFill="accent5" w:themeFillTint="33"/>
          </w:tcPr>
          <w:p w14:paraId="39B16541" w14:textId="77777777" w:rsidR="00840E7A" w:rsidRPr="00900ADE" w:rsidRDefault="00840E7A">
            <w:pPr>
              <w:pStyle w:val="TableTextCenteredDemi"/>
              <w:rPr>
                <w:rFonts w:eastAsia="Times New Roman"/>
              </w:rPr>
            </w:pPr>
            <w:r w:rsidRPr="00900ADE">
              <w:rPr>
                <w:rFonts w:eastAsia="Times New Roman"/>
              </w:rPr>
              <w:t>1</w:t>
            </w:r>
          </w:p>
        </w:tc>
        <w:tc>
          <w:tcPr>
            <w:tcW w:w="694" w:type="dxa"/>
            <w:shd w:val="clear" w:color="auto" w:fill="D9E2F3" w:themeFill="accent5" w:themeFillTint="33"/>
          </w:tcPr>
          <w:p w14:paraId="658649B9" w14:textId="77777777" w:rsidR="00840E7A" w:rsidRPr="00900ADE" w:rsidRDefault="00840E7A">
            <w:pPr>
              <w:pStyle w:val="TableTextCenteredDemi"/>
              <w:rPr>
                <w:rFonts w:eastAsia="Times New Roman"/>
              </w:rPr>
            </w:pPr>
            <w:r w:rsidRPr="00900ADE">
              <w:rPr>
                <w:rFonts w:eastAsia="Times New Roman"/>
              </w:rPr>
              <w:t>1</w:t>
            </w:r>
          </w:p>
        </w:tc>
        <w:tc>
          <w:tcPr>
            <w:tcW w:w="694" w:type="dxa"/>
            <w:shd w:val="clear" w:color="auto" w:fill="D9E2F3" w:themeFill="accent5" w:themeFillTint="33"/>
          </w:tcPr>
          <w:p w14:paraId="6BC7399D" w14:textId="77777777" w:rsidR="00840E7A" w:rsidRPr="00900ADE" w:rsidRDefault="00840E7A">
            <w:pPr>
              <w:pStyle w:val="TableTextCenteredDemi"/>
              <w:rPr>
                <w:rFonts w:eastAsia="Times New Roman"/>
              </w:rPr>
            </w:pPr>
            <w:r w:rsidRPr="00900ADE">
              <w:rPr>
                <w:rFonts w:eastAsia="Times New Roman"/>
              </w:rPr>
              <w:t>1</w:t>
            </w:r>
          </w:p>
        </w:tc>
        <w:tc>
          <w:tcPr>
            <w:tcW w:w="694" w:type="dxa"/>
            <w:shd w:val="clear" w:color="auto" w:fill="D9E2F3" w:themeFill="accent5" w:themeFillTint="33"/>
            <w:vAlign w:val="center"/>
          </w:tcPr>
          <w:p w14:paraId="54FA1C18" w14:textId="77777777" w:rsidR="00840E7A" w:rsidRPr="00900ADE" w:rsidRDefault="00840E7A">
            <w:pPr>
              <w:pStyle w:val="TableTextCenteredDemi"/>
              <w:rPr>
                <w:rFonts w:eastAsia="Times New Roman"/>
              </w:rPr>
            </w:pPr>
            <w:r w:rsidRPr="00900ADE">
              <w:rPr>
                <w:rFonts w:eastAsia="Times New Roman"/>
              </w:rPr>
              <w:t>3</w:t>
            </w:r>
          </w:p>
        </w:tc>
        <w:tc>
          <w:tcPr>
            <w:tcW w:w="694" w:type="dxa"/>
            <w:shd w:val="clear" w:color="auto" w:fill="D9E2F3" w:themeFill="accent5" w:themeFillTint="33"/>
            <w:vAlign w:val="center"/>
          </w:tcPr>
          <w:p w14:paraId="1A149977" w14:textId="77777777" w:rsidR="00840E7A" w:rsidRPr="00900ADE" w:rsidRDefault="00840E7A">
            <w:pPr>
              <w:pStyle w:val="TableTextCenteredDemi"/>
              <w:rPr>
                <w:rFonts w:eastAsia="Times New Roman"/>
              </w:rPr>
            </w:pPr>
            <w:r w:rsidRPr="00900ADE">
              <w:rPr>
                <w:rFonts w:eastAsia="Times New Roman"/>
              </w:rPr>
              <w:t>41</w:t>
            </w:r>
          </w:p>
        </w:tc>
        <w:tc>
          <w:tcPr>
            <w:tcW w:w="522" w:type="dxa"/>
            <w:shd w:val="clear" w:color="auto" w:fill="D9E2F3" w:themeFill="accent5" w:themeFillTint="33"/>
          </w:tcPr>
          <w:p w14:paraId="23502E6B" w14:textId="77777777" w:rsidR="00840E7A" w:rsidRPr="00900ADE" w:rsidRDefault="00840E7A">
            <w:pPr>
              <w:pStyle w:val="TableTextCenteredDemi"/>
              <w:rPr>
                <w:rFonts w:eastAsia="Times New Roman"/>
              </w:rPr>
            </w:pPr>
            <w:r w:rsidRPr="00900ADE">
              <w:rPr>
                <w:rFonts w:eastAsia="Times New Roman"/>
              </w:rPr>
              <w:t>48</w:t>
            </w:r>
          </w:p>
        </w:tc>
        <w:tc>
          <w:tcPr>
            <w:tcW w:w="866" w:type="dxa"/>
            <w:shd w:val="clear" w:color="auto" w:fill="D9E2F3" w:themeFill="accent5" w:themeFillTint="33"/>
          </w:tcPr>
          <w:p w14:paraId="56117D96" w14:textId="77777777" w:rsidR="00840E7A" w:rsidRPr="00900ADE" w:rsidRDefault="00840E7A">
            <w:pPr>
              <w:pStyle w:val="TableTextCenteredDemi"/>
              <w:rPr>
                <w:rFonts w:eastAsia="Times New Roman"/>
              </w:rPr>
            </w:pPr>
            <w:r w:rsidRPr="00900ADE">
              <w:rPr>
                <w:rFonts w:eastAsia="Times New Roman"/>
              </w:rPr>
              <w:t>6.6</w:t>
            </w:r>
          </w:p>
        </w:tc>
      </w:tr>
      <w:tr w:rsidR="00840E7A" w:rsidRPr="00900ADE" w14:paraId="317E353A" w14:textId="77777777" w:rsidTr="004E0AC2">
        <w:tc>
          <w:tcPr>
            <w:tcW w:w="3096" w:type="dxa"/>
            <w:vAlign w:val="center"/>
          </w:tcPr>
          <w:p w14:paraId="759C1559" w14:textId="77777777" w:rsidR="00840E7A" w:rsidRPr="00900ADE" w:rsidRDefault="00840E7A">
            <w:pPr>
              <w:pStyle w:val="TableText"/>
              <w:ind w:left="204"/>
              <w:rPr>
                <w:b/>
                <w:bCs/>
              </w:rPr>
            </w:pPr>
            <w:r w:rsidRPr="00900ADE">
              <w:t>Behavior Management</w:t>
            </w:r>
          </w:p>
        </w:tc>
        <w:tc>
          <w:tcPr>
            <w:tcW w:w="703" w:type="dxa"/>
          </w:tcPr>
          <w:p w14:paraId="7FEBFDD3"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1B7589A8" w14:textId="77777777" w:rsidR="00840E7A" w:rsidRPr="00900ADE" w:rsidRDefault="00840E7A">
            <w:pPr>
              <w:pStyle w:val="TableTextCentered"/>
              <w:rPr>
                <w:rFonts w:eastAsia="Times New Roman"/>
              </w:rPr>
            </w:pPr>
            <w:r w:rsidRPr="00900ADE">
              <w:rPr>
                <w:rFonts w:eastAsia="Times New Roman"/>
              </w:rPr>
              <w:t>1</w:t>
            </w:r>
          </w:p>
        </w:tc>
        <w:tc>
          <w:tcPr>
            <w:tcW w:w="715" w:type="dxa"/>
          </w:tcPr>
          <w:p w14:paraId="072EAB35"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246AB412"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2C8AE9A3"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6831D68C"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5B00ABDF" w14:textId="77777777" w:rsidR="00840E7A" w:rsidRPr="00900ADE" w:rsidRDefault="00840E7A">
            <w:pPr>
              <w:pStyle w:val="TableTextCentered"/>
              <w:rPr>
                <w:rFonts w:eastAsia="Times New Roman"/>
              </w:rPr>
            </w:pPr>
            <w:r w:rsidRPr="00900ADE">
              <w:rPr>
                <w:rFonts w:eastAsia="Times New Roman"/>
              </w:rPr>
              <w:t>14</w:t>
            </w:r>
          </w:p>
        </w:tc>
        <w:tc>
          <w:tcPr>
            <w:tcW w:w="522" w:type="dxa"/>
          </w:tcPr>
          <w:p w14:paraId="43CE833F" w14:textId="77777777" w:rsidR="00840E7A" w:rsidRPr="00900ADE" w:rsidRDefault="00840E7A">
            <w:pPr>
              <w:pStyle w:val="TableTextCentered"/>
              <w:rPr>
                <w:rFonts w:eastAsia="Times New Roman"/>
              </w:rPr>
            </w:pPr>
            <w:r w:rsidRPr="00900ADE">
              <w:rPr>
                <w:rFonts w:eastAsia="Times New Roman"/>
              </w:rPr>
              <w:t>16</w:t>
            </w:r>
          </w:p>
        </w:tc>
        <w:tc>
          <w:tcPr>
            <w:tcW w:w="866" w:type="dxa"/>
          </w:tcPr>
          <w:p w14:paraId="648DDDAD" w14:textId="77777777" w:rsidR="00840E7A" w:rsidRPr="00900ADE" w:rsidRDefault="00840E7A">
            <w:pPr>
              <w:pStyle w:val="TableTextCentered"/>
              <w:rPr>
                <w:rFonts w:eastAsia="Times New Roman"/>
              </w:rPr>
            </w:pPr>
            <w:r w:rsidRPr="00900ADE">
              <w:rPr>
                <w:rFonts w:eastAsia="Times New Roman"/>
              </w:rPr>
              <w:t>6.5</w:t>
            </w:r>
          </w:p>
        </w:tc>
      </w:tr>
      <w:tr w:rsidR="004E0AC2" w:rsidRPr="00900ADE" w14:paraId="66DF8BE3" w14:textId="77777777" w:rsidTr="004E0AC2">
        <w:tc>
          <w:tcPr>
            <w:tcW w:w="3096" w:type="dxa"/>
            <w:vAlign w:val="center"/>
          </w:tcPr>
          <w:p w14:paraId="51CCC3D1" w14:textId="77777777" w:rsidR="00840E7A" w:rsidRPr="00900ADE" w:rsidRDefault="00840E7A">
            <w:pPr>
              <w:pStyle w:val="TableText"/>
              <w:ind w:left="204"/>
              <w:rPr>
                <w:b/>
                <w:bCs/>
              </w:rPr>
            </w:pPr>
            <w:r w:rsidRPr="00900ADE">
              <w:t>Productivity</w:t>
            </w:r>
          </w:p>
        </w:tc>
        <w:tc>
          <w:tcPr>
            <w:tcW w:w="703" w:type="dxa"/>
          </w:tcPr>
          <w:p w14:paraId="37810949"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6C4DFF9F" w14:textId="77777777" w:rsidR="00840E7A" w:rsidRPr="00900ADE" w:rsidRDefault="00840E7A">
            <w:pPr>
              <w:pStyle w:val="TableTextCentered"/>
              <w:rPr>
                <w:rFonts w:eastAsia="Times New Roman"/>
              </w:rPr>
            </w:pPr>
            <w:r w:rsidRPr="00900ADE">
              <w:rPr>
                <w:rFonts w:eastAsia="Times New Roman"/>
              </w:rPr>
              <w:t>0</w:t>
            </w:r>
          </w:p>
        </w:tc>
        <w:tc>
          <w:tcPr>
            <w:tcW w:w="715" w:type="dxa"/>
          </w:tcPr>
          <w:p w14:paraId="07546942"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4C56AB12"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33ED9DD1" w14:textId="77777777" w:rsidR="00840E7A" w:rsidRPr="00900ADE" w:rsidRDefault="00840E7A">
            <w:pPr>
              <w:pStyle w:val="TableTextCentered"/>
              <w:rPr>
                <w:rFonts w:eastAsia="Times New Roman"/>
              </w:rPr>
            </w:pPr>
            <w:r w:rsidRPr="00900ADE">
              <w:rPr>
                <w:rFonts w:eastAsia="Times New Roman"/>
              </w:rPr>
              <w:t>1</w:t>
            </w:r>
          </w:p>
        </w:tc>
        <w:tc>
          <w:tcPr>
            <w:tcW w:w="694" w:type="dxa"/>
            <w:vAlign w:val="center"/>
          </w:tcPr>
          <w:p w14:paraId="3DCC3152" w14:textId="77777777" w:rsidR="00840E7A" w:rsidRPr="00900ADE" w:rsidRDefault="00840E7A">
            <w:pPr>
              <w:pStyle w:val="TableTextCentered"/>
              <w:rPr>
                <w:rFonts w:eastAsia="Times New Roman"/>
              </w:rPr>
            </w:pPr>
            <w:r w:rsidRPr="00900ADE">
              <w:rPr>
                <w:rFonts w:eastAsia="Times New Roman"/>
              </w:rPr>
              <w:t>1</w:t>
            </w:r>
          </w:p>
        </w:tc>
        <w:tc>
          <w:tcPr>
            <w:tcW w:w="694" w:type="dxa"/>
            <w:vAlign w:val="center"/>
          </w:tcPr>
          <w:p w14:paraId="5D8CDAD3" w14:textId="77777777" w:rsidR="00840E7A" w:rsidRPr="00900ADE" w:rsidRDefault="00840E7A">
            <w:pPr>
              <w:pStyle w:val="TableTextCentered"/>
              <w:rPr>
                <w:rFonts w:eastAsia="Times New Roman"/>
              </w:rPr>
            </w:pPr>
            <w:r w:rsidRPr="00900ADE">
              <w:rPr>
                <w:rFonts w:eastAsia="Times New Roman"/>
              </w:rPr>
              <w:t>13</w:t>
            </w:r>
          </w:p>
        </w:tc>
        <w:tc>
          <w:tcPr>
            <w:tcW w:w="522" w:type="dxa"/>
          </w:tcPr>
          <w:p w14:paraId="7FB3A7CA" w14:textId="77777777" w:rsidR="00840E7A" w:rsidRPr="00900ADE" w:rsidRDefault="00840E7A">
            <w:pPr>
              <w:pStyle w:val="TableTextCentered"/>
              <w:rPr>
                <w:rFonts w:eastAsia="Times New Roman"/>
              </w:rPr>
            </w:pPr>
            <w:r w:rsidRPr="00900ADE">
              <w:rPr>
                <w:rFonts w:eastAsia="Times New Roman"/>
              </w:rPr>
              <w:t>16</w:t>
            </w:r>
          </w:p>
        </w:tc>
        <w:tc>
          <w:tcPr>
            <w:tcW w:w="866" w:type="dxa"/>
          </w:tcPr>
          <w:p w14:paraId="2A38FA1A" w14:textId="77777777" w:rsidR="00840E7A" w:rsidRPr="00900ADE" w:rsidRDefault="00840E7A">
            <w:pPr>
              <w:pStyle w:val="TableTextCentered"/>
              <w:rPr>
                <w:rFonts w:eastAsia="Times New Roman"/>
              </w:rPr>
            </w:pPr>
            <w:r w:rsidRPr="00900ADE">
              <w:rPr>
                <w:rFonts w:eastAsia="Times New Roman"/>
              </w:rPr>
              <w:t>6.6</w:t>
            </w:r>
          </w:p>
        </w:tc>
      </w:tr>
      <w:tr w:rsidR="00840E7A" w:rsidRPr="00900ADE" w14:paraId="7AA79B45" w14:textId="77777777" w:rsidTr="004E0AC2">
        <w:tc>
          <w:tcPr>
            <w:tcW w:w="3096" w:type="dxa"/>
            <w:vAlign w:val="center"/>
          </w:tcPr>
          <w:p w14:paraId="29067881" w14:textId="77777777" w:rsidR="00840E7A" w:rsidRPr="00900ADE" w:rsidRDefault="00840E7A">
            <w:pPr>
              <w:pStyle w:val="TableText"/>
              <w:ind w:left="204"/>
              <w:rPr>
                <w:b/>
                <w:bCs/>
              </w:rPr>
            </w:pPr>
            <w:r w:rsidRPr="00900ADE">
              <w:t>Negative Climate**</w:t>
            </w:r>
          </w:p>
        </w:tc>
        <w:tc>
          <w:tcPr>
            <w:tcW w:w="703" w:type="dxa"/>
          </w:tcPr>
          <w:p w14:paraId="7849BC0F"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3FC08B6D" w14:textId="77777777" w:rsidR="00840E7A" w:rsidRPr="00900ADE" w:rsidRDefault="00840E7A">
            <w:pPr>
              <w:pStyle w:val="TableTextCentered"/>
              <w:rPr>
                <w:rFonts w:eastAsia="Times New Roman"/>
              </w:rPr>
            </w:pPr>
            <w:r w:rsidRPr="00900ADE">
              <w:rPr>
                <w:rFonts w:eastAsia="Times New Roman"/>
              </w:rPr>
              <w:t>0</w:t>
            </w:r>
          </w:p>
        </w:tc>
        <w:tc>
          <w:tcPr>
            <w:tcW w:w="715" w:type="dxa"/>
          </w:tcPr>
          <w:p w14:paraId="58B1B7BA"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34E24053"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66CA7D40"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0133FCEF" w14:textId="77777777" w:rsidR="00840E7A" w:rsidRPr="00900ADE" w:rsidRDefault="00840E7A">
            <w:pPr>
              <w:pStyle w:val="TableTextCentered"/>
              <w:rPr>
                <w:rFonts w:eastAsia="Times New Roman"/>
              </w:rPr>
            </w:pPr>
            <w:r w:rsidRPr="00900ADE">
              <w:rPr>
                <w:rFonts w:eastAsia="Times New Roman"/>
              </w:rPr>
              <w:t>2</w:t>
            </w:r>
          </w:p>
        </w:tc>
        <w:tc>
          <w:tcPr>
            <w:tcW w:w="694" w:type="dxa"/>
            <w:vAlign w:val="center"/>
          </w:tcPr>
          <w:p w14:paraId="427B19E4" w14:textId="77777777" w:rsidR="00840E7A" w:rsidRPr="00900ADE" w:rsidRDefault="00840E7A">
            <w:pPr>
              <w:pStyle w:val="TableTextCentered"/>
              <w:rPr>
                <w:rFonts w:eastAsia="Times New Roman"/>
              </w:rPr>
            </w:pPr>
            <w:r w:rsidRPr="00900ADE">
              <w:rPr>
                <w:rFonts w:eastAsia="Times New Roman"/>
              </w:rPr>
              <w:t>14</w:t>
            </w:r>
          </w:p>
        </w:tc>
        <w:tc>
          <w:tcPr>
            <w:tcW w:w="522" w:type="dxa"/>
          </w:tcPr>
          <w:p w14:paraId="079D1B19" w14:textId="77777777" w:rsidR="00840E7A" w:rsidRPr="00900ADE" w:rsidRDefault="00840E7A">
            <w:pPr>
              <w:pStyle w:val="TableTextCentered"/>
              <w:rPr>
                <w:rFonts w:eastAsia="Times New Roman"/>
              </w:rPr>
            </w:pPr>
            <w:r w:rsidRPr="00900ADE">
              <w:rPr>
                <w:rFonts w:eastAsia="Times New Roman"/>
              </w:rPr>
              <w:t>16</w:t>
            </w:r>
          </w:p>
        </w:tc>
        <w:tc>
          <w:tcPr>
            <w:tcW w:w="866" w:type="dxa"/>
          </w:tcPr>
          <w:p w14:paraId="31252FCD" w14:textId="77777777" w:rsidR="00840E7A" w:rsidRPr="00900ADE" w:rsidRDefault="00840E7A">
            <w:pPr>
              <w:pStyle w:val="TableTextCentered"/>
              <w:rPr>
                <w:rFonts w:eastAsia="Times New Roman"/>
              </w:rPr>
            </w:pPr>
            <w:r w:rsidRPr="00900ADE">
              <w:rPr>
                <w:rFonts w:eastAsia="Times New Roman"/>
              </w:rPr>
              <w:t>6.9</w:t>
            </w:r>
          </w:p>
        </w:tc>
      </w:tr>
      <w:tr w:rsidR="00840E7A" w:rsidRPr="00900ADE" w14:paraId="6163376C" w14:textId="77777777" w:rsidTr="004E0AC2">
        <w:tc>
          <w:tcPr>
            <w:tcW w:w="3096" w:type="dxa"/>
            <w:shd w:val="clear" w:color="auto" w:fill="D9E2F3" w:themeFill="accent5" w:themeFillTint="33"/>
            <w:vAlign w:val="center"/>
          </w:tcPr>
          <w:p w14:paraId="0AFC9111" w14:textId="77777777" w:rsidR="00840E7A" w:rsidRPr="00900ADE" w:rsidRDefault="00840E7A">
            <w:pPr>
              <w:pStyle w:val="TableSubheading"/>
              <w:rPr>
                <w:szCs w:val="20"/>
              </w:rPr>
            </w:pPr>
            <w:r w:rsidRPr="00900ADE">
              <w:t>Instructional Support Domain</w:t>
            </w:r>
          </w:p>
        </w:tc>
        <w:tc>
          <w:tcPr>
            <w:tcW w:w="703" w:type="dxa"/>
            <w:shd w:val="clear" w:color="auto" w:fill="D9E2F3" w:themeFill="accent5" w:themeFillTint="33"/>
          </w:tcPr>
          <w:p w14:paraId="1655FB57" w14:textId="77777777" w:rsidR="00840E7A" w:rsidRPr="00900ADE" w:rsidRDefault="00840E7A">
            <w:pPr>
              <w:pStyle w:val="TableTextCenteredDemi"/>
              <w:rPr>
                <w:rFonts w:eastAsia="Times New Roman"/>
              </w:rPr>
            </w:pPr>
            <w:r w:rsidRPr="00900ADE">
              <w:rPr>
                <w:rFonts w:eastAsia="Times New Roman"/>
              </w:rPr>
              <w:t>14</w:t>
            </w:r>
          </w:p>
        </w:tc>
        <w:tc>
          <w:tcPr>
            <w:tcW w:w="666" w:type="dxa"/>
            <w:shd w:val="clear" w:color="auto" w:fill="D9E2F3" w:themeFill="accent5" w:themeFillTint="33"/>
          </w:tcPr>
          <w:p w14:paraId="7B97FAFD" w14:textId="77777777" w:rsidR="00840E7A" w:rsidRPr="00900ADE" w:rsidRDefault="00840E7A">
            <w:pPr>
              <w:pStyle w:val="TableTextCenteredDemi"/>
              <w:rPr>
                <w:rFonts w:eastAsia="Times New Roman"/>
              </w:rPr>
            </w:pPr>
            <w:r w:rsidRPr="00900ADE">
              <w:rPr>
                <w:rFonts w:eastAsia="Times New Roman"/>
              </w:rPr>
              <w:t>14</w:t>
            </w:r>
          </w:p>
        </w:tc>
        <w:tc>
          <w:tcPr>
            <w:tcW w:w="715" w:type="dxa"/>
            <w:shd w:val="clear" w:color="auto" w:fill="D9E2F3" w:themeFill="accent5" w:themeFillTint="33"/>
          </w:tcPr>
          <w:p w14:paraId="1084B991" w14:textId="77777777" w:rsidR="00840E7A" w:rsidRPr="00900ADE" w:rsidRDefault="00840E7A">
            <w:pPr>
              <w:pStyle w:val="TableTextCenteredDemi"/>
              <w:rPr>
                <w:rFonts w:eastAsia="Times New Roman"/>
              </w:rPr>
            </w:pPr>
            <w:r w:rsidRPr="00900ADE">
              <w:rPr>
                <w:rFonts w:eastAsia="Times New Roman"/>
              </w:rPr>
              <w:t>23</w:t>
            </w:r>
          </w:p>
        </w:tc>
        <w:tc>
          <w:tcPr>
            <w:tcW w:w="694" w:type="dxa"/>
            <w:shd w:val="clear" w:color="auto" w:fill="D9E2F3" w:themeFill="accent5" w:themeFillTint="33"/>
          </w:tcPr>
          <w:p w14:paraId="4ECFBAAE" w14:textId="77777777" w:rsidR="00840E7A" w:rsidRPr="00900ADE" w:rsidRDefault="00840E7A">
            <w:pPr>
              <w:pStyle w:val="TableTextCenteredDemi"/>
              <w:rPr>
                <w:rFonts w:eastAsia="Times New Roman"/>
              </w:rPr>
            </w:pPr>
            <w:r w:rsidRPr="00900ADE">
              <w:rPr>
                <w:rFonts w:eastAsia="Times New Roman"/>
              </w:rPr>
              <w:t>13</w:t>
            </w:r>
          </w:p>
        </w:tc>
        <w:tc>
          <w:tcPr>
            <w:tcW w:w="694" w:type="dxa"/>
            <w:shd w:val="clear" w:color="auto" w:fill="D9E2F3" w:themeFill="accent5" w:themeFillTint="33"/>
          </w:tcPr>
          <w:p w14:paraId="1239783C" w14:textId="77777777" w:rsidR="00840E7A" w:rsidRPr="00900ADE" w:rsidRDefault="00840E7A">
            <w:pPr>
              <w:pStyle w:val="TableTextCenteredDemi"/>
              <w:rPr>
                <w:rFonts w:eastAsia="Times New Roman"/>
              </w:rPr>
            </w:pPr>
            <w:r w:rsidRPr="00900ADE">
              <w:rPr>
                <w:rFonts w:eastAsia="Times New Roman"/>
              </w:rPr>
              <w:t>10</w:t>
            </w:r>
          </w:p>
        </w:tc>
        <w:tc>
          <w:tcPr>
            <w:tcW w:w="694" w:type="dxa"/>
            <w:shd w:val="clear" w:color="auto" w:fill="D9E2F3" w:themeFill="accent5" w:themeFillTint="33"/>
            <w:vAlign w:val="center"/>
          </w:tcPr>
          <w:p w14:paraId="41C6532A" w14:textId="77777777" w:rsidR="00840E7A" w:rsidRPr="00900ADE" w:rsidRDefault="00840E7A">
            <w:pPr>
              <w:pStyle w:val="TableTextCenteredDemi"/>
              <w:rPr>
                <w:rFonts w:eastAsia="Times New Roman"/>
              </w:rPr>
            </w:pPr>
            <w:r w:rsidRPr="00900ADE">
              <w:rPr>
                <w:rFonts w:eastAsia="Times New Roman"/>
              </w:rPr>
              <w:t>6</w:t>
            </w:r>
          </w:p>
        </w:tc>
        <w:tc>
          <w:tcPr>
            <w:tcW w:w="694" w:type="dxa"/>
            <w:shd w:val="clear" w:color="auto" w:fill="D9E2F3" w:themeFill="accent5" w:themeFillTint="33"/>
            <w:vAlign w:val="center"/>
          </w:tcPr>
          <w:p w14:paraId="70714307" w14:textId="77777777" w:rsidR="00840E7A" w:rsidRPr="00900ADE" w:rsidRDefault="00840E7A">
            <w:pPr>
              <w:pStyle w:val="TableTextCenteredDemi"/>
              <w:rPr>
                <w:rFonts w:eastAsia="Times New Roman"/>
              </w:rPr>
            </w:pPr>
            <w:r w:rsidRPr="00900ADE">
              <w:rPr>
                <w:rFonts w:eastAsia="Times New Roman"/>
              </w:rPr>
              <w:t>0</w:t>
            </w:r>
          </w:p>
        </w:tc>
        <w:tc>
          <w:tcPr>
            <w:tcW w:w="522" w:type="dxa"/>
            <w:shd w:val="clear" w:color="auto" w:fill="D9E2F3" w:themeFill="accent5" w:themeFillTint="33"/>
          </w:tcPr>
          <w:p w14:paraId="44255C67" w14:textId="77777777" w:rsidR="00840E7A" w:rsidRPr="00900ADE" w:rsidRDefault="00840E7A">
            <w:pPr>
              <w:pStyle w:val="TableTextCenteredDemi"/>
              <w:rPr>
                <w:rFonts w:eastAsia="Times New Roman"/>
              </w:rPr>
            </w:pPr>
            <w:r w:rsidRPr="00900ADE">
              <w:rPr>
                <w:rFonts w:eastAsia="Times New Roman"/>
              </w:rPr>
              <w:t>80</w:t>
            </w:r>
          </w:p>
        </w:tc>
        <w:tc>
          <w:tcPr>
            <w:tcW w:w="866" w:type="dxa"/>
            <w:shd w:val="clear" w:color="auto" w:fill="D9E2F3" w:themeFill="accent5" w:themeFillTint="33"/>
          </w:tcPr>
          <w:p w14:paraId="6856B4CE" w14:textId="77777777" w:rsidR="00840E7A" w:rsidRPr="00900ADE" w:rsidRDefault="00840E7A">
            <w:pPr>
              <w:pStyle w:val="TableTextCenteredDemi"/>
              <w:rPr>
                <w:rFonts w:eastAsia="Times New Roman"/>
              </w:rPr>
            </w:pPr>
            <w:r w:rsidRPr="00900ADE">
              <w:rPr>
                <w:rFonts w:eastAsia="Times New Roman"/>
              </w:rPr>
              <w:t>3.1</w:t>
            </w:r>
          </w:p>
        </w:tc>
      </w:tr>
      <w:tr w:rsidR="00840E7A" w:rsidRPr="00900ADE" w14:paraId="1B69A59F" w14:textId="77777777" w:rsidTr="004E0AC2">
        <w:tc>
          <w:tcPr>
            <w:tcW w:w="3096" w:type="dxa"/>
            <w:vAlign w:val="center"/>
          </w:tcPr>
          <w:p w14:paraId="36521C5A" w14:textId="77777777" w:rsidR="00840E7A" w:rsidRPr="00900ADE" w:rsidRDefault="00840E7A">
            <w:pPr>
              <w:pStyle w:val="TableText"/>
              <w:ind w:left="204"/>
              <w:rPr>
                <w:b/>
                <w:bCs/>
              </w:rPr>
            </w:pPr>
            <w:r w:rsidRPr="00900ADE">
              <w:t>Instructional Learning Formats</w:t>
            </w:r>
          </w:p>
        </w:tc>
        <w:tc>
          <w:tcPr>
            <w:tcW w:w="703" w:type="dxa"/>
          </w:tcPr>
          <w:p w14:paraId="071674AD"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0386CB5F" w14:textId="77777777" w:rsidR="00840E7A" w:rsidRPr="00900ADE" w:rsidRDefault="00840E7A">
            <w:pPr>
              <w:pStyle w:val="TableTextCentered"/>
              <w:rPr>
                <w:rFonts w:eastAsia="Times New Roman"/>
              </w:rPr>
            </w:pPr>
            <w:r w:rsidRPr="00900ADE">
              <w:rPr>
                <w:rFonts w:eastAsia="Times New Roman"/>
              </w:rPr>
              <w:t>1</w:t>
            </w:r>
          </w:p>
        </w:tc>
        <w:tc>
          <w:tcPr>
            <w:tcW w:w="715" w:type="dxa"/>
          </w:tcPr>
          <w:p w14:paraId="6534A9AA"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305DDAC4" w14:textId="77777777" w:rsidR="00840E7A" w:rsidRPr="00900ADE" w:rsidRDefault="00840E7A">
            <w:pPr>
              <w:pStyle w:val="TableTextCentered"/>
              <w:rPr>
                <w:rFonts w:eastAsia="Times New Roman"/>
              </w:rPr>
            </w:pPr>
            <w:r w:rsidRPr="00900ADE">
              <w:rPr>
                <w:rFonts w:eastAsia="Times New Roman"/>
              </w:rPr>
              <w:t>3</w:t>
            </w:r>
          </w:p>
        </w:tc>
        <w:tc>
          <w:tcPr>
            <w:tcW w:w="694" w:type="dxa"/>
          </w:tcPr>
          <w:p w14:paraId="1B9E5C49" w14:textId="77777777" w:rsidR="00840E7A" w:rsidRPr="00900ADE" w:rsidRDefault="00840E7A">
            <w:pPr>
              <w:pStyle w:val="TableTextCentered"/>
              <w:rPr>
                <w:rFonts w:eastAsia="Times New Roman"/>
              </w:rPr>
            </w:pPr>
            <w:r w:rsidRPr="00900ADE">
              <w:rPr>
                <w:rFonts w:eastAsia="Times New Roman"/>
              </w:rPr>
              <w:t>6</w:t>
            </w:r>
          </w:p>
        </w:tc>
        <w:tc>
          <w:tcPr>
            <w:tcW w:w="694" w:type="dxa"/>
            <w:vAlign w:val="center"/>
          </w:tcPr>
          <w:p w14:paraId="25471026" w14:textId="77777777" w:rsidR="00840E7A" w:rsidRPr="00900ADE" w:rsidRDefault="00840E7A">
            <w:pPr>
              <w:pStyle w:val="TableTextCentered"/>
              <w:rPr>
                <w:rFonts w:eastAsia="Times New Roman"/>
              </w:rPr>
            </w:pPr>
            <w:r w:rsidRPr="00900ADE">
              <w:rPr>
                <w:rFonts w:eastAsia="Times New Roman"/>
              </w:rPr>
              <w:t>5</w:t>
            </w:r>
          </w:p>
        </w:tc>
        <w:tc>
          <w:tcPr>
            <w:tcW w:w="694" w:type="dxa"/>
            <w:vAlign w:val="center"/>
          </w:tcPr>
          <w:p w14:paraId="32433B0D"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583D32DE" w14:textId="77777777" w:rsidR="00840E7A" w:rsidRPr="00900ADE" w:rsidRDefault="00840E7A">
            <w:pPr>
              <w:pStyle w:val="TableTextCentered"/>
              <w:rPr>
                <w:rFonts w:eastAsia="Times New Roman"/>
              </w:rPr>
            </w:pPr>
            <w:r w:rsidRPr="00900ADE">
              <w:rPr>
                <w:rFonts w:eastAsia="Times New Roman"/>
              </w:rPr>
              <w:t>16</w:t>
            </w:r>
          </w:p>
        </w:tc>
        <w:tc>
          <w:tcPr>
            <w:tcW w:w="866" w:type="dxa"/>
          </w:tcPr>
          <w:p w14:paraId="3ED563FD" w14:textId="77777777" w:rsidR="00840E7A" w:rsidRPr="00900ADE" w:rsidRDefault="00840E7A">
            <w:pPr>
              <w:pStyle w:val="TableTextCentered"/>
              <w:rPr>
                <w:rFonts w:eastAsia="Times New Roman"/>
              </w:rPr>
            </w:pPr>
            <w:r w:rsidRPr="00900ADE">
              <w:rPr>
                <w:rFonts w:eastAsia="Times New Roman"/>
              </w:rPr>
              <w:t>4.8</w:t>
            </w:r>
          </w:p>
        </w:tc>
      </w:tr>
      <w:tr w:rsidR="004E0AC2" w:rsidRPr="00900ADE" w14:paraId="4060FDA2" w14:textId="77777777" w:rsidTr="004E0AC2">
        <w:tc>
          <w:tcPr>
            <w:tcW w:w="3096" w:type="dxa"/>
            <w:vAlign w:val="center"/>
          </w:tcPr>
          <w:p w14:paraId="3F038DE4" w14:textId="77777777" w:rsidR="00840E7A" w:rsidRPr="00900ADE" w:rsidRDefault="00840E7A">
            <w:pPr>
              <w:pStyle w:val="TableText"/>
              <w:ind w:left="204"/>
              <w:rPr>
                <w:b/>
                <w:bCs/>
              </w:rPr>
            </w:pPr>
            <w:r w:rsidRPr="00900ADE">
              <w:t>Content Understanding</w:t>
            </w:r>
          </w:p>
        </w:tc>
        <w:tc>
          <w:tcPr>
            <w:tcW w:w="703" w:type="dxa"/>
          </w:tcPr>
          <w:p w14:paraId="06674876"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4353882C" w14:textId="77777777" w:rsidR="00840E7A" w:rsidRPr="00900ADE" w:rsidRDefault="00840E7A">
            <w:pPr>
              <w:pStyle w:val="TableTextCentered"/>
              <w:rPr>
                <w:rFonts w:eastAsia="Times New Roman"/>
              </w:rPr>
            </w:pPr>
            <w:r w:rsidRPr="00900ADE">
              <w:rPr>
                <w:rFonts w:eastAsia="Times New Roman"/>
              </w:rPr>
              <w:t>1</w:t>
            </w:r>
          </w:p>
        </w:tc>
        <w:tc>
          <w:tcPr>
            <w:tcW w:w="715" w:type="dxa"/>
          </w:tcPr>
          <w:p w14:paraId="769BC763" w14:textId="77777777" w:rsidR="00840E7A" w:rsidRPr="00900ADE" w:rsidRDefault="00840E7A">
            <w:pPr>
              <w:pStyle w:val="TableTextCentered"/>
              <w:rPr>
                <w:rFonts w:eastAsia="Times New Roman"/>
              </w:rPr>
            </w:pPr>
            <w:r w:rsidRPr="00900ADE">
              <w:rPr>
                <w:rFonts w:eastAsia="Times New Roman"/>
              </w:rPr>
              <w:t>6</w:t>
            </w:r>
          </w:p>
        </w:tc>
        <w:tc>
          <w:tcPr>
            <w:tcW w:w="694" w:type="dxa"/>
          </w:tcPr>
          <w:p w14:paraId="513D2523" w14:textId="77777777" w:rsidR="00840E7A" w:rsidRPr="00900ADE" w:rsidRDefault="00840E7A">
            <w:pPr>
              <w:pStyle w:val="TableTextCentered"/>
              <w:rPr>
                <w:rFonts w:eastAsia="Times New Roman"/>
              </w:rPr>
            </w:pPr>
            <w:r w:rsidRPr="00900ADE">
              <w:rPr>
                <w:rFonts w:eastAsia="Times New Roman"/>
              </w:rPr>
              <w:t>6</w:t>
            </w:r>
          </w:p>
        </w:tc>
        <w:tc>
          <w:tcPr>
            <w:tcW w:w="694" w:type="dxa"/>
          </w:tcPr>
          <w:p w14:paraId="31C69971" w14:textId="77777777" w:rsidR="00840E7A" w:rsidRPr="00900ADE" w:rsidRDefault="00840E7A">
            <w:pPr>
              <w:pStyle w:val="TableTextCentered"/>
              <w:rPr>
                <w:rFonts w:eastAsia="Times New Roman"/>
              </w:rPr>
            </w:pPr>
            <w:r w:rsidRPr="00900ADE">
              <w:rPr>
                <w:rFonts w:eastAsia="Times New Roman"/>
              </w:rPr>
              <w:t>2</w:t>
            </w:r>
          </w:p>
        </w:tc>
        <w:tc>
          <w:tcPr>
            <w:tcW w:w="694" w:type="dxa"/>
            <w:vAlign w:val="center"/>
          </w:tcPr>
          <w:p w14:paraId="2AF942D8" w14:textId="77777777" w:rsidR="00840E7A" w:rsidRPr="00900ADE" w:rsidRDefault="00840E7A">
            <w:pPr>
              <w:pStyle w:val="TableTextCentered"/>
              <w:rPr>
                <w:rFonts w:eastAsia="Times New Roman"/>
              </w:rPr>
            </w:pPr>
            <w:r w:rsidRPr="00900ADE">
              <w:rPr>
                <w:rFonts w:eastAsia="Times New Roman"/>
              </w:rPr>
              <w:t>1</w:t>
            </w:r>
          </w:p>
        </w:tc>
        <w:tc>
          <w:tcPr>
            <w:tcW w:w="694" w:type="dxa"/>
            <w:vAlign w:val="center"/>
          </w:tcPr>
          <w:p w14:paraId="37861430"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2DC1465D" w14:textId="77777777" w:rsidR="00840E7A" w:rsidRPr="00900ADE" w:rsidRDefault="00840E7A">
            <w:pPr>
              <w:pStyle w:val="TableTextCentered"/>
              <w:rPr>
                <w:rFonts w:eastAsia="Times New Roman"/>
              </w:rPr>
            </w:pPr>
            <w:r w:rsidRPr="00900ADE">
              <w:rPr>
                <w:rFonts w:eastAsia="Times New Roman"/>
              </w:rPr>
              <w:t>16</w:t>
            </w:r>
          </w:p>
        </w:tc>
        <w:tc>
          <w:tcPr>
            <w:tcW w:w="866" w:type="dxa"/>
          </w:tcPr>
          <w:p w14:paraId="6AB517DA" w14:textId="77777777" w:rsidR="00840E7A" w:rsidRPr="00900ADE" w:rsidRDefault="00840E7A">
            <w:pPr>
              <w:pStyle w:val="TableTextCentered"/>
              <w:rPr>
                <w:rFonts w:eastAsia="Times New Roman"/>
              </w:rPr>
            </w:pPr>
            <w:r w:rsidRPr="00900ADE">
              <w:rPr>
                <w:rFonts w:eastAsia="Times New Roman"/>
              </w:rPr>
              <w:t>3.8</w:t>
            </w:r>
          </w:p>
        </w:tc>
      </w:tr>
      <w:tr w:rsidR="00840E7A" w:rsidRPr="00900ADE" w14:paraId="0C660849" w14:textId="77777777" w:rsidTr="004E0AC2">
        <w:tc>
          <w:tcPr>
            <w:tcW w:w="3096" w:type="dxa"/>
            <w:vAlign w:val="center"/>
          </w:tcPr>
          <w:p w14:paraId="63EEF7DB" w14:textId="77777777" w:rsidR="00840E7A" w:rsidRPr="00900ADE" w:rsidRDefault="00840E7A">
            <w:pPr>
              <w:pStyle w:val="TableText"/>
              <w:ind w:left="204"/>
              <w:rPr>
                <w:b/>
                <w:bCs/>
              </w:rPr>
            </w:pPr>
            <w:r w:rsidRPr="00900ADE">
              <w:t>Analysis and Inquiry</w:t>
            </w:r>
          </w:p>
        </w:tc>
        <w:tc>
          <w:tcPr>
            <w:tcW w:w="703" w:type="dxa"/>
          </w:tcPr>
          <w:p w14:paraId="61A77BC0" w14:textId="77777777" w:rsidR="00840E7A" w:rsidRPr="00900ADE" w:rsidRDefault="00840E7A">
            <w:pPr>
              <w:pStyle w:val="TableTextCentered"/>
              <w:rPr>
                <w:rFonts w:eastAsia="Times New Roman"/>
              </w:rPr>
            </w:pPr>
            <w:r w:rsidRPr="00900ADE">
              <w:rPr>
                <w:rFonts w:eastAsia="Times New Roman"/>
              </w:rPr>
              <w:t>8</w:t>
            </w:r>
          </w:p>
        </w:tc>
        <w:tc>
          <w:tcPr>
            <w:tcW w:w="666" w:type="dxa"/>
          </w:tcPr>
          <w:p w14:paraId="714363DE" w14:textId="77777777" w:rsidR="00840E7A" w:rsidRPr="00900ADE" w:rsidRDefault="00840E7A">
            <w:pPr>
              <w:pStyle w:val="TableTextCentered"/>
              <w:rPr>
                <w:rFonts w:eastAsia="Times New Roman"/>
              </w:rPr>
            </w:pPr>
            <w:r w:rsidRPr="00900ADE">
              <w:rPr>
                <w:rFonts w:eastAsia="Times New Roman"/>
              </w:rPr>
              <w:t>3</w:t>
            </w:r>
          </w:p>
        </w:tc>
        <w:tc>
          <w:tcPr>
            <w:tcW w:w="715" w:type="dxa"/>
          </w:tcPr>
          <w:p w14:paraId="415B23CD" w14:textId="77777777" w:rsidR="00840E7A" w:rsidRPr="00900ADE" w:rsidRDefault="00840E7A">
            <w:pPr>
              <w:pStyle w:val="TableTextCentered"/>
              <w:rPr>
                <w:rFonts w:eastAsia="Times New Roman"/>
              </w:rPr>
            </w:pPr>
            <w:r w:rsidRPr="00900ADE">
              <w:rPr>
                <w:rFonts w:eastAsia="Times New Roman"/>
              </w:rPr>
              <w:t>4</w:t>
            </w:r>
          </w:p>
        </w:tc>
        <w:tc>
          <w:tcPr>
            <w:tcW w:w="694" w:type="dxa"/>
          </w:tcPr>
          <w:p w14:paraId="60793587"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250775E1"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2A41F98E"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400F74A2"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2BFA3F99" w14:textId="77777777" w:rsidR="00840E7A" w:rsidRPr="00900ADE" w:rsidRDefault="00840E7A">
            <w:pPr>
              <w:pStyle w:val="TableTextCentered"/>
              <w:rPr>
                <w:rFonts w:eastAsia="Times New Roman"/>
              </w:rPr>
            </w:pPr>
            <w:r w:rsidRPr="00900ADE">
              <w:rPr>
                <w:rFonts w:eastAsia="Times New Roman"/>
              </w:rPr>
              <w:t>16</w:t>
            </w:r>
          </w:p>
        </w:tc>
        <w:tc>
          <w:tcPr>
            <w:tcW w:w="866" w:type="dxa"/>
          </w:tcPr>
          <w:p w14:paraId="3A6694C4" w14:textId="77777777" w:rsidR="00840E7A" w:rsidRPr="00900ADE" w:rsidRDefault="00840E7A">
            <w:pPr>
              <w:pStyle w:val="TableTextCentered"/>
              <w:rPr>
                <w:rFonts w:eastAsia="Times New Roman"/>
              </w:rPr>
            </w:pPr>
            <w:r w:rsidRPr="00900ADE">
              <w:rPr>
                <w:rFonts w:eastAsia="Times New Roman"/>
              </w:rPr>
              <w:t>1.9</w:t>
            </w:r>
          </w:p>
        </w:tc>
      </w:tr>
      <w:tr w:rsidR="004E0AC2" w:rsidRPr="00900ADE" w14:paraId="59B52DF3" w14:textId="77777777" w:rsidTr="004E0AC2">
        <w:tc>
          <w:tcPr>
            <w:tcW w:w="3096" w:type="dxa"/>
            <w:vAlign w:val="center"/>
          </w:tcPr>
          <w:p w14:paraId="41588D45" w14:textId="77777777" w:rsidR="00840E7A" w:rsidRPr="00900ADE" w:rsidRDefault="00840E7A">
            <w:pPr>
              <w:pStyle w:val="TableText"/>
              <w:ind w:left="204"/>
              <w:rPr>
                <w:b/>
                <w:bCs/>
              </w:rPr>
            </w:pPr>
            <w:r w:rsidRPr="00900ADE">
              <w:t>Quality of Feedback</w:t>
            </w:r>
          </w:p>
        </w:tc>
        <w:tc>
          <w:tcPr>
            <w:tcW w:w="703" w:type="dxa"/>
          </w:tcPr>
          <w:p w14:paraId="7D30651B" w14:textId="77777777" w:rsidR="00840E7A" w:rsidRPr="00900ADE" w:rsidRDefault="00840E7A">
            <w:pPr>
              <w:pStyle w:val="TableTextCentered"/>
              <w:rPr>
                <w:rFonts w:eastAsia="Times New Roman"/>
              </w:rPr>
            </w:pPr>
            <w:r w:rsidRPr="00900ADE">
              <w:rPr>
                <w:rFonts w:eastAsia="Times New Roman"/>
              </w:rPr>
              <w:t>3</w:t>
            </w:r>
          </w:p>
        </w:tc>
        <w:tc>
          <w:tcPr>
            <w:tcW w:w="666" w:type="dxa"/>
          </w:tcPr>
          <w:p w14:paraId="44A3C33B" w14:textId="77777777" w:rsidR="00840E7A" w:rsidRPr="00900ADE" w:rsidRDefault="00840E7A">
            <w:pPr>
              <w:pStyle w:val="TableTextCentered"/>
              <w:rPr>
                <w:rFonts w:eastAsia="Times New Roman"/>
              </w:rPr>
            </w:pPr>
            <w:r w:rsidRPr="00900ADE">
              <w:rPr>
                <w:rFonts w:eastAsia="Times New Roman"/>
              </w:rPr>
              <w:t>3</w:t>
            </w:r>
          </w:p>
        </w:tc>
        <w:tc>
          <w:tcPr>
            <w:tcW w:w="715" w:type="dxa"/>
          </w:tcPr>
          <w:p w14:paraId="5985832D" w14:textId="77777777" w:rsidR="00840E7A" w:rsidRPr="00900ADE" w:rsidRDefault="00840E7A">
            <w:pPr>
              <w:pStyle w:val="TableTextCentered"/>
              <w:rPr>
                <w:rFonts w:eastAsia="Times New Roman"/>
              </w:rPr>
            </w:pPr>
            <w:r w:rsidRPr="00900ADE">
              <w:rPr>
                <w:rFonts w:eastAsia="Times New Roman"/>
              </w:rPr>
              <w:t>7</w:t>
            </w:r>
          </w:p>
        </w:tc>
        <w:tc>
          <w:tcPr>
            <w:tcW w:w="694" w:type="dxa"/>
          </w:tcPr>
          <w:p w14:paraId="72063FE5" w14:textId="77777777" w:rsidR="00840E7A" w:rsidRPr="00900ADE" w:rsidRDefault="00840E7A">
            <w:pPr>
              <w:pStyle w:val="TableTextCentered"/>
              <w:rPr>
                <w:rFonts w:eastAsia="Times New Roman"/>
              </w:rPr>
            </w:pPr>
            <w:r w:rsidRPr="00900ADE">
              <w:rPr>
                <w:rFonts w:eastAsia="Times New Roman"/>
              </w:rPr>
              <w:t>2</w:t>
            </w:r>
          </w:p>
        </w:tc>
        <w:tc>
          <w:tcPr>
            <w:tcW w:w="694" w:type="dxa"/>
          </w:tcPr>
          <w:p w14:paraId="74CE1944" w14:textId="77777777" w:rsidR="00840E7A" w:rsidRPr="00900ADE" w:rsidRDefault="00840E7A">
            <w:pPr>
              <w:pStyle w:val="TableTextCentered"/>
              <w:rPr>
                <w:rFonts w:eastAsia="Times New Roman"/>
              </w:rPr>
            </w:pPr>
            <w:r w:rsidRPr="00900ADE">
              <w:rPr>
                <w:rFonts w:eastAsia="Times New Roman"/>
              </w:rPr>
              <w:t>1</w:t>
            </w:r>
          </w:p>
        </w:tc>
        <w:tc>
          <w:tcPr>
            <w:tcW w:w="694" w:type="dxa"/>
            <w:vAlign w:val="center"/>
          </w:tcPr>
          <w:p w14:paraId="21AC4742"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693664B3"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66C209EE" w14:textId="77777777" w:rsidR="00840E7A" w:rsidRPr="00900ADE" w:rsidRDefault="00840E7A">
            <w:pPr>
              <w:pStyle w:val="TableTextCentered"/>
              <w:rPr>
                <w:rFonts w:eastAsia="Times New Roman"/>
              </w:rPr>
            </w:pPr>
            <w:r w:rsidRPr="00900ADE">
              <w:rPr>
                <w:rFonts w:eastAsia="Times New Roman"/>
              </w:rPr>
              <w:t>16</w:t>
            </w:r>
          </w:p>
        </w:tc>
        <w:tc>
          <w:tcPr>
            <w:tcW w:w="866" w:type="dxa"/>
          </w:tcPr>
          <w:p w14:paraId="3D03E6AC" w14:textId="77777777" w:rsidR="00840E7A" w:rsidRPr="00900ADE" w:rsidRDefault="00840E7A">
            <w:pPr>
              <w:pStyle w:val="TableTextCentered"/>
              <w:rPr>
                <w:rFonts w:eastAsia="Times New Roman"/>
              </w:rPr>
            </w:pPr>
            <w:r w:rsidRPr="00900ADE">
              <w:rPr>
                <w:rFonts w:eastAsia="Times New Roman"/>
              </w:rPr>
              <w:t>2.7</w:t>
            </w:r>
          </w:p>
        </w:tc>
      </w:tr>
      <w:tr w:rsidR="00840E7A" w:rsidRPr="00900ADE" w14:paraId="10E3F7F7" w14:textId="77777777" w:rsidTr="004E0AC2">
        <w:tc>
          <w:tcPr>
            <w:tcW w:w="3096" w:type="dxa"/>
            <w:vAlign w:val="center"/>
          </w:tcPr>
          <w:p w14:paraId="16B09879" w14:textId="77777777" w:rsidR="00840E7A" w:rsidRPr="00900ADE" w:rsidRDefault="00840E7A">
            <w:pPr>
              <w:pStyle w:val="TableText"/>
              <w:ind w:left="204"/>
              <w:rPr>
                <w:b/>
                <w:bCs/>
              </w:rPr>
            </w:pPr>
            <w:r w:rsidRPr="00900ADE">
              <w:t>Instructional Dialogue</w:t>
            </w:r>
          </w:p>
        </w:tc>
        <w:tc>
          <w:tcPr>
            <w:tcW w:w="703" w:type="dxa"/>
          </w:tcPr>
          <w:p w14:paraId="0FD62197" w14:textId="77777777" w:rsidR="00840E7A" w:rsidRPr="00900ADE" w:rsidRDefault="00840E7A">
            <w:pPr>
              <w:pStyle w:val="TableTextCentered"/>
              <w:rPr>
                <w:rFonts w:eastAsia="Times New Roman"/>
              </w:rPr>
            </w:pPr>
            <w:r w:rsidRPr="00900ADE">
              <w:rPr>
                <w:rFonts w:eastAsia="Times New Roman"/>
              </w:rPr>
              <w:t>3</w:t>
            </w:r>
          </w:p>
        </w:tc>
        <w:tc>
          <w:tcPr>
            <w:tcW w:w="666" w:type="dxa"/>
          </w:tcPr>
          <w:p w14:paraId="24D36A36" w14:textId="77777777" w:rsidR="00840E7A" w:rsidRPr="00900ADE" w:rsidRDefault="00840E7A">
            <w:pPr>
              <w:pStyle w:val="TableTextCentered"/>
              <w:rPr>
                <w:rFonts w:eastAsia="Times New Roman"/>
              </w:rPr>
            </w:pPr>
            <w:r w:rsidRPr="00900ADE">
              <w:rPr>
                <w:rFonts w:eastAsia="Times New Roman"/>
              </w:rPr>
              <w:t>6</w:t>
            </w:r>
          </w:p>
        </w:tc>
        <w:tc>
          <w:tcPr>
            <w:tcW w:w="715" w:type="dxa"/>
          </w:tcPr>
          <w:p w14:paraId="5D9E509D" w14:textId="77777777" w:rsidR="00840E7A" w:rsidRPr="00900ADE" w:rsidRDefault="00840E7A">
            <w:pPr>
              <w:pStyle w:val="TableTextCentered"/>
              <w:rPr>
                <w:rFonts w:eastAsia="Times New Roman"/>
              </w:rPr>
            </w:pPr>
            <w:r w:rsidRPr="00900ADE">
              <w:rPr>
                <w:rFonts w:eastAsia="Times New Roman"/>
              </w:rPr>
              <w:t>5</w:t>
            </w:r>
          </w:p>
        </w:tc>
        <w:tc>
          <w:tcPr>
            <w:tcW w:w="694" w:type="dxa"/>
          </w:tcPr>
          <w:p w14:paraId="1D877D51"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71DF3D93" w14:textId="77777777" w:rsidR="00840E7A" w:rsidRPr="00900ADE" w:rsidRDefault="00840E7A">
            <w:pPr>
              <w:pStyle w:val="TableTextCentered"/>
              <w:rPr>
                <w:rFonts w:eastAsia="Times New Roman"/>
              </w:rPr>
            </w:pPr>
            <w:r w:rsidRPr="00900ADE">
              <w:rPr>
                <w:rFonts w:eastAsia="Times New Roman"/>
              </w:rPr>
              <w:t>1</w:t>
            </w:r>
          </w:p>
        </w:tc>
        <w:tc>
          <w:tcPr>
            <w:tcW w:w="694" w:type="dxa"/>
            <w:vAlign w:val="center"/>
          </w:tcPr>
          <w:p w14:paraId="1C4A369A"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661D71B5"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12A01CB3" w14:textId="77777777" w:rsidR="00840E7A" w:rsidRPr="00900ADE" w:rsidRDefault="00840E7A">
            <w:pPr>
              <w:pStyle w:val="TableTextCentered"/>
              <w:rPr>
                <w:rFonts w:eastAsia="Times New Roman"/>
              </w:rPr>
            </w:pPr>
            <w:r w:rsidRPr="00900ADE">
              <w:rPr>
                <w:rFonts w:eastAsia="Times New Roman"/>
              </w:rPr>
              <w:t>16</w:t>
            </w:r>
          </w:p>
        </w:tc>
        <w:tc>
          <w:tcPr>
            <w:tcW w:w="866" w:type="dxa"/>
          </w:tcPr>
          <w:p w14:paraId="2379C0BE" w14:textId="77777777" w:rsidR="00840E7A" w:rsidRPr="00900ADE" w:rsidRDefault="00840E7A">
            <w:pPr>
              <w:pStyle w:val="TableTextCentered"/>
              <w:rPr>
                <w:rFonts w:eastAsia="Times New Roman"/>
              </w:rPr>
            </w:pPr>
            <w:r w:rsidRPr="00900ADE">
              <w:rPr>
                <w:rFonts w:eastAsia="Times New Roman"/>
              </w:rPr>
              <w:t>2.4</w:t>
            </w:r>
          </w:p>
        </w:tc>
      </w:tr>
      <w:tr w:rsidR="00840E7A" w:rsidRPr="00900ADE" w14:paraId="10E9AB99" w14:textId="77777777" w:rsidTr="004E0AC2">
        <w:tc>
          <w:tcPr>
            <w:tcW w:w="3096" w:type="dxa"/>
            <w:shd w:val="clear" w:color="auto" w:fill="D9E2F3" w:themeFill="accent5" w:themeFillTint="33"/>
            <w:vAlign w:val="center"/>
          </w:tcPr>
          <w:p w14:paraId="14AC8863" w14:textId="77777777" w:rsidR="00840E7A" w:rsidRPr="00900ADE" w:rsidRDefault="00840E7A">
            <w:pPr>
              <w:pStyle w:val="TableSubheading"/>
            </w:pPr>
            <w:r w:rsidRPr="00900ADE">
              <w:t>Student Engagement</w:t>
            </w:r>
          </w:p>
        </w:tc>
        <w:tc>
          <w:tcPr>
            <w:tcW w:w="703" w:type="dxa"/>
            <w:shd w:val="clear" w:color="auto" w:fill="D9E2F3" w:themeFill="accent5" w:themeFillTint="33"/>
          </w:tcPr>
          <w:p w14:paraId="39F906A5" w14:textId="77777777" w:rsidR="00840E7A" w:rsidRPr="00900ADE" w:rsidRDefault="00840E7A">
            <w:pPr>
              <w:pStyle w:val="TableTextCenteredDemi"/>
              <w:rPr>
                <w:rFonts w:eastAsia="Times New Roman"/>
                <w:bCs/>
              </w:rPr>
            </w:pPr>
            <w:r w:rsidRPr="00900ADE">
              <w:rPr>
                <w:rFonts w:eastAsia="Times New Roman"/>
                <w:bCs/>
              </w:rPr>
              <w:t>1</w:t>
            </w:r>
          </w:p>
        </w:tc>
        <w:tc>
          <w:tcPr>
            <w:tcW w:w="666" w:type="dxa"/>
            <w:shd w:val="clear" w:color="auto" w:fill="D9E2F3" w:themeFill="accent5" w:themeFillTint="33"/>
          </w:tcPr>
          <w:p w14:paraId="2180C920" w14:textId="77777777" w:rsidR="00840E7A" w:rsidRPr="00900ADE" w:rsidRDefault="00840E7A">
            <w:pPr>
              <w:pStyle w:val="TableTextCenteredDemi"/>
              <w:rPr>
                <w:rFonts w:eastAsia="Times New Roman"/>
                <w:bCs/>
              </w:rPr>
            </w:pPr>
            <w:r w:rsidRPr="00900ADE">
              <w:rPr>
                <w:rFonts w:eastAsia="Times New Roman"/>
                <w:bCs/>
              </w:rPr>
              <w:t>0</w:t>
            </w:r>
          </w:p>
        </w:tc>
        <w:tc>
          <w:tcPr>
            <w:tcW w:w="715" w:type="dxa"/>
            <w:shd w:val="clear" w:color="auto" w:fill="D9E2F3" w:themeFill="accent5" w:themeFillTint="33"/>
          </w:tcPr>
          <w:p w14:paraId="64B09AA7" w14:textId="77777777" w:rsidR="00840E7A" w:rsidRPr="00900ADE" w:rsidRDefault="00840E7A">
            <w:pPr>
              <w:pStyle w:val="TableTextCenteredDemi"/>
              <w:rPr>
                <w:rFonts w:eastAsia="Times New Roman"/>
                <w:bCs/>
              </w:rPr>
            </w:pPr>
            <w:r w:rsidRPr="00900ADE">
              <w:rPr>
                <w:rFonts w:eastAsia="Times New Roman"/>
                <w:bCs/>
              </w:rPr>
              <w:t>1</w:t>
            </w:r>
          </w:p>
        </w:tc>
        <w:tc>
          <w:tcPr>
            <w:tcW w:w="694" w:type="dxa"/>
            <w:shd w:val="clear" w:color="auto" w:fill="D9E2F3" w:themeFill="accent5" w:themeFillTint="33"/>
          </w:tcPr>
          <w:p w14:paraId="6629E430" w14:textId="77777777" w:rsidR="00840E7A" w:rsidRPr="00900ADE" w:rsidRDefault="00840E7A">
            <w:pPr>
              <w:pStyle w:val="TableTextCenteredDemi"/>
              <w:rPr>
                <w:rFonts w:eastAsia="Times New Roman"/>
                <w:bCs/>
              </w:rPr>
            </w:pPr>
            <w:r w:rsidRPr="00900ADE">
              <w:rPr>
                <w:rFonts w:eastAsia="Times New Roman"/>
                <w:bCs/>
              </w:rPr>
              <w:t>5</w:t>
            </w:r>
          </w:p>
        </w:tc>
        <w:tc>
          <w:tcPr>
            <w:tcW w:w="694" w:type="dxa"/>
            <w:shd w:val="clear" w:color="auto" w:fill="D9E2F3" w:themeFill="accent5" w:themeFillTint="33"/>
          </w:tcPr>
          <w:p w14:paraId="7023F860" w14:textId="77777777" w:rsidR="00840E7A" w:rsidRPr="00900ADE" w:rsidRDefault="00840E7A">
            <w:pPr>
              <w:pStyle w:val="TableTextCenteredDemi"/>
              <w:rPr>
                <w:rFonts w:eastAsia="Times New Roman"/>
                <w:bCs/>
              </w:rPr>
            </w:pPr>
            <w:r w:rsidRPr="00900ADE">
              <w:rPr>
                <w:rFonts w:eastAsia="Times New Roman"/>
                <w:bCs/>
              </w:rPr>
              <w:t>4</w:t>
            </w:r>
          </w:p>
        </w:tc>
        <w:tc>
          <w:tcPr>
            <w:tcW w:w="694" w:type="dxa"/>
            <w:shd w:val="clear" w:color="auto" w:fill="D9E2F3" w:themeFill="accent5" w:themeFillTint="33"/>
            <w:vAlign w:val="center"/>
          </w:tcPr>
          <w:p w14:paraId="2EFC6D24" w14:textId="77777777" w:rsidR="00840E7A" w:rsidRPr="00900ADE" w:rsidRDefault="00840E7A">
            <w:pPr>
              <w:pStyle w:val="TableTextCenteredDemi"/>
              <w:rPr>
                <w:rFonts w:eastAsia="Times New Roman"/>
                <w:bCs/>
              </w:rPr>
            </w:pPr>
            <w:r w:rsidRPr="00900ADE">
              <w:rPr>
                <w:rFonts w:eastAsia="Times New Roman"/>
                <w:bCs/>
              </w:rPr>
              <w:t>4</w:t>
            </w:r>
          </w:p>
        </w:tc>
        <w:tc>
          <w:tcPr>
            <w:tcW w:w="694" w:type="dxa"/>
            <w:shd w:val="clear" w:color="auto" w:fill="D9E2F3" w:themeFill="accent5" w:themeFillTint="33"/>
            <w:vAlign w:val="center"/>
          </w:tcPr>
          <w:p w14:paraId="24F3D812" w14:textId="77777777" w:rsidR="00840E7A" w:rsidRPr="00900ADE" w:rsidRDefault="00840E7A">
            <w:pPr>
              <w:pStyle w:val="TableTextCenteredDemi"/>
              <w:rPr>
                <w:rFonts w:eastAsia="Times New Roman"/>
                <w:bCs/>
              </w:rPr>
            </w:pPr>
            <w:r w:rsidRPr="00900ADE">
              <w:rPr>
                <w:rFonts w:eastAsia="Times New Roman"/>
                <w:bCs/>
              </w:rPr>
              <w:t>1</w:t>
            </w:r>
          </w:p>
        </w:tc>
        <w:tc>
          <w:tcPr>
            <w:tcW w:w="522" w:type="dxa"/>
            <w:shd w:val="clear" w:color="auto" w:fill="D9E2F3" w:themeFill="accent5" w:themeFillTint="33"/>
          </w:tcPr>
          <w:p w14:paraId="39B4E3C9" w14:textId="77777777" w:rsidR="00840E7A" w:rsidRPr="00900ADE" w:rsidRDefault="00840E7A">
            <w:pPr>
              <w:pStyle w:val="TableTextCenteredDemi"/>
              <w:rPr>
                <w:rFonts w:eastAsia="Times New Roman"/>
                <w:bCs/>
              </w:rPr>
            </w:pPr>
            <w:r w:rsidRPr="00900ADE">
              <w:rPr>
                <w:rFonts w:eastAsia="Times New Roman"/>
                <w:bCs/>
              </w:rPr>
              <w:t>16</w:t>
            </w:r>
          </w:p>
        </w:tc>
        <w:tc>
          <w:tcPr>
            <w:tcW w:w="866" w:type="dxa"/>
            <w:shd w:val="clear" w:color="auto" w:fill="D9E2F3" w:themeFill="accent5" w:themeFillTint="33"/>
          </w:tcPr>
          <w:p w14:paraId="6B93672A" w14:textId="77777777" w:rsidR="00840E7A" w:rsidRPr="00900ADE" w:rsidRDefault="00840E7A">
            <w:pPr>
              <w:pStyle w:val="TableTextCenteredDemi"/>
              <w:rPr>
                <w:rFonts w:eastAsia="Times New Roman"/>
                <w:bCs/>
              </w:rPr>
            </w:pPr>
            <w:r w:rsidRPr="00900ADE">
              <w:rPr>
                <w:rFonts w:eastAsia="Times New Roman"/>
                <w:bCs/>
              </w:rPr>
              <w:t>4.7</w:t>
            </w:r>
          </w:p>
        </w:tc>
      </w:tr>
    </w:tbl>
    <w:p w14:paraId="6F68D170" w14:textId="77777777" w:rsidR="00840E7A" w:rsidRPr="00900ADE" w:rsidRDefault="00840E7A">
      <w:pPr>
        <w:pStyle w:val="TableNote"/>
        <w:rPr>
          <w:szCs w:val="20"/>
        </w:rPr>
      </w:pPr>
      <w:r w:rsidRPr="00900ADE">
        <w:t xml:space="preserve">*The district average is an average of the scores. For example, for Positive Climate, the district average is computed as: </w:t>
      </w:r>
      <w:bookmarkStart w:id="186" w:name="Middle_PC_Calc"/>
      <w:r w:rsidRPr="00900ADE">
        <w:rPr>
          <w:szCs w:val="20"/>
        </w:rPr>
        <w:t>([1 x 1] + [3 x 2] + [4 x 7] + [5 x 3] + [6 x 2] + [7 x 1]) ÷ 16 observations = 4.3</w:t>
      </w:r>
      <w:bookmarkEnd w:id="186"/>
    </w:p>
    <w:p w14:paraId="2337B31F" w14:textId="77777777" w:rsidR="00840E7A" w:rsidRPr="00900ADE" w:rsidRDefault="00840E7A">
      <w:pPr>
        <w:pStyle w:val="TableNote"/>
      </w:pPr>
      <w:r w:rsidRPr="00900ADE">
        <w:t xml:space="preserve">**Negative Climate is rated on an inverse scale. An original score of 1 is given a value of 7. The scoring in the table reflects the normalized adjustment: </w:t>
      </w:r>
      <w:bookmarkStart w:id="187" w:name="Middle_NC_Calc"/>
      <w:r w:rsidRPr="00900ADE">
        <w:t>([6 x 2] + [7 x 14]) ÷ 16 observations = 6.9</w:t>
      </w:r>
      <w:bookmarkEnd w:id="187"/>
    </w:p>
    <w:p w14:paraId="2ADF6270" w14:textId="77777777" w:rsidR="00840E7A" w:rsidRPr="00900ADE" w:rsidRDefault="00840E7A">
      <w:pPr>
        <w:spacing w:after="160" w:line="259" w:lineRule="auto"/>
        <w:rPr>
          <w:rFonts w:ascii="Times New Roman" w:eastAsia="MS Mincho" w:hAnsi="Times New Roman" w:cs="Times New Roman"/>
          <w:b/>
          <w:sz w:val="20"/>
        </w:rPr>
      </w:pPr>
      <w:r w:rsidRPr="00900ADE">
        <w:rPr>
          <w:rFonts w:ascii="Times New Roman" w:eastAsia="MS Mincho" w:hAnsi="Times New Roman" w:cs="Times New Roman"/>
          <w:b/>
          <w:sz w:val="20"/>
        </w:rPr>
        <w:br w:type="page"/>
      </w:r>
    </w:p>
    <w:p w14:paraId="56D022AD" w14:textId="77777777" w:rsidR="00840E7A" w:rsidRPr="00900ADE" w:rsidRDefault="00840E7A">
      <w:pPr>
        <w:pStyle w:val="Heading2-SIOR"/>
      </w:pPr>
      <w:bookmarkStart w:id="188" w:name="_Toc92194270"/>
      <w:r w:rsidRPr="00900ADE">
        <w:lastRenderedPageBreak/>
        <w:t xml:space="preserve">Summary of Average Ratings: </w:t>
      </w:r>
      <w:bookmarkEnd w:id="188"/>
      <w:r w:rsidRPr="00900ADE">
        <w:t>Grades 9–12</w:t>
      </w:r>
    </w:p>
    <w:p w14:paraId="09CF2556" w14:textId="77777777" w:rsidR="00840E7A" w:rsidRPr="00900ADE" w:rsidRDefault="00840E7A">
      <w:pPr>
        <w:pStyle w:val="TableTitle0"/>
      </w:pPr>
      <w:r w:rsidRPr="00900ADE">
        <w:t>Table 19. Summary Table of Average Ratings for Each Dimension in Grades 9–12</w:t>
      </w:r>
    </w:p>
    <w:tbl>
      <w:tblPr>
        <w:tblStyle w:val="MSVTable1"/>
        <w:tblW w:w="5000" w:type="pct"/>
        <w:tblLayout w:type="fixed"/>
        <w:tblLook w:val="06A0" w:firstRow="1" w:lastRow="0" w:firstColumn="1" w:lastColumn="0" w:noHBand="1" w:noVBand="1"/>
      </w:tblPr>
      <w:tblGrid>
        <w:gridCol w:w="3096"/>
        <w:gridCol w:w="694"/>
        <w:gridCol w:w="666"/>
        <w:gridCol w:w="724"/>
        <w:gridCol w:w="694"/>
        <w:gridCol w:w="694"/>
        <w:gridCol w:w="694"/>
        <w:gridCol w:w="694"/>
        <w:gridCol w:w="522"/>
        <w:gridCol w:w="866"/>
      </w:tblGrid>
      <w:tr w:rsidR="00840E7A" w:rsidRPr="00900ADE" w14:paraId="16A4C760" w14:textId="77777777" w:rsidTr="00284CD2">
        <w:trPr>
          <w:cnfStyle w:val="100000000000" w:firstRow="1" w:lastRow="0" w:firstColumn="0" w:lastColumn="0" w:oddVBand="0" w:evenVBand="0" w:oddHBand="0" w:evenHBand="0" w:firstRowFirstColumn="0" w:firstRowLastColumn="0" w:lastRowFirstColumn="0" w:lastRowLastColumn="0"/>
          <w:tblHeader/>
        </w:trPr>
        <w:tc>
          <w:tcPr>
            <w:tcW w:w="3096" w:type="dxa"/>
            <w:tcBorders>
              <w:bottom w:val="nil"/>
            </w:tcBorders>
          </w:tcPr>
          <w:p w14:paraId="6AD80997" w14:textId="77777777" w:rsidR="00840E7A" w:rsidRPr="00900ADE" w:rsidRDefault="00840E7A">
            <w:pPr>
              <w:pStyle w:val="TableColHeadingCenter"/>
              <w:rPr>
                <w:rFonts w:eastAsia="MS Mincho"/>
              </w:rPr>
            </w:pPr>
          </w:p>
        </w:tc>
        <w:tc>
          <w:tcPr>
            <w:tcW w:w="694" w:type="dxa"/>
            <w:vAlign w:val="center"/>
          </w:tcPr>
          <w:p w14:paraId="7CF4CC47" w14:textId="77777777" w:rsidR="00840E7A" w:rsidRPr="00900ADE" w:rsidRDefault="00840E7A">
            <w:pPr>
              <w:pStyle w:val="TableColHeadingCenter"/>
              <w:rPr>
                <w:rFonts w:eastAsia="MS Mincho"/>
                <w:spacing w:val="-4"/>
              </w:rPr>
            </w:pPr>
            <w:r w:rsidRPr="00900ADE">
              <w:rPr>
                <w:rFonts w:eastAsia="MS Mincho"/>
                <w:spacing w:val="-4"/>
              </w:rPr>
              <w:t>Low Range</w:t>
            </w:r>
          </w:p>
        </w:tc>
        <w:tc>
          <w:tcPr>
            <w:tcW w:w="666" w:type="dxa"/>
            <w:vAlign w:val="center"/>
          </w:tcPr>
          <w:p w14:paraId="564DCBAF" w14:textId="77777777" w:rsidR="00840E7A" w:rsidRPr="00900ADE" w:rsidRDefault="00840E7A">
            <w:pPr>
              <w:pStyle w:val="TableColHeadingCenter"/>
              <w:rPr>
                <w:rFonts w:eastAsia="MS Mincho"/>
                <w:spacing w:val="-4"/>
              </w:rPr>
            </w:pPr>
            <w:r w:rsidRPr="00900ADE">
              <w:rPr>
                <w:rFonts w:eastAsia="MS Mincho"/>
                <w:spacing w:val="-4"/>
              </w:rPr>
              <w:t>Low Range</w:t>
            </w:r>
          </w:p>
        </w:tc>
        <w:tc>
          <w:tcPr>
            <w:tcW w:w="724" w:type="dxa"/>
            <w:vAlign w:val="center"/>
          </w:tcPr>
          <w:p w14:paraId="018BD736" w14:textId="77777777" w:rsidR="00840E7A" w:rsidRPr="00900ADE" w:rsidRDefault="00840E7A">
            <w:pPr>
              <w:pStyle w:val="TableColHeadingCenter"/>
              <w:rPr>
                <w:rFonts w:eastAsia="MS Mincho"/>
                <w:spacing w:val="-4"/>
              </w:rPr>
            </w:pPr>
            <w:r w:rsidRPr="00900ADE">
              <w:rPr>
                <w:rFonts w:eastAsia="MS Mincho"/>
                <w:spacing w:val="-4"/>
              </w:rPr>
              <w:t>Middle Range</w:t>
            </w:r>
          </w:p>
        </w:tc>
        <w:tc>
          <w:tcPr>
            <w:tcW w:w="694" w:type="dxa"/>
            <w:vAlign w:val="center"/>
          </w:tcPr>
          <w:p w14:paraId="6CCBF5E6" w14:textId="77777777" w:rsidR="00840E7A" w:rsidRPr="00900ADE" w:rsidRDefault="00840E7A">
            <w:pPr>
              <w:pStyle w:val="TableColHeadingCenter"/>
              <w:rPr>
                <w:rFonts w:eastAsia="MS Mincho"/>
                <w:spacing w:val="-4"/>
              </w:rPr>
            </w:pPr>
            <w:r w:rsidRPr="00900ADE">
              <w:rPr>
                <w:rFonts w:eastAsia="MS Mincho"/>
                <w:spacing w:val="-4"/>
              </w:rPr>
              <w:t>Middle Range</w:t>
            </w:r>
          </w:p>
        </w:tc>
        <w:tc>
          <w:tcPr>
            <w:tcW w:w="694" w:type="dxa"/>
            <w:vAlign w:val="center"/>
          </w:tcPr>
          <w:p w14:paraId="67A57D1A" w14:textId="77777777" w:rsidR="00840E7A" w:rsidRPr="00900ADE" w:rsidRDefault="00840E7A">
            <w:pPr>
              <w:pStyle w:val="TableColHeadingCenter"/>
              <w:rPr>
                <w:rFonts w:eastAsia="MS Mincho"/>
                <w:spacing w:val="-4"/>
              </w:rPr>
            </w:pPr>
            <w:r w:rsidRPr="00900ADE">
              <w:rPr>
                <w:rFonts w:eastAsia="MS Mincho"/>
                <w:spacing w:val="-4"/>
              </w:rPr>
              <w:t>Middle Range</w:t>
            </w:r>
          </w:p>
        </w:tc>
        <w:tc>
          <w:tcPr>
            <w:tcW w:w="694" w:type="dxa"/>
            <w:vAlign w:val="center"/>
          </w:tcPr>
          <w:p w14:paraId="52BD4043" w14:textId="77777777" w:rsidR="00840E7A" w:rsidRPr="00900ADE" w:rsidRDefault="00840E7A">
            <w:pPr>
              <w:pStyle w:val="TableColHeadingCenter"/>
              <w:rPr>
                <w:rFonts w:eastAsia="MS Mincho"/>
                <w:spacing w:val="-4"/>
              </w:rPr>
            </w:pPr>
            <w:r w:rsidRPr="00900ADE">
              <w:rPr>
                <w:rFonts w:eastAsia="MS Mincho"/>
                <w:spacing w:val="-4"/>
              </w:rPr>
              <w:t>High Range</w:t>
            </w:r>
          </w:p>
        </w:tc>
        <w:tc>
          <w:tcPr>
            <w:tcW w:w="694" w:type="dxa"/>
            <w:vAlign w:val="center"/>
          </w:tcPr>
          <w:p w14:paraId="415720CF" w14:textId="77777777" w:rsidR="00840E7A" w:rsidRPr="00900ADE" w:rsidRDefault="00840E7A">
            <w:pPr>
              <w:pStyle w:val="TableColHeadingCenter"/>
              <w:rPr>
                <w:rFonts w:eastAsia="MS Mincho"/>
                <w:spacing w:val="-4"/>
              </w:rPr>
            </w:pPr>
            <w:r w:rsidRPr="00900ADE">
              <w:rPr>
                <w:rFonts w:eastAsia="MS Mincho"/>
                <w:spacing w:val="-4"/>
              </w:rPr>
              <w:t>High Range</w:t>
            </w:r>
          </w:p>
        </w:tc>
        <w:tc>
          <w:tcPr>
            <w:tcW w:w="522" w:type="dxa"/>
            <w:tcBorders>
              <w:bottom w:val="nil"/>
            </w:tcBorders>
            <w:vAlign w:val="center"/>
          </w:tcPr>
          <w:p w14:paraId="46927034" w14:textId="77777777" w:rsidR="00840E7A" w:rsidRPr="00900ADE" w:rsidRDefault="00840E7A">
            <w:pPr>
              <w:pStyle w:val="TableColHeadingCenter"/>
              <w:rPr>
                <w:rFonts w:eastAsia="MS Mincho"/>
              </w:rPr>
            </w:pPr>
            <w:r w:rsidRPr="00900ADE">
              <w:rPr>
                <w:rFonts w:eastAsia="MS Mincho"/>
              </w:rPr>
              <w:t>n</w:t>
            </w:r>
          </w:p>
        </w:tc>
        <w:tc>
          <w:tcPr>
            <w:tcW w:w="866" w:type="dxa"/>
            <w:tcBorders>
              <w:bottom w:val="nil"/>
            </w:tcBorders>
            <w:vAlign w:val="center"/>
          </w:tcPr>
          <w:p w14:paraId="7AE74DE8" w14:textId="77777777" w:rsidR="00840E7A" w:rsidRPr="00900ADE" w:rsidRDefault="00840E7A">
            <w:pPr>
              <w:pStyle w:val="TableColHeadingCenter"/>
              <w:rPr>
                <w:rFonts w:eastAsia="MS Mincho"/>
              </w:rPr>
            </w:pPr>
            <w:r w:rsidRPr="00900ADE">
              <w:rPr>
                <w:rFonts w:eastAsia="MS Mincho"/>
              </w:rPr>
              <w:t>Average Scores*</w:t>
            </w:r>
          </w:p>
        </w:tc>
      </w:tr>
      <w:tr w:rsidR="00840E7A" w:rsidRPr="00900ADE" w14:paraId="726E9FE5" w14:textId="77777777" w:rsidTr="00284CD2">
        <w:trPr>
          <w:cnfStyle w:val="100000000000" w:firstRow="1" w:lastRow="0" w:firstColumn="0" w:lastColumn="0" w:oddVBand="0" w:evenVBand="0" w:oddHBand="0" w:evenHBand="0" w:firstRowFirstColumn="0" w:firstRowLastColumn="0" w:lastRowFirstColumn="0" w:lastRowLastColumn="0"/>
          <w:tblHeader/>
        </w:trPr>
        <w:tc>
          <w:tcPr>
            <w:tcW w:w="3096" w:type="dxa"/>
            <w:tcBorders>
              <w:top w:val="nil"/>
            </w:tcBorders>
          </w:tcPr>
          <w:p w14:paraId="4A817EB9" w14:textId="77777777" w:rsidR="00840E7A" w:rsidRPr="00900ADE" w:rsidRDefault="00840E7A">
            <w:pPr>
              <w:pStyle w:val="TableColHeadingCenter"/>
              <w:rPr>
                <w:rFonts w:eastAsia="MS Mincho"/>
              </w:rPr>
            </w:pPr>
          </w:p>
        </w:tc>
        <w:tc>
          <w:tcPr>
            <w:tcW w:w="694" w:type="dxa"/>
            <w:vAlign w:val="center"/>
          </w:tcPr>
          <w:p w14:paraId="64E758AB" w14:textId="77777777" w:rsidR="00840E7A" w:rsidRPr="00900ADE" w:rsidRDefault="00840E7A">
            <w:pPr>
              <w:pStyle w:val="TableColHeadingCenter"/>
              <w:rPr>
                <w:rFonts w:eastAsia="MS Mincho"/>
              </w:rPr>
            </w:pPr>
            <w:r w:rsidRPr="00900ADE">
              <w:rPr>
                <w:rFonts w:eastAsia="MS Mincho"/>
              </w:rPr>
              <w:t>1</w:t>
            </w:r>
          </w:p>
        </w:tc>
        <w:tc>
          <w:tcPr>
            <w:tcW w:w="666" w:type="dxa"/>
            <w:vAlign w:val="center"/>
          </w:tcPr>
          <w:p w14:paraId="1A4193AE" w14:textId="77777777" w:rsidR="00840E7A" w:rsidRPr="00900ADE" w:rsidRDefault="00840E7A">
            <w:pPr>
              <w:pStyle w:val="TableColHeadingCenter"/>
              <w:rPr>
                <w:rFonts w:eastAsia="MS Mincho"/>
              </w:rPr>
            </w:pPr>
            <w:r w:rsidRPr="00900ADE">
              <w:rPr>
                <w:rFonts w:eastAsia="MS Mincho"/>
              </w:rPr>
              <w:t>2</w:t>
            </w:r>
          </w:p>
        </w:tc>
        <w:tc>
          <w:tcPr>
            <w:tcW w:w="724" w:type="dxa"/>
            <w:vAlign w:val="center"/>
          </w:tcPr>
          <w:p w14:paraId="60CB41D7" w14:textId="77777777" w:rsidR="00840E7A" w:rsidRPr="00900ADE" w:rsidRDefault="00840E7A">
            <w:pPr>
              <w:pStyle w:val="TableColHeadingCenter"/>
              <w:rPr>
                <w:rFonts w:eastAsia="MS Mincho"/>
              </w:rPr>
            </w:pPr>
            <w:r w:rsidRPr="00900ADE">
              <w:rPr>
                <w:rFonts w:eastAsia="MS Mincho"/>
              </w:rPr>
              <w:t>3</w:t>
            </w:r>
          </w:p>
        </w:tc>
        <w:tc>
          <w:tcPr>
            <w:tcW w:w="694" w:type="dxa"/>
            <w:vAlign w:val="center"/>
          </w:tcPr>
          <w:p w14:paraId="70A9C7D1" w14:textId="77777777" w:rsidR="00840E7A" w:rsidRPr="00900ADE" w:rsidRDefault="00840E7A">
            <w:pPr>
              <w:pStyle w:val="TableColHeadingCenter"/>
              <w:rPr>
                <w:rFonts w:eastAsia="MS Mincho"/>
              </w:rPr>
            </w:pPr>
            <w:r w:rsidRPr="00900ADE">
              <w:rPr>
                <w:rFonts w:eastAsia="MS Mincho"/>
              </w:rPr>
              <w:t>4</w:t>
            </w:r>
          </w:p>
        </w:tc>
        <w:tc>
          <w:tcPr>
            <w:tcW w:w="694" w:type="dxa"/>
            <w:vAlign w:val="center"/>
          </w:tcPr>
          <w:p w14:paraId="3C63A0A6" w14:textId="77777777" w:rsidR="00840E7A" w:rsidRPr="00900ADE" w:rsidRDefault="00840E7A">
            <w:pPr>
              <w:pStyle w:val="TableColHeadingCenter"/>
              <w:rPr>
                <w:rFonts w:eastAsia="MS Mincho"/>
              </w:rPr>
            </w:pPr>
            <w:r w:rsidRPr="00900ADE">
              <w:rPr>
                <w:rFonts w:eastAsia="MS Mincho"/>
              </w:rPr>
              <w:t>5</w:t>
            </w:r>
          </w:p>
        </w:tc>
        <w:tc>
          <w:tcPr>
            <w:tcW w:w="694" w:type="dxa"/>
            <w:vAlign w:val="center"/>
          </w:tcPr>
          <w:p w14:paraId="5516E6BB" w14:textId="77777777" w:rsidR="00840E7A" w:rsidRPr="00900ADE" w:rsidRDefault="00840E7A">
            <w:pPr>
              <w:pStyle w:val="TableColHeadingCenter"/>
              <w:rPr>
                <w:rFonts w:eastAsia="MS Mincho"/>
              </w:rPr>
            </w:pPr>
            <w:r w:rsidRPr="00900ADE">
              <w:rPr>
                <w:rFonts w:eastAsia="MS Mincho"/>
              </w:rPr>
              <w:t>6</w:t>
            </w:r>
          </w:p>
        </w:tc>
        <w:tc>
          <w:tcPr>
            <w:tcW w:w="694" w:type="dxa"/>
            <w:vAlign w:val="center"/>
          </w:tcPr>
          <w:p w14:paraId="6A9E7962" w14:textId="77777777" w:rsidR="00840E7A" w:rsidRPr="00900ADE" w:rsidRDefault="00840E7A">
            <w:pPr>
              <w:pStyle w:val="TableColHeadingCenter"/>
              <w:rPr>
                <w:rFonts w:eastAsia="MS Mincho"/>
              </w:rPr>
            </w:pPr>
            <w:r w:rsidRPr="00900ADE">
              <w:rPr>
                <w:rFonts w:eastAsia="MS Mincho"/>
              </w:rPr>
              <w:t>7</w:t>
            </w:r>
          </w:p>
        </w:tc>
        <w:tc>
          <w:tcPr>
            <w:tcW w:w="522" w:type="dxa"/>
            <w:tcBorders>
              <w:top w:val="nil"/>
            </w:tcBorders>
          </w:tcPr>
          <w:p w14:paraId="5CA3A28E" w14:textId="77777777" w:rsidR="00840E7A" w:rsidRPr="00900ADE" w:rsidRDefault="00840E7A">
            <w:pPr>
              <w:pStyle w:val="TableColHeadingCenter"/>
              <w:rPr>
                <w:rFonts w:eastAsia="MS Mincho"/>
              </w:rPr>
            </w:pPr>
          </w:p>
        </w:tc>
        <w:tc>
          <w:tcPr>
            <w:tcW w:w="866" w:type="dxa"/>
            <w:tcBorders>
              <w:top w:val="nil"/>
            </w:tcBorders>
          </w:tcPr>
          <w:p w14:paraId="0CA00864" w14:textId="77777777" w:rsidR="00840E7A" w:rsidRPr="00900ADE" w:rsidRDefault="00840E7A">
            <w:pPr>
              <w:pStyle w:val="TableColHeadingCenter"/>
              <w:rPr>
                <w:rFonts w:eastAsia="MS Mincho"/>
              </w:rPr>
            </w:pPr>
          </w:p>
        </w:tc>
      </w:tr>
      <w:tr w:rsidR="00840E7A" w:rsidRPr="00900ADE" w14:paraId="59F17F3B" w14:textId="77777777" w:rsidTr="00284CD2">
        <w:tc>
          <w:tcPr>
            <w:tcW w:w="3096" w:type="dxa"/>
            <w:shd w:val="clear" w:color="auto" w:fill="D9E2F3" w:themeFill="accent5" w:themeFillTint="33"/>
            <w:vAlign w:val="center"/>
          </w:tcPr>
          <w:p w14:paraId="18F8FD8B" w14:textId="77777777" w:rsidR="00840E7A" w:rsidRPr="00900ADE" w:rsidRDefault="00840E7A">
            <w:pPr>
              <w:pStyle w:val="TableSubheading"/>
            </w:pPr>
            <w:r w:rsidRPr="00900ADE">
              <w:t>Emotional Support Domain</w:t>
            </w:r>
          </w:p>
        </w:tc>
        <w:tc>
          <w:tcPr>
            <w:tcW w:w="694" w:type="dxa"/>
            <w:shd w:val="clear" w:color="auto" w:fill="D9E2F3" w:themeFill="accent5" w:themeFillTint="33"/>
          </w:tcPr>
          <w:p w14:paraId="23237FF6" w14:textId="77777777" w:rsidR="00840E7A" w:rsidRPr="00900ADE" w:rsidRDefault="00840E7A">
            <w:pPr>
              <w:pStyle w:val="TableTextCenteredDemi"/>
              <w:rPr>
                <w:rFonts w:eastAsia="Times New Roman"/>
              </w:rPr>
            </w:pPr>
            <w:r w:rsidRPr="00900ADE">
              <w:rPr>
                <w:rFonts w:eastAsia="Times New Roman"/>
              </w:rPr>
              <w:t>2</w:t>
            </w:r>
          </w:p>
        </w:tc>
        <w:tc>
          <w:tcPr>
            <w:tcW w:w="666" w:type="dxa"/>
            <w:shd w:val="clear" w:color="auto" w:fill="D9E2F3" w:themeFill="accent5" w:themeFillTint="33"/>
          </w:tcPr>
          <w:p w14:paraId="23F0B844" w14:textId="77777777" w:rsidR="00840E7A" w:rsidRPr="00900ADE" w:rsidRDefault="00840E7A">
            <w:pPr>
              <w:pStyle w:val="TableTextCenteredDemi"/>
              <w:rPr>
                <w:rFonts w:eastAsia="Times New Roman"/>
              </w:rPr>
            </w:pPr>
            <w:r w:rsidRPr="00900ADE">
              <w:rPr>
                <w:rFonts w:eastAsia="Times New Roman"/>
              </w:rPr>
              <w:t>6</w:t>
            </w:r>
          </w:p>
        </w:tc>
        <w:tc>
          <w:tcPr>
            <w:tcW w:w="724" w:type="dxa"/>
            <w:shd w:val="clear" w:color="auto" w:fill="D9E2F3" w:themeFill="accent5" w:themeFillTint="33"/>
          </w:tcPr>
          <w:p w14:paraId="64D9CF82" w14:textId="77777777" w:rsidR="00840E7A" w:rsidRPr="00900ADE" w:rsidRDefault="00840E7A">
            <w:pPr>
              <w:pStyle w:val="TableTextCenteredDemi"/>
              <w:rPr>
                <w:rFonts w:eastAsia="Times New Roman"/>
              </w:rPr>
            </w:pPr>
            <w:r w:rsidRPr="00900ADE">
              <w:rPr>
                <w:rFonts w:eastAsia="Times New Roman"/>
              </w:rPr>
              <w:t>10</w:t>
            </w:r>
          </w:p>
        </w:tc>
        <w:tc>
          <w:tcPr>
            <w:tcW w:w="694" w:type="dxa"/>
            <w:shd w:val="clear" w:color="auto" w:fill="D9E2F3" w:themeFill="accent5" w:themeFillTint="33"/>
          </w:tcPr>
          <w:p w14:paraId="12FAA105" w14:textId="77777777" w:rsidR="00840E7A" w:rsidRPr="00900ADE" w:rsidRDefault="00840E7A">
            <w:pPr>
              <w:pStyle w:val="TableTextCenteredDemi"/>
              <w:rPr>
                <w:rFonts w:eastAsia="Times New Roman"/>
              </w:rPr>
            </w:pPr>
            <w:r w:rsidRPr="00900ADE">
              <w:rPr>
                <w:rFonts w:eastAsia="Times New Roman"/>
              </w:rPr>
              <w:t>22</w:t>
            </w:r>
          </w:p>
        </w:tc>
        <w:tc>
          <w:tcPr>
            <w:tcW w:w="694" w:type="dxa"/>
            <w:shd w:val="clear" w:color="auto" w:fill="D9E2F3" w:themeFill="accent5" w:themeFillTint="33"/>
          </w:tcPr>
          <w:p w14:paraId="33FFFAC8" w14:textId="77777777" w:rsidR="00840E7A" w:rsidRPr="00900ADE" w:rsidRDefault="00840E7A">
            <w:pPr>
              <w:pStyle w:val="TableTextCenteredDemi"/>
              <w:rPr>
                <w:rFonts w:eastAsia="Times New Roman"/>
              </w:rPr>
            </w:pPr>
            <w:r w:rsidRPr="00900ADE">
              <w:rPr>
                <w:rFonts w:eastAsia="Times New Roman"/>
              </w:rPr>
              <w:t>13</w:t>
            </w:r>
          </w:p>
        </w:tc>
        <w:tc>
          <w:tcPr>
            <w:tcW w:w="694" w:type="dxa"/>
            <w:shd w:val="clear" w:color="auto" w:fill="D9E2F3" w:themeFill="accent5" w:themeFillTint="33"/>
            <w:vAlign w:val="center"/>
          </w:tcPr>
          <w:p w14:paraId="7E44ACCF" w14:textId="77777777" w:rsidR="00840E7A" w:rsidRPr="00900ADE" w:rsidRDefault="00840E7A">
            <w:pPr>
              <w:pStyle w:val="TableTextCenteredDemi"/>
              <w:rPr>
                <w:rFonts w:eastAsia="Times New Roman"/>
              </w:rPr>
            </w:pPr>
            <w:r w:rsidRPr="00900ADE">
              <w:rPr>
                <w:rFonts w:eastAsia="Times New Roman"/>
              </w:rPr>
              <w:t>6</w:t>
            </w:r>
          </w:p>
        </w:tc>
        <w:tc>
          <w:tcPr>
            <w:tcW w:w="694" w:type="dxa"/>
            <w:shd w:val="clear" w:color="auto" w:fill="D9E2F3" w:themeFill="accent5" w:themeFillTint="33"/>
            <w:vAlign w:val="center"/>
          </w:tcPr>
          <w:p w14:paraId="2BA67F74" w14:textId="77777777" w:rsidR="00840E7A" w:rsidRPr="00900ADE" w:rsidRDefault="00840E7A">
            <w:pPr>
              <w:pStyle w:val="TableTextCenteredDemi"/>
              <w:rPr>
                <w:rFonts w:eastAsia="Times New Roman"/>
              </w:rPr>
            </w:pPr>
            <w:r w:rsidRPr="00900ADE">
              <w:rPr>
                <w:rFonts w:eastAsia="Times New Roman"/>
              </w:rPr>
              <w:t>1</w:t>
            </w:r>
          </w:p>
        </w:tc>
        <w:tc>
          <w:tcPr>
            <w:tcW w:w="522" w:type="dxa"/>
            <w:shd w:val="clear" w:color="auto" w:fill="D9E2F3" w:themeFill="accent5" w:themeFillTint="33"/>
          </w:tcPr>
          <w:p w14:paraId="2D746187" w14:textId="77777777" w:rsidR="00840E7A" w:rsidRPr="00900ADE" w:rsidRDefault="00840E7A">
            <w:pPr>
              <w:pStyle w:val="TableTextCenteredDemi"/>
              <w:rPr>
                <w:rFonts w:eastAsia="Times New Roman"/>
              </w:rPr>
            </w:pPr>
            <w:r w:rsidRPr="00900ADE">
              <w:rPr>
                <w:rFonts w:eastAsia="Times New Roman"/>
              </w:rPr>
              <w:t>60</w:t>
            </w:r>
          </w:p>
        </w:tc>
        <w:tc>
          <w:tcPr>
            <w:tcW w:w="866" w:type="dxa"/>
            <w:shd w:val="clear" w:color="auto" w:fill="D9E2F3" w:themeFill="accent5" w:themeFillTint="33"/>
          </w:tcPr>
          <w:p w14:paraId="64CE5075" w14:textId="77777777" w:rsidR="00840E7A" w:rsidRPr="00900ADE" w:rsidRDefault="00840E7A">
            <w:pPr>
              <w:pStyle w:val="TableTextCenteredDemi"/>
              <w:rPr>
                <w:rFonts w:eastAsia="Times New Roman"/>
              </w:rPr>
            </w:pPr>
            <w:r w:rsidRPr="00900ADE">
              <w:rPr>
                <w:rFonts w:eastAsia="Times New Roman"/>
              </w:rPr>
              <w:t>4.0</w:t>
            </w:r>
          </w:p>
        </w:tc>
      </w:tr>
      <w:tr w:rsidR="00840E7A" w:rsidRPr="00900ADE" w14:paraId="380E4E67" w14:textId="77777777" w:rsidTr="00284CD2">
        <w:tc>
          <w:tcPr>
            <w:tcW w:w="3096" w:type="dxa"/>
            <w:vAlign w:val="center"/>
          </w:tcPr>
          <w:p w14:paraId="20AAD566" w14:textId="77777777" w:rsidR="00840E7A" w:rsidRPr="00900ADE" w:rsidRDefault="00840E7A">
            <w:pPr>
              <w:pStyle w:val="TableText"/>
              <w:ind w:left="204"/>
              <w:rPr>
                <w:b/>
                <w:bCs/>
              </w:rPr>
            </w:pPr>
            <w:r w:rsidRPr="00900ADE">
              <w:t>Positive Climate</w:t>
            </w:r>
          </w:p>
        </w:tc>
        <w:tc>
          <w:tcPr>
            <w:tcW w:w="694" w:type="dxa"/>
          </w:tcPr>
          <w:p w14:paraId="54C97129"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4F071A32" w14:textId="77777777" w:rsidR="00840E7A" w:rsidRPr="00900ADE" w:rsidRDefault="00840E7A">
            <w:pPr>
              <w:pStyle w:val="TableTextCentered"/>
              <w:rPr>
                <w:rFonts w:eastAsia="Times New Roman"/>
              </w:rPr>
            </w:pPr>
            <w:r w:rsidRPr="00900ADE">
              <w:rPr>
                <w:rFonts w:eastAsia="Times New Roman"/>
              </w:rPr>
              <w:t>0</w:t>
            </w:r>
          </w:p>
        </w:tc>
        <w:tc>
          <w:tcPr>
            <w:tcW w:w="724" w:type="dxa"/>
          </w:tcPr>
          <w:p w14:paraId="5E84C402" w14:textId="77777777" w:rsidR="00840E7A" w:rsidRPr="00900ADE" w:rsidRDefault="00840E7A">
            <w:pPr>
              <w:pStyle w:val="TableTextCentered"/>
              <w:rPr>
                <w:rFonts w:eastAsia="Times New Roman"/>
              </w:rPr>
            </w:pPr>
            <w:r w:rsidRPr="00900ADE">
              <w:rPr>
                <w:rFonts w:eastAsia="Times New Roman"/>
              </w:rPr>
              <w:t>2</w:t>
            </w:r>
          </w:p>
        </w:tc>
        <w:tc>
          <w:tcPr>
            <w:tcW w:w="694" w:type="dxa"/>
          </w:tcPr>
          <w:p w14:paraId="26606462" w14:textId="77777777" w:rsidR="00840E7A" w:rsidRPr="00900ADE" w:rsidRDefault="00840E7A">
            <w:pPr>
              <w:pStyle w:val="TableTextCentered"/>
              <w:rPr>
                <w:rFonts w:eastAsia="Times New Roman"/>
              </w:rPr>
            </w:pPr>
            <w:r w:rsidRPr="00900ADE">
              <w:rPr>
                <w:rFonts w:eastAsia="Times New Roman"/>
              </w:rPr>
              <w:t>8</w:t>
            </w:r>
          </w:p>
        </w:tc>
        <w:tc>
          <w:tcPr>
            <w:tcW w:w="694" w:type="dxa"/>
          </w:tcPr>
          <w:p w14:paraId="5AF7CD68" w14:textId="77777777" w:rsidR="00840E7A" w:rsidRPr="00900ADE" w:rsidRDefault="00840E7A">
            <w:pPr>
              <w:pStyle w:val="TableTextCentered"/>
              <w:rPr>
                <w:rFonts w:eastAsia="Times New Roman"/>
              </w:rPr>
            </w:pPr>
            <w:r w:rsidRPr="00900ADE">
              <w:rPr>
                <w:rFonts w:eastAsia="Times New Roman"/>
              </w:rPr>
              <w:t>6</w:t>
            </w:r>
          </w:p>
        </w:tc>
        <w:tc>
          <w:tcPr>
            <w:tcW w:w="694" w:type="dxa"/>
            <w:vAlign w:val="center"/>
          </w:tcPr>
          <w:p w14:paraId="6F8FE565" w14:textId="77777777" w:rsidR="00840E7A" w:rsidRPr="00900ADE" w:rsidRDefault="00840E7A">
            <w:pPr>
              <w:pStyle w:val="TableTextCentered"/>
              <w:rPr>
                <w:rFonts w:eastAsia="Times New Roman"/>
              </w:rPr>
            </w:pPr>
            <w:r w:rsidRPr="00900ADE">
              <w:rPr>
                <w:rFonts w:eastAsia="Times New Roman"/>
              </w:rPr>
              <w:t>4</w:t>
            </w:r>
          </w:p>
        </w:tc>
        <w:tc>
          <w:tcPr>
            <w:tcW w:w="694" w:type="dxa"/>
            <w:vAlign w:val="center"/>
          </w:tcPr>
          <w:p w14:paraId="7E6052FE"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505CCB7D" w14:textId="77777777" w:rsidR="00840E7A" w:rsidRPr="00900ADE" w:rsidRDefault="00840E7A">
            <w:pPr>
              <w:pStyle w:val="TableTextCentered"/>
              <w:rPr>
                <w:rFonts w:eastAsia="Times New Roman"/>
              </w:rPr>
            </w:pPr>
            <w:r w:rsidRPr="00900ADE">
              <w:rPr>
                <w:rFonts w:eastAsia="Times New Roman"/>
              </w:rPr>
              <w:t>20</w:t>
            </w:r>
          </w:p>
        </w:tc>
        <w:tc>
          <w:tcPr>
            <w:tcW w:w="866" w:type="dxa"/>
          </w:tcPr>
          <w:p w14:paraId="12F765EF" w14:textId="77777777" w:rsidR="00840E7A" w:rsidRPr="00900ADE" w:rsidRDefault="00840E7A">
            <w:pPr>
              <w:pStyle w:val="TableTextCentered"/>
              <w:rPr>
                <w:rFonts w:eastAsia="Times New Roman"/>
              </w:rPr>
            </w:pPr>
            <w:r w:rsidRPr="00900ADE">
              <w:rPr>
                <w:rFonts w:eastAsia="Times New Roman"/>
              </w:rPr>
              <w:t>4.6</w:t>
            </w:r>
          </w:p>
        </w:tc>
      </w:tr>
      <w:tr w:rsidR="00284CD2" w:rsidRPr="00900ADE" w14:paraId="07A397C5" w14:textId="77777777" w:rsidTr="00284CD2">
        <w:tc>
          <w:tcPr>
            <w:tcW w:w="3096" w:type="dxa"/>
            <w:vAlign w:val="center"/>
          </w:tcPr>
          <w:p w14:paraId="17E29153" w14:textId="77777777" w:rsidR="00840E7A" w:rsidRPr="00900ADE" w:rsidRDefault="00840E7A">
            <w:pPr>
              <w:pStyle w:val="TableText"/>
              <w:ind w:left="204"/>
              <w:rPr>
                <w:b/>
                <w:bCs/>
              </w:rPr>
            </w:pPr>
            <w:r w:rsidRPr="00900ADE">
              <w:t>Teacher Sensitivity</w:t>
            </w:r>
          </w:p>
        </w:tc>
        <w:tc>
          <w:tcPr>
            <w:tcW w:w="694" w:type="dxa"/>
          </w:tcPr>
          <w:p w14:paraId="69EDD0B3"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636C6207" w14:textId="77777777" w:rsidR="00840E7A" w:rsidRPr="00900ADE" w:rsidRDefault="00840E7A">
            <w:pPr>
              <w:pStyle w:val="TableTextCentered"/>
              <w:rPr>
                <w:rFonts w:eastAsia="Times New Roman"/>
              </w:rPr>
            </w:pPr>
            <w:r w:rsidRPr="00900ADE">
              <w:rPr>
                <w:rFonts w:eastAsia="Times New Roman"/>
              </w:rPr>
              <w:t>0</w:t>
            </w:r>
          </w:p>
        </w:tc>
        <w:tc>
          <w:tcPr>
            <w:tcW w:w="724" w:type="dxa"/>
          </w:tcPr>
          <w:p w14:paraId="4FF9A22D" w14:textId="77777777" w:rsidR="00840E7A" w:rsidRPr="00900ADE" w:rsidRDefault="00840E7A">
            <w:pPr>
              <w:pStyle w:val="TableTextCentered"/>
              <w:rPr>
                <w:rFonts w:eastAsia="Times New Roman"/>
              </w:rPr>
            </w:pPr>
            <w:r w:rsidRPr="00900ADE">
              <w:rPr>
                <w:rFonts w:eastAsia="Times New Roman"/>
              </w:rPr>
              <w:t>1</w:t>
            </w:r>
          </w:p>
        </w:tc>
        <w:tc>
          <w:tcPr>
            <w:tcW w:w="694" w:type="dxa"/>
          </w:tcPr>
          <w:p w14:paraId="36CF66F3" w14:textId="77777777" w:rsidR="00840E7A" w:rsidRPr="00900ADE" w:rsidRDefault="00840E7A">
            <w:pPr>
              <w:pStyle w:val="TableTextCentered"/>
              <w:rPr>
                <w:rFonts w:eastAsia="Times New Roman"/>
              </w:rPr>
            </w:pPr>
            <w:r w:rsidRPr="00900ADE">
              <w:rPr>
                <w:rFonts w:eastAsia="Times New Roman"/>
              </w:rPr>
              <w:t>11</w:t>
            </w:r>
          </w:p>
        </w:tc>
        <w:tc>
          <w:tcPr>
            <w:tcW w:w="694" w:type="dxa"/>
          </w:tcPr>
          <w:p w14:paraId="4DAD4082" w14:textId="77777777" w:rsidR="00840E7A" w:rsidRPr="00900ADE" w:rsidRDefault="00840E7A">
            <w:pPr>
              <w:pStyle w:val="TableTextCentered"/>
              <w:rPr>
                <w:rFonts w:eastAsia="Times New Roman"/>
              </w:rPr>
            </w:pPr>
            <w:r w:rsidRPr="00900ADE">
              <w:rPr>
                <w:rFonts w:eastAsia="Times New Roman"/>
              </w:rPr>
              <w:t>5</w:t>
            </w:r>
          </w:p>
        </w:tc>
        <w:tc>
          <w:tcPr>
            <w:tcW w:w="694" w:type="dxa"/>
            <w:vAlign w:val="center"/>
          </w:tcPr>
          <w:p w14:paraId="0A9098F7" w14:textId="77777777" w:rsidR="00840E7A" w:rsidRPr="00900ADE" w:rsidRDefault="00840E7A">
            <w:pPr>
              <w:pStyle w:val="TableTextCentered"/>
              <w:rPr>
                <w:rFonts w:eastAsia="Times New Roman"/>
              </w:rPr>
            </w:pPr>
            <w:r w:rsidRPr="00900ADE">
              <w:rPr>
                <w:rFonts w:eastAsia="Times New Roman"/>
              </w:rPr>
              <w:t>2</w:t>
            </w:r>
          </w:p>
        </w:tc>
        <w:tc>
          <w:tcPr>
            <w:tcW w:w="694" w:type="dxa"/>
            <w:vAlign w:val="center"/>
          </w:tcPr>
          <w:p w14:paraId="6848F81F" w14:textId="77777777" w:rsidR="00840E7A" w:rsidRPr="00900ADE" w:rsidRDefault="00840E7A">
            <w:pPr>
              <w:pStyle w:val="TableTextCentered"/>
              <w:rPr>
                <w:rFonts w:eastAsia="Times New Roman"/>
              </w:rPr>
            </w:pPr>
            <w:r w:rsidRPr="00900ADE">
              <w:rPr>
                <w:rFonts w:eastAsia="Times New Roman"/>
              </w:rPr>
              <w:t>1</w:t>
            </w:r>
          </w:p>
        </w:tc>
        <w:tc>
          <w:tcPr>
            <w:tcW w:w="522" w:type="dxa"/>
          </w:tcPr>
          <w:p w14:paraId="5263A689" w14:textId="77777777" w:rsidR="00840E7A" w:rsidRPr="00900ADE" w:rsidRDefault="00840E7A">
            <w:pPr>
              <w:pStyle w:val="TableTextCentered"/>
              <w:rPr>
                <w:rFonts w:eastAsia="Times New Roman"/>
              </w:rPr>
            </w:pPr>
            <w:r w:rsidRPr="00900ADE">
              <w:rPr>
                <w:rFonts w:eastAsia="Times New Roman"/>
              </w:rPr>
              <w:t>20</w:t>
            </w:r>
          </w:p>
        </w:tc>
        <w:tc>
          <w:tcPr>
            <w:tcW w:w="866" w:type="dxa"/>
          </w:tcPr>
          <w:p w14:paraId="53F8B77A" w14:textId="77777777" w:rsidR="00840E7A" w:rsidRPr="00900ADE" w:rsidRDefault="00840E7A">
            <w:pPr>
              <w:pStyle w:val="TableTextCentered"/>
              <w:rPr>
                <w:rFonts w:eastAsia="Times New Roman"/>
              </w:rPr>
            </w:pPr>
            <w:r w:rsidRPr="00900ADE">
              <w:rPr>
                <w:rFonts w:eastAsia="Times New Roman"/>
              </w:rPr>
              <w:t>4.6</w:t>
            </w:r>
          </w:p>
        </w:tc>
      </w:tr>
      <w:tr w:rsidR="00840E7A" w:rsidRPr="00900ADE" w14:paraId="0B8339F4" w14:textId="77777777" w:rsidTr="00284CD2">
        <w:tc>
          <w:tcPr>
            <w:tcW w:w="3096" w:type="dxa"/>
            <w:vAlign w:val="center"/>
          </w:tcPr>
          <w:p w14:paraId="2A0208E1" w14:textId="77777777" w:rsidR="00840E7A" w:rsidRPr="00900ADE" w:rsidRDefault="00840E7A">
            <w:pPr>
              <w:pStyle w:val="TableText"/>
              <w:ind w:left="204"/>
              <w:rPr>
                <w:b/>
                <w:bCs/>
              </w:rPr>
            </w:pPr>
            <w:r w:rsidRPr="00900ADE">
              <w:t>Regard for Student Perspectives</w:t>
            </w:r>
          </w:p>
        </w:tc>
        <w:tc>
          <w:tcPr>
            <w:tcW w:w="694" w:type="dxa"/>
          </w:tcPr>
          <w:p w14:paraId="2B1B6EF0" w14:textId="77777777" w:rsidR="00840E7A" w:rsidRPr="00900ADE" w:rsidRDefault="00840E7A">
            <w:pPr>
              <w:pStyle w:val="TableTextCentered"/>
              <w:rPr>
                <w:rFonts w:eastAsia="Times New Roman"/>
              </w:rPr>
            </w:pPr>
            <w:r w:rsidRPr="00900ADE">
              <w:rPr>
                <w:rFonts w:eastAsia="Times New Roman"/>
              </w:rPr>
              <w:t>2</w:t>
            </w:r>
          </w:p>
        </w:tc>
        <w:tc>
          <w:tcPr>
            <w:tcW w:w="666" w:type="dxa"/>
          </w:tcPr>
          <w:p w14:paraId="567BC6CD" w14:textId="77777777" w:rsidR="00840E7A" w:rsidRPr="00900ADE" w:rsidRDefault="00840E7A">
            <w:pPr>
              <w:pStyle w:val="TableTextCentered"/>
              <w:rPr>
                <w:rFonts w:eastAsia="Times New Roman"/>
              </w:rPr>
            </w:pPr>
            <w:r w:rsidRPr="00900ADE">
              <w:rPr>
                <w:rFonts w:eastAsia="Times New Roman"/>
              </w:rPr>
              <w:t>6</w:t>
            </w:r>
          </w:p>
        </w:tc>
        <w:tc>
          <w:tcPr>
            <w:tcW w:w="724" w:type="dxa"/>
          </w:tcPr>
          <w:p w14:paraId="6586899A" w14:textId="77777777" w:rsidR="00840E7A" w:rsidRPr="00900ADE" w:rsidRDefault="00840E7A">
            <w:pPr>
              <w:pStyle w:val="TableTextCentered"/>
              <w:rPr>
                <w:rFonts w:eastAsia="Times New Roman"/>
              </w:rPr>
            </w:pPr>
            <w:r w:rsidRPr="00900ADE">
              <w:rPr>
                <w:rFonts w:eastAsia="Times New Roman"/>
              </w:rPr>
              <w:t>7</w:t>
            </w:r>
          </w:p>
        </w:tc>
        <w:tc>
          <w:tcPr>
            <w:tcW w:w="694" w:type="dxa"/>
          </w:tcPr>
          <w:p w14:paraId="7559BEB2" w14:textId="77777777" w:rsidR="00840E7A" w:rsidRPr="00900ADE" w:rsidRDefault="00840E7A">
            <w:pPr>
              <w:pStyle w:val="TableTextCentered"/>
              <w:rPr>
                <w:rFonts w:eastAsia="Times New Roman"/>
              </w:rPr>
            </w:pPr>
            <w:r w:rsidRPr="00900ADE">
              <w:rPr>
                <w:rFonts w:eastAsia="Times New Roman"/>
              </w:rPr>
              <w:t>3</w:t>
            </w:r>
          </w:p>
        </w:tc>
        <w:tc>
          <w:tcPr>
            <w:tcW w:w="694" w:type="dxa"/>
          </w:tcPr>
          <w:p w14:paraId="0EF5A622" w14:textId="77777777" w:rsidR="00840E7A" w:rsidRPr="00900ADE" w:rsidRDefault="00840E7A">
            <w:pPr>
              <w:pStyle w:val="TableTextCentered"/>
              <w:rPr>
                <w:rFonts w:eastAsia="Times New Roman"/>
              </w:rPr>
            </w:pPr>
            <w:r w:rsidRPr="00900ADE">
              <w:rPr>
                <w:rFonts w:eastAsia="Times New Roman"/>
              </w:rPr>
              <w:t>2</w:t>
            </w:r>
          </w:p>
        </w:tc>
        <w:tc>
          <w:tcPr>
            <w:tcW w:w="694" w:type="dxa"/>
            <w:vAlign w:val="center"/>
          </w:tcPr>
          <w:p w14:paraId="00F31663"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08AE71A4"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274A515C" w14:textId="77777777" w:rsidR="00840E7A" w:rsidRPr="00900ADE" w:rsidRDefault="00840E7A">
            <w:pPr>
              <w:pStyle w:val="TableTextCentered"/>
              <w:rPr>
                <w:rFonts w:eastAsia="Times New Roman"/>
              </w:rPr>
            </w:pPr>
            <w:r w:rsidRPr="00900ADE">
              <w:rPr>
                <w:rFonts w:eastAsia="Times New Roman"/>
              </w:rPr>
              <w:t>20</w:t>
            </w:r>
          </w:p>
        </w:tc>
        <w:tc>
          <w:tcPr>
            <w:tcW w:w="866" w:type="dxa"/>
          </w:tcPr>
          <w:p w14:paraId="691FFEEA" w14:textId="77777777" w:rsidR="00840E7A" w:rsidRPr="00900ADE" w:rsidRDefault="00840E7A">
            <w:pPr>
              <w:pStyle w:val="TableTextCentered"/>
              <w:rPr>
                <w:rFonts w:eastAsia="Times New Roman"/>
              </w:rPr>
            </w:pPr>
            <w:r w:rsidRPr="00900ADE">
              <w:rPr>
                <w:rFonts w:eastAsia="Times New Roman"/>
              </w:rPr>
              <w:t>2.9</w:t>
            </w:r>
          </w:p>
        </w:tc>
      </w:tr>
      <w:tr w:rsidR="00840E7A" w:rsidRPr="00900ADE" w14:paraId="06A79245" w14:textId="77777777" w:rsidTr="00284CD2">
        <w:tc>
          <w:tcPr>
            <w:tcW w:w="3096" w:type="dxa"/>
            <w:shd w:val="clear" w:color="auto" w:fill="D9E2F3" w:themeFill="accent5" w:themeFillTint="33"/>
            <w:vAlign w:val="center"/>
          </w:tcPr>
          <w:p w14:paraId="445306D4" w14:textId="77777777" w:rsidR="00840E7A" w:rsidRPr="00900ADE" w:rsidRDefault="00840E7A">
            <w:pPr>
              <w:pStyle w:val="TableSubheading"/>
              <w:rPr>
                <w:szCs w:val="20"/>
              </w:rPr>
            </w:pPr>
            <w:r w:rsidRPr="00900ADE">
              <w:t>Classroom Organization Domain</w:t>
            </w:r>
          </w:p>
        </w:tc>
        <w:tc>
          <w:tcPr>
            <w:tcW w:w="694" w:type="dxa"/>
            <w:shd w:val="clear" w:color="auto" w:fill="D9E2F3" w:themeFill="accent5" w:themeFillTint="33"/>
          </w:tcPr>
          <w:p w14:paraId="4039CDE7" w14:textId="77777777" w:rsidR="00840E7A" w:rsidRPr="00900ADE" w:rsidRDefault="00840E7A">
            <w:pPr>
              <w:pStyle w:val="TableTextCenteredDemi"/>
              <w:rPr>
                <w:rFonts w:eastAsia="Times New Roman"/>
              </w:rPr>
            </w:pPr>
            <w:r w:rsidRPr="00900ADE">
              <w:rPr>
                <w:rFonts w:eastAsia="Times New Roman"/>
              </w:rPr>
              <w:t>0</w:t>
            </w:r>
          </w:p>
        </w:tc>
        <w:tc>
          <w:tcPr>
            <w:tcW w:w="666" w:type="dxa"/>
            <w:shd w:val="clear" w:color="auto" w:fill="D9E2F3" w:themeFill="accent5" w:themeFillTint="33"/>
          </w:tcPr>
          <w:p w14:paraId="049CFD6C" w14:textId="77777777" w:rsidR="00840E7A" w:rsidRPr="00900ADE" w:rsidRDefault="00840E7A">
            <w:pPr>
              <w:pStyle w:val="TableTextCenteredDemi"/>
              <w:rPr>
                <w:rFonts w:eastAsia="Times New Roman"/>
              </w:rPr>
            </w:pPr>
            <w:r w:rsidRPr="00900ADE">
              <w:rPr>
                <w:rFonts w:eastAsia="Times New Roman"/>
              </w:rPr>
              <w:t>0</w:t>
            </w:r>
          </w:p>
        </w:tc>
        <w:tc>
          <w:tcPr>
            <w:tcW w:w="724" w:type="dxa"/>
            <w:shd w:val="clear" w:color="auto" w:fill="D9E2F3" w:themeFill="accent5" w:themeFillTint="33"/>
          </w:tcPr>
          <w:p w14:paraId="15B2DE4C" w14:textId="77777777" w:rsidR="00840E7A" w:rsidRPr="00900ADE" w:rsidRDefault="00840E7A">
            <w:pPr>
              <w:pStyle w:val="TableTextCenteredDemi"/>
              <w:rPr>
                <w:rFonts w:eastAsia="Times New Roman"/>
              </w:rPr>
            </w:pPr>
            <w:r w:rsidRPr="00900ADE">
              <w:rPr>
                <w:rFonts w:eastAsia="Times New Roman"/>
              </w:rPr>
              <w:t>0</w:t>
            </w:r>
          </w:p>
        </w:tc>
        <w:tc>
          <w:tcPr>
            <w:tcW w:w="694" w:type="dxa"/>
            <w:shd w:val="clear" w:color="auto" w:fill="D9E2F3" w:themeFill="accent5" w:themeFillTint="33"/>
          </w:tcPr>
          <w:p w14:paraId="0A06B6B8" w14:textId="77777777" w:rsidR="00840E7A" w:rsidRPr="00900ADE" w:rsidRDefault="00840E7A">
            <w:pPr>
              <w:pStyle w:val="TableTextCenteredDemi"/>
              <w:rPr>
                <w:rFonts w:eastAsia="Times New Roman"/>
              </w:rPr>
            </w:pPr>
            <w:r w:rsidRPr="00900ADE">
              <w:rPr>
                <w:rFonts w:eastAsia="Times New Roman"/>
              </w:rPr>
              <w:t>0</w:t>
            </w:r>
          </w:p>
        </w:tc>
        <w:tc>
          <w:tcPr>
            <w:tcW w:w="694" w:type="dxa"/>
            <w:shd w:val="clear" w:color="auto" w:fill="D9E2F3" w:themeFill="accent5" w:themeFillTint="33"/>
          </w:tcPr>
          <w:p w14:paraId="3E9C71A8" w14:textId="77777777" w:rsidR="00840E7A" w:rsidRPr="00900ADE" w:rsidRDefault="00840E7A">
            <w:pPr>
              <w:pStyle w:val="TableTextCenteredDemi"/>
              <w:rPr>
                <w:rFonts w:eastAsia="Times New Roman"/>
              </w:rPr>
            </w:pPr>
            <w:r w:rsidRPr="00900ADE">
              <w:rPr>
                <w:rFonts w:eastAsia="Times New Roman"/>
              </w:rPr>
              <w:t>2</w:t>
            </w:r>
          </w:p>
        </w:tc>
        <w:tc>
          <w:tcPr>
            <w:tcW w:w="694" w:type="dxa"/>
            <w:shd w:val="clear" w:color="auto" w:fill="D9E2F3" w:themeFill="accent5" w:themeFillTint="33"/>
            <w:vAlign w:val="center"/>
          </w:tcPr>
          <w:p w14:paraId="12C11872" w14:textId="77777777" w:rsidR="00840E7A" w:rsidRPr="00900ADE" w:rsidRDefault="00840E7A">
            <w:pPr>
              <w:pStyle w:val="TableTextCenteredDemi"/>
              <w:rPr>
                <w:rFonts w:eastAsia="Times New Roman"/>
              </w:rPr>
            </w:pPr>
            <w:r w:rsidRPr="00900ADE">
              <w:rPr>
                <w:rFonts w:eastAsia="Times New Roman"/>
              </w:rPr>
              <w:t>6</w:t>
            </w:r>
          </w:p>
        </w:tc>
        <w:tc>
          <w:tcPr>
            <w:tcW w:w="694" w:type="dxa"/>
            <w:shd w:val="clear" w:color="auto" w:fill="D9E2F3" w:themeFill="accent5" w:themeFillTint="33"/>
            <w:vAlign w:val="center"/>
          </w:tcPr>
          <w:p w14:paraId="14D37BCC" w14:textId="77777777" w:rsidR="00840E7A" w:rsidRPr="00900ADE" w:rsidRDefault="00840E7A">
            <w:pPr>
              <w:pStyle w:val="TableTextCenteredDemi"/>
              <w:rPr>
                <w:rFonts w:eastAsia="Times New Roman"/>
              </w:rPr>
            </w:pPr>
            <w:r w:rsidRPr="00900ADE">
              <w:rPr>
                <w:rFonts w:eastAsia="Times New Roman"/>
              </w:rPr>
              <w:t>52</w:t>
            </w:r>
          </w:p>
        </w:tc>
        <w:tc>
          <w:tcPr>
            <w:tcW w:w="522" w:type="dxa"/>
            <w:shd w:val="clear" w:color="auto" w:fill="D9E2F3" w:themeFill="accent5" w:themeFillTint="33"/>
          </w:tcPr>
          <w:p w14:paraId="1041054C" w14:textId="77777777" w:rsidR="00840E7A" w:rsidRPr="00900ADE" w:rsidRDefault="00840E7A">
            <w:pPr>
              <w:pStyle w:val="TableTextCenteredDemi"/>
              <w:rPr>
                <w:rFonts w:eastAsia="Times New Roman"/>
              </w:rPr>
            </w:pPr>
            <w:r w:rsidRPr="00900ADE">
              <w:rPr>
                <w:rFonts w:eastAsia="Times New Roman"/>
              </w:rPr>
              <w:t>60</w:t>
            </w:r>
          </w:p>
        </w:tc>
        <w:tc>
          <w:tcPr>
            <w:tcW w:w="866" w:type="dxa"/>
            <w:shd w:val="clear" w:color="auto" w:fill="D9E2F3" w:themeFill="accent5" w:themeFillTint="33"/>
          </w:tcPr>
          <w:p w14:paraId="2974F353" w14:textId="77777777" w:rsidR="00840E7A" w:rsidRPr="00900ADE" w:rsidRDefault="00840E7A">
            <w:pPr>
              <w:pStyle w:val="TableTextCenteredDemi"/>
              <w:rPr>
                <w:rFonts w:eastAsia="Times New Roman"/>
              </w:rPr>
            </w:pPr>
            <w:r w:rsidRPr="00900ADE">
              <w:rPr>
                <w:rFonts w:eastAsia="Times New Roman"/>
              </w:rPr>
              <w:t>6.8</w:t>
            </w:r>
          </w:p>
        </w:tc>
      </w:tr>
      <w:tr w:rsidR="00840E7A" w:rsidRPr="00900ADE" w14:paraId="74FB7C19" w14:textId="77777777" w:rsidTr="00284CD2">
        <w:tc>
          <w:tcPr>
            <w:tcW w:w="3096" w:type="dxa"/>
            <w:vAlign w:val="center"/>
          </w:tcPr>
          <w:p w14:paraId="65A30FBF" w14:textId="77777777" w:rsidR="00840E7A" w:rsidRPr="00900ADE" w:rsidRDefault="00840E7A">
            <w:pPr>
              <w:pStyle w:val="TableText"/>
              <w:ind w:left="204"/>
              <w:rPr>
                <w:b/>
                <w:bCs/>
              </w:rPr>
            </w:pPr>
            <w:r w:rsidRPr="00900ADE">
              <w:t>Behavior Management</w:t>
            </w:r>
          </w:p>
        </w:tc>
        <w:tc>
          <w:tcPr>
            <w:tcW w:w="694" w:type="dxa"/>
          </w:tcPr>
          <w:p w14:paraId="3B9FF272"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0224D403" w14:textId="77777777" w:rsidR="00840E7A" w:rsidRPr="00900ADE" w:rsidRDefault="00840E7A">
            <w:pPr>
              <w:pStyle w:val="TableTextCentered"/>
              <w:rPr>
                <w:rFonts w:eastAsia="Times New Roman"/>
              </w:rPr>
            </w:pPr>
            <w:r w:rsidRPr="00900ADE">
              <w:rPr>
                <w:rFonts w:eastAsia="Times New Roman"/>
              </w:rPr>
              <w:t>0</w:t>
            </w:r>
          </w:p>
        </w:tc>
        <w:tc>
          <w:tcPr>
            <w:tcW w:w="724" w:type="dxa"/>
          </w:tcPr>
          <w:p w14:paraId="59E62D56"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6E662990"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60556AAD" w14:textId="77777777" w:rsidR="00840E7A" w:rsidRPr="00900ADE" w:rsidRDefault="00840E7A">
            <w:pPr>
              <w:pStyle w:val="TableTextCentered"/>
              <w:rPr>
                <w:rFonts w:eastAsia="Times New Roman"/>
              </w:rPr>
            </w:pPr>
            <w:r w:rsidRPr="00900ADE">
              <w:rPr>
                <w:rFonts w:eastAsia="Times New Roman"/>
              </w:rPr>
              <w:t>1</w:t>
            </w:r>
          </w:p>
        </w:tc>
        <w:tc>
          <w:tcPr>
            <w:tcW w:w="694" w:type="dxa"/>
            <w:vAlign w:val="center"/>
          </w:tcPr>
          <w:p w14:paraId="47EA684E" w14:textId="77777777" w:rsidR="00840E7A" w:rsidRPr="00900ADE" w:rsidRDefault="00840E7A">
            <w:pPr>
              <w:pStyle w:val="TableTextCentered"/>
              <w:rPr>
                <w:rFonts w:eastAsia="Times New Roman"/>
              </w:rPr>
            </w:pPr>
            <w:r w:rsidRPr="00900ADE">
              <w:rPr>
                <w:rFonts w:eastAsia="Times New Roman"/>
              </w:rPr>
              <w:t>2</w:t>
            </w:r>
          </w:p>
        </w:tc>
        <w:tc>
          <w:tcPr>
            <w:tcW w:w="694" w:type="dxa"/>
            <w:vAlign w:val="center"/>
          </w:tcPr>
          <w:p w14:paraId="06B0630A" w14:textId="77777777" w:rsidR="00840E7A" w:rsidRPr="00900ADE" w:rsidRDefault="00840E7A">
            <w:pPr>
              <w:pStyle w:val="TableTextCentered"/>
              <w:rPr>
                <w:rFonts w:eastAsia="Times New Roman"/>
              </w:rPr>
            </w:pPr>
            <w:r w:rsidRPr="00900ADE">
              <w:rPr>
                <w:rFonts w:eastAsia="Times New Roman"/>
              </w:rPr>
              <w:t>17</w:t>
            </w:r>
          </w:p>
        </w:tc>
        <w:tc>
          <w:tcPr>
            <w:tcW w:w="522" w:type="dxa"/>
          </w:tcPr>
          <w:p w14:paraId="37D41CEC" w14:textId="77777777" w:rsidR="00840E7A" w:rsidRPr="00900ADE" w:rsidRDefault="00840E7A">
            <w:pPr>
              <w:pStyle w:val="TableTextCentered"/>
              <w:rPr>
                <w:rFonts w:eastAsia="Times New Roman"/>
              </w:rPr>
            </w:pPr>
            <w:r w:rsidRPr="00900ADE">
              <w:rPr>
                <w:rFonts w:eastAsia="Times New Roman"/>
              </w:rPr>
              <w:t>20</w:t>
            </w:r>
          </w:p>
        </w:tc>
        <w:tc>
          <w:tcPr>
            <w:tcW w:w="866" w:type="dxa"/>
          </w:tcPr>
          <w:p w14:paraId="5F665C9A" w14:textId="77777777" w:rsidR="00840E7A" w:rsidRPr="00900ADE" w:rsidRDefault="00840E7A">
            <w:pPr>
              <w:pStyle w:val="TableTextCentered"/>
              <w:rPr>
                <w:rFonts w:eastAsia="Times New Roman"/>
              </w:rPr>
            </w:pPr>
            <w:r w:rsidRPr="00900ADE">
              <w:rPr>
                <w:rFonts w:eastAsia="Times New Roman"/>
              </w:rPr>
              <w:t>6.8</w:t>
            </w:r>
          </w:p>
        </w:tc>
      </w:tr>
      <w:tr w:rsidR="00284CD2" w:rsidRPr="00900ADE" w14:paraId="53B72052" w14:textId="77777777" w:rsidTr="00284CD2">
        <w:tc>
          <w:tcPr>
            <w:tcW w:w="3096" w:type="dxa"/>
            <w:vAlign w:val="center"/>
          </w:tcPr>
          <w:p w14:paraId="6ED4CA75" w14:textId="77777777" w:rsidR="00840E7A" w:rsidRPr="00900ADE" w:rsidRDefault="00840E7A">
            <w:pPr>
              <w:pStyle w:val="TableText"/>
              <w:ind w:left="204"/>
              <w:rPr>
                <w:b/>
                <w:bCs/>
              </w:rPr>
            </w:pPr>
            <w:r w:rsidRPr="00900ADE">
              <w:t>Productivity</w:t>
            </w:r>
          </w:p>
        </w:tc>
        <w:tc>
          <w:tcPr>
            <w:tcW w:w="694" w:type="dxa"/>
          </w:tcPr>
          <w:p w14:paraId="7467E29C"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506D8178" w14:textId="77777777" w:rsidR="00840E7A" w:rsidRPr="00900ADE" w:rsidRDefault="00840E7A">
            <w:pPr>
              <w:pStyle w:val="TableTextCentered"/>
              <w:rPr>
                <w:rFonts w:eastAsia="Times New Roman"/>
              </w:rPr>
            </w:pPr>
            <w:r w:rsidRPr="00900ADE">
              <w:rPr>
                <w:rFonts w:eastAsia="Times New Roman"/>
              </w:rPr>
              <w:t>0</w:t>
            </w:r>
          </w:p>
        </w:tc>
        <w:tc>
          <w:tcPr>
            <w:tcW w:w="724" w:type="dxa"/>
          </w:tcPr>
          <w:p w14:paraId="140CA9BE"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44D8ACFF"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47719DB6" w14:textId="77777777" w:rsidR="00840E7A" w:rsidRPr="00900ADE" w:rsidRDefault="00840E7A">
            <w:pPr>
              <w:pStyle w:val="TableTextCentered"/>
              <w:rPr>
                <w:rFonts w:eastAsia="Times New Roman"/>
              </w:rPr>
            </w:pPr>
            <w:r w:rsidRPr="00900ADE">
              <w:rPr>
                <w:rFonts w:eastAsia="Times New Roman"/>
              </w:rPr>
              <w:t>1</w:t>
            </w:r>
          </w:p>
        </w:tc>
        <w:tc>
          <w:tcPr>
            <w:tcW w:w="694" w:type="dxa"/>
            <w:vAlign w:val="center"/>
          </w:tcPr>
          <w:p w14:paraId="6CBC183F" w14:textId="77777777" w:rsidR="00840E7A" w:rsidRPr="00900ADE" w:rsidRDefault="00840E7A">
            <w:pPr>
              <w:pStyle w:val="TableTextCentered"/>
              <w:rPr>
                <w:rFonts w:eastAsia="Times New Roman"/>
              </w:rPr>
            </w:pPr>
            <w:r w:rsidRPr="00900ADE">
              <w:rPr>
                <w:rFonts w:eastAsia="Times New Roman"/>
              </w:rPr>
              <w:t>2</w:t>
            </w:r>
          </w:p>
        </w:tc>
        <w:tc>
          <w:tcPr>
            <w:tcW w:w="694" w:type="dxa"/>
            <w:vAlign w:val="center"/>
          </w:tcPr>
          <w:p w14:paraId="06FB0D85" w14:textId="77777777" w:rsidR="00840E7A" w:rsidRPr="00900ADE" w:rsidRDefault="00840E7A">
            <w:pPr>
              <w:pStyle w:val="TableTextCentered"/>
              <w:rPr>
                <w:rFonts w:eastAsia="Times New Roman"/>
              </w:rPr>
            </w:pPr>
            <w:r w:rsidRPr="00900ADE">
              <w:rPr>
                <w:rFonts w:eastAsia="Times New Roman"/>
              </w:rPr>
              <w:t>17</w:t>
            </w:r>
          </w:p>
        </w:tc>
        <w:tc>
          <w:tcPr>
            <w:tcW w:w="522" w:type="dxa"/>
          </w:tcPr>
          <w:p w14:paraId="684258B1" w14:textId="77777777" w:rsidR="00840E7A" w:rsidRPr="00900ADE" w:rsidRDefault="00840E7A">
            <w:pPr>
              <w:pStyle w:val="TableTextCentered"/>
              <w:rPr>
                <w:rFonts w:eastAsia="Times New Roman"/>
              </w:rPr>
            </w:pPr>
            <w:r w:rsidRPr="00900ADE">
              <w:rPr>
                <w:rFonts w:eastAsia="Times New Roman"/>
              </w:rPr>
              <w:t>20</w:t>
            </w:r>
          </w:p>
        </w:tc>
        <w:tc>
          <w:tcPr>
            <w:tcW w:w="866" w:type="dxa"/>
          </w:tcPr>
          <w:p w14:paraId="5451730A" w14:textId="77777777" w:rsidR="00840E7A" w:rsidRPr="00900ADE" w:rsidRDefault="00840E7A">
            <w:pPr>
              <w:pStyle w:val="TableTextCentered"/>
              <w:rPr>
                <w:rFonts w:eastAsia="Times New Roman"/>
              </w:rPr>
            </w:pPr>
            <w:r w:rsidRPr="00900ADE">
              <w:rPr>
                <w:rFonts w:eastAsia="Times New Roman"/>
              </w:rPr>
              <w:t>6.8</w:t>
            </w:r>
          </w:p>
        </w:tc>
      </w:tr>
      <w:tr w:rsidR="00840E7A" w:rsidRPr="00900ADE" w14:paraId="5FEEE734" w14:textId="77777777" w:rsidTr="00284CD2">
        <w:tc>
          <w:tcPr>
            <w:tcW w:w="3096" w:type="dxa"/>
            <w:vAlign w:val="center"/>
          </w:tcPr>
          <w:p w14:paraId="335FD3E3" w14:textId="77777777" w:rsidR="00840E7A" w:rsidRPr="00900ADE" w:rsidRDefault="00840E7A">
            <w:pPr>
              <w:pStyle w:val="TableText"/>
              <w:ind w:left="204"/>
              <w:rPr>
                <w:b/>
                <w:bCs/>
              </w:rPr>
            </w:pPr>
            <w:r w:rsidRPr="00900ADE">
              <w:t>Negative Climate**</w:t>
            </w:r>
          </w:p>
        </w:tc>
        <w:tc>
          <w:tcPr>
            <w:tcW w:w="694" w:type="dxa"/>
          </w:tcPr>
          <w:p w14:paraId="7E508D18"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7341C58E" w14:textId="77777777" w:rsidR="00840E7A" w:rsidRPr="00900ADE" w:rsidRDefault="00840E7A">
            <w:pPr>
              <w:pStyle w:val="TableTextCentered"/>
              <w:rPr>
                <w:rFonts w:eastAsia="Times New Roman"/>
              </w:rPr>
            </w:pPr>
            <w:r w:rsidRPr="00900ADE">
              <w:rPr>
                <w:rFonts w:eastAsia="Times New Roman"/>
              </w:rPr>
              <w:t>0</w:t>
            </w:r>
          </w:p>
        </w:tc>
        <w:tc>
          <w:tcPr>
            <w:tcW w:w="724" w:type="dxa"/>
          </w:tcPr>
          <w:p w14:paraId="3D44D1E5"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14351B08" w14:textId="77777777" w:rsidR="00840E7A" w:rsidRPr="00900ADE" w:rsidRDefault="00840E7A">
            <w:pPr>
              <w:pStyle w:val="TableTextCentered"/>
              <w:rPr>
                <w:rFonts w:eastAsia="Times New Roman"/>
              </w:rPr>
            </w:pPr>
            <w:r w:rsidRPr="00900ADE">
              <w:rPr>
                <w:rFonts w:eastAsia="Times New Roman"/>
              </w:rPr>
              <w:t>0</w:t>
            </w:r>
          </w:p>
        </w:tc>
        <w:tc>
          <w:tcPr>
            <w:tcW w:w="694" w:type="dxa"/>
          </w:tcPr>
          <w:p w14:paraId="545AB767"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373ADEC8" w14:textId="77777777" w:rsidR="00840E7A" w:rsidRPr="00900ADE" w:rsidRDefault="00840E7A">
            <w:pPr>
              <w:pStyle w:val="TableTextCentered"/>
              <w:rPr>
                <w:rFonts w:eastAsia="Times New Roman"/>
              </w:rPr>
            </w:pPr>
            <w:r w:rsidRPr="00900ADE">
              <w:rPr>
                <w:rFonts w:eastAsia="Times New Roman"/>
              </w:rPr>
              <w:t>2</w:t>
            </w:r>
          </w:p>
        </w:tc>
        <w:tc>
          <w:tcPr>
            <w:tcW w:w="694" w:type="dxa"/>
            <w:vAlign w:val="center"/>
          </w:tcPr>
          <w:p w14:paraId="68817BDD" w14:textId="77777777" w:rsidR="00840E7A" w:rsidRPr="00900ADE" w:rsidRDefault="00840E7A">
            <w:pPr>
              <w:pStyle w:val="TableTextCentered"/>
              <w:rPr>
                <w:rFonts w:eastAsia="Times New Roman"/>
              </w:rPr>
            </w:pPr>
            <w:r w:rsidRPr="00900ADE">
              <w:rPr>
                <w:rFonts w:eastAsia="Times New Roman"/>
              </w:rPr>
              <w:t>18</w:t>
            </w:r>
          </w:p>
        </w:tc>
        <w:tc>
          <w:tcPr>
            <w:tcW w:w="522" w:type="dxa"/>
          </w:tcPr>
          <w:p w14:paraId="4A79CBFD" w14:textId="77777777" w:rsidR="00840E7A" w:rsidRPr="00900ADE" w:rsidRDefault="00840E7A">
            <w:pPr>
              <w:pStyle w:val="TableTextCentered"/>
              <w:rPr>
                <w:rFonts w:eastAsia="Times New Roman"/>
              </w:rPr>
            </w:pPr>
            <w:r w:rsidRPr="00900ADE">
              <w:rPr>
                <w:rFonts w:eastAsia="Times New Roman"/>
              </w:rPr>
              <w:t>20</w:t>
            </w:r>
          </w:p>
        </w:tc>
        <w:tc>
          <w:tcPr>
            <w:tcW w:w="866" w:type="dxa"/>
          </w:tcPr>
          <w:p w14:paraId="3D9388AB" w14:textId="77777777" w:rsidR="00840E7A" w:rsidRPr="00900ADE" w:rsidRDefault="00840E7A">
            <w:pPr>
              <w:pStyle w:val="TableTextCentered"/>
              <w:rPr>
                <w:rFonts w:eastAsia="Times New Roman"/>
              </w:rPr>
            </w:pPr>
            <w:r w:rsidRPr="00900ADE">
              <w:rPr>
                <w:rFonts w:eastAsia="Times New Roman"/>
              </w:rPr>
              <w:t>6.9</w:t>
            </w:r>
          </w:p>
        </w:tc>
      </w:tr>
      <w:tr w:rsidR="00840E7A" w:rsidRPr="00900ADE" w14:paraId="1A483C31" w14:textId="77777777" w:rsidTr="00284CD2">
        <w:tc>
          <w:tcPr>
            <w:tcW w:w="3096" w:type="dxa"/>
            <w:shd w:val="clear" w:color="auto" w:fill="D9E2F3" w:themeFill="accent5" w:themeFillTint="33"/>
            <w:vAlign w:val="center"/>
          </w:tcPr>
          <w:p w14:paraId="6B28A2FC" w14:textId="77777777" w:rsidR="00840E7A" w:rsidRPr="00900ADE" w:rsidRDefault="00840E7A">
            <w:pPr>
              <w:pStyle w:val="TableSubheading"/>
              <w:rPr>
                <w:szCs w:val="20"/>
              </w:rPr>
            </w:pPr>
            <w:r w:rsidRPr="00900ADE">
              <w:t>Instructional Support Domain</w:t>
            </w:r>
          </w:p>
        </w:tc>
        <w:tc>
          <w:tcPr>
            <w:tcW w:w="694" w:type="dxa"/>
            <w:shd w:val="clear" w:color="auto" w:fill="D9E2F3" w:themeFill="accent5" w:themeFillTint="33"/>
          </w:tcPr>
          <w:p w14:paraId="1101895F" w14:textId="77777777" w:rsidR="00840E7A" w:rsidRPr="00900ADE" w:rsidRDefault="00840E7A">
            <w:pPr>
              <w:pStyle w:val="TableTextCenteredDemi"/>
              <w:rPr>
                <w:rFonts w:eastAsia="Times New Roman"/>
              </w:rPr>
            </w:pPr>
            <w:r w:rsidRPr="00900ADE">
              <w:rPr>
                <w:rFonts w:eastAsia="Times New Roman"/>
              </w:rPr>
              <w:t>15</w:t>
            </w:r>
          </w:p>
        </w:tc>
        <w:tc>
          <w:tcPr>
            <w:tcW w:w="666" w:type="dxa"/>
            <w:shd w:val="clear" w:color="auto" w:fill="D9E2F3" w:themeFill="accent5" w:themeFillTint="33"/>
          </w:tcPr>
          <w:p w14:paraId="02FFC3AD" w14:textId="77777777" w:rsidR="00840E7A" w:rsidRPr="00900ADE" w:rsidRDefault="00840E7A">
            <w:pPr>
              <w:pStyle w:val="TableTextCenteredDemi"/>
              <w:rPr>
                <w:rFonts w:eastAsia="Times New Roman"/>
              </w:rPr>
            </w:pPr>
            <w:r w:rsidRPr="00900ADE">
              <w:rPr>
                <w:rFonts w:eastAsia="Times New Roman"/>
              </w:rPr>
              <w:t>19</w:t>
            </w:r>
          </w:p>
        </w:tc>
        <w:tc>
          <w:tcPr>
            <w:tcW w:w="724" w:type="dxa"/>
            <w:shd w:val="clear" w:color="auto" w:fill="D9E2F3" w:themeFill="accent5" w:themeFillTint="33"/>
          </w:tcPr>
          <w:p w14:paraId="2902863C" w14:textId="77777777" w:rsidR="00840E7A" w:rsidRPr="00900ADE" w:rsidRDefault="00840E7A">
            <w:pPr>
              <w:pStyle w:val="TableTextCenteredDemi"/>
              <w:rPr>
                <w:rFonts w:eastAsia="Times New Roman"/>
              </w:rPr>
            </w:pPr>
            <w:r w:rsidRPr="00900ADE">
              <w:rPr>
                <w:rFonts w:eastAsia="Times New Roman"/>
              </w:rPr>
              <w:t>26</w:t>
            </w:r>
          </w:p>
        </w:tc>
        <w:tc>
          <w:tcPr>
            <w:tcW w:w="694" w:type="dxa"/>
            <w:shd w:val="clear" w:color="auto" w:fill="D9E2F3" w:themeFill="accent5" w:themeFillTint="33"/>
          </w:tcPr>
          <w:p w14:paraId="60E48317" w14:textId="77777777" w:rsidR="00840E7A" w:rsidRPr="00900ADE" w:rsidRDefault="00840E7A">
            <w:pPr>
              <w:pStyle w:val="TableTextCenteredDemi"/>
              <w:rPr>
                <w:rFonts w:eastAsia="Times New Roman"/>
              </w:rPr>
            </w:pPr>
            <w:r w:rsidRPr="00900ADE">
              <w:rPr>
                <w:rFonts w:eastAsia="Times New Roman"/>
              </w:rPr>
              <w:t>27</w:t>
            </w:r>
          </w:p>
        </w:tc>
        <w:tc>
          <w:tcPr>
            <w:tcW w:w="694" w:type="dxa"/>
            <w:shd w:val="clear" w:color="auto" w:fill="D9E2F3" w:themeFill="accent5" w:themeFillTint="33"/>
          </w:tcPr>
          <w:p w14:paraId="3985EB4A" w14:textId="77777777" w:rsidR="00840E7A" w:rsidRPr="00900ADE" w:rsidRDefault="00840E7A">
            <w:pPr>
              <w:pStyle w:val="TableTextCenteredDemi"/>
              <w:rPr>
                <w:rFonts w:eastAsia="Times New Roman"/>
              </w:rPr>
            </w:pPr>
            <w:r w:rsidRPr="00900ADE">
              <w:rPr>
                <w:rFonts w:eastAsia="Times New Roman"/>
              </w:rPr>
              <w:t>10</w:t>
            </w:r>
          </w:p>
        </w:tc>
        <w:tc>
          <w:tcPr>
            <w:tcW w:w="694" w:type="dxa"/>
            <w:shd w:val="clear" w:color="auto" w:fill="D9E2F3" w:themeFill="accent5" w:themeFillTint="33"/>
            <w:vAlign w:val="center"/>
          </w:tcPr>
          <w:p w14:paraId="61A038DE" w14:textId="77777777" w:rsidR="00840E7A" w:rsidRPr="00900ADE" w:rsidRDefault="00840E7A">
            <w:pPr>
              <w:pStyle w:val="TableTextCenteredDemi"/>
              <w:rPr>
                <w:rFonts w:eastAsia="Times New Roman"/>
              </w:rPr>
            </w:pPr>
            <w:r w:rsidRPr="00900ADE">
              <w:rPr>
                <w:rFonts w:eastAsia="Times New Roman"/>
              </w:rPr>
              <w:t>3</w:t>
            </w:r>
          </w:p>
        </w:tc>
        <w:tc>
          <w:tcPr>
            <w:tcW w:w="694" w:type="dxa"/>
            <w:shd w:val="clear" w:color="auto" w:fill="D9E2F3" w:themeFill="accent5" w:themeFillTint="33"/>
            <w:vAlign w:val="center"/>
          </w:tcPr>
          <w:p w14:paraId="5AB28552" w14:textId="77777777" w:rsidR="00840E7A" w:rsidRPr="00900ADE" w:rsidRDefault="00840E7A">
            <w:pPr>
              <w:pStyle w:val="TableTextCenteredDemi"/>
              <w:rPr>
                <w:rFonts w:eastAsia="Times New Roman"/>
              </w:rPr>
            </w:pPr>
            <w:r w:rsidRPr="00900ADE">
              <w:rPr>
                <w:rFonts w:eastAsia="Times New Roman"/>
              </w:rPr>
              <w:t>0</w:t>
            </w:r>
          </w:p>
        </w:tc>
        <w:tc>
          <w:tcPr>
            <w:tcW w:w="522" w:type="dxa"/>
            <w:shd w:val="clear" w:color="auto" w:fill="D9E2F3" w:themeFill="accent5" w:themeFillTint="33"/>
          </w:tcPr>
          <w:p w14:paraId="0DB1917B" w14:textId="77777777" w:rsidR="00840E7A" w:rsidRPr="00900ADE" w:rsidRDefault="00840E7A">
            <w:pPr>
              <w:pStyle w:val="TableTextCenteredDemi"/>
              <w:rPr>
                <w:rFonts w:eastAsia="Times New Roman"/>
              </w:rPr>
            </w:pPr>
            <w:r w:rsidRPr="00900ADE">
              <w:rPr>
                <w:rFonts w:eastAsia="Times New Roman"/>
              </w:rPr>
              <w:t>100</w:t>
            </w:r>
          </w:p>
        </w:tc>
        <w:tc>
          <w:tcPr>
            <w:tcW w:w="866" w:type="dxa"/>
            <w:shd w:val="clear" w:color="auto" w:fill="D9E2F3" w:themeFill="accent5" w:themeFillTint="33"/>
          </w:tcPr>
          <w:p w14:paraId="7026C45E" w14:textId="77777777" w:rsidR="00840E7A" w:rsidRPr="00900ADE" w:rsidRDefault="00840E7A">
            <w:pPr>
              <w:pStyle w:val="TableTextCenteredDemi"/>
              <w:rPr>
                <w:rFonts w:eastAsia="Times New Roman"/>
              </w:rPr>
            </w:pPr>
            <w:r w:rsidRPr="00900ADE">
              <w:rPr>
                <w:rFonts w:eastAsia="Times New Roman"/>
              </w:rPr>
              <w:t>3.1</w:t>
            </w:r>
          </w:p>
        </w:tc>
      </w:tr>
      <w:tr w:rsidR="00840E7A" w:rsidRPr="00900ADE" w14:paraId="72330968" w14:textId="77777777" w:rsidTr="00284CD2">
        <w:tc>
          <w:tcPr>
            <w:tcW w:w="3096" w:type="dxa"/>
            <w:vAlign w:val="center"/>
          </w:tcPr>
          <w:p w14:paraId="6039E8F5" w14:textId="77777777" w:rsidR="00840E7A" w:rsidRPr="00900ADE" w:rsidRDefault="00840E7A">
            <w:pPr>
              <w:pStyle w:val="TableText"/>
              <w:ind w:left="204"/>
              <w:rPr>
                <w:b/>
                <w:bCs/>
              </w:rPr>
            </w:pPr>
            <w:r w:rsidRPr="00900ADE">
              <w:t>Instructional Learning Formats</w:t>
            </w:r>
          </w:p>
        </w:tc>
        <w:tc>
          <w:tcPr>
            <w:tcW w:w="694" w:type="dxa"/>
          </w:tcPr>
          <w:p w14:paraId="28AAF1F2" w14:textId="77777777" w:rsidR="00840E7A" w:rsidRPr="00900ADE" w:rsidRDefault="00840E7A">
            <w:pPr>
              <w:pStyle w:val="TableTextCentered"/>
              <w:rPr>
                <w:rFonts w:eastAsia="Times New Roman"/>
              </w:rPr>
            </w:pPr>
            <w:r w:rsidRPr="00900ADE">
              <w:rPr>
                <w:rFonts w:eastAsia="Times New Roman"/>
              </w:rPr>
              <w:t>0</w:t>
            </w:r>
          </w:p>
        </w:tc>
        <w:tc>
          <w:tcPr>
            <w:tcW w:w="666" w:type="dxa"/>
          </w:tcPr>
          <w:p w14:paraId="41109CD1" w14:textId="77777777" w:rsidR="00840E7A" w:rsidRPr="00900ADE" w:rsidRDefault="00840E7A">
            <w:pPr>
              <w:pStyle w:val="TableTextCentered"/>
              <w:rPr>
                <w:rFonts w:eastAsia="Times New Roman"/>
              </w:rPr>
            </w:pPr>
            <w:r w:rsidRPr="00900ADE">
              <w:rPr>
                <w:rFonts w:eastAsia="Times New Roman"/>
              </w:rPr>
              <w:t>1</w:t>
            </w:r>
          </w:p>
        </w:tc>
        <w:tc>
          <w:tcPr>
            <w:tcW w:w="724" w:type="dxa"/>
          </w:tcPr>
          <w:p w14:paraId="355CD7D7" w14:textId="77777777" w:rsidR="00840E7A" w:rsidRPr="00900ADE" w:rsidRDefault="00840E7A">
            <w:pPr>
              <w:pStyle w:val="TableTextCentered"/>
              <w:rPr>
                <w:rFonts w:eastAsia="Times New Roman"/>
              </w:rPr>
            </w:pPr>
            <w:r w:rsidRPr="00900ADE">
              <w:rPr>
                <w:rFonts w:eastAsia="Times New Roman"/>
              </w:rPr>
              <w:t>6</w:t>
            </w:r>
          </w:p>
        </w:tc>
        <w:tc>
          <w:tcPr>
            <w:tcW w:w="694" w:type="dxa"/>
          </w:tcPr>
          <w:p w14:paraId="45D12BBF" w14:textId="77777777" w:rsidR="00840E7A" w:rsidRPr="00900ADE" w:rsidRDefault="00840E7A">
            <w:pPr>
              <w:pStyle w:val="TableTextCentered"/>
              <w:rPr>
                <w:rFonts w:eastAsia="Times New Roman"/>
              </w:rPr>
            </w:pPr>
            <w:r w:rsidRPr="00900ADE">
              <w:rPr>
                <w:rFonts w:eastAsia="Times New Roman"/>
              </w:rPr>
              <w:t>8</w:t>
            </w:r>
          </w:p>
        </w:tc>
        <w:tc>
          <w:tcPr>
            <w:tcW w:w="694" w:type="dxa"/>
          </w:tcPr>
          <w:p w14:paraId="048813A9" w14:textId="77777777" w:rsidR="00840E7A" w:rsidRPr="00900ADE" w:rsidRDefault="00840E7A">
            <w:pPr>
              <w:pStyle w:val="TableTextCentered"/>
              <w:rPr>
                <w:rFonts w:eastAsia="Times New Roman"/>
              </w:rPr>
            </w:pPr>
            <w:r w:rsidRPr="00900ADE">
              <w:rPr>
                <w:rFonts w:eastAsia="Times New Roman"/>
              </w:rPr>
              <w:t>2</w:t>
            </w:r>
          </w:p>
        </w:tc>
        <w:tc>
          <w:tcPr>
            <w:tcW w:w="694" w:type="dxa"/>
            <w:vAlign w:val="center"/>
          </w:tcPr>
          <w:p w14:paraId="7366E2A1" w14:textId="77777777" w:rsidR="00840E7A" w:rsidRPr="00900ADE" w:rsidRDefault="00840E7A">
            <w:pPr>
              <w:pStyle w:val="TableTextCentered"/>
              <w:rPr>
                <w:rFonts w:eastAsia="Times New Roman"/>
              </w:rPr>
            </w:pPr>
            <w:r w:rsidRPr="00900ADE">
              <w:rPr>
                <w:rFonts w:eastAsia="Times New Roman"/>
              </w:rPr>
              <w:t>3</w:t>
            </w:r>
          </w:p>
        </w:tc>
        <w:tc>
          <w:tcPr>
            <w:tcW w:w="694" w:type="dxa"/>
            <w:vAlign w:val="center"/>
          </w:tcPr>
          <w:p w14:paraId="4D112915"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2661E85E" w14:textId="77777777" w:rsidR="00840E7A" w:rsidRPr="00900ADE" w:rsidRDefault="00840E7A">
            <w:pPr>
              <w:pStyle w:val="TableTextCentered"/>
              <w:rPr>
                <w:rFonts w:eastAsia="Times New Roman"/>
              </w:rPr>
            </w:pPr>
            <w:r w:rsidRPr="00900ADE">
              <w:rPr>
                <w:rFonts w:eastAsia="Times New Roman"/>
              </w:rPr>
              <w:t>20</w:t>
            </w:r>
          </w:p>
        </w:tc>
        <w:tc>
          <w:tcPr>
            <w:tcW w:w="866" w:type="dxa"/>
          </w:tcPr>
          <w:p w14:paraId="151C1A8B" w14:textId="77777777" w:rsidR="00840E7A" w:rsidRPr="00900ADE" w:rsidRDefault="00840E7A">
            <w:pPr>
              <w:pStyle w:val="TableTextCentered"/>
              <w:rPr>
                <w:rFonts w:eastAsia="Times New Roman"/>
              </w:rPr>
            </w:pPr>
            <w:r w:rsidRPr="00900ADE">
              <w:rPr>
                <w:rFonts w:eastAsia="Times New Roman"/>
              </w:rPr>
              <w:t>4.0</w:t>
            </w:r>
          </w:p>
        </w:tc>
      </w:tr>
      <w:tr w:rsidR="00284CD2" w:rsidRPr="00900ADE" w14:paraId="5933CEB2" w14:textId="77777777" w:rsidTr="00284CD2">
        <w:tc>
          <w:tcPr>
            <w:tcW w:w="3096" w:type="dxa"/>
            <w:vAlign w:val="center"/>
          </w:tcPr>
          <w:p w14:paraId="2AFCBC7D" w14:textId="77777777" w:rsidR="00840E7A" w:rsidRPr="00900ADE" w:rsidRDefault="00840E7A">
            <w:pPr>
              <w:pStyle w:val="TableText"/>
              <w:ind w:left="204"/>
              <w:rPr>
                <w:b/>
                <w:bCs/>
              </w:rPr>
            </w:pPr>
            <w:r w:rsidRPr="00900ADE">
              <w:t>Content Understanding</w:t>
            </w:r>
          </w:p>
        </w:tc>
        <w:tc>
          <w:tcPr>
            <w:tcW w:w="694" w:type="dxa"/>
          </w:tcPr>
          <w:p w14:paraId="3CD7DBDB" w14:textId="77777777" w:rsidR="00840E7A" w:rsidRPr="00900ADE" w:rsidRDefault="00840E7A">
            <w:pPr>
              <w:pStyle w:val="TableTextCentered"/>
              <w:rPr>
                <w:rFonts w:eastAsia="Times New Roman"/>
              </w:rPr>
            </w:pPr>
            <w:r w:rsidRPr="00900ADE">
              <w:rPr>
                <w:rFonts w:eastAsia="Times New Roman"/>
              </w:rPr>
              <w:t>1</w:t>
            </w:r>
          </w:p>
        </w:tc>
        <w:tc>
          <w:tcPr>
            <w:tcW w:w="666" w:type="dxa"/>
          </w:tcPr>
          <w:p w14:paraId="401A2F3C" w14:textId="77777777" w:rsidR="00840E7A" w:rsidRPr="00900ADE" w:rsidRDefault="00840E7A">
            <w:pPr>
              <w:pStyle w:val="TableTextCentered"/>
              <w:rPr>
                <w:rFonts w:eastAsia="Times New Roman"/>
              </w:rPr>
            </w:pPr>
            <w:r w:rsidRPr="00900ADE">
              <w:rPr>
                <w:rFonts w:eastAsia="Times New Roman"/>
              </w:rPr>
              <w:t>3</w:t>
            </w:r>
          </w:p>
        </w:tc>
        <w:tc>
          <w:tcPr>
            <w:tcW w:w="724" w:type="dxa"/>
          </w:tcPr>
          <w:p w14:paraId="4792DFFF" w14:textId="77777777" w:rsidR="00840E7A" w:rsidRPr="00900ADE" w:rsidRDefault="00840E7A">
            <w:pPr>
              <w:pStyle w:val="TableTextCentered"/>
              <w:rPr>
                <w:rFonts w:eastAsia="Times New Roman"/>
              </w:rPr>
            </w:pPr>
            <w:r w:rsidRPr="00900ADE">
              <w:rPr>
                <w:rFonts w:eastAsia="Times New Roman"/>
              </w:rPr>
              <w:t>6</w:t>
            </w:r>
          </w:p>
        </w:tc>
        <w:tc>
          <w:tcPr>
            <w:tcW w:w="694" w:type="dxa"/>
          </w:tcPr>
          <w:p w14:paraId="68A81340" w14:textId="77777777" w:rsidR="00840E7A" w:rsidRPr="00900ADE" w:rsidRDefault="00840E7A">
            <w:pPr>
              <w:pStyle w:val="TableTextCentered"/>
              <w:rPr>
                <w:rFonts w:eastAsia="Times New Roman"/>
              </w:rPr>
            </w:pPr>
            <w:r w:rsidRPr="00900ADE">
              <w:rPr>
                <w:rFonts w:eastAsia="Times New Roman"/>
              </w:rPr>
              <w:t>7</w:t>
            </w:r>
          </w:p>
        </w:tc>
        <w:tc>
          <w:tcPr>
            <w:tcW w:w="694" w:type="dxa"/>
          </w:tcPr>
          <w:p w14:paraId="12F76162" w14:textId="77777777" w:rsidR="00840E7A" w:rsidRPr="00900ADE" w:rsidRDefault="00840E7A">
            <w:pPr>
              <w:pStyle w:val="TableTextCentered"/>
              <w:rPr>
                <w:rFonts w:eastAsia="Times New Roman"/>
              </w:rPr>
            </w:pPr>
            <w:r w:rsidRPr="00900ADE">
              <w:rPr>
                <w:rFonts w:eastAsia="Times New Roman"/>
              </w:rPr>
              <w:t>3</w:t>
            </w:r>
          </w:p>
        </w:tc>
        <w:tc>
          <w:tcPr>
            <w:tcW w:w="694" w:type="dxa"/>
            <w:vAlign w:val="center"/>
          </w:tcPr>
          <w:p w14:paraId="375FABFE"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6C55FC5F"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39BFC531" w14:textId="77777777" w:rsidR="00840E7A" w:rsidRPr="00900ADE" w:rsidRDefault="00840E7A">
            <w:pPr>
              <w:pStyle w:val="TableTextCentered"/>
              <w:rPr>
                <w:rFonts w:eastAsia="Times New Roman"/>
              </w:rPr>
            </w:pPr>
            <w:r w:rsidRPr="00900ADE">
              <w:rPr>
                <w:rFonts w:eastAsia="Times New Roman"/>
              </w:rPr>
              <w:t>20</w:t>
            </w:r>
          </w:p>
        </w:tc>
        <w:tc>
          <w:tcPr>
            <w:tcW w:w="866" w:type="dxa"/>
          </w:tcPr>
          <w:p w14:paraId="0CFCCC3C" w14:textId="77777777" w:rsidR="00840E7A" w:rsidRPr="00900ADE" w:rsidRDefault="00840E7A">
            <w:pPr>
              <w:pStyle w:val="TableTextCentered"/>
              <w:rPr>
                <w:rFonts w:eastAsia="Times New Roman"/>
              </w:rPr>
            </w:pPr>
            <w:r w:rsidRPr="00900ADE">
              <w:rPr>
                <w:rFonts w:eastAsia="Times New Roman"/>
              </w:rPr>
              <w:t>3.4</w:t>
            </w:r>
          </w:p>
        </w:tc>
      </w:tr>
      <w:tr w:rsidR="00840E7A" w:rsidRPr="00900ADE" w14:paraId="027D1980" w14:textId="77777777" w:rsidTr="00284CD2">
        <w:tc>
          <w:tcPr>
            <w:tcW w:w="3096" w:type="dxa"/>
            <w:vAlign w:val="center"/>
          </w:tcPr>
          <w:p w14:paraId="338D65A5" w14:textId="77777777" w:rsidR="00840E7A" w:rsidRPr="00900ADE" w:rsidRDefault="00840E7A">
            <w:pPr>
              <w:pStyle w:val="TableText"/>
              <w:ind w:left="204"/>
              <w:rPr>
                <w:b/>
                <w:bCs/>
              </w:rPr>
            </w:pPr>
            <w:r w:rsidRPr="00900ADE">
              <w:t>Analysis and Inquiry</w:t>
            </w:r>
          </w:p>
        </w:tc>
        <w:tc>
          <w:tcPr>
            <w:tcW w:w="694" w:type="dxa"/>
          </w:tcPr>
          <w:p w14:paraId="528142C2" w14:textId="77777777" w:rsidR="00840E7A" w:rsidRPr="00900ADE" w:rsidRDefault="00840E7A">
            <w:pPr>
              <w:pStyle w:val="TableTextCentered"/>
              <w:rPr>
                <w:rFonts w:eastAsia="Times New Roman"/>
              </w:rPr>
            </w:pPr>
            <w:r w:rsidRPr="00900ADE">
              <w:rPr>
                <w:rFonts w:eastAsia="Times New Roman"/>
              </w:rPr>
              <w:t>3</w:t>
            </w:r>
          </w:p>
        </w:tc>
        <w:tc>
          <w:tcPr>
            <w:tcW w:w="666" w:type="dxa"/>
          </w:tcPr>
          <w:p w14:paraId="43EAE1D2" w14:textId="77777777" w:rsidR="00840E7A" w:rsidRPr="00900ADE" w:rsidRDefault="00840E7A">
            <w:pPr>
              <w:pStyle w:val="TableTextCentered"/>
              <w:rPr>
                <w:rFonts w:eastAsia="Times New Roman"/>
              </w:rPr>
            </w:pPr>
            <w:r w:rsidRPr="00900ADE">
              <w:rPr>
                <w:rFonts w:eastAsia="Times New Roman"/>
              </w:rPr>
              <w:t>7</w:t>
            </w:r>
          </w:p>
        </w:tc>
        <w:tc>
          <w:tcPr>
            <w:tcW w:w="724" w:type="dxa"/>
          </w:tcPr>
          <w:p w14:paraId="24E60ADC" w14:textId="77777777" w:rsidR="00840E7A" w:rsidRPr="00900ADE" w:rsidRDefault="00840E7A">
            <w:pPr>
              <w:pStyle w:val="TableTextCentered"/>
              <w:rPr>
                <w:rFonts w:eastAsia="Times New Roman"/>
              </w:rPr>
            </w:pPr>
            <w:r w:rsidRPr="00900ADE">
              <w:rPr>
                <w:rFonts w:eastAsia="Times New Roman"/>
              </w:rPr>
              <w:t>6</w:t>
            </w:r>
          </w:p>
        </w:tc>
        <w:tc>
          <w:tcPr>
            <w:tcW w:w="694" w:type="dxa"/>
          </w:tcPr>
          <w:p w14:paraId="283B5E09" w14:textId="77777777" w:rsidR="00840E7A" w:rsidRPr="00900ADE" w:rsidRDefault="00840E7A">
            <w:pPr>
              <w:pStyle w:val="TableTextCentered"/>
              <w:rPr>
                <w:rFonts w:eastAsia="Times New Roman"/>
              </w:rPr>
            </w:pPr>
            <w:r w:rsidRPr="00900ADE">
              <w:rPr>
                <w:rFonts w:eastAsia="Times New Roman"/>
              </w:rPr>
              <w:t>3</w:t>
            </w:r>
          </w:p>
        </w:tc>
        <w:tc>
          <w:tcPr>
            <w:tcW w:w="694" w:type="dxa"/>
          </w:tcPr>
          <w:p w14:paraId="08933705" w14:textId="77777777" w:rsidR="00840E7A" w:rsidRPr="00900ADE" w:rsidRDefault="00840E7A">
            <w:pPr>
              <w:pStyle w:val="TableTextCentered"/>
              <w:rPr>
                <w:rFonts w:eastAsia="Times New Roman"/>
              </w:rPr>
            </w:pPr>
            <w:r w:rsidRPr="00900ADE">
              <w:rPr>
                <w:rFonts w:eastAsia="Times New Roman"/>
              </w:rPr>
              <w:t>1</w:t>
            </w:r>
          </w:p>
        </w:tc>
        <w:tc>
          <w:tcPr>
            <w:tcW w:w="694" w:type="dxa"/>
            <w:vAlign w:val="center"/>
          </w:tcPr>
          <w:p w14:paraId="12B273B1"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630CFB9B"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041D4CE4" w14:textId="77777777" w:rsidR="00840E7A" w:rsidRPr="00900ADE" w:rsidRDefault="00840E7A">
            <w:pPr>
              <w:pStyle w:val="TableTextCentered"/>
              <w:rPr>
                <w:rFonts w:eastAsia="Times New Roman"/>
              </w:rPr>
            </w:pPr>
            <w:r w:rsidRPr="00900ADE">
              <w:rPr>
                <w:rFonts w:eastAsia="Times New Roman"/>
              </w:rPr>
              <w:t>20</w:t>
            </w:r>
          </w:p>
        </w:tc>
        <w:tc>
          <w:tcPr>
            <w:tcW w:w="866" w:type="dxa"/>
          </w:tcPr>
          <w:p w14:paraId="731B89A9" w14:textId="77777777" w:rsidR="00840E7A" w:rsidRPr="00900ADE" w:rsidRDefault="00840E7A">
            <w:pPr>
              <w:pStyle w:val="TableTextCentered"/>
              <w:rPr>
                <w:rFonts w:eastAsia="Times New Roman"/>
              </w:rPr>
            </w:pPr>
            <w:r w:rsidRPr="00900ADE">
              <w:rPr>
                <w:rFonts w:eastAsia="Times New Roman"/>
              </w:rPr>
              <w:t>2.6</w:t>
            </w:r>
          </w:p>
        </w:tc>
      </w:tr>
      <w:tr w:rsidR="00284CD2" w:rsidRPr="00900ADE" w14:paraId="1C38E937" w14:textId="77777777" w:rsidTr="00284CD2">
        <w:tc>
          <w:tcPr>
            <w:tcW w:w="3096" w:type="dxa"/>
            <w:vAlign w:val="center"/>
          </w:tcPr>
          <w:p w14:paraId="1447F5C8" w14:textId="77777777" w:rsidR="00840E7A" w:rsidRPr="00900ADE" w:rsidRDefault="00840E7A">
            <w:pPr>
              <w:pStyle w:val="TableText"/>
              <w:ind w:left="204"/>
              <w:rPr>
                <w:b/>
                <w:bCs/>
              </w:rPr>
            </w:pPr>
            <w:r w:rsidRPr="00900ADE">
              <w:t>Quality of Feedback</w:t>
            </w:r>
          </w:p>
        </w:tc>
        <w:tc>
          <w:tcPr>
            <w:tcW w:w="694" w:type="dxa"/>
          </w:tcPr>
          <w:p w14:paraId="27ACA891" w14:textId="77777777" w:rsidR="00840E7A" w:rsidRPr="00900ADE" w:rsidRDefault="00840E7A">
            <w:pPr>
              <w:pStyle w:val="TableTextCentered"/>
              <w:rPr>
                <w:rFonts w:eastAsia="Times New Roman"/>
              </w:rPr>
            </w:pPr>
            <w:r w:rsidRPr="00900ADE">
              <w:rPr>
                <w:rFonts w:eastAsia="Times New Roman"/>
              </w:rPr>
              <w:t>6</w:t>
            </w:r>
          </w:p>
        </w:tc>
        <w:tc>
          <w:tcPr>
            <w:tcW w:w="666" w:type="dxa"/>
          </w:tcPr>
          <w:p w14:paraId="25CB81EB" w14:textId="77777777" w:rsidR="00840E7A" w:rsidRPr="00900ADE" w:rsidRDefault="00840E7A">
            <w:pPr>
              <w:pStyle w:val="TableTextCentered"/>
              <w:rPr>
                <w:rFonts w:eastAsia="Times New Roman"/>
              </w:rPr>
            </w:pPr>
            <w:r w:rsidRPr="00900ADE">
              <w:rPr>
                <w:rFonts w:eastAsia="Times New Roman"/>
              </w:rPr>
              <w:t>4</w:t>
            </w:r>
          </w:p>
        </w:tc>
        <w:tc>
          <w:tcPr>
            <w:tcW w:w="724" w:type="dxa"/>
          </w:tcPr>
          <w:p w14:paraId="0B43D38A" w14:textId="77777777" w:rsidR="00840E7A" w:rsidRPr="00900ADE" w:rsidRDefault="00840E7A">
            <w:pPr>
              <w:pStyle w:val="TableTextCentered"/>
              <w:rPr>
                <w:rFonts w:eastAsia="Times New Roman"/>
              </w:rPr>
            </w:pPr>
            <w:r w:rsidRPr="00900ADE">
              <w:rPr>
                <w:rFonts w:eastAsia="Times New Roman"/>
              </w:rPr>
              <w:t>3</w:t>
            </w:r>
          </w:p>
        </w:tc>
        <w:tc>
          <w:tcPr>
            <w:tcW w:w="694" w:type="dxa"/>
          </w:tcPr>
          <w:p w14:paraId="44170D54" w14:textId="77777777" w:rsidR="00840E7A" w:rsidRPr="00900ADE" w:rsidRDefault="00840E7A">
            <w:pPr>
              <w:pStyle w:val="TableTextCentered"/>
              <w:rPr>
                <w:rFonts w:eastAsia="Times New Roman"/>
              </w:rPr>
            </w:pPr>
            <w:r w:rsidRPr="00900ADE">
              <w:rPr>
                <w:rFonts w:eastAsia="Times New Roman"/>
              </w:rPr>
              <w:t>5</w:t>
            </w:r>
          </w:p>
        </w:tc>
        <w:tc>
          <w:tcPr>
            <w:tcW w:w="694" w:type="dxa"/>
          </w:tcPr>
          <w:p w14:paraId="43673232" w14:textId="77777777" w:rsidR="00840E7A" w:rsidRPr="00900ADE" w:rsidRDefault="00840E7A">
            <w:pPr>
              <w:pStyle w:val="TableTextCentered"/>
              <w:rPr>
                <w:rFonts w:eastAsia="Times New Roman"/>
              </w:rPr>
            </w:pPr>
            <w:r w:rsidRPr="00900ADE">
              <w:rPr>
                <w:rFonts w:eastAsia="Times New Roman"/>
              </w:rPr>
              <w:t>2</w:t>
            </w:r>
          </w:p>
        </w:tc>
        <w:tc>
          <w:tcPr>
            <w:tcW w:w="694" w:type="dxa"/>
            <w:vAlign w:val="center"/>
          </w:tcPr>
          <w:p w14:paraId="68FD8A78"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61B6036B"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1EAE1A4E" w14:textId="77777777" w:rsidR="00840E7A" w:rsidRPr="00900ADE" w:rsidRDefault="00840E7A">
            <w:pPr>
              <w:pStyle w:val="TableTextCentered"/>
              <w:rPr>
                <w:rFonts w:eastAsia="Times New Roman"/>
              </w:rPr>
            </w:pPr>
            <w:r w:rsidRPr="00900ADE">
              <w:rPr>
                <w:rFonts w:eastAsia="Times New Roman"/>
              </w:rPr>
              <w:t>20</w:t>
            </w:r>
          </w:p>
        </w:tc>
        <w:tc>
          <w:tcPr>
            <w:tcW w:w="866" w:type="dxa"/>
          </w:tcPr>
          <w:p w14:paraId="1833F489" w14:textId="77777777" w:rsidR="00840E7A" w:rsidRPr="00900ADE" w:rsidRDefault="00840E7A">
            <w:pPr>
              <w:pStyle w:val="TableTextCentered"/>
              <w:rPr>
                <w:rFonts w:eastAsia="Times New Roman"/>
              </w:rPr>
            </w:pPr>
            <w:r w:rsidRPr="00900ADE">
              <w:rPr>
                <w:rFonts w:eastAsia="Times New Roman"/>
              </w:rPr>
              <w:t>2.7</w:t>
            </w:r>
          </w:p>
        </w:tc>
      </w:tr>
      <w:tr w:rsidR="00840E7A" w:rsidRPr="00900ADE" w14:paraId="07EAE066" w14:textId="77777777" w:rsidTr="00284CD2">
        <w:tc>
          <w:tcPr>
            <w:tcW w:w="3096" w:type="dxa"/>
            <w:vAlign w:val="center"/>
          </w:tcPr>
          <w:p w14:paraId="4E57945C" w14:textId="77777777" w:rsidR="00840E7A" w:rsidRPr="00900ADE" w:rsidRDefault="00840E7A">
            <w:pPr>
              <w:pStyle w:val="TableText"/>
              <w:ind w:left="204"/>
              <w:rPr>
                <w:b/>
                <w:bCs/>
              </w:rPr>
            </w:pPr>
            <w:r w:rsidRPr="00900ADE">
              <w:t>Instructional Dialogue</w:t>
            </w:r>
          </w:p>
        </w:tc>
        <w:tc>
          <w:tcPr>
            <w:tcW w:w="694" w:type="dxa"/>
          </w:tcPr>
          <w:p w14:paraId="10E35BCD" w14:textId="77777777" w:rsidR="00840E7A" w:rsidRPr="00900ADE" w:rsidRDefault="00840E7A">
            <w:pPr>
              <w:pStyle w:val="TableTextCentered"/>
              <w:rPr>
                <w:rFonts w:eastAsia="Times New Roman"/>
              </w:rPr>
            </w:pPr>
            <w:r w:rsidRPr="00900ADE">
              <w:rPr>
                <w:rFonts w:eastAsia="Times New Roman"/>
              </w:rPr>
              <w:t>5</w:t>
            </w:r>
          </w:p>
        </w:tc>
        <w:tc>
          <w:tcPr>
            <w:tcW w:w="666" w:type="dxa"/>
          </w:tcPr>
          <w:p w14:paraId="7D457ACC" w14:textId="77777777" w:rsidR="00840E7A" w:rsidRPr="00900ADE" w:rsidRDefault="00840E7A">
            <w:pPr>
              <w:pStyle w:val="TableTextCentered"/>
              <w:rPr>
                <w:rFonts w:eastAsia="Times New Roman"/>
              </w:rPr>
            </w:pPr>
            <w:r w:rsidRPr="00900ADE">
              <w:rPr>
                <w:rFonts w:eastAsia="Times New Roman"/>
              </w:rPr>
              <w:t>4</w:t>
            </w:r>
          </w:p>
        </w:tc>
        <w:tc>
          <w:tcPr>
            <w:tcW w:w="724" w:type="dxa"/>
          </w:tcPr>
          <w:p w14:paraId="6D84CE35" w14:textId="77777777" w:rsidR="00840E7A" w:rsidRPr="00900ADE" w:rsidRDefault="00840E7A">
            <w:pPr>
              <w:pStyle w:val="TableTextCentered"/>
              <w:rPr>
                <w:rFonts w:eastAsia="Times New Roman"/>
              </w:rPr>
            </w:pPr>
            <w:r w:rsidRPr="00900ADE">
              <w:rPr>
                <w:rFonts w:eastAsia="Times New Roman"/>
              </w:rPr>
              <w:t>5</w:t>
            </w:r>
          </w:p>
        </w:tc>
        <w:tc>
          <w:tcPr>
            <w:tcW w:w="694" w:type="dxa"/>
          </w:tcPr>
          <w:p w14:paraId="1AE7A8E3" w14:textId="77777777" w:rsidR="00840E7A" w:rsidRPr="00900ADE" w:rsidRDefault="00840E7A">
            <w:pPr>
              <w:pStyle w:val="TableTextCentered"/>
              <w:rPr>
                <w:rFonts w:eastAsia="Times New Roman"/>
              </w:rPr>
            </w:pPr>
            <w:r w:rsidRPr="00900ADE">
              <w:rPr>
                <w:rFonts w:eastAsia="Times New Roman"/>
              </w:rPr>
              <w:t>4</w:t>
            </w:r>
          </w:p>
        </w:tc>
        <w:tc>
          <w:tcPr>
            <w:tcW w:w="694" w:type="dxa"/>
          </w:tcPr>
          <w:p w14:paraId="4446DA04" w14:textId="77777777" w:rsidR="00840E7A" w:rsidRPr="00900ADE" w:rsidRDefault="00840E7A">
            <w:pPr>
              <w:pStyle w:val="TableTextCentered"/>
              <w:rPr>
                <w:rFonts w:eastAsia="Times New Roman"/>
              </w:rPr>
            </w:pPr>
            <w:r w:rsidRPr="00900ADE">
              <w:rPr>
                <w:rFonts w:eastAsia="Times New Roman"/>
              </w:rPr>
              <w:t>2</w:t>
            </w:r>
          </w:p>
        </w:tc>
        <w:tc>
          <w:tcPr>
            <w:tcW w:w="694" w:type="dxa"/>
            <w:vAlign w:val="center"/>
          </w:tcPr>
          <w:p w14:paraId="6D26A537" w14:textId="77777777" w:rsidR="00840E7A" w:rsidRPr="00900ADE" w:rsidRDefault="00840E7A">
            <w:pPr>
              <w:pStyle w:val="TableTextCentered"/>
              <w:rPr>
                <w:rFonts w:eastAsia="Times New Roman"/>
              </w:rPr>
            </w:pPr>
            <w:r w:rsidRPr="00900ADE">
              <w:rPr>
                <w:rFonts w:eastAsia="Times New Roman"/>
              </w:rPr>
              <w:t>0</w:t>
            </w:r>
          </w:p>
        </w:tc>
        <w:tc>
          <w:tcPr>
            <w:tcW w:w="694" w:type="dxa"/>
            <w:vAlign w:val="center"/>
          </w:tcPr>
          <w:p w14:paraId="7E9D200B" w14:textId="77777777" w:rsidR="00840E7A" w:rsidRPr="00900ADE" w:rsidRDefault="00840E7A">
            <w:pPr>
              <w:pStyle w:val="TableTextCentered"/>
              <w:rPr>
                <w:rFonts w:eastAsia="Times New Roman"/>
              </w:rPr>
            </w:pPr>
            <w:r w:rsidRPr="00900ADE">
              <w:rPr>
                <w:rFonts w:eastAsia="Times New Roman"/>
              </w:rPr>
              <w:t>0</w:t>
            </w:r>
          </w:p>
        </w:tc>
        <w:tc>
          <w:tcPr>
            <w:tcW w:w="522" w:type="dxa"/>
          </w:tcPr>
          <w:p w14:paraId="6CE349F1" w14:textId="77777777" w:rsidR="00840E7A" w:rsidRPr="00900ADE" w:rsidRDefault="00840E7A">
            <w:pPr>
              <w:pStyle w:val="TableTextCentered"/>
              <w:rPr>
                <w:rFonts w:eastAsia="Times New Roman"/>
              </w:rPr>
            </w:pPr>
            <w:r w:rsidRPr="00900ADE">
              <w:rPr>
                <w:rFonts w:eastAsia="Times New Roman"/>
              </w:rPr>
              <w:t>20</w:t>
            </w:r>
          </w:p>
        </w:tc>
        <w:tc>
          <w:tcPr>
            <w:tcW w:w="866" w:type="dxa"/>
          </w:tcPr>
          <w:p w14:paraId="66989DCE" w14:textId="77777777" w:rsidR="00840E7A" w:rsidRPr="00900ADE" w:rsidRDefault="00840E7A">
            <w:pPr>
              <w:pStyle w:val="TableTextCentered"/>
              <w:rPr>
                <w:rFonts w:eastAsia="Times New Roman"/>
              </w:rPr>
            </w:pPr>
            <w:r w:rsidRPr="00900ADE">
              <w:rPr>
                <w:rFonts w:eastAsia="Times New Roman"/>
              </w:rPr>
              <w:t>2.7</w:t>
            </w:r>
          </w:p>
        </w:tc>
      </w:tr>
      <w:tr w:rsidR="00840E7A" w:rsidRPr="00900ADE" w14:paraId="7B4D9791" w14:textId="77777777" w:rsidTr="00284CD2">
        <w:tc>
          <w:tcPr>
            <w:tcW w:w="3096" w:type="dxa"/>
            <w:shd w:val="clear" w:color="auto" w:fill="D9E2F3" w:themeFill="accent5" w:themeFillTint="33"/>
            <w:vAlign w:val="center"/>
          </w:tcPr>
          <w:p w14:paraId="58AF667F" w14:textId="77777777" w:rsidR="00840E7A" w:rsidRPr="00900ADE" w:rsidRDefault="00840E7A">
            <w:pPr>
              <w:pStyle w:val="TableSubheading"/>
            </w:pPr>
            <w:r w:rsidRPr="00900ADE">
              <w:t>Student Engagement</w:t>
            </w:r>
          </w:p>
        </w:tc>
        <w:tc>
          <w:tcPr>
            <w:tcW w:w="694" w:type="dxa"/>
            <w:shd w:val="clear" w:color="auto" w:fill="D9E2F3" w:themeFill="accent5" w:themeFillTint="33"/>
          </w:tcPr>
          <w:p w14:paraId="5BFBEDE0" w14:textId="77777777" w:rsidR="00840E7A" w:rsidRPr="00900ADE" w:rsidRDefault="00840E7A">
            <w:pPr>
              <w:pStyle w:val="TableTextCenteredDemi"/>
              <w:rPr>
                <w:rFonts w:eastAsia="Times New Roman"/>
                <w:bCs/>
              </w:rPr>
            </w:pPr>
            <w:r w:rsidRPr="00900ADE">
              <w:rPr>
                <w:rFonts w:eastAsia="Times New Roman"/>
                <w:bCs/>
              </w:rPr>
              <w:t>0</w:t>
            </w:r>
          </w:p>
        </w:tc>
        <w:tc>
          <w:tcPr>
            <w:tcW w:w="666" w:type="dxa"/>
            <w:shd w:val="clear" w:color="auto" w:fill="D9E2F3" w:themeFill="accent5" w:themeFillTint="33"/>
          </w:tcPr>
          <w:p w14:paraId="6AE19F1C" w14:textId="77777777" w:rsidR="00840E7A" w:rsidRPr="00900ADE" w:rsidRDefault="00840E7A">
            <w:pPr>
              <w:pStyle w:val="TableTextCenteredDemi"/>
              <w:rPr>
                <w:rFonts w:eastAsia="Times New Roman"/>
                <w:bCs/>
              </w:rPr>
            </w:pPr>
            <w:r w:rsidRPr="00900ADE">
              <w:rPr>
                <w:rFonts w:eastAsia="Times New Roman"/>
                <w:bCs/>
              </w:rPr>
              <w:t>3</w:t>
            </w:r>
          </w:p>
        </w:tc>
        <w:tc>
          <w:tcPr>
            <w:tcW w:w="724" w:type="dxa"/>
            <w:shd w:val="clear" w:color="auto" w:fill="D9E2F3" w:themeFill="accent5" w:themeFillTint="33"/>
          </w:tcPr>
          <w:p w14:paraId="6CA1F539" w14:textId="77777777" w:rsidR="00840E7A" w:rsidRPr="00900ADE" w:rsidRDefault="00840E7A">
            <w:pPr>
              <w:pStyle w:val="TableTextCenteredDemi"/>
              <w:rPr>
                <w:rFonts w:eastAsia="Times New Roman"/>
                <w:bCs/>
              </w:rPr>
            </w:pPr>
            <w:r w:rsidRPr="00900ADE">
              <w:rPr>
                <w:rFonts w:eastAsia="Times New Roman"/>
                <w:bCs/>
              </w:rPr>
              <w:t>6</w:t>
            </w:r>
          </w:p>
        </w:tc>
        <w:tc>
          <w:tcPr>
            <w:tcW w:w="694" w:type="dxa"/>
            <w:shd w:val="clear" w:color="auto" w:fill="D9E2F3" w:themeFill="accent5" w:themeFillTint="33"/>
          </w:tcPr>
          <w:p w14:paraId="1C4975E2" w14:textId="77777777" w:rsidR="00840E7A" w:rsidRPr="00900ADE" w:rsidRDefault="00840E7A">
            <w:pPr>
              <w:pStyle w:val="TableTextCenteredDemi"/>
              <w:rPr>
                <w:rFonts w:eastAsia="Times New Roman"/>
                <w:bCs/>
              </w:rPr>
            </w:pPr>
            <w:r w:rsidRPr="00900ADE">
              <w:rPr>
                <w:rFonts w:eastAsia="Times New Roman"/>
                <w:bCs/>
              </w:rPr>
              <w:t>4</w:t>
            </w:r>
          </w:p>
        </w:tc>
        <w:tc>
          <w:tcPr>
            <w:tcW w:w="694" w:type="dxa"/>
            <w:shd w:val="clear" w:color="auto" w:fill="D9E2F3" w:themeFill="accent5" w:themeFillTint="33"/>
          </w:tcPr>
          <w:p w14:paraId="493C216A" w14:textId="77777777" w:rsidR="00840E7A" w:rsidRPr="00900ADE" w:rsidRDefault="00840E7A">
            <w:pPr>
              <w:pStyle w:val="TableTextCenteredDemi"/>
              <w:rPr>
                <w:rFonts w:eastAsia="Times New Roman"/>
                <w:bCs/>
              </w:rPr>
            </w:pPr>
            <w:r w:rsidRPr="00900ADE">
              <w:rPr>
                <w:rFonts w:eastAsia="Times New Roman"/>
                <w:bCs/>
              </w:rPr>
              <w:t>3</w:t>
            </w:r>
          </w:p>
        </w:tc>
        <w:tc>
          <w:tcPr>
            <w:tcW w:w="694" w:type="dxa"/>
            <w:shd w:val="clear" w:color="auto" w:fill="D9E2F3" w:themeFill="accent5" w:themeFillTint="33"/>
            <w:vAlign w:val="center"/>
          </w:tcPr>
          <w:p w14:paraId="22DAAFD5" w14:textId="77777777" w:rsidR="00840E7A" w:rsidRPr="00900ADE" w:rsidRDefault="00840E7A">
            <w:pPr>
              <w:pStyle w:val="TableTextCenteredDemi"/>
              <w:rPr>
                <w:rFonts w:eastAsia="Times New Roman"/>
                <w:bCs/>
              </w:rPr>
            </w:pPr>
            <w:r w:rsidRPr="00900ADE">
              <w:rPr>
                <w:rFonts w:eastAsia="Times New Roman"/>
                <w:bCs/>
              </w:rPr>
              <w:t>4</w:t>
            </w:r>
          </w:p>
        </w:tc>
        <w:tc>
          <w:tcPr>
            <w:tcW w:w="694" w:type="dxa"/>
            <w:shd w:val="clear" w:color="auto" w:fill="D9E2F3" w:themeFill="accent5" w:themeFillTint="33"/>
            <w:vAlign w:val="center"/>
          </w:tcPr>
          <w:p w14:paraId="3A984D6E" w14:textId="77777777" w:rsidR="00840E7A" w:rsidRPr="00900ADE" w:rsidRDefault="00840E7A">
            <w:pPr>
              <w:pStyle w:val="TableTextCenteredDemi"/>
              <w:rPr>
                <w:rFonts w:eastAsia="Times New Roman"/>
                <w:bCs/>
              </w:rPr>
            </w:pPr>
            <w:r w:rsidRPr="00900ADE">
              <w:rPr>
                <w:rFonts w:eastAsia="Times New Roman"/>
                <w:bCs/>
              </w:rPr>
              <w:t>0</w:t>
            </w:r>
          </w:p>
        </w:tc>
        <w:tc>
          <w:tcPr>
            <w:tcW w:w="522" w:type="dxa"/>
            <w:shd w:val="clear" w:color="auto" w:fill="D9E2F3" w:themeFill="accent5" w:themeFillTint="33"/>
          </w:tcPr>
          <w:p w14:paraId="7FDF40A3" w14:textId="77777777" w:rsidR="00840E7A" w:rsidRPr="00900ADE" w:rsidRDefault="00840E7A">
            <w:pPr>
              <w:pStyle w:val="TableTextCenteredDemi"/>
              <w:rPr>
                <w:rFonts w:eastAsia="Times New Roman"/>
                <w:bCs/>
              </w:rPr>
            </w:pPr>
            <w:r w:rsidRPr="00900ADE">
              <w:rPr>
                <w:rFonts w:eastAsia="Times New Roman"/>
                <w:bCs/>
              </w:rPr>
              <w:t>20</w:t>
            </w:r>
          </w:p>
        </w:tc>
        <w:tc>
          <w:tcPr>
            <w:tcW w:w="866" w:type="dxa"/>
            <w:shd w:val="clear" w:color="auto" w:fill="D9E2F3" w:themeFill="accent5" w:themeFillTint="33"/>
          </w:tcPr>
          <w:p w14:paraId="32BF9897" w14:textId="77777777" w:rsidR="00840E7A" w:rsidRPr="00900ADE" w:rsidRDefault="00840E7A">
            <w:pPr>
              <w:pStyle w:val="TableTextCenteredDemi"/>
              <w:rPr>
                <w:rFonts w:eastAsia="Times New Roman"/>
                <w:bCs/>
              </w:rPr>
            </w:pPr>
            <w:r w:rsidRPr="00900ADE">
              <w:rPr>
                <w:rFonts w:eastAsia="Times New Roman"/>
                <w:bCs/>
              </w:rPr>
              <w:t>4.0</w:t>
            </w:r>
          </w:p>
        </w:tc>
      </w:tr>
    </w:tbl>
    <w:p w14:paraId="6ABC9726" w14:textId="77777777" w:rsidR="00840E7A" w:rsidRPr="00900ADE" w:rsidRDefault="00840E7A">
      <w:pPr>
        <w:pStyle w:val="TableNote"/>
        <w:rPr>
          <w:szCs w:val="20"/>
        </w:rPr>
      </w:pPr>
      <w:r w:rsidRPr="00900ADE">
        <w:t xml:space="preserve">*The district average is an average of the scores. For example, for Positive Climate, the district average is computed as: </w:t>
      </w:r>
      <w:bookmarkStart w:id="189" w:name="High_PC_Calc"/>
      <w:r w:rsidRPr="00900ADE">
        <w:rPr>
          <w:szCs w:val="20"/>
        </w:rPr>
        <w:t>([3 x 2] + [4 x 8] + [5 x 6] + [6 x 4]) ÷ 20 observations = 4.6</w:t>
      </w:r>
      <w:bookmarkEnd w:id="189"/>
    </w:p>
    <w:p w14:paraId="5FFF8836" w14:textId="77777777" w:rsidR="00840E7A" w:rsidRPr="00900ADE" w:rsidRDefault="00840E7A">
      <w:pPr>
        <w:pStyle w:val="TableNote"/>
      </w:pPr>
      <w:r w:rsidRPr="00900ADE">
        <w:t xml:space="preserve">**Negative Climate is rated on an inverse scale. An original score of 1 is given a value of 7. The scoring in the table reflects the normalized adjustment: </w:t>
      </w:r>
      <w:bookmarkStart w:id="190" w:name="High_NC_Calc"/>
      <w:r w:rsidRPr="00900ADE">
        <w:t>([6 x 2] + [7 x 18]) ÷ 20 observations = 6.9</w:t>
      </w:r>
      <w:bookmarkEnd w:id="190"/>
    </w:p>
    <w:p w14:paraId="69195FAC" w14:textId="77777777" w:rsidR="00840E7A" w:rsidRPr="00900ADE" w:rsidRDefault="00840E7A">
      <w:pPr>
        <w:spacing w:after="160" w:line="259" w:lineRule="auto"/>
        <w:rPr>
          <w:rFonts w:ascii="Times New Roman" w:eastAsia="MS Mincho" w:hAnsi="Times New Roman" w:cs="Times New Roman"/>
          <w:b/>
          <w:sz w:val="20"/>
        </w:rPr>
      </w:pPr>
    </w:p>
    <w:p w14:paraId="0D784472" w14:textId="77777777" w:rsidR="00840E7A" w:rsidRPr="00900ADE" w:rsidRDefault="00840E7A">
      <w:pPr>
        <w:pStyle w:val="Heading2-SIOR"/>
      </w:pPr>
      <w:bookmarkStart w:id="191" w:name="_Toc430114891"/>
      <w:bookmarkStart w:id="192" w:name="_Toc496109993"/>
      <w:bookmarkStart w:id="193" w:name="_Toc92194271"/>
      <w:r w:rsidRPr="00900ADE">
        <w:lastRenderedPageBreak/>
        <w:t>References</w:t>
      </w:r>
      <w:bookmarkEnd w:id="191"/>
      <w:bookmarkEnd w:id="192"/>
      <w:bookmarkEnd w:id="193"/>
    </w:p>
    <w:p w14:paraId="59E67FA9" w14:textId="77777777" w:rsidR="00840E7A" w:rsidRPr="00900ADE" w:rsidRDefault="00840E7A">
      <w:pPr>
        <w:pStyle w:val="Reference"/>
        <w:rPr>
          <w:rStyle w:val="Hyperlink"/>
          <w:rFonts w:eastAsiaTheme="minorEastAsia"/>
        </w:rPr>
      </w:pPr>
      <w:r w:rsidRPr="00900ADE">
        <w:t xml:space="preserve">Center for Advanced Study of Teaching and Learning. (n.d.). </w:t>
      </w:r>
      <w:r w:rsidRPr="00900ADE">
        <w:rPr>
          <w:i/>
        </w:rPr>
        <w:t>Measuring and improving teacher-student interactions in PK−12 settings to enhance students’ learning</w:t>
      </w:r>
      <w:r w:rsidRPr="00900ADE">
        <w:t xml:space="preserve">. Charlottesville, VA: University of Virginia. Retrieved from </w:t>
      </w:r>
      <w:hyperlink r:id="rId39" w:history="1">
        <w:r w:rsidRPr="00900ADE">
          <w:rPr>
            <w:rStyle w:val="Hyperlink"/>
            <w:rFonts w:eastAsiaTheme="minorEastAsia"/>
          </w:rPr>
          <w:t>http://www.teachstone.com/wp-content/uploads/2011/05/class-mtp-pk-12-brief.pdf</w:t>
        </w:r>
      </w:hyperlink>
    </w:p>
    <w:p w14:paraId="7ABC63B6" w14:textId="77777777" w:rsidR="00840E7A" w:rsidRPr="00900ADE" w:rsidRDefault="00840E7A">
      <w:pPr>
        <w:pStyle w:val="Reference"/>
        <w:rPr>
          <w:rStyle w:val="Hyperlink"/>
          <w:rFonts w:eastAsiaTheme="minorEastAsia"/>
        </w:rPr>
      </w:pPr>
      <w:r w:rsidRPr="00900ADE">
        <w:t xml:space="preserve">MET Project. (2010). </w:t>
      </w:r>
      <w:r w:rsidRPr="00900ADE">
        <w:rPr>
          <w:i/>
        </w:rPr>
        <w:t>The CLASS protocol for classroom observations</w:t>
      </w:r>
      <w:r w:rsidRPr="00900ADE">
        <w:t xml:space="preserve">. Seattle, WA: Bill &amp; Melinda Gates Foundation. Retrieved from </w:t>
      </w:r>
      <w:hyperlink r:id="rId40" w:history="1">
        <w:r w:rsidRPr="00900ADE">
          <w:rPr>
            <w:rStyle w:val="Hyperlink"/>
            <w:rFonts w:eastAsiaTheme="minorEastAsia"/>
          </w:rPr>
          <w:t>http://metproject.org/resources/CLASS_10_29_10.pdf</w:t>
        </w:r>
      </w:hyperlink>
    </w:p>
    <w:p w14:paraId="284A3DD9" w14:textId="77777777" w:rsidR="00840E7A" w:rsidRPr="00900ADE" w:rsidRDefault="00840E7A">
      <w:pPr>
        <w:pStyle w:val="Reference"/>
      </w:pPr>
      <w:r w:rsidRPr="004530C5">
        <w:rPr>
          <w:lang w:val="es-ES"/>
        </w:rPr>
        <w:t xml:space="preserve">Pianta, R. C., </w:t>
      </w:r>
      <w:proofErr w:type="spellStart"/>
      <w:r w:rsidRPr="004530C5">
        <w:rPr>
          <w:lang w:val="es-ES"/>
        </w:rPr>
        <w:t>Hamre</w:t>
      </w:r>
      <w:proofErr w:type="spellEnd"/>
      <w:r w:rsidRPr="004530C5">
        <w:rPr>
          <w:lang w:val="es-ES"/>
        </w:rPr>
        <w:t xml:space="preserve">, B. K., &amp; Mintz, S. (2012). </w:t>
      </w:r>
      <w:r w:rsidRPr="00900ADE">
        <w:rPr>
          <w:i/>
        </w:rPr>
        <w:t>Classroom Assessment Scoring System (CLASS) Manual, Secondary.</w:t>
      </w:r>
      <w:r w:rsidRPr="00900ADE">
        <w:t xml:space="preserve"> Charlottesville, VA:</w:t>
      </w:r>
      <w:r w:rsidRPr="00900ADE">
        <w:rPr>
          <w:i/>
        </w:rPr>
        <w:t xml:space="preserve"> </w:t>
      </w:r>
      <w:r w:rsidRPr="00900ADE">
        <w:t>Teachstone.</w:t>
      </w:r>
    </w:p>
    <w:p w14:paraId="433363B5" w14:textId="77777777" w:rsidR="00840E7A" w:rsidRPr="004530C5" w:rsidRDefault="00840E7A">
      <w:pPr>
        <w:pStyle w:val="Reference"/>
        <w:rPr>
          <w:lang w:val="es-ES"/>
        </w:rPr>
      </w:pPr>
      <w:r w:rsidRPr="00900ADE">
        <w:t xml:space="preserve">Pianta, R. C., Hamre, B. K., &amp; Mintz, S. (2012). </w:t>
      </w:r>
      <w:r w:rsidRPr="00900ADE">
        <w:rPr>
          <w:i/>
        </w:rPr>
        <w:t>Classroom Assessment Scoring System (CLASS) Manual, Upper Elementary.</w:t>
      </w:r>
      <w:r w:rsidRPr="00900ADE">
        <w:t xml:space="preserve"> </w:t>
      </w:r>
      <w:r w:rsidRPr="004530C5">
        <w:rPr>
          <w:lang w:val="es-ES"/>
        </w:rPr>
        <w:t>Charlottesville, VA:</w:t>
      </w:r>
      <w:r w:rsidRPr="004530C5">
        <w:rPr>
          <w:i/>
          <w:lang w:val="es-ES"/>
        </w:rPr>
        <w:t xml:space="preserve"> </w:t>
      </w:r>
      <w:r w:rsidRPr="004530C5">
        <w:rPr>
          <w:lang w:val="es-ES"/>
        </w:rPr>
        <w:t>Teachstone.</w:t>
      </w:r>
    </w:p>
    <w:p w14:paraId="2584E13C" w14:textId="77777777" w:rsidR="00840E7A" w:rsidRPr="00900ADE" w:rsidRDefault="00840E7A">
      <w:pPr>
        <w:pStyle w:val="Reference"/>
      </w:pPr>
      <w:r w:rsidRPr="004530C5">
        <w:rPr>
          <w:lang w:val="es-ES"/>
        </w:rPr>
        <w:t xml:space="preserve">Pianta, R. C., La Paro, K. M., &amp; </w:t>
      </w:r>
      <w:proofErr w:type="spellStart"/>
      <w:r w:rsidRPr="004530C5">
        <w:rPr>
          <w:lang w:val="es-ES"/>
        </w:rPr>
        <w:t>Hamre</w:t>
      </w:r>
      <w:proofErr w:type="spellEnd"/>
      <w:r w:rsidRPr="004530C5">
        <w:rPr>
          <w:lang w:val="es-ES"/>
        </w:rPr>
        <w:t xml:space="preserve">, B. K. (2008). </w:t>
      </w:r>
      <w:r w:rsidRPr="00900ADE">
        <w:rPr>
          <w:i/>
        </w:rPr>
        <w:t xml:space="preserve">Classroom Assessment Scoring System (CLASS) Manual, K–3. </w:t>
      </w:r>
      <w:r w:rsidRPr="00900ADE">
        <w:t>Baltimore, MD: Paul H. Brookes Publishing Co.</w:t>
      </w:r>
    </w:p>
    <w:p w14:paraId="4B9142B7" w14:textId="77777777" w:rsidR="00821E46" w:rsidRPr="00900ADE" w:rsidRDefault="00821E46" w:rsidP="00821E46">
      <w:pPr>
        <w:pStyle w:val="BodyTextposthead"/>
      </w:pPr>
    </w:p>
    <w:p w14:paraId="304C07E7" w14:textId="77777777" w:rsidR="00486B55" w:rsidRPr="00900ADE" w:rsidRDefault="00486B55" w:rsidP="00486B55">
      <w:pPr>
        <w:spacing w:line="240" w:lineRule="auto"/>
        <w:sectPr w:rsidR="00486B55" w:rsidRPr="00900ADE" w:rsidSect="00E44E5D">
          <w:headerReference w:type="default" r:id="rId41"/>
          <w:footerReference w:type="default" r:id="rId42"/>
          <w:pgSz w:w="12240" w:h="15840" w:code="1"/>
          <w:pgMar w:top="1008" w:right="1440" w:bottom="1008" w:left="1440" w:header="720" w:footer="720" w:gutter="0"/>
          <w:cols w:space="720"/>
          <w:docGrid w:linePitch="360"/>
        </w:sectPr>
      </w:pPr>
    </w:p>
    <w:p w14:paraId="24DC4234" w14:textId="77777777" w:rsidR="00486B55" w:rsidRPr="00900ADE" w:rsidRDefault="00486B55" w:rsidP="00486B55">
      <w:pPr>
        <w:pStyle w:val="Heading2"/>
      </w:pPr>
      <w:bookmarkStart w:id="194" w:name="_Toc202873116"/>
      <w:r w:rsidRPr="00900ADE">
        <w:lastRenderedPageBreak/>
        <w:t>Appendix C. Resources to Support Implementation of DESE’s District Standards and Indicators</w:t>
      </w:r>
      <w:bookmarkEnd w:id="77"/>
      <w:bookmarkEnd w:id="78"/>
      <w:bookmarkEnd w:id="194"/>
    </w:p>
    <w:p w14:paraId="7D68F27A" w14:textId="77777777" w:rsidR="003737EA" w:rsidRPr="00472F35" w:rsidRDefault="003737EA" w:rsidP="003737EA">
      <w:pPr>
        <w:pStyle w:val="TableTitle0"/>
      </w:pPr>
      <w:r w:rsidRPr="00472F35">
        <w:t>Table C1. Resources to Support Leadership and Governance</w:t>
      </w:r>
    </w:p>
    <w:tbl>
      <w:tblPr>
        <w:tblStyle w:val="MSVTable1"/>
        <w:tblW w:w="5000" w:type="pct"/>
        <w:tblLayout w:type="fixed"/>
        <w:tblLook w:val="0620" w:firstRow="1" w:lastRow="0" w:firstColumn="0" w:lastColumn="0" w:noHBand="1" w:noVBand="1"/>
      </w:tblPr>
      <w:tblGrid>
        <w:gridCol w:w="3592"/>
        <w:gridCol w:w="5752"/>
      </w:tblGrid>
      <w:tr w:rsidR="003737EA" w:rsidRPr="00472F35" w14:paraId="4297E3C9" w14:textId="77777777">
        <w:trPr>
          <w:cnfStyle w:val="100000000000" w:firstRow="1" w:lastRow="0" w:firstColumn="0" w:lastColumn="0" w:oddVBand="0" w:evenVBand="0" w:oddHBand="0" w:evenHBand="0" w:firstRowFirstColumn="0" w:firstRowLastColumn="0" w:lastRowFirstColumn="0" w:lastRowLastColumn="0"/>
        </w:trPr>
        <w:tc>
          <w:tcPr>
            <w:tcW w:w="3592" w:type="dxa"/>
            <w:tcBorders>
              <w:top w:val="single" w:sz="6" w:space="0" w:color="2F5496"/>
              <w:left w:val="single" w:sz="6" w:space="0" w:color="2F5496"/>
              <w:bottom w:val="single" w:sz="6" w:space="0" w:color="2F5496"/>
            </w:tcBorders>
            <w:hideMark/>
          </w:tcPr>
          <w:p w14:paraId="3E2B2A81" w14:textId="77777777" w:rsidR="003737EA" w:rsidRPr="00510408" w:rsidRDefault="003737EA">
            <w:pPr>
              <w:pStyle w:val="TableColHeadingLeft"/>
            </w:pPr>
            <w:r w:rsidRPr="00510408">
              <w:t>Resource</w:t>
            </w:r>
          </w:p>
        </w:tc>
        <w:tc>
          <w:tcPr>
            <w:tcW w:w="5752" w:type="dxa"/>
            <w:tcBorders>
              <w:top w:val="single" w:sz="6" w:space="0" w:color="2F5496"/>
              <w:bottom w:val="single" w:sz="6" w:space="0" w:color="2F5496"/>
              <w:right w:val="single" w:sz="6" w:space="0" w:color="2F5496"/>
            </w:tcBorders>
            <w:hideMark/>
          </w:tcPr>
          <w:p w14:paraId="190A7E31" w14:textId="77777777" w:rsidR="003737EA" w:rsidRPr="00472F35" w:rsidRDefault="003737EA">
            <w:pPr>
              <w:pStyle w:val="TableColHeadingLeft"/>
            </w:pPr>
            <w:r w:rsidRPr="00472F35">
              <w:t>Description</w:t>
            </w:r>
          </w:p>
        </w:tc>
      </w:tr>
      <w:tr w:rsidR="003737EA" w:rsidRPr="00472F35" w14:paraId="3ECA2C12" w14:textId="77777777">
        <w:tc>
          <w:tcPr>
            <w:tcW w:w="3592" w:type="dxa"/>
            <w:tcBorders>
              <w:top w:val="single" w:sz="6" w:space="0" w:color="2F5496"/>
              <w:left w:val="single" w:sz="6" w:space="0" w:color="2F5496"/>
              <w:bottom w:val="single" w:sz="6" w:space="0" w:color="2F5496"/>
              <w:right w:val="single" w:sz="6" w:space="0" w:color="2F5496"/>
            </w:tcBorders>
            <w:hideMark/>
          </w:tcPr>
          <w:p w14:paraId="580A6285" w14:textId="77777777" w:rsidR="003737EA" w:rsidRPr="00472F35" w:rsidRDefault="003737EA">
            <w:pPr>
              <w:pStyle w:val="TableText"/>
              <w:rPr>
                <w:rFonts w:ascii="Franklin Gothic Demi" w:eastAsia="HGGothicE" w:hAnsi="Franklin Gothic Demi" w:cs="Franklin Gothic Book"/>
                <w:bCs/>
              </w:rPr>
            </w:pPr>
            <w:hyperlink r:id="rId43" w:history="1">
              <w:r w:rsidRPr="00472F35">
                <w:rPr>
                  <w:rStyle w:val="Hyperlink"/>
                  <w:rFonts w:ascii="Franklin Gothic Book" w:hAnsi="Franklin Gothic Book" w:cs="Calibri"/>
                  <w:szCs w:val="20"/>
                </w:rPr>
                <w:t>Coherence Guidebook</w:t>
              </w:r>
            </w:hyperlink>
            <w:r>
              <w:t>*</w:t>
            </w:r>
          </w:p>
        </w:tc>
        <w:tc>
          <w:tcPr>
            <w:tcW w:w="5752" w:type="dxa"/>
            <w:tcBorders>
              <w:top w:val="single" w:sz="6" w:space="0" w:color="2F5496"/>
              <w:left w:val="single" w:sz="6" w:space="0" w:color="2F5496"/>
              <w:bottom w:val="single" w:sz="6" w:space="0" w:color="2F5496"/>
              <w:right w:val="single" w:sz="6" w:space="0" w:color="2F5496"/>
            </w:tcBorders>
            <w:hideMark/>
          </w:tcPr>
          <w:p w14:paraId="2172739E" w14:textId="77777777" w:rsidR="003737EA" w:rsidRPr="00472F35" w:rsidRDefault="003737EA">
            <w:pPr>
              <w:pStyle w:val="TableText"/>
              <w:rPr>
                <w:rFonts w:ascii="Franklin Gothic Demi" w:eastAsia="HGGothicE" w:hAnsi="Franklin Gothic Demi" w:cs="Franklin Gothic Book"/>
                <w:bCs/>
              </w:rPr>
            </w:pPr>
            <w:r w:rsidRPr="00472F35">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3737EA" w:rsidRPr="00472F35" w14:paraId="15988E68" w14:textId="77777777">
        <w:tc>
          <w:tcPr>
            <w:tcW w:w="3592" w:type="dxa"/>
            <w:tcBorders>
              <w:top w:val="single" w:sz="6" w:space="0" w:color="2F5496"/>
              <w:left w:val="single" w:sz="6" w:space="0" w:color="2F5496"/>
              <w:bottom w:val="single" w:sz="6" w:space="0" w:color="2F5496"/>
              <w:right w:val="single" w:sz="6" w:space="0" w:color="2F5496"/>
            </w:tcBorders>
          </w:tcPr>
          <w:p w14:paraId="6D0986CD" w14:textId="77777777" w:rsidR="003737EA" w:rsidRPr="00472F35" w:rsidRDefault="003737EA">
            <w:pPr>
              <w:pStyle w:val="TableText"/>
              <w:rPr>
                <w:rFonts w:ascii="Calibri" w:eastAsia="Times New Roman" w:hAnsi="Calibri" w:cs="Calibri"/>
                <w:color w:val="0563C1"/>
                <w:sz w:val="18"/>
                <w:szCs w:val="18"/>
                <w:u w:val="single"/>
              </w:rPr>
            </w:pPr>
            <w:hyperlink r:id="rId44" w:history="1">
              <w:r w:rsidRPr="00472F35">
                <w:rPr>
                  <w:rStyle w:val="Hyperlink"/>
                  <w:rFonts w:ascii="Franklin Gothic Book" w:hAnsi="Franklin Gothic Book" w:cs="Calibri"/>
                  <w:szCs w:val="20"/>
                </w:rPr>
                <w:t>New Superintendent Induction Program (NSIP)</w:t>
              </w:r>
            </w:hyperlink>
          </w:p>
        </w:tc>
        <w:tc>
          <w:tcPr>
            <w:tcW w:w="5752" w:type="dxa"/>
            <w:tcBorders>
              <w:top w:val="single" w:sz="6" w:space="0" w:color="2F5496"/>
              <w:left w:val="single" w:sz="6" w:space="0" w:color="2F5496"/>
              <w:bottom w:val="single" w:sz="6" w:space="0" w:color="2F5496"/>
              <w:right w:val="single" w:sz="6" w:space="0" w:color="2F5496"/>
            </w:tcBorders>
          </w:tcPr>
          <w:p w14:paraId="218565A1" w14:textId="77777777" w:rsidR="003737EA" w:rsidRPr="00472F35" w:rsidRDefault="003737EA">
            <w:pPr>
              <w:pStyle w:val="TableText"/>
              <w:rPr>
                <w:rFonts w:ascii="Calibri" w:eastAsia="Times New Roman" w:hAnsi="Calibri"/>
                <w:color w:val="000000"/>
                <w:sz w:val="18"/>
                <w:szCs w:val="18"/>
              </w:rPr>
            </w:pPr>
            <w:r w:rsidRPr="00472F35">
              <w:rPr>
                <w:color w:val="000000"/>
                <w:szCs w:val="20"/>
              </w:rPr>
              <w:t>In partnership with the Massachusetts Association of School Superintendents, the New Superintendent Induction Program (NSIP) is a three-year professional development program for superintendents in their first 3 years of their position in a Massachusetts school district. The curriculum is aligned to DESE’s Educational Vision and supports new superintendents with developing the skills and competencies to be effective leaders of their school districts.</w:t>
            </w:r>
          </w:p>
        </w:tc>
      </w:tr>
      <w:tr w:rsidR="003737EA" w:rsidRPr="00472F35" w14:paraId="352D45F9" w14:textId="77777777">
        <w:tc>
          <w:tcPr>
            <w:tcW w:w="3592" w:type="dxa"/>
            <w:tcBorders>
              <w:top w:val="single" w:sz="6" w:space="0" w:color="2F5496"/>
              <w:left w:val="single" w:sz="6" w:space="0" w:color="2F5496"/>
              <w:bottom w:val="single" w:sz="6" w:space="0" w:color="2F5496"/>
              <w:right w:val="single" w:sz="6" w:space="0" w:color="2F5496"/>
            </w:tcBorders>
            <w:hideMark/>
          </w:tcPr>
          <w:p w14:paraId="189BF91C" w14:textId="77777777" w:rsidR="003737EA" w:rsidRPr="00472F35" w:rsidRDefault="003737EA">
            <w:pPr>
              <w:pStyle w:val="TableText"/>
              <w:rPr>
                <w:rFonts w:ascii="Franklin Gothic Book" w:eastAsia="Times New Roman" w:hAnsi="Franklin Gothic Book" w:cs="Times New Roman"/>
                <w:bCs/>
                <w:szCs w:val="20"/>
              </w:rPr>
            </w:pPr>
            <w:hyperlink r:id="rId45" w:history="1">
              <w:r w:rsidRPr="00472F35">
                <w:rPr>
                  <w:rStyle w:val="Hyperlink"/>
                  <w:rFonts w:ascii="Franklin Gothic Book" w:hAnsi="Franklin Gothic Book" w:cs="Calibri"/>
                  <w:color w:val="0070C0"/>
                  <w:szCs w:val="20"/>
                </w:rPr>
                <w:t>Principal Induction and Mentoring Handbook</w:t>
              </w:r>
            </w:hyperlink>
          </w:p>
        </w:tc>
        <w:tc>
          <w:tcPr>
            <w:tcW w:w="5752" w:type="dxa"/>
            <w:tcBorders>
              <w:top w:val="single" w:sz="6" w:space="0" w:color="2F5496"/>
              <w:left w:val="single" w:sz="6" w:space="0" w:color="2F5496"/>
              <w:bottom w:val="single" w:sz="6" w:space="0" w:color="2F5496"/>
              <w:right w:val="single" w:sz="6" w:space="0" w:color="2F5496"/>
            </w:tcBorders>
            <w:hideMark/>
          </w:tcPr>
          <w:p w14:paraId="32B06C08" w14:textId="77777777" w:rsidR="003737EA" w:rsidRPr="00472F35" w:rsidRDefault="003737EA">
            <w:pPr>
              <w:pStyle w:val="TableText"/>
              <w:rPr>
                <w:rFonts w:eastAsia="Times New Roman" w:cs="Times New Roman"/>
                <w:bCs/>
                <w:szCs w:val="20"/>
              </w:rPr>
            </w:pPr>
            <w:r w:rsidRPr="00472F35">
              <w:rPr>
                <w:color w:val="000000"/>
                <w:szCs w:val="20"/>
              </w:rPr>
              <w:t>A series of modules designed to support novice principals and their mentors in the development of antiracist leadership competencies aligned to the Professional Standards for Administrative Leadership.</w:t>
            </w:r>
          </w:p>
        </w:tc>
      </w:tr>
      <w:tr w:rsidR="003737EA" w:rsidRPr="00472F35" w14:paraId="304A47D4" w14:textId="77777777">
        <w:tc>
          <w:tcPr>
            <w:tcW w:w="3592" w:type="dxa"/>
            <w:tcBorders>
              <w:top w:val="single" w:sz="6" w:space="0" w:color="2F5496"/>
              <w:left w:val="single" w:sz="6" w:space="0" w:color="2F5496"/>
              <w:bottom w:val="single" w:sz="6" w:space="0" w:color="2F5496"/>
              <w:right w:val="single" w:sz="6" w:space="0" w:color="2F5496"/>
            </w:tcBorders>
            <w:hideMark/>
          </w:tcPr>
          <w:p w14:paraId="24E23DD8" w14:textId="77777777" w:rsidR="003737EA" w:rsidRPr="00472F35" w:rsidRDefault="003737EA">
            <w:pPr>
              <w:pStyle w:val="TableText"/>
              <w:rPr>
                <w:rFonts w:ascii="Franklin Gothic Book" w:eastAsia="Franklin Gothic Book" w:hAnsi="Franklin Gothic Book" w:cs="Tahoma"/>
                <w:szCs w:val="20"/>
              </w:rPr>
            </w:pPr>
            <w:hyperlink r:id="rId46" w:history="1">
              <w:r w:rsidRPr="00472F35">
                <w:rPr>
                  <w:rStyle w:val="Hyperlink"/>
                  <w:rFonts w:ascii="Franklin Gothic Book" w:hAnsi="Franklin Gothic Book" w:cs="Calibri"/>
                  <w:szCs w:val="20"/>
                </w:rPr>
                <w:t>Planning for Success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166B5FE3" w14:textId="77777777" w:rsidR="003737EA" w:rsidRPr="00472F35" w:rsidRDefault="003737EA">
            <w:pPr>
              <w:pStyle w:val="TableText"/>
              <w:rPr>
                <w:rFonts w:eastAsia="Calibri"/>
                <w:color w:val="222222"/>
                <w:szCs w:val="20"/>
              </w:rPr>
            </w:pPr>
            <w:r w:rsidRPr="00472F35">
              <w:rPr>
                <w:color w:val="000000"/>
                <w:szCs w:val="20"/>
              </w:rPr>
              <w:t>Planning for Success (PfS) is an inclusive, hands-on planning process designed to build district and school capacity and coherence while also building community understanding and support.</w:t>
            </w:r>
          </w:p>
        </w:tc>
      </w:tr>
    </w:tbl>
    <w:p w14:paraId="2CB26AFB" w14:textId="77777777" w:rsidR="003737EA" w:rsidRPr="008E6CC8" w:rsidRDefault="003737EA" w:rsidP="003737EA">
      <w:pPr>
        <w:pStyle w:val="TableTitle0"/>
        <w:rPr>
          <w:rFonts w:ascii="Franklin Gothic Book" w:hAnsi="Franklin Gothic Book"/>
          <w:sz w:val="16"/>
          <w:szCs w:val="16"/>
        </w:rPr>
      </w:pPr>
      <w:r w:rsidRPr="008E6CC8">
        <w:rPr>
          <w:rFonts w:ascii="Franklin Gothic Book" w:hAnsi="Franklin Gothic Book"/>
          <w:sz w:val="16"/>
          <w:szCs w:val="16"/>
        </w:rPr>
        <w:t>*The Coherence Guidebook may be useful across multiple standard areas including Leadership and Governance, Curriculum and Instruction, Assessment, and Student Support</w:t>
      </w:r>
    </w:p>
    <w:p w14:paraId="53BEE64A" w14:textId="77777777" w:rsidR="003737EA" w:rsidRDefault="003737EA" w:rsidP="003737EA">
      <w:pPr>
        <w:spacing w:after="160" w:line="278" w:lineRule="auto"/>
        <w:rPr>
          <w:rFonts w:ascii="Franklin Gothic Demi" w:hAnsi="Franklin Gothic Demi"/>
        </w:rPr>
      </w:pPr>
      <w:r>
        <w:br w:type="page"/>
      </w:r>
    </w:p>
    <w:p w14:paraId="5D958D2E" w14:textId="77777777" w:rsidR="003737EA" w:rsidRPr="00472F35" w:rsidRDefault="003737EA" w:rsidP="003737EA">
      <w:pPr>
        <w:pStyle w:val="TableTitle0"/>
      </w:pPr>
      <w:r w:rsidRPr="00472F35">
        <w:lastRenderedPageBreak/>
        <w:t>Table C2. Resources to Support Curriculum and Instruction</w:t>
      </w:r>
    </w:p>
    <w:tbl>
      <w:tblPr>
        <w:tblStyle w:val="MSVTable1"/>
        <w:tblW w:w="4950" w:type="pct"/>
        <w:tblLook w:val="0620" w:firstRow="1" w:lastRow="0" w:firstColumn="0" w:lastColumn="0" w:noHBand="1" w:noVBand="1"/>
      </w:tblPr>
      <w:tblGrid>
        <w:gridCol w:w="3565"/>
        <w:gridCol w:w="5686"/>
      </w:tblGrid>
      <w:tr w:rsidR="003737EA" w:rsidRPr="00472F35" w14:paraId="101CB45A" w14:textId="77777777">
        <w:trPr>
          <w:cnfStyle w:val="100000000000" w:firstRow="1" w:lastRow="0" w:firstColumn="0" w:lastColumn="0" w:oddVBand="0" w:evenVBand="0" w:oddHBand="0" w:evenHBand="0" w:firstRowFirstColumn="0" w:firstRowLastColumn="0" w:lastRowFirstColumn="0" w:lastRowLastColumn="0"/>
          <w:tblHeader/>
        </w:trPr>
        <w:tc>
          <w:tcPr>
            <w:tcW w:w="1927" w:type="pct"/>
            <w:tcBorders>
              <w:top w:val="single" w:sz="6" w:space="0" w:color="2F5496"/>
              <w:left w:val="single" w:sz="6" w:space="0" w:color="2F5496"/>
              <w:bottom w:val="single" w:sz="6" w:space="0" w:color="2F5496"/>
            </w:tcBorders>
            <w:hideMark/>
          </w:tcPr>
          <w:p w14:paraId="4D5617EB" w14:textId="77777777" w:rsidR="003737EA" w:rsidRPr="00472F35" w:rsidRDefault="003737EA">
            <w:pPr>
              <w:pStyle w:val="TableColHeadingLeft"/>
            </w:pPr>
            <w:r w:rsidRPr="00472F35">
              <w:t>Resource</w:t>
            </w:r>
          </w:p>
        </w:tc>
        <w:tc>
          <w:tcPr>
            <w:tcW w:w="3073" w:type="pct"/>
            <w:tcBorders>
              <w:top w:val="single" w:sz="6" w:space="0" w:color="2F5496"/>
              <w:bottom w:val="single" w:sz="6" w:space="0" w:color="2F5496"/>
              <w:right w:val="single" w:sz="6" w:space="0" w:color="2F5496"/>
            </w:tcBorders>
            <w:hideMark/>
          </w:tcPr>
          <w:p w14:paraId="7AE07606" w14:textId="77777777" w:rsidR="003737EA" w:rsidRPr="00472F35" w:rsidRDefault="003737EA">
            <w:pPr>
              <w:pStyle w:val="TableColHeadingLeft"/>
            </w:pPr>
            <w:r w:rsidRPr="00472F35">
              <w:t>Description</w:t>
            </w:r>
          </w:p>
        </w:tc>
      </w:tr>
      <w:tr w:rsidR="003737EA" w:rsidRPr="00472F35" w14:paraId="1380A37F" w14:textId="77777777">
        <w:tc>
          <w:tcPr>
            <w:tcW w:w="1927" w:type="pct"/>
            <w:tcBorders>
              <w:top w:val="single" w:sz="6" w:space="0" w:color="2F5496"/>
              <w:left w:val="single" w:sz="6" w:space="0" w:color="2F5496"/>
              <w:bottom w:val="single" w:sz="6" w:space="0" w:color="2F5496"/>
              <w:right w:val="single" w:sz="6" w:space="0" w:color="2F5496"/>
            </w:tcBorders>
            <w:hideMark/>
          </w:tcPr>
          <w:p w14:paraId="383F9106" w14:textId="77777777" w:rsidR="003737EA" w:rsidRDefault="003737EA">
            <w:pPr>
              <w:pStyle w:val="TableText"/>
            </w:pPr>
            <w:r>
              <w:t>Curriculum Frameworks and Resources</w:t>
            </w:r>
          </w:p>
          <w:p w14:paraId="79AB7316" w14:textId="77777777" w:rsidR="003737EA" w:rsidRPr="00BE01DD" w:rsidRDefault="003737EA" w:rsidP="003737EA">
            <w:pPr>
              <w:pStyle w:val="TableBullet1"/>
              <w:rPr>
                <w:rStyle w:val="Hyperlink"/>
                <w:rFonts w:eastAsia="Franklin Gothic Book" w:cs="Franklin Gothic Book"/>
                <w:color w:val="auto"/>
                <w:szCs w:val="20"/>
                <w:u w:val="none"/>
                <w14:ligatures w14:val="standardContextual"/>
              </w:rPr>
            </w:pPr>
            <w:hyperlink r:id="rId47" w:history="1">
              <w:r w:rsidRPr="00472F35">
                <w:rPr>
                  <w:rStyle w:val="Hyperlink"/>
                  <w:rFonts w:cs="Calibri"/>
                  <w:szCs w:val="20"/>
                </w:rPr>
                <w:t>Curriculum Matters Webpage</w:t>
              </w:r>
            </w:hyperlink>
          </w:p>
          <w:p w14:paraId="416B0003" w14:textId="77777777" w:rsidR="003737EA" w:rsidRPr="00BE01DD" w:rsidRDefault="003737EA" w:rsidP="003737EA">
            <w:pPr>
              <w:pStyle w:val="TableBullet1"/>
              <w:rPr>
                <w:rStyle w:val="Hyperlink"/>
                <w:rFonts w:eastAsia="Franklin Gothic Book" w:cs="Franklin Gothic Book"/>
                <w:color w:val="auto"/>
                <w:szCs w:val="20"/>
                <w:u w:val="none"/>
                <w14:ligatures w14:val="standardContextual"/>
              </w:rPr>
            </w:pPr>
            <w:hyperlink r:id="rId48" w:history="1">
              <w:r w:rsidRPr="00214F18">
                <w:rPr>
                  <w:rStyle w:val="Hyperlink"/>
                  <w:szCs w:val="20"/>
                </w:rPr>
                <w:t>Curriculum Frameworks Resources</w:t>
              </w:r>
            </w:hyperlink>
          </w:p>
          <w:p w14:paraId="40EC5805" w14:textId="77777777" w:rsidR="003737EA" w:rsidRPr="00E14344" w:rsidRDefault="003737EA" w:rsidP="003737EA">
            <w:pPr>
              <w:pStyle w:val="TableBullet1"/>
              <w:rPr>
                <w:rFonts w:eastAsia="Franklin Gothic Book" w:cs="Franklin Gothic Book"/>
                <w:szCs w:val="20"/>
                <w14:ligatures w14:val="standardContextual"/>
              </w:rPr>
            </w:pPr>
            <w:hyperlink r:id="rId49" w:history="1">
              <w:r w:rsidRPr="00472F35">
                <w:rPr>
                  <w:rStyle w:val="Hyperlink"/>
                  <w:rFonts w:cs="Calibri"/>
                  <w:szCs w:val="20"/>
                </w:rPr>
                <w:t>IMplement MA</w:t>
              </w:r>
            </w:hyperlink>
          </w:p>
          <w:p w14:paraId="45F984FE" w14:textId="77777777" w:rsidR="003737EA" w:rsidRPr="00214F18" w:rsidRDefault="003737EA" w:rsidP="003737EA">
            <w:pPr>
              <w:pStyle w:val="TableBullet1"/>
              <w:rPr>
                <w:rStyle w:val="Hyperlink"/>
                <w:rFonts w:eastAsia="Franklin Gothic Book" w:cs="Franklin Gothic Book"/>
                <w:color w:val="auto"/>
                <w:szCs w:val="20"/>
                <w:u w:val="none"/>
                <w14:ligatures w14:val="standardContextual"/>
              </w:rPr>
            </w:pPr>
            <w:hyperlink r:id="rId50" w:history="1">
              <w:r w:rsidRPr="00472F35">
                <w:rPr>
                  <w:rStyle w:val="Hyperlink"/>
                  <w:rFonts w:cs="Calibri"/>
                  <w:szCs w:val="20"/>
                </w:rPr>
                <w:t>CURATE</w:t>
              </w:r>
            </w:hyperlink>
          </w:p>
          <w:p w14:paraId="106FE190" w14:textId="77777777" w:rsidR="003737EA" w:rsidRPr="00472F35" w:rsidRDefault="003737EA" w:rsidP="003737EA">
            <w:pPr>
              <w:pStyle w:val="TableBullet1"/>
              <w:rPr>
                <w:rFonts w:eastAsia="Franklin Gothic Book" w:cs="Franklin Gothic Book"/>
                <w:szCs w:val="20"/>
                <w14:ligatures w14:val="standardContextual"/>
              </w:rPr>
            </w:pPr>
            <w:hyperlink r:id="rId51" w:history="1">
              <w:r w:rsidRPr="00472F35">
                <w:rPr>
                  <w:rStyle w:val="Hyperlink"/>
                  <w:rFonts w:cs="Calibri"/>
                  <w:szCs w:val="20"/>
                </w:rPr>
                <w:t>Supporting Culturally and Linguistically Sustaining Practices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2F2D0A42" w14:textId="77777777" w:rsidR="003737EA" w:rsidRPr="00472F35" w:rsidRDefault="003737EA">
            <w:pPr>
              <w:pStyle w:val="TableText"/>
            </w:pPr>
            <w:r>
              <w:t>DESE offers a</w:t>
            </w:r>
            <w:r w:rsidRPr="00472F35">
              <w:t xml:space="preserve"> suite of resources to support the use of high-quality curriculum</w:t>
            </w:r>
            <w:r>
              <w:t xml:space="preserve"> that is culturally and linguistically sustaining. These resources include the curriculum frameworks and</w:t>
            </w:r>
            <w:r w:rsidRPr="00472F35">
              <w:t xml:space="preserve"> </w:t>
            </w:r>
            <w:r w:rsidRPr="00BE01DD">
              <w:rPr>
                <w:rFonts w:cs="Calibri"/>
              </w:rPr>
              <w:t>IMplement MA</w:t>
            </w:r>
            <w:r w:rsidRPr="00472F35">
              <w:t xml:space="preserve">, our recommended four-phase process to prepare for, select, launch, and implement new high-quality instructional materials with key tasks and action steps. </w:t>
            </w:r>
            <w:r>
              <w:t>Additionally</w:t>
            </w:r>
            <w:r w:rsidRPr="00472F35">
              <w:t xml:space="preserve">, </w:t>
            </w:r>
            <w:r>
              <w:t xml:space="preserve">CURATE </w:t>
            </w:r>
            <w:r w:rsidRPr="00472F35">
              <w:t>convenes panels of Massachusetts teachers to review and rate</w:t>
            </w:r>
            <w:r>
              <w:t xml:space="preserve"> curriculum. These ratings are posted publicly to support schools and districts in selected high-quality instructional materials. Finally, the Supporting Culturally and Linguistically Sustaining Practices webpage </w:t>
            </w:r>
            <w:r w:rsidRPr="00F17F05">
              <w:t xml:space="preserve">provides </w:t>
            </w:r>
            <w:r>
              <w:t>DESE’s</w:t>
            </w:r>
            <w:r w:rsidRPr="00F17F05">
              <w:t xml:space="preserve"> definition of </w:t>
            </w:r>
            <w:r>
              <w:t>these</w:t>
            </w:r>
            <w:r w:rsidRPr="00F17F05">
              <w:t xml:space="preserve"> practices and</w:t>
            </w:r>
            <w:r>
              <w:t xml:space="preserve"> highlights</w:t>
            </w:r>
            <w:r w:rsidRPr="00F17F05">
              <w:t xml:space="preserve"> their importance in our schools and classrooms. </w:t>
            </w:r>
          </w:p>
          <w:p w14:paraId="6DEF619D" w14:textId="77777777" w:rsidR="003737EA" w:rsidRPr="00472F35" w:rsidRDefault="003737EA">
            <w:pPr>
              <w:pStyle w:val="TableText"/>
            </w:pPr>
          </w:p>
        </w:tc>
      </w:tr>
      <w:tr w:rsidR="003737EA" w:rsidRPr="00472F35" w14:paraId="268FA3F7" w14:textId="77777777">
        <w:tc>
          <w:tcPr>
            <w:tcW w:w="1927" w:type="pct"/>
            <w:tcBorders>
              <w:top w:val="single" w:sz="6" w:space="0" w:color="2F5496"/>
              <w:left w:val="single" w:sz="6" w:space="0" w:color="2F5496"/>
              <w:bottom w:val="single" w:sz="6" w:space="0" w:color="2F5496"/>
              <w:right w:val="single" w:sz="6" w:space="0" w:color="2F5496"/>
            </w:tcBorders>
          </w:tcPr>
          <w:p w14:paraId="490D027F" w14:textId="77777777" w:rsidR="003737EA" w:rsidRPr="00472F35" w:rsidRDefault="003737EA">
            <w:pPr>
              <w:pStyle w:val="TableBullet1"/>
              <w:numPr>
                <w:ilvl w:val="0"/>
                <w:numId w:val="0"/>
              </w:numPr>
              <w:rPr>
                <w:szCs w:val="20"/>
              </w:rPr>
            </w:pPr>
            <w:hyperlink r:id="rId52" w:history="1">
              <w:r w:rsidRPr="00472F35">
                <w:rPr>
                  <w:rStyle w:val="Hyperlink"/>
                  <w:rFonts w:cs="Calibri"/>
                  <w:szCs w:val="20"/>
                </w:rPr>
                <w:t>Mass Literacy Guide</w:t>
              </w:r>
            </w:hyperlink>
          </w:p>
        </w:tc>
        <w:tc>
          <w:tcPr>
            <w:tcW w:w="3073" w:type="pct"/>
            <w:tcBorders>
              <w:top w:val="single" w:sz="6" w:space="0" w:color="2F5496"/>
              <w:left w:val="single" w:sz="6" w:space="0" w:color="2F5496"/>
              <w:bottom w:val="single" w:sz="6" w:space="0" w:color="2F5496"/>
              <w:right w:val="single" w:sz="6" w:space="0" w:color="2F5496"/>
            </w:tcBorders>
          </w:tcPr>
          <w:p w14:paraId="1325A74B" w14:textId="77777777" w:rsidR="003737EA" w:rsidRPr="00472F35" w:rsidRDefault="003737EA">
            <w:pPr>
              <w:pStyle w:val="TableText"/>
            </w:pPr>
            <w:r w:rsidRPr="003F068F">
              <w:t>Mass Literacy is a statewide effort to empower educators with the evidence-based practices for literacy that all students need. Evidence-based instruction, provided within schools and classrooms that are culturally and linguistically sustaining, will put our youngest students on a path toward literacy for life.</w:t>
            </w:r>
          </w:p>
        </w:tc>
      </w:tr>
      <w:tr w:rsidR="003737EA" w:rsidRPr="00472F35" w14:paraId="38E94498" w14:textId="77777777">
        <w:tc>
          <w:tcPr>
            <w:tcW w:w="1927" w:type="pct"/>
            <w:tcBorders>
              <w:top w:val="single" w:sz="6" w:space="0" w:color="2F5496"/>
              <w:left w:val="single" w:sz="6" w:space="0" w:color="2F5496"/>
              <w:bottom w:val="single" w:sz="6" w:space="0" w:color="2F5496"/>
              <w:right w:val="single" w:sz="6" w:space="0" w:color="2F5496"/>
            </w:tcBorders>
          </w:tcPr>
          <w:p w14:paraId="6F920BA7" w14:textId="77777777" w:rsidR="003737EA" w:rsidRPr="00472F35" w:rsidRDefault="003737EA">
            <w:pPr>
              <w:pStyle w:val="TableText"/>
              <w:rPr>
                <w:rFonts w:eastAsia="Times New Roman" w:cs="Calibri"/>
                <w:color w:val="0563C1"/>
                <w:szCs w:val="20"/>
                <w:u w:val="single"/>
              </w:rPr>
            </w:pPr>
            <w:hyperlink r:id="rId53" w:history="1">
              <w:r w:rsidRPr="00472F35">
                <w:rPr>
                  <w:rStyle w:val="Hyperlink"/>
                  <w:rFonts w:cs="Calibri"/>
                  <w:szCs w:val="20"/>
                </w:rPr>
                <w:t>Foundations for Inclusive Practices</w:t>
              </w:r>
            </w:hyperlink>
          </w:p>
        </w:tc>
        <w:tc>
          <w:tcPr>
            <w:tcW w:w="3073" w:type="pct"/>
            <w:tcBorders>
              <w:top w:val="single" w:sz="6" w:space="0" w:color="2F5496"/>
              <w:left w:val="single" w:sz="6" w:space="0" w:color="2F5496"/>
              <w:bottom w:val="single" w:sz="6" w:space="0" w:color="2F5496"/>
              <w:right w:val="single" w:sz="6" w:space="0" w:color="2F5496"/>
            </w:tcBorders>
          </w:tcPr>
          <w:p w14:paraId="50D5E61A" w14:textId="77777777" w:rsidR="003737EA" w:rsidRPr="00472F35" w:rsidRDefault="003737EA">
            <w:pPr>
              <w:pStyle w:val="TableText"/>
              <w:rPr>
                <w:rFonts w:eastAsia="Times New Roman"/>
              </w:rPr>
            </w:pPr>
            <w:r w:rsidRPr="00472F35">
              <w:t>This Guidebook includes tools for districts, schools, and educators that are aligned to the MA Educator Evaluation Framework and promote evidence-based best practices for inclusion.</w:t>
            </w:r>
          </w:p>
        </w:tc>
      </w:tr>
      <w:tr w:rsidR="003737EA" w:rsidRPr="00472F35" w14:paraId="57B36E81" w14:textId="77777777">
        <w:tc>
          <w:tcPr>
            <w:tcW w:w="1927" w:type="pct"/>
            <w:tcBorders>
              <w:top w:val="single" w:sz="6" w:space="0" w:color="2F5496"/>
              <w:left w:val="single" w:sz="6" w:space="0" w:color="2F5496"/>
              <w:bottom w:val="single" w:sz="6" w:space="0" w:color="2F5496"/>
              <w:right w:val="single" w:sz="6" w:space="0" w:color="2F5496"/>
            </w:tcBorders>
            <w:hideMark/>
          </w:tcPr>
          <w:p w14:paraId="67F94A31" w14:textId="77777777" w:rsidR="003737EA" w:rsidRPr="00472F35" w:rsidRDefault="003737EA">
            <w:pPr>
              <w:pStyle w:val="TableText"/>
              <w:rPr>
                <w:szCs w:val="20"/>
              </w:rPr>
            </w:pPr>
            <w:hyperlink r:id="rId54" w:history="1">
              <w:r w:rsidRPr="00472F35">
                <w:rPr>
                  <w:rStyle w:val="Hyperlink"/>
                  <w:rFonts w:cs="Calibri"/>
                  <w:szCs w:val="20"/>
                </w:rPr>
                <w:t>Guidebook of Culturally Diverse Artists and Artworks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61A024DF" w14:textId="77777777" w:rsidR="003737EA" w:rsidRPr="00472F35" w:rsidRDefault="003737EA">
            <w:pPr>
              <w:pStyle w:val="TableText"/>
            </w:pPr>
            <w:r w:rsidRPr="00472F35">
              <w:t>The purpose of this resource is to promote culturally responsive teaching in the arts through the study of culturally diverse artists and their artworks. This guidebook highlights art made by people with racial identities that historically have been and continue to be marginalized.</w:t>
            </w:r>
          </w:p>
        </w:tc>
      </w:tr>
      <w:tr w:rsidR="003737EA" w:rsidRPr="00472F35" w14:paraId="56ECD275" w14:textId="77777777">
        <w:tc>
          <w:tcPr>
            <w:tcW w:w="1927" w:type="pct"/>
            <w:tcBorders>
              <w:top w:val="single" w:sz="6" w:space="0" w:color="2F5496"/>
              <w:left w:val="single" w:sz="6" w:space="0" w:color="2F5496"/>
              <w:bottom w:val="single" w:sz="6" w:space="0" w:color="2F5496"/>
              <w:right w:val="single" w:sz="6" w:space="0" w:color="2F5496"/>
            </w:tcBorders>
            <w:hideMark/>
          </w:tcPr>
          <w:p w14:paraId="19A32F7F" w14:textId="77777777" w:rsidR="003737EA" w:rsidRPr="00472F35" w:rsidRDefault="003737EA">
            <w:pPr>
              <w:pStyle w:val="TableText"/>
              <w:rPr>
                <w:szCs w:val="20"/>
              </w:rPr>
            </w:pPr>
            <w:hyperlink r:id="rId55" w:history="1">
              <w:r w:rsidRPr="00472F35">
                <w:rPr>
                  <w:rStyle w:val="Hyperlink"/>
                  <w:rFonts w:cs="Calibri"/>
                  <w:szCs w:val="20"/>
                </w:rPr>
                <w:t>Massachusetts Blueprint for English Learner Success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2461CC71" w14:textId="77777777" w:rsidR="003737EA" w:rsidRPr="00472F35" w:rsidRDefault="003737EA">
            <w:pPr>
              <w:pStyle w:val="TableText"/>
            </w:pPr>
            <w:r w:rsidRPr="00472F35">
              <w:t>Framework for English learner education in MA, with embedded Quick Reference Guides (QRGs) and other resources to support implementation.</w:t>
            </w:r>
          </w:p>
        </w:tc>
      </w:tr>
      <w:tr w:rsidR="003737EA" w:rsidRPr="00472F35" w14:paraId="7771FC83" w14:textId="77777777">
        <w:tc>
          <w:tcPr>
            <w:tcW w:w="1927" w:type="pct"/>
            <w:tcBorders>
              <w:top w:val="single" w:sz="6" w:space="0" w:color="2F5496"/>
              <w:left w:val="single" w:sz="6" w:space="0" w:color="2F5496"/>
              <w:bottom w:val="single" w:sz="6" w:space="0" w:color="2F5496"/>
              <w:right w:val="single" w:sz="6" w:space="0" w:color="2F5496"/>
            </w:tcBorders>
            <w:hideMark/>
          </w:tcPr>
          <w:p w14:paraId="5652B050" w14:textId="77777777" w:rsidR="003737EA" w:rsidRPr="00472F35" w:rsidRDefault="003737EA">
            <w:pPr>
              <w:pStyle w:val="TableText"/>
            </w:pPr>
            <w:r w:rsidRPr="00472F35">
              <w:t xml:space="preserve">Massachusetts Curricular Resources </w:t>
            </w:r>
          </w:p>
          <w:p w14:paraId="3D42D6C9" w14:textId="77777777" w:rsidR="003737EA" w:rsidRPr="00F17F05" w:rsidRDefault="003737EA" w:rsidP="003737EA">
            <w:pPr>
              <w:pStyle w:val="TableBullet1"/>
              <w:rPr>
                <w:rStyle w:val="Hyperlink"/>
                <w:color w:val="auto"/>
                <w:szCs w:val="20"/>
                <w:u w:val="none"/>
              </w:rPr>
            </w:pPr>
            <w:hyperlink r:id="rId56" w:history="1">
              <w:r w:rsidRPr="00F17F05">
                <w:rPr>
                  <w:rStyle w:val="Hyperlink"/>
                  <w:rFonts w:cs="Calibri"/>
                  <w:szCs w:val="20"/>
                </w:rPr>
                <w:t>Appleseeds</w:t>
              </w:r>
            </w:hyperlink>
          </w:p>
          <w:p w14:paraId="4836C22C" w14:textId="77777777" w:rsidR="003737EA" w:rsidRPr="00F17F05" w:rsidRDefault="003737EA" w:rsidP="003737EA">
            <w:pPr>
              <w:pStyle w:val="TableBullet1"/>
              <w:rPr>
                <w:rStyle w:val="Hyperlink"/>
                <w:color w:val="auto"/>
                <w:szCs w:val="20"/>
                <w:u w:val="none"/>
              </w:rPr>
            </w:pPr>
            <w:hyperlink r:id="rId57" w:history="1">
              <w:r w:rsidRPr="00F17F05">
                <w:rPr>
                  <w:rStyle w:val="Hyperlink"/>
                  <w:rFonts w:cs="Calibri"/>
                  <w:szCs w:val="20"/>
                </w:rPr>
                <w:t>Investigating History</w:t>
              </w:r>
            </w:hyperlink>
            <w:r w:rsidRPr="00F17F05">
              <w:rPr>
                <w:rStyle w:val="Hyperlink"/>
                <w:rFonts w:cs="Calibri"/>
                <w:szCs w:val="20"/>
              </w:rPr>
              <w:t xml:space="preserve"> </w:t>
            </w:r>
          </w:p>
          <w:p w14:paraId="77C3F410" w14:textId="77777777" w:rsidR="003737EA" w:rsidRPr="00472F35" w:rsidRDefault="003737EA" w:rsidP="003737EA">
            <w:pPr>
              <w:pStyle w:val="TableBullet1"/>
              <w:rPr>
                <w:szCs w:val="20"/>
              </w:rPr>
            </w:pPr>
            <w:hyperlink r:id="rId58" w:history="1">
              <w:r w:rsidRPr="004C24CF">
                <w:rPr>
                  <w:rStyle w:val="Hyperlink"/>
                </w:rPr>
                <w:t>OpenSciEd</w:t>
              </w:r>
            </w:hyperlink>
          </w:p>
        </w:tc>
        <w:tc>
          <w:tcPr>
            <w:tcW w:w="3073" w:type="pct"/>
            <w:tcBorders>
              <w:top w:val="single" w:sz="6" w:space="0" w:color="2F5496"/>
              <w:left w:val="single" w:sz="6" w:space="0" w:color="2F5496"/>
              <w:bottom w:val="single" w:sz="6" w:space="0" w:color="2F5496"/>
              <w:right w:val="single" w:sz="6" w:space="0" w:color="2F5496"/>
            </w:tcBorders>
            <w:hideMark/>
          </w:tcPr>
          <w:p w14:paraId="33770119" w14:textId="77777777" w:rsidR="003737EA" w:rsidRPr="00472F35" w:rsidRDefault="003737EA">
            <w:pPr>
              <w:pStyle w:val="TableText"/>
            </w:pPr>
            <w:r w:rsidRPr="00472F35">
              <w:t>Free, open-source curricular resources aligned to the Massachusetts Curriculum Frameworks.</w:t>
            </w:r>
          </w:p>
        </w:tc>
      </w:tr>
      <w:tr w:rsidR="003737EA" w:rsidRPr="00472F35" w14:paraId="174CBADF" w14:textId="77777777">
        <w:tc>
          <w:tcPr>
            <w:tcW w:w="1927" w:type="pct"/>
            <w:tcBorders>
              <w:top w:val="single" w:sz="6" w:space="0" w:color="2F5496"/>
              <w:left w:val="single" w:sz="6" w:space="0" w:color="2F5496"/>
              <w:bottom w:val="single" w:sz="6" w:space="0" w:color="2F5496"/>
              <w:right w:val="single" w:sz="6" w:space="0" w:color="2F5496"/>
            </w:tcBorders>
            <w:hideMark/>
          </w:tcPr>
          <w:p w14:paraId="6AF12506" w14:textId="77777777" w:rsidR="003737EA" w:rsidRPr="00472F35" w:rsidRDefault="003737EA">
            <w:pPr>
              <w:pStyle w:val="TableBullet1"/>
              <w:numPr>
                <w:ilvl w:val="0"/>
                <w:numId w:val="0"/>
              </w:numPr>
              <w:ind w:left="360" w:hanging="360"/>
              <w:rPr>
                <w:szCs w:val="20"/>
              </w:rPr>
            </w:pPr>
            <w:hyperlink r:id="rId59" w:history="1">
              <w:r w:rsidRPr="00472F35">
                <w:rPr>
                  <w:rStyle w:val="Hyperlink"/>
                  <w:rFonts w:cs="Calibri"/>
                  <w:szCs w:val="20"/>
                </w:rPr>
                <w:t>Massachusetts Dyslexia Guidelines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402645B3" w14:textId="77777777" w:rsidR="003737EA" w:rsidRPr="00472F35" w:rsidRDefault="003737EA">
            <w:pPr>
              <w:pStyle w:val="TableText"/>
            </w:pPr>
            <w:r w:rsidRPr="00472F35">
              <w:t>Clear and practical guidelines for early screening, instruction, and intervention for students with reading difficulties and neurological learning disabilities, including dyslexia.</w:t>
            </w:r>
          </w:p>
        </w:tc>
      </w:tr>
      <w:tr w:rsidR="003737EA" w:rsidRPr="00472F35" w14:paraId="210FD8E7" w14:textId="77777777">
        <w:tc>
          <w:tcPr>
            <w:tcW w:w="1927" w:type="pct"/>
            <w:tcBorders>
              <w:top w:val="single" w:sz="6" w:space="0" w:color="2F5496"/>
              <w:left w:val="single" w:sz="6" w:space="0" w:color="2F5496"/>
              <w:bottom w:val="single" w:sz="6" w:space="0" w:color="2F5496"/>
              <w:right w:val="single" w:sz="6" w:space="0" w:color="2F5496"/>
            </w:tcBorders>
          </w:tcPr>
          <w:p w14:paraId="75A9C47E" w14:textId="77777777" w:rsidR="003737EA" w:rsidRPr="00472F35" w:rsidRDefault="003737EA">
            <w:pPr>
              <w:pStyle w:val="TableText"/>
              <w:rPr>
                <w:rFonts w:eastAsia="Times New Roman" w:cs="Calibri"/>
                <w:color w:val="0563C1"/>
                <w:szCs w:val="20"/>
                <w:u w:val="single"/>
              </w:rPr>
            </w:pPr>
            <w:hyperlink r:id="rId60" w:history="1">
              <w:r w:rsidRPr="00472F35">
                <w:rPr>
                  <w:rStyle w:val="Hyperlink"/>
                  <w:rFonts w:cs="Calibri"/>
                  <w:szCs w:val="20"/>
                </w:rPr>
                <w:t>Next Generation ESL Toolkit</w:t>
              </w:r>
            </w:hyperlink>
          </w:p>
        </w:tc>
        <w:tc>
          <w:tcPr>
            <w:tcW w:w="3073" w:type="pct"/>
            <w:tcBorders>
              <w:top w:val="single" w:sz="6" w:space="0" w:color="2F5496"/>
              <w:left w:val="single" w:sz="6" w:space="0" w:color="2F5496"/>
              <w:bottom w:val="single" w:sz="6" w:space="0" w:color="2F5496"/>
              <w:right w:val="single" w:sz="6" w:space="0" w:color="2F5496"/>
            </w:tcBorders>
          </w:tcPr>
          <w:p w14:paraId="0CE3FA8E" w14:textId="77777777" w:rsidR="003737EA" w:rsidRPr="00472F35" w:rsidRDefault="003737EA">
            <w:pPr>
              <w:pStyle w:val="TableText"/>
              <w:rPr>
                <w:rFonts w:eastAsia="Times New Roman"/>
              </w:rPr>
            </w:pPr>
            <w:r w:rsidRPr="00472F35">
              <w:t>The ESL Toolkit provides a common entry point for educators to learn about Next Generation ESL (NGESL) instruction in Massachusetts.</w:t>
            </w:r>
          </w:p>
        </w:tc>
      </w:tr>
      <w:tr w:rsidR="003737EA" w:rsidRPr="00472F35" w14:paraId="20FA3D07" w14:textId="77777777">
        <w:tc>
          <w:tcPr>
            <w:tcW w:w="1927" w:type="pct"/>
            <w:tcBorders>
              <w:top w:val="single" w:sz="6" w:space="0" w:color="2F5496"/>
              <w:left w:val="single" w:sz="6" w:space="0" w:color="2F5496"/>
              <w:bottom w:val="single" w:sz="6" w:space="0" w:color="2F5496"/>
              <w:right w:val="single" w:sz="6" w:space="0" w:color="2F5496"/>
            </w:tcBorders>
            <w:hideMark/>
          </w:tcPr>
          <w:p w14:paraId="7800DC0C" w14:textId="77777777" w:rsidR="003737EA" w:rsidRPr="00472F35" w:rsidRDefault="003737EA">
            <w:pPr>
              <w:pStyle w:val="TableText"/>
              <w:rPr>
                <w:szCs w:val="20"/>
              </w:rPr>
            </w:pPr>
            <w:hyperlink r:id="rId61" w:history="1">
              <w:r w:rsidRPr="00472F35">
                <w:rPr>
                  <w:rStyle w:val="Hyperlink"/>
                  <w:rFonts w:cs="Calibri"/>
                  <w:szCs w:val="20"/>
                </w:rPr>
                <w:t>Synthesized ILT Framework</w:t>
              </w:r>
            </w:hyperlink>
          </w:p>
        </w:tc>
        <w:tc>
          <w:tcPr>
            <w:tcW w:w="3073" w:type="pct"/>
            <w:tcBorders>
              <w:top w:val="single" w:sz="6" w:space="0" w:color="2F5496"/>
              <w:left w:val="single" w:sz="6" w:space="0" w:color="2F5496"/>
              <w:bottom w:val="single" w:sz="6" w:space="0" w:color="2F5496"/>
              <w:right w:val="single" w:sz="6" w:space="0" w:color="2F5496"/>
            </w:tcBorders>
            <w:hideMark/>
          </w:tcPr>
          <w:p w14:paraId="5406B929" w14:textId="77777777" w:rsidR="003737EA" w:rsidRPr="00472F35" w:rsidRDefault="003737EA">
            <w:pPr>
              <w:pStyle w:val="TableText"/>
            </w:pPr>
            <w:r w:rsidRPr="00472F35">
              <w:t>District and school teams can use this resource to reflect and identify specific actions they could take to establish or improve their instructional leadership teams (ILTs).</w:t>
            </w:r>
          </w:p>
        </w:tc>
      </w:tr>
    </w:tbl>
    <w:p w14:paraId="3B03F4EF" w14:textId="77777777" w:rsidR="003737EA" w:rsidRPr="00472F35" w:rsidRDefault="003737EA" w:rsidP="003737EA">
      <w:pPr>
        <w:pStyle w:val="TableTitle0"/>
      </w:pPr>
      <w:r w:rsidRPr="00472F35">
        <w:lastRenderedPageBreak/>
        <w:t>Table C3. Resources to Support Assessment</w:t>
      </w:r>
    </w:p>
    <w:tbl>
      <w:tblPr>
        <w:tblStyle w:val="MSVTable1"/>
        <w:tblW w:w="5004" w:type="pct"/>
        <w:tblLook w:val="0620" w:firstRow="1" w:lastRow="0" w:firstColumn="0" w:lastColumn="0" w:noHBand="1" w:noVBand="1"/>
      </w:tblPr>
      <w:tblGrid>
        <w:gridCol w:w="3593"/>
        <w:gridCol w:w="5758"/>
      </w:tblGrid>
      <w:tr w:rsidR="003737EA" w:rsidRPr="00472F35" w14:paraId="62D180F0" w14:textId="77777777">
        <w:trPr>
          <w:cnfStyle w:val="100000000000" w:firstRow="1" w:lastRow="0" w:firstColumn="0" w:lastColumn="0" w:oddVBand="0" w:evenVBand="0" w:oddHBand="0" w:evenHBand="0" w:firstRowFirstColumn="0" w:firstRowLastColumn="0" w:lastRowFirstColumn="0" w:lastRowLastColumn="0"/>
          <w:tblHeader/>
        </w:trPr>
        <w:tc>
          <w:tcPr>
            <w:tcW w:w="1921" w:type="pct"/>
            <w:tcBorders>
              <w:top w:val="single" w:sz="6" w:space="0" w:color="2F5496"/>
              <w:left w:val="single" w:sz="6" w:space="0" w:color="2F5496"/>
              <w:bottom w:val="single" w:sz="6" w:space="0" w:color="2F5496"/>
            </w:tcBorders>
            <w:hideMark/>
          </w:tcPr>
          <w:p w14:paraId="21D841ED" w14:textId="77777777" w:rsidR="003737EA" w:rsidRPr="00472F35" w:rsidRDefault="003737EA">
            <w:pPr>
              <w:pStyle w:val="TableColHeadingLeft"/>
            </w:pPr>
            <w:r w:rsidRPr="00472F35">
              <w:t>Resource</w:t>
            </w:r>
          </w:p>
        </w:tc>
        <w:tc>
          <w:tcPr>
            <w:tcW w:w="3079" w:type="pct"/>
            <w:tcBorders>
              <w:top w:val="single" w:sz="6" w:space="0" w:color="2F5496"/>
              <w:bottom w:val="single" w:sz="6" w:space="0" w:color="2F5496"/>
              <w:right w:val="single" w:sz="6" w:space="0" w:color="2F5496"/>
            </w:tcBorders>
            <w:hideMark/>
          </w:tcPr>
          <w:p w14:paraId="0065F76B" w14:textId="77777777" w:rsidR="003737EA" w:rsidRPr="00472F35" w:rsidRDefault="003737EA">
            <w:pPr>
              <w:pStyle w:val="TableColHeadingLeft"/>
            </w:pPr>
            <w:r w:rsidRPr="00472F35">
              <w:t>Description</w:t>
            </w:r>
          </w:p>
        </w:tc>
      </w:tr>
      <w:tr w:rsidR="003737EA" w:rsidRPr="00472F35" w14:paraId="1C2D1977" w14:textId="77777777">
        <w:tc>
          <w:tcPr>
            <w:tcW w:w="1921" w:type="pct"/>
            <w:tcBorders>
              <w:top w:val="single" w:sz="6" w:space="0" w:color="2F5496"/>
              <w:left w:val="single" w:sz="6" w:space="0" w:color="2F5496"/>
              <w:bottom w:val="single" w:sz="6" w:space="0" w:color="2F5496"/>
              <w:right w:val="single" w:sz="6" w:space="0" w:color="2F5496"/>
            </w:tcBorders>
            <w:hideMark/>
          </w:tcPr>
          <w:p w14:paraId="1A4C5274" w14:textId="77777777" w:rsidR="003737EA" w:rsidRPr="00472F35" w:rsidRDefault="003737EA">
            <w:pPr>
              <w:pStyle w:val="TableText"/>
              <w:rPr>
                <w:rFonts w:eastAsia="HGGothicE" w:cs="Franklin Gothic Book"/>
                <w:bCs/>
                <w:szCs w:val="20"/>
              </w:rPr>
            </w:pPr>
            <w:hyperlink r:id="rId62" w:history="1">
              <w:r w:rsidRPr="00472F35">
                <w:rPr>
                  <w:rStyle w:val="Hyperlink"/>
                  <w:rFonts w:cs="Calibri"/>
                  <w:szCs w:val="20"/>
                </w:rPr>
                <w:t>Assessment Literacy Continuum</w:t>
              </w:r>
            </w:hyperlink>
          </w:p>
        </w:tc>
        <w:tc>
          <w:tcPr>
            <w:tcW w:w="3079" w:type="pct"/>
            <w:tcBorders>
              <w:top w:val="single" w:sz="6" w:space="0" w:color="2F5496"/>
              <w:left w:val="single" w:sz="6" w:space="0" w:color="2F5496"/>
              <w:bottom w:val="single" w:sz="6" w:space="0" w:color="2F5496"/>
              <w:right w:val="single" w:sz="6" w:space="0" w:color="2F5496"/>
            </w:tcBorders>
            <w:hideMark/>
          </w:tcPr>
          <w:p w14:paraId="7D03F724" w14:textId="77777777" w:rsidR="003737EA" w:rsidRPr="00472F35" w:rsidRDefault="003737EA">
            <w:pPr>
              <w:pStyle w:val="TableText"/>
              <w:rPr>
                <w:rFonts w:eastAsia="HGGothicE" w:cs="Franklin Gothic Book"/>
                <w:bCs/>
                <w:szCs w:val="20"/>
              </w:rPr>
            </w:pPr>
            <w:r w:rsidRPr="00472F35">
              <w:rPr>
                <w:rFonts w:cs="Calibri"/>
                <w:color w:val="000000"/>
                <w:szCs w:val="20"/>
              </w:rPr>
              <w:t>Tool to help teachers identify what aspects of assessment literacy they should focus on for their own goal setting.</w:t>
            </w:r>
          </w:p>
        </w:tc>
      </w:tr>
      <w:tr w:rsidR="003737EA" w:rsidRPr="00472F35" w14:paraId="737E9A8D" w14:textId="77777777">
        <w:tc>
          <w:tcPr>
            <w:tcW w:w="1921" w:type="pct"/>
            <w:tcBorders>
              <w:top w:val="single" w:sz="6" w:space="0" w:color="2F5496"/>
              <w:left w:val="single" w:sz="6" w:space="0" w:color="2F5496"/>
              <w:bottom w:val="single" w:sz="6" w:space="0" w:color="2F5496"/>
              <w:right w:val="single" w:sz="6" w:space="0" w:color="2F5496"/>
            </w:tcBorders>
          </w:tcPr>
          <w:p w14:paraId="0936A79A" w14:textId="77777777" w:rsidR="003737EA" w:rsidRPr="00472F35" w:rsidRDefault="003737EA">
            <w:pPr>
              <w:pStyle w:val="TableText"/>
              <w:rPr>
                <w:rFonts w:eastAsia="Times New Roman" w:cs="Calibri"/>
                <w:color w:val="000000"/>
                <w:szCs w:val="20"/>
              </w:rPr>
            </w:pPr>
            <w:hyperlink r:id="rId63" w:history="1">
              <w:r w:rsidRPr="00472F35">
                <w:rPr>
                  <w:rStyle w:val="Hyperlink"/>
                  <w:rFonts w:cs="Calibri"/>
                  <w:szCs w:val="20"/>
                </w:rPr>
                <w:t>Curriculum-Embedded Performance Assessments</w:t>
              </w:r>
            </w:hyperlink>
          </w:p>
        </w:tc>
        <w:tc>
          <w:tcPr>
            <w:tcW w:w="3079" w:type="pct"/>
            <w:tcBorders>
              <w:top w:val="single" w:sz="6" w:space="0" w:color="2F5496"/>
              <w:left w:val="single" w:sz="6" w:space="0" w:color="2F5496"/>
              <w:bottom w:val="single" w:sz="6" w:space="0" w:color="2F5496"/>
              <w:right w:val="single" w:sz="6" w:space="0" w:color="2F5496"/>
            </w:tcBorders>
          </w:tcPr>
          <w:p w14:paraId="10C8695C" w14:textId="77777777" w:rsidR="003737EA" w:rsidRPr="00472F35" w:rsidRDefault="003737EA">
            <w:pPr>
              <w:pStyle w:val="TableText"/>
              <w:rPr>
                <w:rFonts w:eastAsia="Times New Roman" w:cs="Calibri"/>
                <w:color w:val="000000"/>
                <w:szCs w:val="20"/>
              </w:rPr>
            </w:pPr>
            <w:r w:rsidRPr="00472F35">
              <w:rPr>
                <w:rFonts w:cs="Calibri"/>
                <w:color w:val="000000"/>
                <w:szCs w:val="20"/>
              </w:rPr>
              <w:t xml:space="preserve">Pending funding, this program will provide resources and professional learning for classroom-based, curriculum-embedded performance tasks in K-8 science with implementation and instructional supports aligned to the Innovative Assessment (STE). </w:t>
            </w:r>
          </w:p>
        </w:tc>
      </w:tr>
      <w:tr w:rsidR="003737EA" w:rsidRPr="00472F35" w14:paraId="7B7D6138" w14:textId="77777777">
        <w:tc>
          <w:tcPr>
            <w:tcW w:w="1921" w:type="pct"/>
            <w:tcBorders>
              <w:top w:val="single" w:sz="6" w:space="0" w:color="2F5496"/>
              <w:left w:val="single" w:sz="6" w:space="0" w:color="2F5496"/>
              <w:bottom w:val="single" w:sz="6" w:space="0" w:color="2F5496"/>
              <w:right w:val="single" w:sz="6" w:space="0" w:color="2F5496"/>
            </w:tcBorders>
            <w:hideMark/>
          </w:tcPr>
          <w:p w14:paraId="5AFC12E6" w14:textId="77777777" w:rsidR="003737EA" w:rsidRPr="00472F35" w:rsidRDefault="003737EA">
            <w:pPr>
              <w:pStyle w:val="TableText"/>
              <w:rPr>
                <w:rFonts w:eastAsia="Times New Roman" w:cs="Calibri"/>
                <w:szCs w:val="20"/>
              </w:rPr>
            </w:pPr>
            <w:hyperlink r:id="rId64" w:history="1">
              <w:r w:rsidRPr="00472F35">
                <w:rPr>
                  <w:rStyle w:val="Hyperlink"/>
                  <w:rFonts w:eastAsia="Times New Roman" w:cs="Calibri"/>
                  <w:szCs w:val="20"/>
                </w:rPr>
                <w:t>District Data Team Toolkit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136DEF2E" w14:textId="77777777" w:rsidR="003737EA" w:rsidRPr="00472F35" w:rsidRDefault="003737EA">
            <w:pPr>
              <w:pStyle w:val="TableText"/>
              <w:rPr>
                <w:rFonts w:eastAsia="Times New Roman" w:cs="Times New Roman"/>
                <w:bCs/>
                <w:szCs w:val="20"/>
              </w:rPr>
            </w:pPr>
            <w:r w:rsidRPr="00472F35">
              <w:rPr>
                <w:rFonts w:eastAsia="Times New Roman" w:cs="Calibri"/>
                <w:szCs w:val="20"/>
              </w:rPr>
              <w:t>A set of r</w:t>
            </w:r>
            <w:r w:rsidRPr="00472F35">
              <w:rPr>
                <w:rFonts w:eastAsia="Times New Roman" w:cs="Calibri"/>
                <w:bCs/>
                <w:szCs w:val="20"/>
              </w:rPr>
              <w:t>esources to help a district establish, grow, and maintain a culture of inquiry and data use through a district data team.</w:t>
            </w:r>
          </w:p>
        </w:tc>
      </w:tr>
      <w:tr w:rsidR="003737EA" w:rsidRPr="00472F35" w14:paraId="1D4B0871" w14:textId="77777777">
        <w:tc>
          <w:tcPr>
            <w:tcW w:w="1921" w:type="pct"/>
            <w:tcBorders>
              <w:top w:val="single" w:sz="6" w:space="0" w:color="2F5496"/>
              <w:left w:val="single" w:sz="6" w:space="0" w:color="2F5496"/>
              <w:bottom w:val="single" w:sz="6" w:space="0" w:color="2F5496"/>
              <w:right w:val="single" w:sz="6" w:space="0" w:color="2F5496"/>
            </w:tcBorders>
            <w:hideMark/>
          </w:tcPr>
          <w:p w14:paraId="14079350" w14:textId="77777777" w:rsidR="003737EA" w:rsidRPr="001E5318" w:rsidRDefault="003737EA">
            <w:pPr>
              <w:pStyle w:val="TableBullet1"/>
              <w:numPr>
                <w:ilvl w:val="0"/>
                <w:numId w:val="0"/>
              </w:numPr>
              <w:ind w:left="288" w:hanging="288"/>
              <w:rPr>
                <w:szCs w:val="20"/>
              </w:rPr>
            </w:pPr>
            <w:hyperlink r:id="rId65" w:history="1">
              <w:r w:rsidRPr="004730C1">
                <w:rPr>
                  <w:rStyle w:val="Hyperlink"/>
                </w:rPr>
                <w:t>Early Literacy Screening</w:t>
              </w:r>
            </w:hyperlink>
          </w:p>
        </w:tc>
        <w:tc>
          <w:tcPr>
            <w:tcW w:w="3079" w:type="pct"/>
            <w:tcBorders>
              <w:top w:val="single" w:sz="6" w:space="0" w:color="2F5496"/>
              <w:left w:val="single" w:sz="6" w:space="0" w:color="2F5496"/>
              <w:bottom w:val="single" w:sz="6" w:space="0" w:color="2F5496"/>
              <w:right w:val="single" w:sz="6" w:space="0" w:color="2F5496"/>
            </w:tcBorders>
            <w:hideMark/>
          </w:tcPr>
          <w:p w14:paraId="01AB222F" w14:textId="77777777" w:rsidR="003737EA" w:rsidRPr="00472F35" w:rsidRDefault="003737EA">
            <w:pPr>
              <w:pStyle w:val="TableText"/>
              <w:rPr>
                <w:rFonts w:eastAsia="Times New Roman" w:cs="Calibri"/>
                <w:szCs w:val="20"/>
              </w:rPr>
            </w:pPr>
            <w:r w:rsidRPr="00472F35">
              <w:rPr>
                <w:rFonts w:cs="Calibri"/>
                <w:color w:val="000000"/>
                <w:szCs w:val="20"/>
              </w:rPr>
              <w:t>Guidance and support for schools and districts to select and use an</w:t>
            </w:r>
            <w:r>
              <w:rPr>
                <w:rFonts w:cs="Calibri"/>
                <w:color w:val="000000"/>
              </w:rPr>
              <w:t xml:space="preserve"> approved</w:t>
            </w:r>
            <w:r w:rsidRPr="00472F35">
              <w:rPr>
                <w:rFonts w:cs="Calibri"/>
                <w:color w:val="000000"/>
                <w:szCs w:val="20"/>
              </w:rPr>
              <w:t xml:space="preserve"> early literacy universal screening assessment.</w:t>
            </w:r>
          </w:p>
        </w:tc>
      </w:tr>
      <w:tr w:rsidR="003737EA" w:rsidRPr="00472F35" w14:paraId="2A64FB0F" w14:textId="77777777">
        <w:tc>
          <w:tcPr>
            <w:tcW w:w="1921" w:type="pct"/>
            <w:tcBorders>
              <w:top w:val="single" w:sz="6" w:space="0" w:color="2F5496"/>
              <w:left w:val="single" w:sz="6" w:space="0" w:color="2F5496"/>
              <w:bottom w:val="single" w:sz="6" w:space="0" w:color="2F5496"/>
              <w:right w:val="single" w:sz="6" w:space="0" w:color="2F5496"/>
            </w:tcBorders>
            <w:hideMark/>
          </w:tcPr>
          <w:p w14:paraId="628FA6B3" w14:textId="77777777" w:rsidR="003737EA" w:rsidRPr="00472F35" w:rsidRDefault="003737EA">
            <w:pPr>
              <w:pStyle w:val="TableText"/>
              <w:rPr>
                <w:rFonts w:eastAsia="Times New Roman" w:cs="Calibri"/>
                <w:szCs w:val="20"/>
              </w:rPr>
            </w:pPr>
            <w:hyperlink r:id="rId66" w:history="1">
              <w:r w:rsidRPr="00472F35">
                <w:rPr>
                  <w:rStyle w:val="Hyperlink"/>
                  <w:rFonts w:cs="Calibri"/>
                  <w:szCs w:val="20"/>
                </w:rPr>
                <w:t>Student Assessment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3BFB1518" w14:textId="77777777" w:rsidR="003737EA" w:rsidRPr="00472F35" w:rsidRDefault="003737EA">
            <w:pPr>
              <w:pStyle w:val="TableText"/>
              <w:rPr>
                <w:rFonts w:eastAsia="Times New Roman" w:cs="Calibri"/>
                <w:szCs w:val="20"/>
              </w:rPr>
            </w:pPr>
            <w:r w:rsidRPr="00472F35">
              <w:rPr>
                <w:rFonts w:cs="Calibri"/>
                <w:color w:val="000000"/>
                <w:szCs w:val="20"/>
              </w:rPr>
              <w:t>Statewide assessments help parents, students, educators, and policymakers determine where districts, schools, and students are meeting expectations and where they need additional support.</w:t>
            </w:r>
          </w:p>
        </w:tc>
      </w:tr>
    </w:tbl>
    <w:p w14:paraId="7F0030E8" w14:textId="77777777" w:rsidR="003737EA" w:rsidRDefault="003737EA" w:rsidP="003737EA">
      <w:pPr>
        <w:pStyle w:val="TableTitle0"/>
      </w:pPr>
    </w:p>
    <w:p w14:paraId="456138E8" w14:textId="77777777" w:rsidR="003737EA" w:rsidRDefault="003737EA" w:rsidP="003737EA">
      <w:pPr>
        <w:spacing w:after="160" w:line="278" w:lineRule="auto"/>
        <w:rPr>
          <w:rFonts w:ascii="Franklin Gothic Demi" w:hAnsi="Franklin Gothic Demi"/>
        </w:rPr>
      </w:pPr>
      <w:r>
        <w:br w:type="page"/>
      </w:r>
    </w:p>
    <w:p w14:paraId="3DD0E33D" w14:textId="77777777" w:rsidR="003737EA" w:rsidRPr="00472F35" w:rsidRDefault="003737EA" w:rsidP="003737EA">
      <w:pPr>
        <w:pStyle w:val="TableTitle0"/>
      </w:pPr>
      <w:r w:rsidRPr="00472F35">
        <w:lastRenderedPageBreak/>
        <w:t>Table C4. 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3737EA" w:rsidRPr="00472F35" w14:paraId="5BF84F1B" w14:textId="77777777">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11AA7587" w14:textId="77777777" w:rsidR="003737EA" w:rsidRPr="00510408" w:rsidRDefault="003737EA">
            <w:pPr>
              <w:pStyle w:val="TableColHeadingLeft"/>
            </w:pPr>
            <w:r w:rsidRPr="00510408">
              <w:t>Resource</w:t>
            </w:r>
          </w:p>
        </w:tc>
        <w:tc>
          <w:tcPr>
            <w:tcW w:w="5759" w:type="dxa"/>
            <w:tcBorders>
              <w:top w:val="single" w:sz="6" w:space="0" w:color="2F5496"/>
              <w:bottom w:val="single" w:sz="6" w:space="0" w:color="2F5496"/>
              <w:right w:val="single" w:sz="6" w:space="0" w:color="2F5496"/>
            </w:tcBorders>
            <w:hideMark/>
          </w:tcPr>
          <w:p w14:paraId="536B71C4" w14:textId="77777777" w:rsidR="003737EA" w:rsidRPr="00472F35" w:rsidRDefault="003737EA">
            <w:pPr>
              <w:pStyle w:val="TableColHeadingLeft"/>
            </w:pPr>
            <w:r w:rsidRPr="00472F35">
              <w:t>Description</w:t>
            </w:r>
          </w:p>
        </w:tc>
      </w:tr>
      <w:tr w:rsidR="003737EA" w:rsidRPr="00472F35" w14:paraId="66E21A59"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5FFFB605" w14:textId="77777777" w:rsidR="003737EA" w:rsidRPr="00472F35" w:rsidRDefault="003737EA">
            <w:pPr>
              <w:pStyle w:val="TableText"/>
              <w:rPr>
                <w:rFonts w:eastAsia="HGGothicE" w:cs="Franklin Gothic Book"/>
                <w:bCs/>
                <w:szCs w:val="20"/>
              </w:rPr>
            </w:pPr>
            <w:hyperlink r:id="rId67" w:history="1">
              <w:r w:rsidRPr="00472F35">
                <w:rPr>
                  <w:rStyle w:val="Hyperlink"/>
                  <w:rFonts w:cs="Calibri"/>
                  <w:szCs w:val="20"/>
                </w:rPr>
                <w:t>Early Literacy Observation Tools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FF6B747" w14:textId="77777777" w:rsidR="003737EA" w:rsidRPr="00472F35" w:rsidRDefault="003737EA">
            <w:pPr>
              <w:pStyle w:val="TableText"/>
              <w:rPr>
                <w:rFonts w:eastAsia="HGGothicE" w:cs="Franklin Gothic Book"/>
                <w:bCs/>
                <w:szCs w:val="20"/>
              </w:rPr>
            </w:pPr>
            <w:r w:rsidRPr="00472F35">
              <w:rPr>
                <w:rFonts w:cs="Calibri"/>
                <w:color w:val="000000"/>
                <w:szCs w:val="20"/>
              </w:rPr>
              <w:t>This tool supports the observation and provision of high-quality feedback to teacher candidates on their practice in evidence-based early literacy.</w:t>
            </w:r>
          </w:p>
        </w:tc>
      </w:tr>
      <w:tr w:rsidR="003737EA" w:rsidRPr="00472F35" w14:paraId="22C70BE7"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B19B668" w14:textId="77777777" w:rsidR="003737EA" w:rsidRPr="00472F35" w:rsidRDefault="003737EA">
            <w:pPr>
              <w:pStyle w:val="TableText"/>
              <w:rPr>
                <w:rFonts w:eastAsia="HGGothicE" w:cs="Franklin Gothic Book"/>
                <w:bCs/>
                <w:szCs w:val="20"/>
              </w:rPr>
            </w:pPr>
            <w:hyperlink r:id="rId68" w:history="1">
              <w:r w:rsidRPr="00472F35">
                <w:rPr>
                  <w:rStyle w:val="Hyperlink"/>
                  <w:rFonts w:cs="Calibri"/>
                  <w:szCs w:val="20"/>
                </w:rPr>
                <w:t>Educator Evaluation Implementation Resources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47760BC" w14:textId="77777777" w:rsidR="003737EA" w:rsidRPr="00472F35" w:rsidRDefault="003737EA">
            <w:pPr>
              <w:pStyle w:val="TableText"/>
              <w:rPr>
                <w:rFonts w:eastAsia="HGGothicE" w:cs="Franklin Gothic Book"/>
                <w:bCs/>
                <w:szCs w:val="20"/>
              </w:rPr>
            </w:pPr>
            <w:r w:rsidRPr="00472F35">
              <w:rPr>
                <w:rFonts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3737EA" w:rsidRPr="00472F35" w14:paraId="27F1EC4F"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9205D48" w14:textId="77777777" w:rsidR="003737EA" w:rsidRPr="00472F35" w:rsidRDefault="003737EA">
            <w:pPr>
              <w:pStyle w:val="TableText"/>
              <w:rPr>
                <w14:ligatures w14:val="standardContextual"/>
              </w:rPr>
            </w:pPr>
            <w:r w:rsidRPr="00472F35">
              <w:t>Induction and Mentoring</w:t>
            </w:r>
          </w:p>
          <w:p w14:paraId="79A76E1E" w14:textId="77777777" w:rsidR="003737EA" w:rsidRPr="00472F35" w:rsidRDefault="003737EA" w:rsidP="003737EA">
            <w:pPr>
              <w:pStyle w:val="TableBullet1"/>
              <w:rPr>
                <w:rStyle w:val="Hyperlink"/>
                <w:szCs w:val="20"/>
              </w:rPr>
            </w:pPr>
            <w:hyperlink r:id="rId69" w:history="1">
              <w:r w:rsidRPr="00472F35">
                <w:rPr>
                  <w:rStyle w:val="Hyperlink"/>
                  <w:rFonts w:cs="Calibri"/>
                  <w:szCs w:val="20"/>
                </w:rPr>
                <w:t>Teacher Induction and Mentoring</w:t>
              </w:r>
            </w:hyperlink>
          </w:p>
          <w:p w14:paraId="2738625F" w14:textId="77777777" w:rsidR="003737EA" w:rsidRPr="00472F35" w:rsidRDefault="003737EA" w:rsidP="003737EA">
            <w:pPr>
              <w:pStyle w:val="TableBullet1"/>
              <w:rPr>
                <w:rStyle w:val="Hyperlink"/>
                <w:rFonts w:eastAsia="Franklin Gothic Book" w:cs="Tahoma"/>
                <w:color w:val="auto"/>
                <w:szCs w:val="20"/>
                <w:u w:val="none"/>
              </w:rPr>
            </w:pPr>
            <w:hyperlink r:id="rId70" w:history="1">
              <w:r w:rsidRPr="00472F35">
                <w:rPr>
                  <w:rStyle w:val="Hyperlink"/>
                  <w:rFonts w:cs="Calibri"/>
                  <w:szCs w:val="20"/>
                </w:rPr>
                <w:t>Principal Induction and Mentoring</w:t>
              </w:r>
            </w:hyperlink>
          </w:p>
          <w:p w14:paraId="39229886" w14:textId="77777777" w:rsidR="003737EA" w:rsidRPr="00472F35" w:rsidRDefault="003737EA" w:rsidP="003737EA">
            <w:pPr>
              <w:pStyle w:val="TableBullet1"/>
              <w:rPr>
                <w:rFonts w:eastAsia="Franklin Gothic Book" w:cs="Tahoma"/>
                <w:szCs w:val="20"/>
              </w:rPr>
            </w:pPr>
            <w:hyperlink r:id="rId71" w:history="1">
              <w:r w:rsidRPr="00472F35">
                <w:rPr>
                  <w:rStyle w:val="Hyperlink"/>
                  <w:rFonts w:cs="Calibri"/>
                  <w:szCs w:val="20"/>
                </w:rPr>
                <w:t>Induction and Mentoring Annual Report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F42277D" w14:textId="77777777" w:rsidR="003737EA" w:rsidRPr="00472F35" w:rsidRDefault="003737EA">
            <w:pPr>
              <w:pStyle w:val="TableText"/>
              <w:rPr>
                <w:rFonts w:eastAsia="Franklin Gothic Book" w:cs="Tahoma"/>
              </w:rPr>
            </w:pPr>
            <w:r w:rsidRPr="00472F35">
              <w:t xml:space="preserve">Resources that highlight best practices and reinforce the recently updated guidelines and standards for induction and mentoring. </w:t>
            </w:r>
          </w:p>
        </w:tc>
      </w:tr>
      <w:tr w:rsidR="003737EA" w:rsidRPr="00472F35" w14:paraId="72669DF7" w14:textId="77777777">
        <w:trPr>
          <w:cantSplit/>
        </w:trPr>
        <w:tc>
          <w:tcPr>
            <w:tcW w:w="3592" w:type="dxa"/>
            <w:tcBorders>
              <w:top w:val="single" w:sz="6" w:space="0" w:color="2F5496"/>
              <w:left w:val="single" w:sz="6" w:space="0" w:color="2F5496"/>
              <w:bottom w:val="single" w:sz="6" w:space="0" w:color="2F5496"/>
              <w:right w:val="single" w:sz="6" w:space="0" w:color="2F5496"/>
            </w:tcBorders>
          </w:tcPr>
          <w:p w14:paraId="07035CF5" w14:textId="77777777" w:rsidR="003737EA" w:rsidRPr="00472F35" w:rsidRDefault="003737EA">
            <w:pPr>
              <w:pStyle w:val="TableText"/>
              <w:rPr>
                <w:rFonts w:cs="Calibri"/>
                <w:color w:val="000000"/>
                <w:szCs w:val="20"/>
                <w:u w:val="single"/>
                <w14:ligatures w14:val="standardContextual"/>
              </w:rPr>
            </w:pPr>
            <w:hyperlink r:id="rId72" w:history="1">
              <w:r w:rsidRPr="00472F35">
                <w:rPr>
                  <w:rStyle w:val="Hyperlink"/>
                  <w:rFonts w:cs="Calibri"/>
                  <w:szCs w:val="20"/>
                </w:rPr>
                <w:t>Massachusetts Tests for Educator Licensure (MTEL)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711D6B5" w14:textId="77777777" w:rsidR="003737EA" w:rsidRPr="00472F35" w:rsidRDefault="003737EA">
            <w:pPr>
              <w:pStyle w:val="TableText"/>
              <w:rPr>
                <w:rFonts w:eastAsia="Franklin Gothic Book" w:cs="Tahoma"/>
              </w:rPr>
            </w:pPr>
            <w:r w:rsidRPr="00472F35">
              <w:rPr>
                <w:color w:val="000000"/>
              </w:rPr>
              <w:t xml:space="preserve">Information on MTEL exams, MTEL alternatives, and licensure requirements for educators. </w:t>
            </w:r>
          </w:p>
        </w:tc>
      </w:tr>
      <w:tr w:rsidR="003737EA" w:rsidRPr="00472F35" w14:paraId="5BF26C39"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65C7001E" w14:textId="77777777" w:rsidR="003737EA" w:rsidRPr="00472F35" w:rsidRDefault="003737EA">
            <w:pPr>
              <w:pStyle w:val="TableText"/>
              <w:rPr>
                <w14:ligatures w14:val="standardContextual"/>
              </w:rPr>
            </w:pPr>
            <w:hyperlink r:id="rId73" w:history="1">
              <w:r w:rsidRPr="00472F35">
                <w:rPr>
                  <w:rStyle w:val="Hyperlink"/>
                  <w:rFonts w:cs="Calibri"/>
                  <w:szCs w:val="20"/>
                </w:rPr>
                <w:t>OPTIC</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E5C749D" w14:textId="77777777" w:rsidR="003737EA" w:rsidRPr="00472F35" w:rsidRDefault="003737EA">
            <w:pPr>
              <w:pStyle w:val="TableText"/>
              <w:rPr>
                <w:rFonts w:eastAsia="Franklin Gothic Book" w:cs="Tahoma"/>
              </w:rPr>
            </w:pPr>
            <w:r w:rsidRPr="00472F35">
              <w:rPr>
                <w:color w:val="000000"/>
              </w:rPr>
              <w:t>A professional development tool that supports Massachusetts educators to build a shared understanding of high-quality instruction and improve the feedback that teachers receive.</w:t>
            </w:r>
          </w:p>
        </w:tc>
      </w:tr>
      <w:tr w:rsidR="003737EA" w:rsidRPr="00472F35" w14:paraId="6145C143"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E2EA197" w14:textId="77777777" w:rsidR="003737EA" w:rsidRPr="00472F35" w:rsidRDefault="003737EA">
            <w:pPr>
              <w:pStyle w:val="TableText"/>
              <w:rPr>
                <w14:ligatures w14:val="standardContextual"/>
              </w:rPr>
            </w:pPr>
            <w:hyperlink r:id="rId74" w:history="1">
              <w:r w:rsidRPr="00472F35">
                <w:rPr>
                  <w:rStyle w:val="Hyperlink"/>
                  <w:rFonts w:cs="Calibri"/>
                  <w:szCs w:val="20"/>
                </w:rPr>
                <w:t>Professional Learning Partner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DFA2AB8" w14:textId="77777777" w:rsidR="003737EA" w:rsidRPr="00472F35" w:rsidRDefault="003737EA">
            <w:pPr>
              <w:pStyle w:val="TableText"/>
              <w:rPr>
                <w:color w:val="000000"/>
              </w:rPr>
            </w:pPr>
            <w:r w:rsidRPr="00472F35">
              <w:rPr>
                <w:color w:val="000000" w:themeColor="text1"/>
              </w:rPr>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r w:rsidR="003737EA" w:rsidRPr="00472F35" w14:paraId="0D2D0F4F" w14:textId="77777777">
        <w:trPr>
          <w:cantSplit/>
        </w:trPr>
        <w:tc>
          <w:tcPr>
            <w:tcW w:w="3592" w:type="dxa"/>
            <w:tcBorders>
              <w:top w:val="single" w:sz="6" w:space="0" w:color="2F5496"/>
              <w:left w:val="single" w:sz="6" w:space="0" w:color="2F5496"/>
              <w:bottom w:val="single" w:sz="6" w:space="0" w:color="2F5496"/>
              <w:right w:val="single" w:sz="6" w:space="0" w:color="2F5496"/>
            </w:tcBorders>
          </w:tcPr>
          <w:p w14:paraId="4C14212C" w14:textId="77777777" w:rsidR="003737EA" w:rsidRPr="00472F35" w:rsidRDefault="003737EA">
            <w:pPr>
              <w:pStyle w:val="TableText"/>
              <w:rPr>
                <w:rFonts w:eastAsia="Times New Roman"/>
                <w:color w:val="000000"/>
              </w:rPr>
            </w:pPr>
            <w:hyperlink r:id="rId75" w:history="1">
              <w:r w:rsidRPr="00472F35">
                <w:rPr>
                  <w:rStyle w:val="Hyperlink"/>
                  <w:rFonts w:cs="Calibri"/>
                  <w:szCs w:val="20"/>
                </w:rPr>
                <w:t>Promising Recruitment, Selection and Retention Strategies for a Diverse Massachusetts Teacher Workforce</w:t>
              </w:r>
            </w:hyperlink>
          </w:p>
        </w:tc>
        <w:tc>
          <w:tcPr>
            <w:tcW w:w="5759" w:type="dxa"/>
            <w:tcBorders>
              <w:top w:val="single" w:sz="6" w:space="0" w:color="2F5496"/>
              <w:left w:val="single" w:sz="6" w:space="0" w:color="2F5496"/>
              <w:bottom w:val="single" w:sz="6" w:space="0" w:color="2F5496"/>
              <w:right w:val="single" w:sz="6" w:space="0" w:color="2F5496"/>
            </w:tcBorders>
          </w:tcPr>
          <w:p w14:paraId="3B497C29" w14:textId="77777777" w:rsidR="003737EA" w:rsidRPr="00472F35" w:rsidRDefault="003737EA">
            <w:pPr>
              <w:pStyle w:val="TableText"/>
              <w:rPr>
                <w:rFonts w:eastAsia="Times New Roman"/>
                <w:color w:val="000000"/>
              </w:rPr>
            </w:pPr>
            <w:r w:rsidRPr="00472F35">
              <w:rPr>
                <w:color w:val="000000"/>
              </w:rPr>
              <w:t>This guidebook provides a framework to help district and school leaders design and implement a teacher diversification strategy to improve student achievement and create equitable learning experiences.</w:t>
            </w:r>
          </w:p>
        </w:tc>
      </w:tr>
      <w:tr w:rsidR="003737EA" w:rsidRPr="00472F35" w14:paraId="3A946DA4"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14B0F815" w14:textId="77777777" w:rsidR="003737EA" w:rsidRPr="00472F35" w:rsidRDefault="003737EA">
            <w:pPr>
              <w:pStyle w:val="TableText"/>
              <w:rPr>
                <w:rFonts w:eastAsia="Franklin Gothic Book" w:cs="Tahoma"/>
              </w:rPr>
            </w:pPr>
            <w:hyperlink r:id="rId76" w:history="1">
              <w:r w:rsidRPr="00472F35">
                <w:rPr>
                  <w:rStyle w:val="Hyperlink"/>
                  <w:rFonts w:cs="Calibri"/>
                  <w:szCs w:val="20"/>
                </w:rPr>
                <w:t>“What to Look For” Observation Guides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42A01D0" w14:textId="77777777" w:rsidR="003737EA" w:rsidRPr="00472F35" w:rsidRDefault="003737EA">
            <w:pPr>
              <w:pStyle w:val="TableText"/>
              <w:rPr>
                <w:rFonts w:eastAsia="Franklin Gothic Book" w:cs="Tahoma"/>
              </w:rPr>
            </w:pPr>
            <w:r w:rsidRPr="00472F35">
              <w:rPr>
                <w:color w:val="000000"/>
              </w:rPr>
              <w:t>Observation tools to help district staff observe instruction.</w:t>
            </w:r>
          </w:p>
        </w:tc>
      </w:tr>
      <w:tr w:rsidR="003737EA" w:rsidRPr="00472F35" w14:paraId="458F9E1A"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6B3F07B0" w14:textId="77777777" w:rsidR="003737EA" w:rsidRPr="00472F35" w:rsidRDefault="003737EA">
            <w:pPr>
              <w:pStyle w:val="TableText"/>
              <w:rPr>
                <w:rFonts w:eastAsia="Franklin Gothic Book" w:cs="Tahoma"/>
              </w:rPr>
            </w:pPr>
            <w:hyperlink r:id="rId77" w:history="1">
              <w:r w:rsidRPr="00472F35">
                <w:rPr>
                  <w:rStyle w:val="Hyperlink"/>
                  <w:rFonts w:cs="Calibri"/>
                  <w:szCs w:val="20"/>
                </w:rPr>
                <w:t>Talent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C16E658" w14:textId="77777777" w:rsidR="003737EA" w:rsidRPr="00472F35" w:rsidRDefault="003737EA">
            <w:pPr>
              <w:pStyle w:val="TableText"/>
              <w:rPr>
                <w:rFonts w:eastAsia="Franklin Gothic Book" w:cs="Tahoma"/>
              </w:rPr>
            </w:pPr>
            <w:r w:rsidRPr="00472F35">
              <w:rPr>
                <w:color w:val="000000"/>
              </w:rPr>
              <w:t>An online hub of resources, considerations, and updates for recruiting, hiring, evaluating, and supporting educators and school staff, with a focus on equity.</w:t>
            </w:r>
          </w:p>
        </w:tc>
      </w:tr>
      <w:tr w:rsidR="003737EA" w:rsidRPr="00472F35" w14:paraId="3782A591"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1B12715" w14:textId="77777777" w:rsidR="003737EA" w:rsidRPr="00472F35" w:rsidRDefault="003737EA">
            <w:pPr>
              <w:pStyle w:val="TableText"/>
              <w:rPr>
                <w:rFonts w:eastAsia="Franklin Gothic Book" w:cs="Tahoma"/>
              </w:rPr>
            </w:pPr>
            <w:hyperlink r:id="rId78" w:history="1">
              <w:r w:rsidRPr="00472F35">
                <w:rPr>
                  <w:rStyle w:val="Hyperlink"/>
                  <w:rFonts w:cs="Calibri"/>
                  <w:szCs w:val="20"/>
                </w:rPr>
                <w:t>WIDA Professional Development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4353016" w14:textId="77777777" w:rsidR="003737EA" w:rsidRPr="00472F35" w:rsidRDefault="003737EA">
            <w:pPr>
              <w:pStyle w:val="TableText"/>
              <w:rPr>
                <w:rFonts w:eastAsia="Franklin Gothic Book" w:cs="Tahoma"/>
              </w:rPr>
            </w:pPr>
            <w:r w:rsidRPr="00472F35">
              <w:rPr>
                <w:color w:val="000000"/>
              </w:rPr>
              <w:t>WIDA professional development provides great information and strategies to support multilingual learners in Massachusetts public schools, and WIDA PDPs satisfy educator licensure renewal requirements. These DESE Sponsored courses are available at no cost to participants and are perfect for teams of teachers seeking impactful collaboration to support students’ access to rigorous course content.</w:t>
            </w:r>
          </w:p>
        </w:tc>
      </w:tr>
    </w:tbl>
    <w:p w14:paraId="2A1682F8" w14:textId="77777777" w:rsidR="003737EA" w:rsidRDefault="003737EA" w:rsidP="003737EA">
      <w:pPr>
        <w:pStyle w:val="TableTitle0"/>
      </w:pPr>
    </w:p>
    <w:p w14:paraId="3CAB2F06" w14:textId="77777777" w:rsidR="003737EA" w:rsidRDefault="003737EA" w:rsidP="003737EA">
      <w:pPr>
        <w:spacing w:after="160" w:line="278" w:lineRule="auto"/>
        <w:rPr>
          <w:rFonts w:ascii="Franklin Gothic Demi" w:hAnsi="Franklin Gothic Demi"/>
        </w:rPr>
      </w:pPr>
      <w:r>
        <w:br w:type="page"/>
      </w:r>
    </w:p>
    <w:p w14:paraId="0E37C53C" w14:textId="77777777" w:rsidR="003737EA" w:rsidRPr="00472F35" w:rsidRDefault="003737EA" w:rsidP="003737EA">
      <w:pPr>
        <w:pStyle w:val="TableTitle0"/>
      </w:pPr>
      <w:r w:rsidRPr="00472F35">
        <w:lastRenderedPageBreak/>
        <w:t>Table C5. Resources to Support Student Support</w:t>
      </w:r>
    </w:p>
    <w:tbl>
      <w:tblPr>
        <w:tblStyle w:val="MSVTable1"/>
        <w:tblW w:w="5000" w:type="pct"/>
        <w:tblLook w:val="0620" w:firstRow="1" w:lastRow="0" w:firstColumn="0" w:lastColumn="0" w:noHBand="1" w:noVBand="1"/>
      </w:tblPr>
      <w:tblGrid>
        <w:gridCol w:w="3592"/>
        <w:gridCol w:w="5752"/>
      </w:tblGrid>
      <w:tr w:rsidR="003737EA" w:rsidRPr="00472F35" w14:paraId="04659D65" w14:textId="77777777">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0C96504A" w14:textId="77777777" w:rsidR="003737EA" w:rsidRPr="00472F35" w:rsidRDefault="003737EA">
            <w:pPr>
              <w:pStyle w:val="TableColHeadingLeft"/>
            </w:pPr>
            <w:r w:rsidRPr="00472F35">
              <w:t xml:space="preserve">Resource </w:t>
            </w:r>
          </w:p>
        </w:tc>
        <w:tc>
          <w:tcPr>
            <w:tcW w:w="5752" w:type="dxa"/>
            <w:tcBorders>
              <w:top w:val="single" w:sz="6" w:space="0" w:color="2F5496"/>
              <w:bottom w:val="single" w:sz="6" w:space="0" w:color="2F5496"/>
              <w:right w:val="single" w:sz="6" w:space="0" w:color="2F5496"/>
            </w:tcBorders>
            <w:hideMark/>
          </w:tcPr>
          <w:p w14:paraId="7D92D0EA" w14:textId="77777777" w:rsidR="003737EA" w:rsidRPr="00472F35" w:rsidRDefault="003737EA">
            <w:pPr>
              <w:pStyle w:val="TableColHeadingLeft"/>
            </w:pPr>
            <w:r w:rsidRPr="00472F35">
              <w:t>Description</w:t>
            </w:r>
          </w:p>
        </w:tc>
      </w:tr>
      <w:tr w:rsidR="003737EA" w:rsidRPr="00472F35" w14:paraId="6E2A87C4" w14:textId="77777777">
        <w:trPr>
          <w:cantSplit/>
        </w:trPr>
        <w:tc>
          <w:tcPr>
            <w:tcW w:w="3592" w:type="dxa"/>
            <w:tcBorders>
              <w:top w:val="single" w:sz="6" w:space="0" w:color="2F5496"/>
              <w:left w:val="single" w:sz="6" w:space="0" w:color="2F5496"/>
              <w:bottom w:val="single" w:sz="6" w:space="0" w:color="2F5496"/>
              <w:right w:val="single" w:sz="6" w:space="0" w:color="2F5496"/>
            </w:tcBorders>
          </w:tcPr>
          <w:p w14:paraId="4953CCE2" w14:textId="77777777" w:rsidR="003737EA" w:rsidRDefault="003737EA">
            <w:pPr>
              <w:pStyle w:val="TableText"/>
            </w:pPr>
            <w:r>
              <w:t>Dropout Prevention and Reengagement</w:t>
            </w:r>
          </w:p>
          <w:p w14:paraId="2EE7E5DA" w14:textId="77777777" w:rsidR="003737EA" w:rsidRPr="009B6F79" w:rsidRDefault="003737EA" w:rsidP="003737EA">
            <w:pPr>
              <w:pStyle w:val="TableBullet1"/>
              <w:rPr>
                <w:rStyle w:val="Hyperlink"/>
                <w:rFonts w:eastAsia="Times New Roman" w:cs="Calibri"/>
                <w:color w:val="000000"/>
                <w:szCs w:val="20"/>
              </w:rPr>
            </w:pPr>
            <w:hyperlink r:id="rId79" w:history="1">
              <w:r w:rsidRPr="00472F35">
                <w:rPr>
                  <w:rStyle w:val="Hyperlink"/>
                  <w:rFonts w:cs="Calibri"/>
                  <w:szCs w:val="20"/>
                </w:rPr>
                <w:t>Dropout Prevention and Reengagement (DPR) Resources</w:t>
              </w:r>
            </w:hyperlink>
          </w:p>
          <w:p w14:paraId="11699751" w14:textId="77777777" w:rsidR="003737EA" w:rsidRPr="00472F35" w:rsidRDefault="003737EA" w:rsidP="003737EA">
            <w:pPr>
              <w:pStyle w:val="TableBullet1"/>
              <w:rPr>
                <w:rStyle w:val="Hyperlink"/>
                <w:rFonts w:eastAsia="Times New Roman" w:cs="Calibri"/>
                <w:color w:val="000000"/>
                <w:szCs w:val="20"/>
                <w:u w:val="none"/>
              </w:rPr>
            </w:pPr>
            <w:hyperlink r:id="rId80" w:history="1">
              <w:r w:rsidRPr="00472F35">
                <w:rPr>
                  <w:rStyle w:val="Hyperlink"/>
                  <w:rFonts w:cs="Calibri"/>
                  <w:szCs w:val="20"/>
                </w:rPr>
                <w:t>Early Warning Indicator System (EWIS)</w:t>
              </w:r>
            </w:hyperlink>
          </w:p>
        </w:tc>
        <w:tc>
          <w:tcPr>
            <w:tcW w:w="5752" w:type="dxa"/>
            <w:tcBorders>
              <w:top w:val="single" w:sz="6" w:space="0" w:color="2F5496"/>
              <w:left w:val="single" w:sz="6" w:space="0" w:color="2F5496"/>
              <w:bottom w:val="single" w:sz="6" w:space="0" w:color="2F5496"/>
              <w:right w:val="single" w:sz="6" w:space="0" w:color="2F5496"/>
            </w:tcBorders>
          </w:tcPr>
          <w:p w14:paraId="1ADEBDF8" w14:textId="77777777" w:rsidR="003737EA" w:rsidRPr="00472F35" w:rsidRDefault="003737EA">
            <w:pPr>
              <w:pStyle w:val="TableText"/>
              <w:rPr>
                <w:rFonts w:eastAsia="Times New Roman" w:cs="Calibri"/>
                <w:color w:val="000000"/>
                <w:szCs w:val="20"/>
              </w:rPr>
            </w:pPr>
            <w:r w:rsidRPr="00472F35">
              <w:rPr>
                <w:rFonts w:cs="Calibri"/>
                <w:color w:val="000000"/>
                <w:szCs w:val="20"/>
              </w:rPr>
              <w:t>DPR efforts are designed to support students at-risk of not graduating or reengage students who have left school with opportunities to gain the academic, personal/social, and work readiness skills necessary to graduate and lead productive lives.</w:t>
            </w:r>
            <w:r>
              <w:rPr>
                <w:rFonts w:cs="Calibri"/>
                <w:color w:val="000000"/>
              </w:rPr>
              <w:t xml:space="preserve"> EWIS includes t</w:t>
            </w:r>
            <w:r w:rsidRPr="00472F35">
              <w:rPr>
                <w:rFonts w:cs="Calibri"/>
                <w:color w:val="000000"/>
                <w:szCs w:val="20"/>
              </w:rPr>
              <w:t xml:space="preserve">ools for districts to identify students who are at risk </w:t>
            </w:r>
            <w:r>
              <w:rPr>
                <w:rFonts w:cs="Calibri"/>
                <w:color w:val="000000"/>
              </w:rPr>
              <w:t>and help get them back on track.</w:t>
            </w:r>
          </w:p>
        </w:tc>
      </w:tr>
      <w:tr w:rsidR="003737EA" w:rsidRPr="00472F35" w14:paraId="7F04CDE9" w14:textId="77777777">
        <w:trPr>
          <w:cantSplit/>
        </w:trPr>
        <w:tc>
          <w:tcPr>
            <w:tcW w:w="3592" w:type="dxa"/>
            <w:tcBorders>
              <w:top w:val="single" w:sz="6" w:space="0" w:color="2F5496"/>
              <w:left w:val="single" w:sz="6" w:space="0" w:color="2F5496"/>
              <w:bottom w:val="single" w:sz="6" w:space="0" w:color="2F5496"/>
              <w:right w:val="single" w:sz="6" w:space="0" w:color="2F5496"/>
            </w:tcBorders>
          </w:tcPr>
          <w:p w14:paraId="70A75EA4" w14:textId="77777777" w:rsidR="003737EA" w:rsidRDefault="003737EA">
            <w:pPr>
              <w:pStyle w:val="TableText"/>
            </w:pPr>
            <w:r>
              <w:t>Educational Stability Resources</w:t>
            </w:r>
          </w:p>
          <w:p w14:paraId="5FE69DE8" w14:textId="77777777" w:rsidR="003737EA" w:rsidRPr="001F7F1E" w:rsidRDefault="003737EA" w:rsidP="003737EA">
            <w:pPr>
              <w:pStyle w:val="TableBullet1"/>
              <w:rPr>
                <w:rStyle w:val="Hyperlink"/>
                <w:rFonts w:eastAsia="Times New Roman" w:cs="Calibri"/>
                <w:color w:val="000000"/>
                <w:szCs w:val="20"/>
                <w:u w:val="none"/>
              </w:rPr>
            </w:pPr>
            <w:hyperlink r:id="rId81" w:history="1">
              <w:r w:rsidRPr="00472F35">
                <w:rPr>
                  <w:rStyle w:val="Hyperlink"/>
                  <w:rFonts w:cs="Calibri"/>
                  <w:szCs w:val="20"/>
                </w:rPr>
                <w:t>Educational Stability for Highly Mobile Students</w:t>
              </w:r>
            </w:hyperlink>
          </w:p>
          <w:p w14:paraId="2D44AF84" w14:textId="77777777" w:rsidR="003737EA" w:rsidRPr="00196F40" w:rsidRDefault="003737EA" w:rsidP="003737EA">
            <w:pPr>
              <w:pStyle w:val="TableBullet1"/>
              <w:rPr>
                <w:rFonts w:eastAsia="Times New Roman" w:cs="Calibri"/>
                <w:color w:val="000000"/>
                <w:szCs w:val="20"/>
              </w:rPr>
            </w:pPr>
            <w:hyperlink r:id="rId82" w:history="1">
              <w:r w:rsidRPr="00472F35">
                <w:rPr>
                  <w:rStyle w:val="Hyperlink"/>
                  <w:rFonts w:cs="Calibri"/>
                  <w:szCs w:val="20"/>
                </w:rPr>
                <w:t>SLIFE Guidance and Toolkit</w:t>
              </w:r>
            </w:hyperlink>
          </w:p>
          <w:p w14:paraId="3F0E1373" w14:textId="77777777" w:rsidR="003737EA" w:rsidRPr="00472F35" w:rsidRDefault="003737EA" w:rsidP="003737EA">
            <w:pPr>
              <w:pStyle w:val="TableBullet1"/>
              <w:rPr>
                <w:rFonts w:eastAsia="Times New Roman" w:cs="Calibri"/>
                <w:color w:val="000000"/>
                <w:szCs w:val="20"/>
              </w:rPr>
            </w:pPr>
            <w:hyperlink r:id="rId83" w:history="1">
              <w:r w:rsidRPr="00472F35">
                <w:rPr>
                  <w:rStyle w:val="Hyperlink"/>
                  <w:rFonts w:cs="Calibri"/>
                  <w:szCs w:val="20"/>
                </w:rPr>
                <w:t>Resources for Supporting Immigrant and Refugee Students</w:t>
              </w:r>
            </w:hyperlink>
          </w:p>
        </w:tc>
        <w:tc>
          <w:tcPr>
            <w:tcW w:w="5752" w:type="dxa"/>
            <w:tcBorders>
              <w:top w:val="single" w:sz="6" w:space="0" w:color="2F5496"/>
              <w:left w:val="single" w:sz="6" w:space="0" w:color="2F5496"/>
              <w:bottom w:val="single" w:sz="6" w:space="0" w:color="2F5496"/>
              <w:right w:val="single" w:sz="6" w:space="0" w:color="2F5496"/>
            </w:tcBorders>
          </w:tcPr>
          <w:p w14:paraId="1A0CFAF8" w14:textId="77777777" w:rsidR="003737EA" w:rsidRPr="00472F35" w:rsidRDefault="003737EA">
            <w:pPr>
              <w:pStyle w:val="TableText"/>
              <w:rPr>
                <w:rFonts w:eastAsia="Times New Roman"/>
              </w:rPr>
            </w:pPr>
            <w:r>
              <w:t xml:space="preserve">The linked resources provide guidance, technical assistance, professional learning opportunities, grants, and other supports to ensure that students experiencing homelessness, those in foster care, migrant and refugee students, those with limited or interrupted formal education, and students in military families have access to a consistent and high-quality public education. </w:t>
            </w:r>
          </w:p>
        </w:tc>
      </w:tr>
      <w:tr w:rsidR="003737EA" w:rsidRPr="00472F35" w14:paraId="3F827B85"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65C7155" w14:textId="77777777" w:rsidR="003737EA" w:rsidRPr="00847571" w:rsidRDefault="003737EA">
            <w:pPr>
              <w:pStyle w:val="TableText"/>
              <w:rPr>
                <w:rFonts w:eastAsia="Times New Roman" w:cs="Times New Roman"/>
                <w14:ligatures w14:val="standardContextual"/>
              </w:rPr>
            </w:pPr>
            <w:r w:rsidRPr="00472F35">
              <w:t>Emergency Management</w:t>
            </w:r>
            <w:r>
              <w:t xml:space="preserve"> Guidance (</w:t>
            </w:r>
            <w:hyperlink r:id="rId84" w:history="1">
              <w:r w:rsidRPr="00847571">
                <w:rPr>
                  <w:rStyle w:val="Hyperlink"/>
                </w:rPr>
                <w:t>Federal</w:t>
              </w:r>
            </w:hyperlink>
            <w:r>
              <w:t xml:space="preserve"> and </w:t>
            </w:r>
            <w:hyperlink r:id="rId85" w:history="1">
              <w:r w:rsidRPr="00847571">
                <w:rPr>
                  <w:rStyle w:val="Hyperlink"/>
                </w:rPr>
                <w:t>State</w:t>
              </w:r>
            </w:hyperlink>
            <w:r>
              <w:t>)</w:t>
            </w:r>
          </w:p>
        </w:tc>
        <w:tc>
          <w:tcPr>
            <w:tcW w:w="5752" w:type="dxa"/>
            <w:tcBorders>
              <w:top w:val="single" w:sz="6" w:space="0" w:color="2F5496"/>
              <w:left w:val="single" w:sz="6" w:space="0" w:color="2F5496"/>
              <w:bottom w:val="single" w:sz="6" w:space="0" w:color="2F5496"/>
              <w:right w:val="single" w:sz="6" w:space="0" w:color="2F5496"/>
            </w:tcBorders>
            <w:hideMark/>
          </w:tcPr>
          <w:p w14:paraId="5374B64D" w14:textId="77777777" w:rsidR="003737EA" w:rsidRPr="00472F35" w:rsidRDefault="003737EA">
            <w:pPr>
              <w:pStyle w:val="TableText"/>
              <w:rPr>
                <w:rFonts w:eastAsia="HGGothicE" w:cs="Franklin Gothic Book"/>
                <w:bCs/>
              </w:rPr>
            </w:pPr>
            <w:r w:rsidRPr="00472F35">
              <w:rPr>
                <w:color w:val="000000" w:themeColor="text1"/>
              </w:rPr>
              <w:t xml:space="preserve">Guidance and Technical Assistance for districts/schools related to emergency management planning and implementation. </w:t>
            </w:r>
          </w:p>
        </w:tc>
      </w:tr>
      <w:tr w:rsidR="003737EA" w:rsidRPr="00472F35" w14:paraId="4A54EE6D"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BC9651A" w14:textId="77777777" w:rsidR="003737EA" w:rsidRPr="00472F35" w:rsidRDefault="003737EA">
            <w:pPr>
              <w:pStyle w:val="TableText"/>
              <w:rPr>
                <w:shd w:val="clear" w:color="auto" w:fill="FFFFFF"/>
              </w:rPr>
            </w:pPr>
            <w:r w:rsidRPr="00472F35">
              <w:rPr>
                <w:shd w:val="clear" w:color="auto" w:fill="FFFFFF"/>
              </w:rPr>
              <w:t>Family Partnerships</w:t>
            </w:r>
          </w:p>
          <w:p w14:paraId="48384A5F" w14:textId="77777777" w:rsidR="003737EA" w:rsidRPr="00472F35" w:rsidRDefault="003737EA" w:rsidP="003737EA">
            <w:pPr>
              <w:pStyle w:val="TableBullet1"/>
              <w:rPr>
                <w:rFonts w:eastAsia="Franklin Gothic Book" w:cs="Tahoma"/>
                <w:szCs w:val="20"/>
                <w:shd w:val="clear" w:color="auto" w:fill="FFFFFF"/>
              </w:rPr>
            </w:pPr>
            <w:hyperlink r:id="rId86" w:history="1">
              <w:r w:rsidRPr="00472F35">
                <w:rPr>
                  <w:rStyle w:val="Hyperlink"/>
                  <w:rFonts w:cs="Calibri"/>
                  <w:szCs w:val="20"/>
                </w:rPr>
                <w:t>DESE Family Portal</w:t>
              </w:r>
            </w:hyperlink>
          </w:p>
          <w:p w14:paraId="3289F3A2" w14:textId="77777777" w:rsidR="003737EA" w:rsidRPr="00AE7DD8" w:rsidRDefault="003737EA" w:rsidP="003737EA">
            <w:pPr>
              <w:pStyle w:val="TableBullet1"/>
              <w:rPr>
                <w:color w:val="0563C1" w:themeColor="hyperlink"/>
                <w:szCs w:val="20"/>
                <w:u w:val="single"/>
              </w:rPr>
            </w:pPr>
            <w:hyperlink r:id="rId87" w:history="1">
              <w:r w:rsidRPr="00472F35">
                <w:rPr>
                  <w:rStyle w:val="Hyperlink"/>
                  <w:rFonts w:cs="Calibri"/>
                  <w:szCs w:val="20"/>
                </w:rPr>
                <w:t>Strengthening Partnerships: A Framework for Prenatal through Young Adulthood Family Engagement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71544E83" w14:textId="77777777" w:rsidR="003737EA" w:rsidRPr="00472F35" w:rsidRDefault="003737EA">
            <w:pPr>
              <w:pStyle w:val="TableText"/>
              <w:rPr>
                <w:color w:val="000000" w:themeColor="text1"/>
              </w:rPr>
            </w:pPr>
            <w:r w:rsidRPr="00472F35">
              <w:rPr>
                <w:rFonts w:eastAsia="Franklin Gothic Book" w:cs="Tahoma"/>
                <w:shd w:val="clear" w:color="auto" w:fill="FFFFFF"/>
              </w:rPr>
              <w:t>Resources for authentically engaging families in their child’s education and centering families voices in school and district decision-making.</w:t>
            </w:r>
          </w:p>
        </w:tc>
      </w:tr>
      <w:tr w:rsidR="003737EA" w:rsidRPr="00472F35" w14:paraId="3E4E533E"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74BA8BC" w14:textId="77777777" w:rsidR="003737EA" w:rsidRPr="00472F35" w:rsidRDefault="003737EA">
            <w:pPr>
              <w:pStyle w:val="TableText"/>
              <w:rPr>
                <w14:ligatures w14:val="standardContextual"/>
              </w:rPr>
            </w:pPr>
            <w:r w:rsidRPr="00472F35">
              <w:t xml:space="preserve">MTSS Resources: </w:t>
            </w:r>
          </w:p>
          <w:p w14:paraId="6C9505AB" w14:textId="77777777" w:rsidR="003737EA" w:rsidRPr="00472F35" w:rsidRDefault="003737EA" w:rsidP="003737EA">
            <w:pPr>
              <w:pStyle w:val="TableBullet1"/>
              <w:rPr>
                <w:rStyle w:val="Hyperlink"/>
                <w:rFonts w:eastAsia="Franklin Gothic Book" w:cs="Tahoma"/>
                <w:szCs w:val="20"/>
                <w:shd w:val="clear" w:color="auto" w:fill="FFFFFF"/>
              </w:rPr>
            </w:pPr>
            <w:hyperlink r:id="rId88" w:history="1">
              <w:r w:rsidRPr="00472F35">
                <w:rPr>
                  <w:rStyle w:val="Hyperlink"/>
                  <w:rFonts w:cs="Calibri"/>
                  <w:szCs w:val="20"/>
                </w:rPr>
                <w:t>MTSS Blueprint, Self-Assessment, and Resources</w:t>
              </w:r>
            </w:hyperlink>
          </w:p>
          <w:p w14:paraId="2C075501" w14:textId="77777777" w:rsidR="003737EA" w:rsidRPr="00472F35" w:rsidRDefault="003737EA" w:rsidP="003737EA">
            <w:pPr>
              <w:pStyle w:val="TableBullet1"/>
              <w:rPr>
                <w:szCs w:val="20"/>
              </w:rPr>
            </w:pPr>
            <w:hyperlink r:id="rId89" w:history="1">
              <w:r w:rsidRPr="00472F35">
                <w:rPr>
                  <w:rStyle w:val="Hyperlink"/>
                  <w:rFonts w:cs="Calibri"/>
                  <w:szCs w:val="20"/>
                </w:rPr>
                <w:t>Massachusetts Tools for Schools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3054BFC9" w14:textId="77777777" w:rsidR="003737EA" w:rsidRPr="00472F35" w:rsidRDefault="003737EA">
            <w:pPr>
              <w:pStyle w:val="TableText"/>
              <w:rPr>
                <w:rFonts w:eastAsia="Franklin Gothic Book" w:cs="Tahoma"/>
                <w:shd w:val="clear" w:color="auto" w:fill="FFFFFF"/>
              </w:rPr>
            </w:pPr>
            <w:r w:rsidRPr="00472F35">
              <w:t>MTSS is a framework for how school districts can build the necessary systems to ensure that every student receives a high-quality educational experience.</w:t>
            </w:r>
          </w:p>
        </w:tc>
      </w:tr>
      <w:tr w:rsidR="003737EA" w:rsidRPr="00472F35" w14:paraId="16ABEC4C"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5DDC4777" w14:textId="77777777" w:rsidR="003737EA" w:rsidRDefault="003737EA">
            <w:pPr>
              <w:pStyle w:val="TableText"/>
            </w:pPr>
            <w:r>
              <w:t xml:space="preserve">Safe and Supportive Schools: </w:t>
            </w:r>
          </w:p>
          <w:p w14:paraId="66AE872E" w14:textId="77777777" w:rsidR="003737EA" w:rsidRPr="00442A84" w:rsidRDefault="003737EA" w:rsidP="003737EA">
            <w:pPr>
              <w:pStyle w:val="TableBullet1"/>
              <w:rPr>
                <w:rStyle w:val="Hyperlink"/>
                <w:rFonts w:eastAsia="Franklin Gothic Book" w:cs="Tahoma"/>
                <w:color w:val="auto"/>
                <w:u w:val="none"/>
              </w:rPr>
            </w:pPr>
            <w:hyperlink r:id="rId90" w:history="1">
              <w:r w:rsidRPr="009C3E5C">
                <w:rPr>
                  <w:rStyle w:val="Hyperlink"/>
                  <w:rFonts w:cs="Calibri"/>
                  <w:color w:val="4472C4"/>
                  <w:szCs w:val="20"/>
                </w:rPr>
                <w:t>Safe and Supportive Schools Framework and Self-Reflection Tool</w:t>
              </w:r>
            </w:hyperlink>
          </w:p>
          <w:p w14:paraId="5084DF94" w14:textId="77777777" w:rsidR="003737EA" w:rsidRPr="001F7F1E" w:rsidRDefault="003737EA" w:rsidP="003737EA">
            <w:pPr>
              <w:pStyle w:val="TableBullet1"/>
              <w:rPr>
                <w:rFonts w:eastAsia="Franklin Gothic Book" w:cs="Tahoma"/>
              </w:rPr>
            </w:pPr>
            <w:hyperlink r:id="rId91" w:history="1">
              <w:r w:rsidRPr="00472F35">
                <w:rPr>
                  <w:rStyle w:val="Hyperlink"/>
                  <w:rFonts w:cs="Calibri"/>
                  <w:szCs w:val="20"/>
                </w:rPr>
                <w:t>Safe Schools Program for LGBTQ Students</w:t>
              </w:r>
            </w:hyperlink>
          </w:p>
          <w:p w14:paraId="148211E0" w14:textId="77777777" w:rsidR="003737EA" w:rsidRPr="00D27AC8" w:rsidRDefault="003737EA" w:rsidP="003737EA">
            <w:pPr>
              <w:pStyle w:val="TableBullet1"/>
              <w:rPr>
                <w:rFonts w:eastAsia="Franklin Gothic Book" w:cs="Tahoma"/>
              </w:rPr>
            </w:pPr>
            <w:hyperlink r:id="rId92" w:history="1">
              <w:r w:rsidRPr="00472F35">
                <w:rPr>
                  <w:rStyle w:val="Hyperlink"/>
                  <w:rFonts w:cs="Calibri"/>
                  <w:color w:val="4472C4"/>
                  <w:szCs w:val="20"/>
                </w:rPr>
                <w:t>Bullying Prevention and Intervention</w:t>
              </w:r>
            </w:hyperlink>
          </w:p>
          <w:p w14:paraId="5CF4816F" w14:textId="77777777" w:rsidR="003737EA" w:rsidRPr="00825F84" w:rsidRDefault="003737EA" w:rsidP="003737EA">
            <w:pPr>
              <w:pStyle w:val="TableBullet1"/>
              <w:rPr>
                <w:rFonts w:eastAsia="Franklin Gothic Book" w:cs="Tahoma"/>
              </w:rPr>
            </w:pPr>
            <w:hyperlink r:id="rId93" w:history="1">
              <w:r w:rsidRPr="00472F35">
                <w:rPr>
                  <w:rStyle w:val="Hyperlink"/>
                  <w:rFonts w:cs="Calibri"/>
                  <w:szCs w:val="20"/>
                </w:rPr>
                <w:t>Rethinking Discipline Initiative</w:t>
              </w:r>
            </w:hyperlink>
          </w:p>
        </w:tc>
        <w:tc>
          <w:tcPr>
            <w:tcW w:w="5752" w:type="dxa"/>
            <w:tcBorders>
              <w:top w:val="single" w:sz="6" w:space="0" w:color="2F5496"/>
              <w:left w:val="single" w:sz="6" w:space="0" w:color="2F5496"/>
              <w:bottom w:val="single" w:sz="6" w:space="0" w:color="2F5496"/>
              <w:right w:val="single" w:sz="6" w:space="0" w:color="2F5496"/>
            </w:tcBorders>
            <w:hideMark/>
          </w:tcPr>
          <w:p w14:paraId="2B166EF8" w14:textId="77777777" w:rsidR="003737EA" w:rsidRPr="00472F35" w:rsidRDefault="003737EA">
            <w:pPr>
              <w:pStyle w:val="TableText"/>
              <w:rPr>
                <w:rFonts w:eastAsia="Franklin Gothic Book" w:cs="Tahoma"/>
              </w:rPr>
            </w:pPr>
            <w:r w:rsidRPr="00472F35">
              <w:rPr>
                <w:color w:val="000000"/>
              </w:rPr>
              <w:t>These resources can help guide school- and district-based teams to create safer and more supportive school climates and cultures</w:t>
            </w:r>
            <w:r>
              <w:rPr>
                <w:color w:val="000000"/>
              </w:rPr>
              <w:t xml:space="preserve"> that allow all students to thrive</w:t>
            </w:r>
            <w:r w:rsidRPr="00472F35">
              <w:rPr>
                <w:color w:val="000000"/>
              </w:rPr>
              <w:t xml:space="preserve">. </w:t>
            </w:r>
            <w:r>
              <w:rPr>
                <w:color w:val="000000"/>
              </w:rPr>
              <w:t xml:space="preserve"> </w:t>
            </w:r>
          </w:p>
        </w:tc>
      </w:tr>
      <w:tr w:rsidR="003737EA" w:rsidRPr="00472F35" w14:paraId="7E87D05C"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5C94EF08" w14:textId="77777777" w:rsidR="003737EA" w:rsidRPr="00472F35" w:rsidRDefault="003737EA">
            <w:pPr>
              <w:pStyle w:val="TableText"/>
              <w:rPr>
                <w:rFonts w:eastAsia="Franklin Gothic Book" w:cs="Tahoma"/>
              </w:rPr>
            </w:pPr>
            <w:hyperlink r:id="rId94" w:history="1">
              <w:r w:rsidRPr="00472F35">
                <w:rPr>
                  <w:rStyle w:val="Hyperlink"/>
                  <w:rFonts w:cs="Calibri"/>
                  <w:szCs w:val="20"/>
                </w:rPr>
                <w:t>School Wellness Initiative for Thriving Community Health (SWITCH)</w:t>
              </w:r>
            </w:hyperlink>
          </w:p>
        </w:tc>
        <w:tc>
          <w:tcPr>
            <w:tcW w:w="5752" w:type="dxa"/>
            <w:tcBorders>
              <w:top w:val="single" w:sz="6" w:space="0" w:color="2F5496"/>
              <w:left w:val="single" w:sz="6" w:space="0" w:color="2F5496"/>
              <w:bottom w:val="single" w:sz="6" w:space="0" w:color="2F5496"/>
              <w:right w:val="single" w:sz="6" w:space="0" w:color="2F5496"/>
            </w:tcBorders>
            <w:hideMark/>
          </w:tcPr>
          <w:p w14:paraId="58A2F46D" w14:textId="77777777" w:rsidR="003737EA" w:rsidRPr="00472F35" w:rsidRDefault="003737EA">
            <w:pPr>
              <w:pStyle w:val="TableText"/>
              <w:rPr>
                <w:rFonts w:eastAsia="Franklin Gothic Book" w:cs="Tahoma"/>
                <w:color w:val="333333"/>
                <w:shd w:val="clear" w:color="auto" w:fill="FFFFFF"/>
              </w:rPr>
            </w:pPr>
            <w:r w:rsidRPr="00472F35">
              <w:rPr>
                <w:color w:val="000000"/>
              </w:rPr>
              <w:t>SWITCH provides resources that support and advance wellness efforts for Massachusetts students, schools, and communities.</w:t>
            </w:r>
          </w:p>
        </w:tc>
      </w:tr>
      <w:tr w:rsidR="003737EA" w:rsidRPr="00472F35" w14:paraId="4C5FBF38"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B5166AA" w14:textId="77777777" w:rsidR="003737EA" w:rsidRPr="00472F35" w:rsidRDefault="003737EA">
            <w:pPr>
              <w:pStyle w:val="TableText"/>
              <w:rPr>
                <w14:ligatures w14:val="standardContextual"/>
              </w:rPr>
            </w:pPr>
            <w:r w:rsidRPr="00472F35">
              <w:t>Social Emotional Learning:</w:t>
            </w:r>
          </w:p>
          <w:p w14:paraId="3CDC4A5F" w14:textId="77777777" w:rsidR="003737EA" w:rsidRPr="00472F35" w:rsidRDefault="003737EA" w:rsidP="003737EA">
            <w:pPr>
              <w:pStyle w:val="TableBullet1"/>
              <w:rPr>
                <w:rStyle w:val="Hyperlink"/>
                <w:rFonts w:eastAsia="Franklin Gothic Book" w:cs="Tahoma"/>
                <w:szCs w:val="20"/>
                <w:shd w:val="clear" w:color="auto" w:fill="FFFFFF"/>
              </w:rPr>
            </w:pPr>
            <w:hyperlink r:id="rId95" w:history="1">
              <w:r w:rsidRPr="00472F35">
                <w:rPr>
                  <w:rStyle w:val="Hyperlink"/>
                  <w:rFonts w:cs="Calibri"/>
                  <w:color w:val="4472C4"/>
                  <w:szCs w:val="20"/>
                </w:rPr>
                <w:t>SEL/APL Standards (Pk/K)</w:t>
              </w:r>
            </w:hyperlink>
            <w:r w:rsidRPr="00472F35">
              <w:rPr>
                <w:rStyle w:val="Hyperlink"/>
                <w:rFonts w:cs="Calibri"/>
                <w:color w:val="4472C4"/>
                <w:szCs w:val="20"/>
              </w:rPr>
              <w:t xml:space="preserve"> </w:t>
            </w:r>
          </w:p>
          <w:p w14:paraId="6A1DE458" w14:textId="77777777" w:rsidR="003737EA" w:rsidRPr="00472F35" w:rsidRDefault="003737EA" w:rsidP="003737EA">
            <w:pPr>
              <w:pStyle w:val="TableBullet1"/>
              <w:rPr>
                <w:rStyle w:val="Hyperlink"/>
                <w:rFonts w:eastAsia="Franklin Gothic Book" w:cs="Tahoma"/>
                <w:szCs w:val="20"/>
                <w:shd w:val="clear" w:color="auto" w:fill="FFFFFF"/>
              </w:rPr>
            </w:pPr>
            <w:hyperlink r:id="rId96" w:history="1">
              <w:r w:rsidRPr="00472F35">
                <w:rPr>
                  <w:rStyle w:val="Hyperlink"/>
                  <w:rFonts w:cs="Calibri"/>
                  <w:szCs w:val="20"/>
                </w:rPr>
                <w:t>Playful Learning Institute, Preschool through 3rd Grade</w:t>
              </w:r>
            </w:hyperlink>
          </w:p>
          <w:p w14:paraId="17CDE8E6" w14:textId="77777777" w:rsidR="003737EA" w:rsidRPr="00405710" w:rsidRDefault="003737EA" w:rsidP="003737EA">
            <w:pPr>
              <w:pStyle w:val="TableBullet1"/>
              <w:rPr>
                <w:szCs w:val="20"/>
                <w:u w:val="single"/>
              </w:rPr>
            </w:pPr>
            <w:hyperlink r:id="rId97" w:history="1">
              <w:r w:rsidRPr="00472F35">
                <w:rPr>
                  <w:rStyle w:val="Hyperlink"/>
                  <w:rFonts w:cs="Calibri"/>
                  <w:color w:val="4472C4"/>
                  <w:szCs w:val="20"/>
                </w:rPr>
                <w:t>Culturally Responsive Social-Emotional Competency Development</w:t>
              </w:r>
            </w:hyperlink>
          </w:p>
        </w:tc>
        <w:tc>
          <w:tcPr>
            <w:tcW w:w="5752" w:type="dxa"/>
            <w:tcBorders>
              <w:top w:val="single" w:sz="6" w:space="0" w:color="2F5496"/>
              <w:left w:val="single" w:sz="6" w:space="0" w:color="2F5496"/>
              <w:bottom w:val="single" w:sz="6" w:space="0" w:color="2F5496"/>
              <w:right w:val="single" w:sz="6" w:space="0" w:color="2F5496"/>
            </w:tcBorders>
            <w:hideMark/>
          </w:tcPr>
          <w:p w14:paraId="516C8CBB" w14:textId="77777777" w:rsidR="003737EA" w:rsidRPr="00472F35" w:rsidRDefault="003737EA">
            <w:pPr>
              <w:pStyle w:val="TableText"/>
              <w:rPr>
                <w:rFonts w:eastAsia="Franklin Gothic Book" w:cs="Tahoma"/>
                <w:shd w:val="clear" w:color="auto" w:fill="FFFFFF"/>
              </w:rPr>
            </w:pPr>
            <w:r w:rsidRPr="00472F35">
              <w:t>These resources provide evidence-based and developmentally appropriate guidance around supporting social emotional learning in schools.</w:t>
            </w:r>
          </w:p>
        </w:tc>
      </w:tr>
    </w:tbl>
    <w:p w14:paraId="1037A6A8" w14:textId="77777777" w:rsidR="003737EA" w:rsidRPr="00472F35" w:rsidRDefault="003737EA" w:rsidP="003737EA">
      <w:pPr>
        <w:pStyle w:val="TableTitle0"/>
      </w:pPr>
      <w:r w:rsidRPr="00472F35">
        <w:lastRenderedPageBreak/>
        <w:t>Table C6. Resources to Support Financial and Asset Management</w:t>
      </w:r>
    </w:p>
    <w:tbl>
      <w:tblPr>
        <w:tblStyle w:val="MSVTable1"/>
        <w:tblW w:w="5004" w:type="pct"/>
        <w:tblLook w:val="0620" w:firstRow="1" w:lastRow="0" w:firstColumn="0" w:lastColumn="0" w:noHBand="1" w:noVBand="1"/>
      </w:tblPr>
      <w:tblGrid>
        <w:gridCol w:w="3592"/>
        <w:gridCol w:w="5759"/>
      </w:tblGrid>
      <w:tr w:rsidR="003737EA" w:rsidRPr="00472F35" w14:paraId="1BAFF853" w14:textId="77777777">
        <w:trPr>
          <w:cnfStyle w:val="100000000000" w:firstRow="1" w:lastRow="0" w:firstColumn="0" w:lastColumn="0" w:oddVBand="0" w:evenVBand="0" w:oddHBand="0" w:evenHBand="0" w:firstRowFirstColumn="0" w:firstRowLastColumn="0" w:lastRowFirstColumn="0" w:lastRowLastColumn="0"/>
          <w:tblHeader/>
        </w:trPr>
        <w:tc>
          <w:tcPr>
            <w:tcW w:w="3592" w:type="dxa"/>
            <w:tcBorders>
              <w:top w:val="single" w:sz="6" w:space="0" w:color="2F5496"/>
              <w:left w:val="single" w:sz="6" w:space="0" w:color="2F5496"/>
              <w:bottom w:val="single" w:sz="6" w:space="0" w:color="2F5496"/>
            </w:tcBorders>
            <w:hideMark/>
          </w:tcPr>
          <w:p w14:paraId="4201304E" w14:textId="77777777" w:rsidR="003737EA" w:rsidRPr="00472F35" w:rsidRDefault="003737EA">
            <w:pPr>
              <w:pStyle w:val="TableColHeadingLeft"/>
            </w:pPr>
            <w:r w:rsidRPr="00472F35">
              <w:t xml:space="preserve">Resource </w:t>
            </w:r>
          </w:p>
        </w:tc>
        <w:tc>
          <w:tcPr>
            <w:tcW w:w="5759" w:type="dxa"/>
            <w:tcBorders>
              <w:top w:val="single" w:sz="6" w:space="0" w:color="2F5496"/>
              <w:bottom w:val="single" w:sz="6" w:space="0" w:color="2F5496"/>
              <w:right w:val="single" w:sz="6" w:space="0" w:color="2F5496"/>
            </w:tcBorders>
            <w:hideMark/>
          </w:tcPr>
          <w:p w14:paraId="42A6FFCB" w14:textId="77777777" w:rsidR="003737EA" w:rsidRPr="00472F35" w:rsidRDefault="003737EA">
            <w:pPr>
              <w:pStyle w:val="TableColHeadingLeft"/>
            </w:pPr>
            <w:r w:rsidRPr="00472F35">
              <w:t>Description</w:t>
            </w:r>
          </w:p>
        </w:tc>
      </w:tr>
      <w:tr w:rsidR="003737EA" w:rsidRPr="00472F35" w14:paraId="3E8DC11C" w14:textId="77777777">
        <w:tc>
          <w:tcPr>
            <w:tcW w:w="3592" w:type="dxa"/>
            <w:tcBorders>
              <w:top w:val="single" w:sz="6" w:space="0" w:color="2F5496"/>
              <w:left w:val="single" w:sz="6" w:space="0" w:color="2F5496"/>
              <w:bottom w:val="single" w:sz="6" w:space="0" w:color="2F5496"/>
              <w:right w:val="single" w:sz="6" w:space="0" w:color="2F5496"/>
            </w:tcBorders>
            <w:hideMark/>
          </w:tcPr>
          <w:p w14:paraId="48D63901" w14:textId="77777777" w:rsidR="003737EA" w:rsidRPr="00472F35" w:rsidRDefault="003737EA">
            <w:pPr>
              <w:pStyle w:val="TableText"/>
              <w:rPr>
                <w:rFonts w:eastAsia="HGGothicE" w:cs="Franklin Gothic Book"/>
                <w:bCs/>
                <w:szCs w:val="20"/>
              </w:rPr>
            </w:pPr>
            <w:hyperlink r:id="rId98" w:history="1">
              <w:r w:rsidRPr="00472F35">
                <w:rPr>
                  <w:rStyle w:val="Hyperlink"/>
                  <w:rFonts w:cs="Calibri"/>
                  <w:szCs w:val="20"/>
                </w:rPr>
                <w:t>DESE Spending Comparisons Website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D55C5AF" w14:textId="77777777" w:rsidR="003737EA" w:rsidRPr="00472F35" w:rsidRDefault="003737EA">
            <w:pPr>
              <w:pStyle w:val="TableText"/>
              <w:rPr>
                <w:rFonts w:eastAsia="HGGothicE" w:cs="Franklin Gothic Book"/>
                <w:bCs/>
                <w:szCs w:val="20"/>
              </w:rPr>
            </w:pPr>
            <w:r w:rsidRPr="00472F35">
              <w:rPr>
                <w:rFonts w:cs="Calibri"/>
                <w:color w:val="000000"/>
                <w:szCs w:val="20"/>
              </w:rPr>
              <w:t>A clearinghouse of school finance data reports and other resources available to district users and the public.</w:t>
            </w:r>
          </w:p>
        </w:tc>
      </w:tr>
      <w:tr w:rsidR="003737EA" w:rsidRPr="00472F35" w14:paraId="21EE3F55" w14:textId="77777777">
        <w:tc>
          <w:tcPr>
            <w:tcW w:w="3592" w:type="dxa"/>
            <w:tcBorders>
              <w:top w:val="single" w:sz="6" w:space="0" w:color="2F5496"/>
              <w:left w:val="single" w:sz="6" w:space="0" w:color="2F5496"/>
              <w:bottom w:val="single" w:sz="6" w:space="0" w:color="2F5496"/>
              <w:right w:val="single" w:sz="6" w:space="0" w:color="2F5496"/>
            </w:tcBorders>
            <w:hideMark/>
          </w:tcPr>
          <w:p w14:paraId="5F3636A5" w14:textId="77777777" w:rsidR="003737EA" w:rsidRPr="00472F35" w:rsidRDefault="003737EA">
            <w:pPr>
              <w:pStyle w:val="TableText"/>
              <w:rPr>
                <w:szCs w:val="20"/>
                <w14:ligatures w14:val="standardContextual"/>
              </w:rPr>
            </w:pPr>
            <w:hyperlink r:id="rId99" w:history="1">
              <w:r w:rsidRPr="00472F35">
                <w:rPr>
                  <w:rStyle w:val="Hyperlink"/>
                  <w:rFonts w:cs="Calibri"/>
                  <w:szCs w:val="20"/>
                </w:rPr>
                <w:t>General Resources for Federal Grant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DDB523A" w14:textId="77777777" w:rsidR="003737EA" w:rsidRPr="00472F35" w:rsidRDefault="003737EA">
            <w:pPr>
              <w:pStyle w:val="TableText"/>
              <w:rPr>
                <w:rFonts w:cs="Calibri"/>
                <w:color w:val="000000"/>
                <w:szCs w:val="20"/>
              </w:rPr>
            </w:pPr>
            <w:r w:rsidRPr="00472F35">
              <w:rPr>
                <w:rFonts w:cs="Calibri"/>
                <w:color w:val="000000" w:themeColor="text1"/>
                <w:szCs w:val="20"/>
              </w:rPr>
              <w:t xml:space="preserve">General federal grants resources. </w:t>
            </w:r>
          </w:p>
        </w:tc>
      </w:tr>
      <w:tr w:rsidR="003737EA" w:rsidRPr="00472F35" w14:paraId="645BB1C1" w14:textId="77777777">
        <w:tc>
          <w:tcPr>
            <w:tcW w:w="3592" w:type="dxa"/>
            <w:tcBorders>
              <w:top w:val="single" w:sz="6" w:space="0" w:color="2F5496"/>
              <w:left w:val="single" w:sz="6" w:space="0" w:color="2F5496"/>
              <w:bottom w:val="single" w:sz="6" w:space="0" w:color="2F5496"/>
              <w:right w:val="single" w:sz="6" w:space="0" w:color="2F5496"/>
            </w:tcBorders>
            <w:hideMark/>
          </w:tcPr>
          <w:p w14:paraId="4C006590" w14:textId="77777777" w:rsidR="003737EA" w:rsidRPr="00472F35" w:rsidRDefault="003737EA">
            <w:pPr>
              <w:pStyle w:val="TableText"/>
              <w:rPr>
                <w:szCs w:val="20"/>
              </w:rPr>
            </w:pPr>
            <w:hyperlink r:id="rId100" w:history="1">
              <w:r w:rsidRPr="00472F35">
                <w:rPr>
                  <w:rStyle w:val="Hyperlink"/>
                  <w:rFonts w:eastAsia="Franklin Gothic Book" w:cs="Franklin Gothic Book"/>
                  <w:szCs w:val="20"/>
                </w:rPr>
                <w:t>Office for Food and Nutrition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6451C4E" w14:textId="77777777" w:rsidR="003737EA" w:rsidRPr="00472F35" w:rsidRDefault="003737EA">
            <w:pPr>
              <w:pStyle w:val="TableText"/>
              <w:rPr>
                <w:rFonts w:cs="Calibri"/>
                <w:color w:val="000000"/>
                <w:szCs w:val="20"/>
              </w:rPr>
            </w:pPr>
            <w:r w:rsidRPr="00472F35">
              <w:rPr>
                <w:rFonts w:eastAsia="Franklin Gothic Book" w:cs="Franklin Gothic Book"/>
                <w:color w:val="000000" w:themeColor="text1"/>
                <w:szCs w:val="20"/>
              </w:rPr>
              <w:t>Resources for school districts, childcare centers, family day care homes, adult day health programs, Summer Eats community organizations, USDA Foods storage and distribution vendors, food banks, and anti-hunger organizations across the Commonwealth.</w:t>
            </w:r>
          </w:p>
        </w:tc>
      </w:tr>
      <w:tr w:rsidR="003737EA" w:rsidRPr="00472F35" w14:paraId="72CB7683" w14:textId="77777777">
        <w:tc>
          <w:tcPr>
            <w:tcW w:w="3592" w:type="dxa"/>
            <w:tcBorders>
              <w:top w:val="single" w:sz="6" w:space="0" w:color="2F5496"/>
              <w:left w:val="single" w:sz="6" w:space="0" w:color="2F5496"/>
              <w:bottom w:val="single" w:sz="6" w:space="0" w:color="2F5496"/>
              <w:right w:val="single" w:sz="6" w:space="0" w:color="2F5496"/>
            </w:tcBorders>
            <w:hideMark/>
          </w:tcPr>
          <w:p w14:paraId="2CBF15A7" w14:textId="77777777" w:rsidR="003737EA" w:rsidRPr="00472F35" w:rsidRDefault="003737EA">
            <w:pPr>
              <w:pStyle w:val="TableText"/>
              <w:rPr>
                <w:szCs w:val="20"/>
              </w:rPr>
            </w:pPr>
            <w:hyperlink r:id="rId101" w:history="1">
              <w:r w:rsidRPr="00472F35">
                <w:rPr>
                  <w:rStyle w:val="Hyperlink"/>
                  <w:rFonts w:cs="Calibri"/>
                  <w:szCs w:val="20"/>
                </w:rPr>
                <w:t>Planning for Success (PfS)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9AE67A8" w14:textId="77777777" w:rsidR="003737EA" w:rsidRPr="00472F35" w:rsidRDefault="003737EA">
            <w:pPr>
              <w:pStyle w:val="TableText"/>
              <w:rPr>
                <w:rFonts w:eastAsia="Franklin Gothic Book" w:cs="Franklin Gothic Book"/>
                <w:color w:val="000000" w:themeColor="text1"/>
                <w:szCs w:val="20"/>
              </w:rPr>
            </w:pPr>
            <w:r w:rsidRPr="00472F35">
              <w:rPr>
                <w:rFonts w:cs="Calibri"/>
                <w:color w:val="000000"/>
                <w:szCs w:val="20"/>
              </w:rPr>
              <w:t>An inclusive, hands-on planning process designed to build district and school capacity and coherence while also building community understanding and support.</w:t>
            </w:r>
          </w:p>
        </w:tc>
      </w:tr>
      <w:tr w:rsidR="003737EA" w:rsidRPr="00472F35" w14:paraId="20651988" w14:textId="77777777">
        <w:tc>
          <w:tcPr>
            <w:tcW w:w="3592" w:type="dxa"/>
            <w:tcBorders>
              <w:top w:val="single" w:sz="6" w:space="0" w:color="2F5496"/>
              <w:left w:val="single" w:sz="6" w:space="0" w:color="2F5496"/>
              <w:bottom w:val="single" w:sz="6" w:space="0" w:color="2F5496"/>
              <w:right w:val="single" w:sz="6" w:space="0" w:color="2F5496"/>
            </w:tcBorders>
            <w:hideMark/>
          </w:tcPr>
          <w:p w14:paraId="028E81AB" w14:textId="77777777" w:rsidR="003737EA" w:rsidRPr="00472F35" w:rsidRDefault="003737EA">
            <w:pPr>
              <w:pStyle w:val="TableText"/>
              <w:rPr>
                <w:szCs w:val="20"/>
              </w:rPr>
            </w:pPr>
            <w:hyperlink r:id="rId102" w:history="1">
              <w:r w:rsidRPr="00472F35">
                <w:rPr>
                  <w:rStyle w:val="Hyperlink"/>
                  <w:rFonts w:cs="Calibri"/>
                  <w:szCs w:val="20"/>
                </w:rPr>
                <w:t>Resource Allocation and District Action Reports (RADAR)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0113D30" w14:textId="77777777" w:rsidR="003737EA" w:rsidRPr="00472F35" w:rsidRDefault="003737EA">
            <w:pPr>
              <w:pStyle w:val="TableText"/>
              <w:rPr>
                <w:rFonts w:cs="Calibri"/>
                <w:color w:val="000000"/>
                <w:szCs w:val="20"/>
              </w:rPr>
            </w:pPr>
            <w:r w:rsidRPr="00472F35">
              <w:rPr>
                <w:rFonts w:cs="Calibri"/>
                <w:color w:val="000000"/>
                <w:szCs w:val="20"/>
              </w:rPr>
              <w:t>RADAR is a suite of innovative data reports, case studies, and other resources that provide a new approach to resource decisions.</w:t>
            </w:r>
          </w:p>
        </w:tc>
      </w:tr>
      <w:tr w:rsidR="003737EA" w:rsidRPr="00472F35" w14:paraId="1888DD09" w14:textId="77777777">
        <w:tc>
          <w:tcPr>
            <w:tcW w:w="3592" w:type="dxa"/>
            <w:tcBorders>
              <w:top w:val="single" w:sz="6" w:space="0" w:color="2F5496"/>
              <w:left w:val="single" w:sz="6" w:space="0" w:color="2F5496"/>
              <w:bottom w:val="single" w:sz="6" w:space="0" w:color="2F5496"/>
              <w:right w:val="single" w:sz="6" w:space="0" w:color="2F5496"/>
            </w:tcBorders>
          </w:tcPr>
          <w:p w14:paraId="61913EA3" w14:textId="77777777" w:rsidR="003737EA" w:rsidRPr="00472F35" w:rsidRDefault="003737EA">
            <w:pPr>
              <w:pStyle w:val="TableText"/>
              <w:rPr>
                <w:rFonts w:eastAsia="Times New Roman" w:cs="Calibri"/>
                <w:color w:val="0563C1"/>
                <w:szCs w:val="20"/>
                <w:u w:val="single"/>
              </w:rPr>
            </w:pPr>
            <w:hyperlink r:id="rId103" w:history="1">
              <w:r w:rsidRPr="00472F35">
                <w:rPr>
                  <w:rStyle w:val="Hyperlink"/>
                  <w:rFonts w:cs="Calibri"/>
                  <w:szCs w:val="20"/>
                </w:rPr>
                <w:t>School Breakfast: Breakfast After the Bell Resources</w:t>
              </w:r>
            </w:hyperlink>
          </w:p>
        </w:tc>
        <w:tc>
          <w:tcPr>
            <w:tcW w:w="5759" w:type="dxa"/>
            <w:tcBorders>
              <w:top w:val="single" w:sz="6" w:space="0" w:color="2F5496"/>
              <w:left w:val="single" w:sz="6" w:space="0" w:color="2F5496"/>
              <w:bottom w:val="single" w:sz="6" w:space="0" w:color="2F5496"/>
              <w:right w:val="single" w:sz="6" w:space="0" w:color="2F5496"/>
            </w:tcBorders>
          </w:tcPr>
          <w:p w14:paraId="1C1CD0F4" w14:textId="77777777" w:rsidR="003737EA" w:rsidRPr="00472F35" w:rsidRDefault="003737EA">
            <w:pPr>
              <w:pStyle w:val="TableText"/>
              <w:rPr>
                <w:rFonts w:eastAsia="Times New Roman" w:cs="Calibri"/>
                <w:color w:val="000000"/>
                <w:szCs w:val="20"/>
              </w:rPr>
            </w:pPr>
            <w:r w:rsidRPr="00472F35">
              <w:rPr>
                <w:rFonts w:cs="Calibri"/>
                <w:color w:val="000000"/>
                <w:szCs w:val="20"/>
              </w:rPr>
              <w:t xml:space="preserve">The Breakfast After the Bell Toolkit Series is designed to help with the launch and implementation of alternative breakfast models. </w:t>
            </w:r>
          </w:p>
        </w:tc>
      </w:tr>
      <w:tr w:rsidR="003737EA" w:rsidRPr="00472F35" w14:paraId="7BC41850" w14:textId="77777777">
        <w:tc>
          <w:tcPr>
            <w:tcW w:w="3592" w:type="dxa"/>
            <w:tcBorders>
              <w:top w:val="single" w:sz="6" w:space="0" w:color="2F5496"/>
              <w:left w:val="single" w:sz="6" w:space="0" w:color="2F5496"/>
              <w:bottom w:val="single" w:sz="6" w:space="0" w:color="2F5496"/>
              <w:right w:val="single" w:sz="6" w:space="0" w:color="2F5496"/>
            </w:tcBorders>
          </w:tcPr>
          <w:p w14:paraId="5594652E" w14:textId="77777777" w:rsidR="003737EA" w:rsidRPr="00472F35" w:rsidRDefault="003737EA">
            <w:pPr>
              <w:pStyle w:val="TableText"/>
              <w:rPr>
                <w:rFonts w:eastAsia="Times New Roman" w:cs="Calibri"/>
                <w:color w:val="0563C1"/>
                <w:szCs w:val="20"/>
                <w:u w:val="single"/>
              </w:rPr>
            </w:pPr>
            <w:hyperlink r:id="rId104" w:history="1">
              <w:r w:rsidRPr="00472F35">
                <w:rPr>
                  <w:rStyle w:val="Hyperlink"/>
                  <w:rFonts w:cs="Calibri"/>
                  <w:szCs w:val="20"/>
                </w:rPr>
                <w:t>School Meals Newsletter</w:t>
              </w:r>
            </w:hyperlink>
          </w:p>
        </w:tc>
        <w:tc>
          <w:tcPr>
            <w:tcW w:w="5759" w:type="dxa"/>
            <w:tcBorders>
              <w:top w:val="single" w:sz="6" w:space="0" w:color="2F5496"/>
              <w:left w:val="single" w:sz="6" w:space="0" w:color="2F5496"/>
              <w:bottom w:val="single" w:sz="6" w:space="0" w:color="2F5496"/>
              <w:right w:val="single" w:sz="6" w:space="0" w:color="2F5496"/>
            </w:tcBorders>
          </w:tcPr>
          <w:p w14:paraId="38FA776B" w14:textId="77777777" w:rsidR="003737EA" w:rsidRPr="00472F35" w:rsidRDefault="003737EA">
            <w:pPr>
              <w:pStyle w:val="TableText"/>
              <w:rPr>
                <w:rFonts w:eastAsia="Times New Roman" w:cs="Calibri"/>
                <w:color w:val="000000"/>
                <w:szCs w:val="20"/>
              </w:rPr>
            </w:pPr>
            <w:r w:rsidRPr="00472F35">
              <w:rPr>
                <w:rFonts w:cs="Calibri"/>
                <w:color w:val="000000"/>
                <w:szCs w:val="20"/>
              </w:rPr>
              <w:t>Short articles summarizing current events including: changes in federal/ state requirements; current grant opportunities; and notable dates.</w:t>
            </w:r>
          </w:p>
        </w:tc>
      </w:tr>
      <w:tr w:rsidR="003737EA" w:rsidRPr="00472F35" w14:paraId="0FC9314D" w14:textId="77777777">
        <w:tc>
          <w:tcPr>
            <w:tcW w:w="3592" w:type="dxa"/>
            <w:tcBorders>
              <w:top w:val="single" w:sz="6" w:space="0" w:color="2F5496"/>
              <w:left w:val="single" w:sz="6" w:space="0" w:color="2F5496"/>
              <w:bottom w:val="single" w:sz="6" w:space="0" w:color="2F5496"/>
              <w:right w:val="single" w:sz="6" w:space="0" w:color="2F5496"/>
            </w:tcBorders>
          </w:tcPr>
          <w:p w14:paraId="2CE5AA1A" w14:textId="77777777" w:rsidR="003737EA" w:rsidRPr="00472F35" w:rsidRDefault="003737EA">
            <w:pPr>
              <w:pStyle w:val="TableText"/>
              <w:rPr>
                <w:rStyle w:val="Hyperlink"/>
                <w:szCs w:val="20"/>
              </w:rPr>
            </w:pPr>
            <w:hyperlink r:id="rId105" w:history="1">
              <w:r w:rsidRPr="00472F35">
                <w:rPr>
                  <w:rStyle w:val="Hyperlink"/>
                  <w:rFonts w:cs="Calibri"/>
                  <w:szCs w:val="20"/>
                </w:rPr>
                <w:t>Summer Eats | Free Meals for Kids and Teens in MA</w:t>
              </w:r>
            </w:hyperlink>
          </w:p>
        </w:tc>
        <w:tc>
          <w:tcPr>
            <w:tcW w:w="5759" w:type="dxa"/>
            <w:tcBorders>
              <w:top w:val="single" w:sz="6" w:space="0" w:color="2F5496"/>
              <w:left w:val="single" w:sz="6" w:space="0" w:color="2F5496"/>
              <w:bottom w:val="single" w:sz="6" w:space="0" w:color="2F5496"/>
              <w:right w:val="single" w:sz="6" w:space="0" w:color="2F5496"/>
            </w:tcBorders>
          </w:tcPr>
          <w:p w14:paraId="01BB76CC" w14:textId="77777777" w:rsidR="003737EA" w:rsidRPr="00472F35" w:rsidRDefault="003737EA">
            <w:pPr>
              <w:pStyle w:val="TableText"/>
              <w:rPr>
                <w:color w:val="000000"/>
                <w:szCs w:val="20"/>
              </w:rPr>
            </w:pPr>
            <w:r w:rsidRPr="00472F35">
              <w:rPr>
                <w:rFonts w:eastAsia="Franklin Gothic Book" w:cs="Franklin Gothic Book"/>
                <w:color w:val="000000" w:themeColor="text1"/>
                <w:szCs w:val="20"/>
              </w:rPr>
              <w:t>Summer Eats is a free-of-charge program that provides free meals to all kids and teens, ages 18 and under, at locations all across Massachusetts during the summer months.</w:t>
            </w:r>
          </w:p>
        </w:tc>
      </w:tr>
    </w:tbl>
    <w:p w14:paraId="50FEE1B9" w14:textId="77777777" w:rsidR="00617127" w:rsidRDefault="00617127" w:rsidP="00330C8A"/>
    <w:p w14:paraId="7C992B82" w14:textId="77777777" w:rsidR="00617127" w:rsidRDefault="00617127"/>
    <w:p w14:paraId="473ED37F" w14:textId="77777777" w:rsidR="00267260" w:rsidRDefault="00267260"/>
    <w:p w14:paraId="711F46CA" w14:textId="77777777" w:rsidR="00267260" w:rsidRDefault="00267260"/>
    <w:p w14:paraId="07F0B7B2" w14:textId="77777777" w:rsidR="00267260" w:rsidRDefault="00267260"/>
    <w:p w14:paraId="4B47F66F" w14:textId="77777777" w:rsidR="00267260" w:rsidRDefault="00267260"/>
    <w:p w14:paraId="1A6C3926" w14:textId="77777777" w:rsidR="00267260" w:rsidRDefault="00267260"/>
    <w:p w14:paraId="5A8C8E67" w14:textId="77777777" w:rsidR="00267260" w:rsidRDefault="00267260"/>
    <w:p w14:paraId="75BB2047" w14:textId="77777777" w:rsidR="00267260" w:rsidRDefault="00267260"/>
    <w:p w14:paraId="67A7AC13" w14:textId="77777777" w:rsidR="00267260" w:rsidRDefault="00267260"/>
    <w:p w14:paraId="47498568" w14:textId="77777777" w:rsidR="00267260" w:rsidRDefault="00267260"/>
    <w:p w14:paraId="29B7B019" w14:textId="77777777" w:rsidR="00267260" w:rsidRDefault="00267260"/>
    <w:p w14:paraId="10B4E82A" w14:textId="77777777" w:rsidR="00267260" w:rsidRDefault="00267260"/>
    <w:p w14:paraId="0AE12BC5" w14:textId="77777777" w:rsidR="00267260" w:rsidRDefault="00267260"/>
    <w:p w14:paraId="1BC67FC3" w14:textId="77777777" w:rsidR="00267260" w:rsidRDefault="00267260"/>
    <w:p w14:paraId="527074A0" w14:textId="77777777" w:rsidR="00267260" w:rsidRDefault="00267260"/>
    <w:p w14:paraId="3C2C80E2" w14:textId="77777777" w:rsidR="00267260" w:rsidRDefault="00267260"/>
    <w:p w14:paraId="0453A3C3" w14:textId="77777777" w:rsidR="00267260" w:rsidRDefault="00267260"/>
    <w:p w14:paraId="722A4571" w14:textId="77777777" w:rsidR="00267260" w:rsidRDefault="00267260"/>
    <w:p w14:paraId="39D0CC84" w14:textId="77777777" w:rsidR="00267260" w:rsidRDefault="00267260"/>
    <w:p w14:paraId="26E5560A" w14:textId="77777777" w:rsidR="00267260" w:rsidRDefault="00267260">
      <w:pPr>
        <w:sectPr w:rsidR="00267260" w:rsidSect="00C33E09">
          <w:footerReference w:type="default" r:id="rId106"/>
          <w:pgSz w:w="12240" w:h="15840" w:code="1"/>
          <w:pgMar w:top="1440" w:right="1440" w:bottom="1440" w:left="1440" w:header="720" w:footer="720" w:gutter="0"/>
          <w:pgNumType w:start="1"/>
          <w:cols w:space="720"/>
          <w:docGrid w:linePitch="360"/>
        </w:sectPr>
      </w:pPr>
    </w:p>
    <w:p w14:paraId="1F8CA125" w14:textId="77777777" w:rsidR="001E6DFA" w:rsidRDefault="001E6DFA"/>
    <w:p w14:paraId="46A7012E" w14:textId="72897CFB" w:rsidR="002F1EBE" w:rsidRPr="00900ADE" w:rsidRDefault="002F1EBE" w:rsidP="009E578A">
      <w:pPr>
        <w:pStyle w:val="Heading2"/>
      </w:pPr>
      <w:bookmarkStart w:id="195" w:name="_Toc202873117"/>
      <w:r w:rsidRPr="00900ADE">
        <w:lastRenderedPageBreak/>
        <w:t xml:space="preserve">Appendix </w:t>
      </w:r>
      <w:r w:rsidR="00486B55" w:rsidRPr="00900ADE">
        <w:t>D</w:t>
      </w:r>
      <w:r w:rsidR="006A3A0E" w:rsidRPr="00900ADE">
        <w:t>.</w:t>
      </w:r>
      <w:r w:rsidRPr="00900ADE">
        <w:t xml:space="preserve"> Enrollment, </w:t>
      </w:r>
      <w:r w:rsidR="00FE2534" w:rsidRPr="00900ADE">
        <w:t>Attendance</w:t>
      </w:r>
      <w:r w:rsidRPr="00900ADE">
        <w:t>, Expenditures</w:t>
      </w:r>
      <w:bookmarkStart w:id="196" w:name="_Toc337817151"/>
      <w:bookmarkEnd w:id="79"/>
      <w:bookmarkEnd w:id="195"/>
    </w:p>
    <w:p w14:paraId="749A2F62" w14:textId="77777777" w:rsidR="00EC6843" w:rsidRPr="00900ADE" w:rsidRDefault="00EC6843" w:rsidP="00587D54">
      <w:pPr>
        <w:pStyle w:val="TableTitle0"/>
      </w:pPr>
      <w:bookmarkStart w:id="197" w:name="AppendixE"/>
      <w:bookmarkEnd w:id="196"/>
      <w:r w:rsidRPr="00900ADE">
        <w:t>Table D1. Student Enrollment by Race/Ethnicity, 2024-2025</w:t>
      </w:r>
    </w:p>
    <w:tbl>
      <w:tblPr>
        <w:tblStyle w:val="MSVTable1"/>
        <w:tblW w:w="5000" w:type="pct"/>
        <w:tblLook w:val="06A0" w:firstRow="1" w:lastRow="0" w:firstColumn="1" w:lastColumn="0" w:noHBand="1" w:noVBand="1"/>
      </w:tblPr>
      <w:tblGrid>
        <w:gridCol w:w="3052"/>
        <w:gridCol w:w="1573"/>
        <w:gridCol w:w="1573"/>
        <w:gridCol w:w="1573"/>
        <w:gridCol w:w="1573"/>
      </w:tblGrid>
      <w:tr w:rsidR="00EC6843" w:rsidRPr="00900ADE" w14:paraId="47DF8E4E" w14:textId="77777777" w:rsidTr="00623983">
        <w:trPr>
          <w:cnfStyle w:val="100000000000" w:firstRow="1" w:lastRow="0" w:firstColumn="0" w:lastColumn="0" w:oddVBand="0" w:evenVBand="0" w:oddHBand="0" w:evenHBand="0" w:firstRowFirstColumn="0" w:firstRowLastColumn="0" w:lastRowFirstColumn="0" w:lastRowLastColumn="0"/>
          <w:tblHeader/>
        </w:trPr>
        <w:tc>
          <w:tcPr>
            <w:tcW w:w="3052" w:type="dxa"/>
            <w:vAlign w:val="center"/>
          </w:tcPr>
          <w:p w14:paraId="5A18BD42" w14:textId="77777777" w:rsidR="00EC6843" w:rsidRPr="00510408" w:rsidRDefault="00EC6843" w:rsidP="00587D54">
            <w:pPr>
              <w:pStyle w:val="TableColHeadingLeft"/>
            </w:pPr>
            <w:r w:rsidRPr="00510408">
              <w:t>Group</w:t>
            </w:r>
          </w:p>
        </w:tc>
        <w:tc>
          <w:tcPr>
            <w:tcW w:w="1573" w:type="dxa"/>
            <w:vAlign w:val="center"/>
          </w:tcPr>
          <w:p w14:paraId="02217428" w14:textId="77777777" w:rsidR="00EC6843" w:rsidRPr="00900ADE" w:rsidRDefault="00EC6843" w:rsidP="00587D54">
            <w:pPr>
              <w:pStyle w:val="TableColHeadingCenter"/>
            </w:pPr>
            <w:r w:rsidRPr="00900ADE">
              <w:t>District</w:t>
            </w:r>
          </w:p>
        </w:tc>
        <w:tc>
          <w:tcPr>
            <w:tcW w:w="1573" w:type="dxa"/>
            <w:vAlign w:val="center"/>
          </w:tcPr>
          <w:p w14:paraId="5871DA94" w14:textId="7677E98B" w:rsidR="00EC6843" w:rsidRPr="00900ADE" w:rsidRDefault="00EC6843" w:rsidP="00587D54">
            <w:pPr>
              <w:pStyle w:val="TableColHeadingCenter"/>
            </w:pPr>
            <w:r w:rsidRPr="00900ADE">
              <w:t xml:space="preserve">Percentage of </w:t>
            </w:r>
            <w:r w:rsidR="00A76C90">
              <w:t>D</w:t>
            </w:r>
            <w:r w:rsidRPr="00900ADE">
              <w:t>istrict</w:t>
            </w:r>
          </w:p>
        </w:tc>
        <w:tc>
          <w:tcPr>
            <w:tcW w:w="1573" w:type="dxa"/>
            <w:vAlign w:val="center"/>
          </w:tcPr>
          <w:p w14:paraId="22DB3484" w14:textId="77777777" w:rsidR="00EC6843" w:rsidRPr="00900ADE" w:rsidRDefault="00EC6843" w:rsidP="00587D54">
            <w:pPr>
              <w:pStyle w:val="TableColHeadingCenter"/>
            </w:pPr>
            <w:r w:rsidRPr="00900ADE">
              <w:t>State</w:t>
            </w:r>
          </w:p>
        </w:tc>
        <w:tc>
          <w:tcPr>
            <w:tcW w:w="1573" w:type="dxa"/>
            <w:vAlign w:val="center"/>
          </w:tcPr>
          <w:p w14:paraId="4E7A60C7" w14:textId="3E9767C8" w:rsidR="00EC6843" w:rsidRPr="00900ADE" w:rsidRDefault="00EC6843" w:rsidP="00587D54">
            <w:pPr>
              <w:pStyle w:val="TableColHeadingCenter"/>
            </w:pPr>
            <w:r w:rsidRPr="00900ADE">
              <w:t xml:space="preserve">Percentage of </w:t>
            </w:r>
            <w:r w:rsidR="004C2114">
              <w:t>S</w:t>
            </w:r>
            <w:r w:rsidRPr="00900ADE">
              <w:t>tate</w:t>
            </w:r>
          </w:p>
        </w:tc>
      </w:tr>
      <w:tr w:rsidR="00EC6843" w:rsidRPr="00900ADE" w14:paraId="29871C0C" w14:textId="77777777">
        <w:tc>
          <w:tcPr>
            <w:tcW w:w="3052" w:type="dxa"/>
          </w:tcPr>
          <w:p w14:paraId="66632245" w14:textId="38243C15" w:rsidR="00EC6843" w:rsidRPr="00900ADE" w:rsidRDefault="00EC6843" w:rsidP="00587D54">
            <w:pPr>
              <w:pStyle w:val="TableText"/>
            </w:pPr>
            <w:r w:rsidRPr="00900ADE">
              <w:t xml:space="preserve">All </w:t>
            </w:r>
            <w:r w:rsidR="003A7D47" w:rsidRPr="00900ADE">
              <w:t>s</w:t>
            </w:r>
            <w:r w:rsidRPr="00900ADE">
              <w:t>tudents</w:t>
            </w:r>
          </w:p>
        </w:tc>
        <w:tc>
          <w:tcPr>
            <w:tcW w:w="1573" w:type="dxa"/>
            <w:vAlign w:val="center"/>
          </w:tcPr>
          <w:p w14:paraId="0426AC67" w14:textId="77777777" w:rsidR="00EC6843" w:rsidRPr="00900ADE" w:rsidRDefault="00EC6843">
            <w:pPr>
              <w:pStyle w:val="TableTextCentered"/>
            </w:pPr>
            <w:r w:rsidRPr="00900ADE">
              <w:rPr>
                <w:rFonts w:ascii="Franklin Gothic Book" w:hAnsi="Franklin Gothic Book" w:cs="Calibri"/>
                <w:color w:val="000000"/>
                <w:szCs w:val="20"/>
              </w:rPr>
              <w:t>2,158</w:t>
            </w:r>
          </w:p>
        </w:tc>
        <w:tc>
          <w:tcPr>
            <w:tcW w:w="1573" w:type="dxa"/>
            <w:shd w:val="clear" w:color="auto" w:fill="D9E2F3" w:themeFill="accent5" w:themeFillTint="33"/>
            <w:vAlign w:val="center"/>
          </w:tcPr>
          <w:p w14:paraId="5AB09E25" w14:textId="77777777" w:rsidR="00EC6843" w:rsidRPr="00900ADE" w:rsidRDefault="00EC6843">
            <w:pPr>
              <w:pStyle w:val="TableText"/>
              <w:tabs>
                <w:tab w:val="decimal" w:pos="0"/>
              </w:tabs>
              <w:jc w:val="center"/>
            </w:pPr>
            <w:r w:rsidRPr="00900ADE">
              <w:rPr>
                <w:rFonts w:ascii="Franklin Gothic Book" w:hAnsi="Franklin Gothic Book" w:cs="Calibri"/>
                <w:color w:val="000000"/>
                <w:szCs w:val="20"/>
              </w:rPr>
              <w:t>100.0%</w:t>
            </w:r>
          </w:p>
        </w:tc>
        <w:tc>
          <w:tcPr>
            <w:tcW w:w="1573" w:type="dxa"/>
            <w:vAlign w:val="center"/>
          </w:tcPr>
          <w:p w14:paraId="44AFCA28" w14:textId="77777777" w:rsidR="00EC6843" w:rsidRPr="00900ADE" w:rsidRDefault="00EC6843">
            <w:pPr>
              <w:pStyle w:val="TableTextCentered"/>
            </w:pPr>
            <w:r w:rsidRPr="00900ADE">
              <w:rPr>
                <w:rFonts w:ascii="Franklin Gothic Book" w:hAnsi="Franklin Gothic Book" w:cs="Calibri"/>
                <w:color w:val="000000"/>
                <w:szCs w:val="20"/>
              </w:rPr>
              <w:t>915,932</w:t>
            </w:r>
          </w:p>
        </w:tc>
        <w:tc>
          <w:tcPr>
            <w:tcW w:w="1573" w:type="dxa"/>
            <w:shd w:val="clear" w:color="auto" w:fill="D9E2F3" w:themeFill="accent5" w:themeFillTint="33"/>
            <w:vAlign w:val="center"/>
          </w:tcPr>
          <w:p w14:paraId="26EB3CC5" w14:textId="77777777" w:rsidR="00EC6843" w:rsidRPr="00900ADE" w:rsidRDefault="00EC6843">
            <w:pPr>
              <w:pStyle w:val="TableText"/>
              <w:jc w:val="center"/>
            </w:pPr>
            <w:r w:rsidRPr="00900ADE">
              <w:rPr>
                <w:rFonts w:ascii="Franklin Gothic Book" w:hAnsi="Franklin Gothic Book" w:cs="Calibri"/>
                <w:color w:val="000000"/>
                <w:szCs w:val="20"/>
              </w:rPr>
              <w:t>100.0%</w:t>
            </w:r>
          </w:p>
        </w:tc>
      </w:tr>
      <w:tr w:rsidR="00EC6843" w:rsidRPr="00900ADE" w14:paraId="6AB4E5D0" w14:textId="77777777">
        <w:tc>
          <w:tcPr>
            <w:tcW w:w="3052" w:type="dxa"/>
          </w:tcPr>
          <w:p w14:paraId="3F4BC0F7" w14:textId="77777777" w:rsidR="00EC6843" w:rsidRPr="00900ADE" w:rsidRDefault="00EC6843" w:rsidP="00587D54">
            <w:pPr>
              <w:pStyle w:val="TableText"/>
            </w:pPr>
            <w:r w:rsidRPr="00900ADE">
              <w:t>American Indian or Alaska Native</w:t>
            </w:r>
          </w:p>
        </w:tc>
        <w:tc>
          <w:tcPr>
            <w:tcW w:w="1573" w:type="dxa"/>
            <w:vAlign w:val="center"/>
          </w:tcPr>
          <w:p w14:paraId="58369DF1" w14:textId="77777777" w:rsidR="00EC6843" w:rsidRPr="00900ADE" w:rsidRDefault="00EC6843">
            <w:pPr>
              <w:pStyle w:val="TableTextCentered"/>
            </w:pPr>
            <w:r w:rsidRPr="00900ADE">
              <w:rPr>
                <w:rFonts w:ascii="Franklin Gothic Book" w:hAnsi="Franklin Gothic Book" w:cs="Calibri"/>
                <w:color w:val="000000"/>
                <w:szCs w:val="20"/>
              </w:rPr>
              <w:t>3</w:t>
            </w:r>
          </w:p>
        </w:tc>
        <w:tc>
          <w:tcPr>
            <w:tcW w:w="1573" w:type="dxa"/>
            <w:shd w:val="clear" w:color="auto" w:fill="D9E2F3" w:themeFill="accent5" w:themeFillTint="33"/>
            <w:vAlign w:val="center"/>
          </w:tcPr>
          <w:p w14:paraId="42561B11" w14:textId="77777777" w:rsidR="00EC6843" w:rsidRPr="00900ADE" w:rsidRDefault="00EC6843">
            <w:pPr>
              <w:pStyle w:val="TableText"/>
              <w:tabs>
                <w:tab w:val="decimal" w:pos="0"/>
              </w:tabs>
              <w:jc w:val="center"/>
            </w:pPr>
            <w:r w:rsidRPr="00900ADE">
              <w:rPr>
                <w:rFonts w:ascii="Franklin Gothic Book" w:hAnsi="Franklin Gothic Book" w:cs="Calibri"/>
                <w:color w:val="000000"/>
                <w:szCs w:val="20"/>
              </w:rPr>
              <w:t>0.1%</w:t>
            </w:r>
          </w:p>
        </w:tc>
        <w:tc>
          <w:tcPr>
            <w:tcW w:w="1573" w:type="dxa"/>
            <w:vAlign w:val="center"/>
          </w:tcPr>
          <w:p w14:paraId="7C591FF5" w14:textId="77777777" w:rsidR="00EC6843" w:rsidRPr="00900ADE" w:rsidRDefault="00EC6843">
            <w:pPr>
              <w:pStyle w:val="TableTextCentered"/>
            </w:pPr>
            <w:r w:rsidRPr="00900ADE">
              <w:rPr>
                <w:rFonts w:ascii="Franklin Gothic Book" w:hAnsi="Franklin Gothic Book" w:cs="Calibri"/>
                <w:color w:val="000000"/>
                <w:szCs w:val="20"/>
              </w:rPr>
              <w:t>2,272</w:t>
            </w:r>
          </w:p>
        </w:tc>
        <w:tc>
          <w:tcPr>
            <w:tcW w:w="1573" w:type="dxa"/>
            <w:shd w:val="clear" w:color="auto" w:fill="D9E2F3" w:themeFill="accent5" w:themeFillTint="33"/>
            <w:vAlign w:val="center"/>
          </w:tcPr>
          <w:p w14:paraId="022BF078" w14:textId="77777777" w:rsidR="00EC6843" w:rsidRPr="00900ADE" w:rsidRDefault="00EC6843">
            <w:pPr>
              <w:pStyle w:val="TableText"/>
              <w:jc w:val="center"/>
            </w:pPr>
            <w:r w:rsidRPr="00900ADE">
              <w:rPr>
                <w:rFonts w:ascii="Franklin Gothic Book" w:hAnsi="Franklin Gothic Book" w:cs="Calibri"/>
                <w:color w:val="000000"/>
                <w:szCs w:val="20"/>
              </w:rPr>
              <w:t>0.2%</w:t>
            </w:r>
          </w:p>
        </w:tc>
      </w:tr>
      <w:tr w:rsidR="00EC6843" w:rsidRPr="00900ADE" w14:paraId="01434531" w14:textId="77777777">
        <w:tc>
          <w:tcPr>
            <w:tcW w:w="3052" w:type="dxa"/>
          </w:tcPr>
          <w:p w14:paraId="38E13B93" w14:textId="77777777" w:rsidR="00EC6843" w:rsidRPr="00900ADE" w:rsidRDefault="00EC6843" w:rsidP="00587D54">
            <w:pPr>
              <w:pStyle w:val="TableText"/>
            </w:pPr>
            <w:r w:rsidRPr="00900ADE">
              <w:t>Asian</w:t>
            </w:r>
          </w:p>
        </w:tc>
        <w:tc>
          <w:tcPr>
            <w:tcW w:w="1573" w:type="dxa"/>
            <w:vAlign w:val="center"/>
          </w:tcPr>
          <w:p w14:paraId="33B74D2C" w14:textId="77777777" w:rsidR="00EC6843" w:rsidRPr="00900ADE" w:rsidRDefault="00EC6843">
            <w:pPr>
              <w:pStyle w:val="TableTextCentered"/>
            </w:pPr>
            <w:r w:rsidRPr="00900ADE">
              <w:rPr>
                <w:rFonts w:ascii="Franklin Gothic Book" w:hAnsi="Franklin Gothic Book" w:cs="Calibri"/>
                <w:color w:val="000000"/>
                <w:szCs w:val="20"/>
              </w:rPr>
              <w:t>111</w:t>
            </w:r>
          </w:p>
        </w:tc>
        <w:tc>
          <w:tcPr>
            <w:tcW w:w="1573" w:type="dxa"/>
            <w:shd w:val="clear" w:color="auto" w:fill="D9E2F3" w:themeFill="accent5" w:themeFillTint="33"/>
            <w:vAlign w:val="center"/>
          </w:tcPr>
          <w:p w14:paraId="1A185180" w14:textId="77777777" w:rsidR="00EC6843" w:rsidRPr="00900ADE" w:rsidRDefault="00EC6843">
            <w:pPr>
              <w:pStyle w:val="TableText"/>
              <w:tabs>
                <w:tab w:val="decimal" w:pos="0"/>
              </w:tabs>
              <w:jc w:val="center"/>
            </w:pPr>
            <w:r w:rsidRPr="00900ADE">
              <w:rPr>
                <w:rFonts w:ascii="Franklin Gothic Book" w:hAnsi="Franklin Gothic Book" w:cs="Calibri"/>
                <w:color w:val="000000"/>
                <w:szCs w:val="20"/>
              </w:rPr>
              <w:t>5.1%</w:t>
            </w:r>
          </w:p>
        </w:tc>
        <w:tc>
          <w:tcPr>
            <w:tcW w:w="1573" w:type="dxa"/>
            <w:vAlign w:val="center"/>
          </w:tcPr>
          <w:p w14:paraId="31FB5E0A" w14:textId="77777777" w:rsidR="00EC6843" w:rsidRPr="00900ADE" w:rsidRDefault="00EC6843">
            <w:pPr>
              <w:pStyle w:val="TableTextCentered"/>
            </w:pPr>
            <w:r w:rsidRPr="00900ADE">
              <w:rPr>
                <w:rFonts w:ascii="Franklin Gothic Book" w:hAnsi="Franklin Gothic Book" w:cs="Calibri"/>
                <w:color w:val="000000"/>
                <w:szCs w:val="20"/>
              </w:rPr>
              <w:t>68,608</w:t>
            </w:r>
          </w:p>
        </w:tc>
        <w:tc>
          <w:tcPr>
            <w:tcW w:w="1573" w:type="dxa"/>
            <w:shd w:val="clear" w:color="auto" w:fill="D9E2F3" w:themeFill="accent5" w:themeFillTint="33"/>
            <w:vAlign w:val="center"/>
          </w:tcPr>
          <w:p w14:paraId="13536480" w14:textId="77777777" w:rsidR="00EC6843" w:rsidRPr="00900ADE" w:rsidRDefault="00EC6843">
            <w:pPr>
              <w:pStyle w:val="TableText"/>
              <w:jc w:val="center"/>
            </w:pPr>
            <w:r w:rsidRPr="00900ADE">
              <w:rPr>
                <w:rFonts w:ascii="Franklin Gothic Book" w:hAnsi="Franklin Gothic Book" w:cs="Calibri"/>
                <w:color w:val="000000"/>
                <w:szCs w:val="20"/>
              </w:rPr>
              <w:t>7.5%</w:t>
            </w:r>
          </w:p>
        </w:tc>
      </w:tr>
      <w:tr w:rsidR="00EC6843" w:rsidRPr="00900ADE" w14:paraId="7DD6E423" w14:textId="77777777">
        <w:tc>
          <w:tcPr>
            <w:tcW w:w="3052" w:type="dxa"/>
          </w:tcPr>
          <w:p w14:paraId="0CC20F3E" w14:textId="77777777" w:rsidR="00EC6843" w:rsidRPr="00900ADE" w:rsidRDefault="00EC6843" w:rsidP="00587D54">
            <w:pPr>
              <w:pStyle w:val="TableText"/>
            </w:pPr>
            <w:r w:rsidRPr="00900ADE">
              <w:t>Black or African American</w:t>
            </w:r>
          </w:p>
        </w:tc>
        <w:tc>
          <w:tcPr>
            <w:tcW w:w="1573" w:type="dxa"/>
            <w:vAlign w:val="center"/>
          </w:tcPr>
          <w:p w14:paraId="0BCF77F9" w14:textId="77777777" w:rsidR="00EC6843" w:rsidRPr="00900ADE" w:rsidRDefault="00EC6843">
            <w:pPr>
              <w:pStyle w:val="TableTextCentered"/>
            </w:pPr>
            <w:r w:rsidRPr="00900ADE">
              <w:rPr>
                <w:rFonts w:ascii="Franklin Gothic Book" w:hAnsi="Franklin Gothic Book" w:cs="Calibri"/>
                <w:color w:val="000000"/>
                <w:szCs w:val="20"/>
              </w:rPr>
              <w:t>52</w:t>
            </w:r>
          </w:p>
        </w:tc>
        <w:tc>
          <w:tcPr>
            <w:tcW w:w="1573" w:type="dxa"/>
            <w:shd w:val="clear" w:color="auto" w:fill="D9E2F3" w:themeFill="accent5" w:themeFillTint="33"/>
            <w:vAlign w:val="center"/>
          </w:tcPr>
          <w:p w14:paraId="313A3E26" w14:textId="77777777" w:rsidR="00EC6843" w:rsidRPr="00900ADE" w:rsidRDefault="00EC6843">
            <w:pPr>
              <w:pStyle w:val="TableText"/>
              <w:tabs>
                <w:tab w:val="decimal" w:pos="0"/>
              </w:tabs>
              <w:jc w:val="center"/>
            </w:pPr>
            <w:r w:rsidRPr="00900ADE">
              <w:rPr>
                <w:rFonts w:ascii="Franklin Gothic Book" w:hAnsi="Franklin Gothic Book" w:cs="Calibri"/>
                <w:color w:val="000000"/>
                <w:szCs w:val="20"/>
              </w:rPr>
              <w:t>2.4%</w:t>
            </w:r>
          </w:p>
        </w:tc>
        <w:tc>
          <w:tcPr>
            <w:tcW w:w="1573" w:type="dxa"/>
            <w:vAlign w:val="center"/>
          </w:tcPr>
          <w:p w14:paraId="226EF9DB" w14:textId="77777777" w:rsidR="00EC6843" w:rsidRPr="00900ADE" w:rsidRDefault="00EC6843">
            <w:pPr>
              <w:pStyle w:val="TableTextCentered"/>
            </w:pPr>
            <w:r w:rsidRPr="00900ADE">
              <w:rPr>
                <w:rFonts w:ascii="Franklin Gothic Book" w:hAnsi="Franklin Gothic Book" w:cs="Calibri"/>
                <w:color w:val="000000"/>
                <w:szCs w:val="20"/>
              </w:rPr>
              <w:t>93,245</w:t>
            </w:r>
          </w:p>
        </w:tc>
        <w:tc>
          <w:tcPr>
            <w:tcW w:w="1573" w:type="dxa"/>
            <w:shd w:val="clear" w:color="auto" w:fill="D9E2F3" w:themeFill="accent5" w:themeFillTint="33"/>
            <w:vAlign w:val="center"/>
          </w:tcPr>
          <w:p w14:paraId="167411AD" w14:textId="77777777" w:rsidR="00EC6843" w:rsidRPr="00900ADE" w:rsidRDefault="00EC6843">
            <w:pPr>
              <w:pStyle w:val="TableText"/>
              <w:jc w:val="center"/>
            </w:pPr>
            <w:r w:rsidRPr="00900ADE">
              <w:rPr>
                <w:rFonts w:ascii="Franklin Gothic Book" w:hAnsi="Franklin Gothic Book" w:cs="Calibri"/>
                <w:color w:val="000000"/>
                <w:szCs w:val="20"/>
              </w:rPr>
              <w:t>10.2%</w:t>
            </w:r>
          </w:p>
        </w:tc>
      </w:tr>
      <w:tr w:rsidR="00EC6843" w:rsidRPr="00900ADE" w14:paraId="3CDF5770" w14:textId="77777777">
        <w:tc>
          <w:tcPr>
            <w:tcW w:w="3052" w:type="dxa"/>
          </w:tcPr>
          <w:p w14:paraId="37FB0372" w14:textId="77777777" w:rsidR="00EC6843" w:rsidRPr="00900ADE" w:rsidRDefault="00EC6843" w:rsidP="00587D54">
            <w:pPr>
              <w:pStyle w:val="TableText"/>
            </w:pPr>
            <w:r w:rsidRPr="00900ADE">
              <w:t>Hispanic or Latino</w:t>
            </w:r>
          </w:p>
        </w:tc>
        <w:tc>
          <w:tcPr>
            <w:tcW w:w="1573" w:type="dxa"/>
            <w:vAlign w:val="center"/>
          </w:tcPr>
          <w:p w14:paraId="33BFFDDD" w14:textId="77777777" w:rsidR="00EC6843" w:rsidRPr="00900ADE" w:rsidRDefault="00EC6843">
            <w:pPr>
              <w:pStyle w:val="TableTextCentered"/>
            </w:pPr>
            <w:r w:rsidRPr="00900ADE">
              <w:rPr>
                <w:rFonts w:ascii="Franklin Gothic Book" w:hAnsi="Franklin Gothic Book" w:cs="Calibri"/>
                <w:color w:val="000000"/>
                <w:szCs w:val="20"/>
              </w:rPr>
              <w:t>215</w:t>
            </w:r>
          </w:p>
        </w:tc>
        <w:tc>
          <w:tcPr>
            <w:tcW w:w="1573" w:type="dxa"/>
            <w:shd w:val="clear" w:color="auto" w:fill="D9E2F3" w:themeFill="accent5" w:themeFillTint="33"/>
            <w:vAlign w:val="center"/>
          </w:tcPr>
          <w:p w14:paraId="677ACBC4" w14:textId="77777777" w:rsidR="00EC6843" w:rsidRPr="00900ADE" w:rsidRDefault="00EC6843">
            <w:pPr>
              <w:pStyle w:val="TableText"/>
              <w:tabs>
                <w:tab w:val="decimal" w:pos="0"/>
              </w:tabs>
              <w:jc w:val="center"/>
            </w:pPr>
            <w:r w:rsidRPr="00900ADE">
              <w:rPr>
                <w:rFonts w:ascii="Franklin Gothic Book" w:hAnsi="Franklin Gothic Book" w:cs="Calibri"/>
                <w:color w:val="000000"/>
                <w:szCs w:val="20"/>
              </w:rPr>
              <w:t>10.0%</w:t>
            </w:r>
          </w:p>
        </w:tc>
        <w:tc>
          <w:tcPr>
            <w:tcW w:w="1573" w:type="dxa"/>
            <w:vAlign w:val="center"/>
          </w:tcPr>
          <w:p w14:paraId="6CE81F27" w14:textId="77777777" w:rsidR="00EC6843" w:rsidRPr="00900ADE" w:rsidRDefault="00EC6843">
            <w:pPr>
              <w:pStyle w:val="TableTextCentered"/>
            </w:pPr>
            <w:r w:rsidRPr="00900ADE">
              <w:rPr>
                <w:rFonts w:ascii="Franklin Gothic Book" w:hAnsi="Franklin Gothic Book" w:cs="Calibri"/>
                <w:color w:val="000000"/>
                <w:szCs w:val="20"/>
              </w:rPr>
              <w:t>236,839</w:t>
            </w:r>
          </w:p>
        </w:tc>
        <w:tc>
          <w:tcPr>
            <w:tcW w:w="1573" w:type="dxa"/>
            <w:shd w:val="clear" w:color="auto" w:fill="D9E2F3" w:themeFill="accent5" w:themeFillTint="33"/>
            <w:vAlign w:val="center"/>
          </w:tcPr>
          <w:p w14:paraId="20000C29" w14:textId="77777777" w:rsidR="00EC6843" w:rsidRPr="00900ADE" w:rsidRDefault="00EC6843">
            <w:pPr>
              <w:pStyle w:val="TableText"/>
              <w:jc w:val="center"/>
            </w:pPr>
            <w:r w:rsidRPr="00900ADE">
              <w:rPr>
                <w:rFonts w:ascii="Franklin Gothic Book" w:hAnsi="Franklin Gothic Book" w:cs="Calibri"/>
                <w:color w:val="000000"/>
                <w:szCs w:val="20"/>
              </w:rPr>
              <w:t>25.9%</w:t>
            </w:r>
          </w:p>
        </w:tc>
      </w:tr>
      <w:tr w:rsidR="00EC6843" w:rsidRPr="00900ADE" w14:paraId="63769DCF" w14:textId="77777777">
        <w:tc>
          <w:tcPr>
            <w:tcW w:w="3052" w:type="dxa"/>
          </w:tcPr>
          <w:p w14:paraId="5F2A35A8" w14:textId="77777777" w:rsidR="00EC6843" w:rsidRPr="00900ADE" w:rsidRDefault="00EC6843" w:rsidP="00587D54">
            <w:pPr>
              <w:pStyle w:val="TableText"/>
            </w:pPr>
            <w:r w:rsidRPr="00900ADE">
              <w:t>Multi-Race, Not Hispanic or Latino</w:t>
            </w:r>
          </w:p>
        </w:tc>
        <w:tc>
          <w:tcPr>
            <w:tcW w:w="1573" w:type="dxa"/>
            <w:vAlign w:val="center"/>
          </w:tcPr>
          <w:p w14:paraId="7159634B" w14:textId="77777777" w:rsidR="00EC6843" w:rsidRPr="00900ADE" w:rsidRDefault="00EC6843">
            <w:pPr>
              <w:pStyle w:val="TableTextCentered"/>
            </w:pPr>
            <w:r w:rsidRPr="00900ADE">
              <w:rPr>
                <w:rFonts w:ascii="Franklin Gothic Book" w:hAnsi="Franklin Gothic Book" w:cs="Calibri"/>
                <w:color w:val="000000"/>
                <w:szCs w:val="20"/>
              </w:rPr>
              <w:t>81</w:t>
            </w:r>
          </w:p>
        </w:tc>
        <w:tc>
          <w:tcPr>
            <w:tcW w:w="1573" w:type="dxa"/>
            <w:shd w:val="clear" w:color="auto" w:fill="D9E2F3" w:themeFill="accent5" w:themeFillTint="33"/>
            <w:vAlign w:val="center"/>
          </w:tcPr>
          <w:p w14:paraId="0D43185B" w14:textId="77777777" w:rsidR="00EC6843" w:rsidRPr="00900ADE" w:rsidRDefault="00EC6843">
            <w:pPr>
              <w:pStyle w:val="TableText"/>
              <w:tabs>
                <w:tab w:val="decimal" w:pos="0"/>
              </w:tabs>
              <w:jc w:val="center"/>
            </w:pPr>
            <w:r w:rsidRPr="00900ADE">
              <w:rPr>
                <w:rFonts w:ascii="Franklin Gothic Book" w:hAnsi="Franklin Gothic Book" w:cs="Calibri"/>
                <w:color w:val="000000"/>
                <w:szCs w:val="20"/>
              </w:rPr>
              <w:t>3.8%</w:t>
            </w:r>
          </w:p>
        </w:tc>
        <w:tc>
          <w:tcPr>
            <w:tcW w:w="1573" w:type="dxa"/>
            <w:vAlign w:val="center"/>
          </w:tcPr>
          <w:p w14:paraId="620A01F2" w14:textId="77777777" w:rsidR="00EC6843" w:rsidRPr="00900ADE" w:rsidRDefault="00EC6843">
            <w:pPr>
              <w:pStyle w:val="TableTextCentered"/>
            </w:pPr>
            <w:r w:rsidRPr="00900ADE">
              <w:rPr>
                <w:rFonts w:ascii="Franklin Gothic Book" w:hAnsi="Franklin Gothic Book" w:cs="Calibri"/>
                <w:color w:val="000000"/>
                <w:szCs w:val="20"/>
              </w:rPr>
              <w:t>42,303</w:t>
            </w:r>
          </w:p>
        </w:tc>
        <w:tc>
          <w:tcPr>
            <w:tcW w:w="1573" w:type="dxa"/>
            <w:shd w:val="clear" w:color="auto" w:fill="D9E2F3" w:themeFill="accent5" w:themeFillTint="33"/>
            <w:vAlign w:val="center"/>
          </w:tcPr>
          <w:p w14:paraId="34F9852B" w14:textId="77777777" w:rsidR="00EC6843" w:rsidRPr="00900ADE" w:rsidRDefault="00EC6843">
            <w:pPr>
              <w:pStyle w:val="TableText"/>
              <w:jc w:val="center"/>
            </w:pPr>
            <w:r w:rsidRPr="00900ADE">
              <w:rPr>
                <w:rFonts w:ascii="Franklin Gothic Book" w:hAnsi="Franklin Gothic Book" w:cs="Calibri"/>
                <w:color w:val="000000"/>
                <w:szCs w:val="20"/>
              </w:rPr>
              <w:t>4.6%</w:t>
            </w:r>
          </w:p>
        </w:tc>
      </w:tr>
      <w:tr w:rsidR="00EC6843" w:rsidRPr="00900ADE" w14:paraId="3A4BB28D" w14:textId="77777777">
        <w:tc>
          <w:tcPr>
            <w:tcW w:w="3052" w:type="dxa"/>
          </w:tcPr>
          <w:p w14:paraId="5890EA36" w14:textId="77777777" w:rsidR="00EC6843" w:rsidRPr="00900ADE" w:rsidRDefault="00EC6843" w:rsidP="00587D54">
            <w:pPr>
              <w:pStyle w:val="TableText"/>
            </w:pPr>
            <w:r w:rsidRPr="00900ADE">
              <w:t>Native Hawaiian or Other Pacific Islander</w:t>
            </w:r>
          </w:p>
        </w:tc>
        <w:tc>
          <w:tcPr>
            <w:tcW w:w="1573" w:type="dxa"/>
            <w:vAlign w:val="center"/>
          </w:tcPr>
          <w:p w14:paraId="4A75F58E" w14:textId="77777777" w:rsidR="00EC6843" w:rsidRPr="00900ADE" w:rsidRDefault="00EC6843">
            <w:pPr>
              <w:pStyle w:val="TableTextCentered"/>
            </w:pPr>
            <w:r w:rsidRPr="00900ADE">
              <w:rPr>
                <w:rFonts w:ascii="Franklin Gothic Book" w:hAnsi="Franklin Gothic Book" w:cs="Calibri"/>
                <w:color w:val="000000"/>
                <w:szCs w:val="20"/>
              </w:rPr>
              <w:t>3</w:t>
            </w:r>
          </w:p>
        </w:tc>
        <w:tc>
          <w:tcPr>
            <w:tcW w:w="1573" w:type="dxa"/>
            <w:shd w:val="clear" w:color="auto" w:fill="D9E2F3" w:themeFill="accent5" w:themeFillTint="33"/>
            <w:vAlign w:val="center"/>
          </w:tcPr>
          <w:p w14:paraId="2A5A1D8E" w14:textId="77777777" w:rsidR="00EC6843" w:rsidRPr="00900ADE" w:rsidRDefault="00EC6843">
            <w:pPr>
              <w:pStyle w:val="TableText"/>
              <w:tabs>
                <w:tab w:val="decimal" w:pos="0"/>
              </w:tabs>
              <w:jc w:val="center"/>
            </w:pPr>
            <w:r w:rsidRPr="00900ADE">
              <w:rPr>
                <w:rFonts w:ascii="Franklin Gothic Book" w:hAnsi="Franklin Gothic Book" w:cs="Calibri"/>
                <w:color w:val="000000"/>
                <w:szCs w:val="20"/>
              </w:rPr>
              <w:t>0.1%</w:t>
            </w:r>
          </w:p>
        </w:tc>
        <w:tc>
          <w:tcPr>
            <w:tcW w:w="1573" w:type="dxa"/>
            <w:vAlign w:val="center"/>
          </w:tcPr>
          <w:p w14:paraId="5E2CA9AD" w14:textId="77777777" w:rsidR="00EC6843" w:rsidRPr="00900ADE" w:rsidRDefault="00EC6843">
            <w:pPr>
              <w:pStyle w:val="TableTextCentered"/>
            </w:pPr>
            <w:r w:rsidRPr="00900ADE">
              <w:rPr>
                <w:rFonts w:ascii="Franklin Gothic Book" w:hAnsi="Franklin Gothic Book" w:cs="Calibri"/>
                <w:color w:val="000000"/>
                <w:szCs w:val="20"/>
              </w:rPr>
              <w:t>800</w:t>
            </w:r>
          </w:p>
        </w:tc>
        <w:tc>
          <w:tcPr>
            <w:tcW w:w="1573" w:type="dxa"/>
            <w:shd w:val="clear" w:color="auto" w:fill="D9E2F3" w:themeFill="accent5" w:themeFillTint="33"/>
            <w:vAlign w:val="center"/>
          </w:tcPr>
          <w:p w14:paraId="72762A8F" w14:textId="77777777" w:rsidR="00EC6843" w:rsidRPr="00900ADE" w:rsidRDefault="00EC6843">
            <w:pPr>
              <w:pStyle w:val="TableText"/>
              <w:jc w:val="center"/>
            </w:pPr>
            <w:r w:rsidRPr="00900ADE">
              <w:rPr>
                <w:rFonts w:ascii="Franklin Gothic Book" w:hAnsi="Franklin Gothic Book" w:cs="Calibri"/>
                <w:color w:val="000000"/>
                <w:szCs w:val="20"/>
              </w:rPr>
              <w:t>0.1%</w:t>
            </w:r>
          </w:p>
        </w:tc>
      </w:tr>
      <w:tr w:rsidR="00EC6843" w:rsidRPr="00900ADE" w14:paraId="0DE17DAB" w14:textId="77777777">
        <w:tc>
          <w:tcPr>
            <w:tcW w:w="3052" w:type="dxa"/>
          </w:tcPr>
          <w:p w14:paraId="050D95C8" w14:textId="77777777" w:rsidR="00EC6843" w:rsidRPr="00900ADE" w:rsidRDefault="00EC6843" w:rsidP="00587D54">
            <w:pPr>
              <w:pStyle w:val="TableText"/>
            </w:pPr>
            <w:r w:rsidRPr="00900ADE">
              <w:t>White</w:t>
            </w:r>
          </w:p>
        </w:tc>
        <w:tc>
          <w:tcPr>
            <w:tcW w:w="1573" w:type="dxa"/>
            <w:vAlign w:val="center"/>
          </w:tcPr>
          <w:p w14:paraId="7537C2DD" w14:textId="77777777" w:rsidR="00EC6843" w:rsidRPr="00900ADE" w:rsidRDefault="00EC6843">
            <w:pPr>
              <w:pStyle w:val="TableTextCentered"/>
            </w:pPr>
            <w:r w:rsidRPr="00900ADE">
              <w:rPr>
                <w:rFonts w:ascii="Franklin Gothic Book" w:hAnsi="Franklin Gothic Book" w:cs="Calibri"/>
                <w:color w:val="000000"/>
                <w:szCs w:val="20"/>
              </w:rPr>
              <w:t>1,693</w:t>
            </w:r>
          </w:p>
        </w:tc>
        <w:tc>
          <w:tcPr>
            <w:tcW w:w="1573" w:type="dxa"/>
            <w:shd w:val="clear" w:color="auto" w:fill="D9E2F3" w:themeFill="accent5" w:themeFillTint="33"/>
            <w:vAlign w:val="center"/>
          </w:tcPr>
          <w:p w14:paraId="773B94BD" w14:textId="77777777" w:rsidR="00EC6843" w:rsidRPr="00900ADE" w:rsidRDefault="00EC6843">
            <w:pPr>
              <w:pStyle w:val="TableText"/>
              <w:tabs>
                <w:tab w:val="decimal" w:pos="0"/>
              </w:tabs>
              <w:jc w:val="center"/>
            </w:pPr>
            <w:r w:rsidRPr="00900ADE">
              <w:rPr>
                <w:rFonts w:ascii="Franklin Gothic Book" w:hAnsi="Franklin Gothic Book" w:cs="Calibri"/>
                <w:color w:val="000000"/>
                <w:szCs w:val="20"/>
              </w:rPr>
              <w:t>78.5%</w:t>
            </w:r>
          </w:p>
        </w:tc>
        <w:tc>
          <w:tcPr>
            <w:tcW w:w="1573" w:type="dxa"/>
            <w:vAlign w:val="center"/>
          </w:tcPr>
          <w:p w14:paraId="43C60BA0" w14:textId="77777777" w:rsidR="00EC6843" w:rsidRPr="00900ADE" w:rsidRDefault="00EC6843">
            <w:pPr>
              <w:pStyle w:val="TableTextCentered"/>
            </w:pPr>
            <w:r w:rsidRPr="00900ADE">
              <w:rPr>
                <w:rFonts w:ascii="Franklin Gothic Book" w:hAnsi="Franklin Gothic Book" w:cs="Calibri"/>
                <w:color w:val="000000"/>
                <w:szCs w:val="20"/>
              </w:rPr>
              <w:t>471,865</w:t>
            </w:r>
          </w:p>
        </w:tc>
        <w:tc>
          <w:tcPr>
            <w:tcW w:w="1573" w:type="dxa"/>
            <w:shd w:val="clear" w:color="auto" w:fill="D9E2F3" w:themeFill="accent5" w:themeFillTint="33"/>
            <w:vAlign w:val="center"/>
          </w:tcPr>
          <w:p w14:paraId="1FB8C16F" w14:textId="77777777" w:rsidR="00EC6843" w:rsidRPr="00900ADE" w:rsidRDefault="00EC6843">
            <w:pPr>
              <w:pStyle w:val="TableText"/>
              <w:jc w:val="center"/>
            </w:pPr>
            <w:r w:rsidRPr="00900ADE">
              <w:rPr>
                <w:rFonts w:ascii="Franklin Gothic Book" w:hAnsi="Franklin Gothic Book" w:cs="Calibri"/>
                <w:color w:val="000000"/>
                <w:szCs w:val="20"/>
              </w:rPr>
              <w:t>51.5%</w:t>
            </w:r>
          </w:p>
        </w:tc>
      </w:tr>
    </w:tbl>
    <w:p w14:paraId="1E9EC165" w14:textId="77777777" w:rsidR="00EC6843" w:rsidRPr="00900ADE" w:rsidRDefault="00EC6843" w:rsidP="00587D54">
      <w:pPr>
        <w:pStyle w:val="TableNote"/>
      </w:pPr>
      <w:r w:rsidRPr="00900ADE">
        <w:rPr>
          <w:i/>
          <w:iCs/>
        </w:rPr>
        <w:t>Note</w:t>
      </w:r>
      <w:r w:rsidRPr="00900ADE">
        <w:t>. As of October 1, 2024.</w:t>
      </w:r>
    </w:p>
    <w:p w14:paraId="56750F01" w14:textId="6121BEE1" w:rsidR="00EC6843" w:rsidRPr="00900ADE" w:rsidRDefault="00EC6843" w:rsidP="00587D54">
      <w:pPr>
        <w:pStyle w:val="TableTitle0"/>
      </w:pPr>
      <w:r w:rsidRPr="00900ADE">
        <w:t>Table D2. Student Enrollment by High Needs Populations</w:t>
      </w:r>
      <w:r w:rsidR="003A7D47" w:rsidRPr="00900ADE">
        <w:t>, 2024-2025</w:t>
      </w:r>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EC6843" w:rsidRPr="00900ADE" w14:paraId="4C8C6C23" w14:textId="77777777">
        <w:trPr>
          <w:cnfStyle w:val="100000000000" w:firstRow="1" w:lastRow="0" w:firstColumn="0" w:lastColumn="0" w:oddVBand="0" w:evenVBand="0" w:oddHBand="0" w:evenHBand="0" w:firstRowFirstColumn="0" w:firstRowLastColumn="0" w:lastRowFirstColumn="0" w:lastRowLastColumn="0"/>
          <w:tblHeader/>
        </w:trPr>
        <w:tc>
          <w:tcPr>
            <w:tcW w:w="2287" w:type="dxa"/>
            <w:vAlign w:val="center"/>
          </w:tcPr>
          <w:p w14:paraId="63CD7F90" w14:textId="77777777" w:rsidR="00EC6843" w:rsidRPr="00900ADE" w:rsidRDefault="00EC6843" w:rsidP="00587D54">
            <w:pPr>
              <w:pStyle w:val="TableColHeadingLeft"/>
            </w:pPr>
            <w:r w:rsidRPr="00900ADE">
              <w:t>Group</w:t>
            </w:r>
          </w:p>
        </w:tc>
        <w:tc>
          <w:tcPr>
            <w:tcW w:w="1176" w:type="dxa"/>
            <w:vAlign w:val="center"/>
          </w:tcPr>
          <w:p w14:paraId="6B5FA4A9" w14:textId="250868E4" w:rsidR="00EC6843" w:rsidRPr="00900ADE" w:rsidRDefault="00EC6843" w:rsidP="00DE6D6D">
            <w:pPr>
              <w:pStyle w:val="TableColHeadingCenter"/>
            </w:pPr>
            <w:r w:rsidRPr="00900ADE">
              <w:rPr>
                <w:i/>
                <w:iCs/>
              </w:rPr>
              <w:t>N</w:t>
            </w:r>
            <w:r w:rsidR="00DE6D6D" w:rsidRPr="00900ADE">
              <w:br/>
            </w:r>
            <w:r w:rsidRPr="00900ADE">
              <w:t>(</w:t>
            </w:r>
            <w:r w:rsidR="00A76C90">
              <w:t>D</w:t>
            </w:r>
            <w:r w:rsidRPr="00900ADE">
              <w:t>istrict)</w:t>
            </w:r>
          </w:p>
        </w:tc>
        <w:tc>
          <w:tcPr>
            <w:tcW w:w="1176" w:type="dxa"/>
            <w:vAlign w:val="center"/>
          </w:tcPr>
          <w:p w14:paraId="6A94181C" w14:textId="63D5526E" w:rsidR="00EC6843" w:rsidRPr="00900ADE" w:rsidRDefault="00EC6843" w:rsidP="00DE6D6D">
            <w:pPr>
              <w:pStyle w:val="TableColHeadingCenter"/>
            </w:pPr>
            <w:r w:rsidRPr="00900ADE">
              <w:t>Percentage of High Needs</w:t>
            </w:r>
            <w:r w:rsidR="00DE6D6D" w:rsidRPr="00900ADE">
              <w:br/>
            </w:r>
            <w:r w:rsidRPr="00900ADE">
              <w:t>(</w:t>
            </w:r>
            <w:r w:rsidR="00A76C90">
              <w:t>D</w:t>
            </w:r>
            <w:r w:rsidRPr="00900ADE">
              <w:t>istrict)</w:t>
            </w:r>
          </w:p>
        </w:tc>
        <w:tc>
          <w:tcPr>
            <w:tcW w:w="1176" w:type="dxa"/>
            <w:vAlign w:val="center"/>
          </w:tcPr>
          <w:p w14:paraId="4E6DCB94" w14:textId="2A6190BE" w:rsidR="00EC6843" w:rsidRPr="00900ADE" w:rsidRDefault="00EC6843" w:rsidP="00587D54">
            <w:pPr>
              <w:pStyle w:val="TableColHeadingCenter"/>
            </w:pPr>
            <w:r w:rsidRPr="00900ADE">
              <w:t xml:space="preserve">Percentage of </w:t>
            </w:r>
            <w:r w:rsidR="00FB3F51">
              <w:t>D</w:t>
            </w:r>
            <w:r w:rsidRPr="00900ADE">
              <w:t>istrict</w:t>
            </w:r>
          </w:p>
        </w:tc>
        <w:tc>
          <w:tcPr>
            <w:tcW w:w="1176" w:type="dxa"/>
            <w:vAlign w:val="center"/>
          </w:tcPr>
          <w:p w14:paraId="42BE7130" w14:textId="0719E94C" w:rsidR="00EC6843" w:rsidRPr="00900ADE" w:rsidRDefault="00EC6843" w:rsidP="00DE6D6D">
            <w:pPr>
              <w:pStyle w:val="TableColHeadingCenter"/>
            </w:pPr>
            <w:r w:rsidRPr="00900ADE">
              <w:rPr>
                <w:i/>
                <w:iCs/>
              </w:rPr>
              <w:t>N</w:t>
            </w:r>
            <w:r w:rsidR="00DE6D6D" w:rsidRPr="00900ADE">
              <w:br/>
            </w:r>
            <w:r w:rsidRPr="00900ADE">
              <w:t>(</w:t>
            </w:r>
            <w:r w:rsidR="00FB3F51">
              <w:t>S</w:t>
            </w:r>
            <w:r w:rsidRPr="00900ADE">
              <w:t>tate)</w:t>
            </w:r>
          </w:p>
        </w:tc>
        <w:tc>
          <w:tcPr>
            <w:tcW w:w="1176" w:type="dxa"/>
            <w:vAlign w:val="center"/>
          </w:tcPr>
          <w:p w14:paraId="3923826B" w14:textId="76473527" w:rsidR="00EC6843" w:rsidRPr="00900ADE" w:rsidRDefault="00EC6843" w:rsidP="00DE6D6D">
            <w:pPr>
              <w:pStyle w:val="TableColHeadingCenter"/>
            </w:pPr>
            <w:r w:rsidRPr="00900ADE">
              <w:t>Percentage of High Needs</w:t>
            </w:r>
            <w:r w:rsidR="00DE6D6D" w:rsidRPr="00900ADE">
              <w:br/>
            </w:r>
            <w:r w:rsidRPr="00900ADE">
              <w:t>(</w:t>
            </w:r>
            <w:r w:rsidR="00FB3F51">
              <w:t>S</w:t>
            </w:r>
            <w:r w:rsidRPr="00900ADE">
              <w:t>tate)</w:t>
            </w:r>
          </w:p>
        </w:tc>
        <w:tc>
          <w:tcPr>
            <w:tcW w:w="1177" w:type="dxa"/>
            <w:vAlign w:val="center"/>
          </w:tcPr>
          <w:p w14:paraId="224F0556" w14:textId="6DB65200" w:rsidR="00EC6843" w:rsidRPr="00900ADE" w:rsidRDefault="00EC6843" w:rsidP="00587D54">
            <w:pPr>
              <w:pStyle w:val="TableColHeadingCenter"/>
            </w:pPr>
            <w:r w:rsidRPr="00900ADE">
              <w:t xml:space="preserve">Percentage of </w:t>
            </w:r>
            <w:r w:rsidR="00FB3F51">
              <w:t>S</w:t>
            </w:r>
            <w:r w:rsidRPr="00900ADE">
              <w:t>tate</w:t>
            </w:r>
          </w:p>
        </w:tc>
      </w:tr>
      <w:tr w:rsidR="00EC6843" w:rsidRPr="00900ADE" w14:paraId="04DD0C96" w14:textId="77777777">
        <w:tc>
          <w:tcPr>
            <w:tcW w:w="2287" w:type="dxa"/>
          </w:tcPr>
          <w:p w14:paraId="421D67E3" w14:textId="77777777" w:rsidR="00EC6843" w:rsidRPr="00900ADE" w:rsidRDefault="00EC6843" w:rsidP="00587D54">
            <w:pPr>
              <w:pStyle w:val="TableText"/>
            </w:pPr>
            <w:r w:rsidRPr="00900ADE">
              <w:t>High Needs</w:t>
            </w:r>
          </w:p>
        </w:tc>
        <w:tc>
          <w:tcPr>
            <w:tcW w:w="1176" w:type="dxa"/>
            <w:vAlign w:val="center"/>
          </w:tcPr>
          <w:p w14:paraId="7D273BE3" w14:textId="77777777" w:rsidR="00EC6843" w:rsidRPr="00900ADE" w:rsidRDefault="00EC6843" w:rsidP="00587D54">
            <w:pPr>
              <w:pStyle w:val="TableTextCentered"/>
            </w:pPr>
            <w:r w:rsidRPr="00900ADE">
              <w:t>658</w:t>
            </w:r>
          </w:p>
        </w:tc>
        <w:tc>
          <w:tcPr>
            <w:tcW w:w="1176" w:type="dxa"/>
            <w:shd w:val="clear" w:color="auto" w:fill="D9E2F3" w:themeFill="accent5" w:themeFillTint="33"/>
            <w:vAlign w:val="center"/>
          </w:tcPr>
          <w:p w14:paraId="65317E28" w14:textId="77777777" w:rsidR="00EC6843" w:rsidRPr="00900ADE" w:rsidRDefault="00EC6843" w:rsidP="00587D54">
            <w:pPr>
              <w:pStyle w:val="TableTextCentered"/>
            </w:pPr>
            <w:r w:rsidRPr="00900ADE">
              <w:t>100.0%</w:t>
            </w:r>
          </w:p>
        </w:tc>
        <w:tc>
          <w:tcPr>
            <w:tcW w:w="1176" w:type="dxa"/>
            <w:shd w:val="clear" w:color="auto" w:fill="D9E2F3" w:themeFill="accent5" w:themeFillTint="33"/>
            <w:vAlign w:val="center"/>
          </w:tcPr>
          <w:p w14:paraId="36C1A6C3" w14:textId="77777777" w:rsidR="00EC6843" w:rsidRPr="00900ADE" w:rsidRDefault="00EC6843" w:rsidP="00587D54">
            <w:pPr>
              <w:pStyle w:val="TableTextCentered"/>
            </w:pPr>
            <w:r w:rsidRPr="00900ADE">
              <w:t>30.1%</w:t>
            </w:r>
          </w:p>
        </w:tc>
        <w:tc>
          <w:tcPr>
            <w:tcW w:w="1176" w:type="dxa"/>
            <w:vAlign w:val="center"/>
          </w:tcPr>
          <w:p w14:paraId="3E2765B3" w14:textId="77777777" w:rsidR="00EC6843" w:rsidRPr="00900ADE" w:rsidRDefault="00EC6843" w:rsidP="00587D54">
            <w:pPr>
              <w:pStyle w:val="TableTextCentered"/>
            </w:pPr>
            <w:r w:rsidRPr="00900ADE">
              <w:t>517,093</w:t>
            </w:r>
          </w:p>
        </w:tc>
        <w:tc>
          <w:tcPr>
            <w:tcW w:w="1176" w:type="dxa"/>
            <w:shd w:val="clear" w:color="auto" w:fill="D9E2F3" w:themeFill="accent5" w:themeFillTint="33"/>
            <w:vAlign w:val="center"/>
          </w:tcPr>
          <w:p w14:paraId="08755C39" w14:textId="77777777" w:rsidR="00EC6843" w:rsidRPr="00900ADE" w:rsidRDefault="00EC6843" w:rsidP="00587D54">
            <w:pPr>
              <w:pStyle w:val="TableTextCentered"/>
            </w:pPr>
            <w:r w:rsidRPr="00900ADE">
              <w:t>100.0%</w:t>
            </w:r>
          </w:p>
        </w:tc>
        <w:tc>
          <w:tcPr>
            <w:tcW w:w="1177" w:type="dxa"/>
            <w:shd w:val="clear" w:color="auto" w:fill="D9E2F3" w:themeFill="accent5" w:themeFillTint="33"/>
            <w:vAlign w:val="center"/>
          </w:tcPr>
          <w:p w14:paraId="195FA22B" w14:textId="77777777" w:rsidR="00EC6843" w:rsidRPr="00900ADE" w:rsidRDefault="00EC6843" w:rsidP="00587D54">
            <w:pPr>
              <w:pStyle w:val="TableTextCentered"/>
            </w:pPr>
            <w:r w:rsidRPr="00900ADE">
              <w:t>55.8%</w:t>
            </w:r>
          </w:p>
        </w:tc>
      </w:tr>
      <w:tr w:rsidR="00EC6843" w:rsidRPr="00900ADE" w14:paraId="28D3B28A" w14:textId="77777777">
        <w:tc>
          <w:tcPr>
            <w:tcW w:w="2287" w:type="dxa"/>
          </w:tcPr>
          <w:p w14:paraId="2F389C7A" w14:textId="77777777" w:rsidR="00EC6843" w:rsidRPr="00900ADE" w:rsidRDefault="00EC6843" w:rsidP="00587D54">
            <w:pPr>
              <w:pStyle w:val="TableText"/>
            </w:pPr>
            <w:r w:rsidRPr="00900ADE">
              <w:t>English Learners</w:t>
            </w:r>
          </w:p>
        </w:tc>
        <w:tc>
          <w:tcPr>
            <w:tcW w:w="1176" w:type="dxa"/>
            <w:vAlign w:val="center"/>
          </w:tcPr>
          <w:p w14:paraId="29D7C0D3" w14:textId="77777777" w:rsidR="00EC6843" w:rsidRPr="00900ADE" w:rsidRDefault="00EC6843" w:rsidP="00587D54">
            <w:pPr>
              <w:pStyle w:val="TableTextCentered"/>
            </w:pPr>
            <w:r w:rsidRPr="00900ADE">
              <w:t>94</w:t>
            </w:r>
          </w:p>
        </w:tc>
        <w:tc>
          <w:tcPr>
            <w:tcW w:w="1176" w:type="dxa"/>
            <w:shd w:val="clear" w:color="auto" w:fill="D9E2F3" w:themeFill="accent5" w:themeFillTint="33"/>
            <w:vAlign w:val="center"/>
          </w:tcPr>
          <w:p w14:paraId="550D2396" w14:textId="77777777" w:rsidR="00EC6843" w:rsidRPr="00900ADE" w:rsidRDefault="00EC6843" w:rsidP="00587D54">
            <w:pPr>
              <w:pStyle w:val="TableTextCentered"/>
            </w:pPr>
            <w:r w:rsidRPr="00900ADE">
              <w:t>14.3%</w:t>
            </w:r>
          </w:p>
        </w:tc>
        <w:tc>
          <w:tcPr>
            <w:tcW w:w="1176" w:type="dxa"/>
            <w:shd w:val="clear" w:color="auto" w:fill="D9E2F3" w:themeFill="accent5" w:themeFillTint="33"/>
            <w:vAlign w:val="center"/>
          </w:tcPr>
          <w:p w14:paraId="741B0F86" w14:textId="77777777" w:rsidR="00EC6843" w:rsidRPr="00900ADE" w:rsidRDefault="00EC6843" w:rsidP="00587D54">
            <w:pPr>
              <w:pStyle w:val="TableTextCentered"/>
            </w:pPr>
            <w:r w:rsidRPr="00900ADE">
              <w:t>4.4%</w:t>
            </w:r>
          </w:p>
        </w:tc>
        <w:tc>
          <w:tcPr>
            <w:tcW w:w="1176" w:type="dxa"/>
            <w:vAlign w:val="center"/>
          </w:tcPr>
          <w:p w14:paraId="4D2F864F" w14:textId="77777777" w:rsidR="00EC6843" w:rsidRPr="00900ADE" w:rsidRDefault="00EC6843" w:rsidP="00587D54">
            <w:pPr>
              <w:pStyle w:val="TableTextCentered"/>
            </w:pPr>
            <w:r w:rsidRPr="00900ADE">
              <w:t>127,673</w:t>
            </w:r>
          </w:p>
        </w:tc>
        <w:tc>
          <w:tcPr>
            <w:tcW w:w="1176" w:type="dxa"/>
            <w:shd w:val="clear" w:color="auto" w:fill="D9E2F3" w:themeFill="accent5" w:themeFillTint="33"/>
            <w:vAlign w:val="center"/>
          </w:tcPr>
          <w:p w14:paraId="33405DA4" w14:textId="77777777" w:rsidR="00EC6843" w:rsidRPr="00900ADE" w:rsidRDefault="00EC6843" w:rsidP="00587D54">
            <w:pPr>
              <w:pStyle w:val="TableTextCentered"/>
            </w:pPr>
            <w:r w:rsidRPr="00900ADE">
              <w:t>24.7%</w:t>
            </w:r>
          </w:p>
        </w:tc>
        <w:tc>
          <w:tcPr>
            <w:tcW w:w="1177" w:type="dxa"/>
            <w:shd w:val="clear" w:color="auto" w:fill="D9E2F3" w:themeFill="accent5" w:themeFillTint="33"/>
            <w:vAlign w:val="center"/>
          </w:tcPr>
          <w:p w14:paraId="4755275B" w14:textId="77777777" w:rsidR="00EC6843" w:rsidRPr="00900ADE" w:rsidRDefault="00EC6843" w:rsidP="00587D54">
            <w:pPr>
              <w:pStyle w:val="TableTextCentered"/>
            </w:pPr>
            <w:r w:rsidRPr="00900ADE">
              <w:t>13.9%</w:t>
            </w:r>
          </w:p>
        </w:tc>
      </w:tr>
      <w:tr w:rsidR="00EC6843" w:rsidRPr="00900ADE" w14:paraId="709B3391" w14:textId="77777777">
        <w:tc>
          <w:tcPr>
            <w:tcW w:w="2287" w:type="dxa"/>
          </w:tcPr>
          <w:p w14:paraId="5C7521DC" w14:textId="77777777" w:rsidR="00EC6843" w:rsidRPr="00900ADE" w:rsidRDefault="00EC6843" w:rsidP="00587D54">
            <w:pPr>
              <w:pStyle w:val="TableText"/>
            </w:pPr>
            <w:r w:rsidRPr="00900ADE">
              <w:t>Low Income</w:t>
            </w:r>
          </w:p>
        </w:tc>
        <w:tc>
          <w:tcPr>
            <w:tcW w:w="1176" w:type="dxa"/>
            <w:vAlign w:val="center"/>
          </w:tcPr>
          <w:p w14:paraId="14A0EAF0" w14:textId="77777777" w:rsidR="00EC6843" w:rsidRPr="00900ADE" w:rsidRDefault="00EC6843" w:rsidP="00587D54">
            <w:pPr>
              <w:pStyle w:val="TableTextCentered"/>
            </w:pPr>
            <w:r w:rsidRPr="00900ADE">
              <w:t>327</w:t>
            </w:r>
          </w:p>
        </w:tc>
        <w:tc>
          <w:tcPr>
            <w:tcW w:w="1176" w:type="dxa"/>
            <w:shd w:val="clear" w:color="auto" w:fill="D9E2F3" w:themeFill="accent5" w:themeFillTint="33"/>
            <w:vAlign w:val="center"/>
          </w:tcPr>
          <w:p w14:paraId="7C61AFE2" w14:textId="77777777" w:rsidR="00EC6843" w:rsidRPr="00900ADE" w:rsidRDefault="00EC6843" w:rsidP="00587D54">
            <w:pPr>
              <w:pStyle w:val="TableTextCentered"/>
            </w:pPr>
            <w:r w:rsidRPr="00900ADE">
              <w:t>49.7%</w:t>
            </w:r>
          </w:p>
        </w:tc>
        <w:tc>
          <w:tcPr>
            <w:tcW w:w="1176" w:type="dxa"/>
            <w:shd w:val="clear" w:color="auto" w:fill="D9E2F3" w:themeFill="accent5" w:themeFillTint="33"/>
            <w:vAlign w:val="center"/>
          </w:tcPr>
          <w:p w14:paraId="4AA561DE" w14:textId="77777777" w:rsidR="00EC6843" w:rsidRPr="00900ADE" w:rsidRDefault="00EC6843" w:rsidP="00587D54">
            <w:pPr>
              <w:pStyle w:val="TableTextCentered"/>
            </w:pPr>
            <w:r w:rsidRPr="00900ADE">
              <w:t>15.2%</w:t>
            </w:r>
          </w:p>
        </w:tc>
        <w:tc>
          <w:tcPr>
            <w:tcW w:w="1176" w:type="dxa"/>
            <w:vAlign w:val="center"/>
          </w:tcPr>
          <w:p w14:paraId="45A869B9" w14:textId="77777777" w:rsidR="00EC6843" w:rsidRPr="00900ADE" w:rsidRDefault="00EC6843" w:rsidP="00587D54">
            <w:pPr>
              <w:pStyle w:val="TableTextCentered"/>
            </w:pPr>
            <w:r w:rsidRPr="00900ADE">
              <w:t>385,161</w:t>
            </w:r>
          </w:p>
        </w:tc>
        <w:tc>
          <w:tcPr>
            <w:tcW w:w="1176" w:type="dxa"/>
            <w:shd w:val="clear" w:color="auto" w:fill="D9E2F3" w:themeFill="accent5" w:themeFillTint="33"/>
            <w:vAlign w:val="center"/>
          </w:tcPr>
          <w:p w14:paraId="68ECC382" w14:textId="77777777" w:rsidR="00EC6843" w:rsidRPr="00900ADE" w:rsidRDefault="00EC6843" w:rsidP="00587D54">
            <w:pPr>
              <w:pStyle w:val="TableTextCentered"/>
            </w:pPr>
            <w:r w:rsidRPr="00900ADE">
              <w:t>74.5%</w:t>
            </w:r>
          </w:p>
        </w:tc>
        <w:tc>
          <w:tcPr>
            <w:tcW w:w="1177" w:type="dxa"/>
            <w:shd w:val="clear" w:color="auto" w:fill="D9E2F3" w:themeFill="accent5" w:themeFillTint="33"/>
            <w:vAlign w:val="center"/>
          </w:tcPr>
          <w:p w14:paraId="5E15423E" w14:textId="77777777" w:rsidR="00EC6843" w:rsidRPr="00900ADE" w:rsidRDefault="00EC6843" w:rsidP="00587D54">
            <w:pPr>
              <w:pStyle w:val="TableTextCentered"/>
            </w:pPr>
            <w:r w:rsidRPr="00900ADE">
              <w:t>42.1%</w:t>
            </w:r>
          </w:p>
        </w:tc>
      </w:tr>
      <w:tr w:rsidR="00EC6843" w:rsidRPr="00900ADE" w14:paraId="38DFF1A2" w14:textId="77777777">
        <w:tc>
          <w:tcPr>
            <w:tcW w:w="2287" w:type="dxa"/>
          </w:tcPr>
          <w:p w14:paraId="0D1622DC" w14:textId="77777777" w:rsidR="00EC6843" w:rsidRPr="00900ADE" w:rsidRDefault="00EC6843" w:rsidP="00587D54">
            <w:pPr>
              <w:pStyle w:val="TableText"/>
            </w:pPr>
            <w:r w:rsidRPr="00900ADE">
              <w:t>Students with Disabilities</w:t>
            </w:r>
          </w:p>
        </w:tc>
        <w:tc>
          <w:tcPr>
            <w:tcW w:w="1176" w:type="dxa"/>
            <w:vAlign w:val="center"/>
          </w:tcPr>
          <w:p w14:paraId="25441C07" w14:textId="77777777" w:rsidR="00EC6843" w:rsidRPr="00900ADE" w:rsidRDefault="00EC6843" w:rsidP="00587D54">
            <w:pPr>
              <w:pStyle w:val="TableTextCentered"/>
            </w:pPr>
            <w:r w:rsidRPr="00900ADE">
              <w:t>349</w:t>
            </w:r>
          </w:p>
        </w:tc>
        <w:tc>
          <w:tcPr>
            <w:tcW w:w="1176" w:type="dxa"/>
            <w:shd w:val="clear" w:color="auto" w:fill="D9E2F3" w:themeFill="accent5" w:themeFillTint="33"/>
            <w:vAlign w:val="center"/>
          </w:tcPr>
          <w:p w14:paraId="40F404AC" w14:textId="77777777" w:rsidR="00EC6843" w:rsidRPr="00900ADE" w:rsidRDefault="00EC6843" w:rsidP="00587D54">
            <w:pPr>
              <w:pStyle w:val="TableTextCentered"/>
            </w:pPr>
            <w:r w:rsidRPr="00900ADE">
              <w:t>53.0%</w:t>
            </w:r>
          </w:p>
        </w:tc>
        <w:tc>
          <w:tcPr>
            <w:tcW w:w="1176" w:type="dxa"/>
            <w:shd w:val="clear" w:color="auto" w:fill="D9E2F3" w:themeFill="accent5" w:themeFillTint="33"/>
            <w:vAlign w:val="center"/>
          </w:tcPr>
          <w:p w14:paraId="6C6402F0" w14:textId="77777777" w:rsidR="00EC6843" w:rsidRPr="00900ADE" w:rsidRDefault="00EC6843" w:rsidP="00587D54">
            <w:pPr>
              <w:pStyle w:val="TableTextCentered"/>
            </w:pPr>
            <w:r w:rsidRPr="00900ADE">
              <w:t>16.0%</w:t>
            </w:r>
          </w:p>
        </w:tc>
        <w:tc>
          <w:tcPr>
            <w:tcW w:w="1176" w:type="dxa"/>
            <w:vAlign w:val="center"/>
          </w:tcPr>
          <w:p w14:paraId="53D1A3D4" w14:textId="77777777" w:rsidR="00EC6843" w:rsidRPr="00900ADE" w:rsidRDefault="00EC6843" w:rsidP="00587D54">
            <w:pPr>
              <w:pStyle w:val="TableTextCentered"/>
            </w:pPr>
            <w:r w:rsidRPr="00900ADE">
              <w:t>190,967</w:t>
            </w:r>
          </w:p>
        </w:tc>
        <w:tc>
          <w:tcPr>
            <w:tcW w:w="1176" w:type="dxa"/>
            <w:shd w:val="clear" w:color="auto" w:fill="D9E2F3" w:themeFill="accent5" w:themeFillTint="33"/>
            <w:vAlign w:val="center"/>
          </w:tcPr>
          <w:p w14:paraId="2C86D28F" w14:textId="77777777" w:rsidR="00EC6843" w:rsidRPr="00900ADE" w:rsidRDefault="00EC6843" w:rsidP="00587D54">
            <w:pPr>
              <w:pStyle w:val="TableTextCentered"/>
            </w:pPr>
            <w:r w:rsidRPr="00900ADE">
              <w:t>36.9%</w:t>
            </w:r>
          </w:p>
        </w:tc>
        <w:tc>
          <w:tcPr>
            <w:tcW w:w="1177" w:type="dxa"/>
            <w:shd w:val="clear" w:color="auto" w:fill="D9E2F3" w:themeFill="accent5" w:themeFillTint="33"/>
            <w:vAlign w:val="center"/>
          </w:tcPr>
          <w:p w14:paraId="4B4889EC" w14:textId="77777777" w:rsidR="00EC6843" w:rsidRPr="00900ADE" w:rsidRDefault="00EC6843" w:rsidP="00587D54">
            <w:pPr>
              <w:pStyle w:val="TableTextCentered"/>
            </w:pPr>
            <w:r w:rsidRPr="00900ADE">
              <w:t>20.6%</w:t>
            </w:r>
          </w:p>
        </w:tc>
      </w:tr>
    </w:tbl>
    <w:p w14:paraId="0245B7F6" w14:textId="77777777" w:rsidR="00EC6843" w:rsidRPr="00900ADE" w:rsidRDefault="00EC6843" w:rsidP="00587D54">
      <w:pPr>
        <w:pStyle w:val="TableNote"/>
        <w:rPr>
          <w:rFonts w:eastAsia="Calibri"/>
        </w:rPr>
      </w:pPr>
      <w:r w:rsidRPr="00900ADE">
        <w:rPr>
          <w:rFonts w:eastAsia="Calibri"/>
          <w:i/>
          <w:iCs/>
        </w:rPr>
        <w:t>Note</w:t>
      </w:r>
      <w:r w:rsidRPr="00900ADE">
        <w:rPr>
          <w:rFonts w:eastAsia="Calibri"/>
        </w:rPr>
        <w:t>. As of October 1, 2024. District and state numbers and percentages for Students with Disabilities and High Needs are calculated including students in out-of-district placements. Total district enrollment including students in out-of-district placement is 2,185; total state enrollment including students in out-of-district placement is 926,057.</w:t>
      </w:r>
    </w:p>
    <w:p w14:paraId="5FE902BB" w14:textId="77777777" w:rsidR="00C33E09" w:rsidRPr="00900ADE" w:rsidRDefault="00C33E09" w:rsidP="00C33E09">
      <w:pPr>
        <w:spacing w:line="240" w:lineRule="auto"/>
        <w:rPr>
          <w:rFonts w:ascii="Franklin Gothic Demi" w:hAnsi="Franklin Gothic Demi"/>
        </w:rPr>
      </w:pPr>
      <w:r w:rsidRPr="00900ADE">
        <w:br w:type="page"/>
      </w:r>
    </w:p>
    <w:p w14:paraId="6A191417" w14:textId="77777777" w:rsidR="00587D54" w:rsidRPr="00900ADE" w:rsidRDefault="00587D54" w:rsidP="00587D54">
      <w:pPr>
        <w:pStyle w:val="TableTitle0"/>
        <w:rPr>
          <w:spacing w:val="-4"/>
        </w:rPr>
      </w:pPr>
      <w:r w:rsidRPr="00900ADE">
        <w:lastRenderedPageBreak/>
        <w:t>Table D3. Chronic Absence</w:t>
      </w:r>
      <w:r w:rsidRPr="00900ADE">
        <w:rPr>
          <w:vertAlign w:val="superscript"/>
        </w:rPr>
        <w:t>a</w:t>
      </w:r>
      <w:r w:rsidRPr="00900ADE">
        <w:t xml:space="preserve"> Rates by Student Group, 2022-2024</w:t>
      </w:r>
    </w:p>
    <w:tbl>
      <w:tblPr>
        <w:tblStyle w:val="MSVTable1"/>
        <w:tblW w:w="5000" w:type="pct"/>
        <w:tblLook w:val="0420" w:firstRow="1" w:lastRow="0" w:firstColumn="0" w:lastColumn="0" w:noHBand="0" w:noVBand="1"/>
      </w:tblPr>
      <w:tblGrid>
        <w:gridCol w:w="2872"/>
        <w:gridCol w:w="1160"/>
        <w:gridCol w:w="1325"/>
        <w:gridCol w:w="1326"/>
        <w:gridCol w:w="1229"/>
        <w:gridCol w:w="1432"/>
      </w:tblGrid>
      <w:tr w:rsidR="00587D54" w:rsidRPr="00900ADE" w14:paraId="0CDF007A" w14:textId="77777777" w:rsidTr="00623983">
        <w:trPr>
          <w:cnfStyle w:val="100000000000" w:firstRow="1" w:lastRow="0" w:firstColumn="0" w:lastColumn="0" w:oddVBand="0" w:evenVBand="0" w:oddHBand="0" w:evenHBand="0" w:firstRowFirstColumn="0" w:firstRowLastColumn="0" w:lastRowFirstColumn="0" w:lastRowLastColumn="0"/>
          <w:tblHeader/>
        </w:trPr>
        <w:tc>
          <w:tcPr>
            <w:tcW w:w="2872" w:type="dxa"/>
            <w:vAlign w:val="center"/>
          </w:tcPr>
          <w:p w14:paraId="5F24B0DD" w14:textId="77777777" w:rsidR="00587D54" w:rsidRPr="00900ADE" w:rsidRDefault="00587D54" w:rsidP="00587D54">
            <w:pPr>
              <w:pStyle w:val="TableColHeadingLeft"/>
              <w:spacing w:before="20" w:after="20" w:line="240" w:lineRule="auto"/>
            </w:pPr>
            <w:r w:rsidRPr="00900ADE">
              <w:t>Group</w:t>
            </w:r>
          </w:p>
        </w:tc>
        <w:tc>
          <w:tcPr>
            <w:tcW w:w="1160" w:type="dxa"/>
            <w:vAlign w:val="center"/>
          </w:tcPr>
          <w:p w14:paraId="1DA1E774" w14:textId="77777777" w:rsidR="00587D54" w:rsidRPr="00900ADE" w:rsidRDefault="00587D54" w:rsidP="00587D54">
            <w:pPr>
              <w:pStyle w:val="TableColHeadingCenter"/>
              <w:spacing w:before="20" w:after="20" w:line="240" w:lineRule="auto"/>
            </w:pPr>
            <w:r w:rsidRPr="00900ADE">
              <w:rPr>
                <w:i/>
                <w:iCs/>
              </w:rPr>
              <w:t>N</w:t>
            </w:r>
            <w:r w:rsidRPr="00900ADE">
              <w:t xml:space="preserve"> (2024)</w:t>
            </w:r>
          </w:p>
        </w:tc>
        <w:tc>
          <w:tcPr>
            <w:tcW w:w="1325" w:type="dxa"/>
            <w:vAlign w:val="center"/>
          </w:tcPr>
          <w:p w14:paraId="67390675" w14:textId="77777777" w:rsidR="00587D54" w:rsidRPr="00900ADE" w:rsidRDefault="00587D54" w:rsidP="00587D54">
            <w:pPr>
              <w:pStyle w:val="TableColHeadingCenter"/>
              <w:spacing w:before="20" w:after="20" w:line="240" w:lineRule="auto"/>
            </w:pPr>
            <w:r w:rsidRPr="00900ADE">
              <w:t>2022 (%)</w:t>
            </w:r>
          </w:p>
        </w:tc>
        <w:tc>
          <w:tcPr>
            <w:tcW w:w="1326" w:type="dxa"/>
            <w:vAlign w:val="center"/>
          </w:tcPr>
          <w:p w14:paraId="11B9B4FC" w14:textId="77777777" w:rsidR="00587D54" w:rsidRPr="00900ADE" w:rsidRDefault="00587D54" w:rsidP="00587D54">
            <w:pPr>
              <w:pStyle w:val="TableColHeadingCenter"/>
              <w:spacing w:before="20" w:after="20" w:line="240" w:lineRule="auto"/>
            </w:pPr>
            <w:r w:rsidRPr="00900ADE">
              <w:t>2023 (%)</w:t>
            </w:r>
          </w:p>
        </w:tc>
        <w:tc>
          <w:tcPr>
            <w:tcW w:w="1229" w:type="dxa"/>
            <w:vAlign w:val="center"/>
          </w:tcPr>
          <w:p w14:paraId="1C60F267" w14:textId="77777777" w:rsidR="00587D54" w:rsidRPr="00900ADE" w:rsidRDefault="00587D54" w:rsidP="00587D54">
            <w:pPr>
              <w:pStyle w:val="TableColHeadingCenter"/>
              <w:spacing w:before="20" w:after="20" w:line="240" w:lineRule="auto"/>
            </w:pPr>
            <w:r w:rsidRPr="00900ADE">
              <w:t>2024 (%)</w:t>
            </w:r>
          </w:p>
        </w:tc>
        <w:tc>
          <w:tcPr>
            <w:tcW w:w="1432" w:type="dxa"/>
            <w:vAlign w:val="center"/>
          </w:tcPr>
          <w:p w14:paraId="4E401E80" w14:textId="77777777" w:rsidR="00587D54" w:rsidRPr="00900ADE" w:rsidRDefault="00587D54" w:rsidP="00587D54">
            <w:pPr>
              <w:pStyle w:val="TableColHeadingCenter"/>
              <w:spacing w:before="20" w:after="20" w:line="240" w:lineRule="auto"/>
            </w:pPr>
            <w:r w:rsidRPr="00900ADE">
              <w:t>State 2024 (%)</w:t>
            </w:r>
          </w:p>
        </w:tc>
      </w:tr>
      <w:tr w:rsidR="00587D54" w:rsidRPr="00900ADE" w14:paraId="43180AEF" w14:textId="77777777" w:rsidTr="00587D54">
        <w:trPr>
          <w:cnfStyle w:val="000000100000" w:firstRow="0" w:lastRow="0" w:firstColumn="0" w:lastColumn="0" w:oddVBand="0" w:evenVBand="0" w:oddHBand="1" w:evenHBand="0" w:firstRowFirstColumn="0" w:firstRowLastColumn="0" w:lastRowFirstColumn="0" w:lastRowLastColumn="0"/>
        </w:trPr>
        <w:tc>
          <w:tcPr>
            <w:tcW w:w="2872" w:type="dxa"/>
          </w:tcPr>
          <w:p w14:paraId="6221F1FB" w14:textId="77777777" w:rsidR="00587D54" w:rsidRPr="00900ADE" w:rsidRDefault="00587D54" w:rsidP="00587D54">
            <w:pPr>
              <w:pStyle w:val="TableText"/>
              <w:spacing w:before="20" w:after="20"/>
            </w:pPr>
            <w:r w:rsidRPr="00900ADE">
              <w:t>All students</w:t>
            </w:r>
          </w:p>
        </w:tc>
        <w:tc>
          <w:tcPr>
            <w:tcW w:w="1160" w:type="dxa"/>
            <w:vAlign w:val="bottom"/>
          </w:tcPr>
          <w:p w14:paraId="4B4D03B9" w14:textId="77777777" w:rsidR="00587D54" w:rsidRPr="00900ADE" w:rsidRDefault="00587D54" w:rsidP="00587D54">
            <w:pPr>
              <w:pStyle w:val="TableTextCentered"/>
              <w:spacing w:before="20" w:after="20"/>
            </w:pPr>
            <w:r w:rsidRPr="00900ADE">
              <w:t>2,248</w:t>
            </w:r>
          </w:p>
        </w:tc>
        <w:tc>
          <w:tcPr>
            <w:tcW w:w="1325" w:type="dxa"/>
            <w:vAlign w:val="bottom"/>
          </w:tcPr>
          <w:p w14:paraId="6494AC5E" w14:textId="77777777" w:rsidR="00587D54" w:rsidRPr="00900ADE" w:rsidRDefault="00587D54" w:rsidP="00587D54">
            <w:pPr>
              <w:pStyle w:val="TableTextCentered"/>
              <w:spacing w:before="20" w:after="20"/>
            </w:pPr>
            <w:r w:rsidRPr="00900ADE">
              <w:t>12.6</w:t>
            </w:r>
          </w:p>
        </w:tc>
        <w:tc>
          <w:tcPr>
            <w:tcW w:w="1326" w:type="dxa"/>
            <w:vAlign w:val="bottom"/>
          </w:tcPr>
          <w:p w14:paraId="36A57C06" w14:textId="77777777" w:rsidR="00587D54" w:rsidRPr="00900ADE" w:rsidRDefault="00587D54" w:rsidP="00587D54">
            <w:pPr>
              <w:pStyle w:val="TableTextCentered"/>
              <w:spacing w:before="20" w:after="20"/>
            </w:pPr>
            <w:r w:rsidRPr="00900ADE">
              <w:t>12.3</w:t>
            </w:r>
          </w:p>
        </w:tc>
        <w:tc>
          <w:tcPr>
            <w:tcW w:w="1229" w:type="dxa"/>
            <w:vAlign w:val="bottom"/>
          </w:tcPr>
          <w:p w14:paraId="0593BEE9" w14:textId="77777777" w:rsidR="00587D54" w:rsidRPr="00900ADE" w:rsidRDefault="00587D54" w:rsidP="00587D54">
            <w:pPr>
              <w:pStyle w:val="TableTextCentered"/>
              <w:spacing w:before="20" w:after="20"/>
            </w:pPr>
            <w:r w:rsidRPr="00900ADE">
              <w:t>8.7</w:t>
            </w:r>
          </w:p>
        </w:tc>
        <w:tc>
          <w:tcPr>
            <w:tcW w:w="1432" w:type="dxa"/>
            <w:vAlign w:val="bottom"/>
          </w:tcPr>
          <w:p w14:paraId="100FA420" w14:textId="77777777" w:rsidR="00587D54" w:rsidRPr="00900ADE" w:rsidRDefault="00587D54" w:rsidP="00587D54">
            <w:pPr>
              <w:pStyle w:val="TableTextCentered"/>
              <w:spacing w:before="20" w:after="20"/>
            </w:pPr>
            <w:r w:rsidRPr="00900ADE">
              <w:t>19.7</w:t>
            </w:r>
          </w:p>
        </w:tc>
      </w:tr>
      <w:tr w:rsidR="00587D54" w:rsidRPr="00900ADE" w14:paraId="0A2223ED" w14:textId="77777777" w:rsidTr="00587D54">
        <w:tc>
          <w:tcPr>
            <w:tcW w:w="2872" w:type="dxa"/>
          </w:tcPr>
          <w:p w14:paraId="0C684C38" w14:textId="77777777" w:rsidR="00587D54" w:rsidRPr="00900ADE" w:rsidRDefault="00587D54" w:rsidP="00587D54">
            <w:pPr>
              <w:pStyle w:val="TableText"/>
              <w:spacing w:before="20" w:after="20"/>
            </w:pPr>
            <w:r w:rsidRPr="00900ADE">
              <w:t>African American/Black</w:t>
            </w:r>
          </w:p>
        </w:tc>
        <w:tc>
          <w:tcPr>
            <w:tcW w:w="1160" w:type="dxa"/>
            <w:vAlign w:val="bottom"/>
          </w:tcPr>
          <w:p w14:paraId="1840A835" w14:textId="77777777" w:rsidR="00587D54" w:rsidRPr="00900ADE" w:rsidRDefault="00587D54" w:rsidP="00587D54">
            <w:pPr>
              <w:pStyle w:val="TableTextCentered"/>
              <w:spacing w:before="20" w:after="20"/>
            </w:pPr>
            <w:r w:rsidRPr="00900ADE">
              <w:t>55</w:t>
            </w:r>
          </w:p>
        </w:tc>
        <w:tc>
          <w:tcPr>
            <w:tcW w:w="1325" w:type="dxa"/>
            <w:vAlign w:val="bottom"/>
          </w:tcPr>
          <w:p w14:paraId="0381C503" w14:textId="77777777" w:rsidR="00587D54" w:rsidRPr="00900ADE" w:rsidRDefault="00587D54" w:rsidP="00587D54">
            <w:pPr>
              <w:pStyle w:val="TableTextCentered"/>
              <w:spacing w:before="20" w:after="20"/>
            </w:pPr>
            <w:r w:rsidRPr="00900ADE">
              <w:t>14.0</w:t>
            </w:r>
          </w:p>
        </w:tc>
        <w:tc>
          <w:tcPr>
            <w:tcW w:w="1326" w:type="dxa"/>
            <w:vAlign w:val="bottom"/>
          </w:tcPr>
          <w:p w14:paraId="246FA9B5" w14:textId="77777777" w:rsidR="00587D54" w:rsidRPr="00900ADE" w:rsidRDefault="00587D54" w:rsidP="00587D54">
            <w:pPr>
              <w:pStyle w:val="TableTextCentered"/>
              <w:spacing w:before="20" w:after="20"/>
            </w:pPr>
            <w:r w:rsidRPr="00900ADE">
              <w:t>4.7</w:t>
            </w:r>
          </w:p>
        </w:tc>
        <w:tc>
          <w:tcPr>
            <w:tcW w:w="1229" w:type="dxa"/>
            <w:vAlign w:val="bottom"/>
          </w:tcPr>
          <w:p w14:paraId="6ACE3F45" w14:textId="77777777" w:rsidR="00587D54" w:rsidRPr="00900ADE" w:rsidRDefault="00587D54" w:rsidP="00587D54">
            <w:pPr>
              <w:pStyle w:val="TableTextCentered"/>
              <w:spacing w:before="20" w:after="20"/>
            </w:pPr>
            <w:r w:rsidRPr="00900ADE">
              <w:t>14.5</w:t>
            </w:r>
          </w:p>
        </w:tc>
        <w:tc>
          <w:tcPr>
            <w:tcW w:w="1432" w:type="dxa"/>
            <w:vAlign w:val="bottom"/>
          </w:tcPr>
          <w:p w14:paraId="055E34F4" w14:textId="77777777" w:rsidR="00587D54" w:rsidRPr="00900ADE" w:rsidRDefault="00587D54" w:rsidP="00587D54">
            <w:pPr>
              <w:pStyle w:val="TableTextCentered"/>
              <w:spacing w:before="20" w:after="20"/>
            </w:pPr>
            <w:r w:rsidRPr="00900ADE">
              <w:t>22.5</w:t>
            </w:r>
          </w:p>
        </w:tc>
      </w:tr>
      <w:tr w:rsidR="00587D54" w:rsidRPr="00900ADE" w14:paraId="18F75011" w14:textId="77777777" w:rsidTr="00587D54">
        <w:trPr>
          <w:cnfStyle w:val="000000100000" w:firstRow="0" w:lastRow="0" w:firstColumn="0" w:lastColumn="0" w:oddVBand="0" w:evenVBand="0" w:oddHBand="1" w:evenHBand="0" w:firstRowFirstColumn="0" w:firstRowLastColumn="0" w:lastRowFirstColumn="0" w:lastRowLastColumn="0"/>
        </w:trPr>
        <w:tc>
          <w:tcPr>
            <w:tcW w:w="2872" w:type="dxa"/>
          </w:tcPr>
          <w:p w14:paraId="5AC8DFD0" w14:textId="77777777" w:rsidR="00587D54" w:rsidRPr="00900ADE" w:rsidRDefault="00587D54" w:rsidP="00587D54">
            <w:pPr>
              <w:pStyle w:val="TableText"/>
              <w:spacing w:before="20" w:after="20"/>
            </w:pPr>
            <w:r w:rsidRPr="00900ADE">
              <w:t>Asian</w:t>
            </w:r>
          </w:p>
        </w:tc>
        <w:tc>
          <w:tcPr>
            <w:tcW w:w="1160" w:type="dxa"/>
            <w:vAlign w:val="bottom"/>
          </w:tcPr>
          <w:p w14:paraId="673F088D" w14:textId="77777777" w:rsidR="00587D54" w:rsidRPr="00900ADE" w:rsidRDefault="00587D54" w:rsidP="00587D54">
            <w:pPr>
              <w:pStyle w:val="TableTextCentered"/>
              <w:spacing w:before="20" w:after="20"/>
            </w:pPr>
            <w:r w:rsidRPr="00900ADE">
              <w:t>104</w:t>
            </w:r>
          </w:p>
        </w:tc>
        <w:tc>
          <w:tcPr>
            <w:tcW w:w="1325" w:type="dxa"/>
            <w:vAlign w:val="bottom"/>
          </w:tcPr>
          <w:p w14:paraId="7837E8D4" w14:textId="77777777" w:rsidR="00587D54" w:rsidRPr="00900ADE" w:rsidRDefault="00587D54" w:rsidP="00587D54">
            <w:pPr>
              <w:pStyle w:val="TableTextCentered"/>
              <w:spacing w:before="20" w:after="20"/>
            </w:pPr>
            <w:r w:rsidRPr="00900ADE">
              <w:t>10.8</w:t>
            </w:r>
          </w:p>
        </w:tc>
        <w:tc>
          <w:tcPr>
            <w:tcW w:w="1326" w:type="dxa"/>
            <w:vAlign w:val="bottom"/>
          </w:tcPr>
          <w:p w14:paraId="13EC0487" w14:textId="77777777" w:rsidR="00587D54" w:rsidRPr="00900ADE" w:rsidRDefault="00587D54" w:rsidP="00587D54">
            <w:pPr>
              <w:pStyle w:val="TableTextCentered"/>
              <w:spacing w:before="20" w:after="20"/>
            </w:pPr>
            <w:r w:rsidRPr="00900ADE">
              <w:t>17.8</w:t>
            </w:r>
          </w:p>
        </w:tc>
        <w:tc>
          <w:tcPr>
            <w:tcW w:w="1229" w:type="dxa"/>
            <w:vAlign w:val="bottom"/>
          </w:tcPr>
          <w:p w14:paraId="60767E17" w14:textId="77777777" w:rsidR="00587D54" w:rsidRPr="00900ADE" w:rsidRDefault="00587D54" w:rsidP="00587D54">
            <w:pPr>
              <w:pStyle w:val="TableTextCentered"/>
              <w:spacing w:before="20" w:after="20"/>
            </w:pPr>
            <w:r w:rsidRPr="00900ADE">
              <w:t>12.5</w:t>
            </w:r>
          </w:p>
        </w:tc>
        <w:tc>
          <w:tcPr>
            <w:tcW w:w="1432" w:type="dxa"/>
            <w:vAlign w:val="bottom"/>
          </w:tcPr>
          <w:p w14:paraId="3CD02A66" w14:textId="77777777" w:rsidR="00587D54" w:rsidRPr="00900ADE" w:rsidRDefault="00587D54" w:rsidP="00587D54">
            <w:pPr>
              <w:pStyle w:val="TableTextCentered"/>
              <w:spacing w:before="20" w:after="20"/>
            </w:pPr>
            <w:r w:rsidRPr="00900ADE">
              <w:t>11.8</w:t>
            </w:r>
          </w:p>
        </w:tc>
      </w:tr>
      <w:tr w:rsidR="00587D54" w:rsidRPr="00900ADE" w14:paraId="5AD85691" w14:textId="77777777" w:rsidTr="00587D54">
        <w:tc>
          <w:tcPr>
            <w:tcW w:w="2872" w:type="dxa"/>
          </w:tcPr>
          <w:p w14:paraId="62C75AD0" w14:textId="77777777" w:rsidR="00587D54" w:rsidRPr="00900ADE" w:rsidRDefault="00587D54" w:rsidP="00587D54">
            <w:pPr>
              <w:pStyle w:val="TableText"/>
              <w:spacing w:before="20" w:after="20"/>
            </w:pPr>
            <w:r w:rsidRPr="00900ADE">
              <w:t>Hispanic/Latino</w:t>
            </w:r>
          </w:p>
        </w:tc>
        <w:tc>
          <w:tcPr>
            <w:tcW w:w="1160" w:type="dxa"/>
            <w:vAlign w:val="bottom"/>
          </w:tcPr>
          <w:p w14:paraId="14F3D813" w14:textId="77777777" w:rsidR="00587D54" w:rsidRPr="00900ADE" w:rsidRDefault="00587D54" w:rsidP="00587D54">
            <w:pPr>
              <w:pStyle w:val="TableTextCentered"/>
              <w:spacing w:before="20" w:after="20"/>
            </w:pPr>
            <w:r w:rsidRPr="00900ADE">
              <w:t>224</w:t>
            </w:r>
          </w:p>
        </w:tc>
        <w:tc>
          <w:tcPr>
            <w:tcW w:w="1325" w:type="dxa"/>
            <w:vAlign w:val="bottom"/>
          </w:tcPr>
          <w:p w14:paraId="69B503B4" w14:textId="77777777" w:rsidR="00587D54" w:rsidRPr="00900ADE" w:rsidRDefault="00587D54" w:rsidP="00587D54">
            <w:pPr>
              <w:pStyle w:val="TableTextCentered"/>
              <w:spacing w:before="20" w:after="20"/>
            </w:pPr>
            <w:r w:rsidRPr="00900ADE">
              <w:t>19.0</w:t>
            </w:r>
          </w:p>
        </w:tc>
        <w:tc>
          <w:tcPr>
            <w:tcW w:w="1326" w:type="dxa"/>
            <w:vAlign w:val="bottom"/>
          </w:tcPr>
          <w:p w14:paraId="605BF013" w14:textId="77777777" w:rsidR="00587D54" w:rsidRPr="00900ADE" w:rsidRDefault="00587D54" w:rsidP="00587D54">
            <w:pPr>
              <w:pStyle w:val="TableTextCentered"/>
              <w:spacing w:before="20" w:after="20"/>
            </w:pPr>
            <w:r w:rsidRPr="00900ADE">
              <w:t>21.0</w:t>
            </w:r>
          </w:p>
        </w:tc>
        <w:tc>
          <w:tcPr>
            <w:tcW w:w="1229" w:type="dxa"/>
            <w:vAlign w:val="bottom"/>
          </w:tcPr>
          <w:p w14:paraId="4215E105" w14:textId="77777777" w:rsidR="00587D54" w:rsidRPr="00900ADE" w:rsidRDefault="00587D54" w:rsidP="00587D54">
            <w:pPr>
              <w:pStyle w:val="TableTextCentered"/>
              <w:spacing w:before="20" w:after="20"/>
            </w:pPr>
            <w:r w:rsidRPr="00900ADE">
              <w:t>16.5</w:t>
            </w:r>
          </w:p>
        </w:tc>
        <w:tc>
          <w:tcPr>
            <w:tcW w:w="1432" w:type="dxa"/>
            <w:vAlign w:val="bottom"/>
          </w:tcPr>
          <w:p w14:paraId="5C6647AB" w14:textId="77777777" w:rsidR="00587D54" w:rsidRPr="00900ADE" w:rsidRDefault="00587D54" w:rsidP="00587D54">
            <w:pPr>
              <w:pStyle w:val="TableTextCentered"/>
              <w:spacing w:before="20" w:after="20"/>
            </w:pPr>
            <w:r w:rsidRPr="00900ADE">
              <w:t>31.3</w:t>
            </w:r>
          </w:p>
        </w:tc>
      </w:tr>
      <w:tr w:rsidR="00587D54" w:rsidRPr="00900ADE" w14:paraId="2FE6504C" w14:textId="77777777" w:rsidTr="00587D54">
        <w:trPr>
          <w:cnfStyle w:val="000000100000" w:firstRow="0" w:lastRow="0" w:firstColumn="0" w:lastColumn="0" w:oddVBand="0" w:evenVBand="0" w:oddHBand="1" w:evenHBand="0" w:firstRowFirstColumn="0" w:firstRowLastColumn="0" w:lastRowFirstColumn="0" w:lastRowLastColumn="0"/>
        </w:trPr>
        <w:tc>
          <w:tcPr>
            <w:tcW w:w="2872" w:type="dxa"/>
          </w:tcPr>
          <w:p w14:paraId="387DE4A6" w14:textId="77777777" w:rsidR="00587D54" w:rsidRPr="00900ADE" w:rsidRDefault="00587D54" w:rsidP="00587D54">
            <w:pPr>
              <w:pStyle w:val="TableText"/>
              <w:spacing w:before="20" w:after="20"/>
            </w:pPr>
            <w:r w:rsidRPr="00900ADE">
              <w:t>Multi-Race, non-Hispanic/Latino</w:t>
            </w:r>
          </w:p>
        </w:tc>
        <w:tc>
          <w:tcPr>
            <w:tcW w:w="1160" w:type="dxa"/>
            <w:vAlign w:val="bottom"/>
          </w:tcPr>
          <w:p w14:paraId="50B98454" w14:textId="77777777" w:rsidR="00587D54" w:rsidRPr="00900ADE" w:rsidRDefault="00587D54" w:rsidP="00587D54">
            <w:pPr>
              <w:pStyle w:val="TableTextCentered"/>
              <w:spacing w:before="20" w:after="20"/>
            </w:pPr>
            <w:r w:rsidRPr="00900ADE">
              <w:t>79</w:t>
            </w:r>
          </w:p>
        </w:tc>
        <w:tc>
          <w:tcPr>
            <w:tcW w:w="1325" w:type="dxa"/>
            <w:vAlign w:val="bottom"/>
          </w:tcPr>
          <w:p w14:paraId="7816640D" w14:textId="77777777" w:rsidR="00587D54" w:rsidRPr="00900ADE" w:rsidRDefault="00587D54" w:rsidP="00587D54">
            <w:pPr>
              <w:pStyle w:val="TableTextCentered"/>
              <w:spacing w:before="20" w:after="20"/>
            </w:pPr>
            <w:r w:rsidRPr="00900ADE">
              <w:t>3.2</w:t>
            </w:r>
          </w:p>
        </w:tc>
        <w:tc>
          <w:tcPr>
            <w:tcW w:w="1326" w:type="dxa"/>
            <w:vAlign w:val="bottom"/>
          </w:tcPr>
          <w:p w14:paraId="0E094940" w14:textId="77777777" w:rsidR="00587D54" w:rsidRPr="00900ADE" w:rsidRDefault="00587D54" w:rsidP="00587D54">
            <w:pPr>
              <w:pStyle w:val="TableTextCentered"/>
              <w:spacing w:before="20" w:after="20"/>
            </w:pPr>
            <w:r w:rsidRPr="00900ADE">
              <w:t>14.1</w:t>
            </w:r>
          </w:p>
        </w:tc>
        <w:tc>
          <w:tcPr>
            <w:tcW w:w="1229" w:type="dxa"/>
            <w:vAlign w:val="bottom"/>
          </w:tcPr>
          <w:p w14:paraId="154BDFEA" w14:textId="77777777" w:rsidR="00587D54" w:rsidRPr="00900ADE" w:rsidRDefault="00587D54" w:rsidP="00587D54">
            <w:pPr>
              <w:pStyle w:val="TableTextCentered"/>
              <w:spacing w:before="20" w:after="20"/>
            </w:pPr>
            <w:r w:rsidRPr="00900ADE">
              <w:t>5.1</w:t>
            </w:r>
          </w:p>
        </w:tc>
        <w:tc>
          <w:tcPr>
            <w:tcW w:w="1432" w:type="dxa"/>
            <w:vAlign w:val="bottom"/>
          </w:tcPr>
          <w:p w14:paraId="1AD9C84F" w14:textId="77777777" w:rsidR="00587D54" w:rsidRPr="00900ADE" w:rsidRDefault="00587D54" w:rsidP="00587D54">
            <w:pPr>
              <w:pStyle w:val="TableTextCentered"/>
              <w:spacing w:before="20" w:after="20"/>
            </w:pPr>
            <w:r w:rsidRPr="00900ADE">
              <w:t>20.6</w:t>
            </w:r>
          </w:p>
        </w:tc>
      </w:tr>
      <w:tr w:rsidR="00587D54" w:rsidRPr="00900ADE" w14:paraId="7B6BB942" w14:textId="77777777" w:rsidTr="00587D54">
        <w:tc>
          <w:tcPr>
            <w:tcW w:w="2872" w:type="dxa"/>
          </w:tcPr>
          <w:p w14:paraId="31A34608" w14:textId="77777777" w:rsidR="00587D54" w:rsidRPr="00900ADE" w:rsidRDefault="00587D54" w:rsidP="00587D54">
            <w:pPr>
              <w:pStyle w:val="TableText"/>
              <w:spacing w:before="20" w:after="20"/>
            </w:pPr>
            <w:r w:rsidRPr="00900ADE">
              <w:t>Native American</w:t>
            </w:r>
          </w:p>
        </w:tc>
        <w:tc>
          <w:tcPr>
            <w:tcW w:w="1160" w:type="dxa"/>
            <w:vAlign w:val="bottom"/>
          </w:tcPr>
          <w:p w14:paraId="5FC27340" w14:textId="77777777" w:rsidR="00587D54" w:rsidRPr="00900ADE" w:rsidRDefault="00587D54" w:rsidP="00587D54">
            <w:pPr>
              <w:pStyle w:val="TableTextCentered"/>
              <w:spacing w:before="20" w:after="20"/>
            </w:pPr>
            <w:r w:rsidRPr="00900ADE">
              <w:t>4</w:t>
            </w:r>
          </w:p>
        </w:tc>
        <w:tc>
          <w:tcPr>
            <w:tcW w:w="1325" w:type="dxa"/>
            <w:vAlign w:val="bottom"/>
          </w:tcPr>
          <w:p w14:paraId="41CC4FFE" w14:textId="04202BC5" w:rsidR="00587D54" w:rsidRPr="00900ADE" w:rsidRDefault="003A7D47" w:rsidP="00587D54">
            <w:pPr>
              <w:pStyle w:val="TableTextCentered"/>
              <w:spacing w:before="20" w:after="20"/>
            </w:pPr>
            <w:r w:rsidRPr="00900ADE">
              <w:t>—</w:t>
            </w:r>
          </w:p>
        </w:tc>
        <w:tc>
          <w:tcPr>
            <w:tcW w:w="1326" w:type="dxa"/>
            <w:vAlign w:val="bottom"/>
          </w:tcPr>
          <w:p w14:paraId="562592C5" w14:textId="613BE42E" w:rsidR="00587D54" w:rsidRPr="00900ADE" w:rsidRDefault="003A7D47" w:rsidP="00587D54">
            <w:pPr>
              <w:pStyle w:val="TableTextCentered"/>
              <w:spacing w:before="20" w:after="20"/>
            </w:pPr>
            <w:r w:rsidRPr="00900ADE">
              <w:t>—</w:t>
            </w:r>
          </w:p>
        </w:tc>
        <w:tc>
          <w:tcPr>
            <w:tcW w:w="1229" w:type="dxa"/>
            <w:vAlign w:val="bottom"/>
          </w:tcPr>
          <w:p w14:paraId="7A7C850D" w14:textId="51AD9AB7" w:rsidR="00587D54" w:rsidRPr="00900ADE" w:rsidRDefault="003A7D47" w:rsidP="00587D54">
            <w:pPr>
              <w:pStyle w:val="TableTextCentered"/>
              <w:spacing w:before="20" w:after="20"/>
            </w:pPr>
            <w:r w:rsidRPr="00900ADE">
              <w:t>—</w:t>
            </w:r>
          </w:p>
        </w:tc>
        <w:tc>
          <w:tcPr>
            <w:tcW w:w="1432" w:type="dxa"/>
            <w:vAlign w:val="bottom"/>
          </w:tcPr>
          <w:p w14:paraId="16093CBC" w14:textId="77777777" w:rsidR="00587D54" w:rsidRPr="00900ADE" w:rsidRDefault="00587D54" w:rsidP="00587D54">
            <w:pPr>
              <w:pStyle w:val="TableTextCentered"/>
              <w:spacing w:before="20" w:after="20"/>
            </w:pPr>
            <w:r w:rsidRPr="00900ADE">
              <w:t>28.5</w:t>
            </w:r>
          </w:p>
        </w:tc>
      </w:tr>
      <w:tr w:rsidR="00587D54" w:rsidRPr="00900ADE" w14:paraId="2B3A51FD" w14:textId="77777777" w:rsidTr="00587D54">
        <w:trPr>
          <w:cnfStyle w:val="000000100000" w:firstRow="0" w:lastRow="0" w:firstColumn="0" w:lastColumn="0" w:oddVBand="0" w:evenVBand="0" w:oddHBand="1" w:evenHBand="0" w:firstRowFirstColumn="0" w:firstRowLastColumn="0" w:lastRowFirstColumn="0" w:lastRowLastColumn="0"/>
        </w:trPr>
        <w:tc>
          <w:tcPr>
            <w:tcW w:w="2872" w:type="dxa"/>
          </w:tcPr>
          <w:p w14:paraId="6EAF0552" w14:textId="77777777" w:rsidR="00587D54" w:rsidRPr="00900ADE" w:rsidRDefault="00587D54" w:rsidP="00587D54">
            <w:pPr>
              <w:pStyle w:val="TableText"/>
              <w:spacing w:before="20" w:after="20"/>
            </w:pPr>
            <w:r w:rsidRPr="00900ADE">
              <w:t>Native Hawaiian, Pacific Islander</w:t>
            </w:r>
          </w:p>
        </w:tc>
        <w:tc>
          <w:tcPr>
            <w:tcW w:w="1160" w:type="dxa"/>
            <w:vAlign w:val="bottom"/>
          </w:tcPr>
          <w:p w14:paraId="4B6C0DCE" w14:textId="77777777" w:rsidR="00587D54" w:rsidRPr="00900ADE" w:rsidRDefault="00587D54" w:rsidP="00587D54">
            <w:pPr>
              <w:pStyle w:val="TableTextCentered"/>
              <w:spacing w:before="20" w:after="20"/>
            </w:pPr>
            <w:r w:rsidRPr="00900ADE">
              <w:t>3</w:t>
            </w:r>
          </w:p>
        </w:tc>
        <w:tc>
          <w:tcPr>
            <w:tcW w:w="1325" w:type="dxa"/>
            <w:vAlign w:val="bottom"/>
          </w:tcPr>
          <w:p w14:paraId="0B5A6AC9" w14:textId="0C154ECD" w:rsidR="00587D54" w:rsidRPr="00900ADE" w:rsidRDefault="003A7D47" w:rsidP="00587D54">
            <w:pPr>
              <w:pStyle w:val="TableTextCentered"/>
              <w:spacing w:before="20" w:after="20"/>
            </w:pPr>
            <w:r w:rsidRPr="00900ADE">
              <w:t>—</w:t>
            </w:r>
          </w:p>
        </w:tc>
        <w:tc>
          <w:tcPr>
            <w:tcW w:w="1326" w:type="dxa"/>
            <w:vAlign w:val="bottom"/>
          </w:tcPr>
          <w:p w14:paraId="26BF576B" w14:textId="287CCCAA" w:rsidR="00587D54" w:rsidRPr="00900ADE" w:rsidRDefault="003A7D47" w:rsidP="00587D54">
            <w:pPr>
              <w:pStyle w:val="TableTextCentered"/>
              <w:spacing w:before="20" w:after="20"/>
            </w:pPr>
            <w:r w:rsidRPr="00900ADE">
              <w:t>—</w:t>
            </w:r>
          </w:p>
        </w:tc>
        <w:tc>
          <w:tcPr>
            <w:tcW w:w="1229" w:type="dxa"/>
            <w:vAlign w:val="bottom"/>
          </w:tcPr>
          <w:p w14:paraId="158978C5" w14:textId="56C46674" w:rsidR="00587D54" w:rsidRPr="00900ADE" w:rsidRDefault="003A7D47" w:rsidP="00587D54">
            <w:pPr>
              <w:pStyle w:val="TableTextCentered"/>
              <w:spacing w:before="20" w:after="20"/>
            </w:pPr>
            <w:r w:rsidRPr="00900ADE">
              <w:t>—</w:t>
            </w:r>
          </w:p>
        </w:tc>
        <w:tc>
          <w:tcPr>
            <w:tcW w:w="1432" w:type="dxa"/>
            <w:vAlign w:val="bottom"/>
          </w:tcPr>
          <w:p w14:paraId="55EAC953" w14:textId="77777777" w:rsidR="00587D54" w:rsidRPr="00900ADE" w:rsidRDefault="00587D54" w:rsidP="00587D54">
            <w:pPr>
              <w:pStyle w:val="TableTextCentered"/>
              <w:spacing w:before="20" w:after="20"/>
            </w:pPr>
            <w:r w:rsidRPr="00900ADE">
              <w:t>24.3</w:t>
            </w:r>
          </w:p>
        </w:tc>
      </w:tr>
      <w:tr w:rsidR="00587D54" w:rsidRPr="00900ADE" w14:paraId="557936BD" w14:textId="77777777" w:rsidTr="00587D54">
        <w:tc>
          <w:tcPr>
            <w:tcW w:w="2872" w:type="dxa"/>
          </w:tcPr>
          <w:p w14:paraId="776832C5" w14:textId="77777777" w:rsidR="00587D54" w:rsidRPr="00900ADE" w:rsidRDefault="00587D54" w:rsidP="00587D54">
            <w:pPr>
              <w:pStyle w:val="TableText"/>
              <w:spacing w:before="20" w:after="20"/>
            </w:pPr>
            <w:r w:rsidRPr="00900ADE">
              <w:t>White</w:t>
            </w:r>
          </w:p>
        </w:tc>
        <w:tc>
          <w:tcPr>
            <w:tcW w:w="1160" w:type="dxa"/>
            <w:vAlign w:val="bottom"/>
          </w:tcPr>
          <w:p w14:paraId="7370A3ED" w14:textId="77777777" w:rsidR="00587D54" w:rsidRPr="00900ADE" w:rsidRDefault="00587D54" w:rsidP="00587D54">
            <w:pPr>
              <w:pStyle w:val="TableTextCentered"/>
              <w:spacing w:before="20" w:after="20"/>
            </w:pPr>
            <w:r w:rsidRPr="00900ADE">
              <w:t>1,779</w:t>
            </w:r>
          </w:p>
        </w:tc>
        <w:tc>
          <w:tcPr>
            <w:tcW w:w="1325" w:type="dxa"/>
            <w:vAlign w:val="bottom"/>
          </w:tcPr>
          <w:p w14:paraId="434DBEBF" w14:textId="77777777" w:rsidR="00587D54" w:rsidRPr="00900ADE" w:rsidRDefault="00587D54" w:rsidP="00587D54">
            <w:pPr>
              <w:pStyle w:val="TableTextCentered"/>
              <w:spacing w:before="20" w:after="20"/>
            </w:pPr>
            <w:r w:rsidRPr="00900ADE">
              <w:t>12.5</w:t>
            </w:r>
          </w:p>
        </w:tc>
        <w:tc>
          <w:tcPr>
            <w:tcW w:w="1326" w:type="dxa"/>
            <w:vAlign w:val="bottom"/>
          </w:tcPr>
          <w:p w14:paraId="189B84C6" w14:textId="77777777" w:rsidR="00587D54" w:rsidRPr="00900ADE" w:rsidRDefault="00587D54" w:rsidP="00587D54">
            <w:pPr>
              <w:pStyle w:val="TableTextCentered"/>
              <w:spacing w:before="20" w:after="20"/>
            </w:pPr>
            <w:r w:rsidRPr="00900ADE">
              <w:t>11.2</w:t>
            </w:r>
          </w:p>
        </w:tc>
        <w:tc>
          <w:tcPr>
            <w:tcW w:w="1229" w:type="dxa"/>
            <w:vAlign w:val="bottom"/>
          </w:tcPr>
          <w:p w14:paraId="21415C2D" w14:textId="77777777" w:rsidR="00587D54" w:rsidRPr="00900ADE" w:rsidRDefault="00587D54" w:rsidP="00587D54">
            <w:pPr>
              <w:pStyle w:val="TableTextCentered"/>
              <w:spacing w:before="20" w:after="20"/>
            </w:pPr>
            <w:r w:rsidRPr="00900ADE">
              <w:t>7.4</w:t>
            </w:r>
          </w:p>
        </w:tc>
        <w:tc>
          <w:tcPr>
            <w:tcW w:w="1432" w:type="dxa"/>
            <w:vAlign w:val="bottom"/>
          </w:tcPr>
          <w:p w14:paraId="6379DF52" w14:textId="77777777" w:rsidR="00587D54" w:rsidRPr="00900ADE" w:rsidRDefault="00587D54" w:rsidP="00587D54">
            <w:pPr>
              <w:pStyle w:val="TableTextCentered"/>
              <w:spacing w:before="20" w:after="20"/>
            </w:pPr>
            <w:r w:rsidRPr="00900ADE">
              <w:t>14.4</w:t>
            </w:r>
          </w:p>
        </w:tc>
      </w:tr>
      <w:tr w:rsidR="00587D54" w:rsidRPr="00900ADE" w14:paraId="66C85206" w14:textId="77777777" w:rsidTr="00587D54">
        <w:trPr>
          <w:cnfStyle w:val="000000100000" w:firstRow="0" w:lastRow="0" w:firstColumn="0" w:lastColumn="0" w:oddVBand="0" w:evenVBand="0" w:oddHBand="1" w:evenHBand="0" w:firstRowFirstColumn="0" w:firstRowLastColumn="0" w:lastRowFirstColumn="0" w:lastRowLastColumn="0"/>
        </w:trPr>
        <w:tc>
          <w:tcPr>
            <w:tcW w:w="2872" w:type="dxa"/>
          </w:tcPr>
          <w:p w14:paraId="2635C45B" w14:textId="77777777" w:rsidR="00587D54" w:rsidRPr="00900ADE" w:rsidRDefault="00587D54" w:rsidP="00587D54">
            <w:pPr>
              <w:pStyle w:val="TableText"/>
              <w:spacing w:before="20" w:after="20"/>
            </w:pPr>
            <w:r w:rsidRPr="00900ADE">
              <w:t>High Needs</w:t>
            </w:r>
          </w:p>
        </w:tc>
        <w:tc>
          <w:tcPr>
            <w:tcW w:w="1160" w:type="dxa"/>
            <w:vAlign w:val="bottom"/>
          </w:tcPr>
          <w:p w14:paraId="77BAACC6" w14:textId="77777777" w:rsidR="00587D54" w:rsidRPr="00900ADE" w:rsidRDefault="00587D54" w:rsidP="00587D54">
            <w:pPr>
              <w:pStyle w:val="TableTextCentered"/>
              <w:spacing w:before="20" w:after="20"/>
            </w:pPr>
            <w:r w:rsidRPr="00900ADE">
              <w:t>757</w:t>
            </w:r>
          </w:p>
        </w:tc>
        <w:tc>
          <w:tcPr>
            <w:tcW w:w="1325" w:type="dxa"/>
            <w:vAlign w:val="bottom"/>
          </w:tcPr>
          <w:p w14:paraId="4F832057" w14:textId="77777777" w:rsidR="00587D54" w:rsidRPr="00900ADE" w:rsidRDefault="00587D54" w:rsidP="00587D54">
            <w:pPr>
              <w:pStyle w:val="TableTextCentered"/>
              <w:spacing w:before="20" w:after="20"/>
            </w:pPr>
            <w:r w:rsidRPr="00900ADE">
              <w:t>20.0</w:t>
            </w:r>
          </w:p>
        </w:tc>
        <w:tc>
          <w:tcPr>
            <w:tcW w:w="1326" w:type="dxa"/>
            <w:vAlign w:val="bottom"/>
          </w:tcPr>
          <w:p w14:paraId="747C7F8C" w14:textId="77777777" w:rsidR="00587D54" w:rsidRPr="00900ADE" w:rsidRDefault="00587D54" w:rsidP="00587D54">
            <w:pPr>
              <w:pStyle w:val="TableTextCentered"/>
              <w:spacing w:before="20" w:after="20"/>
            </w:pPr>
            <w:r w:rsidRPr="00900ADE">
              <w:t>20.4</w:t>
            </w:r>
          </w:p>
        </w:tc>
        <w:tc>
          <w:tcPr>
            <w:tcW w:w="1229" w:type="dxa"/>
            <w:vAlign w:val="bottom"/>
          </w:tcPr>
          <w:p w14:paraId="673604CF" w14:textId="77777777" w:rsidR="00587D54" w:rsidRPr="00900ADE" w:rsidRDefault="00587D54" w:rsidP="00587D54">
            <w:pPr>
              <w:pStyle w:val="TableTextCentered"/>
              <w:spacing w:before="20" w:after="20"/>
            </w:pPr>
            <w:r w:rsidRPr="00900ADE">
              <w:t>15.5</w:t>
            </w:r>
          </w:p>
        </w:tc>
        <w:tc>
          <w:tcPr>
            <w:tcW w:w="1432" w:type="dxa"/>
            <w:vAlign w:val="bottom"/>
          </w:tcPr>
          <w:p w14:paraId="1E636938" w14:textId="77777777" w:rsidR="00587D54" w:rsidRPr="00900ADE" w:rsidRDefault="00587D54" w:rsidP="00587D54">
            <w:pPr>
              <w:pStyle w:val="TableTextCentered"/>
              <w:spacing w:before="20" w:after="20"/>
            </w:pPr>
            <w:r w:rsidRPr="00900ADE">
              <w:t>27.2</w:t>
            </w:r>
          </w:p>
        </w:tc>
      </w:tr>
      <w:tr w:rsidR="00587D54" w:rsidRPr="00900ADE" w14:paraId="187621E0" w14:textId="77777777" w:rsidTr="00587D54">
        <w:tc>
          <w:tcPr>
            <w:tcW w:w="2872" w:type="dxa"/>
          </w:tcPr>
          <w:p w14:paraId="2DFF915D" w14:textId="77777777" w:rsidR="00587D54" w:rsidRPr="00900ADE" w:rsidRDefault="00587D54" w:rsidP="00587D54">
            <w:pPr>
              <w:pStyle w:val="TableText"/>
              <w:spacing w:before="20" w:after="20"/>
            </w:pPr>
            <w:r w:rsidRPr="00900ADE">
              <w:t>Low Income</w:t>
            </w:r>
          </w:p>
        </w:tc>
        <w:tc>
          <w:tcPr>
            <w:tcW w:w="1160" w:type="dxa"/>
            <w:vAlign w:val="bottom"/>
          </w:tcPr>
          <w:p w14:paraId="407866D1" w14:textId="77777777" w:rsidR="00587D54" w:rsidRPr="00900ADE" w:rsidRDefault="00587D54" w:rsidP="00587D54">
            <w:pPr>
              <w:pStyle w:val="TableTextCentered"/>
              <w:spacing w:before="20" w:after="20"/>
            </w:pPr>
            <w:r w:rsidRPr="00900ADE">
              <w:t>433</w:t>
            </w:r>
          </w:p>
        </w:tc>
        <w:tc>
          <w:tcPr>
            <w:tcW w:w="1325" w:type="dxa"/>
            <w:vAlign w:val="bottom"/>
          </w:tcPr>
          <w:p w14:paraId="660D2515" w14:textId="77777777" w:rsidR="00587D54" w:rsidRPr="00900ADE" w:rsidRDefault="00587D54" w:rsidP="00587D54">
            <w:pPr>
              <w:pStyle w:val="TableTextCentered"/>
              <w:spacing w:before="20" w:after="20"/>
            </w:pPr>
            <w:r w:rsidRPr="00900ADE">
              <w:t>24.2</w:t>
            </w:r>
          </w:p>
        </w:tc>
        <w:tc>
          <w:tcPr>
            <w:tcW w:w="1326" w:type="dxa"/>
            <w:vAlign w:val="bottom"/>
          </w:tcPr>
          <w:p w14:paraId="21548992" w14:textId="77777777" w:rsidR="00587D54" w:rsidRPr="00900ADE" w:rsidRDefault="00587D54" w:rsidP="00587D54">
            <w:pPr>
              <w:pStyle w:val="TableTextCentered"/>
              <w:spacing w:before="20" w:after="20"/>
            </w:pPr>
            <w:r w:rsidRPr="00900ADE">
              <w:t>25.4</w:t>
            </w:r>
          </w:p>
        </w:tc>
        <w:tc>
          <w:tcPr>
            <w:tcW w:w="1229" w:type="dxa"/>
            <w:vAlign w:val="bottom"/>
          </w:tcPr>
          <w:p w14:paraId="432E71F1" w14:textId="77777777" w:rsidR="00587D54" w:rsidRPr="00900ADE" w:rsidRDefault="00587D54" w:rsidP="00587D54">
            <w:pPr>
              <w:pStyle w:val="TableTextCentered"/>
              <w:spacing w:before="20" w:after="20"/>
            </w:pPr>
            <w:r w:rsidRPr="00900ADE">
              <w:t>18.5</w:t>
            </w:r>
          </w:p>
        </w:tc>
        <w:tc>
          <w:tcPr>
            <w:tcW w:w="1432" w:type="dxa"/>
            <w:vAlign w:val="bottom"/>
          </w:tcPr>
          <w:p w14:paraId="67D60476" w14:textId="77777777" w:rsidR="00587D54" w:rsidRPr="00900ADE" w:rsidRDefault="00587D54" w:rsidP="00587D54">
            <w:pPr>
              <w:pStyle w:val="TableTextCentered"/>
              <w:spacing w:before="20" w:after="20"/>
            </w:pPr>
            <w:r w:rsidRPr="00900ADE">
              <w:t>30.3</w:t>
            </w:r>
          </w:p>
        </w:tc>
      </w:tr>
      <w:tr w:rsidR="00587D54" w:rsidRPr="00900ADE" w14:paraId="0A78CD1E" w14:textId="77777777" w:rsidTr="00587D54">
        <w:trPr>
          <w:cnfStyle w:val="000000100000" w:firstRow="0" w:lastRow="0" w:firstColumn="0" w:lastColumn="0" w:oddVBand="0" w:evenVBand="0" w:oddHBand="1" w:evenHBand="0" w:firstRowFirstColumn="0" w:firstRowLastColumn="0" w:lastRowFirstColumn="0" w:lastRowLastColumn="0"/>
        </w:trPr>
        <w:tc>
          <w:tcPr>
            <w:tcW w:w="2872" w:type="dxa"/>
          </w:tcPr>
          <w:p w14:paraId="06FE3D49" w14:textId="77777777" w:rsidR="00587D54" w:rsidRPr="00900ADE" w:rsidRDefault="00587D54" w:rsidP="00587D54">
            <w:pPr>
              <w:pStyle w:val="TableText"/>
              <w:spacing w:before="20" w:after="20"/>
            </w:pPr>
            <w:r w:rsidRPr="00900ADE">
              <w:t>English Learners</w:t>
            </w:r>
          </w:p>
        </w:tc>
        <w:tc>
          <w:tcPr>
            <w:tcW w:w="1160" w:type="dxa"/>
            <w:vAlign w:val="bottom"/>
          </w:tcPr>
          <w:p w14:paraId="6281C1C1" w14:textId="77777777" w:rsidR="00587D54" w:rsidRPr="00900ADE" w:rsidRDefault="00587D54" w:rsidP="00587D54">
            <w:pPr>
              <w:pStyle w:val="TableTextCentered"/>
              <w:spacing w:before="20" w:after="20"/>
            </w:pPr>
            <w:r w:rsidRPr="00900ADE">
              <w:t>124</w:t>
            </w:r>
          </w:p>
        </w:tc>
        <w:tc>
          <w:tcPr>
            <w:tcW w:w="1325" w:type="dxa"/>
            <w:vAlign w:val="bottom"/>
          </w:tcPr>
          <w:p w14:paraId="26F2F7B6" w14:textId="77777777" w:rsidR="00587D54" w:rsidRPr="00900ADE" w:rsidRDefault="00587D54" w:rsidP="00587D54">
            <w:pPr>
              <w:pStyle w:val="TableTextCentered"/>
              <w:spacing w:before="20" w:after="20"/>
            </w:pPr>
            <w:r w:rsidRPr="00900ADE">
              <w:t>17.9</w:t>
            </w:r>
          </w:p>
        </w:tc>
        <w:tc>
          <w:tcPr>
            <w:tcW w:w="1326" w:type="dxa"/>
            <w:vAlign w:val="bottom"/>
          </w:tcPr>
          <w:p w14:paraId="5215B87D" w14:textId="77777777" w:rsidR="00587D54" w:rsidRPr="00900ADE" w:rsidRDefault="00587D54" w:rsidP="00587D54">
            <w:pPr>
              <w:pStyle w:val="TableTextCentered"/>
              <w:spacing w:before="20" w:after="20"/>
            </w:pPr>
            <w:r w:rsidRPr="00900ADE">
              <w:t>21.6</w:t>
            </w:r>
          </w:p>
        </w:tc>
        <w:tc>
          <w:tcPr>
            <w:tcW w:w="1229" w:type="dxa"/>
            <w:vAlign w:val="bottom"/>
          </w:tcPr>
          <w:p w14:paraId="2653762B" w14:textId="77777777" w:rsidR="00587D54" w:rsidRPr="00900ADE" w:rsidRDefault="00587D54" w:rsidP="00587D54">
            <w:pPr>
              <w:pStyle w:val="TableTextCentered"/>
              <w:spacing w:before="20" w:after="20"/>
            </w:pPr>
            <w:r w:rsidRPr="00900ADE">
              <w:t>12.9</w:t>
            </w:r>
          </w:p>
        </w:tc>
        <w:tc>
          <w:tcPr>
            <w:tcW w:w="1432" w:type="dxa"/>
            <w:vAlign w:val="bottom"/>
          </w:tcPr>
          <w:p w14:paraId="6AE91288" w14:textId="77777777" w:rsidR="00587D54" w:rsidRPr="00900ADE" w:rsidRDefault="00587D54" w:rsidP="00587D54">
            <w:pPr>
              <w:pStyle w:val="TableTextCentered"/>
              <w:spacing w:before="20" w:after="20"/>
            </w:pPr>
            <w:r w:rsidRPr="00900ADE">
              <w:t>29.9</w:t>
            </w:r>
          </w:p>
        </w:tc>
      </w:tr>
      <w:tr w:rsidR="00587D54" w:rsidRPr="00900ADE" w14:paraId="7AA4B980" w14:textId="77777777" w:rsidTr="00587D54">
        <w:tc>
          <w:tcPr>
            <w:tcW w:w="2872" w:type="dxa"/>
          </w:tcPr>
          <w:p w14:paraId="5761A5FA" w14:textId="77777777" w:rsidR="00587D54" w:rsidRPr="00900ADE" w:rsidRDefault="00587D54" w:rsidP="00587D54">
            <w:pPr>
              <w:pStyle w:val="TableText"/>
              <w:spacing w:before="20" w:after="20"/>
            </w:pPr>
            <w:r w:rsidRPr="00900ADE">
              <w:t>Students with Disabilities</w:t>
            </w:r>
          </w:p>
        </w:tc>
        <w:tc>
          <w:tcPr>
            <w:tcW w:w="1160" w:type="dxa"/>
            <w:vAlign w:val="bottom"/>
          </w:tcPr>
          <w:p w14:paraId="58295CDB" w14:textId="77777777" w:rsidR="00587D54" w:rsidRPr="00900ADE" w:rsidRDefault="00587D54" w:rsidP="00587D54">
            <w:pPr>
              <w:pStyle w:val="TableTextCentered"/>
              <w:spacing w:before="20" w:after="20"/>
            </w:pPr>
            <w:r w:rsidRPr="00900ADE">
              <w:t>390</w:t>
            </w:r>
          </w:p>
        </w:tc>
        <w:tc>
          <w:tcPr>
            <w:tcW w:w="1325" w:type="dxa"/>
            <w:vAlign w:val="bottom"/>
          </w:tcPr>
          <w:p w14:paraId="45DC331F" w14:textId="77777777" w:rsidR="00587D54" w:rsidRPr="00900ADE" w:rsidRDefault="00587D54" w:rsidP="00587D54">
            <w:pPr>
              <w:pStyle w:val="TableTextCentered"/>
              <w:spacing w:before="20" w:after="20"/>
            </w:pPr>
            <w:r w:rsidRPr="00900ADE">
              <w:t>19.8</w:t>
            </w:r>
          </w:p>
        </w:tc>
        <w:tc>
          <w:tcPr>
            <w:tcW w:w="1326" w:type="dxa"/>
            <w:vAlign w:val="bottom"/>
          </w:tcPr>
          <w:p w14:paraId="2BA205E1" w14:textId="77777777" w:rsidR="00587D54" w:rsidRPr="00900ADE" w:rsidRDefault="00587D54" w:rsidP="00587D54">
            <w:pPr>
              <w:pStyle w:val="TableTextCentered"/>
              <w:spacing w:before="20" w:after="20"/>
            </w:pPr>
            <w:r w:rsidRPr="00900ADE">
              <w:t>18.7</w:t>
            </w:r>
          </w:p>
        </w:tc>
        <w:tc>
          <w:tcPr>
            <w:tcW w:w="1229" w:type="dxa"/>
            <w:vAlign w:val="bottom"/>
          </w:tcPr>
          <w:p w14:paraId="01C84582" w14:textId="77777777" w:rsidR="00587D54" w:rsidRPr="00900ADE" w:rsidRDefault="00587D54" w:rsidP="00587D54">
            <w:pPr>
              <w:pStyle w:val="TableTextCentered"/>
              <w:spacing w:before="20" w:after="20"/>
            </w:pPr>
            <w:r w:rsidRPr="00900ADE">
              <w:t>15.4</w:t>
            </w:r>
          </w:p>
        </w:tc>
        <w:tc>
          <w:tcPr>
            <w:tcW w:w="1432" w:type="dxa"/>
            <w:vAlign w:val="bottom"/>
          </w:tcPr>
          <w:p w14:paraId="7B1F4B9D" w14:textId="77777777" w:rsidR="00587D54" w:rsidRPr="00900ADE" w:rsidRDefault="00587D54" w:rsidP="00587D54">
            <w:pPr>
              <w:pStyle w:val="TableTextCentered"/>
              <w:spacing w:before="20" w:after="20"/>
            </w:pPr>
            <w:r w:rsidRPr="00900ADE">
              <w:t>27.5</w:t>
            </w:r>
          </w:p>
        </w:tc>
      </w:tr>
    </w:tbl>
    <w:p w14:paraId="1C6D50D3" w14:textId="77777777" w:rsidR="00587D54" w:rsidRPr="00900ADE" w:rsidRDefault="00587D54" w:rsidP="00587D54">
      <w:pPr>
        <w:pStyle w:val="TableNote"/>
        <w:rPr>
          <w:rFonts w:ascii="Calibri" w:eastAsia="Calibri" w:hAnsi="Calibri"/>
          <w:szCs w:val="20"/>
        </w:rPr>
      </w:pPr>
      <w:proofErr w:type="spellStart"/>
      <w:r w:rsidRPr="00900ADE">
        <w:rPr>
          <w:vertAlign w:val="superscript"/>
        </w:rPr>
        <w:t>a</w:t>
      </w:r>
      <w:proofErr w:type="spellEnd"/>
      <w:r w:rsidRPr="00900ADE" w:rsidDel="00305C73">
        <w:t xml:space="preserve"> </w:t>
      </w:r>
      <w:r w:rsidRPr="00900ADE">
        <w:rPr>
          <w:shd w:val="clear" w:color="auto" w:fill="FFFFFF" w:themeFill="background1"/>
        </w:rPr>
        <w:t xml:space="preserve">The percentage of students </w:t>
      </w:r>
      <w:r w:rsidRPr="00900ADE">
        <w:t>absent</w:t>
      </w:r>
      <w:r w:rsidRPr="00900ADE">
        <w:rPr>
          <w:shd w:val="clear" w:color="auto" w:fill="FFFFFF" w:themeFill="background1"/>
        </w:rPr>
        <w:t xml:space="preserve"> 10 percent or more of their total number of student days of membership in a school</w:t>
      </w:r>
      <w:r w:rsidRPr="00900ADE">
        <w:t>.</w:t>
      </w:r>
    </w:p>
    <w:p w14:paraId="44525CA0" w14:textId="77777777" w:rsidR="00587D54" w:rsidRPr="00900ADE" w:rsidRDefault="00587D54" w:rsidP="00587D54">
      <w:pPr>
        <w:pStyle w:val="TableTitle0"/>
        <w:spacing w:before="180"/>
        <w:rPr>
          <w:szCs w:val="20"/>
        </w:rPr>
      </w:pPr>
      <w:r w:rsidRPr="00900ADE">
        <w:t>Table D4. Total Expenditures Fiscal Years, 2021-2023</w:t>
      </w:r>
      <w:r w:rsidRPr="00900ADE">
        <w:rPr>
          <w:szCs w:val="20"/>
        </w:rPr>
        <w:t xml:space="preserve"> </w:t>
      </w:r>
    </w:p>
    <w:tbl>
      <w:tblPr>
        <w:tblStyle w:val="MSVTable1"/>
        <w:tblW w:w="0" w:type="auto"/>
        <w:tblLook w:val="04A0" w:firstRow="1" w:lastRow="0" w:firstColumn="1" w:lastColumn="0" w:noHBand="0" w:noVBand="1"/>
      </w:tblPr>
      <w:tblGrid>
        <w:gridCol w:w="2782"/>
        <w:gridCol w:w="2187"/>
        <w:gridCol w:w="2187"/>
        <w:gridCol w:w="2188"/>
      </w:tblGrid>
      <w:tr w:rsidR="00587D54" w:rsidRPr="00900ADE" w14:paraId="36546EB4" w14:textId="77777777" w:rsidTr="00623983">
        <w:trPr>
          <w:cnfStyle w:val="100000000000" w:firstRow="1" w:lastRow="0" w:firstColumn="0" w:lastColumn="0" w:oddVBand="0" w:evenVBand="0" w:oddHBand="0" w:evenHBand="0" w:firstRowFirstColumn="0" w:firstRowLastColumn="0" w:lastRowFirstColumn="0" w:lastRowLastColumn="0"/>
          <w:tblHeader/>
        </w:trPr>
        <w:tc>
          <w:tcPr>
            <w:tcW w:w="2782" w:type="dxa"/>
          </w:tcPr>
          <w:p w14:paraId="26B844E9" w14:textId="77777777" w:rsidR="00587D54" w:rsidRPr="00900ADE" w:rsidRDefault="00587D54" w:rsidP="00587D54">
            <w:pPr>
              <w:pStyle w:val="TableColHeadingLeft"/>
              <w:spacing w:before="20" w:after="20"/>
            </w:pPr>
            <w:r w:rsidRPr="00900ADE">
              <w:t>Expenditures</w:t>
            </w:r>
          </w:p>
        </w:tc>
        <w:tc>
          <w:tcPr>
            <w:tcW w:w="2187" w:type="dxa"/>
          </w:tcPr>
          <w:p w14:paraId="06386FDF" w14:textId="44B8BD13" w:rsidR="00587D54" w:rsidRPr="00900ADE" w:rsidRDefault="03B87FB5" w:rsidP="00587D54">
            <w:pPr>
              <w:pStyle w:val="TableColHeadingCenter"/>
              <w:spacing w:before="20" w:after="20"/>
            </w:pPr>
            <w:r>
              <w:t>FY</w:t>
            </w:r>
            <w:r w:rsidR="003A7D47">
              <w:t xml:space="preserve"> </w:t>
            </w:r>
            <w:r w:rsidR="00587D54" w:rsidRPr="00900ADE">
              <w:t>2021</w:t>
            </w:r>
          </w:p>
        </w:tc>
        <w:tc>
          <w:tcPr>
            <w:tcW w:w="2187" w:type="dxa"/>
          </w:tcPr>
          <w:p w14:paraId="3E286D97" w14:textId="0DB7E377" w:rsidR="00587D54" w:rsidRPr="00900ADE" w:rsidRDefault="6AFAC2D8" w:rsidP="00587D54">
            <w:pPr>
              <w:pStyle w:val="TableColHeadingCenter"/>
              <w:spacing w:before="20" w:after="20"/>
            </w:pPr>
            <w:r>
              <w:t xml:space="preserve">FY </w:t>
            </w:r>
            <w:r w:rsidR="00587D54" w:rsidRPr="00900ADE">
              <w:t>2022</w:t>
            </w:r>
          </w:p>
        </w:tc>
        <w:tc>
          <w:tcPr>
            <w:tcW w:w="2188" w:type="dxa"/>
          </w:tcPr>
          <w:p w14:paraId="300120CF" w14:textId="71E40847" w:rsidR="00587D54" w:rsidRPr="00900ADE" w:rsidRDefault="31973D8C" w:rsidP="00587D54">
            <w:pPr>
              <w:pStyle w:val="TableColHeadingCenter"/>
              <w:spacing w:before="20" w:after="20"/>
            </w:pPr>
            <w:r>
              <w:t>FY</w:t>
            </w:r>
            <w:r w:rsidR="003A7D47">
              <w:t xml:space="preserve"> </w:t>
            </w:r>
            <w:r w:rsidR="00587D54">
              <w:t>2023</w:t>
            </w:r>
          </w:p>
        </w:tc>
      </w:tr>
      <w:tr w:rsidR="00587D54" w:rsidRPr="00900ADE" w14:paraId="729DAF66" w14:textId="77777777">
        <w:trPr>
          <w:cnfStyle w:val="000000100000" w:firstRow="0" w:lastRow="0" w:firstColumn="0" w:lastColumn="0" w:oddVBand="0" w:evenVBand="0" w:oddHBand="1" w:evenHBand="0" w:firstRowFirstColumn="0" w:firstRowLastColumn="0" w:lastRowFirstColumn="0" w:lastRowLastColumn="0"/>
        </w:trPr>
        <w:tc>
          <w:tcPr>
            <w:tcW w:w="2782" w:type="dxa"/>
          </w:tcPr>
          <w:p w14:paraId="6027D07F" w14:textId="77777777" w:rsidR="00587D54" w:rsidRPr="00900ADE" w:rsidRDefault="00587D54" w:rsidP="00587D54">
            <w:pPr>
              <w:pStyle w:val="TableText"/>
              <w:spacing w:before="20" w:after="20"/>
            </w:pPr>
            <w:r w:rsidRPr="00900ADE">
              <w:t>By school committee</w:t>
            </w:r>
          </w:p>
        </w:tc>
        <w:tc>
          <w:tcPr>
            <w:tcW w:w="2187" w:type="dxa"/>
            <w:vAlign w:val="center"/>
          </w:tcPr>
          <w:p w14:paraId="7276818F" w14:textId="77777777" w:rsidR="00587D54" w:rsidRPr="00900ADE" w:rsidRDefault="00587D54" w:rsidP="00587D54">
            <w:pPr>
              <w:pStyle w:val="TableTextCentered"/>
              <w:spacing w:before="20" w:after="20"/>
            </w:pPr>
            <w:r w:rsidRPr="00900ADE">
              <w:t>$28,386,488</w:t>
            </w:r>
          </w:p>
        </w:tc>
        <w:tc>
          <w:tcPr>
            <w:tcW w:w="2187" w:type="dxa"/>
            <w:vAlign w:val="center"/>
          </w:tcPr>
          <w:p w14:paraId="47553A98" w14:textId="77777777" w:rsidR="00587D54" w:rsidRPr="00900ADE" w:rsidRDefault="00587D54" w:rsidP="00587D54">
            <w:pPr>
              <w:pStyle w:val="TableTextCentered"/>
              <w:spacing w:before="20" w:after="20"/>
            </w:pPr>
            <w:r w:rsidRPr="00900ADE">
              <w:t>$29,090,359</w:t>
            </w:r>
          </w:p>
        </w:tc>
        <w:tc>
          <w:tcPr>
            <w:tcW w:w="2188" w:type="dxa"/>
            <w:vAlign w:val="center"/>
          </w:tcPr>
          <w:p w14:paraId="2BB5A592" w14:textId="77777777" w:rsidR="00587D54" w:rsidRPr="00900ADE" w:rsidRDefault="00587D54" w:rsidP="00587D54">
            <w:pPr>
              <w:pStyle w:val="TableTextCentered"/>
              <w:spacing w:before="20" w:after="20"/>
            </w:pPr>
            <w:r w:rsidRPr="00900ADE">
              <w:t>$29,776,002</w:t>
            </w:r>
          </w:p>
        </w:tc>
      </w:tr>
      <w:tr w:rsidR="00587D54" w:rsidRPr="00900ADE" w14:paraId="058DE91D" w14:textId="77777777">
        <w:tc>
          <w:tcPr>
            <w:tcW w:w="2782" w:type="dxa"/>
          </w:tcPr>
          <w:p w14:paraId="265EC255" w14:textId="77777777" w:rsidR="00587D54" w:rsidRPr="00900ADE" w:rsidRDefault="00587D54" w:rsidP="00587D54">
            <w:pPr>
              <w:pStyle w:val="TableText"/>
              <w:spacing w:before="20" w:after="20"/>
            </w:pPr>
            <w:r w:rsidRPr="00900ADE">
              <w:t>By municipality</w:t>
            </w:r>
          </w:p>
        </w:tc>
        <w:tc>
          <w:tcPr>
            <w:tcW w:w="2187" w:type="dxa"/>
            <w:vAlign w:val="center"/>
          </w:tcPr>
          <w:p w14:paraId="1C520E79" w14:textId="77777777" w:rsidR="00587D54" w:rsidRPr="00900ADE" w:rsidRDefault="00587D54" w:rsidP="00587D54">
            <w:pPr>
              <w:pStyle w:val="TableTextCentered"/>
              <w:spacing w:before="20" w:after="20"/>
            </w:pPr>
            <w:r w:rsidRPr="00900ADE">
              <w:t>$7,607,617</w:t>
            </w:r>
          </w:p>
        </w:tc>
        <w:tc>
          <w:tcPr>
            <w:tcW w:w="2187" w:type="dxa"/>
            <w:vAlign w:val="center"/>
          </w:tcPr>
          <w:p w14:paraId="1301F866" w14:textId="77777777" w:rsidR="00587D54" w:rsidRPr="00900ADE" w:rsidRDefault="00587D54" w:rsidP="00587D54">
            <w:pPr>
              <w:pStyle w:val="TableTextCentered"/>
              <w:spacing w:before="20" w:after="20"/>
            </w:pPr>
            <w:r w:rsidRPr="00900ADE">
              <w:t>$8,105,517</w:t>
            </w:r>
          </w:p>
        </w:tc>
        <w:tc>
          <w:tcPr>
            <w:tcW w:w="2188" w:type="dxa"/>
            <w:vAlign w:val="center"/>
          </w:tcPr>
          <w:p w14:paraId="4DA31C9F" w14:textId="77777777" w:rsidR="00587D54" w:rsidRPr="00900ADE" w:rsidRDefault="00587D54" w:rsidP="00587D54">
            <w:pPr>
              <w:pStyle w:val="TableTextCentered"/>
              <w:spacing w:before="20" w:after="20"/>
            </w:pPr>
            <w:r w:rsidRPr="00900ADE">
              <w:t>$7,931,947</w:t>
            </w:r>
          </w:p>
        </w:tc>
      </w:tr>
      <w:tr w:rsidR="00587D54" w:rsidRPr="00900ADE" w14:paraId="38DA7A15" w14:textId="77777777">
        <w:trPr>
          <w:cnfStyle w:val="000000100000" w:firstRow="0" w:lastRow="0" w:firstColumn="0" w:lastColumn="0" w:oddVBand="0" w:evenVBand="0" w:oddHBand="1" w:evenHBand="0" w:firstRowFirstColumn="0" w:firstRowLastColumn="0" w:lastRowFirstColumn="0" w:lastRowLastColumn="0"/>
        </w:trPr>
        <w:tc>
          <w:tcPr>
            <w:tcW w:w="2782" w:type="dxa"/>
          </w:tcPr>
          <w:p w14:paraId="3034BFD9" w14:textId="77777777" w:rsidR="00587D54" w:rsidRPr="00900ADE" w:rsidRDefault="00587D54" w:rsidP="00587D54">
            <w:pPr>
              <w:pStyle w:val="TableText"/>
              <w:spacing w:before="20" w:after="20"/>
            </w:pPr>
            <w:r w:rsidRPr="00900ADE">
              <w:t>Total from local appropriations</w:t>
            </w:r>
          </w:p>
        </w:tc>
        <w:tc>
          <w:tcPr>
            <w:tcW w:w="2187" w:type="dxa"/>
            <w:vAlign w:val="center"/>
          </w:tcPr>
          <w:p w14:paraId="72B0B827" w14:textId="77777777" w:rsidR="00587D54" w:rsidRPr="00900ADE" w:rsidRDefault="00587D54" w:rsidP="00587D54">
            <w:pPr>
              <w:pStyle w:val="TableTextCentered"/>
              <w:spacing w:before="20" w:after="20"/>
            </w:pPr>
            <w:r w:rsidRPr="00900ADE">
              <w:t>$35,994,105</w:t>
            </w:r>
          </w:p>
        </w:tc>
        <w:tc>
          <w:tcPr>
            <w:tcW w:w="2187" w:type="dxa"/>
            <w:vAlign w:val="center"/>
          </w:tcPr>
          <w:p w14:paraId="0095A596" w14:textId="77777777" w:rsidR="00587D54" w:rsidRPr="00900ADE" w:rsidRDefault="00587D54" w:rsidP="00587D54">
            <w:pPr>
              <w:pStyle w:val="TableTextCentered"/>
              <w:spacing w:before="20" w:after="20"/>
            </w:pPr>
            <w:r w:rsidRPr="00900ADE">
              <w:t>$37,195,876</w:t>
            </w:r>
          </w:p>
        </w:tc>
        <w:tc>
          <w:tcPr>
            <w:tcW w:w="2188" w:type="dxa"/>
            <w:vAlign w:val="center"/>
          </w:tcPr>
          <w:p w14:paraId="07FE10E3" w14:textId="77777777" w:rsidR="00587D54" w:rsidRPr="00900ADE" w:rsidRDefault="00587D54" w:rsidP="00587D54">
            <w:pPr>
              <w:pStyle w:val="TableTextCentered"/>
              <w:spacing w:before="20" w:after="20"/>
            </w:pPr>
            <w:r w:rsidRPr="00900ADE">
              <w:t>$37,707,949</w:t>
            </w:r>
          </w:p>
        </w:tc>
      </w:tr>
      <w:tr w:rsidR="00587D54" w:rsidRPr="00900ADE" w14:paraId="7B7FBCAA" w14:textId="77777777">
        <w:tc>
          <w:tcPr>
            <w:tcW w:w="2782" w:type="dxa"/>
          </w:tcPr>
          <w:p w14:paraId="308A3DA7" w14:textId="77777777" w:rsidR="00587D54" w:rsidRPr="00900ADE" w:rsidRDefault="00587D54" w:rsidP="00587D54">
            <w:pPr>
              <w:pStyle w:val="TableText"/>
              <w:spacing w:before="20" w:after="20"/>
            </w:pPr>
            <w:r w:rsidRPr="00900ADE">
              <w:t>From revolving funds and grants</w:t>
            </w:r>
          </w:p>
        </w:tc>
        <w:tc>
          <w:tcPr>
            <w:tcW w:w="2187" w:type="dxa"/>
            <w:vAlign w:val="center"/>
          </w:tcPr>
          <w:p w14:paraId="426BEC83" w14:textId="77777777" w:rsidR="00587D54" w:rsidRPr="00900ADE" w:rsidRDefault="00587D54" w:rsidP="00587D54">
            <w:pPr>
              <w:pStyle w:val="TableTextCentered"/>
              <w:spacing w:before="20" w:after="20"/>
            </w:pPr>
            <w:r w:rsidRPr="00900ADE">
              <w:t>$3,202,244</w:t>
            </w:r>
          </w:p>
        </w:tc>
        <w:tc>
          <w:tcPr>
            <w:tcW w:w="2187" w:type="dxa"/>
            <w:vAlign w:val="center"/>
          </w:tcPr>
          <w:p w14:paraId="415D23F3" w14:textId="77777777" w:rsidR="00587D54" w:rsidRPr="00900ADE" w:rsidRDefault="00587D54" w:rsidP="00587D54">
            <w:pPr>
              <w:pStyle w:val="TableTextCentered"/>
              <w:spacing w:before="20" w:after="20"/>
            </w:pPr>
            <w:r w:rsidRPr="00900ADE">
              <w:t>$4,062,669</w:t>
            </w:r>
          </w:p>
        </w:tc>
        <w:tc>
          <w:tcPr>
            <w:tcW w:w="2188" w:type="dxa"/>
            <w:vAlign w:val="center"/>
          </w:tcPr>
          <w:p w14:paraId="2D38EA42" w14:textId="77777777" w:rsidR="00587D54" w:rsidRPr="00900ADE" w:rsidRDefault="00587D54" w:rsidP="00587D54">
            <w:pPr>
              <w:pStyle w:val="TableTextCentered"/>
              <w:spacing w:before="20" w:after="20"/>
            </w:pPr>
            <w:r w:rsidRPr="00900ADE">
              <w:t>$6,102,853</w:t>
            </w:r>
          </w:p>
        </w:tc>
      </w:tr>
      <w:tr w:rsidR="00587D54" w:rsidRPr="00900ADE" w14:paraId="020B7551" w14:textId="77777777">
        <w:trPr>
          <w:cnfStyle w:val="000000100000" w:firstRow="0" w:lastRow="0" w:firstColumn="0" w:lastColumn="0" w:oddVBand="0" w:evenVBand="0" w:oddHBand="1" w:evenHBand="0" w:firstRowFirstColumn="0" w:firstRowLastColumn="0" w:lastRowFirstColumn="0" w:lastRowLastColumn="0"/>
        </w:trPr>
        <w:tc>
          <w:tcPr>
            <w:tcW w:w="2782" w:type="dxa"/>
          </w:tcPr>
          <w:p w14:paraId="6E75CC07" w14:textId="77777777" w:rsidR="00587D54" w:rsidRPr="00900ADE" w:rsidRDefault="00587D54" w:rsidP="00587D54">
            <w:pPr>
              <w:pStyle w:val="TableText"/>
              <w:spacing w:before="20" w:after="20"/>
            </w:pPr>
            <w:r w:rsidRPr="00900ADE">
              <w:t>Total expenditures</w:t>
            </w:r>
          </w:p>
        </w:tc>
        <w:tc>
          <w:tcPr>
            <w:tcW w:w="2187" w:type="dxa"/>
            <w:vAlign w:val="center"/>
          </w:tcPr>
          <w:p w14:paraId="38211590" w14:textId="77777777" w:rsidR="00587D54" w:rsidRPr="00900ADE" w:rsidRDefault="00587D54" w:rsidP="00587D54">
            <w:pPr>
              <w:pStyle w:val="TableTextCentered"/>
              <w:spacing w:before="20" w:after="20"/>
            </w:pPr>
            <w:r w:rsidRPr="00900ADE">
              <w:t>$39,196,349</w:t>
            </w:r>
          </w:p>
        </w:tc>
        <w:tc>
          <w:tcPr>
            <w:tcW w:w="2187" w:type="dxa"/>
            <w:vAlign w:val="center"/>
          </w:tcPr>
          <w:p w14:paraId="68451A3D" w14:textId="77777777" w:rsidR="00587D54" w:rsidRPr="00900ADE" w:rsidRDefault="00587D54" w:rsidP="00587D54">
            <w:pPr>
              <w:pStyle w:val="TableTextCentered"/>
              <w:spacing w:before="20" w:after="20"/>
            </w:pPr>
            <w:r w:rsidRPr="00900ADE">
              <w:t>$41,258,545</w:t>
            </w:r>
          </w:p>
        </w:tc>
        <w:tc>
          <w:tcPr>
            <w:tcW w:w="2188" w:type="dxa"/>
            <w:vAlign w:val="center"/>
          </w:tcPr>
          <w:p w14:paraId="3E0C89B3" w14:textId="77777777" w:rsidR="00587D54" w:rsidRPr="00900ADE" w:rsidRDefault="00587D54" w:rsidP="00587D54">
            <w:pPr>
              <w:pStyle w:val="TableTextCentered"/>
              <w:spacing w:before="20" w:after="20"/>
            </w:pPr>
            <w:r w:rsidRPr="00900ADE">
              <w:t>$43,810,802</w:t>
            </w:r>
          </w:p>
        </w:tc>
      </w:tr>
    </w:tbl>
    <w:p w14:paraId="0CA05D60" w14:textId="751F292A" w:rsidR="00587D54" w:rsidRPr="00900ADE" w:rsidRDefault="00587D54" w:rsidP="00587D54">
      <w:pPr>
        <w:pStyle w:val="TableNote"/>
      </w:pPr>
      <w:r w:rsidRPr="00900ADE">
        <w:rPr>
          <w:i/>
          <w:iCs/>
        </w:rPr>
        <w:t>Note</w:t>
      </w:r>
      <w:r w:rsidRPr="00900ADE">
        <w:t xml:space="preserve">. Expenditures from the School Finance Dashboard sourced from </w:t>
      </w:r>
      <w:hyperlink r:id="rId107" w:history="1">
        <w:r w:rsidR="004E602E" w:rsidRPr="00654F1B">
          <w:rPr>
            <w:rFonts w:eastAsiaTheme="minorHAnsi" w:cstheme="minorBidi"/>
            <w:color w:val="0000FF"/>
            <w:szCs w:val="20"/>
            <w:u w:val="single"/>
          </w:rPr>
          <w:t>Resource Allocation and District Action Reports (RADAR)</w:t>
        </w:r>
      </w:hyperlink>
      <w:r w:rsidR="004E602E" w:rsidRPr="00900ADE">
        <w:t xml:space="preserve"> </w:t>
      </w:r>
      <w:r w:rsidR="00654F1B" w:rsidRPr="00654F1B">
        <w:rPr>
          <w:szCs w:val="20"/>
        </w:rPr>
        <w:t>last updated April 2025</w:t>
      </w:r>
      <w:r w:rsidRPr="00654F1B">
        <w:rPr>
          <w:szCs w:val="20"/>
        </w:rPr>
        <w:t>.</w:t>
      </w:r>
    </w:p>
    <w:p w14:paraId="2B0C6542" w14:textId="77777777" w:rsidR="00587D54" w:rsidRPr="00900ADE" w:rsidRDefault="00587D54" w:rsidP="00587D54">
      <w:pPr>
        <w:pStyle w:val="TableTitle0"/>
        <w:spacing w:before="180"/>
        <w:rPr>
          <w:szCs w:val="20"/>
        </w:rPr>
      </w:pPr>
      <w:r w:rsidRPr="00900ADE">
        <w:t>Table D5. Chapter 70 State Aid, and Net School Spending Fiscal Years, 2021-2023</w:t>
      </w:r>
      <w:r w:rsidRPr="00900ADE">
        <w:rPr>
          <w:szCs w:val="20"/>
        </w:rPr>
        <w:t xml:space="preserve"> </w:t>
      </w:r>
    </w:p>
    <w:tbl>
      <w:tblPr>
        <w:tblStyle w:val="MSVTable1"/>
        <w:tblW w:w="0" w:type="auto"/>
        <w:tblLook w:val="04A0" w:firstRow="1" w:lastRow="0" w:firstColumn="1" w:lastColumn="0" w:noHBand="0" w:noVBand="1"/>
      </w:tblPr>
      <w:tblGrid>
        <w:gridCol w:w="2782"/>
        <w:gridCol w:w="2127"/>
        <w:gridCol w:w="2217"/>
        <w:gridCol w:w="2218"/>
      </w:tblGrid>
      <w:tr w:rsidR="00587D54" w:rsidRPr="00900ADE" w14:paraId="45E9F643" w14:textId="77777777" w:rsidTr="00CE39EE">
        <w:trPr>
          <w:cnfStyle w:val="100000000000" w:firstRow="1" w:lastRow="0" w:firstColumn="0" w:lastColumn="0" w:oddVBand="0" w:evenVBand="0" w:oddHBand="0" w:evenHBand="0" w:firstRowFirstColumn="0" w:firstRowLastColumn="0" w:lastRowFirstColumn="0" w:lastRowLastColumn="0"/>
          <w:tblHeader/>
        </w:trPr>
        <w:tc>
          <w:tcPr>
            <w:tcW w:w="2782" w:type="dxa"/>
          </w:tcPr>
          <w:p w14:paraId="15956647" w14:textId="77777777" w:rsidR="00587D54" w:rsidRPr="00900ADE" w:rsidRDefault="00587D54" w:rsidP="00587D54">
            <w:pPr>
              <w:pStyle w:val="TableColHeadingLeft"/>
              <w:spacing w:before="20" w:after="20"/>
            </w:pPr>
            <w:r w:rsidRPr="00900ADE">
              <w:t>Chapter 70 aid to education program</w:t>
            </w:r>
          </w:p>
        </w:tc>
        <w:tc>
          <w:tcPr>
            <w:tcW w:w="2127" w:type="dxa"/>
            <w:vAlign w:val="center"/>
          </w:tcPr>
          <w:p w14:paraId="1F816858" w14:textId="40DC2783" w:rsidR="00587D54" w:rsidRPr="00900ADE" w:rsidRDefault="003A7D47" w:rsidP="00587D54">
            <w:pPr>
              <w:pStyle w:val="TableColHeadingCenter"/>
              <w:spacing w:before="20" w:after="20"/>
            </w:pPr>
            <w:r w:rsidDel="003A7D47">
              <w:t>F</w:t>
            </w:r>
            <w:r w:rsidR="513C6448">
              <w:t>Y</w:t>
            </w:r>
            <w:r>
              <w:t xml:space="preserve"> </w:t>
            </w:r>
            <w:r w:rsidR="00587D54">
              <w:t>2021</w:t>
            </w:r>
          </w:p>
        </w:tc>
        <w:tc>
          <w:tcPr>
            <w:tcW w:w="2217" w:type="dxa"/>
            <w:vAlign w:val="center"/>
          </w:tcPr>
          <w:p w14:paraId="428CB470" w14:textId="79388194" w:rsidR="00587D54" w:rsidRPr="00900ADE" w:rsidRDefault="003A7D47" w:rsidP="00587D54">
            <w:pPr>
              <w:pStyle w:val="TableColHeadingCenter"/>
              <w:spacing w:before="20" w:after="20"/>
            </w:pPr>
            <w:r w:rsidDel="003A7D47">
              <w:t>F</w:t>
            </w:r>
            <w:r w:rsidR="03B89443">
              <w:t xml:space="preserve">Y </w:t>
            </w:r>
            <w:r w:rsidR="00587D54">
              <w:t>2022</w:t>
            </w:r>
          </w:p>
        </w:tc>
        <w:tc>
          <w:tcPr>
            <w:tcW w:w="2218" w:type="dxa"/>
            <w:vAlign w:val="center"/>
          </w:tcPr>
          <w:p w14:paraId="2AF2F692" w14:textId="044FAF39" w:rsidR="00587D54" w:rsidRPr="00900ADE" w:rsidRDefault="003A7D47" w:rsidP="00587D54">
            <w:pPr>
              <w:pStyle w:val="TableColHeadingCenter"/>
              <w:spacing w:before="20" w:after="20"/>
            </w:pPr>
            <w:r w:rsidDel="003A7D47">
              <w:t>F</w:t>
            </w:r>
            <w:r w:rsidR="07331A85">
              <w:t xml:space="preserve">Y </w:t>
            </w:r>
            <w:r w:rsidR="00587D54">
              <w:t>2023</w:t>
            </w:r>
          </w:p>
        </w:tc>
      </w:tr>
      <w:tr w:rsidR="00587D54" w:rsidRPr="00900ADE" w14:paraId="62BB8608" w14:textId="77777777" w:rsidTr="00CE39EE">
        <w:trPr>
          <w:cnfStyle w:val="000000100000" w:firstRow="0" w:lastRow="0" w:firstColumn="0" w:lastColumn="0" w:oddVBand="0" w:evenVBand="0" w:oddHBand="1" w:evenHBand="0" w:firstRowFirstColumn="0" w:firstRowLastColumn="0" w:lastRowFirstColumn="0" w:lastRowLastColumn="0"/>
        </w:trPr>
        <w:tc>
          <w:tcPr>
            <w:tcW w:w="2782" w:type="dxa"/>
          </w:tcPr>
          <w:p w14:paraId="3B993D29" w14:textId="302CB7F0" w:rsidR="00587D54" w:rsidRPr="00900ADE" w:rsidRDefault="00587D54" w:rsidP="00587D54">
            <w:pPr>
              <w:pStyle w:val="TableText"/>
              <w:spacing w:before="20" w:after="20"/>
            </w:pPr>
            <w:r w:rsidRPr="00900ADE">
              <w:t>Chapter 70 state aid</w:t>
            </w:r>
            <w:r w:rsidR="00CE39EE" w:rsidRPr="00900ADE">
              <w:rPr>
                <w:vertAlign w:val="superscript"/>
              </w:rPr>
              <w:t xml:space="preserve"> </w:t>
            </w:r>
            <w:r w:rsidRPr="00900ADE">
              <w:rPr>
                <w:vertAlign w:val="superscript"/>
              </w:rPr>
              <w:t>a</w:t>
            </w:r>
          </w:p>
        </w:tc>
        <w:tc>
          <w:tcPr>
            <w:tcW w:w="2127" w:type="dxa"/>
            <w:vAlign w:val="center"/>
          </w:tcPr>
          <w:p w14:paraId="00CC190D" w14:textId="77777777" w:rsidR="00587D54" w:rsidRPr="00900ADE" w:rsidRDefault="00587D54" w:rsidP="00587D54">
            <w:pPr>
              <w:pStyle w:val="TableTextCentered"/>
              <w:spacing w:before="20" w:after="20"/>
            </w:pPr>
            <w:r w:rsidRPr="00900ADE">
              <w:t>$10,501,419</w:t>
            </w:r>
          </w:p>
        </w:tc>
        <w:tc>
          <w:tcPr>
            <w:tcW w:w="2217" w:type="dxa"/>
            <w:vAlign w:val="center"/>
          </w:tcPr>
          <w:p w14:paraId="30E9C251" w14:textId="77777777" w:rsidR="00587D54" w:rsidRPr="00900ADE" w:rsidRDefault="00587D54" w:rsidP="00587D54">
            <w:pPr>
              <w:pStyle w:val="TableTextCentered"/>
              <w:spacing w:before="20" w:after="20"/>
            </w:pPr>
            <w:r w:rsidRPr="00900ADE">
              <w:t>$10,564,089</w:t>
            </w:r>
          </w:p>
        </w:tc>
        <w:tc>
          <w:tcPr>
            <w:tcW w:w="2218" w:type="dxa"/>
            <w:vAlign w:val="center"/>
          </w:tcPr>
          <w:p w14:paraId="12D078EB" w14:textId="77777777" w:rsidR="00587D54" w:rsidRPr="00900ADE" w:rsidRDefault="00587D54" w:rsidP="00587D54">
            <w:pPr>
              <w:pStyle w:val="TableTextCentered"/>
              <w:spacing w:before="20" w:after="20"/>
            </w:pPr>
            <w:r w:rsidRPr="00900ADE">
              <w:t>$10,691,349</w:t>
            </w:r>
          </w:p>
        </w:tc>
      </w:tr>
      <w:tr w:rsidR="00587D54" w:rsidRPr="00900ADE" w14:paraId="482C9765" w14:textId="77777777" w:rsidTr="00CE39EE">
        <w:tc>
          <w:tcPr>
            <w:tcW w:w="2782" w:type="dxa"/>
          </w:tcPr>
          <w:p w14:paraId="4F11BB02" w14:textId="77777777" w:rsidR="00587D54" w:rsidRPr="00900ADE" w:rsidRDefault="00587D54" w:rsidP="00587D54">
            <w:pPr>
              <w:pStyle w:val="TableText"/>
              <w:spacing w:before="20" w:after="20"/>
            </w:pPr>
            <w:r w:rsidRPr="00900ADE">
              <w:t>Required local contribution</w:t>
            </w:r>
          </w:p>
        </w:tc>
        <w:tc>
          <w:tcPr>
            <w:tcW w:w="2127" w:type="dxa"/>
            <w:vAlign w:val="center"/>
          </w:tcPr>
          <w:p w14:paraId="764012A4" w14:textId="77777777" w:rsidR="00587D54" w:rsidRPr="00900ADE" w:rsidRDefault="00587D54" w:rsidP="00587D54">
            <w:pPr>
              <w:pStyle w:val="TableTextCentered"/>
              <w:spacing w:before="20" w:after="20"/>
            </w:pPr>
            <w:r w:rsidRPr="00900ADE">
              <w:t>$16,885,292</w:t>
            </w:r>
          </w:p>
        </w:tc>
        <w:tc>
          <w:tcPr>
            <w:tcW w:w="2217" w:type="dxa"/>
            <w:vAlign w:val="center"/>
          </w:tcPr>
          <w:p w14:paraId="13181265" w14:textId="77777777" w:rsidR="00587D54" w:rsidRPr="00900ADE" w:rsidRDefault="00587D54" w:rsidP="00587D54">
            <w:pPr>
              <w:pStyle w:val="TableTextCentered"/>
              <w:spacing w:before="20" w:after="20"/>
            </w:pPr>
            <w:r w:rsidRPr="00900ADE">
              <w:t>$17,421,552</w:t>
            </w:r>
          </w:p>
        </w:tc>
        <w:tc>
          <w:tcPr>
            <w:tcW w:w="2218" w:type="dxa"/>
            <w:vAlign w:val="center"/>
          </w:tcPr>
          <w:p w14:paraId="1D866710" w14:textId="77777777" w:rsidR="00587D54" w:rsidRPr="00900ADE" w:rsidRDefault="00587D54" w:rsidP="00587D54">
            <w:pPr>
              <w:pStyle w:val="TableTextCentered"/>
              <w:spacing w:before="20" w:after="20"/>
            </w:pPr>
            <w:r w:rsidRPr="00900ADE">
              <w:t>$18,439,545</w:t>
            </w:r>
          </w:p>
        </w:tc>
      </w:tr>
      <w:tr w:rsidR="00587D54" w:rsidRPr="00900ADE" w14:paraId="31E16AA8" w14:textId="77777777" w:rsidTr="00CE39EE">
        <w:trPr>
          <w:cnfStyle w:val="000000100000" w:firstRow="0" w:lastRow="0" w:firstColumn="0" w:lastColumn="0" w:oddVBand="0" w:evenVBand="0" w:oddHBand="1" w:evenHBand="0" w:firstRowFirstColumn="0" w:firstRowLastColumn="0" w:lastRowFirstColumn="0" w:lastRowLastColumn="0"/>
        </w:trPr>
        <w:tc>
          <w:tcPr>
            <w:tcW w:w="2782" w:type="dxa"/>
          </w:tcPr>
          <w:p w14:paraId="71B8DB93" w14:textId="3E992D28" w:rsidR="00587D54" w:rsidRPr="00900ADE" w:rsidRDefault="00587D54" w:rsidP="00587D54">
            <w:pPr>
              <w:pStyle w:val="TableText"/>
              <w:spacing w:before="20" w:after="20"/>
            </w:pPr>
            <w:r w:rsidRPr="00900ADE">
              <w:t>Required net school spending</w:t>
            </w:r>
            <w:r w:rsidR="00CE39EE" w:rsidRPr="00900ADE">
              <w:rPr>
                <w:vertAlign w:val="superscript"/>
              </w:rPr>
              <w:t xml:space="preserve"> </w:t>
            </w:r>
            <w:r w:rsidRPr="00900ADE">
              <w:rPr>
                <w:vertAlign w:val="superscript"/>
              </w:rPr>
              <w:t>b</w:t>
            </w:r>
          </w:p>
        </w:tc>
        <w:tc>
          <w:tcPr>
            <w:tcW w:w="2127" w:type="dxa"/>
            <w:vAlign w:val="center"/>
          </w:tcPr>
          <w:p w14:paraId="5BCC8718" w14:textId="77777777" w:rsidR="00587D54" w:rsidRPr="00900ADE" w:rsidRDefault="00587D54" w:rsidP="00587D54">
            <w:pPr>
              <w:pStyle w:val="TableTextCentered"/>
              <w:spacing w:before="20" w:after="20"/>
            </w:pPr>
            <w:r w:rsidRPr="00900ADE">
              <w:t>$27,386,711</w:t>
            </w:r>
          </w:p>
        </w:tc>
        <w:tc>
          <w:tcPr>
            <w:tcW w:w="2217" w:type="dxa"/>
            <w:vAlign w:val="center"/>
          </w:tcPr>
          <w:p w14:paraId="506784C0" w14:textId="77777777" w:rsidR="00587D54" w:rsidRPr="00900ADE" w:rsidRDefault="00587D54" w:rsidP="00587D54">
            <w:pPr>
              <w:pStyle w:val="TableTextCentered"/>
              <w:spacing w:before="20" w:after="20"/>
            </w:pPr>
            <w:r w:rsidRPr="00900ADE">
              <w:t>$27,985,641</w:t>
            </w:r>
          </w:p>
        </w:tc>
        <w:tc>
          <w:tcPr>
            <w:tcW w:w="2218" w:type="dxa"/>
            <w:vAlign w:val="center"/>
          </w:tcPr>
          <w:p w14:paraId="2E5C9C35" w14:textId="77777777" w:rsidR="00587D54" w:rsidRPr="00900ADE" w:rsidRDefault="00587D54" w:rsidP="00587D54">
            <w:pPr>
              <w:pStyle w:val="TableTextCentered"/>
              <w:spacing w:before="20" w:after="20"/>
            </w:pPr>
            <w:r w:rsidRPr="00900ADE">
              <w:t>$29,130,894</w:t>
            </w:r>
          </w:p>
        </w:tc>
      </w:tr>
      <w:tr w:rsidR="00587D54" w:rsidRPr="00900ADE" w14:paraId="368D73C1" w14:textId="77777777" w:rsidTr="00CE39EE">
        <w:tc>
          <w:tcPr>
            <w:tcW w:w="2782" w:type="dxa"/>
          </w:tcPr>
          <w:p w14:paraId="2FC57ADC" w14:textId="77777777" w:rsidR="00587D54" w:rsidRPr="00900ADE" w:rsidRDefault="00587D54" w:rsidP="00587D54">
            <w:pPr>
              <w:pStyle w:val="TableText"/>
              <w:spacing w:before="20" w:after="20"/>
            </w:pPr>
            <w:r w:rsidRPr="00900ADE">
              <w:t>Actual net school spending</w:t>
            </w:r>
          </w:p>
        </w:tc>
        <w:tc>
          <w:tcPr>
            <w:tcW w:w="2127" w:type="dxa"/>
            <w:vAlign w:val="center"/>
          </w:tcPr>
          <w:p w14:paraId="46071CDE" w14:textId="77777777" w:rsidR="00587D54" w:rsidRPr="00900ADE" w:rsidRDefault="00587D54" w:rsidP="00587D54">
            <w:pPr>
              <w:pStyle w:val="TableTextCentered"/>
              <w:spacing w:before="20" w:after="20"/>
            </w:pPr>
            <w:r w:rsidRPr="00900ADE">
              <w:t>$34,056,872</w:t>
            </w:r>
          </w:p>
        </w:tc>
        <w:tc>
          <w:tcPr>
            <w:tcW w:w="2217" w:type="dxa"/>
            <w:vAlign w:val="center"/>
          </w:tcPr>
          <w:p w14:paraId="19EB4D6A" w14:textId="77777777" w:rsidR="00587D54" w:rsidRPr="00900ADE" w:rsidRDefault="00587D54" w:rsidP="00587D54">
            <w:pPr>
              <w:pStyle w:val="TableTextCentered"/>
              <w:spacing w:before="20" w:after="20"/>
            </w:pPr>
            <w:r w:rsidRPr="00900ADE">
              <w:t>$35,096,750</w:t>
            </w:r>
          </w:p>
        </w:tc>
        <w:tc>
          <w:tcPr>
            <w:tcW w:w="2218" w:type="dxa"/>
            <w:vAlign w:val="center"/>
          </w:tcPr>
          <w:p w14:paraId="73058A09" w14:textId="77777777" w:rsidR="00587D54" w:rsidRPr="00900ADE" w:rsidRDefault="00587D54" w:rsidP="00587D54">
            <w:pPr>
              <w:pStyle w:val="TableTextCentered"/>
              <w:spacing w:before="20" w:after="20"/>
            </w:pPr>
            <w:r w:rsidRPr="00900ADE">
              <w:t>$35,361,531</w:t>
            </w:r>
          </w:p>
        </w:tc>
      </w:tr>
      <w:tr w:rsidR="00587D54" w:rsidRPr="00900ADE" w14:paraId="25AA0872" w14:textId="77777777" w:rsidTr="00CE39EE">
        <w:trPr>
          <w:cnfStyle w:val="000000100000" w:firstRow="0" w:lastRow="0" w:firstColumn="0" w:lastColumn="0" w:oddVBand="0" w:evenVBand="0" w:oddHBand="1" w:evenHBand="0" w:firstRowFirstColumn="0" w:firstRowLastColumn="0" w:lastRowFirstColumn="0" w:lastRowLastColumn="0"/>
        </w:trPr>
        <w:tc>
          <w:tcPr>
            <w:tcW w:w="2782" w:type="dxa"/>
          </w:tcPr>
          <w:p w14:paraId="6B9E8FF2" w14:textId="77777777" w:rsidR="00587D54" w:rsidRPr="00900ADE" w:rsidRDefault="00587D54" w:rsidP="00587D54">
            <w:pPr>
              <w:pStyle w:val="TableText"/>
              <w:spacing w:before="20" w:after="20"/>
            </w:pPr>
            <w:r w:rsidRPr="00900ADE">
              <w:t>Over/under required ($)</w:t>
            </w:r>
          </w:p>
        </w:tc>
        <w:tc>
          <w:tcPr>
            <w:tcW w:w="2127" w:type="dxa"/>
            <w:vAlign w:val="center"/>
          </w:tcPr>
          <w:p w14:paraId="3D053924" w14:textId="77777777" w:rsidR="00587D54" w:rsidRPr="00900ADE" w:rsidRDefault="00587D54" w:rsidP="00587D54">
            <w:pPr>
              <w:pStyle w:val="TableTextCentered"/>
              <w:spacing w:before="20" w:after="20"/>
            </w:pPr>
            <w:r w:rsidRPr="00900ADE">
              <w:t>$6,670,161</w:t>
            </w:r>
          </w:p>
        </w:tc>
        <w:tc>
          <w:tcPr>
            <w:tcW w:w="2217" w:type="dxa"/>
            <w:vAlign w:val="center"/>
          </w:tcPr>
          <w:p w14:paraId="0C6DE83B" w14:textId="77777777" w:rsidR="00587D54" w:rsidRPr="00900ADE" w:rsidRDefault="00587D54" w:rsidP="00587D54">
            <w:pPr>
              <w:pStyle w:val="TableTextCentered"/>
              <w:spacing w:before="20" w:after="20"/>
            </w:pPr>
            <w:r w:rsidRPr="00900ADE">
              <w:t>$7,111,109</w:t>
            </w:r>
          </w:p>
        </w:tc>
        <w:tc>
          <w:tcPr>
            <w:tcW w:w="2218" w:type="dxa"/>
            <w:vAlign w:val="center"/>
          </w:tcPr>
          <w:p w14:paraId="6F72E437" w14:textId="77777777" w:rsidR="00587D54" w:rsidRPr="00900ADE" w:rsidRDefault="00587D54" w:rsidP="00587D54">
            <w:pPr>
              <w:pStyle w:val="TableTextCentered"/>
              <w:spacing w:before="20" w:after="20"/>
            </w:pPr>
            <w:r w:rsidRPr="00900ADE">
              <w:t>$6,230,637</w:t>
            </w:r>
          </w:p>
        </w:tc>
      </w:tr>
      <w:tr w:rsidR="00587D54" w:rsidRPr="00900ADE" w14:paraId="2ED10BEC" w14:textId="77777777" w:rsidTr="00CE39EE">
        <w:tc>
          <w:tcPr>
            <w:tcW w:w="2782" w:type="dxa"/>
          </w:tcPr>
          <w:p w14:paraId="0712B7A3" w14:textId="77777777" w:rsidR="00587D54" w:rsidRPr="00900ADE" w:rsidRDefault="00587D54" w:rsidP="00587D54">
            <w:pPr>
              <w:pStyle w:val="TableText"/>
              <w:spacing w:before="20" w:after="20"/>
            </w:pPr>
            <w:r w:rsidRPr="00900ADE">
              <w:t>Over/under required (%)</w:t>
            </w:r>
          </w:p>
        </w:tc>
        <w:tc>
          <w:tcPr>
            <w:tcW w:w="2127" w:type="dxa"/>
            <w:vAlign w:val="center"/>
          </w:tcPr>
          <w:p w14:paraId="741BA0DC" w14:textId="77777777" w:rsidR="00587D54" w:rsidRPr="00900ADE" w:rsidRDefault="00587D54" w:rsidP="00587D54">
            <w:pPr>
              <w:pStyle w:val="TableTextCentered"/>
              <w:spacing w:before="20" w:after="20"/>
            </w:pPr>
            <w:r w:rsidRPr="00900ADE">
              <w:t>24.4%</w:t>
            </w:r>
          </w:p>
        </w:tc>
        <w:tc>
          <w:tcPr>
            <w:tcW w:w="2217" w:type="dxa"/>
            <w:vAlign w:val="center"/>
          </w:tcPr>
          <w:p w14:paraId="62F6FE0C" w14:textId="77777777" w:rsidR="00587D54" w:rsidRPr="00900ADE" w:rsidRDefault="00587D54" w:rsidP="00587D54">
            <w:pPr>
              <w:pStyle w:val="TableTextCentered"/>
              <w:spacing w:before="20" w:after="20"/>
            </w:pPr>
            <w:r w:rsidRPr="00900ADE">
              <w:t>25.4%</w:t>
            </w:r>
          </w:p>
        </w:tc>
        <w:tc>
          <w:tcPr>
            <w:tcW w:w="2218" w:type="dxa"/>
            <w:vAlign w:val="center"/>
          </w:tcPr>
          <w:p w14:paraId="387D0261" w14:textId="77777777" w:rsidR="00587D54" w:rsidRPr="00900ADE" w:rsidRDefault="00587D54" w:rsidP="00587D54">
            <w:pPr>
              <w:pStyle w:val="TableTextCentered"/>
              <w:spacing w:before="20" w:after="20"/>
            </w:pPr>
            <w:r w:rsidRPr="00900ADE">
              <w:t>21.4%</w:t>
            </w:r>
          </w:p>
        </w:tc>
      </w:tr>
    </w:tbl>
    <w:p w14:paraId="24C3178E" w14:textId="77777777" w:rsidR="00587D54" w:rsidRPr="00900ADE" w:rsidRDefault="00587D54" w:rsidP="00587D54">
      <w:pPr>
        <w:pStyle w:val="TableNote"/>
      </w:pPr>
      <w:r w:rsidRPr="00900ADE">
        <w:rPr>
          <w:i/>
          <w:iCs/>
        </w:rPr>
        <w:t>Note</w:t>
      </w:r>
      <w:r w:rsidRPr="00900ADE">
        <w:t>. Chapter 70 aid to education from Chapter 70 District Profiles sourced from</w:t>
      </w:r>
      <w:r w:rsidRPr="00900ADE">
        <w:rPr>
          <w:rFonts w:eastAsiaTheme="minorHAnsi" w:cstheme="minorBidi"/>
          <w:sz w:val="22"/>
          <w:szCs w:val="22"/>
        </w:rPr>
        <w:t xml:space="preserve"> </w:t>
      </w:r>
      <w:hyperlink r:id="rId108" w:history="1">
        <w:r w:rsidRPr="00900ADE">
          <w:rPr>
            <w:rStyle w:val="Hyperlink"/>
          </w:rPr>
          <w:t>Chapter 70 Program - School Finance</w:t>
        </w:r>
      </w:hyperlink>
      <w:r w:rsidRPr="00900ADE">
        <w:t xml:space="preserve"> last updated August 8, 2024.</w:t>
      </w:r>
    </w:p>
    <w:p w14:paraId="679B516C" w14:textId="45426106" w:rsidR="00C33E09" w:rsidRPr="00900ADE" w:rsidRDefault="00587D54" w:rsidP="00587D54">
      <w:pPr>
        <w:pStyle w:val="TableNote"/>
        <w:spacing w:before="0"/>
        <w:rPr>
          <w:rFonts w:ascii="Calibri" w:eastAsia="Calibri" w:hAnsi="Calibri"/>
          <w:szCs w:val="20"/>
        </w:rPr>
      </w:pPr>
      <w:r w:rsidRPr="00900ADE">
        <w:rPr>
          <w:vertAlign w:val="superscript"/>
        </w:rPr>
        <w:t xml:space="preserve">a </w:t>
      </w:r>
      <w:r w:rsidRPr="00900ADE">
        <w:t xml:space="preserve">Chapter 70 state aid funds are deposited in the local general fund and spent as local appropriations. </w:t>
      </w:r>
      <w:r w:rsidR="003A7D47" w:rsidRPr="00900ADE">
        <w:br/>
      </w:r>
      <w:r w:rsidRPr="00900ADE">
        <w:rPr>
          <w:vertAlign w:val="superscript"/>
        </w:rPr>
        <w:t xml:space="preserve">b </w:t>
      </w:r>
      <w:r w:rsidRPr="00900ADE">
        <w:t>Required net school spending is the total of Chapter 70 aid and required local contribution. Net school spending includes only expenditures from local appropriations, not revolving funds, and grants. It includes expenditures for most administration, instruction</w:t>
      </w:r>
      <w:r w:rsidR="003A1B37" w:rsidRPr="00CB0607">
        <w:t>, operations, and out-of-district tuitions. It does not include transportation, school lunches, debt, or capital.</w:t>
      </w:r>
    </w:p>
    <w:p w14:paraId="4C8F776C" w14:textId="77777777" w:rsidR="00C33E09" w:rsidRPr="00900ADE" w:rsidRDefault="00C33E09" w:rsidP="00C33E09">
      <w:pPr>
        <w:pStyle w:val="TableTitle0"/>
        <w:sectPr w:rsidR="00C33E09" w:rsidRPr="00900ADE" w:rsidSect="00694BF2">
          <w:footerReference w:type="default" r:id="rId109"/>
          <w:type w:val="continuous"/>
          <w:pgSz w:w="12240" w:h="15840" w:code="1"/>
          <w:pgMar w:top="1440" w:right="1440" w:bottom="1440" w:left="1440" w:header="720" w:footer="720" w:gutter="0"/>
          <w:pgNumType w:start="0"/>
          <w:cols w:space="720"/>
          <w:docGrid w:linePitch="360"/>
        </w:sectPr>
      </w:pPr>
    </w:p>
    <w:p w14:paraId="08CE4FC3" w14:textId="77777777" w:rsidR="00587D54" w:rsidRPr="00900ADE" w:rsidRDefault="00587D54" w:rsidP="00587D54">
      <w:pPr>
        <w:pStyle w:val="TableTitle0"/>
        <w:spacing w:before="0"/>
      </w:pPr>
      <w:r w:rsidRPr="00900ADE">
        <w:lastRenderedPageBreak/>
        <w:t>Table D6. Expenditures Per In-District Pupil, Fiscal Years 2021-2023</w:t>
      </w:r>
    </w:p>
    <w:tbl>
      <w:tblPr>
        <w:tblStyle w:val="MSVTable1"/>
        <w:tblW w:w="5000" w:type="pct"/>
        <w:tblLayout w:type="fixed"/>
        <w:tblLook w:val="0420" w:firstRow="1" w:lastRow="0" w:firstColumn="0" w:lastColumn="0" w:noHBand="0" w:noVBand="1"/>
      </w:tblPr>
      <w:tblGrid>
        <w:gridCol w:w="5246"/>
        <w:gridCol w:w="1366"/>
        <w:gridCol w:w="1366"/>
        <w:gridCol w:w="1366"/>
      </w:tblGrid>
      <w:tr w:rsidR="00587D54" w:rsidRPr="00900ADE" w14:paraId="07940AFA" w14:textId="77777777" w:rsidTr="00623983">
        <w:trPr>
          <w:cnfStyle w:val="100000000000" w:firstRow="1" w:lastRow="0" w:firstColumn="0" w:lastColumn="0" w:oddVBand="0" w:evenVBand="0" w:oddHBand="0" w:evenHBand="0" w:firstRowFirstColumn="0" w:firstRowLastColumn="0" w:lastRowFirstColumn="0" w:lastRowLastColumn="0"/>
          <w:tblHeader/>
        </w:trPr>
        <w:tc>
          <w:tcPr>
            <w:tcW w:w="5246" w:type="dxa"/>
          </w:tcPr>
          <w:p w14:paraId="6DD69772" w14:textId="77777777" w:rsidR="00587D54" w:rsidRPr="00900ADE" w:rsidRDefault="00587D54" w:rsidP="00587D54">
            <w:pPr>
              <w:pStyle w:val="TableColHeadingLeft"/>
            </w:pPr>
            <w:r w:rsidRPr="00900ADE">
              <w:t>Expenditure category</w:t>
            </w:r>
          </w:p>
        </w:tc>
        <w:tc>
          <w:tcPr>
            <w:tcW w:w="1366" w:type="dxa"/>
          </w:tcPr>
          <w:p w14:paraId="5C7CE5AD" w14:textId="24018E95" w:rsidR="00587D54" w:rsidRPr="00900ADE" w:rsidRDefault="40E1604C" w:rsidP="00587D54">
            <w:pPr>
              <w:pStyle w:val="TableColHeadingCenter"/>
            </w:pPr>
            <w:r>
              <w:t>FY</w:t>
            </w:r>
            <w:r w:rsidR="003A7D47">
              <w:t xml:space="preserve"> </w:t>
            </w:r>
            <w:r w:rsidR="00587D54">
              <w:t>2021</w:t>
            </w:r>
          </w:p>
        </w:tc>
        <w:tc>
          <w:tcPr>
            <w:tcW w:w="1366" w:type="dxa"/>
          </w:tcPr>
          <w:p w14:paraId="3E840207" w14:textId="29A422E2" w:rsidR="00587D54" w:rsidRPr="00900ADE" w:rsidRDefault="34CC447D" w:rsidP="00587D54">
            <w:pPr>
              <w:pStyle w:val="TableColHeadingCenter"/>
            </w:pPr>
            <w:r>
              <w:t>FY</w:t>
            </w:r>
            <w:r w:rsidR="003A7D47">
              <w:t xml:space="preserve"> </w:t>
            </w:r>
            <w:r w:rsidR="00587D54">
              <w:t>2022</w:t>
            </w:r>
          </w:p>
        </w:tc>
        <w:tc>
          <w:tcPr>
            <w:tcW w:w="1366" w:type="dxa"/>
          </w:tcPr>
          <w:p w14:paraId="694E9AC3" w14:textId="5F5249B2" w:rsidR="00587D54" w:rsidRPr="00900ADE" w:rsidRDefault="0F7E39A1" w:rsidP="00587D54">
            <w:pPr>
              <w:pStyle w:val="TableColHeadingCenter"/>
            </w:pPr>
            <w:r>
              <w:t>FY</w:t>
            </w:r>
            <w:r w:rsidR="003A7D47">
              <w:t xml:space="preserve"> </w:t>
            </w:r>
            <w:r w:rsidR="00587D54">
              <w:t>2023</w:t>
            </w:r>
          </w:p>
        </w:tc>
      </w:tr>
      <w:tr w:rsidR="00587D54" w:rsidRPr="00900ADE" w14:paraId="32A6063C"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575CE05" w14:textId="77777777" w:rsidR="00587D54" w:rsidRPr="00900ADE" w:rsidRDefault="00587D54" w:rsidP="00587D54">
            <w:pPr>
              <w:pStyle w:val="TableText"/>
            </w:pPr>
            <w:r w:rsidRPr="00900ADE">
              <w:t>Administration</w:t>
            </w:r>
          </w:p>
        </w:tc>
        <w:tc>
          <w:tcPr>
            <w:tcW w:w="1366" w:type="dxa"/>
            <w:vAlign w:val="bottom"/>
          </w:tcPr>
          <w:p w14:paraId="236D6E4F" w14:textId="77777777" w:rsidR="00587D54" w:rsidRPr="00900ADE" w:rsidRDefault="00587D54" w:rsidP="00587D54">
            <w:pPr>
              <w:pStyle w:val="TableTextCentered"/>
            </w:pPr>
            <w:r w:rsidRPr="00900ADE">
              <w:t>$453</w:t>
            </w:r>
          </w:p>
        </w:tc>
        <w:tc>
          <w:tcPr>
            <w:tcW w:w="1366" w:type="dxa"/>
            <w:vAlign w:val="bottom"/>
          </w:tcPr>
          <w:p w14:paraId="382D9408" w14:textId="77777777" w:rsidR="00587D54" w:rsidRPr="00900ADE" w:rsidRDefault="00587D54" w:rsidP="00587D54">
            <w:pPr>
              <w:pStyle w:val="TableTextCentered"/>
            </w:pPr>
            <w:r w:rsidRPr="00900ADE">
              <w:t>$555</w:t>
            </w:r>
          </w:p>
        </w:tc>
        <w:tc>
          <w:tcPr>
            <w:tcW w:w="1366" w:type="dxa"/>
            <w:vAlign w:val="bottom"/>
          </w:tcPr>
          <w:p w14:paraId="4794CDBF" w14:textId="77777777" w:rsidR="00587D54" w:rsidRPr="00900ADE" w:rsidRDefault="00587D54" w:rsidP="00587D54">
            <w:pPr>
              <w:pStyle w:val="TableTextCentered"/>
            </w:pPr>
            <w:r w:rsidRPr="00900ADE">
              <w:t>$526</w:t>
            </w:r>
          </w:p>
        </w:tc>
      </w:tr>
      <w:tr w:rsidR="00587D54" w:rsidRPr="00900ADE" w14:paraId="7EF67496" w14:textId="77777777">
        <w:tc>
          <w:tcPr>
            <w:tcW w:w="5246" w:type="dxa"/>
          </w:tcPr>
          <w:p w14:paraId="2649EA37" w14:textId="77777777" w:rsidR="00587D54" w:rsidRPr="00900ADE" w:rsidRDefault="00587D54" w:rsidP="00587D54">
            <w:pPr>
              <w:pStyle w:val="TableText"/>
            </w:pPr>
            <w:r w:rsidRPr="00900ADE">
              <w:t>Instructional leadership (district and school)</w:t>
            </w:r>
          </w:p>
        </w:tc>
        <w:tc>
          <w:tcPr>
            <w:tcW w:w="1366" w:type="dxa"/>
            <w:vAlign w:val="bottom"/>
          </w:tcPr>
          <w:p w14:paraId="7CAAFF37" w14:textId="77777777" w:rsidR="00587D54" w:rsidRPr="00900ADE" w:rsidRDefault="00587D54" w:rsidP="00587D54">
            <w:pPr>
              <w:pStyle w:val="TableTextCentered"/>
            </w:pPr>
            <w:r w:rsidRPr="00900ADE">
              <w:t>$1,369</w:t>
            </w:r>
          </w:p>
        </w:tc>
        <w:tc>
          <w:tcPr>
            <w:tcW w:w="1366" w:type="dxa"/>
            <w:vAlign w:val="bottom"/>
          </w:tcPr>
          <w:p w14:paraId="470DECDF" w14:textId="77777777" w:rsidR="00587D54" w:rsidRPr="00900ADE" w:rsidRDefault="00587D54" w:rsidP="00587D54">
            <w:pPr>
              <w:pStyle w:val="TableTextCentered"/>
            </w:pPr>
            <w:r w:rsidRPr="00900ADE">
              <w:t>$1,197</w:t>
            </w:r>
          </w:p>
        </w:tc>
        <w:tc>
          <w:tcPr>
            <w:tcW w:w="1366" w:type="dxa"/>
            <w:vAlign w:val="bottom"/>
          </w:tcPr>
          <w:p w14:paraId="7C4505A5" w14:textId="77777777" w:rsidR="00587D54" w:rsidRPr="00900ADE" w:rsidRDefault="00587D54" w:rsidP="00587D54">
            <w:pPr>
              <w:pStyle w:val="TableTextCentered"/>
            </w:pPr>
            <w:r w:rsidRPr="00900ADE">
              <w:t>$1,154</w:t>
            </w:r>
          </w:p>
        </w:tc>
      </w:tr>
      <w:tr w:rsidR="00587D54" w:rsidRPr="00900ADE" w14:paraId="5E47061A"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FE3A331" w14:textId="77777777" w:rsidR="00587D54" w:rsidRPr="00900ADE" w:rsidRDefault="00587D54" w:rsidP="00587D54">
            <w:pPr>
              <w:pStyle w:val="TableText"/>
            </w:pPr>
            <w:r w:rsidRPr="00900ADE">
              <w:t>Teachers</w:t>
            </w:r>
          </w:p>
        </w:tc>
        <w:tc>
          <w:tcPr>
            <w:tcW w:w="1366" w:type="dxa"/>
            <w:vAlign w:val="bottom"/>
          </w:tcPr>
          <w:p w14:paraId="6AF85CA6" w14:textId="77777777" w:rsidR="00587D54" w:rsidRPr="00900ADE" w:rsidRDefault="00587D54" w:rsidP="00587D54">
            <w:pPr>
              <w:pStyle w:val="TableTextCentered"/>
            </w:pPr>
            <w:r w:rsidRPr="00900ADE">
              <w:t>$6,266</w:t>
            </w:r>
          </w:p>
        </w:tc>
        <w:tc>
          <w:tcPr>
            <w:tcW w:w="1366" w:type="dxa"/>
            <w:vAlign w:val="bottom"/>
          </w:tcPr>
          <w:p w14:paraId="550741F1" w14:textId="77777777" w:rsidR="00587D54" w:rsidRPr="00900ADE" w:rsidRDefault="00587D54" w:rsidP="00587D54">
            <w:pPr>
              <w:pStyle w:val="TableTextCentered"/>
            </w:pPr>
            <w:r w:rsidRPr="00900ADE">
              <w:t>$6,408</w:t>
            </w:r>
          </w:p>
        </w:tc>
        <w:tc>
          <w:tcPr>
            <w:tcW w:w="1366" w:type="dxa"/>
            <w:vAlign w:val="bottom"/>
          </w:tcPr>
          <w:p w14:paraId="12799B49" w14:textId="77777777" w:rsidR="00587D54" w:rsidRPr="00900ADE" w:rsidRDefault="00587D54" w:rsidP="00587D54">
            <w:pPr>
              <w:pStyle w:val="TableTextCentered"/>
            </w:pPr>
            <w:r w:rsidRPr="00900ADE">
              <w:t>$6,885</w:t>
            </w:r>
          </w:p>
        </w:tc>
      </w:tr>
      <w:tr w:rsidR="00587D54" w:rsidRPr="00900ADE" w14:paraId="45ACD439" w14:textId="77777777">
        <w:tc>
          <w:tcPr>
            <w:tcW w:w="5246" w:type="dxa"/>
          </w:tcPr>
          <w:p w14:paraId="65C1F154" w14:textId="77777777" w:rsidR="00587D54" w:rsidRPr="00900ADE" w:rsidDel="00DB21D5" w:rsidRDefault="00587D54" w:rsidP="00587D54">
            <w:pPr>
              <w:pStyle w:val="TableText"/>
            </w:pPr>
            <w:r w:rsidRPr="00900ADE">
              <w:t>Other teaching services</w:t>
            </w:r>
          </w:p>
        </w:tc>
        <w:tc>
          <w:tcPr>
            <w:tcW w:w="1366" w:type="dxa"/>
            <w:vAlign w:val="bottom"/>
          </w:tcPr>
          <w:p w14:paraId="5C541435" w14:textId="77777777" w:rsidR="00587D54" w:rsidRPr="00900ADE" w:rsidRDefault="00587D54" w:rsidP="00587D54">
            <w:pPr>
              <w:pStyle w:val="TableTextCentered"/>
            </w:pPr>
            <w:r w:rsidRPr="00900ADE">
              <w:t>$1,591</w:t>
            </w:r>
          </w:p>
        </w:tc>
        <w:tc>
          <w:tcPr>
            <w:tcW w:w="1366" w:type="dxa"/>
            <w:vAlign w:val="bottom"/>
          </w:tcPr>
          <w:p w14:paraId="2098164A" w14:textId="77777777" w:rsidR="00587D54" w:rsidRPr="00900ADE" w:rsidRDefault="00587D54" w:rsidP="00587D54">
            <w:pPr>
              <w:pStyle w:val="TableTextCentered"/>
            </w:pPr>
            <w:r w:rsidRPr="00900ADE">
              <w:t>$1,199</w:t>
            </w:r>
          </w:p>
        </w:tc>
        <w:tc>
          <w:tcPr>
            <w:tcW w:w="1366" w:type="dxa"/>
            <w:vAlign w:val="bottom"/>
          </w:tcPr>
          <w:p w14:paraId="059BD0FB" w14:textId="77777777" w:rsidR="00587D54" w:rsidRPr="00900ADE" w:rsidRDefault="00587D54" w:rsidP="00587D54">
            <w:pPr>
              <w:pStyle w:val="TableTextCentered"/>
            </w:pPr>
            <w:r w:rsidRPr="00900ADE">
              <w:t>$1,209</w:t>
            </w:r>
          </w:p>
        </w:tc>
      </w:tr>
      <w:tr w:rsidR="00587D54" w:rsidRPr="00900ADE" w14:paraId="7CF2AAFD"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2565A8A" w14:textId="77777777" w:rsidR="00587D54" w:rsidRPr="00900ADE" w:rsidRDefault="00587D54" w:rsidP="00587D54">
            <w:pPr>
              <w:pStyle w:val="TableText"/>
            </w:pPr>
            <w:r w:rsidRPr="00900ADE">
              <w:t>Professional development</w:t>
            </w:r>
          </w:p>
        </w:tc>
        <w:tc>
          <w:tcPr>
            <w:tcW w:w="1366" w:type="dxa"/>
            <w:vAlign w:val="bottom"/>
          </w:tcPr>
          <w:p w14:paraId="15DC0CB8" w14:textId="77777777" w:rsidR="00587D54" w:rsidRPr="00900ADE" w:rsidRDefault="00587D54" w:rsidP="00587D54">
            <w:pPr>
              <w:pStyle w:val="TableTextCentered"/>
            </w:pPr>
            <w:r w:rsidRPr="00900ADE">
              <w:t>$84</w:t>
            </w:r>
          </w:p>
        </w:tc>
        <w:tc>
          <w:tcPr>
            <w:tcW w:w="1366" w:type="dxa"/>
            <w:vAlign w:val="bottom"/>
          </w:tcPr>
          <w:p w14:paraId="35E0A53E" w14:textId="77777777" w:rsidR="00587D54" w:rsidRPr="00900ADE" w:rsidRDefault="00587D54" w:rsidP="00587D54">
            <w:pPr>
              <w:pStyle w:val="TableTextCentered"/>
            </w:pPr>
            <w:r w:rsidRPr="00900ADE">
              <w:t>$49</w:t>
            </w:r>
          </w:p>
        </w:tc>
        <w:tc>
          <w:tcPr>
            <w:tcW w:w="1366" w:type="dxa"/>
            <w:vAlign w:val="bottom"/>
          </w:tcPr>
          <w:p w14:paraId="0630106C" w14:textId="77777777" w:rsidR="00587D54" w:rsidRPr="00900ADE" w:rsidRDefault="00587D54" w:rsidP="00587D54">
            <w:pPr>
              <w:pStyle w:val="TableTextCentered"/>
            </w:pPr>
            <w:r w:rsidRPr="00900ADE">
              <w:t>$117</w:t>
            </w:r>
          </w:p>
        </w:tc>
      </w:tr>
      <w:tr w:rsidR="00587D54" w:rsidRPr="00900ADE" w14:paraId="55247456" w14:textId="77777777">
        <w:tc>
          <w:tcPr>
            <w:tcW w:w="5246" w:type="dxa"/>
          </w:tcPr>
          <w:p w14:paraId="0496AF1D" w14:textId="77777777" w:rsidR="00587D54" w:rsidRPr="00900ADE" w:rsidRDefault="00587D54" w:rsidP="00587D54">
            <w:pPr>
              <w:pStyle w:val="TableText"/>
            </w:pPr>
            <w:r w:rsidRPr="00900ADE">
              <w:t>Instructional materials, equipment, and technology</w:t>
            </w:r>
          </w:p>
        </w:tc>
        <w:tc>
          <w:tcPr>
            <w:tcW w:w="1366" w:type="dxa"/>
            <w:vAlign w:val="bottom"/>
          </w:tcPr>
          <w:p w14:paraId="23C8A11C" w14:textId="77777777" w:rsidR="00587D54" w:rsidRPr="00900ADE" w:rsidRDefault="00587D54" w:rsidP="00587D54">
            <w:pPr>
              <w:pStyle w:val="TableTextCentered"/>
            </w:pPr>
            <w:r w:rsidRPr="00900ADE">
              <w:t>$326</w:t>
            </w:r>
          </w:p>
        </w:tc>
        <w:tc>
          <w:tcPr>
            <w:tcW w:w="1366" w:type="dxa"/>
            <w:vAlign w:val="bottom"/>
          </w:tcPr>
          <w:p w14:paraId="62D98424" w14:textId="77777777" w:rsidR="00587D54" w:rsidRPr="00900ADE" w:rsidRDefault="00587D54" w:rsidP="00587D54">
            <w:pPr>
              <w:pStyle w:val="TableTextCentered"/>
            </w:pPr>
            <w:r w:rsidRPr="00900ADE">
              <w:t>$566</w:t>
            </w:r>
          </w:p>
        </w:tc>
        <w:tc>
          <w:tcPr>
            <w:tcW w:w="1366" w:type="dxa"/>
            <w:vAlign w:val="bottom"/>
          </w:tcPr>
          <w:p w14:paraId="4DAF322B" w14:textId="77777777" w:rsidR="00587D54" w:rsidRPr="00900ADE" w:rsidRDefault="00587D54" w:rsidP="00587D54">
            <w:pPr>
              <w:pStyle w:val="TableTextCentered"/>
            </w:pPr>
            <w:r w:rsidRPr="00900ADE">
              <w:t>$608</w:t>
            </w:r>
          </w:p>
        </w:tc>
      </w:tr>
      <w:tr w:rsidR="00587D54" w:rsidRPr="00900ADE" w14:paraId="6122436E"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28FE37A" w14:textId="77777777" w:rsidR="00587D54" w:rsidRPr="00900ADE" w:rsidRDefault="00587D54" w:rsidP="00587D54">
            <w:pPr>
              <w:pStyle w:val="TableText"/>
            </w:pPr>
            <w:r w:rsidRPr="00900ADE">
              <w:t>Guidance, counseling, and testing services</w:t>
            </w:r>
          </w:p>
        </w:tc>
        <w:tc>
          <w:tcPr>
            <w:tcW w:w="1366" w:type="dxa"/>
            <w:vAlign w:val="bottom"/>
          </w:tcPr>
          <w:p w14:paraId="1516B02A" w14:textId="77777777" w:rsidR="00587D54" w:rsidRPr="00900ADE" w:rsidRDefault="00587D54" w:rsidP="00587D54">
            <w:pPr>
              <w:pStyle w:val="TableTextCentered"/>
            </w:pPr>
            <w:r w:rsidRPr="00900ADE">
              <w:t>$623</w:t>
            </w:r>
          </w:p>
        </w:tc>
        <w:tc>
          <w:tcPr>
            <w:tcW w:w="1366" w:type="dxa"/>
            <w:vAlign w:val="bottom"/>
          </w:tcPr>
          <w:p w14:paraId="22710404" w14:textId="77777777" w:rsidR="00587D54" w:rsidRPr="00900ADE" w:rsidRDefault="00587D54" w:rsidP="00587D54">
            <w:pPr>
              <w:pStyle w:val="TableTextCentered"/>
            </w:pPr>
            <w:r w:rsidRPr="00900ADE">
              <w:t>$785</w:t>
            </w:r>
          </w:p>
        </w:tc>
        <w:tc>
          <w:tcPr>
            <w:tcW w:w="1366" w:type="dxa"/>
            <w:vAlign w:val="bottom"/>
          </w:tcPr>
          <w:p w14:paraId="64B3CF3D" w14:textId="77777777" w:rsidR="00587D54" w:rsidRPr="00900ADE" w:rsidRDefault="00587D54" w:rsidP="00587D54">
            <w:pPr>
              <w:pStyle w:val="TableTextCentered"/>
            </w:pPr>
            <w:r w:rsidRPr="00900ADE">
              <w:t>$852</w:t>
            </w:r>
          </w:p>
        </w:tc>
      </w:tr>
      <w:tr w:rsidR="00587D54" w:rsidRPr="00900ADE" w14:paraId="348A06E2" w14:textId="77777777">
        <w:tc>
          <w:tcPr>
            <w:tcW w:w="5246" w:type="dxa"/>
          </w:tcPr>
          <w:p w14:paraId="7A81BEDB" w14:textId="77777777" w:rsidR="00587D54" w:rsidRPr="00900ADE" w:rsidRDefault="00587D54" w:rsidP="00587D54">
            <w:pPr>
              <w:pStyle w:val="TableText"/>
            </w:pPr>
            <w:r w:rsidRPr="00900ADE">
              <w:t>Pupil services</w:t>
            </w:r>
          </w:p>
        </w:tc>
        <w:tc>
          <w:tcPr>
            <w:tcW w:w="1366" w:type="dxa"/>
            <w:vAlign w:val="bottom"/>
          </w:tcPr>
          <w:p w14:paraId="5E83C6FA" w14:textId="77777777" w:rsidR="00587D54" w:rsidRPr="00900ADE" w:rsidRDefault="00587D54" w:rsidP="00587D54">
            <w:pPr>
              <w:pStyle w:val="TableTextCentered"/>
            </w:pPr>
            <w:r w:rsidRPr="00900ADE">
              <w:t>$1,418</w:t>
            </w:r>
          </w:p>
        </w:tc>
        <w:tc>
          <w:tcPr>
            <w:tcW w:w="1366" w:type="dxa"/>
            <w:vAlign w:val="bottom"/>
          </w:tcPr>
          <w:p w14:paraId="0075428F" w14:textId="77777777" w:rsidR="00587D54" w:rsidRPr="00900ADE" w:rsidRDefault="00587D54" w:rsidP="00587D54">
            <w:pPr>
              <w:pStyle w:val="TableTextCentered"/>
            </w:pPr>
            <w:r w:rsidRPr="00900ADE">
              <w:t>$1,678</w:t>
            </w:r>
          </w:p>
        </w:tc>
        <w:tc>
          <w:tcPr>
            <w:tcW w:w="1366" w:type="dxa"/>
            <w:vAlign w:val="bottom"/>
          </w:tcPr>
          <w:p w14:paraId="2D872458" w14:textId="77777777" w:rsidR="00587D54" w:rsidRPr="00900ADE" w:rsidRDefault="00587D54" w:rsidP="00587D54">
            <w:pPr>
              <w:pStyle w:val="TableTextCentered"/>
            </w:pPr>
            <w:r w:rsidRPr="00900ADE">
              <w:t>$2,069</w:t>
            </w:r>
          </w:p>
        </w:tc>
      </w:tr>
      <w:tr w:rsidR="00587D54" w:rsidRPr="00900ADE" w14:paraId="3004BB73"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E36D2F3" w14:textId="77777777" w:rsidR="00587D54" w:rsidRPr="00900ADE" w:rsidRDefault="00587D54" w:rsidP="00587D54">
            <w:pPr>
              <w:pStyle w:val="TableText"/>
            </w:pPr>
            <w:r w:rsidRPr="00900ADE">
              <w:t>Operations and maintenance</w:t>
            </w:r>
          </w:p>
        </w:tc>
        <w:tc>
          <w:tcPr>
            <w:tcW w:w="1366" w:type="dxa"/>
            <w:vAlign w:val="bottom"/>
          </w:tcPr>
          <w:p w14:paraId="08477103" w14:textId="77777777" w:rsidR="00587D54" w:rsidRPr="00900ADE" w:rsidRDefault="00587D54" w:rsidP="00587D54">
            <w:pPr>
              <w:pStyle w:val="TableTextCentered"/>
            </w:pPr>
            <w:r w:rsidRPr="00900ADE">
              <w:t>$1,820</w:t>
            </w:r>
          </w:p>
        </w:tc>
        <w:tc>
          <w:tcPr>
            <w:tcW w:w="1366" w:type="dxa"/>
            <w:vAlign w:val="bottom"/>
          </w:tcPr>
          <w:p w14:paraId="37C728D0" w14:textId="77777777" w:rsidR="00587D54" w:rsidRPr="00900ADE" w:rsidRDefault="00587D54" w:rsidP="00587D54">
            <w:pPr>
              <w:pStyle w:val="TableTextCentered"/>
            </w:pPr>
            <w:r w:rsidRPr="00900ADE">
              <w:t>$1,813</w:t>
            </w:r>
          </w:p>
        </w:tc>
        <w:tc>
          <w:tcPr>
            <w:tcW w:w="1366" w:type="dxa"/>
            <w:vAlign w:val="bottom"/>
          </w:tcPr>
          <w:p w14:paraId="6E7595E7" w14:textId="77777777" w:rsidR="00587D54" w:rsidRPr="00900ADE" w:rsidRDefault="00587D54" w:rsidP="00587D54">
            <w:pPr>
              <w:pStyle w:val="TableTextCentered"/>
            </w:pPr>
            <w:r w:rsidRPr="00900ADE">
              <w:t>$1,778</w:t>
            </w:r>
          </w:p>
        </w:tc>
      </w:tr>
      <w:tr w:rsidR="00587D54" w:rsidRPr="00900ADE" w14:paraId="45DC8907" w14:textId="77777777">
        <w:tc>
          <w:tcPr>
            <w:tcW w:w="5246" w:type="dxa"/>
          </w:tcPr>
          <w:p w14:paraId="4098006C" w14:textId="77777777" w:rsidR="00587D54" w:rsidRPr="00900ADE" w:rsidRDefault="00587D54" w:rsidP="00587D54">
            <w:pPr>
              <w:pStyle w:val="TableText"/>
            </w:pPr>
            <w:r w:rsidRPr="00900ADE">
              <w:t>Insurance, retirement, and other fixed costs</w:t>
            </w:r>
          </w:p>
        </w:tc>
        <w:tc>
          <w:tcPr>
            <w:tcW w:w="1366" w:type="dxa"/>
            <w:vAlign w:val="bottom"/>
          </w:tcPr>
          <w:p w14:paraId="2254FA51" w14:textId="77777777" w:rsidR="00587D54" w:rsidRPr="00900ADE" w:rsidRDefault="00587D54" w:rsidP="00587D54">
            <w:pPr>
              <w:pStyle w:val="TableTextCentered"/>
            </w:pPr>
            <w:r w:rsidRPr="00900ADE">
              <w:t>$3,230</w:t>
            </w:r>
          </w:p>
        </w:tc>
        <w:tc>
          <w:tcPr>
            <w:tcW w:w="1366" w:type="dxa"/>
            <w:vAlign w:val="bottom"/>
          </w:tcPr>
          <w:p w14:paraId="3113A90D" w14:textId="77777777" w:rsidR="00587D54" w:rsidRPr="00900ADE" w:rsidRDefault="00587D54" w:rsidP="00587D54">
            <w:pPr>
              <w:pStyle w:val="TableTextCentered"/>
            </w:pPr>
            <w:r w:rsidRPr="00900ADE">
              <w:t>$3,393</w:t>
            </w:r>
          </w:p>
        </w:tc>
        <w:tc>
          <w:tcPr>
            <w:tcW w:w="1366" w:type="dxa"/>
            <w:vAlign w:val="bottom"/>
          </w:tcPr>
          <w:p w14:paraId="5A493754" w14:textId="77777777" w:rsidR="00587D54" w:rsidRPr="00900ADE" w:rsidRDefault="00587D54" w:rsidP="00587D54">
            <w:pPr>
              <w:pStyle w:val="TableTextCentered"/>
            </w:pPr>
            <w:r w:rsidRPr="00900ADE">
              <w:t>$3,306</w:t>
            </w:r>
          </w:p>
        </w:tc>
      </w:tr>
      <w:tr w:rsidR="00587D54" w:rsidRPr="00900ADE" w14:paraId="7A4BAB33"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881A085" w14:textId="77777777" w:rsidR="00587D54" w:rsidRPr="00900ADE" w:rsidRDefault="00587D54" w:rsidP="00587D54">
            <w:pPr>
              <w:pStyle w:val="TableText"/>
            </w:pPr>
            <w:r w:rsidRPr="00900ADE">
              <w:t>Total expenditures per in-district pupil</w:t>
            </w:r>
          </w:p>
        </w:tc>
        <w:tc>
          <w:tcPr>
            <w:tcW w:w="1366" w:type="dxa"/>
            <w:vAlign w:val="bottom"/>
          </w:tcPr>
          <w:p w14:paraId="5FF7D306" w14:textId="77777777" w:rsidR="00587D54" w:rsidRPr="00900ADE" w:rsidRDefault="00587D54" w:rsidP="00587D54">
            <w:pPr>
              <w:pStyle w:val="TableTextCentered"/>
            </w:pPr>
            <w:r w:rsidRPr="00900ADE">
              <w:t>$17,180</w:t>
            </w:r>
          </w:p>
        </w:tc>
        <w:tc>
          <w:tcPr>
            <w:tcW w:w="1366" w:type="dxa"/>
            <w:vAlign w:val="bottom"/>
          </w:tcPr>
          <w:p w14:paraId="41677CAC" w14:textId="77777777" w:rsidR="00587D54" w:rsidRPr="00900ADE" w:rsidRDefault="00587D54" w:rsidP="00587D54">
            <w:pPr>
              <w:pStyle w:val="TableTextCentered"/>
            </w:pPr>
            <w:r w:rsidRPr="00900ADE">
              <w:t>$17,643</w:t>
            </w:r>
          </w:p>
        </w:tc>
        <w:tc>
          <w:tcPr>
            <w:tcW w:w="1366" w:type="dxa"/>
            <w:vAlign w:val="bottom"/>
          </w:tcPr>
          <w:p w14:paraId="3A26B71D" w14:textId="77777777" w:rsidR="00587D54" w:rsidRPr="00900ADE" w:rsidRDefault="00587D54" w:rsidP="00587D54">
            <w:pPr>
              <w:pStyle w:val="TableTextCentered"/>
            </w:pPr>
            <w:r w:rsidRPr="00900ADE">
              <w:t>$18,502</w:t>
            </w:r>
          </w:p>
        </w:tc>
      </w:tr>
    </w:tbl>
    <w:p w14:paraId="601A4850" w14:textId="77777777" w:rsidR="007D0155" w:rsidRPr="00900ADE" w:rsidRDefault="00587D54" w:rsidP="007D0155">
      <w:pPr>
        <w:pStyle w:val="TableNote"/>
      </w:pPr>
      <w:r w:rsidRPr="00900ADE">
        <w:rPr>
          <w:i/>
          <w:iCs/>
          <w:szCs w:val="20"/>
        </w:rPr>
        <w:t>Note</w:t>
      </w:r>
      <w:r w:rsidRPr="00900ADE">
        <w:rPr>
          <w:szCs w:val="20"/>
        </w:rPr>
        <w:t xml:space="preserve">. Any discrepancy between expenditures and total is because of rounding. </w:t>
      </w:r>
      <w:r w:rsidR="007D0155">
        <w:t xml:space="preserve">Expenditures from the School Finance </w:t>
      </w:r>
      <w:r w:rsidR="007D0155" w:rsidRPr="000566E6">
        <w:t>Dashboard</w:t>
      </w:r>
      <w:r w:rsidR="007D0155">
        <w:t xml:space="preserve"> sourced from </w:t>
      </w:r>
      <w:hyperlink r:id="rId110" w:history="1">
        <w:r w:rsidR="007D0155" w:rsidRPr="00654F1B">
          <w:rPr>
            <w:rFonts w:eastAsiaTheme="minorHAnsi" w:cstheme="minorBidi"/>
            <w:color w:val="0000FF"/>
            <w:szCs w:val="20"/>
            <w:u w:val="single"/>
          </w:rPr>
          <w:t>Resource Allocation and District Action Reports (RADAR)</w:t>
        </w:r>
      </w:hyperlink>
      <w:r w:rsidR="007D0155">
        <w:t xml:space="preserve"> </w:t>
      </w:r>
      <w:r w:rsidR="007D0155" w:rsidRPr="00654F1B">
        <w:rPr>
          <w:szCs w:val="20"/>
        </w:rPr>
        <w:t>last updated April 2025.</w:t>
      </w:r>
    </w:p>
    <w:p w14:paraId="22D14FAA" w14:textId="75E7FE78" w:rsidR="00C33E09" w:rsidRPr="00900ADE" w:rsidRDefault="00C33E09" w:rsidP="00C33E09">
      <w:pPr>
        <w:pStyle w:val="TableNote"/>
        <w:spacing w:before="80"/>
      </w:pPr>
    </w:p>
    <w:p w14:paraId="47E28A7D" w14:textId="77777777" w:rsidR="006A41AF" w:rsidRPr="00900ADE" w:rsidRDefault="006A41AF" w:rsidP="00B96AA2">
      <w:pPr>
        <w:pStyle w:val="Heading2"/>
        <w:sectPr w:rsidR="006A41AF" w:rsidRPr="00900ADE" w:rsidSect="00587D54">
          <w:headerReference w:type="default" r:id="rId111"/>
          <w:footerReference w:type="default" r:id="rId112"/>
          <w:headerReference w:type="first" r:id="rId113"/>
          <w:footerReference w:type="first" r:id="rId114"/>
          <w:pgSz w:w="12240" w:h="15840"/>
          <w:pgMar w:top="1440" w:right="1440" w:bottom="1440" w:left="1440" w:header="720" w:footer="720" w:gutter="0"/>
          <w:cols w:space="720"/>
          <w:docGrid w:linePitch="360"/>
        </w:sectPr>
      </w:pPr>
    </w:p>
    <w:p w14:paraId="0FBD6DD8" w14:textId="74486FF9" w:rsidR="00B043E8" w:rsidRPr="00900ADE" w:rsidRDefault="00B043E8" w:rsidP="00BB6916">
      <w:pPr>
        <w:pStyle w:val="Heading2"/>
        <w:rPr>
          <w:rFonts w:ascii="Franklin Gothic Book" w:eastAsia="Calibri" w:hAnsi="Franklin Gothic Book" w:cs="Times New Roman"/>
          <w:color w:val="2F5496"/>
        </w:rPr>
      </w:pPr>
      <w:bookmarkStart w:id="198" w:name="_Toc118728213"/>
      <w:bookmarkStart w:id="199" w:name="_Toc202873118"/>
      <w:bookmarkStart w:id="200" w:name="_Hlk138316045"/>
      <w:bookmarkEnd w:id="197"/>
      <w:r w:rsidRPr="00900ADE">
        <w:lastRenderedPageBreak/>
        <w:t>Appendix E. Student Performance Data</w:t>
      </w:r>
      <w:bookmarkEnd w:id="198"/>
      <w:bookmarkEnd w:id="199"/>
    </w:p>
    <w:bookmarkEnd w:id="200"/>
    <w:p w14:paraId="7553F493" w14:textId="200BAEB0" w:rsidR="00B87CA4" w:rsidRPr="00900ADE" w:rsidRDefault="00B87CA4">
      <w:pPr>
        <w:pStyle w:val="TableofFigures"/>
        <w:tabs>
          <w:tab w:val="right" w:leader="dot" w:pos="12950"/>
        </w:tabs>
        <w:rPr>
          <w:rFonts w:eastAsiaTheme="minorEastAsia"/>
          <w:kern w:val="2"/>
          <w:sz w:val="24"/>
          <w:szCs w:val="24"/>
          <w14:ligatures w14:val="standardContextual"/>
        </w:rPr>
      </w:pPr>
      <w:r w:rsidRPr="00900ADE">
        <w:rPr>
          <w:rFonts w:ascii="Franklin Gothic Book" w:hAnsi="Franklin Gothic Book"/>
        </w:rPr>
        <w:fldChar w:fldCharType="begin"/>
      </w:r>
      <w:r w:rsidRPr="00900ADE">
        <w:rPr>
          <w:rFonts w:ascii="Franklin Gothic Book" w:hAnsi="Franklin Gothic Book"/>
        </w:rPr>
        <w:instrText xml:space="preserve"> TOC \h \z \t "Table E Title" \c </w:instrText>
      </w:r>
      <w:r w:rsidRPr="00900ADE">
        <w:rPr>
          <w:rFonts w:ascii="Franklin Gothic Book" w:hAnsi="Franklin Gothic Book"/>
        </w:rPr>
        <w:fldChar w:fldCharType="separate"/>
      </w:r>
      <w:hyperlink w:anchor="_Toc196169613" w:history="1">
        <w:r w:rsidRPr="00900ADE">
          <w:rPr>
            <w:rStyle w:val="Hyperlink"/>
          </w:rPr>
          <w:t>Table E1. MCAS ELA Achievement by Student Group, Grades 3-8, 2022-2024</w:t>
        </w:r>
        <w:r w:rsidRPr="00900ADE">
          <w:rPr>
            <w:webHidden/>
          </w:rPr>
          <w:tab/>
          <w:t>E-</w:t>
        </w:r>
        <w:r w:rsidRPr="00900ADE">
          <w:rPr>
            <w:webHidden/>
          </w:rPr>
          <w:fldChar w:fldCharType="begin"/>
        </w:r>
        <w:r w:rsidRPr="00900ADE">
          <w:rPr>
            <w:webHidden/>
          </w:rPr>
          <w:instrText xml:space="preserve"> PAGEREF _Toc196169613 \h </w:instrText>
        </w:r>
        <w:r w:rsidRPr="00900ADE">
          <w:rPr>
            <w:webHidden/>
          </w:rPr>
        </w:r>
        <w:r w:rsidRPr="00900ADE">
          <w:rPr>
            <w:webHidden/>
          </w:rPr>
          <w:fldChar w:fldCharType="separate"/>
        </w:r>
        <w:r w:rsidRPr="00900ADE">
          <w:rPr>
            <w:webHidden/>
          </w:rPr>
          <w:t>2</w:t>
        </w:r>
        <w:r w:rsidRPr="00900ADE">
          <w:rPr>
            <w:webHidden/>
          </w:rPr>
          <w:fldChar w:fldCharType="end"/>
        </w:r>
      </w:hyperlink>
    </w:p>
    <w:p w14:paraId="30DA99A0" w14:textId="6175AEEA"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14" w:history="1">
        <w:r w:rsidRPr="00900ADE">
          <w:rPr>
            <w:rStyle w:val="Hyperlink"/>
          </w:rPr>
          <w:t>Table E2. MCAS ELA Achievement by Student Group, Grade 10, 2022-2024</w:t>
        </w:r>
        <w:r w:rsidRPr="00900ADE">
          <w:rPr>
            <w:webHidden/>
          </w:rPr>
          <w:tab/>
          <w:t>E-</w:t>
        </w:r>
        <w:r w:rsidRPr="00900ADE">
          <w:rPr>
            <w:webHidden/>
          </w:rPr>
          <w:fldChar w:fldCharType="begin"/>
        </w:r>
        <w:r w:rsidRPr="00900ADE">
          <w:rPr>
            <w:webHidden/>
          </w:rPr>
          <w:instrText xml:space="preserve"> PAGEREF _Toc196169614 \h </w:instrText>
        </w:r>
        <w:r w:rsidRPr="00900ADE">
          <w:rPr>
            <w:webHidden/>
          </w:rPr>
        </w:r>
        <w:r w:rsidRPr="00900ADE">
          <w:rPr>
            <w:webHidden/>
          </w:rPr>
          <w:fldChar w:fldCharType="separate"/>
        </w:r>
        <w:r w:rsidRPr="00900ADE">
          <w:rPr>
            <w:webHidden/>
          </w:rPr>
          <w:t>2</w:t>
        </w:r>
        <w:r w:rsidRPr="00900ADE">
          <w:rPr>
            <w:webHidden/>
          </w:rPr>
          <w:fldChar w:fldCharType="end"/>
        </w:r>
      </w:hyperlink>
    </w:p>
    <w:p w14:paraId="4D444A18" w14:textId="6B56F4FC"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15" w:history="1">
        <w:r w:rsidRPr="00900ADE">
          <w:rPr>
            <w:rStyle w:val="Hyperlink"/>
          </w:rPr>
          <w:t>Table E3. MCAS Mathematics Achievement by Student Group, Grades 3-8, 2022-2024</w:t>
        </w:r>
        <w:r w:rsidRPr="00900ADE">
          <w:rPr>
            <w:webHidden/>
          </w:rPr>
          <w:tab/>
          <w:t>E-</w:t>
        </w:r>
        <w:r w:rsidRPr="00900ADE">
          <w:rPr>
            <w:webHidden/>
          </w:rPr>
          <w:fldChar w:fldCharType="begin"/>
        </w:r>
        <w:r w:rsidRPr="00900ADE">
          <w:rPr>
            <w:webHidden/>
          </w:rPr>
          <w:instrText xml:space="preserve"> PAGEREF _Toc196169615 \h </w:instrText>
        </w:r>
        <w:r w:rsidRPr="00900ADE">
          <w:rPr>
            <w:webHidden/>
          </w:rPr>
        </w:r>
        <w:r w:rsidRPr="00900ADE">
          <w:rPr>
            <w:webHidden/>
          </w:rPr>
          <w:fldChar w:fldCharType="separate"/>
        </w:r>
        <w:r w:rsidRPr="00900ADE">
          <w:rPr>
            <w:webHidden/>
          </w:rPr>
          <w:t>3</w:t>
        </w:r>
        <w:r w:rsidRPr="00900ADE">
          <w:rPr>
            <w:webHidden/>
          </w:rPr>
          <w:fldChar w:fldCharType="end"/>
        </w:r>
      </w:hyperlink>
    </w:p>
    <w:p w14:paraId="4FDB52AF" w14:textId="241BFED1"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16" w:history="1">
        <w:r w:rsidRPr="00900ADE">
          <w:rPr>
            <w:rStyle w:val="Hyperlink"/>
          </w:rPr>
          <w:t>Table E4. MCAS Mathematics Achievement by Student Group, Grade 10, 2022-2024</w:t>
        </w:r>
        <w:r w:rsidRPr="00900ADE">
          <w:rPr>
            <w:webHidden/>
          </w:rPr>
          <w:tab/>
          <w:t>E-</w:t>
        </w:r>
        <w:r w:rsidRPr="00900ADE">
          <w:rPr>
            <w:webHidden/>
          </w:rPr>
          <w:fldChar w:fldCharType="begin"/>
        </w:r>
        <w:r w:rsidRPr="00900ADE">
          <w:rPr>
            <w:webHidden/>
          </w:rPr>
          <w:instrText xml:space="preserve"> PAGEREF _Toc196169616 \h </w:instrText>
        </w:r>
        <w:r w:rsidRPr="00900ADE">
          <w:rPr>
            <w:webHidden/>
          </w:rPr>
        </w:r>
        <w:r w:rsidRPr="00900ADE">
          <w:rPr>
            <w:webHidden/>
          </w:rPr>
          <w:fldChar w:fldCharType="separate"/>
        </w:r>
        <w:r w:rsidRPr="00900ADE">
          <w:rPr>
            <w:webHidden/>
          </w:rPr>
          <w:t>3</w:t>
        </w:r>
        <w:r w:rsidRPr="00900ADE">
          <w:rPr>
            <w:webHidden/>
          </w:rPr>
          <w:fldChar w:fldCharType="end"/>
        </w:r>
      </w:hyperlink>
    </w:p>
    <w:p w14:paraId="2BFFE6DB" w14:textId="4F908A50"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17" w:history="1">
        <w:r w:rsidRPr="00900ADE">
          <w:rPr>
            <w:rStyle w:val="Hyperlink"/>
          </w:rPr>
          <w:t>Table E5. MCAS Science Achievement by Student Group, Grades 5 and 8, 2022-2024</w:t>
        </w:r>
        <w:r w:rsidRPr="00900ADE">
          <w:rPr>
            <w:webHidden/>
          </w:rPr>
          <w:tab/>
          <w:t>E-</w:t>
        </w:r>
        <w:r w:rsidRPr="00900ADE">
          <w:rPr>
            <w:webHidden/>
          </w:rPr>
          <w:fldChar w:fldCharType="begin"/>
        </w:r>
        <w:r w:rsidRPr="00900ADE">
          <w:rPr>
            <w:webHidden/>
          </w:rPr>
          <w:instrText xml:space="preserve"> PAGEREF _Toc196169617 \h </w:instrText>
        </w:r>
        <w:r w:rsidRPr="00900ADE">
          <w:rPr>
            <w:webHidden/>
          </w:rPr>
        </w:r>
        <w:r w:rsidRPr="00900ADE">
          <w:rPr>
            <w:webHidden/>
          </w:rPr>
          <w:fldChar w:fldCharType="separate"/>
        </w:r>
        <w:r w:rsidRPr="00900ADE">
          <w:rPr>
            <w:webHidden/>
          </w:rPr>
          <w:t>4</w:t>
        </w:r>
        <w:r w:rsidRPr="00900ADE">
          <w:rPr>
            <w:webHidden/>
          </w:rPr>
          <w:fldChar w:fldCharType="end"/>
        </w:r>
      </w:hyperlink>
    </w:p>
    <w:p w14:paraId="13482CE3" w14:textId="0B792675"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18" w:history="1">
        <w:r w:rsidRPr="00900ADE">
          <w:rPr>
            <w:rStyle w:val="Hyperlink"/>
          </w:rPr>
          <w:t>Table E6. MCAS Science Achievement by Student Group, Grade 10, 2022-2024</w:t>
        </w:r>
        <w:r w:rsidRPr="00900ADE">
          <w:rPr>
            <w:webHidden/>
          </w:rPr>
          <w:tab/>
          <w:t>E-</w:t>
        </w:r>
        <w:r w:rsidRPr="00900ADE">
          <w:rPr>
            <w:webHidden/>
          </w:rPr>
          <w:fldChar w:fldCharType="begin"/>
        </w:r>
        <w:r w:rsidRPr="00900ADE">
          <w:rPr>
            <w:webHidden/>
          </w:rPr>
          <w:instrText xml:space="preserve"> PAGEREF _Toc196169618 \h </w:instrText>
        </w:r>
        <w:r w:rsidRPr="00900ADE">
          <w:rPr>
            <w:webHidden/>
          </w:rPr>
        </w:r>
        <w:r w:rsidRPr="00900ADE">
          <w:rPr>
            <w:webHidden/>
          </w:rPr>
          <w:fldChar w:fldCharType="separate"/>
        </w:r>
        <w:r w:rsidRPr="00900ADE">
          <w:rPr>
            <w:webHidden/>
          </w:rPr>
          <w:t>4</w:t>
        </w:r>
        <w:r w:rsidRPr="00900ADE">
          <w:rPr>
            <w:webHidden/>
          </w:rPr>
          <w:fldChar w:fldCharType="end"/>
        </w:r>
      </w:hyperlink>
    </w:p>
    <w:p w14:paraId="52EEC553" w14:textId="509EE04E"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19" w:history="1">
        <w:r w:rsidRPr="00900ADE">
          <w:rPr>
            <w:rStyle w:val="Hyperlink"/>
          </w:rPr>
          <w:t>Table E7. MCAS ELA Achievement by Grade, 2022-2024</w:t>
        </w:r>
        <w:r w:rsidRPr="00900ADE">
          <w:rPr>
            <w:webHidden/>
          </w:rPr>
          <w:tab/>
          <w:t>E-</w:t>
        </w:r>
        <w:r w:rsidRPr="00900ADE">
          <w:rPr>
            <w:webHidden/>
          </w:rPr>
          <w:fldChar w:fldCharType="begin"/>
        </w:r>
        <w:r w:rsidRPr="00900ADE">
          <w:rPr>
            <w:webHidden/>
          </w:rPr>
          <w:instrText xml:space="preserve"> PAGEREF _Toc196169619 \h </w:instrText>
        </w:r>
        <w:r w:rsidRPr="00900ADE">
          <w:rPr>
            <w:webHidden/>
          </w:rPr>
        </w:r>
        <w:r w:rsidRPr="00900ADE">
          <w:rPr>
            <w:webHidden/>
          </w:rPr>
          <w:fldChar w:fldCharType="separate"/>
        </w:r>
        <w:r w:rsidRPr="00900ADE">
          <w:rPr>
            <w:webHidden/>
          </w:rPr>
          <w:t>5</w:t>
        </w:r>
        <w:r w:rsidRPr="00900ADE">
          <w:rPr>
            <w:webHidden/>
          </w:rPr>
          <w:fldChar w:fldCharType="end"/>
        </w:r>
      </w:hyperlink>
    </w:p>
    <w:p w14:paraId="2D14D838" w14:textId="4A516486"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20" w:history="1">
        <w:r w:rsidRPr="00900ADE">
          <w:rPr>
            <w:rStyle w:val="Hyperlink"/>
          </w:rPr>
          <w:t>Table E8. MCAS Mathematics Achievement by Grade, 2022-2024</w:t>
        </w:r>
        <w:r w:rsidRPr="00900ADE">
          <w:rPr>
            <w:webHidden/>
          </w:rPr>
          <w:tab/>
          <w:t>E-</w:t>
        </w:r>
        <w:r w:rsidRPr="00900ADE">
          <w:rPr>
            <w:webHidden/>
          </w:rPr>
          <w:fldChar w:fldCharType="begin"/>
        </w:r>
        <w:r w:rsidRPr="00900ADE">
          <w:rPr>
            <w:webHidden/>
          </w:rPr>
          <w:instrText xml:space="preserve"> PAGEREF _Toc196169620 \h </w:instrText>
        </w:r>
        <w:r w:rsidRPr="00900ADE">
          <w:rPr>
            <w:webHidden/>
          </w:rPr>
        </w:r>
        <w:r w:rsidRPr="00900ADE">
          <w:rPr>
            <w:webHidden/>
          </w:rPr>
          <w:fldChar w:fldCharType="separate"/>
        </w:r>
        <w:r w:rsidRPr="00900ADE">
          <w:rPr>
            <w:webHidden/>
          </w:rPr>
          <w:t>5</w:t>
        </w:r>
        <w:r w:rsidRPr="00900ADE">
          <w:rPr>
            <w:webHidden/>
          </w:rPr>
          <w:fldChar w:fldCharType="end"/>
        </w:r>
      </w:hyperlink>
    </w:p>
    <w:p w14:paraId="13B7B8BC" w14:textId="5D668E99"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21" w:history="1">
        <w:r w:rsidRPr="00900ADE">
          <w:rPr>
            <w:rStyle w:val="Hyperlink"/>
          </w:rPr>
          <w:t>Table E9. MCAS Science Achievement by Grade, 2022-2024</w:t>
        </w:r>
        <w:r w:rsidRPr="00900ADE">
          <w:rPr>
            <w:webHidden/>
          </w:rPr>
          <w:tab/>
          <w:t>E-</w:t>
        </w:r>
        <w:r w:rsidRPr="00900ADE">
          <w:rPr>
            <w:webHidden/>
          </w:rPr>
          <w:fldChar w:fldCharType="begin"/>
        </w:r>
        <w:r w:rsidRPr="00900ADE">
          <w:rPr>
            <w:webHidden/>
          </w:rPr>
          <w:instrText xml:space="preserve"> PAGEREF _Toc196169621 \h </w:instrText>
        </w:r>
        <w:r w:rsidRPr="00900ADE">
          <w:rPr>
            <w:webHidden/>
          </w:rPr>
        </w:r>
        <w:r w:rsidRPr="00900ADE">
          <w:rPr>
            <w:webHidden/>
          </w:rPr>
          <w:fldChar w:fldCharType="separate"/>
        </w:r>
        <w:r w:rsidRPr="00900ADE">
          <w:rPr>
            <w:webHidden/>
          </w:rPr>
          <w:t>5</w:t>
        </w:r>
        <w:r w:rsidRPr="00900ADE">
          <w:rPr>
            <w:webHidden/>
          </w:rPr>
          <w:fldChar w:fldCharType="end"/>
        </w:r>
      </w:hyperlink>
    </w:p>
    <w:p w14:paraId="0A36B65A" w14:textId="2EEAF90E"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22" w:history="1">
        <w:r w:rsidRPr="00900ADE">
          <w:rPr>
            <w:rStyle w:val="Hyperlink"/>
          </w:rPr>
          <w:t xml:space="preserve">Table E10. </w:t>
        </w:r>
        <w:r w:rsidRPr="00900ADE">
          <w:rPr>
            <w:rStyle w:val="Hyperlink"/>
            <w:spacing w:val="-2"/>
          </w:rPr>
          <w:t>MCAS ELA Mean Student Growth Percentile by Student Group, Grades 3-8, 2022-2024</w:t>
        </w:r>
        <w:r w:rsidRPr="00900ADE">
          <w:rPr>
            <w:webHidden/>
          </w:rPr>
          <w:tab/>
          <w:t>E-</w:t>
        </w:r>
        <w:r w:rsidRPr="00900ADE">
          <w:rPr>
            <w:webHidden/>
          </w:rPr>
          <w:fldChar w:fldCharType="begin"/>
        </w:r>
        <w:r w:rsidRPr="00900ADE">
          <w:rPr>
            <w:webHidden/>
          </w:rPr>
          <w:instrText xml:space="preserve"> PAGEREF _Toc196169622 \h </w:instrText>
        </w:r>
        <w:r w:rsidRPr="00900ADE">
          <w:rPr>
            <w:webHidden/>
          </w:rPr>
        </w:r>
        <w:r w:rsidRPr="00900ADE">
          <w:rPr>
            <w:webHidden/>
          </w:rPr>
          <w:fldChar w:fldCharType="separate"/>
        </w:r>
        <w:r w:rsidRPr="00900ADE">
          <w:rPr>
            <w:webHidden/>
          </w:rPr>
          <w:t>6</w:t>
        </w:r>
        <w:r w:rsidRPr="00900ADE">
          <w:rPr>
            <w:webHidden/>
          </w:rPr>
          <w:fldChar w:fldCharType="end"/>
        </w:r>
      </w:hyperlink>
    </w:p>
    <w:p w14:paraId="6FFE5B0E" w14:textId="22E5DC42"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23" w:history="1">
        <w:r w:rsidRPr="00900ADE">
          <w:rPr>
            <w:rStyle w:val="Hyperlink"/>
          </w:rPr>
          <w:t>Table E11. MCAS ELA Mean Student Growth Percentile by Student Group, Grade 10, 2022-2024</w:t>
        </w:r>
        <w:r w:rsidRPr="00900ADE">
          <w:rPr>
            <w:webHidden/>
          </w:rPr>
          <w:tab/>
          <w:t>E-</w:t>
        </w:r>
        <w:r w:rsidRPr="00900ADE">
          <w:rPr>
            <w:webHidden/>
          </w:rPr>
          <w:fldChar w:fldCharType="begin"/>
        </w:r>
        <w:r w:rsidRPr="00900ADE">
          <w:rPr>
            <w:webHidden/>
          </w:rPr>
          <w:instrText xml:space="preserve"> PAGEREF _Toc196169623 \h </w:instrText>
        </w:r>
        <w:r w:rsidRPr="00900ADE">
          <w:rPr>
            <w:webHidden/>
          </w:rPr>
        </w:r>
        <w:r w:rsidRPr="00900ADE">
          <w:rPr>
            <w:webHidden/>
          </w:rPr>
          <w:fldChar w:fldCharType="separate"/>
        </w:r>
        <w:r w:rsidRPr="00900ADE">
          <w:rPr>
            <w:webHidden/>
          </w:rPr>
          <w:t>6</w:t>
        </w:r>
        <w:r w:rsidRPr="00900ADE">
          <w:rPr>
            <w:webHidden/>
          </w:rPr>
          <w:fldChar w:fldCharType="end"/>
        </w:r>
      </w:hyperlink>
    </w:p>
    <w:p w14:paraId="0BF8296A" w14:textId="59891740"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24" w:history="1">
        <w:r w:rsidRPr="00900ADE">
          <w:rPr>
            <w:rStyle w:val="Hyperlink"/>
          </w:rPr>
          <w:t>Table E12. MCAS Mathematics Mean Student Growth Percentile by Student Group, Grades 3-8, 2022-2024</w:t>
        </w:r>
        <w:r w:rsidRPr="00900ADE">
          <w:rPr>
            <w:webHidden/>
          </w:rPr>
          <w:tab/>
          <w:t>E-</w:t>
        </w:r>
        <w:r w:rsidRPr="00900ADE">
          <w:rPr>
            <w:webHidden/>
          </w:rPr>
          <w:fldChar w:fldCharType="begin"/>
        </w:r>
        <w:r w:rsidRPr="00900ADE">
          <w:rPr>
            <w:webHidden/>
          </w:rPr>
          <w:instrText xml:space="preserve"> PAGEREF _Toc196169624 \h </w:instrText>
        </w:r>
        <w:r w:rsidRPr="00900ADE">
          <w:rPr>
            <w:webHidden/>
          </w:rPr>
        </w:r>
        <w:r w:rsidRPr="00900ADE">
          <w:rPr>
            <w:webHidden/>
          </w:rPr>
          <w:fldChar w:fldCharType="separate"/>
        </w:r>
        <w:r w:rsidRPr="00900ADE">
          <w:rPr>
            <w:webHidden/>
          </w:rPr>
          <w:t>7</w:t>
        </w:r>
        <w:r w:rsidRPr="00900ADE">
          <w:rPr>
            <w:webHidden/>
          </w:rPr>
          <w:fldChar w:fldCharType="end"/>
        </w:r>
      </w:hyperlink>
    </w:p>
    <w:p w14:paraId="4A598EC4" w14:textId="7985AC5C"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25" w:history="1">
        <w:r w:rsidRPr="00900ADE">
          <w:rPr>
            <w:rStyle w:val="Hyperlink"/>
          </w:rPr>
          <w:t>Table E13. MCAS Mathematics Mean Student Growth Percentile by Student Group, Grade 10, 2022-2024</w:t>
        </w:r>
        <w:r w:rsidRPr="00900ADE">
          <w:rPr>
            <w:webHidden/>
          </w:rPr>
          <w:tab/>
          <w:t>E-</w:t>
        </w:r>
        <w:r w:rsidRPr="00900ADE">
          <w:rPr>
            <w:webHidden/>
          </w:rPr>
          <w:fldChar w:fldCharType="begin"/>
        </w:r>
        <w:r w:rsidRPr="00900ADE">
          <w:rPr>
            <w:webHidden/>
          </w:rPr>
          <w:instrText xml:space="preserve"> PAGEREF _Toc196169625 \h </w:instrText>
        </w:r>
        <w:r w:rsidRPr="00900ADE">
          <w:rPr>
            <w:webHidden/>
          </w:rPr>
        </w:r>
        <w:r w:rsidRPr="00900ADE">
          <w:rPr>
            <w:webHidden/>
          </w:rPr>
          <w:fldChar w:fldCharType="separate"/>
        </w:r>
        <w:r w:rsidRPr="00900ADE">
          <w:rPr>
            <w:webHidden/>
          </w:rPr>
          <w:t>7</w:t>
        </w:r>
        <w:r w:rsidRPr="00900ADE">
          <w:rPr>
            <w:webHidden/>
          </w:rPr>
          <w:fldChar w:fldCharType="end"/>
        </w:r>
      </w:hyperlink>
    </w:p>
    <w:p w14:paraId="68C6C513" w14:textId="759BD274"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26" w:history="1">
        <w:r w:rsidRPr="00900ADE">
          <w:rPr>
            <w:rStyle w:val="Hyperlink"/>
          </w:rPr>
          <w:t>Table E14. MCAS ELA Mean Student Growth Percentile by Grade, 2022-2024</w:t>
        </w:r>
        <w:r w:rsidRPr="00900ADE">
          <w:rPr>
            <w:webHidden/>
          </w:rPr>
          <w:tab/>
          <w:t>E-</w:t>
        </w:r>
        <w:r w:rsidRPr="00900ADE">
          <w:rPr>
            <w:webHidden/>
          </w:rPr>
          <w:fldChar w:fldCharType="begin"/>
        </w:r>
        <w:r w:rsidRPr="00900ADE">
          <w:rPr>
            <w:webHidden/>
          </w:rPr>
          <w:instrText xml:space="preserve"> PAGEREF _Toc196169626 \h </w:instrText>
        </w:r>
        <w:r w:rsidRPr="00900ADE">
          <w:rPr>
            <w:webHidden/>
          </w:rPr>
        </w:r>
        <w:r w:rsidRPr="00900ADE">
          <w:rPr>
            <w:webHidden/>
          </w:rPr>
          <w:fldChar w:fldCharType="separate"/>
        </w:r>
        <w:r w:rsidRPr="00900ADE">
          <w:rPr>
            <w:webHidden/>
          </w:rPr>
          <w:t>8</w:t>
        </w:r>
        <w:r w:rsidRPr="00900ADE">
          <w:rPr>
            <w:webHidden/>
          </w:rPr>
          <w:fldChar w:fldCharType="end"/>
        </w:r>
      </w:hyperlink>
    </w:p>
    <w:p w14:paraId="2C835BDF" w14:textId="5085F9AD" w:rsidR="00B87CA4" w:rsidRPr="00900ADE" w:rsidRDefault="00B87CA4" w:rsidP="00B87CA4">
      <w:pPr>
        <w:pStyle w:val="TableofFigures"/>
        <w:tabs>
          <w:tab w:val="right" w:leader="dot" w:pos="12950"/>
        </w:tabs>
        <w:rPr>
          <w:rFonts w:eastAsiaTheme="minorEastAsia"/>
          <w:kern w:val="2"/>
          <w:sz w:val="24"/>
          <w:szCs w:val="24"/>
          <w14:ligatures w14:val="standardContextual"/>
        </w:rPr>
      </w:pPr>
      <w:hyperlink w:anchor="_Toc196169627" w:history="1">
        <w:r w:rsidRPr="00900ADE">
          <w:rPr>
            <w:rStyle w:val="Hyperlink"/>
          </w:rPr>
          <w:t>Table E15. MCAS Mathematics Mean Student Growth Percentile by Grade, 2022-2024</w:t>
        </w:r>
        <w:r w:rsidRPr="00900ADE">
          <w:rPr>
            <w:webHidden/>
          </w:rPr>
          <w:tab/>
          <w:t>E-</w:t>
        </w:r>
        <w:r w:rsidRPr="00900ADE">
          <w:rPr>
            <w:webHidden/>
          </w:rPr>
          <w:fldChar w:fldCharType="begin"/>
        </w:r>
        <w:r w:rsidRPr="00900ADE">
          <w:rPr>
            <w:webHidden/>
          </w:rPr>
          <w:instrText xml:space="preserve"> PAGEREF _Toc196169627 \h </w:instrText>
        </w:r>
        <w:r w:rsidRPr="00900ADE">
          <w:rPr>
            <w:webHidden/>
          </w:rPr>
        </w:r>
        <w:r w:rsidRPr="00900ADE">
          <w:rPr>
            <w:webHidden/>
          </w:rPr>
          <w:fldChar w:fldCharType="separate"/>
        </w:r>
        <w:r w:rsidRPr="00900ADE">
          <w:rPr>
            <w:webHidden/>
          </w:rPr>
          <w:t>8</w:t>
        </w:r>
        <w:r w:rsidRPr="00900ADE">
          <w:rPr>
            <w:webHidden/>
          </w:rPr>
          <w:fldChar w:fldCharType="end"/>
        </w:r>
      </w:hyperlink>
    </w:p>
    <w:p w14:paraId="4668380D" w14:textId="25663F3F"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28" w:history="1">
        <w:r w:rsidRPr="00900ADE">
          <w:rPr>
            <w:rStyle w:val="Hyperlink"/>
          </w:rPr>
          <w:t>Table E16. Four-Year Cohort Graduation Rates by Student Group, 2021-2023</w:t>
        </w:r>
        <w:r w:rsidRPr="00900ADE">
          <w:rPr>
            <w:webHidden/>
          </w:rPr>
          <w:tab/>
          <w:t>E-</w:t>
        </w:r>
        <w:r w:rsidRPr="00900ADE">
          <w:rPr>
            <w:webHidden/>
          </w:rPr>
          <w:fldChar w:fldCharType="begin"/>
        </w:r>
        <w:r w:rsidRPr="00900ADE">
          <w:rPr>
            <w:webHidden/>
          </w:rPr>
          <w:instrText xml:space="preserve"> PAGEREF _Toc196169628 \h </w:instrText>
        </w:r>
        <w:r w:rsidRPr="00900ADE">
          <w:rPr>
            <w:webHidden/>
          </w:rPr>
        </w:r>
        <w:r w:rsidRPr="00900ADE">
          <w:rPr>
            <w:webHidden/>
          </w:rPr>
          <w:fldChar w:fldCharType="separate"/>
        </w:r>
        <w:r w:rsidRPr="00900ADE">
          <w:rPr>
            <w:webHidden/>
          </w:rPr>
          <w:t>8</w:t>
        </w:r>
        <w:r w:rsidRPr="00900ADE">
          <w:rPr>
            <w:webHidden/>
          </w:rPr>
          <w:fldChar w:fldCharType="end"/>
        </w:r>
      </w:hyperlink>
    </w:p>
    <w:p w14:paraId="273B33D9" w14:textId="7FC10BA7"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29" w:history="1">
        <w:r w:rsidRPr="00900ADE">
          <w:rPr>
            <w:rStyle w:val="Hyperlink"/>
          </w:rPr>
          <w:t>Table E17. Five-Year Cohort Graduation Rates by Student Group, 2020-2022</w:t>
        </w:r>
        <w:r w:rsidRPr="00900ADE">
          <w:rPr>
            <w:webHidden/>
          </w:rPr>
          <w:tab/>
          <w:t>E-</w:t>
        </w:r>
        <w:r w:rsidRPr="00900ADE">
          <w:rPr>
            <w:webHidden/>
          </w:rPr>
          <w:fldChar w:fldCharType="begin"/>
        </w:r>
        <w:r w:rsidRPr="00900ADE">
          <w:rPr>
            <w:webHidden/>
          </w:rPr>
          <w:instrText xml:space="preserve"> PAGEREF _Toc196169629 \h </w:instrText>
        </w:r>
        <w:r w:rsidRPr="00900ADE">
          <w:rPr>
            <w:webHidden/>
          </w:rPr>
        </w:r>
        <w:r w:rsidRPr="00900ADE">
          <w:rPr>
            <w:webHidden/>
          </w:rPr>
          <w:fldChar w:fldCharType="separate"/>
        </w:r>
        <w:r w:rsidRPr="00900ADE">
          <w:rPr>
            <w:webHidden/>
          </w:rPr>
          <w:t>9</w:t>
        </w:r>
        <w:r w:rsidRPr="00900ADE">
          <w:rPr>
            <w:webHidden/>
          </w:rPr>
          <w:fldChar w:fldCharType="end"/>
        </w:r>
      </w:hyperlink>
    </w:p>
    <w:p w14:paraId="2540DF9B" w14:textId="026791B3"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30" w:history="1">
        <w:r w:rsidRPr="00900ADE">
          <w:rPr>
            <w:rStyle w:val="Hyperlink"/>
          </w:rPr>
          <w:t>Table E18. Annual Dropout Rates by Student Group, 2021-2023</w:t>
        </w:r>
        <w:r w:rsidRPr="00900ADE">
          <w:rPr>
            <w:webHidden/>
          </w:rPr>
          <w:tab/>
          <w:t>E-</w:t>
        </w:r>
        <w:r w:rsidRPr="00900ADE">
          <w:rPr>
            <w:webHidden/>
          </w:rPr>
          <w:fldChar w:fldCharType="begin"/>
        </w:r>
        <w:r w:rsidRPr="00900ADE">
          <w:rPr>
            <w:webHidden/>
          </w:rPr>
          <w:instrText xml:space="preserve"> PAGEREF _Toc196169630 \h </w:instrText>
        </w:r>
        <w:r w:rsidRPr="00900ADE">
          <w:rPr>
            <w:webHidden/>
          </w:rPr>
        </w:r>
        <w:r w:rsidRPr="00900ADE">
          <w:rPr>
            <w:webHidden/>
          </w:rPr>
          <w:fldChar w:fldCharType="separate"/>
        </w:r>
        <w:r w:rsidRPr="00900ADE">
          <w:rPr>
            <w:webHidden/>
          </w:rPr>
          <w:t>9</w:t>
        </w:r>
        <w:r w:rsidRPr="00900ADE">
          <w:rPr>
            <w:webHidden/>
          </w:rPr>
          <w:fldChar w:fldCharType="end"/>
        </w:r>
      </w:hyperlink>
    </w:p>
    <w:p w14:paraId="44CEF3A2" w14:textId="03E90109"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31" w:history="1">
        <w:r w:rsidRPr="00900ADE">
          <w:rPr>
            <w:rStyle w:val="Hyperlink"/>
          </w:rPr>
          <w:t>Table E19. In-School Suspension Rates by Student Group, 2022-2024</w:t>
        </w:r>
        <w:r w:rsidRPr="00900ADE">
          <w:rPr>
            <w:webHidden/>
          </w:rPr>
          <w:tab/>
          <w:t>E-</w:t>
        </w:r>
        <w:r w:rsidRPr="00900ADE">
          <w:rPr>
            <w:webHidden/>
          </w:rPr>
          <w:fldChar w:fldCharType="begin"/>
        </w:r>
        <w:r w:rsidRPr="00900ADE">
          <w:rPr>
            <w:webHidden/>
          </w:rPr>
          <w:instrText xml:space="preserve"> PAGEREF _Toc196169631 \h </w:instrText>
        </w:r>
        <w:r w:rsidRPr="00900ADE">
          <w:rPr>
            <w:webHidden/>
          </w:rPr>
        </w:r>
        <w:r w:rsidRPr="00900ADE">
          <w:rPr>
            <w:webHidden/>
          </w:rPr>
          <w:fldChar w:fldCharType="separate"/>
        </w:r>
        <w:r w:rsidRPr="00900ADE">
          <w:rPr>
            <w:webHidden/>
          </w:rPr>
          <w:t>10</w:t>
        </w:r>
        <w:r w:rsidRPr="00900ADE">
          <w:rPr>
            <w:webHidden/>
          </w:rPr>
          <w:fldChar w:fldCharType="end"/>
        </w:r>
      </w:hyperlink>
    </w:p>
    <w:p w14:paraId="52655BC7" w14:textId="2577F1B8"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32" w:history="1">
        <w:r w:rsidRPr="00900ADE">
          <w:rPr>
            <w:rStyle w:val="Hyperlink"/>
          </w:rPr>
          <w:t>Table E20. Out-of-School Suspension Rates by Student Group, 2022-2024</w:t>
        </w:r>
        <w:r w:rsidRPr="00900ADE">
          <w:rPr>
            <w:webHidden/>
          </w:rPr>
          <w:tab/>
          <w:t>E-</w:t>
        </w:r>
        <w:r w:rsidRPr="00900ADE">
          <w:rPr>
            <w:webHidden/>
          </w:rPr>
          <w:fldChar w:fldCharType="begin"/>
        </w:r>
        <w:r w:rsidRPr="00900ADE">
          <w:rPr>
            <w:webHidden/>
          </w:rPr>
          <w:instrText xml:space="preserve"> PAGEREF _Toc196169632 \h </w:instrText>
        </w:r>
        <w:r w:rsidRPr="00900ADE">
          <w:rPr>
            <w:webHidden/>
          </w:rPr>
        </w:r>
        <w:r w:rsidRPr="00900ADE">
          <w:rPr>
            <w:webHidden/>
          </w:rPr>
          <w:fldChar w:fldCharType="separate"/>
        </w:r>
        <w:r w:rsidRPr="00900ADE">
          <w:rPr>
            <w:webHidden/>
          </w:rPr>
          <w:t>10</w:t>
        </w:r>
        <w:r w:rsidRPr="00900ADE">
          <w:rPr>
            <w:webHidden/>
          </w:rPr>
          <w:fldChar w:fldCharType="end"/>
        </w:r>
      </w:hyperlink>
    </w:p>
    <w:p w14:paraId="157EB78A" w14:textId="4976D61B"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33" w:history="1">
        <w:r w:rsidRPr="00900ADE">
          <w:rPr>
            <w:rStyle w:val="Hyperlink"/>
          </w:rPr>
          <w:t>Table E21. Advanced Coursework Completion Rates by Student Group, 2022-2024</w:t>
        </w:r>
        <w:r w:rsidRPr="00900ADE">
          <w:rPr>
            <w:webHidden/>
          </w:rPr>
          <w:tab/>
          <w:t>E-</w:t>
        </w:r>
        <w:r w:rsidRPr="00900ADE">
          <w:rPr>
            <w:webHidden/>
          </w:rPr>
          <w:fldChar w:fldCharType="begin"/>
        </w:r>
        <w:r w:rsidRPr="00900ADE">
          <w:rPr>
            <w:webHidden/>
          </w:rPr>
          <w:instrText xml:space="preserve"> PAGEREF _Toc196169633 \h </w:instrText>
        </w:r>
        <w:r w:rsidRPr="00900ADE">
          <w:rPr>
            <w:webHidden/>
          </w:rPr>
        </w:r>
        <w:r w:rsidRPr="00900ADE">
          <w:rPr>
            <w:webHidden/>
          </w:rPr>
          <w:fldChar w:fldCharType="separate"/>
        </w:r>
        <w:r w:rsidRPr="00900ADE">
          <w:rPr>
            <w:webHidden/>
          </w:rPr>
          <w:t>11</w:t>
        </w:r>
        <w:r w:rsidRPr="00900ADE">
          <w:rPr>
            <w:webHidden/>
          </w:rPr>
          <w:fldChar w:fldCharType="end"/>
        </w:r>
      </w:hyperlink>
    </w:p>
    <w:p w14:paraId="3953DF3B" w14:textId="64FF692E" w:rsidR="00B87CA4" w:rsidRPr="00900ADE" w:rsidRDefault="00B87CA4">
      <w:pPr>
        <w:pStyle w:val="TableofFigures"/>
        <w:tabs>
          <w:tab w:val="right" w:leader="dot" w:pos="12950"/>
        </w:tabs>
        <w:rPr>
          <w:rFonts w:eastAsiaTheme="minorEastAsia"/>
          <w:kern w:val="2"/>
          <w:sz w:val="24"/>
          <w:szCs w:val="24"/>
          <w14:ligatures w14:val="standardContextual"/>
        </w:rPr>
      </w:pPr>
      <w:hyperlink w:anchor="_Toc196169634" w:history="1">
        <w:r w:rsidRPr="00900ADE">
          <w:rPr>
            <w:rStyle w:val="Hyperlink"/>
          </w:rPr>
          <w:t>Table E22. Accountability Results, 2024</w:t>
        </w:r>
        <w:r w:rsidRPr="00900ADE">
          <w:rPr>
            <w:webHidden/>
          </w:rPr>
          <w:tab/>
          <w:t>E-</w:t>
        </w:r>
        <w:r w:rsidRPr="00900ADE">
          <w:rPr>
            <w:webHidden/>
          </w:rPr>
          <w:fldChar w:fldCharType="begin"/>
        </w:r>
        <w:r w:rsidRPr="00900ADE">
          <w:rPr>
            <w:webHidden/>
          </w:rPr>
          <w:instrText xml:space="preserve"> PAGEREF _Toc196169634 \h </w:instrText>
        </w:r>
        <w:r w:rsidRPr="00900ADE">
          <w:rPr>
            <w:webHidden/>
          </w:rPr>
        </w:r>
        <w:r w:rsidRPr="00900ADE">
          <w:rPr>
            <w:webHidden/>
          </w:rPr>
          <w:fldChar w:fldCharType="separate"/>
        </w:r>
        <w:r w:rsidRPr="00900ADE">
          <w:rPr>
            <w:webHidden/>
          </w:rPr>
          <w:t>11</w:t>
        </w:r>
        <w:r w:rsidRPr="00900ADE">
          <w:rPr>
            <w:webHidden/>
          </w:rPr>
          <w:fldChar w:fldCharType="end"/>
        </w:r>
      </w:hyperlink>
    </w:p>
    <w:p w14:paraId="28D66DB3" w14:textId="61A7B9D1" w:rsidR="00B043E8" w:rsidRPr="00900ADE" w:rsidRDefault="00B87CA4" w:rsidP="00B043E8">
      <w:pPr>
        <w:spacing w:after="160" w:line="259" w:lineRule="auto"/>
        <w:rPr>
          <w:rFonts w:ascii="Franklin Gothic Book" w:hAnsi="Franklin Gothic Book"/>
        </w:rPr>
      </w:pPr>
      <w:r w:rsidRPr="00900ADE">
        <w:rPr>
          <w:rFonts w:ascii="Franklin Gothic Book" w:hAnsi="Franklin Gothic Book"/>
        </w:rPr>
        <w:fldChar w:fldCharType="end"/>
      </w:r>
      <w:r w:rsidR="00B043E8" w:rsidRPr="00900ADE">
        <w:rPr>
          <w:rFonts w:ascii="Franklin Gothic Book" w:hAnsi="Franklin Gothic Book"/>
        </w:rPr>
        <w:br w:type="page"/>
      </w:r>
    </w:p>
    <w:p w14:paraId="453B2CB1" w14:textId="77777777" w:rsidR="00B043E8" w:rsidRPr="00900ADE" w:rsidRDefault="00B043E8" w:rsidP="009B1A7E">
      <w:pPr>
        <w:pStyle w:val="TableETitle"/>
        <w:spacing w:before="0"/>
      </w:pPr>
      <w:bookmarkStart w:id="201" w:name="_Toc196169613"/>
      <w:r w:rsidRPr="00900ADE">
        <w:lastRenderedPageBreak/>
        <w:t>Table E1. MCAS ELA Achievement by Student Group, Grades 3-8, 2022-2024</w:t>
      </w:r>
      <w:bookmarkEnd w:id="201"/>
      <w:r w:rsidRPr="00900ADE">
        <w:t xml:space="preserve"> </w:t>
      </w:r>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7810F7" w:rsidRPr="00900ADE" w14:paraId="24F96824" w14:textId="77777777" w:rsidTr="009B1A7E">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0A2E52C7" w14:textId="77777777" w:rsidR="00B043E8" w:rsidRPr="00510408" w:rsidRDefault="00B043E8" w:rsidP="007810F7">
            <w:pPr>
              <w:pStyle w:val="TableColHeadingCenter"/>
              <w:spacing w:before="10" w:after="10"/>
            </w:pPr>
            <w:r w:rsidRPr="00510408">
              <w:t>Group</w:t>
            </w:r>
          </w:p>
        </w:tc>
        <w:tc>
          <w:tcPr>
            <w:tcW w:w="340" w:type="pct"/>
            <w:vAlign w:val="center"/>
          </w:tcPr>
          <w:p w14:paraId="2E2A52EB" w14:textId="19FC9B7F" w:rsidR="00B043E8" w:rsidRPr="00900ADE" w:rsidRDefault="00B043E8" w:rsidP="007810F7">
            <w:pPr>
              <w:pStyle w:val="TableColHeadingCenter"/>
              <w:spacing w:before="10" w:after="10"/>
            </w:pPr>
            <w:r w:rsidRPr="00900ADE">
              <w:t xml:space="preserve"># </w:t>
            </w:r>
            <w:r w:rsidR="00CD7EAE" w:rsidRPr="00900ADE">
              <w:t>i</w:t>
            </w:r>
            <w:r w:rsidRPr="00900ADE">
              <w:t>ncluded (2024)</w:t>
            </w:r>
          </w:p>
        </w:tc>
        <w:tc>
          <w:tcPr>
            <w:tcW w:w="298" w:type="pct"/>
            <w:vAlign w:val="center"/>
          </w:tcPr>
          <w:p w14:paraId="28BBC4CF" w14:textId="77777777" w:rsidR="00B043E8" w:rsidRPr="00900ADE" w:rsidRDefault="00B043E8" w:rsidP="007810F7">
            <w:pPr>
              <w:pStyle w:val="TableColHeadingCenter"/>
              <w:spacing w:before="10" w:after="10"/>
            </w:pPr>
            <w:r w:rsidRPr="00900ADE">
              <w:t>% M/E 2022</w:t>
            </w:r>
          </w:p>
        </w:tc>
        <w:tc>
          <w:tcPr>
            <w:tcW w:w="298" w:type="pct"/>
            <w:vAlign w:val="center"/>
          </w:tcPr>
          <w:p w14:paraId="4679FEF5" w14:textId="77777777" w:rsidR="00B043E8" w:rsidRPr="00900ADE" w:rsidRDefault="00B043E8" w:rsidP="007810F7">
            <w:pPr>
              <w:pStyle w:val="TableColHeadingCenter"/>
              <w:spacing w:before="10" w:after="10"/>
            </w:pPr>
            <w:r w:rsidRPr="00900ADE">
              <w:t>% M/E 2023</w:t>
            </w:r>
          </w:p>
        </w:tc>
        <w:tc>
          <w:tcPr>
            <w:tcW w:w="298" w:type="pct"/>
            <w:vAlign w:val="center"/>
          </w:tcPr>
          <w:p w14:paraId="5136DAF7" w14:textId="77777777" w:rsidR="00B043E8" w:rsidRPr="00900ADE" w:rsidRDefault="00B043E8" w:rsidP="007810F7">
            <w:pPr>
              <w:pStyle w:val="TableColHeadingCenter"/>
              <w:spacing w:before="10" w:after="10"/>
            </w:pPr>
            <w:r w:rsidRPr="00900ADE">
              <w:t>% M/E 2024</w:t>
            </w:r>
          </w:p>
        </w:tc>
        <w:tc>
          <w:tcPr>
            <w:tcW w:w="298" w:type="pct"/>
            <w:vAlign w:val="center"/>
          </w:tcPr>
          <w:p w14:paraId="407B0707" w14:textId="5A493485" w:rsidR="00B043E8" w:rsidRPr="00900ADE" w:rsidRDefault="00B043E8" w:rsidP="007810F7">
            <w:pPr>
              <w:pStyle w:val="TableColHeadingCenter"/>
              <w:spacing w:before="10" w:after="10"/>
            </w:pPr>
            <w:r w:rsidRPr="00900ADE">
              <w:t xml:space="preserve">% M/E 2024 </w:t>
            </w:r>
            <w:r w:rsidR="00122348">
              <w:t>S</w:t>
            </w:r>
            <w:r w:rsidRPr="00900ADE">
              <w:t>tate</w:t>
            </w:r>
          </w:p>
        </w:tc>
        <w:tc>
          <w:tcPr>
            <w:tcW w:w="298" w:type="pct"/>
            <w:vAlign w:val="center"/>
          </w:tcPr>
          <w:p w14:paraId="4AC97474" w14:textId="77777777" w:rsidR="00B043E8" w:rsidRPr="00900ADE" w:rsidRDefault="00B043E8" w:rsidP="007810F7">
            <w:pPr>
              <w:pStyle w:val="TableColHeadingCenter"/>
              <w:spacing w:before="10" w:after="10"/>
            </w:pPr>
            <w:r w:rsidRPr="00900ADE">
              <w:t>% PME 2022</w:t>
            </w:r>
          </w:p>
        </w:tc>
        <w:tc>
          <w:tcPr>
            <w:tcW w:w="298" w:type="pct"/>
            <w:vAlign w:val="center"/>
          </w:tcPr>
          <w:p w14:paraId="2D8568F9" w14:textId="77777777" w:rsidR="00B043E8" w:rsidRPr="00900ADE" w:rsidRDefault="00B043E8" w:rsidP="007810F7">
            <w:pPr>
              <w:pStyle w:val="TableColHeadingCenter"/>
              <w:spacing w:before="10" w:after="10"/>
            </w:pPr>
            <w:r w:rsidRPr="00900ADE">
              <w:t>% PME 2023</w:t>
            </w:r>
          </w:p>
        </w:tc>
        <w:tc>
          <w:tcPr>
            <w:tcW w:w="298" w:type="pct"/>
            <w:vAlign w:val="center"/>
          </w:tcPr>
          <w:p w14:paraId="7218E255" w14:textId="77777777" w:rsidR="00B043E8" w:rsidRPr="00900ADE" w:rsidRDefault="00B043E8" w:rsidP="007810F7">
            <w:pPr>
              <w:pStyle w:val="TableColHeadingCenter"/>
              <w:spacing w:before="10" w:after="10"/>
            </w:pPr>
            <w:r w:rsidRPr="00900ADE">
              <w:t>% PME 2024</w:t>
            </w:r>
          </w:p>
        </w:tc>
        <w:tc>
          <w:tcPr>
            <w:tcW w:w="298" w:type="pct"/>
            <w:vAlign w:val="center"/>
          </w:tcPr>
          <w:p w14:paraId="3FAFDAD4" w14:textId="2A8AF1EC" w:rsidR="00B043E8" w:rsidRPr="00900ADE" w:rsidRDefault="00B043E8" w:rsidP="007810F7">
            <w:pPr>
              <w:pStyle w:val="TableColHeadingCenter"/>
              <w:spacing w:before="10" w:after="10"/>
            </w:pPr>
            <w:r w:rsidRPr="00900ADE">
              <w:t xml:space="preserve">% PME 2024 </w:t>
            </w:r>
            <w:r w:rsidR="00122348">
              <w:t>S</w:t>
            </w:r>
            <w:r w:rsidRPr="00900ADE">
              <w:t>tate</w:t>
            </w:r>
          </w:p>
        </w:tc>
        <w:tc>
          <w:tcPr>
            <w:tcW w:w="298" w:type="pct"/>
            <w:vAlign w:val="center"/>
          </w:tcPr>
          <w:p w14:paraId="586ACBE9" w14:textId="77777777" w:rsidR="00B043E8" w:rsidRPr="00900ADE" w:rsidRDefault="00B043E8" w:rsidP="007810F7">
            <w:pPr>
              <w:pStyle w:val="TableColHeadingCenter"/>
              <w:spacing w:before="10" w:after="10"/>
            </w:pPr>
            <w:r w:rsidRPr="00900ADE">
              <w:t>% NM 2022</w:t>
            </w:r>
          </w:p>
        </w:tc>
        <w:tc>
          <w:tcPr>
            <w:tcW w:w="298" w:type="pct"/>
            <w:vAlign w:val="center"/>
          </w:tcPr>
          <w:p w14:paraId="141D7BC5" w14:textId="77777777" w:rsidR="00B043E8" w:rsidRPr="00900ADE" w:rsidRDefault="00B043E8" w:rsidP="007810F7">
            <w:pPr>
              <w:pStyle w:val="TableColHeadingCenter"/>
              <w:spacing w:before="10" w:after="10"/>
            </w:pPr>
            <w:r w:rsidRPr="00900ADE">
              <w:t>% NM 2023</w:t>
            </w:r>
          </w:p>
        </w:tc>
        <w:tc>
          <w:tcPr>
            <w:tcW w:w="298" w:type="pct"/>
            <w:vAlign w:val="center"/>
          </w:tcPr>
          <w:p w14:paraId="4A21EB0A" w14:textId="77777777" w:rsidR="00B043E8" w:rsidRPr="00900ADE" w:rsidRDefault="00B043E8" w:rsidP="007810F7">
            <w:pPr>
              <w:pStyle w:val="TableColHeadingCenter"/>
              <w:spacing w:before="10" w:after="10"/>
            </w:pPr>
            <w:r w:rsidRPr="00900ADE">
              <w:t>% NM 2024</w:t>
            </w:r>
          </w:p>
        </w:tc>
        <w:tc>
          <w:tcPr>
            <w:tcW w:w="295" w:type="pct"/>
            <w:vAlign w:val="center"/>
          </w:tcPr>
          <w:p w14:paraId="1242BA7F" w14:textId="2A3F7760" w:rsidR="00B043E8" w:rsidRPr="00900ADE" w:rsidRDefault="00B043E8" w:rsidP="007810F7">
            <w:pPr>
              <w:pStyle w:val="TableColHeadingCenter"/>
              <w:spacing w:before="10" w:after="10"/>
            </w:pPr>
            <w:r w:rsidRPr="00900ADE">
              <w:t xml:space="preserve">% NM 2024 </w:t>
            </w:r>
            <w:r w:rsidR="00122348">
              <w:t>S</w:t>
            </w:r>
            <w:r w:rsidRPr="00900ADE">
              <w:t>tate</w:t>
            </w:r>
          </w:p>
        </w:tc>
      </w:tr>
      <w:tr w:rsidR="007810F7" w:rsidRPr="00900ADE" w14:paraId="60D806CF" w14:textId="77777777" w:rsidTr="009B1A7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F1CE3EE"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All</w:t>
            </w:r>
          </w:p>
        </w:tc>
        <w:tc>
          <w:tcPr>
            <w:tcW w:w="340" w:type="pct"/>
          </w:tcPr>
          <w:p w14:paraId="6260D37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1,025</w:t>
            </w:r>
          </w:p>
        </w:tc>
        <w:tc>
          <w:tcPr>
            <w:tcW w:w="298" w:type="pct"/>
          </w:tcPr>
          <w:p w14:paraId="379C4F7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55</w:t>
            </w:r>
          </w:p>
        </w:tc>
        <w:tc>
          <w:tcPr>
            <w:tcW w:w="298" w:type="pct"/>
          </w:tcPr>
          <w:p w14:paraId="02A0A78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55</w:t>
            </w:r>
          </w:p>
        </w:tc>
        <w:tc>
          <w:tcPr>
            <w:tcW w:w="298" w:type="pct"/>
          </w:tcPr>
          <w:p w14:paraId="6846A03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54</w:t>
            </w:r>
          </w:p>
        </w:tc>
        <w:tc>
          <w:tcPr>
            <w:tcW w:w="298" w:type="pct"/>
          </w:tcPr>
          <w:p w14:paraId="787DE34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39</w:t>
            </w:r>
          </w:p>
        </w:tc>
        <w:tc>
          <w:tcPr>
            <w:tcW w:w="298" w:type="pct"/>
          </w:tcPr>
          <w:p w14:paraId="1084341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37</w:t>
            </w:r>
          </w:p>
        </w:tc>
        <w:tc>
          <w:tcPr>
            <w:tcW w:w="298" w:type="pct"/>
          </w:tcPr>
          <w:p w14:paraId="3ACE48F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35</w:t>
            </w:r>
          </w:p>
        </w:tc>
        <w:tc>
          <w:tcPr>
            <w:tcW w:w="298" w:type="pct"/>
          </w:tcPr>
          <w:p w14:paraId="16D20EF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35</w:t>
            </w:r>
          </w:p>
        </w:tc>
        <w:tc>
          <w:tcPr>
            <w:tcW w:w="298" w:type="pct"/>
          </w:tcPr>
          <w:p w14:paraId="1393D38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8" w:type="pct"/>
          </w:tcPr>
          <w:p w14:paraId="29276AD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w:t>
            </w:r>
          </w:p>
        </w:tc>
        <w:tc>
          <w:tcPr>
            <w:tcW w:w="298" w:type="pct"/>
          </w:tcPr>
          <w:p w14:paraId="683A90C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c>
          <w:tcPr>
            <w:tcW w:w="298" w:type="pct"/>
          </w:tcPr>
          <w:p w14:paraId="29D1C20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c>
          <w:tcPr>
            <w:tcW w:w="295" w:type="pct"/>
          </w:tcPr>
          <w:p w14:paraId="6F0D007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r>
      <w:tr w:rsidR="00B043E8" w:rsidRPr="00900ADE" w14:paraId="507B33DD" w14:textId="77777777" w:rsidTr="009B1A7E">
        <w:trPr>
          <w:jc w:val="center"/>
        </w:trPr>
        <w:tc>
          <w:tcPr>
            <w:tcW w:w="1087" w:type="pct"/>
          </w:tcPr>
          <w:p w14:paraId="5A8A1FEB"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African American/Black</w:t>
            </w:r>
          </w:p>
        </w:tc>
        <w:tc>
          <w:tcPr>
            <w:tcW w:w="340" w:type="pct"/>
          </w:tcPr>
          <w:p w14:paraId="7FF769B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8" w:type="pct"/>
          </w:tcPr>
          <w:p w14:paraId="519F682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53</w:t>
            </w:r>
          </w:p>
        </w:tc>
        <w:tc>
          <w:tcPr>
            <w:tcW w:w="298" w:type="pct"/>
          </w:tcPr>
          <w:p w14:paraId="6B6C3FF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57</w:t>
            </w:r>
          </w:p>
        </w:tc>
        <w:tc>
          <w:tcPr>
            <w:tcW w:w="298" w:type="pct"/>
          </w:tcPr>
          <w:p w14:paraId="32DEDAB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48</w:t>
            </w:r>
          </w:p>
        </w:tc>
        <w:tc>
          <w:tcPr>
            <w:tcW w:w="298" w:type="pct"/>
          </w:tcPr>
          <w:p w14:paraId="2A79A59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24</w:t>
            </w:r>
          </w:p>
        </w:tc>
        <w:tc>
          <w:tcPr>
            <w:tcW w:w="298" w:type="pct"/>
          </w:tcPr>
          <w:p w14:paraId="17D1E55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35</w:t>
            </w:r>
          </w:p>
        </w:tc>
        <w:tc>
          <w:tcPr>
            <w:tcW w:w="298" w:type="pct"/>
          </w:tcPr>
          <w:p w14:paraId="6A58653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c>
          <w:tcPr>
            <w:tcW w:w="298" w:type="pct"/>
          </w:tcPr>
          <w:p w14:paraId="5C2FDFA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33A4AA8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46</w:t>
            </w:r>
          </w:p>
        </w:tc>
        <w:tc>
          <w:tcPr>
            <w:tcW w:w="298" w:type="pct"/>
          </w:tcPr>
          <w:p w14:paraId="4F2E6C6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12</w:t>
            </w:r>
          </w:p>
        </w:tc>
        <w:tc>
          <w:tcPr>
            <w:tcW w:w="298" w:type="pct"/>
          </w:tcPr>
          <w:p w14:paraId="4301C58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c>
          <w:tcPr>
            <w:tcW w:w="298" w:type="pct"/>
          </w:tcPr>
          <w:p w14:paraId="360457B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16</w:t>
            </w:r>
          </w:p>
        </w:tc>
        <w:tc>
          <w:tcPr>
            <w:tcW w:w="295" w:type="pct"/>
          </w:tcPr>
          <w:p w14:paraId="5FA4CDE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31</w:t>
            </w:r>
          </w:p>
        </w:tc>
      </w:tr>
      <w:tr w:rsidR="007810F7" w:rsidRPr="00900ADE" w14:paraId="6951BC89" w14:textId="77777777" w:rsidTr="009B1A7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1817A2E"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Asian</w:t>
            </w:r>
          </w:p>
        </w:tc>
        <w:tc>
          <w:tcPr>
            <w:tcW w:w="340" w:type="pct"/>
          </w:tcPr>
          <w:p w14:paraId="7F3908D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4A14B03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90</w:t>
            </w:r>
          </w:p>
        </w:tc>
        <w:tc>
          <w:tcPr>
            <w:tcW w:w="298" w:type="pct"/>
          </w:tcPr>
          <w:p w14:paraId="16B909E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73</w:t>
            </w:r>
          </w:p>
        </w:tc>
        <w:tc>
          <w:tcPr>
            <w:tcW w:w="298" w:type="pct"/>
          </w:tcPr>
          <w:p w14:paraId="53BE515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67</w:t>
            </w:r>
          </w:p>
        </w:tc>
        <w:tc>
          <w:tcPr>
            <w:tcW w:w="298" w:type="pct"/>
          </w:tcPr>
          <w:p w14:paraId="47434FB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62</w:t>
            </w:r>
          </w:p>
        </w:tc>
        <w:tc>
          <w:tcPr>
            <w:tcW w:w="298" w:type="pct"/>
          </w:tcPr>
          <w:p w14:paraId="7C55386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c>
          <w:tcPr>
            <w:tcW w:w="298" w:type="pct"/>
          </w:tcPr>
          <w:p w14:paraId="6C60BD7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22</w:t>
            </w:r>
          </w:p>
        </w:tc>
        <w:tc>
          <w:tcPr>
            <w:tcW w:w="298" w:type="pct"/>
          </w:tcPr>
          <w:p w14:paraId="5651BBD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29</w:t>
            </w:r>
          </w:p>
        </w:tc>
        <w:tc>
          <w:tcPr>
            <w:tcW w:w="298" w:type="pct"/>
          </w:tcPr>
          <w:p w14:paraId="18A1500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29</w:t>
            </w:r>
          </w:p>
        </w:tc>
        <w:tc>
          <w:tcPr>
            <w:tcW w:w="298" w:type="pct"/>
          </w:tcPr>
          <w:p w14:paraId="7F87D33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0</w:t>
            </w:r>
          </w:p>
        </w:tc>
        <w:tc>
          <w:tcPr>
            <w:tcW w:w="298" w:type="pct"/>
          </w:tcPr>
          <w:p w14:paraId="18BFBBE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c>
          <w:tcPr>
            <w:tcW w:w="298" w:type="pct"/>
          </w:tcPr>
          <w:p w14:paraId="0E995B2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w:t>
            </w:r>
          </w:p>
        </w:tc>
        <w:tc>
          <w:tcPr>
            <w:tcW w:w="295" w:type="pct"/>
          </w:tcPr>
          <w:p w14:paraId="2C4B8C4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r>
      <w:tr w:rsidR="00B043E8" w:rsidRPr="00900ADE" w14:paraId="1424FC0B" w14:textId="77777777" w:rsidTr="009B1A7E">
        <w:trPr>
          <w:jc w:val="center"/>
        </w:trPr>
        <w:tc>
          <w:tcPr>
            <w:tcW w:w="1087" w:type="pct"/>
          </w:tcPr>
          <w:p w14:paraId="7FBAC2CF"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Hispanic/Latino</w:t>
            </w:r>
          </w:p>
        </w:tc>
        <w:tc>
          <w:tcPr>
            <w:tcW w:w="340" w:type="pct"/>
          </w:tcPr>
          <w:p w14:paraId="3AD086B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88</w:t>
            </w:r>
          </w:p>
        </w:tc>
        <w:tc>
          <w:tcPr>
            <w:tcW w:w="298" w:type="pct"/>
          </w:tcPr>
          <w:p w14:paraId="6CCE177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44</w:t>
            </w:r>
          </w:p>
        </w:tc>
        <w:tc>
          <w:tcPr>
            <w:tcW w:w="298" w:type="pct"/>
          </w:tcPr>
          <w:p w14:paraId="396808E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672A4E5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8" w:type="pct"/>
          </w:tcPr>
          <w:p w14:paraId="5D0D852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c>
          <w:tcPr>
            <w:tcW w:w="298" w:type="pct"/>
          </w:tcPr>
          <w:p w14:paraId="6AB9FF8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7C8DFB5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37</w:t>
            </w:r>
          </w:p>
        </w:tc>
        <w:tc>
          <w:tcPr>
            <w:tcW w:w="298" w:type="pct"/>
          </w:tcPr>
          <w:p w14:paraId="6DF05C7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49</w:t>
            </w:r>
          </w:p>
        </w:tc>
        <w:tc>
          <w:tcPr>
            <w:tcW w:w="298" w:type="pct"/>
          </w:tcPr>
          <w:p w14:paraId="3918716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44</w:t>
            </w:r>
          </w:p>
        </w:tc>
        <w:tc>
          <w:tcPr>
            <w:tcW w:w="298" w:type="pct"/>
          </w:tcPr>
          <w:p w14:paraId="79C2BE4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c>
          <w:tcPr>
            <w:tcW w:w="298" w:type="pct"/>
          </w:tcPr>
          <w:p w14:paraId="3F0B79E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27</w:t>
            </w:r>
          </w:p>
        </w:tc>
        <w:tc>
          <w:tcPr>
            <w:tcW w:w="298" w:type="pct"/>
          </w:tcPr>
          <w:p w14:paraId="3651269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c>
          <w:tcPr>
            <w:tcW w:w="295" w:type="pct"/>
          </w:tcPr>
          <w:p w14:paraId="6241DF6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r>
      <w:tr w:rsidR="007810F7" w:rsidRPr="00900ADE" w14:paraId="14F75CCF" w14:textId="77777777" w:rsidTr="009B1A7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9E5E23F"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cstheme="minorHAnsi"/>
                <w:spacing w:val="-4"/>
              </w:rPr>
              <w:t>Multi-Race, non-Hispanic/Latino</w:t>
            </w:r>
          </w:p>
        </w:tc>
        <w:tc>
          <w:tcPr>
            <w:tcW w:w="340" w:type="pct"/>
          </w:tcPr>
          <w:p w14:paraId="33258A3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4233449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43DAC63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3AF4289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69</w:t>
            </w:r>
          </w:p>
        </w:tc>
        <w:tc>
          <w:tcPr>
            <w:tcW w:w="298" w:type="pct"/>
          </w:tcPr>
          <w:p w14:paraId="43C7050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46</w:t>
            </w:r>
          </w:p>
        </w:tc>
        <w:tc>
          <w:tcPr>
            <w:tcW w:w="298" w:type="pct"/>
          </w:tcPr>
          <w:p w14:paraId="45197A6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42</w:t>
            </w:r>
          </w:p>
        </w:tc>
        <w:tc>
          <w:tcPr>
            <w:tcW w:w="298" w:type="pct"/>
          </w:tcPr>
          <w:p w14:paraId="7D7A4BA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48</w:t>
            </w:r>
          </w:p>
        </w:tc>
        <w:tc>
          <w:tcPr>
            <w:tcW w:w="298" w:type="pct"/>
          </w:tcPr>
          <w:p w14:paraId="57B4943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15</w:t>
            </w:r>
          </w:p>
        </w:tc>
        <w:tc>
          <w:tcPr>
            <w:tcW w:w="298" w:type="pct"/>
          </w:tcPr>
          <w:p w14:paraId="45A6E05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37</w:t>
            </w:r>
          </w:p>
        </w:tc>
        <w:tc>
          <w:tcPr>
            <w:tcW w:w="298" w:type="pct"/>
          </w:tcPr>
          <w:p w14:paraId="2DF8513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w:t>
            </w:r>
          </w:p>
        </w:tc>
        <w:tc>
          <w:tcPr>
            <w:tcW w:w="298" w:type="pct"/>
          </w:tcPr>
          <w:p w14:paraId="2A50003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0</w:t>
            </w:r>
          </w:p>
        </w:tc>
        <w:tc>
          <w:tcPr>
            <w:tcW w:w="298" w:type="pct"/>
          </w:tcPr>
          <w:p w14:paraId="5A2462D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15</w:t>
            </w:r>
          </w:p>
        </w:tc>
        <w:tc>
          <w:tcPr>
            <w:tcW w:w="295" w:type="pct"/>
          </w:tcPr>
          <w:p w14:paraId="40F1BD4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17</w:t>
            </w:r>
          </w:p>
        </w:tc>
      </w:tr>
      <w:tr w:rsidR="00B043E8" w:rsidRPr="00900ADE" w14:paraId="7D41AB61" w14:textId="77777777" w:rsidTr="009B1A7E">
        <w:trPr>
          <w:jc w:val="center"/>
        </w:trPr>
        <w:tc>
          <w:tcPr>
            <w:tcW w:w="1087" w:type="pct"/>
          </w:tcPr>
          <w:p w14:paraId="70B02905"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Native American</w:t>
            </w:r>
          </w:p>
        </w:tc>
        <w:tc>
          <w:tcPr>
            <w:tcW w:w="340" w:type="pct"/>
          </w:tcPr>
          <w:p w14:paraId="31228B0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w:t>
            </w:r>
          </w:p>
        </w:tc>
        <w:tc>
          <w:tcPr>
            <w:tcW w:w="298" w:type="pct"/>
          </w:tcPr>
          <w:p w14:paraId="153C0F5E" w14:textId="532BD7DB"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C2646BD" w14:textId="5404C66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374A657" w14:textId="563C08B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D1E1DB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8" w:type="pct"/>
          </w:tcPr>
          <w:p w14:paraId="1767B61A" w14:textId="5827A0F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0C1C024" w14:textId="0356CB9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3F4DD80" w14:textId="33CD51F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3E248B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43</w:t>
            </w:r>
          </w:p>
        </w:tc>
        <w:tc>
          <w:tcPr>
            <w:tcW w:w="298" w:type="pct"/>
          </w:tcPr>
          <w:p w14:paraId="1B0CC2A7" w14:textId="66CE896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3944FE7" w14:textId="1C7B483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BCA4132" w14:textId="408DEDC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19340F7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32</w:t>
            </w:r>
          </w:p>
        </w:tc>
      </w:tr>
      <w:tr w:rsidR="007810F7" w:rsidRPr="00900ADE" w14:paraId="5CC4F62A" w14:textId="77777777" w:rsidTr="009B1A7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B58AB10"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Native Hawaiian, Pacific Islander</w:t>
            </w:r>
          </w:p>
        </w:tc>
        <w:tc>
          <w:tcPr>
            <w:tcW w:w="340" w:type="pct"/>
          </w:tcPr>
          <w:p w14:paraId="73A7645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w:t>
            </w:r>
          </w:p>
        </w:tc>
        <w:tc>
          <w:tcPr>
            <w:tcW w:w="298" w:type="pct"/>
          </w:tcPr>
          <w:p w14:paraId="77C17482" w14:textId="1FE79A9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39F98D6" w14:textId="1321C47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CB71C17" w14:textId="117B7CA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7BD69B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39</w:t>
            </w:r>
          </w:p>
        </w:tc>
        <w:tc>
          <w:tcPr>
            <w:tcW w:w="298" w:type="pct"/>
          </w:tcPr>
          <w:p w14:paraId="088E20CD" w14:textId="496AB218"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F8D013C" w14:textId="1D3F13D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F752D71" w14:textId="17E9FAA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D5D2F4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39</w:t>
            </w:r>
          </w:p>
        </w:tc>
        <w:tc>
          <w:tcPr>
            <w:tcW w:w="298" w:type="pct"/>
          </w:tcPr>
          <w:p w14:paraId="7AEC827F" w14:textId="064090D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E574722" w14:textId="76012AD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550CD13" w14:textId="25D691A4"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17D8370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r>
      <w:tr w:rsidR="00B043E8" w:rsidRPr="00900ADE" w14:paraId="41522247" w14:textId="77777777" w:rsidTr="009B1A7E">
        <w:trPr>
          <w:jc w:val="center"/>
        </w:trPr>
        <w:tc>
          <w:tcPr>
            <w:tcW w:w="1087" w:type="pct"/>
          </w:tcPr>
          <w:p w14:paraId="0B24A08C"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White</w:t>
            </w:r>
          </w:p>
        </w:tc>
        <w:tc>
          <w:tcPr>
            <w:tcW w:w="340" w:type="pct"/>
          </w:tcPr>
          <w:p w14:paraId="172FD4E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832</w:t>
            </w:r>
          </w:p>
        </w:tc>
        <w:tc>
          <w:tcPr>
            <w:tcW w:w="298" w:type="pct"/>
          </w:tcPr>
          <w:p w14:paraId="21087F8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55</w:t>
            </w:r>
          </w:p>
        </w:tc>
        <w:tc>
          <w:tcPr>
            <w:tcW w:w="298" w:type="pct"/>
          </w:tcPr>
          <w:p w14:paraId="5E1172C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56</w:t>
            </w:r>
          </w:p>
        </w:tc>
        <w:tc>
          <w:tcPr>
            <w:tcW w:w="298" w:type="pct"/>
          </w:tcPr>
          <w:p w14:paraId="5E6D051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56</w:t>
            </w:r>
          </w:p>
        </w:tc>
        <w:tc>
          <w:tcPr>
            <w:tcW w:w="298" w:type="pct"/>
          </w:tcPr>
          <w:p w14:paraId="176A656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47</w:t>
            </w:r>
          </w:p>
        </w:tc>
        <w:tc>
          <w:tcPr>
            <w:tcW w:w="298" w:type="pct"/>
          </w:tcPr>
          <w:p w14:paraId="67C0226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37</w:t>
            </w:r>
          </w:p>
        </w:tc>
        <w:tc>
          <w:tcPr>
            <w:tcW w:w="298" w:type="pct"/>
          </w:tcPr>
          <w:p w14:paraId="50F41C3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35</w:t>
            </w:r>
          </w:p>
        </w:tc>
        <w:tc>
          <w:tcPr>
            <w:tcW w:w="298" w:type="pct"/>
          </w:tcPr>
          <w:p w14:paraId="3FEC15B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35</w:t>
            </w:r>
          </w:p>
        </w:tc>
        <w:tc>
          <w:tcPr>
            <w:tcW w:w="298" w:type="pct"/>
          </w:tcPr>
          <w:p w14:paraId="5F0916B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8" w:type="pct"/>
          </w:tcPr>
          <w:p w14:paraId="7AB96E8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w:t>
            </w:r>
          </w:p>
        </w:tc>
        <w:tc>
          <w:tcPr>
            <w:tcW w:w="298" w:type="pct"/>
          </w:tcPr>
          <w:p w14:paraId="36D126A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w:t>
            </w:r>
          </w:p>
        </w:tc>
        <w:tc>
          <w:tcPr>
            <w:tcW w:w="298" w:type="pct"/>
          </w:tcPr>
          <w:p w14:paraId="10C49BC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9</w:t>
            </w:r>
          </w:p>
        </w:tc>
        <w:tc>
          <w:tcPr>
            <w:tcW w:w="295" w:type="pct"/>
          </w:tcPr>
          <w:p w14:paraId="6198E33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13</w:t>
            </w:r>
          </w:p>
        </w:tc>
      </w:tr>
      <w:tr w:rsidR="007810F7" w:rsidRPr="00900ADE" w14:paraId="16253AF4" w14:textId="77777777" w:rsidTr="009B1A7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6F9E174" w14:textId="6464D8BD"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 xml:space="preserve">High </w:t>
            </w:r>
            <w:r w:rsidR="00A64AA7">
              <w:rPr>
                <w:rFonts w:ascii="Franklin Gothic Book" w:hAnsi="Franklin Gothic Book"/>
                <w:spacing w:val="-4"/>
              </w:rPr>
              <w:t>n</w:t>
            </w:r>
            <w:r w:rsidRPr="00900ADE">
              <w:rPr>
                <w:rFonts w:ascii="Franklin Gothic Book" w:hAnsi="Franklin Gothic Book"/>
                <w:spacing w:val="-4"/>
              </w:rPr>
              <w:t>eeds</w:t>
            </w:r>
          </w:p>
        </w:tc>
        <w:tc>
          <w:tcPr>
            <w:tcW w:w="340" w:type="pct"/>
          </w:tcPr>
          <w:p w14:paraId="3B4AC29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338</w:t>
            </w:r>
          </w:p>
        </w:tc>
        <w:tc>
          <w:tcPr>
            <w:tcW w:w="298" w:type="pct"/>
          </w:tcPr>
          <w:p w14:paraId="3E17A4B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27</w:t>
            </w:r>
          </w:p>
        </w:tc>
        <w:tc>
          <w:tcPr>
            <w:tcW w:w="298" w:type="pct"/>
          </w:tcPr>
          <w:p w14:paraId="2C180C5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8" w:type="pct"/>
          </w:tcPr>
          <w:p w14:paraId="319DBD4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0B73CAB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22</w:t>
            </w:r>
          </w:p>
        </w:tc>
        <w:tc>
          <w:tcPr>
            <w:tcW w:w="298" w:type="pct"/>
          </w:tcPr>
          <w:p w14:paraId="74350B4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31FF589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49</w:t>
            </w:r>
          </w:p>
        </w:tc>
        <w:tc>
          <w:tcPr>
            <w:tcW w:w="298" w:type="pct"/>
          </w:tcPr>
          <w:p w14:paraId="2BF7A8E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46</w:t>
            </w:r>
          </w:p>
        </w:tc>
        <w:tc>
          <w:tcPr>
            <w:tcW w:w="298" w:type="pct"/>
          </w:tcPr>
          <w:p w14:paraId="571750E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45</w:t>
            </w:r>
          </w:p>
        </w:tc>
        <w:tc>
          <w:tcPr>
            <w:tcW w:w="298" w:type="pct"/>
          </w:tcPr>
          <w:p w14:paraId="348877F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c>
          <w:tcPr>
            <w:tcW w:w="298" w:type="pct"/>
          </w:tcPr>
          <w:p w14:paraId="726F908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3D087BA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5" w:type="pct"/>
          </w:tcPr>
          <w:p w14:paraId="097CDC8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r>
      <w:tr w:rsidR="00B043E8" w:rsidRPr="00900ADE" w14:paraId="5CFB94F6" w14:textId="77777777" w:rsidTr="009B1A7E">
        <w:trPr>
          <w:jc w:val="center"/>
        </w:trPr>
        <w:tc>
          <w:tcPr>
            <w:tcW w:w="1087" w:type="pct"/>
          </w:tcPr>
          <w:p w14:paraId="2D536B8C"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Low income</w:t>
            </w:r>
          </w:p>
        </w:tc>
        <w:tc>
          <w:tcPr>
            <w:tcW w:w="340" w:type="pct"/>
          </w:tcPr>
          <w:p w14:paraId="7451A99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185</w:t>
            </w:r>
          </w:p>
        </w:tc>
        <w:tc>
          <w:tcPr>
            <w:tcW w:w="298" w:type="pct"/>
          </w:tcPr>
          <w:p w14:paraId="7BE39D2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8" w:type="pct"/>
          </w:tcPr>
          <w:p w14:paraId="6610F44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30</w:t>
            </w:r>
          </w:p>
        </w:tc>
        <w:tc>
          <w:tcPr>
            <w:tcW w:w="298" w:type="pct"/>
          </w:tcPr>
          <w:p w14:paraId="33772AA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29</w:t>
            </w:r>
          </w:p>
        </w:tc>
        <w:tc>
          <w:tcPr>
            <w:tcW w:w="298" w:type="pct"/>
          </w:tcPr>
          <w:p w14:paraId="7DACBFC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c>
          <w:tcPr>
            <w:tcW w:w="298" w:type="pct"/>
          </w:tcPr>
          <w:p w14:paraId="6746377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53</w:t>
            </w:r>
          </w:p>
        </w:tc>
        <w:tc>
          <w:tcPr>
            <w:tcW w:w="298" w:type="pct"/>
          </w:tcPr>
          <w:p w14:paraId="0BC9D78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46</w:t>
            </w:r>
          </w:p>
        </w:tc>
        <w:tc>
          <w:tcPr>
            <w:tcW w:w="298" w:type="pct"/>
          </w:tcPr>
          <w:p w14:paraId="595DF19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42</w:t>
            </w:r>
          </w:p>
        </w:tc>
        <w:tc>
          <w:tcPr>
            <w:tcW w:w="298" w:type="pct"/>
          </w:tcPr>
          <w:p w14:paraId="040B0E3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45</w:t>
            </w:r>
          </w:p>
        </w:tc>
        <w:tc>
          <w:tcPr>
            <w:tcW w:w="298" w:type="pct"/>
          </w:tcPr>
          <w:p w14:paraId="372E442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19</w:t>
            </w:r>
          </w:p>
        </w:tc>
        <w:tc>
          <w:tcPr>
            <w:tcW w:w="298" w:type="pct"/>
          </w:tcPr>
          <w:p w14:paraId="04FA628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8" w:type="pct"/>
          </w:tcPr>
          <w:p w14:paraId="14A2389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29</w:t>
            </w:r>
          </w:p>
        </w:tc>
        <w:tc>
          <w:tcPr>
            <w:tcW w:w="295" w:type="pct"/>
          </w:tcPr>
          <w:p w14:paraId="2E6111F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r>
      <w:tr w:rsidR="007810F7" w:rsidRPr="00900ADE" w14:paraId="5593FB86" w14:textId="77777777" w:rsidTr="009B1A7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A8E85D9"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ELs and former ELs</w:t>
            </w:r>
          </w:p>
        </w:tc>
        <w:tc>
          <w:tcPr>
            <w:tcW w:w="340" w:type="pct"/>
          </w:tcPr>
          <w:p w14:paraId="08B19F9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75</w:t>
            </w:r>
          </w:p>
        </w:tc>
        <w:tc>
          <w:tcPr>
            <w:tcW w:w="298" w:type="pct"/>
          </w:tcPr>
          <w:p w14:paraId="214326F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283A886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6890AE5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8" w:type="pct"/>
          </w:tcPr>
          <w:p w14:paraId="117E0DC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17</w:t>
            </w:r>
          </w:p>
        </w:tc>
        <w:tc>
          <w:tcPr>
            <w:tcW w:w="298" w:type="pct"/>
          </w:tcPr>
          <w:p w14:paraId="2BE3B65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59D78ED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45</w:t>
            </w:r>
          </w:p>
        </w:tc>
        <w:tc>
          <w:tcPr>
            <w:tcW w:w="298" w:type="pct"/>
          </w:tcPr>
          <w:p w14:paraId="3D8F700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49</w:t>
            </w:r>
          </w:p>
        </w:tc>
        <w:tc>
          <w:tcPr>
            <w:tcW w:w="298" w:type="pct"/>
          </w:tcPr>
          <w:p w14:paraId="42CA611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43</w:t>
            </w:r>
          </w:p>
        </w:tc>
        <w:tc>
          <w:tcPr>
            <w:tcW w:w="298" w:type="pct"/>
          </w:tcPr>
          <w:p w14:paraId="68FA817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c>
          <w:tcPr>
            <w:tcW w:w="298" w:type="pct"/>
          </w:tcPr>
          <w:p w14:paraId="6D44DC0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29</w:t>
            </w:r>
          </w:p>
        </w:tc>
        <w:tc>
          <w:tcPr>
            <w:tcW w:w="298" w:type="pct"/>
          </w:tcPr>
          <w:p w14:paraId="05BB300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5" w:type="pct"/>
          </w:tcPr>
          <w:p w14:paraId="792D2FE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41</w:t>
            </w:r>
          </w:p>
        </w:tc>
      </w:tr>
      <w:tr w:rsidR="00B043E8" w:rsidRPr="00900ADE" w14:paraId="07C92145" w14:textId="77777777" w:rsidTr="009B1A7E">
        <w:trPr>
          <w:jc w:val="center"/>
        </w:trPr>
        <w:tc>
          <w:tcPr>
            <w:tcW w:w="1087" w:type="pct"/>
          </w:tcPr>
          <w:p w14:paraId="29252384"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Students w/disabilities</w:t>
            </w:r>
          </w:p>
        </w:tc>
        <w:tc>
          <w:tcPr>
            <w:tcW w:w="340" w:type="pct"/>
          </w:tcPr>
          <w:p w14:paraId="10D03EA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187</w:t>
            </w:r>
          </w:p>
        </w:tc>
        <w:tc>
          <w:tcPr>
            <w:tcW w:w="298" w:type="pct"/>
          </w:tcPr>
          <w:p w14:paraId="2000028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16</w:t>
            </w:r>
          </w:p>
        </w:tc>
        <w:tc>
          <w:tcPr>
            <w:tcW w:w="298" w:type="pct"/>
          </w:tcPr>
          <w:p w14:paraId="3B6EC76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11</w:t>
            </w:r>
          </w:p>
        </w:tc>
        <w:tc>
          <w:tcPr>
            <w:tcW w:w="298" w:type="pct"/>
          </w:tcPr>
          <w:p w14:paraId="23E538C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13</w:t>
            </w:r>
          </w:p>
        </w:tc>
        <w:tc>
          <w:tcPr>
            <w:tcW w:w="298" w:type="pct"/>
          </w:tcPr>
          <w:p w14:paraId="2BC0DDA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11</w:t>
            </w:r>
          </w:p>
        </w:tc>
        <w:tc>
          <w:tcPr>
            <w:tcW w:w="298" w:type="pct"/>
          </w:tcPr>
          <w:p w14:paraId="2104069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49</w:t>
            </w:r>
          </w:p>
        </w:tc>
        <w:tc>
          <w:tcPr>
            <w:tcW w:w="298" w:type="pct"/>
          </w:tcPr>
          <w:p w14:paraId="327DAE2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51</w:t>
            </w:r>
          </w:p>
        </w:tc>
        <w:tc>
          <w:tcPr>
            <w:tcW w:w="298" w:type="pct"/>
          </w:tcPr>
          <w:p w14:paraId="1A8F5CE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47</w:t>
            </w:r>
          </w:p>
        </w:tc>
        <w:tc>
          <w:tcPr>
            <w:tcW w:w="298" w:type="pct"/>
          </w:tcPr>
          <w:p w14:paraId="08EB9CA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8" w:type="pct"/>
          </w:tcPr>
          <w:p w14:paraId="51E575E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35</w:t>
            </w:r>
          </w:p>
        </w:tc>
        <w:tc>
          <w:tcPr>
            <w:tcW w:w="298" w:type="pct"/>
          </w:tcPr>
          <w:p w14:paraId="6AE80FF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63B8EDF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5" w:type="pct"/>
          </w:tcPr>
          <w:p w14:paraId="488DECF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r>
    </w:tbl>
    <w:p w14:paraId="36A4E5B4" w14:textId="77777777" w:rsidR="00822854" w:rsidRPr="00900ADE" w:rsidRDefault="00822854" w:rsidP="00822854">
      <w:pPr>
        <w:pStyle w:val="FootnoteText"/>
        <w:spacing w:before="120"/>
      </w:pPr>
      <w:bookmarkStart w:id="202" w:name="_Toc196169614"/>
      <w:r w:rsidRPr="00900ADE">
        <w:rPr>
          <w:i/>
          <w:iCs/>
        </w:rPr>
        <w:t>Note</w:t>
      </w:r>
      <w:r w:rsidRPr="00900ADE">
        <w:t>. M/E = meeting or exceeding expectations; PME = partially meeting expectations; NM = not meeting expectations.</w:t>
      </w:r>
    </w:p>
    <w:p w14:paraId="15C30280" w14:textId="6F41E4AE" w:rsidR="00B043E8" w:rsidRPr="00900ADE" w:rsidRDefault="00B043E8" w:rsidP="009B1A7E">
      <w:pPr>
        <w:pStyle w:val="TableETitle"/>
      </w:pPr>
      <w:r w:rsidRPr="00900ADE">
        <w:t>Table E2. MCAS ELA Achievement by Student Group, Grade 10, 2022-2024</w:t>
      </w:r>
      <w:bookmarkEnd w:id="202"/>
      <w:r w:rsidRPr="00900ADE">
        <w:t xml:space="preserve"> </w:t>
      </w:r>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7810F7" w:rsidRPr="00900ADE" w14:paraId="0A1BD7B1" w14:textId="77777777" w:rsidTr="00517B62">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7543AAA9" w14:textId="77777777" w:rsidR="00B043E8" w:rsidRPr="00900ADE" w:rsidRDefault="00B043E8" w:rsidP="007810F7">
            <w:pPr>
              <w:pStyle w:val="TableColHeadingCenter"/>
              <w:spacing w:before="10" w:after="10"/>
            </w:pPr>
            <w:r w:rsidRPr="00900ADE">
              <w:t>Group</w:t>
            </w:r>
          </w:p>
        </w:tc>
        <w:tc>
          <w:tcPr>
            <w:tcW w:w="340" w:type="pct"/>
            <w:vAlign w:val="center"/>
          </w:tcPr>
          <w:p w14:paraId="3FF6FE25" w14:textId="5317D02A" w:rsidR="00B043E8" w:rsidRPr="00900ADE" w:rsidRDefault="00B043E8" w:rsidP="007810F7">
            <w:pPr>
              <w:pStyle w:val="TableColHeadingCenter"/>
              <w:spacing w:before="10" w:after="10"/>
            </w:pPr>
            <w:r w:rsidRPr="00900ADE">
              <w:t xml:space="preserve"># </w:t>
            </w:r>
            <w:r w:rsidR="00CD7EAE" w:rsidRPr="00900ADE">
              <w:t>i</w:t>
            </w:r>
            <w:r w:rsidRPr="00900ADE">
              <w:t>ncluded (2024)</w:t>
            </w:r>
          </w:p>
        </w:tc>
        <w:tc>
          <w:tcPr>
            <w:tcW w:w="298" w:type="pct"/>
            <w:vAlign w:val="center"/>
          </w:tcPr>
          <w:p w14:paraId="0180A8E3" w14:textId="77777777" w:rsidR="00B043E8" w:rsidRPr="00900ADE" w:rsidRDefault="00B043E8" w:rsidP="007810F7">
            <w:pPr>
              <w:pStyle w:val="TableColHeadingCenter"/>
              <w:spacing w:before="10" w:after="10"/>
            </w:pPr>
            <w:r w:rsidRPr="00900ADE">
              <w:t>% M/E 2022</w:t>
            </w:r>
          </w:p>
        </w:tc>
        <w:tc>
          <w:tcPr>
            <w:tcW w:w="298" w:type="pct"/>
            <w:vAlign w:val="center"/>
          </w:tcPr>
          <w:p w14:paraId="3FDBBEF8" w14:textId="77777777" w:rsidR="00B043E8" w:rsidRPr="00900ADE" w:rsidRDefault="00B043E8" w:rsidP="007810F7">
            <w:pPr>
              <w:pStyle w:val="TableColHeadingCenter"/>
              <w:spacing w:before="10" w:after="10"/>
            </w:pPr>
            <w:r w:rsidRPr="00900ADE">
              <w:t>% M/E 2023</w:t>
            </w:r>
          </w:p>
        </w:tc>
        <w:tc>
          <w:tcPr>
            <w:tcW w:w="298" w:type="pct"/>
            <w:vAlign w:val="center"/>
          </w:tcPr>
          <w:p w14:paraId="6C39F3E7" w14:textId="77777777" w:rsidR="00B043E8" w:rsidRPr="00900ADE" w:rsidRDefault="00B043E8" w:rsidP="007810F7">
            <w:pPr>
              <w:pStyle w:val="TableColHeadingCenter"/>
              <w:spacing w:before="10" w:after="10"/>
            </w:pPr>
            <w:r w:rsidRPr="00900ADE">
              <w:t>% M/E 2024</w:t>
            </w:r>
          </w:p>
        </w:tc>
        <w:tc>
          <w:tcPr>
            <w:tcW w:w="298" w:type="pct"/>
            <w:vAlign w:val="center"/>
          </w:tcPr>
          <w:p w14:paraId="064ED8FC" w14:textId="74990A74" w:rsidR="00B043E8" w:rsidRPr="00900ADE" w:rsidRDefault="00B043E8" w:rsidP="007810F7">
            <w:pPr>
              <w:pStyle w:val="TableColHeadingCenter"/>
              <w:spacing w:before="10" w:after="10"/>
            </w:pPr>
            <w:r w:rsidRPr="00900ADE">
              <w:t xml:space="preserve">% M/E 2024 </w:t>
            </w:r>
            <w:r w:rsidR="00122348">
              <w:t>S</w:t>
            </w:r>
            <w:r w:rsidRPr="00900ADE">
              <w:t>tate</w:t>
            </w:r>
          </w:p>
        </w:tc>
        <w:tc>
          <w:tcPr>
            <w:tcW w:w="298" w:type="pct"/>
            <w:vAlign w:val="center"/>
          </w:tcPr>
          <w:p w14:paraId="19E6FCF6" w14:textId="77777777" w:rsidR="00B043E8" w:rsidRPr="00900ADE" w:rsidRDefault="00B043E8" w:rsidP="007810F7">
            <w:pPr>
              <w:pStyle w:val="TableColHeadingCenter"/>
              <w:spacing w:before="10" w:after="10"/>
            </w:pPr>
            <w:r w:rsidRPr="00900ADE">
              <w:t>% PME 2022</w:t>
            </w:r>
          </w:p>
        </w:tc>
        <w:tc>
          <w:tcPr>
            <w:tcW w:w="298" w:type="pct"/>
            <w:vAlign w:val="center"/>
          </w:tcPr>
          <w:p w14:paraId="4D8332CC" w14:textId="77777777" w:rsidR="00B043E8" w:rsidRPr="00900ADE" w:rsidRDefault="00B043E8" w:rsidP="007810F7">
            <w:pPr>
              <w:pStyle w:val="TableColHeadingCenter"/>
              <w:spacing w:before="10" w:after="10"/>
            </w:pPr>
            <w:r w:rsidRPr="00900ADE">
              <w:t>% PME 2023</w:t>
            </w:r>
          </w:p>
        </w:tc>
        <w:tc>
          <w:tcPr>
            <w:tcW w:w="298" w:type="pct"/>
            <w:vAlign w:val="center"/>
          </w:tcPr>
          <w:p w14:paraId="3D409640" w14:textId="77777777" w:rsidR="00B043E8" w:rsidRPr="00900ADE" w:rsidRDefault="00B043E8" w:rsidP="007810F7">
            <w:pPr>
              <w:pStyle w:val="TableColHeadingCenter"/>
              <w:spacing w:before="10" w:after="10"/>
            </w:pPr>
            <w:r w:rsidRPr="00900ADE">
              <w:t>% PME 2024</w:t>
            </w:r>
          </w:p>
        </w:tc>
        <w:tc>
          <w:tcPr>
            <w:tcW w:w="298" w:type="pct"/>
            <w:vAlign w:val="center"/>
          </w:tcPr>
          <w:p w14:paraId="71D0DC6E" w14:textId="25EEB878" w:rsidR="00B043E8" w:rsidRPr="00900ADE" w:rsidRDefault="00B043E8" w:rsidP="007810F7">
            <w:pPr>
              <w:pStyle w:val="TableColHeadingCenter"/>
              <w:spacing w:before="10" w:after="10"/>
            </w:pPr>
            <w:r w:rsidRPr="00900ADE">
              <w:t xml:space="preserve">% PME 2024 </w:t>
            </w:r>
            <w:r w:rsidR="00122348">
              <w:t>S</w:t>
            </w:r>
            <w:r w:rsidRPr="00900ADE">
              <w:t>tate</w:t>
            </w:r>
          </w:p>
        </w:tc>
        <w:tc>
          <w:tcPr>
            <w:tcW w:w="298" w:type="pct"/>
            <w:vAlign w:val="center"/>
          </w:tcPr>
          <w:p w14:paraId="74A5573A" w14:textId="77777777" w:rsidR="00B043E8" w:rsidRPr="00900ADE" w:rsidRDefault="00B043E8" w:rsidP="007810F7">
            <w:pPr>
              <w:pStyle w:val="TableColHeadingCenter"/>
              <w:spacing w:before="10" w:after="10"/>
            </w:pPr>
            <w:r w:rsidRPr="00900ADE">
              <w:t>% NM 2022</w:t>
            </w:r>
          </w:p>
        </w:tc>
        <w:tc>
          <w:tcPr>
            <w:tcW w:w="298" w:type="pct"/>
            <w:vAlign w:val="center"/>
          </w:tcPr>
          <w:p w14:paraId="0610423C" w14:textId="77777777" w:rsidR="00B043E8" w:rsidRPr="00900ADE" w:rsidRDefault="00B043E8" w:rsidP="007810F7">
            <w:pPr>
              <w:pStyle w:val="TableColHeadingCenter"/>
              <w:spacing w:before="10" w:after="10"/>
            </w:pPr>
            <w:r w:rsidRPr="00900ADE">
              <w:t>% NM 2023</w:t>
            </w:r>
          </w:p>
        </w:tc>
        <w:tc>
          <w:tcPr>
            <w:tcW w:w="298" w:type="pct"/>
            <w:vAlign w:val="center"/>
          </w:tcPr>
          <w:p w14:paraId="38C9BC82" w14:textId="77777777" w:rsidR="00B043E8" w:rsidRPr="00900ADE" w:rsidRDefault="00B043E8" w:rsidP="007810F7">
            <w:pPr>
              <w:pStyle w:val="TableColHeadingCenter"/>
              <w:spacing w:before="10" w:after="10"/>
            </w:pPr>
            <w:r w:rsidRPr="00900ADE">
              <w:t>% NM 2024</w:t>
            </w:r>
          </w:p>
        </w:tc>
        <w:tc>
          <w:tcPr>
            <w:tcW w:w="295" w:type="pct"/>
            <w:vAlign w:val="center"/>
          </w:tcPr>
          <w:p w14:paraId="2E51905C" w14:textId="3A7E2BAB" w:rsidR="00B043E8" w:rsidRPr="00900ADE" w:rsidRDefault="00B043E8" w:rsidP="007810F7">
            <w:pPr>
              <w:pStyle w:val="TableColHeadingCenter"/>
              <w:spacing w:before="10" w:after="10"/>
            </w:pPr>
            <w:r w:rsidRPr="00900ADE">
              <w:t xml:space="preserve">% NM 2024 </w:t>
            </w:r>
            <w:r w:rsidR="00122348">
              <w:t>S</w:t>
            </w:r>
            <w:r w:rsidRPr="00900ADE">
              <w:t>tate</w:t>
            </w:r>
          </w:p>
        </w:tc>
      </w:tr>
      <w:tr w:rsidR="007810F7" w:rsidRPr="00900ADE" w14:paraId="7A55D096"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92E529A"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All</w:t>
            </w:r>
          </w:p>
        </w:tc>
        <w:tc>
          <w:tcPr>
            <w:tcW w:w="340" w:type="pct"/>
          </w:tcPr>
          <w:p w14:paraId="3123CBB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154</w:t>
            </w:r>
          </w:p>
        </w:tc>
        <w:tc>
          <w:tcPr>
            <w:tcW w:w="298" w:type="pct"/>
          </w:tcPr>
          <w:p w14:paraId="454B094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69</w:t>
            </w:r>
          </w:p>
        </w:tc>
        <w:tc>
          <w:tcPr>
            <w:tcW w:w="298" w:type="pct"/>
          </w:tcPr>
          <w:p w14:paraId="6AB0459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68</w:t>
            </w:r>
          </w:p>
        </w:tc>
        <w:tc>
          <w:tcPr>
            <w:tcW w:w="298" w:type="pct"/>
          </w:tcPr>
          <w:p w14:paraId="076B307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73</w:t>
            </w:r>
          </w:p>
        </w:tc>
        <w:tc>
          <w:tcPr>
            <w:tcW w:w="298" w:type="pct"/>
          </w:tcPr>
          <w:p w14:paraId="362F00F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57</w:t>
            </w:r>
          </w:p>
        </w:tc>
        <w:tc>
          <w:tcPr>
            <w:tcW w:w="298" w:type="pct"/>
          </w:tcPr>
          <w:p w14:paraId="44443B3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30</w:t>
            </w:r>
          </w:p>
        </w:tc>
        <w:tc>
          <w:tcPr>
            <w:tcW w:w="298" w:type="pct"/>
          </w:tcPr>
          <w:p w14:paraId="089FF3F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27</w:t>
            </w:r>
          </w:p>
        </w:tc>
        <w:tc>
          <w:tcPr>
            <w:tcW w:w="298" w:type="pct"/>
          </w:tcPr>
          <w:p w14:paraId="7B5EF57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c>
          <w:tcPr>
            <w:tcW w:w="298" w:type="pct"/>
          </w:tcPr>
          <w:p w14:paraId="04FAB81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31</w:t>
            </w:r>
          </w:p>
        </w:tc>
        <w:tc>
          <w:tcPr>
            <w:tcW w:w="298" w:type="pct"/>
          </w:tcPr>
          <w:p w14:paraId="2173E05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w:t>
            </w:r>
          </w:p>
        </w:tc>
        <w:tc>
          <w:tcPr>
            <w:tcW w:w="298" w:type="pct"/>
          </w:tcPr>
          <w:p w14:paraId="7572D2C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c>
          <w:tcPr>
            <w:tcW w:w="298" w:type="pct"/>
          </w:tcPr>
          <w:p w14:paraId="510D26A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5" w:type="pct"/>
          </w:tcPr>
          <w:p w14:paraId="0091F44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12</w:t>
            </w:r>
          </w:p>
        </w:tc>
      </w:tr>
      <w:tr w:rsidR="00B043E8" w:rsidRPr="00900ADE" w14:paraId="50373C60" w14:textId="77777777" w:rsidTr="00517B62">
        <w:trPr>
          <w:jc w:val="center"/>
        </w:trPr>
        <w:tc>
          <w:tcPr>
            <w:tcW w:w="1087" w:type="pct"/>
          </w:tcPr>
          <w:p w14:paraId="4930078C"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African American/Black</w:t>
            </w:r>
          </w:p>
        </w:tc>
        <w:tc>
          <w:tcPr>
            <w:tcW w:w="340" w:type="pct"/>
          </w:tcPr>
          <w:p w14:paraId="529E716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8" w:type="pct"/>
          </w:tcPr>
          <w:p w14:paraId="2370892E" w14:textId="76ABACA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F4B759D" w14:textId="330C885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CEBE1F2" w14:textId="02D8736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047FFE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42</w:t>
            </w:r>
          </w:p>
        </w:tc>
        <w:tc>
          <w:tcPr>
            <w:tcW w:w="298" w:type="pct"/>
          </w:tcPr>
          <w:p w14:paraId="6531AFB6" w14:textId="44D0674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E2ED50D" w14:textId="0A15CF8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5B02638" w14:textId="01C65CC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1B70BA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8" w:type="pct"/>
          </w:tcPr>
          <w:p w14:paraId="164719A7" w14:textId="31E1509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0AFEB9E" w14:textId="2BDDDA6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7EEDEF8" w14:textId="79112DB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61ECB06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w:t>
            </w:r>
          </w:p>
        </w:tc>
      </w:tr>
      <w:tr w:rsidR="007810F7" w:rsidRPr="00900ADE" w14:paraId="289BB96A"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213FF1F"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Asian</w:t>
            </w:r>
          </w:p>
        </w:tc>
        <w:tc>
          <w:tcPr>
            <w:tcW w:w="340" w:type="pct"/>
          </w:tcPr>
          <w:p w14:paraId="042F36B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w:t>
            </w:r>
          </w:p>
        </w:tc>
        <w:tc>
          <w:tcPr>
            <w:tcW w:w="298" w:type="pct"/>
          </w:tcPr>
          <w:p w14:paraId="22528DB4" w14:textId="2314709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41304F6" w14:textId="6230554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8B231A6" w14:textId="734376E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72796C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78</w:t>
            </w:r>
          </w:p>
        </w:tc>
        <w:tc>
          <w:tcPr>
            <w:tcW w:w="298" w:type="pct"/>
          </w:tcPr>
          <w:p w14:paraId="74D12D15" w14:textId="7E346E8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7BB6D13" w14:textId="3C81145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C5441DB" w14:textId="3EF5818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76F1AC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16</w:t>
            </w:r>
          </w:p>
        </w:tc>
        <w:tc>
          <w:tcPr>
            <w:tcW w:w="298" w:type="pct"/>
          </w:tcPr>
          <w:p w14:paraId="1C62B17D" w14:textId="6B77F06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13FCB8D" w14:textId="734EE57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7708A1B" w14:textId="34C56FF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136F1C4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r>
      <w:tr w:rsidR="00B043E8" w:rsidRPr="00900ADE" w14:paraId="5D23B701" w14:textId="77777777" w:rsidTr="00517B62">
        <w:trPr>
          <w:jc w:val="center"/>
        </w:trPr>
        <w:tc>
          <w:tcPr>
            <w:tcW w:w="1087" w:type="pct"/>
          </w:tcPr>
          <w:p w14:paraId="7924DC24"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Hispanic/Latino</w:t>
            </w:r>
          </w:p>
        </w:tc>
        <w:tc>
          <w:tcPr>
            <w:tcW w:w="340" w:type="pct"/>
          </w:tcPr>
          <w:p w14:paraId="161E399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11</w:t>
            </w:r>
          </w:p>
        </w:tc>
        <w:tc>
          <w:tcPr>
            <w:tcW w:w="298" w:type="pct"/>
          </w:tcPr>
          <w:p w14:paraId="2094B1C6" w14:textId="1565A5C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374B0D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59</w:t>
            </w:r>
          </w:p>
        </w:tc>
        <w:tc>
          <w:tcPr>
            <w:tcW w:w="298" w:type="pct"/>
          </w:tcPr>
          <w:p w14:paraId="2EB07BD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45</w:t>
            </w:r>
          </w:p>
        </w:tc>
        <w:tc>
          <w:tcPr>
            <w:tcW w:w="298" w:type="pct"/>
          </w:tcPr>
          <w:p w14:paraId="438B1A1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4A745598" w14:textId="7794D87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C048A5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12</w:t>
            </w:r>
          </w:p>
        </w:tc>
        <w:tc>
          <w:tcPr>
            <w:tcW w:w="298" w:type="pct"/>
          </w:tcPr>
          <w:p w14:paraId="053D5CC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1E1CA79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4C562445" w14:textId="2440668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FBA51C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29</w:t>
            </w:r>
          </w:p>
        </w:tc>
        <w:tc>
          <w:tcPr>
            <w:tcW w:w="298" w:type="pct"/>
          </w:tcPr>
          <w:p w14:paraId="49E0B3B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w:t>
            </w:r>
          </w:p>
        </w:tc>
        <w:tc>
          <w:tcPr>
            <w:tcW w:w="295" w:type="pct"/>
          </w:tcPr>
          <w:p w14:paraId="4C5B143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r>
      <w:tr w:rsidR="007810F7" w:rsidRPr="00900ADE" w14:paraId="7B7192ED"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E309B92"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cstheme="minorHAnsi"/>
                <w:spacing w:val="-4"/>
              </w:rPr>
              <w:t>Multi-Race, non-Hispanic/Latino</w:t>
            </w:r>
          </w:p>
        </w:tc>
        <w:tc>
          <w:tcPr>
            <w:tcW w:w="340" w:type="pct"/>
          </w:tcPr>
          <w:p w14:paraId="69CD13B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w:t>
            </w:r>
          </w:p>
        </w:tc>
        <w:tc>
          <w:tcPr>
            <w:tcW w:w="298" w:type="pct"/>
          </w:tcPr>
          <w:p w14:paraId="7B795D77" w14:textId="55A93BA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A039B35" w14:textId="586258D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7663F8E" w14:textId="4FF84FBB"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8A11BC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61</w:t>
            </w:r>
          </w:p>
        </w:tc>
        <w:tc>
          <w:tcPr>
            <w:tcW w:w="298" w:type="pct"/>
          </w:tcPr>
          <w:p w14:paraId="47B472FF" w14:textId="0417A848"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0AC6D36" w14:textId="1A9F827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1E6A2E3" w14:textId="745DAEF4"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803921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30</w:t>
            </w:r>
          </w:p>
        </w:tc>
        <w:tc>
          <w:tcPr>
            <w:tcW w:w="298" w:type="pct"/>
          </w:tcPr>
          <w:p w14:paraId="2C085BF7" w14:textId="490DB3A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7BCE3E0" w14:textId="2DB23F5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47EFDB7" w14:textId="2A34205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16D81A3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9</w:t>
            </w:r>
          </w:p>
        </w:tc>
      </w:tr>
      <w:tr w:rsidR="00B043E8" w:rsidRPr="00900ADE" w14:paraId="4EAC7F82" w14:textId="77777777" w:rsidTr="00517B62">
        <w:trPr>
          <w:jc w:val="center"/>
        </w:trPr>
        <w:tc>
          <w:tcPr>
            <w:tcW w:w="1087" w:type="pct"/>
          </w:tcPr>
          <w:p w14:paraId="4F1E9917"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Native American</w:t>
            </w:r>
          </w:p>
        </w:tc>
        <w:tc>
          <w:tcPr>
            <w:tcW w:w="340" w:type="pct"/>
          </w:tcPr>
          <w:p w14:paraId="63E3DF18" w14:textId="2CC913C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7F29075" w14:textId="39097EC8"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F9CB231" w14:textId="3C519A4B"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96CEBE6" w14:textId="21990EB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2A2B83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48</w:t>
            </w:r>
          </w:p>
        </w:tc>
        <w:tc>
          <w:tcPr>
            <w:tcW w:w="298" w:type="pct"/>
          </w:tcPr>
          <w:p w14:paraId="0780D6EB" w14:textId="07D5F8F8"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4C1A1CD" w14:textId="36BCF2F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3692AA9" w14:textId="09C1183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496728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37</w:t>
            </w:r>
          </w:p>
        </w:tc>
        <w:tc>
          <w:tcPr>
            <w:tcW w:w="298" w:type="pct"/>
          </w:tcPr>
          <w:p w14:paraId="0AB49CC8" w14:textId="4FCBAC5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DEF622C" w14:textId="539F205B"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39610B1" w14:textId="1AA916FB"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5F0B46E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14</w:t>
            </w:r>
          </w:p>
        </w:tc>
      </w:tr>
      <w:tr w:rsidR="007810F7" w:rsidRPr="00900ADE" w14:paraId="2876A57C"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AA48BC5"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Native Hawaiian, Pacific Islander</w:t>
            </w:r>
          </w:p>
        </w:tc>
        <w:tc>
          <w:tcPr>
            <w:tcW w:w="340" w:type="pct"/>
          </w:tcPr>
          <w:p w14:paraId="2592F3D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w:t>
            </w:r>
          </w:p>
        </w:tc>
        <w:tc>
          <w:tcPr>
            <w:tcW w:w="298" w:type="pct"/>
          </w:tcPr>
          <w:p w14:paraId="11A12878" w14:textId="63E35F7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E9A4142" w14:textId="24D15E1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EC66DA0" w14:textId="0F13BC14"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D68554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58</w:t>
            </w:r>
          </w:p>
        </w:tc>
        <w:tc>
          <w:tcPr>
            <w:tcW w:w="298" w:type="pct"/>
          </w:tcPr>
          <w:p w14:paraId="769CBA44" w14:textId="0322FA5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5A2C05B" w14:textId="6FE9F85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FBA546C" w14:textId="7DE86E8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A45ACB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c>
          <w:tcPr>
            <w:tcW w:w="298" w:type="pct"/>
          </w:tcPr>
          <w:p w14:paraId="4DFEED13" w14:textId="58E4406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7D9C586" w14:textId="47886F4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87B746F" w14:textId="58222D9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032E762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w:t>
            </w:r>
          </w:p>
        </w:tc>
      </w:tr>
      <w:tr w:rsidR="00B043E8" w:rsidRPr="00900ADE" w14:paraId="6FB1CE97" w14:textId="77777777" w:rsidTr="00517B62">
        <w:trPr>
          <w:jc w:val="center"/>
        </w:trPr>
        <w:tc>
          <w:tcPr>
            <w:tcW w:w="1087" w:type="pct"/>
          </w:tcPr>
          <w:p w14:paraId="6AB74330"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White</w:t>
            </w:r>
          </w:p>
        </w:tc>
        <w:tc>
          <w:tcPr>
            <w:tcW w:w="340" w:type="pct"/>
          </w:tcPr>
          <w:p w14:paraId="139981A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126</w:t>
            </w:r>
          </w:p>
        </w:tc>
        <w:tc>
          <w:tcPr>
            <w:tcW w:w="298" w:type="pct"/>
          </w:tcPr>
          <w:p w14:paraId="0310794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72</w:t>
            </w:r>
          </w:p>
        </w:tc>
        <w:tc>
          <w:tcPr>
            <w:tcW w:w="298" w:type="pct"/>
          </w:tcPr>
          <w:p w14:paraId="2A0971C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67</w:t>
            </w:r>
          </w:p>
        </w:tc>
        <w:tc>
          <w:tcPr>
            <w:tcW w:w="298" w:type="pct"/>
          </w:tcPr>
          <w:p w14:paraId="475FE3F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74</w:t>
            </w:r>
          </w:p>
        </w:tc>
        <w:tc>
          <w:tcPr>
            <w:tcW w:w="298" w:type="pct"/>
          </w:tcPr>
          <w:p w14:paraId="44B8B24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65</w:t>
            </w:r>
          </w:p>
        </w:tc>
        <w:tc>
          <w:tcPr>
            <w:tcW w:w="298" w:type="pct"/>
          </w:tcPr>
          <w:p w14:paraId="7C9C0ED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8" w:type="pct"/>
          </w:tcPr>
          <w:p w14:paraId="09F1CE5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30</w:t>
            </w:r>
          </w:p>
        </w:tc>
        <w:tc>
          <w:tcPr>
            <w:tcW w:w="298" w:type="pct"/>
          </w:tcPr>
          <w:p w14:paraId="1C855B5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8" w:type="pct"/>
          </w:tcPr>
          <w:p w14:paraId="430DBE8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8" w:type="pct"/>
          </w:tcPr>
          <w:p w14:paraId="0152CAB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0</w:t>
            </w:r>
          </w:p>
        </w:tc>
        <w:tc>
          <w:tcPr>
            <w:tcW w:w="298" w:type="pct"/>
          </w:tcPr>
          <w:p w14:paraId="60376C2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w:t>
            </w:r>
          </w:p>
        </w:tc>
        <w:tc>
          <w:tcPr>
            <w:tcW w:w="298" w:type="pct"/>
          </w:tcPr>
          <w:p w14:paraId="493CEB4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w:t>
            </w:r>
          </w:p>
        </w:tc>
        <w:tc>
          <w:tcPr>
            <w:tcW w:w="295" w:type="pct"/>
          </w:tcPr>
          <w:p w14:paraId="411C248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w:t>
            </w:r>
          </w:p>
        </w:tc>
      </w:tr>
      <w:tr w:rsidR="007810F7" w:rsidRPr="00900ADE" w14:paraId="3E6CC128"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34F739D" w14:textId="5E2A1AD4"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 xml:space="preserve">High </w:t>
            </w:r>
            <w:r w:rsidR="00A64AA7">
              <w:rPr>
                <w:rFonts w:ascii="Franklin Gothic Book" w:hAnsi="Franklin Gothic Book"/>
                <w:spacing w:val="-4"/>
              </w:rPr>
              <w:t>n</w:t>
            </w:r>
            <w:r w:rsidRPr="00900ADE">
              <w:rPr>
                <w:rFonts w:ascii="Franklin Gothic Book" w:hAnsi="Franklin Gothic Book"/>
                <w:spacing w:val="-4"/>
              </w:rPr>
              <w:t>eeds</w:t>
            </w:r>
          </w:p>
        </w:tc>
        <w:tc>
          <w:tcPr>
            <w:tcW w:w="340" w:type="pct"/>
          </w:tcPr>
          <w:p w14:paraId="6A13122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45</w:t>
            </w:r>
          </w:p>
        </w:tc>
        <w:tc>
          <w:tcPr>
            <w:tcW w:w="298" w:type="pct"/>
          </w:tcPr>
          <w:p w14:paraId="78ABF38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41</w:t>
            </w:r>
          </w:p>
        </w:tc>
        <w:tc>
          <w:tcPr>
            <w:tcW w:w="298" w:type="pct"/>
          </w:tcPr>
          <w:p w14:paraId="77AB477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41</w:t>
            </w:r>
          </w:p>
        </w:tc>
        <w:tc>
          <w:tcPr>
            <w:tcW w:w="298" w:type="pct"/>
          </w:tcPr>
          <w:p w14:paraId="00E1284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47</w:t>
            </w:r>
          </w:p>
        </w:tc>
        <w:tc>
          <w:tcPr>
            <w:tcW w:w="298" w:type="pct"/>
          </w:tcPr>
          <w:p w14:paraId="58D1E38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37</w:t>
            </w:r>
          </w:p>
        </w:tc>
        <w:tc>
          <w:tcPr>
            <w:tcW w:w="298" w:type="pct"/>
          </w:tcPr>
          <w:p w14:paraId="0711DE4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57</w:t>
            </w:r>
          </w:p>
        </w:tc>
        <w:tc>
          <w:tcPr>
            <w:tcW w:w="298" w:type="pct"/>
          </w:tcPr>
          <w:p w14:paraId="538905E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43</w:t>
            </w:r>
          </w:p>
        </w:tc>
        <w:tc>
          <w:tcPr>
            <w:tcW w:w="298" w:type="pct"/>
          </w:tcPr>
          <w:p w14:paraId="4AB3A2D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42</w:t>
            </w:r>
          </w:p>
        </w:tc>
        <w:tc>
          <w:tcPr>
            <w:tcW w:w="298" w:type="pct"/>
          </w:tcPr>
          <w:p w14:paraId="687BEA7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41</w:t>
            </w:r>
          </w:p>
        </w:tc>
        <w:tc>
          <w:tcPr>
            <w:tcW w:w="298" w:type="pct"/>
          </w:tcPr>
          <w:p w14:paraId="74DF1D4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8" w:type="pct"/>
          </w:tcPr>
          <w:p w14:paraId="2E72967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16</w:t>
            </w:r>
          </w:p>
        </w:tc>
        <w:tc>
          <w:tcPr>
            <w:tcW w:w="298" w:type="pct"/>
          </w:tcPr>
          <w:p w14:paraId="7D03284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11</w:t>
            </w:r>
          </w:p>
        </w:tc>
        <w:tc>
          <w:tcPr>
            <w:tcW w:w="295" w:type="pct"/>
          </w:tcPr>
          <w:p w14:paraId="7D2CE57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r>
      <w:tr w:rsidR="00B043E8" w:rsidRPr="00900ADE" w14:paraId="7A0E6434" w14:textId="77777777" w:rsidTr="00517B62">
        <w:trPr>
          <w:jc w:val="center"/>
        </w:trPr>
        <w:tc>
          <w:tcPr>
            <w:tcW w:w="1087" w:type="pct"/>
          </w:tcPr>
          <w:p w14:paraId="6D3ADFCA"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Low income</w:t>
            </w:r>
          </w:p>
        </w:tc>
        <w:tc>
          <w:tcPr>
            <w:tcW w:w="340" w:type="pct"/>
          </w:tcPr>
          <w:p w14:paraId="06A8346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8" w:type="pct"/>
          </w:tcPr>
          <w:p w14:paraId="7DF0371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60</w:t>
            </w:r>
          </w:p>
        </w:tc>
        <w:tc>
          <w:tcPr>
            <w:tcW w:w="298" w:type="pct"/>
          </w:tcPr>
          <w:p w14:paraId="037EC3C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44</w:t>
            </w:r>
          </w:p>
        </w:tc>
        <w:tc>
          <w:tcPr>
            <w:tcW w:w="298" w:type="pct"/>
          </w:tcPr>
          <w:p w14:paraId="312A63E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57</w:t>
            </w:r>
          </w:p>
        </w:tc>
        <w:tc>
          <w:tcPr>
            <w:tcW w:w="298" w:type="pct"/>
          </w:tcPr>
          <w:p w14:paraId="4247FD0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5EC3848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8" w:type="pct"/>
          </w:tcPr>
          <w:p w14:paraId="0DC13B9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c>
          <w:tcPr>
            <w:tcW w:w="298" w:type="pct"/>
          </w:tcPr>
          <w:p w14:paraId="4916E67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29</w:t>
            </w:r>
          </w:p>
        </w:tc>
        <w:tc>
          <w:tcPr>
            <w:tcW w:w="298" w:type="pct"/>
          </w:tcPr>
          <w:p w14:paraId="0E9362C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8" w:type="pct"/>
          </w:tcPr>
          <w:p w14:paraId="474245F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0</w:t>
            </w:r>
          </w:p>
        </w:tc>
        <w:tc>
          <w:tcPr>
            <w:tcW w:w="298" w:type="pct"/>
          </w:tcPr>
          <w:p w14:paraId="5481DE8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22</w:t>
            </w:r>
          </w:p>
        </w:tc>
        <w:tc>
          <w:tcPr>
            <w:tcW w:w="298" w:type="pct"/>
          </w:tcPr>
          <w:p w14:paraId="1541DE4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14</w:t>
            </w:r>
          </w:p>
        </w:tc>
        <w:tc>
          <w:tcPr>
            <w:tcW w:w="295" w:type="pct"/>
          </w:tcPr>
          <w:p w14:paraId="1AF9BE8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r>
      <w:tr w:rsidR="007810F7" w:rsidRPr="00900ADE" w14:paraId="592BCDBE"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5271D13"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ELs and former ELs</w:t>
            </w:r>
          </w:p>
        </w:tc>
        <w:tc>
          <w:tcPr>
            <w:tcW w:w="340" w:type="pct"/>
          </w:tcPr>
          <w:p w14:paraId="189310E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w:t>
            </w:r>
          </w:p>
        </w:tc>
        <w:tc>
          <w:tcPr>
            <w:tcW w:w="298" w:type="pct"/>
          </w:tcPr>
          <w:p w14:paraId="5CFB83AB" w14:textId="659E486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7F72198" w14:textId="044BAA6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ED0A255" w14:textId="65D4D9E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4F04FC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14</w:t>
            </w:r>
          </w:p>
        </w:tc>
        <w:tc>
          <w:tcPr>
            <w:tcW w:w="298" w:type="pct"/>
          </w:tcPr>
          <w:p w14:paraId="52304D6B" w14:textId="31B769E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216E574" w14:textId="646587B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36D55FA" w14:textId="26158E4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488328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28087084" w14:textId="23FFA56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6D14667" w14:textId="21799DC4"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586BE14" w14:textId="51A61BE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1D36C4E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48</w:t>
            </w:r>
          </w:p>
        </w:tc>
      </w:tr>
      <w:tr w:rsidR="00B043E8" w:rsidRPr="00900ADE" w14:paraId="6BCCD860" w14:textId="77777777" w:rsidTr="00517B62">
        <w:trPr>
          <w:jc w:val="center"/>
        </w:trPr>
        <w:tc>
          <w:tcPr>
            <w:tcW w:w="1087" w:type="pct"/>
          </w:tcPr>
          <w:p w14:paraId="0080E258"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Students w/disabilities</w:t>
            </w:r>
          </w:p>
        </w:tc>
        <w:tc>
          <w:tcPr>
            <w:tcW w:w="340" w:type="pct"/>
          </w:tcPr>
          <w:p w14:paraId="6B78082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c>
          <w:tcPr>
            <w:tcW w:w="298" w:type="pct"/>
          </w:tcPr>
          <w:p w14:paraId="76DDDD9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c>
          <w:tcPr>
            <w:tcW w:w="298" w:type="pct"/>
          </w:tcPr>
          <w:p w14:paraId="388AE75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29</w:t>
            </w:r>
          </w:p>
        </w:tc>
        <w:tc>
          <w:tcPr>
            <w:tcW w:w="298" w:type="pct"/>
          </w:tcPr>
          <w:p w14:paraId="43DA97D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24</w:t>
            </w:r>
          </w:p>
        </w:tc>
        <w:tc>
          <w:tcPr>
            <w:tcW w:w="298" w:type="pct"/>
          </w:tcPr>
          <w:p w14:paraId="3400617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c>
          <w:tcPr>
            <w:tcW w:w="298" w:type="pct"/>
          </w:tcPr>
          <w:p w14:paraId="0DA7A87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79</w:t>
            </w:r>
          </w:p>
        </w:tc>
        <w:tc>
          <w:tcPr>
            <w:tcW w:w="298" w:type="pct"/>
          </w:tcPr>
          <w:p w14:paraId="73F774D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61</w:t>
            </w:r>
          </w:p>
        </w:tc>
        <w:tc>
          <w:tcPr>
            <w:tcW w:w="298" w:type="pct"/>
          </w:tcPr>
          <w:p w14:paraId="774B17A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67</w:t>
            </w:r>
          </w:p>
        </w:tc>
        <w:tc>
          <w:tcPr>
            <w:tcW w:w="298" w:type="pct"/>
          </w:tcPr>
          <w:p w14:paraId="16D6512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45</w:t>
            </w:r>
          </w:p>
        </w:tc>
        <w:tc>
          <w:tcPr>
            <w:tcW w:w="298" w:type="pct"/>
          </w:tcPr>
          <w:p w14:paraId="36F3508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0</w:t>
            </w:r>
          </w:p>
        </w:tc>
        <w:tc>
          <w:tcPr>
            <w:tcW w:w="298" w:type="pct"/>
          </w:tcPr>
          <w:p w14:paraId="2F6445D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11</w:t>
            </w:r>
          </w:p>
        </w:tc>
        <w:tc>
          <w:tcPr>
            <w:tcW w:w="298" w:type="pct"/>
          </w:tcPr>
          <w:p w14:paraId="34D764C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c>
          <w:tcPr>
            <w:tcW w:w="295" w:type="pct"/>
          </w:tcPr>
          <w:p w14:paraId="4641F7D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r>
    </w:tbl>
    <w:p w14:paraId="25701263" w14:textId="77777777" w:rsidR="00822854" w:rsidRPr="00900ADE" w:rsidRDefault="00822854" w:rsidP="00822854">
      <w:pPr>
        <w:pStyle w:val="FootnoteText"/>
        <w:spacing w:before="120"/>
      </w:pPr>
      <w:bookmarkStart w:id="203" w:name="_Toc196169615"/>
      <w:r w:rsidRPr="00900ADE">
        <w:rPr>
          <w:i/>
          <w:iCs/>
        </w:rPr>
        <w:t>Note</w:t>
      </w:r>
      <w:r w:rsidRPr="00900ADE">
        <w:t>. M/E = meeting or exceeding expectations; PME = partially meeting expectations; NM = not meeting expectations.</w:t>
      </w:r>
    </w:p>
    <w:p w14:paraId="2C95D7B5" w14:textId="77777777" w:rsidR="00B043E8" w:rsidRPr="00900ADE" w:rsidRDefault="00B043E8" w:rsidP="009B1A7E">
      <w:pPr>
        <w:pStyle w:val="TableETitle"/>
      </w:pPr>
      <w:r w:rsidRPr="00900ADE">
        <w:lastRenderedPageBreak/>
        <w:t>Table E3. MCAS Mathematics Achievement by Student Group, Grades 3-8, 2022-2024</w:t>
      </w:r>
      <w:bookmarkEnd w:id="203"/>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7810F7" w:rsidRPr="00900ADE" w14:paraId="441B2B99" w14:textId="77777777" w:rsidTr="00517B62">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0B8105E9" w14:textId="77777777" w:rsidR="00B043E8" w:rsidRPr="00900ADE" w:rsidRDefault="00B043E8" w:rsidP="007810F7">
            <w:pPr>
              <w:pStyle w:val="TableColHeadingCenter"/>
              <w:spacing w:before="10" w:after="10"/>
            </w:pPr>
            <w:r w:rsidRPr="00900ADE">
              <w:t>Group</w:t>
            </w:r>
          </w:p>
        </w:tc>
        <w:tc>
          <w:tcPr>
            <w:tcW w:w="340" w:type="pct"/>
            <w:vAlign w:val="center"/>
          </w:tcPr>
          <w:p w14:paraId="6FCC763C" w14:textId="77777777" w:rsidR="00B043E8" w:rsidRPr="00900ADE" w:rsidRDefault="00B043E8" w:rsidP="007810F7">
            <w:pPr>
              <w:pStyle w:val="TableColHeadingCenter"/>
              <w:spacing w:before="10" w:after="10"/>
            </w:pPr>
            <w:r w:rsidRPr="00900ADE">
              <w:t># Included (2024)</w:t>
            </w:r>
          </w:p>
        </w:tc>
        <w:tc>
          <w:tcPr>
            <w:tcW w:w="298" w:type="pct"/>
            <w:vAlign w:val="center"/>
          </w:tcPr>
          <w:p w14:paraId="11E0DDA7" w14:textId="77777777" w:rsidR="00B043E8" w:rsidRPr="00900ADE" w:rsidRDefault="00B043E8" w:rsidP="007810F7">
            <w:pPr>
              <w:pStyle w:val="TableColHeadingCenter"/>
              <w:spacing w:before="10" w:after="10"/>
            </w:pPr>
            <w:r w:rsidRPr="00900ADE">
              <w:t>% M/E 2022</w:t>
            </w:r>
          </w:p>
        </w:tc>
        <w:tc>
          <w:tcPr>
            <w:tcW w:w="298" w:type="pct"/>
            <w:vAlign w:val="center"/>
          </w:tcPr>
          <w:p w14:paraId="7AA3FAE6" w14:textId="77777777" w:rsidR="00B043E8" w:rsidRPr="00900ADE" w:rsidRDefault="00B043E8" w:rsidP="007810F7">
            <w:pPr>
              <w:pStyle w:val="TableColHeadingCenter"/>
              <w:spacing w:before="10" w:after="10"/>
            </w:pPr>
            <w:r w:rsidRPr="00900ADE">
              <w:t>% M/E 2023</w:t>
            </w:r>
          </w:p>
        </w:tc>
        <w:tc>
          <w:tcPr>
            <w:tcW w:w="298" w:type="pct"/>
            <w:vAlign w:val="center"/>
          </w:tcPr>
          <w:p w14:paraId="7FDD4256" w14:textId="77777777" w:rsidR="00B043E8" w:rsidRPr="00900ADE" w:rsidRDefault="00B043E8" w:rsidP="007810F7">
            <w:pPr>
              <w:pStyle w:val="TableColHeadingCenter"/>
              <w:spacing w:before="10" w:after="10"/>
            </w:pPr>
            <w:r w:rsidRPr="00900ADE">
              <w:t>% M/E 2024</w:t>
            </w:r>
          </w:p>
        </w:tc>
        <w:tc>
          <w:tcPr>
            <w:tcW w:w="298" w:type="pct"/>
            <w:vAlign w:val="center"/>
          </w:tcPr>
          <w:p w14:paraId="6646D5F3" w14:textId="77777777" w:rsidR="00B043E8" w:rsidRPr="00900ADE" w:rsidRDefault="00B043E8" w:rsidP="007810F7">
            <w:pPr>
              <w:pStyle w:val="TableColHeadingCenter"/>
              <w:spacing w:before="10" w:after="10"/>
            </w:pPr>
            <w:r w:rsidRPr="00900ADE">
              <w:t>% M/E 2024 State</w:t>
            </w:r>
          </w:p>
        </w:tc>
        <w:tc>
          <w:tcPr>
            <w:tcW w:w="298" w:type="pct"/>
            <w:vAlign w:val="center"/>
          </w:tcPr>
          <w:p w14:paraId="468ABD18" w14:textId="77777777" w:rsidR="00B043E8" w:rsidRPr="00900ADE" w:rsidRDefault="00B043E8" w:rsidP="007810F7">
            <w:pPr>
              <w:pStyle w:val="TableColHeadingCenter"/>
              <w:spacing w:before="10" w:after="10"/>
            </w:pPr>
            <w:r w:rsidRPr="00900ADE">
              <w:t>% PME 2022</w:t>
            </w:r>
          </w:p>
        </w:tc>
        <w:tc>
          <w:tcPr>
            <w:tcW w:w="298" w:type="pct"/>
            <w:vAlign w:val="center"/>
          </w:tcPr>
          <w:p w14:paraId="5385182F" w14:textId="77777777" w:rsidR="00B043E8" w:rsidRPr="00900ADE" w:rsidRDefault="00B043E8" w:rsidP="007810F7">
            <w:pPr>
              <w:pStyle w:val="TableColHeadingCenter"/>
              <w:spacing w:before="10" w:after="10"/>
            </w:pPr>
            <w:r w:rsidRPr="00900ADE">
              <w:t>% PME 2023</w:t>
            </w:r>
          </w:p>
        </w:tc>
        <w:tc>
          <w:tcPr>
            <w:tcW w:w="298" w:type="pct"/>
            <w:vAlign w:val="center"/>
          </w:tcPr>
          <w:p w14:paraId="33FDB471" w14:textId="77777777" w:rsidR="00B043E8" w:rsidRPr="00900ADE" w:rsidRDefault="00B043E8" w:rsidP="007810F7">
            <w:pPr>
              <w:pStyle w:val="TableColHeadingCenter"/>
              <w:spacing w:before="10" w:after="10"/>
            </w:pPr>
            <w:r w:rsidRPr="00900ADE">
              <w:t>% PME 2024</w:t>
            </w:r>
          </w:p>
        </w:tc>
        <w:tc>
          <w:tcPr>
            <w:tcW w:w="298" w:type="pct"/>
            <w:vAlign w:val="center"/>
          </w:tcPr>
          <w:p w14:paraId="27002613" w14:textId="77777777" w:rsidR="00B043E8" w:rsidRPr="00900ADE" w:rsidRDefault="00B043E8" w:rsidP="007810F7">
            <w:pPr>
              <w:pStyle w:val="TableColHeadingCenter"/>
              <w:spacing w:before="10" w:after="10"/>
            </w:pPr>
            <w:r w:rsidRPr="00900ADE">
              <w:t>% PME 2024 State</w:t>
            </w:r>
          </w:p>
        </w:tc>
        <w:tc>
          <w:tcPr>
            <w:tcW w:w="298" w:type="pct"/>
            <w:vAlign w:val="center"/>
          </w:tcPr>
          <w:p w14:paraId="4BC16445" w14:textId="77777777" w:rsidR="00B043E8" w:rsidRPr="00900ADE" w:rsidRDefault="00B043E8" w:rsidP="007810F7">
            <w:pPr>
              <w:pStyle w:val="TableColHeadingCenter"/>
              <w:spacing w:before="10" w:after="10"/>
            </w:pPr>
            <w:r w:rsidRPr="00900ADE">
              <w:t>% NM 2022</w:t>
            </w:r>
          </w:p>
        </w:tc>
        <w:tc>
          <w:tcPr>
            <w:tcW w:w="298" w:type="pct"/>
            <w:vAlign w:val="center"/>
          </w:tcPr>
          <w:p w14:paraId="55307BD7" w14:textId="77777777" w:rsidR="00B043E8" w:rsidRPr="00900ADE" w:rsidRDefault="00B043E8" w:rsidP="007810F7">
            <w:pPr>
              <w:pStyle w:val="TableColHeadingCenter"/>
              <w:spacing w:before="10" w:after="10"/>
            </w:pPr>
            <w:r w:rsidRPr="00900ADE">
              <w:t>% NM 2023</w:t>
            </w:r>
          </w:p>
        </w:tc>
        <w:tc>
          <w:tcPr>
            <w:tcW w:w="298" w:type="pct"/>
            <w:vAlign w:val="center"/>
          </w:tcPr>
          <w:p w14:paraId="400BB99A" w14:textId="77777777" w:rsidR="00B043E8" w:rsidRPr="00900ADE" w:rsidRDefault="00B043E8" w:rsidP="007810F7">
            <w:pPr>
              <w:pStyle w:val="TableColHeadingCenter"/>
              <w:spacing w:before="10" w:after="10"/>
            </w:pPr>
            <w:r w:rsidRPr="00900ADE">
              <w:t>% NM 2024</w:t>
            </w:r>
          </w:p>
        </w:tc>
        <w:tc>
          <w:tcPr>
            <w:tcW w:w="295" w:type="pct"/>
            <w:vAlign w:val="center"/>
          </w:tcPr>
          <w:p w14:paraId="1CDC2243" w14:textId="77777777" w:rsidR="00B043E8" w:rsidRPr="00900ADE" w:rsidRDefault="00B043E8" w:rsidP="007810F7">
            <w:pPr>
              <w:pStyle w:val="TableColHeadingCenter"/>
              <w:spacing w:before="10" w:after="10"/>
            </w:pPr>
            <w:r w:rsidRPr="00900ADE">
              <w:t>% NM 2024 State</w:t>
            </w:r>
          </w:p>
        </w:tc>
      </w:tr>
      <w:tr w:rsidR="007810F7" w:rsidRPr="00900ADE" w14:paraId="29BB054E"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1645C74"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All</w:t>
            </w:r>
          </w:p>
        </w:tc>
        <w:tc>
          <w:tcPr>
            <w:tcW w:w="340" w:type="pct"/>
          </w:tcPr>
          <w:p w14:paraId="623BC01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1,023</w:t>
            </w:r>
          </w:p>
        </w:tc>
        <w:tc>
          <w:tcPr>
            <w:tcW w:w="298" w:type="pct"/>
          </w:tcPr>
          <w:p w14:paraId="2945B03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55</w:t>
            </w:r>
          </w:p>
        </w:tc>
        <w:tc>
          <w:tcPr>
            <w:tcW w:w="298" w:type="pct"/>
          </w:tcPr>
          <w:p w14:paraId="7185F0B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58</w:t>
            </w:r>
          </w:p>
        </w:tc>
        <w:tc>
          <w:tcPr>
            <w:tcW w:w="298" w:type="pct"/>
          </w:tcPr>
          <w:p w14:paraId="3A717CC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61</w:t>
            </w:r>
          </w:p>
        </w:tc>
        <w:tc>
          <w:tcPr>
            <w:tcW w:w="298" w:type="pct"/>
          </w:tcPr>
          <w:p w14:paraId="2ECD549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41</w:t>
            </w:r>
          </w:p>
        </w:tc>
        <w:tc>
          <w:tcPr>
            <w:tcW w:w="298" w:type="pct"/>
          </w:tcPr>
          <w:p w14:paraId="1632B3F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39</w:t>
            </w:r>
          </w:p>
        </w:tc>
        <w:tc>
          <w:tcPr>
            <w:tcW w:w="298" w:type="pct"/>
          </w:tcPr>
          <w:p w14:paraId="322FE54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c>
          <w:tcPr>
            <w:tcW w:w="298" w:type="pct"/>
          </w:tcPr>
          <w:p w14:paraId="727B8BA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32</w:t>
            </w:r>
          </w:p>
        </w:tc>
        <w:tc>
          <w:tcPr>
            <w:tcW w:w="298" w:type="pct"/>
          </w:tcPr>
          <w:p w14:paraId="08A8EAE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42</w:t>
            </w:r>
          </w:p>
        </w:tc>
        <w:tc>
          <w:tcPr>
            <w:tcW w:w="298" w:type="pct"/>
          </w:tcPr>
          <w:p w14:paraId="5349193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w:t>
            </w:r>
          </w:p>
        </w:tc>
        <w:tc>
          <w:tcPr>
            <w:tcW w:w="298" w:type="pct"/>
          </w:tcPr>
          <w:p w14:paraId="3658C5F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w:t>
            </w:r>
          </w:p>
        </w:tc>
        <w:tc>
          <w:tcPr>
            <w:tcW w:w="298" w:type="pct"/>
          </w:tcPr>
          <w:p w14:paraId="06AE978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w:t>
            </w:r>
          </w:p>
        </w:tc>
        <w:tc>
          <w:tcPr>
            <w:tcW w:w="295" w:type="pct"/>
          </w:tcPr>
          <w:p w14:paraId="72F7DBE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w:t>
            </w:r>
          </w:p>
        </w:tc>
      </w:tr>
      <w:tr w:rsidR="00B043E8" w:rsidRPr="00900ADE" w14:paraId="601AA653" w14:textId="77777777" w:rsidTr="00517B62">
        <w:trPr>
          <w:jc w:val="center"/>
        </w:trPr>
        <w:tc>
          <w:tcPr>
            <w:tcW w:w="1087" w:type="pct"/>
          </w:tcPr>
          <w:p w14:paraId="06C74E97"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African American/Black</w:t>
            </w:r>
          </w:p>
        </w:tc>
        <w:tc>
          <w:tcPr>
            <w:tcW w:w="340" w:type="pct"/>
          </w:tcPr>
          <w:p w14:paraId="271EB4C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24</w:t>
            </w:r>
          </w:p>
        </w:tc>
        <w:tc>
          <w:tcPr>
            <w:tcW w:w="298" w:type="pct"/>
          </w:tcPr>
          <w:p w14:paraId="6008DE9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47</w:t>
            </w:r>
          </w:p>
        </w:tc>
        <w:tc>
          <w:tcPr>
            <w:tcW w:w="298" w:type="pct"/>
          </w:tcPr>
          <w:p w14:paraId="4F4F896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3957837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6D5A816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22</w:t>
            </w:r>
          </w:p>
        </w:tc>
        <w:tc>
          <w:tcPr>
            <w:tcW w:w="298" w:type="pct"/>
          </w:tcPr>
          <w:p w14:paraId="442265B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41</w:t>
            </w:r>
          </w:p>
        </w:tc>
        <w:tc>
          <w:tcPr>
            <w:tcW w:w="298" w:type="pct"/>
          </w:tcPr>
          <w:p w14:paraId="76A4101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32</w:t>
            </w:r>
          </w:p>
        </w:tc>
        <w:tc>
          <w:tcPr>
            <w:tcW w:w="298" w:type="pct"/>
          </w:tcPr>
          <w:p w14:paraId="0F0A259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42</w:t>
            </w:r>
          </w:p>
        </w:tc>
        <w:tc>
          <w:tcPr>
            <w:tcW w:w="298" w:type="pct"/>
          </w:tcPr>
          <w:p w14:paraId="134FCBA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49</w:t>
            </w:r>
          </w:p>
        </w:tc>
        <w:tc>
          <w:tcPr>
            <w:tcW w:w="298" w:type="pct"/>
          </w:tcPr>
          <w:p w14:paraId="77454E7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12</w:t>
            </w:r>
          </w:p>
        </w:tc>
        <w:tc>
          <w:tcPr>
            <w:tcW w:w="298" w:type="pct"/>
          </w:tcPr>
          <w:p w14:paraId="38E001E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w:t>
            </w:r>
          </w:p>
        </w:tc>
        <w:tc>
          <w:tcPr>
            <w:tcW w:w="298" w:type="pct"/>
          </w:tcPr>
          <w:p w14:paraId="04B69AB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w:t>
            </w:r>
          </w:p>
        </w:tc>
        <w:tc>
          <w:tcPr>
            <w:tcW w:w="295" w:type="pct"/>
          </w:tcPr>
          <w:p w14:paraId="6C5A527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30</w:t>
            </w:r>
          </w:p>
        </w:tc>
      </w:tr>
      <w:tr w:rsidR="007810F7" w:rsidRPr="00900ADE" w14:paraId="2F72CB24"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96BAB2B"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Asian</w:t>
            </w:r>
          </w:p>
        </w:tc>
        <w:tc>
          <w:tcPr>
            <w:tcW w:w="340" w:type="pct"/>
          </w:tcPr>
          <w:p w14:paraId="32929BD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51</w:t>
            </w:r>
          </w:p>
        </w:tc>
        <w:tc>
          <w:tcPr>
            <w:tcW w:w="298" w:type="pct"/>
          </w:tcPr>
          <w:p w14:paraId="3D714D7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86</w:t>
            </w:r>
          </w:p>
        </w:tc>
        <w:tc>
          <w:tcPr>
            <w:tcW w:w="298" w:type="pct"/>
          </w:tcPr>
          <w:p w14:paraId="3EB5973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79</w:t>
            </w:r>
          </w:p>
        </w:tc>
        <w:tc>
          <w:tcPr>
            <w:tcW w:w="298" w:type="pct"/>
          </w:tcPr>
          <w:p w14:paraId="5776C94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76</w:t>
            </w:r>
          </w:p>
        </w:tc>
        <w:tc>
          <w:tcPr>
            <w:tcW w:w="298" w:type="pct"/>
          </w:tcPr>
          <w:p w14:paraId="0315BB9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71</w:t>
            </w:r>
          </w:p>
        </w:tc>
        <w:tc>
          <w:tcPr>
            <w:tcW w:w="298" w:type="pct"/>
          </w:tcPr>
          <w:p w14:paraId="73CB165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14</w:t>
            </w:r>
          </w:p>
        </w:tc>
        <w:tc>
          <w:tcPr>
            <w:tcW w:w="298" w:type="pct"/>
          </w:tcPr>
          <w:p w14:paraId="5124795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16</w:t>
            </w:r>
          </w:p>
        </w:tc>
        <w:tc>
          <w:tcPr>
            <w:tcW w:w="298" w:type="pct"/>
          </w:tcPr>
          <w:p w14:paraId="7F510EC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22</w:t>
            </w:r>
          </w:p>
        </w:tc>
        <w:tc>
          <w:tcPr>
            <w:tcW w:w="298" w:type="pct"/>
          </w:tcPr>
          <w:p w14:paraId="63B1876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c>
          <w:tcPr>
            <w:tcW w:w="298" w:type="pct"/>
          </w:tcPr>
          <w:p w14:paraId="2CA4EF8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0</w:t>
            </w:r>
          </w:p>
        </w:tc>
        <w:tc>
          <w:tcPr>
            <w:tcW w:w="298" w:type="pct"/>
          </w:tcPr>
          <w:p w14:paraId="4E852DA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c>
          <w:tcPr>
            <w:tcW w:w="298" w:type="pct"/>
          </w:tcPr>
          <w:p w14:paraId="66367C2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w:t>
            </w:r>
          </w:p>
        </w:tc>
        <w:tc>
          <w:tcPr>
            <w:tcW w:w="295" w:type="pct"/>
          </w:tcPr>
          <w:p w14:paraId="5345950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w:t>
            </w:r>
          </w:p>
        </w:tc>
      </w:tr>
      <w:tr w:rsidR="00B043E8" w:rsidRPr="00900ADE" w14:paraId="15B862D4" w14:textId="77777777" w:rsidTr="00517B62">
        <w:trPr>
          <w:jc w:val="center"/>
        </w:trPr>
        <w:tc>
          <w:tcPr>
            <w:tcW w:w="1087" w:type="pct"/>
          </w:tcPr>
          <w:p w14:paraId="61E7F440"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Hispanic/Latino</w:t>
            </w:r>
          </w:p>
        </w:tc>
        <w:tc>
          <w:tcPr>
            <w:tcW w:w="340" w:type="pct"/>
          </w:tcPr>
          <w:p w14:paraId="1A9222B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90</w:t>
            </w:r>
          </w:p>
        </w:tc>
        <w:tc>
          <w:tcPr>
            <w:tcW w:w="298" w:type="pct"/>
          </w:tcPr>
          <w:p w14:paraId="734B0D7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8" w:type="pct"/>
          </w:tcPr>
          <w:p w14:paraId="21515F0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37</w:t>
            </w:r>
          </w:p>
        </w:tc>
        <w:tc>
          <w:tcPr>
            <w:tcW w:w="298" w:type="pct"/>
          </w:tcPr>
          <w:p w14:paraId="49B7A20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39</w:t>
            </w:r>
          </w:p>
        </w:tc>
        <w:tc>
          <w:tcPr>
            <w:tcW w:w="298" w:type="pct"/>
          </w:tcPr>
          <w:p w14:paraId="24CFC48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c>
          <w:tcPr>
            <w:tcW w:w="298" w:type="pct"/>
          </w:tcPr>
          <w:p w14:paraId="51B25A2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42</w:t>
            </w:r>
          </w:p>
        </w:tc>
        <w:tc>
          <w:tcPr>
            <w:tcW w:w="298" w:type="pct"/>
          </w:tcPr>
          <w:p w14:paraId="4239B3C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41</w:t>
            </w:r>
          </w:p>
        </w:tc>
        <w:tc>
          <w:tcPr>
            <w:tcW w:w="298" w:type="pct"/>
          </w:tcPr>
          <w:p w14:paraId="3AB3C8A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39</w:t>
            </w:r>
          </w:p>
        </w:tc>
        <w:tc>
          <w:tcPr>
            <w:tcW w:w="298" w:type="pct"/>
          </w:tcPr>
          <w:p w14:paraId="1E26120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48</w:t>
            </w:r>
          </w:p>
        </w:tc>
        <w:tc>
          <w:tcPr>
            <w:tcW w:w="298" w:type="pct"/>
          </w:tcPr>
          <w:p w14:paraId="358D679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w:t>
            </w:r>
          </w:p>
        </w:tc>
        <w:tc>
          <w:tcPr>
            <w:tcW w:w="298" w:type="pct"/>
          </w:tcPr>
          <w:p w14:paraId="0CCBBA5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c>
          <w:tcPr>
            <w:tcW w:w="298" w:type="pct"/>
          </w:tcPr>
          <w:p w14:paraId="7EB75A3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22</w:t>
            </w:r>
          </w:p>
        </w:tc>
        <w:tc>
          <w:tcPr>
            <w:tcW w:w="295" w:type="pct"/>
          </w:tcPr>
          <w:p w14:paraId="5B0CD0F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32</w:t>
            </w:r>
          </w:p>
        </w:tc>
      </w:tr>
      <w:tr w:rsidR="007810F7" w:rsidRPr="00900ADE" w14:paraId="6AAFD439"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DB4181C"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cstheme="minorHAnsi"/>
                <w:spacing w:val="-4"/>
              </w:rPr>
              <w:t>Multi-Race, non-Hispanic/Latino</w:t>
            </w:r>
          </w:p>
        </w:tc>
        <w:tc>
          <w:tcPr>
            <w:tcW w:w="340" w:type="pct"/>
          </w:tcPr>
          <w:p w14:paraId="610DD3B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8" w:type="pct"/>
          </w:tcPr>
          <w:p w14:paraId="6A811D9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63</w:t>
            </w:r>
          </w:p>
        </w:tc>
        <w:tc>
          <w:tcPr>
            <w:tcW w:w="298" w:type="pct"/>
          </w:tcPr>
          <w:p w14:paraId="7659874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62</w:t>
            </w:r>
          </w:p>
        </w:tc>
        <w:tc>
          <w:tcPr>
            <w:tcW w:w="298" w:type="pct"/>
          </w:tcPr>
          <w:p w14:paraId="63A7323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76</w:t>
            </w:r>
          </w:p>
        </w:tc>
        <w:tc>
          <w:tcPr>
            <w:tcW w:w="298" w:type="pct"/>
          </w:tcPr>
          <w:p w14:paraId="203F35C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47</w:t>
            </w:r>
          </w:p>
        </w:tc>
        <w:tc>
          <w:tcPr>
            <w:tcW w:w="298" w:type="pct"/>
          </w:tcPr>
          <w:p w14:paraId="33FF41E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c>
          <w:tcPr>
            <w:tcW w:w="298" w:type="pct"/>
          </w:tcPr>
          <w:p w14:paraId="628F10C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c>
          <w:tcPr>
            <w:tcW w:w="298" w:type="pct"/>
          </w:tcPr>
          <w:p w14:paraId="2582A8E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c>
          <w:tcPr>
            <w:tcW w:w="298" w:type="pct"/>
          </w:tcPr>
          <w:p w14:paraId="2096C29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37</w:t>
            </w:r>
          </w:p>
        </w:tc>
        <w:tc>
          <w:tcPr>
            <w:tcW w:w="298" w:type="pct"/>
          </w:tcPr>
          <w:p w14:paraId="52B413C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w:t>
            </w:r>
          </w:p>
        </w:tc>
        <w:tc>
          <w:tcPr>
            <w:tcW w:w="298" w:type="pct"/>
          </w:tcPr>
          <w:p w14:paraId="61680CA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c>
          <w:tcPr>
            <w:tcW w:w="298" w:type="pct"/>
          </w:tcPr>
          <w:p w14:paraId="6FBABF4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w:t>
            </w:r>
          </w:p>
        </w:tc>
        <w:tc>
          <w:tcPr>
            <w:tcW w:w="295" w:type="pct"/>
          </w:tcPr>
          <w:p w14:paraId="6A48173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16</w:t>
            </w:r>
          </w:p>
        </w:tc>
      </w:tr>
      <w:tr w:rsidR="00B043E8" w:rsidRPr="00900ADE" w14:paraId="6003A2AB" w14:textId="77777777" w:rsidTr="00517B62">
        <w:trPr>
          <w:jc w:val="center"/>
        </w:trPr>
        <w:tc>
          <w:tcPr>
            <w:tcW w:w="1087" w:type="pct"/>
          </w:tcPr>
          <w:p w14:paraId="766D8BD6"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Native American</w:t>
            </w:r>
          </w:p>
        </w:tc>
        <w:tc>
          <w:tcPr>
            <w:tcW w:w="340" w:type="pct"/>
          </w:tcPr>
          <w:p w14:paraId="639A779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w:t>
            </w:r>
          </w:p>
        </w:tc>
        <w:tc>
          <w:tcPr>
            <w:tcW w:w="298" w:type="pct"/>
          </w:tcPr>
          <w:p w14:paraId="37EBD160" w14:textId="6C89537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CCC15B5" w14:textId="6B54FC2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C69A5AE" w14:textId="365AA69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C05F7D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27</w:t>
            </w:r>
          </w:p>
        </w:tc>
        <w:tc>
          <w:tcPr>
            <w:tcW w:w="298" w:type="pct"/>
          </w:tcPr>
          <w:p w14:paraId="7C013DFA" w14:textId="4EB66FE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6B3A857" w14:textId="47F105A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54DE9A5" w14:textId="0473C69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909493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46</w:t>
            </w:r>
          </w:p>
        </w:tc>
        <w:tc>
          <w:tcPr>
            <w:tcW w:w="298" w:type="pct"/>
          </w:tcPr>
          <w:p w14:paraId="5449A601" w14:textId="68967BA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8725FF6" w14:textId="7012859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6D833EA" w14:textId="119CD0F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6F4C5FC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27</w:t>
            </w:r>
          </w:p>
        </w:tc>
      </w:tr>
      <w:tr w:rsidR="007810F7" w:rsidRPr="00900ADE" w14:paraId="25219E0C"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68475AF"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Native Hawaiian, Pacific Islander</w:t>
            </w:r>
          </w:p>
        </w:tc>
        <w:tc>
          <w:tcPr>
            <w:tcW w:w="340" w:type="pct"/>
          </w:tcPr>
          <w:p w14:paraId="22A35BD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w:t>
            </w:r>
          </w:p>
        </w:tc>
        <w:tc>
          <w:tcPr>
            <w:tcW w:w="298" w:type="pct"/>
          </w:tcPr>
          <w:p w14:paraId="700739D1" w14:textId="48099A8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0420AA6" w14:textId="3379FE1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09F68BB" w14:textId="6A168CE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E81B36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39</w:t>
            </w:r>
          </w:p>
        </w:tc>
        <w:tc>
          <w:tcPr>
            <w:tcW w:w="298" w:type="pct"/>
          </w:tcPr>
          <w:p w14:paraId="30CBB48F" w14:textId="7E28691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1DA9264" w14:textId="6F55464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92EC1E6" w14:textId="35766D1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1D1578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41</w:t>
            </w:r>
          </w:p>
        </w:tc>
        <w:tc>
          <w:tcPr>
            <w:tcW w:w="298" w:type="pct"/>
          </w:tcPr>
          <w:p w14:paraId="371831CF" w14:textId="1B44982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63BA286" w14:textId="318CCC0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8D6BDBB" w14:textId="017B2E0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51397A9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r>
      <w:tr w:rsidR="00B043E8" w:rsidRPr="00900ADE" w14:paraId="2845A93A" w14:textId="77777777" w:rsidTr="00517B62">
        <w:trPr>
          <w:jc w:val="center"/>
        </w:trPr>
        <w:tc>
          <w:tcPr>
            <w:tcW w:w="1087" w:type="pct"/>
          </w:tcPr>
          <w:p w14:paraId="15B8F101"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White</w:t>
            </w:r>
          </w:p>
        </w:tc>
        <w:tc>
          <w:tcPr>
            <w:tcW w:w="340" w:type="pct"/>
          </w:tcPr>
          <w:p w14:paraId="7302612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831</w:t>
            </w:r>
          </w:p>
        </w:tc>
        <w:tc>
          <w:tcPr>
            <w:tcW w:w="298" w:type="pct"/>
          </w:tcPr>
          <w:p w14:paraId="3D55A19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54</w:t>
            </w:r>
          </w:p>
        </w:tc>
        <w:tc>
          <w:tcPr>
            <w:tcW w:w="298" w:type="pct"/>
          </w:tcPr>
          <w:p w14:paraId="1925972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59</w:t>
            </w:r>
          </w:p>
        </w:tc>
        <w:tc>
          <w:tcPr>
            <w:tcW w:w="298" w:type="pct"/>
          </w:tcPr>
          <w:p w14:paraId="5224262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63</w:t>
            </w:r>
          </w:p>
        </w:tc>
        <w:tc>
          <w:tcPr>
            <w:tcW w:w="298" w:type="pct"/>
          </w:tcPr>
          <w:p w14:paraId="4FD7A8F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49</w:t>
            </w:r>
          </w:p>
        </w:tc>
        <w:tc>
          <w:tcPr>
            <w:tcW w:w="298" w:type="pct"/>
          </w:tcPr>
          <w:p w14:paraId="1F79D19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8" w:type="pct"/>
          </w:tcPr>
          <w:p w14:paraId="1F69663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c>
          <w:tcPr>
            <w:tcW w:w="298" w:type="pct"/>
          </w:tcPr>
          <w:p w14:paraId="298425B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32</w:t>
            </w:r>
          </w:p>
        </w:tc>
        <w:tc>
          <w:tcPr>
            <w:tcW w:w="298" w:type="pct"/>
          </w:tcPr>
          <w:p w14:paraId="4DA7215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8" w:type="pct"/>
          </w:tcPr>
          <w:p w14:paraId="1FB5D96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w:t>
            </w:r>
          </w:p>
        </w:tc>
        <w:tc>
          <w:tcPr>
            <w:tcW w:w="298" w:type="pct"/>
          </w:tcPr>
          <w:p w14:paraId="1E60ED2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w:t>
            </w:r>
          </w:p>
        </w:tc>
        <w:tc>
          <w:tcPr>
            <w:tcW w:w="298" w:type="pct"/>
          </w:tcPr>
          <w:p w14:paraId="0776AA4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c>
          <w:tcPr>
            <w:tcW w:w="295" w:type="pct"/>
          </w:tcPr>
          <w:p w14:paraId="6E6EB5E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11</w:t>
            </w:r>
          </w:p>
        </w:tc>
      </w:tr>
      <w:tr w:rsidR="007810F7" w:rsidRPr="00900ADE" w14:paraId="62BFA319"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379DA09" w14:textId="1DBA915E"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 xml:space="preserve">High </w:t>
            </w:r>
            <w:r w:rsidR="00A64AA7">
              <w:rPr>
                <w:rFonts w:ascii="Franklin Gothic Book" w:hAnsi="Franklin Gothic Book"/>
                <w:spacing w:val="-4"/>
              </w:rPr>
              <w:t>n</w:t>
            </w:r>
            <w:r w:rsidRPr="00900ADE">
              <w:rPr>
                <w:rFonts w:ascii="Franklin Gothic Book" w:hAnsi="Franklin Gothic Book"/>
                <w:spacing w:val="-4"/>
              </w:rPr>
              <w:t>eeds</w:t>
            </w:r>
          </w:p>
        </w:tc>
        <w:tc>
          <w:tcPr>
            <w:tcW w:w="340" w:type="pct"/>
          </w:tcPr>
          <w:p w14:paraId="44AE351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335</w:t>
            </w:r>
          </w:p>
        </w:tc>
        <w:tc>
          <w:tcPr>
            <w:tcW w:w="298" w:type="pct"/>
          </w:tcPr>
          <w:p w14:paraId="6A3727B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31</w:t>
            </w:r>
          </w:p>
        </w:tc>
        <w:tc>
          <w:tcPr>
            <w:tcW w:w="298" w:type="pct"/>
          </w:tcPr>
          <w:p w14:paraId="60FC77F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29</w:t>
            </w:r>
          </w:p>
        </w:tc>
        <w:tc>
          <w:tcPr>
            <w:tcW w:w="298" w:type="pct"/>
          </w:tcPr>
          <w:p w14:paraId="5092432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c>
          <w:tcPr>
            <w:tcW w:w="298" w:type="pct"/>
          </w:tcPr>
          <w:p w14:paraId="1627DB0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c>
          <w:tcPr>
            <w:tcW w:w="298" w:type="pct"/>
          </w:tcPr>
          <w:p w14:paraId="120A98E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3B9884F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48</w:t>
            </w:r>
          </w:p>
        </w:tc>
        <w:tc>
          <w:tcPr>
            <w:tcW w:w="298" w:type="pct"/>
          </w:tcPr>
          <w:p w14:paraId="653220F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46</w:t>
            </w:r>
          </w:p>
        </w:tc>
        <w:tc>
          <w:tcPr>
            <w:tcW w:w="298" w:type="pct"/>
          </w:tcPr>
          <w:p w14:paraId="4F2896A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48</w:t>
            </w:r>
          </w:p>
        </w:tc>
        <w:tc>
          <w:tcPr>
            <w:tcW w:w="298" w:type="pct"/>
          </w:tcPr>
          <w:p w14:paraId="6327569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19</w:t>
            </w:r>
          </w:p>
        </w:tc>
        <w:tc>
          <w:tcPr>
            <w:tcW w:w="298" w:type="pct"/>
          </w:tcPr>
          <w:p w14:paraId="77327A6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c>
          <w:tcPr>
            <w:tcW w:w="298" w:type="pct"/>
          </w:tcPr>
          <w:p w14:paraId="668DE80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c>
          <w:tcPr>
            <w:tcW w:w="295" w:type="pct"/>
          </w:tcPr>
          <w:p w14:paraId="6D0B3A1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r>
      <w:tr w:rsidR="00B043E8" w:rsidRPr="00900ADE" w14:paraId="1A450916" w14:textId="77777777" w:rsidTr="00517B62">
        <w:trPr>
          <w:jc w:val="center"/>
        </w:trPr>
        <w:tc>
          <w:tcPr>
            <w:tcW w:w="1087" w:type="pct"/>
          </w:tcPr>
          <w:p w14:paraId="6CE0D8E9"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Low income</w:t>
            </w:r>
          </w:p>
        </w:tc>
        <w:tc>
          <w:tcPr>
            <w:tcW w:w="340" w:type="pct"/>
          </w:tcPr>
          <w:p w14:paraId="08EE52E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183</w:t>
            </w:r>
          </w:p>
        </w:tc>
        <w:tc>
          <w:tcPr>
            <w:tcW w:w="298" w:type="pct"/>
          </w:tcPr>
          <w:p w14:paraId="39EEAC3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c>
          <w:tcPr>
            <w:tcW w:w="298" w:type="pct"/>
          </w:tcPr>
          <w:p w14:paraId="1451034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31</w:t>
            </w:r>
          </w:p>
        </w:tc>
        <w:tc>
          <w:tcPr>
            <w:tcW w:w="298" w:type="pct"/>
          </w:tcPr>
          <w:p w14:paraId="02F7CA6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37</w:t>
            </w:r>
          </w:p>
        </w:tc>
        <w:tc>
          <w:tcPr>
            <w:tcW w:w="298" w:type="pct"/>
          </w:tcPr>
          <w:p w14:paraId="771DBFA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c>
          <w:tcPr>
            <w:tcW w:w="298" w:type="pct"/>
          </w:tcPr>
          <w:p w14:paraId="4B4ED79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48</w:t>
            </w:r>
          </w:p>
        </w:tc>
        <w:tc>
          <w:tcPr>
            <w:tcW w:w="298" w:type="pct"/>
          </w:tcPr>
          <w:p w14:paraId="2AB0BB5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43</w:t>
            </w:r>
          </w:p>
        </w:tc>
        <w:tc>
          <w:tcPr>
            <w:tcW w:w="298" w:type="pct"/>
          </w:tcPr>
          <w:p w14:paraId="5910583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8" w:type="pct"/>
          </w:tcPr>
          <w:p w14:paraId="63142A3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49</w:t>
            </w:r>
          </w:p>
        </w:tc>
        <w:tc>
          <w:tcPr>
            <w:tcW w:w="298" w:type="pct"/>
          </w:tcPr>
          <w:p w14:paraId="17A5493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w:t>
            </w:r>
          </w:p>
        </w:tc>
        <w:tc>
          <w:tcPr>
            <w:tcW w:w="298" w:type="pct"/>
          </w:tcPr>
          <w:p w14:paraId="3AF6A1C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22A8AD6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c>
          <w:tcPr>
            <w:tcW w:w="295" w:type="pct"/>
          </w:tcPr>
          <w:p w14:paraId="3C12048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30</w:t>
            </w:r>
          </w:p>
        </w:tc>
      </w:tr>
      <w:tr w:rsidR="007810F7" w:rsidRPr="00900ADE" w14:paraId="20087508"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57A5A7F"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ELs and former ELs</w:t>
            </w:r>
          </w:p>
        </w:tc>
        <w:tc>
          <w:tcPr>
            <w:tcW w:w="340" w:type="pct"/>
          </w:tcPr>
          <w:p w14:paraId="21EE9B3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76</w:t>
            </w:r>
          </w:p>
        </w:tc>
        <w:tc>
          <w:tcPr>
            <w:tcW w:w="298" w:type="pct"/>
          </w:tcPr>
          <w:p w14:paraId="59C682F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2F9A6D8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32</w:t>
            </w:r>
          </w:p>
        </w:tc>
        <w:tc>
          <w:tcPr>
            <w:tcW w:w="298" w:type="pct"/>
          </w:tcPr>
          <w:p w14:paraId="5269D32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40D64E9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c>
          <w:tcPr>
            <w:tcW w:w="298" w:type="pct"/>
          </w:tcPr>
          <w:p w14:paraId="7891E55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10196AA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42</w:t>
            </w:r>
          </w:p>
        </w:tc>
        <w:tc>
          <w:tcPr>
            <w:tcW w:w="298" w:type="pct"/>
          </w:tcPr>
          <w:p w14:paraId="3A1CFC9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051396C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46</w:t>
            </w:r>
          </w:p>
        </w:tc>
        <w:tc>
          <w:tcPr>
            <w:tcW w:w="298" w:type="pct"/>
          </w:tcPr>
          <w:p w14:paraId="5B8C53A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3171A46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6FBBE2F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24</w:t>
            </w:r>
          </w:p>
        </w:tc>
        <w:tc>
          <w:tcPr>
            <w:tcW w:w="295" w:type="pct"/>
          </w:tcPr>
          <w:p w14:paraId="16002E9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r>
      <w:tr w:rsidR="00B043E8" w:rsidRPr="00900ADE" w14:paraId="716E2B5B" w14:textId="77777777" w:rsidTr="00517B62">
        <w:trPr>
          <w:jc w:val="center"/>
        </w:trPr>
        <w:tc>
          <w:tcPr>
            <w:tcW w:w="1087" w:type="pct"/>
          </w:tcPr>
          <w:p w14:paraId="7F7E7863"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Students w/disabilities</w:t>
            </w:r>
          </w:p>
        </w:tc>
        <w:tc>
          <w:tcPr>
            <w:tcW w:w="340" w:type="pct"/>
          </w:tcPr>
          <w:p w14:paraId="31DD6EE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184</w:t>
            </w:r>
          </w:p>
        </w:tc>
        <w:tc>
          <w:tcPr>
            <w:tcW w:w="298" w:type="pct"/>
          </w:tcPr>
          <w:p w14:paraId="16F4F81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c>
          <w:tcPr>
            <w:tcW w:w="298" w:type="pct"/>
          </w:tcPr>
          <w:p w14:paraId="4EDDCE6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15</w:t>
            </w:r>
          </w:p>
        </w:tc>
        <w:tc>
          <w:tcPr>
            <w:tcW w:w="298" w:type="pct"/>
          </w:tcPr>
          <w:p w14:paraId="2E44865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17</w:t>
            </w:r>
          </w:p>
        </w:tc>
        <w:tc>
          <w:tcPr>
            <w:tcW w:w="298" w:type="pct"/>
          </w:tcPr>
          <w:p w14:paraId="15E346B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13</w:t>
            </w:r>
          </w:p>
        </w:tc>
        <w:tc>
          <w:tcPr>
            <w:tcW w:w="298" w:type="pct"/>
          </w:tcPr>
          <w:p w14:paraId="4B1BFB3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53</w:t>
            </w:r>
          </w:p>
        </w:tc>
        <w:tc>
          <w:tcPr>
            <w:tcW w:w="298" w:type="pct"/>
          </w:tcPr>
          <w:p w14:paraId="0B827EE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54</w:t>
            </w:r>
          </w:p>
        </w:tc>
        <w:tc>
          <w:tcPr>
            <w:tcW w:w="298" w:type="pct"/>
          </w:tcPr>
          <w:p w14:paraId="284AFD5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5FE4FC5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43</w:t>
            </w:r>
          </w:p>
        </w:tc>
        <w:tc>
          <w:tcPr>
            <w:tcW w:w="298" w:type="pct"/>
          </w:tcPr>
          <w:p w14:paraId="6EB28A3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27</w:t>
            </w:r>
          </w:p>
        </w:tc>
        <w:tc>
          <w:tcPr>
            <w:tcW w:w="298" w:type="pct"/>
          </w:tcPr>
          <w:p w14:paraId="526D920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31</w:t>
            </w:r>
          </w:p>
        </w:tc>
        <w:tc>
          <w:tcPr>
            <w:tcW w:w="298" w:type="pct"/>
          </w:tcPr>
          <w:p w14:paraId="508746B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30</w:t>
            </w:r>
          </w:p>
        </w:tc>
        <w:tc>
          <w:tcPr>
            <w:tcW w:w="295" w:type="pct"/>
          </w:tcPr>
          <w:p w14:paraId="70B1D61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44</w:t>
            </w:r>
          </w:p>
        </w:tc>
      </w:tr>
    </w:tbl>
    <w:p w14:paraId="53DF64DC" w14:textId="77777777" w:rsidR="00822854" w:rsidRPr="00900ADE" w:rsidRDefault="00822854" w:rsidP="00822854">
      <w:pPr>
        <w:pStyle w:val="FootnoteText"/>
        <w:spacing w:before="120"/>
      </w:pPr>
      <w:bookmarkStart w:id="204" w:name="_Toc196169616"/>
      <w:r w:rsidRPr="00900ADE">
        <w:rPr>
          <w:i/>
          <w:iCs/>
        </w:rPr>
        <w:t>Note</w:t>
      </w:r>
      <w:r w:rsidRPr="00900ADE">
        <w:t>. M/E = meeting or exceeding expectations; PME = partially meeting expectations; NM = not meeting expectations.</w:t>
      </w:r>
    </w:p>
    <w:p w14:paraId="5FD9313E" w14:textId="77777777" w:rsidR="00B043E8" w:rsidRPr="00900ADE" w:rsidRDefault="00B043E8" w:rsidP="009B1A7E">
      <w:pPr>
        <w:pStyle w:val="TableETitle"/>
      </w:pPr>
      <w:r w:rsidRPr="00900ADE">
        <w:t>Table E4. MCAS Mathematics Achievement by Student Group, Grade 10, 2022-2024</w:t>
      </w:r>
      <w:bookmarkEnd w:id="204"/>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7810F7" w:rsidRPr="00900ADE" w14:paraId="4DFE04F1" w14:textId="77777777" w:rsidTr="00517B62">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2A430D50" w14:textId="77777777" w:rsidR="00B043E8" w:rsidRPr="00900ADE" w:rsidRDefault="00B043E8" w:rsidP="00433442">
            <w:pPr>
              <w:pStyle w:val="TableColHeadingCenter"/>
              <w:spacing w:before="10" w:after="10"/>
            </w:pPr>
            <w:r w:rsidRPr="00900ADE">
              <w:t>Group</w:t>
            </w:r>
          </w:p>
        </w:tc>
        <w:tc>
          <w:tcPr>
            <w:tcW w:w="340" w:type="pct"/>
            <w:vAlign w:val="center"/>
          </w:tcPr>
          <w:p w14:paraId="69627E37" w14:textId="77777777" w:rsidR="00B043E8" w:rsidRPr="00900ADE" w:rsidRDefault="00B043E8" w:rsidP="00433442">
            <w:pPr>
              <w:pStyle w:val="TableColHeadingCenter"/>
              <w:spacing w:before="10" w:after="10"/>
            </w:pPr>
            <w:r w:rsidRPr="00900ADE">
              <w:t># Included (2024)</w:t>
            </w:r>
          </w:p>
        </w:tc>
        <w:tc>
          <w:tcPr>
            <w:tcW w:w="298" w:type="pct"/>
            <w:vAlign w:val="center"/>
          </w:tcPr>
          <w:p w14:paraId="0291011D" w14:textId="77777777" w:rsidR="00B043E8" w:rsidRPr="00900ADE" w:rsidRDefault="00B043E8" w:rsidP="00433442">
            <w:pPr>
              <w:pStyle w:val="TableColHeadingCenter"/>
              <w:spacing w:before="10" w:after="10"/>
            </w:pPr>
            <w:r w:rsidRPr="00900ADE">
              <w:t>% M/E 2022</w:t>
            </w:r>
          </w:p>
        </w:tc>
        <w:tc>
          <w:tcPr>
            <w:tcW w:w="298" w:type="pct"/>
            <w:vAlign w:val="center"/>
          </w:tcPr>
          <w:p w14:paraId="0FE4760D" w14:textId="77777777" w:rsidR="00B043E8" w:rsidRPr="00900ADE" w:rsidRDefault="00B043E8" w:rsidP="00433442">
            <w:pPr>
              <w:pStyle w:val="TableColHeadingCenter"/>
              <w:spacing w:before="10" w:after="10"/>
            </w:pPr>
            <w:r w:rsidRPr="00900ADE">
              <w:t>% M/E 2023</w:t>
            </w:r>
          </w:p>
        </w:tc>
        <w:tc>
          <w:tcPr>
            <w:tcW w:w="298" w:type="pct"/>
            <w:vAlign w:val="center"/>
          </w:tcPr>
          <w:p w14:paraId="4A919343" w14:textId="77777777" w:rsidR="00B043E8" w:rsidRPr="00900ADE" w:rsidRDefault="00B043E8" w:rsidP="00433442">
            <w:pPr>
              <w:pStyle w:val="TableColHeadingCenter"/>
              <w:spacing w:before="10" w:after="10"/>
            </w:pPr>
            <w:r w:rsidRPr="00900ADE">
              <w:t>% M/E 2024</w:t>
            </w:r>
          </w:p>
        </w:tc>
        <w:tc>
          <w:tcPr>
            <w:tcW w:w="298" w:type="pct"/>
            <w:vAlign w:val="center"/>
          </w:tcPr>
          <w:p w14:paraId="4DCB4735" w14:textId="77777777" w:rsidR="00B043E8" w:rsidRPr="00900ADE" w:rsidRDefault="00B043E8" w:rsidP="00433442">
            <w:pPr>
              <w:pStyle w:val="TableColHeadingCenter"/>
              <w:spacing w:before="10" w:after="10"/>
            </w:pPr>
            <w:r w:rsidRPr="00900ADE">
              <w:t>% M/E 2024 State</w:t>
            </w:r>
          </w:p>
        </w:tc>
        <w:tc>
          <w:tcPr>
            <w:tcW w:w="298" w:type="pct"/>
            <w:vAlign w:val="center"/>
          </w:tcPr>
          <w:p w14:paraId="0A779C3E" w14:textId="77777777" w:rsidR="00B043E8" w:rsidRPr="00900ADE" w:rsidRDefault="00B043E8" w:rsidP="00433442">
            <w:pPr>
              <w:pStyle w:val="TableColHeadingCenter"/>
              <w:spacing w:before="10" w:after="10"/>
            </w:pPr>
            <w:r w:rsidRPr="00900ADE">
              <w:t>% PME 2022</w:t>
            </w:r>
          </w:p>
        </w:tc>
        <w:tc>
          <w:tcPr>
            <w:tcW w:w="298" w:type="pct"/>
            <w:vAlign w:val="center"/>
          </w:tcPr>
          <w:p w14:paraId="29B19DCA" w14:textId="77777777" w:rsidR="00B043E8" w:rsidRPr="00900ADE" w:rsidRDefault="00B043E8" w:rsidP="00433442">
            <w:pPr>
              <w:pStyle w:val="TableColHeadingCenter"/>
              <w:spacing w:before="10" w:after="10"/>
            </w:pPr>
            <w:r w:rsidRPr="00900ADE">
              <w:t>% PME 2023</w:t>
            </w:r>
          </w:p>
        </w:tc>
        <w:tc>
          <w:tcPr>
            <w:tcW w:w="298" w:type="pct"/>
            <w:vAlign w:val="center"/>
          </w:tcPr>
          <w:p w14:paraId="1DFF08C1" w14:textId="77777777" w:rsidR="00B043E8" w:rsidRPr="00900ADE" w:rsidRDefault="00B043E8" w:rsidP="00433442">
            <w:pPr>
              <w:pStyle w:val="TableColHeadingCenter"/>
              <w:spacing w:before="10" w:after="10"/>
            </w:pPr>
            <w:r w:rsidRPr="00900ADE">
              <w:t>% PME 2024</w:t>
            </w:r>
          </w:p>
        </w:tc>
        <w:tc>
          <w:tcPr>
            <w:tcW w:w="298" w:type="pct"/>
            <w:vAlign w:val="center"/>
          </w:tcPr>
          <w:p w14:paraId="5BFF9AB2" w14:textId="77777777" w:rsidR="00B043E8" w:rsidRPr="00900ADE" w:rsidRDefault="00B043E8" w:rsidP="00433442">
            <w:pPr>
              <w:pStyle w:val="TableColHeadingCenter"/>
              <w:spacing w:before="10" w:after="10"/>
            </w:pPr>
            <w:r w:rsidRPr="00900ADE">
              <w:t>% PME 2024 State</w:t>
            </w:r>
          </w:p>
        </w:tc>
        <w:tc>
          <w:tcPr>
            <w:tcW w:w="298" w:type="pct"/>
            <w:vAlign w:val="center"/>
          </w:tcPr>
          <w:p w14:paraId="77DE7C8C" w14:textId="77777777" w:rsidR="00B043E8" w:rsidRPr="00900ADE" w:rsidRDefault="00B043E8" w:rsidP="00433442">
            <w:pPr>
              <w:pStyle w:val="TableColHeadingCenter"/>
              <w:spacing w:before="10" w:after="10"/>
            </w:pPr>
            <w:r w:rsidRPr="00900ADE">
              <w:t>% NM 2022</w:t>
            </w:r>
          </w:p>
        </w:tc>
        <w:tc>
          <w:tcPr>
            <w:tcW w:w="298" w:type="pct"/>
            <w:vAlign w:val="center"/>
          </w:tcPr>
          <w:p w14:paraId="2D5CF78E" w14:textId="77777777" w:rsidR="00B043E8" w:rsidRPr="00900ADE" w:rsidRDefault="00B043E8" w:rsidP="00433442">
            <w:pPr>
              <w:pStyle w:val="TableColHeadingCenter"/>
              <w:spacing w:before="10" w:after="10"/>
            </w:pPr>
            <w:r w:rsidRPr="00900ADE">
              <w:t>% NM 2023</w:t>
            </w:r>
          </w:p>
        </w:tc>
        <w:tc>
          <w:tcPr>
            <w:tcW w:w="298" w:type="pct"/>
            <w:vAlign w:val="center"/>
          </w:tcPr>
          <w:p w14:paraId="6291BD41" w14:textId="77777777" w:rsidR="00B043E8" w:rsidRPr="00900ADE" w:rsidRDefault="00B043E8" w:rsidP="00433442">
            <w:pPr>
              <w:pStyle w:val="TableColHeadingCenter"/>
              <w:spacing w:before="10" w:after="10"/>
            </w:pPr>
            <w:r w:rsidRPr="00900ADE">
              <w:t>% NM 2024</w:t>
            </w:r>
          </w:p>
        </w:tc>
        <w:tc>
          <w:tcPr>
            <w:tcW w:w="295" w:type="pct"/>
            <w:vAlign w:val="center"/>
          </w:tcPr>
          <w:p w14:paraId="0C164913" w14:textId="77777777" w:rsidR="00B043E8" w:rsidRPr="00900ADE" w:rsidRDefault="00B043E8" w:rsidP="00433442">
            <w:pPr>
              <w:pStyle w:val="TableColHeadingCenter"/>
              <w:spacing w:before="10" w:after="10"/>
            </w:pPr>
            <w:r w:rsidRPr="00900ADE">
              <w:t>% NM 2024 State</w:t>
            </w:r>
          </w:p>
        </w:tc>
      </w:tr>
      <w:tr w:rsidR="00433442" w:rsidRPr="00900ADE" w14:paraId="45162295"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5105D61"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All</w:t>
            </w:r>
          </w:p>
        </w:tc>
        <w:tc>
          <w:tcPr>
            <w:tcW w:w="340" w:type="pct"/>
          </w:tcPr>
          <w:p w14:paraId="7FDB252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155</w:t>
            </w:r>
          </w:p>
        </w:tc>
        <w:tc>
          <w:tcPr>
            <w:tcW w:w="298" w:type="pct"/>
          </w:tcPr>
          <w:p w14:paraId="152E58D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69</w:t>
            </w:r>
          </w:p>
        </w:tc>
        <w:tc>
          <w:tcPr>
            <w:tcW w:w="298" w:type="pct"/>
          </w:tcPr>
          <w:p w14:paraId="2E12DEC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67</w:t>
            </w:r>
          </w:p>
        </w:tc>
        <w:tc>
          <w:tcPr>
            <w:tcW w:w="298" w:type="pct"/>
          </w:tcPr>
          <w:p w14:paraId="24F9A51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68</w:t>
            </w:r>
          </w:p>
        </w:tc>
        <w:tc>
          <w:tcPr>
            <w:tcW w:w="298" w:type="pct"/>
          </w:tcPr>
          <w:p w14:paraId="183EC4D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48</w:t>
            </w:r>
          </w:p>
        </w:tc>
        <w:tc>
          <w:tcPr>
            <w:tcW w:w="298" w:type="pct"/>
          </w:tcPr>
          <w:p w14:paraId="3B13088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8" w:type="pct"/>
          </w:tcPr>
          <w:p w14:paraId="643B36B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30</w:t>
            </w:r>
          </w:p>
        </w:tc>
        <w:tc>
          <w:tcPr>
            <w:tcW w:w="298" w:type="pct"/>
          </w:tcPr>
          <w:p w14:paraId="4EAF57E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8" w:type="pct"/>
          </w:tcPr>
          <w:p w14:paraId="37CD47E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39</w:t>
            </w:r>
          </w:p>
        </w:tc>
        <w:tc>
          <w:tcPr>
            <w:tcW w:w="298" w:type="pct"/>
          </w:tcPr>
          <w:p w14:paraId="594C988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8" w:type="pct"/>
          </w:tcPr>
          <w:p w14:paraId="6A852A1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8" w:type="pct"/>
          </w:tcPr>
          <w:p w14:paraId="11ABCE0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w:t>
            </w:r>
          </w:p>
        </w:tc>
        <w:tc>
          <w:tcPr>
            <w:tcW w:w="295" w:type="pct"/>
          </w:tcPr>
          <w:p w14:paraId="070AD19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13</w:t>
            </w:r>
          </w:p>
        </w:tc>
      </w:tr>
      <w:tr w:rsidR="00B043E8" w:rsidRPr="00900ADE" w14:paraId="75D4AA94" w14:textId="77777777" w:rsidTr="00517B62">
        <w:trPr>
          <w:jc w:val="center"/>
        </w:trPr>
        <w:tc>
          <w:tcPr>
            <w:tcW w:w="1087" w:type="pct"/>
          </w:tcPr>
          <w:p w14:paraId="7D397A7A"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African American/Black</w:t>
            </w:r>
          </w:p>
        </w:tc>
        <w:tc>
          <w:tcPr>
            <w:tcW w:w="340" w:type="pct"/>
          </w:tcPr>
          <w:p w14:paraId="211C9E0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8" w:type="pct"/>
          </w:tcPr>
          <w:p w14:paraId="61E7F26C" w14:textId="779287A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A4BFEB1" w14:textId="4B6C047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0767D87" w14:textId="09F5070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CBA8AD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27</w:t>
            </w:r>
          </w:p>
        </w:tc>
        <w:tc>
          <w:tcPr>
            <w:tcW w:w="298" w:type="pct"/>
          </w:tcPr>
          <w:p w14:paraId="6B6D6266" w14:textId="181A71C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E64CC67" w14:textId="498CA76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C02743E" w14:textId="33FF03C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5324CC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55B881D3" w14:textId="59405EE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2596E72" w14:textId="1584AE1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BEEC961" w14:textId="1E166AD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72B0706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r>
      <w:tr w:rsidR="00433442" w:rsidRPr="00900ADE" w14:paraId="05078F39"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AA0F283"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Asian</w:t>
            </w:r>
          </w:p>
        </w:tc>
        <w:tc>
          <w:tcPr>
            <w:tcW w:w="340" w:type="pct"/>
          </w:tcPr>
          <w:p w14:paraId="0B848A7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w:t>
            </w:r>
          </w:p>
        </w:tc>
        <w:tc>
          <w:tcPr>
            <w:tcW w:w="298" w:type="pct"/>
          </w:tcPr>
          <w:p w14:paraId="76BFFED1" w14:textId="5D0E6BF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E9F9C1A" w14:textId="0D50A7B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C3454CF" w14:textId="6A3FE2A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EA647F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79</w:t>
            </w:r>
          </w:p>
        </w:tc>
        <w:tc>
          <w:tcPr>
            <w:tcW w:w="298" w:type="pct"/>
          </w:tcPr>
          <w:p w14:paraId="5C2496FD" w14:textId="2FE767E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2C15F33" w14:textId="5B89E21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F6DE199" w14:textId="53B31F5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5747BA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17</w:t>
            </w:r>
          </w:p>
        </w:tc>
        <w:tc>
          <w:tcPr>
            <w:tcW w:w="298" w:type="pct"/>
          </w:tcPr>
          <w:p w14:paraId="20B8BB0B" w14:textId="19C5182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9EC54C2" w14:textId="393D679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A7C866C" w14:textId="03BAEAC4"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063D9EF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w:t>
            </w:r>
          </w:p>
        </w:tc>
      </w:tr>
      <w:tr w:rsidR="00B043E8" w:rsidRPr="00900ADE" w14:paraId="1A0388CE" w14:textId="77777777" w:rsidTr="00517B62">
        <w:trPr>
          <w:jc w:val="center"/>
        </w:trPr>
        <w:tc>
          <w:tcPr>
            <w:tcW w:w="1087" w:type="pct"/>
          </w:tcPr>
          <w:p w14:paraId="0E0E2100"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Hispanic/Latino</w:t>
            </w:r>
          </w:p>
        </w:tc>
        <w:tc>
          <w:tcPr>
            <w:tcW w:w="340" w:type="pct"/>
          </w:tcPr>
          <w:p w14:paraId="4F14C5A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12</w:t>
            </w:r>
          </w:p>
        </w:tc>
        <w:tc>
          <w:tcPr>
            <w:tcW w:w="298" w:type="pct"/>
          </w:tcPr>
          <w:p w14:paraId="6AF08564" w14:textId="34CD007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83A3DB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5D5EA75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13478DB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8" w:type="pct"/>
          </w:tcPr>
          <w:p w14:paraId="3B14E479" w14:textId="37970BC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B8DCFD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31</w:t>
            </w:r>
          </w:p>
        </w:tc>
        <w:tc>
          <w:tcPr>
            <w:tcW w:w="298" w:type="pct"/>
          </w:tcPr>
          <w:p w14:paraId="7A6C76A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8" w:type="pct"/>
          </w:tcPr>
          <w:p w14:paraId="2E10B9F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52B9FAF0" w14:textId="38AC910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3DC9F5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19</w:t>
            </w:r>
          </w:p>
        </w:tc>
        <w:tc>
          <w:tcPr>
            <w:tcW w:w="298" w:type="pct"/>
          </w:tcPr>
          <w:p w14:paraId="01DA3B8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5" w:type="pct"/>
          </w:tcPr>
          <w:p w14:paraId="2C2B73B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r>
      <w:tr w:rsidR="00433442" w:rsidRPr="00900ADE" w14:paraId="67312923"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4A41656"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cstheme="minorHAnsi"/>
                <w:spacing w:val="-4"/>
              </w:rPr>
              <w:t>Multi-Race, non-Hispanic/Latino</w:t>
            </w:r>
          </w:p>
        </w:tc>
        <w:tc>
          <w:tcPr>
            <w:tcW w:w="340" w:type="pct"/>
          </w:tcPr>
          <w:p w14:paraId="75F9B05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w:t>
            </w:r>
          </w:p>
        </w:tc>
        <w:tc>
          <w:tcPr>
            <w:tcW w:w="298" w:type="pct"/>
          </w:tcPr>
          <w:p w14:paraId="06EFD8CC" w14:textId="4F43FC4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A5CCB13" w14:textId="7E310D1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4E75DE3" w14:textId="3AD1515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B0999F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51</w:t>
            </w:r>
          </w:p>
        </w:tc>
        <w:tc>
          <w:tcPr>
            <w:tcW w:w="298" w:type="pct"/>
          </w:tcPr>
          <w:p w14:paraId="0A648408" w14:textId="0B2AC38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D29DE94" w14:textId="029C307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A4CAC08" w14:textId="3CFB387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A7087B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39</w:t>
            </w:r>
          </w:p>
        </w:tc>
        <w:tc>
          <w:tcPr>
            <w:tcW w:w="298" w:type="pct"/>
          </w:tcPr>
          <w:p w14:paraId="5A129ADE" w14:textId="0CB11548"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6CC235F" w14:textId="008A278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075BC7E" w14:textId="4F1C0F2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2FCD047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r>
      <w:tr w:rsidR="00B043E8" w:rsidRPr="00900ADE" w14:paraId="0C5DF8F1" w14:textId="77777777" w:rsidTr="00517B62">
        <w:trPr>
          <w:jc w:val="center"/>
        </w:trPr>
        <w:tc>
          <w:tcPr>
            <w:tcW w:w="1087" w:type="pct"/>
          </w:tcPr>
          <w:p w14:paraId="640410BC"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Native American</w:t>
            </w:r>
          </w:p>
        </w:tc>
        <w:tc>
          <w:tcPr>
            <w:tcW w:w="340" w:type="pct"/>
          </w:tcPr>
          <w:p w14:paraId="0B02E127" w14:textId="027D6D1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8845B61" w14:textId="20CDB85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8B25348" w14:textId="0F26681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C31D017" w14:textId="4F73C31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E08E18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c>
          <w:tcPr>
            <w:tcW w:w="298" w:type="pct"/>
          </w:tcPr>
          <w:p w14:paraId="25C052A8" w14:textId="27115FC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E2FB85E" w14:textId="6093C46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7C0D6F9" w14:textId="1FE3B53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C03ECB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54</w:t>
            </w:r>
          </w:p>
        </w:tc>
        <w:tc>
          <w:tcPr>
            <w:tcW w:w="298" w:type="pct"/>
          </w:tcPr>
          <w:p w14:paraId="6D9D15A6" w14:textId="7DAAA44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E54742C" w14:textId="166C968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8F980FE" w14:textId="5ED77A0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26D6754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13</w:t>
            </w:r>
          </w:p>
        </w:tc>
      </w:tr>
      <w:tr w:rsidR="00433442" w:rsidRPr="00900ADE" w14:paraId="2606CC0E"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C23E85B"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Native Hawaiian, Pacific Islander</w:t>
            </w:r>
          </w:p>
        </w:tc>
        <w:tc>
          <w:tcPr>
            <w:tcW w:w="340" w:type="pct"/>
          </w:tcPr>
          <w:p w14:paraId="5895A46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w:t>
            </w:r>
          </w:p>
        </w:tc>
        <w:tc>
          <w:tcPr>
            <w:tcW w:w="298" w:type="pct"/>
          </w:tcPr>
          <w:p w14:paraId="7FCFF55A" w14:textId="0B7064B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8046EE9" w14:textId="71D4669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D1FCC2C" w14:textId="7C71A6B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7E85A3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47D9226E" w14:textId="2F14D8B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00AAFDF" w14:textId="4DCA235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509FD03" w14:textId="5EBBACE8"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B3C57C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39</w:t>
            </w:r>
          </w:p>
        </w:tc>
        <w:tc>
          <w:tcPr>
            <w:tcW w:w="298" w:type="pct"/>
          </w:tcPr>
          <w:p w14:paraId="650102AD" w14:textId="60E51F5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2D09151" w14:textId="50F11FE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663D4E6" w14:textId="4D60E68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7EEB5AC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r>
      <w:tr w:rsidR="00B043E8" w:rsidRPr="00900ADE" w14:paraId="73102605" w14:textId="77777777" w:rsidTr="00517B62">
        <w:trPr>
          <w:jc w:val="center"/>
        </w:trPr>
        <w:tc>
          <w:tcPr>
            <w:tcW w:w="1087" w:type="pct"/>
          </w:tcPr>
          <w:p w14:paraId="6DCEF273"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White</w:t>
            </w:r>
          </w:p>
        </w:tc>
        <w:tc>
          <w:tcPr>
            <w:tcW w:w="340" w:type="pct"/>
          </w:tcPr>
          <w:p w14:paraId="37381CE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126</w:t>
            </w:r>
          </w:p>
        </w:tc>
        <w:tc>
          <w:tcPr>
            <w:tcW w:w="298" w:type="pct"/>
          </w:tcPr>
          <w:p w14:paraId="7EBA0FA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70</w:t>
            </w:r>
          </w:p>
        </w:tc>
        <w:tc>
          <w:tcPr>
            <w:tcW w:w="298" w:type="pct"/>
          </w:tcPr>
          <w:p w14:paraId="42F760E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66</w:t>
            </w:r>
          </w:p>
        </w:tc>
        <w:tc>
          <w:tcPr>
            <w:tcW w:w="298" w:type="pct"/>
          </w:tcPr>
          <w:p w14:paraId="274DFCE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67</w:t>
            </w:r>
          </w:p>
        </w:tc>
        <w:tc>
          <w:tcPr>
            <w:tcW w:w="298" w:type="pct"/>
          </w:tcPr>
          <w:p w14:paraId="75EBE21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58</w:t>
            </w:r>
          </w:p>
        </w:tc>
        <w:tc>
          <w:tcPr>
            <w:tcW w:w="298" w:type="pct"/>
          </w:tcPr>
          <w:p w14:paraId="754E553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5928015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c>
          <w:tcPr>
            <w:tcW w:w="298" w:type="pct"/>
          </w:tcPr>
          <w:p w14:paraId="6EC9134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31</w:t>
            </w:r>
          </w:p>
        </w:tc>
        <w:tc>
          <w:tcPr>
            <w:tcW w:w="298" w:type="pct"/>
          </w:tcPr>
          <w:p w14:paraId="32F5FB2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35</w:t>
            </w:r>
          </w:p>
        </w:tc>
        <w:tc>
          <w:tcPr>
            <w:tcW w:w="298" w:type="pct"/>
          </w:tcPr>
          <w:p w14:paraId="21B148B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8" w:type="pct"/>
          </w:tcPr>
          <w:p w14:paraId="293F286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w:t>
            </w:r>
          </w:p>
        </w:tc>
        <w:tc>
          <w:tcPr>
            <w:tcW w:w="298" w:type="pct"/>
          </w:tcPr>
          <w:p w14:paraId="76FE2A1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w:t>
            </w:r>
          </w:p>
        </w:tc>
        <w:tc>
          <w:tcPr>
            <w:tcW w:w="295" w:type="pct"/>
          </w:tcPr>
          <w:p w14:paraId="0FA2C94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w:t>
            </w:r>
          </w:p>
        </w:tc>
      </w:tr>
      <w:tr w:rsidR="00433442" w:rsidRPr="00900ADE" w14:paraId="0FF039F5"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D8F725F" w14:textId="62F24E2F"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 xml:space="preserve">High </w:t>
            </w:r>
            <w:r w:rsidR="00A64AA7">
              <w:rPr>
                <w:rFonts w:ascii="Franklin Gothic Book" w:hAnsi="Franklin Gothic Book"/>
                <w:spacing w:val="-4"/>
              </w:rPr>
              <w:t>n</w:t>
            </w:r>
            <w:r w:rsidRPr="00900ADE">
              <w:rPr>
                <w:rFonts w:ascii="Franklin Gothic Book" w:hAnsi="Franklin Gothic Book"/>
                <w:spacing w:val="-4"/>
              </w:rPr>
              <w:t>eeds</w:t>
            </w:r>
          </w:p>
        </w:tc>
        <w:tc>
          <w:tcPr>
            <w:tcW w:w="340" w:type="pct"/>
          </w:tcPr>
          <w:p w14:paraId="1323775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47</w:t>
            </w:r>
          </w:p>
        </w:tc>
        <w:tc>
          <w:tcPr>
            <w:tcW w:w="298" w:type="pct"/>
          </w:tcPr>
          <w:p w14:paraId="52A6DDE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669B22A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c>
          <w:tcPr>
            <w:tcW w:w="298" w:type="pct"/>
          </w:tcPr>
          <w:p w14:paraId="688D750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32</w:t>
            </w:r>
          </w:p>
        </w:tc>
        <w:tc>
          <w:tcPr>
            <w:tcW w:w="298" w:type="pct"/>
          </w:tcPr>
          <w:p w14:paraId="15CF59E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27</w:t>
            </w:r>
          </w:p>
        </w:tc>
        <w:tc>
          <w:tcPr>
            <w:tcW w:w="298" w:type="pct"/>
          </w:tcPr>
          <w:p w14:paraId="4EB8838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54</w:t>
            </w:r>
          </w:p>
        </w:tc>
        <w:tc>
          <w:tcPr>
            <w:tcW w:w="298" w:type="pct"/>
          </w:tcPr>
          <w:p w14:paraId="179B9E8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56</w:t>
            </w:r>
          </w:p>
        </w:tc>
        <w:tc>
          <w:tcPr>
            <w:tcW w:w="298" w:type="pct"/>
          </w:tcPr>
          <w:p w14:paraId="481C6C0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55</w:t>
            </w:r>
          </w:p>
        </w:tc>
        <w:tc>
          <w:tcPr>
            <w:tcW w:w="298" w:type="pct"/>
          </w:tcPr>
          <w:p w14:paraId="0568B54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51</w:t>
            </w:r>
          </w:p>
        </w:tc>
        <w:tc>
          <w:tcPr>
            <w:tcW w:w="298" w:type="pct"/>
          </w:tcPr>
          <w:p w14:paraId="1CFF979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c>
          <w:tcPr>
            <w:tcW w:w="298" w:type="pct"/>
          </w:tcPr>
          <w:p w14:paraId="1466A50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c>
          <w:tcPr>
            <w:tcW w:w="298" w:type="pct"/>
          </w:tcPr>
          <w:p w14:paraId="40D5504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13</w:t>
            </w:r>
          </w:p>
        </w:tc>
        <w:tc>
          <w:tcPr>
            <w:tcW w:w="295" w:type="pct"/>
          </w:tcPr>
          <w:p w14:paraId="5275E57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r>
      <w:tr w:rsidR="00B043E8" w:rsidRPr="00900ADE" w14:paraId="49C416A7" w14:textId="77777777" w:rsidTr="00517B62">
        <w:trPr>
          <w:jc w:val="center"/>
        </w:trPr>
        <w:tc>
          <w:tcPr>
            <w:tcW w:w="1087" w:type="pct"/>
          </w:tcPr>
          <w:p w14:paraId="0DEC22EE"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Low income</w:t>
            </w:r>
          </w:p>
        </w:tc>
        <w:tc>
          <w:tcPr>
            <w:tcW w:w="340" w:type="pct"/>
          </w:tcPr>
          <w:p w14:paraId="3704BD6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29</w:t>
            </w:r>
          </w:p>
        </w:tc>
        <w:tc>
          <w:tcPr>
            <w:tcW w:w="298" w:type="pct"/>
          </w:tcPr>
          <w:p w14:paraId="4BE31A6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62795A5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c>
          <w:tcPr>
            <w:tcW w:w="298" w:type="pct"/>
          </w:tcPr>
          <w:p w14:paraId="648B321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c>
          <w:tcPr>
            <w:tcW w:w="298" w:type="pct"/>
          </w:tcPr>
          <w:p w14:paraId="4B0D739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27</w:t>
            </w:r>
          </w:p>
        </w:tc>
        <w:tc>
          <w:tcPr>
            <w:tcW w:w="298" w:type="pct"/>
          </w:tcPr>
          <w:p w14:paraId="5E17925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43</w:t>
            </w:r>
          </w:p>
        </w:tc>
        <w:tc>
          <w:tcPr>
            <w:tcW w:w="298" w:type="pct"/>
          </w:tcPr>
          <w:p w14:paraId="4956C9F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218EA37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7822799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5D9FF39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c>
          <w:tcPr>
            <w:tcW w:w="298" w:type="pct"/>
          </w:tcPr>
          <w:p w14:paraId="5C4FEDC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15</w:t>
            </w:r>
          </w:p>
        </w:tc>
        <w:tc>
          <w:tcPr>
            <w:tcW w:w="298" w:type="pct"/>
          </w:tcPr>
          <w:p w14:paraId="0162891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14</w:t>
            </w:r>
          </w:p>
        </w:tc>
        <w:tc>
          <w:tcPr>
            <w:tcW w:w="295" w:type="pct"/>
          </w:tcPr>
          <w:p w14:paraId="3C3148D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r>
      <w:tr w:rsidR="00433442" w:rsidRPr="00900ADE" w14:paraId="1DC8C347"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2A5F2F7"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ELs and former ELs</w:t>
            </w:r>
          </w:p>
        </w:tc>
        <w:tc>
          <w:tcPr>
            <w:tcW w:w="340" w:type="pct"/>
          </w:tcPr>
          <w:p w14:paraId="3366AF9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c>
          <w:tcPr>
            <w:tcW w:w="298" w:type="pct"/>
          </w:tcPr>
          <w:p w14:paraId="056B271A" w14:textId="743BFED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AC7C27F" w14:textId="3CAC3328"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C7D68DD" w14:textId="3533501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22CC15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14</w:t>
            </w:r>
          </w:p>
        </w:tc>
        <w:tc>
          <w:tcPr>
            <w:tcW w:w="298" w:type="pct"/>
          </w:tcPr>
          <w:p w14:paraId="1A015B3B" w14:textId="0C942B9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115A440" w14:textId="2B582FC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64AFF77" w14:textId="712D671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6377EB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46</w:t>
            </w:r>
          </w:p>
        </w:tc>
        <w:tc>
          <w:tcPr>
            <w:tcW w:w="298" w:type="pct"/>
          </w:tcPr>
          <w:p w14:paraId="0A058136" w14:textId="75D8C4F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03AADB7" w14:textId="1809B31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62708B1" w14:textId="472948F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1285458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r>
      <w:tr w:rsidR="00B043E8" w:rsidRPr="00900ADE" w14:paraId="0A1C9DED" w14:textId="77777777" w:rsidTr="00517B62">
        <w:trPr>
          <w:jc w:val="center"/>
        </w:trPr>
        <w:tc>
          <w:tcPr>
            <w:tcW w:w="1087" w:type="pct"/>
          </w:tcPr>
          <w:p w14:paraId="39F84AF8"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Students w/disabilities</w:t>
            </w:r>
          </w:p>
        </w:tc>
        <w:tc>
          <w:tcPr>
            <w:tcW w:w="340" w:type="pct"/>
          </w:tcPr>
          <w:p w14:paraId="0560CD3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c>
          <w:tcPr>
            <w:tcW w:w="298" w:type="pct"/>
          </w:tcPr>
          <w:p w14:paraId="6DAD3E2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c>
          <w:tcPr>
            <w:tcW w:w="298" w:type="pct"/>
          </w:tcPr>
          <w:p w14:paraId="2A37089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1C520E6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24</w:t>
            </w:r>
          </w:p>
        </w:tc>
        <w:tc>
          <w:tcPr>
            <w:tcW w:w="298" w:type="pct"/>
          </w:tcPr>
          <w:p w14:paraId="13006FE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14</w:t>
            </w:r>
          </w:p>
        </w:tc>
        <w:tc>
          <w:tcPr>
            <w:tcW w:w="298" w:type="pct"/>
          </w:tcPr>
          <w:p w14:paraId="12D2820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70</w:t>
            </w:r>
          </w:p>
        </w:tc>
        <w:tc>
          <w:tcPr>
            <w:tcW w:w="298" w:type="pct"/>
          </w:tcPr>
          <w:p w14:paraId="30D349D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67</w:t>
            </w:r>
          </w:p>
        </w:tc>
        <w:tc>
          <w:tcPr>
            <w:tcW w:w="298" w:type="pct"/>
          </w:tcPr>
          <w:p w14:paraId="34C3B9C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67</w:t>
            </w:r>
          </w:p>
        </w:tc>
        <w:tc>
          <w:tcPr>
            <w:tcW w:w="298" w:type="pct"/>
          </w:tcPr>
          <w:p w14:paraId="53BA115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51</w:t>
            </w:r>
          </w:p>
        </w:tc>
        <w:tc>
          <w:tcPr>
            <w:tcW w:w="298" w:type="pct"/>
          </w:tcPr>
          <w:p w14:paraId="2438ADA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c>
          <w:tcPr>
            <w:tcW w:w="298" w:type="pct"/>
          </w:tcPr>
          <w:p w14:paraId="2D6A67C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w:t>
            </w:r>
          </w:p>
        </w:tc>
        <w:tc>
          <w:tcPr>
            <w:tcW w:w="298" w:type="pct"/>
          </w:tcPr>
          <w:p w14:paraId="661B6EF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c>
          <w:tcPr>
            <w:tcW w:w="295" w:type="pct"/>
          </w:tcPr>
          <w:p w14:paraId="457DE73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35</w:t>
            </w:r>
          </w:p>
        </w:tc>
      </w:tr>
    </w:tbl>
    <w:p w14:paraId="44C53D80" w14:textId="77777777" w:rsidR="00822854" w:rsidRPr="00900ADE" w:rsidRDefault="00822854" w:rsidP="00822854">
      <w:pPr>
        <w:pStyle w:val="FootnoteText"/>
        <w:spacing w:before="120"/>
      </w:pPr>
      <w:bookmarkStart w:id="205" w:name="_Toc196169617"/>
      <w:r w:rsidRPr="00900ADE">
        <w:rPr>
          <w:i/>
          <w:iCs/>
        </w:rPr>
        <w:t>Note</w:t>
      </w:r>
      <w:r w:rsidRPr="00900ADE">
        <w:t>. M/E = meeting or exceeding expectations; PME = partially meeting expectations; NM = not meeting expectations.</w:t>
      </w:r>
    </w:p>
    <w:p w14:paraId="06E33843" w14:textId="77777777" w:rsidR="00B043E8" w:rsidRPr="00900ADE" w:rsidRDefault="00B043E8" w:rsidP="009B1A7E">
      <w:pPr>
        <w:pStyle w:val="TableETitle"/>
      </w:pPr>
      <w:r w:rsidRPr="00900ADE">
        <w:lastRenderedPageBreak/>
        <w:t>Table E5. MCAS Science Achievement by Student Group, Grades 5 and 8, 2022-2024</w:t>
      </w:r>
      <w:bookmarkEnd w:id="205"/>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33442" w:rsidRPr="00900ADE" w14:paraId="7601B8DA" w14:textId="77777777" w:rsidTr="00517B62">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55F2076E" w14:textId="77777777" w:rsidR="00B043E8" w:rsidRPr="00900ADE" w:rsidRDefault="00B043E8" w:rsidP="00433442">
            <w:pPr>
              <w:pStyle w:val="TableColHeadingCenter"/>
              <w:spacing w:before="10" w:after="10"/>
            </w:pPr>
            <w:r w:rsidRPr="00900ADE">
              <w:t>Group</w:t>
            </w:r>
          </w:p>
        </w:tc>
        <w:tc>
          <w:tcPr>
            <w:tcW w:w="340" w:type="pct"/>
            <w:vAlign w:val="center"/>
          </w:tcPr>
          <w:p w14:paraId="4113DD6E" w14:textId="15E0CEA6" w:rsidR="00B043E8" w:rsidRPr="00900ADE" w:rsidRDefault="00B043E8" w:rsidP="00433442">
            <w:pPr>
              <w:pStyle w:val="TableColHeadingCenter"/>
              <w:spacing w:before="10" w:after="10"/>
            </w:pPr>
            <w:r w:rsidRPr="00900ADE">
              <w:t xml:space="preserve"># </w:t>
            </w:r>
            <w:r w:rsidR="00CD7EAE" w:rsidRPr="00900ADE">
              <w:t>i</w:t>
            </w:r>
            <w:r w:rsidRPr="00900ADE">
              <w:t>ncluded (2024)</w:t>
            </w:r>
          </w:p>
        </w:tc>
        <w:tc>
          <w:tcPr>
            <w:tcW w:w="298" w:type="pct"/>
            <w:vAlign w:val="center"/>
          </w:tcPr>
          <w:p w14:paraId="32228FF7" w14:textId="77777777" w:rsidR="00B043E8" w:rsidRPr="00900ADE" w:rsidRDefault="00B043E8" w:rsidP="00433442">
            <w:pPr>
              <w:pStyle w:val="TableColHeadingCenter"/>
              <w:spacing w:before="10" w:after="10"/>
            </w:pPr>
            <w:r w:rsidRPr="00900ADE">
              <w:t>% M/E 2022</w:t>
            </w:r>
          </w:p>
        </w:tc>
        <w:tc>
          <w:tcPr>
            <w:tcW w:w="298" w:type="pct"/>
            <w:vAlign w:val="center"/>
          </w:tcPr>
          <w:p w14:paraId="72F9C9C0" w14:textId="77777777" w:rsidR="00B043E8" w:rsidRPr="00900ADE" w:rsidRDefault="00B043E8" w:rsidP="00433442">
            <w:pPr>
              <w:pStyle w:val="TableColHeadingCenter"/>
              <w:spacing w:before="10" w:after="10"/>
            </w:pPr>
            <w:r w:rsidRPr="00900ADE">
              <w:t>% M/E 2023</w:t>
            </w:r>
          </w:p>
        </w:tc>
        <w:tc>
          <w:tcPr>
            <w:tcW w:w="298" w:type="pct"/>
            <w:vAlign w:val="center"/>
          </w:tcPr>
          <w:p w14:paraId="73BDAE7A" w14:textId="77777777" w:rsidR="00B043E8" w:rsidRPr="00900ADE" w:rsidRDefault="00B043E8" w:rsidP="00433442">
            <w:pPr>
              <w:pStyle w:val="TableColHeadingCenter"/>
              <w:spacing w:before="10" w:after="10"/>
            </w:pPr>
            <w:r w:rsidRPr="00900ADE">
              <w:t>% M/E 2024</w:t>
            </w:r>
          </w:p>
        </w:tc>
        <w:tc>
          <w:tcPr>
            <w:tcW w:w="298" w:type="pct"/>
            <w:vAlign w:val="center"/>
          </w:tcPr>
          <w:p w14:paraId="4EDB7588" w14:textId="2C01DDDE" w:rsidR="00B043E8" w:rsidRPr="00900ADE" w:rsidRDefault="00B043E8" w:rsidP="00433442">
            <w:pPr>
              <w:pStyle w:val="TableColHeadingCenter"/>
              <w:spacing w:before="10" w:after="10"/>
            </w:pPr>
            <w:r w:rsidRPr="00900ADE">
              <w:t xml:space="preserve">% M/E 2024 </w:t>
            </w:r>
            <w:r w:rsidR="006E5EAB">
              <w:t>S</w:t>
            </w:r>
            <w:r w:rsidRPr="00900ADE">
              <w:t>tate</w:t>
            </w:r>
          </w:p>
        </w:tc>
        <w:tc>
          <w:tcPr>
            <w:tcW w:w="298" w:type="pct"/>
            <w:vAlign w:val="center"/>
          </w:tcPr>
          <w:p w14:paraId="5438BBF2" w14:textId="77777777" w:rsidR="00B043E8" w:rsidRPr="00900ADE" w:rsidRDefault="00B043E8" w:rsidP="00433442">
            <w:pPr>
              <w:pStyle w:val="TableColHeadingCenter"/>
              <w:spacing w:before="10" w:after="10"/>
            </w:pPr>
            <w:r w:rsidRPr="00900ADE">
              <w:t>% PME 2022</w:t>
            </w:r>
          </w:p>
        </w:tc>
        <w:tc>
          <w:tcPr>
            <w:tcW w:w="298" w:type="pct"/>
            <w:vAlign w:val="center"/>
          </w:tcPr>
          <w:p w14:paraId="1F8F0F14" w14:textId="77777777" w:rsidR="00B043E8" w:rsidRPr="00900ADE" w:rsidRDefault="00B043E8" w:rsidP="00433442">
            <w:pPr>
              <w:pStyle w:val="TableColHeadingCenter"/>
              <w:spacing w:before="10" w:after="10"/>
            </w:pPr>
            <w:r w:rsidRPr="00900ADE">
              <w:t>% PME 2023</w:t>
            </w:r>
          </w:p>
        </w:tc>
        <w:tc>
          <w:tcPr>
            <w:tcW w:w="298" w:type="pct"/>
            <w:vAlign w:val="center"/>
          </w:tcPr>
          <w:p w14:paraId="4E4235C7" w14:textId="77777777" w:rsidR="00B043E8" w:rsidRPr="00900ADE" w:rsidRDefault="00B043E8" w:rsidP="00433442">
            <w:pPr>
              <w:pStyle w:val="TableColHeadingCenter"/>
              <w:spacing w:before="10" w:after="10"/>
            </w:pPr>
            <w:r w:rsidRPr="00900ADE">
              <w:t>% PME 2024</w:t>
            </w:r>
          </w:p>
        </w:tc>
        <w:tc>
          <w:tcPr>
            <w:tcW w:w="298" w:type="pct"/>
            <w:vAlign w:val="center"/>
          </w:tcPr>
          <w:p w14:paraId="5D15E005" w14:textId="0CC7ADEB" w:rsidR="00B043E8" w:rsidRPr="00900ADE" w:rsidRDefault="00B043E8" w:rsidP="00433442">
            <w:pPr>
              <w:pStyle w:val="TableColHeadingCenter"/>
              <w:spacing w:before="10" w:after="10"/>
            </w:pPr>
            <w:r w:rsidRPr="00900ADE">
              <w:t xml:space="preserve">% PME 2024 </w:t>
            </w:r>
            <w:r w:rsidR="006E5EAB">
              <w:t>S</w:t>
            </w:r>
            <w:r w:rsidRPr="00900ADE">
              <w:t>tate</w:t>
            </w:r>
          </w:p>
        </w:tc>
        <w:tc>
          <w:tcPr>
            <w:tcW w:w="298" w:type="pct"/>
            <w:vAlign w:val="center"/>
          </w:tcPr>
          <w:p w14:paraId="2B3FF9A8" w14:textId="77777777" w:rsidR="00B043E8" w:rsidRPr="00900ADE" w:rsidRDefault="00B043E8" w:rsidP="00433442">
            <w:pPr>
              <w:pStyle w:val="TableColHeadingCenter"/>
              <w:spacing w:before="10" w:after="10"/>
            </w:pPr>
            <w:r w:rsidRPr="00900ADE">
              <w:t>% NM 2022</w:t>
            </w:r>
          </w:p>
        </w:tc>
        <w:tc>
          <w:tcPr>
            <w:tcW w:w="298" w:type="pct"/>
            <w:vAlign w:val="center"/>
          </w:tcPr>
          <w:p w14:paraId="505973B4" w14:textId="77777777" w:rsidR="00B043E8" w:rsidRPr="00900ADE" w:rsidRDefault="00B043E8" w:rsidP="00433442">
            <w:pPr>
              <w:pStyle w:val="TableColHeadingCenter"/>
              <w:spacing w:before="10" w:after="10"/>
            </w:pPr>
            <w:r w:rsidRPr="00900ADE">
              <w:t>% NM 2023</w:t>
            </w:r>
          </w:p>
        </w:tc>
        <w:tc>
          <w:tcPr>
            <w:tcW w:w="298" w:type="pct"/>
            <w:vAlign w:val="center"/>
          </w:tcPr>
          <w:p w14:paraId="12B899C8" w14:textId="77777777" w:rsidR="00B043E8" w:rsidRPr="00900ADE" w:rsidRDefault="00B043E8" w:rsidP="00433442">
            <w:pPr>
              <w:pStyle w:val="TableColHeadingCenter"/>
              <w:spacing w:before="10" w:after="10"/>
            </w:pPr>
            <w:r w:rsidRPr="00900ADE">
              <w:t>% NM 2024</w:t>
            </w:r>
          </w:p>
        </w:tc>
        <w:tc>
          <w:tcPr>
            <w:tcW w:w="295" w:type="pct"/>
            <w:vAlign w:val="center"/>
          </w:tcPr>
          <w:p w14:paraId="4EF05BE1" w14:textId="40E409C0" w:rsidR="00B043E8" w:rsidRPr="00900ADE" w:rsidRDefault="00B043E8" w:rsidP="00433442">
            <w:pPr>
              <w:pStyle w:val="TableColHeadingCenter"/>
              <w:spacing w:before="10" w:after="10"/>
            </w:pPr>
            <w:r w:rsidRPr="00900ADE">
              <w:t xml:space="preserve">% NM 2024 </w:t>
            </w:r>
            <w:r w:rsidR="006E5EAB">
              <w:t>S</w:t>
            </w:r>
            <w:r w:rsidRPr="00900ADE">
              <w:t>tate</w:t>
            </w:r>
          </w:p>
        </w:tc>
      </w:tr>
      <w:tr w:rsidR="00433442" w:rsidRPr="00900ADE" w14:paraId="2EDD9073"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B1D7589"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All</w:t>
            </w:r>
          </w:p>
        </w:tc>
        <w:tc>
          <w:tcPr>
            <w:tcW w:w="340" w:type="pct"/>
          </w:tcPr>
          <w:p w14:paraId="7432E9C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344</w:t>
            </w:r>
          </w:p>
        </w:tc>
        <w:tc>
          <w:tcPr>
            <w:tcW w:w="298" w:type="pct"/>
          </w:tcPr>
          <w:p w14:paraId="60403FE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60</w:t>
            </w:r>
          </w:p>
        </w:tc>
        <w:tc>
          <w:tcPr>
            <w:tcW w:w="298" w:type="pct"/>
          </w:tcPr>
          <w:p w14:paraId="1BE15B0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54</w:t>
            </w:r>
          </w:p>
        </w:tc>
        <w:tc>
          <w:tcPr>
            <w:tcW w:w="298" w:type="pct"/>
          </w:tcPr>
          <w:p w14:paraId="2F6D5BD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60</w:t>
            </w:r>
          </w:p>
        </w:tc>
        <w:tc>
          <w:tcPr>
            <w:tcW w:w="298" w:type="pct"/>
          </w:tcPr>
          <w:p w14:paraId="1169AB4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42</w:t>
            </w:r>
          </w:p>
        </w:tc>
        <w:tc>
          <w:tcPr>
            <w:tcW w:w="298" w:type="pct"/>
          </w:tcPr>
          <w:p w14:paraId="1DDC06D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35</w:t>
            </w:r>
          </w:p>
        </w:tc>
        <w:tc>
          <w:tcPr>
            <w:tcW w:w="298" w:type="pct"/>
          </w:tcPr>
          <w:p w14:paraId="1CFFA70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16B846A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c>
          <w:tcPr>
            <w:tcW w:w="298" w:type="pct"/>
          </w:tcPr>
          <w:p w14:paraId="367A956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17C3A25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c>
          <w:tcPr>
            <w:tcW w:w="298" w:type="pct"/>
          </w:tcPr>
          <w:p w14:paraId="47377D0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c>
          <w:tcPr>
            <w:tcW w:w="298" w:type="pct"/>
          </w:tcPr>
          <w:p w14:paraId="36C37F4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w:t>
            </w:r>
          </w:p>
        </w:tc>
        <w:tc>
          <w:tcPr>
            <w:tcW w:w="295" w:type="pct"/>
          </w:tcPr>
          <w:p w14:paraId="04F7BB6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r>
      <w:tr w:rsidR="00B043E8" w:rsidRPr="00900ADE" w14:paraId="5809B726" w14:textId="77777777" w:rsidTr="00517B62">
        <w:trPr>
          <w:jc w:val="center"/>
        </w:trPr>
        <w:tc>
          <w:tcPr>
            <w:tcW w:w="1087" w:type="pct"/>
          </w:tcPr>
          <w:p w14:paraId="04FB5570"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African American/Black</w:t>
            </w:r>
          </w:p>
        </w:tc>
        <w:tc>
          <w:tcPr>
            <w:tcW w:w="340" w:type="pct"/>
          </w:tcPr>
          <w:p w14:paraId="39094C0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w:t>
            </w:r>
          </w:p>
        </w:tc>
        <w:tc>
          <w:tcPr>
            <w:tcW w:w="298" w:type="pct"/>
          </w:tcPr>
          <w:p w14:paraId="34B5A38C" w14:textId="36FEEF6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74FFBE4" w14:textId="6D33C2B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27F1EFD" w14:textId="75C3024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1D49C7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c>
          <w:tcPr>
            <w:tcW w:w="298" w:type="pct"/>
          </w:tcPr>
          <w:p w14:paraId="44843350" w14:textId="553B8FB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EB15DFB" w14:textId="69067B8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56F1877" w14:textId="38BD245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20A3C2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46</w:t>
            </w:r>
          </w:p>
        </w:tc>
        <w:tc>
          <w:tcPr>
            <w:tcW w:w="298" w:type="pct"/>
          </w:tcPr>
          <w:p w14:paraId="3DB1D951" w14:textId="4B28BA1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AEAC0A8" w14:textId="74789218"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AEDCAC4" w14:textId="50899F5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1F88A40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r>
      <w:tr w:rsidR="00433442" w:rsidRPr="00900ADE" w14:paraId="2B570114"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7C40A65"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Asian</w:t>
            </w:r>
          </w:p>
        </w:tc>
        <w:tc>
          <w:tcPr>
            <w:tcW w:w="340" w:type="pct"/>
          </w:tcPr>
          <w:p w14:paraId="06CF732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17</w:t>
            </w:r>
          </w:p>
        </w:tc>
        <w:tc>
          <w:tcPr>
            <w:tcW w:w="298" w:type="pct"/>
          </w:tcPr>
          <w:p w14:paraId="5F8143F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92</w:t>
            </w:r>
          </w:p>
        </w:tc>
        <w:tc>
          <w:tcPr>
            <w:tcW w:w="298" w:type="pct"/>
          </w:tcPr>
          <w:p w14:paraId="7D18EEF5" w14:textId="4AB20FB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0942ED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88</w:t>
            </w:r>
          </w:p>
        </w:tc>
        <w:tc>
          <w:tcPr>
            <w:tcW w:w="298" w:type="pct"/>
          </w:tcPr>
          <w:p w14:paraId="0FD6592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64</w:t>
            </w:r>
          </w:p>
        </w:tc>
        <w:tc>
          <w:tcPr>
            <w:tcW w:w="298" w:type="pct"/>
          </w:tcPr>
          <w:p w14:paraId="2D2725F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w:t>
            </w:r>
          </w:p>
        </w:tc>
        <w:tc>
          <w:tcPr>
            <w:tcW w:w="298" w:type="pct"/>
          </w:tcPr>
          <w:p w14:paraId="51E7D3FC" w14:textId="2C10B94B"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5BC5C4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w:t>
            </w:r>
          </w:p>
        </w:tc>
        <w:tc>
          <w:tcPr>
            <w:tcW w:w="298" w:type="pct"/>
          </w:tcPr>
          <w:p w14:paraId="662D526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73BE48B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0</w:t>
            </w:r>
          </w:p>
        </w:tc>
        <w:tc>
          <w:tcPr>
            <w:tcW w:w="298" w:type="pct"/>
          </w:tcPr>
          <w:p w14:paraId="65F8DA37" w14:textId="18A12A5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6D8574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w:t>
            </w:r>
          </w:p>
        </w:tc>
        <w:tc>
          <w:tcPr>
            <w:tcW w:w="295" w:type="pct"/>
          </w:tcPr>
          <w:p w14:paraId="049A37B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9</w:t>
            </w:r>
          </w:p>
        </w:tc>
      </w:tr>
      <w:tr w:rsidR="00B043E8" w:rsidRPr="00900ADE" w14:paraId="07313427" w14:textId="77777777" w:rsidTr="00517B62">
        <w:trPr>
          <w:jc w:val="center"/>
        </w:trPr>
        <w:tc>
          <w:tcPr>
            <w:tcW w:w="1087" w:type="pct"/>
          </w:tcPr>
          <w:p w14:paraId="43D12133"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Hispanic/Latino</w:t>
            </w:r>
          </w:p>
        </w:tc>
        <w:tc>
          <w:tcPr>
            <w:tcW w:w="340" w:type="pct"/>
          </w:tcPr>
          <w:p w14:paraId="48F37F9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24</w:t>
            </w:r>
          </w:p>
        </w:tc>
        <w:tc>
          <w:tcPr>
            <w:tcW w:w="298" w:type="pct"/>
          </w:tcPr>
          <w:p w14:paraId="40718F9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5F9DF98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c>
          <w:tcPr>
            <w:tcW w:w="298" w:type="pct"/>
          </w:tcPr>
          <w:p w14:paraId="4A7B9FC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46</w:t>
            </w:r>
          </w:p>
        </w:tc>
        <w:tc>
          <w:tcPr>
            <w:tcW w:w="298" w:type="pct"/>
          </w:tcPr>
          <w:p w14:paraId="03ADF51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c>
          <w:tcPr>
            <w:tcW w:w="298" w:type="pct"/>
          </w:tcPr>
          <w:p w14:paraId="43A0D5C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46</w:t>
            </w:r>
          </w:p>
        </w:tc>
        <w:tc>
          <w:tcPr>
            <w:tcW w:w="298" w:type="pct"/>
          </w:tcPr>
          <w:p w14:paraId="0C367D1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216921D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29</w:t>
            </w:r>
          </w:p>
        </w:tc>
        <w:tc>
          <w:tcPr>
            <w:tcW w:w="298" w:type="pct"/>
          </w:tcPr>
          <w:p w14:paraId="5942EF3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43</w:t>
            </w:r>
          </w:p>
        </w:tc>
        <w:tc>
          <w:tcPr>
            <w:tcW w:w="298" w:type="pct"/>
          </w:tcPr>
          <w:p w14:paraId="77E01C3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w:t>
            </w:r>
          </w:p>
        </w:tc>
        <w:tc>
          <w:tcPr>
            <w:tcW w:w="298" w:type="pct"/>
          </w:tcPr>
          <w:p w14:paraId="6BA696B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30</w:t>
            </w:r>
          </w:p>
        </w:tc>
        <w:tc>
          <w:tcPr>
            <w:tcW w:w="298" w:type="pct"/>
          </w:tcPr>
          <w:p w14:paraId="70F18BC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5" w:type="pct"/>
          </w:tcPr>
          <w:p w14:paraId="7D8C374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r>
      <w:tr w:rsidR="00433442" w:rsidRPr="00900ADE" w14:paraId="3B9A56EC"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5AA66CE"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cstheme="minorHAnsi"/>
                <w:spacing w:val="-4"/>
              </w:rPr>
              <w:t>Multi-Race, non-Hispanic/Latino</w:t>
            </w:r>
          </w:p>
        </w:tc>
        <w:tc>
          <w:tcPr>
            <w:tcW w:w="340" w:type="pct"/>
          </w:tcPr>
          <w:p w14:paraId="7536ADD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w:t>
            </w:r>
          </w:p>
        </w:tc>
        <w:tc>
          <w:tcPr>
            <w:tcW w:w="298" w:type="pct"/>
          </w:tcPr>
          <w:p w14:paraId="4DB93753" w14:textId="79E333D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58C59F8" w14:textId="1C49655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46471BD" w14:textId="46C1ECD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C6C0FB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49</w:t>
            </w:r>
          </w:p>
        </w:tc>
        <w:tc>
          <w:tcPr>
            <w:tcW w:w="298" w:type="pct"/>
          </w:tcPr>
          <w:p w14:paraId="78A2BD55" w14:textId="18A8927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6466363" w14:textId="16085B5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55F8A09" w14:textId="59A5E11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D3F302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c>
          <w:tcPr>
            <w:tcW w:w="298" w:type="pct"/>
          </w:tcPr>
          <w:p w14:paraId="5C27C49A" w14:textId="4BB9152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CAE1FC2" w14:textId="166E802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F05512F" w14:textId="2836DDA4"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4A084DB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17</w:t>
            </w:r>
          </w:p>
        </w:tc>
      </w:tr>
      <w:tr w:rsidR="00B043E8" w:rsidRPr="00900ADE" w14:paraId="6AD4FDDE" w14:textId="77777777" w:rsidTr="00517B62">
        <w:trPr>
          <w:jc w:val="center"/>
        </w:trPr>
        <w:tc>
          <w:tcPr>
            <w:tcW w:w="1087" w:type="pct"/>
          </w:tcPr>
          <w:p w14:paraId="2B0575BA"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Native American</w:t>
            </w:r>
          </w:p>
        </w:tc>
        <w:tc>
          <w:tcPr>
            <w:tcW w:w="340" w:type="pct"/>
          </w:tcPr>
          <w:p w14:paraId="0B8219D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w:t>
            </w:r>
          </w:p>
        </w:tc>
        <w:tc>
          <w:tcPr>
            <w:tcW w:w="298" w:type="pct"/>
          </w:tcPr>
          <w:p w14:paraId="19253813" w14:textId="5BE19A0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3E4FFE0" w14:textId="78DE898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3391F73" w14:textId="0C500154"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17847E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7E6B73E8" w14:textId="744FA6F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B4A894F" w14:textId="2EC62FF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5829501" w14:textId="042A307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D9B4A9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43</w:t>
            </w:r>
          </w:p>
        </w:tc>
        <w:tc>
          <w:tcPr>
            <w:tcW w:w="298" w:type="pct"/>
          </w:tcPr>
          <w:p w14:paraId="39885240" w14:textId="6191AE4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DC83638" w14:textId="2CD8A9D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4D4DB6F" w14:textId="0EF8B69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34F30A0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32</w:t>
            </w:r>
          </w:p>
        </w:tc>
      </w:tr>
      <w:tr w:rsidR="00433442" w:rsidRPr="00900ADE" w14:paraId="610C532D"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81C1E7F"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Native Hawaiian, Pacific Islander</w:t>
            </w:r>
          </w:p>
        </w:tc>
        <w:tc>
          <w:tcPr>
            <w:tcW w:w="340" w:type="pct"/>
          </w:tcPr>
          <w:p w14:paraId="39CA908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w:t>
            </w:r>
          </w:p>
        </w:tc>
        <w:tc>
          <w:tcPr>
            <w:tcW w:w="298" w:type="pct"/>
          </w:tcPr>
          <w:p w14:paraId="2B177332" w14:textId="768065C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DAB0B13" w14:textId="36CDC80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5D49D6F" w14:textId="0F809AA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8A89AB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43</w:t>
            </w:r>
          </w:p>
        </w:tc>
        <w:tc>
          <w:tcPr>
            <w:tcW w:w="298" w:type="pct"/>
          </w:tcPr>
          <w:p w14:paraId="674548AF" w14:textId="53B8C84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8023D5C" w14:textId="72E88264"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8F8DFD1" w14:textId="5CDF296B"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EAF364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c>
          <w:tcPr>
            <w:tcW w:w="298" w:type="pct"/>
          </w:tcPr>
          <w:p w14:paraId="62C159F1" w14:textId="7844C7B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EA455D5" w14:textId="01AE62CB"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17D99B4" w14:textId="1A10B8E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7A7E799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r>
      <w:tr w:rsidR="00B043E8" w:rsidRPr="00900ADE" w14:paraId="73F95DDC" w14:textId="77777777" w:rsidTr="00517B62">
        <w:trPr>
          <w:jc w:val="center"/>
        </w:trPr>
        <w:tc>
          <w:tcPr>
            <w:tcW w:w="1087" w:type="pct"/>
          </w:tcPr>
          <w:p w14:paraId="30DFC8C7"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White</w:t>
            </w:r>
          </w:p>
        </w:tc>
        <w:tc>
          <w:tcPr>
            <w:tcW w:w="340" w:type="pct"/>
          </w:tcPr>
          <w:p w14:paraId="1426558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287</w:t>
            </w:r>
          </w:p>
        </w:tc>
        <w:tc>
          <w:tcPr>
            <w:tcW w:w="298" w:type="pct"/>
          </w:tcPr>
          <w:p w14:paraId="1DAD0B9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58</w:t>
            </w:r>
          </w:p>
        </w:tc>
        <w:tc>
          <w:tcPr>
            <w:tcW w:w="298" w:type="pct"/>
          </w:tcPr>
          <w:p w14:paraId="12A1917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56</w:t>
            </w:r>
          </w:p>
        </w:tc>
        <w:tc>
          <w:tcPr>
            <w:tcW w:w="298" w:type="pct"/>
          </w:tcPr>
          <w:p w14:paraId="5B57641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61</w:t>
            </w:r>
          </w:p>
        </w:tc>
        <w:tc>
          <w:tcPr>
            <w:tcW w:w="298" w:type="pct"/>
          </w:tcPr>
          <w:p w14:paraId="42A8A87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51</w:t>
            </w:r>
          </w:p>
        </w:tc>
        <w:tc>
          <w:tcPr>
            <w:tcW w:w="298" w:type="pct"/>
          </w:tcPr>
          <w:p w14:paraId="5B53C7B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3821228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6A3567B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c>
          <w:tcPr>
            <w:tcW w:w="298" w:type="pct"/>
          </w:tcPr>
          <w:p w14:paraId="1DD96BF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390FC65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w:t>
            </w:r>
          </w:p>
        </w:tc>
        <w:tc>
          <w:tcPr>
            <w:tcW w:w="298" w:type="pct"/>
          </w:tcPr>
          <w:p w14:paraId="2D37ADE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w:t>
            </w:r>
          </w:p>
        </w:tc>
        <w:tc>
          <w:tcPr>
            <w:tcW w:w="298" w:type="pct"/>
          </w:tcPr>
          <w:p w14:paraId="4C172B4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c>
          <w:tcPr>
            <w:tcW w:w="295" w:type="pct"/>
          </w:tcPr>
          <w:p w14:paraId="2FE4B4D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12</w:t>
            </w:r>
          </w:p>
        </w:tc>
      </w:tr>
      <w:tr w:rsidR="00433442" w:rsidRPr="00900ADE" w14:paraId="08B5D789"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092BA02" w14:textId="5169F4F6"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 xml:space="preserve">High </w:t>
            </w:r>
            <w:r w:rsidR="00A64AA7">
              <w:rPr>
                <w:rFonts w:ascii="Franklin Gothic Book" w:hAnsi="Franklin Gothic Book"/>
                <w:spacing w:val="-4"/>
              </w:rPr>
              <w:t>n</w:t>
            </w:r>
            <w:r w:rsidRPr="00900ADE">
              <w:rPr>
                <w:rFonts w:ascii="Franklin Gothic Book" w:hAnsi="Franklin Gothic Book"/>
                <w:spacing w:val="-4"/>
              </w:rPr>
              <w:t>eeds</w:t>
            </w:r>
          </w:p>
        </w:tc>
        <w:tc>
          <w:tcPr>
            <w:tcW w:w="340" w:type="pct"/>
          </w:tcPr>
          <w:p w14:paraId="57F6A69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110</w:t>
            </w:r>
          </w:p>
        </w:tc>
        <w:tc>
          <w:tcPr>
            <w:tcW w:w="298" w:type="pct"/>
          </w:tcPr>
          <w:p w14:paraId="2C61836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c>
          <w:tcPr>
            <w:tcW w:w="298" w:type="pct"/>
          </w:tcPr>
          <w:p w14:paraId="33FA3DF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22</w:t>
            </w:r>
          </w:p>
        </w:tc>
        <w:tc>
          <w:tcPr>
            <w:tcW w:w="298" w:type="pct"/>
          </w:tcPr>
          <w:p w14:paraId="2227EDC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35</w:t>
            </w:r>
          </w:p>
        </w:tc>
        <w:tc>
          <w:tcPr>
            <w:tcW w:w="298" w:type="pct"/>
          </w:tcPr>
          <w:p w14:paraId="70D96B8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24</w:t>
            </w:r>
          </w:p>
        </w:tc>
        <w:tc>
          <w:tcPr>
            <w:tcW w:w="298" w:type="pct"/>
          </w:tcPr>
          <w:p w14:paraId="5FFE95B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53</w:t>
            </w:r>
          </w:p>
        </w:tc>
        <w:tc>
          <w:tcPr>
            <w:tcW w:w="298" w:type="pct"/>
          </w:tcPr>
          <w:p w14:paraId="44C1B97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56F5B27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2ACD93E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44</w:t>
            </w:r>
          </w:p>
        </w:tc>
        <w:tc>
          <w:tcPr>
            <w:tcW w:w="298" w:type="pct"/>
          </w:tcPr>
          <w:p w14:paraId="2BB079C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14</w:t>
            </w:r>
          </w:p>
        </w:tc>
        <w:tc>
          <w:tcPr>
            <w:tcW w:w="298" w:type="pct"/>
          </w:tcPr>
          <w:p w14:paraId="2C3CDE9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8" w:type="pct"/>
          </w:tcPr>
          <w:p w14:paraId="36337CF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15</w:t>
            </w:r>
          </w:p>
        </w:tc>
        <w:tc>
          <w:tcPr>
            <w:tcW w:w="295" w:type="pct"/>
          </w:tcPr>
          <w:p w14:paraId="704E58E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32</w:t>
            </w:r>
          </w:p>
        </w:tc>
      </w:tr>
      <w:tr w:rsidR="00B043E8" w:rsidRPr="00900ADE" w14:paraId="3B43B1B5" w14:textId="77777777" w:rsidTr="00517B62">
        <w:trPr>
          <w:jc w:val="center"/>
        </w:trPr>
        <w:tc>
          <w:tcPr>
            <w:tcW w:w="1087" w:type="pct"/>
          </w:tcPr>
          <w:p w14:paraId="431A6408"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Low income</w:t>
            </w:r>
          </w:p>
        </w:tc>
        <w:tc>
          <w:tcPr>
            <w:tcW w:w="340" w:type="pct"/>
          </w:tcPr>
          <w:p w14:paraId="667C68C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57</w:t>
            </w:r>
          </w:p>
        </w:tc>
        <w:tc>
          <w:tcPr>
            <w:tcW w:w="298" w:type="pct"/>
          </w:tcPr>
          <w:p w14:paraId="4DCBE33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37</w:t>
            </w:r>
          </w:p>
        </w:tc>
        <w:tc>
          <w:tcPr>
            <w:tcW w:w="298" w:type="pct"/>
          </w:tcPr>
          <w:p w14:paraId="21D8C82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23</w:t>
            </w:r>
          </w:p>
        </w:tc>
        <w:tc>
          <w:tcPr>
            <w:tcW w:w="298" w:type="pct"/>
          </w:tcPr>
          <w:p w14:paraId="1482DD0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30</w:t>
            </w:r>
          </w:p>
        </w:tc>
        <w:tc>
          <w:tcPr>
            <w:tcW w:w="298" w:type="pct"/>
          </w:tcPr>
          <w:p w14:paraId="7B66281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22</w:t>
            </w:r>
          </w:p>
        </w:tc>
        <w:tc>
          <w:tcPr>
            <w:tcW w:w="298" w:type="pct"/>
          </w:tcPr>
          <w:p w14:paraId="191DC0D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257AFB8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43</w:t>
            </w:r>
          </w:p>
        </w:tc>
        <w:tc>
          <w:tcPr>
            <w:tcW w:w="298" w:type="pct"/>
          </w:tcPr>
          <w:p w14:paraId="7A0F34B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53</w:t>
            </w:r>
          </w:p>
        </w:tc>
        <w:tc>
          <w:tcPr>
            <w:tcW w:w="298" w:type="pct"/>
          </w:tcPr>
          <w:p w14:paraId="34663AC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44</w:t>
            </w:r>
          </w:p>
        </w:tc>
        <w:tc>
          <w:tcPr>
            <w:tcW w:w="298" w:type="pct"/>
          </w:tcPr>
          <w:p w14:paraId="50EAC11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11</w:t>
            </w:r>
          </w:p>
        </w:tc>
        <w:tc>
          <w:tcPr>
            <w:tcW w:w="298" w:type="pct"/>
          </w:tcPr>
          <w:p w14:paraId="58FE311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c>
          <w:tcPr>
            <w:tcW w:w="298" w:type="pct"/>
          </w:tcPr>
          <w:p w14:paraId="2AAD75B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w:t>
            </w:r>
          </w:p>
        </w:tc>
        <w:tc>
          <w:tcPr>
            <w:tcW w:w="295" w:type="pct"/>
          </w:tcPr>
          <w:p w14:paraId="5B893F0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34</w:t>
            </w:r>
          </w:p>
        </w:tc>
      </w:tr>
      <w:tr w:rsidR="00433442" w:rsidRPr="00900ADE" w14:paraId="5D1B88EE"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F052F24"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ELs and former ELs</w:t>
            </w:r>
          </w:p>
        </w:tc>
        <w:tc>
          <w:tcPr>
            <w:tcW w:w="340" w:type="pct"/>
          </w:tcPr>
          <w:p w14:paraId="74EE4F5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24</w:t>
            </w:r>
          </w:p>
        </w:tc>
        <w:tc>
          <w:tcPr>
            <w:tcW w:w="298" w:type="pct"/>
          </w:tcPr>
          <w:p w14:paraId="7567BA7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27684D1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w:t>
            </w:r>
          </w:p>
        </w:tc>
        <w:tc>
          <w:tcPr>
            <w:tcW w:w="298" w:type="pct"/>
          </w:tcPr>
          <w:p w14:paraId="6762C65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42</w:t>
            </w:r>
          </w:p>
        </w:tc>
        <w:tc>
          <w:tcPr>
            <w:tcW w:w="298" w:type="pct"/>
          </w:tcPr>
          <w:p w14:paraId="536101E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17</w:t>
            </w:r>
          </w:p>
        </w:tc>
        <w:tc>
          <w:tcPr>
            <w:tcW w:w="298" w:type="pct"/>
          </w:tcPr>
          <w:p w14:paraId="4B91E6A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45</w:t>
            </w:r>
          </w:p>
        </w:tc>
        <w:tc>
          <w:tcPr>
            <w:tcW w:w="298" w:type="pct"/>
          </w:tcPr>
          <w:p w14:paraId="3749C32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23D04AA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08CD4F0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41</w:t>
            </w:r>
          </w:p>
        </w:tc>
        <w:tc>
          <w:tcPr>
            <w:tcW w:w="298" w:type="pct"/>
          </w:tcPr>
          <w:p w14:paraId="475C746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w:t>
            </w:r>
          </w:p>
        </w:tc>
        <w:tc>
          <w:tcPr>
            <w:tcW w:w="298" w:type="pct"/>
          </w:tcPr>
          <w:p w14:paraId="40EACFF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45</w:t>
            </w:r>
          </w:p>
        </w:tc>
        <w:tc>
          <w:tcPr>
            <w:tcW w:w="298" w:type="pct"/>
          </w:tcPr>
          <w:p w14:paraId="0B38045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c>
          <w:tcPr>
            <w:tcW w:w="295" w:type="pct"/>
          </w:tcPr>
          <w:p w14:paraId="7F0AD1B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42</w:t>
            </w:r>
          </w:p>
        </w:tc>
      </w:tr>
      <w:tr w:rsidR="00B043E8" w:rsidRPr="00900ADE" w14:paraId="2B4BCFDA" w14:textId="77777777" w:rsidTr="00517B62">
        <w:trPr>
          <w:jc w:val="center"/>
        </w:trPr>
        <w:tc>
          <w:tcPr>
            <w:tcW w:w="1087" w:type="pct"/>
          </w:tcPr>
          <w:p w14:paraId="046108A0"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Students w/disabilities</w:t>
            </w:r>
          </w:p>
        </w:tc>
        <w:tc>
          <w:tcPr>
            <w:tcW w:w="340" w:type="pct"/>
          </w:tcPr>
          <w:p w14:paraId="1994A6C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62</w:t>
            </w:r>
          </w:p>
        </w:tc>
        <w:tc>
          <w:tcPr>
            <w:tcW w:w="298" w:type="pct"/>
          </w:tcPr>
          <w:p w14:paraId="76CE490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c>
          <w:tcPr>
            <w:tcW w:w="298" w:type="pct"/>
          </w:tcPr>
          <w:p w14:paraId="62D36DB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13</w:t>
            </w:r>
          </w:p>
        </w:tc>
        <w:tc>
          <w:tcPr>
            <w:tcW w:w="298" w:type="pct"/>
          </w:tcPr>
          <w:p w14:paraId="6426363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27</w:t>
            </w:r>
          </w:p>
        </w:tc>
        <w:tc>
          <w:tcPr>
            <w:tcW w:w="298" w:type="pct"/>
          </w:tcPr>
          <w:p w14:paraId="28F9CEA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15</w:t>
            </w:r>
          </w:p>
        </w:tc>
        <w:tc>
          <w:tcPr>
            <w:tcW w:w="298" w:type="pct"/>
          </w:tcPr>
          <w:p w14:paraId="127A39E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55</w:t>
            </w:r>
          </w:p>
        </w:tc>
        <w:tc>
          <w:tcPr>
            <w:tcW w:w="298" w:type="pct"/>
          </w:tcPr>
          <w:p w14:paraId="760D480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55</w:t>
            </w:r>
          </w:p>
        </w:tc>
        <w:tc>
          <w:tcPr>
            <w:tcW w:w="298" w:type="pct"/>
          </w:tcPr>
          <w:p w14:paraId="7692572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55</w:t>
            </w:r>
          </w:p>
        </w:tc>
        <w:tc>
          <w:tcPr>
            <w:tcW w:w="298" w:type="pct"/>
          </w:tcPr>
          <w:p w14:paraId="6726DFD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596719F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8" w:type="pct"/>
          </w:tcPr>
          <w:p w14:paraId="635D170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32</w:t>
            </w:r>
          </w:p>
        </w:tc>
        <w:tc>
          <w:tcPr>
            <w:tcW w:w="298" w:type="pct"/>
          </w:tcPr>
          <w:p w14:paraId="0548C3F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w:t>
            </w:r>
          </w:p>
        </w:tc>
        <w:tc>
          <w:tcPr>
            <w:tcW w:w="295" w:type="pct"/>
          </w:tcPr>
          <w:p w14:paraId="539236C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46</w:t>
            </w:r>
          </w:p>
        </w:tc>
      </w:tr>
    </w:tbl>
    <w:p w14:paraId="6C6DA84B" w14:textId="77777777" w:rsidR="00822854" w:rsidRPr="00900ADE" w:rsidRDefault="00822854" w:rsidP="00822854">
      <w:pPr>
        <w:pStyle w:val="FootnoteText"/>
        <w:spacing w:before="120"/>
      </w:pPr>
      <w:bookmarkStart w:id="206" w:name="_Toc196169618"/>
      <w:r w:rsidRPr="00900ADE">
        <w:rPr>
          <w:i/>
          <w:iCs/>
        </w:rPr>
        <w:t>Note</w:t>
      </w:r>
      <w:r w:rsidRPr="00900ADE">
        <w:t>. M/E = meeting or exceeding expectations; PME = partially meeting expectations; NM = not meeting expectations.</w:t>
      </w:r>
    </w:p>
    <w:p w14:paraId="1FF0CE02" w14:textId="77777777" w:rsidR="00B043E8" w:rsidRPr="00900ADE" w:rsidRDefault="00B043E8" w:rsidP="009B1A7E">
      <w:pPr>
        <w:pStyle w:val="TableETitle"/>
      </w:pPr>
      <w:r w:rsidRPr="00900ADE">
        <w:t>Table E6. MCAS Science Achievement by Student Group, Grade 10, 2022-2024</w:t>
      </w:r>
      <w:bookmarkEnd w:id="206"/>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433442" w:rsidRPr="00900ADE" w14:paraId="0FCA2636" w14:textId="77777777" w:rsidTr="00517B62">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741BF359" w14:textId="77777777" w:rsidR="00B043E8" w:rsidRPr="00900ADE" w:rsidRDefault="00B043E8" w:rsidP="00604748">
            <w:pPr>
              <w:pStyle w:val="TableColHeadingCenter"/>
              <w:spacing w:before="10" w:after="10"/>
            </w:pPr>
            <w:r w:rsidRPr="00900ADE">
              <w:t>Group</w:t>
            </w:r>
          </w:p>
        </w:tc>
        <w:tc>
          <w:tcPr>
            <w:tcW w:w="340" w:type="pct"/>
            <w:vAlign w:val="center"/>
          </w:tcPr>
          <w:p w14:paraId="6F538841" w14:textId="3B227F12" w:rsidR="00B043E8" w:rsidRPr="00900ADE" w:rsidRDefault="00B043E8" w:rsidP="00604748">
            <w:pPr>
              <w:pStyle w:val="TableColHeadingCenter"/>
              <w:spacing w:before="10" w:after="10"/>
            </w:pPr>
            <w:r w:rsidRPr="00900ADE">
              <w:t xml:space="preserve"># </w:t>
            </w:r>
            <w:r w:rsidR="00CD7EAE" w:rsidRPr="00900ADE">
              <w:t>i</w:t>
            </w:r>
            <w:r w:rsidRPr="00900ADE">
              <w:t>ncluded (2024)</w:t>
            </w:r>
          </w:p>
        </w:tc>
        <w:tc>
          <w:tcPr>
            <w:tcW w:w="298" w:type="pct"/>
            <w:vAlign w:val="center"/>
          </w:tcPr>
          <w:p w14:paraId="729F073E" w14:textId="77777777" w:rsidR="00B043E8" w:rsidRPr="00900ADE" w:rsidRDefault="00B043E8" w:rsidP="00604748">
            <w:pPr>
              <w:pStyle w:val="TableColHeadingCenter"/>
              <w:spacing w:before="10" w:after="10"/>
            </w:pPr>
            <w:r w:rsidRPr="00900ADE">
              <w:t>% M/E 2022</w:t>
            </w:r>
          </w:p>
        </w:tc>
        <w:tc>
          <w:tcPr>
            <w:tcW w:w="298" w:type="pct"/>
            <w:vAlign w:val="center"/>
          </w:tcPr>
          <w:p w14:paraId="59E5C970" w14:textId="77777777" w:rsidR="00B043E8" w:rsidRPr="00900ADE" w:rsidRDefault="00B043E8" w:rsidP="00604748">
            <w:pPr>
              <w:pStyle w:val="TableColHeadingCenter"/>
              <w:spacing w:before="10" w:after="10"/>
            </w:pPr>
            <w:r w:rsidRPr="00900ADE">
              <w:t>% M/E 2023</w:t>
            </w:r>
          </w:p>
        </w:tc>
        <w:tc>
          <w:tcPr>
            <w:tcW w:w="298" w:type="pct"/>
            <w:vAlign w:val="center"/>
          </w:tcPr>
          <w:p w14:paraId="5F6DA786" w14:textId="77777777" w:rsidR="00B043E8" w:rsidRPr="00900ADE" w:rsidRDefault="00B043E8" w:rsidP="00604748">
            <w:pPr>
              <w:pStyle w:val="TableColHeadingCenter"/>
              <w:spacing w:before="10" w:after="10"/>
            </w:pPr>
            <w:r w:rsidRPr="00900ADE">
              <w:t>% M/E 2024</w:t>
            </w:r>
          </w:p>
        </w:tc>
        <w:tc>
          <w:tcPr>
            <w:tcW w:w="298" w:type="pct"/>
            <w:vAlign w:val="center"/>
          </w:tcPr>
          <w:p w14:paraId="0CC0B7B8" w14:textId="5BE3F71B" w:rsidR="00B043E8" w:rsidRPr="00900ADE" w:rsidRDefault="00B043E8" w:rsidP="00604748">
            <w:pPr>
              <w:pStyle w:val="TableColHeadingCenter"/>
              <w:spacing w:before="10" w:after="10"/>
            </w:pPr>
            <w:r w:rsidRPr="00900ADE">
              <w:t xml:space="preserve">% M/E 2024 </w:t>
            </w:r>
            <w:r w:rsidR="00BD2547">
              <w:t>S</w:t>
            </w:r>
            <w:r w:rsidRPr="00900ADE">
              <w:t>tate</w:t>
            </w:r>
          </w:p>
        </w:tc>
        <w:tc>
          <w:tcPr>
            <w:tcW w:w="298" w:type="pct"/>
            <w:vAlign w:val="center"/>
          </w:tcPr>
          <w:p w14:paraId="5854C0DE" w14:textId="77777777" w:rsidR="00B043E8" w:rsidRPr="00900ADE" w:rsidRDefault="00B043E8" w:rsidP="00604748">
            <w:pPr>
              <w:pStyle w:val="TableColHeadingCenter"/>
              <w:spacing w:before="10" w:after="10"/>
            </w:pPr>
            <w:r w:rsidRPr="00900ADE">
              <w:t>% PME 2022</w:t>
            </w:r>
          </w:p>
        </w:tc>
        <w:tc>
          <w:tcPr>
            <w:tcW w:w="298" w:type="pct"/>
            <w:vAlign w:val="center"/>
          </w:tcPr>
          <w:p w14:paraId="4677F93D" w14:textId="77777777" w:rsidR="00B043E8" w:rsidRPr="00900ADE" w:rsidRDefault="00B043E8" w:rsidP="00604748">
            <w:pPr>
              <w:pStyle w:val="TableColHeadingCenter"/>
              <w:spacing w:before="10" w:after="10"/>
            </w:pPr>
            <w:r w:rsidRPr="00900ADE">
              <w:t>% PME 2023</w:t>
            </w:r>
          </w:p>
        </w:tc>
        <w:tc>
          <w:tcPr>
            <w:tcW w:w="298" w:type="pct"/>
            <w:vAlign w:val="center"/>
          </w:tcPr>
          <w:p w14:paraId="03A164EB" w14:textId="77777777" w:rsidR="00B043E8" w:rsidRPr="00900ADE" w:rsidRDefault="00B043E8" w:rsidP="00604748">
            <w:pPr>
              <w:pStyle w:val="TableColHeadingCenter"/>
              <w:spacing w:before="10" w:after="10"/>
            </w:pPr>
            <w:r w:rsidRPr="00900ADE">
              <w:t>% PME 2024</w:t>
            </w:r>
          </w:p>
        </w:tc>
        <w:tc>
          <w:tcPr>
            <w:tcW w:w="298" w:type="pct"/>
            <w:vAlign w:val="center"/>
          </w:tcPr>
          <w:p w14:paraId="61A930FC" w14:textId="39AC6A6E" w:rsidR="00B043E8" w:rsidRPr="00900ADE" w:rsidRDefault="00B043E8" w:rsidP="00604748">
            <w:pPr>
              <w:pStyle w:val="TableColHeadingCenter"/>
              <w:spacing w:before="10" w:after="10"/>
            </w:pPr>
            <w:r w:rsidRPr="00900ADE">
              <w:t xml:space="preserve">% PME 2024 </w:t>
            </w:r>
            <w:r w:rsidR="00BD2547">
              <w:t>S</w:t>
            </w:r>
            <w:r w:rsidRPr="00900ADE">
              <w:t>tate</w:t>
            </w:r>
          </w:p>
        </w:tc>
        <w:tc>
          <w:tcPr>
            <w:tcW w:w="298" w:type="pct"/>
            <w:vAlign w:val="center"/>
          </w:tcPr>
          <w:p w14:paraId="32C9146E" w14:textId="77777777" w:rsidR="00B043E8" w:rsidRPr="00900ADE" w:rsidRDefault="00B043E8" w:rsidP="00604748">
            <w:pPr>
              <w:pStyle w:val="TableColHeadingCenter"/>
              <w:spacing w:before="10" w:after="10"/>
            </w:pPr>
            <w:r w:rsidRPr="00900ADE">
              <w:t>% NM 2022</w:t>
            </w:r>
          </w:p>
        </w:tc>
        <w:tc>
          <w:tcPr>
            <w:tcW w:w="298" w:type="pct"/>
            <w:vAlign w:val="center"/>
          </w:tcPr>
          <w:p w14:paraId="6721947A" w14:textId="77777777" w:rsidR="00B043E8" w:rsidRPr="00900ADE" w:rsidRDefault="00B043E8" w:rsidP="00604748">
            <w:pPr>
              <w:pStyle w:val="TableColHeadingCenter"/>
              <w:spacing w:before="10" w:after="10"/>
            </w:pPr>
            <w:r w:rsidRPr="00900ADE">
              <w:t>% NM 2023</w:t>
            </w:r>
          </w:p>
        </w:tc>
        <w:tc>
          <w:tcPr>
            <w:tcW w:w="298" w:type="pct"/>
            <w:vAlign w:val="center"/>
          </w:tcPr>
          <w:p w14:paraId="0E4A0854" w14:textId="77777777" w:rsidR="00B043E8" w:rsidRPr="00900ADE" w:rsidRDefault="00B043E8" w:rsidP="00604748">
            <w:pPr>
              <w:pStyle w:val="TableColHeadingCenter"/>
              <w:spacing w:before="10" w:after="10"/>
            </w:pPr>
            <w:r w:rsidRPr="00900ADE">
              <w:t>% NM 2024</w:t>
            </w:r>
          </w:p>
        </w:tc>
        <w:tc>
          <w:tcPr>
            <w:tcW w:w="295" w:type="pct"/>
            <w:vAlign w:val="center"/>
          </w:tcPr>
          <w:p w14:paraId="492E4998" w14:textId="5527C740" w:rsidR="00B043E8" w:rsidRPr="00900ADE" w:rsidRDefault="00B043E8" w:rsidP="00604748">
            <w:pPr>
              <w:pStyle w:val="TableColHeadingCenter"/>
              <w:spacing w:before="10" w:after="10"/>
            </w:pPr>
            <w:r w:rsidRPr="00900ADE">
              <w:t xml:space="preserve">% NM 2024 </w:t>
            </w:r>
            <w:r w:rsidR="00BD2547">
              <w:t>S</w:t>
            </w:r>
            <w:r w:rsidRPr="00900ADE">
              <w:t>tate</w:t>
            </w:r>
          </w:p>
        </w:tc>
      </w:tr>
      <w:tr w:rsidR="00604748" w:rsidRPr="00900ADE" w14:paraId="5F03CEF1"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9289EDC"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All</w:t>
            </w:r>
          </w:p>
        </w:tc>
        <w:tc>
          <w:tcPr>
            <w:tcW w:w="340" w:type="pct"/>
          </w:tcPr>
          <w:p w14:paraId="0663557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144</w:t>
            </w:r>
          </w:p>
        </w:tc>
        <w:tc>
          <w:tcPr>
            <w:tcW w:w="298" w:type="pct"/>
          </w:tcPr>
          <w:p w14:paraId="2BD1524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78</w:t>
            </w:r>
          </w:p>
        </w:tc>
        <w:tc>
          <w:tcPr>
            <w:tcW w:w="298" w:type="pct"/>
          </w:tcPr>
          <w:p w14:paraId="184F18A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66</w:t>
            </w:r>
          </w:p>
        </w:tc>
        <w:tc>
          <w:tcPr>
            <w:tcW w:w="298" w:type="pct"/>
          </w:tcPr>
          <w:p w14:paraId="2D72BAB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76</w:t>
            </w:r>
          </w:p>
        </w:tc>
        <w:tc>
          <w:tcPr>
            <w:tcW w:w="298" w:type="pct"/>
          </w:tcPr>
          <w:p w14:paraId="2571700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49</w:t>
            </w:r>
          </w:p>
        </w:tc>
        <w:tc>
          <w:tcPr>
            <w:tcW w:w="298" w:type="pct"/>
          </w:tcPr>
          <w:p w14:paraId="0BE3477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19</w:t>
            </w:r>
          </w:p>
        </w:tc>
        <w:tc>
          <w:tcPr>
            <w:tcW w:w="298" w:type="pct"/>
          </w:tcPr>
          <w:p w14:paraId="293A277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30</w:t>
            </w:r>
          </w:p>
        </w:tc>
        <w:tc>
          <w:tcPr>
            <w:tcW w:w="298" w:type="pct"/>
          </w:tcPr>
          <w:p w14:paraId="37086AF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c>
          <w:tcPr>
            <w:tcW w:w="298" w:type="pct"/>
          </w:tcPr>
          <w:p w14:paraId="58FBD60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8" w:type="pct"/>
          </w:tcPr>
          <w:p w14:paraId="504DA32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8" w:type="pct"/>
          </w:tcPr>
          <w:p w14:paraId="4D78F14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w:t>
            </w:r>
          </w:p>
        </w:tc>
        <w:tc>
          <w:tcPr>
            <w:tcW w:w="298" w:type="pct"/>
          </w:tcPr>
          <w:p w14:paraId="33CBF52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5" w:type="pct"/>
          </w:tcPr>
          <w:p w14:paraId="3289796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11</w:t>
            </w:r>
          </w:p>
        </w:tc>
      </w:tr>
      <w:tr w:rsidR="00B043E8" w:rsidRPr="00900ADE" w14:paraId="4882CDBE" w14:textId="77777777" w:rsidTr="00517B62">
        <w:trPr>
          <w:jc w:val="center"/>
        </w:trPr>
        <w:tc>
          <w:tcPr>
            <w:tcW w:w="1087" w:type="pct"/>
          </w:tcPr>
          <w:p w14:paraId="3026E1EC"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African American/Black</w:t>
            </w:r>
          </w:p>
        </w:tc>
        <w:tc>
          <w:tcPr>
            <w:tcW w:w="340" w:type="pct"/>
          </w:tcPr>
          <w:p w14:paraId="5EB5E39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8" w:type="pct"/>
          </w:tcPr>
          <w:p w14:paraId="02E7FA6F" w14:textId="7B1FB47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87F361D" w14:textId="0A5B7EA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34BBC72" w14:textId="7317319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B893DF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8" w:type="pct"/>
          </w:tcPr>
          <w:p w14:paraId="0B1A79A2" w14:textId="5BD5AAD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1B8F420" w14:textId="2F08F82B"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F7A32E8" w14:textId="06254438"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DFFF2D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53</w:t>
            </w:r>
          </w:p>
        </w:tc>
        <w:tc>
          <w:tcPr>
            <w:tcW w:w="298" w:type="pct"/>
          </w:tcPr>
          <w:p w14:paraId="2F13954B" w14:textId="5EB6CD7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D5335C4" w14:textId="25F5461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C4259AD" w14:textId="4D8FB85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3877018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19</w:t>
            </w:r>
          </w:p>
        </w:tc>
      </w:tr>
      <w:tr w:rsidR="00604748" w:rsidRPr="00900ADE" w14:paraId="0DD9976F"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D1BDE38"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Asian</w:t>
            </w:r>
          </w:p>
        </w:tc>
        <w:tc>
          <w:tcPr>
            <w:tcW w:w="340" w:type="pct"/>
          </w:tcPr>
          <w:p w14:paraId="1128EF4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w:t>
            </w:r>
          </w:p>
        </w:tc>
        <w:tc>
          <w:tcPr>
            <w:tcW w:w="298" w:type="pct"/>
          </w:tcPr>
          <w:p w14:paraId="6A701D9B" w14:textId="1DA02B2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A2CA098" w14:textId="24A4B54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D19C687" w14:textId="5DCA9E5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0E204A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77</w:t>
            </w:r>
          </w:p>
        </w:tc>
        <w:tc>
          <w:tcPr>
            <w:tcW w:w="298" w:type="pct"/>
          </w:tcPr>
          <w:p w14:paraId="29DA66AC" w14:textId="412A132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AA197D8" w14:textId="062D8FF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44B1E9F" w14:textId="1CF7E30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0E29BD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19</w:t>
            </w:r>
          </w:p>
        </w:tc>
        <w:tc>
          <w:tcPr>
            <w:tcW w:w="298" w:type="pct"/>
          </w:tcPr>
          <w:p w14:paraId="00817E65" w14:textId="6CCE1CA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2DAA2C4" w14:textId="3A2EE01B"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8A2E3EB" w14:textId="33583BC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3C0E5B8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r>
      <w:tr w:rsidR="00B043E8" w:rsidRPr="00900ADE" w14:paraId="1E69435B" w14:textId="77777777" w:rsidTr="00517B62">
        <w:trPr>
          <w:jc w:val="center"/>
        </w:trPr>
        <w:tc>
          <w:tcPr>
            <w:tcW w:w="1087" w:type="pct"/>
          </w:tcPr>
          <w:p w14:paraId="6F93293B"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Hispanic/Latino</w:t>
            </w:r>
          </w:p>
        </w:tc>
        <w:tc>
          <w:tcPr>
            <w:tcW w:w="340" w:type="pct"/>
          </w:tcPr>
          <w:p w14:paraId="7BA1A73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9</w:t>
            </w:r>
          </w:p>
        </w:tc>
        <w:tc>
          <w:tcPr>
            <w:tcW w:w="298" w:type="pct"/>
          </w:tcPr>
          <w:p w14:paraId="03986FF4" w14:textId="5AF9540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A0B931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50</w:t>
            </w:r>
          </w:p>
        </w:tc>
        <w:tc>
          <w:tcPr>
            <w:tcW w:w="298" w:type="pct"/>
          </w:tcPr>
          <w:p w14:paraId="7915F28D" w14:textId="2A1A30A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A07035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5A17B44F" w14:textId="49C8ED14"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A6D322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33</w:t>
            </w:r>
          </w:p>
        </w:tc>
        <w:tc>
          <w:tcPr>
            <w:tcW w:w="298" w:type="pct"/>
          </w:tcPr>
          <w:p w14:paraId="2A2930B9" w14:textId="3C3BE884"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93EF20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4ED83263" w14:textId="6153D808"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711E81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17</w:t>
            </w:r>
          </w:p>
        </w:tc>
        <w:tc>
          <w:tcPr>
            <w:tcW w:w="298" w:type="pct"/>
          </w:tcPr>
          <w:p w14:paraId="65028CCE" w14:textId="6893A11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2DE0A6B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22</w:t>
            </w:r>
          </w:p>
        </w:tc>
      </w:tr>
      <w:tr w:rsidR="00604748" w:rsidRPr="00900ADE" w14:paraId="68973DB3"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749B15B"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cstheme="minorHAnsi"/>
                <w:spacing w:val="-4"/>
              </w:rPr>
              <w:t>Multi-Race, non-Hispanic/Latino</w:t>
            </w:r>
          </w:p>
        </w:tc>
        <w:tc>
          <w:tcPr>
            <w:tcW w:w="340" w:type="pct"/>
          </w:tcPr>
          <w:p w14:paraId="7125CBD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c>
          <w:tcPr>
            <w:tcW w:w="298" w:type="pct"/>
          </w:tcPr>
          <w:p w14:paraId="520A0ADD" w14:textId="0296F42D"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64FA19D" w14:textId="7422248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7F8025E" w14:textId="5CDF77FA"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07F8D1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53</w:t>
            </w:r>
          </w:p>
        </w:tc>
        <w:tc>
          <w:tcPr>
            <w:tcW w:w="298" w:type="pct"/>
          </w:tcPr>
          <w:p w14:paraId="58539280" w14:textId="040AA03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92823BA" w14:textId="26B040A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3EF4746" w14:textId="52AC4F9B"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D8E24D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37</w:t>
            </w:r>
          </w:p>
        </w:tc>
        <w:tc>
          <w:tcPr>
            <w:tcW w:w="298" w:type="pct"/>
          </w:tcPr>
          <w:p w14:paraId="51273E57" w14:textId="3776D57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698F7654" w14:textId="64E7D5C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FBB75D8" w14:textId="2D00F8D4"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15A4A69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r>
      <w:tr w:rsidR="00B043E8" w:rsidRPr="00900ADE" w14:paraId="720C3F6A" w14:textId="77777777" w:rsidTr="00517B62">
        <w:trPr>
          <w:jc w:val="center"/>
        </w:trPr>
        <w:tc>
          <w:tcPr>
            <w:tcW w:w="1087" w:type="pct"/>
          </w:tcPr>
          <w:p w14:paraId="0D26F63D"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Native American</w:t>
            </w:r>
          </w:p>
        </w:tc>
        <w:tc>
          <w:tcPr>
            <w:tcW w:w="340" w:type="pct"/>
          </w:tcPr>
          <w:p w14:paraId="2AC13F74" w14:textId="1956A61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2AC0EF2" w14:textId="2C2DDE3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DC63088" w14:textId="76B22650"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740AA59" w14:textId="2B74B87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6D3E31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38</w:t>
            </w:r>
          </w:p>
        </w:tc>
        <w:tc>
          <w:tcPr>
            <w:tcW w:w="298" w:type="pct"/>
          </w:tcPr>
          <w:p w14:paraId="39BC8DA7" w14:textId="37D541D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193097A" w14:textId="0B4B86B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0DF3D93" w14:textId="6B7BB108"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F4A095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53</w:t>
            </w:r>
          </w:p>
        </w:tc>
        <w:tc>
          <w:tcPr>
            <w:tcW w:w="298" w:type="pct"/>
          </w:tcPr>
          <w:p w14:paraId="76553FBF" w14:textId="0343739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3F7B66DE" w14:textId="4DB67971"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C261C73" w14:textId="6C5DBB1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5D1E64C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r>
      <w:tr w:rsidR="00604748" w:rsidRPr="00900ADE" w14:paraId="558DF5FF"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AE9B6A6"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Native Hawaiian, Pacific Islander</w:t>
            </w:r>
          </w:p>
        </w:tc>
        <w:tc>
          <w:tcPr>
            <w:tcW w:w="340" w:type="pct"/>
          </w:tcPr>
          <w:p w14:paraId="5310E2E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w:t>
            </w:r>
          </w:p>
        </w:tc>
        <w:tc>
          <w:tcPr>
            <w:tcW w:w="298" w:type="pct"/>
          </w:tcPr>
          <w:p w14:paraId="49DEC27D" w14:textId="62E06149"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1D8232F" w14:textId="5501233B"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BCA7985" w14:textId="27B175FC"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1A4CD0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47</w:t>
            </w:r>
          </w:p>
        </w:tc>
        <w:tc>
          <w:tcPr>
            <w:tcW w:w="298" w:type="pct"/>
          </w:tcPr>
          <w:p w14:paraId="2A5AF4CA" w14:textId="5E081F6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E6DC265" w14:textId="78AACBD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3C7A04D" w14:textId="4B5A4A1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2C5D991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45</w:t>
            </w:r>
          </w:p>
        </w:tc>
        <w:tc>
          <w:tcPr>
            <w:tcW w:w="298" w:type="pct"/>
          </w:tcPr>
          <w:p w14:paraId="1DC6EF82" w14:textId="61D88E7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3DF1422" w14:textId="4BDD998F"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5014483F" w14:textId="0F58DD3E"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3524884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8</w:t>
            </w:r>
          </w:p>
        </w:tc>
      </w:tr>
      <w:tr w:rsidR="00B043E8" w:rsidRPr="00900ADE" w14:paraId="6B87735F" w14:textId="77777777" w:rsidTr="00517B62">
        <w:trPr>
          <w:jc w:val="center"/>
        </w:trPr>
        <w:tc>
          <w:tcPr>
            <w:tcW w:w="1087" w:type="pct"/>
          </w:tcPr>
          <w:p w14:paraId="4223136D"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White</w:t>
            </w:r>
          </w:p>
        </w:tc>
        <w:tc>
          <w:tcPr>
            <w:tcW w:w="340" w:type="pct"/>
          </w:tcPr>
          <w:p w14:paraId="56AD03A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119</w:t>
            </w:r>
          </w:p>
        </w:tc>
        <w:tc>
          <w:tcPr>
            <w:tcW w:w="298" w:type="pct"/>
          </w:tcPr>
          <w:p w14:paraId="467118D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79</w:t>
            </w:r>
          </w:p>
        </w:tc>
        <w:tc>
          <w:tcPr>
            <w:tcW w:w="298" w:type="pct"/>
          </w:tcPr>
          <w:p w14:paraId="7BD2084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65</w:t>
            </w:r>
          </w:p>
        </w:tc>
        <w:tc>
          <w:tcPr>
            <w:tcW w:w="298" w:type="pct"/>
          </w:tcPr>
          <w:p w14:paraId="439388E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76</w:t>
            </w:r>
          </w:p>
        </w:tc>
        <w:tc>
          <w:tcPr>
            <w:tcW w:w="298" w:type="pct"/>
          </w:tcPr>
          <w:p w14:paraId="0DF7869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58</w:t>
            </w:r>
          </w:p>
        </w:tc>
        <w:tc>
          <w:tcPr>
            <w:tcW w:w="298" w:type="pct"/>
          </w:tcPr>
          <w:p w14:paraId="6BF3410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w:t>
            </w:r>
          </w:p>
        </w:tc>
        <w:tc>
          <w:tcPr>
            <w:tcW w:w="298" w:type="pct"/>
          </w:tcPr>
          <w:p w14:paraId="6E133C4D"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31</w:t>
            </w:r>
          </w:p>
        </w:tc>
        <w:tc>
          <w:tcPr>
            <w:tcW w:w="298" w:type="pct"/>
          </w:tcPr>
          <w:p w14:paraId="72FD592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21</w:t>
            </w:r>
          </w:p>
        </w:tc>
        <w:tc>
          <w:tcPr>
            <w:tcW w:w="298" w:type="pct"/>
          </w:tcPr>
          <w:p w14:paraId="7C52C8E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36</w:t>
            </w:r>
          </w:p>
        </w:tc>
        <w:tc>
          <w:tcPr>
            <w:tcW w:w="298" w:type="pct"/>
          </w:tcPr>
          <w:p w14:paraId="0EF2DAC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8" w:type="pct"/>
          </w:tcPr>
          <w:p w14:paraId="15BFE46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8" w:type="pct"/>
          </w:tcPr>
          <w:p w14:paraId="7DAB052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w:t>
            </w:r>
          </w:p>
        </w:tc>
        <w:tc>
          <w:tcPr>
            <w:tcW w:w="295" w:type="pct"/>
          </w:tcPr>
          <w:p w14:paraId="24F1CE63"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w:t>
            </w:r>
          </w:p>
        </w:tc>
      </w:tr>
      <w:tr w:rsidR="00604748" w:rsidRPr="00900ADE" w14:paraId="49AB6BEC"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661E152" w14:textId="5B5985DE"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 xml:space="preserve">High </w:t>
            </w:r>
            <w:r w:rsidR="00A64AA7">
              <w:rPr>
                <w:rFonts w:ascii="Franklin Gothic Book" w:hAnsi="Franklin Gothic Book"/>
                <w:spacing w:val="-4"/>
              </w:rPr>
              <w:t>n</w:t>
            </w:r>
            <w:r w:rsidRPr="00900ADE">
              <w:rPr>
                <w:rFonts w:ascii="Franklin Gothic Book" w:hAnsi="Franklin Gothic Book"/>
                <w:spacing w:val="-4"/>
              </w:rPr>
              <w:t>eeds</w:t>
            </w:r>
          </w:p>
        </w:tc>
        <w:tc>
          <w:tcPr>
            <w:tcW w:w="340" w:type="pct"/>
          </w:tcPr>
          <w:p w14:paraId="340DF08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40</w:t>
            </w:r>
          </w:p>
        </w:tc>
        <w:tc>
          <w:tcPr>
            <w:tcW w:w="298" w:type="pct"/>
          </w:tcPr>
          <w:p w14:paraId="15D0B6B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53</w:t>
            </w:r>
          </w:p>
        </w:tc>
        <w:tc>
          <w:tcPr>
            <w:tcW w:w="298" w:type="pct"/>
          </w:tcPr>
          <w:p w14:paraId="02FF791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29</w:t>
            </w:r>
          </w:p>
        </w:tc>
        <w:tc>
          <w:tcPr>
            <w:tcW w:w="298" w:type="pct"/>
          </w:tcPr>
          <w:p w14:paraId="1DD5D1B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55</w:t>
            </w:r>
          </w:p>
        </w:tc>
        <w:tc>
          <w:tcPr>
            <w:tcW w:w="298" w:type="pct"/>
          </w:tcPr>
          <w:p w14:paraId="2EDBD35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8" w:type="pct"/>
          </w:tcPr>
          <w:p w14:paraId="4248A53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35</w:t>
            </w:r>
          </w:p>
        </w:tc>
        <w:tc>
          <w:tcPr>
            <w:tcW w:w="298" w:type="pct"/>
          </w:tcPr>
          <w:p w14:paraId="77F7610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60</w:t>
            </w:r>
          </w:p>
        </w:tc>
        <w:tc>
          <w:tcPr>
            <w:tcW w:w="298" w:type="pct"/>
          </w:tcPr>
          <w:p w14:paraId="685179B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35</w:t>
            </w:r>
          </w:p>
        </w:tc>
        <w:tc>
          <w:tcPr>
            <w:tcW w:w="298" w:type="pct"/>
          </w:tcPr>
          <w:p w14:paraId="18B85D2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73DA163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12</w:t>
            </w:r>
          </w:p>
        </w:tc>
        <w:tc>
          <w:tcPr>
            <w:tcW w:w="298" w:type="pct"/>
          </w:tcPr>
          <w:p w14:paraId="10939B5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11</w:t>
            </w:r>
          </w:p>
        </w:tc>
        <w:tc>
          <w:tcPr>
            <w:tcW w:w="298" w:type="pct"/>
          </w:tcPr>
          <w:p w14:paraId="09BB449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10</w:t>
            </w:r>
          </w:p>
        </w:tc>
        <w:tc>
          <w:tcPr>
            <w:tcW w:w="295" w:type="pct"/>
          </w:tcPr>
          <w:p w14:paraId="7042B1C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r>
      <w:tr w:rsidR="00B043E8" w:rsidRPr="00900ADE" w14:paraId="2297225B" w14:textId="77777777" w:rsidTr="00517B62">
        <w:trPr>
          <w:jc w:val="center"/>
        </w:trPr>
        <w:tc>
          <w:tcPr>
            <w:tcW w:w="1087" w:type="pct"/>
          </w:tcPr>
          <w:p w14:paraId="505818F8"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Low income</w:t>
            </w:r>
          </w:p>
        </w:tc>
        <w:tc>
          <w:tcPr>
            <w:tcW w:w="340" w:type="pct"/>
          </w:tcPr>
          <w:p w14:paraId="5EC2D2E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8" w:type="pct"/>
          </w:tcPr>
          <w:p w14:paraId="732309C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71</w:t>
            </w:r>
          </w:p>
        </w:tc>
        <w:tc>
          <w:tcPr>
            <w:tcW w:w="298" w:type="pct"/>
          </w:tcPr>
          <w:p w14:paraId="223B8AF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30</w:t>
            </w:r>
          </w:p>
        </w:tc>
        <w:tc>
          <w:tcPr>
            <w:tcW w:w="298" w:type="pct"/>
          </w:tcPr>
          <w:p w14:paraId="614ECD8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68</w:t>
            </w:r>
          </w:p>
        </w:tc>
        <w:tc>
          <w:tcPr>
            <w:tcW w:w="298" w:type="pct"/>
          </w:tcPr>
          <w:p w14:paraId="272F2C1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8" w:type="pct"/>
          </w:tcPr>
          <w:p w14:paraId="57BBB18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24</w:t>
            </w:r>
          </w:p>
        </w:tc>
        <w:tc>
          <w:tcPr>
            <w:tcW w:w="298" w:type="pct"/>
          </w:tcPr>
          <w:p w14:paraId="5697020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7A34B86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28</w:t>
            </w:r>
          </w:p>
        </w:tc>
        <w:tc>
          <w:tcPr>
            <w:tcW w:w="298" w:type="pct"/>
          </w:tcPr>
          <w:p w14:paraId="539331A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51</w:t>
            </w:r>
          </w:p>
        </w:tc>
        <w:tc>
          <w:tcPr>
            <w:tcW w:w="298" w:type="pct"/>
          </w:tcPr>
          <w:p w14:paraId="50E5367A"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w:t>
            </w:r>
          </w:p>
        </w:tc>
        <w:tc>
          <w:tcPr>
            <w:tcW w:w="298" w:type="pct"/>
          </w:tcPr>
          <w:p w14:paraId="0467B97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17</w:t>
            </w:r>
          </w:p>
        </w:tc>
        <w:tc>
          <w:tcPr>
            <w:tcW w:w="298" w:type="pct"/>
          </w:tcPr>
          <w:p w14:paraId="1A43E21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w:t>
            </w:r>
          </w:p>
        </w:tc>
        <w:tc>
          <w:tcPr>
            <w:tcW w:w="295" w:type="pct"/>
          </w:tcPr>
          <w:p w14:paraId="3944E1CC"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20</w:t>
            </w:r>
          </w:p>
        </w:tc>
      </w:tr>
      <w:tr w:rsidR="00604748" w:rsidRPr="00900ADE" w14:paraId="009F20DA"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B0DCF55"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ELs and former ELs</w:t>
            </w:r>
          </w:p>
        </w:tc>
        <w:tc>
          <w:tcPr>
            <w:tcW w:w="340" w:type="pct"/>
          </w:tcPr>
          <w:p w14:paraId="7BD7B449"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w:t>
            </w:r>
          </w:p>
        </w:tc>
        <w:tc>
          <w:tcPr>
            <w:tcW w:w="298" w:type="pct"/>
          </w:tcPr>
          <w:p w14:paraId="1D2C4E81" w14:textId="3FF784D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47CC799D" w14:textId="15AF3CC4"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A625235" w14:textId="7EBAE1D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78F86A6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13</w:t>
            </w:r>
          </w:p>
        </w:tc>
        <w:tc>
          <w:tcPr>
            <w:tcW w:w="298" w:type="pct"/>
          </w:tcPr>
          <w:p w14:paraId="6D16151B" w14:textId="62764573"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3348F0B" w14:textId="6E5338E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2605192" w14:textId="09BAAD85"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142606D7"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48</w:t>
            </w:r>
          </w:p>
        </w:tc>
        <w:tc>
          <w:tcPr>
            <w:tcW w:w="298" w:type="pct"/>
          </w:tcPr>
          <w:p w14:paraId="11E12473" w14:textId="599F7266"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540080D" w14:textId="54F49DE7"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8" w:type="pct"/>
          </w:tcPr>
          <w:p w14:paraId="04819E03" w14:textId="475A8182" w:rsidR="00B043E8" w:rsidRPr="00900ADE" w:rsidRDefault="003A7D47" w:rsidP="00822854">
            <w:pPr>
              <w:pStyle w:val="TableTextCentered"/>
              <w:spacing w:before="5" w:after="5" w:line="240" w:lineRule="auto"/>
              <w:rPr>
                <w:rFonts w:ascii="Franklin Gothic Book" w:hAnsi="Franklin Gothic Book"/>
              </w:rPr>
            </w:pPr>
            <w:r w:rsidRPr="00900ADE">
              <w:rPr>
                <w:rFonts w:ascii="Franklin Gothic Book" w:hAnsi="Franklin Gothic Book"/>
              </w:rPr>
              <w:t>—</w:t>
            </w:r>
          </w:p>
        </w:tc>
        <w:tc>
          <w:tcPr>
            <w:tcW w:w="295" w:type="pct"/>
          </w:tcPr>
          <w:p w14:paraId="7B9790E8"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39</w:t>
            </w:r>
          </w:p>
        </w:tc>
      </w:tr>
      <w:tr w:rsidR="00B043E8" w:rsidRPr="00900ADE" w14:paraId="09155F0A" w14:textId="77777777" w:rsidTr="00517B62">
        <w:trPr>
          <w:jc w:val="center"/>
        </w:trPr>
        <w:tc>
          <w:tcPr>
            <w:tcW w:w="1087" w:type="pct"/>
          </w:tcPr>
          <w:p w14:paraId="73BBF561" w14:textId="77777777" w:rsidR="00B043E8" w:rsidRPr="00900ADE" w:rsidRDefault="00B043E8" w:rsidP="00822854">
            <w:pPr>
              <w:pStyle w:val="TableText"/>
              <w:spacing w:before="5" w:after="5" w:line="240" w:lineRule="auto"/>
              <w:rPr>
                <w:rFonts w:ascii="Franklin Gothic Book" w:hAnsi="Franklin Gothic Book"/>
                <w:spacing w:val="-4"/>
              </w:rPr>
            </w:pPr>
            <w:r w:rsidRPr="00900ADE">
              <w:rPr>
                <w:rFonts w:ascii="Franklin Gothic Book" w:hAnsi="Franklin Gothic Book"/>
                <w:spacing w:val="-4"/>
              </w:rPr>
              <w:t>Students w/disabilities</w:t>
            </w:r>
          </w:p>
        </w:tc>
        <w:tc>
          <w:tcPr>
            <w:tcW w:w="340" w:type="pct"/>
          </w:tcPr>
          <w:p w14:paraId="0CC16E32"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19</w:t>
            </w:r>
          </w:p>
        </w:tc>
        <w:tc>
          <w:tcPr>
            <w:tcW w:w="298" w:type="pct"/>
          </w:tcPr>
          <w:p w14:paraId="73AD3F04"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13</w:t>
            </w:r>
          </w:p>
        </w:tc>
        <w:tc>
          <w:tcPr>
            <w:tcW w:w="298" w:type="pct"/>
          </w:tcPr>
          <w:p w14:paraId="585767E6"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25</w:t>
            </w:r>
          </w:p>
        </w:tc>
        <w:tc>
          <w:tcPr>
            <w:tcW w:w="298" w:type="pct"/>
          </w:tcPr>
          <w:p w14:paraId="2C39CEAE"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26</w:t>
            </w:r>
          </w:p>
        </w:tc>
        <w:tc>
          <w:tcPr>
            <w:tcW w:w="298" w:type="pct"/>
          </w:tcPr>
          <w:p w14:paraId="40BAA0C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18</w:t>
            </w:r>
          </w:p>
        </w:tc>
        <w:tc>
          <w:tcPr>
            <w:tcW w:w="298" w:type="pct"/>
          </w:tcPr>
          <w:p w14:paraId="52B7F67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60</w:t>
            </w:r>
          </w:p>
        </w:tc>
        <w:tc>
          <w:tcPr>
            <w:tcW w:w="298" w:type="pct"/>
          </w:tcPr>
          <w:p w14:paraId="7678430B"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61</w:t>
            </w:r>
          </w:p>
        </w:tc>
        <w:tc>
          <w:tcPr>
            <w:tcW w:w="298" w:type="pct"/>
          </w:tcPr>
          <w:p w14:paraId="7EB10630"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58</w:t>
            </w:r>
          </w:p>
        </w:tc>
        <w:tc>
          <w:tcPr>
            <w:tcW w:w="298" w:type="pct"/>
          </w:tcPr>
          <w:p w14:paraId="68474FC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52</w:t>
            </w:r>
          </w:p>
        </w:tc>
        <w:tc>
          <w:tcPr>
            <w:tcW w:w="298" w:type="pct"/>
          </w:tcPr>
          <w:p w14:paraId="12CB83BF"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27</w:t>
            </w:r>
          </w:p>
        </w:tc>
        <w:tc>
          <w:tcPr>
            <w:tcW w:w="298" w:type="pct"/>
          </w:tcPr>
          <w:p w14:paraId="2489E7B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14</w:t>
            </w:r>
          </w:p>
        </w:tc>
        <w:tc>
          <w:tcPr>
            <w:tcW w:w="298" w:type="pct"/>
          </w:tcPr>
          <w:p w14:paraId="598A38B5"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16</w:t>
            </w:r>
          </w:p>
        </w:tc>
        <w:tc>
          <w:tcPr>
            <w:tcW w:w="295" w:type="pct"/>
          </w:tcPr>
          <w:p w14:paraId="26AE5591" w14:textId="77777777" w:rsidR="00B043E8" w:rsidRPr="00900ADE" w:rsidRDefault="00B043E8" w:rsidP="00822854">
            <w:pPr>
              <w:pStyle w:val="TableTextCentered"/>
              <w:spacing w:before="5" w:after="5" w:line="240" w:lineRule="auto"/>
              <w:rPr>
                <w:rFonts w:ascii="Franklin Gothic Book" w:hAnsi="Franklin Gothic Book"/>
              </w:rPr>
            </w:pPr>
            <w:r w:rsidRPr="00900ADE">
              <w:rPr>
                <w:rFonts w:ascii="Franklin Gothic Book" w:hAnsi="Franklin Gothic Book"/>
              </w:rPr>
              <w:t>31</w:t>
            </w:r>
          </w:p>
        </w:tc>
      </w:tr>
    </w:tbl>
    <w:p w14:paraId="15E22796" w14:textId="77777777" w:rsidR="00822854" w:rsidRPr="00900ADE" w:rsidRDefault="00822854" w:rsidP="00822854">
      <w:pPr>
        <w:pStyle w:val="FootnoteText"/>
        <w:spacing w:before="120"/>
      </w:pPr>
      <w:bookmarkStart w:id="207" w:name="_Toc196169619"/>
      <w:bookmarkStart w:id="208" w:name="_Hlk138323146"/>
      <w:r w:rsidRPr="00900ADE">
        <w:rPr>
          <w:i/>
          <w:iCs/>
        </w:rPr>
        <w:t>Note</w:t>
      </w:r>
      <w:r w:rsidRPr="00900ADE">
        <w:t>. M/E = meeting or exceeding expectations; PME = partially meeting expectations; NM = not meeting expectations.</w:t>
      </w:r>
    </w:p>
    <w:p w14:paraId="56682E51" w14:textId="77777777" w:rsidR="00B043E8" w:rsidRPr="00900ADE" w:rsidRDefault="00B043E8" w:rsidP="009B1A7E">
      <w:pPr>
        <w:pStyle w:val="TableETitle"/>
      </w:pPr>
      <w:r w:rsidRPr="00900ADE">
        <w:lastRenderedPageBreak/>
        <w:t>Table E7. MCAS ELA Achievement by Grade, 2022-2024</w:t>
      </w:r>
      <w:bookmarkEnd w:id="207"/>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B043E8" w:rsidRPr="00900ADE" w14:paraId="0F97F5C8" w14:textId="77777777" w:rsidTr="00517B62">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75C5AA58" w14:textId="77777777" w:rsidR="00B043E8" w:rsidRPr="00510408" w:rsidRDefault="00B043E8" w:rsidP="00CD7EAE">
            <w:pPr>
              <w:pStyle w:val="TableColHeadingCenter"/>
              <w:spacing w:before="2" w:after="2" w:line="240" w:lineRule="auto"/>
            </w:pPr>
            <w:r w:rsidRPr="00510408">
              <w:t>Grade</w:t>
            </w:r>
          </w:p>
        </w:tc>
        <w:tc>
          <w:tcPr>
            <w:tcW w:w="374" w:type="pct"/>
            <w:vAlign w:val="center"/>
          </w:tcPr>
          <w:p w14:paraId="3B24F8C4" w14:textId="762722DA" w:rsidR="00B043E8" w:rsidRPr="00900ADE" w:rsidRDefault="00B043E8" w:rsidP="00CD7EAE">
            <w:pPr>
              <w:pStyle w:val="TableColHeadingCenter"/>
              <w:spacing w:before="2" w:after="2" w:line="240" w:lineRule="auto"/>
            </w:pPr>
            <w:r w:rsidRPr="00900ADE">
              <w:t xml:space="preserve"># </w:t>
            </w:r>
            <w:r w:rsidR="00CD7EAE" w:rsidRPr="00900ADE">
              <w:t>i</w:t>
            </w:r>
            <w:r w:rsidRPr="00900ADE">
              <w:t>ncluded (2024)</w:t>
            </w:r>
          </w:p>
        </w:tc>
        <w:tc>
          <w:tcPr>
            <w:tcW w:w="354" w:type="pct"/>
            <w:vAlign w:val="center"/>
          </w:tcPr>
          <w:p w14:paraId="1468485A" w14:textId="77777777" w:rsidR="00B043E8" w:rsidRPr="00900ADE" w:rsidRDefault="00B043E8" w:rsidP="00CD7EAE">
            <w:pPr>
              <w:pStyle w:val="TableColHeadingCenter"/>
              <w:spacing w:before="2" w:after="2" w:line="240" w:lineRule="auto"/>
            </w:pPr>
            <w:r w:rsidRPr="00900ADE">
              <w:t>% M/E 2022</w:t>
            </w:r>
          </w:p>
        </w:tc>
        <w:tc>
          <w:tcPr>
            <w:tcW w:w="355" w:type="pct"/>
            <w:vAlign w:val="center"/>
          </w:tcPr>
          <w:p w14:paraId="7FAC73AB" w14:textId="77777777" w:rsidR="00B043E8" w:rsidRPr="00900ADE" w:rsidRDefault="00B043E8" w:rsidP="00CD7EAE">
            <w:pPr>
              <w:pStyle w:val="TableColHeadingCenter"/>
              <w:spacing w:before="2" w:after="2" w:line="240" w:lineRule="auto"/>
            </w:pPr>
            <w:r w:rsidRPr="00900ADE">
              <w:t>% M/E 2023</w:t>
            </w:r>
          </w:p>
        </w:tc>
        <w:tc>
          <w:tcPr>
            <w:tcW w:w="354" w:type="pct"/>
            <w:vAlign w:val="center"/>
          </w:tcPr>
          <w:p w14:paraId="15DE5232" w14:textId="77777777" w:rsidR="00B043E8" w:rsidRPr="00900ADE" w:rsidRDefault="00B043E8" w:rsidP="00CD7EAE">
            <w:pPr>
              <w:pStyle w:val="TableColHeadingCenter"/>
              <w:spacing w:before="2" w:after="2" w:line="240" w:lineRule="auto"/>
            </w:pPr>
            <w:r w:rsidRPr="00900ADE">
              <w:t>% M/E 2024</w:t>
            </w:r>
          </w:p>
        </w:tc>
        <w:tc>
          <w:tcPr>
            <w:tcW w:w="355" w:type="pct"/>
            <w:vAlign w:val="center"/>
          </w:tcPr>
          <w:p w14:paraId="0D04115F" w14:textId="30D5C3AC" w:rsidR="00B043E8" w:rsidRPr="00900ADE" w:rsidRDefault="00B043E8" w:rsidP="00CD7EAE">
            <w:pPr>
              <w:pStyle w:val="TableColHeadingCenter"/>
              <w:spacing w:before="2" w:after="2" w:line="240" w:lineRule="auto"/>
            </w:pPr>
            <w:r w:rsidRPr="00900ADE">
              <w:t xml:space="preserve">% M/E 2024 </w:t>
            </w:r>
            <w:r w:rsidR="00C631D2">
              <w:t>S</w:t>
            </w:r>
            <w:r w:rsidRPr="00900ADE">
              <w:t>tate</w:t>
            </w:r>
          </w:p>
        </w:tc>
        <w:tc>
          <w:tcPr>
            <w:tcW w:w="355" w:type="pct"/>
            <w:vAlign w:val="center"/>
          </w:tcPr>
          <w:p w14:paraId="701B2EBE" w14:textId="77777777" w:rsidR="00B043E8" w:rsidRPr="00900ADE" w:rsidRDefault="00B043E8" w:rsidP="00CD7EAE">
            <w:pPr>
              <w:pStyle w:val="TableColHeadingCenter"/>
              <w:spacing w:before="2" w:after="2" w:line="240" w:lineRule="auto"/>
            </w:pPr>
            <w:r w:rsidRPr="00900ADE">
              <w:t>% PME 2022</w:t>
            </w:r>
          </w:p>
        </w:tc>
        <w:tc>
          <w:tcPr>
            <w:tcW w:w="355" w:type="pct"/>
            <w:vAlign w:val="center"/>
          </w:tcPr>
          <w:p w14:paraId="5DDD28EE" w14:textId="77777777" w:rsidR="00B043E8" w:rsidRPr="00900ADE" w:rsidRDefault="00B043E8" w:rsidP="00CD7EAE">
            <w:pPr>
              <w:pStyle w:val="TableColHeadingCenter"/>
              <w:spacing w:before="2" w:after="2" w:line="240" w:lineRule="auto"/>
            </w:pPr>
            <w:r w:rsidRPr="00900ADE">
              <w:t>% PME 2023</w:t>
            </w:r>
          </w:p>
        </w:tc>
        <w:tc>
          <w:tcPr>
            <w:tcW w:w="355" w:type="pct"/>
            <w:vAlign w:val="center"/>
          </w:tcPr>
          <w:p w14:paraId="087820AF" w14:textId="77777777" w:rsidR="00B043E8" w:rsidRPr="00900ADE" w:rsidRDefault="00B043E8" w:rsidP="00CD7EAE">
            <w:pPr>
              <w:pStyle w:val="TableColHeadingCenter"/>
              <w:spacing w:before="2" w:after="2" w:line="240" w:lineRule="auto"/>
            </w:pPr>
            <w:r w:rsidRPr="00900ADE">
              <w:t>% PME 2024</w:t>
            </w:r>
          </w:p>
        </w:tc>
        <w:tc>
          <w:tcPr>
            <w:tcW w:w="356" w:type="pct"/>
            <w:vAlign w:val="center"/>
          </w:tcPr>
          <w:p w14:paraId="038A9479" w14:textId="0CD699CD" w:rsidR="00B043E8" w:rsidRPr="00900ADE" w:rsidRDefault="00B043E8" w:rsidP="00CD7EAE">
            <w:pPr>
              <w:pStyle w:val="TableColHeadingCenter"/>
              <w:spacing w:before="2" w:after="2" w:line="240" w:lineRule="auto"/>
            </w:pPr>
            <w:r w:rsidRPr="00900ADE">
              <w:t xml:space="preserve">% PME 2024 </w:t>
            </w:r>
            <w:r w:rsidR="00C631D2">
              <w:t>S</w:t>
            </w:r>
            <w:r w:rsidRPr="00900ADE">
              <w:t>tate</w:t>
            </w:r>
          </w:p>
        </w:tc>
        <w:tc>
          <w:tcPr>
            <w:tcW w:w="354" w:type="pct"/>
            <w:vAlign w:val="center"/>
          </w:tcPr>
          <w:p w14:paraId="766E9097" w14:textId="77777777" w:rsidR="00B043E8" w:rsidRPr="00900ADE" w:rsidRDefault="00B043E8" w:rsidP="00CD7EAE">
            <w:pPr>
              <w:pStyle w:val="TableColHeadingCenter"/>
              <w:spacing w:before="2" w:after="2" w:line="240" w:lineRule="auto"/>
            </w:pPr>
            <w:r w:rsidRPr="00900ADE">
              <w:t>% NM 2022</w:t>
            </w:r>
          </w:p>
        </w:tc>
        <w:tc>
          <w:tcPr>
            <w:tcW w:w="355" w:type="pct"/>
            <w:vAlign w:val="center"/>
          </w:tcPr>
          <w:p w14:paraId="0AADD843" w14:textId="77777777" w:rsidR="00B043E8" w:rsidRPr="00900ADE" w:rsidRDefault="00B043E8" w:rsidP="00CD7EAE">
            <w:pPr>
              <w:pStyle w:val="TableColHeadingCenter"/>
              <w:spacing w:before="2" w:after="2" w:line="240" w:lineRule="auto"/>
            </w:pPr>
            <w:r w:rsidRPr="00900ADE">
              <w:t>% NM 2023</w:t>
            </w:r>
          </w:p>
        </w:tc>
        <w:tc>
          <w:tcPr>
            <w:tcW w:w="354" w:type="pct"/>
            <w:vAlign w:val="center"/>
          </w:tcPr>
          <w:p w14:paraId="4A4E28ED" w14:textId="77777777" w:rsidR="00B043E8" w:rsidRPr="00900ADE" w:rsidRDefault="00B043E8" w:rsidP="00CD7EAE">
            <w:pPr>
              <w:pStyle w:val="TableColHeadingCenter"/>
              <w:spacing w:before="2" w:after="2" w:line="240" w:lineRule="auto"/>
            </w:pPr>
            <w:r w:rsidRPr="00900ADE">
              <w:t>% NM 2024</w:t>
            </w:r>
          </w:p>
        </w:tc>
        <w:tc>
          <w:tcPr>
            <w:tcW w:w="353" w:type="pct"/>
            <w:vAlign w:val="center"/>
          </w:tcPr>
          <w:p w14:paraId="3384FAD8" w14:textId="46750173" w:rsidR="00B043E8" w:rsidRPr="00900ADE" w:rsidRDefault="00B043E8" w:rsidP="00CD7EAE">
            <w:pPr>
              <w:pStyle w:val="TableColHeadingCenter"/>
              <w:spacing w:before="2" w:after="2" w:line="240" w:lineRule="auto"/>
            </w:pPr>
            <w:r w:rsidRPr="00900ADE">
              <w:t xml:space="preserve">% NM 2024 </w:t>
            </w:r>
            <w:r w:rsidR="00BD2547">
              <w:t>S</w:t>
            </w:r>
            <w:r w:rsidRPr="00900ADE">
              <w:t>tate</w:t>
            </w:r>
          </w:p>
        </w:tc>
      </w:tr>
      <w:tr w:rsidR="00B043E8" w:rsidRPr="00900ADE" w14:paraId="18BC5392"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3BCADCE"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3</w:t>
            </w:r>
          </w:p>
        </w:tc>
        <w:tc>
          <w:tcPr>
            <w:tcW w:w="374" w:type="pct"/>
            <w:vAlign w:val="center"/>
          </w:tcPr>
          <w:p w14:paraId="0864A1D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166</w:t>
            </w:r>
          </w:p>
        </w:tc>
        <w:tc>
          <w:tcPr>
            <w:tcW w:w="354" w:type="pct"/>
            <w:vAlign w:val="center"/>
          </w:tcPr>
          <w:p w14:paraId="17A24F9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72</w:t>
            </w:r>
          </w:p>
        </w:tc>
        <w:tc>
          <w:tcPr>
            <w:tcW w:w="355" w:type="pct"/>
            <w:vAlign w:val="center"/>
          </w:tcPr>
          <w:p w14:paraId="48D3FF1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67</w:t>
            </w:r>
          </w:p>
        </w:tc>
        <w:tc>
          <w:tcPr>
            <w:tcW w:w="354" w:type="pct"/>
            <w:vAlign w:val="center"/>
          </w:tcPr>
          <w:p w14:paraId="07EDE7C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63</w:t>
            </w:r>
          </w:p>
        </w:tc>
        <w:tc>
          <w:tcPr>
            <w:tcW w:w="355" w:type="pct"/>
            <w:vAlign w:val="center"/>
          </w:tcPr>
          <w:p w14:paraId="4CE18FA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42</w:t>
            </w:r>
          </w:p>
        </w:tc>
        <w:tc>
          <w:tcPr>
            <w:tcW w:w="355" w:type="pct"/>
            <w:vAlign w:val="center"/>
          </w:tcPr>
          <w:p w14:paraId="045051F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24</w:t>
            </w:r>
          </w:p>
        </w:tc>
        <w:tc>
          <w:tcPr>
            <w:tcW w:w="355" w:type="pct"/>
            <w:vAlign w:val="center"/>
          </w:tcPr>
          <w:p w14:paraId="1864F381"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25</w:t>
            </w:r>
          </w:p>
        </w:tc>
        <w:tc>
          <w:tcPr>
            <w:tcW w:w="355" w:type="pct"/>
            <w:vAlign w:val="center"/>
          </w:tcPr>
          <w:p w14:paraId="73DE6AFC"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32</w:t>
            </w:r>
          </w:p>
        </w:tc>
        <w:tc>
          <w:tcPr>
            <w:tcW w:w="356" w:type="pct"/>
            <w:vAlign w:val="center"/>
          </w:tcPr>
          <w:p w14:paraId="36BB3E8F"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40</w:t>
            </w:r>
          </w:p>
        </w:tc>
        <w:tc>
          <w:tcPr>
            <w:tcW w:w="354" w:type="pct"/>
            <w:vAlign w:val="center"/>
          </w:tcPr>
          <w:p w14:paraId="485BB4E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w:t>
            </w:r>
          </w:p>
        </w:tc>
        <w:tc>
          <w:tcPr>
            <w:tcW w:w="355" w:type="pct"/>
            <w:vAlign w:val="center"/>
          </w:tcPr>
          <w:p w14:paraId="01383AFF"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8</w:t>
            </w:r>
          </w:p>
        </w:tc>
        <w:tc>
          <w:tcPr>
            <w:tcW w:w="354" w:type="pct"/>
            <w:vAlign w:val="center"/>
          </w:tcPr>
          <w:p w14:paraId="653BEEC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w:t>
            </w:r>
          </w:p>
        </w:tc>
        <w:tc>
          <w:tcPr>
            <w:tcW w:w="353" w:type="pct"/>
            <w:vAlign w:val="bottom"/>
          </w:tcPr>
          <w:p w14:paraId="47440D3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18</w:t>
            </w:r>
          </w:p>
        </w:tc>
      </w:tr>
      <w:tr w:rsidR="00B043E8" w:rsidRPr="00900ADE" w14:paraId="74885411" w14:textId="77777777" w:rsidTr="00517B62">
        <w:trPr>
          <w:jc w:val="center"/>
        </w:trPr>
        <w:tc>
          <w:tcPr>
            <w:tcW w:w="371" w:type="pct"/>
          </w:tcPr>
          <w:p w14:paraId="0BDED84A"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4</w:t>
            </w:r>
          </w:p>
        </w:tc>
        <w:tc>
          <w:tcPr>
            <w:tcW w:w="374" w:type="pct"/>
            <w:vAlign w:val="center"/>
          </w:tcPr>
          <w:p w14:paraId="7F1C56F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186</w:t>
            </w:r>
          </w:p>
        </w:tc>
        <w:tc>
          <w:tcPr>
            <w:tcW w:w="354" w:type="pct"/>
            <w:vAlign w:val="center"/>
          </w:tcPr>
          <w:p w14:paraId="7D41118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58</w:t>
            </w:r>
          </w:p>
        </w:tc>
        <w:tc>
          <w:tcPr>
            <w:tcW w:w="355" w:type="pct"/>
            <w:vAlign w:val="center"/>
          </w:tcPr>
          <w:p w14:paraId="444A531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62</w:t>
            </w:r>
          </w:p>
        </w:tc>
        <w:tc>
          <w:tcPr>
            <w:tcW w:w="354" w:type="pct"/>
            <w:vAlign w:val="center"/>
          </w:tcPr>
          <w:p w14:paraId="72636F1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44</w:t>
            </w:r>
          </w:p>
        </w:tc>
        <w:tc>
          <w:tcPr>
            <w:tcW w:w="355" w:type="pct"/>
            <w:vAlign w:val="center"/>
          </w:tcPr>
          <w:p w14:paraId="6BAA240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37</w:t>
            </w:r>
          </w:p>
        </w:tc>
        <w:tc>
          <w:tcPr>
            <w:tcW w:w="355" w:type="pct"/>
            <w:vAlign w:val="center"/>
          </w:tcPr>
          <w:p w14:paraId="79358D8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37</w:t>
            </w:r>
          </w:p>
        </w:tc>
        <w:tc>
          <w:tcPr>
            <w:tcW w:w="355" w:type="pct"/>
            <w:vAlign w:val="center"/>
          </w:tcPr>
          <w:p w14:paraId="1683D55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31</w:t>
            </w:r>
          </w:p>
        </w:tc>
        <w:tc>
          <w:tcPr>
            <w:tcW w:w="355" w:type="pct"/>
            <w:vAlign w:val="center"/>
          </w:tcPr>
          <w:p w14:paraId="5A9CBF0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47</w:t>
            </w:r>
          </w:p>
        </w:tc>
        <w:tc>
          <w:tcPr>
            <w:tcW w:w="356" w:type="pct"/>
            <w:vAlign w:val="center"/>
          </w:tcPr>
          <w:p w14:paraId="4A59478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45</w:t>
            </w:r>
          </w:p>
        </w:tc>
        <w:tc>
          <w:tcPr>
            <w:tcW w:w="354" w:type="pct"/>
            <w:vAlign w:val="center"/>
          </w:tcPr>
          <w:p w14:paraId="5E192981"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w:t>
            </w:r>
          </w:p>
        </w:tc>
        <w:tc>
          <w:tcPr>
            <w:tcW w:w="355" w:type="pct"/>
            <w:vAlign w:val="center"/>
          </w:tcPr>
          <w:p w14:paraId="065A2D8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w:t>
            </w:r>
          </w:p>
        </w:tc>
        <w:tc>
          <w:tcPr>
            <w:tcW w:w="354" w:type="pct"/>
            <w:vAlign w:val="center"/>
          </w:tcPr>
          <w:p w14:paraId="4C92657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9</w:t>
            </w:r>
          </w:p>
        </w:tc>
        <w:tc>
          <w:tcPr>
            <w:tcW w:w="353" w:type="pct"/>
            <w:vAlign w:val="bottom"/>
          </w:tcPr>
          <w:p w14:paraId="274A9D7C"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19</w:t>
            </w:r>
          </w:p>
        </w:tc>
      </w:tr>
      <w:tr w:rsidR="00B043E8" w:rsidRPr="00900ADE" w14:paraId="5EC2832D"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D0E0EF5"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5</w:t>
            </w:r>
          </w:p>
        </w:tc>
        <w:tc>
          <w:tcPr>
            <w:tcW w:w="374" w:type="pct"/>
            <w:vAlign w:val="center"/>
          </w:tcPr>
          <w:p w14:paraId="0F608D5F"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163</w:t>
            </w:r>
          </w:p>
        </w:tc>
        <w:tc>
          <w:tcPr>
            <w:tcW w:w="354" w:type="pct"/>
            <w:vAlign w:val="center"/>
          </w:tcPr>
          <w:p w14:paraId="061C2A1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59</w:t>
            </w:r>
          </w:p>
        </w:tc>
        <w:tc>
          <w:tcPr>
            <w:tcW w:w="355" w:type="pct"/>
            <w:vAlign w:val="center"/>
          </w:tcPr>
          <w:p w14:paraId="018861A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50</w:t>
            </w:r>
          </w:p>
        </w:tc>
        <w:tc>
          <w:tcPr>
            <w:tcW w:w="354" w:type="pct"/>
            <w:vAlign w:val="center"/>
          </w:tcPr>
          <w:p w14:paraId="6816B8E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59</w:t>
            </w:r>
          </w:p>
        </w:tc>
        <w:tc>
          <w:tcPr>
            <w:tcW w:w="355" w:type="pct"/>
            <w:vAlign w:val="center"/>
          </w:tcPr>
          <w:p w14:paraId="4ABF639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38</w:t>
            </w:r>
          </w:p>
        </w:tc>
        <w:tc>
          <w:tcPr>
            <w:tcW w:w="355" w:type="pct"/>
            <w:vAlign w:val="center"/>
          </w:tcPr>
          <w:p w14:paraId="2B5C3A4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36</w:t>
            </w:r>
          </w:p>
        </w:tc>
        <w:tc>
          <w:tcPr>
            <w:tcW w:w="355" w:type="pct"/>
            <w:vAlign w:val="center"/>
          </w:tcPr>
          <w:p w14:paraId="0C336B0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43</w:t>
            </w:r>
          </w:p>
        </w:tc>
        <w:tc>
          <w:tcPr>
            <w:tcW w:w="355" w:type="pct"/>
            <w:vAlign w:val="center"/>
          </w:tcPr>
          <w:p w14:paraId="2B9E248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37</w:t>
            </w:r>
          </w:p>
        </w:tc>
        <w:tc>
          <w:tcPr>
            <w:tcW w:w="356" w:type="pct"/>
            <w:vAlign w:val="center"/>
          </w:tcPr>
          <w:p w14:paraId="6CECAE0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46</w:t>
            </w:r>
          </w:p>
        </w:tc>
        <w:tc>
          <w:tcPr>
            <w:tcW w:w="354" w:type="pct"/>
            <w:vAlign w:val="center"/>
          </w:tcPr>
          <w:p w14:paraId="4EDD31F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w:t>
            </w:r>
          </w:p>
        </w:tc>
        <w:tc>
          <w:tcPr>
            <w:tcW w:w="355" w:type="pct"/>
            <w:vAlign w:val="center"/>
          </w:tcPr>
          <w:p w14:paraId="16D2881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8</w:t>
            </w:r>
          </w:p>
        </w:tc>
        <w:tc>
          <w:tcPr>
            <w:tcW w:w="354" w:type="pct"/>
            <w:vAlign w:val="center"/>
          </w:tcPr>
          <w:p w14:paraId="25BC303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w:t>
            </w:r>
          </w:p>
        </w:tc>
        <w:tc>
          <w:tcPr>
            <w:tcW w:w="353" w:type="pct"/>
            <w:vAlign w:val="bottom"/>
          </w:tcPr>
          <w:p w14:paraId="3F91FDC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16</w:t>
            </w:r>
          </w:p>
        </w:tc>
      </w:tr>
      <w:tr w:rsidR="00B043E8" w:rsidRPr="00900ADE" w14:paraId="226DCBC2" w14:textId="77777777" w:rsidTr="00517B62">
        <w:trPr>
          <w:jc w:val="center"/>
        </w:trPr>
        <w:tc>
          <w:tcPr>
            <w:tcW w:w="371" w:type="pct"/>
          </w:tcPr>
          <w:p w14:paraId="672F5027"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6</w:t>
            </w:r>
          </w:p>
        </w:tc>
        <w:tc>
          <w:tcPr>
            <w:tcW w:w="374" w:type="pct"/>
            <w:vAlign w:val="center"/>
          </w:tcPr>
          <w:p w14:paraId="1D22DD3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171</w:t>
            </w:r>
          </w:p>
        </w:tc>
        <w:tc>
          <w:tcPr>
            <w:tcW w:w="354" w:type="pct"/>
            <w:vAlign w:val="center"/>
          </w:tcPr>
          <w:p w14:paraId="5D8D097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56</w:t>
            </w:r>
          </w:p>
        </w:tc>
        <w:tc>
          <w:tcPr>
            <w:tcW w:w="355" w:type="pct"/>
            <w:vAlign w:val="center"/>
          </w:tcPr>
          <w:p w14:paraId="06B080C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61</w:t>
            </w:r>
          </w:p>
        </w:tc>
        <w:tc>
          <w:tcPr>
            <w:tcW w:w="354" w:type="pct"/>
            <w:vAlign w:val="center"/>
          </w:tcPr>
          <w:p w14:paraId="3C484F3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53</w:t>
            </w:r>
          </w:p>
        </w:tc>
        <w:tc>
          <w:tcPr>
            <w:tcW w:w="355" w:type="pct"/>
            <w:vAlign w:val="center"/>
          </w:tcPr>
          <w:p w14:paraId="3D14E34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40</w:t>
            </w:r>
          </w:p>
        </w:tc>
        <w:tc>
          <w:tcPr>
            <w:tcW w:w="355" w:type="pct"/>
            <w:vAlign w:val="center"/>
          </w:tcPr>
          <w:p w14:paraId="655FE7E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31</w:t>
            </w:r>
          </w:p>
        </w:tc>
        <w:tc>
          <w:tcPr>
            <w:tcW w:w="355" w:type="pct"/>
            <w:vAlign w:val="center"/>
          </w:tcPr>
          <w:p w14:paraId="2B50128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27</w:t>
            </w:r>
          </w:p>
        </w:tc>
        <w:tc>
          <w:tcPr>
            <w:tcW w:w="355" w:type="pct"/>
            <w:vAlign w:val="center"/>
          </w:tcPr>
          <w:p w14:paraId="39E2E8A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32</w:t>
            </w:r>
          </w:p>
        </w:tc>
        <w:tc>
          <w:tcPr>
            <w:tcW w:w="356" w:type="pct"/>
            <w:vAlign w:val="center"/>
          </w:tcPr>
          <w:p w14:paraId="5104504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35</w:t>
            </w:r>
          </w:p>
        </w:tc>
        <w:tc>
          <w:tcPr>
            <w:tcW w:w="354" w:type="pct"/>
            <w:vAlign w:val="center"/>
          </w:tcPr>
          <w:p w14:paraId="2D89303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12</w:t>
            </w:r>
          </w:p>
        </w:tc>
        <w:tc>
          <w:tcPr>
            <w:tcW w:w="355" w:type="pct"/>
            <w:vAlign w:val="center"/>
          </w:tcPr>
          <w:p w14:paraId="030BF8E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12</w:t>
            </w:r>
          </w:p>
        </w:tc>
        <w:tc>
          <w:tcPr>
            <w:tcW w:w="354" w:type="pct"/>
            <w:vAlign w:val="center"/>
          </w:tcPr>
          <w:p w14:paraId="7D57F1C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15</w:t>
            </w:r>
          </w:p>
        </w:tc>
        <w:tc>
          <w:tcPr>
            <w:tcW w:w="353" w:type="pct"/>
            <w:vAlign w:val="bottom"/>
          </w:tcPr>
          <w:p w14:paraId="31E467C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25</w:t>
            </w:r>
          </w:p>
        </w:tc>
      </w:tr>
      <w:tr w:rsidR="00B043E8" w:rsidRPr="00900ADE" w14:paraId="5E2398F7"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92E871F"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7</w:t>
            </w:r>
          </w:p>
        </w:tc>
        <w:tc>
          <w:tcPr>
            <w:tcW w:w="374" w:type="pct"/>
            <w:vAlign w:val="center"/>
          </w:tcPr>
          <w:p w14:paraId="3902B29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159</w:t>
            </w:r>
          </w:p>
        </w:tc>
        <w:tc>
          <w:tcPr>
            <w:tcW w:w="354" w:type="pct"/>
            <w:vAlign w:val="center"/>
          </w:tcPr>
          <w:p w14:paraId="3789134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42</w:t>
            </w:r>
          </w:p>
        </w:tc>
        <w:tc>
          <w:tcPr>
            <w:tcW w:w="355" w:type="pct"/>
            <w:vAlign w:val="center"/>
          </w:tcPr>
          <w:p w14:paraId="20B58A4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50</w:t>
            </w:r>
          </w:p>
        </w:tc>
        <w:tc>
          <w:tcPr>
            <w:tcW w:w="354" w:type="pct"/>
            <w:vAlign w:val="center"/>
          </w:tcPr>
          <w:p w14:paraId="6F856B9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53</w:t>
            </w:r>
          </w:p>
        </w:tc>
        <w:tc>
          <w:tcPr>
            <w:tcW w:w="355" w:type="pct"/>
            <w:vAlign w:val="center"/>
          </w:tcPr>
          <w:p w14:paraId="6C7DCF2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36</w:t>
            </w:r>
          </w:p>
        </w:tc>
        <w:tc>
          <w:tcPr>
            <w:tcW w:w="355" w:type="pct"/>
            <w:vAlign w:val="center"/>
          </w:tcPr>
          <w:p w14:paraId="318208A1"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43</w:t>
            </w:r>
          </w:p>
        </w:tc>
        <w:tc>
          <w:tcPr>
            <w:tcW w:w="355" w:type="pct"/>
            <w:vAlign w:val="center"/>
          </w:tcPr>
          <w:p w14:paraId="6491D82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40</w:t>
            </w:r>
          </w:p>
        </w:tc>
        <w:tc>
          <w:tcPr>
            <w:tcW w:w="355" w:type="pct"/>
            <w:vAlign w:val="center"/>
          </w:tcPr>
          <w:p w14:paraId="4A1D93C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33</w:t>
            </w:r>
          </w:p>
        </w:tc>
        <w:tc>
          <w:tcPr>
            <w:tcW w:w="356" w:type="pct"/>
            <w:vAlign w:val="center"/>
          </w:tcPr>
          <w:p w14:paraId="6BBB03B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42</w:t>
            </w:r>
          </w:p>
        </w:tc>
        <w:tc>
          <w:tcPr>
            <w:tcW w:w="354" w:type="pct"/>
            <w:vAlign w:val="center"/>
          </w:tcPr>
          <w:p w14:paraId="0089ABA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14</w:t>
            </w:r>
          </w:p>
        </w:tc>
        <w:tc>
          <w:tcPr>
            <w:tcW w:w="355" w:type="pct"/>
            <w:vAlign w:val="center"/>
          </w:tcPr>
          <w:p w14:paraId="3C8B771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9</w:t>
            </w:r>
          </w:p>
        </w:tc>
        <w:tc>
          <w:tcPr>
            <w:tcW w:w="354" w:type="pct"/>
            <w:vAlign w:val="center"/>
          </w:tcPr>
          <w:p w14:paraId="4D64A17F"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13</w:t>
            </w:r>
          </w:p>
        </w:tc>
        <w:tc>
          <w:tcPr>
            <w:tcW w:w="353" w:type="pct"/>
            <w:vAlign w:val="bottom"/>
          </w:tcPr>
          <w:p w14:paraId="289458E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22</w:t>
            </w:r>
          </w:p>
        </w:tc>
      </w:tr>
      <w:tr w:rsidR="00B043E8" w:rsidRPr="00900ADE" w14:paraId="67656915" w14:textId="77777777" w:rsidTr="00517B62">
        <w:trPr>
          <w:jc w:val="center"/>
        </w:trPr>
        <w:tc>
          <w:tcPr>
            <w:tcW w:w="371" w:type="pct"/>
          </w:tcPr>
          <w:p w14:paraId="16B03006"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8</w:t>
            </w:r>
          </w:p>
        </w:tc>
        <w:tc>
          <w:tcPr>
            <w:tcW w:w="374" w:type="pct"/>
            <w:vAlign w:val="center"/>
          </w:tcPr>
          <w:p w14:paraId="002F061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180</w:t>
            </w:r>
          </w:p>
        </w:tc>
        <w:tc>
          <w:tcPr>
            <w:tcW w:w="354" w:type="pct"/>
            <w:vAlign w:val="center"/>
          </w:tcPr>
          <w:p w14:paraId="270849E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46</w:t>
            </w:r>
          </w:p>
        </w:tc>
        <w:tc>
          <w:tcPr>
            <w:tcW w:w="355" w:type="pct"/>
            <w:vAlign w:val="center"/>
          </w:tcPr>
          <w:p w14:paraId="04084F0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41</w:t>
            </w:r>
          </w:p>
        </w:tc>
        <w:tc>
          <w:tcPr>
            <w:tcW w:w="354" w:type="pct"/>
            <w:vAlign w:val="center"/>
          </w:tcPr>
          <w:p w14:paraId="4DCCB08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56</w:t>
            </w:r>
          </w:p>
        </w:tc>
        <w:tc>
          <w:tcPr>
            <w:tcW w:w="355" w:type="pct"/>
            <w:vAlign w:val="center"/>
          </w:tcPr>
          <w:p w14:paraId="409D4E5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43</w:t>
            </w:r>
          </w:p>
        </w:tc>
        <w:tc>
          <w:tcPr>
            <w:tcW w:w="355" w:type="pct"/>
            <w:vAlign w:val="center"/>
          </w:tcPr>
          <w:p w14:paraId="6DD2250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46</w:t>
            </w:r>
          </w:p>
        </w:tc>
        <w:tc>
          <w:tcPr>
            <w:tcW w:w="355" w:type="pct"/>
            <w:vAlign w:val="center"/>
          </w:tcPr>
          <w:p w14:paraId="31E3992C"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45</w:t>
            </w:r>
          </w:p>
        </w:tc>
        <w:tc>
          <w:tcPr>
            <w:tcW w:w="355" w:type="pct"/>
            <w:vAlign w:val="center"/>
          </w:tcPr>
          <w:p w14:paraId="0377EAC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29</w:t>
            </w:r>
          </w:p>
        </w:tc>
        <w:tc>
          <w:tcPr>
            <w:tcW w:w="356" w:type="pct"/>
            <w:vAlign w:val="center"/>
          </w:tcPr>
          <w:p w14:paraId="2A778EB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34</w:t>
            </w:r>
          </w:p>
        </w:tc>
        <w:tc>
          <w:tcPr>
            <w:tcW w:w="354" w:type="pct"/>
            <w:vAlign w:val="center"/>
          </w:tcPr>
          <w:p w14:paraId="47A9FC6F"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8</w:t>
            </w:r>
          </w:p>
        </w:tc>
        <w:tc>
          <w:tcPr>
            <w:tcW w:w="355" w:type="pct"/>
            <w:vAlign w:val="center"/>
          </w:tcPr>
          <w:p w14:paraId="5F4609E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14</w:t>
            </w:r>
          </w:p>
        </w:tc>
        <w:tc>
          <w:tcPr>
            <w:tcW w:w="354" w:type="pct"/>
            <w:vAlign w:val="center"/>
          </w:tcPr>
          <w:p w14:paraId="1CF621F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15</w:t>
            </w:r>
          </w:p>
        </w:tc>
        <w:tc>
          <w:tcPr>
            <w:tcW w:w="353" w:type="pct"/>
            <w:vAlign w:val="bottom"/>
          </w:tcPr>
          <w:p w14:paraId="29817B5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24</w:t>
            </w:r>
          </w:p>
        </w:tc>
      </w:tr>
      <w:tr w:rsidR="00B043E8" w:rsidRPr="00900ADE" w14:paraId="02359A72"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87D3879" w14:textId="77777777" w:rsidR="00B043E8" w:rsidRPr="00900ADE" w:rsidRDefault="00B043E8" w:rsidP="00CD7EAE">
            <w:pPr>
              <w:pStyle w:val="TableText"/>
              <w:spacing w:before="2" w:after="2" w:line="240" w:lineRule="auto"/>
              <w:jc w:val="center"/>
              <w:rPr>
                <w:rFonts w:ascii="Franklin Gothic Book" w:hAnsi="Franklin Gothic Book"/>
                <w:spacing w:val="-4"/>
              </w:rPr>
            </w:pPr>
            <w:r w:rsidRPr="00900ADE">
              <w:rPr>
                <w:rFonts w:ascii="Franklin Gothic Book" w:hAnsi="Franklin Gothic Book"/>
              </w:rPr>
              <w:t>3-8</w:t>
            </w:r>
          </w:p>
        </w:tc>
        <w:tc>
          <w:tcPr>
            <w:tcW w:w="374" w:type="pct"/>
            <w:vAlign w:val="center"/>
          </w:tcPr>
          <w:p w14:paraId="36EC5EB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1,025</w:t>
            </w:r>
          </w:p>
        </w:tc>
        <w:tc>
          <w:tcPr>
            <w:tcW w:w="354" w:type="pct"/>
            <w:vAlign w:val="center"/>
          </w:tcPr>
          <w:p w14:paraId="24FB37E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55</w:t>
            </w:r>
          </w:p>
        </w:tc>
        <w:tc>
          <w:tcPr>
            <w:tcW w:w="355" w:type="pct"/>
            <w:vAlign w:val="center"/>
          </w:tcPr>
          <w:p w14:paraId="549C581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55</w:t>
            </w:r>
          </w:p>
        </w:tc>
        <w:tc>
          <w:tcPr>
            <w:tcW w:w="354" w:type="pct"/>
            <w:vAlign w:val="center"/>
          </w:tcPr>
          <w:p w14:paraId="0CEBFC31"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54</w:t>
            </w:r>
          </w:p>
        </w:tc>
        <w:tc>
          <w:tcPr>
            <w:tcW w:w="355" w:type="pct"/>
            <w:vAlign w:val="center"/>
          </w:tcPr>
          <w:p w14:paraId="5436A01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39</w:t>
            </w:r>
          </w:p>
        </w:tc>
        <w:tc>
          <w:tcPr>
            <w:tcW w:w="355" w:type="pct"/>
            <w:vAlign w:val="center"/>
          </w:tcPr>
          <w:p w14:paraId="4EA9813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37</w:t>
            </w:r>
          </w:p>
        </w:tc>
        <w:tc>
          <w:tcPr>
            <w:tcW w:w="355" w:type="pct"/>
            <w:vAlign w:val="center"/>
          </w:tcPr>
          <w:p w14:paraId="57CE8DB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35</w:t>
            </w:r>
          </w:p>
        </w:tc>
        <w:tc>
          <w:tcPr>
            <w:tcW w:w="355" w:type="pct"/>
            <w:vAlign w:val="center"/>
          </w:tcPr>
          <w:p w14:paraId="2A1F9FE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35</w:t>
            </w:r>
          </w:p>
        </w:tc>
        <w:tc>
          <w:tcPr>
            <w:tcW w:w="356" w:type="pct"/>
            <w:vAlign w:val="center"/>
          </w:tcPr>
          <w:p w14:paraId="1A46A63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40</w:t>
            </w:r>
          </w:p>
        </w:tc>
        <w:tc>
          <w:tcPr>
            <w:tcW w:w="354" w:type="pct"/>
            <w:vAlign w:val="center"/>
          </w:tcPr>
          <w:p w14:paraId="2362FCB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8</w:t>
            </w:r>
          </w:p>
        </w:tc>
        <w:tc>
          <w:tcPr>
            <w:tcW w:w="355" w:type="pct"/>
            <w:vAlign w:val="center"/>
          </w:tcPr>
          <w:p w14:paraId="2785106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10</w:t>
            </w:r>
          </w:p>
        </w:tc>
        <w:tc>
          <w:tcPr>
            <w:tcW w:w="354" w:type="pct"/>
            <w:vAlign w:val="center"/>
          </w:tcPr>
          <w:p w14:paraId="36D3342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10</w:t>
            </w:r>
          </w:p>
        </w:tc>
        <w:tc>
          <w:tcPr>
            <w:tcW w:w="353" w:type="pct"/>
            <w:vAlign w:val="bottom"/>
          </w:tcPr>
          <w:p w14:paraId="5F84BC3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21</w:t>
            </w:r>
          </w:p>
        </w:tc>
      </w:tr>
      <w:tr w:rsidR="00B043E8" w:rsidRPr="00900ADE" w14:paraId="34EC638C" w14:textId="77777777" w:rsidTr="00517B62">
        <w:trPr>
          <w:jc w:val="center"/>
        </w:trPr>
        <w:tc>
          <w:tcPr>
            <w:tcW w:w="371" w:type="pct"/>
          </w:tcPr>
          <w:p w14:paraId="5D72C2AE"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10</w:t>
            </w:r>
          </w:p>
        </w:tc>
        <w:tc>
          <w:tcPr>
            <w:tcW w:w="374" w:type="pct"/>
            <w:vAlign w:val="center"/>
          </w:tcPr>
          <w:p w14:paraId="16A3810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154</w:t>
            </w:r>
          </w:p>
        </w:tc>
        <w:tc>
          <w:tcPr>
            <w:tcW w:w="354" w:type="pct"/>
            <w:vAlign w:val="center"/>
          </w:tcPr>
          <w:p w14:paraId="199AB98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69</w:t>
            </w:r>
          </w:p>
        </w:tc>
        <w:tc>
          <w:tcPr>
            <w:tcW w:w="355" w:type="pct"/>
            <w:vAlign w:val="center"/>
          </w:tcPr>
          <w:p w14:paraId="5FCC0F7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68</w:t>
            </w:r>
          </w:p>
        </w:tc>
        <w:tc>
          <w:tcPr>
            <w:tcW w:w="354" w:type="pct"/>
            <w:vAlign w:val="center"/>
          </w:tcPr>
          <w:p w14:paraId="327919A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73</w:t>
            </w:r>
          </w:p>
        </w:tc>
        <w:tc>
          <w:tcPr>
            <w:tcW w:w="355" w:type="pct"/>
            <w:vAlign w:val="center"/>
          </w:tcPr>
          <w:p w14:paraId="6AD9C69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57</w:t>
            </w:r>
          </w:p>
        </w:tc>
        <w:tc>
          <w:tcPr>
            <w:tcW w:w="355" w:type="pct"/>
            <w:vAlign w:val="center"/>
          </w:tcPr>
          <w:p w14:paraId="3FA4DED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30</w:t>
            </w:r>
          </w:p>
        </w:tc>
        <w:tc>
          <w:tcPr>
            <w:tcW w:w="355" w:type="pct"/>
            <w:vAlign w:val="center"/>
          </w:tcPr>
          <w:p w14:paraId="33065A6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27</w:t>
            </w:r>
          </w:p>
        </w:tc>
        <w:tc>
          <w:tcPr>
            <w:tcW w:w="355" w:type="pct"/>
            <w:vAlign w:val="center"/>
          </w:tcPr>
          <w:p w14:paraId="15C6783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23</w:t>
            </w:r>
          </w:p>
        </w:tc>
        <w:tc>
          <w:tcPr>
            <w:tcW w:w="356" w:type="pct"/>
            <w:vAlign w:val="center"/>
          </w:tcPr>
          <w:p w14:paraId="79FE66D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31</w:t>
            </w:r>
          </w:p>
        </w:tc>
        <w:tc>
          <w:tcPr>
            <w:tcW w:w="354" w:type="pct"/>
            <w:vAlign w:val="center"/>
          </w:tcPr>
          <w:p w14:paraId="2FBC1AE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w:t>
            </w:r>
          </w:p>
        </w:tc>
        <w:tc>
          <w:tcPr>
            <w:tcW w:w="355" w:type="pct"/>
            <w:vAlign w:val="center"/>
          </w:tcPr>
          <w:p w14:paraId="5E61C14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w:t>
            </w:r>
          </w:p>
        </w:tc>
        <w:tc>
          <w:tcPr>
            <w:tcW w:w="354" w:type="pct"/>
            <w:vAlign w:val="center"/>
          </w:tcPr>
          <w:p w14:paraId="673F953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w:t>
            </w:r>
          </w:p>
        </w:tc>
        <w:tc>
          <w:tcPr>
            <w:tcW w:w="353" w:type="pct"/>
            <w:vAlign w:val="bottom"/>
          </w:tcPr>
          <w:p w14:paraId="0D4BEDBF"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12</w:t>
            </w:r>
          </w:p>
        </w:tc>
      </w:tr>
    </w:tbl>
    <w:p w14:paraId="715FAD3C" w14:textId="77777777" w:rsidR="00822854" w:rsidRPr="00900ADE" w:rsidRDefault="00822854" w:rsidP="00822854">
      <w:pPr>
        <w:pStyle w:val="FootnoteText"/>
        <w:spacing w:before="120"/>
      </w:pPr>
      <w:bookmarkStart w:id="209" w:name="_Toc196169620"/>
      <w:bookmarkStart w:id="210" w:name="_Hlk139011901"/>
      <w:r w:rsidRPr="00900ADE">
        <w:rPr>
          <w:i/>
          <w:iCs/>
        </w:rPr>
        <w:t>Note</w:t>
      </w:r>
      <w:r w:rsidRPr="00900ADE">
        <w:t>. M/E = meeting or exceeding expectations; PME = partially meeting expectations; NM = not meeting expectations.</w:t>
      </w:r>
    </w:p>
    <w:p w14:paraId="69727C87" w14:textId="77777777" w:rsidR="00B043E8" w:rsidRPr="00900ADE" w:rsidRDefault="00B043E8" w:rsidP="0033483C">
      <w:pPr>
        <w:pStyle w:val="TableETitle"/>
        <w:spacing w:before="60"/>
      </w:pPr>
      <w:r w:rsidRPr="00900ADE">
        <w:t>Table E8. MCAS Mathematics Achievement by Grade, 2022-2024</w:t>
      </w:r>
      <w:bookmarkEnd w:id="209"/>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CD7EAE" w:rsidRPr="00900ADE" w14:paraId="15AFE8B0" w14:textId="77777777" w:rsidTr="00517B62">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6820388F" w14:textId="77777777" w:rsidR="00B043E8" w:rsidRPr="00900ADE" w:rsidRDefault="00B043E8" w:rsidP="00CD7EAE">
            <w:pPr>
              <w:pStyle w:val="TableColHeadingCenter"/>
              <w:spacing w:before="2" w:after="2" w:line="240" w:lineRule="auto"/>
            </w:pPr>
            <w:r w:rsidRPr="00900ADE">
              <w:t>Grade</w:t>
            </w:r>
          </w:p>
        </w:tc>
        <w:tc>
          <w:tcPr>
            <w:tcW w:w="374" w:type="pct"/>
            <w:vAlign w:val="center"/>
          </w:tcPr>
          <w:p w14:paraId="3726A6E8" w14:textId="6AD4A78F" w:rsidR="00B043E8" w:rsidRPr="00900ADE" w:rsidRDefault="00B043E8" w:rsidP="00CD7EAE">
            <w:pPr>
              <w:pStyle w:val="TableColHeadingCenter"/>
              <w:spacing w:before="2" w:after="2" w:line="240" w:lineRule="auto"/>
            </w:pPr>
            <w:r w:rsidRPr="00900ADE">
              <w:t xml:space="preserve"># </w:t>
            </w:r>
            <w:r w:rsidR="00CD7EAE" w:rsidRPr="00900ADE">
              <w:t>i</w:t>
            </w:r>
            <w:r w:rsidRPr="00900ADE">
              <w:t>ncluded (2024)</w:t>
            </w:r>
          </w:p>
        </w:tc>
        <w:tc>
          <w:tcPr>
            <w:tcW w:w="354" w:type="pct"/>
            <w:vAlign w:val="center"/>
          </w:tcPr>
          <w:p w14:paraId="60DDEDC4" w14:textId="77777777" w:rsidR="00B043E8" w:rsidRPr="00900ADE" w:rsidRDefault="00B043E8" w:rsidP="00CD7EAE">
            <w:pPr>
              <w:pStyle w:val="TableColHeadingCenter"/>
              <w:spacing w:before="2" w:after="2" w:line="240" w:lineRule="auto"/>
            </w:pPr>
            <w:r w:rsidRPr="00900ADE">
              <w:t>% M/E 2022</w:t>
            </w:r>
          </w:p>
        </w:tc>
        <w:tc>
          <w:tcPr>
            <w:tcW w:w="355" w:type="pct"/>
            <w:vAlign w:val="center"/>
          </w:tcPr>
          <w:p w14:paraId="3CF77017" w14:textId="77777777" w:rsidR="00B043E8" w:rsidRPr="00900ADE" w:rsidRDefault="00B043E8" w:rsidP="00CD7EAE">
            <w:pPr>
              <w:pStyle w:val="TableColHeadingCenter"/>
              <w:spacing w:before="2" w:after="2" w:line="240" w:lineRule="auto"/>
            </w:pPr>
            <w:r w:rsidRPr="00900ADE">
              <w:t>% M/E 2023</w:t>
            </w:r>
          </w:p>
        </w:tc>
        <w:tc>
          <w:tcPr>
            <w:tcW w:w="354" w:type="pct"/>
            <w:vAlign w:val="center"/>
          </w:tcPr>
          <w:p w14:paraId="7B93EDCE" w14:textId="77777777" w:rsidR="00B043E8" w:rsidRPr="00900ADE" w:rsidRDefault="00B043E8" w:rsidP="00CD7EAE">
            <w:pPr>
              <w:pStyle w:val="TableColHeadingCenter"/>
              <w:spacing w:before="2" w:after="2" w:line="240" w:lineRule="auto"/>
            </w:pPr>
            <w:r w:rsidRPr="00900ADE">
              <w:t>% M/E 2024</w:t>
            </w:r>
          </w:p>
        </w:tc>
        <w:tc>
          <w:tcPr>
            <w:tcW w:w="355" w:type="pct"/>
            <w:vAlign w:val="center"/>
          </w:tcPr>
          <w:p w14:paraId="7516F4AA" w14:textId="5613519A" w:rsidR="00B043E8" w:rsidRPr="00900ADE" w:rsidRDefault="00B043E8" w:rsidP="00CD7EAE">
            <w:pPr>
              <w:pStyle w:val="TableColHeadingCenter"/>
              <w:spacing w:before="2" w:after="2" w:line="240" w:lineRule="auto"/>
            </w:pPr>
            <w:r w:rsidRPr="00900ADE">
              <w:t xml:space="preserve">% M/E 2024 </w:t>
            </w:r>
            <w:r w:rsidR="00127B6C">
              <w:t>S</w:t>
            </w:r>
            <w:r w:rsidRPr="00900ADE">
              <w:t>tate</w:t>
            </w:r>
          </w:p>
        </w:tc>
        <w:tc>
          <w:tcPr>
            <w:tcW w:w="355" w:type="pct"/>
            <w:vAlign w:val="center"/>
          </w:tcPr>
          <w:p w14:paraId="0CB50F47" w14:textId="77777777" w:rsidR="00B043E8" w:rsidRPr="00900ADE" w:rsidRDefault="00B043E8" w:rsidP="00CD7EAE">
            <w:pPr>
              <w:pStyle w:val="TableColHeadingCenter"/>
              <w:spacing w:before="2" w:after="2" w:line="240" w:lineRule="auto"/>
            </w:pPr>
            <w:r w:rsidRPr="00900ADE">
              <w:t>% PME 2022</w:t>
            </w:r>
          </w:p>
        </w:tc>
        <w:tc>
          <w:tcPr>
            <w:tcW w:w="355" w:type="pct"/>
            <w:vAlign w:val="center"/>
          </w:tcPr>
          <w:p w14:paraId="1917D177" w14:textId="77777777" w:rsidR="00B043E8" w:rsidRPr="00900ADE" w:rsidRDefault="00B043E8" w:rsidP="00CD7EAE">
            <w:pPr>
              <w:pStyle w:val="TableColHeadingCenter"/>
              <w:spacing w:before="2" w:after="2" w:line="240" w:lineRule="auto"/>
            </w:pPr>
            <w:r w:rsidRPr="00900ADE">
              <w:t>% PME 2023</w:t>
            </w:r>
          </w:p>
        </w:tc>
        <w:tc>
          <w:tcPr>
            <w:tcW w:w="355" w:type="pct"/>
            <w:vAlign w:val="center"/>
          </w:tcPr>
          <w:p w14:paraId="41CB7E53" w14:textId="77777777" w:rsidR="00B043E8" w:rsidRPr="00900ADE" w:rsidRDefault="00B043E8" w:rsidP="00CD7EAE">
            <w:pPr>
              <w:pStyle w:val="TableColHeadingCenter"/>
              <w:spacing w:before="2" w:after="2" w:line="240" w:lineRule="auto"/>
            </w:pPr>
            <w:r w:rsidRPr="00900ADE">
              <w:t>% PME 2024</w:t>
            </w:r>
          </w:p>
        </w:tc>
        <w:tc>
          <w:tcPr>
            <w:tcW w:w="356" w:type="pct"/>
            <w:vAlign w:val="center"/>
          </w:tcPr>
          <w:p w14:paraId="36BA038E" w14:textId="25C2728D" w:rsidR="00B043E8" w:rsidRPr="00900ADE" w:rsidRDefault="00B043E8" w:rsidP="00CD7EAE">
            <w:pPr>
              <w:pStyle w:val="TableColHeadingCenter"/>
              <w:spacing w:before="2" w:after="2" w:line="240" w:lineRule="auto"/>
            </w:pPr>
            <w:r w:rsidRPr="00900ADE">
              <w:t xml:space="preserve">% PME 2024 </w:t>
            </w:r>
            <w:r w:rsidR="00127B6C">
              <w:t>S</w:t>
            </w:r>
            <w:r w:rsidRPr="00900ADE">
              <w:t>tate</w:t>
            </w:r>
          </w:p>
        </w:tc>
        <w:tc>
          <w:tcPr>
            <w:tcW w:w="354" w:type="pct"/>
            <w:vAlign w:val="center"/>
          </w:tcPr>
          <w:p w14:paraId="19272A6B" w14:textId="77777777" w:rsidR="00B043E8" w:rsidRPr="00900ADE" w:rsidRDefault="00B043E8" w:rsidP="00CD7EAE">
            <w:pPr>
              <w:pStyle w:val="TableColHeadingCenter"/>
              <w:spacing w:before="2" w:after="2" w:line="240" w:lineRule="auto"/>
            </w:pPr>
            <w:r w:rsidRPr="00900ADE">
              <w:t>% NM 2022</w:t>
            </w:r>
          </w:p>
        </w:tc>
        <w:tc>
          <w:tcPr>
            <w:tcW w:w="355" w:type="pct"/>
            <w:vAlign w:val="center"/>
          </w:tcPr>
          <w:p w14:paraId="0E92F775" w14:textId="77777777" w:rsidR="00B043E8" w:rsidRPr="00900ADE" w:rsidRDefault="00B043E8" w:rsidP="00CD7EAE">
            <w:pPr>
              <w:pStyle w:val="TableColHeadingCenter"/>
              <w:spacing w:before="2" w:after="2" w:line="240" w:lineRule="auto"/>
            </w:pPr>
            <w:r w:rsidRPr="00900ADE">
              <w:t>% NM 2023</w:t>
            </w:r>
          </w:p>
        </w:tc>
        <w:tc>
          <w:tcPr>
            <w:tcW w:w="354" w:type="pct"/>
            <w:vAlign w:val="center"/>
          </w:tcPr>
          <w:p w14:paraId="372BF9E7" w14:textId="77777777" w:rsidR="00B043E8" w:rsidRPr="00900ADE" w:rsidRDefault="00B043E8" w:rsidP="00CD7EAE">
            <w:pPr>
              <w:pStyle w:val="TableColHeadingCenter"/>
              <w:spacing w:before="2" w:after="2" w:line="240" w:lineRule="auto"/>
            </w:pPr>
            <w:r w:rsidRPr="00900ADE">
              <w:t>% NM 2024</w:t>
            </w:r>
          </w:p>
        </w:tc>
        <w:tc>
          <w:tcPr>
            <w:tcW w:w="353" w:type="pct"/>
            <w:vAlign w:val="center"/>
          </w:tcPr>
          <w:p w14:paraId="2D1EE7D0" w14:textId="20E279E4" w:rsidR="00B043E8" w:rsidRPr="00900ADE" w:rsidRDefault="00B043E8" w:rsidP="00CD7EAE">
            <w:pPr>
              <w:pStyle w:val="TableColHeadingCenter"/>
              <w:spacing w:before="2" w:after="2" w:line="240" w:lineRule="auto"/>
            </w:pPr>
            <w:r w:rsidRPr="00900ADE">
              <w:t xml:space="preserve">% NM 2024 </w:t>
            </w:r>
            <w:r w:rsidR="00127B6C">
              <w:t>S</w:t>
            </w:r>
            <w:r w:rsidRPr="00900ADE">
              <w:t>tate</w:t>
            </w:r>
          </w:p>
        </w:tc>
      </w:tr>
      <w:tr w:rsidR="00CD7EAE" w:rsidRPr="00900ADE" w14:paraId="3B8A85CE"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87E5E6A"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3</w:t>
            </w:r>
          </w:p>
        </w:tc>
        <w:tc>
          <w:tcPr>
            <w:tcW w:w="374" w:type="pct"/>
            <w:vAlign w:val="center"/>
          </w:tcPr>
          <w:p w14:paraId="42F8BE0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166</w:t>
            </w:r>
          </w:p>
        </w:tc>
        <w:tc>
          <w:tcPr>
            <w:tcW w:w="354" w:type="pct"/>
            <w:vAlign w:val="center"/>
          </w:tcPr>
          <w:p w14:paraId="5B9E20B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75</w:t>
            </w:r>
          </w:p>
        </w:tc>
        <w:tc>
          <w:tcPr>
            <w:tcW w:w="355" w:type="pct"/>
            <w:vAlign w:val="center"/>
          </w:tcPr>
          <w:p w14:paraId="5C5A5CC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66</w:t>
            </w:r>
          </w:p>
        </w:tc>
        <w:tc>
          <w:tcPr>
            <w:tcW w:w="354" w:type="pct"/>
            <w:vAlign w:val="center"/>
          </w:tcPr>
          <w:p w14:paraId="11A63D0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70</w:t>
            </w:r>
          </w:p>
        </w:tc>
        <w:tc>
          <w:tcPr>
            <w:tcW w:w="355" w:type="pct"/>
            <w:vAlign w:val="center"/>
          </w:tcPr>
          <w:p w14:paraId="317EE26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44</w:t>
            </w:r>
          </w:p>
        </w:tc>
        <w:tc>
          <w:tcPr>
            <w:tcW w:w="355" w:type="pct"/>
            <w:vAlign w:val="center"/>
          </w:tcPr>
          <w:p w14:paraId="6BC01BC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22</w:t>
            </w:r>
          </w:p>
        </w:tc>
        <w:tc>
          <w:tcPr>
            <w:tcW w:w="355" w:type="pct"/>
            <w:vAlign w:val="center"/>
          </w:tcPr>
          <w:p w14:paraId="43F6680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26</w:t>
            </w:r>
          </w:p>
        </w:tc>
        <w:tc>
          <w:tcPr>
            <w:tcW w:w="355" w:type="pct"/>
            <w:vAlign w:val="center"/>
          </w:tcPr>
          <w:p w14:paraId="5F019A0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27</w:t>
            </w:r>
          </w:p>
        </w:tc>
        <w:tc>
          <w:tcPr>
            <w:tcW w:w="356" w:type="pct"/>
            <w:vAlign w:val="center"/>
          </w:tcPr>
          <w:p w14:paraId="5B7DDA7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35</w:t>
            </w:r>
          </w:p>
        </w:tc>
        <w:tc>
          <w:tcPr>
            <w:tcW w:w="354" w:type="pct"/>
            <w:vAlign w:val="center"/>
          </w:tcPr>
          <w:p w14:paraId="06324F9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w:t>
            </w:r>
          </w:p>
        </w:tc>
        <w:tc>
          <w:tcPr>
            <w:tcW w:w="355" w:type="pct"/>
            <w:vAlign w:val="center"/>
          </w:tcPr>
          <w:p w14:paraId="5322FC5C"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8</w:t>
            </w:r>
          </w:p>
        </w:tc>
        <w:tc>
          <w:tcPr>
            <w:tcW w:w="354" w:type="pct"/>
            <w:vAlign w:val="center"/>
          </w:tcPr>
          <w:p w14:paraId="0038465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w:t>
            </w:r>
          </w:p>
        </w:tc>
        <w:tc>
          <w:tcPr>
            <w:tcW w:w="353" w:type="pct"/>
            <w:vAlign w:val="bottom"/>
          </w:tcPr>
          <w:p w14:paraId="09EF472F"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20</w:t>
            </w:r>
          </w:p>
        </w:tc>
      </w:tr>
      <w:tr w:rsidR="00B043E8" w:rsidRPr="00900ADE" w14:paraId="2DE8354D" w14:textId="77777777" w:rsidTr="00517B62">
        <w:trPr>
          <w:jc w:val="center"/>
        </w:trPr>
        <w:tc>
          <w:tcPr>
            <w:tcW w:w="371" w:type="pct"/>
          </w:tcPr>
          <w:p w14:paraId="4C3C0CBD"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4</w:t>
            </w:r>
          </w:p>
        </w:tc>
        <w:tc>
          <w:tcPr>
            <w:tcW w:w="374" w:type="pct"/>
            <w:vAlign w:val="center"/>
          </w:tcPr>
          <w:p w14:paraId="36C1823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185</w:t>
            </w:r>
          </w:p>
        </w:tc>
        <w:tc>
          <w:tcPr>
            <w:tcW w:w="354" w:type="pct"/>
            <w:vAlign w:val="center"/>
          </w:tcPr>
          <w:p w14:paraId="38ACF30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68</w:t>
            </w:r>
          </w:p>
        </w:tc>
        <w:tc>
          <w:tcPr>
            <w:tcW w:w="355" w:type="pct"/>
            <w:vAlign w:val="center"/>
          </w:tcPr>
          <w:p w14:paraId="5DF47A8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71</w:t>
            </w:r>
          </w:p>
        </w:tc>
        <w:tc>
          <w:tcPr>
            <w:tcW w:w="354" w:type="pct"/>
            <w:vAlign w:val="center"/>
          </w:tcPr>
          <w:p w14:paraId="070E951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63</w:t>
            </w:r>
          </w:p>
        </w:tc>
        <w:tc>
          <w:tcPr>
            <w:tcW w:w="355" w:type="pct"/>
            <w:vAlign w:val="center"/>
          </w:tcPr>
          <w:p w14:paraId="5579943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46</w:t>
            </w:r>
          </w:p>
        </w:tc>
        <w:tc>
          <w:tcPr>
            <w:tcW w:w="355" w:type="pct"/>
            <w:vAlign w:val="center"/>
          </w:tcPr>
          <w:p w14:paraId="34375F5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28</w:t>
            </w:r>
          </w:p>
        </w:tc>
        <w:tc>
          <w:tcPr>
            <w:tcW w:w="355" w:type="pct"/>
            <w:vAlign w:val="center"/>
          </w:tcPr>
          <w:p w14:paraId="4B524FC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26</w:t>
            </w:r>
          </w:p>
        </w:tc>
        <w:tc>
          <w:tcPr>
            <w:tcW w:w="355" w:type="pct"/>
            <w:vAlign w:val="center"/>
          </w:tcPr>
          <w:p w14:paraId="2FCB225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30</w:t>
            </w:r>
          </w:p>
        </w:tc>
        <w:tc>
          <w:tcPr>
            <w:tcW w:w="356" w:type="pct"/>
            <w:vAlign w:val="center"/>
          </w:tcPr>
          <w:p w14:paraId="1EF235E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38</w:t>
            </w:r>
          </w:p>
        </w:tc>
        <w:tc>
          <w:tcPr>
            <w:tcW w:w="354" w:type="pct"/>
            <w:vAlign w:val="center"/>
          </w:tcPr>
          <w:p w14:paraId="4D0AE33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w:t>
            </w:r>
          </w:p>
        </w:tc>
        <w:tc>
          <w:tcPr>
            <w:tcW w:w="355" w:type="pct"/>
            <w:vAlign w:val="center"/>
          </w:tcPr>
          <w:p w14:paraId="35BC92D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w:t>
            </w:r>
          </w:p>
        </w:tc>
        <w:tc>
          <w:tcPr>
            <w:tcW w:w="354" w:type="pct"/>
            <w:vAlign w:val="center"/>
          </w:tcPr>
          <w:p w14:paraId="1E595F3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7</w:t>
            </w:r>
          </w:p>
        </w:tc>
        <w:tc>
          <w:tcPr>
            <w:tcW w:w="353" w:type="pct"/>
            <w:vAlign w:val="bottom"/>
          </w:tcPr>
          <w:p w14:paraId="65A60A5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16</w:t>
            </w:r>
          </w:p>
        </w:tc>
      </w:tr>
      <w:tr w:rsidR="00CD7EAE" w:rsidRPr="00900ADE" w14:paraId="23412CED"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051A88F"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5</w:t>
            </w:r>
          </w:p>
        </w:tc>
        <w:tc>
          <w:tcPr>
            <w:tcW w:w="374" w:type="pct"/>
            <w:vAlign w:val="center"/>
          </w:tcPr>
          <w:p w14:paraId="17BC4AC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164</w:t>
            </w:r>
          </w:p>
        </w:tc>
        <w:tc>
          <w:tcPr>
            <w:tcW w:w="354" w:type="pct"/>
            <w:vAlign w:val="center"/>
          </w:tcPr>
          <w:p w14:paraId="2D8D32B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54</w:t>
            </w:r>
          </w:p>
        </w:tc>
        <w:tc>
          <w:tcPr>
            <w:tcW w:w="355" w:type="pct"/>
            <w:vAlign w:val="center"/>
          </w:tcPr>
          <w:p w14:paraId="1CDF9DC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59</w:t>
            </w:r>
          </w:p>
        </w:tc>
        <w:tc>
          <w:tcPr>
            <w:tcW w:w="354" w:type="pct"/>
            <w:vAlign w:val="center"/>
          </w:tcPr>
          <w:p w14:paraId="49B59CF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61</w:t>
            </w:r>
          </w:p>
        </w:tc>
        <w:tc>
          <w:tcPr>
            <w:tcW w:w="355" w:type="pct"/>
            <w:vAlign w:val="center"/>
          </w:tcPr>
          <w:p w14:paraId="57535AE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40</w:t>
            </w:r>
          </w:p>
        </w:tc>
        <w:tc>
          <w:tcPr>
            <w:tcW w:w="355" w:type="pct"/>
            <w:vAlign w:val="center"/>
          </w:tcPr>
          <w:p w14:paraId="33D2A84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36</w:t>
            </w:r>
          </w:p>
        </w:tc>
        <w:tc>
          <w:tcPr>
            <w:tcW w:w="355" w:type="pct"/>
            <w:vAlign w:val="center"/>
          </w:tcPr>
          <w:p w14:paraId="338EA8A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36</w:t>
            </w:r>
          </w:p>
        </w:tc>
        <w:tc>
          <w:tcPr>
            <w:tcW w:w="355" w:type="pct"/>
            <w:vAlign w:val="center"/>
          </w:tcPr>
          <w:p w14:paraId="02E7CD2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34</w:t>
            </w:r>
          </w:p>
        </w:tc>
        <w:tc>
          <w:tcPr>
            <w:tcW w:w="356" w:type="pct"/>
            <w:vAlign w:val="center"/>
          </w:tcPr>
          <w:p w14:paraId="11B53E0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46</w:t>
            </w:r>
          </w:p>
        </w:tc>
        <w:tc>
          <w:tcPr>
            <w:tcW w:w="354" w:type="pct"/>
            <w:vAlign w:val="center"/>
          </w:tcPr>
          <w:p w14:paraId="7118B67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11</w:t>
            </w:r>
          </w:p>
        </w:tc>
        <w:tc>
          <w:tcPr>
            <w:tcW w:w="355" w:type="pct"/>
            <w:vAlign w:val="center"/>
          </w:tcPr>
          <w:p w14:paraId="5C1C8E4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w:t>
            </w:r>
          </w:p>
        </w:tc>
        <w:tc>
          <w:tcPr>
            <w:tcW w:w="354" w:type="pct"/>
            <w:vAlign w:val="center"/>
          </w:tcPr>
          <w:p w14:paraId="4E8B29A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w:t>
            </w:r>
          </w:p>
        </w:tc>
        <w:tc>
          <w:tcPr>
            <w:tcW w:w="353" w:type="pct"/>
            <w:vAlign w:val="bottom"/>
          </w:tcPr>
          <w:p w14:paraId="4BCA198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14</w:t>
            </w:r>
          </w:p>
        </w:tc>
      </w:tr>
      <w:tr w:rsidR="00B043E8" w:rsidRPr="00900ADE" w14:paraId="6CF1D369" w14:textId="77777777" w:rsidTr="00517B62">
        <w:trPr>
          <w:jc w:val="center"/>
        </w:trPr>
        <w:tc>
          <w:tcPr>
            <w:tcW w:w="371" w:type="pct"/>
          </w:tcPr>
          <w:p w14:paraId="16654961"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6</w:t>
            </w:r>
          </w:p>
        </w:tc>
        <w:tc>
          <w:tcPr>
            <w:tcW w:w="374" w:type="pct"/>
            <w:vAlign w:val="center"/>
          </w:tcPr>
          <w:p w14:paraId="46BCDA71"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169</w:t>
            </w:r>
          </w:p>
        </w:tc>
        <w:tc>
          <w:tcPr>
            <w:tcW w:w="354" w:type="pct"/>
            <w:vAlign w:val="center"/>
          </w:tcPr>
          <w:p w14:paraId="5614F07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52</w:t>
            </w:r>
          </w:p>
        </w:tc>
        <w:tc>
          <w:tcPr>
            <w:tcW w:w="355" w:type="pct"/>
            <w:vAlign w:val="center"/>
          </w:tcPr>
          <w:p w14:paraId="7C5A407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59</w:t>
            </w:r>
          </w:p>
        </w:tc>
        <w:tc>
          <w:tcPr>
            <w:tcW w:w="354" w:type="pct"/>
            <w:vAlign w:val="center"/>
          </w:tcPr>
          <w:p w14:paraId="2D685F1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56</w:t>
            </w:r>
          </w:p>
        </w:tc>
        <w:tc>
          <w:tcPr>
            <w:tcW w:w="355" w:type="pct"/>
            <w:vAlign w:val="center"/>
          </w:tcPr>
          <w:p w14:paraId="1814B60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40</w:t>
            </w:r>
          </w:p>
        </w:tc>
        <w:tc>
          <w:tcPr>
            <w:tcW w:w="355" w:type="pct"/>
            <w:vAlign w:val="center"/>
          </w:tcPr>
          <w:p w14:paraId="6D97AE4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43</w:t>
            </w:r>
          </w:p>
        </w:tc>
        <w:tc>
          <w:tcPr>
            <w:tcW w:w="355" w:type="pct"/>
            <w:vAlign w:val="center"/>
          </w:tcPr>
          <w:p w14:paraId="6F0629D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32</w:t>
            </w:r>
          </w:p>
        </w:tc>
        <w:tc>
          <w:tcPr>
            <w:tcW w:w="355" w:type="pct"/>
            <w:vAlign w:val="center"/>
          </w:tcPr>
          <w:p w14:paraId="5A81138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33</w:t>
            </w:r>
          </w:p>
        </w:tc>
        <w:tc>
          <w:tcPr>
            <w:tcW w:w="356" w:type="pct"/>
            <w:vAlign w:val="center"/>
          </w:tcPr>
          <w:p w14:paraId="24D6C87C"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43</w:t>
            </w:r>
          </w:p>
        </w:tc>
        <w:tc>
          <w:tcPr>
            <w:tcW w:w="354" w:type="pct"/>
            <w:vAlign w:val="center"/>
          </w:tcPr>
          <w:p w14:paraId="5ED5F77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w:t>
            </w:r>
          </w:p>
        </w:tc>
        <w:tc>
          <w:tcPr>
            <w:tcW w:w="355" w:type="pct"/>
            <w:vAlign w:val="center"/>
          </w:tcPr>
          <w:p w14:paraId="51846A5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8</w:t>
            </w:r>
          </w:p>
        </w:tc>
        <w:tc>
          <w:tcPr>
            <w:tcW w:w="354" w:type="pct"/>
            <w:vAlign w:val="center"/>
          </w:tcPr>
          <w:p w14:paraId="5FEFCBE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11</w:t>
            </w:r>
          </w:p>
        </w:tc>
        <w:tc>
          <w:tcPr>
            <w:tcW w:w="353" w:type="pct"/>
            <w:vAlign w:val="center"/>
          </w:tcPr>
          <w:p w14:paraId="0D6EC11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17</w:t>
            </w:r>
          </w:p>
        </w:tc>
      </w:tr>
      <w:tr w:rsidR="00CD7EAE" w:rsidRPr="00900ADE" w14:paraId="5C2C842F"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448575C"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7</w:t>
            </w:r>
          </w:p>
        </w:tc>
        <w:tc>
          <w:tcPr>
            <w:tcW w:w="374" w:type="pct"/>
            <w:vAlign w:val="center"/>
          </w:tcPr>
          <w:p w14:paraId="364C33C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159</w:t>
            </w:r>
          </w:p>
        </w:tc>
        <w:tc>
          <w:tcPr>
            <w:tcW w:w="354" w:type="pct"/>
            <w:vAlign w:val="center"/>
          </w:tcPr>
          <w:p w14:paraId="246AF41F"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36</w:t>
            </w:r>
          </w:p>
        </w:tc>
        <w:tc>
          <w:tcPr>
            <w:tcW w:w="355" w:type="pct"/>
            <w:vAlign w:val="center"/>
          </w:tcPr>
          <w:p w14:paraId="3623FDC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44</w:t>
            </w:r>
          </w:p>
        </w:tc>
        <w:tc>
          <w:tcPr>
            <w:tcW w:w="354" w:type="pct"/>
            <w:vAlign w:val="center"/>
          </w:tcPr>
          <w:p w14:paraId="1DCBEE8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57</w:t>
            </w:r>
          </w:p>
        </w:tc>
        <w:tc>
          <w:tcPr>
            <w:tcW w:w="355" w:type="pct"/>
            <w:vAlign w:val="center"/>
          </w:tcPr>
          <w:p w14:paraId="338A50B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37</w:t>
            </w:r>
          </w:p>
        </w:tc>
        <w:tc>
          <w:tcPr>
            <w:tcW w:w="355" w:type="pct"/>
            <w:vAlign w:val="center"/>
          </w:tcPr>
          <w:p w14:paraId="5C483621"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51</w:t>
            </w:r>
          </w:p>
        </w:tc>
        <w:tc>
          <w:tcPr>
            <w:tcW w:w="355" w:type="pct"/>
            <w:vAlign w:val="center"/>
          </w:tcPr>
          <w:p w14:paraId="5951772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43</w:t>
            </w:r>
          </w:p>
        </w:tc>
        <w:tc>
          <w:tcPr>
            <w:tcW w:w="355" w:type="pct"/>
            <w:vAlign w:val="center"/>
          </w:tcPr>
          <w:p w14:paraId="255564A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34</w:t>
            </w:r>
          </w:p>
        </w:tc>
        <w:tc>
          <w:tcPr>
            <w:tcW w:w="356" w:type="pct"/>
            <w:vAlign w:val="center"/>
          </w:tcPr>
          <w:p w14:paraId="5803C8D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44</w:t>
            </w:r>
          </w:p>
        </w:tc>
        <w:tc>
          <w:tcPr>
            <w:tcW w:w="354" w:type="pct"/>
            <w:vAlign w:val="center"/>
          </w:tcPr>
          <w:p w14:paraId="243DB0D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13</w:t>
            </w:r>
          </w:p>
        </w:tc>
        <w:tc>
          <w:tcPr>
            <w:tcW w:w="355" w:type="pct"/>
            <w:vAlign w:val="center"/>
          </w:tcPr>
          <w:p w14:paraId="6DB5C07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13</w:t>
            </w:r>
          </w:p>
        </w:tc>
        <w:tc>
          <w:tcPr>
            <w:tcW w:w="354" w:type="pct"/>
            <w:vAlign w:val="center"/>
          </w:tcPr>
          <w:p w14:paraId="70A5239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9</w:t>
            </w:r>
          </w:p>
        </w:tc>
        <w:tc>
          <w:tcPr>
            <w:tcW w:w="353" w:type="pct"/>
            <w:vAlign w:val="bottom"/>
          </w:tcPr>
          <w:p w14:paraId="0A54397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19</w:t>
            </w:r>
          </w:p>
        </w:tc>
      </w:tr>
      <w:tr w:rsidR="00B043E8" w:rsidRPr="00900ADE" w14:paraId="38870476" w14:textId="77777777" w:rsidTr="00517B62">
        <w:trPr>
          <w:jc w:val="center"/>
        </w:trPr>
        <w:tc>
          <w:tcPr>
            <w:tcW w:w="371" w:type="pct"/>
          </w:tcPr>
          <w:p w14:paraId="32D7DAA3"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8</w:t>
            </w:r>
          </w:p>
        </w:tc>
        <w:tc>
          <w:tcPr>
            <w:tcW w:w="374" w:type="pct"/>
            <w:vAlign w:val="center"/>
          </w:tcPr>
          <w:p w14:paraId="1DEB77B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180</w:t>
            </w:r>
          </w:p>
        </w:tc>
        <w:tc>
          <w:tcPr>
            <w:tcW w:w="354" w:type="pct"/>
            <w:vAlign w:val="center"/>
          </w:tcPr>
          <w:p w14:paraId="6D5C221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46</w:t>
            </w:r>
          </w:p>
        </w:tc>
        <w:tc>
          <w:tcPr>
            <w:tcW w:w="355" w:type="pct"/>
            <w:vAlign w:val="center"/>
          </w:tcPr>
          <w:p w14:paraId="02947CD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47</w:t>
            </w:r>
          </w:p>
        </w:tc>
        <w:tc>
          <w:tcPr>
            <w:tcW w:w="354" w:type="pct"/>
            <w:vAlign w:val="center"/>
          </w:tcPr>
          <w:p w14:paraId="1585E54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61</w:t>
            </w:r>
          </w:p>
        </w:tc>
        <w:tc>
          <w:tcPr>
            <w:tcW w:w="355" w:type="pct"/>
            <w:vAlign w:val="center"/>
          </w:tcPr>
          <w:p w14:paraId="4CBA805C"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38</w:t>
            </w:r>
          </w:p>
        </w:tc>
        <w:tc>
          <w:tcPr>
            <w:tcW w:w="355" w:type="pct"/>
            <w:vAlign w:val="center"/>
          </w:tcPr>
          <w:p w14:paraId="29DB1B8C"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51</w:t>
            </w:r>
          </w:p>
        </w:tc>
        <w:tc>
          <w:tcPr>
            <w:tcW w:w="355" w:type="pct"/>
            <w:vAlign w:val="center"/>
          </w:tcPr>
          <w:p w14:paraId="55BC805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42</w:t>
            </w:r>
          </w:p>
        </w:tc>
        <w:tc>
          <w:tcPr>
            <w:tcW w:w="355" w:type="pct"/>
            <w:vAlign w:val="center"/>
          </w:tcPr>
          <w:p w14:paraId="3B9418B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34</w:t>
            </w:r>
          </w:p>
        </w:tc>
        <w:tc>
          <w:tcPr>
            <w:tcW w:w="356" w:type="pct"/>
            <w:vAlign w:val="center"/>
          </w:tcPr>
          <w:p w14:paraId="3B85FF0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42</w:t>
            </w:r>
          </w:p>
        </w:tc>
        <w:tc>
          <w:tcPr>
            <w:tcW w:w="354" w:type="pct"/>
            <w:vAlign w:val="center"/>
          </w:tcPr>
          <w:p w14:paraId="1E95666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w:t>
            </w:r>
          </w:p>
        </w:tc>
        <w:tc>
          <w:tcPr>
            <w:tcW w:w="355" w:type="pct"/>
            <w:vAlign w:val="center"/>
          </w:tcPr>
          <w:p w14:paraId="6485E2A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11</w:t>
            </w:r>
          </w:p>
        </w:tc>
        <w:tc>
          <w:tcPr>
            <w:tcW w:w="354" w:type="pct"/>
            <w:vAlign w:val="center"/>
          </w:tcPr>
          <w:p w14:paraId="7F5599E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w:t>
            </w:r>
          </w:p>
        </w:tc>
        <w:tc>
          <w:tcPr>
            <w:tcW w:w="353" w:type="pct"/>
            <w:vAlign w:val="bottom"/>
          </w:tcPr>
          <w:p w14:paraId="11FD2BD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19</w:t>
            </w:r>
          </w:p>
        </w:tc>
      </w:tr>
      <w:tr w:rsidR="00CD7EAE" w:rsidRPr="00900ADE" w14:paraId="05F2123B"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EC2EF4C" w14:textId="77777777" w:rsidR="00B043E8" w:rsidRPr="00900ADE" w:rsidRDefault="00B043E8" w:rsidP="00CD7EAE">
            <w:pPr>
              <w:pStyle w:val="TableText"/>
              <w:spacing w:before="2" w:after="2" w:line="240" w:lineRule="auto"/>
              <w:jc w:val="center"/>
              <w:rPr>
                <w:rFonts w:ascii="Franklin Gothic Book" w:hAnsi="Franklin Gothic Book"/>
                <w:spacing w:val="-4"/>
              </w:rPr>
            </w:pPr>
            <w:r w:rsidRPr="00900ADE">
              <w:rPr>
                <w:rFonts w:ascii="Franklin Gothic Book" w:hAnsi="Franklin Gothic Book"/>
              </w:rPr>
              <w:t>3-8</w:t>
            </w:r>
          </w:p>
        </w:tc>
        <w:tc>
          <w:tcPr>
            <w:tcW w:w="374" w:type="pct"/>
            <w:vAlign w:val="center"/>
          </w:tcPr>
          <w:p w14:paraId="0762F49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1,023</w:t>
            </w:r>
          </w:p>
        </w:tc>
        <w:tc>
          <w:tcPr>
            <w:tcW w:w="354" w:type="pct"/>
            <w:vAlign w:val="center"/>
          </w:tcPr>
          <w:p w14:paraId="7A4D8D8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55</w:t>
            </w:r>
          </w:p>
        </w:tc>
        <w:tc>
          <w:tcPr>
            <w:tcW w:w="355" w:type="pct"/>
            <w:vAlign w:val="center"/>
          </w:tcPr>
          <w:p w14:paraId="0C3C7ED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58</w:t>
            </w:r>
          </w:p>
        </w:tc>
        <w:tc>
          <w:tcPr>
            <w:tcW w:w="354" w:type="pct"/>
            <w:vAlign w:val="center"/>
          </w:tcPr>
          <w:p w14:paraId="07DADA7F"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61</w:t>
            </w:r>
          </w:p>
        </w:tc>
        <w:tc>
          <w:tcPr>
            <w:tcW w:w="355" w:type="pct"/>
            <w:vAlign w:val="center"/>
          </w:tcPr>
          <w:p w14:paraId="71FCEC3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41</w:t>
            </w:r>
          </w:p>
        </w:tc>
        <w:tc>
          <w:tcPr>
            <w:tcW w:w="355" w:type="pct"/>
            <w:vAlign w:val="center"/>
          </w:tcPr>
          <w:p w14:paraId="0EFDD42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39</w:t>
            </w:r>
          </w:p>
        </w:tc>
        <w:tc>
          <w:tcPr>
            <w:tcW w:w="355" w:type="pct"/>
            <w:vAlign w:val="center"/>
          </w:tcPr>
          <w:p w14:paraId="3AC12A4C"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34</w:t>
            </w:r>
          </w:p>
        </w:tc>
        <w:tc>
          <w:tcPr>
            <w:tcW w:w="355" w:type="pct"/>
            <w:vAlign w:val="center"/>
          </w:tcPr>
          <w:p w14:paraId="1F8073B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32</w:t>
            </w:r>
          </w:p>
        </w:tc>
        <w:tc>
          <w:tcPr>
            <w:tcW w:w="356" w:type="pct"/>
            <w:vAlign w:val="center"/>
          </w:tcPr>
          <w:p w14:paraId="1DE2E4C1"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42</w:t>
            </w:r>
          </w:p>
        </w:tc>
        <w:tc>
          <w:tcPr>
            <w:tcW w:w="354" w:type="pct"/>
            <w:vAlign w:val="center"/>
          </w:tcPr>
          <w:p w14:paraId="246E945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7</w:t>
            </w:r>
          </w:p>
        </w:tc>
        <w:tc>
          <w:tcPr>
            <w:tcW w:w="355" w:type="pct"/>
            <w:vAlign w:val="center"/>
          </w:tcPr>
          <w:p w14:paraId="413D610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8</w:t>
            </w:r>
          </w:p>
        </w:tc>
        <w:tc>
          <w:tcPr>
            <w:tcW w:w="354" w:type="pct"/>
            <w:vAlign w:val="center"/>
          </w:tcPr>
          <w:p w14:paraId="6ABF8BA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7</w:t>
            </w:r>
          </w:p>
        </w:tc>
        <w:tc>
          <w:tcPr>
            <w:tcW w:w="353" w:type="pct"/>
            <w:vAlign w:val="bottom"/>
          </w:tcPr>
          <w:p w14:paraId="515D5E2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18</w:t>
            </w:r>
          </w:p>
        </w:tc>
      </w:tr>
      <w:tr w:rsidR="00B043E8" w:rsidRPr="00900ADE" w14:paraId="0A61D72E" w14:textId="77777777" w:rsidTr="00517B62">
        <w:trPr>
          <w:jc w:val="center"/>
        </w:trPr>
        <w:tc>
          <w:tcPr>
            <w:tcW w:w="371" w:type="pct"/>
          </w:tcPr>
          <w:p w14:paraId="32B211EA"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10</w:t>
            </w:r>
          </w:p>
        </w:tc>
        <w:tc>
          <w:tcPr>
            <w:tcW w:w="374" w:type="pct"/>
            <w:vAlign w:val="center"/>
          </w:tcPr>
          <w:p w14:paraId="7466057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155</w:t>
            </w:r>
          </w:p>
        </w:tc>
        <w:tc>
          <w:tcPr>
            <w:tcW w:w="354" w:type="pct"/>
            <w:vAlign w:val="center"/>
          </w:tcPr>
          <w:p w14:paraId="08ED7131"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69</w:t>
            </w:r>
          </w:p>
        </w:tc>
        <w:tc>
          <w:tcPr>
            <w:tcW w:w="355" w:type="pct"/>
            <w:vAlign w:val="center"/>
          </w:tcPr>
          <w:p w14:paraId="181C241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67</w:t>
            </w:r>
          </w:p>
        </w:tc>
        <w:tc>
          <w:tcPr>
            <w:tcW w:w="354" w:type="pct"/>
            <w:vAlign w:val="center"/>
          </w:tcPr>
          <w:p w14:paraId="0AA2590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68</w:t>
            </w:r>
          </w:p>
        </w:tc>
        <w:tc>
          <w:tcPr>
            <w:tcW w:w="355" w:type="pct"/>
            <w:vAlign w:val="center"/>
          </w:tcPr>
          <w:p w14:paraId="113E625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48</w:t>
            </w:r>
          </w:p>
        </w:tc>
        <w:tc>
          <w:tcPr>
            <w:tcW w:w="355" w:type="pct"/>
            <w:vAlign w:val="center"/>
          </w:tcPr>
          <w:p w14:paraId="214FAD0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28</w:t>
            </w:r>
          </w:p>
        </w:tc>
        <w:tc>
          <w:tcPr>
            <w:tcW w:w="355" w:type="pct"/>
            <w:vAlign w:val="center"/>
          </w:tcPr>
          <w:p w14:paraId="08AD9DF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30</w:t>
            </w:r>
          </w:p>
        </w:tc>
        <w:tc>
          <w:tcPr>
            <w:tcW w:w="355" w:type="pct"/>
            <w:vAlign w:val="center"/>
          </w:tcPr>
          <w:p w14:paraId="0791DDF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28</w:t>
            </w:r>
          </w:p>
        </w:tc>
        <w:tc>
          <w:tcPr>
            <w:tcW w:w="356" w:type="pct"/>
            <w:vAlign w:val="center"/>
          </w:tcPr>
          <w:p w14:paraId="01FCAF9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39</w:t>
            </w:r>
          </w:p>
        </w:tc>
        <w:tc>
          <w:tcPr>
            <w:tcW w:w="354" w:type="pct"/>
            <w:vAlign w:val="center"/>
          </w:tcPr>
          <w:p w14:paraId="55E8CE1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w:t>
            </w:r>
          </w:p>
        </w:tc>
        <w:tc>
          <w:tcPr>
            <w:tcW w:w="355" w:type="pct"/>
            <w:vAlign w:val="center"/>
          </w:tcPr>
          <w:p w14:paraId="5F36C52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w:t>
            </w:r>
          </w:p>
        </w:tc>
        <w:tc>
          <w:tcPr>
            <w:tcW w:w="354" w:type="pct"/>
            <w:vAlign w:val="center"/>
          </w:tcPr>
          <w:p w14:paraId="5335A17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w:t>
            </w:r>
          </w:p>
        </w:tc>
        <w:tc>
          <w:tcPr>
            <w:tcW w:w="353" w:type="pct"/>
            <w:vAlign w:val="bottom"/>
          </w:tcPr>
          <w:p w14:paraId="4B800C3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13</w:t>
            </w:r>
          </w:p>
        </w:tc>
      </w:tr>
    </w:tbl>
    <w:p w14:paraId="25645445" w14:textId="77777777" w:rsidR="00822854" w:rsidRPr="00900ADE" w:rsidRDefault="00822854" w:rsidP="00822854">
      <w:pPr>
        <w:pStyle w:val="FootnoteText"/>
        <w:spacing w:before="120"/>
      </w:pPr>
      <w:bookmarkStart w:id="211" w:name="_Toc196169621"/>
      <w:bookmarkEnd w:id="208"/>
      <w:bookmarkEnd w:id="210"/>
      <w:r w:rsidRPr="00900ADE">
        <w:rPr>
          <w:i/>
          <w:iCs/>
        </w:rPr>
        <w:t>Note</w:t>
      </w:r>
      <w:r w:rsidRPr="00900ADE">
        <w:t>. M/E = meeting or exceeding expectations; PME = partially meeting expectations; NM = not meeting expectations.</w:t>
      </w:r>
    </w:p>
    <w:p w14:paraId="37D8E66F" w14:textId="77777777" w:rsidR="00B043E8" w:rsidRPr="00900ADE" w:rsidRDefault="00B043E8" w:rsidP="0033483C">
      <w:pPr>
        <w:pStyle w:val="TableETitle"/>
        <w:spacing w:before="60"/>
      </w:pPr>
      <w:r w:rsidRPr="00900ADE">
        <w:t>Table E9. MCAS Science Achievement by Grade, 2022-2024</w:t>
      </w:r>
      <w:bookmarkEnd w:id="211"/>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B043E8" w:rsidRPr="00900ADE" w14:paraId="7C1C40B9" w14:textId="77777777" w:rsidTr="00517B62">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170CF45D" w14:textId="77777777" w:rsidR="00B043E8" w:rsidRPr="00900ADE" w:rsidRDefault="00B043E8" w:rsidP="00CD7EAE">
            <w:pPr>
              <w:pStyle w:val="TableColHeadingCenter"/>
              <w:spacing w:before="2" w:after="2" w:line="240" w:lineRule="auto"/>
            </w:pPr>
            <w:r w:rsidRPr="00900ADE">
              <w:t>Grade</w:t>
            </w:r>
          </w:p>
        </w:tc>
        <w:tc>
          <w:tcPr>
            <w:tcW w:w="374" w:type="pct"/>
            <w:vAlign w:val="center"/>
          </w:tcPr>
          <w:p w14:paraId="67074490" w14:textId="1D9AB8E2" w:rsidR="00B043E8" w:rsidRPr="00900ADE" w:rsidRDefault="00B043E8" w:rsidP="00CD7EAE">
            <w:pPr>
              <w:pStyle w:val="TableColHeadingCenter"/>
              <w:spacing w:before="2" w:after="2" w:line="240" w:lineRule="auto"/>
            </w:pPr>
            <w:r w:rsidRPr="00900ADE">
              <w:t xml:space="preserve"># </w:t>
            </w:r>
            <w:r w:rsidR="00CD7EAE" w:rsidRPr="00900ADE">
              <w:t>i</w:t>
            </w:r>
            <w:r w:rsidRPr="00900ADE">
              <w:t>ncluded (2024)</w:t>
            </w:r>
          </w:p>
        </w:tc>
        <w:tc>
          <w:tcPr>
            <w:tcW w:w="354" w:type="pct"/>
            <w:vAlign w:val="center"/>
          </w:tcPr>
          <w:p w14:paraId="1CDE2BAB" w14:textId="77777777" w:rsidR="00B043E8" w:rsidRPr="00900ADE" w:rsidRDefault="00B043E8" w:rsidP="00CD7EAE">
            <w:pPr>
              <w:pStyle w:val="TableColHeadingCenter"/>
              <w:spacing w:before="2" w:after="2" w:line="240" w:lineRule="auto"/>
            </w:pPr>
            <w:r w:rsidRPr="00900ADE">
              <w:t>% M/E 2022</w:t>
            </w:r>
          </w:p>
        </w:tc>
        <w:tc>
          <w:tcPr>
            <w:tcW w:w="355" w:type="pct"/>
            <w:vAlign w:val="center"/>
          </w:tcPr>
          <w:p w14:paraId="123E136B" w14:textId="77777777" w:rsidR="00B043E8" w:rsidRPr="00900ADE" w:rsidRDefault="00B043E8" w:rsidP="00CD7EAE">
            <w:pPr>
              <w:pStyle w:val="TableColHeadingCenter"/>
              <w:spacing w:before="2" w:after="2" w:line="240" w:lineRule="auto"/>
            </w:pPr>
            <w:r w:rsidRPr="00900ADE">
              <w:t>% M/E 2023</w:t>
            </w:r>
          </w:p>
        </w:tc>
        <w:tc>
          <w:tcPr>
            <w:tcW w:w="354" w:type="pct"/>
            <w:vAlign w:val="center"/>
          </w:tcPr>
          <w:p w14:paraId="727BB09B" w14:textId="77777777" w:rsidR="00B043E8" w:rsidRPr="00900ADE" w:rsidRDefault="00B043E8" w:rsidP="00CD7EAE">
            <w:pPr>
              <w:pStyle w:val="TableColHeadingCenter"/>
              <w:spacing w:before="2" w:after="2" w:line="240" w:lineRule="auto"/>
            </w:pPr>
            <w:r w:rsidRPr="00900ADE">
              <w:t>% M/E 2024</w:t>
            </w:r>
          </w:p>
        </w:tc>
        <w:tc>
          <w:tcPr>
            <w:tcW w:w="355" w:type="pct"/>
            <w:vAlign w:val="center"/>
          </w:tcPr>
          <w:p w14:paraId="0E33281E" w14:textId="5CFFFD27" w:rsidR="00B043E8" w:rsidRPr="00900ADE" w:rsidRDefault="00B043E8" w:rsidP="00CD7EAE">
            <w:pPr>
              <w:pStyle w:val="TableColHeadingCenter"/>
              <w:spacing w:before="2" w:after="2" w:line="240" w:lineRule="auto"/>
            </w:pPr>
            <w:r w:rsidRPr="00900ADE">
              <w:t xml:space="preserve">% M/E 2024 </w:t>
            </w:r>
            <w:r w:rsidR="00286889">
              <w:t>S</w:t>
            </w:r>
            <w:r w:rsidRPr="00900ADE">
              <w:t>tate</w:t>
            </w:r>
          </w:p>
        </w:tc>
        <w:tc>
          <w:tcPr>
            <w:tcW w:w="355" w:type="pct"/>
            <w:vAlign w:val="center"/>
          </w:tcPr>
          <w:p w14:paraId="5B96B979" w14:textId="77777777" w:rsidR="00B043E8" w:rsidRPr="00900ADE" w:rsidRDefault="00B043E8" w:rsidP="00CD7EAE">
            <w:pPr>
              <w:pStyle w:val="TableColHeadingCenter"/>
              <w:spacing w:before="2" w:after="2" w:line="240" w:lineRule="auto"/>
            </w:pPr>
            <w:r w:rsidRPr="00900ADE">
              <w:t>% PME 2022</w:t>
            </w:r>
          </w:p>
        </w:tc>
        <w:tc>
          <w:tcPr>
            <w:tcW w:w="355" w:type="pct"/>
            <w:vAlign w:val="center"/>
          </w:tcPr>
          <w:p w14:paraId="40564819" w14:textId="77777777" w:rsidR="00B043E8" w:rsidRPr="00900ADE" w:rsidRDefault="00B043E8" w:rsidP="00CD7EAE">
            <w:pPr>
              <w:pStyle w:val="TableColHeadingCenter"/>
              <w:spacing w:before="2" w:after="2" w:line="240" w:lineRule="auto"/>
            </w:pPr>
            <w:r w:rsidRPr="00900ADE">
              <w:t>% PME 2023</w:t>
            </w:r>
          </w:p>
        </w:tc>
        <w:tc>
          <w:tcPr>
            <w:tcW w:w="355" w:type="pct"/>
            <w:vAlign w:val="center"/>
          </w:tcPr>
          <w:p w14:paraId="4918CB90" w14:textId="77777777" w:rsidR="00B043E8" w:rsidRPr="00900ADE" w:rsidRDefault="00B043E8" w:rsidP="00CD7EAE">
            <w:pPr>
              <w:pStyle w:val="TableColHeadingCenter"/>
              <w:spacing w:before="2" w:after="2" w:line="240" w:lineRule="auto"/>
            </w:pPr>
            <w:r w:rsidRPr="00900ADE">
              <w:t>% PME 2024</w:t>
            </w:r>
          </w:p>
        </w:tc>
        <w:tc>
          <w:tcPr>
            <w:tcW w:w="356" w:type="pct"/>
            <w:vAlign w:val="center"/>
          </w:tcPr>
          <w:p w14:paraId="57461D0A" w14:textId="02A331CE" w:rsidR="00B043E8" w:rsidRPr="00900ADE" w:rsidRDefault="00B043E8" w:rsidP="00CD7EAE">
            <w:pPr>
              <w:pStyle w:val="TableColHeadingCenter"/>
              <w:spacing w:before="2" w:after="2" w:line="240" w:lineRule="auto"/>
            </w:pPr>
            <w:r w:rsidRPr="00900ADE">
              <w:t xml:space="preserve">% PME 2024 </w:t>
            </w:r>
            <w:r w:rsidR="00286889">
              <w:t>S</w:t>
            </w:r>
            <w:r w:rsidRPr="00900ADE">
              <w:t>tate</w:t>
            </w:r>
          </w:p>
        </w:tc>
        <w:tc>
          <w:tcPr>
            <w:tcW w:w="354" w:type="pct"/>
            <w:vAlign w:val="center"/>
          </w:tcPr>
          <w:p w14:paraId="37D4FEA5" w14:textId="77777777" w:rsidR="00B043E8" w:rsidRPr="00900ADE" w:rsidRDefault="00B043E8" w:rsidP="00CD7EAE">
            <w:pPr>
              <w:pStyle w:val="TableColHeadingCenter"/>
              <w:spacing w:before="2" w:after="2" w:line="240" w:lineRule="auto"/>
            </w:pPr>
            <w:r w:rsidRPr="00900ADE">
              <w:t>% NM 2022</w:t>
            </w:r>
          </w:p>
        </w:tc>
        <w:tc>
          <w:tcPr>
            <w:tcW w:w="355" w:type="pct"/>
            <w:vAlign w:val="center"/>
          </w:tcPr>
          <w:p w14:paraId="0139DD02" w14:textId="77777777" w:rsidR="00B043E8" w:rsidRPr="00900ADE" w:rsidRDefault="00B043E8" w:rsidP="00CD7EAE">
            <w:pPr>
              <w:pStyle w:val="TableColHeadingCenter"/>
              <w:spacing w:before="2" w:after="2" w:line="240" w:lineRule="auto"/>
            </w:pPr>
            <w:r w:rsidRPr="00900ADE">
              <w:t>% NM 2023</w:t>
            </w:r>
          </w:p>
        </w:tc>
        <w:tc>
          <w:tcPr>
            <w:tcW w:w="354" w:type="pct"/>
            <w:vAlign w:val="center"/>
          </w:tcPr>
          <w:p w14:paraId="23E039C5" w14:textId="77777777" w:rsidR="00B043E8" w:rsidRPr="00900ADE" w:rsidRDefault="00B043E8" w:rsidP="00CD7EAE">
            <w:pPr>
              <w:pStyle w:val="TableColHeadingCenter"/>
              <w:spacing w:before="2" w:after="2" w:line="240" w:lineRule="auto"/>
            </w:pPr>
            <w:r w:rsidRPr="00900ADE">
              <w:t>% NM 2024</w:t>
            </w:r>
          </w:p>
        </w:tc>
        <w:tc>
          <w:tcPr>
            <w:tcW w:w="353" w:type="pct"/>
            <w:vAlign w:val="center"/>
          </w:tcPr>
          <w:p w14:paraId="6C14FC34" w14:textId="7B17B801" w:rsidR="00B043E8" w:rsidRPr="00900ADE" w:rsidRDefault="00B043E8" w:rsidP="00CD7EAE">
            <w:pPr>
              <w:pStyle w:val="TableColHeadingCenter"/>
              <w:spacing w:before="2" w:after="2" w:line="240" w:lineRule="auto"/>
            </w:pPr>
            <w:r w:rsidRPr="00900ADE">
              <w:t xml:space="preserve">% NM 2024 </w:t>
            </w:r>
            <w:r w:rsidR="00286889">
              <w:t>S</w:t>
            </w:r>
            <w:r w:rsidRPr="00900ADE">
              <w:t>tate</w:t>
            </w:r>
          </w:p>
        </w:tc>
      </w:tr>
      <w:tr w:rsidR="00B043E8" w:rsidRPr="00900ADE" w14:paraId="3B55963E"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2EBFC1B"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5</w:t>
            </w:r>
          </w:p>
        </w:tc>
        <w:tc>
          <w:tcPr>
            <w:tcW w:w="374" w:type="pct"/>
            <w:vAlign w:val="center"/>
          </w:tcPr>
          <w:p w14:paraId="12337E3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164</w:t>
            </w:r>
          </w:p>
        </w:tc>
        <w:tc>
          <w:tcPr>
            <w:tcW w:w="354" w:type="pct"/>
            <w:vAlign w:val="center"/>
          </w:tcPr>
          <w:p w14:paraId="5C7EA94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66</w:t>
            </w:r>
          </w:p>
        </w:tc>
        <w:tc>
          <w:tcPr>
            <w:tcW w:w="355" w:type="pct"/>
            <w:vAlign w:val="center"/>
          </w:tcPr>
          <w:p w14:paraId="022FD3D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52</w:t>
            </w:r>
          </w:p>
        </w:tc>
        <w:tc>
          <w:tcPr>
            <w:tcW w:w="354" w:type="pct"/>
            <w:vAlign w:val="center"/>
          </w:tcPr>
          <w:p w14:paraId="7FDEC5E7"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68</w:t>
            </w:r>
          </w:p>
        </w:tc>
        <w:tc>
          <w:tcPr>
            <w:tcW w:w="355" w:type="pct"/>
            <w:vAlign w:val="center"/>
          </w:tcPr>
          <w:p w14:paraId="205B373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45</w:t>
            </w:r>
          </w:p>
        </w:tc>
        <w:tc>
          <w:tcPr>
            <w:tcW w:w="355" w:type="pct"/>
            <w:vAlign w:val="center"/>
          </w:tcPr>
          <w:p w14:paraId="666212F8"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26</w:t>
            </w:r>
          </w:p>
        </w:tc>
        <w:tc>
          <w:tcPr>
            <w:tcW w:w="355" w:type="pct"/>
            <w:vAlign w:val="center"/>
          </w:tcPr>
          <w:p w14:paraId="5B7E93B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39</w:t>
            </w:r>
          </w:p>
        </w:tc>
        <w:tc>
          <w:tcPr>
            <w:tcW w:w="355" w:type="pct"/>
            <w:vAlign w:val="center"/>
          </w:tcPr>
          <w:p w14:paraId="21F5318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27</w:t>
            </w:r>
          </w:p>
        </w:tc>
        <w:tc>
          <w:tcPr>
            <w:tcW w:w="356" w:type="pct"/>
            <w:vAlign w:val="bottom"/>
          </w:tcPr>
          <w:p w14:paraId="567A4A1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36</w:t>
            </w:r>
          </w:p>
        </w:tc>
        <w:tc>
          <w:tcPr>
            <w:tcW w:w="354" w:type="pct"/>
            <w:vAlign w:val="center"/>
          </w:tcPr>
          <w:p w14:paraId="2C79D8E2"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8</w:t>
            </w:r>
          </w:p>
        </w:tc>
        <w:tc>
          <w:tcPr>
            <w:tcW w:w="355" w:type="pct"/>
            <w:vAlign w:val="center"/>
          </w:tcPr>
          <w:p w14:paraId="59821F3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8</w:t>
            </w:r>
          </w:p>
        </w:tc>
        <w:tc>
          <w:tcPr>
            <w:tcW w:w="354" w:type="pct"/>
            <w:vAlign w:val="center"/>
          </w:tcPr>
          <w:p w14:paraId="6FF4FF0F"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w:t>
            </w:r>
          </w:p>
        </w:tc>
        <w:tc>
          <w:tcPr>
            <w:tcW w:w="353" w:type="pct"/>
            <w:vAlign w:val="bottom"/>
          </w:tcPr>
          <w:p w14:paraId="24E9E07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20</w:t>
            </w:r>
          </w:p>
        </w:tc>
      </w:tr>
      <w:tr w:rsidR="00B043E8" w:rsidRPr="00900ADE" w14:paraId="27C85660" w14:textId="77777777" w:rsidTr="00517B62">
        <w:trPr>
          <w:jc w:val="center"/>
        </w:trPr>
        <w:tc>
          <w:tcPr>
            <w:tcW w:w="371" w:type="pct"/>
          </w:tcPr>
          <w:p w14:paraId="5D718DE8"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8</w:t>
            </w:r>
          </w:p>
        </w:tc>
        <w:tc>
          <w:tcPr>
            <w:tcW w:w="374" w:type="pct"/>
            <w:vAlign w:val="center"/>
          </w:tcPr>
          <w:p w14:paraId="685DDEC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180</w:t>
            </w:r>
          </w:p>
        </w:tc>
        <w:tc>
          <w:tcPr>
            <w:tcW w:w="354" w:type="pct"/>
            <w:vAlign w:val="center"/>
          </w:tcPr>
          <w:p w14:paraId="7437C4B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54</w:t>
            </w:r>
          </w:p>
        </w:tc>
        <w:tc>
          <w:tcPr>
            <w:tcW w:w="355" w:type="pct"/>
            <w:vAlign w:val="center"/>
          </w:tcPr>
          <w:p w14:paraId="1A83881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56</w:t>
            </w:r>
          </w:p>
        </w:tc>
        <w:tc>
          <w:tcPr>
            <w:tcW w:w="354" w:type="pct"/>
            <w:vAlign w:val="center"/>
          </w:tcPr>
          <w:p w14:paraId="43079BF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53</w:t>
            </w:r>
          </w:p>
        </w:tc>
        <w:tc>
          <w:tcPr>
            <w:tcW w:w="355" w:type="pct"/>
            <w:vAlign w:val="center"/>
          </w:tcPr>
          <w:p w14:paraId="15F7178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39</w:t>
            </w:r>
          </w:p>
        </w:tc>
        <w:tc>
          <w:tcPr>
            <w:tcW w:w="355" w:type="pct"/>
            <w:vAlign w:val="center"/>
          </w:tcPr>
          <w:p w14:paraId="434DF30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43</w:t>
            </w:r>
          </w:p>
        </w:tc>
        <w:tc>
          <w:tcPr>
            <w:tcW w:w="355" w:type="pct"/>
            <w:vAlign w:val="center"/>
          </w:tcPr>
          <w:p w14:paraId="20721A3C"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33</w:t>
            </w:r>
          </w:p>
        </w:tc>
        <w:tc>
          <w:tcPr>
            <w:tcW w:w="355" w:type="pct"/>
            <w:vAlign w:val="center"/>
          </w:tcPr>
          <w:p w14:paraId="54652179"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39</w:t>
            </w:r>
          </w:p>
        </w:tc>
        <w:tc>
          <w:tcPr>
            <w:tcW w:w="356" w:type="pct"/>
            <w:vAlign w:val="bottom"/>
          </w:tcPr>
          <w:p w14:paraId="46C2093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41</w:t>
            </w:r>
          </w:p>
        </w:tc>
        <w:tc>
          <w:tcPr>
            <w:tcW w:w="354" w:type="pct"/>
            <w:vAlign w:val="center"/>
          </w:tcPr>
          <w:p w14:paraId="1CE7FF7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w:t>
            </w:r>
          </w:p>
        </w:tc>
        <w:tc>
          <w:tcPr>
            <w:tcW w:w="355" w:type="pct"/>
            <w:vAlign w:val="center"/>
          </w:tcPr>
          <w:p w14:paraId="0B40171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11</w:t>
            </w:r>
          </w:p>
        </w:tc>
        <w:tc>
          <w:tcPr>
            <w:tcW w:w="354" w:type="pct"/>
            <w:vAlign w:val="center"/>
          </w:tcPr>
          <w:p w14:paraId="34C313F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8</w:t>
            </w:r>
          </w:p>
        </w:tc>
        <w:tc>
          <w:tcPr>
            <w:tcW w:w="353" w:type="pct"/>
            <w:vAlign w:val="bottom"/>
          </w:tcPr>
          <w:p w14:paraId="3AE2BF0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20</w:t>
            </w:r>
          </w:p>
        </w:tc>
      </w:tr>
      <w:tr w:rsidR="00B043E8" w:rsidRPr="00900ADE" w14:paraId="46D53DF6" w14:textId="77777777" w:rsidTr="00517B62">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BA675FE"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5 and 8</w:t>
            </w:r>
          </w:p>
        </w:tc>
        <w:tc>
          <w:tcPr>
            <w:tcW w:w="374" w:type="pct"/>
            <w:vAlign w:val="center"/>
          </w:tcPr>
          <w:p w14:paraId="4C09784D"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344</w:t>
            </w:r>
          </w:p>
        </w:tc>
        <w:tc>
          <w:tcPr>
            <w:tcW w:w="354" w:type="pct"/>
            <w:vAlign w:val="center"/>
          </w:tcPr>
          <w:p w14:paraId="2258F27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60</w:t>
            </w:r>
          </w:p>
        </w:tc>
        <w:tc>
          <w:tcPr>
            <w:tcW w:w="355" w:type="pct"/>
            <w:vAlign w:val="center"/>
          </w:tcPr>
          <w:p w14:paraId="4959DC66"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54</w:t>
            </w:r>
          </w:p>
        </w:tc>
        <w:tc>
          <w:tcPr>
            <w:tcW w:w="354" w:type="pct"/>
            <w:vAlign w:val="center"/>
          </w:tcPr>
          <w:p w14:paraId="17691ED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60</w:t>
            </w:r>
          </w:p>
        </w:tc>
        <w:tc>
          <w:tcPr>
            <w:tcW w:w="355" w:type="pct"/>
            <w:vAlign w:val="center"/>
          </w:tcPr>
          <w:p w14:paraId="36D17D51"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42</w:t>
            </w:r>
          </w:p>
        </w:tc>
        <w:tc>
          <w:tcPr>
            <w:tcW w:w="355" w:type="pct"/>
            <w:vAlign w:val="center"/>
          </w:tcPr>
          <w:p w14:paraId="1DC16A63"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35</w:t>
            </w:r>
          </w:p>
        </w:tc>
        <w:tc>
          <w:tcPr>
            <w:tcW w:w="355" w:type="pct"/>
            <w:vAlign w:val="center"/>
          </w:tcPr>
          <w:p w14:paraId="201B294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36</w:t>
            </w:r>
          </w:p>
        </w:tc>
        <w:tc>
          <w:tcPr>
            <w:tcW w:w="355" w:type="pct"/>
            <w:vAlign w:val="center"/>
          </w:tcPr>
          <w:p w14:paraId="4D0ACC4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33</w:t>
            </w:r>
          </w:p>
        </w:tc>
        <w:tc>
          <w:tcPr>
            <w:tcW w:w="356" w:type="pct"/>
            <w:vAlign w:val="bottom"/>
          </w:tcPr>
          <w:p w14:paraId="324A961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38</w:t>
            </w:r>
          </w:p>
        </w:tc>
        <w:tc>
          <w:tcPr>
            <w:tcW w:w="354" w:type="pct"/>
            <w:vAlign w:val="center"/>
          </w:tcPr>
          <w:p w14:paraId="726C6D81"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5</w:t>
            </w:r>
          </w:p>
        </w:tc>
        <w:tc>
          <w:tcPr>
            <w:tcW w:w="355" w:type="pct"/>
            <w:vAlign w:val="center"/>
          </w:tcPr>
          <w:p w14:paraId="44B1F1D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10</w:t>
            </w:r>
          </w:p>
        </w:tc>
        <w:tc>
          <w:tcPr>
            <w:tcW w:w="354" w:type="pct"/>
            <w:vAlign w:val="center"/>
          </w:tcPr>
          <w:p w14:paraId="79968D74"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w:t>
            </w:r>
          </w:p>
        </w:tc>
        <w:tc>
          <w:tcPr>
            <w:tcW w:w="353" w:type="pct"/>
            <w:vAlign w:val="bottom"/>
          </w:tcPr>
          <w:p w14:paraId="1FBD93A1"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20</w:t>
            </w:r>
          </w:p>
        </w:tc>
      </w:tr>
      <w:tr w:rsidR="00B043E8" w:rsidRPr="00900ADE" w14:paraId="2F119ED6" w14:textId="77777777" w:rsidTr="00517B62">
        <w:trPr>
          <w:jc w:val="center"/>
        </w:trPr>
        <w:tc>
          <w:tcPr>
            <w:tcW w:w="371" w:type="pct"/>
          </w:tcPr>
          <w:p w14:paraId="7DB6E23A" w14:textId="77777777" w:rsidR="00B043E8" w:rsidRPr="00900ADE" w:rsidRDefault="00B043E8" w:rsidP="00CD7EAE">
            <w:pPr>
              <w:pStyle w:val="TableText"/>
              <w:spacing w:before="2" w:after="2" w:line="240" w:lineRule="auto"/>
              <w:jc w:val="center"/>
              <w:rPr>
                <w:rFonts w:ascii="Franklin Gothic Book" w:hAnsi="Franklin Gothic Book"/>
              </w:rPr>
            </w:pPr>
            <w:r w:rsidRPr="00900ADE">
              <w:rPr>
                <w:rFonts w:ascii="Franklin Gothic Book" w:hAnsi="Franklin Gothic Book"/>
              </w:rPr>
              <w:t>10</w:t>
            </w:r>
          </w:p>
        </w:tc>
        <w:tc>
          <w:tcPr>
            <w:tcW w:w="374" w:type="pct"/>
            <w:vAlign w:val="center"/>
          </w:tcPr>
          <w:p w14:paraId="6C11BF6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144</w:t>
            </w:r>
          </w:p>
        </w:tc>
        <w:tc>
          <w:tcPr>
            <w:tcW w:w="354" w:type="pct"/>
            <w:vAlign w:val="center"/>
          </w:tcPr>
          <w:p w14:paraId="7FE9E29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78</w:t>
            </w:r>
          </w:p>
        </w:tc>
        <w:tc>
          <w:tcPr>
            <w:tcW w:w="355" w:type="pct"/>
            <w:vAlign w:val="center"/>
          </w:tcPr>
          <w:p w14:paraId="4AA75A0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66</w:t>
            </w:r>
          </w:p>
        </w:tc>
        <w:tc>
          <w:tcPr>
            <w:tcW w:w="354" w:type="pct"/>
            <w:vAlign w:val="center"/>
          </w:tcPr>
          <w:p w14:paraId="1136ADC5"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76</w:t>
            </w:r>
          </w:p>
        </w:tc>
        <w:tc>
          <w:tcPr>
            <w:tcW w:w="355" w:type="pct"/>
            <w:vAlign w:val="center"/>
          </w:tcPr>
          <w:p w14:paraId="79B51A81"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49</w:t>
            </w:r>
          </w:p>
        </w:tc>
        <w:tc>
          <w:tcPr>
            <w:tcW w:w="355" w:type="pct"/>
            <w:vAlign w:val="center"/>
          </w:tcPr>
          <w:p w14:paraId="33C6D30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19</w:t>
            </w:r>
          </w:p>
        </w:tc>
        <w:tc>
          <w:tcPr>
            <w:tcW w:w="355" w:type="pct"/>
            <w:vAlign w:val="center"/>
          </w:tcPr>
          <w:p w14:paraId="6D9B943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30</w:t>
            </w:r>
          </w:p>
        </w:tc>
        <w:tc>
          <w:tcPr>
            <w:tcW w:w="355" w:type="pct"/>
            <w:vAlign w:val="center"/>
          </w:tcPr>
          <w:p w14:paraId="0492749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21</w:t>
            </w:r>
          </w:p>
        </w:tc>
        <w:tc>
          <w:tcPr>
            <w:tcW w:w="356" w:type="pct"/>
            <w:vAlign w:val="bottom"/>
          </w:tcPr>
          <w:p w14:paraId="018FF16B"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40</w:t>
            </w:r>
          </w:p>
        </w:tc>
        <w:tc>
          <w:tcPr>
            <w:tcW w:w="354" w:type="pct"/>
            <w:vAlign w:val="center"/>
          </w:tcPr>
          <w:p w14:paraId="0A2D5590"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w:t>
            </w:r>
          </w:p>
        </w:tc>
        <w:tc>
          <w:tcPr>
            <w:tcW w:w="355" w:type="pct"/>
            <w:vAlign w:val="center"/>
          </w:tcPr>
          <w:p w14:paraId="083837E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4</w:t>
            </w:r>
          </w:p>
        </w:tc>
        <w:tc>
          <w:tcPr>
            <w:tcW w:w="354" w:type="pct"/>
            <w:vAlign w:val="center"/>
          </w:tcPr>
          <w:p w14:paraId="6FC6506E"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cs="Calibri"/>
              </w:rPr>
              <w:t>3</w:t>
            </w:r>
          </w:p>
        </w:tc>
        <w:tc>
          <w:tcPr>
            <w:tcW w:w="353" w:type="pct"/>
            <w:vAlign w:val="bottom"/>
          </w:tcPr>
          <w:p w14:paraId="26087F8A" w14:textId="77777777" w:rsidR="00B043E8" w:rsidRPr="00900ADE" w:rsidRDefault="00B043E8" w:rsidP="00CD7EAE">
            <w:pPr>
              <w:pStyle w:val="TableTextCentered"/>
              <w:spacing w:before="2" w:after="2" w:line="240" w:lineRule="auto"/>
              <w:rPr>
                <w:rFonts w:ascii="Franklin Gothic Book" w:hAnsi="Franklin Gothic Book"/>
              </w:rPr>
            </w:pPr>
            <w:r w:rsidRPr="00900ADE">
              <w:rPr>
                <w:rFonts w:ascii="Franklin Gothic Book" w:hAnsi="Franklin Gothic Book"/>
              </w:rPr>
              <w:t>11</w:t>
            </w:r>
          </w:p>
        </w:tc>
      </w:tr>
    </w:tbl>
    <w:p w14:paraId="3ECBC4CB" w14:textId="77777777" w:rsidR="00822854" w:rsidRPr="00900ADE" w:rsidRDefault="00822854" w:rsidP="00822854">
      <w:pPr>
        <w:pStyle w:val="FootnoteText"/>
        <w:spacing w:before="120"/>
      </w:pPr>
      <w:r w:rsidRPr="00900ADE">
        <w:rPr>
          <w:i/>
          <w:iCs/>
        </w:rPr>
        <w:t>Note</w:t>
      </w:r>
      <w:r w:rsidRPr="00900ADE">
        <w:t>. M/E = meeting or exceeding expectations; PME = partially meeting expectations; NM = not meeting expectations.</w:t>
      </w:r>
    </w:p>
    <w:p w14:paraId="2B184B2B" w14:textId="77777777" w:rsidR="00B8632D" w:rsidRPr="00900ADE" w:rsidRDefault="00B8632D" w:rsidP="00B8632D">
      <w:pPr>
        <w:spacing w:line="240" w:lineRule="auto"/>
        <w:rPr>
          <w:rFonts w:ascii="Franklin Gothic Book" w:hAnsi="Franklin Gothic Book"/>
          <w:sz w:val="12"/>
          <w:szCs w:val="12"/>
        </w:rPr>
      </w:pPr>
    </w:p>
    <w:p w14:paraId="5E087973" w14:textId="77777777" w:rsidR="00B8632D" w:rsidRPr="00900ADE" w:rsidRDefault="00B8632D" w:rsidP="00B8632D">
      <w:pPr>
        <w:spacing w:after="160" w:line="259" w:lineRule="auto"/>
        <w:rPr>
          <w:rFonts w:ascii="Franklin Gothic Book" w:hAnsi="Franklin Gothic Book"/>
          <w:sz w:val="20"/>
          <w:szCs w:val="20"/>
        </w:rPr>
        <w:sectPr w:rsidR="00B8632D" w:rsidRPr="00900ADE" w:rsidSect="00F85470">
          <w:footerReference w:type="default" r:id="rId115"/>
          <w:type w:val="continuous"/>
          <w:pgSz w:w="15840" w:h="12240" w:orient="landscape"/>
          <w:pgMar w:top="1440" w:right="1440" w:bottom="1440" w:left="1440" w:header="720" w:footer="720" w:gutter="0"/>
          <w:pgNumType w:start="1"/>
          <w:cols w:space="720"/>
          <w:docGrid w:linePitch="360"/>
        </w:sectPr>
      </w:pPr>
    </w:p>
    <w:p w14:paraId="0457320F" w14:textId="77777777" w:rsidR="00852AC1" w:rsidRPr="00900ADE" w:rsidRDefault="00852AC1" w:rsidP="00852AC1">
      <w:pPr>
        <w:pStyle w:val="TableETitle"/>
      </w:pPr>
      <w:bookmarkStart w:id="212" w:name="_Toc196169622"/>
      <w:r w:rsidRPr="00900ADE">
        <w:lastRenderedPageBreak/>
        <w:t xml:space="preserve">Table E10. </w:t>
      </w:r>
      <w:r w:rsidRPr="00900ADE">
        <w:rPr>
          <w:spacing w:val="-2"/>
        </w:rPr>
        <w:t>MCAS ELA Mean Student Growth Percentile by Student Group, Grades 3-8, 2022-2024</w:t>
      </w:r>
      <w:bookmarkEnd w:id="212"/>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852AC1" w:rsidRPr="00900ADE" w14:paraId="140CA50F" w14:textId="77777777" w:rsidTr="00B87CA4">
        <w:trPr>
          <w:cnfStyle w:val="100000000000" w:firstRow="1" w:lastRow="0" w:firstColumn="0" w:lastColumn="0" w:oddVBand="0" w:evenVBand="0" w:oddHBand="0" w:evenHBand="0" w:firstRowFirstColumn="0" w:firstRowLastColumn="0" w:lastRowFirstColumn="0" w:lastRowLastColumn="0"/>
          <w:tblHeader/>
        </w:trPr>
        <w:tc>
          <w:tcPr>
            <w:tcW w:w="2962" w:type="dxa"/>
            <w:vAlign w:val="center"/>
          </w:tcPr>
          <w:p w14:paraId="202819DB" w14:textId="77777777" w:rsidR="00852AC1" w:rsidRPr="00900ADE" w:rsidRDefault="00852AC1" w:rsidP="00493750">
            <w:pPr>
              <w:pStyle w:val="TableColHeadingCenter"/>
            </w:pPr>
            <w:r w:rsidRPr="00900ADE">
              <w:t>Group</w:t>
            </w:r>
          </w:p>
        </w:tc>
        <w:tc>
          <w:tcPr>
            <w:tcW w:w="1235" w:type="dxa"/>
            <w:vAlign w:val="center"/>
          </w:tcPr>
          <w:p w14:paraId="3D74A713" w14:textId="284D0B2E" w:rsidR="00852AC1" w:rsidRPr="00900ADE" w:rsidRDefault="00852AC1" w:rsidP="00493750">
            <w:pPr>
              <w:pStyle w:val="TableColHeadingCenter"/>
            </w:pPr>
            <w:r w:rsidRPr="00900ADE">
              <w:t xml:space="preserve"># </w:t>
            </w:r>
            <w:r w:rsidR="00CD7EAE" w:rsidRPr="00900ADE">
              <w:t>i</w:t>
            </w:r>
            <w:r w:rsidRPr="00900ADE">
              <w:t>ncluded (2024)</w:t>
            </w:r>
          </w:p>
        </w:tc>
        <w:tc>
          <w:tcPr>
            <w:tcW w:w="1310" w:type="dxa"/>
            <w:vAlign w:val="center"/>
          </w:tcPr>
          <w:p w14:paraId="3F3A4670" w14:textId="77777777" w:rsidR="00852AC1" w:rsidRPr="00900ADE" w:rsidRDefault="00852AC1" w:rsidP="00493750">
            <w:pPr>
              <w:pStyle w:val="TableColHeadingCenter"/>
            </w:pPr>
            <w:r w:rsidRPr="00900ADE">
              <w:t>2022</w:t>
            </w:r>
          </w:p>
        </w:tc>
        <w:tc>
          <w:tcPr>
            <w:tcW w:w="1310" w:type="dxa"/>
            <w:vAlign w:val="center"/>
          </w:tcPr>
          <w:p w14:paraId="39AD1BEB" w14:textId="77777777" w:rsidR="00852AC1" w:rsidRPr="00900ADE" w:rsidRDefault="00852AC1" w:rsidP="00493750">
            <w:pPr>
              <w:pStyle w:val="TableColHeadingCenter"/>
            </w:pPr>
            <w:r w:rsidRPr="00900ADE">
              <w:t>2023</w:t>
            </w:r>
          </w:p>
        </w:tc>
        <w:tc>
          <w:tcPr>
            <w:tcW w:w="1196" w:type="dxa"/>
            <w:vAlign w:val="center"/>
          </w:tcPr>
          <w:p w14:paraId="4114C90F" w14:textId="77777777" w:rsidR="00852AC1" w:rsidRPr="00900ADE" w:rsidRDefault="00852AC1" w:rsidP="00493750">
            <w:pPr>
              <w:pStyle w:val="TableColHeadingCenter"/>
            </w:pPr>
            <w:r w:rsidRPr="00900ADE">
              <w:t>2024</w:t>
            </w:r>
          </w:p>
        </w:tc>
        <w:tc>
          <w:tcPr>
            <w:tcW w:w="1331" w:type="dxa"/>
            <w:vAlign w:val="center"/>
          </w:tcPr>
          <w:p w14:paraId="55721140" w14:textId="77777777" w:rsidR="00852AC1" w:rsidRPr="00900ADE" w:rsidRDefault="00852AC1" w:rsidP="00493750">
            <w:pPr>
              <w:pStyle w:val="TableColHeadingCenter"/>
            </w:pPr>
            <w:r w:rsidRPr="00900ADE">
              <w:t>State (2024)</w:t>
            </w:r>
          </w:p>
        </w:tc>
      </w:tr>
      <w:tr w:rsidR="00852AC1" w:rsidRPr="00900ADE" w14:paraId="62F6F00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424FE00" w14:textId="77777777" w:rsidR="00852AC1" w:rsidRPr="00900ADE" w:rsidRDefault="00852AC1" w:rsidP="00493750">
            <w:pPr>
              <w:pStyle w:val="TableText"/>
            </w:pPr>
            <w:r w:rsidRPr="00900ADE">
              <w:t>All students</w:t>
            </w:r>
          </w:p>
        </w:tc>
        <w:tc>
          <w:tcPr>
            <w:tcW w:w="1235" w:type="dxa"/>
            <w:vAlign w:val="center"/>
          </w:tcPr>
          <w:p w14:paraId="5A311FC3" w14:textId="77777777" w:rsidR="00852AC1" w:rsidRPr="00900ADE" w:rsidRDefault="00852AC1" w:rsidP="00493750">
            <w:pPr>
              <w:pStyle w:val="TableTextCentered"/>
            </w:pPr>
            <w:r w:rsidRPr="00900ADE">
              <w:t>817</w:t>
            </w:r>
          </w:p>
        </w:tc>
        <w:tc>
          <w:tcPr>
            <w:tcW w:w="1310" w:type="dxa"/>
            <w:vAlign w:val="center"/>
          </w:tcPr>
          <w:p w14:paraId="299C6CE9" w14:textId="77777777" w:rsidR="00852AC1" w:rsidRPr="00900ADE" w:rsidRDefault="00852AC1" w:rsidP="00493750">
            <w:pPr>
              <w:pStyle w:val="TableTextCentered"/>
            </w:pPr>
            <w:r w:rsidRPr="00900ADE">
              <w:t>47</w:t>
            </w:r>
          </w:p>
        </w:tc>
        <w:tc>
          <w:tcPr>
            <w:tcW w:w="1310" w:type="dxa"/>
            <w:vAlign w:val="center"/>
          </w:tcPr>
          <w:p w14:paraId="710ADDCA" w14:textId="77777777" w:rsidR="00852AC1" w:rsidRPr="00900ADE" w:rsidRDefault="00852AC1" w:rsidP="00493750">
            <w:pPr>
              <w:pStyle w:val="TableTextCentered"/>
            </w:pPr>
            <w:r w:rsidRPr="00900ADE">
              <w:t>45</w:t>
            </w:r>
          </w:p>
        </w:tc>
        <w:tc>
          <w:tcPr>
            <w:tcW w:w="1196" w:type="dxa"/>
            <w:vAlign w:val="center"/>
          </w:tcPr>
          <w:p w14:paraId="48EB8299" w14:textId="77777777" w:rsidR="00852AC1" w:rsidRPr="00900ADE" w:rsidRDefault="00852AC1" w:rsidP="00493750">
            <w:pPr>
              <w:pStyle w:val="TableTextCentered"/>
            </w:pPr>
            <w:r w:rsidRPr="00900ADE">
              <w:t>50</w:t>
            </w:r>
          </w:p>
        </w:tc>
        <w:tc>
          <w:tcPr>
            <w:tcW w:w="1331" w:type="dxa"/>
            <w:vAlign w:val="center"/>
          </w:tcPr>
          <w:p w14:paraId="0DFDF6EF" w14:textId="77777777" w:rsidR="00852AC1" w:rsidRPr="00900ADE" w:rsidRDefault="00852AC1" w:rsidP="00493750">
            <w:pPr>
              <w:pStyle w:val="TableTextCentered"/>
            </w:pPr>
            <w:r w:rsidRPr="00900ADE">
              <w:t>50</w:t>
            </w:r>
          </w:p>
        </w:tc>
      </w:tr>
      <w:tr w:rsidR="00852AC1" w:rsidRPr="00900ADE" w14:paraId="4F076DDA" w14:textId="77777777">
        <w:tc>
          <w:tcPr>
            <w:tcW w:w="2962" w:type="dxa"/>
          </w:tcPr>
          <w:p w14:paraId="36627DFB" w14:textId="77777777" w:rsidR="00852AC1" w:rsidRPr="00900ADE" w:rsidRDefault="00852AC1" w:rsidP="00493750">
            <w:pPr>
              <w:pStyle w:val="TableText"/>
            </w:pPr>
            <w:r w:rsidRPr="00900ADE">
              <w:t>African American/Black</w:t>
            </w:r>
          </w:p>
        </w:tc>
        <w:tc>
          <w:tcPr>
            <w:tcW w:w="1235" w:type="dxa"/>
            <w:vAlign w:val="center"/>
          </w:tcPr>
          <w:p w14:paraId="7B87C652" w14:textId="77777777" w:rsidR="00852AC1" w:rsidRPr="00900ADE" w:rsidRDefault="00852AC1" w:rsidP="00493750">
            <w:pPr>
              <w:pStyle w:val="TableTextCentered"/>
            </w:pPr>
            <w:r w:rsidRPr="00900ADE">
              <w:t>21</w:t>
            </w:r>
          </w:p>
        </w:tc>
        <w:tc>
          <w:tcPr>
            <w:tcW w:w="1310" w:type="dxa"/>
            <w:vAlign w:val="center"/>
          </w:tcPr>
          <w:p w14:paraId="22D02436" w14:textId="2EB2AC9E" w:rsidR="00852AC1" w:rsidRPr="00900ADE" w:rsidRDefault="003A7D47" w:rsidP="00493750">
            <w:pPr>
              <w:pStyle w:val="TableTextCentered"/>
            </w:pPr>
            <w:r w:rsidRPr="00900ADE">
              <w:t>—</w:t>
            </w:r>
          </w:p>
        </w:tc>
        <w:tc>
          <w:tcPr>
            <w:tcW w:w="1310" w:type="dxa"/>
            <w:vAlign w:val="center"/>
          </w:tcPr>
          <w:p w14:paraId="2609FF2A" w14:textId="1794F920" w:rsidR="00852AC1" w:rsidRPr="00900ADE" w:rsidRDefault="003A7D47" w:rsidP="00493750">
            <w:pPr>
              <w:pStyle w:val="TableTextCentered"/>
            </w:pPr>
            <w:r w:rsidRPr="00900ADE">
              <w:t>—</w:t>
            </w:r>
          </w:p>
        </w:tc>
        <w:tc>
          <w:tcPr>
            <w:tcW w:w="1196" w:type="dxa"/>
            <w:vAlign w:val="center"/>
          </w:tcPr>
          <w:p w14:paraId="688EB609" w14:textId="77777777" w:rsidR="00852AC1" w:rsidRPr="00900ADE" w:rsidRDefault="00852AC1" w:rsidP="00493750">
            <w:pPr>
              <w:pStyle w:val="TableTextCentered"/>
            </w:pPr>
            <w:r w:rsidRPr="00900ADE">
              <w:t>61</w:t>
            </w:r>
          </w:p>
        </w:tc>
        <w:tc>
          <w:tcPr>
            <w:tcW w:w="1331" w:type="dxa"/>
            <w:vAlign w:val="center"/>
          </w:tcPr>
          <w:p w14:paraId="45EA77EC" w14:textId="77777777" w:rsidR="00852AC1" w:rsidRPr="00900ADE" w:rsidRDefault="00852AC1" w:rsidP="00493750">
            <w:pPr>
              <w:pStyle w:val="TableTextCentered"/>
            </w:pPr>
            <w:r w:rsidRPr="00900ADE">
              <w:t>49</w:t>
            </w:r>
          </w:p>
        </w:tc>
      </w:tr>
      <w:tr w:rsidR="00852AC1" w:rsidRPr="00900ADE" w14:paraId="0ACE110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B0E2B38" w14:textId="77777777" w:rsidR="00852AC1" w:rsidRPr="00900ADE" w:rsidRDefault="00852AC1" w:rsidP="00493750">
            <w:pPr>
              <w:pStyle w:val="TableText"/>
            </w:pPr>
            <w:r w:rsidRPr="00900ADE">
              <w:t>Asian</w:t>
            </w:r>
          </w:p>
        </w:tc>
        <w:tc>
          <w:tcPr>
            <w:tcW w:w="1235" w:type="dxa"/>
            <w:vAlign w:val="center"/>
          </w:tcPr>
          <w:p w14:paraId="199CFA2F" w14:textId="77777777" w:rsidR="00852AC1" w:rsidRPr="00900ADE" w:rsidRDefault="00852AC1" w:rsidP="00493750">
            <w:pPr>
              <w:pStyle w:val="TableTextCentered"/>
            </w:pPr>
            <w:r w:rsidRPr="00900ADE">
              <w:t>33</w:t>
            </w:r>
          </w:p>
        </w:tc>
        <w:tc>
          <w:tcPr>
            <w:tcW w:w="1310" w:type="dxa"/>
            <w:vAlign w:val="center"/>
          </w:tcPr>
          <w:p w14:paraId="363693D9" w14:textId="77777777" w:rsidR="00852AC1" w:rsidRPr="00900ADE" w:rsidRDefault="00852AC1" w:rsidP="00493750">
            <w:pPr>
              <w:pStyle w:val="TableTextCentered"/>
            </w:pPr>
            <w:r w:rsidRPr="00900ADE">
              <w:t>57</w:t>
            </w:r>
          </w:p>
        </w:tc>
        <w:tc>
          <w:tcPr>
            <w:tcW w:w="1310" w:type="dxa"/>
            <w:vAlign w:val="center"/>
          </w:tcPr>
          <w:p w14:paraId="66D2BD34" w14:textId="77777777" w:rsidR="00852AC1" w:rsidRPr="00900ADE" w:rsidRDefault="00852AC1" w:rsidP="00493750">
            <w:pPr>
              <w:pStyle w:val="TableTextCentered"/>
            </w:pPr>
            <w:r w:rsidRPr="00900ADE">
              <w:t>52</w:t>
            </w:r>
          </w:p>
        </w:tc>
        <w:tc>
          <w:tcPr>
            <w:tcW w:w="1196" w:type="dxa"/>
            <w:vAlign w:val="center"/>
          </w:tcPr>
          <w:p w14:paraId="3DB157C5" w14:textId="77777777" w:rsidR="00852AC1" w:rsidRPr="00900ADE" w:rsidRDefault="00852AC1" w:rsidP="00493750">
            <w:pPr>
              <w:pStyle w:val="TableTextCentered"/>
            </w:pPr>
            <w:r w:rsidRPr="00900ADE">
              <w:t>63</w:t>
            </w:r>
          </w:p>
        </w:tc>
        <w:tc>
          <w:tcPr>
            <w:tcW w:w="1331" w:type="dxa"/>
            <w:vAlign w:val="center"/>
          </w:tcPr>
          <w:p w14:paraId="5780FF46" w14:textId="77777777" w:rsidR="00852AC1" w:rsidRPr="00900ADE" w:rsidRDefault="00852AC1" w:rsidP="00493750">
            <w:pPr>
              <w:pStyle w:val="TableTextCentered"/>
            </w:pPr>
            <w:r w:rsidRPr="00900ADE">
              <w:t>57</w:t>
            </w:r>
          </w:p>
        </w:tc>
      </w:tr>
      <w:tr w:rsidR="00852AC1" w:rsidRPr="00900ADE" w14:paraId="1F2E58B1" w14:textId="77777777">
        <w:tc>
          <w:tcPr>
            <w:tcW w:w="2962" w:type="dxa"/>
          </w:tcPr>
          <w:p w14:paraId="1E70D36D" w14:textId="77777777" w:rsidR="00852AC1" w:rsidRPr="00900ADE" w:rsidRDefault="00852AC1" w:rsidP="00493750">
            <w:pPr>
              <w:pStyle w:val="TableText"/>
            </w:pPr>
            <w:r w:rsidRPr="00900ADE">
              <w:t>Hispanic/Latino</w:t>
            </w:r>
          </w:p>
        </w:tc>
        <w:tc>
          <w:tcPr>
            <w:tcW w:w="1235" w:type="dxa"/>
            <w:vAlign w:val="center"/>
          </w:tcPr>
          <w:p w14:paraId="696BBCCF" w14:textId="77777777" w:rsidR="00852AC1" w:rsidRPr="00900ADE" w:rsidRDefault="00852AC1" w:rsidP="00493750">
            <w:pPr>
              <w:pStyle w:val="TableTextCentered"/>
            </w:pPr>
            <w:r w:rsidRPr="00900ADE">
              <w:t>66</w:t>
            </w:r>
          </w:p>
        </w:tc>
        <w:tc>
          <w:tcPr>
            <w:tcW w:w="1310" w:type="dxa"/>
            <w:vAlign w:val="center"/>
          </w:tcPr>
          <w:p w14:paraId="65374496" w14:textId="77777777" w:rsidR="00852AC1" w:rsidRPr="00900ADE" w:rsidRDefault="00852AC1" w:rsidP="00493750">
            <w:pPr>
              <w:pStyle w:val="TableTextCentered"/>
            </w:pPr>
            <w:r w:rsidRPr="00900ADE">
              <w:t>43</w:t>
            </w:r>
          </w:p>
        </w:tc>
        <w:tc>
          <w:tcPr>
            <w:tcW w:w="1310" w:type="dxa"/>
            <w:vAlign w:val="center"/>
          </w:tcPr>
          <w:p w14:paraId="144F2435" w14:textId="77777777" w:rsidR="00852AC1" w:rsidRPr="00900ADE" w:rsidRDefault="00852AC1" w:rsidP="00493750">
            <w:pPr>
              <w:pStyle w:val="TableTextCentered"/>
            </w:pPr>
            <w:r w:rsidRPr="00900ADE">
              <w:t>42</w:t>
            </w:r>
          </w:p>
        </w:tc>
        <w:tc>
          <w:tcPr>
            <w:tcW w:w="1196" w:type="dxa"/>
            <w:vAlign w:val="center"/>
          </w:tcPr>
          <w:p w14:paraId="3B2CC671" w14:textId="77777777" w:rsidR="00852AC1" w:rsidRPr="00900ADE" w:rsidRDefault="00852AC1" w:rsidP="00493750">
            <w:pPr>
              <w:pStyle w:val="TableTextCentered"/>
            </w:pPr>
            <w:r w:rsidRPr="00900ADE">
              <w:t>40</w:t>
            </w:r>
          </w:p>
        </w:tc>
        <w:tc>
          <w:tcPr>
            <w:tcW w:w="1331" w:type="dxa"/>
            <w:vAlign w:val="center"/>
          </w:tcPr>
          <w:p w14:paraId="3FC5B7F0" w14:textId="77777777" w:rsidR="00852AC1" w:rsidRPr="00900ADE" w:rsidRDefault="00852AC1" w:rsidP="00493750">
            <w:pPr>
              <w:pStyle w:val="TableTextCentered"/>
            </w:pPr>
            <w:r w:rsidRPr="00900ADE">
              <w:t>48</w:t>
            </w:r>
          </w:p>
        </w:tc>
      </w:tr>
      <w:tr w:rsidR="00852AC1" w:rsidRPr="00900ADE" w14:paraId="620BBB22"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00D445C" w14:textId="77777777" w:rsidR="00852AC1" w:rsidRPr="00900ADE" w:rsidRDefault="00852AC1" w:rsidP="00493750">
            <w:pPr>
              <w:pStyle w:val="TableText"/>
            </w:pPr>
            <w:r w:rsidRPr="00900ADE">
              <w:t>Multi-Race, non-Hispanic/Latino</w:t>
            </w:r>
          </w:p>
        </w:tc>
        <w:tc>
          <w:tcPr>
            <w:tcW w:w="1235" w:type="dxa"/>
            <w:vAlign w:val="center"/>
          </w:tcPr>
          <w:p w14:paraId="280450E5" w14:textId="77777777" w:rsidR="00852AC1" w:rsidRPr="00900ADE" w:rsidRDefault="00852AC1" w:rsidP="00493750">
            <w:pPr>
              <w:pStyle w:val="TableTextCentered"/>
            </w:pPr>
            <w:r w:rsidRPr="00900ADE">
              <w:t>14</w:t>
            </w:r>
          </w:p>
        </w:tc>
        <w:tc>
          <w:tcPr>
            <w:tcW w:w="1310" w:type="dxa"/>
            <w:vAlign w:val="center"/>
          </w:tcPr>
          <w:p w14:paraId="48A02201" w14:textId="4925FE4A" w:rsidR="00852AC1" w:rsidRPr="00900ADE" w:rsidRDefault="003A7D47" w:rsidP="00493750">
            <w:pPr>
              <w:pStyle w:val="TableTextCentered"/>
            </w:pPr>
            <w:r w:rsidRPr="00900ADE">
              <w:t>—</w:t>
            </w:r>
          </w:p>
        </w:tc>
        <w:tc>
          <w:tcPr>
            <w:tcW w:w="1310" w:type="dxa"/>
            <w:vAlign w:val="center"/>
          </w:tcPr>
          <w:p w14:paraId="42455EC6" w14:textId="51994987" w:rsidR="00852AC1" w:rsidRPr="00900ADE" w:rsidRDefault="003A7D47" w:rsidP="00493750">
            <w:pPr>
              <w:pStyle w:val="TableTextCentered"/>
            </w:pPr>
            <w:r w:rsidRPr="00900ADE">
              <w:t>—</w:t>
            </w:r>
          </w:p>
        </w:tc>
        <w:tc>
          <w:tcPr>
            <w:tcW w:w="1196" w:type="dxa"/>
            <w:vAlign w:val="center"/>
          </w:tcPr>
          <w:p w14:paraId="7A51A6AC" w14:textId="00A6A86C" w:rsidR="00852AC1" w:rsidRPr="00900ADE" w:rsidRDefault="003A7D47" w:rsidP="00493750">
            <w:pPr>
              <w:pStyle w:val="TableTextCentered"/>
            </w:pPr>
            <w:r w:rsidRPr="00900ADE">
              <w:t>—</w:t>
            </w:r>
          </w:p>
        </w:tc>
        <w:tc>
          <w:tcPr>
            <w:tcW w:w="1331" w:type="dxa"/>
            <w:vAlign w:val="center"/>
          </w:tcPr>
          <w:p w14:paraId="2973FF09" w14:textId="77777777" w:rsidR="00852AC1" w:rsidRPr="00900ADE" w:rsidRDefault="00852AC1" w:rsidP="00493750">
            <w:pPr>
              <w:pStyle w:val="TableTextCentered"/>
            </w:pPr>
            <w:r w:rsidRPr="00900ADE">
              <w:t>51</w:t>
            </w:r>
          </w:p>
        </w:tc>
      </w:tr>
      <w:tr w:rsidR="00852AC1" w:rsidRPr="00900ADE" w14:paraId="0E910CC2" w14:textId="77777777">
        <w:tc>
          <w:tcPr>
            <w:tcW w:w="2962" w:type="dxa"/>
          </w:tcPr>
          <w:p w14:paraId="7716F066" w14:textId="77777777" w:rsidR="00852AC1" w:rsidRPr="00900ADE" w:rsidRDefault="00852AC1" w:rsidP="00493750">
            <w:pPr>
              <w:pStyle w:val="TableText"/>
            </w:pPr>
            <w:r w:rsidRPr="00900ADE">
              <w:t>Native American</w:t>
            </w:r>
          </w:p>
        </w:tc>
        <w:tc>
          <w:tcPr>
            <w:tcW w:w="1235" w:type="dxa"/>
            <w:vAlign w:val="center"/>
          </w:tcPr>
          <w:p w14:paraId="46116C38" w14:textId="77777777" w:rsidR="00852AC1" w:rsidRPr="00900ADE" w:rsidRDefault="00852AC1" w:rsidP="00493750">
            <w:pPr>
              <w:pStyle w:val="TableTextCentered"/>
            </w:pPr>
            <w:r w:rsidRPr="00900ADE">
              <w:t>1</w:t>
            </w:r>
          </w:p>
        </w:tc>
        <w:tc>
          <w:tcPr>
            <w:tcW w:w="1310" w:type="dxa"/>
            <w:vAlign w:val="center"/>
          </w:tcPr>
          <w:p w14:paraId="2571813A" w14:textId="1497EBB0" w:rsidR="00852AC1" w:rsidRPr="00900ADE" w:rsidRDefault="003A7D47" w:rsidP="00493750">
            <w:pPr>
              <w:pStyle w:val="TableTextCentered"/>
            </w:pPr>
            <w:r w:rsidRPr="00900ADE">
              <w:t>—</w:t>
            </w:r>
          </w:p>
        </w:tc>
        <w:tc>
          <w:tcPr>
            <w:tcW w:w="1310" w:type="dxa"/>
            <w:vAlign w:val="center"/>
          </w:tcPr>
          <w:p w14:paraId="0E776298" w14:textId="2339781C" w:rsidR="00852AC1" w:rsidRPr="00900ADE" w:rsidRDefault="003A7D47" w:rsidP="00493750">
            <w:pPr>
              <w:pStyle w:val="TableTextCentered"/>
            </w:pPr>
            <w:r w:rsidRPr="00900ADE">
              <w:t>—</w:t>
            </w:r>
          </w:p>
        </w:tc>
        <w:tc>
          <w:tcPr>
            <w:tcW w:w="1196" w:type="dxa"/>
            <w:vAlign w:val="center"/>
          </w:tcPr>
          <w:p w14:paraId="150E1080" w14:textId="6EC19FDA" w:rsidR="00852AC1" w:rsidRPr="00900ADE" w:rsidRDefault="003A7D47" w:rsidP="00493750">
            <w:pPr>
              <w:pStyle w:val="TableTextCentered"/>
            </w:pPr>
            <w:r w:rsidRPr="00900ADE">
              <w:t>—</w:t>
            </w:r>
          </w:p>
        </w:tc>
        <w:tc>
          <w:tcPr>
            <w:tcW w:w="1331" w:type="dxa"/>
            <w:vAlign w:val="center"/>
          </w:tcPr>
          <w:p w14:paraId="579BC994" w14:textId="77777777" w:rsidR="00852AC1" w:rsidRPr="00900ADE" w:rsidRDefault="00852AC1" w:rsidP="00493750">
            <w:pPr>
              <w:pStyle w:val="TableTextCentered"/>
            </w:pPr>
            <w:r w:rsidRPr="00900ADE">
              <w:t>48</w:t>
            </w:r>
          </w:p>
        </w:tc>
      </w:tr>
      <w:tr w:rsidR="00852AC1" w:rsidRPr="00900ADE" w14:paraId="0BFA3C57"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DA327B8" w14:textId="77777777" w:rsidR="00852AC1" w:rsidRPr="00900ADE" w:rsidRDefault="00852AC1" w:rsidP="00493750">
            <w:pPr>
              <w:pStyle w:val="TableText"/>
            </w:pPr>
            <w:r w:rsidRPr="00900ADE">
              <w:t>Native Hawaiian, Pacific Islander</w:t>
            </w:r>
          </w:p>
        </w:tc>
        <w:tc>
          <w:tcPr>
            <w:tcW w:w="1235" w:type="dxa"/>
            <w:vAlign w:val="center"/>
          </w:tcPr>
          <w:p w14:paraId="2737B55B" w14:textId="77777777" w:rsidR="00852AC1" w:rsidRPr="00900ADE" w:rsidRDefault="00852AC1" w:rsidP="00493750">
            <w:pPr>
              <w:pStyle w:val="TableTextCentered"/>
            </w:pPr>
            <w:r w:rsidRPr="00900ADE">
              <w:t>1</w:t>
            </w:r>
          </w:p>
        </w:tc>
        <w:tc>
          <w:tcPr>
            <w:tcW w:w="1310" w:type="dxa"/>
            <w:vAlign w:val="center"/>
          </w:tcPr>
          <w:p w14:paraId="1F35331C" w14:textId="151E4FF1" w:rsidR="00852AC1" w:rsidRPr="00900ADE" w:rsidRDefault="003A7D47" w:rsidP="00493750">
            <w:pPr>
              <w:pStyle w:val="TableTextCentered"/>
            </w:pPr>
            <w:r w:rsidRPr="00900ADE">
              <w:t>—</w:t>
            </w:r>
          </w:p>
        </w:tc>
        <w:tc>
          <w:tcPr>
            <w:tcW w:w="1310" w:type="dxa"/>
            <w:vAlign w:val="center"/>
          </w:tcPr>
          <w:p w14:paraId="56F684D9" w14:textId="46ED9569" w:rsidR="00852AC1" w:rsidRPr="00900ADE" w:rsidRDefault="003A7D47" w:rsidP="00493750">
            <w:pPr>
              <w:pStyle w:val="TableTextCentered"/>
            </w:pPr>
            <w:r w:rsidRPr="00900ADE">
              <w:t>—</w:t>
            </w:r>
          </w:p>
        </w:tc>
        <w:tc>
          <w:tcPr>
            <w:tcW w:w="1196" w:type="dxa"/>
            <w:vAlign w:val="center"/>
          </w:tcPr>
          <w:p w14:paraId="4A536434" w14:textId="2389B437" w:rsidR="00852AC1" w:rsidRPr="00900ADE" w:rsidRDefault="003A7D47" w:rsidP="00493750">
            <w:pPr>
              <w:pStyle w:val="TableTextCentered"/>
            </w:pPr>
            <w:r w:rsidRPr="00900ADE">
              <w:t>—</w:t>
            </w:r>
          </w:p>
        </w:tc>
        <w:tc>
          <w:tcPr>
            <w:tcW w:w="1331" w:type="dxa"/>
            <w:vAlign w:val="center"/>
          </w:tcPr>
          <w:p w14:paraId="7C3803E4" w14:textId="77777777" w:rsidR="00852AC1" w:rsidRPr="00900ADE" w:rsidRDefault="00852AC1" w:rsidP="00493750">
            <w:pPr>
              <w:pStyle w:val="TableTextCentered"/>
            </w:pPr>
            <w:r w:rsidRPr="00900ADE">
              <w:t>51</w:t>
            </w:r>
          </w:p>
        </w:tc>
      </w:tr>
      <w:tr w:rsidR="00852AC1" w:rsidRPr="00900ADE" w14:paraId="0E457A10" w14:textId="77777777">
        <w:tc>
          <w:tcPr>
            <w:tcW w:w="2962" w:type="dxa"/>
          </w:tcPr>
          <w:p w14:paraId="19E9887C" w14:textId="77777777" w:rsidR="00852AC1" w:rsidRPr="00900ADE" w:rsidRDefault="00852AC1" w:rsidP="00493750">
            <w:pPr>
              <w:pStyle w:val="TableText"/>
            </w:pPr>
            <w:r w:rsidRPr="00900ADE">
              <w:t>White</w:t>
            </w:r>
          </w:p>
        </w:tc>
        <w:tc>
          <w:tcPr>
            <w:tcW w:w="1235" w:type="dxa"/>
            <w:vAlign w:val="center"/>
          </w:tcPr>
          <w:p w14:paraId="2F25BD56" w14:textId="77777777" w:rsidR="00852AC1" w:rsidRPr="00900ADE" w:rsidRDefault="00852AC1" w:rsidP="00493750">
            <w:pPr>
              <w:pStyle w:val="TableTextCentered"/>
            </w:pPr>
            <w:r w:rsidRPr="00900ADE">
              <w:t>681</w:t>
            </w:r>
          </w:p>
        </w:tc>
        <w:tc>
          <w:tcPr>
            <w:tcW w:w="1310" w:type="dxa"/>
            <w:vAlign w:val="center"/>
          </w:tcPr>
          <w:p w14:paraId="55DD603C" w14:textId="77777777" w:rsidR="00852AC1" w:rsidRPr="00900ADE" w:rsidRDefault="00852AC1" w:rsidP="00493750">
            <w:pPr>
              <w:pStyle w:val="TableTextCentered"/>
            </w:pPr>
            <w:r w:rsidRPr="00900ADE">
              <w:t>48</w:t>
            </w:r>
          </w:p>
        </w:tc>
        <w:tc>
          <w:tcPr>
            <w:tcW w:w="1310" w:type="dxa"/>
            <w:vAlign w:val="center"/>
          </w:tcPr>
          <w:p w14:paraId="28C1CF64" w14:textId="77777777" w:rsidR="00852AC1" w:rsidRPr="00900ADE" w:rsidRDefault="00852AC1" w:rsidP="00493750">
            <w:pPr>
              <w:pStyle w:val="TableTextCentered"/>
            </w:pPr>
            <w:r w:rsidRPr="00900ADE">
              <w:t>45</w:t>
            </w:r>
          </w:p>
        </w:tc>
        <w:tc>
          <w:tcPr>
            <w:tcW w:w="1196" w:type="dxa"/>
            <w:vAlign w:val="center"/>
          </w:tcPr>
          <w:p w14:paraId="2E3DF0E4" w14:textId="77777777" w:rsidR="00852AC1" w:rsidRPr="00900ADE" w:rsidRDefault="00852AC1" w:rsidP="00493750">
            <w:pPr>
              <w:pStyle w:val="TableTextCentered"/>
            </w:pPr>
            <w:r w:rsidRPr="00900ADE">
              <w:t>50</w:t>
            </w:r>
          </w:p>
        </w:tc>
        <w:tc>
          <w:tcPr>
            <w:tcW w:w="1331" w:type="dxa"/>
            <w:vAlign w:val="center"/>
          </w:tcPr>
          <w:p w14:paraId="194F3232" w14:textId="77777777" w:rsidR="00852AC1" w:rsidRPr="00900ADE" w:rsidRDefault="00852AC1" w:rsidP="00493750">
            <w:pPr>
              <w:pStyle w:val="TableTextCentered"/>
            </w:pPr>
            <w:r w:rsidRPr="00900ADE">
              <w:t>50</w:t>
            </w:r>
          </w:p>
        </w:tc>
      </w:tr>
      <w:tr w:rsidR="00852AC1" w:rsidRPr="00900ADE" w14:paraId="0DC48CA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A687FBF" w14:textId="00ADE743" w:rsidR="00852AC1" w:rsidRPr="00900ADE" w:rsidRDefault="00852AC1" w:rsidP="00493750">
            <w:pPr>
              <w:pStyle w:val="TableText"/>
            </w:pPr>
            <w:r w:rsidRPr="00900ADE">
              <w:t xml:space="preserve">High </w:t>
            </w:r>
            <w:r w:rsidR="00A64AA7">
              <w:t>n</w:t>
            </w:r>
            <w:r w:rsidRPr="00900ADE">
              <w:t>eeds</w:t>
            </w:r>
          </w:p>
        </w:tc>
        <w:tc>
          <w:tcPr>
            <w:tcW w:w="1235" w:type="dxa"/>
            <w:vAlign w:val="center"/>
          </w:tcPr>
          <w:p w14:paraId="35F98440" w14:textId="77777777" w:rsidR="00852AC1" w:rsidRPr="00900ADE" w:rsidRDefault="00852AC1" w:rsidP="00493750">
            <w:pPr>
              <w:pStyle w:val="TableTextCentered"/>
            </w:pPr>
            <w:r w:rsidRPr="00900ADE">
              <w:t>252</w:t>
            </w:r>
          </w:p>
        </w:tc>
        <w:tc>
          <w:tcPr>
            <w:tcW w:w="1310" w:type="dxa"/>
            <w:vAlign w:val="center"/>
          </w:tcPr>
          <w:p w14:paraId="40535820" w14:textId="77777777" w:rsidR="00852AC1" w:rsidRPr="00900ADE" w:rsidRDefault="00852AC1" w:rsidP="00493750">
            <w:pPr>
              <w:pStyle w:val="TableTextCentered"/>
            </w:pPr>
            <w:r w:rsidRPr="00900ADE">
              <w:t>42</w:t>
            </w:r>
          </w:p>
        </w:tc>
        <w:tc>
          <w:tcPr>
            <w:tcW w:w="1310" w:type="dxa"/>
            <w:vAlign w:val="center"/>
          </w:tcPr>
          <w:p w14:paraId="5868AB66" w14:textId="77777777" w:rsidR="00852AC1" w:rsidRPr="00900ADE" w:rsidRDefault="00852AC1" w:rsidP="00493750">
            <w:pPr>
              <w:pStyle w:val="TableTextCentered"/>
            </w:pPr>
            <w:r w:rsidRPr="00900ADE">
              <w:t>46</w:t>
            </w:r>
          </w:p>
        </w:tc>
        <w:tc>
          <w:tcPr>
            <w:tcW w:w="1196" w:type="dxa"/>
            <w:vAlign w:val="center"/>
          </w:tcPr>
          <w:p w14:paraId="428457D9" w14:textId="77777777" w:rsidR="00852AC1" w:rsidRPr="00900ADE" w:rsidRDefault="00852AC1" w:rsidP="00493750">
            <w:pPr>
              <w:pStyle w:val="TableTextCentered"/>
            </w:pPr>
            <w:r w:rsidRPr="00900ADE">
              <w:t>48</w:t>
            </w:r>
          </w:p>
        </w:tc>
        <w:tc>
          <w:tcPr>
            <w:tcW w:w="1331" w:type="dxa"/>
            <w:vAlign w:val="center"/>
          </w:tcPr>
          <w:p w14:paraId="6A2AF9F8" w14:textId="77777777" w:rsidR="00852AC1" w:rsidRPr="00900ADE" w:rsidRDefault="00852AC1" w:rsidP="00493750">
            <w:pPr>
              <w:pStyle w:val="TableTextCentered"/>
            </w:pPr>
            <w:r w:rsidRPr="00900ADE">
              <w:t>48</w:t>
            </w:r>
          </w:p>
        </w:tc>
      </w:tr>
      <w:tr w:rsidR="00852AC1" w:rsidRPr="00900ADE" w14:paraId="77FA80C9" w14:textId="77777777">
        <w:tc>
          <w:tcPr>
            <w:tcW w:w="2962" w:type="dxa"/>
          </w:tcPr>
          <w:p w14:paraId="4854387C" w14:textId="77777777" w:rsidR="00852AC1" w:rsidRPr="00900ADE" w:rsidRDefault="00852AC1" w:rsidP="00493750">
            <w:pPr>
              <w:pStyle w:val="TableText"/>
            </w:pPr>
            <w:r w:rsidRPr="00900ADE">
              <w:t>Low income</w:t>
            </w:r>
          </w:p>
        </w:tc>
        <w:tc>
          <w:tcPr>
            <w:tcW w:w="1235" w:type="dxa"/>
            <w:vAlign w:val="center"/>
          </w:tcPr>
          <w:p w14:paraId="6207BCC5" w14:textId="77777777" w:rsidR="00852AC1" w:rsidRPr="00900ADE" w:rsidRDefault="00852AC1" w:rsidP="00493750">
            <w:pPr>
              <w:pStyle w:val="TableTextCentered"/>
            </w:pPr>
            <w:r w:rsidRPr="00900ADE">
              <w:t>133</w:t>
            </w:r>
          </w:p>
        </w:tc>
        <w:tc>
          <w:tcPr>
            <w:tcW w:w="1310" w:type="dxa"/>
            <w:vAlign w:val="center"/>
          </w:tcPr>
          <w:p w14:paraId="5DE1B598" w14:textId="77777777" w:rsidR="00852AC1" w:rsidRPr="00900ADE" w:rsidRDefault="00852AC1" w:rsidP="00493750">
            <w:pPr>
              <w:pStyle w:val="TableTextCentered"/>
            </w:pPr>
            <w:r w:rsidRPr="00900ADE">
              <w:t>40</w:t>
            </w:r>
          </w:p>
        </w:tc>
        <w:tc>
          <w:tcPr>
            <w:tcW w:w="1310" w:type="dxa"/>
            <w:vAlign w:val="center"/>
          </w:tcPr>
          <w:p w14:paraId="370074DE" w14:textId="77777777" w:rsidR="00852AC1" w:rsidRPr="00900ADE" w:rsidRDefault="00852AC1" w:rsidP="00493750">
            <w:pPr>
              <w:pStyle w:val="TableTextCentered"/>
            </w:pPr>
            <w:r w:rsidRPr="00900ADE">
              <w:t>45</w:t>
            </w:r>
          </w:p>
        </w:tc>
        <w:tc>
          <w:tcPr>
            <w:tcW w:w="1196" w:type="dxa"/>
            <w:vAlign w:val="center"/>
          </w:tcPr>
          <w:p w14:paraId="27902AA9" w14:textId="77777777" w:rsidR="00852AC1" w:rsidRPr="00900ADE" w:rsidRDefault="00852AC1" w:rsidP="00493750">
            <w:pPr>
              <w:pStyle w:val="TableTextCentered"/>
            </w:pPr>
            <w:r w:rsidRPr="00900ADE">
              <w:t>48</w:t>
            </w:r>
          </w:p>
        </w:tc>
        <w:tc>
          <w:tcPr>
            <w:tcW w:w="1331" w:type="dxa"/>
            <w:vAlign w:val="center"/>
          </w:tcPr>
          <w:p w14:paraId="60C17035" w14:textId="77777777" w:rsidR="00852AC1" w:rsidRPr="00900ADE" w:rsidRDefault="00852AC1" w:rsidP="00493750">
            <w:pPr>
              <w:pStyle w:val="TableTextCentered"/>
            </w:pPr>
            <w:r w:rsidRPr="00900ADE">
              <w:t>47</w:t>
            </w:r>
          </w:p>
        </w:tc>
      </w:tr>
      <w:tr w:rsidR="00852AC1" w:rsidRPr="00900ADE" w14:paraId="795D86C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02B8F8F" w14:textId="77777777" w:rsidR="00852AC1" w:rsidRPr="00900ADE" w:rsidRDefault="00852AC1" w:rsidP="00493750">
            <w:pPr>
              <w:pStyle w:val="TableText"/>
            </w:pPr>
            <w:r w:rsidRPr="00900ADE">
              <w:t>ELs and former ELs</w:t>
            </w:r>
          </w:p>
        </w:tc>
        <w:tc>
          <w:tcPr>
            <w:tcW w:w="1235" w:type="dxa"/>
            <w:vAlign w:val="center"/>
          </w:tcPr>
          <w:p w14:paraId="022F5A90" w14:textId="77777777" w:rsidR="00852AC1" w:rsidRPr="00900ADE" w:rsidRDefault="00852AC1" w:rsidP="00493750">
            <w:pPr>
              <w:pStyle w:val="TableTextCentered"/>
            </w:pPr>
            <w:r w:rsidRPr="00900ADE">
              <w:t>48</w:t>
            </w:r>
          </w:p>
        </w:tc>
        <w:tc>
          <w:tcPr>
            <w:tcW w:w="1310" w:type="dxa"/>
            <w:vAlign w:val="center"/>
          </w:tcPr>
          <w:p w14:paraId="6DB1F238" w14:textId="77777777" w:rsidR="00852AC1" w:rsidRPr="00900ADE" w:rsidRDefault="00852AC1" w:rsidP="00493750">
            <w:pPr>
              <w:pStyle w:val="TableTextCentered"/>
            </w:pPr>
            <w:r w:rsidRPr="00900ADE">
              <w:t>56</w:t>
            </w:r>
          </w:p>
        </w:tc>
        <w:tc>
          <w:tcPr>
            <w:tcW w:w="1310" w:type="dxa"/>
            <w:vAlign w:val="center"/>
          </w:tcPr>
          <w:p w14:paraId="5EA6391E" w14:textId="77777777" w:rsidR="00852AC1" w:rsidRPr="00900ADE" w:rsidRDefault="00852AC1" w:rsidP="00493750">
            <w:pPr>
              <w:pStyle w:val="TableTextCentered"/>
            </w:pPr>
            <w:r w:rsidRPr="00900ADE">
              <w:t>48</w:t>
            </w:r>
          </w:p>
        </w:tc>
        <w:tc>
          <w:tcPr>
            <w:tcW w:w="1196" w:type="dxa"/>
            <w:vAlign w:val="center"/>
          </w:tcPr>
          <w:p w14:paraId="29EA1E86" w14:textId="77777777" w:rsidR="00852AC1" w:rsidRPr="00900ADE" w:rsidRDefault="00852AC1" w:rsidP="00493750">
            <w:pPr>
              <w:pStyle w:val="TableTextCentered"/>
            </w:pPr>
            <w:r w:rsidRPr="00900ADE">
              <w:t>48</w:t>
            </w:r>
          </w:p>
        </w:tc>
        <w:tc>
          <w:tcPr>
            <w:tcW w:w="1331" w:type="dxa"/>
            <w:vAlign w:val="center"/>
          </w:tcPr>
          <w:p w14:paraId="15A1C05E" w14:textId="77777777" w:rsidR="00852AC1" w:rsidRPr="00900ADE" w:rsidRDefault="00852AC1" w:rsidP="00493750">
            <w:pPr>
              <w:pStyle w:val="TableTextCentered"/>
            </w:pPr>
            <w:r w:rsidRPr="00900ADE">
              <w:t>50</w:t>
            </w:r>
          </w:p>
        </w:tc>
      </w:tr>
      <w:tr w:rsidR="00852AC1" w:rsidRPr="00900ADE" w14:paraId="77C12C73" w14:textId="77777777">
        <w:tc>
          <w:tcPr>
            <w:tcW w:w="2962" w:type="dxa"/>
          </w:tcPr>
          <w:p w14:paraId="140855B7" w14:textId="77777777" w:rsidR="00852AC1" w:rsidRPr="00900ADE" w:rsidRDefault="00852AC1" w:rsidP="00493750">
            <w:pPr>
              <w:pStyle w:val="TableText"/>
            </w:pPr>
            <w:r w:rsidRPr="00900ADE">
              <w:t>Students w/disabilities</w:t>
            </w:r>
          </w:p>
        </w:tc>
        <w:tc>
          <w:tcPr>
            <w:tcW w:w="1235" w:type="dxa"/>
            <w:vAlign w:val="center"/>
          </w:tcPr>
          <w:p w14:paraId="1ECD03A8" w14:textId="77777777" w:rsidR="00852AC1" w:rsidRPr="00900ADE" w:rsidRDefault="00852AC1" w:rsidP="00493750">
            <w:pPr>
              <w:pStyle w:val="TableTextCentered"/>
            </w:pPr>
            <w:r w:rsidRPr="00900ADE">
              <w:t>150</w:t>
            </w:r>
          </w:p>
        </w:tc>
        <w:tc>
          <w:tcPr>
            <w:tcW w:w="1310" w:type="dxa"/>
            <w:vAlign w:val="center"/>
          </w:tcPr>
          <w:p w14:paraId="3A120405" w14:textId="77777777" w:rsidR="00852AC1" w:rsidRPr="00900ADE" w:rsidRDefault="00852AC1" w:rsidP="00493750">
            <w:pPr>
              <w:pStyle w:val="TableTextCentered"/>
            </w:pPr>
            <w:r w:rsidRPr="00900ADE">
              <w:t>42</w:t>
            </w:r>
          </w:p>
        </w:tc>
        <w:tc>
          <w:tcPr>
            <w:tcW w:w="1310" w:type="dxa"/>
            <w:vAlign w:val="center"/>
          </w:tcPr>
          <w:p w14:paraId="6031124D" w14:textId="77777777" w:rsidR="00852AC1" w:rsidRPr="00900ADE" w:rsidRDefault="00852AC1" w:rsidP="00493750">
            <w:pPr>
              <w:pStyle w:val="TableTextCentered"/>
            </w:pPr>
            <w:r w:rsidRPr="00900ADE">
              <w:t>42</w:t>
            </w:r>
          </w:p>
        </w:tc>
        <w:tc>
          <w:tcPr>
            <w:tcW w:w="1196" w:type="dxa"/>
            <w:vAlign w:val="center"/>
          </w:tcPr>
          <w:p w14:paraId="5597EFAF" w14:textId="77777777" w:rsidR="00852AC1" w:rsidRPr="00900ADE" w:rsidRDefault="00852AC1" w:rsidP="00493750">
            <w:pPr>
              <w:pStyle w:val="TableTextCentered"/>
            </w:pPr>
            <w:r w:rsidRPr="00900ADE">
              <w:t>48</w:t>
            </w:r>
          </w:p>
        </w:tc>
        <w:tc>
          <w:tcPr>
            <w:tcW w:w="1331" w:type="dxa"/>
            <w:vAlign w:val="center"/>
          </w:tcPr>
          <w:p w14:paraId="40D2F300" w14:textId="77777777" w:rsidR="00852AC1" w:rsidRPr="00900ADE" w:rsidRDefault="00852AC1" w:rsidP="00493750">
            <w:pPr>
              <w:pStyle w:val="TableTextCentered"/>
            </w:pPr>
            <w:r w:rsidRPr="00900ADE">
              <w:t>45</w:t>
            </w:r>
          </w:p>
        </w:tc>
      </w:tr>
    </w:tbl>
    <w:p w14:paraId="69C12DCF" w14:textId="77777777" w:rsidR="00852AC1" w:rsidRPr="00900ADE" w:rsidRDefault="00852AC1" w:rsidP="00C9717C">
      <w:pPr>
        <w:pStyle w:val="TableETitle"/>
        <w:spacing w:before="240"/>
      </w:pPr>
      <w:bookmarkStart w:id="213" w:name="_Toc196169623"/>
      <w:r w:rsidRPr="00900ADE">
        <w:t>Table E11. MCAS ELA Mean Student Growth Percentile by Student Group, Grade 10, 2022-2024</w:t>
      </w:r>
      <w:bookmarkEnd w:id="213"/>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852AC1" w:rsidRPr="00900ADE" w14:paraId="3D8C8045" w14:textId="77777777" w:rsidTr="00B87CA4">
        <w:trPr>
          <w:cnfStyle w:val="100000000000" w:firstRow="1" w:lastRow="0" w:firstColumn="0" w:lastColumn="0" w:oddVBand="0" w:evenVBand="0" w:oddHBand="0" w:evenHBand="0" w:firstRowFirstColumn="0" w:firstRowLastColumn="0" w:lastRowFirstColumn="0" w:lastRowLastColumn="0"/>
          <w:tblHeader/>
        </w:trPr>
        <w:tc>
          <w:tcPr>
            <w:tcW w:w="2962" w:type="dxa"/>
            <w:vAlign w:val="center"/>
          </w:tcPr>
          <w:p w14:paraId="3307471A" w14:textId="77777777" w:rsidR="00852AC1" w:rsidRPr="00900ADE" w:rsidRDefault="00852AC1" w:rsidP="00493750">
            <w:pPr>
              <w:pStyle w:val="TableColHeadingCenter"/>
            </w:pPr>
            <w:r w:rsidRPr="00900ADE">
              <w:t>Group</w:t>
            </w:r>
          </w:p>
        </w:tc>
        <w:tc>
          <w:tcPr>
            <w:tcW w:w="1235" w:type="dxa"/>
            <w:vAlign w:val="center"/>
          </w:tcPr>
          <w:p w14:paraId="393F6F50" w14:textId="6A979562" w:rsidR="00852AC1" w:rsidRPr="00900ADE" w:rsidRDefault="00852AC1" w:rsidP="00493750">
            <w:pPr>
              <w:pStyle w:val="TableColHeadingCenter"/>
            </w:pPr>
            <w:r w:rsidRPr="00900ADE">
              <w:t># Included (2024)</w:t>
            </w:r>
          </w:p>
        </w:tc>
        <w:tc>
          <w:tcPr>
            <w:tcW w:w="1310" w:type="dxa"/>
            <w:vAlign w:val="center"/>
          </w:tcPr>
          <w:p w14:paraId="519E12BF" w14:textId="77777777" w:rsidR="00852AC1" w:rsidRPr="00900ADE" w:rsidRDefault="00852AC1" w:rsidP="00493750">
            <w:pPr>
              <w:pStyle w:val="TableColHeadingCenter"/>
            </w:pPr>
            <w:r w:rsidRPr="00900ADE">
              <w:t>2022</w:t>
            </w:r>
          </w:p>
        </w:tc>
        <w:tc>
          <w:tcPr>
            <w:tcW w:w="1310" w:type="dxa"/>
            <w:vAlign w:val="center"/>
          </w:tcPr>
          <w:p w14:paraId="38421C8D" w14:textId="77777777" w:rsidR="00852AC1" w:rsidRPr="00900ADE" w:rsidRDefault="00852AC1" w:rsidP="00493750">
            <w:pPr>
              <w:pStyle w:val="TableColHeadingCenter"/>
            </w:pPr>
            <w:r w:rsidRPr="00900ADE">
              <w:t>2023</w:t>
            </w:r>
          </w:p>
        </w:tc>
        <w:tc>
          <w:tcPr>
            <w:tcW w:w="1196" w:type="dxa"/>
            <w:vAlign w:val="center"/>
          </w:tcPr>
          <w:p w14:paraId="5B4E2E07" w14:textId="77777777" w:rsidR="00852AC1" w:rsidRPr="00900ADE" w:rsidRDefault="00852AC1" w:rsidP="00493750">
            <w:pPr>
              <w:pStyle w:val="TableColHeadingCenter"/>
            </w:pPr>
            <w:r w:rsidRPr="00900ADE">
              <w:t>2024</w:t>
            </w:r>
          </w:p>
        </w:tc>
        <w:tc>
          <w:tcPr>
            <w:tcW w:w="1331" w:type="dxa"/>
            <w:vAlign w:val="center"/>
          </w:tcPr>
          <w:p w14:paraId="6148B675" w14:textId="77777777" w:rsidR="00852AC1" w:rsidRPr="00900ADE" w:rsidRDefault="00852AC1" w:rsidP="00493750">
            <w:pPr>
              <w:pStyle w:val="TableColHeadingCenter"/>
            </w:pPr>
            <w:r w:rsidRPr="00900ADE">
              <w:t>State (2024)</w:t>
            </w:r>
          </w:p>
        </w:tc>
      </w:tr>
      <w:tr w:rsidR="00852AC1" w:rsidRPr="00900ADE" w14:paraId="3E4E7FE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221A1C5" w14:textId="77777777" w:rsidR="00852AC1" w:rsidRPr="00900ADE" w:rsidRDefault="00852AC1" w:rsidP="00493750">
            <w:pPr>
              <w:pStyle w:val="TableText"/>
            </w:pPr>
            <w:r w:rsidRPr="00900ADE">
              <w:t>All students</w:t>
            </w:r>
          </w:p>
        </w:tc>
        <w:tc>
          <w:tcPr>
            <w:tcW w:w="1235" w:type="dxa"/>
            <w:vAlign w:val="center"/>
          </w:tcPr>
          <w:p w14:paraId="6F47E013" w14:textId="77777777" w:rsidR="00852AC1" w:rsidRPr="00900ADE" w:rsidRDefault="00852AC1" w:rsidP="00493750">
            <w:pPr>
              <w:pStyle w:val="TableTextCentered"/>
            </w:pPr>
            <w:r w:rsidRPr="00900ADE">
              <w:t>138</w:t>
            </w:r>
          </w:p>
        </w:tc>
        <w:tc>
          <w:tcPr>
            <w:tcW w:w="1310" w:type="dxa"/>
            <w:vAlign w:val="center"/>
          </w:tcPr>
          <w:p w14:paraId="336C2D1E" w14:textId="77777777" w:rsidR="00852AC1" w:rsidRPr="00900ADE" w:rsidRDefault="00852AC1" w:rsidP="00493750">
            <w:pPr>
              <w:pStyle w:val="TableTextCentered"/>
            </w:pPr>
            <w:r w:rsidRPr="00900ADE">
              <w:t>47</w:t>
            </w:r>
          </w:p>
        </w:tc>
        <w:tc>
          <w:tcPr>
            <w:tcW w:w="1310" w:type="dxa"/>
            <w:vAlign w:val="center"/>
          </w:tcPr>
          <w:p w14:paraId="580BA73F" w14:textId="77777777" w:rsidR="00852AC1" w:rsidRPr="00900ADE" w:rsidRDefault="00852AC1" w:rsidP="00493750">
            <w:pPr>
              <w:pStyle w:val="TableTextCentered"/>
            </w:pPr>
            <w:r w:rsidRPr="00900ADE">
              <w:t>39</w:t>
            </w:r>
          </w:p>
        </w:tc>
        <w:tc>
          <w:tcPr>
            <w:tcW w:w="1196" w:type="dxa"/>
            <w:vAlign w:val="center"/>
          </w:tcPr>
          <w:p w14:paraId="521C0370" w14:textId="77777777" w:rsidR="00852AC1" w:rsidRPr="00900ADE" w:rsidRDefault="00852AC1" w:rsidP="00493750">
            <w:pPr>
              <w:pStyle w:val="TableTextCentered"/>
            </w:pPr>
            <w:r w:rsidRPr="00900ADE">
              <w:t>51</w:t>
            </w:r>
          </w:p>
        </w:tc>
        <w:tc>
          <w:tcPr>
            <w:tcW w:w="1331" w:type="dxa"/>
            <w:vAlign w:val="center"/>
          </w:tcPr>
          <w:p w14:paraId="17BCBA94" w14:textId="77777777" w:rsidR="00852AC1" w:rsidRPr="00900ADE" w:rsidRDefault="00852AC1" w:rsidP="00493750">
            <w:pPr>
              <w:pStyle w:val="TableTextCentered"/>
            </w:pPr>
            <w:r w:rsidRPr="00900ADE">
              <w:t>50</w:t>
            </w:r>
          </w:p>
        </w:tc>
      </w:tr>
      <w:tr w:rsidR="00852AC1" w:rsidRPr="00900ADE" w14:paraId="4648EB7F" w14:textId="77777777">
        <w:tc>
          <w:tcPr>
            <w:tcW w:w="2962" w:type="dxa"/>
          </w:tcPr>
          <w:p w14:paraId="648DAD56" w14:textId="77777777" w:rsidR="00852AC1" w:rsidRPr="00900ADE" w:rsidRDefault="00852AC1" w:rsidP="00493750">
            <w:pPr>
              <w:pStyle w:val="TableText"/>
            </w:pPr>
            <w:r w:rsidRPr="00900ADE">
              <w:t>African American/Black</w:t>
            </w:r>
          </w:p>
        </w:tc>
        <w:tc>
          <w:tcPr>
            <w:tcW w:w="1235" w:type="dxa"/>
            <w:vAlign w:val="center"/>
          </w:tcPr>
          <w:p w14:paraId="2A3FB614" w14:textId="77777777" w:rsidR="00852AC1" w:rsidRPr="00900ADE" w:rsidRDefault="00852AC1" w:rsidP="00493750">
            <w:pPr>
              <w:pStyle w:val="TableTextCentered"/>
            </w:pPr>
            <w:r w:rsidRPr="00900ADE">
              <w:t>2</w:t>
            </w:r>
          </w:p>
        </w:tc>
        <w:tc>
          <w:tcPr>
            <w:tcW w:w="1310" w:type="dxa"/>
            <w:vAlign w:val="center"/>
          </w:tcPr>
          <w:p w14:paraId="6938DE14" w14:textId="6AE3F6C7" w:rsidR="00852AC1" w:rsidRPr="00900ADE" w:rsidRDefault="003A7D47" w:rsidP="00493750">
            <w:pPr>
              <w:pStyle w:val="TableTextCentered"/>
            </w:pPr>
            <w:r w:rsidRPr="00900ADE">
              <w:t>—</w:t>
            </w:r>
          </w:p>
        </w:tc>
        <w:tc>
          <w:tcPr>
            <w:tcW w:w="1310" w:type="dxa"/>
            <w:vAlign w:val="center"/>
          </w:tcPr>
          <w:p w14:paraId="45AC83AD" w14:textId="467F1705" w:rsidR="00852AC1" w:rsidRPr="00900ADE" w:rsidRDefault="003A7D47" w:rsidP="00493750">
            <w:pPr>
              <w:pStyle w:val="TableTextCentered"/>
            </w:pPr>
            <w:r w:rsidRPr="00900ADE">
              <w:t>—</w:t>
            </w:r>
          </w:p>
        </w:tc>
        <w:tc>
          <w:tcPr>
            <w:tcW w:w="1196" w:type="dxa"/>
            <w:vAlign w:val="center"/>
          </w:tcPr>
          <w:p w14:paraId="06445898" w14:textId="14A2F5DB" w:rsidR="00852AC1" w:rsidRPr="00900ADE" w:rsidRDefault="003A7D47" w:rsidP="00493750">
            <w:pPr>
              <w:pStyle w:val="TableTextCentered"/>
            </w:pPr>
            <w:r w:rsidRPr="00900ADE">
              <w:t>—</w:t>
            </w:r>
          </w:p>
        </w:tc>
        <w:tc>
          <w:tcPr>
            <w:tcW w:w="1331" w:type="dxa"/>
            <w:vAlign w:val="center"/>
          </w:tcPr>
          <w:p w14:paraId="07078368" w14:textId="77777777" w:rsidR="00852AC1" w:rsidRPr="00900ADE" w:rsidRDefault="00852AC1" w:rsidP="00493750">
            <w:pPr>
              <w:pStyle w:val="TableTextCentered"/>
            </w:pPr>
            <w:r w:rsidRPr="00900ADE">
              <w:t>48</w:t>
            </w:r>
          </w:p>
        </w:tc>
      </w:tr>
      <w:tr w:rsidR="00852AC1" w:rsidRPr="00900ADE" w14:paraId="53619307"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67F423F" w14:textId="77777777" w:rsidR="00852AC1" w:rsidRPr="00900ADE" w:rsidRDefault="00852AC1" w:rsidP="00493750">
            <w:pPr>
              <w:pStyle w:val="TableText"/>
            </w:pPr>
            <w:r w:rsidRPr="00900ADE">
              <w:t>Asian</w:t>
            </w:r>
          </w:p>
        </w:tc>
        <w:tc>
          <w:tcPr>
            <w:tcW w:w="1235" w:type="dxa"/>
            <w:vAlign w:val="center"/>
          </w:tcPr>
          <w:p w14:paraId="0B1D664C" w14:textId="77777777" w:rsidR="00852AC1" w:rsidRPr="00900ADE" w:rsidRDefault="00852AC1" w:rsidP="00493750">
            <w:pPr>
              <w:pStyle w:val="TableTextCentered"/>
            </w:pPr>
            <w:r w:rsidRPr="00900ADE">
              <w:t>6</w:t>
            </w:r>
          </w:p>
        </w:tc>
        <w:tc>
          <w:tcPr>
            <w:tcW w:w="1310" w:type="dxa"/>
            <w:vAlign w:val="center"/>
          </w:tcPr>
          <w:p w14:paraId="01EA2B62" w14:textId="4ABEA0A2" w:rsidR="00852AC1" w:rsidRPr="00900ADE" w:rsidRDefault="003A7D47" w:rsidP="00493750">
            <w:pPr>
              <w:pStyle w:val="TableTextCentered"/>
            </w:pPr>
            <w:r w:rsidRPr="00900ADE">
              <w:t>—</w:t>
            </w:r>
          </w:p>
        </w:tc>
        <w:tc>
          <w:tcPr>
            <w:tcW w:w="1310" w:type="dxa"/>
            <w:vAlign w:val="center"/>
          </w:tcPr>
          <w:p w14:paraId="0F8F03CE" w14:textId="0E254B09" w:rsidR="00852AC1" w:rsidRPr="00900ADE" w:rsidRDefault="003A7D47" w:rsidP="00493750">
            <w:pPr>
              <w:pStyle w:val="TableTextCentered"/>
            </w:pPr>
            <w:r w:rsidRPr="00900ADE">
              <w:t>—</w:t>
            </w:r>
          </w:p>
        </w:tc>
        <w:tc>
          <w:tcPr>
            <w:tcW w:w="1196" w:type="dxa"/>
            <w:vAlign w:val="center"/>
          </w:tcPr>
          <w:p w14:paraId="7C91A7F6" w14:textId="47BC4620" w:rsidR="00852AC1" w:rsidRPr="00900ADE" w:rsidRDefault="003A7D47" w:rsidP="00493750">
            <w:pPr>
              <w:pStyle w:val="TableTextCentered"/>
            </w:pPr>
            <w:r w:rsidRPr="00900ADE">
              <w:t>—</w:t>
            </w:r>
          </w:p>
        </w:tc>
        <w:tc>
          <w:tcPr>
            <w:tcW w:w="1331" w:type="dxa"/>
            <w:vAlign w:val="center"/>
          </w:tcPr>
          <w:p w14:paraId="7AE58D10" w14:textId="77777777" w:rsidR="00852AC1" w:rsidRPr="00900ADE" w:rsidRDefault="00852AC1" w:rsidP="00493750">
            <w:pPr>
              <w:pStyle w:val="TableTextCentered"/>
            </w:pPr>
            <w:r w:rsidRPr="00900ADE">
              <w:t>55</w:t>
            </w:r>
          </w:p>
        </w:tc>
      </w:tr>
      <w:tr w:rsidR="00852AC1" w:rsidRPr="00900ADE" w14:paraId="084D2132" w14:textId="77777777">
        <w:tc>
          <w:tcPr>
            <w:tcW w:w="2962" w:type="dxa"/>
          </w:tcPr>
          <w:p w14:paraId="615242E4" w14:textId="77777777" w:rsidR="00852AC1" w:rsidRPr="00900ADE" w:rsidRDefault="00852AC1" w:rsidP="00493750">
            <w:pPr>
              <w:pStyle w:val="TableText"/>
            </w:pPr>
            <w:r w:rsidRPr="00900ADE">
              <w:t>Hispanic/Latino</w:t>
            </w:r>
          </w:p>
        </w:tc>
        <w:tc>
          <w:tcPr>
            <w:tcW w:w="1235" w:type="dxa"/>
            <w:vAlign w:val="center"/>
          </w:tcPr>
          <w:p w14:paraId="2BDD0C61" w14:textId="77777777" w:rsidR="00852AC1" w:rsidRPr="00900ADE" w:rsidRDefault="00852AC1" w:rsidP="00493750">
            <w:pPr>
              <w:pStyle w:val="TableTextCentered"/>
            </w:pPr>
            <w:r w:rsidRPr="00900ADE">
              <w:t>6</w:t>
            </w:r>
          </w:p>
        </w:tc>
        <w:tc>
          <w:tcPr>
            <w:tcW w:w="1310" w:type="dxa"/>
            <w:vAlign w:val="center"/>
          </w:tcPr>
          <w:p w14:paraId="5A30C020" w14:textId="1CDB19C3" w:rsidR="00852AC1" w:rsidRPr="00900ADE" w:rsidRDefault="003A7D47" w:rsidP="00493750">
            <w:pPr>
              <w:pStyle w:val="TableTextCentered"/>
            </w:pPr>
            <w:r w:rsidRPr="00900ADE">
              <w:t>—</w:t>
            </w:r>
          </w:p>
        </w:tc>
        <w:tc>
          <w:tcPr>
            <w:tcW w:w="1310" w:type="dxa"/>
            <w:vAlign w:val="center"/>
          </w:tcPr>
          <w:p w14:paraId="1B477221" w14:textId="1C78030B" w:rsidR="00852AC1" w:rsidRPr="00900ADE" w:rsidRDefault="003A7D47" w:rsidP="00493750">
            <w:pPr>
              <w:pStyle w:val="TableTextCentered"/>
            </w:pPr>
            <w:r w:rsidRPr="00900ADE">
              <w:t>—</w:t>
            </w:r>
          </w:p>
        </w:tc>
        <w:tc>
          <w:tcPr>
            <w:tcW w:w="1196" w:type="dxa"/>
            <w:vAlign w:val="center"/>
          </w:tcPr>
          <w:p w14:paraId="1EF2220C" w14:textId="43196F20" w:rsidR="00852AC1" w:rsidRPr="00900ADE" w:rsidRDefault="003A7D47" w:rsidP="00493750">
            <w:pPr>
              <w:pStyle w:val="TableTextCentered"/>
            </w:pPr>
            <w:r w:rsidRPr="00900ADE">
              <w:t>—</w:t>
            </w:r>
          </w:p>
        </w:tc>
        <w:tc>
          <w:tcPr>
            <w:tcW w:w="1331" w:type="dxa"/>
            <w:vAlign w:val="center"/>
          </w:tcPr>
          <w:p w14:paraId="4A10F9D4" w14:textId="77777777" w:rsidR="00852AC1" w:rsidRPr="00900ADE" w:rsidRDefault="00852AC1" w:rsidP="00493750">
            <w:pPr>
              <w:pStyle w:val="TableTextCentered"/>
            </w:pPr>
            <w:r w:rsidRPr="00900ADE">
              <w:t>47</w:t>
            </w:r>
          </w:p>
        </w:tc>
      </w:tr>
      <w:tr w:rsidR="00852AC1" w:rsidRPr="00900ADE" w14:paraId="02C99FB0"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1FF3337" w14:textId="77777777" w:rsidR="00852AC1" w:rsidRPr="00900ADE" w:rsidRDefault="00852AC1" w:rsidP="00493750">
            <w:pPr>
              <w:pStyle w:val="TableText"/>
            </w:pPr>
            <w:r w:rsidRPr="00900ADE">
              <w:t>Multi-Race, non-Hispanic/Latino</w:t>
            </w:r>
          </w:p>
        </w:tc>
        <w:tc>
          <w:tcPr>
            <w:tcW w:w="1235" w:type="dxa"/>
            <w:vAlign w:val="center"/>
          </w:tcPr>
          <w:p w14:paraId="065C735D" w14:textId="77777777" w:rsidR="00852AC1" w:rsidRPr="00900ADE" w:rsidRDefault="00852AC1" w:rsidP="00493750">
            <w:pPr>
              <w:pStyle w:val="TableTextCentered"/>
            </w:pPr>
            <w:r w:rsidRPr="00900ADE">
              <w:t>6</w:t>
            </w:r>
          </w:p>
        </w:tc>
        <w:tc>
          <w:tcPr>
            <w:tcW w:w="1310" w:type="dxa"/>
            <w:vAlign w:val="center"/>
          </w:tcPr>
          <w:p w14:paraId="23C27AF9" w14:textId="41C8E5F5" w:rsidR="00852AC1" w:rsidRPr="00900ADE" w:rsidRDefault="003A7D47" w:rsidP="00493750">
            <w:pPr>
              <w:pStyle w:val="TableTextCentered"/>
            </w:pPr>
            <w:r w:rsidRPr="00900ADE">
              <w:t>—</w:t>
            </w:r>
          </w:p>
        </w:tc>
        <w:tc>
          <w:tcPr>
            <w:tcW w:w="1310" w:type="dxa"/>
            <w:vAlign w:val="center"/>
          </w:tcPr>
          <w:p w14:paraId="76F4612B" w14:textId="532ABED8" w:rsidR="00852AC1" w:rsidRPr="00900ADE" w:rsidRDefault="003A7D47" w:rsidP="00493750">
            <w:pPr>
              <w:pStyle w:val="TableTextCentered"/>
            </w:pPr>
            <w:r w:rsidRPr="00900ADE">
              <w:t>—</w:t>
            </w:r>
          </w:p>
        </w:tc>
        <w:tc>
          <w:tcPr>
            <w:tcW w:w="1196" w:type="dxa"/>
            <w:vAlign w:val="center"/>
          </w:tcPr>
          <w:p w14:paraId="1840B01A" w14:textId="29E85251" w:rsidR="00852AC1" w:rsidRPr="00900ADE" w:rsidRDefault="003A7D47" w:rsidP="00493750">
            <w:pPr>
              <w:pStyle w:val="TableTextCentered"/>
            </w:pPr>
            <w:r w:rsidRPr="00900ADE">
              <w:t>—</w:t>
            </w:r>
          </w:p>
        </w:tc>
        <w:tc>
          <w:tcPr>
            <w:tcW w:w="1331" w:type="dxa"/>
            <w:vAlign w:val="center"/>
          </w:tcPr>
          <w:p w14:paraId="04B08421" w14:textId="77777777" w:rsidR="00852AC1" w:rsidRPr="00900ADE" w:rsidRDefault="00852AC1" w:rsidP="00493750">
            <w:pPr>
              <w:pStyle w:val="TableTextCentered"/>
            </w:pPr>
            <w:r w:rsidRPr="00900ADE">
              <w:t>50</w:t>
            </w:r>
          </w:p>
        </w:tc>
      </w:tr>
      <w:tr w:rsidR="00852AC1" w:rsidRPr="00900ADE" w14:paraId="12D4BB7A" w14:textId="77777777">
        <w:tc>
          <w:tcPr>
            <w:tcW w:w="2962" w:type="dxa"/>
          </w:tcPr>
          <w:p w14:paraId="0BFFD12C" w14:textId="77777777" w:rsidR="00852AC1" w:rsidRPr="00900ADE" w:rsidRDefault="00852AC1" w:rsidP="00493750">
            <w:pPr>
              <w:pStyle w:val="TableText"/>
            </w:pPr>
            <w:r w:rsidRPr="00900ADE">
              <w:t>Native American</w:t>
            </w:r>
          </w:p>
        </w:tc>
        <w:tc>
          <w:tcPr>
            <w:tcW w:w="1235" w:type="dxa"/>
            <w:vAlign w:val="center"/>
          </w:tcPr>
          <w:p w14:paraId="70083B3B" w14:textId="50AAABD7" w:rsidR="00852AC1" w:rsidRPr="00900ADE" w:rsidRDefault="003A7D47" w:rsidP="00493750">
            <w:pPr>
              <w:pStyle w:val="TableTextCentered"/>
            </w:pPr>
            <w:r w:rsidRPr="00900ADE">
              <w:t>—</w:t>
            </w:r>
          </w:p>
        </w:tc>
        <w:tc>
          <w:tcPr>
            <w:tcW w:w="1310" w:type="dxa"/>
            <w:vAlign w:val="center"/>
          </w:tcPr>
          <w:p w14:paraId="06D54AC0" w14:textId="3E8F3CB5" w:rsidR="00852AC1" w:rsidRPr="00900ADE" w:rsidRDefault="003A7D47" w:rsidP="00493750">
            <w:pPr>
              <w:pStyle w:val="TableTextCentered"/>
            </w:pPr>
            <w:r w:rsidRPr="00900ADE">
              <w:t>—</w:t>
            </w:r>
          </w:p>
        </w:tc>
        <w:tc>
          <w:tcPr>
            <w:tcW w:w="1310" w:type="dxa"/>
            <w:vAlign w:val="center"/>
          </w:tcPr>
          <w:p w14:paraId="3FA169E9" w14:textId="1818D149" w:rsidR="00852AC1" w:rsidRPr="00900ADE" w:rsidRDefault="003A7D47" w:rsidP="00493750">
            <w:pPr>
              <w:pStyle w:val="TableTextCentered"/>
            </w:pPr>
            <w:r w:rsidRPr="00900ADE">
              <w:t>—</w:t>
            </w:r>
          </w:p>
        </w:tc>
        <w:tc>
          <w:tcPr>
            <w:tcW w:w="1196" w:type="dxa"/>
            <w:vAlign w:val="center"/>
          </w:tcPr>
          <w:p w14:paraId="2E68F865" w14:textId="0B2195B8" w:rsidR="00852AC1" w:rsidRPr="00900ADE" w:rsidRDefault="003A7D47" w:rsidP="00493750">
            <w:pPr>
              <w:pStyle w:val="TableTextCentered"/>
            </w:pPr>
            <w:r w:rsidRPr="00900ADE">
              <w:t>—</w:t>
            </w:r>
          </w:p>
        </w:tc>
        <w:tc>
          <w:tcPr>
            <w:tcW w:w="1331" w:type="dxa"/>
            <w:vAlign w:val="center"/>
          </w:tcPr>
          <w:p w14:paraId="0C0E11FD" w14:textId="77777777" w:rsidR="00852AC1" w:rsidRPr="00900ADE" w:rsidRDefault="00852AC1" w:rsidP="00493750">
            <w:pPr>
              <w:pStyle w:val="TableTextCentered"/>
            </w:pPr>
            <w:r w:rsidRPr="00900ADE">
              <w:t>51</w:t>
            </w:r>
          </w:p>
        </w:tc>
      </w:tr>
      <w:tr w:rsidR="00852AC1" w:rsidRPr="00900ADE" w14:paraId="4676391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6290360" w14:textId="77777777" w:rsidR="00852AC1" w:rsidRPr="00900ADE" w:rsidRDefault="00852AC1" w:rsidP="00493750">
            <w:pPr>
              <w:pStyle w:val="TableText"/>
            </w:pPr>
            <w:r w:rsidRPr="00900ADE">
              <w:t>Native Hawaiian, Pacific Islander</w:t>
            </w:r>
          </w:p>
        </w:tc>
        <w:tc>
          <w:tcPr>
            <w:tcW w:w="1235" w:type="dxa"/>
            <w:vAlign w:val="center"/>
          </w:tcPr>
          <w:p w14:paraId="6E733B5C" w14:textId="77777777" w:rsidR="00852AC1" w:rsidRPr="00900ADE" w:rsidRDefault="00852AC1" w:rsidP="00493750">
            <w:pPr>
              <w:pStyle w:val="TableTextCentered"/>
            </w:pPr>
            <w:r w:rsidRPr="00900ADE">
              <w:t>1</w:t>
            </w:r>
          </w:p>
        </w:tc>
        <w:tc>
          <w:tcPr>
            <w:tcW w:w="1310" w:type="dxa"/>
            <w:vAlign w:val="center"/>
          </w:tcPr>
          <w:p w14:paraId="55B92F2F" w14:textId="2279702A" w:rsidR="00852AC1" w:rsidRPr="00900ADE" w:rsidRDefault="003A7D47" w:rsidP="00493750">
            <w:pPr>
              <w:pStyle w:val="TableTextCentered"/>
            </w:pPr>
            <w:r w:rsidRPr="00900ADE">
              <w:t>—</w:t>
            </w:r>
          </w:p>
        </w:tc>
        <w:tc>
          <w:tcPr>
            <w:tcW w:w="1310" w:type="dxa"/>
            <w:vAlign w:val="center"/>
          </w:tcPr>
          <w:p w14:paraId="3C53F42B" w14:textId="27D0B734" w:rsidR="00852AC1" w:rsidRPr="00900ADE" w:rsidRDefault="003A7D47" w:rsidP="00493750">
            <w:pPr>
              <w:pStyle w:val="TableTextCentered"/>
            </w:pPr>
            <w:r w:rsidRPr="00900ADE">
              <w:t>—</w:t>
            </w:r>
          </w:p>
        </w:tc>
        <w:tc>
          <w:tcPr>
            <w:tcW w:w="1196" w:type="dxa"/>
            <w:vAlign w:val="center"/>
          </w:tcPr>
          <w:p w14:paraId="7BCAE425" w14:textId="0D11055C" w:rsidR="00852AC1" w:rsidRPr="00900ADE" w:rsidRDefault="003A7D47" w:rsidP="00493750">
            <w:pPr>
              <w:pStyle w:val="TableTextCentered"/>
            </w:pPr>
            <w:r w:rsidRPr="00900ADE">
              <w:t>—</w:t>
            </w:r>
          </w:p>
        </w:tc>
        <w:tc>
          <w:tcPr>
            <w:tcW w:w="1331" w:type="dxa"/>
            <w:vAlign w:val="center"/>
          </w:tcPr>
          <w:p w14:paraId="319F4712" w14:textId="77777777" w:rsidR="00852AC1" w:rsidRPr="00900ADE" w:rsidRDefault="00852AC1" w:rsidP="00493750">
            <w:pPr>
              <w:pStyle w:val="TableTextCentered"/>
            </w:pPr>
            <w:r w:rsidRPr="00900ADE">
              <w:t>49</w:t>
            </w:r>
          </w:p>
        </w:tc>
      </w:tr>
      <w:tr w:rsidR="00852AC1" w:rsidRPr="00900ADE" w14:paraId="6B5F796E" w14:textId="77777777">
        <w:tc>
          <w:tcPr>
            <w:tcW w:w="2962" w:type="dxa"/>
          </w:tcPr>
          <w:p w14:paraId="4079AA28" w14:textId="77777777" w:rsidR="00852AC1" w:rsidRPr="00900ADE" w:rsidRDefault="00852AC1" w:rsidP="00493750">
            <w:pPr>
              <w:pStyle w:val="TableText"/>
            </w:pPr>
            <w:r w:rsidRPr="00900ADE">
              <w:t>White</w:t>
            </w:r>
          </w:p>
        </w:tc>
        <w:tc>
          <w:tcPr>
            <w:tcW w:w="1235" w:type="dxa"/>
            <w:vAlign w:val="center"/>
          </w:tcPr>
          <w:p w14:paraId="1681A935" w14:textId="77777777" w:rsidR="00852AC1" w:rsidRPr="00900ADE" w:rsidRDefault="00852AC1" w:rsidP="00493750">
            <w:pPr>
              <w:pStyle w:val="TableTextCentered"/>
            </w:pPr>
            <w:r w:rsidRPr="00900ADE">
              <w:t>117</w:t>
            </w:r>
          </w:p>
        </w:tc>
        <w:tc>
          <w:tcPr>
            <w:tcW w:w="1310" w:type="dxa"/>
            <w:vAlign w:val="center"/>
          </w:tcPr>
          <w:p w14:paraId="07452695" w14:textId="77777777" w:rsidR="00852AC1" w:rsidRPr="00900ADE" w:rsidRDefault="00852AC1" w:rsidP="00493750">
            <w:pPr>
              <w:pStyle w:val="TableTextCentered"/>
            </w:pPr>
            <w:r w:rsidRPr="00900ADE">
              <w:t>47</w:t>
            </w:r>
          </w:p>
        </w:tc>
        <w:tc>
          <w:tcPr>
            <w:tcW w:w="1310" w:type="dxa"/>
            <w:vAlign w:val="center"/>
          </w:tcPr>
          <w:p w14:paraId="02E5CAD2" w14:textId="77777777" w:rsidR="00852AC1" w:rsidRPr="00900ADE" w:rsidRDefault="00852AC1" w:rsidP="00493750">
            <w:pPr>
              <w:pStyle w:val="TableTextCentered"/>
            </w:pPr>
            <w:r w:rsidRPr="00900ADE">
              <w:t>37</w:t>
            </w:r>
          </w:p>
        </w:tc>
        <w:tc>
          <w:tcPr>
            <w:tcW w:w="1196" w:type="dxa"/>
            <w:vAlign w:val="center"/>
          </w:tcPr>
          <w:p w14:paraId="44A27F9A" w14:textId="77777777" w:rsidR="00852AC1" w:rsidRPr="00900ADE" w:rsidRDefault="00852AC1" w:rsidP="00493750">
            <w:pPr>
              <w:pStyle w:val="TableTextCentered"/>
            </w:pPr>
            <w:r w:rsidRPr="00900ADE">
              <w:t>51</w:t>
            </w:r>
          </w:p>
        </w:tc>
        <w:tc>
          <w:tcPr>
            <w:tcW w:w="1331" w:type="dxa"/>
            <w:vAlign w:val="center"/>
          </w:tcPr>
          <w:p w14:paraId="29062252" w14:textId="77777777" w:rsidR="00852AC1" w:rsidRPr="00900ADE" w:rsidRDefault="00852AC1" w:rsidP="00493750">
            <w:pPr>
              <w:pStyle w:val="TableTextCentered"/>
            </w:pPr>
            <w:r w:rsidRPr="00900ADE">
              <w:t>51</w:t>
            </w:r>
          </w:p>
        </w:tc>
      </w:tr>
      <w:tr w:rsidR="00852AC1" w:rsidRPr="00900ADE" w14:paraId="5F68DCB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8C26267" w14:textId="3CE14A70" w:rsidR="00852AC1" w:rsidRPr="00900ADE" w:rsidRDefault="00852AC1" w:rsidP="00493750">
            <w:pPr>
              <w:pStyle w:val="TableText"/>
            </w:pPr>
            <w:r w:rsidRPr="00900ADE">
              <w:t xml:space="preserve">High </w:t>
            </w:r>
            <w:r w:rsidR="00A64AA7">
              <w:t>n</w:t>
            </w:r>
            <w:r w:rsidRPr="00900ADE">
              <w:t>eeds</w:t>
            </w:r>
          </w:p>
        </w:tc>
        <w:tc>
          <w:tcPr>
            <w:tcW w:w="1235" w:type="dxa"/>
            <w:vAlign w:val="center"/>
          </w:tcPr>
          <w:p w14:paraId="6445E38E" w14:textId="77777777" w:rsidR="00852AC1" w:rsidRPr="00900ADE" w:rsidRDefault="00852AC1" w:rsidP="00493750">
            <w:pPr>
              <w:pStyle w:val="TableTextCentered"/>
            </w:pPr>
            <w:r w:rsidRPr="00900ADE">
              <w:t>35</w:t>
            </w:r>
          </w:p>
        </w:tc>
        <w:tc>
          <w:tcPr>
            <w:tcW w:w="1310" w:type="dxa"/>
            <w:vAlign w:val="center"/>
          </w:tcPr>
          <w:p w14:paraId="6837AC21" w14:textId="77777777" w:rsidR="00852AC1" w:rsidRPr="00900ADE" w:rsidRDefault="00852AC1" w:rsidP="00493750">
            <w:pPr>
              <w:pStyle w:val="TableTextCentered"/>
            </w:pPr>
            <w:r w:rsidRPr="00900ADE">
              <w:t>51</w:t>
            </w:r>
          </w:p>
        </w:tc>
        <w:tc>
          <w:tcPr>
            <w:tcW w:w="1310" w:type="dxa"/>
            <w:vAlign w:val="center"/>
          </w:tcPr>
          <w:p w14:paraId="3AD35D42" w14:textId="77777777" w:rsidR="00852AC1" w:rsidRPr="00900ADE" w:rsidRDefault="00852AC1" w:rsidP="00493750">
            <w:pPr>
              <w:pStyle w:val="TableTextCentered"/>
            </w:pPr>
            <w:r w:rsidRPr="00900ADE">
              <w:t>35</w:t>
            </w:r>
          </w:p>
        </w:tc>
        <w:tc>
          <w:tcPr>
            <w:tcW w:w="1196" w:type="dxa"/>
            <w:vAlign w:val="center"/>
          </w:tcPr>
          <w:p w14:paraId="59AD7CB3" w14:textId="77777777" w:rsidR="00852AC1" w:rsidRPr="00900ADE" w:rsidRDefault="00852AC1" w:rsidP="00493750">
            <w:pPr>
              <w:pStyle w:val="TableTextCentered"/>
            </w:pPr>
            <w:r w:rsidRPr="00900ADE">
              <w:t>48</w:t>
            </w:r>
          </w:p>
        </w:tc>
        <w:tc>
          <w:tcPr>
            <w:tcW w:w="1331" w:type="dxa"/>
            <w:vAlign w:val="center"/>
          </w:tcPr>
          <w:p w14:paraId="6F95C30E" w14:textId="77777777" w:rsidR="00852AC1" w:rsidRPr="00900ADE" w:rsidRDefault="00852AC1" w:rsidP="00493750">
            <w:pPr>
              <w:pStyle w:val="TableTextCentered"/>
            </w:pPr>
            <w:r w:rsidRPr="00900ADE">
              <w:t>47</w:t>
            </w:r>
          </w:p>
        </w:tc>
      </w:tr>
      <w:tr w:rsidR="00852AC1" w:rsidRPr="00900ADE" w14:paraId="7DE0ECDA" w14:textId="77777777">
        <w:tc>
          <w:tcPr>
            <w:tcW w:w="2962" w:type="dxa"/>
          </w:tcPr>
          <w:p w14:paraId="54E8DA75" w14:textId="77777777" w:rsidR="00852AC1" w:rsidRPr="00900ADE" w:rsidRDefault="00852AC1" w:rsidP="00493750">
            <w:pPr>
              <w:pStyle w:val="TableText"/>
            </w:pPr>
            <w:r w:rsidRPr="00900ADE">
              <w:t>Low income</w:t>
            </w:r>
          </w:p>
        </w:tc>
        <w:tc>
          <w:tcPr>
            <w:tcW w:w="1235" w:type="dxa"/>
            <w:vAlign w:val="center"/>
          </w:tcPr>
          <w:p w14:paraId="0411A342" w14:textId="77777777" w:rsidR="00852AC1" w:rsidRPr="00900ADE" w:rsidRDefault="00852AC1" w:rsidP="00493750">
            <w:pPr>
              <w:pStyle w:val="TableTextCentered"/>
            </w:pPr>
            <w:r w:rsidRPr="00900ADE">
              <w:t>21</w:t>
            </w:r>
          </w:p>
        </w:tc>
        <w:tc>
          <w:tcPr>
            <w:tcW w:w="1310" w:type="dxa"/>
            <w:vAlign w:val="center"/>
          </w:tcPr>
          <w:p w14:paraId="33B0CBE8" w14:textId="77777777" w:rsidR="00852AC1" w:rsidRPr="00900ADE" w:rsidRDefault="00852AC1" w:rsidP="00493750">
            <w:pPr>
              <w:pStyle w:val="TableTextCentered"/>
            </w:pPr>
            <w:r w:rsidRPr="00900ADE">
              <w:t>52</w:t>
            </w:r>
          </w:p>
        </w:tc>
        <w:tc>
          <w:tcPr>
            <w:tcW w:w="1310" w:type="dxa"/>
            <w:vAlign w:val="center"/>
          </w:tcPr>
          <w:p w14:paraId="208B4E36" w14:textId="77777777" w:rsidR="00852AC1" w:rsidRPr="00900ADE" w:rsidRDefault="00852AC1" w:rsidP="00493750">
            <w:pPr>
              <w:pStyle w:val="TableTextCentered"/>
            </w:pPr>
            <w:r w:rsidRPr="00900ADE">
              <w:t>33</w:t>
            </w:r>
          </w:p>
        </w:tc>
        <w:tc>
          <w:tcPr>
            <w:tcW w:w="1196" w:type="dxa"/>
            <w:vAlign w:val="center"/>
          </w:tcPr>
          <w:p w14:paraId="1B4439AC" w14:textId="77777777" w:rsidR="00852AC1" w:rsidRPr="00900ADE" w:rsidRDefault="00852AC1" w:rsidP="00493750">
            <w:pPr>
              <w:pStyle w:val="TableTextCentered"/>
            </w:pPr>
            <w:r w:rsidRPr="00900ADE">
              <w:t>52</w:t>
            </w:r>
          </w:p>
        </w:tc>
        <w:tc>
          <w:tcPr>
            <w:tcW w:w="1331" w:type="dxa"/>
            <w:vAlign w:val="center"/>
          </w:tcPr>
          <w:p w14:paraId="23653CF9" w14:textId="77777777" w:rsidR="00852AC1" w:rsidRPr="00900ADE" w:rsidRDefault="00852AC1" w:rsidP="00493750">
            <w:pPr>
              <w:pStyle w:val="TableTextCentered"/>
            </w:pPr>
            <w:r w:rsidRPr="00900ADE">
              <w:t>47</w:t>
            </w:r>
          </w:p>
        </w:tc>
      </w:tr>
      <w:tr w:rsidR="00852AC1" w:rsidRPr="00900ADE" w14:paraId="67F5233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8EB6394" w14:textId="77777777" w:rsidR="00852AC1" w:rsidRPr="00900ADE" w:rsidRDefault="00852AC1" w:rsidP="00493750">
            <w:pPr>
              <w:pStyle w:val="TableText"/>
            </w:pPr>
            <w:r w:rsidRPr="00900ADE">
              <w:t>ELs and former ELs</w:t>
            </w:r>
          </w:p>
        </w:tc>
        <w:tc>
          <w:tcPr>
            <w:tcW w:w="1235" w:type="dxa"/>
            <w:vAlign w:val="center"/>
          </w:tcPr>
          <w:p w14:paraId="3957EC53" w14:textId="6F66EC2F" w:rsidR="00852AC1" w:rsidRPr="00900ADE" w:rsidRDefault="003A7D47" w:rsidP="00493750">
            <w:pPr>
              <w:pStyle w:val="TableTextCentered"/>
            </w:pPr>
            <w:r w:rsidRPr="00900ADE">
              <w:t>—</w:t>
            </w:r>
          </w:p>
        </w:tc>
        <w:tc>
          <w:tcPr>
            <w:tcW w:w="1310" w:type="dxa"/>
            <w:vAlign w:val="center"/>
          </w:tcPr>
          <w:p w14:paraId="7D11F188" w14:textId="5A7FAAE1" w:rsidR="00852AC1" w:rsidRPr="00900ADE" w:rsidRDefault="003A7D47" w:rsidP="00493750">
            <w:pPr>
              <w:pStyle w:val="TableTextCentered"/>
            </w:pPr>
            <w:r w:rsidRPr="00900ADE">
              <w:t>—</w:t>
            </w:r>
          </w:p>
        </w:tc>
        <w:tc>
          <w:tcPr>
            <w:tcW w:w="1310" w:type="dxa"/>
            <w:vAlign w:val="center"/>
          </w:tcPr>
          <w:p w14:paraId="346BF641" w14:textId="6ECB517A" w:rsidR="00852AC1" w:rsidRPr="00900ADE" w:rsidRDefault="003A7D47" w:rsidP="00493750">
            <w:pPr>
              <w:pStyle w:val="TableTextCentered"/>
            </w:pPr>
            <w:r w:rsidRPr="00900ADE">
              <w:t>—</w:t>
            </w:r>
          </w:p>
        </w:tc>
        <w:tc>
          <w:tcPr>
            <w:tcW w:w="1196" w:type="dxa"/>
            <w:vAlign w:val="center"/>
          </w:tcPr>
          <w:p w14:paraId="2CD2DB3B" w14:textId="0901AA10" w:rsidR="00852AC1" w:rsidRPr="00900ADE" w:rsidRDefault="003A7D47" w:rsidP="00493750">
            <w:pPr>
              <w:pStyle w:val="TableTextCentered"/>
            </w:pPr>
            <w:r w:rsidRPr="00900ADE">
              <w:t>—</w:t>
            </w:r>
          </w:p>
        </w:tc>
        <w:tc>
          <w:tcPr>
            <w:tcW w:w="1331" w:type="dxa"/>
            <w:vAlign w:val="center"/>
          </w:tcPr>
          <w:p w14:paraId="30312214" w14:textId="77777777" w:rsidR="00852AC1" w:rsidRPr="00900ADE" w:rsidRDefault="00852AC1" w:rsidP="00493750">
            <w:pPr>
              <w:pStyle w:val="TableTextCentered"/>
            </w:pPr>
            <w:r w:rsidRPr="00900ADE">
              <w:t>48</w:t>
            </w:r>
          </w:p>
        </w:tc>
      </w:tr>
      <w:tr w:rsidR="00852AC1" w:rsidRPr="00900ADE" w14:paraId="43577FEC" w14:textId="77777777">
        <w:tc>
          <w:tcPr>
            <w:tcW w:w="2962" w:type="dxa"/>
          </w:tcPr>
          <w:p w14:paraId="4254FFE6" w14:textId="77777777" w:rsidR="00852AC1" w:rsidRPr="00900ADE" w:rsidRDefault="00852AC1" w:rsidP="00493750">
            <w:pPr>
              <w:pStyle w:val="TableText"/>
            </w:pPr>
            <w:r w:rsidRPr="00900ADE">
              <w:t>Students w/disabilities</w:t>
            </w:r>
          </w:p>
        </w:tc>
        <w:tc>
          <w:tcPr>
            <w:tcW w:w="1235" w:type="dxa"/>
            <w:vAlign w:val="center"/>
          </w:tcPr>
          <w:p w14:paraId="51E9EB40" w14:textId="77777777" w:rsidR="00852AC1" w:rsidRPr="00900ADE" w:rsidRDefault="00852AC1" w:rsidP="00493750">
            <w:pPr>
              <w:pStyle w:val="TableTextCentered"/>
            </w:pPr>
            <w:r w:rsidRPr="00900ADE">
              <w:t>17</w:t>
            </w:r>
          </w:p>
        </w:tc>
        <w:tc>
          <w:tcPr>
            <w:tcW w:w="1310" w:type="dxa"/>
            <w:vAlign w:val="center"/>
          </w:tcPr>
          <w:p w14:paraId="15F2E825" w14:textId="1FE5DB4A" w:rsidR="00852AC1" w:rsidRPr="00900ADE" w:rsidRDefault="003A7D47" w:rsidP="00493750">
            <w:pPr>
              <w:pStyle w:val="TableTextCentered"/>
            </w:pPr>
            <w:r w:rsidRPr="00900ADE">
              <w:t>—</w:t>
            </w:r>
          </w:p>
        </w:tc>
        <w:tc>
          <w:tcPr>
            <w:tcW w:w="1310" w:type="dxa"/>
            <w:vAlign w:val="center"/>
          </w:tcPr>
          <w:p w14:paraId="22C08A84" w14:textId="77777777" w:rsidR="00852AC1" w:rsidRPr="00900ADE" w:rsidRDefault="00852AC1" w:rsidP="00493750">
            <w:pPr>
              <w:pStyle w:val="TableTextCentered"/>
            </w:pPr>
            <w:r w:rsidRPr="00900ADE">
              <w:t>37</w:t>
            </w:r>
          </w:p>
        </w:tc>
        <w:tc>
          <w:tcPr>
            <w:tcW w:w="1196" w:type="dxa"/>
            <w:vAlign w:val="center"/>
          </w:tcPr>
          <w:p w14:paraId="4F8EB0D6" w14:textId="501A778E" w:rsidR="00852AC1" w:rsidRPr="00900ADE" w:rsidRDefault="003A7D47" w:rsidP="00493750">
            <w:pPr>
              <w:pStyle w:val="TableTextCentered"/>
            </w:pPr>
            <w:r w:rsidRPr="00900ADE">
              <w:t>—</w:t>
            </w:r>
          </w:p>
        </w:tc>
        <w:tc>
          <w:tcPr>
            <w:tcW w:w="1331" w:type="dxa"/>
            <w:vAlign w:val="center"/>
          </w:tcPr>
          <w:p w14:paraId="3022D523" w14:textId="77777777" w:rsidR="00852AC1" w:rsidRPr="00900ADE" w:rsidRDefault="00852AC1" w:rsidP="00493750">
            <w:pPr>
              <w:pStyle w:val="TableTextCentered"/>
            </w:pPr>
            <w:r w:rsidRPr="00900ADE">
              <w:t>44</w:t>
            </w:r>
          </w:p>
        </w:tc>
      </w:tr>
    </w:tbl>
    <w:p w14:paraId="48CE2FFE" w14:textId="77777777" w:rsidR="00852AC1" w:rsidRPr="00900ADE" w:rsidRDefault="00852AC1" w:rsidP="00852AC1">
      <w:pPr>
        <w:spacing w:after="160" w:line="259" w:lineRule="auto"/>
        <w:rPr>
          <w:rFonts w:ascii="Franklin Gothic Book" w:hAnsi="Franklin Gothic Book"/>
        </w:rPr>
      </w:pPr>
      <w:r w:rsidRPr="00900ADE">
        <w:rPr>
          <w:rFonts w:ascii="Franklin Gothic Book" w:hAnsi="Franklin Gothic Book"/>
        </w:rPr>
        <w:br w:type="page"/>
      </w:r>
    </w:p>
    <w:p w14:paraId="2913FC84" w14:textId="77777777" w:rsidR="00852AC1" w:rsidRPr="00900ADE" w:rsidRDefault="00852AC1" w:rsidP="00852AC1">
      <w:pPr>
        <w:pStyle w:val="TableETitle"/>
      </w:pPr>
      <w:bookmarkStart w:id="214" w:name="_Toc196169624"/>
      <w:r w:rsidRPr="00900ADE">
        <w:lastRenderedPageBreak/>
        <w:t>Table E12. MCAS Mathematics Mean Student Growth Percentile by Student Group, Grades 3-8, 2022-2024</w:t>
      </w:r>
      <w:bookmarkEnd w:id="214"/>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852AC1" w:rsidRPr="00900ADE" w14:paraId="455353C5" w14:textId="77777777" w:rsidTr="00B87CA4">
        <w:trPr>
          <w:cnfStyle w:val="100000000000" w:firstRow="1" w:lastRow="0" w:firstColumn="0" w:lastColumn="0" w:oddVBand="0" w:evenVBand="0" w:oddHBand="0" w:evenHBand="0" w:firstRowFirstColumn="0" w:firstRowLastColumn="0" w:lastRowFirstColumn="0" w:lastRowLastColumn="0"/>
          <w:tblHeader/>
        </w:trPr>
        <w:tc>
          <w:tcPr>
            <w:tcW w:w="2962" w:type="dxa"/>
            <w:vAlign w:val="center"/>
          </w:tcPr>
          <w:p w14:paraId="7ECB143D" w14:textId="77777777" w:rsidR="00852AC1" w:rsidRPr="00900ADE" w:rsidRDefault="00852AC1" w:rsidP="00493750">
            <w:pPr>
              <w:pStyle w:val="TableColHeadingCenter"/>
            </w:pPr>
            <w:r w:rsidRPr="00900ADE">
              <w:t>Group</w:t>
            </w:r>
          </w:p>
        </w:tc>
        <w:tc>
          <w:tcPr>
            <w:tcW w:w="1235" w:type="dxa"/>
            <w:vAlign w:val="center"/>
          </w:tcPr>
          <w:p w14:paraId="4FD46284" w14:textId="22695BFA" w:rsidR="00852AC1" w:rsidRPr="00900ADE" w:rsidRDefault="00852AC1" w:rsidP="00493750">
            <w:pPr>
              <w:pStyle w:val="TableColHeadingCenter"/>
            </w:pPr>
            <w:r w:rsidRPr="00900ADE">
              <w:t xml:space="preserve"># </w:t>
            </w:r>
            <w:r w:rsidR="00CD7EAE" w:rsidRPr="00900ADE">
              <w:t>i</w:t>
            </w:r>
            <w:r w:rsidRPr="00900ADE">
              <w:t>ncluded (2024)</w:t>
            </w:r>
          </w:p>
        </w:tc>
        <w:tc>
          <w:tcPr>
            <w:tcW w:w="1310" w:type="dxa"/>
            <w:vAlign w:val="center"/>
          </w:tcPr>
          <w:p w14:paraId="21D4539F" w14:textId="77777777" w:rsidR="00852AC1" w:rsidRPr="00900ADE" w:rsidRDefault="00852AC1" w:rsidP="00493750">
            <w:pPr>
              <w:pStyle w:val="TableColHeadingCenter"/>
            </w:pPr>
            <w:r w:rsidRPr="00900ADE">
              <w:t>2022</w:t>
            </w:r>
          </w:p>
        </w:tc>
        <w:tc>
          <w:tcPr>
            <w:tcW w:w="1310" w:type="dxa"/>
            <w:vAlign w:val="center"/>
          </w:tcPr>
          <w:p w14:paraId="6998C34A" w14:textId="77777777" w:rsidR="00852AC1" w:rsidRPr="00900ADE" w:rsidRDefault="00852AC1" w:rsidP="00493750">
            <w:pPr>
              <w:pStyle w:val="TableColHeadingCenter"/>
            </w:pPr>
            <w:r w:rsidRPr="00900ADE">
              <w:t>2023</w:t>
            </w:r>
          </w:p>
        </w:tc>
        <w:tc>
          <w:tcPr>
            <w:tcW w:w="1196" w:type="dxa"/>
            <w:vAlign w:val="center"/>
          </w:tcPr>
          <w:p w14:paraId="2488E77E" w14:textId="77777777" w:rsidR="00852AC1" w:rsidRPr="00900ADE" w:rsidRDefault="00852AC1" w:rsidP="00493750">
            <w:pPr>
              <w:pStyle w:val="TableColHeadingCenter"/>
            </w:pPr>
            <w:r w:rsidRPr="00900ADE">
              <w:t>2024</w:t>
            </w:r>
          </w:p>
        </w:tc>
        <w:tc>
          <w:tcPr>
            <w:tcW w:w="1331" w:type="dxa"/>
            <w:vAlign w:val="center"/>
          </w:tcPr>
          <w:p w14:paraId="33259F0C" w14:textId="77777777" w:rsidR="00852AC1" w:rsidRPr="00900ADE" w:rsidRDefault="00852AC1" w:rsidP="00493750">
            <w:pPr>
              <w:pStyle w:val="TableColHeadingCenter"/>
            </w:pPr>
            <w:r w:rsidRPr="00900ADE">
              <w:t>State (2024)</w:t>
            </w:r>
          </w:p>
        </w:tc>
      </w:tr>
      <w:tr w:rsidR="00852AC1" w:rsidRPr="00900ADE" w14:paraId="303B5B95"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8C18030" w14:textId="77777777" w:rsidR="00852AC1" w:rsidRPr="00900ADE" w:rsidRDefault="00852AC1" w:rsidP="00493750">
            <w:pPr>
              <w:pStyle w:val="TableText"/>
            </w:pPr>
            <w:r w:rsidRPr="00900ADE">
              <w:t>All students</w:t>
            </w:r>
          </w:p>
        </w:tc>
        <w:tc>
          <w:tcPr>
            <w:tcW w:w="1235" w:type="dxa"/>
            <w:vAlign w:val="center"/>
          </w:tcPr>
          <w:p w14:paraId="225F8030" w14:textId="77777777" w:rsidR="00852AC1" w:rsidRPr="00900ADE" w:rsidRDefault="00852AC1" w:rsidP="00493750">
            <w:pPr>
              <w:pStyle w:val="TableTextCentered"/>
            </w:pPr>
            <w:r w:rsidRPr="00900ADE">
              <w:t>820</w:t>
            </w:r>
          </w:p>
        </w:tc>
        <w:tc>
          <w:tcPr>
            <w:tcW w:w="1310" w:type="dxa"/>
            <w:vAlign w:val="center"/>
          </w:tcPr>
          <w:p w14:paraId="44C5879B" w14:textId="77777777" w:rsidR="00852AC1" w:rsidRPr="00900ADE" w:rsidRDefault="00852AC1" w:rsidP="00493750">
            <w:pPr>
              <w:pStyle w:val="TableTextCentered"/>
            </w:pPr>
            <w:r w:rsidRPr="00900ADE">
              <w:t>46</w:t>
            </w:r>
          </w:p>
        </w:tc>
        <w:tc>
          <w:tcPr>
            <w:tcW w:w="1310" w:type="dxa"/>
            <w:vAlign w:val="center"/>
          </w:tcPr>
          <w:p w14:paraId="68F01ACD" w14:textId="77777777" w:rsidR="00852AC1" w:rsidRPr="00900ADE" w:rsidRDefault="00852AC1" w:rsidP="00493750">
            <w:pPr>
              <w:pStyle w:val="TableTextCentered"/>
            </w:pPr>
            <w:r w:rsidRPr="00900ADE">
              <w:t>46</w:t>
            </w:r>
          </w:p>
        </w:tc>
        <w:tc>
          <w:tcPr>
            <w:tcW w:w="1196" w:type="dxa"/>
            <w:vAlign w:val="center"/>
          </w:tcPr>
          <w:p w14:paraId="5E410DFA" w14:textId="77777777" w:rsidR="00852AC1" w:rsidRPr="00900ADE" w:rsidRDefault="00852AC1" w:rsidP="00493750">
            <w:pPr>
              <w:pStyle w:val="TableTextCentered"/>
            </w:pPr>
            <w:r w:rsidRPr="00900ADE">
              <w:t>53</w:t>
            </w:r>
          </w:p>
        </w:tc>
        <w:tc>
          <w:tcPr>
            <w:tcW w:w="1331" w:type="dxa"/>
            <w:vAlign w:val="center"/>
          </w:tcPr>
          <w:p w14:paraId="00C2120E" w14:textId="77777777" w:rsidR="00852AC1" w:rsidRPr="00900ADE" w:rsidRDefault="00852AC1" w:rsidP="00493750">
            <w:pPr>
              <w:pStyle w:val="TableTextCentered"/>
            </w:pPr>
            <w:r w:rsidRPr="00900ADE">
              <w:t>50</w:t>
            </w:r>
          </w:p>
        </w:tc>
      </w:tr>
      <w:tr w:rsidR="00852AC1" w:rsidRPr="00900ADE" w14:paraId="084082E5" w14:textId="77777777">
        <w:tc>
          <w:tcPr>
            <w:tcW w:w="2962" w:type="dxa"/>
          </w:tcPr>
          <w:p w14:paraId="70353B51" w14:textId="77777777" w:rsidR="00852AC1" w:rsidRPr="00900ADE" w:rsidRDefault="00852AC1" w:rsidP="00493750">
            <w:pPr>
              <w:pStyle w:val="TableText"/>
            </w:pPr>
            <w:r w:rsidRPr="00900ADE">
              <w:t>African American/Black</w:t>
            </w:r>
          </w:p>
        </w:tc>
        <w:tc>
          <w:tcPr>
            <w:tcW w:w="1235" w:type="dxa"/>
            <w:vAlign w:val="center"/>
          </w:tcPr>
          <w:p w14:paraId="4531961D" w14:textId="77777777" w:rsidR="00852AC1" w:rsidRPr="00900ADE" w:rsidRDefault="00852AC1" w:rsidP="00493750">
            <w:pPr>
              <w:pStyle w:val="TableTextCentered"/>
            </w:pPr>
            <w:r w:rsidRPr="00900ADE">
              <w:t>22</w:t>
            </w:r>
          </w:p>
        </w:tc>
        <w:tc>
          <w:tcPr>
            <w:tcW w:w="1310" w:type="dxa"/>
            <w:vAlign w:val="center"/>
          </w:tcPr>
          <w:p w14:paraId="1A58A630" w14:textId="3EFA540C" w:rsidR="00852AC1" w:rsidRPr="00900ADE" w:rsidRDefault="003A7D47" w:rsidP="00493750">
            <w:pPr>
              <w:pStyle w:val="TableTextCentered"/>
            </w:pPr>
            <w:r w:rsidRPr="00900ADE">
              <w:t>—</w:t>
            </w:r>
          </w:p>
        </w:tc>
        <w:tc>
          <w:tcPr>
            <w:tcW w:w="1310" w:type="dxa"/>
            <w:vAlign w:val="center"/>
          </w:tcPr>
          <w:p w14:paraId="55EC3622" w14:textId="24771C1D" w:rsidR="00852AC1" w:rsidRPr="00900ADE" w:rsidRDefault="003A7D47" w:rsidP="00493750">
            <w:pPr>
              <w:pStyle w:val="TableTextCentered"/>
            </w:pPr>
            <w:r w:rsidRPr="00900ADE">
              <w:t>—</w:t>
            </w:r>
          </w:p>
        </w:tc>
        <w:tc>
          <w:tcPr>
            <w:tcW w:w="1196" w:type="dxa"/>
            <w:vAlign w:val="center"/>
          </w:tcPr>
          <w:p w14:paraId="61E5A71E" w14:textId="77777777" w:rsidR="00852AC1" w:rsidRPr="00900ADE" w:rsidRDefault="00852AC1" w:rsidP="00493750">
            <w:pPr>
              <w:pStyle w:val="TableTextCentered"/>
            </w:pPr>
            <w:r w:rsidRPr="00900ADE">
              <w:t>58</w:t>
            </w:r>
          </w:p>
        </w:tc>
        <w:tc>
          <w:tcPr>
            <w:tcW w:w="1331" w:type="dxa"/>
            <w:vAlign w:val="center"/>
          </w:tcPr>
          <w:p w14:paraId="424911E6" w14:textId="77777777" w:rsidR="00852AC1" w:rsidRPr="00900ADE" w:rsidRDefault="00852AC1" w:rsidP="00493750">
            <w:pPr>
              <w:pStyle w:val="TableTextCentered"/>
            </w:pPr>
            <w:r w:rsidRPr="00900ADE">
              <w:t>49</w:t>
            </w:r>
          </w:p>
        </w:tc>
      </w:tr>
      <w:tr w:rsidR="00852AC1" w:rsidRPr="00900ADE" w14:paraId="65683E1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DEA329B" w14:textId="77777777" w:rsidR="00852AC1" w:rsidRPr="00900ADE" w:rsidRDefault="00852AC1" w:rsidP="00493750">
            <w:pPr>
              <w:pStyle w:val="TableText"/>
            </w:pPr>
            <w:r w:rsidRPr="00900ADE">
              <w:t>Asian</w:t>
            </w:r>
          </w:p>
        </w:tc>
        <w:tc>
          <w:tcPr>
            <w:tcW w:w="1235" w:type="dxa"/>
            <w:vAlign w:val="center"/>
          </w:tcPr>
          <w:p w14:paraId="0CA42C9E" w14:textId="77777777" w:rsidR="00852AC1" w:rsidRPr="00900ADE" w:rsidRDefault="00852AC1" w:rsidP="00493750">
            <w:pPr>
              <w:pStyle w:val="TableTextCentered"/>
            </w:pPr>
            <w:r w:rsidRPr="00900ADE">
              <w:t>34</w:t>
            </w:r>
          </w:p>
        </w:tc>
        <w:tc>
          <w:tcPr>
            <w:tcW w:w="1310" w:type="dxa"/>
            <w:vAlign w:val="center"/>
          </w:tcPr>
          <w:p w14:paraId="115067BE" w14:textId="77777777" w:rsidR="00852AC1" w:rsidRPr="00900ADE" w:rsidRDefault="00852AC1" w:rsidP="00493750">
            <w:pPr>
              <w:pStyle w:val="TableTextCentered"/>
            </w:pPr>
            <w:r w:rsidRPr="00900ADE">
              <w:t>68</w:t>
            </w:r>
          </w:p>
        </w:tc>
        <w:tc>
          <w:tcPr>
            <w:tcW w:w="1310" w:type="dxa"/>
            <w:vAlign w:val="center"/>
          </w:tcPr>
          <w:p w14:paraId="54A89C4B" w14:textId="77777777" w:rsidR="00852AC1" w:rsidRPr="00900ADE" w:rsidRDefault="00852AC1" w:rsidP="00493750">
            <w:pPr>
              <w:pStyle w:val="TableTextCentered"/>
            </w:pPr>
            <w:r w:rsidRPr="00900ADE">
              <w:t>59</w:t>
            </w:r>
          </w:p>
        </w:tc>
        <w:tc>
          <w:tcPr>
            <w:tcW w:w="1196" w:type="dxa"/>
            <w:vAlign w:val="center"/>
          </w:tcPr>
          <w:p w14:paraId="6380D2E5" w14:textId="77777777" w:rsidR="00852AC1" w:rsidRPr="00900ADE" w:rsidRDefault="00852AC1" w:rsidP="00493750">
            <w:pPr>
              <w:pStyle w:val="TableTextCentered"/>
            </w:pPr>
            <w:r w:rsidRPr="00900ADE">
              <w:t>61</w:t>
            </w:r>
          </w:p>
        </w:tc>
        <w:tc>
          <w:tcPr>
            <w:tcW w:w="1331" w:type="dxa"/>
            <w:vAlign w:val="center"/>
          </w:tcPr>
          <w:p w14:paraId="60277960" w14:textId="77777777" w:rsidR="00852AC1" w:rsidRPr="00900ADE" w:rsidRDefault="00852AC1" w:rsidP="00493750">
            <w:pPr>
              <w:pStyle w:val="TableTextCentered"/>
            </w:pPr>
            <w:r w:rsidRPr="00900ADE">
              <w:t>58</w:t>
            </w:r>
          </w:p>
        </w:tc>
      </w:tr>
      <w:tr w:rsidR="00852AC1" w:rsidRPr="00900ADE" w14:paraId="6BAFDD77" w14:textId="77777777">
        <w:tc>
          <w:tcPr>
            <w:tcW w:w="2962" w:type="dxa"/>
          </w:tcPr>
          <w:p w14:paraId="6B2255D0" w14:textId="77777777" w:rsidR="00852AC1" w:rsidRPr="00900ADE" w:rsidRDefault="00852AC1" w:rsidP="00493750">
            <w:pPr>
              <w:pStyle w:val="TableText"/>
            </w:pPr>
            <w:r w:rsidRPr="00900ADE">
              <w:t>Hispanic/Latino</w:t>
            </w:r>
          </w:p>
        </w:tc>
        <w:tc>
          <w:tcPr>
            <w:tcW w:w="1235" w:type="dxa"/>
            <w:vAlign w:val="center"/>
          </w:tcPr>
          <w:p w14:paraId="1F42F085" w14:textId="77777777" w:rsidR="00852AC1" w:rsidRPr="00900ADE" w:rsidRDefault="00852AC1" w:rsidP="00493750">
            <w:pPr>
              <w:pStyle w:val="TableTextCentered"/>
            </w:pPr>
            <w:r w:rsidRPr="00900ADE">
              <w:t>67</w:t>
            </w:r>
          </w:p>
        </w:tc>
        <w:tc>
          <w:tcPr>
            <w:tcW w:w="1310" w:type="dxa"/>
            <w:vAlign w:val="center"/>
          </w:tcPr>
          <w:p w14:paraId="6611DDC7" w14:textId="77777777" w:rsidR="00852AC1" w:rsidRPr="00900ADE" w:rsidRDefault="00852AC1" w:rsidP="00493750">
            <w:pPr>
              <w:pStyle w:val="TableTextCentered"/>
            </w:pPr>
            <w:r w:rsidRPr="00900ADE">
              <w:t>46</w:t>
            </w:r>
          </w:p>
        </w:tc>
        <w:tc>
          <w:tcPr>
            <w:tcW w:w="1310" w:type="dxa"/>
            <w:vAlign w:val="center"/>
          </w:tcPr>
          <w:p w14:paraId="567615BA" w14:textId="77777777" w:rsidR="00852AC1" w:rsidRPr="00900ADE" w:rsidRDefault="00852AC1" w:rsidP="00493750">
            <w:pPr>
              <w:pStyle w:val="TableTextCentered"/>
            </w:pPr>
            <w:r w:rsidRPr="00900ADE">
              <w:t>43</w:t>
            </w:r>
          </w:p>
        </w:tc>
        <w:tc>
          <w:tcPr>
            <w:tcW w:w="1196" w:type="dxa"/>
            <w:vAlign w:val="center"/>
          </w:tcPr>
          <w:p w14:paraId="0B2C52C5" w14:textId="77777777" w:rsidR="00852AC1" w:rsidRPr="00900ADE" w:rsidRDefault="00852AC1" w:rsidP="00493750">
            <w:pPr>
              <w:pStyle w:val="TableTextCentered"/>
            </w:pPr>
            <w:r w:rsidRPr="00900ADE">
              <w:t>45</w:t>
            </w:r>
          </w:p>
        </w:tc>
        <w:tc>
          <w:tcPr>
            <w:tcW w:w="1331" w:type="dxa"/>
            <w:vAlign w:val="center"/>
          </w:tcPr>
          <w:p w14:paraId="3E700D02" w14:textId="77777777" w:rsidR="00852AC1" w:rsidRPr="00900ADE" w:rsidRDefault="00852AC1" w:rsidP="00493750">
            <w:pPr>
              <w:pStyle w:val="TableTextCentered"/>
            </w:pPr>
            <w:r w:rsidRPr="00900ADE">
              <w:t>48</w:t>
            </w:r>
          </w:p>
        </w:tc>
      </w:tr>
      <w:tr w:rsidR="00852AC1" w:rsidRPr="00900ADE" w14:paraId="51F0DF4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4D012F8" w14:textId="77777777" w:rsidR="00852AC1" w:rsidRPr="00900ADE" w:rsidRDefault="00852AC1" w:rsidP="00493750">
            <w:pPr>
              <w:pStyle w:val="TableText"/>
            </w:pPr>
            <w:r w:rsidRPr="00900ADE">
              <w:t>Multi-Race, non-Hispanic/Latino</w:t>
            </w:r>
          </w:p>
        </w:tc>
        <w:tc>
          <w:tcPr>
            <w:tcW w:w="1235" w:type="dxa"/>
            <w:vAlign w:val="center"/>
          </w:tcPr>
          <w:p w14:paraId="4D748DEF" w14:textId="77777777" w:rsidR="00852AC1" w:rsidRPr="00900ADE" w:rsidRDefault="00852AC1" w:rsidP="00493750">
            <w:pPr>
              <w:pStyle w:val="TableTextCentered"/>
            </w:pPr>
            <w:r w:rsidRPr="00900ADE">
              <w:t>14</w:t>
            </w:r>
          </w:p>
        </w:tc>
        <w:tc>
          <w:tcPr>
            <w:tcW w:w="1310" w:type="dxa"/>
            <w:vAlign w:val="center"/>
          </w:tcPr>
          <w:p w14:paraId="0B75DB80" w14:textId="087E5084" w:rsidR="00852AC1" w:rsidRPr="00900ADE" w:rsidRDefault="003A7D47" w:rsidP="00493750">
            <w:pPr>
              <w:pStyle w:val="TableTextCentered"/>
            </w:pPr>
            <w:r w:rsidRPr="00900ADE">
              <w:t>—</w:t>
            </w:r>
          </w:p>
        </w:tc>
        <w:tc>
          <w:tcPr>
            <w:tcW w:w="1310" w:type="dxa"/>
            <w:vAlign w:val="center"/>
          </w:tcPr>
          <w:p w14:paraId="43727087" w14:textId="70E39278" w:rsidR="00852AC1" w:rsidRPr="00900ADE" w:rsidRDefault="003A7D47" w:rsidP="00493750">
            <w:pPr>
              <w:pStyle w:val="TableTextCentered"/>
            </w:pPr>
            <w:r w:rsidRPr="00900ADE">
              <w:t>—</w:t>
            </w:r>
          </w:p>
        </w:tc>
        <w:tc>
          <w:tcPr>
            <w:tcW w:w="1196" w:type="dxa"/>
            <w:vAlign w:val="center"/>
          </w:tcPr>
          <w:p w14:paraId="1853B945" w14:textId="65770079" w:rsidR="00852AC1" w:rsidRPr="00900ADE" w:rsidRDefault="003A7D47" w:rsidP="00493750">
            <w:pPr>
              <w:pStyle w:val="TableTextCentered"/>
            </w:pPr>
            <w:r w:rsidRPr="00900ADE">
              <w:t>—</w:t>
            </w:r>
          </w:p>
        </w:tc>
        <w:tc>
          <w:tcPr>
            <w:tcW w:w="1331" w:type="dxa"/>
            <w:vAlign w:val="center"/>
          </w:tcPr>
          <w:p w14:paraId="5EF757D1" w14:textId="77777777" w:rsidR="00852AC1" w:rsidRPr="00900ADE" w:rsidRDefault="00852AC1" w:rsidP="00493750">
            <w:pPr>
              <w:pStyle w:val="TableTextCentered"/>
            </w:pPr>
            <w:r w:rsidRPr="00900ADE">
              <w:t>50</w:t>
            </w:r>
          </w:p>
        </w:tc>
      </w:tr>
      <w:tr w:rsidR="00852AC1" w:rsidRPr="00900ADE" w14:paraId="0A5EE949" w14:textId="77777777">
        <w:tc>
          <w:tcPr>
            <w:tcW w:w="2962" w:type="dxa"/>
          </w:tcPr>
          <w:p w14:paraId="20B21496" w14:textId="77777777" w:rsidR="00852AC1" w:rsidRPr="00900ADE" w:rsidRDefault="00852AC1" w:rsidP="00493750">
            <w:pPr>
              <w:pStyle w:val="TableText"/>
            </w:pPr>
            <w:r w:rsidRPr="00900ADE">
              <w:t>Native American</w:t>
            </w:r>
          </w:p>
        </w:tc>
        <w:tc>
          <w:tcPr>
            <w:tcW w:w="1235" w:type="dxa"/>
            <w:vAlign w:val="center"/>
          </w:tcPr>
          <w:p w14:paraId="6ACC9302" w14:textId="77777777" w:rsidR="00852AC1" w:rsidRPr="00900ADE" w:rsidRDefault="00852AC1" w:rsidP="00493750">
            <w:pPr>
              <w:pStyle w:val="TableTextCentered"/>
            </w:pPr>
            <w:r w:rsidRPr="00900ADE">
              <w:t>1</w:t>
            </w:r>
          </w:p>
        </w:tc>
        <w:tc>
          <w:tcPr>
            <w:tcW w:w="1310" w:type="dxa"/>
            <w:vAlign w:val="center"/>
          </w:tcPr>
          <w:p w14:paraId="4530AFBC" w14:textId="215A1DF7" w:rsidR="00852AC1" w:rsidRPr="00900ADE" w:rsidRDefault="003A7D47" w:rsidP="00493750">
            <w:pPr>
              <w:pStyle w:val="TableTextCentered"/>
            </w:pPr>
            <w:r w:rsidRPr="00900ADE">
              <w:t>—</w:t>
            </w:r>
          </w:p>
        </w:tc>
        <w:tc>
          <w:tcPr>
            <w:tcW w:w="1310" w:type="dxa"/>
            <w:vAlign w:val="center"/>
          </w:tcPr>
          <w:p w14:paraId="77D28A72" w14:textId="193C57D0" w:rsidR="00852AC1" w:rsidRPr="00900ADE" w:rsidRDefault="003A7D47" w:rsidP="00493750">
            <w:pPr>
              <w:pStyle w:val="TableTextCentered"/>
            </w:pPr>
            <w:r w:rsidRPr="00900ADE">
              <w:t>—</w:t>
            </w:r>
          </w:p>
        </w:tc>
        <w:tc>
          <w:tcPr>
            <w:tcW w:w="1196" w:type="dxa"/>
            <w:vAlign w:val="center"/>
          </w:tcPr>
          <w:p w14:paraId="63163EBC" w14:textId="3B017A30" w:rsidR="00852AC1" w:rsidRPr="00900ADE" w:rsidRDefault="003A7D47" w:rsidP="00493750">
            <w:pPr>
              <w:pStyle w:val="TableTextCentered"/>
            </w:pPr>
            <w:r w:rsidRPr="00900ADE">
              <w:t>—</w:t>
            </w:r>
          </w:p>
        </w:tc>
        <w:tc>
          <w:tcPr>
            <w:tcW w:w="1331" w:type="dxa"/>
            <w:vAlign w:val="center"/>
          </w:tcPr>
          <w:p w14:paraId="67718DEF" w14:textId="77777777" w:rsidR="00852AC1" w:rsidRPr="00900ADE" w:rsidRDefault="00852AC1" w:rsidP="00493750">
            <w:pPr>
              <w:pStyle w:val="TableTextCentered"/>
            </w:pPr>
            <w:r w:rsidRPr="00900ADE">
              <w:t>48</w:t>
            </w:r>
          </w:p>
        </w:tc>
      </w:tr>
      <w:tr w:rsidR="00852AC1" w:rsidRPr="00900ADE" w14:paraId="0894D975"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62858BA" w14:textId="77777777" w:rsidR="00852AC1" w:rsidRPr="00900ADE" w:rsidRDefault="00852AC1" w:rsidP="00493750">
            <w:pPr>
              <w:pStyle w:val="TableText"/>
            </w:pPr>
            <w:r w:rsidRPr="00900ADE">
              <w:t>Native Hawaiian, Pacific Islander</w:t>
            </w:r>
          </w:p>
        </w:tc>
        <w:tc>
          <w:tcPr>
            <w:tcW w:w="1235" w:type="dxa"/>
            <w:vAlign w:val="center"/>
          </w:tcPr>
          <w:p w14:paraId="04E0D527" w14:textId="42B9630C" w:rsidR="00852AC1" w:rsidRPr="00900ADE" w:rsidRDefault="003A7D47" w:rsidP="00493750">
            <w:pPr>
              <w:pStyle w:val="TableTextCentered"/>
            </w:pPr>
            <w:r w:rsidRPr="00900ADE">
              <w:t>—</w:t>
            </w:r>
          </w:p>
        </w:tc>
        <w:tc>
          <w:tcPr>
            <w:tcW w:w="1310" w:type="dxa"/>
            <w:vAlign w:val="center"/>
          </w:tcPr>
          <w:p w14:paraId="405DFD21" w14:textId="5D199481" w:rsidR="00852AC1" w:rsidRPr="00900ADE" w:rsidRDefault="003A7D47" w:rsidP="00493750">
            <w:pPr>
              <w:pStyle w:val="TableTextCentered"/>
            </w:pPr>
            <w:r w:rsidRPr="00900ADE">
              <w:t>—</w:t>
            </w:r>
          </w:p>
        </w:tc>
        <w:tc>
          <w:tcPr>
            <w:tcW w:w="1310" w:type="dxa"/>
            <w:vAlign w:val="center"/>
          </w:tcPr>
          <w:p w14:paraId="70C4AB29" w14:textId="39630E34" w:rsidR="00852AC1" w:rsidRPr="00900ADE" w:rsidRDefault="003A7D47" w:rsidP="00493750">
            <w:pPr>
              <w:pStyle w:val="TableTextCentered"/>
            </w:pPr>
            <w:r w:rsidRPr="00900ADE">
              <w:t>—</w:t>
            </w:r>
          </w:p>
        </w:tc>
        <w:tc>
          <w:tcPr>
            <w:tcW w:w="1196" w:type="dxa"/>
            <w:vAlign w:val="center"/>
          </w:tcPr>
          <w:p w14:paraId="43E72B5F" w14:textId="2824A59A" w:rsidR="00852AC1" w:rsidRPr="00900ADE" w:rsidRDefault="003A7D47" w:rsidP="00493750">
            <w:pPr>
              <w:pStyle w:val="TableTextCentered"/>
            </w:pPr>
            <w:r w:rsidRPr="00900ADE">
              <w:t>—</w:t>
            </w:r>
          </w:p>
        </w:tc>
        <w:tc>
          <w:tcPr>
            <w:tcW w:w="1331" w:type="dxa"/>
            <w:vAlign w:val="center"/>
          </w:tcPr>
          <w:p w14:paraId="1677AF82" w14:textId="77777777" w:rsidR="00852AC1" w:rsidRPr="00900ADE" w:rsidRDefault="00852AC1" w:rsidP="00493750">
            <w:pPr>
              <w:pStyle w:val="TableTextCentered"/>
            </w:pPr>
            <w:r w:rsidRPr="00900ADE">
              <w:t>52</w:t>
            </w:r>
          </w:p>
        </w:tc>
      </w:tr>
      <w:tr w:rsidR="00852AC1" w:rsidRPr="00900ADE" w14:paraId="19A00E00" w14:textId="77777777">
        <w:tc>
          <w:tcPr>
            <w:tcW w:w="2962" w:type="dxa"/>
          </w:tcPr>
          <w:p w14:paraId="51671F11" w14:textId="77777777" w:rsidR="00852AC1" w:rsidRPr="00900ADE" w:rsidRDefault="00852AC1" w:rsidP="00493750">
            <w:pPr>
              <w:pStyle w:val="TableText"/>
            </w:pPr>
            <w:r w:rsidRPr="00900ADE">
              <w:t>White</w:t>
            </w:r>
          </w:p>
        </w:tc>
        <w:tc>
          <w:tcPr>
            <w:tcW w:w="1235" w:type="dxa"/>
            <w:vAlign w:val="center"/>
          </w:tcPr>
          <w:p w14:paraId="7C1FA68A" w14:textId="77777777" w:rsidR="00852AC1" w:rsidRPr="00900ADE" w:rsidRDefault="00852AC1" w:rsidP="00493750">
            <w:pPr>
              <w:pStyle w:val="TableTextCentered"/>
            </w:pPr>
            <w:r w:rsidRPr="00900ADE">
              <w:t>682</w:t>
            </w:r>
          </w:p>
        </w:tc>
        <w:tc>
          <w:tcPr>
            <w:tcW w:w="1310" w:type="dxa"/>
            <w:vAlign w:val="center"/>
          </w:tcPr>
          <w:p w14:paraId="6544F464" w14:textId="77777777" w:rsidR="00852AC1" w:rsidRPr="00900ADE" w:rsidRDefault="00852AC1" w:rsidP="00493750">
            <w:pPr>
              <w:pStyle w:val="TableTextCentered"/>
            </w:pPr>
            <w:r w:rsidRPr="00900ADE">
              <w:t>45</w:t>
            </w:r>
          </w:p>
        </w:tc>
        <w:tc>
          <w:tcPr>
            <w:tcW w:w="1310" w:type="dxa"/>
            <w:vAlign w:val="center"/>
          </w:tcPr>
          <w:p w14:paraId="21608EB3" w14:textId="77777777" w:rsidR="00852AC1" w:rsidRPr="00900ADE" w:rsidRDefault="00852AC1" w:rsidP="00493750">
            <w:pPr>
              <w:pStyle w:val="TableTextCentered"/>
            </w:pPr>
            <w:r w:rsidRPr="00900ADE">
              <w:t>45</w:t>
            </w:r>
          </w:p>
        </w:tc>
        <w:tc>
          <w:tcPr>
            <w:tcW w:w="1196" w:type="dxa"/>
            <w:vAlign w:val="center"/>
          </w:tcPr>
          <w:p w14:paraId="104F31DC" w14:textId="77777777" w:rsidR="00852AC1" w:rsidRPr="00900ADE" w:rsidRDefault="00852AC1" w:rsidP="00493750">
            <w:pPr>
              <w:pStyle w:val="TableTextCentered"/>
            </w:pPr>
            <w:r w:rsidRPr="00900ADE">
              <w:t>53</w:t>
            </w:r>
          </w:p>
        </w:tc>
        <w:tc>
          <w:tcPr>
            <w:tcW w:w="1331" w:type="dxa"/>
            <w:vAlign w:val="center"/>
          </w:tcPr>
          <w:p w14:paraId="49388DAD" w14:textId="77777777" w:rsidR="00852AC1" w:rsidRPr="00900ADE" w:rsidRDefault="00852AC1" w:rsidP="00493750">
            <w:pPr>
              <w:pStyle w:val="TableTextCentered"/>
            </w:pPr>
            <w:r w:rsidRPr="00900ADE">
              <w:t>50</w:t>
            </w:r>
          </w:p>
        </w:tc>
      </w:tr>
      <w:tr w:rsidR="00852AC1" w:rsidRPr="00900ADE" w14:paraId="5CA97B2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C45DBE9" w14:textId="7AF73F27" w:rsidR="00852AC1" w:rsidRPr="00900ADE" w:rsidRDefault="00852AC1" w:rsidP="00493750">
            <w:pPr>
              <w:pStyle w:val="TableText"/>
            </w:pPr>
            <w:r w:rsidRPr="00900ADE">
              <w:t xml:space="preserve">High </w:t>
            </w:r>
            <w:r w:rsidR="00A64AA7">
              <w:t>n</w:t>
            </w:r>
            <w:r w:rsidRPr="00900ADE">
              <w:t>eeds</w:t>
            </w:r>
          </w:p>
        </w:tc>
        <w:tc>
          <w:tcPr>
            <w:tcW w:w="1235" w:type="dxa"/>
            <w:vAlign w:val="center"/>
          </w:tcPr>
          <w:p w14:paraId="0F123F2E" w14:textId="77777777" w:rsidR="00852AC1" w:rsidRPr="00900ADE" w:rsidRDefault="00852AC1" w:rsidP="00493750">
            <w:pPr>
              <w:pStyle w:val="TableTextCentered"/>
            </w:pPr>
            <w:r w:rsidRPr="00900ADE">
              <w:t>255</w:t>
            </w:r>
          </w:p>
        </w:tc>
        <w:tc>
          <w:tcPr>
            <w:tcW w:w="1310" w:type="dxa"/>
            <w:vAlign w:val="center"/>
          </w:tcPr>
          <w:p w14:paraId="4A0E90C4" w14:textId="77777777" w:rsidR="00852AC1" w:rsidRPr="00900ADE" w:rsidRDefault="00852AC1" w:rsidP="00493750">
            <w:pPr>
              <w:pStyle w:val="TableTextCentered"/>
            </w:pPr>
            <w:r w:rsidRPr="00900ADE">
              <w:t>45</w:t>
            </w:r>
          </w:p>
        </w:tc>
        <w:tc>
          <w:tcPr>
            <w:tcW w:w="1310" w:type="dxa"/>
            <w:vAlign w:val="center"/>
          </w:tcPr>
          <w:p w14:paraId="2BD48CDD" w14:textId="77777777" w:rsidR="00852AC1" w:rsidRPr="00900ADE" w:rsidRDefault="00852AC1" w:rsidP="00493750">
            <w:pPr>
              <w:pStyle w:val="TableTextCentered"/>
            </w:pPr>
            <w:r w:rsidRPr="00900ADE">
              <w:t>42</w:t>
            </w:r>
          </w:p>
        </w:tc>
        <w:tc>
          <w:tcPr>
            <w:tcW w:w="1196" w:type="dxa"/>
            <w:vAlign w:val="center"/>
          </w:tcPr>
          <w:p w14:paraId="142CD613" w14:textId="77777777" w:rsidR="00852AC1" w:rsidRPr="00900ADE" w:rsidRDefault="00852AC1" w:rsidP="00493750">
            <w:pPr>
              <w:pStyle w:val="TableTextCentered"/>
            </w:pPr>
            <w:r w:rsidRPr="00900ADE">
              <w:t>51</w:t>
            </w:r>
          </w:p>
        </w:tc>
        <w:tc>
          <w:tcPr>
            <w:tcW w:w="1331" w:type="dxa"/>
            <w:vAlign w:val="center"/>
          </w:tcPr>
          <w:p w14:paraId="171D5DF0" w14:textId="77777777" w:rsidR="00852AC1" w:rsidRPr="00900ADE" w:rsidRDefault="00852AC1" w:rsidP="00493750">
            <w:pPr>
              <w:pStyle w:val="TableTextCentered"/>
            </w:pPr>
            <w:r w:rsidRPr="00900ADE">
              <w:t>48</w:t>
            </w:r>
          </w:p>
        </w:tc>
      </w:tr>
      <w:tr w:rsidR="00852AC1" w:rsidRPr="00900ADE" w14:paraId="26488408" w14:textId="77777777">
        <w:tc>
          <w:tcPr>
            <w:tcW w:w="2962" w:type="dxa"/>
          </w:tcPr>
          <w:p w14:paraId="6CE6857F" w14:textId="77777777" w:rsidR="00852AC1" w:rsidRPr="00900ADE" w:rsidRDefault="00852AC1" w:rsidP="00493750">
            <w:pPr>
              <w:pStyle w:val="TableText"/>
            </w:pPr>
            <w:r w:rsidRPr="00900ADE">
              <w:t>Low income</w:t>
            </w:r>
          </w:p>
        </w:tc>
        <w:tc>
          <w:tcPr>
            <w:tcW w:w="1235" w:type="dxa"/>
            <w:vAlign w:val="center"/>
          </w:tcPr>
          <w:p w14:paraId="629C3C6A" w14:textId="77777777" w:rsidR="00852AC1" w:rsidRPr="00900ADE" w:rsidRDefault="00852AC1" w:rsidP="00493750">
            <w:pPr>
              <w:pStyle w:val="TableTextCentered"/>
            </w:pPr>
            <w:r w:rsidRPr="00900ADE">
              <w:t>136</w:t>
            </w:r>
          </w:p>
        </w:tc>
        <w:tc>
          <w:tcPr>
            <w:tcW w:w="1310" w:type="dxa"/>
            <w:vAlign w:val="center"/>
          </w:tcPr>
          <w:p w14:paraId="1EC6A246" w14:textId="77777777" w:rsidR="00852AC1" w:rsidRPr="00900ADE" w:rsidRDefault="00852AC1" w:rsidP="00493750">
            <w:pPr>
              <w:pStyle w:val="TableTextCentered"/>
            </w:pPr>
            <w:r w:rsidRPr="00900ADE">
              <w:t>43</w:t>
            </w:r>
          </w:p>
        </w:tc>
        <w:tc>
          <w:tcPr>
            <w:tcW w:w="1310" w:type="dxa"/>
            <w:vAlign w:val="center"/>
          </w:tcPr>
          <w:p w14:paraId="454C2342" w14:textId="77777777" w:rsidR="00852AC1" w:rsidRPr="00900ADE" w:rsidRDefault="00852AC1" w:rsidP="00493750">
            <w:pPr>
              <w:pStyle w:val="TableTextCentered"/>
            </w:pPr>
            <w:r w:rsidRPr="00900ADE">
              <w:t>41</w:t>
            </w:r>
          </w:p>
        </w:tc>
        <w:tc>
          <w:tcPr>
            <w:tcW w:w="1196" w:type="dxa"/>
            <w:vAlign w:val="center"/>
          </w:tcPr>
          <w:p w14:paraId="14F16DED" w14:textId="77777777" w:rsidR="00852AC1" w:rsidRPr="00900ADE" w:rsidRDefault="00852AC1" w:rsidP="00493750">
            <w:pPr>
              <w:pStyle w:val="TableTextCentered"/>
            </w:pPr>
            <w:r w:rsidRPr="00900ADE">
              <w:t>49</w:t>
            </w:r>
          </w:p>
        </w:tc>
        <w:tc>
          <w:tcPr>
            <w:tcW w:w="1331" w:type="dxa"/>
            <w:vAlign w:val="center"/>
          </w:tcPr>
          <w:p w14:paraId="0D12D380" w14:textId="77777777" w:rsidR="00852AC1" w:rsidRPr="00900ADE" w:rsidRDefault="00852AC1" w:rsidP="00493750">
            <w:pPr>
              <w:pStyle w:val="TableTextCentered"/>
            </w:pPr>
            <w:r w:rsidRPr="00900ADE">
              <w:t>47</w:t>
            </w:r>
          </w:p>
        </w:tc>
      </w:tr>
      <w:tr w:rsidR="00852AC1" w:rsidRPr="00900ADE" w14:paraId="0D1DFB1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6FDF907" w14:textId="77777777" w:rsidR="00852AC1" w:rsidRPr="00900ADE" w:rsidRDefault="00852AC1" w:rsidP="00493750">
            <w:pPr>
              <w:pStyle w:val="TableText"/>
            </w:pPr>
            <w:r w:rsidRPr="00900ADE">
              <w:t>ELs and former ELs</w:t>
            </w:r>
          </w:p>
        </w:tc>
        <w:tc>
          <w:tcPr>
            <w:tcW w:w="1235" w:type="dxa"/>
            <w:vAlign w:val="center"/>
          </w:tcPr>
          <w:p w14:paraId="18475E62" w14:textId="77777777" w:rsidR="00852AC1" w:rsidRPr="00900ADE" w:rsidRDefault="00852AC1" w:rsidP="00493750">
            <w:pPr>
              <w:pStyle w:val="TableTextCentered"/>
            </w:pPr>
            <w:r w:rsidRPr="00900ADE">
              <w:t>50</w:t>
            </w:r>
          </w:p>
        </w:tc>
        <w:tc>
          <w:tcPr>
            <w:tcW w:w="1310" w:type="dxa"/>
            <w:vAlign w:val="center"/>
          </w:tcPr>
          <w:p w14:paraId="04FC8B1B" w14:textId="77777777" w:rsidR="00852AC1" w:rsidRPr="00900ADE" w:rsidRDefault="00852AC1" w:rsidP="00493750">
            <w:pPr>
              <w:pStyle w:val="TableTextCentered"/>
            </w:pPr>
            <w:r w:rsidRPr="00900ADE">
              <w:t>53</w:t>
            </w:r>
          </w:p>
        </w:tc>
        <w:tc>
          <w:tcPr>
            <w:tcW w:w="1310" w:type="dxa"/>
            <w:vAlign w:val="center"/>
          </w:tcPr>
          <w:p w14:paraId="67713272" w14:textId="77777777" w:rsidR="00852AC1" w:rsidRPr="00900ADE" w:rsidRDefault="00852AC1" w:rsidP="00493750">
            <w:pPr>
              <w:pStyle w:val="TableTextCentered"/>
            </w:pPr>
            <w:r w:rsidRPr="00900ADE">
              <w:t>54</w:t>
            </w:r>
          </w:p>
        </w:tc>
        <w:tc>
          <w:tcPr>
            <w:tcW w:w="1196" w:type="dxa"/>
            <w:vAlign w:val="center"/>
          </w:tcPr>
          <w:p w14:paraId="7CA91C9F" w14:textId="77777777" w:rsidR="00852AC1" w:rsidRPr="00900ADE" w:rsidRDefault="00852AC1" w:rsidP="00493750">
            <w:pPr>
              <w:pStyle w:val="TableTextCentered"/>
            </w:pPr>
            <w:r w:rsidRPr="00900ADE">
              <w:t>49</w:t>
            </w:r>
          </w:p>
        </w:tc>
        <w:tc>
          <w:tcPr>
            <w:tcW w:w="1331" w:type="dxa"/>
            <w:vAlign w:val="center"/>
          </w:tcPr>
          <w:p w14:paraId="7EBBFE76" w14:textId="77777777" w:rsidR="00852AC1" w:rsidRPr="00900ADE" w:rsidRDefault="00852AC1" w:rsidP="00493750">
            <w:pPr>
              <w:pStyle w:val="TableTextCentered"/>
            </w:pPr>
            <w:r w:rsidRPr="00900ADE">
              <w:t>50</w:t>
            </w:r>
          </w:p>
        </w:tc>
      </w:tr>
      <w:tr w:rsidR="00852AC1" w:rsidRPr="00900ADE" w14:paraId="07009FE4" w14:textId="77777777">
        <w:tc>
          <w:tcPr>
            <w:tcW w:w="2962" w:type="dxa"/>
          </w:tcPr>
          <w:p w14:paraId="52357AF0" w14:textId="77777777" w:rsidR="00852AC1" w:rsidRPr="00900ADE" w:rsidRDefault="00852AC1" w:rsidP="00493750">
            <w:pPr>
              <w:pStyle w:val="TableText"/>
            </w:pPr>
            <w:r w:rsidRPr="00900ADE">
              <w:t>Students w/disabilities</w:t>
            </w:r>
          </w:p>
        </w:tc>
        <w:tc>
          <w:tcPr>
            <w:tcW w:w="1235" w:type="dxa"/>
            <w:vAlign w:val="center"/>
          </w:tcPr>
          <w:p w14:paraId="68BA3921" w14:textId="77777777" w:rsidR="00852AC1" w:rsidRPr="00900ADE" w:rsidRDefault="00852AC1" w:rsidP="00493750">
            <w:pPr>
              <w:pStyle w:val="TableTextCentered"/>
            </w:pPr>
            <w:r w:rsidRPr="00900ADE">
              <w:t>151</w:t>
            </w:r>
          </w:p>
        </w:tc>
        <w:tc>
          <w:tcPr>
            <w:tcW w:w="1310" w:type="dxa"/>
            <w:vAlign w:val="center"/>
          </w:tcPr>
          <w:p w14:paraId="4B2E8F10" w14:textId="77777777" w:rsidR="00852AC1" w:rsidRPr="00900ADE" w:rsidRDefault="00852AC1" w:rsidP="00493750">
            <w:pPr>
              <w:pStyle w:val="TableTextCentered"/>
            </w:pPr>
            <w:r w:rsidRPr="00900ADE">
              <w:t>45</w:t>
            </w:r>
          </w:p>
        </w:tc>
        <w:tc>
          <w:tcPr>
            <w:tcW w:w="1310" w:type="dxa"/>
            <w:vAlign w:val="center"/>
          </w:tcPr>
          <w:p w14:paraId="54333E1D" w14:textId="77777777" w:rsidR="00852AC1" w:rsidRPr="00900ADE" w:rsidRDefault="00852AC1" w:rsidP="00493750">
            <w:pPr>
              <w:pStyle w:val="TableTextCentered"/>
            </w:pPr>
            <w:r w:rsidRPr="00900ADE">
              <w:t>37</w:t>
            </w:r>
          </w:p>
        </w:tc>
        <w:tc>
          <w:tcPr>
            <w:tcW w:w="1196" w:type="dxa"/>
            <w:vAlign w:val="center"/>
          </w:tcPr>
          <w:p w14:paraId="4CE2CE8D" w14:textId="77777777" w:rsidR="00852AC1" w:rsidRPr="00900ADE" w:rsidRDefault="00852AC1" w:rsidP="00493750">
            <w:pPr>
              <w:pStyle w:val="TableTextCentered"/>
            </w:pPr>
            <w:r w:rsidRPr="00900ADE">
              <w:t>50</w:t>
            </w:r>
          </w:p>
        </w:tc>
        <w:tc>
          <w:tcPr>
            <w:tcW w:w="1331" w:type="dxa"/>
            <w:vAlign w:val="center"/>
          </w:tcPr>
          <w:p w14:paraId="341AE644" w14:textId="77777777" w:rsidR="00852AC1" w:rsidRPr="00900ADE" w:rsidRDefault="00852AC1" w:rsidP="00493750">
            <w:pPr>
              <w:pStyle w:val="TableTextCentered"/>
            </w:pPr>
            <w:r w:rsidRPr="00900ADE">
              <w:t>46</w:t>
            </w:r>
          </w:p>
        </w:tc>
      </w:tr>
    </w:tbl>
    <w:p w14:paraId="03947A4D" w14:textId="77777777" w:rsidR="00852AC1" w:rsidRPr="00900ADE" w:rsidRDefault="00852AC1" w:rsidP="00C9717C">
      <w:pPr>
        <w:pStyle w:val="TableETitle"/>
        <w:spacing w:before="240"/>
      </w:pPr>
      <w:bookmarkStart w:id="215" w:name="_Toc196169625"/>
      <w:r w:rsidRPr="00900ADE">
        <w:t>Table E13. MCAS Mathematics Mean Student Growth Percentile by Student Group, Grade 10, 2022-2024</w:t>
      </w:r>
      <w:bookmarkEnd w:id="215"/>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852AC1" w:rsidRPr="00900ADE" w14:paraId="0F8F1079" w14:textId="77777777" w:rsidTr="00B87CA4">
        <w:trPr>
          <w:cnfStyle w:val="100000000000" w:firstRow="1" w:lastRow="0" w:firstColumn="0" w:lastColumn="0" w:oddVBand="0" w:evenVBand="0" w:oddHBand="0" w:evenHBand="0" w:firstRowFirstColumn="0" w:firstRowLastColumn="0" w:lastRowFirstColumn="0" w:lastRowLastColumn="0"/>
          <w:tblHeader/>
        </w:trPr>
        <w:tc>
          <w:tcPr>
            <w:tcW w:w="2962" w:type="dxa"/>
            <w:vAlign w:val="center"/>
          </w:tcPr>
          <w:p w14:paraId="7224822F" w14:textId="77777777" w:rsidR="00852AC1" w:rsidRPr="00900ADE" w:rsidRDefault="00852AC1" w:rsidP="00493750">
            <w:pPr>
              <w:pStyle w:val="TableColHeadingCenter"/>
            </w:pPr>
            <w:r w:rsidRPr="00900ADE">
              <w:t>Group</w:t>
            </w:r>
          </w:p>
        </w:tc>
        <w:tc>
          <w:tcPr>
            <w:tcW w:w="1235" w:type="dxa"/>
            <w:vAlign w:val="center"/>
          </w:tcPr>
          <w:p w14:paraId="7DA33756" w14:textId="777B9387" w:rsidR="00852AC1" w:rsidRPr="00900ADE" w:rsidRDefault="00852AC1" w:rsidP="00493750">
            <w:pPr>
              <w:pStyle w:val="TableColHeadingCenter"/>
            </w:pPr>
            <w:r w:rsidRPr="00900ADE">
              <w:t xml:space="preserve"># </w:t>
            </w:r>
            <w:r w:rsidR="00CD7EAE" w:rsidRPr="00900ADE">
              <w:t>i</w:t>
            </w:r>
            <w:r w:rsidRPr="00900ADE">
              <w:t>ncluded (2024)</w:t>
            </w:r>
          </w:p>
        </w:tc>
        <w:tc>
          <w:tcPr>
            <w:tcW w:w="1310" w:type="dxa"/>
            <w:vAlign w:val="center"/>
          </w:tcPr>
          <w:p w14:paraId="798EDE97" w14:textId="77777777" w:rsidR="00852AC1" w:rsidRPr="00900ADE" w:rsidRDefault="00852AC1" w:rsidP="00493750">
            <w:pPr>
              <w:pStyle w:val="TableColHeadingCenter"/>
            </w:pPr>
            <w:r w:rsidRPr="00900ADE">
              <w:t>2022</w:t>
            </w:r>
          </w:p>
        </w:tc>
        <w:tc>
          <w:tcPr>
            <w:tcW w:w="1310" w:type="dxa"/>
            <w:vAlign w:val="center"/>
          </w:tcPr>
          <w:p w14:paraId="78FE4CE6" w14:textId="77777777" w:rsidR="00852AC1" w:rsidRPr="00900ADE" w:rsidRDefault="00852AC1" w:rsidP="00493750">
            <w:pPr>
              <w:pStyle w:val="TableColHeadingCenter"/>
            </w:pPr>
            <w:r w:rsidRPr="00900ADE">
              <w:t>2023</w:t>
            </w:r>
          </w:p>
        </w:tc>
        <w:tc>
          <w:tcPr>
            <w:tcW w:w="1196" w:type="dxa"/>
            <w:vAlign w:val="center"/>
          </w:tcPr>
          <w:p w14:paraId="4ED9121C" w14:textId="77777777" w:rsidR="00852AC1" w:rsidRPr="00900ADE" w:rsidRDefault="00852AC1" w:rsidP="00493750">
            <w:pPr>
              <w:pStyle w:val="TableColHeadingCenter"/>
            </w:pPr>
            <w:r w:rsidRPr="00900ADE">
              <w:t>2024</w:t>
            </w:r>
          </w:p>
        </w:tc>
        <w:tc>
          <w:tcPr>
            <w:tcW w:w="1331" w:type="dxa"/>
            <w:vAlign w:val="center"/>
          </w:tcPr>
          <w:p w14:paraId="78988E11" w14:textId="77777777" w:rsidR="00852AC1" w:rsidRPr="00900ADE" w:rsidRDefault="00852AC1" w:rsidP="00493750">
            <w:pPr>
              <w:pStyle w:val="TableColHeadingCenter"/>
            </w:pPr>
            <w:r w:rsidRPr="00900ADE">
              <w:t>State (2024)</w:t>
            </w:r>
          </w:p>
        </w:tc>
      </w:tr>
      <w:tr w:rsidR="00852AC1" w:rsidRPr="00900ADE" w14:paraId="7F692C7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E77B3D1" w14:textId="77777777" w:rsidR="00852AC1" w:rsidRPr="00900ADE" w:rsidRDefault="00852AC1" w:rsidP="00493750">
            <w:pPr>
              <w:pStyle w:val="TableText"/>
            </w:pPr>
            <w:r w:rsidRPr="00900ADE">
              <w:t>All students</w:t>
            </w:r>
          </w:p>
        </w:tc>
        <w:tc>
          <w:tcPr>
            <w:tcW w:w="1235" w:type="dxa"/>
            <w:vAlign w:val="center"/>
          </w:tcPr>
          <w:p w14:paraId="513A4C2A" w14:textId="77777777" w:rsidR="00852AC1" w:rsidRPr="00900ADE" w:rsidRDefault="00852AC1" w:rsidP="00493750">
            <w:pPr>
              <w:pStyle w:val="TableTextCentered"/>
            </w:pPr>
            <w:r w:rsidRPr="00900ADE">
              <w:t>137</w:t>
            </w:r>
          </w:p>
        </w:tc>
        <w:tc>
          <w:tcPr>
            <w:tcW w:w="1310" w:type="dxa"/>
            <w:vAlign w:val="center"/>
          </w:tcPr>
          <w:p w14:paraId="4488CF2F" w14:textId="77777777" w:rsidR="00852AC1" w:rsidRPr="00900ADE" w:rsidRDefault="00852AC1" w:rsidP="00493750">
            <w:pPr>
              <w:pStyle w:val="TableTextCentered"/>
            </w:pPr>
            <w:r w:rsidRPr="00900ADE">
              <w:t>58</w:t>
            </w:r>
          </w:p>
        </w:tc>
        <w:tc>
          <w:tcPr>
            <w:tcW w:w="1310" w:type="dxa"/>
            <w:vAlign w:val="center"/>
          </w:tcPr>
          <w:p w14:paraId="4F811571" w14:textId="77777777" w:rsidR="00852AC1" w:rsidRPr="00900ADE" w:rsidRDefault="00852AC1" w:rsidP="00493750">
            <w:pPr>
              <w:pStyle w:val="TableTextCentered"/>
            </w:pPr>
            <w:r w:rsidRPr="00900ADE">
              <w:t>50</w:t>
            </w:r>
          </w:p>
        </w:tc>
        <w:tc>
          <w:tcPr>
            <w:tcW w:w="1196" w:type="dxa"/>
            <w:vAlign w:val="center"/>
          </w:tcPr>
          <w:p w14:paraId="262061F3" w14:textId="77777777" w:rsidR="00852AC1" w:rsidRPr="00900ADE" w:rsidRDefault="00852AC1" w:rsidP="00493750">
            <w:pPr>
              <w:pStyle w:val="TableTextCentered"/>
            </w:pPr>
            <w:r w:rsidRPr="00900ADE">
              <w:t>52</w:t>
            </w:r>
          </w:p>
        </w:tc>
        <w:tc>
          <w:tcPr>
            <w:tcW w:w="1331" w:type="dxa"/>
            <w:vAlign w:val="center"/>
          </w:tcPr>
          <w:p w14:paraId="435A6F35" w14:textId="77777777" w:rsidR="00852AC1" w:rsidRPr="00900ADE" w:rsidRDefault="00852AC1" w:rsidP="00493750">
            <w:pPr>
              <w:pStyle w:val="TableTextCentered"/>
            </w:pPr>
            <w:r w:rsidRPr="00900ADE">
              <w:t>50</w:t>
            </w:r>
          </w:p>
        </w:tc>
      </w:tr>
      <w:tr w:rsidR="00852AC1" w:rsidRPr="00900ADE" w14:paraId="6FCC907E" w14:textId="77777777">
        <w:tc>
          <w:tcPr>
            <w:tcW w:w="2962" w:type="dxa"/>
          </w:tcPr>
          <w:p w14:paraId="00DC3790" w14:textId="77777777" w:rsidR="00852AC1" w:rsidRPr="00900ADE" w:rsidRDefault="00852AC1" w:rsidP="00493750">
            <w:pPr>
              <w:pStyle w:val="TableText"/>
            </w:pPr>
            <w:r w:rsidRPr="00900ADE">
              <w:t>African American/Black</w:t>
            </w:r>
          </w:p>
        </w:tc>
        <w:tc>
          <w:tcPr>
            <w:tcW w:w="1235" w:type="dxa"/>
            <w:vAlign w:val="center"/>
          </w:tcPr>
          <w:p w14:paraId="1B4C50E1" w14:textId="77777777" w:rsidR="00852AC1" w:rsidRPr="00900ADE" w:rsidRDefault="00852AC1" w:rsidP="00493750">
            <w:pPr>
              <w:pStyle w:val="TableTextCentered"/>
            </w:pPr>
            <w:r w:rsidRPr="00900ADE">
              <w:t>2</w:t>
            </w:r>
          </w:p>
        </w:tc>
        <w:tc>
          <w:tcPr>
            <w:tcW w:w="1310" w:type="dxa"/>
            <w:vAlign w:val="center"/>
          </w:tcPr>
          <w:p w14:paraId="59C778BE" w14:textId="5AD7A012" w:rsidR="00852AC1" w:rsidRPr="00900ADE" w:rsidRDefault="003A7D47" w:rsidP="00493750">
            <w:pPr>
              <w:pStyle w:val="TableTextCentered"/>
            </w:pPr>
            <w:r w:rsidRPr="00900ADE">
              <w:t>—</w:t>
            </w:r>
          </w:p>
        </w:tc>
        <w:tc>
          <w:tcPr>
            <w:tcW w:w="1310" w:type="dxa"/>
            <w:vAlign w:val="center"/>
          </w:tcPr>
          <w:p w14:paraId="546FEE6C" w14:textId="1D24C076" w:rsidR="00852AC1" w:rsidRPr="00900ADE" w:rsidRDefault="003A7D47" w:rsidP="00493750">
            <w:pPr>
              <w:pStyle w:val="TableTextCentered"/>
            </w:pPr>
            <w:r w:rsidRPr="00900ADE">
              <w:t>—</w:t>
            </w:r>
          </w:p>
        </w:tc>
        <w:tc>
          <w:tcPr>
            <w:tcW w:w="1196" w:type="dxa"/>
            <w:vAlign w:val="center"/>
          </w:tcPr>
          <w:p w14:paraId="651A7BD9" w14:textId="25F83441" w:rsidR="00852AC1" w:rsidRPr="00900ADE" w:rsidRDefault="003A7D47" w:rsidP="00493750">
            <w:pPr>
              <w:pStyle w:val="TableTextCentered"/>
            </w:pPr>
            <w:r w:rsidRPr="00900ADE">
              <w:t>—</w:t>
            </w:r>
          </w:p>
        </w:tc>
        <w:tc>
          <w:tcPr>
            <w:tcW w:w="1331" w:type="dxa"/>
            <w:vAlign w:val="center"/>
          </w:tcPr>
          <w:p w14:paraId="440E3323" w14:textId="77777777" w:rsidR="00852AC1" w:rsidRPr="00900ADE" w:rsidRDefault="00852AC1" w:rsidP="00493750">
            <w:pPr>
              <w:pStyle w:val="TableTextCentered"/>
            </w:pPr>
            <w:r w:rsidRPr="00900ADE">
              <w:t>47</w:t>
            </w:r>
          </w:p>
        </w:tc>
      </w:tr>
      <w:tr w:rsidR="00852AC1" w:rsidRPr="00900ADE" w14:paraId="7756DD2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5D01641" w14:textId="77777777" w:rsidR="00852AC1" w:rsidRPr="00900ADE" w:rsidRDefault="00852AC1" w:rsidP="00493750">
            <w:pPr>
              <w:pStyle w:val="TableText"/>
            </w:pPr>
            <w:r w:rsidRPr="00900ADE">
              <w:t>Asian</w:t>
            </w:r>
          </w:p>
        </w:tc>
        <w:tc>
          <w:tcPr>
            <w:tcW w:w="1235" w:type="dxa"/>
            <w:vAlign w:val="center"/>
          </w:tcPr>
          <w:p w14:paraId="6AF2856A" w14:textId="77777777" w:rsidR="00852AC1" w:rsidRPr="00900ADE" w:rsidRDefault="00852AC1" w:rsidP="00493750">
            <w:pPr>
              <w:pStyle w:val="TableTextCentered"/>
            </w:pPr>
            <w:r w:rsidRPr="00900ADE">
              <w:t>6</w:t>
            </w:r>
          </w:p>
        </w:tc>
        <w:tc>
          <w:tcPr>
            <w:tcW w:w="1310" w:type="dxa"/>
            <w:vAlign w:val="center"/>
          </w:tcPr>
          <w:p w14:paraId="74F5307C" w14:textId="3DF95CBB" w:rsidR="00852AC1" w:rsidRPr="00900ADE" w:rsidRDefault="003A7D47" w:rsidP="00493750">
            <w:pPr>
              <w:pStyle w:val="TableTextCentered"/>
            </w:pPr>
            <w:r w:rsidRPr="00900ADE">
              <w:t>—</w:t>
            </w:r>
          </w:p>
        </w:tc>
        <w:tc>
          <w:tcPr>
            <w:tcW w:w="1310" w:type="dxa"/>
            <w:vAlign w:val="center"/>
          </w:tcPr>
          <w:p w14:paraId="7D520459" w14:textId="226757D7" w:rsidR="00852AC1" w:rsidRPr="00900ADE" w:rsidRDefault="003A7D47" w:rsidP="00493750">
            <w:pPr>
              <w:pStyle w:val="TableTextCentered"/>
            </w:pPr>
            <w:r w:rsidRPr="00900ADE">
              <w:t>—</w:t>
            </w:r>
          </w:p>
        </w:tc>
        <w:tc>
          <w:tcPr>
            <w:tcW w:w="1196" w:type="dxa"/>
            <w:vAlign w:val="center"/>
          </w:tcPr>
          <w:p w14:paraId="4E7DBB8C" w14:textId="71A187C7" w:rsidR="00852AC1" w:rsidRPr="00900ADE" w:rsidRDefault="003A7D47" w:rsidP="00493750">
            <w:pPr>
              <w:pStyle w:val="TableTextCentered"/>
            </w:pPr>
            <w:r w:rsidRPr="00900ADE">
              <w:t>—</w:t>
            </w:r>
          </w:p>
        </w:tc>
        <w:tc>
          <w:tcPr>
            <w:tcW w:w="1331" w:type="dxa"/>
            <w:vAlign w:val="center"/>
          </w:tcPr>
          <w:p w14:paraId="4890D562" w14:textId="77777777" w:rsidR="00852AC1" w:rsidRPr="00900ADE" w:rsidRDefault="00852AC1" w:rsidP="00493750">
            <w:pPr>
              <w:pStyle w:val="TableTextCentered"/>
            </w:pPr>
            <w:r w:rsidRPr="00900ADE">
              <w:t>55</w:t>
            </w:r>
          </w:p>
        </w:tc>
      </w:tr>
      <w:tr w:rsidR="00852AC1" w:rsidRPr="00900ADE" w14:paraId="2A7FBAEF" w14:textId="77777777">
        <w:tc>
          <w:tcPr>
            <w:tcW w:w="2962" w:type="dxa"/>
          </w:tcPr>
          <w:p w14:paraId="5A6FF99D" w14:textId="77777777" w:rsidR="00852AC1" w:rsidRPr="00900ADE" w:rsidRDefault="00852AC1" w:rsidP="00493750">
            <w:pPr>
              <w:pStyle w:val="TableText"/>
            </w:pPr>
            <w:r w:rsidRPr="00900ADE">
              <w:t>Hispanic/Latino</w:t>
            </w:r>
          </w:p>
        </w:tc>
        <w:tc>
          <w:tcPr>
            <w:tcW w:w="1235" w:type="dxa"/>
            <w:vAlign w:val="center"/>
          </w:tcPr>
          <w:p w14:paraId="14C7D607" w14:textId="77777777" w:rsidR="00852AC1" w:rsidRPr="00900ADE" w:rsidRDefault="00852AC1" w:rsidP="00493750">
            <w:pPr>
              <w:pStyle w:val="TableTextCentered"/>
            </w:pPr>
            <w:r w:rsidRPr="00900ADE">
              <w:t>6</w:t>
            </w:r>
          </w:p>
        </w:tc>
        <w:tc>
          <w:tcPr>
            <w:tcW w:w="1310" w:type="dxa"/>
            <w:vAlign w:val="center"/>
          </w:tcPr>
          <w:p w14:paraId="516A83CA" w14:textId="5CE2D1BB" w:rsidR="00852AC1" w:rsidRPr="00900ADE" w:rsidRDefault="003A7D47" w:rsidP="00493750">
            <w:pPr>
              <w:pStyle w:val="TableTextCentered"/>
            </w:pPr>
            <w:r w:rsidRPr="00900ADE">
              <w:t>—</w:t>
            </w:r>
          </w:p>
        </w:tc>
        <w:tc>
          <w:tcPr>
            <w:tcW w:w="1310" w:type="dxa"/>
            <w:vAlign w:val="center"/>
          </w:tcPr>
          <w:p w14:paraId="7E4EAD87" w14:textId="0494D744" w:rsidR="00852AC1" w:rsidRPr="00900ADE" w:rsidRDefault="003A7D47" w:rsidP="00493750">
            <w:pPr>
              <w:pStyle w:val="TableTextCentered"/>
            </w:pPr>
            <w:r w:rsidRPr="00900ADE">
              <w:t>—</w:t>
            </w:r>
          </w:p>
        </w:tc>
        <w:tc>
          <w:tcPr>
            <w:tcW w:w="1196" w:type="dxa"/>
            <w:vAlign w:val="center"/>
          </w:tcPr>
          <w:p w14:paraId="2B640962" w14:textId="5D13077F" w:rsidR="00852AC1" w:rsidRPr="00900ADE" w:rsidRDefault="003A7D47" w:rsidP="00493750">
            <w:pPr>
              <w:pStyle w:val="TableTextCentered"/>
            </w:pPr>
            <w:r w:rsidRPr="00900ADE">
              <w:t>—</w:t>
            </w:r>
          </w:p>
        </w:tc>
        <w:tc>
          <w:tcPr>
            <w:tcW w:w="1331" w:type="dxa"/>
            <w:vAlign w:val="center"/>
          </w:tcPr>
          <w:p w14:paraId="37C8B976" w14:textId="77777777" w:rsidR="00852AC1" w:rsidRPr="00900ADE" w:rsidRDefault="00852AC1" w:rsidP="00493750">
            <w:pPr>
              <w:pStyle w:val="TableTextCentered"/>
            </w:pPr>
            <w:r w:rsidRPr="00900ADE">
              <w:t>45</w:t>
            </w:r>
          </w:p>
        </w:tc>
      </w:tr>
      <w:tr w:rsidR="00852AC1" w:rsidRPr="00900ADE" w14:paraId="43507C5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1333F37" w14:textId="77777777" w:rsidR="00852AC1" w:rsidRPr="00900ADE" w:rsidRDefault="00852AC1" w:rsidP="00493750">
            <w:pPr>
              <w:pStyle w:val="TableText"/>
            </w:pPr>
            <w:r w:rsidRPr="00900ADE">
              <w:t>Multi-Race, non-Hispanic/Latino</w:t>
            </w:r>
          </w:p>
        </w:tc>
        <w:tc>
          <w:tcPr>
            <w:tcW w:w="1235" w:type="dxa"/>
            <w:vAlign w:val="center"/>
          </w:tcPr>
          <w:p w14:paraId="260CD309" w14:textId="77777777" w:rsidR="00852AC1" w:rsidRPr="00900ADE" w:rsidRDefault="00852AC1" w:rsidP="00493750">
            <w:pPr>
              <w:pStyle w:val="TableTextCentered"/>
            </w:pPr>
            <w:r w:rsidRPr="00900ADE">
              <w:t>6</w:t>
            </w:r>
          </w:p>
        </w:tc>
        <w:tc>
          <w:tcPr>
            <w:tcW w:w="1310" w:type="dxa"/>
            <w:vAlign w:val="center"/>
          </w:tcPr>
          <w:p w14:paraId="5508C0A2" w14:textId="3E136B07" w:rsidR="00852AC1" w:rsidRPr="00900ADE" w:rsidRDefault="003A7D47" w:rsidP="00493750">
            <w:pPr>
              <w:pStyle w:val="TableTextCentered"/>
            </w:pPr>
            <w:r w:rsidRPr="00900ADE">
              <w:t>—</w:t>
            </w:r>
          </w:p>
        </w:tc>
        <w:tc>
          <w:tcPr>
            <w:tcW w:w="1310" w:type="dxa"/>
            <w:vAlign w:val="center"/>
          </w:tcPr>
          <w:p w14:paraId="4BD2ED51" w14:textId="09FDC7DC" w:rsidR="00852AC1" w:rsidRPr="00900ADE" w:rsidRDefault="003A7D47" w:rsidP="00493750">
            <w:pPr>
              <w:pStyle w:val="TableTextCentered"/>
            </w:pPr>
            <w:r w:rsidRPr="00900ADE">
              <w:t>—</w:t>
            </w:r>
          </w:p>
        </w:tc>
        <w:tc>
          <w:tcPr>
            <w:tcW w:w="1196" w:type="dxa"/>
            <w:vAlign w:val="center"/>
          </w:tcPr>
          <w:p w14:paraId="75E71224" w14:textId="67E8EE01" w:rsidR="00852AC1" w:rsidRPr="00900ADE" w:rsidRDefault="003A7D47" w:rsidP="00493750">
            <w:pPr>
              <w:pStyle w:val="TableTextCentered"/>
            </w:pPr>
            <w:r w:rsidRPr="00900ADE">
              <w:t>—</w:t>
            </w:r>
          </w:p>
        </w:tc>
        <w:tc>
          <w:tcPr>
            <w:tcW w:w="1331" w:type="dxa"/>
            <w:vAlign w:val="center"/>
          </w:tcPr>
          <w:p w14:paraId="3CAFE77D" w14:textId="77777777" w:rsidR="00852AC1" w:rsidRPr="00900ADE" w:rsidRDefault="00852AC1" w:rsidP="00493750">
            <w:pPr>
              <w:pStyle w:val="TableTextCentered"/>
            </w:pPr>
            <w:r w:rsidRPr="00900ADE">
              <w:t>49</w:t>
            </w:r>
          </w:p>
        </w:tc>
      </w:tr>
      <w:tr w:rsidR="00852AC1" w:rsidRPr="00900ADE" w14:paraId="4C7380E7" w14:textId="77777777">
        <w:tc>
          <w:tcPr>
            <w:tcW w:w="2962" w:type="dxa"/>
          </w:tcPr>
          <w:p w14:paraId="01BF6FA7" w14:textId="77777777" w:rsidR="00852AC1" w:rsidRPr="00900ADE" w:rsidRDefault="00852AC1" w:rsidP="00493750">
            <w:pPr>
              <w:pStyle w:val="TableText"/>
            </w:pPr>
            <w:r w:rsidRPr="00900ADE">
              <w:t>Native American</w:t>
            </w:r>
          </w:p>
        </w:tc>
        <w:tc>
          <w:tcPr>
            <w:tcW w:w="1235" w:type="dxa"/>
            <w:vAlign w:val="center"/>
          </w:tcPr>
          <w:p w14:paraId="282AFCD0" w14:textId="6DFF8735" w:rsidR="00852AC1" w:rsidRPr="00900ADE" w:rsidRDefault="003A7D47" w:rsidP="00493750">
            <w:pPr>
              <w:pStyle w:val="TableTextCentered"/>
            </w:pPr>
            <w:r w:rsidRPr="00900ADE">
              <w:t>—</w:t>
            </w:r>
          </w:p>
        </w:tc>
        <w:tc>
          <w:tcPr>
            <w:tcW w:w="1310" w:type="dxa"/>
            <w:vAlign w:val="center"/>
          </w:tcPr>
          <w:p w14:paraId="14317250" w14:textId="7EF2FD34" w:rsidR="00852AC1" w:rsidRPr="00900ADE" w:rsidRDefault="003A7D47" w:rsidP="00493750">
            <w:pPr>
              <w:pStyle w:val="TableTextCentered"/>
            </w:pPr>
            <w:r w:rsidRPr="00900ADE">
              <w:t>—</w:t>
            </w:r>
          </w:p>
        </w:tc>
        <w:tc>
          <w:tcPr>
            <w:tcW w:w="1310" w:type="dxa"/>
            <w:vAlign w:val="center"/>
          </w:tcPr>
          <w:p w14:paraId="47FB1AC3" w14:textId="4AE8A4F5" w:rsidR="00852AC1" w:rsidRPr="00900ADE" w:rsidRDefault="003A7D47" w:rsidP="00493750">
            <w:pPr>
              <w:pStyle w:val="TableTextCentered"/>
            </w:pPr>
            <w:r w:rsidRPr="00900ADE">
              <w:t>—</w:t>
            </w:r>
          </w:p>
        </w:tc>
        <w:tc>
          <w:tcPr>
            <w:tcW w:w="1196" w:type="dxa"/>
            <w:vAlign w:val="center"/>
          </w:tcPr>
          <w:p w14:paraId="073E916C" w14:textId="5A0D2897" w:rsidR="00852AC1" w:rsidRPr="00900ADE" w:rsidRDefault="003A7D47" w:rsidP="00493750">
            <w:pPr>
              <w:pStyle w:val="TableTextCentered"/>
            </w:pPr>
            <w:r w:rsidRPr="00900ADE">
              <w:t>—</w:t>
            </w:r>
          </w:p>
        </w:tc>
        <w:tc>
          <w:tcPr>
            <w:tcW w:w="1331" w:type="dxa"/>
            <w:vAlign w:val="center"/>
          </w:tcPr>
          <w:p w14:paraId="065D82E7" w14:textId="77777777" w:rsidR="00852AC1" w:rsidRPr="00900ADE" w:rsidRDefault="00852AC1" w:rsidP="00493750">
            <w:pPr>
              <w:pStyle w:val="TableTextCentered"/>
            </w:pPr>
            <w:r w:rsidRPr="00900ADE">
              <w:t>50</w:t>
            </w:r>
          </w:p>
        </w:tc>
      </w:tr>
      <w:tr w:rsidR="00852AC1" w:rsidRPr="00900ADE" w14:paraId="08A5803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6250579" w14:textId="77777777" w:rsidR="00852AC1" w:rsidRPr="00900ADE" w:rsidRDefault="00852AC1" w:rsidP="00493750">
            <w:pPr>
              <w:pStyle w:val="TableText"/>
            </w:pPr>
            <w:r w:rsidRPr="00900ADE">
              <w:t>Native Hawaiian, Pacific Islander</w:t>
            </w:r>
          </w:p>
        </w:tc>
        <w:tc>
          <w:tcPr>
            <w:tcW w:w="1235" w:type="dxa"/>
            <w:vAlign w:val="center"/>
          </w:tcPr>
          <w:p w14:paraId="554FA77B" w14:textId="77777777" w:rsidR="00852AC1" w:rsidRPr="00900ADE" w:rsidRDefault="00852AC1" w:rsidP="00493750">
            <w:pPr>
              <w:pStyle w:val="TableTextCentered"/>
            </w:pPr>
            <w:r w:rsidRPr="00900ADE">
              <w:t>1</w:t>
            </w:r>
          </w:p>
        </w:tc>
        <w:tc>
          <w:tcPr>
            <w:tcW w:w="1310" w:type="dxa"/>
            <w:vAlign w:val="center"/>
          </w:tcPr>
          <w:p w14:paraId="6BD9002F" w14:textId="45DAFDAD" w:rsidR="00852AC1" w:rsidRPr="00900ADE" w:rsidRDefault="003A7D47" w:rsidP="00493750">
            <w:pPr>
              <w:pStyle w:val="TableTextCentered"/>
            </w:pPr>
            <w:r w:rsidRPr="00900ADE">
              <w:t>—</w:t>
            </w:r>
          </w:p>
        </w:tc>
        <w:tc>
          <w:tcPr>
            <w:tcW w:w="1310" w:type="dxa"/>
            <w:vAlign w:val="center"/>
          </w:tcPr>
          <w:p w14:paraId="7EE8F77E" w14:textId="7D42A0FF" w:rsidR="00852AC1" w:rsidRPr="00900ADE" w:rsidRDefault="003A7D47" w:rsidP="00493750">
            <w:pPr>
              <w:pStyle w:val="TableTextCentered"/>
            </w:pPr>
            <w:r w:rsidRPr="00900ADE">
              <w:t>—</w:t>
            </w:r>
          </w:p>
        </w:tc>
        <w:tc>
          <w:tcPr>
            <w:tcW w:w="1196" w:type="dxa"/>
            <w:vAlign w:val="center"/>
          </w:tcPr>
          <w:p w14:paraId="4A6B96AE" w14:textId="00275DF6" w:rsidR="00852AC1" w:rsidRPr="00900ADE" w:rsidRDefault="003A7D47" w:rsidP="00493750">
            <w:pPr>
              <w:pStyle w:val="TableTextCentered"/>
            </w:pPr>
            <w:r w:rsidRPr="00900ADE">
              <w:t>—</w:t>
            </w:r>
          </w:p>
        </w:tc>
        <w:tc>
          <w:tcPr>
            <w:tcW w:w="1331" w:type="dxa"/>
            <w:vAlign w:val="center"/>
          </w:tcPr>
          <w:p w14:paraId="1C807F6F" w14:textId="77777777" w:rsidR="00852AC1" w:rsidRPr="00900ADE" w:rsidRDefault="00852AC1" w:rsidP="00493750">
            <w:pPr>
              <w:pStyle w:val="TableTextCentered"/>
            </w:pPr>
            <w:r w:rsidRPr="00900ADE">
              <w:t>50</w:t>
            </w:r>
          </w:p>
        </w:tc>
      </w:tr>
      <w:tr w:rsidR="00852AC1" w:rsidRPr="00900ADE" w14:paraId="625A389C" w14:textId="77777777">
        <w:tc>
          <w:tcPr>
            <w:tcW w:w="2962" w:type="dxa"/>
          </w:tcPr>
          <w:p w14:paraId="5034B557" w14:textId="77777777" w:rsidR="00852AC1" w:rsidRPr="00900ADE" w:rsidRDefault="00852AC1" w:rsidP="00493750">
            <w:pPr>
              <w:pStyle w:val="TableText"/>
            </w:pPr>
            <w:r w:rsidRPr="00900ADE">
              <w:t>White</w:t>
            </w:r>
          </w:p>
        </w:tc>
        <w:tc>
          <w:tcPr>
            <w:tcW w:w="1235" w:type="dxa"/>
            <w:vAlign w:val="center"/>
          </w:tcPr>
          <w:p w14:paraId="111DB202" w14:textId="77777777" w:rsidR="00852AC1" w:rsidRPr="00900ADE" w:rsidRDefault="00852AC1" w:rsidP="00493750">
            <w:pPr>
              <w:pStyle w:val="TableTextCentered"/>
            </w:pPr>
            <w:r w:rsidRPr="00900ADE">
              <w:t>116</w:t>
            </w:r>
          </w:p>
        </w:tc>
        <w:tc>
          <w:tcPr>
            <w:tcW w:w="1310" w:type="dxa"/>
            <w:vAlign w:val="center"/>
          </w:tcPr>
          <w:p w14:paraId="3B42C3AE" w14:textId="77777777" w:rsidR="00852AC1" w:rsidRPr="00900ADE" w:rsidRDefault="00852AC1" w:rsidP="00493750">
            <w:pPr>
              <w:pStyle w:val="TableTextCentered"/>
            </w:pPr>
            <w:r w:rsidRPr="00900ADE">
              <w:t>56</w:t>
            </w:r>
          </w:p>
        </w:tc>
        <w:tc>
          <w:tcPr>
            <w:tcW w:w="1310" w:type="dxa"/>
            <w:vAlign w:val="center"/>
          </w:tcPr>
          <w:p w14:paraId="0B59B298" w14:textId="77777777" w:rsidR="00852AC1" w:rsidRPr="00900ADE" w:rsidRDefault="00852AC1" w:rsidP="00493750">
            <w:pPr>
              <w:pStyle w:val="TableTextCentered"/>
            </w:pPr>
            <w:r w:rsidRPr="00900ADE">
              <w:t>49</w:t>
            </w:r>
          </w:p>
        </w:tc>
        <w:tc>
          <w:tcPr>
            <w:tcW w:w="1196" w:type="dxa"/>
            <w:vAlign w:val="center"/>
          </w:tcPr>
          <w:p w14:paraId="0B253688" w14:textId="77777777" w:rsidR="00852AC1" w:rsidRPr="00900ADE" w:rsidRDefault="00852AC1" w:rsidP="00493750">
            <w:pPr>
              <w:pStyle w:val="TableTextCentered"/>
            </w:pPr>
            <w:r w:rsidRPr="00900ADE">
              <w:t>51</w:t>
            </w:r>
          </w:p>
        </w:tc>
        <w:tc>
          <w:tcPr>
            <w:tcW w:w="1331" w:type="dxa"/>
            <w:vAlign w:val="center"/>
          </w:tcPr>
          <w:p w14:paraId="2DA9B38F" w14:textId="77777777" w:rsidR="00852AC1" w:rsidRPr="00900ADE" w:rsidRDefault="00852AC1" w:rsidP="00493750">
            <w:pPr>
              <w:pStyle w:val="TableTextCentered"/>
            </w:pPr>
            <w:r w:rsidRPr="00900ADE">
              <w:t>52</w:t>
            </w:r>
          </w:p>
        </w:tc>
      </w:tr>
      <w:tr w:rsidR="00852AC1" w:rsidRPr="00900ADE" w14:paraId="3E8908B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A3A9356" w14:textId="50B25692" w:rsidR="00852AC1" w:rsidRPr="00900ADE" w:rsidRDefault="00852AC1" w:rsidP="00493750">
            <w:pPr>
              <w:pStyle w:val="TableText"/>
            </w:pPr>
            <w:r w:rsidRPr="00900ADE">
              <w:t xml:space="preserve">High </w:t>
            </w:r>
            <w:r w:rsidR="00C712AB">
              <w:t>n</w:t>
            </w:r>
            <w:r w:rsidRPr="00900ADE">
              <w:t>eeds</w:t>
            </w:r>
          </w:p>
        </w:tc>
        <w:tc>
          <w:tcPr>
            <w:tcW w:w="1235" w:type="dxa"/>
            <w:vAlign w:val="center"/>
          </w:tcPr>
          <w:p w14:paraId="74331BD6" w14:textId="77777777" w:rsidR="00852AC1" w:rsidRPr="00900ADE" w:rsidRDefault="00852AC1" w:rsidP="00493750">
            <w:pPr>
              <w:pStyle w:val="TableTextCentered"/>
            </w:pPr>
            <w:r w:rsidRPr="00900ADE">
              <w:t>36</w:t>
            </w:r>
          </w:p>
        </w:tc>
        <w:tc>
          <w:tcPr>
            <w:tcW w:w="1310" w:type="dxa"/>
            <w:vAlign w:val="center"/>
          </w:tcPr>
          <w:p w14:paraId="67BFD986" w14:textId="77777777" w:rsidR="00852AC1" w:rsidRPr="00900ADE" w:rsidRDefault="00852AC1" w:rsidP="00493750">
            <w:pPr>
              <w:pStyle w:val="TableTextCentered"/>
            </w:pPr>
            <w:r w:rsidRPr="00900ADE">
              <w:t>58</w:t>
            </w:r>
          </w:p>
        </w:tc>
        <w:tc>
          <w:tcPr>
            <w:tcW w:w="1310" w:type="dxa"/>
            <w:vAlign w:val="center"/>
          </w:tcPr>
          <w:p w14:paraId="4608E264" w14:textId="77777777" w:rsidR="00852AC1" w:rsidRPr="00900ADE" w:rsidRDefault="00852AC1" w:rsidP="00493750">
            <w:pPr>
              <w:pStyle w:val="TableTextCentered"/>
            </w:pPr>
            <w:r w:rsidRPr="00900ADE">
              <w:t>43</w:t>
            </w:r>
          </w:p>
        </w:tc>
        <w:tc>
          <w:tcPr>
            <w:tcW w:w="1196" w:type="dxa"/>
            <w:vAlign w:val="center"/>
          </w:tcPr>
          <w:p w14:paraId="5DE1E1B4" w14:textId="77777777" w:rsidR="00852AC1" w:rsidRPr="00900ADE" w:rsidRDefault="00852AC1" w:rsidP="00493750">
            <w:pPr>
              <w:pStyle w:val="TableTextCentered"/>
            </w:pPr>
            <w:r w:rsidRPr="00900ADE">
              <w:t>39</w:t>
            </w:r>
          </w:p>
        </w:tc>
        <w:tc>
          <w:tcPr>
            <w:tcW w:w="1331" w:type="dxa"/>
            <w:vAlign w:val="center"/>
          </w:tcPr>
          <w:p w14:paraId="3D9CAC41" w14:textId="77777777" w:rsidR="00852AC1" w:rsidRPr="00900ADE" w:rsidRDefault="00852AC1" w:rsidP="00493750">
            <w:pPr>
              <w:pStyle w:val="TableTextCentered"/>
            </w:pPr>
            <w:r w:rsidRPr="00900ADE">
              <w:t>47</w:t>
            </w:r>
          </w:p>
        </w:tc>
      </w:tr>
      <w:tr w:rsidR="00852AC1" w:rsidRPr="00900ADE" w14:paraId="286DF9EB" w14:textId="77777777">
        <w:tc>
          <w:tcPr>
            <w:tcW w:w="2962" w:type="dxa"/>
          </w:tcPr>
          <w:p w14:paraId="2A210D4F" w14:textId="77777777" w:rsidR="00852AC1" w:rsidRPr="00900ADE" w:rsidRDefault="00852AC1" w:rsidP="00493750">
            <w:pPr>
              <w:pStyle w:val="TableText"/>
            </w:pPr>
            <w:r w:rsidRPr="00900ADE">
              <w:t>Low income</w:t>
            </w:r>
          </w:p>
        </w:tc>
        <w:tc>
          <w:tcPr>
            <w:tcW w:w="1235" w:type="dxa"/>
            <w:vAlign w:val="center"/>
          </w:tcPr>
          <w:p w14:paraId="51085096" w14:textId="77777777" w:rsidR="00852AC1" w:rsidRPr="00900ADE" w:rsidRDefault="00852AC1" w:rsidP="00493750">
            <w:pPr>
              <w:pStyle w:val="TableTextCentered"/>
            </w:pPr>
            <w:r w:rsidRPr="00900ADE">
              <w:t>22</w:t>
            </w:r>
          </w:p>
        </w:tc>
        <w:tc>
          <w:tcPr>
            <w:tcW w:w="1310" w:type="dxa"/>
            <w:vAlign w:val="center"/>
          </w:tcPr>
          <w:p w14:paraId="47086FDF" w14:textId="77777777" w:rsidR="00852AC1" w:rsidRPr="00900ADE" w:rsidRDefault="00852AC1" w:rsidP="00493750">
            <w:pPr>
              <w:pStyle w:val="TableTextCentered"/>
            </w:pPr>
            <w:r w:rsidRPr="00900ADE">
              <w:t>66</w:t>
            </w:r>
          </w:p>
        </w:tc>
        <w:tc>
          <w:tcPr>
            <w:tcW w:w="1310" w:type="dxa"/>
            <w:vAlign w:val="center"/>
          </w:tcPr>
          <w:p w14:paraId="29B88EA3" w14:textId="77777777" w:rsidR="00852AC1" w:rsidRPr="00900ADE" w:rsidRDefault="00852AC1" w:rsidP="00493750">
            <w:pPr>
              <w:pStyle w:val="TableTextCentered"/>
            </w:pPr>
            <w:r w:rsidRPr="00900ADE">
              <w:t>44</w:t>
            </w:r>
          </w:p>
        </w:tc>
        <w:tc>
          <w:tcPr>
            <w:tcW w:w="1196" w:type="dxa"/>
            <w:vAlign w:val="center"/>
          </w:tcPr>
          <w:p w14:paraId="2844C7C7" w14:textId="77777777" w:rsidR="00852AC1" w:rsidRPr="00900ADE" w:rsidRDefault="00852AC1" w:rsidP="00493750">
            <w:pPr>
              <w:pStyle w:val="TableTextCentered"/>
            </w:pPr>
            <w:r w:rsidRPr="00900ADE">
              <w:t>41</w:t>
            </w:r>
          </w:p>
        </w:tc>
        <w:tc>
          <w:tcPr>
            <w:tcW w:w="1331" w:type="dxa"/>
            <w:vAlign w:val="center"/>
          </w:tcPr>
          <w:p w14:paraId="71B0D87C" w14:textId="77777777" w:rsidR="00852AC1" w:rsidRPr="00900ADE" w:rsidRDefault="00852AC1" w:rsidP="00493750">
            <w:pPr>
              <w:pStyle w:val="TableTextCentered"/>
            </w:pPr>
            <w:r w:rsidRPr="00900ADE">
              <w:t>46</w:t>
            </w:r>
          </w:p>
        </w:tc>
      </w:tr>
      <w:tr w:rsidR="00852AC1" w:rsidRPr="00900ADE" w14:paraId="56567DA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E19835E" w14:textId="77777777" w:rsidR="00852AC1" w:rsidRPr="00900ADE" w:rsidRDefault="00852AC1" w:rsidP="00493750">
            <w:pPr>
              <w:pStyle w:val="TableText"/>
            </w:pPr>
            <w:r w:rsidRPr="00900ADE">
              <w:t>ELs and former ELs</w:t>
            </w:r>
          </w:p>
        </w:tc>
        <w:tc>
          <w:tcPr>
            <w:tcW w:w="1235" w:type="dxa"/>
            <w:vAlign w:val="center"/>
          </w:tcPr>
          <w:p w14:paraId="53D15C34" w14:textId="69648209" w:rsidR="00852AC1" w:rsidRPr="00900ADE" w:rsidRDefault="003A7D47" w:rsidP="00493750">
            <w:pPr>
              <w:pStyle w:val="TableTextCentered"/>
            </w:pPr>
            <w:r w:rsidRPr="00900ADE">
              <w:t>—</w:t>
            </w:r>
          </w:p>
        </w:tc>
        <w:tc>
          <w:tcPr>
            <w:tcW w:w="1310" w:type="dxa"/>
            <w:vAlign w:val="center"/>
          </w:tcPr>
          <w:p w14:paraId="21CB136E" w14:textId="4FDD8B37" w:rsidR="00852AC1" w:rsidRPr="00900ADE" w:rsidRDefault="003A7D47" w:rsidP="00493750">
            <w:pPr>
              <w:pStyle w:val="TableTextCentered"/>
            </w:pPr>
            <w:r w:rsidRPr="00900ADE">
              <w:t>—</w:t>
            </w:r>
          </w:p>
        </w:tc>
        <w:tc>
          <w:tcPr>
            <w:tcW w:w="1310" w:type="dxa"/>
            <w:vAlign w:val="center"/>
          </w:tcPr>
          <w:p w14:paraId="06B522F4" w14:textId="0132AA61" w:rsidR="00852AC1" w:rsidRPr="00900ADE" w:rsidRDefault="003A7D47" w:rsidP="00493750">
            <w:pPr>
              <w:pStyle w:val="TableTextCentered"/>
            </w:pPr>
            <w:r w:rsidRPr="00900ADE">
              <w:t>—</w:t>
            </w:r>
          </w:p>
        </w:tc>
        <w:tc>
          <w:tcPr>
            <w:tcW w:w="1196" w:type="dxa"/>
            <w:vAlign w:val="center"/>
          </w:tcPr>
          <w:p w14:paraId="6E0AA2C2" w14:textId="0FBF0636" w:rsidR="00852AC1" w:rsidRPr="00900ADE" w:rsidRDefault="003A7D47" w:rsidP="00493750">
            <w:pPr>
              <w:pStyle w:val="TableTextCentered"/>
            </w:pPr>
            <w:r w:rsidRPr="00900ADE">
              <w:t>—</w:t>
            </w:r>
          </w:p>
        </w:tc>
        <w:tc>
          <w:tcPr>
            <w:tcW w:w="1331" w:type="dxa"/>
            <w:vAlign w:val="center"/>
          </w:tcPr>
          <w:p w14:paraId="2912EE8E" w14:textId="77777777" w:rsidR="00852AC1" w:rsidRPr="00900ADE" w:rsidRDefault="00852AC1" w:rsidP="00493750">
            <w:pPr>
              <w:pStyle w:val="TableTextCentered"/>
            </w:pPr>
            <w:r w:rsidRPr="00900ADE">
              <w:t>46</w:t>
            </w:r>
          </w:p>
        </w:tc>
      </w:tr>
      <w:tr w:rsidR="00852AC1" w:rsidRPr="00900ADE" w14:paraId="7634DECC" w14:textId="77777777">
        <w:tc>
          <w:tcPr>
            <w:tcW w:w="2962" w:type="dxa"/>
          </w:tcPr>
          <w:p w14:paraId="4F1F2EC2" w14:textId="77777777" w:rsidR="00852AC1" w:rsidRPr="00900ADE" w:rsidRDefault="00852AC1" w:rsidP="00493750">
            <w:pPr>
              <w:pStyle w:val="TableText"/>
            </w:pPr>
            <w:r w:rsidRPr="00900ADE">
              <w:t>Students w/disabilities</w:t>
            </w:r>
          </w:p>
        </w:tc>
        <w:tc>
          <w:tcPr>
            <w:tcW w:w="1235" w:type="dxa"/>
            <w:vAlign w:val="center"/>
          </w:tcPr>
          <w:p w14:paraId="7A51A011" w14:textId="77777777" w:rsidR="00852AC1" w:rsidRPr="00900ADE" w:rsidRDefault="00852AC1" w:rsidP="00493750">
            <w:pPr>
              <w:pStyle w:val="TableTextCentered"/>
            </w:pPr>
            <w:r w:rsidRPr="00900ADE">
              <w:t>17</w:t>
            </w:r>
          </w:p>
        </w:tc>
        <w:tc>
          <w:tcPr>
            <w:tcW w:w="1310" w:type="dxa"/>
            <w:vAlign w:val="center"/>
          </w:tcPr>
          <w:p w14:paraId="287692FB" w14:textId="2E5DF739" w:rsidR="00852AC1" w:rsidRPr="00900ADE" w:rsidRDefault="003A7D47" w:rsidP="00493750">
            <w:pPr>
              <w:pStyle w:val="TableTextCentered"/>
            </w:pPr>
            <w:r w:rsidRPr="00900ADE">
              <w:t>—</w:t>
            </w:r>
          </w:p>
        </w:tc>
        <w:tc>
          <w:tcPr>
            <w:tcW w:w="1310" w:type="dxa"/>
            <w:vAlign w:val="center"/>
          </w:tcPr>
          <w:p w14:paraId="67F162C0" w14:textId="77777777" w:rsidR="00852AC1" w:rsidRPr="00900ADE" w:rsidRDefault="00852AC1" w:rsidP="00493750">
            <w:pPr>
              <w:pStyle w:val="TableTextCentered"/>
            </w:pPr>
            <w:r w:rsidRPr="00900ADE">
              <w:t>39</w:t>
            </w:r>
          </w:p>
        </w:tc>
        <w:tc>
          <w:tcPr>
            <w:tcW w:w="1196" w:type="dxa"/>
            <w:vAlign w:val="center"/>
          </w:tcPr>
          <w:p w14:paraId="3266491A" w14:textId="65E20E20" w:rsidR="00852AC1" w:rsidRPr="00900ADE" w:rsidRDefault="003A7D47" w:rsidP="00493750">
            <w:pPr>
              <w:pStyle w:val="TableTextCentered"/>
            </w:pPr>
            <w:r w:rsidRPr="00900ADE">
              <w:t>—</w:t>
            </w:r>
          </w:p>
        </w:tc>
        <w:tc>
          <w:tcPr>
            <w:tcW w:w="1331" w:type="dxa"/>
            <w:vAlign w:val="center"/>
          </w:tcPr>
          <w:p w14:paraId="190F2CC2" w14:textId="77777777" w:rsidR="00852AC1" w:rsidRPr="00900ADE" w:rsidRDefault="00852AC1" w:rsidP="00493750">
            <w:pPr>
              <w:pStyle w:val="TableTextCentered"/>
            </w:pPr>
            <w:r w:rsidRPr="00900ADE">
              <w:t>47</w:t>
            </w:r>
          </w:p>
        </w:tc>
      </w:tr>
    </w:tbl>
    <w:p w14:paraId="1E9F234E" w14:textId="77777777" w:rsidR="00852AC1" w:rsidRPr="00900ADE" w:rsidRDefault="00852AC1" w:rsidP="00852AC1">
      <w:pPr>
        <w:spacing w:line="240" w:lineRule="auto"/>
        <w:rPr>
          <w:rFonts w:ascii="Franklin Gothic Book" w:hAnsi="Franklin Gothic Book"/>
          <w:sz w:val="20"/>
          <w:szCs w:val="20"/>
        </w:rPr>
      </w:pPr>
    </w:p>
    <w:p w14:paraId="5A1A21DB" w14:textId="77777777" w:rsidR="00852AC1" w:rsidRPr="00900ADE" w:rsidRDefault="00852AC1" w:rsidP="00852AC1">
      <w:pPr>
        <w:spacing w:after="160" w:line="259" w:lineRule="auto"/>
        <w:rPr>
          <w:rFonts w:ascii="Franklin Gothic Book" w:hAnsi="Franklin Gothic Book"/>
          <w:sz w:val="20"/>
          <w:szCs w:val="20"/>
        </w:rPr>
        <w:sectPr w:rsidR="00852AC1" w:rsidRPr="00900ADE" w:rsidSect="00852AC1">
          <w:pgSz w:w="12240" w:h="15840"/>
          <w:pgMar w:top="1440" w:right="1440" w:bottom="1440" w:left="1440" w:header="720" w:footer="720" w:gutter="0"/>
          <w:cols w:space="720"/>
          <w:docGrid w:linePitch="360"/>
        </w:sectPr>
      </w:pPr>
      <w:r w:rsidRPr="00900ADE">
        <w:rPr>
          <w:rFonts w:ascii="Franklin Gothic Book" w:hAnsi="Franklin Gothic Book"/>
          <w:sz w:val="20"/>
          <w:szCs w:val="20"/>
        </w:rPr>
        <w:br w:type="page"/>
      </w:r>
    </w:p>
    <w:p w14:paraId="3791A314" w14:textId="77777777" w:rsidR="00852AC1" w:rsidRPr="00900ADE" w:rsidRDefault="00852AC1" w:rsidP="00852AC1">
      <w:pPr>
        <w:pStyle w:val="TableETitle"/>
      </w:pPr>
      <w:bookmarkStart w:id="216" w:name="_Toc196169626"/>
      <w:r w:rsidRPr="00900ADE">
        <w:lastRenderedPageBreak/>
        <w:t>Table E14. MCAS ELA Mean Student Growth Percentile by Grade, 2022-2024</w:t>
      </w:r>
      <w:bookmarkEnd w:id="216"/>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852AC1" w:rsidRPr="00900ADE" w14:paraId="1381823C" w14:textId="77777777" w:rsidTr="00B87CA4">
        <w:trPr>
          <w:cnfStyle w:val="100000000000" w:firstRow="1" w:lastRow="0" w:firstColumn="0" w:lastColumn="0" w:oddVBand="0" w:evenVBand="0" w:oddHBand="0" w:evenHBand="0" w:firstRowFirstColumn="0" w:firstRowLastColumn="0" w:lastRowFirstColumn="0" w:lastRowLastColumn="0"/>
          <w:tblHeader/>
        </w:trPr>
        <w:tc>
          <w:tcPr>
            <w:tcW w:w="1135" w:type="dxa"/>
          </w:tcPr>
          <w:p w14:paraId="692A0BE8" w14:textId="77777777" w:rsidR="00852AC1" w:rsidRPr="00900ADE" w:rsidRDefault="00852AC1" w:rsidP="00852AC1">
            <w:pPr>
              <w:pStyle w:val="TableColHeadingCenter"/>
              <w:spacing w:before="20" w:after="20"/>
            </w:pPr>
            <w:r w:rsidRPr="00900ADE">
              <w:t>Grade</w:t>
            </w:r>
          </w:p>
        </w:tc>
        <w:tc>
          <w:tcPr>
            <w:tcW w:w="1725" w:type="dxa"/>
          </w:tcPr>
          <w:p w14:paraId="0D17B4BA" w14:textId="2C44BD9A" w:rsidR="00852AC1" w:rsidRPr="00900ADE" w:rsidRDefault="00852AC1" w:rsidP="00852AC1">
            <w:pPr>
              <w:pStyle w:val="TableColHeadingCenter"/>
              <w:spacing w:before="20" w:after="20"/>
            </w:pPr>
            <w:r w:rsidRPr="00900ADE">
              <w:t xml:space="preserve"># </w:t>
            </w:r>
            <w:r w:rsidR="00CD7EAE" w:rsidRPr="00900ADE">
              <w:t>i</w:t>
            </w:r>
            <w:r w:rsidRPr="00900ADE">
              <w:t>ncluded (2024)</w:t>
            </w:r>
          </w:p>
        </w:tc>
        <w:tc>
          <w:tcPr>
            <w:tcW w:w="1641" w:type="dxa"/>
          </w:tcPr>
          <w:p w14:paraId="617CF732" w14:textId="77777777" w:rsidR="00852AC1" w:rsidRPr="00900ADE" w:rsidRDefault="00852AC1" w:rsidP="00852AC1">
            <w:pPr>
              <w:pStyle w:val="TableColHeadingCenter"/>
              <w:spacing w:before="20" w:after="20"/>
            </w:pPr>
            <w:r w:rsidRPr="00900ADE">
              <w:t>2022</w:t>
            </w:r>
          </w:p>
        </w:tc>
        <w:tc>
          <w:tcPr>
            <w:tcW w:w="1640" w:type="dxa"/>
          </w:tcPr>
          <w:p w14:paraId="122418C7" w14:textId="77777777" w:rsidR="00852AC1" w:rsidRPr="00900ADE" w:rsidRDefault="00852AC1" w:rsidP="00852AC1">
            <w:pPr>
              <w:pStyle w:val="TableColHeadingCenter"/>
              <w:spacing w:before="20" w:after="20"/>
            </w:pPr>
            <w:r w:rsidRPr="00900ADE">
              <w:t>2023</w:t>
            </w:r>
          </w:p>
        </w:tc>
        <w:tc>
          <w:tcPr>
            <w:tcW w:w="1527" w:type="dxa"/>
          </w:tcPr>
          <w:p w14:paraId="0DD73515" w14:textId="77777777" w:rsidR="00852AC1" w:rsidRPr="00900ADE" w:rsidRDefault="00852AC1" w:rsidP="00852AC1">
            <w:pPr>
              <w:pStyle w:val="TableColHeadingCenter"/>
              <w:spacing w:before="20" w:after="20"/>
            </w:pPr>
            <w:r w:rsidRPr="00900ADE">
              <w:t>2024</w:t>
            </w:r>
          </w:p>
        </w:tc>
        <w:tc>
          <w:tcPr>
            <w:tcW w:w="1676" w:type="dxa"/>
          </w:tcPr>
          <w:p w14:paraId="141C0F3E" w14:textId="77777777" w:rsidR="00852AC1" w:rsidRPr="00900ADE" w:rsidRDefault="00852AC1" w:rsidP="00852AC1">
            <w:pPr>
              <w:pStyle w:val="TableColHeadingCenter"/>
              <w:spacing w:before="20" w:after="20"/>
            </w:pPr>
            <w:r w:rsidRPr="00900ADE">
              <w:t>State (2024)</w:t>
            </w:r>
          </w:p>
        </w:tc>
      </w:tr>
      <w:tr w:rsidR="00852AC1" w:rsidRPr="00900ADE" w14:paraId="43C9389C"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6A6E00ED" w14:textId="77777777" w:rsidR="00852AC1" w:rsidRPr="00900ADE" w:rsidRDefault="00852AC1" w:rsidP="00852AC1">
            <w:pPr>
              <w:pStyle w:val="TableTextCentered"/>
              <w:spacing w:before="20" w:after="20"/>
            </w:pPr>
            <w:r w:rsidRPr="00900ADE">
              <w:t>3</w:t>
            </w:r>
          </w:p>
        </w:tc>
        <w:tc>
          <w:tcPr>
            <w:tcW w:w="1725" w:type="dxa"/>
            <w:vAlign w:val="center"/>
          </w:tcPr>
          <w:p w14:paraId="192668BB" w14:textId="642A822D" w:rsidR="00852AC1" w:rsidRPr="00900ADE" w:rsidRDefault="003A7D47" w:rsidP="00852AC1">
            <w:pPr>
              <w:pStyle w:val="TableTextCentered"/>
              <w:spacing w:before="20" w:after="20"/>
            </w:pPr>
            <w:r w:rsidRPr="00900ADE">
              <w:t>—</w:t>
            </w:r>
          </w:p>
        </w:tc>
        <w:tc>
          <w:tcPr>
            <w:tcW w:w="1641" w:type="dxa"/>
            <w:vAlign w:val="center"/>
          </w:tcPr>
          <w:p w14:paraId="718C7F3C" w14:textId="4DD0F241" w:rsidR="00852AC1" w:rsidRPr="00900ADE" w:rsidRDefault="003A7D47" w:rsidP="00852AC1">
            <w:pPr>
              <w:pStyle w:val="TableTextCentered"/>
              <w:spacing w:before="20" w:after="20"/>
            </w:pPr>
            <w:r w:rsidRPr="00900ADE">
              <w:t>—</w:t>
            </w:r>
          </w:p>
        </w:tc>
        <w:tc>
          <w:tcPr>
            <w:tcW w:w="1640" w:type="dxa"/>
            <w:vAlign w:val="center"/>
          </w:tcPr>
          <w:p w14:paraId="35FA0E91" w14:textId="63EA95C2" w:rsidR="00852AC1" w:rsidRPr="00900ADE" w:rsidRDefault="003A7D47" w:rsidP="00852AC1">
            <w:pPr>
              <w:pStyle w:val="TableTextCentered"/>
              <w:spacing w:before="20" w:after="20"/>
            </w:pPr>
            <w:r w:rsidRPr="00900ADE">
              <w:t>—</w:t>
            </w:r>
          </w:p>
        </w:tc>
        <w:tc>
          <w:tcPr>
            <w:tcW w:w="1527" w:type="dxa"/>
            <w:vAlign w:val="center"/>
          </w:tcPr>
          <w:p w14:paraId="550DAE8F" w14:textId="39800DC4" w:rsidR="00852AC1" w:rsidRPr="00900ADE" w:rsidRDefault="003A7D47" w:rsidP="00852AC1">
            <w:pPr>
              <w:pStyle w:val="TableTextCentered"/>
              <w:spacing w:before="20" w:after="20"/>
            </w:pPr>
            <w:r w:rsidRPr="00900ADE">
              <w:t>—</w:t>
            </w:r>
          </w:p>
        </w:tc>
        <w:tc>
          <w:tcPr>
            <w:tcW w:w="1676" w:type="dxa"/>
            <w:vAlign w:val="bottom"/>
          </w:tcPr>
          <w:p w14:paraId="08EE94A5" w14:textId="009CED53" w:rsidR="00852AC1" w:rsidRPr="00900ADE" w:rsidRDefault="003A7D47" w:rsidP="00852AC1">
            <w:pPr>
              <w:pStyle w:val="TableTextCentered"/>
              <w:spacing w:before="20" w:after="20"/>
            </w:pPr>
            <w:r w:rsidRPr="00900ADE">
              <w:t>—</w:t>
            </w:r>
          </w:p>
        </w:tc>
      </w:tr>
      <w:tr w:rsidR="00852AC1" w:rsidRPr="00900ADE" w14:paraId="7E1218CC" w14:textId="77777777">
        <w:tc>
          <w:tcPr>
            <w:tcW w:w="1135" w:type="dxa"/>
          </w:tcPr>
          <w:p w14:paraId="198D9B21" w14:textId="77777777" w:rsidR="00852AC1" w:rsidRPr="00900ADE" w:rsidRDefault="00852AC1" w:rsidP="00852AC1">
            <w:pPr>
              <w:pStyle w:val="TableTextCentered"/>
              <w:spacing w:before="20" w:after="20"/>
            </w:pPr>
            <w:r w:rsidRPr="00900ADE">
              <w:t>4</w:t>
            </w:r>
          </w:p>
        </w:tc>
        <w:tc>
          <w:tcPr>
            <w:tcW w:w="1725" w:type="dxa"/>
            <w:vAlign w:val="center"/>
          </w:tcPr>
          <w:p w14:paraId="68850E63" w14:textId="77777777" w:rsidR="00852AC1" w:rsidRPr="00900ADE" w:rsidRDefault="00852AC1" w:rsidP="00852AC1">
            <w:pPr>
              <w:pStyle w:val="TableTextCentered"/>
              <w:spacing w:before="20" w:after="20"/>
            </w:pPr>
            <w:r w:rsidRPr="00900ADE">
              <w:t>174</w:t>
            </w:r>
          </w:p>
        </w:tc>
        <w:tc>
          <w:tcPr>
            <w:tcW w:w="1641" w:type="dxa"/>
            <w:vAlign w:val="center"/>
          </w:tcPr>
          <w:p w14:paraId="5385DE28" w14:textId="77777777" w:rsidR="00852AC1" w:rsidRPr="00900ADE" w:rsidRDefault="00852AC1" w:rsidP="00852AC1">
            <w:pPr>
              <w:pStyle w:val="TableTextCentered"/>
              <w:spacing w:before="20" w:after="20"/>
            </w:pPr>
            <w:r w:rsidRPr="00900ADE">
              <w:t>50</w:t>
            </w:r>
          </w:p>
        </w:tc>
        <w:tc>
          <w:tcPr>
            <w:tcW w:w="1640" w:type="dxa"/>
            <w:vAlign w:val="center"/>
          </w:tcPr>
          <w:p w14:paraId="51A8777A" w14:textId="77777777" w:rsidR="00852AC1" w:rsidRPr="00900ADE" w:rsidRDefault="00852AC1" w:rsidP="00852AC1">
            <w:pPr>
              <w:pStyle w:val="TableTextCentered"/>
              <w:spacing w:before="20" w:after="20"/>
            </w:pPr>
            <w:r w:rsidRPr="00900ADE">
              <w:t>48</w:t>
            </w:r>
          </w:p>
        </w:tc>
        <w:tc>
          <w:tcPr>
            <w:tcW w:w="1527" w:type="dxa"/>
            <w:vAlign w:val="center"/>
          </w:tcPr>
          <w:p w14:paraId="46FC6015" w14:textId="77777777" w:rsidR="00852AC1" w:rsidRPr="00900ADE" w:rsidRDefault="00852AC1" w:rsidP="00852AC1">
            <w:pPr>
              <w:pStyle w:val="TableTextCentered"/>
              <w:spacing w:before="20" w:after="20"/>
            </w:pPr>
            <w:r w:rsidRPr="00900ADE">
              <w:t>45</w:t>
            </w:r>
          </w:p>
        </w:tc>
        <w:tc>
          <w:tcPr>
            <w:tcW w:w="1676" w:type="dxa"/>
            <w:vAlign w:val="bottom"/>
          </w:tcPr>
          <w:p w14:paraId="5AFEDA85" w14:textId="77777777" w:rsidR="00852AC1" w:rsidRPr="00900ADE" w:rsidRDefault="00852AC1" w:rsidP="00852AC1">
            <w:pPr>
              <w:pStyle w:val="TableTextCentered"/>
              <w:spacing w:before="20" w:after="20"/>
            </w:pPr>
            <w:r w:rsidRPr="00900ADE">
              <w:t>50</w:t>
            </w:r>
          </w:p>
        </w:tc>
      </w:tr>
      <w:tr w:rsidR="00852AC1" w:rsidRPr="00900ADE" w14:paraId="6E0D9324"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174E4D50" w14:textId="77777777" w:rsidR="00852AC1" w:rsidRPr="00900ADE" w:rsidRDefault="00852AC1" w:rsidP="00852AC1">
            <w:pPr>
              <w:pStyle w:val="TableTextCentered"/>
              <w:spacing w:before="20" w:after="20"/>
            </w:pPr>
            <w:r w:rsidRPr="00900ADE">
              <w:t>5</w:t>
            </w:r>
          </w:p>
        </w:tc>
        <w:tc>
          <w:tcPr>
            <w:tcW w:w="1725" w:type="dxa"/>
            <w:vAlign w:val="center"/>
          </w:tcPr>
          <w:p w14:paraId="31F8ABA3" w14:textId="77777777" w:rsidR="00852AC1" w:rsidRPr="00900ADE" w:rsidRDefault="00852AC1" w:rsidP="00852AC1">
            <w:pPr>
              <w:pStyle w:val="TableTextCentered"/>
              <w:spacing w:before="20" w:after="20"/>
            </w:pPr>
            <w:r w:rsidRPr="00900ADE">
              <w:t>156</w:t>
            </w:r>
          </w:p>
        </w:tc>
        <w:tc>
          <w:tcPr>
            <w:tcW w:w="1641" w:type="dxa"/>
            <w:vAlign w:val="center"/>
          </w:tcPr>
          <w:p w14:paraId="2BDD612F" w14:textId="77777777" w:rsidR="00852AC1" w:rsidRPr="00900ADE" w:rsidRDefault="00852AC1" w:rsidP="00852AC1">
            <w:pPr>
              <w:pStyle w:val="TableTextCentered"/>
              <w:spacing w:before="20" w:after="20"/>
            </w:pPr>
            <w:r w:rsidRPr="00900ADE">
              <w:t>53</w:t>
            </w:r>
          </w:p>
        </w:tc>
        <w:tc>
          <w:tcPr>
            <w:tcW w:w="1640" w:type="dxa"/>
            <w:vAlign w:val="center"/>
          </w:tcPr>
          <w:p w14:paraId="66E62129" w14:textId="77777777" w:rsidR="00852AC1" w:rsidRPr="00900ADE" w:rsidRDefault="00852AC1" w:rsidP="00852AC1">
            <w:pPr>
              <w:pStyle w:val="TableTextCentered"/>
              <w:spacing w:before="20" w:after="20"/>
            </w:pPr>
            <w:r w:rsidRPr="00900ADE">
              <w:t>38</w:t>
            </w:r>
          </w:p>
        </w:tc>
        <w:tc>
          <w:tcPr>
            <w:tcW w:w="1527" w:type="dxa"/>
            <w:vAlign w:val="center"/>
          </w:tcPr>
          <w:p w14:paraId="259320FA" w14:textId="77777777" w:rsidR="00852AC1" w:rsidRPr="00900ADE" w:rsidRDefault="00852AC1" w:rsidP="00852AC1">
            <w:pPr>
              <w:pStyle w:val="TableTextCentered"/>
              <w:spacing w:before="20" w:after="20"/>
            </w:pPr>
            <w:r w:rsidRPr="00900ADE">
              <w:t>44</w:t>
            </w:r>
          </w:p>
        </w:tc>
        <w:tc>
          <w:tcPr>
            <w:tcW w:w="1676" w:type="dxa"/>
            <w:vAlign w:val="bottom"/>
          </w:tcPr>
          <w:p w14:paraId="1864CCB2" w14:textId="77777777" w:rsidR="00852AC1" w:rsidRPr="00900ADE" w:rsidRDefault="00852AC1" w:rsidP="00852AC1">
            <w:pPr>
              <w:pStyle w:val="TableTextCentered"/>
              <w:spacing w:before="20" w:after="20"/>
            </w:pPr>
            <w:r w:rsidRPr="00900ADE">
              <w:t>50</w:t>
            </w:r>
          </w:p>
        </w:tc>
      </w:tr>
      <w:tr w:rsidR="00852AC1" w:rsidRPr="00900ADE" w14:paraId="1AD3848D" w14:textId="77777777">
        <w:tc>
          <w:tcPr>
            <w:tcW w:w="1135" w:type="dxa"/>
          </w:tcPr>
          <w:p w14:paraId="19D2BB0D" w14:textId="77777777" w:rsidR="00852AC1" w:rsidRPr="00900ADE" w:rsidRDefault="00852AC1" w:rsidP="00852AC1">
            <w:pPr>
              <w:pStyle w:val="TableTextCentered"/>
              <w:spacing w:before="20" w:after="20"/>
            </w:pPr>
            <w:r w:rsidRPr="00900ADE">
              <w:t>6</w:t>
            </w:r>
          </w:p>
        </w:tc>
        <w:tc>
          <w:tcPr>
            <w:tcW w:w="1725" w:type="dxa"/>
            <w:vAlign w:val="center"/>
          </w:tcPr>
          <w:p w14:paraId="445E95A6" w14:textId="77777777" w:rsidR="00852AC1" w:rsidRPr="00900ADE" w:rsidRDefault="00852AC1" w:rsidP="00852AC1">
            <w:pPr>
              <w:pStyle w:val="TableTextCentered"/>
              <w:spacing w:before="20" w:after="20"/>
            </w:pPr>
            <w:r w:rsidRPr="00900ADE">
              <w:t>163</w:t>
            </w:r>
          </w:p>
        </w:tc>
        <w:tc>
          <w:tcPr>
            <w:tcW w:w="1641" w:type="dxa"/>
            <w:vAlign w:val="center"/>
          </w:tcPr>
          <w:p w14:paraId="7B9FD66B" w14:textId="77777777" w:rsidR="00852AC1" w:rsidRPr="00900ADE" w:rsidRDefault="00852AC1" w:rsidP="00852AC1">
            <w:pPr>
              <w:pStyle w:val="TableTextCentered"/>
              <w:spacing w:before="20" w:after="20"/>
            </w:pPr>
            <w:r w:rsidRPr="00900ADE">
              <w:t>55</w:t>
            </w:r>
          </w:p>
        </w:tc>
        <w:tc>
          <w:tcPr>
            <w:tcW w:w="1640" w:type="dxa"/>
            <w:vAlign w:val="center"/>
          </w:tcPr>
          <w:p w14:paraId="3DF1D443" w14:textId="77777777" w:rsidR="00852AC1" w:rsidRPr="00900ADE" w:rsidRDefault="00852AC1" w:rsidP="00852AC1">
            <w:pPr>
              <w:pStyle w:val="TableTextCentered"/>
              <w:spacing w:before="20" w:after="20"/>
            </w:pPr>
            <w:r w:rsidRPr="00900ADE">
              <w:t>49</w:t>
            </w:r>
          </w:p>
        </w:tc>
        <w:tc>
          <w:tcPr>
            <w:tcW w:w="1527" w:type="dxa"/>
            <w:vAlign w:val="center"/>
          </w:tcPr>
          <w:p w14:paraId="0168DEE4" w14:textId="77777777" w:rsidR="00852AC1" w:rsidRPr="00900ADE" w:rsidRDefault="00852AC1" w:rsidP="00852AC1">
            <w:pPr>
              <w:pStyle w:val="TableTextCentered"/>
              <w:spacing w:before="20" w:after="20"/>
            </w:pPr>
            <w:r w:rsidRPr="00900ADE">
              <w:t>54</w:t>
            </w:r>
          </w:p>
        </w:tc>
        <w:tc>
          <w:tcPr>
            <w:tcW w:w="1676" w:type="dxa"/>
            <w:vAlign w:val="bottom"/>
          </w:tcPr>
          <w:p w14:paraId="2F3B8E6C" w14:textId="77777777" w:rsidR="00852AC1" w:rsidRPr="00900ADE" w:rsidRDefault="00852AC1" w:rsidP="00852AC1">
            <w:pPr>
              <w:pStyle w:val="TableTextCentered"/>
              <w:spacing w:before="20" w:after="20"/>
            </w:pPr>
            <w:r w:rsidRPr="00900ADE">
              <w:t>50</w:t>
            </w:r>
          </w:p>
        </w:tc>
      </w:tr>
      <w:tr w:rsidR="00852AC1" w:rsidRPr="00900ADE" w14:paraId="747D5B51"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3F90E6DB" w14:textId="77777777" w:rsidR="00852AC1" w:rsidRPr="00900ADE" w:rsidRDefault="00852AC1" w:rsidP="00852AC1">
            <w:pPr>
              <w:pStyle w:val="TableTextCentered"/>
              <w:spacing w:before="20" w:after="20"/>
            </w:pPr>
            <w:r w:rsidRPr="00900ADE">
              <w:t>7</w:t>
            </w:r>
          </w:p>
        </w:tc>
        <w:tc>
          <w:tcPr>
            <w:tcW w:w="1725" w:type="dxa"/>
            <w:vAlign w:val="center"/>
          </w:tcPr>
          <w:p w14:paraId="34F548A6" w14:textId="77777777" w:rsidR="00852AC1" w:rsidRPr="00900ADE" w:rsidRDefault="00852AC1" w:rsidP="00852AC1">
            <w:pPr>
              <w:pStyle w:val="TableTextCentered"/>
              <w:spacing w:before="20" w:after="20"/>
            </w:pPr>
            <w:r w:rsidRPr="00900ADE">
              <w:t>150</w:t>
            </w:r>
          </w:p>
        </w:tc>
        <w:tc>
          <w:tcPr>
            <w:tcW w:w="1641" w:type="dxa"/>
            <w:vAlign w:val="center"/>
          </w:tcPr>
          <w:p w14:paraId="40F0C572" w14:textId="77777777" w:rsidR="00852AC1" w:rsidRPr="00900ADE" w:rsidRDefault="00852AC1" w:rsidP="00852AC1">
            <w:pPr>
              <w:pStyle w:val="TableTextCentered"/>
              <w:spacing w:before="20" w:after="20"/>
            </w:pPr>
            <w:r w:rsidRPr="00900ADE">
              <w:t>38</w:t>
            </w:r>
          </w:p>
        </w:tc>
        <w:tc>
          <w:tcPr>
            <w:tcW w:w="1640" w:type="dxa"/>
            <w:vAlign w:val="center"/>
          </w:tcPr>
          <w:p w14:paraId="6FD388A4" w14:textId="77777777" w:rsidR="00852AC1" w:rsidRPr="00900ADE" w:rsidRDefault="00852AC1" w:rsidP="00852AC1">
            <w:pPr>
              <w:pStyle w:val="TableTextCentered"/>
              <w:spacing w:before="20" w:after="20"/>
            </w:pPr>
            <w:r w:rsidRPr="00900ADE">
              <w:t>46</w:t>
            </w:r>
          </w:p>
        </w:tc>
        <w:tc>
          <w:tcPr>
            <w:tcW w:w="1527" w:type="dxa"/>
            <w:vAlign w:val="center"/>
          </w:tcPr>
          <w:p w14:paraId="212E00CE" w14:textId="77777777" w:rsidR="00852AC1" w:rsidRPr="00900ADE" w:rsidRDefault="00852AC1" w:rsidP="00852AC1">
            <w:pPr>
              <w:pStyle w:val="TableTextCentered"/>
              <w:spacing w:before="20" w:after="20"/>
            </w:pPr>
            <w:r w:rsidRPr="00900ADE">
              <w:t>56</w:t>
            </w:r>
          </w:p>
        </w:tc>
        <w:tc>
          <w:tcPr>
            <w:tcW w:w="1676" w:type="dxa"/>
            <w:vAlign w:val="bottom"/>
          </w:tcPr>
          <w:p w14:paraId="7CE190CF" w14:textId="77777777" w:rsidR="00852AC1" w:rsidRPr="00900ADE" w:rsidRDefault="00852AC1" w:rsidP="00852AC1">
            <w:pPr>
              <w:pStyle w:val="TableTextCentered"/>
              <w:spacing w:before="20" w:after="20"/>
            </w:pPr>
            <w:r w:rsidRPr="00900ADE">
              <w:t>50</w:t>
            </w:r>
          </w:p>
        </w:tc>
      </w:tr>
      <w:tr w:rsidR="00852AC1" w:rsidRPr="00900ADE" w14:paraId="307917FF" w14:textId="77777777">
        <w:tc>
          <w:tcPr>
            <w:tcW w:w="1135" w:type="dxa"/>
          </w:tcPr>
          <w:p w14:paraId="08253807" w14:textId="77777777" w:rsidR="00852AC1" w:rsidRPr="00900ADE" w:rsidRDefault="00852AC1" w:rsidP="00852AC1">
            <w:pPr>
              <w:pStyle w:val="TableTextCentered"/>
              <w:spacing w:before="20" w:after="20"/>
            </w:pPr>
            <w:r w:rsidRPr="00900ADE">
              <w:t>8</w:t>
            </w:r>
          </w:p>
        </w:tc>
        <w:tc>
          <w:tcPr>
            <w:tcW w:w="1725" w:type="dxa"/>
            <w:vAlign w:val="center"/>
          </w:tcPr>
          <w:p w14:paraId="16E312ED" w14:textId="77777777" w:rsidR="00852AC1" w:rsidRPr="00900ADE" w:rsidRDefault="00852AC1" w:rsidP="00852AC1">
            <w:pPr>
              <w:pStyle w:val="TableTextCentered"/>
              <w:spacing w:before="20" w:after="20"/>
            </w:pPr>
            <w:r w:rsidRPr="00900ADE">
              <w:t>174</w:t>
            </w:r>
          </w:p>
        </w:tc>
        <w:tc>
          <w:tcPr>
            <w:tcW w:w="1641" w:type="dxa"/>
            <w:vAlign w:val="center"/>
          </w:tcPr>
          <w:p w14:paraId="2059D249" w14:textId="77777777" w:rsidR="00852AC1" w:rsidRPr="00900ADE" w:rsidRDefault="00852AC1" w:rsidP="00852AC1">
            <w:pPr>
              <w:pStyle w:val="TableTextCentered"/>
              <w:spacing w:before="20" w:after="20"/>
            </w:pPr>
            <w:r w:rsidRPr="00900ADE">
              <w:t>41</w:t>
            </w:r>
          </w:p>
        </w:tc>
        <w:tc>
          <w:tcPr>
            <w:tcW w:w="1640" w:type="dxa"/>
            <w:vAlign w:val="center"/>
          </w:tcPr>
          <w:p w14:paraId="30E4F93C" w14:textId="77777777" w:rsidR="00852AC1" w:rsidRPr="00900ADE" w:rsidRDefault="00852AC1" w:rsidP="00852AC1">
            <w:pPr>
              <w:pStyle w:val="TableTextCentered"/>
              <w:spacing w:before="20" w:after="20"/>
            </w:pPr>
            <w:r w:rsidRPr="00900ADE">
              <w:t>45</w:t>
            </w:r>
          </w:p>
        </w:tc>
        <w:tc>
          <w:tcPr>
            <w:tcW w:w="1527" w:type="dxa"/>
            <w:vAlign w:val="center"/>
          </w:tcPr>
          <w:p w14:paraId="5B3A4DE9" w14:textId="77777777" w:rsidR="00852AC1" w:rsidRPr="00900ADE" w:rsidRDefault="00852AC1" w:rsidP="00852AC1">
            <w:pPr>
              <w:pStyle w:val="TableTextCentered"/>
              <w:spacing w:before="20" w:after="20"/>
            </w:pPr>
            <w:r w:rsidRPr="00900ADE">
              <w:t>53</w:t>
            </w:r>
          </w:p>
        </w:tc>
        <w:tc>
          <w:tcPr>
            <w:tcW w:w="1676" w:type="dxa"/>
            <w:vAlign w:val="bottom"/>
          </w:tcPr>
          <w:p w14:paraId="66CBB8B0" w14:textId="77777777" w:rsidR="00852AC1" w:rsidRPr="00900ADE" w:rsidRDefault="00852AC1" w:rsidP="00852AC1">
            <w:pPr>
              <w:pStyle w:val="TableTextCentered"/>
              <w:spacing w:before="20" w:after="20"/>
            </w:pPr>
            <w:r w:rsidRPr="00900ADE">
              <w:t>50</w:t>
            </w:r>
          </w:p>
        </w:tc>
      </w:tr>
      <w:tr w:rsidR="00852AC1" w:rsidRPr="00900ADE" w14:paraId="257CF022"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309A663B" w14:textId="77777777" w:rsidR="00852AC1" w:rsidRPr="00900ADE" w:rsidRDefault="00852AC1" w:rsidP="00852AC1">
            <w:pPr>
              <w:pStyle w:val="TableTextCentered"/>
              <w:spacing w:before="20" w:after="20"/>
            </w:pPr>
            <w:r w:rsidRPr="00900ADE">
              <w:t>3-8</w:t>
            </w:r>
          </w:p>
        </w:tc>
        <w:tc>
          <w:tcPr>
            <w:tcW w:w="1725" w:type="dxa"/>
            <w:vAlign w:val="center"/>
          </w:tcPr>
          <w:p w14:paraId="2E50C20C" w14:textId="77777777" w:rsidR="00852AC1" w:rsidRPr="00900ADE" w:rsidRDefault="00852AC1" w:rsidP="00852AC1">
            <w:pPr>
              <w:pStyle w:val="TableTextCentered"/>
              <w:spacing w:before="20" w:after="20"/>
            </w:pPr>
            <w:r w:rsidRPr="00900ADE">
              <w:t>817</w:t>
            </w:r>
          </w:p>
        </w:tc>
        <w:tc>
          <w:tcPr>
            <w:tcW w:w="1641" w:type="dxa"/>
            <w:vAlign w:val="center"/>
          </w:tcPr>
          <w:p w14:paraId="6B310D50" w14:textId="77777777" w:rsidR="00852AC1" w:rsidRPr="00900ADE" w:rsidRDefault="00852AC1" w:rsidP="00852AC1">
            <w:pPr>
              <w:pStyle w:val="TableTextCentered"/>
              <w:spacing w:before="20" w:after="20"/>
            </w:pPr>
            <w:r w:rsidRPr="00900ADE">
              <w:t>47</w:t>
            </w:r>
          </w:p>
        </w:tc>
        <w:tc>
          <w:tcPr>
            <w:tcW w:w="1640" w:type="dxa"/>
            <w:vAlign w:val="center"/>
          </w:tcPr>
          <w:p w14:paraId="53D8B6CA" w14:textId="77777777" w:rsidR="00852AC1" w:rsidRPr="00900ADE" w:rsidRDefault="00852AC1" w:rsidP="00852AC1">
            <w:pPr>
              <w:pStyle w:val="TableTextCentered"/>
              <w:spacing w:before="20" w:after="20"/>
            </w:pPr>
            <w:r w:rsidRPr="00900ADE">
              <w:t>45</w:t>
            </w:r>
          </w:p>
        </w:tc>
        <w:tc>
          <w:tcPr>
            <w:tcW w:w="1527" w:type="dxa"/>
            <w:vAlign w:val="center"/>
          </w:tcPr>
          <w:p w14:paraId="3BE93F9F" w14:textId="77777777" w:rsidR="00852AC1" w:rsidRPr="00900ADE" w:rsidRDefault="00852AC1" w:rsidP="00852AC1">
            <w:pPr>
              <w:pStyle w:val="TableTextCentered"/>
              <w:spacing w:before="20" w:after="20"/>
            </w:pPr>
            <w:r w:rsidRPr="00900ADE">
              <w:t>50</w:t>
            </w:r>
          </w:p>
        </w:tc>
        <w:tc>
          <w:tcPr>
            <w:tcW w:w="1676" w:type="dxa"/>
            <w:vAlign w:val="bottom"/>
          </w:tcPr>
          <w:p w14:paraId="7E3A813D" w14:textId="77777777" w:rsidR="00852AC1" w:rsidRPr="00900ADE" w:rsidRDefault="00852AC1" w:rsidP="00852AC1">
            <w:pPr>
              <w:pStyle w:val="TableTextCentered"/>
              <w:spacing w:before="20" w:after="20"/>
            </w:pPr>
            <w:r w:rsidRPr="00900ADE">
              <w:t>50</w:t>
            </w:r>
          </w:p>
        </w:tc>
      </w:tr>
      <w:tr w:rsidR="00852AC1" w:rsidRPr="00900ADE" w14:paraId="1F1C60E1" w14:textId="77777777">
        <w:tc>
          <w:tcPr>
            <w:tcW w:w="1135" w:type="dxa"/>
          </w:tcPr>
          <w:p w14:paraId="4514FC47" w14:textId="77777777" w:rsidR="00852AC1" w:rsidRPr="00900ADE" w:rsidRDefault="00852AC1" w:rsidP="00852AC1">
            <w:pPr>
              <w:pStyle w:val="TableTextCentered"/>
              <w:spacing w:before="20" w:after="20"/>
            </w:pPr>
            <w:r w:rsidRPr="00900ADE">
              <w:t>10</w:t>
            </w:r>
          </w:p>
        </w:tc>
        <w:tc>
          <w:tcPr>
            <w:tcW w:w="1725" w:type="dxa"/>
            <w:vAlign w:val="center"/>
          </w:tcPr>
          <w:p w14:paraId="511F04E9" w14:textId="77777777" w:rsidR="00852AC1" w:rsidRPr="00900ADE" w:rsidRDefault="00852AC1" w:rsidP="00852AC1">
            <w:pPr>
              <w:pStyle w:val="TableTextCentered"/>
              <w:spacing w:before="20" w:after="20"/>
            </w:pPr>
            <w:r w:rsidRPr="00900ADE">
              <w:t>138</w:t>
            </w:r>
          </w:p>
        </w:tc>
        <w:tc>
          <w:tcPr>
            <w:tcW w:w="1641" w:type="dxa"/>
            <w:vAlign w:val="center"/>
          </w:tcPr>
          <w:p w14:paraId="2E0C45AC" w14:textId="77777777" w:rsidR="00852AC1" w:rsidRPr="00900ADE" w:rsidRDefault="00852AC1" w:rsidP="00852AC1">
            <w:pPr>
              <w:pStyle w:val="TableTextCentered"/>
              <w:spacing w:before="20" w:after="20"/>
            </w:pPr>
            <w:r w:rsidRPr="00900ADE">
              <w:t>47</w:t>
            </w:r>
          </w:p>
        </w:tc>
        <w:tc>
          <w:tcPr>
            <w:tcW w:w="1640" w:type="dxa"/>
            <w:vAlign w:val="center"/>
          </w:tcPr>
          <w:p w14:paraId="27D9A7F6" w14:textId="77777777" w:rsidR="00852AC1" w:rsidRPr="00900ADE" w:rsidRDefault="00852AC1" w:rsidP="00852AC1">
            <w:pPr>
              <w:pStyle w:val="TableTextCentered"/>
              <w:spacing w:before="20" w:after="20"/>
            </w:pPr>
            <w:r w:rsidRPr="00900ADE">
              <w:t>39</w:t>
            </w:r>
          </w:p>
        </w:tc>
        <w:tc>
          <w:tcPr>
            <w:tcW w:w="1527" w:type="dxa"/>
            <w:vAlign w:val="center"/>
          </w:tcPr>
          <w:p w14:paraId="640D3EFD" w14:textId="77777777" w:rsidR="00852AC1" w:rsidRPr="00900ADE" w:rsidRDefault="00852AC1" w:rsidP="00852AC1">
            <w:pPr>
              <w:pStyle w:val="TableTextCentered"/>
              <w:spacing w:before="20" w:after="20"/>
            </w:pPr>
            <w:r w:rsidRPr="00900ADE">
              <w:t>51</w:t>
            </w:r>
          </w:p>
        </w:tc>
        <w:tc>
          <w:tcPr>
            <w:tcW w:w="1676" w:type="dxa"/>
            <w:vAlign w:val="bottom"/>
          </w:tcPr>
          <w:p w14:paraId="6B3659B5" w14:textId="77777777" w:rsidR="00852AC1" w:rsidRPr="00900ADE" w:rsidRDefault="00852AC1" w:rsidP="00852AC1">
            <w:pPr>
              <w:pStyle w:val="TableTextCentered"/>
              <w:spacing w:before="20" w:after="20"/>
            </w:pPr>
            <w:r w:rsidRPr="00900ADE">
              <w:t>50</w:t>
            </w:r>
          </w:p>
        </w:tc>
      </w:tr>
    </w:tbl>
    <w:p w14:paraId="5F9C4769" w14:textId="77777777" w:rsidR="00852AC1" w:rsidRPr="00900ADE" w:rsidRDefault="00852AC1" w:rsidP="00F13771">
      <w:pPr>
        <w:pStyle w:val="TableETitle"/>
        <w:spacing w:before="240"/>
      </w:pPr>
      <w:bookmarkStart w:id="217" w:name="_Toc196169627"/>
      <w:r w:rsidRPr="00900ADE">
        <w:t>Table E15. MCAS Mathematics Mean Student Growth Percentile by Grade, 2022-2024</w:t>
      </w:r>
      <w:bookmarkEnd w:id="217"/>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852AC1" w:rsidRPr="00900ADE" w14:paraId="7A8B9278" w14:textId="77777777" w:rsidTr="00B87CA4">
        <w:trPr>
          <w:cnfStyle w:val="100000000000" w:firstRow="1" w:lastRow="0" w:firstColumn="0" w:lastColumn="0" w:oddVBand="0" w:evenVBand="0" w:oddHBand="0" w:evenHBand="0" w:firstRowFirstColumn="0" w:firstRowLastColumn="0" w:lastRowFirstColumn="0" w:lastRowLastColumn="0"/>
          <w:tblHeader/>
        </w:trPr>
        <w:tc>
          <w:tcPr>
            <w:tcW w:w="1135" w:type="dxa"/>
          </w:tcPr>
          <w:p w14:paraId="096C5FF0" w14:textId="77777777" w:rsidR="00852AC1" w:rsidRPr="00900ADE" w:rsidRDefault="00852AC1" w:rsidP="00852AC1">
            <w:pPr>
              <w:pStyle w:val="TableColHeadingCenter"/>
              <w:spacing w:before="20" w:after="20"/>
            </w:pPr>
            <w:r w:rsidRPr="00900ADE">
              <w:t>Grade</w:t>
            </w:r>
          </w:p>
        </w:tc>
        <w:tc>
          <w:tcPr>
            <w:tcW w:w="1725" w:type="dxa"/>
          </w:tcPr>
          <w:p w14:paraId="1DA93708" w14:textId="1F4949D1" w:rsidR="00852AC1" w:rsidRPr="00900ADE" w:rsidRDefault="00852AC1" w:rsidP="00852AC1">
            <w:pPr>
              <w:pStyle w:val="TableColHeadingCenter"/>
              <w:spacing w:before="20" w:after="20"/>
            </w:pPr>
            <w:r w:rsidRPr="00900ADE">
              <w:t xml:space="preserve"># </w:t>
            </w:r>
            <w:r w:rsidR="00CD7EAE" w:rsidRPr="00900ADE">
              <w:t>i</w:t>
            </w:r>
            <w:r w:rsidRPr="00900ADE">
              <w:t>ncluded (2024)</w:t>
            </w:r>
          </w:p>
        </w:tc>
        <w:tc>
          <w:tcPr>
            <w:tcW w:w="1641" w:type="dxa"/>
          </w:tcPr>
          <w:p w14:paraId="7FB0F443" w14:textId="77777777" w:rsidR="00852AC1" w:rsidRPr="00900ADE" w:rsidRDefault="00852AC1" w:rsidP="00852AC1">
            <w:pPr>
              <w:pStyle w:val="TableColHeadingCenter"/>
              <w:spacing w:before="20" w:after="20"/>
            </w:pPr>
            <w:r w:rsidRPr="00900ADE">
              <w:t>2022</w:t>
            </w:r>
          </w:p>
        </w:tc>
        <w:tc>
          <w:tcPr>
            <w:tcW w:w="1640" w:type="dxa"/>
          </w:tcPr>
          <w:p w14:paraId="42979DAF" w14:textId="77777777" w:rsidR="00852AC1" w:rsidRPr="00900ADE" w:rsidRDefault="00852AC1" w:rsidP="00852AC1">
            <w:pPr>
              <w:pStyle w:val="TableColHeadingCenter"/>
              <w:spacing w:before="20" w:after="20"/>
            </w:pPr>
            <w:r w:rsidRPr="00900ADE">
              <w:t>2023</w:t>
            </w:r>
          </w:p>
        </w:tc>
        <w:tc>
          <w:tcPr>
            <w:tcW w:w="1527" w:type="dxa"/>
          </w:tcPr>
          <w:p w14:paraId="4D89196A" w14:textId="77777777" w:rsidR="00852AC1" w:rsidRPr="00900ADE" w:rsidRDefault="00852AC1" w:rsidP="00852AC1">
            <w:pPr>
              <w:pStyle w:val="TableColHeadingCenter"/>
              <w:spacing w:before="20" w:after="20"/>
            </w:pPr>
            <w:r w:rsidRPr="00900ADE">
              <w:t>2024</w:t>
            </w:r>
          </w:p>
        </w:tc>
        <w:tc>
          <w:tcPr>
            <w:tcW w:w="1676" w:type="dxa"/>
          </w:tcPr>
          <w:p w14:paraId="1FA0E55B" w14:textId="77777777" w:rsidR="00852AC1" w:rsidRPr="00900ADE" w:rsidRDefault="00852AC1" w:rsidP="00852AC1">
            <w:pPr>
              <w:pStyle w:val="TableColHeadingCenter"/>
              <w:spacing w:before="20" w:after="20"/>
            </w:pPr>
            <w:r w:rsidRPr="00900ADE">
              <w:t>State (2024)</w:t>
            </w:r>
          </w:p>
        </w:tc>
      </w:tr>
      <w:tr w:rsidR="00852AC1" w:rsidRPr="00900ADE" w14:paraId="7AA6317D"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77F118F" w14:textId="77777777" w:rsidR="00852AC1" w:rsidRPr="00900ADE" w:rsidRDefault="00852AC1" w:rsidP="00852AC1">
            <w:pPr>
              <w:pStyle w:val="TableTextCentered"/>
              <w:spacing w:before="20" w:after="20"/>
            </w:pPr>
            <w:r w:rsidRPr="00900ADE">
              <w:t>3</w:t>
            </w:r>
          </w:p>
        </w:tc>
        <w:tc>
          <w:tcPr>
            <w:tcW w:w="1725" w:type="dxa"/>
            <w:vAlign w:val="center"/>
          </w:tcPr>
          <w:p w14:paraId="40D1807A" w14:textId="59A1A766" w:rsidR="00852AC1" w:rsidRPr="00900ADE" w:rsidRDefault="003A7D47" w:rsidP="00852AC1">
            <w:pPr>
              <w:pStyle w:val="TableTextCentered"/>
              <w:spacing w:before="20" w:after="20"/>
            </w:pPr>
            <w:r w:rsidRPr="00900ADE">
              <w:t>—</w:t>
            </w:r>
          </w:p>
        </w:tc>
        <w:tc>
          <w:tcPr>
            <w:tcW w:w="1641" w:type="dxa"/>
            <w:vAlign w:val="center"/>
          </w:tcPr>
          <w:p w14:paraId="403AA6E1" w14:textId="299FDC8B" w:rsidR="00852AC1" w:rsidRPr="00900ADE" w:rsidRDefault="003A7D47" w:rsidP="00852AC1">
            <w:pPr>
              <w:pStyle w:val="TableTextCentered"/>
              <w:spacing w:before="20" w:after="20"/>
            </w:pPr>
            <w:r w:rsidRPr="00900ADE">
              <w:t>—</w:t>
            </w:r>
          </w:p>
        </w:tc>
        <w:tc>
          <w:tcPr>
            <w:tcW w:w="1640" w:type="dxa"/>
            <w:vAlign w:val="center"/>
          </w:tcPr>
          <w:p w14:paraId="2520E86C" w14:textId="74DC929D" w:rsidR="00852AC1" w:rsidRPr="00900ADE" w:rsidRDefault="003A7D47" w:rsidP="00852AC1">
            <w:pPr>
              <w:pStyle w:val="TableTextCentered"/>
              <w:spacing w:before="20" w:after="20"/>
            </w:pPr>
            <w:r w:rsidRPr="00900ADE">
              <w:t>—</w:t>
            </w:r>
          </w:p>
        </w:tc>
        <w:tc>
          <w:tcPr>
            <w:tcW w:w="1527" w:type="dxa"/>
            <w:vAlign w:val="center"/>
          </w:tcPr>
          <w:p w14:paraId="7A81332C" w14:textId="4CF1943C" w:rsidR="00852AC1" w:rsidRPr="00900ADE" w:rsidRDefault="003A7D47" w:rsidP="00852AC1">
            <w:pPr>
              <w:pStyle w:val="TableTextCentered"/>
              <w:spacing w:before="20" w:after="20"/>
            </w:pPr>
            <w:r w:rsidRPr="00900ADE">
              <w:t>—</w:t>
            </w:r>
          </w:p>
        </w:tc>
        <w:tc>
          <w:tcPr>
            <w:tcW w:w="1676" w:type="dxa"/>
            <w:vAlign w:val="bottom"/>
          </w:tcPr>
          <w:p w14:paraId="49952B2D" w14:textId="6AD09DBB" w:rsidR="00852AC1" w:rsidRPr="00900ADE" w:rsidRDefault="003A7D47" w:rsidP="00852AC1">
            <w:pPr>
              <w:pStyle w:val="TableTextCentered"/>
              <w:spacing w:before="20" w:after="20"/>
            </w:pPr>
            <w:r w:rsidRPr="00900ADE">
              <w:t>—</w:t>
            </w:r>
          </w:p>
        </w:tc>
      </w:tr>
      <w:tr w:rsidR="00852AC1" w:rsidRPr="00900ADE" w14:paraId="44BFB400" w14:textId="77777777">
        <w:tc>
          <w:tcPr>
            <w:tcW w:w="1135" w:type="dxa"/>
          </w:tcPr>
          <w:p w14:paraId="54C587F0" w14:textId="77777777" w:rsidR="00852AC1" w:rsidRPr="00900ADE" w:rsidRDefault="00852AC1" w:rsidP="00852AC1">
            <w:pPr>
              <w:pStyle w:val="TableTextCentered"/>
              <w:spacing w:before="20" w:after="20"/>
            </w:pPr>
            <w:r w:rsidRPr="00900ADE">
              <w:t>4</w:t>
            </w:r>
          </w:p>
        </w:tc>
        <w:tc>
          <w:tcPr>
            <w:tcW w:w="1725" w:type="dxa"/>
            <w:vAlign w:val="center"/>
          </w:tcPr>
          <w:p w14:paraId="38FCE206" w14:textId="77777777" w:rsidR="00852AC1" w:rsidRPr="00900ADE" w:rsidRDefault="00852AC1" w:rsidP="00852AC1">
            <w:pPr>
              <w:pStyle w:val="TableTextCentered"/>
              <w:spacing w:before="20" w:after="20"/>
            </w:pPr>
            <w:r w:rsidRPr="00900ADE">
              <w:t>175</w:t>
            </w:r>
          </w:p>
        </w:tc>
        <w:tc>
          <w:tcPr>
            <w:tcW w:w="1641" w:type="dxa"/>
            <w:vAlign w:val="center"/>
          </w:tcPr>
          <w:p w14:paraId="5877BFDE" w14:textId="77777777" w:rsidR="00852AC1" w:rsidRPr="00900ADE" w:rsidRDefault="00852AC1" w:rsidP="00852AC1">
            <w:pPr>
              <w:pStyle w:val="TableTextCentered"/>
              <w:spacing w:before="20" w:after="20"/>
            </w:pPr>
            <w:r w:rsidRPr="00900ADE">
              <w:t>42</w:t>
            </w:r>
          </w:p>
        </w:tc>
        <w:tc>
          <w:tcPr>
            <w:tcW w:w="1640" w:type="dxa"/>
            <w:vAlign w:val="center"/>
          </w:tcPr>
          <w:p w14:paraId="050890A0" w14:textId="77777777" w:rsidR="00852AC1" w:rsidRPr="00900ADE" w:rsidRDefault="00852AC1" w:rsidP="00852AC1">
            <w:pPr>
              <w:pStyle w:val="TableTextCentered"/>
              <w:spacing w:before="20" w:after="20"/>
            </w:pPr>
            <w:r w:rsidRPr="00900ADE">
              <w:t>43</w:t>
            </w:r>
          </w:p>
        </w:tc>
        <w:tc>
          <w:tcPr>
            <w:tcW w:w="1527" w:type="dxa"/>
            <w:vAlign w:val="center"/>
          </w:tcPr>
          <w:p w14:paraId="34A10FF6" w14:textId="77777777" w:rsidR="00852AC1" w:rsidRPr="00900ADE" w:rsidRDefault="00852AC1" w:rsidP="00852AC1">
            <w:pPr>
              <w:pStyle w:val="TableTextCentered"/>
              <w:spacing w:before="20" w:after="20"/>
            </w:pPr>
            <w:r w:rsidRPr="00900ADE">
              <w:t>44</w:t>
            </w:r>
          </w:p>
        </w:tc>
        <w:tc>
          <w:tcPr>
            <w:tcW w:w="1676" w:type="dxa"/>
            <w:vAlign w:val="bottom"/>
          </w:tcPr>
          <w:p w14:paraId="21EE0EEF" w14:textId="77777777" w:rsidR="00852AC1" w:rsidRPr="00900ADE" w:rsidRDefault="00852AC1" w:rsidP="00852AC1">
            <w:pPr>
              <w:pStyle w:val="TableTextCentered"/>
              <w:spacing w:before="20" w:after="20"/>
            </w:pPr>
            <w:r w:rsidRPr="00900ADE">
              <w:t>50</w:t>
            </w:r>
          </w:p>
        </w:tc>
      </w:tr>
      <w:tr w:rsidR="00852AC1" w:rsidRPr="00900ADE" w14:paraId="2BC64959"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0969414A" w14:textId="77777777" w:rsidR="00852AC1" w:rsidRPr="00900ADE" w:rsidRDefault="00852AC1" w:rsidP="00852AC1">
            <w:pPr>
              <w:pStyle w:val="TableTextCentered"/>
              <w:spacing w:before="20" w:after="20"/>
            </w:pPr>
            <w:r w:rsidRPr="00900ADE">
              <w:t>5</w:t>
            </w:r>
          </w:p>
        </w:tc>
        <w:tc>
          <w:tcPr>
            <w:tcW w:w="1725" w:type="dxa"/>
            <w:vAlign w:val="center"/>
          </w:tcPr>
          <w:p w14:paraId="25FA6CD5" w14:textId="77777777" w:rsidR="00852AC1" w:rsidRPr="00900ADE" w:rsidRDefault="00852AC1" w:rsidP="00852AC1">
            <w:pPr>
              <w:pStyle w:val="TableTextCentered"/>
              <w:spacing w:before="20" w:after="20"/>
            </w:pPr>
            <w:r w:rsidRPr="00900ADE">
              <w:t>158</w:t>
            </w:r>
          </w:p>
        </w:tc>
        <w:tc>
          <w:tcPr>
            <w:tcW w:w="1641" w:type="dxa"/>
            <w:vAlign w:val="center"/>
          </w:tcPr>
          <w:p w14:paraId="132DDCA8" w14:textId="77777777" w:rsidR="00852AC1" w:rsidRPr="00900ADE" w:rsidRDefault="00852AC1" w:rsidP="00852AC1">
            <w:pPr>
              <w:pStyle w:val="TableTextCentered"/>
              <w:spacing w:before="20" w:after="20"/>
            </w:pPr>
            <w:r w:rsidRPr="00900ADE">
              <w:t>37</w:t>
            </w:r>
          </w:p>
        </w:tc>
        <w:tc>
          <w:tcPr>
            <w:tcW w:w="1640" w:type="dxa"/>
            <w:vAlign w:val="center"/>
          </w:tcPr>
          <w:p w14:paraId="6176D220" w14:textId="77777777" w:rsidR="00852AC1" w:rsidRPr="00900ADE" w:rsidRDefault="00852AC1" w:rsidP="00852AC1">
            <w:pPr>
              <w:pStyle w:val="TableTextCentered"/>
              <w:spacing w:before="20" w:after="20"/>
            </w:pPr>
            <w:r w:rsidRPr="00900ADE">
              <w:t>38</w:t>
            </w:r>
          </w:p>
        </w:tc>
        <w:tc>
          <w:tcPr>
            <w:tcW w:w="1527" w:type="dxa"/>
            <w:vAlign w:val="center"/>
          </w:tcPr>
          <w:p w14:paraId="2667FF33" w14:textId="77777777" w:rsidR="00852AC1" w:rsidRPr="00900ADE" w:rsidRDefault="00852AC1" w:rsidP="00852AC1">
            <w:pPr>
              <w:pStyle w:val="TableTextCentered"/>
              <w:spacing w:before="20" w:after="20"/>
            </w:pPr>
            <w:r w:rsidRPr="00900ADE">
              <w:t>46</w:t>
            </w:r>
          </w:p>
        </w:tc>
        <w:tc>
          <w:tcPr>
            <w:tcW w:w="1676" w:type="dxa"/>
            <w:vAlign w:val="bottom"/>
          </w:tcPr>
          <w:p w14:paraId="7EB61EBE" w14:textId="77777777" w:rsidR="00852AC1" w:rsidRPr="00900ADE" w:rsidRDefault="00852AC1" w:rsidP="00852AC1">
            <w:pPr>
              <w:pStyle w:val="TableTextCentered"/>
              <w:spacing w:before="20" w:after="20"/>
            </w:pPr>
            <w:r w:rsidRPr="00900ADE">
              <w:t>50</w:t>
            </w:r>
          </w:p>
        </w:tc>
      </w:tr>
      <w:tr w:rsidR="00852AC1" w:rsidRPr="00900ADE" w14:paraId="7A0E1482" w14:textId="77777777">
        <w:tc>
          <w:tcPr>
            <w:tcW w:w="1135" w:type="dxa"/>
          </w:tcPr>
          <w:p w14:paraId="70F8AB94" w14:textId="77777777" w:rsidR="00852AC1" w:rsidRPr="00900ADE" w:rsidRDefault="00852AC1" w:rsidP="00852AC1">
            <w:pPr>
              <w:pStyle w:val="TableTextCentered"/>
              <w:spacing w:before="20" w:after="20"/>
            </w:pPr>
            <w:r w:rsidRPr="00900ADE">
              <w:t>6</w:t>
            </w:r>
          </w:p>
        </w:tc>
        <w:tc>
          <w:tcPr>
            <w:tcW w:w="1725" w:type="dxa"/>
            <w:vAlign w:val="center"/>
          </w:tcPr>
          <w:p w14:paraId="0EDB3B37" w14:textId="77777777" w:rsidR="00852AC1" w:rsidRPr="00900ADE" w:rsidRDefault="00852AC1" w:rsidP="00852AC1">
            <w:pPr>
              <w:pStyle w:val="TableTextCentered"/>
              <w:spacing w:before="20" w:after="20"/>
            </w:pPr>
            <w:r w:rsidRPr="00900ADE">
              <w:t>162</w:t>
            </w:r>
          </w:p>
        </w:tc>
        <w:tc>
          <w:tcPr>
            <w:tcW w:w="1641" w:type="dxa"/>
            <w:vAlign w:val="center"/>
          </w:tcPr>
          <w:p w14:paraId="0B7B5692" w14:textId="77777777" w:rsidR="00852AC1" w:rsidRPr="00900ADE" w:rsidRDefault="00852AC1" w:rsidP="00852AC1">
            <w:pPr>
              <w:pStyle w:val="TableTextCentered"/>
              <w:spacing w:before="20" w:after="20"/>
            </w:pPr>
            <w:r w:rsidRPr="00900ADE">
              <w:t>52</w:t>
            </w:r>
          </w:p>
        </w:tc>
        <w:tc>
          <w:tcPr>
            <w:tcW w:w="1640" w:type="dxa"/>
            <w:vAlign w:val="center"/>
          </w:tcPr>
          <w:p w14:paraId="15B4CB40" w14:textId="77777777" w:rsidR="00852AC1" w:rsidRPr="00900ADE" w:rsidRDefault="00852AC1" w:rsidP="00852AC1">
            <w:pPr>
              <w:pStyle w:val="TableTextCentered"/>
              <w:spacing w:before="20" w:after="20"/>
            </w:pPr>
            <w:r w:rsidRPr="00900ADE">
              <w:t>49</w:t>
            </w:r>
          </w:p>
        </w:tc>
        <w:tc>
          <w:tcPr>
            <w:tcW w:w="1527" w:type="dxa"/>
            <w:vAlign w:val="center"/>
          </w:tcPr>
          <w:p w14:paraId="53E6102B" w14:textId="77777777" w:rsidR="00852AC1" w:rsidRPr="00900ADE" w:rsidRDefault="00852AC1" w:rsidP="00852AC1">
            <w:pPr>
              <w:pStyle w:val="TableTextCentered"/>
              <w:spacing w:before="20" w:after="20"/>
            </w:pPr>
            <w:r w:rsidRPr="00900ADE">
              <w:t>46</w:t>
            </w:r>
          </w:p>
        </w:tc>
        <w:tc>
          <w:tcPr>
            <w:tcW w:w="1676" w:type="dxa"/>
            <w:vAlign w:val="bottom"/>
          </w:tcPr>
          <w:p w14:paraId="3C072B1F" w14:textId="77777777" w:rsidR="00852AC1" w:rsidRPr="00900ADE" w:rsidRDefault="00852AC1" w:rsidP="00852AC1">
            <w:pPr>
              <w:pStyle w:val="TableTextCentered"/>
              <w:spacing w:before="20" w:after="20"/>
            </w:pPr>
            <w:r w:rsidRPr="00900ADE">
              <w:t>50</w:t>
            </w:r>
          </w:p>
        </w:tc>
      </w:tr>
      <w:tr w:rsidR="00852AC1" w:rsidRPr="00900ADE" w14:paraId="7EF15B99"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0935ADAD" w14:textId="77777777" w:rsidR="00852AC1" w:rsidRPr="00900ADE" w:rsidRDefault="00852AC1" w:rsidP="00852AC1">
            <w:pPr>
              <w:pStyle w:val="TableTextCentered"/>
              <w:spacing w:before="20" w:after="20"/>
            </w:pPr>
            <w:r w:rsidRPr="00900ADE">
              <w:t>7</w:t>
            </w:r>
          </w:p>
        </w:tc>
        <w:tc>
          <w:tcPr>
            <w:tcW w:w="1725" w:type="dxa"/>
            <w:vAlign w:val="center"/>
          </w:tcPr>
          <w:p w14:paraId="6B546F6E" w14:textId="77777777" w:rsidR="00852AC1" w:rsidRPr="00900ADE" w:rsidRDefault="00852AC1" w:rsidP="00852AC1">
            <w:pPr>
              <w:pStyle w:val="TableTextCentered"/>
              <w:spacing w:before="20" w:after="20"/>
            </w:pPr>
            <w:r w:rsidRPr="00900ADE">
              <w:t>151</w:t>
            </w:r>
          </w:p>
        </w:tc>
        <w:tc>
          <w:tcPr>
            <w:tcW w:w="1641" w:type="dxa"/>
            <w:vAlign w:val="center"/>
          </w:tcPr>
          <w:p w14:paraId="2143C7E6" w14:textId="77777777" w:rsidR="00852AC1" w:rsidRPr="00900ADE" w:rsidRDefault="00852AC1" w:rsidP="00852AC1">
            <w:pPr>
              <w:pStyle w:val="TableTextCentered"/>
              <w:spacing w:before="20" w:after="20"/>
            </w:pPr>
            <w:r w:rsidRPr="00900ADE">
              <w:t>41</w:t>
            </w:r>
          </w:p>
        </w:tc>
        <w:tc>
          <w:tcPr>
            <w:tcW w:w="1640" w:type="dxa"/>
            <w:vAlign w:val="center"/>
          </w:tcPr>
          <w:p w14:paraId="40587CA0" w14:textId="77777777" w:rsidR="00852AC1" w:rsidRPr="00900ADE" w:rsidRDefault="00852AC1" w:rsidP="00852AC1">
            <w:pPr>
              <w:pStyle w:val="TableTextCentered"/>
              <w:spacing w:before="20" w:after="20"/>
            </w:pPr>
            <w:r w:rsidRPr="00900ADE">
              <w:t>42</w:t>
            </w:r>
          </w:p>
        </w:tc>
        <w:tc>
          <w:tcPr>
            <w:tcW w:w="1527" w:type="dxa"/>
            <w:vAlign w:val="center"/>
          </w:tcPr>
          <w:p w14:paraId="1DB1D733" w14:textId="77777777" w:rsidR="00852AC1" w:rsidRPr="00900ADE" w:rsidRDefault="00852AC1" w:rsidP="00852AC1">
            <w:pPr>
              <w:pStyle w:val="TableTextCentered"/>
              <w:spacing w:before="20" w:after="20"/>
            </w:pPr>
            <w:r w:rsidRPr="00900ADE">
              <w:t>54</w:t>
            </w:r>
          </w:p>
        </w:tc>
        <w:tc>
          <w:tcPr>
            <w:tcW w:w="1676" w:type="dxa"/>
            <w:vAlign w:val="bottom"/>
          </w:tcPr>
          <w:p w14:paraId="4A998788" w14:textId="77777777" w:rsidR="00852AC1" w:rsidRPr="00900ADE" w:rsidRDefault="00852AC1" w:rsidP="00852AC1">
            <w:pPr>
              <w:pStyle w:val="TableTextCentered"/>
              <w:spacing w:before="20" w:after="20"/>
            </w:pPr>
            <w:r w:rsidRPr="00900ADE">
              <w:t>50</w:t>
            </w:r>
          </w:p>
        </w:tc>
      </w:tr>
      <w:tr w:rsidR="00852AC1" w:rsidRPr="00900ADE" w14:paraId="47C227A4" w14:textId="77777777">
        <w:tc>
          <w:tcPr>
            <w:tcW w:w="1135" w:type="dxa"/>
          </w:tcPr>
          <w:p w14:paraId="0C53EBB4" w14:textId="77777777" w:rsidR="00852AC1" w:rsidRPr="00900ADE" w:rsidRDefault="00852AC1" w:rsidP="00852AC1">
            <w:pPr>
              <w:pStyle w:val="TableTextCentered"/>
              <w:spacing w:before="20" w:after="20"/>
            </w:pPr>
            <w:r w:rsidRPr="00900ADE">
              <w:t>8</w:t>
            </w:r>
          </w:p>
        </w:tc>
        <w:tc>
          <w:tcPr>
            <w:tcW w:w="1725" w:type="dxa"/>
            <w:vAlign w:val="center"/>
          </w:tcPr>
          <w:p w14:paraId="0A861A42" w14:textId="77777777" w:rsidR="00852AC1" w:rsidRPr="00900ADE" w:rsidRDefault="00852AC1" w:rsidP="00852AC1">
            <w:pPr>
              <w:pStyle w:val="TableTextCentered"/>
              <w:spacing w:before="20" w:after="20"/>
            </w:pPr>
            <w:r w:rsidRPr="00900ADE">
              <w:t>174</w:t>
            </w:r>
          </w:p>
        </w:tc>
        <w:tc>
          <w:tcPr>
            <w:tcW w:w="1641" w:type="dxa"/>
            <w:vAlign w:val="center"/>
          </w:tcPr>
          <w:p w14:paraId="55A9FC7D" w14:textId="77777777" w:rsidR="00852AC1" w:rsidRPr="00900ADE" w:rsidRDefault="00852AC1" w:rsidP="00852AC1">
            <w:pPr>
              <w:pStyle w:val="TableTextCentered"/>
              <w:spacing w:before="20" w:after="20"/>
            </w:pPr>
            <w:r w:rsidRPr="00900ADE">
              <w:t>57</w:t>
            </w:r>
          </w:p>
        </w:tc>
        <w:tc>
          <w:tcPr>
            <w:tcW w:w="1640" w:type="dxa"/>
            <w:vAlign w:val="center"/>
          </w:tcPr>
          <w:p w14:paraId="75482F2F" w14:textId="77777777" w:rsidR="00852AC1" w:rsidRPr="00900ADE" w:rsidRDefault="00852AC1" w:rsidP="00852AC1">
            <w:pPr>
              <w:pStyle w:val="TableTextCentered"/>
              <w:spacing w:before="20" w:after="20"/>
            </w:pPr>
            <w:r w:rsidRPr="00900ADE">
              <w:t>57</w:t>
            </w:r>
          </w:p>
        </w:tc>
        <w:tc>
          <w:tcPr>
            <w:tcW w:w="1527" w:type="dxa"/>
            <w:vAlign w:val="center"/>
          </w:tcPr>
          <w:p w14:paraId="6D470DDD" w14:textId="77777777" w:rsidR="00852AC1" w:rsidRPr="00900ADE" w:rsidRDefault="00852AC1" w:rsidP="00852AC1">
            <w:pPr>
              <w:pStyle w:val="TableTextCentered"/>
              <w:spacing w:before="20" w:after="20"/>
            </w:pPr>
            <w:r w:rsidRPr="00900ADE">
              <w:t>72</w:t>
            </w:r>
          </w:p>
        </w:tc>
        <w:tc>
          <w:tcPr>
            <w:tcW w:w="1676" w:type="dxa"/>
            <w:vAlign w:val="bottom"/>
          </w:tcPr>
          <w:p w14:paraId="59EBD7C9" w14:textId="77777777" w:rsidR="00852AC1" w:rsidRPr="00900ADE" w:rsidRDefault="00852AC1" w:rsidP="00852AC1">
            <w:pPr>
              <w:pStyle w:val="TableTextCentered"/>
              <w:spacing w:before="20" w:after="20"/>
            </w:pPr>
            <w:r w:rsidRPr="00900ADE">
              <w:t>50</w:t>
            </w:r>
          </w:p>
        </w:tc>
      </w:tr>
      <w:tr w:rsidR="00852AC1" w:rsidRPr="00900ADE" w14:paraId="39C7DD86" w14:textId="77777777">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7E778E73" w14:textId="77777777" w:rsidR="00852AC1" w:rsidRPr="00900ADE" w:rsidRDefault="00852AC1" w:rsidP="00852AC1">
            <w:pPr>
              <w:pStyle w:val="TableTextCentered"/>
              <w:spacing w:before="20" w:after="20"/>
            </w:pPr>
            <w:r w:rsidRPr="00900ADE">
              <w:t>3-8</w:t>
            </w:r>
          </w:p>
        </w:tc>
        <w:tc>
          <w:tcPr>
            <w:tcW w:w="1725" w:type="dxa"/>
            <w:vAlign w:val="center"/>
          </w:tcPr>
          <w:p w14:paraId="4BA0C3BE" w14:textId="77777777" w:rsidR="00852AC1" w:rsidRPr="00900ADE" w:rsidRDefault="00852AC1" w:rsidP="00852AC1">
            <w:pPr>
              <w:pStyle w:val="TableTextCentered"/>
              <w:spacing w:before="20" w:after="20"/>
            </w:pPr>
            <w:r w:rsidRPr="00900ADE">
              <w:t>820</w:t>
            </w:r>
          </w:p>
        </w:tc>
        <w:tc>
          <w:tcPr>
            <w:tcW w:w="1641" w:type="dxa"/>
            <w:vAlign w:val="center"/>
          </w:tcPr>
          <w:p w14:paraId="71823480" w14:textId="77777777" w:rsidR="00852AC1" w:rsidRPr="00900ADE" w:rsidRDefault="00852AC1" w:rsidP="00852AC1">
            <w:pPr>
              <w:pStyle w:val="TableTextCentered"/>
              <w:spacing w:before="20" w:after="20"/>
            </w:pPr>
            <w:r w:rsidRPr="00900ADE">
              <w:t>46</w:t>
            </w:r>
          </w:p>
        </w:tc>
        <w:tc>
          <w:tcPr>
            <w:tcW w:w="1640" w:type="dxa"/>
            <w:vAlign w:val="center"/>
          </w:tcPr>
          <w:p w14:paraId="2B250298" w14:textId="77777777" w:rsidR="00852AC1" w:rsidRPr="00900ADE" w:rsidRDefault="00852AC1" w:rsidP="00852AC1">
            <w:pPr>
              <w:pStyle w:val="TableTextCentered"/>
              <w:spacing w:before="20" w:after="20"/>
            </w:pPr>
            <w:r w:rsidRPr="00900ADE">
              <w:t>46</w:t>
            </w:r>
          </w:p>
        </w:tc>
        <w:tc>
          <w:tcPr>
            <w:tcW w:w="1527" w:type="dxa"/>
            <w:vAlign w:val="center"/>
          </w:tcPr>
          <w:p w14:paraId="45E150DE" w14:textId="77777777" w:rsidR="00852AC1" w:rsidRPr="00900ADE" w:rsidRDefault="00852AC1" w:rsidP="00852AC1">
            <w:pPr>
              <w:pStyle w:val="TableTextCentered"/>
              <w:spacing w:before="20" w:after="20"/>
            </w:pPr>
            <w:r w:rsidRPr="00900ADE">
              <w:t>53</w:t>
            </w:r>
          </w:p>
        </w:tc>
        <w:tc>
          <w:tcPr>
            <w:tcW w:w="1676" w:type="dxa"/>
            <w:vAlign w:val="bottom"/>
          </w:tcPr>
          <w:p w14:paraId="6FE831B5" w14:textId="77777777" w:rsidR="00852AC1" w:rsidRPr="00900ADE" w:rsidRDefault="00852AC1" w:rsidP="00852AC1">
            <w:pPr>
              <w:pStyle w:val="TableTextCentered"/>
              <w:spacing w:before="20" w:after="20"/>
            </w:pPr>
            <w:r w:rsidRPr="00900ADE">
              <w:t>50</w:t>
            </w:r>
          </w:p>
        </w:tc>
      </w:tr>
      <w:tr w:rsidR="00852AC1" w:rsidRPr="00900ADE" w14:paraId="1570B25F" w14:textId="77777777">
        <w:tc>
          <w:tcPr>
            <w:tcW w:w="1135" w:type="dxa"/>
          </w:tcPr>
          <w:p w14:paraId="438A1F64" w14:textId="77777777" w:rsidR="00852AC1" w:rsidRPr="00900ADE" w:rsidRDefault="00852AC1" w:rsidP="00852AC1">
            <w:pPr>
              <w:pStyle w:val="TableTextCentered"/>
              <w:spacing w:before="20" w:after="20"/>
            </w:pPr>
            <w:r w:rsidRPr="00900ADE">
              <w:t>10</w:t>
            </w:r>
          </w:p>
        </w:tc>
        <w:tc>
          <w:tcPr>
            <w:tcW w:w="1725" w:type="dxa"/>
            <w:vAlign w:val="center"/>
          </w:tcPr>
          <w:p w14:paraId="24E324A2" w14:textId="77777777" w:rsidR="00852AC1" w:rsidRPr="00900ADE" w:rsidRDefault="00852AC1" w:rsidP="00852AC1">
            <w:pPr>
              <w:pStyle w:val="TableTextCentered"/>
              <w:spacing w:before="20" w:after="20"/>
            </w:pPr>
            <w:r w:rsidRPr="00900ADE">
              <w:t>137</w:t>
            </w:r>
          </w:p>
        </w:tc>
        <w:tc>
          <w:tcPr>
            <w:tcW w:w="1641" w:type="dxa"/>
            <w:vAlign w:val="center"/>
          </w:tcPr>
          <w:p w14:paraId="39012482" w14:textId="77777777" w:rsidR="00852AC1" w:rsidRPr="00900ADE" w:rsidRDefault="00852AC1" w:rsidP="00852AC1">
            <w:pPr>
              <w:pStyle w:val="TableTextCentered"/>
              <w:spacing w:before="20" w:after="20"/>
            </w:pPr>
            <w:r w:rsidRPr="00900ADE">
              <w:t>58</w:t>
            </w:r>
          </w:p>
        </w:tc>
        <w:tc>
          <w:tcPr>
            <w:tcW w:w="1640" w:type="dxa"/>
            <w:vAlign w:val="center"/>
          </w:tcPr>
          <w:p w14:paraId="7BE257E7" w14:textId="77777777" w:rsidR="00852AC1" w:rsidRPr="00900ADE" w:rsidRDefault="00852AC1" w:rsidP="00852AC1">
            <w:pPr>
              <w:pStyle w:val="TableTextCentered"/>
              <w:spacing w:before="20" w:after="20"/>
            </w:pPr>
            <w:r w:rsidRPr="00900ADE">
              <w:t>50</w:t>
            </w:r>
          </w:p>
        </w:tc>
        <w:tc>
          <w:tcPr>
            <w:tcW w:w="1527" w:type="dxa"/>
            <w:vAlign w:val="center"/>
          </w:tcPr>
          <w:p w14:paraId="35534077" w14:textId="77777777" w:rsidR="00852AC1" w:rsidRPr="00900ADE" w:rsidRDefault="00852AC1" w:rsidP="00852AC1">
            <w:pPr>
              <w:pStyle w:val="TableTextCentered"/>
              <w:spacing w:before="20" w:after="20"/>
            </w:pPr>
            <w:r w:rsidRPr="00900ADE">
              <w:t>52</w:t>
            </w:r>
          </w:p>
        </w:tc>
        <w:tc>
          <w:tcPr>
            <w:tcW w:w="1676" w:type="dxa"/>
            <w:vAlign w:val="bottom"/>
          </w:tcPr>
          <w:p w14:paraId="55DCDF55" w14:textId="77777777" w:rsidR="00852AC1" w:rsidRPr="00900ADE" w:rsidRDefault="00852AC1" w:rsidP="00852AC1">
            <w:pPr>
              <w:pStyle w:val="TableTextCentered"/>
              <w:spacing w:before="20" w:after="20"/>
            </w:pPr>
            <w:r w:rsidRPr="00900ADE">
              <w:t>50</w:t>
            </w:r>
          </w:p>
        </w:tc>
      </w:tr>
    </w:tbl>
    <w:p w14:paraId="4D802C5F" w14:textId="77777777" w:rsidR="00852AC1" w:rsidRPr="00900ADE" w:rsidRDefault="00852AC1" w:rsidP="00F13771">
      <w:pPr>
        <w:pStyle w:val="TableETitle"/>
        <w:spacing w:before="240"/>
      </w:pPr>
      <w:bookmarkStart w:id="218" w:name="_Toc196169628"/>
      <w:r w:rsidRPr="00900ADE">
        <w:t>Table E16. Four-Year Cohort Graduation Rates by Student Group, 2021-2023</w:t>
      </w:r>
      <w:bookmarkEnd w:id="218"/>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852AC1" w:rsidRPr="00900ADE" w14:paraId="73C34BCC" w14:textId="77777777" w:rsidTr="00B87CA4">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center"/>
          </w:tcPr>
          <w:p w14:paraId="49330EE7" w14:textId="77777777" w:rsidR="00852AC1" w:rsidRPr="00900ADE" w:rsidRDefault="00852AC1" w:rsidP="00852AC1">
            <w:pPr>
              <w:pStyle w:val="TableColHeadingCenter"/>
            </w:pPr>
            <w:r w:rsidRPr="00900ADE">
              <w:t>Group</w:t>
            </w:r>
          </w:p>
        </w:tc>
        <w:tc>
          <w:tcPr>
            <w:tcW w:w="1254" w:type="dxa"/>
            <w:vAlign w:val="center"/>
          </w:tcPr>
          <w:p w14:paraId="46CF9E51" w14:textId="60400A44" w:rsidR="00852AC1" w:rsidRPr="00900ADE" w:rsidRDefault="00852AC1" w:rsidP="00852AC1">
            <w:pPr>
              <w:pStyle w:val="TableColHeadingCenter"/>
            </w:pPr>
            <w:r w:rsidRPr="00900ADE">
              <w:t xml:space="preserve"># </w:t>
            </w:r>
            <w:r w:rsidR="00CD7EAE" w:rsidRPr="00900ADE">
              <w:t>i</w:t>
            </w:r>
            <w:r w:rsidRPr="00900ADE">
              <w:t>ncluded (2023)</w:t>
            </w:r>
          </w:p>
        </w:tc>
        <w:tc>
          <w:tcPr>
            <w:tcW w:w="1255" w:type="dxa"/>
            <w:vAlign w:val="center"/>
          </w:tcPr>
          <w:p w14:paraId="25F96092" w14:textId="77777777" w:rsidR="00852AC1" w:rsidRPr="00900ADE" w:rsidRDefault="00852AC1" w:rsidP="00852AC1">
            <w:pPr>
              <w:pStyle w:val="TableColHeadingCenter"/>
            </w:pPr>
            <w:r w:rsidRPr="00900ADE">
              <w:t>2021 (%)</w:t>
            </w:r>
          </w:p>
        </w:tc>
        <w:tc>
          <w:tcPr>
            <w:tcW w:w="1254" w:type="dxa"/>
            <w:vAlign w:val="center"/>
          </w:tcPr>
          <w:p w14:paraId="6AFA7E07" w14:textId="77777777" w:rsidR="00852AC1" w:rsidRPr="00900ADE" w:rsidRDefault="00852AC1" w:rsidP="00852AC1">
            <w:pPr>
              <w:pStyle w:val="TableColHeadingCenter"/>
            </w:pPr>
            <w:r w:rsidRPr="00900ADE">
              <w:t>2022 (%)</w:t>
            </w:r>
          </w:p>
        </w:tc>
        <w:tc>
          <w:tcPr>
            <w:tcW w:w="1255" w:type="dxa"/>
            <w:vAlign w:val="center"/>
          </w:tcPr>
          <w:p w14:paraId="26C1CD34" w14:textId="77777777" w:rsidR="00852AC1" w:rsidRPr="00900ADE" w:rsidRDefault="00852AC1" w:rsidP="00852AC1">
            <w:pPr>
              <w:pStyle w:val="TableColHeadingCenter"/>
            </w:pPr>
            <w:r w:rsidRPr="00900ADE">
              <w:t>2023 (%)</w:t>
            </w:r>
          </w:p>
        </w:tc>
        <w:tc>
          <w:tcPr>
            <w:tcW w:w="1255" w:type="dxa"/>
            <w:vAlign w:val="center"/>
          </w:tcPr>
          <w:p w14:paraId="73EA04B3" w14:textId="77777777" w:rsidR="00852AC1" w:rsidRPr="00900ADE" w:rsidRDefault="00852AC1" w:rsidP="00852AC1">
            <w:pPr>
              <w:pStyle w:val="TableColHeadingCenter"/>
            </w:pPr>
            <w:r w:rsidRPr="00900ADE">
              <w:t>State 2023 (%)</w:t>
            </w:r>
          </w:p>
        </w:tc>
      </w:tr>
      <w:tr w:rsidR="00852AC1" w:rsidRPr="00900ADE" w14:paraId="4C71BBC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63FCC38" w14:textId="77777777" w:rsidR="00852AC1" w:rsidRPr="00900ADE" w:rsidRDefault="00852AC1" w:rsidP="00852AC1">
            <w:pPr>
              <w:pStyle w:val="TableText"/>
            </w:pPr>
            <w:r w:rsidRPr="00900ADE">
              <w:t>All</w:t>
            </w:r>
          </w:p>
        </w:tc>
        <w:tc>
          <w:tcPr>
            <w:tcW w:w="1254" w:type="dxa"/>
            <w:vAlign w:val="center"/>
          </w:tcPr>
          <w:p w14:paraId="788A449A" w14:textId="77777777" w:rsidR="00852AC1" w:rsidRPr="00900ADE" w:rsidRDefault="00852AC1" w:rsidP="00852AC1">
            <w:pPr>
              <w:pStyle w:val="TableTextCentered"/>
            </w:pPr>
            <w:r w:rsidRPr="00900ADE">
              <w:t>167</w:t>
            </w:r>
          </w:p>
        </w:tc>
        <w:tc>
          <w:tcPr>
            <w:tcW w:w="1255" w:type="dxa"/>
            <w:vAlign w:val="center"/>
          </w:tcPr>
          <w:p w14:paraId="6B76B3FD" w14:textId="77777777" w:rsidR="00852AC1" w:rsidRPr="00900ADE" w:rsidRDefault="00852AC1" w:rsidP="00852AC1">
            <w:pPr>
              <w:pStyle w:val="TableTextCentered"/>
            </w:pPr>
            <w:r w:rsidRPr="00900ADE">
              <w:t>96.8</w:t>
            </w:r>
          </w:p>
        </w:tc>
        <w:tc>
          <w:tcPr>
            <w:tcW w:w="1254" w:type="dxa"/>
            <w:vAlign w:val="center"/>
          </w:tcPr>
          <w:p w14:paraId="43E3EE6A" w14:textId="77777777" w:rsidR="00852AC1" w:rsidRPr="00900ADE" w:rsidRDefault="00852AC1" w:rsidP="00852AC1">
            <w:pPr>
              <w:pStyle w:val="TableTextCentered"/>
            </w:pPr>
            <w:r w:rsidRPr="00900ADE">
              <w:t>96.6</w:t>
            </w:r>
          </w:p>
        </w:tc>
        <w:tc>
          <w:tcPr>
            <w:tcW w:w="1255" w:type="dxa"/>
            <w:vAlign w:val="center"/>
          </w:tcPr>
          <w:p w14:paraId="1A3E3BF1" w14:textId="77777777" w:rsidR="00852AC1" w:rsidRPr="00900ADE" w:rsidRDefault="00852AC1" w:rsidP="00852AC1">
            <w:pPr>
              <w:pStyle w:val="TableTextCentered"/>
            </w:pPr>
            <w:r w:rsidRPr="00900ADE">
              <w:t>96.4</w:t>
            </w:r>
          </w:p>
        </w:tc>
        <w:tc>
          <w:tcPr>
            <w:tcW w:w="1255" w:type="dxa"/>
            <w:vAlign w:val="center"/>
          </w:tcPr>
          <w:p w14:paraId="608E4173" w14:textId="77777777" w:rsidR="00852AC1" w:rsidRPr="00900ADE" w:rsidRDefault="00852AC1" w:rsidP="00852AC1">
            <w:pPr>
              <w:pStyle w:val="TableTextCentered"/>
            </w:pPr>
            <w:r w:rsidRPr="00900ADE">
              <w:t>89.2</w:t>
            </w:r>
          </w:p>
        </w:tc>
      </w:tr>
      <w:tr w:rsidR="00852AC1" w:rsidRPr="00900ADE" w14:paraId="17DAFEFD" w14:textId="77777777">
        <w:trPr>
          <w:jc w:val="center"/>
        </w:trPr>
        <w:tc>
          <w:tcPr>
            <w:tcW w:w="3052" w:type="dxa"/>
          </w:tcPr>
          <w:p w14:paraId="423CD94B" w14:textId="77777777" w:rsidR="00852AC1" w:rsidRPr="00900ADE" w:rsidRDefault="00852AC1" w:rsidP="00852AC1">
            <w:pPr>
              <w:pStyle w:val="TableText"/>
            </w:pPr>
            <w:r w:rsidRPr="00900ADE">
              <w:t>African American/Black</w:t>
            </w:r>
          </w:p>
        </w:tc>
        <w:tc>
          <w:tcPr>
            <w:tcW w:w="1254" w:type="dxa"/>
            <w:vAlign w:val="center"/>
          </w:tcPr>
          <w:p w14:paraId="3368E797" w14:textId="77777777" w:rsidR="00852AC1" w:rsidRPr="00900ADE" w:rsidRDefault="00852AC1" w:rsidP="00852AC1">
            <w:pPr>
              <w:pStyle w:val="TableTextCentered"/>
            </w:pPr>
            <w:r w:rsidRPr="00900ADE">
              <w:t>1</w:t>
            </w:r>
          </w:p>
        </w:tc>
        <w:tc>
          <w:tcPr>
            <w:tcW w:w="1255" w:type="dxa"/>
            <w:vAlign w:val="center"/>
          </w:tcPr>
          <w:p w14:paraId="5A89616C" w14:textId="77777777" w:rsidR="00852AC1" w:rsidRPr="00900ADE" w:rsidRDefault="00852AC1" w:rsidP="00852AC1">
            <w:pPr>
              <w:pStyle w:val="TableTextCentered"/>
            </w:pPr>
            <w:r w:rsidRPr="00900ADE">
              <w:t xml:space="preserve"> </w:t>
            </w:r>
          </w:p>
        </w:tc>
        <w:tc>
          <w:tcPr>
            <w:tcW w:w="1254" w:type="dxa"/>
            <w:vAlign w:val="center"/>
          </w:tcPr>
          <w:p w14:paraId="636B56B5" w14:textId="13D6ABF2" w:rsidR="00852AC1" w:rsidRPr="00900ADE" w:rsidRDefault="003A7D47" w:rsidP="00852AC1">
            <w:pPr>
              <w:pStyle w:val="TableTextCentered"/>
            </w:pPr>
            <w:r w:rsidRPr="00900ADE">
              <w:t>—</w:t>
            </w:r>
          </w:p>
        </w:tc>
        <w:tc>
          <w:tcPr>
            <w:tcW w:w="1255" w:type="dxa"/>
            <w:vAlign w:val="center"/>
          </w:tcPr>
          <w:p w14:paraId="27EA3BDE" w14:textId="2D8F2334" w:rsidR="00852AC1" w:rsidRPr="00900ADE" w:rsidRDefault="003A7D47" w:rsidP="00852AC1">
            <w:pPr>
              <w:pStyle w:val="TableTextCentered"/>
            </w:pPr>
            <w:r w:rsidRPr="00900ADE">
              <w:t>—</w:t>
            </w:r>
          </w:p>
        </w:tc>
        <w:tc>
          <w:tcPr>
            <w:tcW w:w="1255" w:type="dxa"/>
            <w:vAlign w:val="center"/>
          </w:tcPr>
          <w:p w14:paraId="60076C84" w14:textId="77777777" w:rsidR="00852AC1" w:rsidRPr="00900ADE" w:rsidRDefault="00852AC1" w:rsidP="00852AC1">
            <w:pPr>
              <w:pStyle w:val="TableTextCentered"/>
            </w:pPr>
            <w:r w:rsidRPr="00900ADE">
              <w:t>85.6</w:t>
            </w:r>
          </w:p>
        </w:tc>
      </w:tr>
      <w:tr w:rsidR="00852AC1" w:rsidRPr="00900ADE" w14:paraId="2942913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774ED20" w14:textId="77777777" w:rsidR="00852AC1" w:rsidRPr="00900ADE" w:rsidRDefault="00852AC1" w:rsidP="00852AC1">
            <w:pPr>
              <w:pStyle w:val="TableText"/>
            </w:pPr>
            <w:r w:rsidRPr="00900ADE">
              <w:t>Asian</w:t>
            </w:r>
          </w:p>
        </w:tc>
        <w:tc>
          <w:tcPr>
            <w:tcW w:w="1254" w:type="dxa"/>
            <w:vAlign w:val="center"/>
          </w:tcPr>
          <w:p w14:paraId="6BB9CDD2" w14:textId="77777777" w:rsidR="00852AC1" w:rsidRPr="00900ADE" w:rsidRDefault="00852AC1" w:rsidP="00852AC1">
            <w:pPr>
              <w:pStyle w:val="TableTextCentered"/>
            </w:pPr>
            <w:r w:rsidRPr="00900ADE">
              <w:t>5</w:t>
            </w:r>
          </w:p>
        </w:tc>
        <w:tc>
          <w:tcPr>
            <w:tcW w:w="1255" w:type="dxa"/>
            <w:vAlign w:val="center"/>
          </w:tcPr>
          <w:p w14:paraId="5219F264" w14:textId="77777777" w:rsidR="00852AC1" w:rsidRPr="00900ADE" w:rsidRDefault="00852AC1" w:rsidP="00852AC1">
            <w:pPr>
              <w:pStyle w:val="TableTextCentered"/>
            </w:pPr>
            <w:r w:rsidRPr="00900ADE">
              <w:t>100.0</w:t>
            </w:r>
          </w:p>
        </w:tc>
        <w:tc>
          <w:tcPr>
            <w:tcW w:w="1254" w:type="dxa"/>
            <w:vAlign w:val="center"/>
          </w:tcPr>
          <w:p w14:paraId="4874BEF8" w14:textId="77777777" w:rsidR="00852AC1" w:rsidRPr="00900ADE" w:rsidRDefault="00852AC1" w:rsidP="00852AC1">
            <w:pPr>
              <w:pStyle w:val="TableTextCentered"/>
            </w:pPr>
            <w:r w:rsidRPr="00900ADE">
              <w:t>100.0</w:t>
            </w:r>
          </w:p>
        </w:tc>
        <w:tc>
          <w:tcPr>
            <w:tcW w:w="1255" w:type="dxa"/>
            <w:vAlign w:val="center"/>
          </w:tcPr>
          <w:p w14:paraId="41CF055D" w14:textId="674655E2" w:rsidR="00852AC1" w:rsidRPr="00900ADE" w:rsidRDefault="003A7D47" w:rsidP="00852AC1">
            <w:pPr>
              <w:pStyle w:val="TableTextCentered"/>
            </w:pPr>
            <w:r w:rsidRPr="00900ADE">
              <w:t>—</w:t>
            </w:r>
          </w:p>
        </w:tc>
        <w:tc>
          <w:tcPr>
            <w:tcW w:w="1255" w:type="dxa"/>
            <w:vAlign w:val="center"/>
          </w:tcPr>
          <w:p w14:paraId="3E0D8F63" w14:textId="77777777" w:rsidR="00852AC1" w:rsidRPr="00900ADE" w:rsidRDefault="00852AC1" w:rsidP="00852AC1">
            <w:pPr>
              <w:pStyle w:val="TableTextCentered"/>
            </w:pPr>
            <w:r w:rsidRPr="00900ADE">
              <w:t>95.2</w:t>
            </w:r>
          </w:p>
        </w:tc>
      </w:tr>
      <w:tr w:rsidR="00852AC1" w:rsidRPr="00900ADE" w14:paraId="57830C1D" w14:textId="77777777">
        <w:trPr>
          <w:jc w:val="center"/>
        </w:trPr>
        <w:tc>
          <w:tcPr>
            <w:tcW w:w="3052" w:type="dxa"/>
          </w:tcPr>
          <w:p w14:paraId="79C908E5" w14:textId="77777777" w:rsidR="00852AC1" w:rsidRPr="00900ADE" w:rsidRDefault="00852AC1" w:rsidP="00852AC1">
            <w:pPr>
              <w:pStyle w:val="TableText"/>
            </w:pPr>
            <w:r w:rsidRPr="00900ADE">
              <w:t>Hispanic/Latino</w:t>
            </w:r>
          </w:p>
        </w:tc>
        <w:tc>
          <w:tcPr>
            <w:tcW w:w="1254" w:type="dxa"/>
            <w:vAlign w:val="center"/>
          </w:tcPr>
          <w:p w14:paraId="30674250" w14:textId="77777777" w:rsidR="00852AC1" w:rsidRPr="00900ADE" w:rsidRDefault="00852AC1" w:rsidP="00852AC1">
            <w:pPr>
              <w:pStyle w:val="TableTextCentered"/>
            </w:pPr>
            <w:r w:rsidRPr="00900ADE">
              <w:t>11</w:t>
            </w:r>
          </w:p>
        </w:tc>
        <w:tc>
          <w:tcPr>
            <w:tcW w:w="1255" w:type="dxa"/>
            <w:vAlign w:val="center"/>
          </w:tcPr>
          <w:p w14:paraId="0467BA21" w14:textId="77777777" w:rsidR="00852AC1" w:rsidRPr="00900ADE" w:rsidRDefault="00852AC1" w:rsidP="00852AC1">
            <w:pPr>
              <w:pStyle w:val="TableTextCentered"/>
            </w:pPr>
            <w:r w:rsidRPr="00900ADE">
              <w:t>100.0</w:t>
            </w:r>
          </w:p>
        </w:tc>
        <w:tc>
          <w:tcPr>
            <w:tcW w:w="1254" w:type="dxa"/>
            <w:vAlign w:val="center"/>
          </w:tcPr>
          <w:p w14:paraId="1A5C26E8" w14:textId="77777777" w:rsidR="00852AC1" w:rsidRPr="00900ADE" w:rsidRDefault="00852AC1" w:rsidP="00852AC1">
            <w:pPr>
              <w:pStyle w:val="TableTextCentered"/>
            </w:pPr>
            <w:r w:rsidRPr="00900ADE">
              <w:t>83.3</w:t>
            </w:r>
          </w:p>
        </w:tc>
        <w:tc>
          <w:tcPr>
            <w:tcW w:w="1255" w:type="dxa"/>
            <w:vAlign w:val="center"/>
          </w:tcPr>
          <w:p w14:paraId="5C4D5E7B" w14:textId="77777777" w:rsidR="00852AC1" w:rsidRPr="00900ADE" w:rsidRDefault="00852AC1" w:rsidP="00852AC1">
            <w:pPr>
              <w:pStyle w:val="TableTextCentered"/>
            </w:pPr>
            <w:r w:rsidRPr="00900ADE">
              <w:t>90.9</w:t>
            </w:r>
          </w:p>
        </w:tc>
        <w:tc>
          <w:tcPr>
            <w:tcW w:w="1255" w:type="dxa"/>
            <w:vAlign w:val="center"/>
          </w:tcPr>
          <w:p w14:paraId="1F2E8A79" w14:textId="77777777" w:rsidR="00852AC1" w:rsidRPr="00900ADE" w:rsidRDefault="00852AC1" w:rsidP="00852AC1">
            <w:pPr>
              <w:pStyle w:val="TableTextCentered"/>
            </w:pPr>
            <w:r w:rsidRPr="00900ADE">
              <w:t>78.9</w:t>
            </w:r>
          </w:p>
        </w:tc>
      </w:tr>
      <w:tr w:rsidR="00852AC1" w:rsidRPr="00900ADE" w14:paraId="5D75E91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9748B4D" w14:textId="77777777" w:rsidR="00852AC1" w:rsidRPr="00900ADE" w:rsidRDefault="00852AC1" w:rsidP="00852AC1">
            <w:pPr>
              <w:pStyle w:val="TableText"/>
            </w:pPr>
            <w:r w:rsidRPr="00900ADE">
              <w:rPr>
                <w:rFonts w:cstheme="minorHAnsi"/>
              </w:rPr>
              <w:t>Multi-Race, non-Hispanic/Latino</w:t>
            </w:r>
          </w:p>
        </w:tc>
        <w:tc>
          <w:tcPr>
            <w:tcW w:w="1254" w:type="dxa"/>
            <w:vAlign w:val="center"/>
          </w:tcPr>
          <w:p w14:paraId="6710EFD9" w14:textId="77777777" w:rsidR="00852AC1" w:rsidRPr="00900ADE" w:rsidRDefault="00852AC1" w:rsidP="00852AC1">
            <w:pPr>
              <w:pStyle w:val="TableTextCentered"/>
            </w:pPr>
            <w:r w:rsidRPr="00900ADE">
              <w:t>4</w:t>
            </w:r>
          </w:p>
        </w:tc>
        <w:tc>
          <w:tcPr>
            <w:tcW w:w="1255" w:type="dxa"/>
            <w:vAlign w:val="center"/>
          </w:tcPr>
          <w:p w14:paraId="0FCE40BC" w14:textId="1059B0B2" w:rsidR="00852AC1" w:rsidRPr="00900ADE" w:rsidRDefault="003A7D47" w:rsidP="00852AC1">
            <w:pPr>
              <w:pStyle w:val="TableTextCentered"/>
            </w:pPr>
            <w:r w:rsidRPr="00900ADE">
              <w:t>—</w:t>
            </w:r>
          </w:p>
        </w:tc>
        <w:tc>
          <w:tcPr>
            <w:tcW w:w="1254" w:type="dxa"/>
            <w:vAlign w:val="center"/>
          </w:tcPr>
          <w:p w14:paraId="76962B29" w14:textId="5BDC5E3A" w:rsidR="00852AC1" w:rsidRPr="00900ADE" w:rsidRDefault="003A7D47" w:rsidP="00852AC1">
            <w:pPr>
              <w:pStyle w:val="TableTextCentered"/>
            </w:pPr>
            <w:r w:rsidRPr="00900ADE">
              <w:t>—</w:t>
            </w:r>
          </w:p>
        </w:tc>
        <w:tc>
          <w:tcPr>
            <w:tcW w:w="1255" w:type="dxa"/>
            <w:vAlign w:val="center"/>
          </w:tcPr>
          <w:p w14:paraId="7A02ACF1" w14:textId="3017AE70" w:rsidR="00852AC1" w:rsidRPr="00900ADE" w:rsidRDefault="003A7D47" w:rsidP="00852AC1">
            <w:pPr>
              <w:pStyle w:val="TableTextCentered"/>
            </w:pPr>
            <w:r w:rsidRPr="00900ADE">
              <w:t>—</w:t>
            </w:r>
          </w:p>
        </w:tc>
        <w:tc>
          <w:tcPr>
            <w:tcW w:w="1255" w:type="dxa"/>
            <w:vAlign w:val="center"/>
          </w:tcPr>
          <w:p w14:paraId="53B18CDD" w14:textId="77777777" w:rsidR="00852AC1" w:rsidRPr="00900ADE" w:rsidRDefault="00852AC1" w:rsidP="00852AC1">
            <w:pPr>
              <w:pStyle w:val="TableTextCentered"/>
            </w:pPr>
            <w:r w:rsidRPr="00900ADE">
              <w:t>89.3</w:t>
            </w:r>
          </w:p>
        </w:tc>
      </w:tr>
      <w:tr w:rsidR="00852AC1" w:rsidRPr="00900ADE" w14:paraId="2A359680" w14:textId="77777777">
        <w:trPr>
          <w:jc w:val="center"/>
        </w:trPr>
        <w:tc>
          <w:tcPr>
            <w:tcW w:w="3052" w:type="dxa"/>
          </w:tcPr>
          <w:p w14:paraId="0F7C7D17" w14:textId="77777777" w:rsidR="00852AC1" w:rsidRPr="00900ADE" w:rsidRDefault="00852AC1" w:rsidP="00852AC1">
            <w:pPr>
              <w:pStyle w:val="TableText"/>
            </w:pPr>
            <w:r w:rsidRPr="00900ADE">
              <w:t>Native American</w:t>
            </w:r>
          </w:p>
        </w:tc>
        <w:tc>
          <w:tcPr>
            <w:tcW w:w="1254" w:type="dxa"/>
            <w:vAlign w:val="center"/>
          </w:tcPr>
          <w:p w14:paraId="35D78B63" w14:textId="77777777" w:rsidR="00852AC1" w:rsidRPr="00900ADE" w:rsidRDefault="00852AC1" w:rsidP="00852AC1">
            <w:pPr>
              <w:pStyle w:val="TableTextCentered"/>
            </w:pPr>
            <w:r w:rsidRPr="00900ADE">
              <w:t>1</w:t>
            </w:r>
          </w:p>
        </w:tc>
        <w:tc>
          <w:tcPr>
            <w:tcW w:w="1255" w:type="dxa"/>
            <w:vAlign w:val="center"/>
          </w:tcPr>
          <w:p w14:paraId="290B1900" w14:textId="178BD096" w:rsidR="00852AC1" w:rsidRPr="00900ADE" w:rsidRDefault="003A7D47" w:rsidP="00852AC1">
            <w:pPr>
              <w:pStyle w:val="TableTextCentered"/>
            </w:pPr>
            <w:r w:rsidRPr="00900ADE">
              <w:t>—</w:t>
            </w:r>
          </w:p>
        </w:tc>
        <w:tc>
          <w:tcPr>
            <w:tcW w:w="1254" w:type="dxa"/>
            <w:vAlign w:val="center"/>
          </w:tcPr>
          <w:p w14:paraId="29CAEC25" w14:textId="69CDD26C" w:rsidR="00852AC1" w:rsidRPr="00900ADE" w:rsidRDefault="003A7D47" w:rsidP="00852AC1">
            <w:pPr>
              <w:pStyle w:val="TableTextCentered"/>
            </w:pPr>
            <w:r w:rsidRPr="00900ADE">
              <w:t>—</w:t>
            </w:r>
          </w:p>
        </w:tc>
        <w:tc>
          <w:tcPr>
            <w:tcW w:w="1255" w:type="dxa"/>
            <w:vAlign w:val="center"/>
          </w:tcPr>
          <w:p w14:paraId="68D2046E" w14:textId="180E6176" w:rsidR="00852AC1" w:rsidRPr="00900ADE" w:rsidRDefault="003A7D47" w:rsidP="00852AC1">
            <w:pPr>
              <w:pStyle w:val="TableTextCentered"/>
            </w:pPr>
            <w:r w:rsidRPr="00900ADE">
              <w:t>—</w:t>
            </w:r>
          </w:p>
        </w:tc>
        <w:tc>
          <w:tcPr>
            <w:tcW w:w="1255" w:type="dxa"/>
            <w:vAlign w:val="center"/>
          </w:tcPr>
          <w:p w14:paraId="5C00EA9E" w14:textId="77777777" w:rsidR="00852AC1" w:rsidRPr="00900ADE" w:rsidRDefault="00852AC1" w:rsidP="00852AC1">
            <w:pPr>
              <w:pStyle w:val="TableTextCentered"/>
            </w:pPr>
            <w:r w:rsidRPr="00900ADE">
              <w:t>82.5</w:t>
            </w:r>
          </w:p>
        </w:tc>
      </w:tr>
      <w:tr w:rsidR="00852AC1" w:rsidRPr="00900ADE" w14:paraId="1F04D1C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4DB83F0" w14:textId="77777777" w:rsidR="00852AC1" w:rsidRPr="00900ADE" w:rsidRDefault="00852AC1" w:rsidP="00852AC1">
            <w:pPr>
              <w:pStyle w:val="TableText"/>
            </w:pPr>
            <w:r w:rsidRPr="00900ADE">
              <w:rPr>
                <w:rFonts w:eastAsia="Times New Roman"/>
                <w:spacing w:val="-4"/>
              </w:rPr>
              <w:t>Native Hawaiian, Pacific Islander</w:t>
            </w:r>
          </w:p>
        </w:tc>
        <w:tc>
          <w:tcPr>
            <w:tcW w:w="1254" w:type="dxa"/>
            <w:vAlign w:val="center"/>
          </w:tcPr>
          <w:p w14:paraId="54618D6A" w14:textId="7ABDB8BE" w:rsidR="00852AC1" w:rsidRPr="00900ADE" w:rsidRDefault="003A7D47" w:rsidP="00852AC1">
            <w:pPr>
              <w:pStyle w:val="TableTextCentered"/>
            </w:pPr>
            <w:r w:rsidRPr="00900ADE">
              <w:t>—</w:t>
            </w:r>
          </w:p>
        </w:tc>
        <w:tc>
          <w:tcPr>
            <w:tcW w:w="1255" w:type="dxa"/>
            <w:vAlign w:val="center"/>
          </w:tcPr>
          <w:p w14:paraId="3D7B05AF" w14:textId="5B6538CC" w:rsidR="00852AC1" w:rsidRPr="00900ADE" w:rsidRDefault="003A7D47" w:rsidP="00852AC1">
            <w:pPr>
              <w:pStyle w:val="TableTextCentered"/>
            </w:pPr>
            <w:r w:rsidRPr="00900ADE">
              <w:t>—</w:t>
            </w:r>
          </w:p>
        </w:tc>
        <w:tc>
          <w:tcPr>
            <w:tcW w:w="1254" w:type="dxa"/>
            <w:vAlign w:val="center"/>
          </w:tcPr>
          <w:p w14:paraId="3395CCD0" w14:textId="5540D9FA" w:rsidR="00852AC1" w:rsidRPr="00900ADE" w:rsidRDefault="003A7D47" w:rsidP="00852AC1">
            <w:pPr>
              <w:pStyle w:val="TableTextCentered"/>
            </w:pPr>
            <w:r w:rsidRPr="00900ADE">
              <w:t>—</w:t>
            </w:r>
          </w:p>
        </w:tc>
        <w:tc>
          <w:tcPr>
            <w:tcW w:w="1255" w:type="dxa"/>
            <w:vAlign w:val="center"/>
          </w:tcPr>
          <w:p w14:paraId="14DF10EC" w14:textId="33F72CEE" w:rsidR="00852AC1" w:rsidRPr="00900ADE" w:rsidRDefault="003A7D47" w:rsidP="00852AC1">
            <w:pPr>
              <w:pStyle w:val="TableTextCentered"/>
            </w:pPr>
            <w:r w:rsidRPr="00900ADE">
              <w:t>—</w:t>
            </w:r>
          </w:p>
        </w:tc>
        <w:tc>
          <w:tcPr>
            <w:tcW w:w="1255" w:type="dxa"/>
            <w:vAlign w:val="center"/>
          </w:tcPr>
          <w:p w14:paraId="4C98DA8B" w14:textId="77777777" w:rsidR="00852AC1" w:rsidRPr="00900ADE" w:rsidRDefault="00852AC1" w:rsidP="00852AC1">
            <w:pPr>
              <w:pStyle w:val="TableTextCentered"/>
            </w:pPr>
            <w:r w:rsidRPr="00900ADE">
              <w:t>89.9</w:t>
            </w:r>
          </w:p>
        </w:tc>
      </w:tr>
      <w:tr w:rsidR="00852AC1" w:rsidRPr="00900ADE" w14:paraId="75B01360" w14:textId="77777777">
        <w:trPr>
          <w:jc w:val="center"/>
        </w:trPr>
        <w:tc>
          <w:tcPr>
            <w:tcW w:w="3052" w:type="dxa"/>
          </w:tcPr>
          <w:p w14:paraId="16F16E02" w14:textId="77777777" w:rsidR="00852AC1" w:rsidRPr="00900ADE" w:rsidRDefault="00852AC1" w:rsidP="00852AC1">
            <w:pPr>
              <w:pStyle w:val="TableText"/>
            </w:pPr>
            <w:r w:rsidRPr="00900ADE">
              <w:t>White</w:t>
            </w:r>
          </w:p>
        </w:tc>
        <w:tc>
          <w:tcPr>
            <w:tcW w:w="1254" w:type="dxa"/>
            <w:vAlign w:val="center"/>
          </w:tcPr>
          <w:p w14:paraId="4715EF9C" w14:textId="77777777" w:rsidR="00852AC1" w:rsidRPr="00900ADE" w:rsidRDefault="00852AC1" w:rsidP="00852AC1">
            <w:pPr>
              <w:pStyle w:val="TableTextCentered"/>
            </w:pPr>
            <w:r w:rsidRPr="00900ADE">
              <w:t>145</w:t>
            </w:r>
          </w:p>
        </w:tc>
        <w:tc>
          <w:tcPr>
            <w:tcW w:w="1255" w:type="dxa"/>
            <w:vAlign w:val="center"/>
          </w:tcPr>
          <w:p w14:paraId="2F9605F2" w14:textId="77777777" w:rsidR="00852AC1" w:rsidRPr="00900ADE" w:rsidRDefault="00852AC1" w:rsidP="00852AC1">
            <w:pPr>
              <w:pStyle w:val="TableTextCentered"/>
            </w:pPr>
            <w:r w:rsidRPr="00900ADE">
              <w:t>96.2</w:t>
            </w:r>
          </w:p>
        </w:tc>
        <w:tc>
          <w:tcPr>
            <w:tcW w:w="1254" w:type="dxa"/>
            <w:vAlign w:val="center"/>
          </w:tcPr>
          <w:p w14:paraId="296ED953" w14:textId="77777777" w:rsidR="00852AC1" w:rsidRPr="00900ADE" w:rsidRDefault="00852AC1" w:rsidP="00852AC1">
            <w:pPr>
              <w:pStyle w:val="TableTextCentered"/>
            </w:pPr>
            <w:r w:rsidRPr="00900ADE">
              <w:t>96.9</w:t>
            </w:r>
          </w:p>
        </w:tc>
        <w:tc>
          <w:tcPr>
            <w:tcW w:w="1255" w:type="dxa"/>
            <w:vAlign w:val="center"/>
          </w:tcPr>
          <w:p w14:paraId="1C9418C6" w14:textId="77777777" w:rsidR="00852AC1" w:rsidRPr="00900ADE" w:rsidRDefault="00852AC1" w:rsidP="00852AC1">
            <w:pPr>
              <w:pStyle w:val="TableTextCentered"/>
            </w:pPr>
            <w:r w:rsidRPr="00900ADE">
              <w:t>96.6</w:t>
            </w:r>
          </w:p>
        </w:tc>
        <w:tc>
          <w:tcPr>
            <w:tcW w:w="1255" w:type="dxa"/>
            <w:vAlign w:val="center"/>
          </w:tcPr>
          <w:p w14:paraId="788732AD" w14:textId="77777777" w:rsidR="00852AC1" w:rsidRPr="00900ADE" w:rsidRDefault="00852AC1" w:rsidP="00852AC1">
            <w:pPr>
              <w:pStyle w:val="TableTextCentered"/>
            </w:pPr>
            <w:r w:rsidRPr="00900ADE">
              <w:t>93.0</w:t>
            </w:r>
          </w:p>
        </w:tc>
      </w:tr>
      <w:tr w:rsidR="00852AC1" w:rsidRPr="00900ADE" w14:paraId="5B2F95D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EE445E1" w14:textId="0AC06E5A" w:rsidR="00852AC1" w:rsidRPr="00900ADE" w:rsidRDefault="00852AC1" w:rsidP="00852AC1">
            <w:pPr>
              <w:pStyle w:val="TableText"/>
            </w:pPr>
            <w:r w:rsidRPr="00900ADE">
              <w:t xml:space="preserve">High </w:t>
            </w:r>
            <w:r w:rsidR="007775D6">
              <w:t>n</w:t>
            </w:r>
            <w:r w:rsidRPr="00900ADE">
              <w:t>eeds</w:t>
            </w:r>
          </w:p>
        </w:tc>
        <w:tc>
          <w:tcPr>
            <w:tcW w:w="1254" w:type="dxa"/>
            <w:vAlign w:val="center"/>
          </w:tcPr>
          <w:p w14:paraId="1659BA42" w14:textId="77777777" w:rsidR="00852AC1" w:rsidRPr="00900ADE" w:rsidRDefault="00852AC1" w:rsidP="00852AC1">
            <w:pPr>
              <w:pStyle w:val="TableTextCentered"/>
            </w:pPr>
            <w:r w:rsidRPr="00900ADE">
              <w:t>57</w:t>
            </w:r>
          </w:p>
        </w:tc>
        <w:tc>
          <w:tcPr>
            <w:tcW w:w="1255" w:type="dxa"/>
            <w:vAlign w:val="center"/>
          </w:tcPr>
          <w:p w14:paraId="0B4B30A6" w14:textId="77777777" w:rsidR="00852AC1" w:rsidRPr="00900ADE" w:rsidRDefault="00852AC1" w:rsidP="00852AC1">
            <w:pPr>
              <w:pStyle w:val="TableTextCentered"/>
            </w:pPr>
            <w:r w:rsidRPr="00900ADE">
              <w:t>88.4</w:t>
            </w:r>
          </w:p>
        </w:tc>
        <w:tc>
          <w:tcPr>
            <w:tcW w:w="1254" w:type="dxa"/>
            <w:vAlign w:val="center"/>
          </w:tcPr>
          <w:p w14:paraId="5E960C65" w14:textId="77777777" w:rsidR="00852AC1" w:rsidRPr="00900ADE" w:rsidRDefault="00852AC1" w:rsidP="00852AC1">
            <w:pPr>
              <w:pStyle w:val="TableTextCentered"/>
            </w:pPr>
            <w:r w:rsidRPr="00900ADE">
              <w:t>90.2</w:t>
            </w:r>
          </w:p>
        </w:tc>
        <w:tc>
          <w:tcPr>
            <w:tcW w:w="1255" w:type="dxa"/>
            <w:vAlign w:val="center"/>
          </w:tcPr>
          <w:p w14:paraId="3D667275" w14:textId="77777777" w:rsidR="00852AC1" w:rsidRPr="00900ADE" w:rsidRDefault="00852AC1" w:rsidP="00852AC1">
            <w:pPr>
              <w:pStyle w:val="TableTextCentered"/>
            </w:pPr>
            <w:r w:rsidRPr="00900ADE">
              <w:t>89.5</w:t>
            </w:r>
          </w:p>
        </w:tc>
        <w:tc>
          <w:tcPr>
            <w:tcW w:w="1255" w:type="dxa"/>
            <w:vAlign w:val="center"/>
          </w:tcPr>
          <w:p w14:paraId="1E41BE55" w14:textId="77777777" w:rsidR="00852AC1" w:rsidRPr="00900ADE" w:rsidRDefault="00852AC1" w:rsidP="00852AC1">
            <w:pPr>
              <w:pStyle w:val="TableTextCentered"/>
            </w:pPr>
            <w:r w:rsidRPr="00900ADE">
              <w:t>82.8</w:t>
            </w:r>
          </w:p>
        </w:tc>
      </w:tr>
      <w:tr w:rsidR="00852AC1" w:rsidRPr="00900ADE" w14:paraId="4ED9159D" w14:textId="77777777">
        <w:trPr>
          <w:jc w:val="center"/>
        </w:trPr>
        <w:tc>
          <w:tcPr>
            <w:tcW w:w="3052" w:type="dxa"/>
          </w:tcPr>
          <w:p w14:paraId="4B939C6A" w14:textId="77777777" w:rsidR="00852AC1" w:rsidRPr="00900ADE" w:rsidRDefault="00852AC1" w:rsidP="00852AC1">
            <w:pPr>
              <w:pStyle w:val="TableText"/>
            </w:pPr>
            <w:r w:rsidRPr="00900ADE">
              <w:t>Low income</w:t>
            </w:r>
          </w:p>
        </w:tc>
        <w:tc>
          <w:tcPr>
            <w:tcW w:w="1254" w:type="dxa"/>
            <w:vAlign w:val="center"/>
          </w:tcPr>
          <w:p w14:paraId="78E46366" w14:textId="77777777" w:rsidR="00852AC1" w:rsidRPr="00900ADE" w:rsidRDefault="00852AC1" w:rsidP="00852AC1">
            <w:pPr>
              <w:pStyle w:val="TableTextCentered"/>
            </w:pPr>
            <w:r w:rsidRPr="00900ADE">
              <w:t>36</w:t>
            </w:r>
          </w:p>
        </w:tc>
        <w:tc>
          <w:tcPr>
            <w:tcW w:w="1255" w:type="dxa"/>
            <w:vAlign w:val="center"/>
          </w:tcPr>
          <w:p w14:paraId="6CC63889" w14:textId="77777777" w:rsidR="00852AC1" w:rsidRPr="00900ADE" w:rsidRDefault="00852AC1" w:rsidP="00852AC1">
            <w:pPr>
              <w:pStyle w:val="TableTextCentered"/>
            </w:pPr>
            <w:r w:rsidRPr="00900ADE">
              <w:t>86.7</w:t>
            </w:r>
          </w:p>
        </w:tc>
        <w:tc>
          <w:tcPr>
            <w:tcW w:w="1254" w:type="dxa"/>
            <w:vAlign w:val="center"/>
          </w:tcPr>
          <w:p w14:paraId="0B73E2F9" w14:textId="77777777" w:rsidR="00852AC1" w:rsidRPr="00900ADE" w:rsidRDefault="00852AC1" w:rsidP="00852AC1">
            <w:pPr>
              <w:pStyle w:val="TableTextCentered"/>
            </w:pPr>
            <w:r w:rsidRPr="00900ADE">
              <w:t>85.7</w:t>
            </w:r>
          </w:p>
        </w:tc>
        <w:tc>
          <w:tcPr>
            <w:tcW w:w="1255" w:type="dxa"/>
            <w:vAlign w:val="center"/>
          </w:tcPr>
          <w:p w14:paraId="77D72007" w14:textId="77777777" w:rsidR="00852AC1" w:rsidRPr="00900ADE" w:rsidRDefault="00852AC1" w:rsidP="00852AC1">
            <w:pPr>
              <w:pStyle w:val="TableTextCentered"/>
            </w:pPr>
            <w:r w:rsidRPr="00900ADE">
              <w:t>91.7</w:t>
            </w:r>
          </w:p>
        </w:tc>
        <w:tc>
          <w:tcPr>
            <w:tcW w:w="1255" w:type="dxa"/>
            <w:vAlign w:val="center"/>
          </w:tcPr>
          <w:p w14:paraId="12F4A7E1" w14:textId="77777777" w:rsidR="00852AC1" w:rsidRPr="00900ADE" w:rsidRDefault="00852AC1" w:rsidP="00852AC1">
            <w:pPr>
              <w:pStyle w:val="TableTextCentered"/>
            </w:pPr>
            <w:r w:rsidRPr="00900ADE">
              <w:t>82.2</w:t>
            </w:r>
          </w:p>
        </w:tc>
      </w:tr>
      <w:tr w:rsidR="00852AC1" w:rsidRPr="00900ADE" w14:paraId="683D68E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91F0EAF" w14:textId="77777777" w:rsidR="00852AC1" w:rsidRPr="00900ADE" w:rsidRDefault="00852AC1" w:rsidP="00852AC1">
            <w:pPr>
              <w:pStyle w:val="TableText"/>
            </w:pPr>
            <w:r w:rsidRPr="00900ADE">
              <w:rPr>
                <w:spacing w:val="-4"/>
              </w:rPr>
              <w:t>English learners</w:t>
            </w:r>
          </w:p>
        </w:tc>
        <w:tc>
          <w:tcPr>
            <w:tcW w:w="1254" w:type="dxa"/>
            <w:vAlign w:val="center"/>
          </w:tcPr>
          <w:p w14:paraId="378349EF" w14:textId="77777777" w:rsidR="00852AC1" w:rsidRPr="00900ADE" w:rsidRDefault="00852AC1" w:rsidP="00852AC1">
            <w:pPr>
              <w:pStyle w:val="TableTextCentered"/>
            </w:pPr>
            <w:r w:rsidRPr="00900ADE">
              <w:t>3</w:t>
            </w:r>
          </w:p>
        </w:tc>
        <w:tc>
          <w:tcPr>
            <w:tcW w:w="1255" w:type="dxa"/>
            <w:vAlign w:val="center"/>
          </w:tcPr>
          <w:p w14:paraId="42B82121" w14:textId="77777777" w:rsidR="00852AC1" w:rsidRPr="00900ADE" w:rsidRDefault="00852AC1" w:rsidP="00852AC1">
            <w:pPr>
              <w:pStyle w:val="TableTextCentered"/>
            </w:pPr>
            <w:r w:rsidRPr="00900ADE">
              <w:t xml:space="preserve"> </w:t>
            </w:r>
          </w:p>
        </w:tc>
        <w:tc>
          <w:tcPr>
            <w:tcW w:w="1254" w:type="dxa"/>
            <w:vAlign w:val="center"/>
          </w:tcPr>
          <w:p w14:paraId="2CDBB785" w14:textId="487402F6" w:rsidR="00852AC1" w:rsidRPr="00900ADE" w:rsidRDefault="003A7D47" w:rsidP="00852AC1">
            <w:pPr>
              <w:pStyle w:val="TableTextCentered"/>
            </w:pPr>
            <w:r w:rsidRPr="00900ADE">
              <w:t>—</w:t>
            </w:r>
          </w:p>
        </w:tc>
        <w:tc>
          <w:tcPr>
            <w:tcW w:w="1255" w:type="dxa"/>
            <w:vAlign w:val="center"/>
          </w:tcPr>
          <w:p w14:paraId="041C3C91" w14:textId="25A26392" w:rsidR="00852AC1" w:rsidRPr="00900ADE" w:rsidRDefault="003A7D47" w:rsidP="00852AC1">
            <w:pPr>
              <w:pStyle w:val="TableTextCentered"/>
            </w:pPr>
            <w:r w:rsidRPr="00900ADE">
              <w:t>—</w:t>
            </w:r>
          </w:p>
        </w:tc>
        <w:tc>
          <w:tcPr>
            <w:tcW w:w="1255" w:type="dxa"/>
            <w:vAlign w:val="center"/>
          </w:tcPr>
          <w:p w14:paraId="4A4C3295" w14:textId="77777777" w:rsidR="00852AC1" w:rsidRPr="00900ADE" w:rsidRDefault="00852AC1" w:rsidP="00852AC1">
            <w:pPr>
              <w:pStyle w:val="TableTextCentered"/>
            </w:pPr>
            <w:r w:rsidRPr="00900ADE">
              <w:t>67.3</w:t>
            </w:r>
          </w:p>
        </w:tc>
      </w:tr>
      <w:tr w:rsidR="00852AC1" w:rsidRPr="00900ADE" w14:paraId="4CF4955F" w14:textId="77777777">
        <w:trPr>
          <w:jc w:val="center"/>
        </w:trPr>
        <w:tc>
          <w:tcPr>
            <w:tcW w:w="3052" w:type="dxa"/>
          </w:tcPr>
          <w:p w14:paraId="16EE398A" w14:textId="77777777" w:rsidR="00852AC1" w:rsidRPr="00900ADE" w:rsidRDefault="00852AC1" w:rsidP="00852AC1">
            <w:pPr>
              <w:pStyle w:val="TableText"/>
            </w:pPr>
            <w:r w:rsidRPr="00900ADE">
              <w:t>Students w/disabilities</w:t>
            </w:r>
          </w:p>
        </w:tc>
        <w:tc>
          <w:tcPr>
            <w:tcW w:w="1254" w:type="dxa"/>
            <w:vAlign w:val="center"/>
          </w:tcPr>
          <w:p w14:paraId="4C2231E2" w14:textId="77777777" w:rsidR="00852AC1" w:rsidRPr="00900ADE" w:rsidRDefault="00852AC1" w:rsidP="00852AC1">
            <w:pPr>
              <w:pStyle w:val="TableTextCentered"/>
            </w:pPr>
            <w:r w:rsidRPr="00900ADE">
              <w:t>27</w:t>
            </w:r>
          </w:p>
        </w:tc>
        <w:tc>
          <w:tcPr>
            <w:tcW w:w="1255" w:type="dxa"/>
            <w:vAlign w:val="center"/>
          </w:tcPr>
          <w:p w14:paraId="56E08145" w14:textId="77777777" w:rsidR="00852AC1" w:rsidRPr="00900ADE" w:rsidRDefault="00852AC1" w:rsidP="00852AC1">
            <w:pPr>
              <w:pStyle w:val="TableTextCentered"/>
            </w:pPr>
            <w:r w:rsidRPr="00900ADE">
              <w:t>80.8</w:t>
            </w:r>
          </w:p>
        </w:tc>
        <w:tc>
          <w:tcPr>
            <w:tcW w:w="1254" w:type="dxa"/>
            <w:vAlign w:val="center"/>
          </w:tcPr>
          <w:p w14:paraId="7DCC098E" w14:textId="77777777" w:rsidR="00852AC1" w:rsidRPr="00900ADE" w:rsidRDefault="00852AC1" w:rsidP="00852AC1">
            <w:pPr>
              <w:pStyle w:val="TableTextCentered"/>
            </w:pPr>
            <w:r w:rsidRPr="00900ADE">
              <w:t>88.9</w:t>
            </w:r>
          </w:p>
        </w:tc>
        <w:tc>
          <w:tcPr>
            <w:tcW w:w="1255" w:type="dxa"/>
            <w:vAlign w:val="center"/>
          </w:tcPr>
          <w:p w14:paraId="17979675" w14:textId="77777777" w:rsidR="00852AC1" w:rsidRPr="00900ADE" w:rsidRDefault="00852AC1" w:rsidP="00852AC1">
            <w:pPr>
              <w:pStyle w:val="TableTextCentered"/>
            </w:pPr>
            <w:r w:rsidRPr="00900ADE">
              <w:t>77.8</w:t>
            </w:r>
          </w:p>
        </w:tc>
        <w:tc>
          <w:tcPr>
            <w:tcW w:w="1255" w:type="dxa"/>
            <w:vAlign w:val="center"/>
          </w:tcPr>
          <w:p w14:paraId="2D73C260" w14:textId="77777777" w:rsidR="00852AC1" w:rsidRPr="00900ADE" w:rsidRDefault="00852AC1" w:rsidP="00852AC1">
            <w:pPr>
              <w:pStyle w:val="TableTextCentered"/>
            </w:pPr>
            <w:r w:rsidRPr="00900ADE">
              <w:t>76.4</w:t>
            </w:r>
          </w:p>
        </w:tc>
      </w:tr>
    </w:tbl>
    <w:p w14:paraId="5E1335B3" w14:textId="77777777" w:rsidR="00852AC1" w:rsidRPr="00900ADE" w:rsidRDefault="00852AC1" w:rsidP="00852AC1">
      <w:pPr>
        <w:spacing w:line="240" w:lineRule="auto"/>
        <w:rPr>
          <w:rFonts w:ascii="Franklin Gothic Book" w:hAnsi="Franklin Gothic Book"/>
          <w:sz w:val="20"/>
          <w:szCs w:val="20"/>
        </w:rPr>
      </w:pPr>
    </w:p>
    <w:p w14:paraId="22000C37" w14:textId="77777777" w:rsidR="00852AC1" w:rsidRPr="00900ADE" w:rsidRDefault="00852AC1" w:rsidP="00852AC1">
      <w:pPr>
        <w:spacing w:line="240" w:lineRule="auto"/>
        <w:rPr>
          <w:rFonts w:ascii="Franklin Gothic Book" w:hAnsi="Franklin Gothic Book"/>
          <w:sz w:val="20"/>
          <w:szCs w:val="20"/>
        </w:rPr>
      </w:pPr>
      <w:r w:rsidRPr="00900ADE">
        <w:rPr>
          <w:rFonts w:ascii="Franklin Gothic Book" w:hAnsi="Franklin Gothic Book"/>
          <w:sz w:val="20"/>
          <w:szCs w:val="20"/>
        </w:rPr>
        <w:br w:type="page"/>
      </w:r>
    </w:p>
    <w:p w14:paraId="3E6ABBE6" w14:textId="77777777" w:rsidR="00852AC1" w:rsidRPr="00900ADE" w:rsidRDefault="00852AC1" w:rsidP="00852AC1">
      <w:pPr>
        <w:pStyle w:val="TableETitle"/>
      </w:pPr>
      <w:bookmarkStart w:id="219" w:name="_Toc196169629"/>
      <w:bookmarkStart w:id="220" w:name="_Hlk138323648"/>
      <w:r w:rsidRPr="00900ADE">
        <w:lastRenderedPageBreak/>
        <w:t>Table E17. Five-Year Cohort Graduation Rates by Student Group, 2020-2022</w:t>
      </w:r>
      <w:bookmarkEnd w:id="219"/>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852AC1" w:rsidRPr="00900ADE" w14:paraId="7B3F46EC" w14:textId="77777777" w:rsidTr="00B87CA4">
        <w:trPr>
          <w:cnfStyle w:val="100000000000" w:firstRow="1" w:lastRow="0" w:firstColumn="0" w:lastColumn="0" w:oddVBand="0" w:evenVBand="0" w:oddHBand="0" w:evenHBand="0" w:firstRowFirstColumn="0" w:firstRowLastColumn="0" w:lastRowFirstColumn="0" w:lastRowLastColumn="0"/>
          <w:tblHeader/>
        </w:trPr>
        <w:tc>
          <w:tcPr>
            <w:tcW w:w="2965" w:type="dxa"/>
            <w:vAlign w:val="center"/>
          </w:tcPr>
          <w:p w14:paraId="1FB73335" w14:textId="77777777" w:rsidR="00852AC1" w:rsidRPr="00510408" w:rsidRDefault="00852AC1" w:rsidP="00852AC1">
            <w:pPr>
              <w:pStyle w:val="TableColHeadingCenter"/>
            </w:pPr>
            <w:r w:rsidRPr="00510408">
              <w:t>Group</w:t>
            </w:r>
          </w:p>
        </w:tc>
        <w:tc>
          <w:tcPr>
            <w:tcW w:w="1295" w:type="dxa"/>
            <w:vAlign w:val="center"/>
          </w:tcPr>
          <w:p w14:paraId="52344B20" w14:textId="61D2A776" w:rsidR="00852AC1" w:rsidRPr="00900ADE" w:rsidRDefault="00852AC1" w:rsidP="00852AC1">
            <w:pPr>
              <w:pStyle w:val="TableColHeadingCenter"/>
            </w:pPr>
            <w:r w:rsidRPr="00900ADE">
              <w:t xml:space="preserve"># </w:t>
            </w:r>
            <w:r w:rsidR="00CD7EAE" w:rsidRPr="00900ADE">
              <w:t>i</w:t>
            </w:r>
            <w:r w:rsidRPr="00900ADE">
              <w:t>ncluded (2022)</w:t>
            </w:r>
          </w:p>
        </w:tc>
        <w:tc>
          <w:tcPr>
            <w:tcW w:w="1295" w:type="dxa"/>
            <w:vAlign w:val="center"/>
          </w:tcPr>
          <w:p w14:paraId="3B32E06B" w14:textId="77777777" w:rsidR="00852AC1" w:rsidRPr="00900ADE" w:rsidRDefault="00852AC1" w:rsidP="00852AC1">
            <w:pPr>
              <w:pStyle w:val="TableColHeadingCenter"/>
            </w:pPr>
            <w:r w:rsidRPr="00900ADE">
              <w:t>2020 (%)</w:t>
            </w:r>
          </w:p>
        </w:tc>
        <w:tc>
          <w:tcPr>
            <w:tcW w:w="1296" w:type="dxa"/>
            <w:vAlign w:val="center"/>
          </w:tcPr>
          <w:p w14:paraId="29D841E3" w14:textId="77777777" w:rsidR="00852AC1" w:rsidRPr="00900ADE" w:rsidRDefault="00852AC1" w:rsidP="00852AC1">
            <w:pPr>
              <w:pStyle w:val="TableColHeadingCenter"/>
            </w:pPr>
            <w:r w:rsidRPr="00900ADE">
              <w:t>2021 (%)</w:t>
            </w:r>
          </w:p>
        </w:tc>
        <w:tc>
          <w:tcPr>
            <w:tcW w:w="1295" w:type="dxa"/>
            <w:vAlign w:val="center"/>
          </w:tcPr>
          <w:p w14:paraId="68647336" w14:textId="77777777" w:rsidR="00852AC1" w:rsidRPr="00900ADE" w:rsidRDefault="00852AC1" w:rsidP="00852AC1">
            <w:pPr>
              <w:pStyle w:val="TableColHeadingCenter"/>
            </w:pPr>
            <w:r w:rsidRPr="00900ADE">
              <w:t>2022 (%)</w:t>
            </w:r>
          </w:p>
        </w:tc>
        <w:tc>
          <w:tcPr>
            <w:tcW w:w="1296" w:type="dxa"/>
            <w:vAlign w:val="center"/>
          </w:tcPr>
          <w:p w14:paraId="70A4BEF9" w14:textId="77777777" w:rsidR="00852AC1" w:rsidRPr="00900ADE" w:rsidRDefault="00852AC1" w:rsidP="00852AC1">
            <w:pPr>
              <w:pStyle w:val="TableColHeadingCenter"/>
            </w:pPr>
            <w:r w:rsidRPr="00900ADE">
              <w:t>State 2022 (%)</w:t>
            </w:r>
          </w:p>
        </w:tc>
      </w:tr>
      <w:tr w:rsidR="00852AC1" w:rsidRPr="00900ADE" w14:paraId="17FF998E"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590BE4D" w14:textId="77777777" w:rsidR="00852AC1" w:rsidRPr="00900ADE" w:rsidRDefault="00852AC1" w:rsidP="00852AC1">
            <w:pPr>
              <w:pStyle w:val="TableText"/>
            </w:pPr>
            <w:r w:rsidRPr="00900ADE">
              <w:t>All</w:t>
            </w:r>
          </w:p>
        </w:tc>
        <w:tc>
          <w:tcPr>
            <w:tcW w:w="1295" w:type="dxa"/>
            <w:vAlign w:val="center"/>
          </w:tcPr>
          <w:p w14:paraId="5CE15F78" w14:textId="77777777" w:rsidR="00852AC1" w:rsidRPr="00900ADE" w:rsidRDefault="00852AC1" w:rsidP="00852AC1">
            <w:pPr>
              <w:pStyle w:val="TableTextCentered"/>
            </w:pPr>
            <w:r w:rsidRPr="00900ADE">
              <w:t>179</w:t>
            </w:r>
          </w:p>
        </w:tc>
        <w:tc>
          <w:tcPr>
            <w:tcW w:w="1295" w:type="dxa"/>
            <w:vAlign w:val="center"/>
          </w:tcPr>
          <w:p w14:paraId="4D187415" w14:textId="77777777" w:rsidR="00852AC1" w:rsidRPr="00900ADE" w:rsidRDefault="00852AC1" w:rsidP="00852AC1">
            <w:pPr>
              <w:pStyle w:val="TableTextCentered"/>
            </w:pPr>
            <w:r w:rsidRPr="00900ADE">
              <w:t>96.9</w:t>
            </w:r>
          </w:p>
        </w:tc>
        <w:tc>
          <w:tcPr>
            <w:tcW w:w="1296" w:type="dxa"/>
            <w:vAlign w:val="center"/>
          </w:tcPr>
          <w:p w14:paraId="3E2A1C46" w14:textId="77777777" w:rsidR="00852AC1" w:rsidRPr="00900ADE" w:rsidRDefault="00852AC1" w:rsidP="00852AC1">
            <w:pPr>
              <w:pStyle w:val="TableTextCentered"/>
            </w:pPr>
            <w:r w:rsidRPr="00900ADE">
              <w:t>96.8</w:t>
            </w:r>
          </w:p>
        </w:tc>
        <w:tc>
          <w:tcPr>
            <w:tcW w:w="1295" w:type="dxa"/>
            <w:vAlign w:val="center"/>
          </w:tcPr>
          <w:p w14:paraId="708B90AE" w14:textId="77777777" w:rsidR="00852AC1" w:rsidRPr="00900ADE" w:rsidRDefault="00852AC1" w:rsidP="00852AC1">
            <w:pPr>
              <w:pStyle w:val="TableTextCentered"/>
            </w:pPr>
            <w:r w:rsidRPr="00900ADE">
              <w:t>96.6</w:t>
            </w:r>
          </w:p>
        </w:tc>
        <w:tc>
          <w:tcPr>
            <w:tcW w:w="1296" w:type="dxa"/>
            <w:vAlign w:val="center"/>
          </w:tcPr>
          <w:p w14:paraId="353A4897" w14:textId="77777777" w:rsidR="00852AC1" w:rsidRPr="00900ADE" w:rsidRDefault="00852AC1" w:rsidP="00852AC1">
            <w:pPr>
              <w:pStyle w:val="TableTextCentered"/>
            </w:pPr>
            <w:r w:rsidRPr="00900ADE">
              <w:t>91.9</w:t>
            </w:r>
          </w:p>
        </w:tc>
      </w:tr>
      <w:tr w:rsidR="00852AC1" w:rsidRPr="00900ADE" w14:paraId="4AA50B63" w14:textId="77777777">
        <w:tc>
          <w:tcPr>
            <w:tcW w:w="2965" w:type="dxa"/>
          </w:tcPr>
          <w:p w14:paraId="43B2A81D" w14:textId="77777777" w:rsidR="00852AC1" w:rsidRPr="00900ADE" w:rsidRDefault="00852AC1" w:rsidP="00852AC1">
            <w:pPr>
              <w:pStyle w:val="TableText"/>
            </w:pPr>
            <w:r w:rsidRPr="00900ADE">
              <w:t>African American/Black</w:t>
            </w:r>
          </w:p>
        </w:tc>
        <w:tc>
          <w:tcPr>
            <w:tcW w:w="1295" w:type="dxa"/>
            <w:vAlign w:val="center"/>
          </w:tcPr>
          <w:p w14:paraId="37E83DF9" w14:textId="77777777" w:rsidR="00852AC1" w:rsidRPr="00900ADE" w:rsidRDefault="00852AC1" w:rsidP="00852AC1">
            <w:pPr>
              <w:pStyle w:val="TableTextCentered"/>
            </w:pPr>
            <w:r w:rsidRPr="00900ADE">
              <w:t>2</w:t>
            </w:r>
          </w:p>
        </w:tc>
        <w:tc>
          <w:tcPr>
            <w:tcW w:w="1295" w:type="dxa"/>
            <w:vAlign w:val="center"/>
          </w:tcPr>
          <w:p w14:paraId="639E4056" w14:textId="696F4862" w:rsidR="00852AC1" w:rsidRPr="00900ADE" w:rsidRDefault="003A7D47" w:rsidP="00852AC1">
            <w:pPr>
              <w:pStyle w:val="TableTextCentered"/>
            </w:pPr>
            <w:r w:rsidRPr="00900ADE">
              <w:t>—</w:t>
            </w:r>
          </w:p>
        </w:tc>
        <w:tc>
          <w:tcPr>
            <w:tcW w:w="1296" w:type="dxa"/>
            <w:vAlign w:val="center"/>
          </w:tcPr>
          <w:p w14:paraId="49171D00" w14:textId="77777777" w:rsidR="00852AC1" w:rsidRPr="00900ADE" w:rsidRDefault="00852AC1" w:rsidP="00852AC1">
            <w:pPr>
              <w:pStyle w:val="TableTextCentered"/>
            </w:pPr>
          </w:p>
        </w:tc>
        <w:tc>
          <w:tcPr>
            <w:tcW w:w="1295" w:type="dxa"/>
            <w:vAlign w:val="center"/>
          </w:tcPr>
          <w:p w14:paraId="16C06936" w14:textId="6D38D4BB" w:rsidR="00852AC1" w:rsidRPr="00900ADE" w:rsidRDefault="003A7D47" w:rsidP="00852AC1">
            <w:pPr>
              <w:pStyle w:val="TableTextCentered"/>
            </w:pPr>
            <w:r w:rsidRPr="00900ADE">
              <w:t>—</w:t>
            </w:r>
          </w:p>
        </w:tc>
        <w:tc>
          <w:tcPr>
            <w:tcW w:w="1296" w:type="dxa"/>
            <w:vAlign w:val="center"/>
          </w:tcPr>
          <w:p w14:paraId="6E90F8C8" w14:textId="77777777" w:rsidR="00852AC1" w:rsidRPr="00900ADE" w:rsidRDefault="00852AC1" w:rsidP="00852AC1">
            <w:pPr>
              <w:pStyle w:val="TableTextCentered"/>
            </w:pPr>
            <w:r w:rsidRPr="00900ADE">
              <w:t>90.1</w:t>
            </w:r>
          </w:p>
        </w:tc>
      </w:tr>
      <w:tr w:rsidR="00852AC1" w:rsidRPr="00900ADE" w14:paraId="225FA461"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8B2C32F" w14:textId="77777777" w:rsidR="00852AC1" w:rsidRPr="00900ADE" w:rsidRDefault="00852AC1" w:rsidP="00852AC1">
            <w:pPr>
              <w:pStyle w:val="TableText"/>
            </w:pPr>
            <w:r w:rsidRPr="00900ADE">
              <w:t>Asian</w:t>
            </w:r>
          </w:p>
        </w:tc>
        <w:tc>
          <w:tcPr>
            <w:tcW w:w="1295" w:type="dxa"/>
            <w:vAlign w:val="center"/>
          </w:tcPr>
          <w:p w14:paraId="3CF6C355" w14:textId="77777777" w:rsidR="00852AC1" w:rsidRPr="00900ADE" w:rsidRDefault="00852AC1" w:rsidP="00852AC1">
            <w:pPr>
              <w:pStyle w:val="TableTextCentered"/>
            </w:pPr>
            <w:r w:rsidRPr="00900ADE">
              <w:t>6</w:t>
            </w:r>
          </w:p>
        </w:tc>
        <w:tc>
          <w:tcPr>
            <w:tcW w:w="1295" w:type="dxa"/>
            <w:vAlign w:val="center"/>
          </w:tcPr>
          <w:p w14:paraId="61B064E0" w14:textId="3845F0D0" w:rsidR="00852AC1" w:rsidRPr="00900ADE" w:rsidRDefault="003A7D47" w:rsidP="00852AC1">
            <w:pPr>
              <w:pStyle w:val="TableTextCentered"/>
            </w:pPr>
            <w:r w:rsidRPr="00900ADE">
              <w:t>—</w:t>
            </w:r>
          </w:p>
        </w:tc>
        <w:tc>
          <w:tcPr>
            <w:tcW w:w="1296" w:type="dxa"/>
            <w:vAlign w:val="center"/>
          </w:tcPr>
          <w:p w14:paraId="471ACCC7" w14:textId="77777777" w:rsidR="00852AC1" w:rsidRPr="00900ADE" w:rsidRDefault="00852AC1" w:rsidP="00852AC1">
            <w:pPr>
              <w:pStyle w:val="TableTextCentered"/>
            </w:pPr>
            <w:r w:rsidRPr="00900ADE">
              <w:t>100.0</w:t>
            </w:r>
          </w:p>
        </w:tc>
        <w:tc>
          <w:tcPr>
            <w:tcW w:w="1295" w:type="dxa"/>
            <w:vAlign w:val="center"/>
          </w:tcPr>
          <w:p w14:paraId="6A2EBB3E" w14:textId="77777777" w:rsidR="00852AC1" w:rsidRPr="00900ADE" w:rsidRDefault="00852AC1" w:rsidP="00852AC1">
            <w:pPr>
              <w:pStyle w:val="TableTextCentered"/>
            </w:pPr>
            <w:r w:rsidRPr="00900ADE">
              <w:t>100.0</w:t>
            </w:r>
          </w:p>
        </w:tc>
        <w:tc>
          <w:tcPr>
            <w:tcW w:w="1296" w:type="dxa"/>
            <w:vAlign w:val="center"/>
          </w:tcPr>
          <w:p w14:paraId="1DD22845" w14:textId="77777777" w:rsidR="00852AC1" w:rsidRPr="00900ADE" w:rsidRDefault="00852AC1" w:rsidP="00852AC1">
            <w:pPr>
              <w:pStyle w:val="TableTextCentered"/>
            </w:pPr>
            <w:r w:rsidRPr="00900ADE">
              <w:t>96.9</w:t>
            </w:r>
          </w:p>
        </w:tc>
      </w:tr>
      <w:tr w:rsidR="00852AC1" w:rsidRPr="00900ADE" w14:paraId="01B13BA8" w14:textId="77777777">
        <w:tc>
          <w:tcPr>
            <w:tcW w:w="2965" w:type="dxa"/>
          </w:tcPr>
          <w:p w14:paraId="4A31D163" w14:textId="77777777" w:rsidR="00852AC1" w:rsidRPr="00900ADE" w:rsidRDefault="00852AC1" w:rsidP="00852AC1">
            <w:pPr>
              <w:pStyle w:val="TableText"/>
            </w:pPr>
            <w:r w:rsidRPr="00900ADE">
              <w:t>Hispanic/Latino</w:t>
            </w:r>
          </w:p>
        </w:tc>
        <w:tc>
          <w:tcPr>
            <w:tcW w:w="1295" w:type="dxa"/>
            <w:vAlign w:val="center"/>
          </w:tcPr>
          <w:p w14:paraId="743AACFC" w14:textId="77777777" w:rsidR="00852AC1" w:rsidRPr="00900ADE" w:rsidRDefault="00852AC1" w:rsidP="00852AC1">
            <w:pPr>
              <w:pStyle w:val="TableTextCentered"/>
            </w:pPr>
            <w:r w:rsidRPr="00900ADE">
              <w:t>6</w:t>
            </w:r>
          </w:p>
        </w:tc>
        <w:tc>
          <w:tcPr>
            <w:tcW w:w="1295" w:type="dxa"/>
            <w:vAlign w:val="center"/>
          </w:tcPr>
          <w:p w14:paraId="0A0B4094" w14:textId="77777777" w:rsidR="00852AC1" w:rsidRPr="00900ADE" w:rsidRDefault="00852AC1" w:rsidP="00852AC1">
            <w:pPr>
              <w:pStyle w:val="TableTextCentered"/>
            </w:pPr>
            <w:r w:rsidRPr="00900ADE">
              <w:t>90.0</w:t>
            </w:r>
          </w:p>
        </w:tc>
        <w:tc>
          <w:tcPr>
            <w:tcW w:w="1296" w:type="dxa"/>
            <w:vAlign w:val="center"/>
          </w:tcPr>
          <w:p w14:paraId="6CB91926" w14:textId="77777777" w:rsidR="00852AC1" w:rsidRPr="00900ADE" w:rsidRDefault="00852AC1" w:rsidP="00852AC1">
            <w:pPr>
              <w:pStyle w:val="TableTextCentered"/>
            </w:pPr>
            <w:r w:rsidRPr="00900ADE">
              <w:t>100.0</w:t>
            </w:r>
          </w:p>
        </w:tc>
        <w:tc>
          <w:tcPr>
            <w:tcW w:w="1295" w:type="dxa"/>
            <w:vAlign w:val="center"/>
          </w:tcPr>
          <w:p w14:paraId="1406A72A" w14:textId="77777777" w:rsidR="00852AC1" w:rsidRPr="00900ADE" w:rsidRDefault="00852AC1" w:rsidP="00852AC1">
            <w:pPr>
              <w:pStyle w:val="TableTextCentered"/>
            </w:pPr>
            <w:r w:rsidRPr="00900ADE">
              <w:t>83.3</w:t>
            </w:r>
          </w:p>
        </w:tc>
        <w:tc>
          <w:tcPr>
            <w:tcW w:w="1296" w:type="dxa"/>
            <w:vAlign w:val="center"/>
          </w:tcPr>
          <w:p w14:paraId="5E47C083" w14:textId="77777777" w:rsidR="00852AC1" w:rsidRPr="00900ADE" w:rsidRDefault="00852AC1" w:rsidP="00852AC1">
            <w:pPr>
              <w:pStyle w:val="TableTextCentered"/>
            </w:pPr>
            <w:r w:rsidRPr="00900ADE">
              <w:t>84.4</w:t>
            </w:r>
          </w:p>
        </w:tc>
      </w:tr>
      <w:tr w:rsidR="00852AC1" w:rsidRPr="00900ADE" w14:paraId="09440BEF"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74A5C40" w14:textId="77777777" w:rsidR="00852AC1" w:rsidRPr="00900ADE" w:rsidRDefault="00852AC1" w:rsidP="00852AC1">
            <w:pPr>
              <w:pStyle w:val="TableText"/>
            </w:pPr>
            <w:r w:rsidRPr="00900ADE">
              <w:rPr>
                <w:rFonts w:cstheme="minorHAnsi"/>
              </w:rPr>
              <w:t>Multi-Race, non-Hispanic/Latino</w:t>
            </w:r>
          </w:p>
        </w:tc>
        <w:tc>
          <w:tcPr>
            <w:tcW w:w="1295" w:type="dxa"/>
            <w:vAlign w:val="center"/>
          </w:tcPr>
          <w:p w14:paraId="4AC1A9EA" w14:textId="77777777" w:rsidR="00852AC1" w:rsidRPr="00900ADE" w:rsidRDefault="00852AC1" w:rsidP="00852AC1">
            <w:pPr>
              <w:pStyle w:val="TableTextCentered"/>
            </w:pPr>
            <w:r w:rsidRPr="00900ADE">
              <w:t>4</w:t>
            </w:r>
          </w:p>
        </w:tc>
        <w:tc>
          <w:tcPr>
            <w:tcW w:w="1295" w:type="dxa"/>
            <w:vAlign w:val="center"/>
          </w:tcPr>
          <w:p w14:paraId="02A05C5B" w14:textId="6E341E2C" w:rsidR="00852AC1" w:rsidRPr="00900ADE" w:rsidRDefault="003A7D47" w:rsidP="00852AC1">
            <w:pPr>
              <w:pStyle w:val="TableTextCentered"/>
            </w:pPr>
            <w:r w:rsidRPr="00900ADE">
              <w:t>—</w:t>
            </w:r>
          </w:p>
        </w:tc>
        <w:tc>
          <w:tcPr>
            <w:tcW w:w="1296" w:type="dxa"/>
            <w:vAlign w:val="center"/>
          </w:tcPr>
          <w:p w14:paraId="5D03B7E5" w14:textId="60766A2E" w:rsidR="00852AC1" w:rsidRPr="00900ADE" w:rsidRDefault="003A7D47" w:rsidP="00852AC1">
            <w:pPr>
              <w:pStyle w:val="TableTextCentered"/>
            </w:pPr>
            <w:r w:rsidRPr="00900ADE">
              <w:t>—</w:t>
            </w:r>
          </w:p>
        </w:tc>
        <w:tc>
          <w:tcPr>
            <w:tcW w:w="1295" w:type="dxa"/>
            <w:vAlign w:val="center"/>
          </w:tcPr>
          <w:p w14:paraId="72B2A5CE" w14:textId="39D44BA4" w:rsidR="00852AC1" w:rsidRPr="00900ADE" w:rsidRDefault="003A7D47" w:rsidP="00852AC1">
            <w:pPr>
              <w:pStyle w:val="TableTextCentered"/>
            </w:pPr>
            <w:r w:rsidRPr="00900ADE">
              <w:t>—</w:t>
            </w:r>
          </w:p>
        </w:tc>
        <w:tc>
          <w:tcPr>
            <w:tcW w:w="1296" w:type="dxa"/>
            <w:vAlign w:val="center"/>
          </w:tcPr>
          <w:p w14:paraId="4A8FC9F8" w14:textId="77777777" w:rsidR="00852AC1" w:rsidRPr="00900ADE" w:rsidRDefault="00852AC1" w:rsidP="00852AC1">
            <w:pPr>
              <w:pStyle w:val="TableTextCentered"/>
            </w:pPr>
            <w:r w:rsidRPr="00900ADE">
              <w:t>90.8</w:t>
            </w:r>
          </w:p>
        </w:tc>
      </w:tr>
      <w:tr w:rsidR="00852AC1" w:rsidRPr="00900ADE" w14:paraId="1439AF03" w14:textId="77777777">
        <w:tc>
          <w:tcPr>
            <w:tcW w:w="2965" w:type="dxa"/>
          </w:tcPr>
          <w:p w14:paraId="128A8553" w14:textId="77777777" w:rsidR="00852AC1" w:rsidRPr="00900ADE" w:rsidRDefault="00852AC1" w:rsidP="00852AC1">
            <w:pPr>
              <w:pStyle w:val="TableText"/>
            </w:pPr>
            <w:r w:rsidRPr="00900ADE">
              <w:t>Native American</w:t>
            </w:r>
          </w:p>
        </w:tc>
        <w:tc>
          <w:tcPr>
            <w:tcW w:w="1295" w:type="dxa"/>
            <w:vAlign w:val="center"/>
          </w:tcPr>
          <w:p w14:paraId="67298F27" w14:textId="77777777" w:rsidR="00852AC1" w:rsidRPr="00900ADE" w:rsidRDefault="00852AC1" w:rsidP="00852AC1">
            <w:pPr>
              <w:pStyle w:val="TableTextCentered"/>
            </w:pPr>
            <w:r w:rsidRPr="00900ADE">
              <w:t>1</w:t>
            </w:r>
          </w:p>
        </w:tc>
        <w:tc>
          <w:tcPr>
            <w:tcW w:w="1295" w:type="dxa"/>
            <w:vAlign w:val="center"/>
          </w:tcPr>
          <w:p w14:paraId="4065A861" w14:textId="20669FC2" w:rsidR="00852AC1" w:rsidRPr="00900ADE" w:rsidRDefault="003A7D47" w:rsidP="00852AC1">
            <w:pPr>
              <w:pStyle w:val="TableTextCentered"/>
            </w:pPr>
            <w:r w:rsidRPr="00900ADE">
              <w:t>—</w:t>
            </w:r>
          </w:p>
        </w:tc>
        <w:tc>
          <w:tcPr>
            <w:tcW w:w="1296" w:type="dxa"/>
            <w:vAlign w:val="center"/>
          </w:tcPr>
          <w:p w14:paraId="16F96995" w14:textId="1C0B8C67" w:rsidR="00852AC1" w:rsidRPr="00900ADE" w:rsidRDefault="003A7D47" w:rsidP="00852AC1">
            <w:pPr>
              <w:pStyle w:val="TableTextCentered"/>
            </w:pPr>
            <w:r w:rsidRPr="00900ADE">
              <w:t>—</w:t>
            </w:r>
          </w:p>
        </w:tc>
        <w:tc>
          <w:tcPr>
            <w:tcW w:w="1295" w:type="dxa"/>
            <w:vAlign w:val="center"/>
          </w:tcPr>
          <w:p w14:paraId="79543285" w14:textId="0216045E" w:rsidR="00852AC1" w:rsidRPr="00900ADE" w:rsidRDefault="003A7D47" w:rsidP="00852AC1">
            <w:pPr>
              <w:pStyle w:val="TableTextCentered"/>
            </w:pPr>
            <w:r w:rsidRPr="00900ADE">
              <w:t>—</w:t>
            </w:r>
          </w:p>
        </w:tc>
        <w:tc>
          <w:tcPr>
            <w:tcW w:w="1296" w:type="dxa"/>
            <w:vAlign w:val="center"/>
          </w:tcPr>
          <w:p w14:paraId="2E231DC4" w14:textId="77777777" w:rsidR="00852AC1" w:rsidRPr="00900ADE" w:rsidRDefault="00852AC1" w:rsidP="00852AC1">
            <w:pPr>
              <w:pStyle w:val="TableTextCentered"/>
            </w:pPr>
            <w:r w:rsidRPr="00900ADE">
              <w:t>87.1</w:t>
            </w:r>
          </w:p>
        </w:tc>
      </w:tr>
      <w:tr w:rsidR="00852AC1" w:rsidRPr="00900ADE" w14:paraId="2B198B3F"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3FBD285" w14:textId="77777777" w:rsidR="00852AC1" w:rsidRPr="00900ADE" w:rsidRDefault="00852AC1" w:rsidP="00852AC1">
            <w:pPr>
              <w:pStyle w:val="TableText"/>
            </w:pPr>
            <w:r w:rsidRPr="00900ADE">
              <w:rPr>
                <w:rFonts w:eastAsia="Times New Roman"/>
                <w:spacing w:val="-4"/>
              </w:rPr>
              <w:t>Native Hawaiian, Pacific Islander</w:t>
            </w:r>
          </w:p>
        </w:tc>
        <w:tc>
          <w:tcPr>
            <w:tcW w:w="1295" w:type="dxa"/>
            <w:vAlign w:val="center"/>
          </w:tcPr>
          <w:p w14:paraId="6EC7F648" w14:textId="21B23F6D" w:rsidR="00852AC1" w:rsidRPr="00900ADE" w:rsidRDefault="003A7D47" w:rsidP="00852AC1">
            <w:pPr>
              <w:pStyle w:val="TableTextCentered"/>
            </w:pPr>
            <w:r w:rsidRPr="00900ADE">
              <w:t>—</w:t>
            </w:r>
          </w:p>
        </w:tc>
        <w:tc>
          <w:tcPr>
            <w:tcW w:w="1295" w:type="dxa"/>
            <w:vAlign w:val="center"/>
          </w:tcPr>
          <w:p w14:paraId="08400A51" w14:textId="4E37F1B2" w:rsidR="00852AC1" w:rsidRPr="00900ADE" w:rsidRDefault="003A7D47" w:rsidP="00852AC1">
            <w:pPr>
              <w:pStyle w:val="TableTextCentered"/>
            </w:pPr>
            <w:r w:rsidRPr="00900ADE">
              <w:t>—</w:t>
            </w:r>
          </w:p>
        </w:tc>
        <w:tc>
          <w:tcPr>
            <w:tcW w:w="1296" w:type="dxa"/>
            <w:vAlign w:val="center"/>
          </w:tcPr>
          <w:p w14:paraId="1BD8771B" w14:textId="534013E0" w:rsidR="00852AC1" w:rsidRPr="00900ADE" w:rsidRDefault="003A7D47" w:rsidP="00852AC1">
            <w:pPr>
              <w:pStyle w:val="TableTextCentered"/>
            </w:pPr>
            <w:r w:rsidRPr="00900ADE">
              <w:t>—</w:t>
            </w:r>
          </w:p>
        </w:tc>
        <w:tc>
          <w:tcPr>
            <w:tcW w:w="1295" w:type="dxa"/>
            <w:vAlign w:val="center"/>
          </w:tcPr>
          <w:p w14:paraId="5A5E0AB1" w14:textId="5C476CE3" w:rsidR="00852AC1" w:rsidRPr="00900ADE" w:rsidRDefault="003A7D47" w:rsidP="00852AC1">
            <w:pPr>
              <w:pStyle w:val="TableTextCentered"/>
            </w:pPr>
            <w:r w:rsidRPr="00900ADE">
              <w:t>—</w:t>
            </w:r>
          </w:p>
        </w:tc>
        <w:tc>
          <w:tcPr>
            <w:tcW w:w="1296" w:type="dxa"/>
            <w:vAlign w:val="center"/>
          </w:tcPr>
          <w:p w14:paraId="64CD17DE" w14:textId="77777777" w:rsidR="00852AC1" w:rsidRPr="00900ADE" w:rsidRDefault="00852AC1" w:rsidP="00852AC1">
            <w:pPr>
              <w:pStyle w:val="TableTextCentered"/>
            </w:pPr>
            <w:r w:rsidRPr="00900ADE">
              <w:t>81.3</w:t>
            </w:r>
          </w:p>
        </w:tc>
      </w:tr>
      <w:tr w:rsidR="00852AC1" w:rsidRPr="00900ADE" w14:paraId="0087CE70" w14:textId="77777777">
        <w:tc>
          <w:tcPr>
            <w:tcW w:w="2965" w:type="dxa"/>
          </w:tcPr>
          <w:p w14:paraId="0DFFC36F" w14:textId="77777777" w:rsidR="00852AC1" w:rsidRPr="00900ADE" w:rsidRDefault="00852AC1" w:rsidP="00852AC1">
            <w:pPr>
              <w:pStyle w:val="TableText"/>
            </w:pPr>
            <w:r w:rsidRPr="00900ADE">
              <w:t>White</w:t>
            </w:r>
          </w:p>
        </w:tc>
        <w:tc>
          <w:tcPr>
            <w:tcW w:w="1295" w:type="dxa"/>
            <w:vAlign w:val="center"/>
          </w:tcPr>
          <w:p w14:paraId="27F9411B" w14:textId="77777777" w:rsidR="00852AC1" w:rsidRPr="00900ADE" w:rsidRDefault="00852AC1" w:rsidP="00852AC1">
            <w:pPr>
              <w:pStyle w:val="TableTextCentered"/>
            </w:pPr>
            <w:r w:rsidRPr="00900ADE">
              <w:t>160</w:t>
            </w:r>
          </w:p>
        </w:tc>
        <w:tc>
          <w:tcPr>
            <w:tcW w:w="1295" w:type="dxa"/>
            <w:vAlign w:val="center"/>
          </w:tcPr>
          <w:p w14:paraId="20438319" w14:textId="77777777" w:rsidR="00852AC1" w:rsidRPr="00900ADE" w:rsidRDefault="00852AC1" w:rsidP="00852AC1">
            <w:pPr>
              <w:pStyle w:val="TableTextCentered"/>
            </w:pPr>
            <w:r w:rsidRPr="00900ADE">
              <w:t>97.7</w:t>
            </w:r>
          </w:p>
        </w:tc>
        <w:tc>
          <w:tcPr>
            <w:tcW w:w="1296" w:type="dxa"/>
            <w:vAlign w:val="center"/>
          </w:tcPr>
          <w:p w14:paraId="59092B33" w14:textId="77777777" w:rsidR="00852AC1" w:rsidRPr="00900ADE" w:rsidRDefault="00852AC1" w:rsidP="00852AC1">
            <w:pPr>
              <w:pStyle w:val="TableTextCentered"/>
            </w:pPr>
            <w:r w:rsidRPr="00900ADE">
              <w:t>96.2</w:t>
            </w:r>
          </w:p>
        </w:tc>
        <w:tc>
          <w:tcPr>
            <w:tcW w:w="1295" w:type="dxa"/>
            <w:vAlign w:val="center"/>
          </w:tcPr>
          <w:p w14:paraId="4FCB2A8E" w14:textId="77777777" w:rsidR="00852AC1" w:rsidRPr="00900ADE" w:rsidRDefault="00852AC1" w:rsidP="00852AC1">
            <w:pPr>
              <w:pStyle w:val="TableTextCentered"/>
            </w:pPr>
            <w:r w:rsidRPr="00900ADE">
              <w:t>96.9</w:t>
            </w:r>
          </w:p>
        </w:tc>
        <w:tc>
          <w:tcPr>
            <w:tcW w:w="1296" w:type="dxa"/>
            <w:vAlign w:val="center"/>
          </w:tcPr>
          <w:p w14:paraId="402C5A0F" w14:textId="77777777" w:rsidR="00852AC1" w:rsidRPr="00900ADE" w:rsidRDefault="00852AC1" w:rsidP="00852AC1">
            <w:pPr>
              <w:pStyle w:val="TableTextCentered"/>
            </w:pPr>
            <w:r w:rsidRPr="00900ADE">
              <w:t>94.4</w:t>
            </w:r>
          </w:p>
        </w:tc>
      </w:tr>
      <w:tr w:rsidR="00852AC1" w:rsidRPr="00900ADE" w14:paraId="21EC5C9D"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507621F" w14:textId="658FBB55" w:rsidR="00852AC1" w:rsidRPr="00900ADE" w:rsidRDefault="00852AC1" w:rsidP="00852AC1">
            <w:pPr>
              <w:pStyle w:val="TableText"/>
            </w:pPr>
            <w:r w:rsidRPr="00900ADE">
              <w:t xml:space="preserve">High </w:t>
            </w:r>
            <w:r w:rsidR="00AD1D77">
              <w:t>n</w:t>
            </w:r>
            <w:r w:rsidRPr="00900ADE">
              <w:t>eeds</w:t>
            </w:r>
          </w:p>
        </w:tc>
        <w:tc>
          <w:tcPr>
            <w:tcW w:w="1295" w:type="dxa"/>
            <w:vAlign w:val="center"/>
          </w:tcPr>
          <w:p w14:paraId="374C2B63" w14:textId="77777777" w:rsidR="00852AC1" w:rsidRPr="00900ADE" w:rsidRDefault="00852AC1" w:rsidP="00852AC1">
            <w:pPr>
              <w:pStyle w:val="TableTextCentered"/>
            </w:pPr>
            <w:r w:rsidRPr="00900ADE">
              <w:t>61</w:t>
            </w:r>
          </w:p>
        </w:tc>
        <w:tc>
          <w:tcPr>
            <w:tcW w:w="1295" w:type="dxa"/>
            <w:vAlign w:val="center"/>
          </w:tcPr>
          <w:p w14:paraId="0029382E" w14:textId="77777777" w:rsidR="00852AC1" w:rsidRPr="00900ADE" w:rsidRDefault="00852AC1" w:rsidP="00852AC1">
            <w:pPr>
              <w:pStyle w:val="TableTextCentered"/>
            </w:pPr>
            <w:r w:rsidRPr="00900ADE">
              <w:t>92.3</w:t>
            </w:r>
          </w:p>
        </w:tc>
        <w:tc>
          <w:tcPr>
            <w:tcW w:w="1296" w:type="dxa"/>
            <w:vAlign w:val="center"/>
          </w:tcPr>
          <w:p w14:paraId="485CED90" w14:textId="77777777" w:rsidR="00852AC1" w:rsidRPr="00900ADE" w:rsidRDefault="00852AC1" w:rsidP="00852AC1">
            <w:pPr>
              <w:pStyle w:val="TableTextCentered"/>
            </w:pPr>
            <w:r w:rsidRPr="00900ADE">
              <w:t>88.4</w:t>
            </w:r>
          </w:p>
        </w:tc>
        <w:tc>
          <w:tcPr>
            <w:tcW w:w="1295" w:type="dxa"/>
            <w:vAlign w:val="center"/>
          </w:tcPr>
          <w:p w14:paraId="301297A3" w14:textId="77777777" w:rsidR="00852AC1" w:rsidRPr="00900ADE" w:rsidRDefault="00852AC1" w:rsidP="00852AC1">
            <w:pPr>
              <w:pStyle w:val="TableTextCentered"/>
            </w:pPr>
            <w:r w:rsidRPr="00900ADE">
              <w:t>90.2</w:t>
            </w:r>
          </w:p>
        </w:tc>
        <w:tc>
          <w:tcPr>
            <w:tcW w:w="1296" w:type="dxa"/>
            <w:vAlign w:val="center"/>
          </w:tcPr>
          <w:p w14:paraId="545026C6" w14:textId="77777777" w:rsidR="00852AC1" w:rsidRPr="00900ADE" w:rsidRDefault="00852AC1" w:rsidP="00852AC1">
            <w:pPr>
              <w:pStyle w:val="TableTextCentered"/>
            </w:pPr>
            <w:r w:rsidRPr="00900ADE">
              <w:t>86.8</w:t>
            </w:r>
          </w:p>
        </w:tc>
      </w:tr>
      <w:tr w:rsidR="00852AC1" w:rsidRPr="00900ADE" w14:paraId="072CF663" w14:textId="77777777">
        <w:tc>
          <w:tcPr>
            <w:tcW w:w="2965" w:type="dxa"/>
          </w:tcPr>
          <w:p w14:paraId="03A9AEFB" w14:textId="77777777" w:rsidR="00852AC1" w:rsidRPr="00900ADE" w:rsidRDefault="00852AC1" w:rsidP="00852AC1">
            <w:pPr>
              <w:pStyle w:val="TableText"/>
            </w:pPr>
            <w:r w:rsidRPr="00900ADE">
              <w:t>Low income</w:t>
            </w:r>
          </w:p>
        </w:tc>
        <w:tc>
          <w:tcPr>
            <w:tcW w:w="1295" w:type="dxa"/>
            <w:vAlign w:val="center"/>
          </w:tcPr>
          <w:p w14:paraId="1FAA92A6" w14:textId="77777777" w:rsidR="00852AC1" w:rsidRPr="00900ADE" w:rsidRDefault="00852AC1" w:rsidP="00852AC1">
            <w:pPr>
              <w:pStyle w:val="TableTextCentered"/>
            </w:pPr>
            <w:r w:rsidRPr="00900ADE">
              <w:t>35</w:t>
            </w:r>
          </w:p>
        </w:tc>
        <w:tc>
          <w:tcPr>
            <w:tcW w:w="1295" w:type="dxa"/>
            <w:vAlign w:val="center"/>
          </w:tcPr>
          <w:p w14:paraId="6DC8BE5F" w14:textId="77777777" w:rsidR="00852AC1" w:rsidRPr="00900ADE" w:rsidRDefault="00852AC1" w:rsidP="00852AC1">
            <w:pPr>
              <w:pStyle w:val="TableTextCentered"/>
            </w:pPr>
            <w:r w:rsidRPr="00900ADE">
              <w:t>89.3</w:t>
            </w:r>
          </w:p>
        </w:tc>
        <w:tc>
          <w:tcPr>
            <w:tcW w:w="1296" w:type="dxa"/>
            <w:vAlign w:val="center"/>
          </w:tcPr>
          <w:p w14:paraId="493C3B12" w14:textId="77777777" w:rsidR="00852AC1" w:rsidRPr="00900ADE" w:rsidRDefault="00852AC1" w:rsidP="00852AC1">
            <w:pPr>
              <w:pStyle w:val="TableTextCentered"/>
            </w:pPr>
            <w:r w:rsidRPr="00900ADE">
              <w:t>86.7</w:t>
            </w:r>
          </w:p>
        </w:tc>
        <w:tc>
          <w:tcPr>
            <w:tcW w:w="1295" w:type="dxa"/>
            <w:vAlign w:val="center"/>
          </w:tcPr>
          <w:p w14:paraId="26B3056C" w14:textId="77777777" w:rsidR="00852AC1" w:rsidRPr="00900ADE" w:rsidRDefault="00852AC1" w:rsidP="00852AC1">
            <w:pPr>
              <w:pStyle w:val="TableTextCentered"/>
            </w:pPr>
            <w:r w:rsidRPr="00900ADE">
              <w:t>85.7</w:t>
            </w:r>
          </w:p>
        </w:tc>
        <w:tc>
          <w:tcPr>
            <w:tcW w:w="1296" w:type="dxa"/>
            <w:vAlign w:val="center"/>
          </w:tcPr>
          <w:p w14:paraId="3CE3B895" w14:textId="77777777" w:rsidR="00852AC1" w:rsidRPr="00900ADE" w:rsidRDefault="00852AC1" w:rsidP="00852AC1">
            <w:pPr>
              <w:pStyle w:val="TableTextCentered"/>
            </w:pPr>
            <w:r w:rsidRPr="00900ADE">
              <w:t>86.3</w:t>
            </w:r>
          </w:p>
        </w:tc>
      </w:tr>
      <w:tr w:rsidR="00852AC1" w:rsidRPr="00900ADE" w14:paraId="0CBCB2BF"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2F4E7AA" w14:textId="77777777" w:rsidR="00852AC1" w:rsidRPr="00900ADE" w:rsidRDefault="00852AC1" w:rsidP="00852AC1">
            <w:pPr>
              <w:pStyle w:val="TableText"/>
            </w:pPr>
            <w:r w:rsidRPr="00900ADE">
              <w:rPr>
                <w:spacing w:val="-4"/>
              </w:rPr>
              <w:t>English learners</w:t>
            </w:r>
          </w:p>
        </w:tc>
        <w:tc>
          <w:tcPr>
            <w:tcW w:w="1295" w:type="dxa"/>
            <w:vAlign w:val="center"/>
          </w:tcPr>
          <w:p w14:paraId="68684B55" w14:textId="77777777" w:rsidR="00852AC1" w:rsidRPr="00900ADE" w:rsidRDefault="00852AC1" w:rsidP="00852AC1">
            <w:pPr>
              <w:pStyle w:val="TableTextCentered"/>
            </w:pPr>
            <w:r w:rsidRPr="00900ADE">
              <w:t>1</w:t>
            </w:r>
          </w:p>
        </w:tc>
        <w:tc>
          <w:tcPr>
            <w:tcW w:w="1295" w:type="dxa"/>
            <w:vAlign w:val="center"/>
          </w:tcPr>
          <w:p w14:paraId="041EEF46" w14:textId="357AF622" w:rsidR="00852AC1" w:rsidRPr="00900ADE" w:rsidRDefault="003A7D47" w:rsidP="00852AC1">
            <w:pPr>
              <w:pStyle w:val="TableTextCentered"/>
            </w:pPr>
            <w:r w:rsidRPr="00900ADE">
              <w:t>—</w:t>
            </w:r>
          </w:p>
        </w:tc>
        <w:tc>
          <w:tcPr>
            <w:tcW w:w="1296" w:type="dxa"/>
            <w:vAlign w:val="center"/>
          </w:tcPr>
          <w:p w14:paraId="31CDF96B" w14:textId="77777777" w:rsidR="00852AC1" w:rsidRPr="00900ADE" w:rsidRDefault="00852AC1" w:rsidP="00852AC1">
            <w:pPr>
              <w:pStyle w:val="TableTextCentered"/>
            </w:pPr>
          </w:p>
        </w:tc>
        <w:tc>
          <w:tcPr>
            <w:tcW w:w="1295" w:type="dxa"/>
            <w:vAlign w:val="center"/>
          </w:tcPr>
          <w:p w14:paraId="45E63F0F" w14:textId="494156DC" w:rsidR="00852AC1" w:rsidRPr="00900ADE" w:rsidRDefault="003A7D47" w:rsidP="00852AC1">
            <w:pPr>
              <w:pStyle w:val="TableTextCentered"/>
            </w:pPr>
            <w:r w:rsidRPr="00900ADE">
              <w:t>—</w:t>
            </w:r>
          </w:p>
        </w:tc>
        <w:tc>
          <w:tcPr>
            <w:tcW w:w="1296" w:type="dxa"/>
            <w:vAlign w:val="center"/>
          </w:tcPr>
          <w:p w14:paraId="2D0DFD57" w14:textId="77777777" w:rsidR="00852AC1" w:rsidRPr="00900ADE" w:rsidRDefault="00852AC1" w:rsidP="00852AC1">
            <w:pPr>
              <w:pStyle w:val="TableTextCentered"/>
            </w:pPr>
            <w:r w:rsidRPr="00900ADE">
              <w:t>78.0</w:t>
            </w:r>
          </w:p>
        </w:tc>
      </w:tr>
      <w:tr w:rsidR="00852AC1" w:rsidRPr="00900ADE" w14:paraId="11837023" w14:textId="77777777">
        <w:tc>
          <w:tcPr>
            <w:tcW w:w="2965" w:type="dxa"/>
          </w:tcPr>
          <w:p w14:paraId="3E220F72" w14:textId="77777777" w:rsidR="00852AC1" w:rsidRPr="00900ADE" w:rsidRDefault="00852AC1" w:rsidP="00852AC1">
            <w:pPr>
              <w:pStyle w:val="TableText"/>
            </w:pPr>
            <w:r w:rsidRPr="00900ADE">
              <w:t>Students w/disabilities</w:t>
            </w:r>
          </w:p>
        </w:tc>
        <w:tc>
          <w:tcPr>
            <w:tcW w:w="1295" w:type="dxa"/>
            <w:vAlign w:val="center"/>
          </w:tcPr>
          <w:p w14:paraId="3BB75BE3" w14:textId="77777777" w:rsidR="00852AC1" w:rsidRPr="00900ADE" w:rsidRDefault="00852AC1" w:rsidP="00852AC1">
            <w:pPr>
              <w:pStyle w:val="TableTextCentered"/>
            </w:pPr>
            <w:r w:rsidRPr="00900ADE">
              <w:t>36</w:t>
            </w:r>
          </w:p>
        </w:tc>
        <w:tc>
          <w:tcPr>
            <w:tcW w:w="1295" w:type="dxa"/>
            <w:vAlign w:val="center"/>
          </w:tcPr>
          <w:p w14:paraId="044CD448" w14:textId="77777777" w:rsidR="00852AC1" w:rsidRPr="00900ADE" w:rsidRDefault="00852AC1" w:rsidP="00852AC1">
            <w:pPr>
              <w:pStyle w:val="TableTextCentered"/>
            </w:pPr>
            <w:r w:rsidRPr="00900ADE">
              <w:t>93.5</w:t>
            </w:r>
          </w:p>
        </w:tc>
        <w:tc>
          <w:tcPr>
            <w:tcW w:w="1296" w:type="dxa"/>
            <w:vAlign w:val="center"/>
          </w:tcPr>
          <w:p w14:paraId="12788635" w14:textId="77777777" w:rsidR="00852AC1" w:rsidRPr="00900ADE" w:rsidRDefault="00852AC1" w:rsidP="00852AC1">
            <w:pPr>
              <w:pStyle w:val="TableTextCentered"/>
            </w:pPr>
            <w:r w:rsidRPr="00900ADE">
              <w:t>80.8</w:t>
            </w:r>
          </w:p>
        </w:tc>
        <w:tc>
          <w:tcPr>
            <w:tcW w:w="1295" w:type="dxa"/>
            <w:vAlign w:val="center"/>
          </w:tcPr>
          <w:p w14:paraId="34C14DA3" w14:textId="77777777" w:rsidR="00852AC1" w:rsidRPr="00900ADE" w:rsidRDefault="00852AC1" w:rsidP="00852AC1">
            <w:pPr>
              <w:pStyle w:val="TableTextCentered"/>
            </w:pPr>
            <w:r w:rsidRPr="00900ADE">
              <w:t>88.9</w:t>
            </w:r>
          </w:p>
        </w:tc>
        <w:tc>
          <w:tcPr>
            <w:tcW w:w="1296" w:type="dxa"/>
            <w:vAlign w:val="center"/>
          </w:tcPr>
          <w:p w14:paraId="76CC2A66" w14:textId="77777777" w:rsidR="00852AC1" w:rsidRPr="00900ADE" w:rsidRDefault="00852AC1" w:rsidP="00852AC1">
            <w:pPr>
              <w:pStyle w:val="TableTextCentered"/>
            </w:pPr>
            <w:r w:rsidRPr="00900ADE">
              <w:t>81.8</w:t>
            </w:r>
          </w:p>
        </w:tc>
      </w:tr>
    </w:tbl>
    <w:p w14:paraId="749BC124" w14:textId="77777777" w:rsidR="00852AC1" w:rsidRPr="00900ADE" w:rsidRDefault="00852AC1" w:rsidP="00C9717C">
      <w:pPr>
        <w:pStyle w:val="TableETitle"/>
        <w:spacing w:before="240"/>
      </w:pPr>
      <w:bookmarkStart w:id="221" w:name="_Toc196169630"/>
      <w:r w:rsidRPr="00900ADE">
        <w:t>Table E18. Annual Dropout Rates by Student Group, 2021-2023</w:t>
      </w:r>
      <w:bookmarkEnd w:id="221"/>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852AC1" w:rsidRPr="00900ADE" w14:paraId="21528896" w14:textId="77777777" w:rsidTr="00B87CA4">
        <w:trPr>
          <w:cnfStyle w:val="100000000000" w:firstRow="1" w:lastRow="0" w:firstColumn="0" w:lastColumn="0" w:oddVBand="0" w:evenVBand="0" w:oddHBand="0" w:evenHBand="0" w:firstRowFirstColumn="0" w:firstRowLastColumn="0" w:lastRowFirstColumn="0" w:lastRowLastColumn="0"/>
          <w:tblHeader/>
        </w:trPr>
        <w:tc>
          <w:tcPr>
            <w:tcW w:w="2965" w:type="dxa"/>
            <w:vAlign w:val="center"/>
          </w:tcPr>
          <w:p w14:paraId="164D8462" w14:textId="77777777" w:rsidR="00852AC1" w:rsidRPr="00900ADE" w:rsidRDefault="00852AC1" w:rsidP="00852AC1">
            <w:pPr>
              <w:pStyle w:val="TableColHeadingCenter"/>
            </w:pPr>
            <w:r w:rsidRPr="00900ADE">
              <w:t>Group</w:t>
            </w:r>
          </w:p>
        </w:tc>
        <w:tc>
          <w:tcPr>
            <w:tcW w:w="1295" w:type="dxa"/>
            <w:vAlign w:val="center"/>
          </w:tcPr>
          <w:p w14:paraId="36DC5248" w14:textId="6AAE0DF6" w:rsidR="00852AC1" w:rsidRPr="00900ADE" w:rsidRDefault="00852AC1" w:rsidP="00852AC1">
            <w:pPr>
              <w:pStyle w:val="TableColHeadingCenter"/>
            </w:pPr>
            <w:r w:rsidRPr="00900ADE">
              <w:t xml:space="preserve"># </w:t>
            </w:r>
            <w:r w:rsidR="00CD7EAE" w:rsidRPr="00900ADE">
              <w:t>i</w:t>
            </w:r>
            <w:r w:rsidRPr="00900ADE">
              <w:t>ncluded (2023)</w:t>
            </w:r>
          </w:p>
        </w:tc>
        <w:tc>
          <w:tcPr>
            <w:tcW w:w="1295" w:type="dxa"/>
            <w:vAlign w:val="center"/>
          </w:tcPr>
          <w:p w14:paraId="3D4D7437" w14:textId="77777777" w:rsidR="00852AC1" w:rsidRPr="00900ADE" w:rsidRDefault="00852AC1" w:rsidP="00852AC1">
            <w:pPr>
              <w:pStyle w:val="TableColHeadingCenter"/>
            </w:pPr>
            <w:r w:rsidRPr="00900ADE">
              <w:t>2021 (%)</w:t>
            </w:r>
          </w:p>
        </w:tc>
        <w:tc>
          <w:tcPr>
            <w:tcW w:w="1296" w:type="dxa"/>
            <w:vAlign w:val="center"/>
          </w:tcPr>
          <w:p w14:paraId="5F703693" w14:textId="77777777" w:rsidR="00852AC1" w:rsidRPr="00900ADE" w:rsidRDefault="00852AC1" w:rsidP="00852AC1">
            <w:pPr>
              <w:pStyle w:val="TableColHeadingCenter"/>
            </w:pPr>
            <w:r w:rsidRPr="00900ADE">
              <w:t>2022 (%)</w:t>
            </w:r>
          </w:p>
        </w:tc>
        <w:tc>
          <w:tcPr>
            <w:tcW w:w="1295" w:type="dxa"/>
            <w:vAlign w:val="center"/>
          </w:tcPr>
          <w:p w14:paraId="6EEA8203" w14:textId="77777777" w:rsidR="00852AC1" w:rsidRPr="00900ADE" w:rsidRDefault="00852AC1" w:rsidP="00852AC1">
            <w:pPr>
              <w:pStyle w:val="TableColHeadingCenter"/>
            </w:pPr>
            <w:r w:rsidRPr="00900ADE">
              <w:t>2023 (%)</w:t>
            </w:r>
          </w:p>
        </w:tc>
        <w:tc>
          <w:tcPr>
            <w:tcW w:w="1296" w:type="dxa"/>
            <w:vAlign w:val="center"/>
          </w:tcPr>
          <w:p w14:paraId="358A9A69" w14:textId="77777777" w:rsidR="00852AC1" w:rsidRPr="00900ADE" w:rsidRDefault="00852AC1" w:rsidP="00852AC1">
            <w:pPr>
              <w:pStyle w:val="TableColHeadingCenter"/>
            </w:pPr>
            <w:r w:rsidRPr="00900ADE">
              <w:t>State 2023 (%)</w:t>
            </w:r>
          </w:p>
        </w:tc>
      </w:tr>
      <w:tr w:rsidR="00852AC1" w:rsidRPr="00900ADE" w14:paraId="46CA57FB"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64E9F2E" w14:textId="77777777" w:rsidR="00852AC1" w:rsidRPr="00900ADE" w:rsidRDefault="00852AC1" w:rsidP="00852AC1">
            <w:pPr>
              <w:pStyle w:val="TableText"/>
            </w:pPr>
            <w:r w:rsidRPr="00900ADE">
              <w:t>All</w:t>
            </w:r>
          </w:p>
        </w:tc>
        <w:tc>
          <w:tcPr>
            <w:tcW w:w="1295" w:type="dxa"/>
            <w:vAlign w:val="center"/>
          </w:tcPr>
          <w:p w14:paraId="413DACDC" w14:textId="77777777" w:rsidR="00852AC1" w:rsidRPr="00900ADE" w:rsidRDefault="00852AC1" w:rsidP="00852AC1">
            <w:pPr>
              <w:pStyle w:val="TableTextCentered"/>
            </w:pPr>
            <w:r w:rsidRPr="00900ADE">
              <w:t>613</w:t>
            </w:r>
          </w:p>
        </w:tc>
        <w:tc>
          <w:tcPr>
            <w:tcW w:w="1295" w:type="dxa"/>
            <w:vAlign w:val="center"/>
          </w:tcPr>
          <w:p w14:paraId="761D4537" w14:textId="77777777" w:rsidR="00852AC1" w:rsidRPr="00900ADE" w:rsidRDefault="00852AC1" w:rsidP="00852AC1">
            <w:pPr>
              <w:pStyle w:val="TableTextCentered"/>
            </w:pPr>
            <w:r w:rsidRPr="00900ADE">
              <w:t>0.6</w:t>
            </w:r>
          </w:p>
        </w:tc>
        <w:tc>
          <w:tcPr>
            <w:tcW w:w="1296" w:type="dxa"/>
            <w:vAlign w:val="center"/>
          </w:tcPr>
          <w:p w14:paraId="5BF55241" w14:textId="77777777" w:rsidR="00852AC1" w:rsidRPr="00900ADE" w:rsidRDefault="00852AC1" w:rsidP="00852AC1">
            <w:pPr>
              <w:pStyle w:val="TableTextCentered"/>
            </w:pPr>
            <w:r w:rsidRPr="00900ADE">
              <w:t>0.3</w:t>
            </w:r>
          </w:p>
        </w:tc>
        <w:tc>
          <w:tcPr>
            <w:tcW w:w="1295" w:type="dxa"/>
            <w:vAlign w:val="center"/>
          </w:tcPr>
          <w:p w14:paraId="6D616A71" w14:textId="77777777" w:rsidR="00852AC1" w:rsidRPr="00900ADE" w:rsidRDefault="00852AC1" w:rsidP="00852AC1">
            <w:pPr>
              <w:pStyle w:val="TableTextCentered"/>
            </w:pPr>
            <w:r w:rsidRPr="00900ADE">
              <w:t>0.5</w:t>
            </w:r>
          </w:p>
        </w:tc>
        <w:tc>
          <w:tcPr>
            <w:tcW w:w="1296" w:type="dxa"/>
            <w:vAlign w:val="center"/>
          </w:tcPr>
          <w:p w14:paraId="4D3D614B" w14:textId="77777777" w:rsidR="00852AC1" w:rsidRPr="00900ADE" w:rsidRDefault="00852AC1" w:rsidP="00852AC1">
            <w:pPr>
              <w:pStyle w:val="TableTextCentered"/>
            </w:pPr>
            <w:r w:rsidRPr="00900ADE">
              <w:t>2.1</w:t>
            </w:r>
          </w:p>
        </w:tc>
      </w:tr>
      <w:tr w:rsidR="00852AC1" w:rsidRPr="00900ADE" w14:paraId="68AAFD49" w14:textId="77777777">
        <w:tc>
          <w:tcPr>
            <w:tcW w:w="2965" w:type="dxa"/>
          </w:tcPr>
          <w:p w14:paraId="5B9E1AF0" w14:textId="77777777" w:rsidR="00852AC1" w:rsidRPr="00900ADE" w:rsidRDefault="00852AC1" w:rsidP="00852AC1">
            <w:pPr>
              <w:pStyle w:val="TableText"/>
            </w:pPr>
            <w:r w:rsidRPr="00900ADE">
              <w:t>African American/Black</w:t>
            </w:r>
          </w:p>
        </w:tc>
        <w:tc>
          <w:tcPr>
            <w:tcW w:w="1295" w:type="dxa"/>
            <w:vAlign w:val="center"/>
          </w:tcPr>
          <w:p w14:paraId="5B7C5276" w14:textId="77777777" w:rsidR="00852AC1" w:rsidRPr="00900ADE" w:rsidRDefault="00852AC1" w:rsidP="00852AC1">
            <w:pPr>
              <w:pStyle w:val="TableTextCentered"/>
            </w:pPr>
            <w:r w:rsidRPr="00900ADE">
              <w:t>11</w:t>
            </w:r>
          </w:p>
        </w:tc>
        <w:tc>
          <w:tcPr>
            <w:tcW w:w="1295" w:type="dxa"/>
            <w:vAlign w:val="center"/>
          </w:tcPr>
          <w:p w14:paraId="4B745A93" w14:textId="77777777" w:rsidR="00852AC1" w:rsidRPr="00900ADE" w:rsidRDefault="00852AC1" w:rsidP="00852AC1">
            <w:pPr>
              <w:pStyle w:val="TableTextCentered"/>
            </w:pPr>
            <w:r w:rsidRPr="00900ADE">
              <w:t>0.0</w:t>
            </w:r>
          </w:p>
        </w:tc>
        <w:tc>
          <w:tcPr>
            <w:tcW w:w="1296" w:type="dxa"/>
            <w:vAlign w:val="center"/>
          </w:tcPr>
          <w:p w14:paraId="49C38DD9" w14:textId="77777777" w:rsidR="00852AC1" w:rsidRPr="00900ADE" w:rsidRDefault="00852AC1" w:rsidP="00852AC1">
            <w:pPr>
              <w:pStyle w:val="TableTextCentered"/>
            </w:pPr>
            <w:r w:rsidRPr="00900ADE">
              <w:t>0.0</w:t>
            </w:r>
          </w:p>
        </w:tc>
        <w:tc>
          <w:tcPr>
            <w:tcW w:w="1295" w:type="dxa"/>
            <w:vAlign w:val="center"/>
          </w:tcPr>
          <w:p w14:paraId="6E258C81" w14:textId="77777777" w:rsidR="00852AC1" w:rsidRPr="00900ADE" w:rsidRDefault="00852AC1" w:rsidP="00852AC1">
            <w:pPr>
              <w:pStyle w:val="TableTextCentered"/>
            </w:pPr>
            <w:r w:rsidRPr="00900ADE">
              <w:t>0.0</w:t>
            </w:r>
          </w:p>
        </w:tc>
        <w:tc>
          <w:tcPr>
            <w:tcW w:w="1296" w:type="dxa"/>
            <w:vAlign w:val="center"/>
          </w:tcPr>
          <w:p w14:paraId="318C266D" w14:textId="77777777" w:rsidR="00852AC1" w:rsidRPr="00900ADE" w:rsidRDefault="00852AC1" w:rsidP="00852AC1">
            <w:pPr>
              <w:pStyle w:val="TableTextCentered"/>
            </w:pPr>
            <w:r w:rsidRPr="00900ADE">
              <w:t>2.8</w:t>
            </w:r>
          </w:p>
        </w:tc>
      </w:tr>
      <w:tr w:rsidR="00852AC1" w:rsidRPr="00900ADE" w14:paraId="3A915C26"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2C3C39F" w14:textId="77777777" w:rsidR="00852AC1" w:rsidRPr="00900ADE" w:rsidRDefault="00852AC1" w:rsidP="00852AC1">
            <w:pPr>
              <w:pStyle w:val="TableText"/>
            </w:pPr>
            <w:r w:rsidRPr="00900ADE">
              <w:t>Asian</w:t>
            </w:r>
          </w:p>
        </w:tc>
        <w:tc>
          <w:tcPr>
            <w:tcW w:w="1295" w:type="dxa"/>
            <w:vAlign w:val="center"/>
          </w:tcPr>
          <w:p w14:paraId="2B346608" w14:textId="77777777" w:rsidR="00852AC1" w:rsidRPr="00900ADE" w:rsidRDefault="00852AC1" w:rsidP="00852AC1">
            <w:pPr>
              <w:pStyle w:val="TableTextCentered"/>
            </w:pPr>
            <w:r w:rsidRPr="00900ADE">
              <w:t>22</w:t>
            </w:r>
          </w:p>
        </w:tc>
        <w:tc>
          <w:tcPr>
            <w:tcW w:w="1295" w:type="dxa"/>
            <w:vAlign w:val="center"/>
          </w:tcPr>
          <w:p w14:paraId="143B0E63" w14:textId="77777777" w:rsidR="00852AC1" w:rsidRPr="00900ADE" w:rsidRDefault="00852AC1" w:rsidP="00852AC1">
            <w:pPr>
              <w:pStyle w:val="TableTextCentered"/>
            </w:pPr>
            <w:r w:rsidRPr="00900ADE">
              <w:t>0.0</w:t>
            </w:r>
          </w:p>
        </w:tc>
        <w:tc>
          <w:tcPr>
            <w:tcW w:w="1296" w:type="dxa"/>
            <w:vAlign w:val="center"/>
          </w:tcPr>
          <w:p w14:paraId="38A3AF67" w14:textId="77777777" w:rsidR="00852AC1" w:rsidRPr="00900ADE" w:rsidRDefault="00852AC1" w:rsidP="00852AC1">
            <w:pPr>
              <w:pStyle w:val="TableTextCentered"/>
            </w:pPr>
            <w:r w:rsidRPr="00900ADE">
              <w:t>0.0</w:t>
            </w:r>
          </w:p>
        </w:tc>
        <w:tc>
          <w:tcPr>
            <w:tcW w:w="1295" w:type="dxa"/>
            <w:vAlign w:val="center"/>
          </w:tcPr>
          <w:p w14:paraId="7A8CC82C" w14:textId="77777777" w:rsidR="00852AC1" w:rsidRPr="00900ADE" w:rsidRDefault="00852AC1" w:rsidP="00852AC1">
            <w:pPr>
              <w:pStyle w:val="TableTextCentered"/>
            </w:pPr>
            <w:r w:rsidRPr="00900ADE">
              <w:t>0.0</w:t>
            </w:r>
          </w:p>
        </w:tc>
        <w:tc>
          <w:tcPr>
            <w:tcW w:w="1296" w:type="dxa"/>
            <w:vAlign w:val="center"/>
          </w:tcPr>
          <w:p w14:paraId="05E84450" w14:textId="77777777" w:rsidR="00852AC1" w:rsidRPr="00900ADE" w:rsidRDefault="00852AC1" w:rsidP="00852AC1">
            <w:pPr>
              <w:pStyle w:val="TableTextCentered"/>
            </w:pPr>
            <w:r w:rsidRPr="00900ADE">
              <w:t>0.6</w:t>
            </w:r>
          </w:p>
        </w:tc>
      </w:tr>
      <w:tr w:rsidR="00852AC1" w:rsidRPr="00900ADE" w14:paraId="14A932DC" w14:textId="77777777">
        <w:tc>
          <w:tcPr>
            <w:tcW w:w="2965" w:type="dxa"/>
          </w:tcPr>
          <w:p w14:paraId="7588E249" w14:textId="77777777" w:rsidR="00852AC1" w:rsidRPr="00900ADE" w:rsidRDefault="00852AC1" w:rsidP="00852AC1">
            <w:pPr>
              <w:pStyle w:val="TableText"/>
            </w:pPr>
            <w:r w:rsidRPr="00900ADE">
              <w:t>Hispanic/Latino</w:t>
            </w:r>
          </w:p>
        </w:tc>
        <w:tc>
          <w:tcPr>
            <w:tcW w:w="1295" w:type="dxa"/>
            <w:vAlign w:val="center"/>
          </w:tcPr>
          <w:p w14:paraId="1F5E0B79" w14:textId="77777777" w:rsidR="00852AC1" w:rsidRPr="00900ADE" w:rsidRDefault="00852AC1" w:rsidP="00852AC1">
            <w:pPr>
              <w:pStyle w:val="TableTextCentered"/>
            </w:pPr>
            <w:r w:rsidRPr="00900ADE">
              <w:t>47</w:t>
            </w:r>
          </w:p>
        </w:tc>
        <w:tc>
          <w:tcPr>
            <w:tcW w:w="1295" w:type="dxa"/>
            <w:vAlign w:val="center"/>
          </w:tcPr>
          <w:p w14:paraId="75EAEBA8" w14:textId="77777777" w:rsidR="00852AC1" w:rsidRPr="00900ADE" w:rsidRDefault="00852AC1" w:rsidP="00852AC1">
            <w:pPr>
              <w:pStyle w:val="TableTextCentered"/>
            </w:pPr>
            <w:r w:rsidRPr="00900ADE">
              <w:t>3.2</w:t>
            </w:r>
          </w:p>
        </w:tc>
        <w:tc>
          <w:tcPr>
            <w:tcW w:w="1296" w:type="dxa"/>
            <w:vAlign w:val="center"/>
          </w:tcPr>
          <w:p w14:paraId="505F8FE8" w14:textId="77777777" w:rsidR="00852AC1" w:rsidRPr="00900ADE" w:rsidRDefault="00852AC1" w:rsidP="00852AC1">
            <w:pPr>
              <w:pStyle w:val="TableTextCentered"/>
            </w:pPr>
            <w:r w:rsidRPr="00900ADE">
              <w:t>0.0</w:t>
            </w:r>
          </w:p>
        </w:tc>
        <w:tc>
          <w:tcPr>
            <w:tcW w:w="1295" w:type="dxa"/>
            <w:vAlign w:val="center"/>
          </w:tcPr>
          <w:p w14:paraId="7D208521" w14:textId="77777777" w:rsidR="00852AC1" w:rsidRPr="00900ADE" w:rsidRDefault="00852AC1" w:rsidP="00852AC1">
            <w:pPr>
              <w:pStyle w:val="TableTextCentered"/>
            </w:pPr>
            <w:r w:rsidRPr="00900ADE">
              <w:t>4.3</w:t>
            </w:r>
          </w:p>
        </w:tc>
        <w:tc>
          <w:tcPr>
            <w:tcW w:w="1296" w:type="dxa"/>
            <w:vAlign w:val="center"/>
          </w:tcPr>
          <w:p w14:paraId="63A038A0" w14:textId="77777777" w:rsidR="00852AC1" w:rsidRPr="00900ADE" w:rsidRDefault="00852AC1" w:rsidP="00852AC1">
            <w:pPr>
              <w:pStyle w:val="TableTextCentered"/>
            </w:pPr>
            <w:r w:rsidRPr="00900ADE">
              <w:t>4.4</w:t>
            </w:r>
          </w:p>
        </w:tc>
      </w:tr>
      <w:tr w:rsidR="00852AC1" w:rsidRPr="00900ADE" w14:paraId="44842698"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A10E881" w14:textId="77777777" w:rsidR="00852AC1" w:rsidRPr="00900ADE" w:rsidRDefault="00852AC1" w:rsidP="00852AC1">
            <w:pPr>
              <w:pStyle w:val="TableText"/>
            </w:pPr>
            <w:r w:rsidRPr="00900ADE">
              <w:rPr>
                <w:rFonts w:cstheme="minorHAnsi"/>
              </w:rPr>
              <w:t>Multi-Race, non-Hispanic/Latino</w:t>
            </w:r>
          </w:p>
        </w:tc>
        <w:tc>
          <w:tcPr>
            <w:tcW w:w="1295" w:type="dxa"/>
            <w:vAlign w:val="center"/>
          </w:tcPr>
          <w:p w14:paraId="35B47AC0" w14:textId="77777777" w:rsidR="00852AC1" w:rsidRPr="00900ADE" w:rsidRDefault="00852AC1" w:rsidP="00852AC1">
            <w:pPr>
              <w:pStyle w:val="TableTextCentered"/>
            </w:pPr>
            <w:r w:rsidRPr="00900ADE">
              <w:t>19</w:t>
            </w:r>
          </w:p>
        </w:tc>
        <w:tc>
          <w:tcPr>
            <w:tcW w:w="1295" w:type="dxa"/>
            <w:vAlign w:val="center"/>
          </w:tcPr>
          <w:p w14:paraId="67D5E214" w14:textId="77777777" w:rsidR="00852AC1" w:rsidRPr="00900ADE" w:rsidRDefault="00852AC1" w:rsidP="00852AC1">
            <w:pPr>
              <w:pStyle w:val="TableTextCentered"/>
            </w:pPr>
            <w:r w:rsidRPr="00900ADE">
              <w:t>0.0</w:t>
            </w:r>
          </w:p>
        </w:tc>
        <w:tc>
          <w:tcPr>
            <w:tcW w:w="1296" w:type="dxa"/>
            <w:vAlign w:val="center"/>
          </w:tcPr>
          <w:p w14:paraId="134EFA4D" w14:textId="77777777" w:rsidR="00852AC1" w:rsidRPr="00900ADE" w:rsidRDefault="00852AC1" w:rsidP="00852AC1">
            <w:pPr>
              <w:pStyle w:val="TableTextCentered"/>
            </w:pPr>
            <w:r w:rsidRPr="00900ADE">
              <w:t>0.0</w:t>
            </w:r>
          </w:p>
        </w:tc>
        <w:tc>
          <w:tcPr>
            <w:tcW w:w="1295" w:type="dxa"/>
            <w:vAlign w:val="center"/>
          </w:tcPr>
          <w:p w14:paraId="57E51810" w14:textId="77777777" w:rsidR="00852AC1" w:rsidRPr="00900ADE" w:rsidRDefault="00852AC1" w:rsidP="00852AC1">
            <w:pPr>
              <w:pStyle w:val="TableTextCentered"/>
            </w:pPr>
            <w:r w:rsidRPr="00900ADE">
              <w:t>0.0</w:t>
            </w:r>
          </w:p>
        </w:tc>
        <w:tc>
          <w:tcPr>
            <w:tcW w:w="1296" w:type="dxa"/>
            <w:vAlign w:val="center"/>
          </w:tcPr>
          <w:p w14:paraId="0AD91195" w14:textId="77777777" w:rsidR="00852AC1" w:rsidRPr="00900ADE" w:rsidRDefault="00852AC1" w:rsidP="00852AC1">
            <w:pPr>
              <w:pStyle w:val="TableTextCentered"/>
            </w:pPr>
            <w:r w:rsidRPr="00900ADE">
              <w:t>1.9</w:t>
            </w:r>
          </w:p>
        </w:tc>
      </w:tr>
      <w:tr w:rsidR="00852AC1" w:rsidRPr="00900ADE" w14:paraId="145D52B5" w14:textId="77777777">
        <w:tc>
          <w:tcPr>
            <w:tcW w:w="2965" w:type="dxa"/>
          </w:tcPr>
          <w:p w14:paraId="1CC9682B" w14:textId="77777777" w:rsidR="00852AC1" w:rsidRPr="00900ADE" w:rsidRDefault="00852AC1" w:rsidP="00852AC1">
            <w:pPr>
              <w:pStyle w:val="TableText"/>
            </w:pPr>
            <w:r w:rsidRPr="00900ADE">
              <w:t>Native American</w:t>
            </w:r>
          </w:p>
        </w:tc>
        <w:tc>
          <w:tcPr>
            <w:tcW w:w="1295" w:type="dxa"/>
            <w:vAlign w:val="center"/>
          </w:tcPr>
          <w:p w14:paraId="75ADF004" w14:textId="77777777" w:rsidR="00852AC1" w:rsidRPr="00900ADE" w:rsidRDefault="00852AC1" w:rsidP="00852AC1">
            <w:pPr>
              <w:pStyle w:val="TableTextCentered"/>
            </w:pPr>
            <w:r w:rsidRPr="00900ADE">
              <w:t>3</w:t>
            </w:r>
          </w:p>
        </w:tc>
        <w:tc>
          <w:tcPr>
            <w:tcW w:w="1295" w:type="dxa"/>
            <w:vAlign w:val="center"/>
          </w:tcPr>
          <w:p w14:paraId="2CDDC4B6" w14:textId="325A809E" w:rsidR="00852AC1" w:rsidRPr="00900ADE" w:rsidRDefault="003A7D47" w:rsidP="00852AC1">
            <w:pPr>
              <w:pStyle w:val="TableTextCentered"/>
            </w:pPr>
            <w:r w:rsidRPr="00900ADE">
              <w:t>—</w:t>
            </w:r>
          </w:p>
        </w:tc>
        <w:tc>
          <w:tcPr>
            <w:tcW w:w="1296" w:type="dxa"/>
            <w:vAlign w:val="center"/>
          </w:tcPr>
          <w:p w14:paraId="52D04C50" w14:textId="5504F69A" w:rsidR="00852AC1" w:rsidRPr="00900ADE" w:rsidRDefault="003A7D47" w:rsidP="00852AC1">
            <w:pPr>
              <w:pStyle w:val="TableTextCentered"/>
            </w:pPr>
            <w:r w:rsidRPr="00900ADE">
              <w:t>—</w:t>
            </w:r>
          </w:p>
        </w:tc>
        <w:tc>
          <w:tcPr>
            <w:tcW w:w="1295" w:type="dxa"/>
            <w:vAlign w:val="center"/>
          </w:tcPr>
          <w:p w14:paraId="1C0C7CDF" w14:textId="3A755D8B" w:rsidR="00852AC1" w:rsidRPr="00900ADE" w:rsidRDefault="003A7D47" w:rsidP="00852AC1">
            <w:pPr>
              <w:pStyle w:val="TableTextCentered"/>
            </w:pPr>
            <w:r w:rsidRPr="00900ADE">
              <w:t>—</w:t>
            </w:r>
          </w:p>
        </w:tc>
        <w:tc>
          <w:tcPr>
            <w:tcW w:w="1296" w:type="dxa"/>
            <w:vAlign w:val="center"/>
          </w:tcPr>
          <w:p w14:paraId="261F2864" w14:textId="77777777" w:rsidR="00852AC1" w:rsidRPr="00900ADE" w:rsidRDefault="00852AC1" w:rsidP="00852AC1">
            <w:pPr>
              <w:pStyle w:val="TableTextCentered"/>
            </w:pPr>
            <w:r w:rsidRPr="00900ADE">
              <w:t>4.1</w:t>
            </w:r>
          </w:p>
        </w:tc>
      </w:tr>
      <w:tr w:rsidR="00852AC1" w:rsidRPr="00900ADE" w14:paraId="751622F9"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5B3A9D14" w14:textId="77777777" w:rsidR="00852AC1" w:rsidRPr="00900ADE" w:rsidRDefault="00852AC1" w:rsidP="00852AC1">
            <w:pPr>
              <w:pStyle w:val="TableText"/>
            </w:pPr>
            <w:r w:rsidRPr="00900ADE">
              <w:rPr>
                <w:rFonts w:eastAsia="Times New Roman"/>
                <w:spacing w:val="-4"/>
              </w:rPr>
              <w:t>Native Hawaiian, Pacific Islander</w:t>
            </w:r>
          </w:p>
        </w:tc>
        <w:tc>
          <w:tcPr>
            <w:tcW w:w="1295" w:type="dxa"/>
            <w:vAlign w:val="center"/>
          </w:tcPr>
          <w:p w14:paraId="72A8F25C" w14:textId="77777777" w:rsidR="00852AC1" w:rsidRPr="00900ADE" w:rsidRDefault="00852AC1" w:rsidP="00852AC1">
            <w:pPr>
              <w:pStyle w:val="TableTextCentered"/>
            </w:pPr>
            <w:r w:rsidRPr="00900ADE">
              <w:t>2</w:t>
            </w:r>
          </w:p>
        </w:tc>
        <w:tc>
          <w:tcPr>
            <w:tcW w:w="1295" w:type="dxa"/>
            <w:vAlign w:val="center"/>
          </w:tcPr>
          <w:p w14:paraId="5666BB6A" w14:textId="4392710B" w:rsidR="00852AC1" w:rsidRPr="00900ADE" w:rsidRDefault="003A7D47" w:rsidP="00852AC1">
            <w:pPr>
              <w:pStyle w:val="TableTextCentered"/>
            </w:pPr>
            <w:r w:rsidRPr="00900ADE">
              <w:t>—</w:t>
            </w:r>
          </w:p>
        </w:tc>
        <w:tc>
          <w:tcPr>
            <w:tcW w:w="1296" w:type="dxa"/>
            <w:vAlign w:val="center"/>
          </w:tcPr>
          <w:p w14:paraId="3E30C56C" w14:textId="64077AC7" w:rsidR="00852AC1" w:rsidRPr="00900ADE" w:rsidRDefault="003A7D47" w:rsidP="00852AC1">
            <w:pPr>
              <w:pStyle w:val="TableTextCentered"/>
            </w:pPr>
            <w:r w:rsidRPr="00900ADE">
              <w:t>—</w:t>
            </w:r>
          </w:p>
        </w:tc>
        <w:tc>
          <w:tcPr>
            <w:tcW w:w="1295" w:type="dxa"/>
            <w:vAlign w:val="center"/>
          </w:tcPr>
          <w:p w14:paraId="701299FF" w14:textId="0DFDFE96" w:rsidR="00852AC1" w:rsidRPr="00900ADE" w:rsidRDefault="003A7D47" w:rsidP="00852AC1">
            <w:pPr>
              <w:pStyle w:val="TableTextCentered"/>
            </w:pPr>
            <w:r w:rsidRPr="00900ADE">
              <w:t>—</w:t>
            </w:r>
          </w:p>
        </w:tc>
        <w:tc>
          <w:tcPr>
            <w:tcW w:w="1296" w:type="dxa"/>
            <w:vAlign w:val="center"/>
          </w:tcPr>
          <w:p w14:paraId="14AABCB5" w14:textId="77777777" w:rsidR="00852AC1" w:rsidRPr="00900ADE" w:rsidRDefault="00852AC1" w:rsidP="00852AC1">
            <w:pPr>
              <w:pStyle w:val="TableTextCentered"/>
            </w:pPr>
            <w:r w:rsidRPr="00900ADE">
              <w:t>3.9</w:t>
            </w:r>
          </w:p>
        </w:tc>
      </w:tr>
      <w:tr w:rsidR="00852AC1" w:rsidRPr="00900ADE" w14:paraId="08976FA5" w14:textId="77777777">
        <w:tc>
          <w:tcPr>
            <w:tcW w:w="2965" w:type="dxa"/>
          </w:tcPr>
          <w:p w14:paraId="6D48A5A3" w14:textId="77777777" w:rsidR="00852AC1" w:rsidRPr="00900ADE" w:rsidRDefault="00852AC1" w:rsidP="00852AC1">
            <w:pPr>
              <w:pStyle w:val="TableText"/>
            </w:pPr>
            <w:r w:rsidRPr="00900ADE">
              <w:t>White</w:t>
            </w:r>
          </w:p>
        </w:tc>
        <w:tc>
          <w:tcPr>
            <w:tcW w:w="1295" w:type="dxa"/>
            <w:vAlign w:val="center"/>
          </w:tcPr>
          <w:p w14:paraId="17074FBC" w14:textId="77777777" w:rsidR="00852AC1" w:rsidRPr="00900ADE" w:rsidRDefault="00852AC1" w:rsidP="00852AC1">
            <w:pPr>
              <w:pStyle w:val="TableTextCentered"/>
            </w:pPr>
            <w:r w:rsidRPr="00900ADE">
              <w:t>509</w:t>
            </w:r>
          </w:p>
        </w:tc>
        <w:tc>
          <w:tcPr>
            <w:tcW w:w="1295" w:type="dxa"/>
            <w:vAlign w:val="center"/>
          </w:tcPr>
          <w:p w14:paraId="0E8A99F8" w14:textId="77777777" w:rsidR="00852AC1" w:rsidRPr="00900ADE" w:rsidRDefault="00852AC1" w:rsidP="00852AC1">
            <w:pPr>
              <w:pStyle w:val="TableTextCentered"/>
            </w:pPr>
            <w:r w:rsidRPr="00900ADE">
              <w:t>0.5</w:t>
            </w:r>
          </w:p>
        </w:tc>
        <w:tc>
          <w:tcPr>
            <w:tcW w:w="1296" w:type="dxa"/>
            <w:vAlign w:val="center"/>
          </w:tcPr>
          <w:p w14:paraId="76417B2F" w14:textId="77777777" w:rsidR="00852AC1" w:rsidRPr="00900ADE" w:rsidRDefault="00852AC1" w:rsidP="00852AC1">
            <w:pPr>
              <w:pStyle w:val="TableTextCentered"/>
            </w:pPr>
            <w:r w:rsidRPr="00900ADE">
              <w:t>0.4</w:t>
            </w:r>
          </w:p>
        </w:tc>
        <w:tc>
          <w:tcPr>
            <w:tcW w:w="1295" w:type="dxa"/>
            <w:vAlign w:val="center"/>
          </w:tcPr>
          <w:p w14:paraId="491FADD7" w14:textId="77777777" w:rsidR="00852AC1" w:rsidRPr="00900ADE" w:rsidRDefault="00852AC1" w:rsidP="00852AC1">
            <w:pPr>
              <w:pStyle w:val="TableTextCentered"/>
            </w:pPr>
            <w:r w:rsidRPr="00900ADE">
              <w:t>0.2</w:t>
            </w:r>
          </w:p>
        </w:tc>
        <w:tc>
          <w:tcPr>
            <w:tcW w:w="1296" w:type="dxa"/>
            <w:vAlign w:val="center"/>
          </w:tcPr>
          <w:p w14:paraId="5F5CDD02" w14:textId="77777777" w:rsidR="00852AC1" w:rsidRPr="00900ADE" w:rsidRDefault="00852AC1" w:rsidP="00852AC1">
            <w:pPr>
              <w:pStyle w:val="TableTextCentered"/>
            </w:pPr>
            <w:r w:rsidRPr="00900ADE">
              <w:t>1.1</w:t>
            </w:r>
          </w:p>
        </w:tc>
      </w:tr>
      <w:tr w:rsidR="00852AC1" w:rsidRPr="00900ADE" w14:paraId="165CA02C"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4A2BF38" w14:textId="3428F7D6" w:rsidR="00852AC1" w:rsidRPr="00900ADE" w:rsidRDefault="00852AC1" w:rsidP="00852AC1">
            <w:pPr>
              <w:pStyle w:val="TableText"/>
            </w:pPr>
            <w:r w:rsidRPr="00900ADE">
              <w:t xml:space="preserve">High </w:t>
            </w:r>
            <w:r w:rsidR="00AD1D77">
              <w:t>n</w:t>
            </w:r>
            <w:r w:rsidRPr="00900ADE">
              <w:t>eeds</w:t>
            </w:r>
          </w:p>
        </w:tc>
        <w:tc>
          <w:tcPr>
            <w:tcW w:w="1295" w:type="dxa"/>
            <w:vAlign w:val="center"/>
          </w:tcPr>
          <w:p w14:paraId="628E9C9C" w14:textId="77777777" w:rsidR="00852AC1" w:rsidRPr="00900ADE" w:rsidRDefault="00852AC1" w:rsidP="00852AC1">
            <w:pPr>
              <w:pStyle w:val="TableTextCentered"/>
            </w:pPr>
            <w:r w:rsidRPr="00900ADE">
              <w:t>136</w:t>
            </w:r>
          </w:p>
        </w:tc>
        <w:tc>
          <w:tcPr>
            <w:tcW w:w="1295" w:type="dxa"/>
            <w:vAlign w:val="center"/>
          </w:tcPr>
          <w:p w14:paraId="141B01A3" w14:textId="77777777" w:rsidR="00852AC1" w:rsidRPr="00900ADE" w:rsidRDefault="00852AC1" w:rsidP="00852AC1">
            <w:pPr>
              <w:pStyle w:val="TableTextCentered"/>
            </w:pPr>
            <w:r w:rsidRPr="00900ADE">
              <w:t>2.1</w:t>
            </w:r>
          </w:p>
        </w:tc>
        <w:tc>
          <w:tcPr>
            <w:tcW w:w="1296" w:type="dxa"/>
            <w:vAlign w:val="center"/>
          </w:tcPr>
          <w:p w14:paraId="6B1A9272" w14:textId="77777777" w:rsidR="00852AC1" w:rsidRPr="00900ADE" w:rsidRDefault="00852AC1" w:rsidP="00852AC1">
            <w:pPr>
              <w:pStyle w:val="TableTextCentered"/>
            </w:pPr>
            <w:r w:rsidRPr="00900ADE">
              <w:t>0.7</w:t>
            </w:r>
          </w:p>
        </w:tc>
        <w:tc>
          <w:tcPr>
            <w:tcW w:w="1295" w:type="dxa"/>
            <w:vAlign w:val="center"/>
          </w:tcPr>
          <w:p w14:paraId="7570FD25" w14:textId="77777777" w:rsidR="00852AC1" w:rsidRPr="00900ADE" w:rsidRDefault="00852AC1" w:rsidP="00852AC1">
            <w:pPr>
              <w:pStyle w:val="TableTextCentered"/>
            </w:pPr>
            <w:r w:rsidRPr="00900ADE">
              <w:t>0.0</w:t>
            </w:r>
          </w:p>
        </w:tc>
        <w:tc>
          <w:tcPr>
            <w:tcW w:w="1296" w:type="dxa"/>
            <w:vAlign w:val="center"/>
          </w:tcPr>
          <w:p w14:paraId="0AAC7DA4" w14:textId="77777777" w:rsidR="00852AC1" w:rsidRPr="00900ADE" w:rsidRDefault="00852AC1" w:rsidP="00852AC1">
            <w:pPr>
              <w:pStyle w:val="TableTextCentered"/>
            </w:pPr>
            <w:r w:rsidRPr="00900ADE">
              <w:t>3.5</w:t>
            </w:r>
          </w:p>
        </w:tc>
      </w:tr>
      <w:tr w:rsidR="00852AC1" w:rsidRPr="00900ADE" w14:paraId="6C849439" w14:textId="77777777">
        <w:tc>
          <w:tcPr>
            <w:tcW w:w="2965" w:type="dxa"/>
          </w:tcPr>
          <w:p w14:paraId="7A79762C" w14:textId="77777777" w:rsidR="00852AC1" w:rsidRPr="00900ADE" w:rsidRDefault="00852AC1" w:rsidP="00852AC1">
            <w:pPr>
              <w:pStyle w:val="TableText"/>
            </w:pPr>
            <w:r w:rsidRPr="00900ADE">
              <w:t>Low income</w:t>
            </w:r>
          </w:p>
        </w:tc>
        <w:tc>
          <w:tcPr>
            <w:tcW w:w="1295" w:type="dxa"/>
            <w:vAlign w:val="center"/>
          </w:tcPr>
          <w:p w14:paraId="20B76D0C" w14:textId="77777777" w:rsidR="00852AC1" w:rsidRPr="00900ADE" w:rsidRDefault="00852AC1" w:rsidP="00852AC1">
            <w:pPr>
              <w:pStyle w:val="TableTextCentered"/>
            </w:pPr>
            <w:r w:rsidRPr="00900ADE">
              <w:t>76</w:t>
            </w:r>
          </w:p>
        </w:tc>
        <w:tc>
          <w:tcPr>
            <w:tcW w:w="1295" w:type="dxa"/>
            <w:vAlign w:val="center"/>
          </w:tcPr>
          <w:p w14:paraId="37DF30F6" w14:textId="31E4AAEA" w:rsidR="00852AC1" w:rsidRPr="00900ADE" w:rsidRDefault="003A7D47" w:rsidP="00852AC1">
            <w:pPr>
              <w:pStyle w:val="TableTextCentered"/>
            </w:pPr>
            <w:r w:rsidRPr="00900ADE">
              <w:t>—</w:t>
            </w:r>
          </w:p>
        </w:tc>
        <w:tc>
          <w:tcPr>
            <w:tcW w:w="1296" w:type="dxa"/>
            <w:vAlign w:val="center"/>
          </w:tcPr>
          <w:p w14:paraId="086631C6" w14:textId="77777777" w:rsidR="00852AC1" w:rsidRPr="00900ADE" w:rsidRDefault="00852AC1" w:rsidP="00852AC1">
            <w:pPr>
              <w:pStyle w:val="TableTextCentered"/>
            </w:pPr>
            <w:r w:rsidRPr="00900ADE">
              <w:t>1.3</w:t>
            </w:r>
          </w:p>
        </w:tc>
        <w:tc>
          <w:tcPr>
            <w:tcW w:w="1295" w:type="dxa"/>
            <w:vAlign w:val="center"/>
          </w:tcPr>
          <w:p w14:paraId="53903BB1" w14:textId="77777777" w:rsidR="00852AC1" w:rsidRPr="00900ADE" w:rsidRDefault="00852AC1" w:rsidP="00852AC1">
            <w:pPr>
              <w:pStyle w:val="TableTextCentered"/>
            </w:pPr>
            <w:r w:rsidRPr="00900ADE">
              <w:t>0.0</w:t>
            </w:r>
          </w:p>
        </w:tc>
        <w:tc>
          <w:tcPr>
            <w:tcW w:w="1296" w:type="dxa"/>
            <w:vAlign w:val="center"/>
          </w:tcPr>
          <w:p w14:paraId="5F4EC912" w14:textId="77777777" w:rsidR="00852AC1" w:rsidRPr="00900ADE" w:rsidRDefault="00852AC1" w:rsidP="00852AC1">
            <w:pPr>
              <w:pStyle w:val="TableTextCentered"/>
            </w:pPr>
            <w:r w:rsidRPr="00900ADE">
              <w:t>3.8</w:t>
            </w:r>
          </w:p>
        </w:tc>
      </w:tr>
      <w:tr w:rsidR="00852AC1" w:rsidRPr="00900ADE" w14:paraId="0780B472"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53742FF" w14:textId="77777777" w:rsidR="00852AC1" w:rsidRPr="00900ADE" w:rsidRDefault="00852AC1" w:rsidP="00852AC1">
            <w:pPr>
              <w:pStyle w:val="TableText"/>
            </w:pPr>
            <w:r w:rsidRPr="00900ADE">
              <w:rPr>
                <w:spacing w:val="-4"/>
              </w:rPr>
              <w:t>English learners</w:t>
            </w:r>
          </w:p>
        </w:tc>
        <w:tc>
          <w:tcPr>
            <w:tcW w:w="1295" w:type="dxa"/>
            <w:vAlign w:val="center"/>
          </w:tcPr>
          <w:p w14:paraId="241206E2" w14:textId="77777777" w:rsidR="00852AC1" w:rsidRPr="00900ADE" w:rsidRDefault="00852AC1" w:rsidP="00852AC1">
            <w:pPr>
              <w:pStyle w:val="TableTextCentered"/>
            </w:pPr>
            <w:r w:rsidRPr="00900ADE">
              <w:t>9</w:t>
            </w:r>
          </w:p>
        </w:tc>
        <w:tc>
          <w:tcPr>
            <w:tcW w:w="1295" w:type="dxa"/>
            <w:vAlign w:val="center"/>
          </w:tcPr>
          <w:p w14:paraId="629EC233" w14:textId="2C7DA37B" w:rsidR="00852AC1" w:rsidRPr="00900ADE" w:rsidRDefault="003A7D47" w:rsidP="00852AC1">
            <w:pPr>
              <w:pStyle w:val="TableTextCentered"/>
            </w:pPr>
            <w:r w:rsidRPr="00900ADE">
              <w:t>—</w:t>
            </w:r>
          </w:p>
        </w:tc>
        <w:tc>
          <w:tcPr>
            <w:tcW w:w="1296" w:type="dxa"/>
            <w:vAlign w:val="center"/>
          </w:tcPr>
          <w:p w14:paraId="7F8CFDE8" w14:textId="6AF582AB" w:rsidR="00852AC1" w:rsidRPr="00900ADE" w:rsidRDefault="003A7D47" w:rsidP="00852AC1">
            <w:pPr>
              <w:pStyle w:val="TableTextCentered"/>
            </w:pPr>
            <w:r w:rsidRPr="00900ADE">
              <w:t>—</w:t>
            </w:r>
          </w:p>
        </w:tc>
        <w:tc>
          <w:tcPr>
            <w:tcW w:w="1295" w:type="dxa"/>
            <w:vAlign w:val="center"/>
          </w:tcPr>
          <w:p w14:paraId="5EF5B640" w14:textId="77777777" w:rsidR="00852AC1" w:rsidRPr="00900ADE" w:rsidRDefault="00852AC1" w:rsidP="00852AC1">
            <w:pPr>
              <w:pStyle w:val="TableTextCentered"/>
            </w:pPr>
            <w:r w:rsidRPr="00900ADE">
              <w:t>0.0</w:t>
            </w:r>
          </w:p>
        </w:tc>
        <w:tc>
          <w:tcPr>
            <w:tcW w:w="1296" w:type="dxa"/>
            <w:vAlign w:val="center"/>
          </w:tcPr>
          <w:p w14:paraId="135D9097" w14:textId="77777777" w:rsidR="00852AC1" w:rsidRPr="00900ADE" w:rsidRDefault="00852AC1" w:rsidP="00852AC1">
            <w:pPr>
              <w:pStyle w:val="TableTextCentered"/>
            </w:pPr>
            <w:r w:rsidRPr="00900ADE">
              <w:t>8.0</w:t>
            </w:r>
          </w:p>
        </w:tc>
      </w:tr>
      <w:tr w:rsidR="00852AC1" w:rsidRPr="00900ADE" w14:paraId="7BDE1DD8" w14:textId="77777777">
        <w:tc>
          <w:tcPr>
            <w:tcW w:w="2965" w:type="dxa"/>
          </w:tcPr>
          <w:p w14:paraId="6F9726BE" w14:textId="77777777" w:rsidR="00852AC1" w:rsidRPr="00900ADE" w:rsidRDefault="00852AC1" w:rsidP="00852AC1">
            <w:pPr>
              <w:pStyle w:val="TableText"/>
            </w:pPr>
            <w:r w:rsidRPr="00900ADE">
              <w:t>Students w/disabilities</w:t>
            </w:r>
          </w:p>
        </w:tc>
        <w:tc>
          <w:tcPr>
            <w:tcW w:w="1295" w:type="dxa"/>
            <w:vAlign w:val="center"/>
          </w:tcPr>
          <w:p w14:paraId="14B6431C" w14:textId="77777777" w:rsidR="00852AC1" w:rsidRPr="00900ADE" w:rsidRDefault="00852AC1" w:rsidP="00852AC1">
            <w:pPr>
              <w:pStyle w:val="TableTextCentered"/>
            </w:pPr>
            <w:r w:rsidRPr="00900ADE">
              <w:t>69</w:t>
            </w:r>
          </w:p>
        </w:tc>
        <w:tc>
          <w:tcPr>
            <w:tcW w:w="1295" w:type="dxa"/>
            <w:vAlign w:val="center"/>
          </w:tcPr>
          <w:p w14:paraId="2F3934DB" w14:textId="77777777" w:rsidR="00852AC1" w:rsidRPr="00900ADE" w:rsidRDefault="00852AC1" w:rsidP="00852AC1">
            <w:pPr>
              <w:pStyle w:val="TableTextCentered"/>
            </w:pPr>
            <w:r w:rsidRPr="00900ADE">
              <w:t>2.3</w:t>
            </w:r>
          </w:p>
        </w:tc>
        <w:tc>
          <w:tcPr>
            <w:tcW w:w="1296" w:type="dxa"/>
            <w:vAlign w:val="center"/>
          </w:tcPr>
          <w:p w14:paraId="40AD8B6D" w14:textId="77777777" w:rsidR="00852AC1" w:rsidRPr="00900ADE" w:rsidRDefault="00852AC1" w:rsidP="00852AC1">
            <w:pPr>
              <w:pStyle w:val="TableTextCentered"/>
            </w:pPr>
            <w:r w:rsidRPr="00900ADE">
              <w:t>0.0</w:t>
            </w:r>
          </w:p>
        </w:tc>
        <w:tc>
          <w:tcPr>
            <w:tcW w:w="1295" w:type="dxa"/>
            <w:vAlign w:val="center"/>
          </w:tcPr>
          <w:p w14:paraId="5CCAB494" w14:textId="77777777" w:rsidR="00852AC1" w:rsidRPr="00900ADE" w:rsidRDefault="00852AC1" w:rsidP="00852AC1">
            <w:pPr>
              <w:pStyle w:val="TableTextCentered"/>
            </w:pPr>
            <w:r w:rsidRPr="00900ADE">
              <w:t>0.0</w:t>
            </w:r>
          </w:p>
        </w:tc>
        <w:tc>
          <w:tcPr>
            <w:tcW w:w="1296" w:type="dxa"/>
            <w:vAlign w:val="center"/>
          </w:tcPr>
          <w:p w14:paraId="677E85C1" w14:textId="77777777" w:rsidR="00852AC1" w:rsidRPr="00900ADE" w:rsidRDefault="00852AC1" w:rsidP="00852AC1">
            <w:pPr>
              <w:pStyle w:val="TableTextCentered"/>
            </w:pPr>
            <w:r w:rsidRPr="00900ADE">
              <w:t>3.0</w:t>
            </w:r>
          </w:p>
        </w:tc>
      </w:tr>
      <w:bookmarkEnd w:id="220"/>
    </w:tbl>
    <w:p w14:paraId="5CA44305" w14:textId="77777777" w:rsidR="00852AC1" w:rsidRPr="00900ADE" w:rsidRDefault="00852AC1" w:rsidP="00852AC1">
      <w:pPr>
        <w:spacing w:line="240" w:lineRule="auto"/>
        <w:rPr>
          <w:rFonts w:ascii="Franklin Gothic Book" w:hAnsi="Franklin Gothic Book"/>
          <w:sz w:val="20"/>
          <w:szCs w:val="20"/>
        </w:rPr>
      </w:pPr>
      <w:r w:rsidRPr="00900ADE">
        <w:rPr>
          <w:rFonts w:ascii="Franklin Gothic Book" w:hAnsi="Franklin Gothic Book"/>
          <w:sz w:val="20"/>
          <w:szCs w:val="20"/>
        </w:rPr>
        <w:br w:type="page"/>
      </w:r>
    </w:p>
    <w:p w14:paraId="24AC0629" w14:textId="77777777" w:rsidR="00852AC1" w:rsidRPr="00900ADE" w:rsidRDefault="00852AC1" w:rsidP="00852AC1">
      <w:pPr>
        <w:pStyle w:val="TableETitle"/>
      </w:pPr>
      <w:bookmarkStart w:id="222" w:name="_Toc196169631"/>
      <w:r w:rsidRPr="00900ADE">
        <w:lastRenderedPageBreak/>
        <w:t>Table E19. In-School Suspension Rates by Student Group, 2022-2024</w:t>
      </w:r>
      <w:bookmarkEnd w:id="222"/>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852AC1" w:rsidRPr="00900ADE" w14:paraId="4DE1A01E" w14:textId="77777777" w:rsidTr="00B87CA4">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center"/>
          </w:tcPr>
          <w:p w14:paraId="76752995" w14:textId="77777777" w:rsidR="00852AC1" w:rsidRPr="00900ADE" w:rsidRDefault="00852AC1" w:rsidP="00852AC1">
            <w:pPr>
              <w:pStyle w:val="TableColHeadingCenter"/>
            </w:pPr>
            <w:r w:rsidRPr="00900ADE">
              <w:t>Group</w:t>
            </w:r>
          </w:p>
        </w:tc>
        <w:tc>
          <w:tcPr>
            <w:tcW w:w="1254" w:type="dxa"/>
            <w:vAlign w:val="center"/>
          </w:tcPr>
          <w:p w14:paraId="07C93F67" w14:textId="40246621" w:rsidR="00852AC1" w:rsidRPr="00900ADE" w:rsidRDefault="00852AC1" w:rsidP="00852AC1">
            <w:pPr>
              <w:pStyle w:val="TableColHeadingCenter"/>
            </w:pPr>
            <w:r w:rsidRPr="00900ADE">
              <w:t xml:space="preserve"># </w:t>
            </w:r>
            <w:r w:rsidR="00CD7EAE" w:rsidRPr="00900ADE">
              <w:t>i</w:t>
            </w:r>
            <w:r w:rsidRPr="00900ADE">
              <w:t>ncluded (2024)</w:t>
            </w:r>
          </w:p>
        </w:tc>
        <w:tc>
          <w:tcPr>
            <w:tcW w:w="1255" w:type="dxa"/>
            <w:vAlign w:val="center"/>
          </w:tcPr>
          <w:p w14:paraId="4E921913" w14:textId="77777777" w:rsidR="00852AC1" w:rsidRPr="00900ADE" w:rsidRDefault="00852AC1" w:rsidP="00852AC1">
            <w:pPr>
              <w:pStyle w:val="TableColHeadingCenter"/>
            </w:pPr>
            <w:r w:rsidRPr="00900ADE">
              <w:t>2022 (%)</w:t>
            </w:r>
          </w:p>
        </w:tc>
        <w:tc>
          <w:tcPr>
            <w:tcW w:w="1254" w:type="dxa"/>
            <w:vAlign w:val="center"/>
          </w:tcPr>
          <w:p w14:paraId="55D8D2C1" w14:textId="77777777" w:rsidR="00852AC1" w:rsidRPr="00900ADE" w:rsidRDefault="00852AC1" w:rsidP="00852AC1">
            <w:pPr>
              <w:pStyle w:val="TableColHeadingCenter"/>
            </w:pPr>
            <w:r w:rsidRPr="00900ADE">
              <w:t>2023 (%)</w:t>
            </w:r>
          </w:p>
        </w:tc>
        <w:tc>
          <w:tcPr>
            <w:tcW w:w="1255" w:type="dxa"/>
            <w:vAlign w:val="center"/>
          </w:tcPr>
          <w:p w14:paraId="7A1A22AE" w14:textId="77777777" w:rsidR="00852AC1" w:rsidRPr="00900ADE" w:rsidRDefault="00852AC1" w:rsidP="00852AC1">
            <w:pPr>
              <w:pStyle w:val="TableColHeadingCenter"/>
            </w:pPr>
            <w:r w:rsidRPr="00900ADE">
              <w:t>2024 (%)</w:t>
            </w:r>
          </w:p>
        </w:tc>
        <w:tc>
          <w:tcPr>
            <w:tcW w:w="1255" w:type="dxa"/>
            <w:vAlign w:val="center"/>
          </w:tcPr>
          <w:p w14:paraId="57B174FB" w14:textId="77777777" w:rsidR="00852AC1" w:rsidRPr="00900ADE" w:rsidRDefault="00852AC1" w:rsidP="00852AC1">
            <w:pPr>
              <w:pStyle w:val="TableColHeadingCenter"/>
            </w:pPr>
            <w:r w:rsidRPr="00900ADE">
              <w:t>State 2024 (%)</w:t>
            </w:r>
          </w:p>
        </w:tc>
      </w:tr>
      <w:tr w:rsidR="00852AC1" w:rsidRPr="00900ADE" w14:paraId="4572ADA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3C87E0E" w14:textId="77777777" w:rsidR="00852AC1" w:rsidRPr="00900ADE" w:rsidRDefault="00852AC1" w:rsidP="00852AC1">
            <w:pPr>
              <w:pStyle w:val="TableText"/>
            </w:pPr>
            <w:r w:rsidRPr="00900ADE">
              <w:t>All</w:t>
            </w:r>
          </w:p>
        </w:tc>
        <w:tc>
          <w:tcPr>
            <w:tcW w:w="1254" w:type="dxa"/>
            <w:vAlign w:val="center"/>
          </w:tcPr>
          <w:p w14:paraId="1D98D327" w14:textId="77777777" w:rsidR="00852AC1" w:rsidRPr="00900ADE" w:rsidRDefault="00852AC1" w:rsidP="00852AC1">
            <w:pPr>
              <w:pStyle w:val="TableTextCentered"/>
            </w:pPr>
            <w:r w:rsidRPr="00900ADE">
              <w:t>2,235</w:t>
            </w:r>
          </w:p>
        </w:tc>
        <w:tc>
          <w:tcPr>
            <w:tcW w:w="1255" w:type="dxa"/>
            <w:vAlign w:val="center"/>
          </w:tcPr>
          <w:p w14:paraId="0AE94082" w14:textId="77777777" w:rsidR="00852AC1" w:rsidRPr="00900ADE" w:rsidRDefault="00852AC1" w:rsidP="00852AC1">
            <w:pPr>
              <w:pStyle w:val="TableTextCentered"/>
            </w:pPr>
            <w:r w:rsidRPr="00900ADE">
              <w:t>1.7</w:t>
            </w:r>
          </w:p>
        </w:tc>
        <w:tc>
          <w:tcPr>
            <w:tcW w:w="1254" w:type="dxa"/>
            <w:vAlign w:val="center"/>
          </w:tcPr>
          <w:p w14:paraId="315C7DB0" w14:textId="77777777" w:rsidR="00852AC1" w:rsidRPr="00900ADE" w:rsidRDefault="00852AC1" w:rsidP="00852AC1">
            <w:pPr>
              <w:pStyle w:val="TableTextCentered"/>
            </w:pPr>
            <w:r w:rsidRPr="00900ADE">
              <w:t>0.1</w:t>
            </w:r>
          </w:p>
        </w:tc>
        <w:tc>
          <w:tcPr>
            <w:tcW w:w="1255" w:type="dxa"/>
            <w:vAlign w:val="center"/>
          </w:tcPr>
          <w:p w14:paraId="444EA733" w14:textId="77777777" w:rsidR="00852AC1" w:rsidRPr="00900ADE" w:rsidRDefault="00852AC1" w:rsidP="00852AC1">
            <w:pPr>
              <w:pStyle w:val="TableTextCentered"/>
            </w:pPr>
            <w:r w:rsidRPr="00900ADE">
              <w:t>0.1</w:t>
            </w:r>
          </w:p>
        </w:tc>
        <w:tc>
          <w:tcPr>
            <w:tcW w:w="1255" w:type="dxa"/>
            <w:vAlign w:val="center"/>
          </w:tcPr>
          <w:p w14:paraId="18711656" w14:textId="77777777" w:rsidR="00852AC1" w:rsidRPr="00900ADE" w:rsidRDefault="00852AC1" w:rsidP="00852AC1">
            <w:pPr>
              <w:pStyle w:val="TableTextCentered"/>
            </w:pPr>
            <w:r w:rsidRPr="00900ADE">
              <w:t>1.4</w:t>
            </w:r>
          </w:p>
        </w:tc>
      </w:tr>
      <w:tr w:rsidR="00852AC1" w:rsidRPr="00900ADE" w14:paraId="62EB6818" w14:textId="77777777">
        <w:trPr>
          <w:jc w:val="center"/>
        </w:trPr>
        <w:tc>
          <w:tcPr>
            <w:tcW w:w="3052" w:type="dxa"/>
          </w:tcPr>
          <w:p w14:paraId="5B7D5D73" w14:textId="77777777" w:rsidR="00852AC1" w:rsidRPr="00900ADE" w:rsidRDefault="00852AC1" w:rsidP="00852AC1">
            <w:pPr>
              <w:pStyle w:val="TableText"/>
            </w:pPr>
            <w:r w:rsidRPr="00900ADE">
              <w:t>African American/Black</w:t>
            </w:r>
          </w:p>
        </w:tc>
        <w:tc>
          <w:tcPr>
            <w:tcW w:w="1254" w:type="dxa"/>
            <w:vAlign w:val="center"/>
          </w:tcPr>
          <w:p w14:paraId="7376E6EE" w14:textId="77777777" w:rsidR="00852AC1" w:rsidRPr="00900ADE" w:rsidRDefault="00852AC1" w:rsidP="00852AC1">
            <w:pPr>
              <w:pStyle w:val="TableTextCentered"/>
            </w:pPr>
            <w:r w:rsidRPr="00900ADE">
              <w:t>55</w:t>
            </w:r>
          </w:p>
        </w:tc>
        <w:tc>
          <w:tcPr>
            <w:tcW w:w="1255" w:type="dxa"/>
            <w:vAlign w:val="center"/>
          </w:tcPr>
          <w:p w14:paraId="338636B7" w14:textId="4F6EE2D1" w:rsidR="00852AC1" w:rsidRPr="00900ADE" w:rsidRDefault="003A7D47" w:rsidP="00852AC1">
            <w:pPr>
              <w:pStyle w:val="TableTextCentered"/>
            </w:pPr>
            <w:r w:rsidRPr="00900ADE">
              <w:t>—</w:t>
            </w:r>
          </w:p>
        </w:tc>
        <w:tc>
          <w:tcPr>
            <w:tcW w:w="1254" w:type="dxa"/>
            <w:vAlign w:val="center"/>
          </w:tcPr>
          <w:p w14:paraId="3EEDE6DE" w14:textId="6C005C2A" w:rsidR="00852AC1" w:rsidRPr="00900ADE" w:rsidRDefault="003A7D47" w:rsidP="00852AC1">
            <w:pPr>
              <w:pStyle w:val="TableTextCentered"/>
            </w:pPr>
            <w:r w:rsidRPr="00900ADE">
              <w:t>—</w:t>
            </w:r>
          </w:p>
        </w:tc>
        <w:tc>
          <w:tcPr>
            <w:tcW w:w="1255" w:type="dxa"/>
            <w:vAlign w:val="center"/>
          </w:tcPr>
          <w:p w14:paraId="47BEAB10" w14:textId="64DCBB34" w:rsidR="00852AC1" w:rsidRPr="00900ADE" w:rsidRDefault="003A7D47" w:rsidP="00852AC1">
            <w:pPr>
              <w:pStyle w:val="TableTextCentered"/>
            </w:pPr>
            <w:r w:rsidRPr="00900ADE">
              <w:t>—</w:t>
            </w:r>
          </w:p>
        </w:tc>
        <w:tc>
          <w:tcPr>
            <w:tcW w:w="1255" w:type="dxa"/>
            <w:vAlign w:val="center"/>
          </w:tcPr>
          <w:p w14:paraId="78B56B89" w14:textId="77777777" w:rsidR="00852AC1" w:rsidRPr="00900ADE" w:rsidRDefault="00852AC1" w:rsidP="00852AC1">
            <w:pPr>
              <w:pStyle w:val="TableTextCentered"/>
            </w:pPr>
            <w:r w:rsidRPr="00900ADE">
              <w:t>2.1</w:t>
            </w:r>
          </w:p>
        </w:tc>
      </w:tr>
      <w:tr w:rsidR="00852AC1" w:rsidRPr="00900ADE" w14:paraId="662917E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C054E56" w14:textId="77777777" w:rsidR="00852AC1" w:rsidRPr="00900ADE" w:rsidRDefault="00852AC1" w:rsidP="00852AC1">
            <w:pPr>
              <w:pStyle w:val="TableText"/>
            </w:pPr>
            <w:r w:rsidRPr="00900ADE">
              <w:t>Asian</w:t>
            </w:r>
          </w:p>
        </w:tc>
        <w:tc>
          <w:tcPr>
            <w:tcW w:w="1254" w:type="dxa"/>
            <w:vAlign w:val="center"/>
          </w:tcPr>
          <w:p w14:paraId="729B2F7A" w14:textId="77777777" w:rsidR="00852AC1" w:rsidRPr="00900ADE" w:rsidRDefault="00852AC1" w:rsidP="00852AC1">
            <w:pPr>
              <w:pStyle w:val="TableTextCentered"/>
            </w:pPr>
            <w:r w:rsidRPr="00900ADE">
              <w:t>101</w:t>
            </w:r>
          </w:p>
        </w:tc>
        <w:tc>
          <w:tcPr>
            <w:tcW w:w="1255" w:type="dxa"/>
            <w:vAlign w:val="center"/>
          </w:tcPr>
          <w:p w14:paraId="46794D70" w14:textId="0306B527" w:rsidR="00852AC1" w:rsidRPr="00900ADE" w:rsidRDefault="003A7D47" w:rsidP="00852AC1">
            <w:pPr>
              <w:pStyle w:val="TableTextCentered"/>
            </w:pPr>
            <w:r w:rsidRPr="00900ADE">
              <w:t>—</w:t>
            </w:r>
          </w:p>
        </w:tc>
        <w:tc>
          <w:tcPr>
            <w:tcW w:w="1254" w:type="dxa"/>
            <w:vAlign w:val="center"/>
          </w:tcPr>
          <w:p w14:paraId="369C8DBE" w14:textId="336044ED" w:rsidR="00852AC1" w:rsidRPr="00900ADE" w:rsidRDefault="003A7D47" w:rsidP="00852AC1">
            <w:pPr>
              <w:pStyle w:val="TableTextCentered"/>
            </w:pPr>
            <w:r w:rsidRPr="00900ADE">
              <w:t>—</w:t>
            </w:r>
          </w:p>
        </w:tc>
        <w:tc>
          <w:tcPr>
            <w:tcW w:w="1255" w:type="dxa"/>
            <w:vAlign w:val="center"/>
          </w:tcPr>
          <w:p w14:paraId="2EF67383" w14:textId="0F4114F0" w:rsidR="00852AC1" w:rsidRPr="00900ADE" w:rsidRDefault="003A7D47" w:rsidP="00852AC1">
            <w:pPr>
              <w:pStyle w:val="TableTextCentered"/>
            </w:pPr>
            <w:r w:rsidRPr="00900ADE">
              <w:t>—</w:t>
            </w:r>
          </w:p>
        </w:tc>
        <w:tc>
          <w:tcPr>
            <w:tcW w:w="1255" w:type="dxa"/>
            <w:vAlign w:val="center"/>
          </w:tcPr>
          <w:p w14:paraId="3FBA38FD" w14:textId="77777777" w:rsidR="00852AC1" w:rsidRPr="00900ADE" w:rsidRDefault="00852AC1" w:rsidP="00852AC1">
            <w:pPr>
              <w:pStyle w:val="TableTextCentered"/>
            </w:pPr>
            <w:r w:rsidRPr="00900ADE">
              <w:t>0.3</w:t>
            </w:r>
          </w:p>
        </w:tc>
      </w:tr>
      <w:tr w:rsidR="00852AC1" w:rsidRPr="00900ADE" w14:paraId="16C04115" w14:textId="77777777">
        <w:trPr>
          <w:jc w:val="center"/>
        </w:trPr>
        <w:tc>
          <w:tcPr>
            <w:tcW w:w="3052" w:type="dxa"/>
          </w:tcPr>
          <w:p w14:paraId="5187CD04" w14:textId="77777777" w:rsidR="00852AC1" w:rsidRPr="00900ADE" w:rsidRDefault="00852AC1" w:rsidP="00852AC1">
            <w:pPr>
              <w:pStyle w:val="TableText"/>
            </w:pPr>
            <w:r w:rsidRPr="00900ADE">
              <w:t>Hispanic/Latino</w:t>
            </w:r>
          </w:p>
        </w:tc>
        <w:tc>
          <w:tcPr>
            <w:tcW w:w="1254" w:type="dxa"/>
            <w:vAlign w:val="center"/>
          </w:tcPr>
          <w:p w14:paraId="61D0FE33" w14:textId="77777777" w:rsidR="00852AC1" w:rsidRPr="00900ADE" w:rsidRDefault="00852AC1" w:rsidP="00852AC1">
            <w:pPr>
              <w:pStyle w:val="TableTextCentered"/>
            </w:pPr>
            <w:r w:rsidRPr="00900ADE">
              <w:t>226</w:t>
            </w:r>
          </w:p>
        </w:tc>
        <w:tc>
          <w:tcPr>
            <w:tcW w:w="1255" w:type="dxa"/>
            <w:vAlign w:val="center"/>
          </w:tcPr>
          <w:p w14:paraId="29B4CC03" w14:textId="4ECD07B0" w:rsidR="00852AC1" w:rsidRPr="00900ADE" w:rsidRDefault="003A7D47" w:rsidP="00852AC1">
            <w:pPr>
              <w:pStyle w:val="TableTextCentered"/>
            </w:pPr>
            <w:r w:rsidRPr="00900ADE">
              <w:t>—</w:t>
            </w:r>
          </w:p>
        </w:tc>
        <w:tc>
          <w:tcPr>
            <w:tcW w:w="1254" w:type="dxa"/>
            <w:vAlign w:val="center"/>
          </w:tcPr>
          <w:p w14:paraId="18034EA2" w14:textId="77777777" w:rsidR="00852AC1" w:rsidRPr="00900ADE" w:rsidRDefault="00852AC1" w:rsidP="00852AC1">
            <w:pPr>
              <w:pStyle w:val="TableTextCentered"/>
            </w:pPr>
            <w:r w:rsidRPr="00900ADE">
              <w:t>1.1</w:t>
            </w:r>
          </w:p>
        </w:tc>
        <w:tc>
          <w:tcPr>
            <w:tcW w:w="1255" w:type="dxa"/>
            <w:vAlign w:val="center"/>
          </w:tcPr>
          <w:p w14:paraId="51EC5186" w14:textId="2AACD63D" w:rsidR="00852AC1" w:rsidRPr="00900ADE" w:rsidRDefault="003A7D47" w:rsidP="00852AC1">
            <w:pPr>
              <w:pStyle w:val="TableTextCentered"/>
            </w:pPr>
            <w:r w:rsidRPr="00900ADE">
              <w:t>—</w:t>
            </w:r>
          </w:p>
        </w:tc>
        <w:tc>
          <w:tcPr>
            <w:tcW w:w="1255" w:type="dxa"/>
            <w:vAlign w:val="center"/>
          </w:tcPr>
          <w:p w14:paraId="7200761E" w14:textId="77777777" w:rsidR="00852AC1" w:rsidRPr="00900ADE" w:rsidRDefault="00852AC1" w:rsidP="00852AC1">
            <w:pPr>
              <w:pStyle w:val="TableTextCentered"/>
            </w:pPr>
            <w:r w:rsidRPr="00900ADE">
              <w:t>1.9</w:t>
            </w:r>
          </w:p>
        </w:tc>
      </w:tr>
      <w:tr w:rsidR="00852AC1" w:rsidRPr="00900ADE" w14:paraId="1DA0F57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88D708F" w14:textId="77777777" w:rsidR="00852AC1" w:rsidRPr="00900ADE" w:rsidRDefault="00852AC1" w:rsidP="00852AC1">
            <w:pPr>
              <w:pStyle w:val="TableText"/>
            </w:pPr>
            <w:r w:rsidRPr="00900ADE">
              <w:rPr>
                <w:rFonts w:cstheme="minorHAnsi"/>
              </w:rPr>
              <w:t>Multi-Race, non-Hispanic/Latino</w:t>
            </w:r>
          </w:p>
        </w:tc>
        <w:tc>
          <w:tcPr>
            <w:tcW w:w="1254" w:type="dxa"/>
            <w:vAlign w:val="center"/>
          </w:tcPr>
          <w:p w14:paraId="1524050E" w14:textId="77777777" w:rsidR="00852AC1" w:rsidRPr="00900ADE" w:rsidRDefault="00852AC1" w:rsidP="00852AC1">
            <w:pPr>
              <w:pStyle w:val="TableTextCentered"/>
            </w:pPr>
            <w:r w:rsidRPr="00900ADE">
              <w:t>79</w:t>
            </w:r>
          </w:p>
        </w:tc>
        <w:tc>
          <w:tcPr>
            <w:tcW w:w="1255" w:type="dxa"/>
            <w:vAlign w:val="center"/>
          </w:tcPr>
          <w:p w14:paraId="21E29B2B" w14:textId="43A399D5" w:rsidR="00852AC1" w:rsidRPr="00900ADE" w:rsidRDefault="003A7D47" w:rsidP="00852AC1">
            <w:pPr>
              <w:pStyle w:val="TableTextCentered"/>
            </w:pPr>
            <w:r w:rsidRPr="00900ADE">
              <w:t>—</w:t>
            </w:r>
          </w:p>
        </w:tc>
        <w:tc>
          <w:tcPr>
            <w:tcW w:w="1254" w:type="dxa"/>
            <w:vAlign w:val="center"/>
          </w:tcPr>
          <w:p w14:paraId="0D677320" w14:textId="765158A4" w:rsidR="00852AC1" w:rsidRPr="00900ADE" w:rsidRDefault="003A7D47" w:rsidP="00852AC1">
            <w:pPr>
              <w:pStyle w:val="TableTextCentered"/>
            </w:pPr>
            <w:r w:rsidRPr="00900ADE">
              <w:t>—</w:t>
            </w:r>
          </w:p>
        </w:tc>
        <w:tc>
          <w:tcPr>
            <w:tcW w:w="1255" w:type="dxa"/>
            <w:vAlign w:val="center"/>
          </w:tcPr>
          <w:p w14:paraId="54B8566F" w14:textId="29C28ABC" w:rsidR="00852AC1" w:rsidRPr="00900ADE" w:rsidRDefault="003A7D47" w:rsidP="00852AC1">
            <w:pPr>
              <w:pStyle w:val="TableTextCentered"/>
            </w:pPr>
            <w:r w:rsidRPr="00900ADE">
              <w:t>—</w:t>
            </w:r>
          </w:p>
        </w:tc>
        <w:tc>
          <w:tcPr>
            <w:tcW w:w="1255" w:type="dxa"/>
            <w:vAlign w:val="center"/>
          </w:tcPr>
          <w:p w14:paraId="3ED8C8ED" w14:textId="77777777" w:rsidR="00852AC1" w:rsidRPr="00900ADE" w:rsidRDefault="00852AC1" w:rsidP="00852AC1">
            <w:pPr>
              <w:pStyle w:val="TableTextCentered"/>
            </w:pPr>
            <w:r w:rsidRPr="00900ADE">
              <w:t>1.6</w:t>
            </w:r>
          </w:p>
        </w:tc>
      </w:tr>
      <w:tr w:rsidR="00852AC1" w:rsidRPr="00900ADE" w14:paraId="5F821F02" w14:textId="77777777">
        <w:trPr>
          <w:jc w:val="center"/>
        </w:trPr>
        <w:tc>
          <w:tcPr>
            <w:tcW w:w="3052" w:type="dxa"/>
          </w:tcPr>
          <w:p w14:paraId="42F53650" w14:textId="77777777" w:rsidR="00852AC1" w:rsidRPr="00900ADE" w:rsidRDefault="00852AC1" w:rsidP="00852AC1">
            <w:pPr>
              <w:pStyle w:val="TableText"/>
            </w:pPr>
            <w:r w:rsidRPr="00900ADE">
              <w:t>Native American</w:t>
            </w:r>
          </w:p>
        </w:tc>
        <w:tc>
          <w:tcPr>
            <w:tcW w:w="1254" w:type="dxa"/>
            <w:vAlign w:val="center"/>
          </w:tcPr>
          <w:p w14:paraId="5431665D" w14:textId="77777777" w:rsidR="00852AC1" w:rsidRPr="00900ADE" w:rsidRDefault="00852AC1" w:rsidP="00852AC1">
            <w:pPr>
              <w:pStyle w:val="TableTextCentered"/>
            </w:pPr>
            <w:r w:rsidRPr="00900ADE">
              <w:t>4</w:t>
            </w:r>
          </w:p>
        </w:tc>
        <w:tc>
          <w:tcPr>
            <w:tcW w:w="1255" w:type="dxa"/>
            <w:vAlign w:val="center"/>
          </w:tcPr>
          <w:p w14:paraId="0630ECAF" w14:textId="27510B37" w:rsidR="00852AC1" w:rsidRPr="00900ADE" w:rsidRDefault="003A7D47" w:rsidP="00852AC1">
            <w:pPr>
              <w:pStyle w:val="TableTextCentered"/>
            </w:pPr>
            <w:r w:rsidRPr="00900ADE">
              <w:t>—</w:t>
            </w:r>
          </w:p>
        </w:tc>
        <w:tc>
          <w:tcPr>
            <w:tcW w:w="1254" w:type="dxa"/>
            <w:vAlign w:val="center"/>
          </w:tcPr>
          <w:p w14:paraId="1DF4A275" w14:textId="6B280A4E" w:rsidR="00852AC1" w:rsidRPr="00900ADE" w:rsidRDefault="003A7D47" w:rsidP="00852AC1">
            <w:pPr>
              <w:pStyle w:val="TableTextCentered"/>
            </w:pPr>
            <w:r w:rsidRPr="00900ADE">
              <w:t>—</w:t>
            </w:r>
          </w:p>
        </w:tc>
        <w:tc>
          <w:tcPr>
            <w:tcW w:w="1255" w:type="dxa"/>
            <w:vAlign w:val="center"/>
          </w:tcPr>
          <w:p w14:paraId="4D0934C6" w14:textId="7A203D8E" w:rsidR="00852AC1" w:rsidRPr="00900ADE" w:rsidRDefault="003A7D47" w:rsidP="00852AC1">
            <w:pPr>
              <w:pStyle w:val="TableTextCentered"/>
            </w:pPr>
            <w:r w:rsidRPr="00900ADE">
              <w:t>—</w:t>
            </w:r>
          </w:p>
        </w:tc>
        <w:tc>
          <w:tcPr>
            <w:tcW w:w="1255" w:type="dxa"/>
            <w:vAlign w:val="center"/>
          </w:tcPr>
          <w:p w14:paraId="753A7AB3" w14:textId="77777777" w:rsidR="00852AC1" w:rsidRPr="00900ADE" w:rsidRDefault="00852AC1" w:rsidP="00852AC1">
            <w:pPr>
              <w:pStyle w:val="TableTextCentered"/>
            </w:pPr>
            <w:r w:rsidRPr="00900ADE">
              <w:t>1.8</w:t>
            </w:r>
          </w:p>
        </w:tc>
      </w:tr>
      <w:tr w:rsidR="00852AC1" w:rsidRPr="00900ADE" w14:paraId="13855FA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DEC84D8" w14:textId="77777777" w:rsidR="00852AC1" w:rsidRPr="00900ADE" w:rsidRDefault="00852AC1" w:rsidP="00852AC1">
            <w:pPr>
              <w:pStyle w:val="TableText"/>
            </w:pPr>
            <w:r w:rsidRPr="00900ADE">
              <w:rPr>
                <w:rFonts w:eastAsia="Times New Roman"/>
                <w:spacing w:val="-4"/>
              </w:rPr>
              <w:t>Native Hawaiian, Pacific Islander</w:t>
            </w:r>
          </w:p>
        </w:tc>
        <w:tc>
          <w:tcPr>
            <w:tcW w:w="1254" w:type="dxa"/>
            <w:vAlign w:val="center"/>
          </w:tcPr>
          <w:p w14:paraId="15B10247" w14:textId="77777777" w:rsidR="00852AC1" w:rsidRPr="00900ADE" w:rsidRDefault="00852AC1" w:rsidP="00852AC1">
            <w:pPr>
              <w:pStyle w:val="TableTextCentered"/>
            </w:pPr>
            <w:r w:rsidRPr="00900ADE">
              <w:t>3</w:t>
            </w:r>
          </w:p>
        </w:tc>
        <w:tc>
          <w:tcPr>
            <w:tcW w:w="1255" w:type="dxa"/>
            <w:vAlign w:val="center"/>
          </w:tcPr>
          <w:p w14:paraId="42B10CEC" w14:textId="41E66E17" w:rsidR="00852AC1" w:rsidRPr="00900ADE" w:rsidRDefault="003A7D47" w:rsidP="00852AC1">
            <w:pPr>
              <w:pStyle w:val="TableTextCentered"/>
            </w:pPr>
            <w:r w:rsidRPr="00900ADE">
              <w:t>—</w:t>
            </w:r>
          </w:p>
        </w:tc>
        <w:tc>
          <w:tcPr>
            <w:tcW w:w="1254" w:type="dxa"/>
            <w:vAlign w:val="center"/>
          </w:tcPr>
          <w:p w14:paraId="1D499D3E" w14:textId="401A4BC9" w:rsidR="00852AC1" w:rsidRPr="00900ADE" w:rsidRDefault="003A7D47" w:rsidP="00852AC1">
            <w:pPr>
              <w:pStyle w:val="TableTextCentered"/>
            </w:pPr>
            <w:r w:rsidRPr="00900ADE">
              <w:t>—</w:t>
            </w:r>
          </w:p>
        </w:tc>
        <w:tc>
          <w:tcPr>
            <w:tcW w:w="1255" w:type="dxa"/>
            <w:vAlign w:val="center"/>
          </w:tcPr>
          <w:p w14:paraId="2C220F65" w14:textId="4BDA3948" w:rsidR="00852AC1" w:rsidRPr="00900ADE" w:rsidRDefault="003A7D47" w:rsidP="00852AC1">
            <w:pPr>
              <w:pStyle w:val="TableTextCentered"/>
            </w:pPr>
            <w:r w:rsidRPr="00900ADE">
              <w:t>—</w:t>
            </w:r>
          </w:p>
        </w:tc>
        <w:tc>
          <w:tcPr>
            <w:tcW w:w="1255" w:type="dxa"/>
            <w:vAlign w:val="center"/>
          </w:tcPr>
          <w:p w14:paraId="31B54E30" w14:textId="77777777" w:rsidR="00852AC1" w:rsidRPr="00900ADE" w:rsidRDefault="00852AC1" w:rsidP="00852AC1">
            <w:pPr>
              <w:pStyle w:val="TableTextCentered"/>
            </w:pPr>
            <w:r w:rsidRPr="00900ADE">
              <w:t>1.9</w:t>
            </w:r>
          </w:p>
        </w:tc>
      </w:tr>
      <w:tr w:rsidR="00852AC1" w:rsidRPr="00900ADE" w14:paraId="32AE0C4B" w14:textId="77777777">
        <w:trPr>
          <w:jc w:val="center"/>
        </w:trPr>
        <w:tc>
          <w:tcPr>
            <w:tcW w:w="3052" w:type="dxa"/>
          </w:tcPr>
          <w:p w14:paraId="7EB2754E" w14:textId="77777777" w:rsidR="00852AC1" w:rsidRPr="00900ADE" w:rsidRDefault="00852AC1" w:rsidP="00852AC1">
            <w:pPr>
              <w:pStyle w:val="TableText"/>
            </w:pPr>
            <w:r w:rsidRPr="00900ADE">
              <w:t>White</w:t>
            </w:r>
          </w:p>
        </w:tc>
        <w:tc>
          <w:tcPr>
            <w:tcW w:w="1254" w:type="dxa"/>
            <w:vAlign w:val="center"/>
          </w:tcPr>
          <w:p w14:paraId="1F4B3F07" w14:textId="77777777" w:rsidR="00852AC1" w:rsidRPr="00900ADE" w:rsidRDefault="00852AC1" w:rsidP="00852AC1">
            <w:pPr>
              <w:pStyle w:val="TableTextCentered"/>
            </w:pPr>
            <w:r w:rsidRPr="00900ADE">
              <w:t>1,767</w:t>
            </w:r>
          </w:p>
        </w:tc>
        <w:tc>
          <w:tcPr>
            <w:tcW w:w="1255" w:type="dxa"/>
            <w:vAlign w:val="center"/>
          </w:tcPr>
          <w:p w14:paraId="24BDB59A" w14:textId="77777777" w:rsidR="00852AC1" w:rsidRPr="00900ADE" w:rsidRDefault="00852AC1" w:rsidP="00852AC1">
            <w:pPr>
              <w:pStyle w:val="TableTextCentered"/>
            </w:pPr>
            <w:r w:rsidRPr="00900ADE">
              <w:t>1.7</w:t>
            </w:r>
          </w:p>
        </w:tc>
        <w:tc>
          <w:tcPr>
            <w:tcW w:w="1254" w:type="dxa"/>
            <w:vAlign w:val="center"/>
          </w:tcPr>
          <w:p w14:paraId="1CECA86B" w14:textId="77777777" w:rsidR="00852AC1" w:rsidRPr="00900ADE" w:rsidRDefault="00852AC1" w:rsidP="00852AC1">
            <w:pPr>
              <w:pStyle w:val="TableTextCentered"/>
            </w:pPr>
            <w:r w:rsidRPr="00900ADE">
              <w:t>0.1</w:t>
            </w:r>
          </w:p>
        </w:tc>
        <w:tc>
          <w:tcPr>
            <w:tcW w:w="1255" w:type="dxa"/>
            <w:vAlign w:val="center"/>
          </w:tcPr>
          <w:p w14:paraId="3E05D1AF" w14:textId="77777777" w:rsidR="00852AC1" w:rsidRPr="00900ADE" w:rsidRDefault="00852AC1" w:rsidP="00852AC1">
            <w:pPr>
              <w:pStyle w:val="TableTextCentered"/>
            </w:pPr>
            <w:r w:rsidRPr="00900ADE">
              <w:t>0.1</w:t>
            </w:r>
          </w:p>
        </w:tc>
        <w:tc>
          <w:tcPr>
            <w:tcW w:w="1255" w:type="dxa"/>
            <w:vAlign w:val="center"/>
          </w:tcPr>
          <w:p w14:paraId="004A04FD" w14:textId="77777777" w:rsidR="00852AC1" w:rsidRPr="00900ADE" w:rsidRDefault="00852AC1" w:rsidP="00852AC1">
            <w:pPr>
              <w:pStyle w:val="TableTextCentered"/>
            </w:pPr>
            <w:r w:rsidRPr="00900ADE">
              <w:t>1.1</w:t>
            </w:r>
          </w:p>
        </w:tc>
      </w:tr>
      <w:tr w:rsidR="00852AC1" w:rsidRPr="00900ADE" w14:paraId="10E3D0B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A1A5D6E" w14:textId="03047249" w:rsidR="00852AC1" w:rsidRPr="00900ADE" w:rsidRDefault="00852AC1" w:rsidP="00852AC1">
            <w:pPr>
              <w:pStyle w:val="TableText"/>
            </w:pPr>
            <w:r w:rsidRPr="00900ADE">
              <w:t xml:space="preserve">High </w:t>
            </w:r>
            <w:r w:rsidR="00AD1D77">
              <w:t>n</w:t>
            </w:r>
            <w:r w:rsidRPr="00900ADE">
              <w:t>eeds</w:t>
            </w:r>
          </w:p>
        </w:tc>
        <w:tc>
          <w:tcPr>
            <w:tcW w:w="1254" w:type="dxa"/>
            <w:vAlign w:val="center"/>
          </w:tcPr>
          <w:p w14:paraId="407F386D" w14:textId="77777777" w:rsidR="00852AC1" w:rsidRPr="00900ADE" w:rsidRDefault="00852AC1" w:rsidP="00852AC1">
            <w:pPr>
              <w:pStyle w:val="TableTextCentered"/>
            </w:pPr>
            <w:r w:rsidRPr="00900ADE">
              <w:t>751</w:t>
            </w:r>
          </w:p>
        </w:tc>
        <w:tc>
          <w:tcPr>
            <w:tcW w:w="1255" w:type="dxa"/>
            <w:vAlign w:val="center"/>
          </w:tcPr>
          <w:p w14:paraId="6BA483EA" w14:textId="77777777" w:rsidR="00852AC1" w:rsidRPr="00900ADE" w:rsidRDefault="00852AC1" w:rsidP="00852AC1">
            <w:pPr>
              <w:pStyle w:val="TableTextCentered"/>
            </w:pPr>
            <w:r w:rsidRPr="00900ADE">
              <w:t>2.9</w:t>
            </w:r>
          </w:p>
        </w:tc>
        <w:tc>
          <w:tcPr>
            <w:tcW w:w="1254" w:type="dxa"/>
            <w:vAlign w:val="center"/>
          </w:tcPr>
          <w:p w14:paraId="21658B71" w14:textId="77777777" w:rsidR="00852AC1" w:rsidRPr="00900ADE" w:rsidRDefault="00852AC1" w:rsidP="00852AC1">
            <w:pPr>
              <w:pStyle w:val="TableTextCentered"/>
            </w:pPr>
            <w:r w:rsidRPr="00900ADE">
              <w:t>0.3</w:t>
            </w:r>
          </w:p>
        </w:tc>
        <w:tc>
          <w:tcPr>
            <w:tcW w:w="1255" w:type="dxa"/>
            <w:vAlign w:val="center"/>
          </w:tcPr>
          <w:p w14:paraId="4FA32306" w14:textId="77777777" w:rsidR="00852AC1" w:rsidRPr="00900ADE" w:rsidRDefault="00852AC1" w:rsidP="00852AC1">
            <w:pPr>
              <w:pStyle w:val="TableTextCentered"/>
            </w:pPr>
            <w:r w:rsidRPr="00900ADE">
              <w:t>0.4</w:t>
            </w:r>
          </w:p>
        </w:tc>
        <w:tc>
          <w:tcPr>
            <w:tcW w:w="1255" w:type="dxa"/>
            <w:vAlign w:val="center"/>
          </w:tcPr>
          <w:p w14:paraId="40838721" w14:textId="77777777" w:rsidR="00852AC1" w:rsidRPr="00900ADE" w:rsidRDefault="00852AC1" w:rsidP="00852AC1">
            <w:pPr>
              <w:pStyle w:val="TableTextCentered"/>
            </w:pPr>
            <w:r w:rsidRPr="00900ADE">
              <w:t>1.9</w:t>
            </w:r>
          </w:p>
        </w:tc>
      </w:tr>
      <w:tr w:rsidR="00852AC1" w:rsidRPr="00900ADE" w14:paraId="5EE6D52D" w14:textId="77777777">
        <w:trPr>
          <w:jc w:val="center"/>
        </w:trPr>
        <w:tc>
          <w:tcPr>
            <w:tcW w:w="3052" w:type="dxa"/>
          </w:tcPr>
          <w:p w14:paraId="0EC99F4C" w14:textId="77777777" w:rsidR="00852AC1" w:rsidRPr="00900ADE" w:rsidRDefault="00852AC1" w:rsidP="00852AC1">
            <w:pPr>
              <w:pStyle w:val="TableText"/>
            </w:pPr>
            <w:r w:rsidRPr="00900ADE">
              <w:t>Low income</w:t>
            </w:r>
          </w:p>
        </w:tc>
        <w:tc>
          <w:tcPr>
            <w:tcW w:w="1254" w:type="dxa"/>
            <w:vAlign w:val="center"/>
          </w:tcPr>
          <w:p w14:paraId="67F0D24A" w14:textId="77777777" w:rsidR="00852AC1" w:rsidRPr="00900ADE" w:rsidRDefault="00852AC1" w:rsidP="00852AC1">
            <w:pPr>
              <w:pStyle w:val="TableTextCentered"/>
            </w:pPr>
            <w:r w:rsidRPr="00900ADE">
              <w:t>427</w:t>
            </w:r>
          </w:p>
        </w:tc>
        <w:tc>
          <w:tcPr>
            <w:tcW w:w="1255" w:type="dxa"/>
            <w:vAlign w:val="center"/>
          </w:tcPr>
          <w:p w14:paraId="1CC05D1E" w14:textId="77777777" w:rsidR="00852AC1" w:rsidRPr="00900ADE" w:rsidRDefault="00852AC1" w:rsidP="00852AC1">
            <w:pPr>
              <w:pStyle w:val="TableTextCentered"/>
            </w:pPr>
            <w:r w:rsidRPr="00900ADE">
              <w:t>2.5</w:t>
            </w:r>
          </w:p>
        </w:tc>
        <w:tc>
          <w:tcPr>
            <w:tcW w:w="1254" w:type="dxa"/>
            <w:vAlign w:val="center"/>
          </w:tcPr>
          <w:p w14:paraId="1AC10185" w14:textId="77777777" w:rsidR="00852AC1" w:rsidRPr="00900ADE" w:rsidRDefault="00852AC1" w:rsidP="00852AC1">
            <w:pPr>
              <w:pStyle w:val="TableTextCentered"/>
            </w:pPr>
            <w:r w:rsidRPr="00900ADE">
              <w:t>0.5</w:t>
            </w:r>
          </w:p>
        </w:tc>
        <w:tc>
          <w:tcPr>
            <w:tcW w:w="1255" w:type="dxa"/>
            <w:vAlign w:val="center"/>
          </w:tcPr>
          <w:p w14:paraId="796418F0" w14:textId="77777777" w:rsidR="00852AC1" w:rsidRPr="00900ADE" w:rsidRDefault="00852AC1" w:rsidP="00852AC1">
            <w:pPr>
              <w:pStyle w:val="TableTextCentered"/>
            </w:pPr>
            <w:r w:rsidRPr="00900ADE">
              <w:t>0.5</w:t>
            </w:r>
          </w:p>
        </w:tc>
        <w:tc>
          <w:tcPr>
            <w:tcW w:w="1255" w:type="dxa"/>
            <w:vAlign w:val="center"/>
          </w:tcPr>
          <w:p w14:paraId="101DB649" w14:textId="77777777" w:rsidR="00852AC1" w:rsidRPr="00900ADE" w:rsidRDefault="00852AC1" w:rsidP="00852AC1">
            <w:pPr>
              <w:pStyle w:val="TableTextCentered"/>
            </w:pPr>
            <w:r w:rsidRPr="00900ADE">
              <w:t>2.1</w:t>
            </w:r>
          </w:p>
        </w:tc>
      </w:tr>
      <w:tr w:rsidR="00852AC1" w:rsidRPr="00900ADE" w14:paraId="3EE8B4A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88D0433" w14:textId="77777777" w:rsidR="00852AC1" w:rsidRPr="00900ADE" w:rsidRDefault="00852AC1" w:rsidP="00852AC1">
            <w:pPr>
              <w:pStyle w:val="TableText"/>
            </w:pPr>
            <w:r w:rsidRPr="00900ADE">
              <w:rPr>
                <w:spacing w:val="-4"/>
              </w:rPr>
              <w:t>English learners</w:t>
            </w:r>
          </w:p>
        </w:tc>
        <w:tc>
          <w:tcPr>
            <w:tcW w:w="1254" w:type="dxa"/>
            <w:vAlign w:val="center"/>
          </w:tcPr>
          <w:p w14:paraId="34E70519" w14:textId="77777777" w:rsidR="00852AC1" w:rsidRPr="00900ADE" w:rsidRDefault="00852AC1" w:rsidP="00852AC1">
            <w:pPr>
              <w:pStyle w:val="TableTextCentered"/>
            </w:pPr>
            <w:r w:rsidRPr="00900ADE">
              <w:t>125</w:t>
            </w:r>
          </w:p>
        </w:tc>
        <w:tc>
          <w:tcPr>
            <w:tcW w:w="1255" w:type="dxa"/>
            <w:vAlign w:val="center"/>
          </w:tcPr>
          <w:p w14:paraId="1DBB717E" w14:textId="27C5B088" w:rsidR="00852AC1" w:rsidRPr="00900ADE" w:rsidRDefault="003A7D47" w:rsidP="00852AC1">
            <w:pPr>
              <w:pStyle w:val="TableTextCentered"/>
            </w:pPr>
            <w:r w:rsidRPr="00900ADE">
              <w:t>—</w:t>
            </w:r>
          </w:p>
        </w:tc>
        <w:tc>
          <w:tcPr>
            <w:tcW w:w="1254" w:type="dxa"/>
            <w:vAlign w:val="center"/>
          </w:tcPr>
          <w:p w14:paraId="3AFDA758" w14:textId="661226BF" w:rsidR="00852AC1" w:rsidRPr="00900ADE" w:rsidRDefault="003A7D47" w:rsidP="00852AC1">
            <w:pPr>
              <w:pStyle w:val="TableTextCentered"/>
            </w:pPr>
            <w:r w:rsidRPr="00900ADE">
              <w:t>—</w:t>
            </w:r>
          </w:p>
        </w:tc>
        <w:tc>
          <w:tcPr>
            <w:tcW w:w="1255" w:type="dxa"/>
            <w:vAlign w:val="center"/>
          </w:tcPr>
          <w:p w14:paraId="3009BA21" w14:textId="61656951" w:rsidR="00852AC1" w:rsidRPr="00900ADE" w:rsidRDefault="003A7D47" w:rsidP="00852AC1">
            <w:pPr>
              <w:pStyle w:val="TableTextCentered"/>
            </w:pPr>
            <w:r w:rsidRPr="00900ADE">
              <w:t>—</w:t>
            </w:r>
          </w:p>
        </w:tc>
        <w:tc>
          <w:tcPr>
            <w:tcW w:w="1255" w:type="dxa"/>
            <w:vAlign w:val="center"/>
          </w:tcPr>
          <w:p w14:paraId="003651B1" w14:textId="77777777" w:rsidR="00852AC1" w:rsidRPr="00900ADE" w:rsidRDefault="00852AC1" w:rsidP="00852AC1">
            <w:pPr>
              <w:pStyle w:val="TableTextCentered"/>
            </w:pPr>
            <w:r w:rsidRPr="00900ADE">
              <w:t>1.4</w:t>
            </w:r>
          </w:p>
        </w:tc>
      </w:tr>
      <w:tr w:rsidR="00852AC1" w:rsidRPr="00900ADE" w14:paraId="1A468CC3" w14:textId="77777777">
        <w:trPr>
          <w:jc w:val="center"/>
        </w:trPr>
        <w:tc>
          <w:tcPr>
            <w:tcW w:w="3052" w:type="dxa"/>
          </w:tcPr>
          <w:p w14:paraId="0066BA0C" w14:textId="77777777" w:rsidR="00852AC1" w:rsidRPr="00900ADE" w:rsidRDefault="00852AC1" w:rsidP="00852AC1">
            <w:pPr>
              <w:pStyle w:val="TableText"/>
            </w:pPr>
            <w:r w:rsidRPr="00900ADE">
              <w:t>Students w/disabilities</w:t>
            </w:r>
          </w:p>
        </w:tc>
        <w:tc>
          <w:tcPr>
            <w:tcW w:w="1254" w:type="dxa"/>
            <w:vAlign w:val="center"/>
          </w:tcPr>
          <w:p w14:paraId="7FFBFE46" w14:textId="77777777" w:rsidR="00852AC1" w:rsidRPr="00900ADE" w:rsidRDefault="00852AC1" w:rsidP="00852AC1">
            <w:pPr>
              <w:pStyle w:val="TableTextCentered"/>
            </w:pPr>
            <w:r w:rsidRPr="00900ADE">
              <w:t>380</w:t>
            </w:r>
          </w:p>
        </w:tc>
        <w:tc>
          <w:tcPr>
            <w:tcW w:w="1255" w:type="dxa"/>
            <w:vAlign w:val="center"/>
          </w:tcPr>
          <w:p w14:paraId="0156D22C" w14:textId="77777777" w:rsidR="00852AC1" w:rsidRPr="00900ADE" w:rsidRDefault="00852AC1" w:rsidP="00852AC1">
            <w:pPr>
              <w:pStyle w:val="TableTextCentered"/>
            </w:pPr>
            <w:r w:rsidRPr="00900ADE">
              <w:t>3.8</w:t>
            </w:r>
          </w:p>
        </w:tc>
        <w:tc>
          <w:tcPr>
            <w:tcW w:w="1254" w:type="dxa"/>
            <w:vAlign w:val="center"/>
          </w:tcPr>
          <w:p w14:paraId="7AC9A4E4" w14:textId="77777777" w:rsidR="00852AC1" w:rsidRPr="00900ADE" w:rsidRDefault="00852AC1" w:rsidP="00852AC1">
            <w:pPr>
              <w:pStyle w:val="TableTextCentered"/>
            </w:pPr>
            <w:r w:rsidRPr="00900ADE">
              <w:t>0.3</w:t>
            </w:r>
          </w:p>
        </w:tc>
        <w:tc>
          <w:tcPr>
            <w:tcW w:w="1255" w:type="dxa"/>
            <w:vAlign w:val="center"/>
          </w:tcPr>
          <w:p w14:paraId="24C7C6E7" w14:textId="77777777" w:rsidR="00852AC1" w:rsidRPr="00900ADE" w:rsidRDefault="00852AC1" w:rsidP="00852AC1">
            <w:pPr>
              <w:pStyle w:val="TableTextCentered"/>
            </w:pPr>
            <w:r w:rsidRPr="00900ADE">
              <w:t>0.5</w:t>
            </w:r>
          </w:p>
        </w:tc>
        <w:tc>
          <w:tcPr>
            <w:tcW w:w="1255" w:type="dxa"/>
            <w:vAlign w:val="center"/>
          </w:tcPr>
          <w:p w14:paraId="1F26458A" w14:textId="77777777" w:rsidR="00852AC1" w:rsidRPr="00900ADE" w:rsidRDefault="00852AC1" w:rsidP="00852AC1">
            <w:pPr>
              <w:pStyle w:val="TableTextCentered"/>
            </w:pPr>
            <w:r w:rsidRPr="00900ADE">
              <w:t>2.4</w:t>
            </w:r>
          </w:p>
        </w:tc>
      </w:tr>
    </w:tbl>
    <w:p w14:paraId="5E241133" w14:textId="77777777" w:rsidR="00852AC1" w:rsidRPr="00900ADE" w:rsidRDefault="00852AC1" w:rsidP="00C9717C">
      <w:pPr>
        <w:pStyle w:val="TableETitle"/>
        <w:spacing w:before="240"/>
      </w:pPr>
      <w:bookmarkStart w:id="223" w:name="_Toc196169632"/>
      <w:r w:rsidRPr="00900ADE">
        <w:t>Table E20. Out-of-School Suspension Rates by Student Group, 2022-2024</w:t>
      </w:r>
      <w:bookmarkEnd w:id="223"/>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852AC1" w:rsidRPr="00900ADE" w14:paraId="56EAACC4" w14:textId="77777777" w:rsidTr="00B87CA4">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center"/>
          </w:tcPr>
          <w:p w14:paraId="28B4AF6A" w14:textId="77777777" w:rsidR="00852AC1" w:rsidRPr="00900ADE" w:rsidRDefault="00852AC1" w:rsidP="00852AC1">
            <w:pPr>
              <w:pStyle w:val="TableColHeadingCenter"/>
            </w:pPr>
            <w:r w:rsidRPr="00900ADE">
              <w:t>Group</w:t>
            </w:r>
          </w:p>
        </w:tc>
        <w:tc>
          <w:tcPr>
            <w:tcW w:w="1254" w:type="dxa"/>
            <w:vAlign w:val="center"/>
          </w:tcPr>
          <w:p w14:paraId="36BA3FD6" w14:textId="0A8632E7" w:rsidR="00852AC1" w:rsidRPr="00900ADE" w:rsidRDefault="00852AC1" w:rsidP="00852AC1">
            <w:pPr>
              <w:pStyle w:val="TableColHeadingCenter"/>
            </w:pPr>
            <w:r w:rsidRPr="00900ADE">
              <w:t xml:space="preserve"># </w:t>
            </w:r>
            <w:r w:rsidR="00CD7EAE" w:rsidRPr="00900ADE">
              <w:t>i</w:t>
            </w:r>
            <w:r w:rsidRPr="00900ADE">
              <w:t>ncluded (2024)</w:t>
            </w:r>
          </w:p>
        </w:tc>
        <w:tc>
          <w:tcPr>
            <w:tcW w:w="1255" w:type="dxa"/>
            <w:vAlign w:val="center"/>
          </w:tcPr>
          <w:p w14:paraId="222FD5C7" w14:textId="77777777" w:rsidR="00852AC1" w:rsidRPr="00900ADE" w:rsidRDefault="00852AC1" w:rsidP="00852AC1">
            <w:pPr>
              <w:pStyle w:val="TableColHeadingCenter"/>
            </w:pPr>
            <w:r w:rsidRPr="00900ADE">
              <w:t>2022 (%)</w:t>
            </w:r>
          </w:p>
        </w:tc>
        <w:tc>
          <w:tcPr>
            <w:tcW w:w="1254" w:type="dxa"/>
            <w:vAlign w:val="center"/>
          </w:tcPr>
          <w:p w14:paraId="2028EF63" w14:textId="77777777" w:rsidR="00852AC1" w:rsidRPr="00900ADE" w:rsidRDefault="00852AC1" w:rsidP="00852AC1">
            <w:pPr>
              <w:pStyle w:val="TableColHeadingCenter"/>
            </w:pPr>
            <w:r w:rsidRPr="00900ADE">
              <w:t>2023 (%)</w:t>
            </w:r>
          </w:p>
        </w:tc>
        <w:tc>
          <w:tcPr>
            <w:tcW w:w="1255" w:type="dxa"/>
            <w:vAlign w:val="center"/>
          </w:tcPr>
          <w:p w14:paraId="5D74765D" w14:textId="77777777" w:rsidR="00852AC1" w:rsidRPr="00900ADE" w:rsidRDefault="00852AC1" w:rsidP="00852AC1">
            <w:pPr>
              <w:pStyle w:val="TableColHeadingCenter"/>
            </w:pPr>
            <w:r w:rsidRPr="00900ADE">
              <w:t>2024 (%)</w:t>
            </w:r>
          </w:p>
        </w:tc>
        <w:tc>
          <w:tcPr>
            <w:tcW w:w="1255" w:type="dxa"/>
            <w:vAlign w:val="center"/>
          </w:tcPr>
          <w:p w14:paraId="57EDBFFA" w14:textId="77777777" w:rsidR="00852AC1" w:rsidRPr="00900ADE" w:rsidRDefault="00852AC1" w:rsidP="00852AC1">
            <w:pPr>
              <w:pStyle w:val="TableColHeadingCenter"/>
            </w:pPr>
            <w:r w:rsidRPr="00900ADE">
              <w:t>State 2024 (%)</w:t>
            </w:r>
          </w:p>
        </w:tc>
      </w:tr>
      <w:tr w:rsidR="00852AC1" w:rsidRPr="00900ADE" w14:paraId="547FEC5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3F2B7F8" w14:textId="77777777" w:rsidR="00852AC1" w:rsidRPr="00900ADE" w:rsidRDefault="00852AC1" w:rsidP="00852AC1">
            <w:pPr>
              <w:pStyle w:val="TableText"/>
            </w:pPr>
            <w:r w:rsidRPr="00900ADE">
              <w:t>All</w:t>
            </w:r>
          </w:p>
        </w:tc>
        <w:tc>
          <w:tcPr>
            <w:tcW w:w="1254" w:type="dxa"/>
            <w:vAlign w:val="center"/>
          </w:tcPr>
          <w:p w14:paraId="118853A1" w14:textId="77777777" w:rsidR="00852AC1" w:rsidRPr="00900ADE" w:rsidRDefault="00852AC1" w:rsidP="00852AC1">
            <w:pPr>
              <w:pStyle w:val="TableTextCentered"/>
            </w:pPr>
            <w:r w:rsidRPr="00900ADE">
              <w:t>2,235</w:t>
            </w:r>
          </w:p>
        </w:tc>
        <w:tc>
          <w:tcPr>
            <w:tcW w:w="1255" w:type="dxa"/>
            <w:vAlign w:val="center"/>
          </w:tcPr>
          <w:p w14:paraId="35FCF33F" w14:textId="77777777" w:rsidR="00852AC1" w:rsidRPr="00900ADE" w:rsidRDefault="00852AC1" w:rsidP="00852AC1">
            <w:pPr>
              <w:pStyle w:val="TableTextCentered"/>
            </w:pPr>
            <w:r w:rsidRPr="00900ADE">
              <w:t>1.9</w:t>
            </w:r>
          </w:p>
        </w:tc>
        <w:tc>
          <w:tcPr>
            <w:tcW w:w="1254" w:type="dxa"/>
            <w:vAlign w:val="center"/>
          </w:tcPr>
          <w:p w14:paraId="440C94B9" w14:textId="77777777" w:rsidR="00852AC1" w:rsidRPr="00900ADE" w:rsidRDefault="00852AC1" w:rsidP="00852AC1">
            <w:pPr>
              <w:pStyle w:val="TableTextCentered"/>
            </w:pPr>
            <w:r w:rsidRPr="00900ADE">
              <w:t>1.2</w:t>
            </w:r>
          </w:p>
        </w:tc>
        <w:tc>
          <w:tcPr>
            <w:tcW w:w="1255" w:type="dxa"/>
            <w:vAlign w:val="center"/>
          </w:tcPr>
          <w:p w14:paraId="31B25912" w14:textId="77777777" w:rsidR="00852AC1" w:rsidRPr="00900ADE" w:rsidRDefault="00852AC1" w:rsidP="00852AC1">
            <w:pPr>
              <w:pStyle w:val="TableTextCentered"/>
            </w:pPr>
            <w:r w:rsidRPr="00900ADE">
              <w:t>0.7</w:t>
            </w:r>
          </w:p>
        </w:tc>
        <w:tc>
          <w:tcPr>
            <w:tcW w:w="1255" w:type="dxa"/>
            <w:vAlign w:val="center"/>
          </w:tcPr>
          <w:p w14:paraId="220FD58B" w14:textId="77777777" w:rsidR="00852AC1" w:rsidRPr="00900ADE" w:rsidRDefault="00852AC1" w:rsidP="00852AC1">
            <w:pPr>
              <w:pStyle w:val="TableTextCentered"/>
            </w:pPr>
            <w:r w:rsidRPr="00900ADE">
              <w:t>2.4</w:t>
            </w:r>
          </w:p>
        </w:tc>
      </w:tr>
      <w:tr w:rsidR="00852AC1" w:rsidRPr="00900ADE" w14:paraId="5094865F" w14:textId="77777777">
        <w:trPr>
          <w:jc w:val="center"/>
        </w:trPr>
        <w:tc>
          <w:tcPr>
            <w:tcW w:w="3052" w:type="dxa"/>
          </w:tcPr>
          <w:p w14:paraId="4A9AC44F" w14:textId="77777777" w:rsidR="00852AC1" w:rsidRPr="00900ADE" w:rsidRDefault="00852AC1" w:rsidP="00852AC1">
            <w:pPr>
              <w:pStyle w:val="TableText"/>
            </w:pPr>
            <w:r w:rsidRPr="00900ADE">
              <w:t>African American/Black</w:t>
            </w:r>
          </w:p>
        </w:tc>
        <w:tc>
          <w:tcPr>
            <w:tcW w:w="1254" w:type="dxa"/>
            <w:vAlign w:val="center"/>
          </w:tcPr>
          <w:p w14:paraId="2E69EA75" w14:textId="77777777" w:rsidR="00852AC1" w:rsidRPr="00900ADE" w:rsidRDefault="00852AC1" w:rsidP="00852AC1">
            <w:pPr>
              <w:pStyle w:val="TableTextCentered"/>
            </w:pPr>
            <w:r w:rsidRPr="00900ADE">
              <w:t>55</w:t>
            </w:r>
          </w:p>
        </w:tc>
        <w:tc>
          <w:tcPr>
            <w:tcW w:w="1255" w:type="dxa"/>
            <w:vAlign w:val="center"/>
          </w:tcPr>
          <w:p w14:paraId="30546997" w14:textId="595B7FAA" w:rsidR="00852AC1" w:rsidRPr="00900ADE" w:rsidRDefault="003A7D47" w:rsidP="00852AC1">
            <w:pPr>
              <w:pStyle w:val="TableTextCentered"/>
            </w:pPr>
            <w:r w:rsidRPr="00900ADE">
              <w:t>—</w:t>
            </w:r>
          </w:p>
        </w:tc>
        <w:tc>
          <w:tcPr>
            <w:tcW w:w="1254" w:type="dxa"/>
            <w:vAlign w:val="center"/>
          </w:tcPr>
          <w:p w14:paraId="31638C97" w14:textId="263D7BFE" w:rsidR="00852AC1" w:rsidRPr="00900ADE" w:rsidRDefault="003A7D47" w:rsidP="00852AC1">
            <w:pPr>
              <w:pStyle w:val="TableTextCentered"/>
            </w:pPr>
            <w:r w:rsidRPr="00900ADE">
              <w:t>—</w:t>
            </w:r>
          </w:p>
        </w:tc>
        <w:tc>
          <w:tcPr>
            <w:tcW w:w="1255" w:type="dxa"/>
            <w:vAlign w:val="center"/>
          </w:tcPr>
          <w:p w14:paraId="53154250" w14:textId="1FCA93F2" w:rsidR="00852AC1" w:rsidRPr="00900ADE" w:rsidRDefault="003A7D47" w:rsidP="00852AC1">
            <w:pPr>
              <w:pStyle w:val="TableTextCentered"/>
            </w:pPr>
            <w:r w:rsidRPr="00900ADE">
              <w:t>—</w:t>
            </w:r>
          </w:p>
        </w:tc>
        <w:tc>
          <w:tcPr>
            <w:tcW w:w="1255" w:type="dxa"/>
            <w:vAlign w:val="center"/>
          </w:tcPr>
          <w:p w14:paraId="719DDF83" w14:textId="77777777" w:rsidR="00852AC1" w:rsidRPr="00900ADE" w:rsidRDefault="00852AC1" w:rsidP="00852AC1">
            <w:pPr>
              <w:pStyle w:val="TableTextCentered"/>
            </w:pPr>
            <w:r w:rsidRPr="00900ADE">
              <w:t>4.6</w:t>
            </w:r>
          </w:p>
        </w:tc>
      </w:tr>
      <w:tr w:rsidR="00852AC1" w:rsidRPr="00900ADE" w14:paraId="2DB4D86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CF3C5FF" w14:textId="77777777" w:rsidR="00852AC1" w:rsidRPr="00900ADE" w:rsidRDefault="00852AC1" w:rsidP="00852AC1">
            <w:pPr>
              <w:pStyle w:val="TableText"/>
            </w:pPr>
            <w:r w:rsidRPr="00900ADE">
              <w:t>Asian</w:t>
            </w:r>
          </w:p>
        </w:tc>
        <w:tc>
          <w:tcPr>
            <w:tcW w:w="1254" w:type="dxa"/>
            <w:vAlign w:val="center"/>
          </w:tcPr>
          <w:p w14:paraId="5EFFBF85" w14:textId="77777777" w:rsidR="00852AC1" w:rsidRPr="00900ADE" w:rsidRDefault="00852AC1" w:rsidP="00852AC1">
            <w:pPr>
              <w:pStyle w:val="TableTextCentered"/>
            </w:pPr>
            <w:r w:rsidRPr="00900ADE">
              <w:t>101</w:t>
            </w:r>
          </w:p>
        </w:tc>
        <w:tc>
          <w:tcPr>
            <w:tcW w:w="1255" w:type="dxa"/>
            <w:vAlign w:val="center"/>
          </w:tcPr>
          <w:p w14:paraId="14634323" w14:textId="399A6822" w:rsidR="00852AC1" w:rsidRPr="00900ADE" w:rsidRDefault="003A7D47" w:rsidP="00852AC1">
            <w:pPr>
              <w:pStyle w:val="TableTextCentered"/>
            </w:pPr>
            <w:r w:rsidRPr="00900ADE">
              <w:t>—</w:t>
            </w:r>
          </w:p>
        </w:tc>
        <w:tc>
          <w:tcPr>
            <w:tcW w:w="1254" w:type="dxa"/>
            <w:vAlign w:val="center"/>
          </w:tcPr>
          <w:p w14:paraId="3F1345D2" w14:textId="7399A32F" w:rsidR="00852AC1" w:rsidRPr="00900ADE" w:rsidRDefault="003A7D47" w:rsidP="00852AC1">
            <w:pPr>
              <w:pStyle w:val="TableTextCentered"/>
            </w:pPr>
            <w:r w:rsidRPr="00900ADE">
              <w:t>—</w:t>
            </w:r>
          </w:p>
        </w:tc>
        <w:tc>
          <w:tcPr>
            <w:tcW w:w="1255" w:type="dxa"/>
            <w:vAlign w:val="center"/>
          </w:tcPr>
          <w:p w14:paraId="616A544A" w14:textId="6816432C" w:rsidR="00852AC1" w:rsidRPr="00900ADE" w:rsidRDefault="003A7D47" w:rsidP="00852AC1">
            <w:pPr>
              <w:pStyle w:val="TableTextCentered"/>
            </w:pPr>
            <w:r w:rsidRPr="00900ADE">
              <w:t>—</w:t>
            </w:r>
          </w:p>
        </w:tc>
        <w:tc>
          <w:tcPr>
            <w:tcW w:w="1255" w:type="dxa"/>
            <w:vAlign w:val="center"/>
          </w:tcPr>
          <w:p w14:paraId="47309444" w14:textId="77777777" w:rsidR="00852AC1" w:rsidRPr="00900ADE" w:rsidRDefault="00852AC1" w:rsidP="00852AC1">
            <w:pPr>
              <w:pStyle w:val="TableTextCentered"/>
            </w:pPr>
            <w:r w:rsidRPr="00900ADE">
              <w:t>0.6</w:t>
            </w:r>
          </w:p>
        </w:tc>
      </w:tr>
      <w:tr w:rsidR="00852AC1" w:rsidRPr="00900ADE" w14:paraId="105D97B4" w14:textId="77777777">
        <w:trPr>
          <w:jc w:val="center"/>
        </w:trPr>
        <w:tc>
          <w:tcPr>
            <w:tcW w:w="3052" w:type="dxa"/>
          </w:tcPr>
          <w:p w14:paraId="0DDFEB1A" w14:textId="77777777" w:rsidR="00852AC1" w:rsidRPr="00900ADE" w:rsidRDefault="00852AC1" w:rsidP="00852AC1">
            <w:pPr>
              <w:pStyle w:val="TableText"/>
            </w:pPr>
            <w:r w:rsidRPr="00900ADE">
              <w:t>Hispanic/Latino</w:t>
            </w:r>
          </w:p>
        </w:tc>
        <w:tc>
          <w:tcPr>
            <w:tcW w:w="1254" w:type="dxa"/>
            <w:vAlign w:val="center"/>
          </w:tcPr>
          <w:p w14:paraId="624AF094" w14:textId="77777777" w:rsidR="00852AC1" w:rsidRPr="00900ADE" w:rsidRDefault="00852AC1" w:rsidP="00852AC1">
            <w:pPr>
              <w:pStyle w:val="TableTextCentered"/>
            </w:pPr>
            <w:r w:rsidRPr="00900ADE">
              <w:t>226</w:t>
            </w:r>
          </w:p>
        </w:tc>
        <w:tc>
          <w:tcPr>
            <w:tcW w:w="1255" w:type="dxa"/>
            <w:vAlign w:val="center"/>
          </w:tcPr>
          <w:p w14:paraId="6FFC3714" w14:textId="391BEDFD" w:rsidR="00852AC1" w:rsidRPr="00900ADE" w:rsidRDefault="003A7D47" w:rsidP="00852AC1">
            <w:pPr>
              <w:pStyle w:val="TableTextCentered"/>
            </w:pPr>
            <w:r w:rsidRPr="00900ADE">
              <w:t>—</w:t>
            </w:r>
          </w:p>
        </w:tc>
        <w:tc>
          <w:tcPr>
            <w:tcW w:w="1254" w:type="dxa"/>
            <w:vAlign w:val="center"/>
          </w:tcPr>
          <w:p w14:paraId="39D9E7E3" w14:textId="77777777" w:rsidR="00852AC1" w:rsidRPr="00900ADE" w:rsidRDefault="00852AC1" w:rsidP="00852AC1">
            <w:pPr>
              <w:pStyle w:val="TableTextCentered"/>
            </w:pPr>
            <w:r w:rsidRPr="00900ADE">
              <w:t>4.3</w:t>
            </w:r>
          </w:p>
        </w:tc>
        <w:tc>
          <w:tcPr>
            <w:tcW w:w="1255" w:type="dxa"/>
            <w:vAlign w:val="center"/>
          </w:tcPr>
          <w:p w14:paraId="77A1BF69" w14:textId="7F85D82D" w:rsidR="00852AC1" w:rsidRPr="00900ADE" w:rsidRDefault="003A7D47" w:rsidP="00852AC1">
            <w:pPr>
              <w:pStyle w:val="TableTextCentered"/>
            </w:pPr>
            <w:r w:rsidRPr="00900ADE">
              <w:t>—</w:t>
            </w:r>
          </w:p>
        </w:tc>
        <w:tc>
          <w:tcPr>
            <w:tcW w:w="1255" w:type="dxa"/>
            <w:vAlign w:val="center"/>
          </w:tcPr>
          <w:p w14:paraId="13391815" w14:textId="77777777" w:rsidR="00852AC1" w:rsidRPr="00900ADE" w:rsidRDefault="00852AC1" w:rsidP="00852AC1">
            <w:pPr>
              <w:pStyle w:val="TableTextCentered"/>
            </w:pPr>
            <w:r w:rsidRPr="00900ADE">
              <w:t>3.8</w:t>
            </w:r>
          </w:p>
        </w:tc>
      </w:tr>
      <w:tr w:rsidR="00852AC1" w:rsidRPr="00900ADE" w14:paraId="4935026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1917F19" w14:textId="77777777" w:rsidR="00852AC1" w:rsidRPr="00900ADE" w:rsidRDefault="00852AC1" w:rsidP="00852AC1">
            <w:pPr>
              <w:pStyle w:val="TableText"/>
            </w:pPr>
            <w:r w:rsidRPr="00900ADE">
              <w:rPr>
                <w:rFonts w:cstheme="minorHAnsi"/>
              </w:rPr>
              <w:t>Multi-Race, non-Hispanic/Latino</w:t>
            </w:r>
          </w:p>
        </w:tc>
        <w:tc>
          <w:tcPr>
            <w:tcW w:w="1254" w:type="dxa"/>
            <w:vAlign w:val="center"/>
          </w:tcPr>
          <w:p w14:paraId="75C5D073" w14:textId="77777777" w:rsidR="00852AC1" w:rsidRPr="00900ADE" w:rsidRDefault="00852AC1" w:rsidP="00852AC1">
            <w:pPr>
              <w:pStyle w:val="TableTextCentered"/>
            </w:pPr>
            <w:r w:rsidRPr="00900ADE">
              <w:t>79</w:t>
            </w:r>
          </w:p>
        </w:tc>
        <w:tc>
          <w:tcPr>
            <w:tcW w:w="1255" w:type="dxa"/>
            <w:vAlign w:val="center"/>
          </w:tcPr>
          <w:p w14:paraId="40DABB0C" w14:textId="4CC32B4F" w:rsidR="00852AC1" w:rsidRPr="00900ADE" w:rsidRDefault="003A7D47" w:rsidP="00852AC1">
            <w:pPr>
              <w:pStyle w:val="TableTextCentered"/>
            </w:pPr>
            <w:r w:rsidRPr="00900ADE">
              <w:t>—</w:t>
            </w:r>
          </w:p>
        </w:tc>
        <w:tc>
          <w:tcPr>
            <w:tcW w:w="1254" w:type="dxa"/>
            <w:vAlign w:val="center"/>
          </w:tcPr>
          <w:p w14:paraId="22468B29" w14:textId="7661645E" w:rsidR="00852AC1" w:rsidRPr="00900ADE" w:rsidRDefault="003A7D47" w:rsidP="00852AC1">
            <w:pPr>
              <w:pStyle w:val="TableTextCentered"/>
            </w:pPr>
            <w:r w:rsidRPr="00900ADE">
              <w:t>—</w:t>
            </w:r>
          </w:p>
        </w:tc>
        <w:tc>
          <w:tcPr>
            <w:tcW w:w="1255" w:type="dxa"/>
            <w:vAlign w:val="center"/>
          </w:tcPr>
          <w:p w14:paraId="07556888" w14:textId="11544EDB" w:rsidR="00852AC1" w:rsidRPr="00900ADE" w:rsidRDefault="003A7D47" w:rsidP="00852AC1">
            <w:pPr>
              <w:pStyle w:val="TableTextCentered"/>
            </w:pPr>
            <w:r w:rsidRPr="00900ADE">
              <w:t>—</w:t>
            </w:r>
          </w:p>
        </w:tc>
        <w:tc>
          <w:tcPr>
            <w:tcW w:w="1255" w:type="dxa"/>
            <w:vAlign w:val="center"/>
          </w:tcPr>
          <w:p w14:paraId="7297EB91" w14:textId="77777777" w:rsidR="00852AC1" w:rsidRPr="00900ADE" w:rsidRDefault="00852AC1" w:rsidP="00852AC1">
            <w:pPr>
              <w:pStyle w:val="TableTextCentered"/>
            </w:pPr>
            <w:r w:rsidRPr="00900ADE">
              <w:t>2.6</w:t>
            </w:r>
          </w:p>
        </w:tc>
      </w:tr>
      <w:tr w:rsidR="00852AC1" w:rsidRPr="00900ADE" w14:paraId="67C9AF1C" w14:textId="77777777">
        <w:trPr>
          <w:jc w:val="center"/>
        </w:trPr>
        <w:tc>
          <w:tcPr>
            <w:tcW w:w="3052" w:type="dxa"/>
          </w:tcPr>
          <w:p w14:paraId="11AAE70B" w14:textId="77777777" w:rsidR="00852AC1" w:rsidRPr="00900ADE" w:rsidRDefault="00852AC1" w:rsidP="00852AC1">
            <w:pPr>
              <w:pStyle w:val="TableText"/>
            </w:pPr>
            <w:r w:rsidRPr="00900ADE">
              <w:t>Native American</w:t>
            </w:r>
          </w:p>
        </w:tc>
        <w:tc>
          <w:tcPr>
            <w:tcW w:w="1254" w:type="dxa"/>
            <w:vAlign w:val="center"/>
          </w:tcPr>
          <w:p w14:paraId="646E437F" w14:textId="77777777" w:rsidR="00852AC1" w:rsidRPr="00900ADE" w:rsidRDefault="00852AC1" w:rsidP="00852AC1">
            <w:pPr>
              <w:pStyle w:val="TableTextCentered"/>
            </w:pPr>
            <w:r w:rsidRPr="00900ADE">
              <w:t>4</w:t>
            </w:r>
          </w:p>
        </w:tc>
        <w:tc>
          <w:tcPr>
            <w:tcW w:w="1255" w:type="dxa"/>
            <w:vAlign w:val="center"/>
          </w:tcPr>
          <w:p w14:paraId="7520494F" w14:textId="6A61DFD4" w:rsidR="00852AC1" w:rsidRPr="00900ADE" w:rsidRDefault="003A7D47" w:rsidP="00852AC1">
            <w:pPr>
              <w:pStyle w:val="TableTextCentered"/>
            </w:pPr>
            <w:r w:rsidRPr="00900ADE">
              <w:t>—</w:t>
            </w:r>
          </w:p>
        </w:tc>
        <w:tc>
          <w:tcPr>
            <w:tcW w:w="1254" w:type="dxa"/>
            <w:vAlign w:val="center"/>
          </w:tcPr>
          <w:p w14:paraId="72A9444C" w14:textId="47D4B1AA" w:rsidR="00852AC1" w:rsidRPr="00900ADE" w:rsidRDefault="003A7D47" w:rsidP="00852AC1">
            <w:pPr>
              <w:pStyle w:val="TableTextCentered"/>
            </w:pPr>
            <w:r w:rsidRPr="00900ADE">
              <w:t>—</w:t>
            </w:r>
          </w:p>
        </w:tc>
        <w:tc>
          <w:tcPr>
            <w:tcW w:w="1255" w:type="dxa"/>
            <w:vAlign w:val="center"/>
          </w:tcPr>
          <w:p w14:paraId="62AE0753" w14:textId="45B0A4F1" w:rsidR="00852AC1" w:rsidRPr="00900ADE" w:rsidRDefault="003A7D47" w:rsidP="00852AC1">
            <w:pPr>
              <w:pStyle w:val="TableTextCentered"/>
            </w:pPr>
            <w:r w:rsidRPr="00900ADE">
              <w:t>—</w:t>
            </w:r>
          </w:p>
        </w:tc>
        <w:tc>
          <w:tcPr>
            <w:tcW w:w="1255" w:type="dxa"/>
            <w:vAlign w:val="center"/>
          </w:tcPr>
          <w:p w14:paraId="495BF4C3" w14:textId="77777777" w:rsidR="00852AC1" w:rsidRPr="00900ADE" w:rsidRDefault="00852AC1" w:rsidP="00852AC1">
            <w:pPr>
              <w:pStyle w:val="TableTextCentered"/>
            </w:pPr>
            <w:r w:rsidRPr="00900ADE">
              <w:t>3.5</w:t>
            </w:r>
          </w:p>
        </w:tc>
      </w:tr>
      <w:tr w:rsidR="00852AC1" w:rsidRPr="00900ADE" w14:paraId="37F8F2A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F4FAFF2" w14:textId="77777777" w:rsidR="00852AC1" w:rsidRPr="00900ADE" w:rsidRDefault="00852AC1" w:rsidP="00852AC1">
            <w:pPr>
              <w:pStyle w:val="TableText"/>
            </w:pPr>
            <w:r w:rsidRPr="00900ADE">
              <w:rPr>
                <w:rFonts w:eastAsia="Times New Roman"/>
                <w:spacing w:val="-4"/>
              </w:rPr>
              <w:t>Native Hawaiian, Pacific Islander</w:t>
            </w:r>
          </w:p>
        </w:tc>
        <w:tc>
          <w:tcPr>
            <w:tcW w:w="1254" w:type="dxa"/>
            <w:vAlign w:val="center"/>
          </w:tcPr>
          <w:p w14:paraId="6F1DAA88" w14:textId="77777777" w:rsidR="00852AC1" w:rsidRPr="00900ADE" w:rsidRDefault="00852AC1" w:rsidP="00852AC1">
            <w:pPr>
              <w:pStyle w:val="TableTextCentered"/>
            </w:pPr>
            <w:r w:rsidRPr="00900ADE">
              <w:t>3</w:t>
            </w:r>
          </w:p>
        </w:tc>
        <w:tc>
          <w:tcPr>
            <w:tcW w:w="1255" w:type="dxa"/>
            <w:vAlign w:val="center"/>
          </w:tcPr>
          <w:p w14:paraId="60241884" w14:textId="24B497C1" w:rsidR="00852AC1" w:rsidRPr="00900ADE" w:rsidRDefault="003A7D47" w:rsidP="00852AC1">
            <w:pPr>
              <w:pStyle w:val="TableTextCentered"/>
            </w:pPr>
            <w:r w:rsidRPr="00900ADE">
              <w:t>—</w:t>
            </w:r>
          </w:p>
        </w:tc>
        <w:tc>
          <w:tcPr>
            <w:tcW w:w="1254" w:type="dxa"/>
            <w:vAlign w:val="center"/>
          </w:tcPr>
          <w:p w14:paraId="63CD7C8F" w14:textId="3F2E97A9" w:rsidR="00852AC1" w:rsidRPr="00900ADE" w:rsidRDefault="003A7D47" w:rsidP="00852AC1">
            <w:pPr>
              <w:pStyle w:val="TableTextCentered"/>
            </w:pPr>
            <w:r w:rsidRPr="00900ADE">
              <w:t>—</w:t>
            </w:r>
          </w:p>
        </w:tc>
        <w:tc>
          <w:tcPr>
            <w:tcW w:w="1255" w:type="dxa"/>
            <w:vAlign w:val="center"/>
          </w:tcPr>
          <w:p w14:paraId="5D305669" w14:textId="797D1258" w:rsidR="00852AC1" w:rsidRPr="00900ADE" w:rsidRDefault="003A7D47" w:rsidP="00852AC1">
            <w:pPr>
              <w:pStyle w:val="TableTextCentered"/>
            </w:pPr>
            <w:r w:rsidRPr="00900ADE">
              <w:t>—</w:t>
            </w:r>
          </w:p>
        </w:tc>
        <w:tc>
          <w:tcPr>
            <w:tcW w:w="1255" w:type="dxa"/>
            <w:vAlign w:val="center"/>
          </w:tcPr>
          <w:p w14:paraId="226FD988" w14:textId="77777777" w:rsidR="00852AC1" w:rsidRPr="00900ADE" w:rsidRDefault="00852AC1" w:rsidP="00852AC1">
            <w:pPr>
              <w:pStyle w:val="TableTextCentered"/>
            </w:pPr>
            <w:r w:rsidRPr="00900ADE">
              <w:t>2.5</w:t>
            </w:r>
          </w:p>
        </w:tc>
      </w:tr>
      <w:tr w:rsidR="00852AC1" w:rsidRPr="00900ADE" w14:paraId="32B22319" w14:textId="77777777">
        <w:trPr>
          <w:jc w:val="center"/>
        </w:trPr>
        <w:tc>
          <w:tcPr>
            <w:tcW w:w="3052" w:type="dxa"/>
          </w:tcPr>
          <w:p w14:paraId="6481A5A4" w14:textId="77777777" w:rsidR="00852AC1" w:rsidRPr="00900ADE" w:rsidRDefault="00852AC1" w:rsidP="00852AC1">
            <w:pPr>
              <w:pStyle w:val="TableText"/>
            </w:pPr>
            <w:r w:rsidRPr="00900ADE">
              <w:t>White</w:t>
            </w:r>
          </w:p>
        </w:tc>
        <w:tc>
          <w:tcPr>
            <w:tcW w:w="1254" w:type="dxa"/>
            <w:vAlign w:val="center"/>
          </w:tcPr>
          <w:p w14:paraId="5CBC6E86" w14:textId="77777777" w:rsidR="00852AC1" w:rsidRPr="00900ADE" w:rsidRDefault="00852AC1" w:rsidP="00852AC1">
            <w:pPr>
              <w:pStyle w:val="TableTextCentered"/>
            </w:pPr>
            <w:r w:rsidRPr="00900ADE">
              <w:t>1,767</w:t>
            </w:r>
          </w:p>
        </w:tc>
        <w:tc>
          <w:tcPr>
            <w:tcW w:w="1255" w:type="dxa"/>
            <w:vAlign w:val="center"/>
          </w:tcPr>
          <w:p w14:paraId="43E904BD" w14:textId="77777777" w:rsidR="00852AC1" w:rsidRPr="00900ADE" w:rsidRDefault="00852AC1" w:rsidP="00852AC1">
            <w:pPr>
              <w:pStyle w:val="TableTextCentered"/>
            </w:pPr>
            <w:r w:rsidRPr="00900ADE">
              <w:t>1.7</w:t>
            </w:r>
          </w:p>
        </w:tc>
        <w:tc>
          <w:tcPr>
            <w:tcW w:w="1254" w:type="dxa"/>
            <w:vAlign w:val="center"/>
          </w:tcPr>
          <w:p w14:paraId="5D679C60" w14:textId="77777777" w:rsidR="00852AC1" w:rsidRPr="00900ADE" w:rsidRDefault="00852AC1" w:rsidP="00852AC1">
            <w:pPr>
              <w:pStyle w:val="TableTextCentered"/>
            </w:pPr>
            <w:r w:rsidRPr="00900ADE">
              <w:t>1.0</w:t>
            </w:r>
          </w:p>
        </w:tc>
        <w:tc>
          <w:tcPr>
            <w:tcW w:w="1255" w:type="dxa"/>
            <w:vAlign w:val="center"/>
          </w:tcPr>
          <w:p w14:paraId="6AE70748" w14:textId="77777777" w:rsidR="00852AC1" w:rsidRPr="00900ADE" w:rsidRDefault="00852AC1" w:rsidP="00852AC1">
            <w:pPr>
              <w:pStyle w:val="TableTextCentered"/>
            </w:pPr>
            <w:r w:rsidRPr="00900ADE">
              <w:t>0.6</w:t>
            </w:r>
          </w:p>
        </w:tc>
        <w:tc>
          <w:tcPr>
            <w:tcW w:w="1255" w:type="dxa"/>
            <w:vAlign w:val="center"/>
          </w:tcPr>
          <w:p w14:paraId="3C0F5163" w14:textId="77777777" w:rsidR="00852AC1" w:rsidRPr="00900ADE" w:rsidRDefault="00852AC1" w:rsidP="00852AC1">
            <w:pPr>
              <w:pStyle w:val="TableTextCentered"/>
            </w:pPr>
            <w:r w:rsidRPr="00900ADE">
              <w:t>1.5</w:t>
            </w:r>
          </w:p>
        </w:tc>
      </w:tr>
      <w:tr w:rsidR="00852AC1" w:rsidRPr="00900ADE" w14:paraId="0635B13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6F951A4" w14:textId="626AE12C" w:rsidR="00852AC1" w:rsidRPr="00900ADE" w:rsidRDefault="00852AC1" w:rsidP="00852AC1">
            <w:pPr>
              <w:pStyle w:val="TableText"/>
            </w:pPr>
            <w:r w:rsidRPr="00900ADE">
              <w:t xml:space="preserve">High </w:t>
            </w:r>
            <w:r w:rsidR="00AD1D77">
              <w:t>n</w:t>
            </w:r>
            <w:r w:rsidRPr="00900ADE">
              <w:t>eeds</w:t>
            </w:r>
          </w:p>
        </w:tc>
        <w:tc>
          <w:tcPr>
            <w:tcW w:w="1254" w:type="dxa"/>
            <w:vAlign w:val="center"/>
          </w:tcPr>
          <w:p w14:paraId="55BDFF6E" w14:textId="77777777" w:rsidR="00852AC1" w:rsidRPr="00900ADE" w:rsidRDefault="00852AC1" w:rsidP="00852AC1">
            <w:pPr>
              <w:pStyle w:val="TableTextCentered"/>
            </w:pPr>
            <w:r w:rsidRPr="00900ADE">
              <w:t>751</w:t>
            </w:r>
          </w:p>
        </w:tc>
        <w:tc>
          <w:tcPr>
            <w:tcW w:w="1255" w:type="dxa"/>
            <w:vAlign w:val="center"/>
          </w:tcPr>
          <w:p w14:paraId="74FD0CBA" w14:textId="77777777" w:rsidR="00852AC1" w:rsidRPr="00900ADE" w:rsidRDefault="00852AC1" w:rsidP="00852AC1">
            <w:pPr>
              <w:pStyle w:val="TableTextCentered"/>
            </w:pPr>
            <w:r w:rsidRPr="00900ADE">
              <w:t>3.9</w:t>
            </w:r>
          </w:p>
        </w:tc>
        <w:tc>
          <w:tcPr>
            <w:tcW w:w="1254" w:type="dxa"/>
            <w:vAlign w:val="center"/>
          </w:tcPr>
          <w:p w14:paraId="2ADE3FBF" w14:textId="77777777" w:rsidR="00852AC1" w:rsidRPr="00900ADE" w:rsidRDefault="00852AC1" w:rsidP="00852AC1">
            <w:pPr>
              <w:pStyle w:val="TableTextCentered"/>
            </w:pPr>
            <w:r w:rsidRPr="00900ADE">
              <w:t>2.8</w:t>
            </w:r>
          </w:p>
        </w:tc>
        <w:tc>
          <w:tcPr>
            <w:tcW w:w="1255" w:type="dxa"/>
            <w:vAlign w:val="center"/>
          </w:tcPr>
          <w:p w14:paraId="2B4045C0" w14:textId="77777777" w:rsidR="00852AC1" w:rsidRPr="00900ADE" w:rsidRDefault="00852AC1" w:rsidP="00852AC1">
            <w:pPr>
              <w:pStyle w:val="TableTextCentered"/>
            </w:pPr>
            <w:r w:rsidRPr="00900ADE">
              <w:t>1.9</w:t>
            </w:r>
          </w:p>
        </w:tc>
        <w:tc>
          <w:tcPr>
            <w:tcW w:w="1255" w:type="dxa"/>
            <w:vAlign w:val="center"/>
          </w:tcPr>
          <w:p w14:paraId="5BC0958A" w14:textId="77777777" w:rsidR="00852AC1" w:rsidRPr="00900ADE" w:rsidRDefault="00852AC1" w:rsidP="00852AC1">
            <w:pPr>
              <w:pStyle w:val="TableTextCentered"/>
            </w:pPr>
            <w:r w:rsidRPr="00900ADE">
              <w:t>3.6</w:t>
            </w:r>
          </w:p>
        </w:tc>
      </w:tr>
      <w:tr w:rsidR="00852AC1" w:rsidRPr="00900ADE" w14:paraId="09B82E60" w14:textId="77777777">
        <w:trPr>
          <w:jc w:val="center"/>
        </w:trPr>
        <w:tc>
          <w:tcPr>
            <w:tcW w:w="3052" w:type="dxa"/>
          </w:tcPr>
          <w:p w14:paraId="54DC5BE7" w14:textId="77777777" w:rsidR="00852AC1" w:rsidRPr="00900ADE" w:rsidRDefault="00852AC1" w:rsidP="00852AC1">
            <w:pPr>
              <w:pStyle w:val="TableText"/>
            </w:pPr>
            <w:r w:rsidRPr="00900ADE">
              <w:t>Low income</w:t>
            </w:r>
          </w:p>
        </w:tc>
        <w:tc>
          <w:tcPr>
            <w:tcW w:w="1254" w:type="dxa"/>
            <w:vAlign w:val="center"/>
          </w:tcPr>
          <w:p w14:paraId="24BE8D5A" w14:textId="77777777" w:rsidR="00852AC1" w:rsidRPr="00900ADE" w:rsidRDefault="00852AC1" w:rsidP="00852AC1">
            <w:pPr>
              <w:pStyle w:val="TableTextCentered"/>
            </w:pPr>
            <w:r w:rsidRPr="00900ADE">
              <w:t>427</w:t>
            </w:r>
          </w:p>
        </w:tc>
        <w:tc>
          <w:tcPr>
            <w:tcW w:w="1255" w:type="dxa"/>
            <w:vAlign w:val="center"/>
          </w:tcPr>
          <w:p w14:paraId="3D4186C5" w14:textId="77777777" w:rsidR="00852AC1" w:rsidRPr="00900ADE" w:rsidRDefault="00852AC1" w:rsidP="00852AC1">
            <w:pPr>
              <w:pStyle w:val="TableTextCentered"/>
            </w:pPr>
            <w:r w:rsidRPr="00900ADE">
              <w:t>4.4</w:t>
            </w:r>
          </w:p>
        </w:tc>
        <w:tc>
          <w:tcPr>
            <w:tcW w:w="1254" w:type="dxa"/>
            <w:vAlign w:val="center"/>
          </w:tcPr>
          <w:p w14:paraId="15DBFB93" w14:textId="77777777" w:rsidR="00852AC1" w:rsidRPr="00900ADE" w:rsidRDefault="00852AC1" w:rsidP="00852AC1">
            <w:pPr>
              <w:pStyle w:val="TableTextCentered"/>
            </w:pPr>
            <w:r w:rsidRPr="00900ADE">
              <w:t>3.4</w:t>
            </w:r>
          </w:p>
        </w:tc>
        <w:tc>
          <w:tcPr>
            <w:tcW w:w="1255" w:type="dxa"/>
            <w:vAlign w:val="center"/>
          </w:tcPr>
          <w:p w14:paraId="334EFF3C" w14:textId="77777777" w:rsidR="00852AC1" w:rsidRPr="00900ADE" w:rsidRDefault="00852AC1" w:rsidP="00852AC1">
            <w:pPr>
              <w:pStyle w:val="TableTextCentered"/>
            </w:pPr>
            <w:r w:rsidRPr="00900ADE">
              <w:t>2.6</w:t>
            </w:r>
          </w:p>
        </w:tc>
        <w:tc>
          <w:tcPr>
            <w:tcW w:w="1255" w:type="dxa"/>
            <w:vAlign w:val="center"/>
          </w:tcPr>
          <w:p w14:paraId="78A2698D" w14:textId="77777777" w:rsidR="00852AC1" w:rsidRPr="00900ADE" w:rsidRDefault="00852AC1" w:rsidP="00852AC1">
            <w:pPr>
              <w:pStyle w:val="TableTextCentered"/>
            </w:pPr>
            <w:r w:rsidRPr="00900ADE">
              <w:t>4.0</w:t>
            </w:r>
          </w:p>
        </w:tc>
      </w:tr>
      <w:tr w:rsidR="00852AC1" w:rsidRPr="00900ADE" w14:paraId="140CF21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9D7DEEE" w14:textId="77777777" w:rsidR="00852AC1" w:rsidRPr="00900ADE" w:rsidRDefault="00852AC1" w:rsidP="00852AC1">
            <w:pPr>
              <w:pStyle w:val="TableText"/>
            </w:pPr>
            <w:r w:rsidRPr="00900ADE">
              <w:rPr>
                <w:spacing w:val="-4"/>
              </w:rPr>
              <w:t>English learners</w:t>
            </w:r>
          </w:p>
        </w:tc>
        <w:tc>
          <w:tcPr>
            <w:tcW w:w="1254" w:type="dxa"/>
            <w:vAlign w:val="center"/>
          </w:tcPr>
          <w:p w14:paraId="69904A4B" w14:textId="77777777" w:rsidR="00852AC1" w:rsidRPr="00900ADE" w:rsidRDefault="00852AC1" w:rsidP="00852AC1">
            <w:pPr>
              <w:pStyle w:val="TableTextCentered"/>
            </w:pPr>
            <w:r w:rsidRPr="00900ADE">
              <w:t>125</w:t>
            </w:r>
          </w:p>
        </w:tc>
        <w:tc>
          <w:tcPr>
            <w:tcW w:w="1255" w:type="dxa"/>
            <w:vAlign w:val="center"/>
          </w:tcPr>
          <w:p w14:paraId="5F7F0692" w14:textId="7FFA274B" w:rsidR="00852AC1" w:rsidRPr="00900ADE" w:rsidRDefault="003A7D47" w:rsidP="00852AC1">
            <w:pPr>
              <w:pStyle w:val="TableTextCentered"/>
            </w:pPr>
            <w:r w:rsidRPr="00900ADE">
              <w:t>—</w:t>
            </w:r>
          </w:p>
        </w:tc>
        <w:tc>
          <w:tcPr>
            <w:tcW w:w="1254" w:type="dxa"/>
            <w:vAlign w:val="center"/>
          </w:tcPr>
          <w:p w14:paraId="272BFB63" w14:textId="3AC27004" w:rsidR="00852AC1" w:rsidRPr="00900ADE" w:rsidRDefault="003A7D47" w:rsidP="00852AC1">
            <w:pPr>
              <w:pStyle w:val="TableTextCentered"/>
            </w:pPr>
            <w:r w:rsidRPr="00900ADE">
              <w:t>—</w:t>
            </w:r>
          </w:p>
        </w:tc>
        <w:tc>
          <w:tcPr>
            <w:tcW w:w="1255" w:type="dxa"/>
            <w:vAlign w:val="center"/>
          </w:tcPr>
          <w:p w14:paraId="5D57D177" w14:textId="50502863" w:rsidR="00852AC1" w:rsidRPr="00900ADE" w:rsidRDefault="003A7D47" w:rsidP="00852AC1">
            <w:pPr>
              <w:pStyle w:val="TableTextCentered"/>
            </w:pPr>
            <w:r w:rsidRPr="00900ADE">
              <w:t>—</w:t>
            </w:r>
          </w:p>
        </w:tc>
        <w:tc>
          <w:tcPr>
            <w:tcW w:w="1255" w:type="dxa"/>
            <w:vAlign w:val="center"/>
          </w:tcPr>
          <w:p w14:paraId="0D0BAD88" w14:textId="77777777" w:rsidR="00852AC1" w:rsidRPr="00900ADE" w:rsidRDefault="00852AC1" w:rsidP="00852AC1">
            <w:pPr>
              <w:pStyle w:val="TableTextCentered"/>
            </w:pPr>
            <w:r w:rsidRPr="00900ADE">
              <w:t>2.6</w:t>
            </w:r>
          </w:p>
        </w:tc>
      </w:tr>
      <w:tr w:rsidR="00852AC1" w:rsidRPr="00900ADE" w14:paraId="0AD659A5" w14:textId="77777777">
        <w:trPr>
          <w:jc w:val="center"/>
        </w:trPr>
        <w:tc>
          <w:tcPr>
            <w:tcW w:w="3052" w:type="dxa"/>
          </w:tcPr>
          <w:p w14:paraId="4FAFC188" w14:textId="77777777" w:rsidR="00852AC1" w:rsidRPr="00900ADE" w:rsidRDefault="00852AC1" w:rsidP="00852AC1">
            <w:pPr>
              <w:pStyle w:val="TableText"/>
            </w:pPr>
            <w:r w:rsidRPr="00900ADE">
              <w:t>Students w/disabilities</w:t>
            </w:r>
          </w:p>
        </w:tc>
        <w:tc>
          <w:tcPr>
            <w:tcW w:w="1254" w:type="dxa"/>
            <w:vAlign w:val="center"/>
          </w:tcPr>
          <w:p w14:paraId="24A05733" w14:textId="77777777" w:rsidR="00852AC1" w:rsidRPr="00900ADE" w:rsidRDefault="00852AC1" w:rsidP="00852AC1">
            <w:pPr>
              <w:pStyle w:val="TableTextCentered"/>
            </w:pPr>
            <w:r w:rsidRPr="00900ADE">
              <w:t>380</w:t>
            </w:r>
          </w:p>
        </w:tc>
        <w:tc>
          <w:tcPr>
            <w:tcW w:w="1255" w:type="dxa"/>
            <w:vAlign w:val="center"/>
          </w:tcPr>
          <w:p w14:paraId="363DFC5F" w14:textId="77777777" w:rsidR="00852AC1" w:rsidRPr="00900ADE" w:rsidRDefault="00852AC1" w:rsidP="00852AC1">
            <w:pPr>
              <w:pStyle w:val="TableTextCentered"/>
            </w:pPr>
            <w:r w:rsidRPr="00900ADE">
              <w:t>4.9</w:t>
            </w:r>
          </w:p>
        </w:tc>
        <w:tc>
          <w:tcPr>
            <w:tcW w:w="1254" w:type="dxa"/>
            <w:vAlign w:val="center"/>
          </w:tcPr>
          <w:p w14:paraId="03078EE0" w14:textId="77777777" w:rsidR="00852AC1" w:rsidRPr="00900ADE" w:rsidRDefault="00852AC1" w:rsidP="00852AC1">
            <w:pPr>
              <w:pStyle w:val="TableTextCentered"/>
            </w:pPr>
            <w:r w:rsidRPr="00900ADE">
              <w:t>4.1</w:t>
            </w:r>
          </w:p>
        </w:tc>
        <w:tc>
          <w:tcPr>
            <w:tcW w:w="1255" w:type="dxa"/>
            <w:vAlign w:val="center"/>
          </w:tcPr>
          <w:p w14:paraId="5400C9FE" w14:textId="77777777" w:rsidR="00852AC1" w:rsidRPr="00900ADE" w:rsidRDefault="00852AC1" w:rsidP="00852AC1">
            <w:pPr>
              <w:pStyle w:val="TableTextCentered"/>
            </w:pPr>
            <w:r w:rsidRPr="00900ADE">
              <w:t>2.6</w:t>
            </w:r>
          </w:p>
        </w:tc>
        <w:tc>
          <w:tcPr>
            <w:tcW w:w="1255" w:type="dxa"/>
            <w:vAlign w:val="center"/>
          </w:tcPr>
          <w:p w14:paraId="3D51EBF8" w14:textId="77777777" w:rsidR="00852AC1" w:rsidRPr="00900ADE" w:rsidRDefault="00852AC1" w:rsidP="00852AC1">
            <w:pPr>
              <w:pStyle w:val="TableTextCentered"/>
            </w:pPr>
            <w:r w:rsidRPr="00900ADE">
              <w:t>4.5</w:t>
            </w:r>
          </w:p>
        </w:tc>
      </w:tr>
    </w:tbl>
    <w:p w14:paraId="2FAE0920" w14:textId="77777777" w:rsidR="00852AC1" w:rsidRPr="00900ADE" w:rsidRDefault="00852AC1" w:rsidP="00852AC1">
      <w:pPr>
        <w:spacing w:line="240" w:lineRule="auto"/>
        <w:rPr>
          <w:rFonts w:ascii="Franklin Gothic Book" w:hAnsi="Franklin Gothic Book"/>
          <w:sz w:val="20"/>
          <w:szCs w:val="20"/>
        </w:rPr>
      </w:pPr>
      <w:bookmarkStart w:id="224" w:name="_Hlk138323870"/>
      <w:r w:rsidRPr="00900ADE">
        <w:rPr>
          <w:rFonts w:ascii="Franklin Gothic Book" w:hAnsi="Franklin Gothic Book"/>
          <w:sz w:val="20"/>
          <w:szCs w:val="20"/>
        </w:rPr>
        <w:br w:type="page"/>
      </w:r>
    </w:p>
    <w:p w14:paraId="42A0EB10" w14:textId="77777777" w:rsidR="00852AC1" w:rsidRPr="00900ADE" w:rsidRDefault="00852AC1" w:rsidP="00852AC1">
      <w:pPr>
        <w:pStyle w:val="TableETitle"/>
      </w:pPr>
      <w:bookmarkStart w:id="225" w:name="_Toc196169633"/>
      <w:r w:rsidRPr="00900ADE">
        <w:lastRenderedPageBreak/>
        <w:t>Table E21. Advanced Coursework Completion Rates by Student Group, 2022-2024</w:t>
      </w:r>
      <w:bookmarkEnd w:id="225"/>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852AC1" w:rsidRPr="00900ADE" w14:paraId="1C7B898E" w14:textId="77777777" w:rsidTr="00B87CA4">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center"/>
          </w:tcPr>
          <w:p w14:paraId="3266A7DE" w14:textId="77777777" w:rsidR="00852AC1" w:rsidRPr="00900ADE" w:rsidRDefault="00852AC1" w:rsidP="00852AC1">
            <w:pPr>
              <w:pStyle w:val="TableColHeadingCenter"/>
            </w:pPr>
            <w:r w:rsidRPr="00900ADE">
              <w:t>Group</w:t>
            </w:r>
          </w:p>
        </w:tc>
        <w:tc>
          <w:tcPr>
            <w:tcW w:w="1260" w:type="dxa"/>
            <w:vAlign w:val="center"/>
          </w:tcPr>
          <w:p w14:paraId="2742CE6F" w14:textId="2E2A3D20" w:rsidR="00852AC1" w:rsidRPr="00900ADE" w:rsidRDefault="00852AC1" w:rsidP="00852AC1">
            <w:pPr>
              <w:pStyle w:val="TableColHeadingCenter"/>
            </w:pPr>
            <w:r w:rsidRPr="00900ADE">
              <w:t xml:space="preserve"># </w:t>
            </w:r>
            <w:r w:rsidR="00CD7EAE" w:rsidRPr="00900ADE">
              <w:t>i</w:t>
            </w:r>
            <w:r w:rsidRPr="00900ADE">
              <w:t>ncluded (2024)</w:t>
            </w:r>
          </w:p>
        </w:tc>
        <w:tc>
          <w:tcPr>
            <w:tcW w:w="1260" w:type="dxa"/>
            <w:vAlign w:val="center"/>
          </w:tcPr>
          <w:p w14:paraId="48F6498C" w14:textId="77777777" w:rsidR="00852AC1" w:rsidRPr="00900ADE" w:rsidRDefault="00852AC1" w:rsidP="00852AC1">
            <w:pPr>
              <w:pStyle w:val="TableColHeadingCenter"/>
            </w:pPr>
            <w:r w:rsidRPr="00900ADE">
              <w:t>2022 (%)</w:t>
            </w:r>
          </w:p>
        </w:tc>
        <w:tc>
          <w:tcPr>
            <w:tcW w:w="1260" w:type="dxa"/>
            <w:vAlign w:val="center"/>
          </w:tcPr>
          <w:p w14:paraId="2B7055CE" w14:textId="77777777" w:rsidR="00852AC1" w:rsidRPr="00900ADE" w:rsidRDefault="00852AC1" w:rsidP="00852AC1">
            <w:pPr>
              <w:pStyle w:val="TableColHeadingCenter"/>
            </w:pPr>
            <w:r w:rsidRPr="00900ADE">
              <w:t>2023 (%)</w:t>
            </w:r>
          </w:p>
        </w:tc>
        <w:tc>
          <w:tcPr>
            <w:tcW w:w="1260" w:type="dxa"/>
            <w:vAlign w:val="center"/>
          </w:tcPr>
          <w:p w14:paraId="0F98806D" w14:textId="77777777" w:rsidR="00852AC1" w:rsidRPr="00900ADE" w:rsidRDefault="00852AC1" w:rsidP="00852AC1">
            <w:pPr>
              <w:pStyle w:val="TableColHeadingCenter"/>
            </w:pPr>
            <w:r w:rsidRPr="00900ADE">
              <w:t>2024 (%)</w:t>
            </w:r>
          </w:p>
        </w:tc>
        <w:tc>
          <w:tcPr>
            <w:tcW w:w="1260" w:type="dxa"/>
            <w:vAlign w:val="center"/>
          </w:tcPr>
          <w:p w14:paraId="68839F1A" w14:textId="77777777" w:rsidR="00852AC1" w:rsidRPr="00900ADE" w:rsidRDefault="00852AC1" w:rsidP="00852AC1">
            <w:pPr>
              <w:pStyle w:val="TableColHeadingCenter"/>
            </w:pPr>
            <w:r w:rsidRPr="00900ADE">
              <w:t>State 2024 (%)</w:t>
            </w:r>
          </w:p>
        </w:tc>
      </w:tr>
      <w:tr w:rsidR="00852AC1" w:rsidRPr="00900ADE" w14:paraId="13B6EA1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A58CFA5" w14:textId="77777777" w:rsidR="00852AC1" w:rsidRPr="00900ADE" w:rsidRDefault="00852AC1" w:rsidP="00852AC1">
            <w:pPr>
              <w:pStyle w:val="TableText"/>
            </w:pPr>
            <w:r w:rsidRPr="00900ADE">
              <w:t>All</w:t>
            </w:r>
          </w:p>
        </w:tc>
        <w:tc>
          <w:tcPr>
            <w:tcW w:w="1260" w:type="dxa"/>
            <w:vAlign w:val="center"/>
          </w:tcPr>
          <w:p w14:paraId="4C22DC96" w14:textId="77777777" w:rsidR="00852AC1" w:rsidRPr="00900ADE" w:rsidRDefault="00852AC1" w:rsidP="00852AC1">
            <w:pPr>
              <w:pStyle w:val="TableTextCentered"/>
            </w:pPr>
            <w:r w:rsidRPr="00900ADE">
              <w:t>311</w:t>
            </w:r>
          </w:p>
        </w:tc>
        <w:tc>
          <w:tcPr>
            <w:tcW w:w="1260" w:type="dxa"/>
            <w:vAlign w:val="center"/>
          </w:tcPr>
          <w:p w14:paraId="707532B1" w14:textId="77777777" w:rsidR="00852AC1" w:rsidRPr="00900ADE" w:rsidRDefault="00852AC1" w:rsidP="00852AC1">
            <w:pPr>
              <w:pStyle w:val="TableTextCentered"/>
            </w:pPr>
            <w:r w:rsidRPr="00900ADE">
              <w:t>89.0</w:t>
            </w:r>
          </w:p>
        </w:tc>
        <w:tc>
          <w:tcPr>
            <w:tcW w:w="1260" w:type="dxa"/>
            <w:vAlign w:val="center"/>
          </w:tcPr>
          <w:p w14:paraId="5B26A616" w14:textId="77777777" w:rsidR="00852AC1" w:rsidRPr="00900ADE" w:rsidRDefault="00852AC1" w:rsidP="00852AC1">
            <w:pPr>
              <w:pStyle w:val="TableTextCentered"/>
            </w:pPr>
            <w:r w:rsidRPr="00900ADE">
              <w:t>90.3</w:t>
            </w:r>
          </w:p>
        </w:tc>
        <w:tc>
          <w:tcPr>
            <w:tcW w:w="1260" w:type="dxa"/>
            <w:vAlign w:val="center"/>
          </w:tcPr>
          <w:p w14:paraId="74BE8882" w14:textId="77777777" w:rsidR="00852AC1" w:rsidRPr="00900ADE" w:rsidRDefault="00852AC1" w:rsidP="00852AC1">
            <w:pPr>
              <w:pStyle w:val="TableTextCentered"/>
            </w:pPr>
            <w:r w:rsidRPr="00900ADE">
              <w:t>86.2</w:t>
            </w:r>
          </w:p>
        </w:tc>
        <w:tc>
          <w:tcPr>
            <w:tcW w:w="1260" w:type="dxa"/>
            <w:vAlign w:val="center"/>
          </w:tcPr>
          <w:p w14:paraId="4C87E05B" w14:textId="77777777" w:rsidR="00852AC1" w:rsidRPr="00900ADE" w:rsidRDefault="00852AC1" w:rsidP="00852AC1">
            <w:pPr>
              <w:pStyle w:val="TableTextCentered"/>
            </w:pPr>
            <w:r w:rsidRPr="00900ADE">
              <w:t>67.2</w:t>
            </w:r>
          </w:p>
        </w:tc>
      </w:tr>
      <w:tr w:rsidR="00852AC1" w:rsidRPr="00900ADE" w14:paraId="53CF504F" w14:textId="77777777">
        <w:trPr>
          <w:jc w:val="center"/>
        </w:trPr>
        <w:tc>
          <w:tcPr>
            <w:tcW w:w="3052" w:type="dxa"/>
          </w:tcPr>
          <w:p w14:paraId="6B3F1E76" w14:textId="77777777" w:rsidR="00852AC1" w:rsidRPr="00900ADE" w:rsidRDefault="00852AC1" w:rsidP="00852AC1">
            <w:pPr>
              <w:pStyle w:val="TableText"/>
            </w:pPr>
            <w:r w:rsidRPr="00900ADE">
              <w:t>African American/Black</w:t>
            </w:r>
          </w:p>
        </w:tc>
        <w:tc>
          <w:tcPr>
            <w:tcW w:w="1260" w:type="dxa"/>
            <w:vAlign w:val="center"/>
          </w:tcPr>
          <w:p w14:paraId="6F809837" w14:textId="77777777" w:rsidR="00852AC1" w:rsidRPr="00900ADE" w:rsidRDefault="00852AC1" w:rsidP="00852AC1">
            <w:pPr>
              <w:pStyle w:val="TableTextCentered"/>
            </w:pPr>
            <w:r w:rsidRPr="00900ADE">
              <w:t>8</w:t>
            </w:r>
          </w:p>
        </w:tc>
        <w:tc>
          <w:tcPr>
            <w:tcW w:w="1260" w:type="dxa"/>
            <w:vAlign w:val="center"/>
          </w:tcPr>
          <w:p w14:paraId="335C5FDB" w14:textId="2577C254" w:rsidR="00852AC1" w:rsidRPr="00900ADE" w:rsidRDefault="003A7D47" w:rsidP="00852AC1">
            <w:pPr>
              <w:pStyle w:val="TableTextCentered"/>
            </w:pPr>
            <w:r w:rsidRPr="00900ADE">
              <w:t>—</w:t>
            </w:r>
          </w:p>
        </w:tc>
        <w:tc>
          <w:tcPr>
            <w:tcW w:w="1260" w:type="dxa"/>
            <w:vAlign w:val="center"/>
          </w:tcPr>
          <w:p w14:paraId="79D6215B" w14:textId="77777777" w:rsidR="00852AC1" w:rsidRPr="00900ADE" w:rsidRDefault="00852AC1" w:rsidP="00852AC1">
            <w:pPr>
              <w:pStyle w:val="TableTextCentered"/>
            </w:pPr>
            <w:r w:rsidRPr="00900ADE">
              <w:t>42.9</w:t>
            </w:r>
          </w:p>
        </w:tc>
        <w:tc>
          <w:tcPr>
            <w:tcW w:w="1260" w:type="dxa"/>
            <w:vAlign w:val="center"/>
          </w:tcPr>
          <w:p w14:paraId="26CAA73B" w14:textId="77777777" w:rsidR="00852AC1" w:rsidRPr="00900ADE" w:rsidRDefault="00852AC1" w:rsidP="00852AC1">
            <w:pPr>
              <w:pStyle w:val="TableTextCentered"/>
            </w:pPr>
            <w:r w:rsidRPr="00900ADE">
              <w:t>100.0</w:t>
            </w:r>
          </w:p>
        </w:tc>
        <w:tc>
          <w:tcPr>
            <w:tcW w:w="1260" w:type="dxa"/>
            <w:vAlign w:val="center"/>
          </w:tcPr>
          <w:p w14:paraId="477E4FFC" w14:textId="77777777" w:rsidR="00852AC1" w:rsidRPr="00900ADE" w:rsidRDefault="00852AC1" w:rsidP="00852AC1">
            <w:pPr>
              <w:pStyle w:val="TableTextCentered"/>
            </w:pPr>
            <w:r w:rsidRPr="00900ADE">
              <w:t>58.2</w:t>
            </w:r>
          </w:p>
        </w:tc>
      </w:tr>
      <w:tr w:rsidR="00852AC1" w:rsidRPr="00900ADE" w14:paraId="7533857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348D7C4" w14:textId="77777777" w:rsidR="00852AC1" w:rsidRPr="00900ADE" w:rsidRDefault="00852AC1" w:rsidP="00852AC1">
            <w:pPr>
              <w:pStyle w:val="TableText"/>
            </w:pPr>
            <w:r w:rsidRPr="00900ADE">
              <w:t>Asian</w:t>
            </w:r>
          </w:p>
        </w:tc>
        <w:tc>
          <w:tcPr>
            <w:tcW w:w="1260" w:type="dxa"/>
            <w:vAlign w:val="center"/>
          </w:tcPr>
          <w:p w14:paraId="2C8A57B7" w14:textId="77777777" w:rsidR="00852AC1" w:rsidRPr="00900ADE" w:rsidRDefault="00852AC1" w:rsidP="00852AC1">
            <w:pPr>
              <w:pStyle w:val="TableTextCentered"/>
            </w:pPr>
            <w:r w:rsidRPr="00900ADE">
              <w:t>10</w:t>
            </w:r>
          </w:p>
        </w:tc>
        <w:tc>
          <w:tcPr>
            <w:tcW w:w="1260" w:type="dxa"/>
            <w:vAlign w:val="center"/>
          </w:tcPr>
          <w:p w14:paraId="5253D555" w14:textId="77777777" w:rsidR="00852AC1" w:rsidRPr="00900ADE" w:rsidRDefault="00852AC1" w:rsidP="00852AC1">
            <w:pPr>
              <w:pStyle w:val="TableTextCentered"/>
            </w:pPr>
            <w:r w:rsidRPr="00900ADE">
              <w:t>81.8</w:t>
            </w:r>
          </w:p>
        </w:tc>
        <w:tc>
          <w:tcPr>
            <w:tcW w:w="1260" w:type="dxa"/>
            <w:vAlign w:val="center"/>
          </w:tcPr>
          <w:p w14:paraId="752BED26" w14:textId="77777777" w:rsidR="00852AC1" w:rsidRPr="00900ADE" w:rsidRDefault="00852AC1" w:rsidP="00852AC1">
            <w:pPr>
              <w:pStyle w:val="TableTextCentered"/>
            </w:pPr>
            <w:r w:rsidRPr="00900ADE">
              <w:t>80.0</w:t>
            </w:r>
          </w:p>
        </w:tc>
        <w:tc>
          <w:tcPr>
            <w:tcW w:w="1260" w:type="dxa"/>
            <w:vAlign w:val="center"/>
          </w:tcPr>
          <w:p w14:paraId="3135D1C0" w14:textId="77777777" w:rsidR="00852AC1" w:rsidRPr="00900ADE" w:rsidRDefault="00852AC1" w:rsidP="00852AC1">
            <w:pPr>
              <w:pStyle w:val="TableTextCentered"/>
            </w:pPr>
            <w:r w:rsidRPr="00900ADE">
              <w:t>90.0</w:t>
            </w:r>
          </w:p>
        </w:tc>
        <w:tc>
          <w:tcPr>
            <w:tcW w:w="1260" w:type="dxa"/>
            <w:vAlign w:val="center"/>
          </w:tcPr>
          <w:p w14:paraId="78BC91D5" w14:textId="77777777" w:rsidR="00852AC1" w:rsidRPr="00900ADE" w:rsidRDefault="00852AC1" w:rsidP="00852AC1">
            <w:pPr>
              <w:pStyle w:val="TableTextCentered"/>
            </w:pPr>
            <w:r w:rsidRPr="00900ADE">
              <w:t>86.4</w:t>
            </w:r>
          </w:p>
        </w:tc>
      </w:tr>
      <w:tr w:rsidR="00852AC1" w:rsidRPr="00900ADE" w14:paraId="0E8AB026" w14:textId="77777777">
        <w:trPr>
          <w:jc w:val="center"/>
        </w:trPr>
        <w:tc>
          <w:tcPr>
            <w:tcW w:w="3052" w:type="dxa"/>
          </w:tcPr>
          <w:p w14:paraId="54945EC7" w14:textId="77777777" w:rsidR="00852AC1" w:rsidRPr="00900ADE" w:rsidRDefault="00852AC1" w:rsidP="00852AC1">
            <w:pPr>
              <w:pStyle w:val="TableText"/>
            </w:pPr>
            <w:r w:rsidRPr="00900ADE">
              <w:t>Hispanic/Latino</w:t>
            </w:r>
          </w:p>
        </w:tc>
        <w:tc>
          <w:tcPr>
            <w:tcW w:w="1260" w:type="dxa"/>
            <w:vAlign w:val="center"/>
          </w:tcPr>
          <w:p w14:paraId="5B04E0D1" w14:textId="77777777" w:rsidR="00852AC1" w:rsidRPr="00900ADE" w:rsidRDefault="00852AC1" w:rsidP="00852AC1">
            <w:pPr>
              <w:pStyle w:val="TableTextCentered"/>
            </w:pPr>
            <w:r w:rsidRPr="00900ADE">
              <w:t>31</w:t>
            </w:r>
          </w:p>
        </w:tc>
        <w:tc>
          <w:tcPr>
            <w:tcW w:w="1260" w:type="dxa"/>
            <w:vAlign w:val="center"/>
          </w:tcPr>
          <w:p w14:paraId="65319AAC" w14:textId="77777777" w:rsidR="00852AC1" w:rsidRPr="00900ADE" w:rsidRDefault="00852AC1" w:rsidP="00852AC1">
            <w:pPr>
              <w:pStyle w:val="TableTextCentered"/>
            </w:pPr>
            <w:r w:rsidRPr="00900ADE">
              <w:t>84.6</w:t>
            </w:r>
          </w:p>
        </w:tc>
        <w:tc>
          <w:tcPr>
            <w:tcW w:w="1260" w:type="dxa"/>
            <w:vAlign w:val="center"/>
          </w:tcPr>
          <w:p w14:paraId="3B07B624" w14:textId="77777777" w:rsidR="00852AC1" w:rsidRPr="00900ADE" w:rsidRDefault="00852AC1" w:rsidP="00852AC1">
            <w:pPr>
              <w:pStyle w:val="TableTextCentered"/>
            </w:pPr>
            <w:r w:rsidRPr="00900ADE">
              <w:t>78.3</w:t>
            </w:r>
          </w:p>
        </w:tc>
        <w:tc>
          <w:tcPr>
            <w:tcW w:w="1260" w:type="dxa"/>
            <w:vAlign w:val="center"/>
          </w:tcPr>
          <w:p w14:paraId="31E34E02" w14:textId="77777777" w:rsidR="00852AC1" w:rsidRPr="00900ADE" w:rsidRDefault="00852AC1" w:rsidP="00852AC1">
            <w:pPr>
              <w:pStyle w:val="TableTextCentered"/>
            </w:pPr>
            <w:r w:rsidRPr="00900ADE">
              <w:t>74.2</w:t>
            </w:r>
          </w:p>
        </w:tc>
        <w:tc>
          <w:tcPr>
            <w:tcW w:w="1260" w:type="dxa"/>
            <w:vAlign w:val="center"/>
          </w:tcPr>
          <w:p w14:paraId="78346EC7" w14:textId="77777777" w:rsidR="00852AC1" w:rsidRPr="00900ADE" w:rsidRDefault="00852AC1" w:rsidP="00852AC1">
            <w:pPr>
              <w:pStyle w:val="TableTextCentered"/>
            </w:pPr>
            <w:r w:rsidRPr="00900ADE">
              <w:t>53.7</w:t>
            </w:r>
          </w:p>
        </w:tc>
      </w:tr>
      <w:tr w:rsidR="00852AC1" w:rsidRPr="00900ADE" w14:paraId="0AC34BA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9944BFC" w14:textId="77777777" w:rsidR="00852AC1" w:rsidRPr="00900ADE" w:rsidRDefault="00852AC1" w:rsidP="00852AC1">
            <w:pPr>
              <w:pStyle w:val="TableText"/>
            </w:pPr>
            <w:r w:rsidRPr="00900ADE">
              <w:rPr>
                <w:rFonts w:cstheme="minorHAnsi"/>
              </w:rPr>
              <w:t>Multi-Race, non-Hispanic/Latino</w:t>
            </w:r>
          </w:p>
        </w:tc>
        <w:tc>
          <w:tcPr>
            <w:tcW w:w="1260" w:type="dxa"/>
            <w:vAlign w:val="center"/>
          </w:tcPr>
          <w:p w14:paraId="49340CDD" w14:textId="77777777" w:rsidR="00852AC1" w:rsidRPr="00900ADE" w:rsidRDefault="00852AC1" w:rsidP="00852AC1">
            <w:pPr>
              <w:pStyle w:val="TableTextCentered"/>
            </w:pPr>
            <w:r w:rsidRPr="00900ADE">
              <w:t>7</w:t>
            </w:r>
          </w:p>
        </w:tc>
        <w:tc>
          <w:tcPr>
            <w:tcW w:w="1260" w:type="dxa"/>
            <w:vAlign w:val="center"/>
          </w:tcPr>
          <w:p w14:paraId="6CDE601C" w14:textId="77777777" w:rsidR="00852AC1" w:rsidRPr="00900ADE" w:rsidRDefault="00852AC1" w:rsidP="00852AC1">
            <w:pPr>
              <w:pStyle w:val="TableTextCentered"/>
            </w:pPr>
            <w:r w:rsidRPr="00900ADE">
              <w:t>100.0</w:t>
            </w:r>
          </w:p>
        </w:tc>
        <w:tc>
          <w:tcPr>
            <w:tcW w:w="1260" w:type="dxa"/>
            <w:vAlign w:val="center"/>
          </w:tcPr>
          <w:p w14:paraId="2A1A0C9B" w14:textId="77777777" w:rsidR="00852AC1" w:rsidRPr="00900ADE" w:rsidRDefault="00852AC1" w:rsidP="00852AC1">
            <w:pPr>
              <w:pStyle w:val="TableTextCentered"/>
            </w:pPr>
            <w:r w:rsidRPr="00900ADE">
              <w:t>100.0</w:t>
            </w:r>
          </w:p>
        </w:tc>
        <w:tc>
          <w:tcPr>
            <w:tcW w:w="1260" w:type="dxa"/>
            <w:vAlign w:val="center"/>
          </w:tcPr>
          <w:p w14:paraId="446268A8" w14:textId="77777777" w:rsidR="00852AC1" w:rsidRPr="00900ADE" w:rsidRDefault="00852AC1" w:rsidP="00852AC1">
            <w:pPr>
              <w:pStyle w:val="TableTextCentered"/>
            </w:pPr>
            <w:r w:rsidRPr="00900ADE">
              <w:t>100.0</w:t>
            </w:r>
          </w:p>
        </w:tc>
        <w:tc>
          <w:tcPr>
            <w:tcW w:w="1260" w:type="dxa"/>
            <w:vAlign w:val="center"/>
          </w:tcPr>
          <w:p w14:paraId="0E55C06A" w14:textId="77777777" w:rsidR="00852AC1" w:rsidRPr="00900ADE" w:rsidRDefault="00852AC1" w:rsidP="00852AC1">
            <w:pPr>
              <w:pStyle w:val="TableTextCentered"/>
            </w:pPr>
            <w:r w:rsidRPr="00900ADE">
              <w:t>68.4</w:t>
            </w:r>
          </w:p>
        </w:tc>
      </w:tr>
      <w:tr w:rsidR="00852AC1" w:rsidRPr="00900ADE" w14:paraId="214C6EE2" w14:textId="77777777">
        <w:trPr>
          <w:jc w:val="center"/>
        </w:trPr>
        <w:tc>
          <w:tcPr>
            <w:tcW w:w="3052" w:type="dxa"/>
          </w:tcPr>
          <w:p w14:paraId="0139C812" w14:textId="77777777" w:rsidR="00852AC1" w:rsidRPr="00900ADE" w:rsidRDefault="00852AC1" w:rsidP="00852AC1">
            <w:pPr>
              <w:pStyle w:val="TableText"/>
            </w:pPr>
            <w:r w:rsidRPr="00900ADE">
              <w:t>Native American</w:t>
            </w:r>
          </w:p>
        </w:tc>
        <w:tc>
          <w:tcPr>
            <w:tcW w:w="1260" w:type="dxa"/>
            <w:vAlign w:val="center"/>
          </w:tcPr>
          <w:p w14:paraId="20BD06D3" w14:textId="77777777" w:rsidR="00852AC1" w:rsidRPr="00900ADE" w:rsidRDefault="00852AC1" w:rsidP="00852AC1">
            <w:pPr>
              <w:pStyle w:val="TableTextCentered"/>
            </w:pPr>
            <w:r w:rsidRPr="00900ADE">
              <w:t>2</w:t>
            </w:r>
          </w:p>
        </w:tc>
        <w:tc>
          <w:tcPr>
            <w:tcW w:w="1260" w:type="dxa"/>
            <w:vAlign w:val="center"/>
          </w:tcPr>
          <w:p w14:paraId="0EBB8D8B" w14:textId="7E66D1DA" w:rsidR="00852AC1" w:rsidRPr="00900ADE" w:rsidRDefault="003A7D47" w:rsidP="00852AC1">
            <w:pPr>
              <w:pStyle w:val="TableTextCentered"/>
            </w:pPr>
            <w:r w:rsidRPr="00900ADE">
              <w:t>—</w:t>
            </w:r>
          </w:p>
        </w:tc>
        <w:tc>
          <w:tcPr>
            <w:tcW w:w="1260" w:type="dxa"/>
            <w:vAlign w:val="center"/>
          </w:tcPr>
          <w:p w14:paraId="4C31D803" w14:textId="498D8105" w:rsidR="00852AC1" w:rsidRPr="00900ADE" w:rsidRDefault="003A7D47" w:rsidP="00852AC1">
            <w:pPr>
              <w:pStyle w:val="TableTextCentered"/>
            </w:pPr>
            <w:r w:rsidRPr="00900ADE">
              <w:t>—</w:t>
            </w:r>
          </w:p>
        </w:tc>
        <w:tc>
          <w:tcPr>
            <w:tcW w:w="1260" w:type="dxa"/>
            <w:vAlign w:val="center"/>
          </w:tcPr>
          <w:p w14:paraId="2F38CA5D" w14:textId="549B7B26" w:rsidR="00852AC1" w:rsidRPr="00900ADE" w:rsidRDefault="003A7D47" w:rsidP="00852AC1">
            <w:pPr>
              <w:pStyle w:val="TableTextCentered"/>
            </w:pPr>
            <w:r w:rsidRPr="00900ADE">
              <w:t>—</w:t>
            </w:r>
          </w:p>
        </w:tc>
        <w:tc>
          <w:tcPr>
            <w:tcW w:w="1260" w:type="dxa"/>
            <w:vAlign w:val="center"/>
          </w:tcPr>
          <w:p w14:paraId="30B816B8" w14:textId="77777777" w:rsidR="00852AC1" w:rsidRPr="00900ADE" w:rsidRDefault="00852AC1" w:rsidP="00852AC1">
            <w:pPr>
              <w:pStyle w:val="TableTextCentered"/>
            </w:pPr>
            <w:r w:rsidRPr="00900ADE">
              <w:t>57.1</w:t>
            </w:r>
          </w:p>
        </w:tc>
      </w:tr>
      <w:tr w:rsidR="00852AC1" w:rsidRPr="00900ADE" w14:paraId="740EC27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C468602" w14:textId="77777777" w:rsidR="00852AC1" w:rsidRPr="00900ADE" w:rsidRDefault="00852AC1" w:rsidP="00852AC1">
            <w:pPr>
              <w:pStyle w:val="TableText"/>
            </w:pPr>
            <w:r w:rsidRPr="00900ADE">
              <w:rPr>
                <w:rFonts w:eastAsia="Times New Roman"/>
                <w:spacing w:val="-4"/>
              </w:rPr>
              <w:t>Native Hawaiian, Pacific Islander</w:t>
            </w:r>
          </w:p>
        </w:tc>
        <w:tc>
          <w:tcPr>
            <w:tcW w:w="1260" w:type="dxa"/>
            <w:vAlign w:val="center"/>
          </w:tcPr>
          <w:p w14:paraId="088FAD28" w14:textId="77777777" w:rsidR="00852AC1" w:rsidRPr="00900ADE" w:rsidRDefault="00852AC1" w:rsidP="00852AC1">
            <w:pPr>
              <w:pStyle w:val="TableTextCentered"/>
            </w:pPr>
            <w:r w:rsidRPr="00900ADE">
              <w:t>1</w:t>
            </w:r>
          </w:p>
        </w:tc>
        <w:tc>
          <w:tcPr>
            <w:tcW w:w="1260" w:type="dxa"/>
            <w:vAlign w:val="center"/>
          </w:tcPr>
          <w:p w14:paraId="0AF29460" w14:textId="6BD054F1" w:rsidR="00852AC1" w:rsidRPr="00900ADE" w:rsidRDefault="003A7D47" w:rsidP="00852AC1">
            <w:pPr>
              <w:pStyle w:val="TableTextCentered"/>
            </w:pPr>
            <w:r w:rsidRPr="00900ADE">
              <w:t>—</w:t>
            </w:r>
          </w:p>
        </w:tc>
        <w:tc>
          <w:tcPr>
            <w:tcW w:w="1260" w:type="dxa"/>
            <w:vAlign w:val="center"/>
          </w:tcPr>
          <w:p w14:paraId="1732ED3C" w14:textId="32579039" w:rsidR="00852AC1" w:rsidRPr="00900ADE" w:rsidRDefault="003A7D47" w:rsidP="00852AC1">
            <w:pPr>
              <w:pStyle w:val="TableTextCentered"/>
            </w:pPr>
            <w:r w:rsidRPr="00900ADE">
              <w:t>—</w:t>
            </w:r>
          </w:p>
        </w:tc>
        <w:tc>
          <w:tcPr>
            <w:tcW w:w="1260" w:type="dxa"/>
            <w:vAlign w:val="center"/>
          </w:tcPr>
          <w:p w14:paraId="17C3DFC8" w14:textId="6444991F" w:rsidR="00852AC1" w:rsidRPr="00900ADE" w:rsidRDefault="003A7D47" w:rsidP="00852AC1">
            <w:pPr>
              <w:pStyle w:val="TableTextCentered"/>
            </w:pPr>
            <w:r w:rsidRPr="00900ADE">
              <w:t>—</w:t>
            </w:r>
          </w:p>
        </w:tc>
        <w:tc>
          <w:tcPr>
            <w:tcW w:w="1260" w:type="dxa"/>
            <w:vAlign w:val="center"/>
          </w:tcPr>
          <w:p w14:paraId="506CABFC" w14:textId="77777777" w:rsidR="00852AC1" w:rsidRPr="00900ADE" w:rsidRDefault="00852AC1" w:rsidP="00852AC1">
            <w:pPr>
              <w:pStyle w:val="TableTextCentered"/>
            </w:pPr>
            <w:r w:rsidRPr="00900ADE">
              <w:t>59.8</w:t>
            </w:r>
          </w:p>
        </w:tc>
      </w:tr>
      <w:tr w:rsidR="00852AC1" w:rsidRPr="00900ADE" w14:paraId="06C4FF94" w14:textId="77777777">
        <w:trPr>
          <w:jc w:val="center"/>
        </w:trPr>
        <w:tc>
          <w:tcPr>
            <w:tcW w:w="3052" w:type="dxa"/>
          </w:tcPr>
          <w:p w14:paraId="7546C929" w14:textId="77777777" w:rsidR="00852AC1" w:rsidRPr="00900ADE" w:rsidRDefault="00852AC1" w:rsidP="00852AC1">
            <w:pPr>
              <w:pStyle w:val="TableText"/>
            </w:pPr>
            <w:r w:rsidRPr="00900ADE">
              <w:t>White</w:t>
            </w:r>
          </w:p>
        </w:tc>
        <w:tc>
          <w:tcPr>
            <w:tcW w:w="1260" w:type="dxa"/>
            <w:vAlign w:val="center"/>
          </w:tcPr>
          <w:p w14:paraId="37A00ED3" w14:textId="77777777" w:rsidR="00852AC1" w:rsidRPr="00900ADE" w:rsidRDefault="00852AC1" w:rsidP="00852AC1">
            <w:pPr>
              <w:pStyle w:val="TableTextCentered"/>
            </w:pPr>
            <w:r w:rsidRPr="00900ADE">
              <w:t>252</w:t>
            </w:r>
          </w:p>
        </w:tc>
        <w:tc>
          <w:tcPr>
            <w:tcW w:w="1260" w:type="dxa"/>
            <w:vAlign w:val="center"/>
          </w:tcPr>
          <w:p w14:paraId="126581E8" w14:textId="77777777" w:rsidR="00852AC1" w:rsidRPr="00900ADE" w:rsidRDefault="00852AC1" w:rsidP="00852AC1">
            <w:pPr>
              <w:pStyle w:val="TableTextCentered"/>
            </w:pPr>
            <w:r w:rsidRPr="00900ADE">
              <w:t>89.3</w:t>
            </w:r>
          </w:p>
        </w:tc>
        <w:tc>
          <w:tcPr>
            <w:tcW w:w="1260" w:type="dxa"/>
            <w:vAlign w:val="center"/>
          </w:tcPr>
          <w:p w14:paraId="5B355F2C" w14:textId="77777777" w:rsidR="00852AC1" w:rsidRPr="00900ADE" w:rsidRDefault="00852AC1" w:rsidP="00852AC1">
            <w:pPr>
              <w:pStyle w:val="TableTextCentered"/>
            </w:pPr>
            <w:r w:rsidRPr="00900ADE">
              <w:t>93.0</w:t>
            </w:r>
          </w:p>
        </w:tc>
        <w:tc>
          <w:tcPr>
            <w:tcW w:w="1260" w:type="dxa"/>
            <w:vAlign w:val="center"/>
          </w:tcPr>
          <w:p w14:paraId="2990F62C" w14:textId="77777777" w:rsidR="00852AC1" w:rsidRPr="00900ADE" w:rsidRDefault="00852AC1" w:rsidP="00852AC1">
            <w:pPr>
              <w:pStyle w:val="TableTextCentered"/>
            </w:pPr>
            <w:r w:rsidRPr="00900ADE">
              <w:t>86.5</w:t>
            </w:r>
          </w:p>
        </w:tc>
        <w:tc>
          <w:tcPr>
            <w:tcW w:w="1260" w:type="dxa"/>
            <w:vAlign w:val="center"/>
          </w:tcPr>
          <w:p w14:paraId="3940D1FF" w14:textId="77777777" w:rsidR="00852AC1" w:rsidRPr="00900ADE" w:rsidRDefault="00852AC1" w:rsidP="00852AC1">
            <w:pPr>
              <w:pStyle w:val="TableTextCentered"/>
            </w:pPr>
            <w:r w:rsidRPr="00900ADE">
              <w:t>71.9</w:t>
            </w:r>
          </w:p>
        </w:tc>
      </w:tr>
      <w:tr w:rsidR="00852AC1" w:rsidRPr="00900ADE" w14:paraId="2F0E481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E8D7F5F" w14:textId="2B499ABB" w:rsidR="00852AC1" w:rsidRPr="00900ADE" w:rsidRDefault="00852AC1" w:rsidP="00852AC1">
            <w:pPr>
              <w:pStyle w:val="TableText"/>
            </w:pPr>
            <w:r w:rsidRPr="00900ADE">
              <w:t xml:space="preserve">High </w:t>
            </w:r>
            <w:r w:rsidR="00016B8E">
              <w:t>n</w:t>
            </w:r>
            <w:r w:rsidRPr="00900ADE">
              <w:t>eeds</w:t>
            </w:r>
          </w:p>
        </w:tc>
        <w:tc>
          <w:tcPr>
            <w:tcW w:w="1260" w:type="dxa"/>
            <w:vAlign w:val="center"/>
          </w:tcPr>
          <w:p w14:paraId="255C389A" w14:textId="77777777" w:rsidR="00852AC1" w:rsidRPr="00900ADE" w:rsidRDefault="00852AC1" w:rsidP="00852AC1">
            <w:pPr>
              <w:pStyle w:val="TableTextCentered"/>
            </w:pPr>
            <w:r w:rsidRPr="00900ADE">
              <w:t>92</w:t>
            </w:r>
          </w:p>
        </w:tc>
        <w:tc>
          <w:tcPr>
            <w:tcW w:w="1260" w:type="dxa"/>
            <w:vAlign w:val="center"/>
          </w:tcPr>
          <w:p w14:paraId="5DF444A9" w14:textId="77777777" w:rsidR="00852AC1" w:rsidRPr="00900ADE" w:rsidRDefault="00852AC1" w:rsidP="00852AC1">
            <w:pPr>
              <w:pStyle w:val="TableTextCentered"/>
            </w:pPr>
            <w:r w:rsidRPr="00900ADE">
              <w:t>73.4</w:t>
            </w:r>
          </w:p>
        </w:tc>
        <w:tc>
          <w:tcPr>
            <w:tcW w:w="1260" w:type="dxa"/>
            <w:vAlign w:val="center"/>
          </w:tcPr>
          <w:p w14:paraId="7EFAE3A1" w14:textId="77777777" w:rsidR="00852AC1" w:rsidRPr="00900ADE" w:rsidRDefault="00852AC1" w:rsidP="00852AC1">
            <w:pPr>
              <w:pStyle w:val="TableTextCentered"/>
            </w:pPr>
            <w:r w:rsidRPr="00900ADE">
              <w:t>72.0</w:t>
            </w:r>
          </w:p>
        </w:tc>
        <w:tc>
          <w:tcPr>
            <w:tcW w:w="1260" w:type="dxa"/>
            <w:vAlign w:val="center"/>
          </w:tcPr>
          <w:p w14:paraId="79FB8854" w14:textId="77777777" w:rsidR="00852AC1" w:rsidRPr="00900ADE" w:rsidRDefault="00852AC1" w:rsidP="00852AC1">
            <w:pPr>
              <w:pStyle w:val="TableTextCentered"/>
            </w:pPr>
            <w:r w:rsidRPr="00900ADE">
              <w:t>64.1</w:t>
            </w:r>
          </w:p>
        </w:tc>
        <w:tc>
          <w:tcPr>
            <w:tcW w:w="1260" w:type="dxa"/>
            <w:vAlign w:val="center"/>
          </w:tcPr>
          <w:p w14:paraId="41A9EDA2" w14:textId="77777777" w:rsidR="00852AC1" w:rsidRPr="00900ADE" w:rsidRDefault="00852AC1" w:rsidP="00852AC1">
            <w:pPr>
              <w:pStyle w:val="TableTextCentered"/>
            </w:pPr>
            <w:r w:rsidRPr="00900ADE">
              <w:t>52.0</w:t>
            </w:r>
          </w:p>
        </w:tc>
      </w:tr>
      <w:tr w:rsidR="00852AC1" w:rsidRPr="00900ADE" w14:paraId="172A392A" w14:textId="77777777">
        <w:trPr>
          <w:jc w:val="center"/>
        </w:trPr>
        <w:tc>
          <w:tcPr>
            <w:tcW w:w="3052" w:type="dxa"/>
          </w:tcPr>
          <w:p w14:paraId="51EFF424" w14:textId="77777777" w:rsidR="00852AC1" w:rsidRPr="00900ADE" w:rsidRDefault="00852AC1" w:rsidP="00852AC1">
            <w:pPr>
              <w:pStyle w:val="TableText"/>
            </w:pPr>
            <w:r w:rsidRPr="00900ADE">
              <w:t>Low income</w:t>
            </w:r>
          </w:p>
        </w:tc>
        <w:tc>
          <w:tcPr>
            <w:tcW w:w="1260" w:type="dxa"/>
            <w:vAlign w:val="center"/>
          </w:tcPr>
          <w:p w14:paraId="7D75F0DA" w14:textId="77777777" w:rsidR="00852AC1" w:rsidRPr="00900ADE" w:rsidRDefault="00852AC1" w:rsidP="00852AC1">
            <w:pPr>
              <w:pStyle w:val="TableTextCentered"/>
            </w:pPr>
            <w:r w:rsidRPr="00900ADE">
              <w:t>54</w:t>
            </w:r>
          </w:p>
        </w:tc>
        <w:tc>
          <w:tcPr>
            <w:tcW w:w="1260" w:type="dxa"/>
            <w:vAlign w:val="center"/>
          </w:tcPr>
          <w:p w14:paraId="30A5CAFD" w14:textId="77777777" w:rsidR="00852AC1" w:rsidRPr="00900ADE" w:rsidRDefault="00852AC1" w:rsidP="00852AC1">
            <w:pPr>
              <w:pStyle w:val="TableTextCentered"/>
            </w:pPr>
            <w:r w:rsidRPr="00900ADE">
              <w:t>73.8</w:t>
            </w:r>
          </w:p>
        </w:tc>
        <w:tc>
          <w:tcPr>
            <w:tcW w:w="1260" w:type="dxa"/>
            <w:vAlign w:val="center"/>
          </w:tcPr>
          <w:p w14:paraId="6369260C" w14:textId="77777777" w:rsidR="00852AC1" w:rsidRPr="00900ADE" w:rsidRDefault="00852AC1" w:rsidP="00852AC1">
            <w:pPr>
              <w:pStyle w:val="TableTextCentered"/>
            </w:pPr>
            <w:r w:rsidRPr="00900ADE">
              <w:t>76.2</w:t>
            </w:r>
          </w:p>
        </w:tc>
        <w:tc>
          <w:tcPr>
            <w:tcW w:w="1260" w:type="dxa"/>
            <w:vAlign w:val="center"/>
          </w:tcPr>
          <w:p w14:paraId="53E587E7" w14:textId="77777777" w:rsidR="00852AC1" w:rsidRPr="00900ADE" w:rsidRDefault="00852AC1" w:rsidP="00852AC1">
            <w:pPr>
              <w:pStyle w:val="TableTextCentered"/>
            </w:pPr>
            <w:r w:rsidRPr="00900ADE">
              <w:t>64.8</w:t>
            </w:r>
          </w:p>
        </w:tc>
        <w:tc>
          <w:tcPr>
            <w:tcW w:w="1260" w:type="dxa"/>
            <w:vAlign w:val="center"/>
          </w:tcPr>
          <w:p w14:paraId="279B9830" w14:textId="77777777" w:rsidR="00852AC1" w:rsidRPr="00900ADE" w:rsidRDefault="00852AC1" w:rsidP="00852AC1">
            <w:pPr>
              <w:pStyle w:val="TableTextCentered"/>
            </w:pPr>
            <w:r w:rsidRPr="00900ADE">
              <w:t>53.1</w:t>
            </w:r>
          </w:p>
        </w:tc>
      </w:tr>
      <w:tr w:rsidR="00852AC1" w:rsidRPr="00900ADE" w14:paraId="38666AC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9DFBDEC" w14:textId="77777777" w:rsidR="00852AC1" w:rsidRPr="00900ADE" w:rsidRDefault="00852AC1" w:rsidP="00852AC1">
            <w:pPr>
              <w:pStyle w:val="TableText"/>
            </w:pPr>
            <w:r w:rsidRPr="00900ADE">
              <w:rPr>
                <w:spacing w:val="-4"/>
              </w:rPr>
              <w:t>English learners</w:t>
            </w:r>
          </w:p>
        </w:tc>
        <w:tc>
          <w:tcPr>
            <w:tcW w:w="1260" w:type="dxa"/>
            <w:vAlign w:val="center"/>
          </w:tcPr>
          <w:p w14:paraId="2785F362" w14:textId="77777777" w:rsidR="00852AC1" w:rsidRPr="00900ADE" w:rsidRDefault="00852AC1" w:rsidP="00852AC1">
            <w:pPr>
              <w:pStyle w:val="TableTextCentered"/>
            </w:pPr>
            <w:r w:rsidRPr="00900ADE">
              <w:t>7</w:t>
            </w:r>
          </w:p>
        </w:tc>
        <w:tc>
          <w:tcPr>
            <w:tcW w:w="1260" w:type="dxa"/>
            <w:vAlign w:val="center"/>
          </w:tcPr>
          <w:p w14:paraId="58D6B89D" w14:textId="10DA46D1" w:rsidR="00852AC1" w:rsidRPr="00900ADE" w:rsidRDefault="003A7D47" w:rsidP="00852AC1">
            <w:pPr>
              <w:pStyle w:val="TableTextCentered"/>
            </w:pPr>
            <w:r w:rsidRPr="00900ADE">
              <w:t>—</w:t>
            </w:r>
          </w:p>
        </w:tc>
        <w:tc>
          <w:tcPr>
            <w:tcW w:w="1260" w:type="dxa"/>
            <w:vAlign w:val="center"/>
          </w:tcPr>
          <w:p w14:paraId="407539D9" w14:textId="20DB7820" w:rsidR="00852AC1" w:rsidRPr="00900ADE" w:rsidRDefault="003A7D47" w:rsidP="00852AC1">
            <w:pPr>
              <w:pStyle w:val="TableTextCentered"/>
            </w:pPr>
            <w:r w:rsidRPr="00900ADE">
              <w:t>—</w:t>
            </w:r>
          </w:p>
        </w:tc>
        <w:tc>
          <w:tcPr>
            <w:tcW w:w="1260" w:type="dxa"/>
            <w:vAlign w:val="center"/>
          </w:tcPr>
          <w:p w14:paraId="6C39195D" w14:textId="77777777" w:rsidR="00852AC1" w:rsidRPr="00900ADE" w:rsidRDefault="00852AC1" w:rsidP="00852AC1">
            <w:pPr>
              <w:pStyle w:val="TableTextCentered"/>
            </w:pPr>
            <w:r w:rsidRPr="00900ADE">
              <w:t>28.6</w:t>
            </w:r>
          </w:p>
        </w:tc>
        <w:tc>
          <w:tcPr>
            <w:tcW w:w="1260" w:type="dxa"/>
            <w:vAlign w:val="center"/>
          </w:tcPr>
          <w:p w14:paraId="658EF553" w14:textId="77777777" w:rsidR="00852AC1" w:rsidRPr="00900ADE" w:rsidRDefault="00852AC1" w:rsidP="00852AC1">
            <w:pPr>
              <w:pStyle w:val="TableTextCentered"/>
            </w:pPr>
            <w:r w:rsidRPr="00900ADE">
              <w:t>31.8</w:t>
            </w:r>
          </w:p>
        </w:tc>
      </w:tr>
      <w:tr w:rsidR="00852AC1" w:rsidRPr="00900ADE" w14:paraId="0A74DD62" w14:textId="77777777">
        <w:trPr>
          <w:jc w:val="center"/>
        </w:trPr>
        <w:tc>
          <w:tcPr>
            <w:tcW w:w="3052" w:type="dxa"/>
          </w:tcPr>
          <w:p w14:paraId="4C1A8D1C" w14:textId="77777777" w:rsidR="00852AC1" w:rsidRPr="00900ADE" w:rsidRDefault="00852AC1" w:rsidP="00852AC1">
            <w:pPr>
              <w:pStyle w:val="TableText"/>
            </w:pPr>
            <w:r w:rsidRPr="00900ADE">
              <w:t>Students w/disabilities</w:t>
            </w:r>
          </w:p>
        </w:tc>
        <w:tc>
          <w:tcPr>
            <w:tcW w:w="1260" w:type="dxa"/>
            <w:vAlign w:val="center"/>
          </w:tcPr>
          <w:p w14:paraId="31A455F2" w14:textId="77777777" w:rsidR="00852AC1" w:rsidRPr="00900ADE" w:rsidRDefault="00852AC1" w:rsidP="00852AC1">
            <w:pPr>
              <w:pStyle w:val="TableTextCentered"/>
            </w:pPr>
            <w:r w:rsidRPr="00900ADE">
              <w:t>48</w:t>
            </w:r>
          </w:p>
        </w:tc>
        <w:tc>
          <w:tcPr>
            <w:tcW w:w="1260" w:type="dxa"/>
            <w:vAlign w:val="center"/>
          </w:tcPr>
          <w:p w14:paraId="0881F88A" w14:textId="77777777" w:rsidR="00852AC1" w:rsidRPr="00900ADE" w:rsidRDefault="00852AC1" w:rsidP="00852AC1">
            <w:pPr>
              <w:pStyle w:val="TableTextCentered"/>
            </w:pPr>
            <w:r w:rsidRPr="00900ADE">
              <w:t>68.1</w:t>
            </w:r>
          </w:p>
        </w:tc>
        <w:tc>
          <w:tcPr>
            <w:tcW w:w="1260" w:type="dxa"/>
            <w:vAlign w:val="center"/>
          </w:tcPr>
          <w:p w14:paraId="7D286E84" w14:textId="77777777" w:rsidR="00852AC1" w:rsidRPr="00900ADE" w:rsidRDefault="00852AC1" w:rsidP="00852AC1">
            <w:pPr>
              <w:pStyle w:val="TableTextCentered"/>
            </w:pPr>
            <w:r w:rsidRPr="00900ADE">
              <w:t>59.5</w:t>
            </w:r>
          </w:p>
        </w:tc>
        <w:tc>
          <w:tcPr>
            <w:tcW w:w="1260" w:type="dxa"/>
            <w:vAlign w:val="center"/>
          </w:tcPr>
          <w:p w14:paraId="1324BA7D" w14:textId="77777777" w:rsidR="00852AC1" w:rsidRPr="00900ADE" w:rsidRDefault="00852AC1" w:rsidP="00852AC1">
            <w:pPr>
              <w:pStyle w:val="TableTextCentered"/>
            </w:pPr>
            <w:r w:rsidRPr="00900ADE">
              <w:t>60.4</w:t>
            </w:r>
          </w:p>
        </w:tc>
        <w:tc>
          <w:tcPr>
            <w:tcW w:w="1260" w:type="dxa"/>
            <w:vAlign w:val="center"/>
          </w:tcPr>
          <w:p w14:paraId="0312FCB2" w14:textId="77777777" w:rsidR="00852AC1" w:rsidRPr="00900ADE" w:rsidRDefault="00852AC1" w:rsidP="00852AC1">
            <w:pPr>
              <w:pStyle w:val="TableTextCentered"/>
            </w:pPr>
            <w:r w:rsidRPr="00900ADE">
              <w:t>38.5</w:t>
            </w:r>
          </w:p>
        </w:tc>
      </w:tr>
    </w:tbl>
    <w:p w14:paraId="64A523AC" w14:textId="77777777" w:rsidR="00852AC1" w:rsidRPr="00900ADE" w:rsidRDefault="00852AC1" w:rsidP="00C9717C">
      <w:pPr>
        <w:pStyle w:val="TableETitle"/>
        <w:spacing w:before="240"/>
      </w:pPr>
      <w:bookmarkStart w:id="226" w:name="_Toc196169634"/>
      <w:r w:rsidRPr="00900ADE">
        <w:t>Table E22. Accountability Results, 2024</w:t>
      </w:r>
      <w:bookmarkEnd w:id="226"/>
    </w:p>
    <w:tbl>
      <w:tblPr>
        <w:tblStyle w:val="MSVTable1"/>
        <w:tblW w:w="5000" w:type="pct"/>
        <w:jc w:val="center"/>
        <w:tblLook w:val="04A0" w:firstRow="1" w:lastRow="0" w:firstColumn="1" w:lastColumn="0" w:noHBand="0" w:noVBand="1"/>
      </w:tblPr>
      <w:tblGrid>
        <w:gridCol w:w="1792"/>
        <w:gridCol w:w="1775"/>
        <w:gridCol w:w="1016"/>
        <w:gridCol w:w="2369"/>
        <w:gridCol w:w="2392"/>
      </w:tblGrid>
      <w:tr w:rsidR="00852AC1" w:rsidRPr="00900ADE" w14:paraId="2D324F5A" w14:textId="77777777" w:rsidTr="00B87CA4">
        <w:trPr>
          <w:cnfStyle w:val="100000000000" w:firstRow="1" w:lastRow="0" w:firstColumn="0" w:lastColumn="0" w:oddVBand="0" w:evenVBand="0" w:oddHBand="0" w:evenHBand="0" w:firstRowFirstColumn="0" w:firstRowLastColumn="0" w:lastRowFirstColumn="0" w:lastRowLastColumn="0"/>
          <w:tblHeader/>
          <w:jc w:val="center"/>
        </w:trPr>
        <w:tc>
          <w:tcPr>
            <w:tcW w:w="1792" w:type="dxa"/>
            <w:vAlign w:val="center"/>
          </w:tcPr>
          <w:p w14:paraId="2E565CA5" w14:textId="77777777" w:rsidR="00852AC1" w:rsidRPr="00900ADE" w:rsidRDefault="00852AC1" w:rsidP="00852AC1">
            <w:pPr>
              <w:pStyle w:val="TableColHeadingCenter"/>
            </w:pPr>
            <w:r w:rsidRPr="00900ADE">
              <w:t>School</w:t>
            </w:r>
          </w:p>
        </w:tc>
        <w:tc>
          <w:tcPr>
            <w:tcW w:w="1775" w:type="dxa"/>
          </w:tcPr>
          <w:p w14:paraId="422CF3A4" w14:textId="28E0F709" w:rsidR="00852AC1" w:rsidRPr="00900ADE" w:rsidRDefault="00852AC1" w:rsidP="00852AC1">
            <w:pPr>
              <w:pStyle w:val="TableColHeadingCenter"/>
            </w:pPr>
            <w:r w:rsidRPr="00900ADE">
              <w:t xml:space="preserve">Cumulative </w:t>
            </w:r>
            <w:r w:rsidR="00CD7EAE" w:rsidRPr="00900ADE">
              <w:t>p</w:t>
            </w:r>
            <w:r w:rsidRPr="00900ADE">
              <w:t xml:space="preserve">rogress </w:t>
            </w:r>
            <w:r w:rsidR="00CD7EAE" w:rsidRPr="00900ADE">
              <w:t>t</w:t>
            </w:r>
            <w:r w:rsidRPr="00900ADE">
              <w:t xml:space="preserve">oward </w:t>
            </w:r>
            <w:r w:rsidR="00CD7EAE" w:rsidRPr="00900ADE">
              <w:t>i</w:t>
            </w:r>
            <w:r w:rsidRPr="00900ADE">
              <w:t xml:space="preserve">mprovement </w:t>
            </w:r>
            <w:r w:rsidR="00CD7EAE" w:rsidRPr="00900ADE">
              <w:t>t</w:t>
            </w:r>
            <w:r w:rsidRPr="00900ADE">
              <w:t>argets (%)</w:t>
            </w:r>
          </w:p>
        </w:tc>
        <w:tc>
          <w:tcPr>
            <w:tcW w:w="1016" w:type="dxa"/>
            <w:vAlign w:val="center"/>
          </w:tcPr>
          <w:p w14:paraId="518BC247" w14:textId="77777777" w:rsidR="00852AC1" w:rsidRPr="00900ADE" w:rsidRDefault="00852AC1" w:rsidP="00852AC1">
            <w:pPr>
              <w:pStyle w:val="TableColHeadingCenter"/>
            </w:pPr>
            <w:r w:rsidRPr="00900ADE">
              <w:t>Percentile</w:t>
            </w:r>
          </w:p>
        </w:tc>
        <w:tc>
          <w:tcPr>
            <w:tcW w:w="2369" w:type="dxa"/>
            <w:vAlign w:val="center"/>
          </w:tcPr>
          <w:p w14:paraId="79A9069D" w14:textId="5971E677" w:rsidR="00852AC1" w:rsidRPr="00900ADE" w:rsidRDefault="00852AC1" w:rsidP="00852AC1">
            <w:pPr>
              <w:pStyle w:val="TableColHeadingCenter"/>
            </w:pPr>
            <w:r w:rsidRPr="00900ADE">
              <w:t xml:space="preserve">Overall </w:t>
            </w:r>
            <w:r w:rsidR="00CD7EAE" w:rsidRPr="00900ADE">
              <w:t>c</w:t>
            </w:r>
            <w:r w:rsidRPr="00900ADE">
              <w:t>lassification</w:t>
            </w:r>
          </w:p>
        </w:tc>
        <w:tc>
          <w:tcPr>
            <w:tcW w:w="2392" w:type="dxa"/>
            <w:vAlign w:val="center"/>
          </w:tcPr>
          <w:p w14:paraId="646FB9A8" w14:textId="01A3470A" w:rsidR="00852AC1" w:rsidRPr="00900ADE" w:rsidRDefault="00852AC1" w:rsidP="00852AC1">
            <w:pPr>
              <w:pStyle w:val="TableColHeadingCenter"/>
            </w:pPr>
            <w:r w:rsidRPr="00900ADE">
              <w:t xml:space="preserve">Reason for </w:t>
            </w:r>
            <w:r w:rsidR="00CD7EAE" w:rsidRPr="00900ADE">
              <w:t>c</w:t>
            </w:r>
            <w:r w:rsidRPr="00900ADE">
              <w:t>lassification</w:t>
            </w:r>
          </w:p>
        </w:tc>
      </w:tr>
      <w:tr w:rsidR="00852AC1" w:rsidRPr="00900ADE" w14:paraId="27E0F347" w14:textId="77777777" w:rsidTr="00852AC1">
        <w:trPr>
          <w:cnfStyle w:val="000000100000" w:firstRow="0" w:lastRow="0" w:firstColumn="0" w:lastColumn="0" w:oddVBand="0" w:evenVBand="0" w:oddHBand="1" w:evenHBand="0" w:firstRowFirstColumn="0" w:firstRowLastColumn="0" w:lastRowFirstColumn="0" w:lastRowLastColumn="0"/>
          <w:jc w:val="center"/>
        </w:trPr>
        <w:tc>
          <w:tcPr>
            <w:tcW w:w="1792" w:type="dxa"/>
            <w:vAlign w:val="center"/>
          </w:tcPr>
          <w:p w14:paraId="7E1B0A0E" w14:textId="77777777" w:rsidR="00852AC1" w:rsidRPr="00900ADE" w:rsidRDefault="00852AC1" w:rsidP="00852AC1">
            <w:pPr>
              <w:pStyle w:val="TableText"/>
              <w:rPr>
                <w:szCs w:val="20"/>
              </w:rPr>
            </w:pPr>
            <w:r w:rsidRPr="00900ADE">
              <w:t>District</w:t>
            </w:r>
          </w:p>
        </w:tc>
        <w:tc>
          <w:tcPr>
            <w:tcW w:w="1775" w:type="dxa"/>
            <w:vAlign w:val="center"/>
          </w:tcPr>
          <w:p w14:paraId="6E5DBD89" w14:textId="77777777" w:rsidR="00852AC1" w:rsidRPr="00900ADE" w:rsidRDefault="00852AC1" w:rsidP="00852AC1">
            <w:pPr>
              <w:pStyle w:val="TableTextCentered"/>
            </w:pPr>
            <w:r w:rsidRPr="00900ADE">
              <w:t>59%</w:t>
            </w:r>
          </w:p>
        </w:tc>
        <w:tc>
          <w:tcPr>
            <w:tcW w:w="1016" w:type="dxa"/>
            <w:vAlign w:val="center"/>
          </w:tcPr>
          <w:p w14:paraId="1D3D13C1" w14:textId="6FE8FC02" w:rsidR="00852AC1" w:rsidRPr="00900ADE" w:rsidRDefault="003A7D47" w:rsidP="00852AC1">
            <w:pPr>
              <w:pStyle w:val="TableTextCentered"/>
              <w:rPr>
                <w:szCs w:val="20"/>
              </w:rPr>
            </w:pPr>
            <w:r w:rsidRPr="00900ADE">
              <w:t>—</w:t>
            </w:r>
          </w:p>
        </w:tc>
        <w:tc>
          <w:tcPr>
            <w:tcW w:w="2369" w:type="dxa"/>
            <w:vAlign w:val="center"/>
          </w:tcPr>
          <w:p w14:paraId="4B2B84A4" w14:textId="77777777" w:rsidR="00852AC1" w:rsidRPr="00900ADE" w:rsidRDefault="00852AC1" w:rsidP="00852AC1">
            <w:pPr>
              <w:pStyle w:val="TableTextCentered"/>
              <w:rPr>
                <w:szCs w:val="20"/>
              </w:rPr>
            </w:pPr>
            <w:r w:rsidRPr="00900ADE">
              <w:t>Not requiring assistance or intervention</w:t>
            </w:r>
          </w:p>
        </w:tc>
        <w:tc>
          <w:tcPr>
            <w:tcW w:w="2392" w:type="dxa"/>
            <w:vAlign w:val="center"/>
          </w:tcPr>
          <w:p w14:paraId="5F8C63E3" w14:textId="77777777" w:rsidR="00852AC1" w:rsidRPr="00900ADE" w:rsidRDefault="00852AC1" w:rsidP="00852AC1">
            <w:pPr>
              <w:pStyle w:val="TableTextCentered"/>
              <w:rPr>
                <w:szCs w:val="20"/>
              </w:rPr>
            </w:pPr>
            <w:r w:rsidRPr="00900ADE">
              <w:t>Substantial progress toward targets</w:t>
            </w:r>
          </w:p>
        </w:tc>
      </w:tr>
      <w:tr w:rsidR="00852AC1" w:rsidRPr="00900ADE" w14:paraId="0B55CADA" w14:textId="77777777" w:rsidTr="00852AC1">
        <w:trPr>
          <w:jc w:val="center"/>
        </w:trPr>
        <w:tc>
          <w:tcPr>
            <w:tcW w:w="1792" w:type="dxa"/>
            <w:vAlign w:val="center"/>
          </w:tcPr>
          <w:p w14:paraId="7BE1AF46" w14:textId="29323587" w:rsidR="00852AC1" w:rsidRPr="00900ADE" w:rsidRDefault="00852AC1" w:rsidP="00852AC1">
            <w:pPr>
              <w:pStyle w:val="TableText"/>
              <w:rPr>
                <w:szCs w:val="20"/>
              </w:rPr>
            </w:pPr>
            <w:r w:rsidRPr="00900ADE">
              <w:rPr>
                <w:szCs w:val="20"/>
              </w:rPr>
              <w:t>John D. McGovern Elementary</w:t>
            </w:r>
            <w:r w:rsidR="00CD7EAE" w:rsidRPr="00900ADE">
              <w:rPr>
                <w:szCs w:val="20"/>
              </w:rPr>
              <w:t xml:space="preserve"> School</w:t>
            </w:r>
          </w:p>
        </w:tc>
        <w:tc>
          <w:tcPr>
            <w:tcW w:w="1775" w:type="dxa"/>
            <w:vAlign w:val="center"/>
          </w:tcPr>
          <w:p w14:paraId="1C0E1162" w14:textId="5818CD77" w:rsidR="00852AC1" w:rsidRPr="00900ADE" w:rsidRDefault="003A7D47" w:rsidP="00852AC1">
            <w:pPr>
              <w:pStyle w:val="TableTextCentered"/>
              <w:rPr>
                <w:szCs w:val="20"/>
              </w:rPr>
            </w:pPr>
            <w:r w:rsidRPr="00900ADE">
              <w:rPr>
                <w:szCs w:val="20"/>
              </w:rPr>
              <w:t>—</w:t>
            </w:r>
          </w:p>
        </w:tc>
        <w:tc>
          <w:tcPr>
            <w:tcW w:w="1016" w:type="dxa"/>
            <w:vAlign w:val="center"/>
          </w:tcPr>
          <w:p w14:paraId="62BDA74E" w14:textId="4A8F3375" w:rsidR="00852AC1" w:rsidRPr="00900ADE" w:rsidRDefault="003A7D47" w:rsidP="00852AC1">
            <w:pPr>
              <w:pStyle w:val="TableTextCentered"/>
              <w:rPr>
                <w:szCs w:val="20"/>
              </w:rPr>
            </w:pPr>
            <w:r w:rsidRPr="00900ADE">
              <w:rPr>
                <w:szCs w:val="20"/>
              </w:rPr>
              <w:t>—</w:t>
            </w:r>
          </w:p>
        </w:tc>
        <w:tc>
          <w:tcPr>
            <w:tcW w:w="2369" w:type="dxa"/>
            <w:vAlign w:val="center"/>
          </w:tcPr>
          <w:p w14:paraId="20C838D9" w14:textId="77777777" w:rsidR="00852AC1" w:rsidRPr="00900ADE" w:rsidRDefault="00852AC1" w:rsidP="00852AC1">
            <w:pPr>
              <w:pStyle w:val="TableTextCentered"/>
              <w:rPr>
                <w:szCs w:val="20"/>
              </w:rPr>
            </w:pPr>
            <w:r w:rsidRPr="00900ADE">
              <w:rPr>
                <w:szCs w:val="20"/>
              </w:rPr>
              <w:t>Insufficient data</w:t>
            </w:r>
          </w:p>
        </w:tc>
        <w:tc>
          <w:tcPr>
            <w:tcW w:w="2392" w:type="dxa"/>
            <w:vAlign w:val="center"/>
          </w:tcPr>
          <w:p w14:paraId="3C39AAAF" w14:textId="77777777" w:rsidR="00852AC1" w:rsidRPr="00900ADE" w:rsidRDefault="00852AC1" w:rsidP="00852AC1">
            <w:pPr>
              <w:pStyle w:val="TableTextCentered"/>
              <w:rPr>
                <w:szCs w:val="20"/>
              </w:rPr>
            </w:pPr>
            <w:r w:rsidRPr="00900ADE">
              <w:rPr>
                <w:szCs w:val="20"/>
              </w:rPr>
              <w:t>Insufficient data</w:t>
            </w:r>
          </w:p>
        </w:tc>
      </w:tr>
      <w:tr w:rsidR="00852AC1" w:rsidRPr="00900ADE" w14:paraId="123F29D2" w14:textId="77777777" w:rsidTr="00852AC1">
        <w:trPr>
          <w:cnfStyle w:val="000000100000" w:firstRow="0" w:lastRow="0" w:firstColumn="0" w:lastColumn="0" w:oddVBand="0" w:evenVBand="0" w:oddHBand="1" w:evenHBand="0" w:firstRowFirstColumn="0" w:firstRowLastColumn="0" w:lastRowFirstColumn="0" w:lastRowLastColumn="0"/>
          <w:jc w:val="center"/>
        </w:trPr>
        <w:tc>
          <w:tcPr>
            <w:tcW w:w="1792" w:type="dxa"/>
            <w:vAlign w:val="center"/>
          </w:tcPr>
          <w:p w14:paraId="7553C769" w14:textId="72B5F88D" w:rsidR="00852AC1" w:rsidRPr="00900ADE" w:rsidRDefault="00852AC1" w:rsidP="00852AC1">
            <w:pPr>
              <w:pStyle w:val="TableText"/>
              <w:rPr>
                <w:szCs w:val="20"/>
              </w:rPr>
            </w:pPr>
            <w:r w:rsidRPr="00900ADE">
              <w:rPr>
                <w:szCs w:val="20"/>
              </w:rPr>
              <w:t>Burke</w:t>
            </w:r>
            <w:r w:rsidR="00CD7EAE" w:rsidRPr="00900ADE">
              <w:rPr>
                <w:szCs w:val="20"/>
              </w:rPr>
              <w:t>-</w:t>
            </w:r>
            <w:r w:rsidRPr="00900ADE">
              <w:rPr>
                <w:szCs w:val="20"/>
              </w:rPr>
              <w:t>Memorial Elementary School</w:t>
            </w:r>
          </w:p>
        </w:tc>
        <w:tc>
          <w:tcPr>
            <w:tcW w:w="1775" w:type="dxa"/>
            <w:vAlign w:val="center"/>
          </w:tcPr>
          <w:p w14:paraId="2A160C85" w14:textId="77777777" w:rsidR="00852AC1" w:rsidRPr="00900ADE" w:rsidRDefault="00852AC1" w:rsidP="00852AC1">
            <w:pPr>
              <w:pStyle w:val="TableTextCentered"/>
              <w:rPr>
                <w:szCs w:val="20"/>
              </w:rPr>
            </w:pPr>
            <w:r w:rsidRPr="00900ADE">
              <w:rPr>
                <w:szCs w:val="20"/>
              </w:rPr>
              <w:t>54%</w:t>
            </w:r>
          </w:p>
        </w:tc>
        <w:tc>
          <w:tcPr>
            <w:tcW w:w="1016" w:type="dxa"/>
            <w:vAlign w:val="center"/>
          </w:tcPr>
          <w:p w14:paraId="2AEB0A15" w14:textId="77777777" w:rsidR="00852AC1" w:rsidRPr="00900ADE" w:rsidRDefault="00852AC1" w:rsidP="00852AC1">
            <w:pPr>
              <w:pStyle w:val="TableTextCentered"/>
              <w:rPr>
                <w:szCs w:val="20"/>
              </w:rPr>
            </w:pPr>
            <w:r w:rsidRPr="00900ADE">
              <w:rPr>
                <w:szCs w:val="20"/>
              </w:rPr>
              <w:t>74</w:t>
            </w:r>
          </w:p>
        </w:tc>
        <w:tc>
          <w:tcPr>
            <w:tcW w:w="2369" w:type="dxa"/>
          </w:tcPr>
          <w:p w14:paraId="15EE9136" w14:textId="77777777" w:rsidR="00852AC1" w:rsidRPr="00900ADE" w:rsidRDefault="00852AC1" w:rsidP="00852AC1">
            <w:pPr>
              <w:pStyle w:val="TableTextCentered"/>
              <w:rPr>
                <w:szCs w:val="20"/>
              </w:rPr>
            </w:pPr>
            <w:r w:rsidRPr="00900ADE">
              <w:t>Not requiring assistance or intervention</w:t>
            </w:r>
          </w:p>
        </w:tc>
        <w:tc>
          <w:tcPr>
            <w:tcW w:w="2392" w:type="dxa"/>
          </w:tcPr>
          <w:p w14:paraId="7C458653" w14:textId="77777777" w:rsidR="00852AC1" w:rsidRPr="00900ADE" w:rsidRDefault="00852AC1" w:rsidP="00852AC1">
            <w:pPr>
              <w:pStyle w:val="TableTextCentered"/>
              <w:rPr>
                <w:szCs w:val="20"/>
              </w:rPr>
            </w:pPr>
            <w:r w:rsidRPr="00900ADE">
              <w:t>Substantial progress toward targets</w:t>
            </w:r>
          </w:p>
        </w:tc>
      </w:tr>
      <w:tr w:rsidR="00852AC1" w:rsidRPr="00900ADE" w14:paraId="1554C6C4" w14:textId="77777777" w:rsidTr="00852AC1">
        <w:trPr>
          <w:jc w:val="center"/>
        </w:trPr>
        <w:tc>
          <w:tcPr>
            <w:tcW w:w="1792" w:type="dxa"/>
            <w:shd w:val="clear" w:color="auto" w:fill="auto"/>
            <w:vAlign w:val="center"/>
          </w:tcPr>
          <w:p w14:paraId="1C3426F2" w14:textId="6E7ACA77" w:rsidR="00852AC1" w:rsidRPr="00900ADE" w:rsidRDefault="00852AC1" w:rsidP="00852AC1">
            <w:pPr>
              <w:pStyle w:val="TableText"/>
              <w:rPr>
                <w:szCs w:val="20"/>
              </w:rPr>
            </w:pPr>
            <w:r w:rsidRPr="00900ADE">
              <w:rPr>
                <w:szCs w:val="20"/>
              </w:rPr>
              <w:t>Medway Middle</w:t>
            </w:r>
            <w:r w:rsidR="00CD7EAE" w:rsidRPr="00900ADE">
              <w:rPr>
                <w:szCs w:val="20"/>
              </w:rPr>
              <w:t xml:space="preserve"> School</w:t>
            </w:r>
          </w:p>
        </w:tc>
        <w:tc>
          <w:tcPr>
            <w:tcW w:w="1775" w:type="dxa"/>
            <w:vAlign w:val="center"/>
          </w:tcPr>
          <w:p w14:paraId="17C6DA99" w14:textId="77777777" w:rsidR="00852AC1" w:rsidRPr="00900ADE" w:rsidRDefault="00852AC1" w:rsidP="00852AC1">
            <w:pPr>
              <w:pStyle w:val="TableTextCentered"/>
              <w:rPr>
                <w:szCs w:val="20"/>
              </w:rPr>
            </w:pPr>
            <w:r w:rsidRPr="00900ADE">
              <w:rPr>
                <w:szCs w:val="20"/>
              </w:rPr>
              <w:t>66%</w:t>
            </w:r>
          </w:p>
        </w:tc>
        <w:tc>
          <w:tcPr>
            <w:tcW w:w="1016" w:type="dxa"/>
            <w:vAlign w:val="center"/>
          </w:tcPr>
          <w:p w14:paraId="42BCDA67" w14:textId="77777777" w:rsidR="00852AC1" w:rsidRPr="00900ADE" w:rsidRDefault="00852AC1" w:rsidP="00852AC1">
            <w:pPr>
              <w:pStyle w:val="TableTextCentered"/>
              <w:rPr>
                <w:szCs w:val="20"/>
              </w:rPr>
            </w:pPr>
            <w:r w:rsidRPr="00900ADE">
              <w:rPr>
                <w:szCs w:val="20"/>
              </w:rPr>
              <w:t>73</w:t>
            </w:r>
          </w:p>
        </w:tc>
        <w:tc>
          <w:tcPr>
            <w:tcW w:w="2369" w:type="dxa"/>
          </w:tcPr>
          <w:p w14:paraId="62136B72" w14:textId="77777777" w:rsidR="00852AC1" w:rsidRPr="00900ADE" w:rsidRDefault="00852AC1" w:rsidP="00852AC1">
            <w:pPr>
              <w:pStyle w:val="TableTextCentered"/>
              <w:rPr>
                <w:szCs w:val="20"/>
              </w:rPr>
            </w:pPr>
            <w:r w:rsidRPr="00900ADE">
              <w:t>Not requiring assistance or intervention</w:t>
            </w:r>
          </w:p>
        </w:tc>
        <w:tc>
          <w:tcPr>
            <w:tcW w:w="2392" w:type="dxa"/>
          </w:tcPr>
          <w:p w14:paraId="1E0DDFF0" w14:textId="77777777" w:rsidR="00852AC1" w:rsidRPr="00900ADE" w:rsidRDefault="00852AC1" w:rsidP="00852AC1">
            <w:pPr>
              <w:pStyle w:val="TableTextCentered"/>
              <w:rPr>
                <w:szCs w:val="20"/>
              </w:rPr>
            </w:pPr>
            <w:r w:rsidRPr="00900ADE">
              <w:t>Substantial progress toward targets</w:t>
            </w:r>
          </w:p>
        </w:tc>
      </w:tr>
      <w:tr w:rsidR="00852AC1" w:rsidRPr="00900ADE" w14:paraId="4FAB9197" w14:textId="77777777" w:rsidTr="00852AC1">
        <w:trPr>
          <w:cnfStyle w:val="000000100000" w:firstRow="0" w:lastRow="0" w:firstColumn="0" w:lastColumn="0" w:oddVBand="0" w:evenVBand="0" w:oddHBand="1" w:evenHBand="0" w:firstRowFirstColumn="0" w:firstRowLastColumn="0" w:lastRowFirstColumn="0" w:lastRowLastColumn="0"/>
          <w:jc w:val="center"/>
        </w:trPr>
        <w:tc>
          <w:tcPr>
            <w:tcW w:w="1792" w:type="dxa"/>
            <w:vAlign w:val="center"/>
          </w:tcPr>
          <w:p w14:paraId="705A191A" w14:textId="2573CF51" w:rsidR="00852AC1" w:rsidRPr="00900ADE" w:rsidRDefault="00852AC1" w:rsidP="00852AC1">
            <w:pPr>
              <w:pStyle w:val="TableText"/>
              <w:rPr>
                <w:szCs w:val="20"/>
              </w:rPr>
            </w:pPr>
            <w:r w:rsidRPr="00900ADE">
              <w:rPr>
                <w:szCs w:val="20"/>
              </w:rPr>
              <w:t>Medway High</w:t>
            </w:r>
            <w:r w:rsidR="00CD7EAE" w:rsidRPr="00900ADE">
              <w:rPr>
                <w:szCs w:val="20"/>
              </w:rPr>
              <w:t xml:space="preserve"> School</w:t>
            </w:r>
          </w:p>
        </w:tc>
        <w:tc>
          <w:tcPr>
            <w:tcW w:w="1775" w:type="dxa"/>
            <w:vAlign w:val="center"/>
          </w:tcPr>
          <w:p w14:paraId="4B81FAB9" w14:textId="77777777" w:rsidR="00852AC1" w:rsidRPr="00900ADE" w:rsidRDefault="00852AC1" w:rsidP="00852AC1">
            <w:pPr>
              <w:pStyle w:val="TableTextCentered"/>
              <w:rPr>
                <w:szCs w:val="20"/>
              </w:rPr>
            </w:pPr>
            <w:r w:rsidRPr="00900ADE">
              <w:rPr>
                <w:szCs w:val="20"/>
              </w:rPr>
              <w:t>76%</w:t>
            </w:r>
          </w:p>
        </w:tc>
        <w:tc>
          <w:tcPr>
            <w:tcW w:w="1016" w:type="dxa"/>
            <w:vAlign w:val="center"/>
          </w:tcPr>
          <w:p w14:paraId="547C63D9" w14:textId="77777777" w:rsidR="00852AC1" w:rsidRPr="00900ADE" w:rsidRDefault="00852AC1" w:rsidP="00852AC1">
            <w:pPr>
              <w:pStyle w:val="TableTextCentered"/>
              <w:rPr>
                <w:szCs w:val="20"/>
              </w:rPr>
            </w:pPr>
            <w:r w:rsidRPr="00900ADE">
              <w:rPr>
                <w:szCs w:val="20"/>
              </w:rPr>
              <w:t>78</w:t>
            </w:r>
          </w:p>
        </w:tc>
        <w:tc>
          <w:tcPr>
            <w:tcW w:w="2369" w:type="dxa"/>
          </w:tcPr>
          <w:p w14:paraId="430F511A" w14:textId="77777777" w:rsidR="00852AC1" w:rsidRPr="00900ADE" w:rsidRDefault="00852AC1" w:rsidP="00852AC1">
            <w:pPr>
              <w:pStyle w:val="TableTextCentered"/>
              <w:rPr>
                <w:szCs w:val="20"/>
              </w:rPr>
            </w:pPr>
            <w:r w:rsidRPr="00900ADE">
              <w:t>Not requiring assistance or intervention</w:t>
            </w:r>
          </w:p>
        </w:tc>
        <w:tc>
          <w:tcPr>
            <w:tcW w:w="2392" w:type="dxa"/>
          </w:tcPr>
          <w:p w14:paraId="3DA7210C" w14:textId="77777777" w:rsidR="00852AC1" w:rsidRPr="00900ADE" w:rsidRDefault="00852AC1" w:rsidP="00852AC1">
            <w:pPr>
              <w:pStyle w:val="TableTextCentered"/>
              <w:rPr>
                <w:szCs w:val="20"/>
              </w:rPr>
            </w:pPr>
            <w:r w:rsidRPr="00900ADE">
              <w:t>Meeting or exceeding targets</w:t>
            </w:r>
          </w:p>
        </w:tc>
      </w:tr>
      <w:bookmarkEnd w:id="224"/>
    </w:tbl>
    <w:p w14:paraId="6854B97F" w14:textId="7828B341" w:rsidR="00254505" w:rsidRPr="00900ADE" w:rsidRDefault="00254505" w:rsidP="006E1875">
      <w:pPr>
        <w:pStyle w:val="BodyText"/>
      </w:pPr>
    </w:p>
    <w:sectPr w:rsidR="00254505" w:rsidRPr="00900ADE" w:rsidSect="00F13771">
      <w:footerReference w:type="default" r:id="rId116"/>
      <w:headerReference w:type="first" r:id="rId1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66D1C" w14:textId="77777777" w:rsidR="00D47424" w:rsidRDefault="00D47424" w:rsidP="00B93273">
      <w:pPr>
        <w:spacing w:line="240" w:lineRule="auto"/>
      </w:pPr>
      <w:r>
        <w:separator/>
      </w:r>
    </w:p>
  </w:endnote>
  <w:endnote w:type="continuationSeparator" w:id="0">
    <w:p w14:paraId="7D5C9617" w14:textId="77777777" w:rsidR="00D47424" w:rsidRDefault="00D47424" w:rsidP="00B93273">
      <w:pPr>
        <w:spacing w:line="240" w:lineRule="auto"/>
      </w:pPr>
      <w:r>
        <w:continuationSeparator/>
      </w:r>
    </w:p>
  </w:endnote>
  <w:endnote w:type="continuationNotice" w:id="1">
    <w:p w14:paraId="12917A0C" w14:textId="77777777" w:rsidR="00D47424" w:rsidRDefault="00D474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nlo">
    <w:charset w:val="00"/>
    <w:family w:val="modern"/>
    <w:pitch w:val="fixed"/>
    <w:sig w:usb0="E60022FF" w:usb1="D200F9FB" w:usb2="02000028" w:usb3="00000000" w:csb0="000001D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ptos Narrow">
    <w:charset w:val="00"/>
    <w:family w:val="swiss"/>
    <w:pitch w:val="variable"/>
    <w:sig w:usb0="20000287" w:usb1="00000003" w:usb2="00000000" w:usb3="00000000" w:csb0="0000019F" w:csb1="00000000"/>
  </w:font>
  <w:font w:name="Tahoma (Body CS)">
    <w:panose1 w:val="00000000000000000000"/>
    <w:charset w:val="00"/>
    <w:family w:val="roman"/>
    <w:notTrueType/>
    <w:pitch w:val="default"/>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AF40" w14:textId="1E43A419" w:rsidR="002E7525" w:rsidRPr="004668E7" w:rsidRDefault="00F85470" w:rsidP="002E7525">
    <w:pPr>
      <w:pStyle w:val="Footer"/>
    </w:pPr>
    <w:r>
      <w:rPr>
        <w:rFonts w:ascii="Franklin Gothic Demi" w:eastAsia="Franklin Gothic Book" w:hAnsi="Franklin Gothic Demi" w:cs="Tahoma"/>
        <w:color w:val="44546A"/>
      </w:rPr>
      <w:t>Medway</w:t>
    </w:r>
    <w:r w:rsidRPr="001E0852">
      <w:rPr>
        <w:rFonts w:ascii="Franklin Gothic Demi" w:eastAsia="Franklin Gothic Book" w:hAnsi="Franklin Gothic Demi" w:cs="Tahoma"/>
        <w:color w:val="44546A"/>
      </w:rPr>
      <w:t xml:space="preserve"> </w:t>
    </w:r>
    <w:r w:rsidR="00946862" w:rsidRPr="00B3679E">
      <w:rPr>
        <w:rStyle w:val="FranklinGothicDemi"/>
        <w:color w:val="44546A" w:themeColor="text2"/>
      </w:rPr>
      <w:t>Public Schools</w:t>
    </w:r>
    <w:r w:rsidR="002E7525" w:rsidRPr="0055077E">
      <w:rPr>
        <w:rStyle w:val="FranklinGothicDemi"/>
        <w:color w:val="7698D4"/>
      </w:rPr>
      <w:t xml:space="preserve"> </w:t>
    </w:r>
    <w:r w:rsidR="002E7525">
      <w:ptab w:relativeTo="margin" w:alignment="right" w:leader="none"/>
    </w:r>
    <w:r w:rsidR="002E7525" w:rsidRPr="0055077E">
      <w:t xml:space="preserve"> 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 xml:space="preserve">page </w:t>
    </w:r>
    <w:r w:rsidR="00CC52F1">
      <w:rPr>
        <w:rStyle w:val="FranklinGothicDemi"/>
        <w:color w:val="44546A" w:themeColor="text2"/>
      </w:rPr>
      <w:t>D</w:t>
    </w:r>
    <w:r w:rsidR="002E7525" w:rsidRPr="00B3679E">
      <w:rPr>
        <w:rStyle w:val="FranklinGothicDemi"/>
        <w:color w:val="44546A" w:themeColor="text2"/>
      </w:rPr>
      <w:t>-</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5B9D" w14:textId="77777777" w:rsidR="00B8632D" w:rsidRPr="001E0852" w:rsidRDefault="00B8632D" w:rsidP="00720F2B">
    <w:pPr>
      <w:pBdr>
        <w:top w:val="single" w:sz="12" w:space="1" w:color="ED7D31"/>
      </w:pBdr>
      <w:tabs>
        <w:tab w:val="right" w:pos="12870"/>
      </w:tabs>
      <w:spacing w:line="240" w:lineRule="auto"/>
      <w:ind w:right="54"/>
      <w:rPr>
        <w:rFonts w:ascii="Franklin Gothic Book" w:eastAsia="Franklin Gothic Book" w:hAnsi="Franklin Gothic Book" w:cs="Tahoma"/>
        <w:sz w:val="20"/>
      </w:rPr>
    </w:pPr>
    <w:r>
      <w:rPr>
        <w:rFonts w:ascii="Franklin Gothic Demi" w:eastAsia="Franklin Gothic Book" w:hAnsi="Franklin Gothic Demi" w:cs="Tahoma"/>
        <w:color w:val="44546A"/>
        <w:sz w:val="20"/>
      </w:rPr>
      <w:t>Medway</w:t>
    </w:r>
    <w:r w:rsidRPr="001E0852">
      <w:rPr>
        <w:rFonts w:ascii="Franklin Gothic Demi" w:eastAsia="Franklin Gothic Book" w:hAnsi="Franklin Gothic Demi" w:cs="Tahoma"/>
        <w:color w:val="44546A"/>
        <w:sz w:val="20"/>
      </w:rPr>
      <w:t xml:space="preserve"> Public Schools</w:t>
    </w:r>
    <w:r w:rsidRPr="001E0852">
      <w:rPr>
        <w:rFonts w:ascii="Franklin Gothic Demi" w:eastAsia="Franklin Gothic Book" w:hAnsi="Franklin Gothic Demi" w:cs="Tahoma"/>
        <w:color w:val="7698D4"/>
        <w:sz w:val="20"/>
      </w:rPr>
      <w:t xml:space="preserve"> </w:t>
    </w:r>
    <w:r w:rsidRPr="001E0852">
      <w:rPr>
        <w:rFonts w:ascii="Franklin Gothic Book" w:eastAsia="Franklin Gothic Book" w:hAnsi="Franklin Gothic Book" w:cs="Tahoma"/>
        <w:sz w:val="20"/>
      </w:rPr>
      <w:ptab w:relativeTo="margin" w:alignment="right" w:leader="none"/>
    </w:r>
    <w:r w:rsidRPr="001E0852">
      <w:rPr>
        <w:rFonts w:ascii="Franklin Gothic Book" w:eastAsia="Franklin Gothic Book" w:hAnsi="Franklin Gothic Book" w:cs="Tahoma"/>
        <w:sz w:val="20"/>
      </w:rPr>
      <w:t xml:space="preserve"> Comprehensive District Review Report </w:t>
    </w:r>
    <w:r w:rsidRPr="001E0852">
      <w:rPr>
        <w:rFonts w:ascii="Franklin Gothic Book" w:eastAsia="Franklin Gothic Book" w:hAnsi="Franklin Gothic Book" w:cs="Tahoma"/>
        <w:color w:val="44546A"/>
        <w:sz w:val="20"/>
      </w:rPr>
      <w:t xml:space="preserve">■ </w:t>
    </w:r>
    <w:r w:rsidRPr="001E0852">
      <w:rPr>
        <w:rFonts w:ascii="Franklin Gothic Demi" w:eastAsia="Franklin Gothic Book" w:hAnsi="Franklin Gothic Demi" w:cs="Tahoma"/>
        <w:color w:val="44546A"/>
        <w:sz w:val="20"/>
      </w:rPr>
      <w:t>page E-</w:t>
    </w:r>
    <w:r w:rsidRPr="001E0852">
      <w:rPr>
        <w:rFonts w:ascii="Franklin Gothic Demi" w:eastAsia="Franklin Gothic Book" w:hAnsi="Franklin Gothic Demi" w:cs="Tahoma"/>
        <w:color w:val="44546A"/>
        <w:sz w:val="20"/>
      </w:rPr>
      <w:fldChar w:fldCharType="begin"/>
    </w:r>
    <w:r w:rsidRPr="001E0852">
      <w:rPr>
        <w:rFonts w:ascii="Franklin Gothic Demi" w:eastAsia="Franklin Gothic Book" w:hAnsi="Franklin Gothic Demi" w:cs="Tahoma"/>
        <w:color w:val="44546A"/>
        <w:sz w:val="20"/>
      </w:rPr>
      <w:instrText xml:space="preserve"> PAGE   \* MERGEFORMAT </w:instrText>
    </w:r>
    <w:r w:rsidRPr="001E0852">
      <w:rPr>
        <w:rFonts w:ascii="Franklin Gothic Demi" w:eastAsia="Franklin Gothic Book" w:hAnsi="Franklin Gothic Demi" w:cs="Tahoma"/>
        <w:color w:val="44546A"/>
        <w:sz w:val="20"/>
      </w:rPr>
      <w:fldChar w:fldCharType="separate"/>
    </w:r>
    <w:r w:rsidRPr="001E0852">
      <w:rPr>
        <w:rFonts w:ascii="Franklin Gothic Demi" w:eastAsia="Franklin Gothic Book" w:hAnsi="Franklin Gothic Demi" w:cs="Tahoma"/>
        <w:color w:val="44546A"/>
        <w:sz w:val="20"/>
      </w:rPr>
      <w:t>1</w:t>
    </w:r>
    <w:r w:rsidRPr="001E0852">
      <w:rPr>
        <w:rFonts w:ascii="Franklin Gothic Demi" w:eastAsia="Franklin Gothic Book" w:hAnsi="Franklin Gothic Demi" w:cs="Tahoma"/>
        <w:noProof/>
        <w:color w:val="44546A"/>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C43E" w14:textId="465A8B7A" w:rsidR="00CC52F1" w:rsidRPr="004668E7" w:rsidRDefault="00F13771" w:rsidP="002E7525">
    <w:pPr>
      <w:pStyle w:val="Footer"/>
    </w:pPr>
    <w:r>
      <w:rPr>
        <w:rFonts w:ascii="Franklin Gothic Demi" w:eastAsia="Franklin Gothic Book" w:hAnsi="Franklin Gothic Demi" w:cs="Tahoma"/>
        <w:color w:val="44546A"/>
      </w:rPr>
      <w:t>Medway</w:t>
    </w:r>
    <w:r w:rsidRPr="001E0852">
      <w:rPr>
        <w:rFonts w:ascii="Franklin Gothic Demi" w:eastAsia="Franklin Gothic Book" w:hAnsi="Franklin Gothic Demi" w:cs="Tahoma"/>
        <w:color w:val="44546A"/>
      </w:rPr>
      <w:t xml:space="preserve"> </w:t>
    </w:r>
    <w:r w:rsidR="00CC52F1" w:rsidRPr="00B3679E">
      <w:rPr>
        <w:rStyle w:val="FranklinGothicDemi"/>
        <w:color w:val="44546A" w:themeColor="text2"/>
      </w:rPr>
      <w:t>Public Schools</w:t>
    </w:r>
    <w:r w:rsidR="00CC52F1" w:rsidRPr="0055077E">
      <w:rPr>
        <w:rStyle w:val="FranklinGothicDemi"/>
        <w:color w:val="7698D4"/>
      </w:rPr>
      <w:t xml:space="preserve"> </w:t>
    </w:r>
    <w:r w:rsidR="00CC52F1">
      <w:ptab w:relativeTo="margin" w:alignment="right" w:leader="none"/>
    </w:r>
    <w:r w:rsidR="00CC52F1" w:rsidRPr="0055077E">
      <w:t xml:space="preserve"> Comprehensive District Review Report</w:t>
    </w:r>
    <w:r w:rsidR="00CC52F1">
      <w:t xml:space="preserve"> </w:t>
    </w:r>
    <w:r w:rsidR="00CC52F1" w:rsidRPr="00B3679E">
      <w:rPr>
        <w:color w:val="44546A" w:themeColor="text2"/>
      </w:rPr>
      <w:t xml:space="preserve">■ </w:t>
    </w:r>
    <w:r w:rsidR="00CC52F1" w:rsidRPr="00B3679E">
      <w:rPr>
        <w:rStyle w:val="FranklinGothicDemi"/>
        <w:color w:val="44546A" w:themeColor="text2"/>
      </w:rPr>
      <w:t xml:space="preserve">page </w:t>
    </w:r>
    <w:r w:rsidR="00CC52F1">
      <w:rPr>
        <w:rStyle w:val="FranklinGothicDemi"/>
        <w:color w:val="44546A" w:themeColor="text2"/>
      </w:rPr>
      <w:t>E</w:t>
    </w:r>
    <w:r w:rsidR="00CC52F1" w:rsidRPr="00B3679E">
      <w:rPr>
        <w:rStyle w:val="FranklinGothicDemi"/>
        <w:color w:val="44546A" w:themeColor="text2"/>
      </w:rPr>
      <w:t>-</w:t>
    </w:r>
    <w:r w:rsidR="00CC52F1" w:rsidRPr="00B3679E">
      <w:rPr>
        <w:rStyle w:val="FranklinGothicDemi"/>
        <w:color w:val="44546A" w:themeColor="text2"/>
      </w:rPr>
      <w:fldChar w:fldCharType="begin"/>
    </w:r>
    <w:r w:rsidR="00CC52F1" w:rsidRPr="00B3679E">
      <w:rPr>
        <w:rStyle w:val="FranklinGothicDemi"/>
        <w:color w:val="44546A" w:themeColor="text2"/>
      </w:rPr>
      <w:instrText xml:space="preserve"> PAGE   \* MERGEFORMAT </w:instrText>
    </w:r>
    <w:r w:rsidR="00CC52F1" w:rsidRPr="00B3679E">
      <w:rPr>
        <w:rStyle w:val="FranklinGothicDemi"/>
        <w:color w:val="44546A" w:themeColor="text2"/>
      </w:rPr>
      <w:fldChar w:fldCharType="separate"/>
    </w:r>
    <w:r w:rsidR="00CC52F1" w:rsidRPr="00B3679E">
      <w:rPr>
        <w:rStyle w:val="FranklinGothicDemi"/>
        <w:color w:val="44546A" w:themeColor="text2"/>
      </w:rPr>
      <w:t>1</w:t>
    </w:r>
    <w:r w:rsidR="00CC52F1"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A2F2" w14:textId="75183A1D" w:rsidR="00FF48CB" w:rsidRPr="004668E7" w:rsidRDefault="00870310" w:rsidP="00E315A4">
    <w:pPr>
      <w:pStyle w:val="Footer"/>
    </w:pPr>
    <w:r>
      <w:rPr>
        <w:rStyle w:val="FranklinGothicDemi"/>
        <w:color w:val="44546A" w:themeColor="text2"/>
      </w:rPr>
      <w:t>Medway</w:t>
    </w:r>
    <w:r w:rsidRPr="00B3679E">
      <w:rPr>
        <w:rStyle w:val="FranklinGothicDemi"/>
        <w:color w:val="44546A" w:themeColor="text2"/>
      </w:rPr>
      <w:t xml:space="preserve"> </w:t>
    </w:r>
    <w:r w:rsidR="00946862" w:rsidRPr="00B3679E">
      <w:rPr>
        <w:rStyle w:val="FranklinGothicDemi"/>
        <w:color w:val="44546A" w:themeColor="text2"/>
      </w:rPr>
      <w:t>Public Schools</w:t>
    </w:r>
    <w:r w:rsidR="00FF48CB" w:rsidRPr="0055077E">
      <w:rPr>
        <w:rStyle w:val="FranklinGothicDemi"/>
        <w:color w:val="7698D4"/>
      </w:rPr>
      <w:t xml:space="preserve"> </w:t>
    </w:r>
    <w:r w:rsidR="00FF48CB">
      <w:ptab w:relativeTo="margin" w:alignment="right" w:leader="none"/>
    </w:r>
    <w:r w:rsidR="00FF48CB" w:rsidRPr="0055077E">
      <w:t xml:space="preserve"> 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 xml:space="preserve">page </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4929" w14:textId="5DB75F1F" w:rsidR="00486B55" w:rsidRPr="004668E7" w:rsidRDefault="00870310" w:rsidP="00E315A4">
    <w:pPr>
      <w:pStyle w:val="Footer"/>
    </w:pPr>
    <w:r>
      <w:rPr>
        <w:rStyle w:val="FranklinGothicDemi"/>
        <w:color w:val="44546A" w:themeColor="text2"/>
      </w:rPr>
      <w:t>Medway</w:t>
    </w:r>
    <w:r w:rsidRPr="00B3679E">
      <w:rPr>
        <w:rStyle w:val="FranklinGothicDemi"/>
        <w:color w:val="44546A" w:themeColor="text2"/>
      </w:rPr>
      <w:t xml:space="preserve"> </w:t>
    </w:r>
    <w:r w:rsidR="00486B55" w:rsidRPr="00B3679E">
      <w:rPr>
        <w:rStyle w:val="FranklinGothicDemi"/>
        <w:color w:val="44546A" w:themeColor="text2"/>
      </w:rPr>
      <w:t>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4276C" w14:textId="77777777" w:rsidR="00840E7A" w:rsidRPr="00F31A73" w:rsidRDefault="00840E7A">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BAAA" w14:textId="77777777" w:rsidR="00840E7A" w:rsidRPr="002541BB" w:rsidRDefault="00840E7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5084" w14:textId="77777777" w:rsidR="002E384C" w:rsidRPr="004668E7" w:rsidRDefault="002E384C" w:rsidP="002E384C">
    <w:pPr>
      <w:pStyle w:val="Footer"/>
    </w:pPr>
    <w:r>
      <w:rPr>
        <w:rStyle w:val="FranklinGothicDemi"/>
        <w:color w:val="44546A" w:themeColor="text2"/>
      </w:rPr>
      <w:t>Medway</w:t>
    </w:r>
    <w:r w:rsidRPr="00B3679E">
      <w:rPr>
        <w:rStyle w:val="FranklinGothicDemi"/>
        <w:color w:val="44546A" w:themeColor="text2"/>
      </w:rPr>
      <w:t xml:space="preserve"> Public Schools</w:t>
    </w:r>
    <w:r w:rsidRPr="0055077E">
      <w:rPr>
        <w:rStyle w:val="FranklinGothicDemi"/>
        <w:color w:val="7698D4"/>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page 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6B6" w14:textId="37F36482" w:rsidR="00C33E09" w:rsidRPr="004668E7" w:rsidRDefault="00C33E09" w:rsidP="00E315A4">
    <w:pPr>
      <w:pStyle w:val="Footer"/>
    </w:pPr>
    <w:r>
      <w:rPr>
        <w:rStyle w:val="FranklinGothicDemi"/>
        <w:color w:val="44546A" w:themeColor="text2"/>
      </w:rPr>
      <w:t>Medway</w:t>
    </w:r>
    <w:r w:rsidRPr="00B3679E">
      <w:rPr>
        <w:rStyle w:val="FranklinGothicDemi"/>
        <w:color w:val="44546A" w:themeColor="text2"/>
      </w:rPr>
      <w:t xml:space="preserve"> Public Schools</w:t>
    </w:r>
    <w:r w:rsidRPr="0055077E">
      <w:rPr>
        <w:rStyle w:val="FranklinGothicDemi"/>
        <w:color w:val="7698D4"/>
      </w:rPr>
      <w:t xml:space="preserve"> </w:t>
    </w:r>
    <w:r>
      <w:ptab w:relativeTo="margin" w:alignment="right" w:leader="none"/>
    </w:r>
    <w:r w:rsidRPr="0055077E">
      <w:t xml:space="preserve"> </w:t>
    </w:r>
    <w:r>
      <w:t>Comprehensive</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sidR="00267260">
      <w:rPr>
        <w:rStyle w:val="FranklinGothicDemi"/>
        <w:color w:val="44546A" w:themeColor="text2"/>
      </w:rPr>
      <w:t>C</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2</w:t>
    </w:r>
    <w:r w:rsidRPr="00B3679E">
      <w:rPr>
        <w:rStyle w:val="FranklinGothicDemi"/>
        <w:noProof/>
        <w:color w:val="44546A" w:themeColor="text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E74E3" w14:textId="443754B2" w:rsidR="00694BF2" w:rsidRPr="004668E7" w:rsidRDefault="00694BF2" w:rsidP="00E315A4">
    <w:pPr>
      <w:pStyle w:val="Footer"/>
    </w:pPr>
    <w:r>
      <w:rPr>
        <w:rStyle w:val="FranklinGothicDemi"/>
        <w:color w:val="44546A" w:themeColor="text2"/>
      </w:rPr>
      <w:t>Medway</w:t>
    </w:r>
    <w:r w:rsidRPr="00B3679E">
      <w:rPr>
        <w:rStyle w:val="FranklinGothicDemi"/>
        <w:color w:val="44546A" w:themeColor="text2"/>
      </w:rPr>
      <w:t xml:space="preserve"> Public Schools</w:t>
    </w:r>
    <w:r w:rsidRPr="0055077E">
      <w:rPr>
        <w:rStyle w:val="FranklinGothicDemi"/>
        <w:color w:val="7698D4"/>
      </w:rPr>
      <w:t xml:space="preserve"> </w:t>
    </w:r>
    <w:r>
      <w:ptab w:relativeTo="margin" w:alignment="right" w:leader="none"/>
    </w:r>
    <w:r w:rsidRPr="0055077E">
      <w:t xml:space="preserve"> </w:t>
    </w:r>
    <w:r>
      <w:t>Comprehensive</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D</w:t>
    </w:r>
    <w:r w:rsidRPr="00B3679E">
      <w:rPr>
        <w:rStyle w:val="FranklinGothicDemi"/>
        <w:color w:val="44546A" w:themeColor="text2"/>
      </w:rPr>
      <w:t>-</w:t>
    </w:r>
    <w:r>
      <w:rPr>
        <w:rStyle w:val="FranklinGothicDemi"/>
        <w:color w:val="44546A" w:themeColor="text2"/>
      </w:rPr>
      <w:fldChar w:fldCharType="begin"/>
    </w:r>
    <w:r>
      <w:rPr>
        <w:rStyle w:val="FranklinGothicDemi"/>
        <w:color w:val="44546A" w:themeColor="text2"/>
      </w:rPr>
      <w:instrText xml:space="preserve"> PAGE    \* MERGEFORMAT </w:instrText>
    </w:r>
    <w:r>
      <w:rPr>
        <w:rStyle w:val="FranklinGothicDemi"/>
        <w:color w:val="44546A" w:themeColor="text2"/>
      </w:rPr>
      <w:fldChar w:fldCharType="separate"/>
    </w:r>
    <w:r>
      <w:rPr>
        <w:rStyle w:val="FranklinGothicDemi"/>
        <w:noProof/>
        <w:color w:val="44546A" w:themeColor="text2"/>
      </w:rPr>
      <w:t>2</w:t>
    </w:r>
    <w:r>
      <w:rPr>
        <w:rStyle w:val="FranklinGothicDemi"/>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E5C64" w14:textId="77777777" w:rsidR="00D47424" w:rsidRDefault="00D47424" w:rsidP="00B93273">
      <w:pPr>
        <w:spacing w:line="240" w:lineRule="auto"/>
      </w:pPr>
      <w:r>
        <w:separator/>
      </w:r>
    </w:p>
  </w:footnote>
  <w:footnote w:type="continuationSeparator" w:id="0">
    <w:p w14:paraId="16F11F4B" w14:textId="77777777" w:rsidR="00D47424" w:rsidRDefault="00D47424" w:rsidP="00B93273">
      <w:pPr>
        <w:spacing w:line="240" w:lineRule="auto"/>
      </w:pPr>
      <w:r>
        <w:continuationSeparator/>
      </w:r>
    </w:p>
  </w:footnote>
  <w:footnote w:type="continuationNotice" w:id="1">
    <w:p w14:paraId="2910CD7C" w14:textId="77777777" w:rsidR="00D47424" w:rsidRDefault="00D47424">
      <w:pPr>
        <w:spacing w:line="240" w:lineRule="auto"/>
      </w:pPr>
    </w:p>
  </w:footnote>
  <w:footnote w:id="2">
    <w:p w14:paraId="3526925D" w14:textId="462E5FCD" w:rsidR="007312ED" w:rsidRDefault="007312ED">
      <w:pPr>
        <w:pStyle w:val="FootnoteText"/>
      </w:pPr>
      <w:r>
        <w:rPr>
          <w:rStyle w:val="FootnoteReference"/>
        </w:rPr>
        <w:footnoteRef/>
      </w:r>
      <w:r>
        <w:t xml:space="preserve"> </w:t>
      </w:r>
      <w:r>
        <w:rPr>
          <w:szCs w:val="18"/>
        </w:rPr>
        <w:t>DESE’s</w:t>
      </w:r>
      <w:r w:rsidRPr="00B408CF">
        <w:rPr>
          <w:szCs w:val="18"/>
        </w:rPr>
        <w:t xml:space="preserve"> District Standards and Indicators are </w:t>
      </w:r>
      <w:r>
        <w:rPr>
          <w:szCs w:val="18"/>
        </w:rPr>
        <w:t xml:space="preserve">available </w:t>
      </w:r>
      <w:r w:rsidRPr="00B408CF">
        <w:rPr>
          <w:szCs w:val="18"/>
        </w:rPr>
        <w:t>at</w:t>
      </w:r>
      <w:r>
        <w:rPr>
          <w:szCs w:val="18"/>
        </w:rPr>
        <w:t xml:space="preserve"> </w:t>
      </w:r>
      <w:hyperlink r:id="rId1" w:history="1">
        <w:r w:rsidRPr="00A25FBA">
          <w:rPr>
            <w:rStyle w:val="Hyperlink"/>
            <w:szCs w:val="18"/>
          </w:rPr>
          <w:t>https://www.doe.mass.edu/accountability/district-review/district-standards-indicators.docx</w:t>
        </w:r>
      </w:hyperlink>
      <w:r w:rsidRPr="00B408CF">
        <w:rPr>
          <w:szCs w:val="18"/>
        </w:rPr>
        <w:t>.</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25F4DAFA" w14:textId="30DBCEE3" w:rsidR="000B2CB9" w:rsidRDefault="000B2CB9">
      <w:pPr>
        <w:pStyle w:val="FootnoteText"/>
      </w:pPr>
      <w:r>
        <w:rPr>
          <w:rStyle w:val="FootnoteReference"/>
        </w:rPr>
        <w:footnoteRef/>
      </w:r>
      <w:r>
        <w:t xml:space="preserve"> Districts with similar demographics and similar wealth are based on </w:t>
      </w:r>
      <w:hyperlink r:id="rId3" w:history="1">
        <w:r w:rsidRPr="000B2CB9">
          <w:rPr>
            <w:rStyle w:val="Hyperlink"/>
          </w:rPr>
          <w:t>Resource Allocation and District Action Reports (RADAR)</w:t>
        </w:r>
      </w:hyperlink>
      <w:r>
        <w:t xml:space="preserve"> (retrieved February 202</w:t>
      </w:r>
      <w:r w:rsidR="00217E55">
        <w:t>5</w:t>
      </w:r>
      <w:r>
        <w:t>).</w:t>
      </w:r>
    </w:p>
  </w:footnote>
  <w:footnote w:id="5">
    <w:p w14:paraId="0F2247AA" w14:textId="0C16F808" w:rsidR="00E227A1" w:rsidRDefault="00E227A1">
      <w:pPr>
        <w:pStyle w:val="FootnoteText"/>
      </w:pPr>
      <w:r>
        <w:rPr>
          <w:rStyle w:val="FootnoteReference"/>
        </w:rPr>
        <w:footnoteRef/>
      </w:r>
      <w:r>
        <w:t xml:space="preserve"> </w:t>
      </w:r>
      <w:bookmarkStart w:id="33" w:name="_Hlk193031811"/>
      <w:r>
        <w:t xml:space="preserve">CURATE: </w:t>
      </w:r>
      <w:bookmarkStart w:id="34" w:name="_Hlk189493216"/>
      <w:r>
        <w:t>CUrriculum RAtings by TEachers</w:t>
      </w:r>
      <w:bookmarkEnd w:id="34"/>
      <w:r>
        <w:t xml:space="preserve">. See </w:t>
      </w:r>
      <w:hyperlink r:id="rId4" w:history="1">
        <w:r w:rsidRPr="00EB120C">
          <w:rPr>
            <w:rStyle w:val="Hyperlink"/>
          </w:rPr>
          <w:t>https://www.doe.mass.edu/instruction/curate</w:t>
        </w:r>
      </w:hyperlink>
      <w:r>
        <w:t>.</w:t>
      </w:r>
      <w:bookmarkEnd w:id="33"/>
    </w:p>
  </w:footnote>
  <w:footnote w:id="6">
    <w:p w14:paraId="455EAAAE" w14:textId="31C4E604" w:rsidR="008E1137" w:rsidRDefault="008E1137">
      <w:pPr>
        <w:pStyle w:val="FootnoteText"/>
      </w:pPr>
      <w:r>
        <w:rPr>
          <w:rStyle w:val="FootnoteReference"/>
        </w:rPr>
        <w:footnoteRef/>
      </w:r>
      <w:r>
        <w:t xml:space="preserve"> </w:t>
      </w:r>
      <w:r w:rsidR="0071733D">
        <w:t xml:space="preserve">StudySync </w:t>
      </w:r>
      <w:r w:rsidR="003D52BB">
        <w:t>is rated as ME on EdReports and on CURATE it is rated as ME for standards-alignment, but PM for classroom application</w:t>
      </w:r>
      <w:r w:rsidR="000A6865">
        <w:t>.</w:t>
      </w:r>
    </w:p>
  </w:footnote>
  <w:footnote w:id="7">
    <w:p w14:paraId="75C18366" w14:textId="77777777" w:rsidR="00840E7A" w:rsidRPr="00F008EE" w:rsidRDefault="00840E7A" w:rsidP="00284CD2">
      <w:pPr>
        <w:pStyle w:val="FootnoteText"/>
        <w:spacing w:after="120"/>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07D61A" w14:paraId="7A0676D6" w14:textId="77777777" w:rsidTr="5307D61A">
      <w:trPr>
        <w:trHeight w:val="300"/>
      </w:trPr>
      <w:tc>
        <w:tcPr>
          <w:tcW w:w="3120" w:type="dxa"/>
        </w:tcPr>
        <w:p w14:paraId="5C280085" w14:textId="5DD9B8F8" w:rsidR="5307D61A" w:rsidRDefault="5307D61A" w:rsidP="5307D61A">
          <w:pPr>
            <w:pStyle w:val="Header"/>
            <w:ind w:left="-115"/>
          </w:pPr>
        </w:p>
      </w:tc>
      <w:tc>
        <w:tcPr>
          <w:tcW w:w="3120" w:type="dxa"/>
        </w:tcPr>
        <w:p w14:paraId="4ADDBFDA" w14:textId="4CDAC7FC" w:rsidR="5307D61A" w:rsidRDefault="5307D61A" w:rsidP="5307D61A">
          <w:pPr>
            <w:pStyle w:val="Header"/>
            <w:jc w:val="center"/>
          </w:pPr>
        </w:p>
      </w:tc>
      <w:tc>
        <w:tcPr>
          <w:tcW w:w="3120" w:type="dxa"/>
        </w:tcPr>
        <w:p w14:paraId="0A33996D" w14:textId="34A23C9E" w:rsidR="5307D61A" w:rsidRDefault="5307D61A" w:rsidP="5307D61A">
          <w:pPr>
            <w:pStyle w:val="Header"/>
            <w:ind w:right="-115"/>
            <w:jc w:val="right"/>
          </w:pPr>
        </w:p>
      </w:tc>
    </w:tr>
  </w:tbl>
  <w:p w14:paraId="474C28F1" w14:textId="0D5E9383" w:rsidR="007D041A" w:rsidRDefault="007D0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07D61A" w14:paraId="4782DD8B" w14:textId="77777777" w:rsidTr="5307D61A">
      <w:trPr>
        <w:trHeight w:val="300"/>
      </w:trPr>
      <w:tc>
        <w:tcPr>
          <w:tcW w:w="3120" w:type="dxa"/>
        </w:tcPr>
        <w:p w14:paraId="54E56A38" w14:textId="6B7CAAF0" w:rsidR="5307D61A" w:rsidRDefault="5307D61A" w:rsidP="5307D61A">
          <w:pPr>
            <w:pStyle w:val="Header"/>
            <w:ind w:left="-115"/>
          </w:pPr>
        </w:p>
      </w:tc>
      <w:tc>
        <w:tcPr>
          <w:tcW w:w="3120" w:type="dxa"/>
        </w:tcPr>
        <w:p w14:paraId="00EF96D7" w14:textId="45A9548B" w:rsidR="5307D61A" w:rsidRDefault="5307D61A" w:rsidP="5307D61A">
          <w:pPr>
            <w:pStyle w:val="Header"/>
            <w:jc w:val="center"/>
          </w:pPr>
        </w:p>
      </w:tc>
      <w:tc>
        <w:tcPr>
          <w:tcW w:w="3120" w:type="dxa"/>
        </w:tcPr>
        <w:p w14:paraId="2D88567B" w14:textId="50ED1A50" w:rsidR="5307D61A" w:rsidRDefault="5307D61A" w:rsidP="5307D61A">
          <w:pPr>
            <w:pStyle w:val="Header"/>
            <w:ind w:right="-115"/>
            <w:jc w:val="right"/>
          </w:pPr>
        </w:p>
      </w:tc>
    </w:tr>
  </w:tbl>
  <w:p w14:paraId="1371A26D" w14:textId="015BDCD0" w:rsidR="007D041A" w:rsidRDefault="007D04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1937" w:type="pct"/>
      <w:shd w:val="clear" w:color="auto" w:fill="2F5496" w:themeFill="accent5" w:themeFillShade="BF"/>
      <w:tblLook w:val="04A0" w:firstRow="1" w:lastRow="0" w:firstColumn="1" w:lastColumn="0" w:noHBand="0" w:noVBand="1"/>
    </w:tblPr>
    <w:tblGrid>
      <w:gridCol w:w="3961"/>
    </w:tblGrid>
    <w:tr w:rsidR="00840E7A" w14:paraId="36E87501" w14:textId="77777777">
      <w:trPr>
        <w:cantSplit/>
        <w:trHeight w:val="14443"/>
      </w:trPr>
      <w:tc>
        <w:tcPr>
          <w:tcW w:w="3960" w:type="dxa"/>
          <w:shd w:val="clear" w:color="auto" w:fill="D9D9D9" w:themeFill="background1" w:themeFillShade="D9"/>
        </w:tcPr>
        <w:p w14:paraId="1BDAE0A2" w14:textId="77777777" w:rsidR="00840E7A" w:rsidRDefault="00840E7A">
          <w:pPr>
            <w:pStyle w:val="Header"/>
          </w:pPr>
          <w:r>
            <w:rPr>
              <w:noProof/>
            </w:rPr>
            <w:drawing>
              <wp:anchor distT="0" distB="0" distL="114300" distR="114300" simplePos="0" relativeHeight="251658241" behindDoc="0" locked="0" layoutInCell="1" allowOverlap="1" wp14:anchorId="2C114958" wp14:editId="563BB4BF">
                <wp:simplePos x="0" y="0"/>
                <wp:positionH relativeFrom="column">
                  <wp:posOffset>323982</wp:posOffset>
                </wp:positionH>
                <wp:positionV relativeFrom="line">
                  <wp:posOffset>8184515</wp:posOffset>
                </wp:positionV>
                <wp:extent cx="1650670" cy="483474"/>
                <wp:effectExtent l="0" t="0" r="6985" b="0"/>
                <wp:wrapNone/>
                <wp:docPr id="319851279" name="Picture 319851279" descr="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merican Institutes for Research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0670" cy="4834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539">
            <w:rPr>
              <w:rFonts w:ascii="Times New Roman" w:eastAsia="Calibri" w:hAnsi="Times New Roman" w:cs="Times New Roman"/>
              <w:noProof/>
              <w:sz w:val="20"/>
            </w:rPr>
            <w:drawing>
              <wp:anchor distT="0" distB="0" distL="114300" distR="114300" simplePos="0" relativeHeight="251658240" behindDoc="0" locked="0" layoutInCell="1" allowOverlap="1" wp14:anchorId="23717841" wp14:editId="28004DD8">
                <wp:simplePos x="0" y="0"/>
                <wp:positionH relativeFrom="column">
                  <wp:posOffset>-19619</wp:posOffset>
                </wp:positionH>
                <wp:positionV relativeFrom="paragraph">
                  <wp:posOffset>354974</wp:posOffset>
                </wp:positionV>
                <wp:extent cx="2434441" cy="694820"/>
                <wp:effectExtent l="0" t="0" r="4445" b="0"/>
                <wp:wrapNone/>
                <wp:docPr id="1162125631" name="Picture 1162125631" descr="DESE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ESE Massachusetts Department of Elementary and Secondary Education logo"/>
                        <pic:cNvPicPr/>
                      </pic:nvPicPr>
                      <pic:blipFill>
                        <a:blip r:embed="rId2">
                          <a:extLst>
                            <a:ext uri="{28A0092B-C50C-407E-A947-70E740481C1C}">
                              <a14:useLocalDpi xmlns:a14="http://schemas.microsoft.com/office/drawing/2010/main" val="0"/>
                            </a:ext>
                          </a:extLst>
                        </a:blip>
                        <a:stretch>
                          <a:fillRect/>
                        </a:stretch>
                      </pic:blipFill>
                      <pic:spPr>
                        <a:xfrm>
                          <a:off x="0" y="0"/>
                          <a:ext cx="2434441" cy="694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6B362BCC" wp14:editId="352E32E3">
                    <wp:simplePos x="0" y="0"/>
                    <wp:positionH relativeFrom="column">
                      <wp:posOffset>1863090</wp:posOffset>
                    </wp:positionH>
                    <wp:positionV relativeFrom="paragraph">
                      <wp:posOffset>2971165</wp:posOffset>
                    </wp:positionV>
                    <wp:extent cx="4754880" cy="640080"/>
                    <wp:effectExtent l="0" t="0" r="7620" b="762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54880" cy="64008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28DC96F" id="Rectangle 21" o:spid="_x0000_s1026" alt="&quot;&quot;" style="position:absolute;margin-left:146.7pt;margin-top:233.95pt;width:374.4pt;height:5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" fillcolor="#2f5496 [2408]" stroked="f" strokeweight="2pt"/>
                </w:pict>
              </mc:Fallback>
            </mc:AlternateContent>
          </w:r>
        </w:p>
      </w:tc>
    </w:tr>
  </w:tbl>
  <w:p w14:paraId="0EDD6C27" w14:textId="77777777" w:rsidR="00840E7A" w:rsidRDefault="00840E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4F77" w14:textId="77777777" w:rsidR="00840E7A" w:rsidRPr="00FF6528" w:rsidRDefault="00840E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7D07" w14:textId="77777777" w:rsidR="002E384C" w:rsidRPr="00FF6528" w:rsidRDefault="002E38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D1F2" w14:textId="77777777" w:rsidR="0047269F" w:rsidRDefault="004726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07D61A" w14:paraId="0971B531" w14:textId="77777777" w:rsidTr="5307D61A">
      <w:trPr>
        <w:trHeight w:val="300"/>
      </w:trPr>
      <w:tc>
        <w:tcPr>
          <w:tcW w:w="3120" w:type="dxa"/>
        </w:tcPr>
        <w:p w14:paraId="41BFD3BF" w14:textId="5A469A25" w:rsidR="5307D61A" w:rsidRDefault="5307D61A" w:rsidP="5307D61A">
          <w:pPr>
            <w:pStyle w:val="Header"/>
            <w:ind w:left="-115"/>
          </w:pPr>
        </w:p>
      </w:tc>
      <w:tc>
        <w:tcPr>
          <w:tcW w:w="3120" w:type="dxa"/>
        </w:tcPr>
        <w:p w14:paraId="61517CAC" w14:textId="488D0A8E" w:rsidR="5307D61A" w:rsidRDefault="5307D61A" w:rsidP="5307D61A">
          <w:pPr>
            <w:pStyle w:val="Header"/>
            <w:jc w:val="center"/>
          </w:pPr>
        </w:p>
      </w:tc>
      <w:tc>
        <w:tcPr>
          <w:tcW w:w="3120" w:type="dxa"/>
        </w:tcPr>
        <w:p w14:paraId="0A03921D" w14:textId="36AD6BE1" w:rsidR="5307D61A" w:rsidRDefault="5307D61A" w:rsidP="5307D61A">
          <w:pPr>
            <w:pStyle w:val="Header"/>
            <w:ind w:right="-115"/>
            <w:jc w:val="right"/>
          </w:pPr>
        </w:p>
      </w:tc>
    </w:tr>
  </w:tbl>
  <w:p w14:paraId="3DB3DA2C" w14:textId="6E6D629A" w:rsidR="007D041A" w:rsidRDefault="007D04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07D61A" w14:paraId="1EE9E3F9" w14:textId="77777777" w:rsidTr="5307D61A">
      <w:trPr>
        <w:trHeight w:val="300"/>
      </w:trPr>
      <w:tc>
        <w:tcPr>
          <w:tcW w:w="3120" w:type="dxa"/>
        </w:tcPr>
        <w:p w14:paraId="272E196C" w14:textId="5F7EF8CD" w:rsidR="5307D61A" w:rsidRDefault="5307D61A" w:rsidP="5307D61A">
          <w:pPr>
            <w:pStyle w:val="Header"/>
            <w:ind w:left="-115"/>
          </w:pPr>
        </w:p>
      </w:tc>
      <w:tc>
        <w:tcPr>
          <w:tcW w:w="3120" w:type="dxa"/>
        </w:tcPr>
        <w:p w14:paraId="72B78293" w14:textId="7C899CD4" w:rsidR="5307D61A" w:rsidRDefault="5307D61A" w:rsidP="5307D61A">
          <w:pPr>
            <w:pStyle w:val="Header"/>
            <w:jc w:val="center"/>
          </w:pPr>
        </w:p>
      </w:tc>
      <w:tc>
        <w:tcPr>
          <w:tcW w:w="3120" w:type="dxa"/>
        </w:tcPr>
        <w:p w14:paraId="03A230C8" w14:textId="5FF397B6" w:rsidR="5307D61A" w:rsidRDefault="5307D61A" w:rsidP="5307D61A">
          <w:pPr>
            <w:pStyle w:val="Header"/>
            <w:ind w:right="-115"/>
            <w:jc w:val="right"/>
          </w:pPr>
        </w:p>
      </w:tc>
    </w:tr>
  </w:tbl>
  <w:p w14:paraId="447E4246" w14:textId="290E55A9" w:rsidR="007D041A" w:rsidRDefault="007D0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C5325"/>
    <w:multiLevelType w:val="hybridMultilevel"/>
    <w:tmpl w:val="F146AF58"/>
    <w:styleLink w:val="TableBulletList"/>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5" w15:restartNumberingAfterBreak="0">
    <w:nsid w:val="324A7621"/>
    <w:multiLevelType w:val="hybridMultilevel"/>
    <w:tmpl w:val="2604BD64"/>
    <w:lvl w:ilvl="0" w:tplc="15F496F2">
      <w:start w:val="1"/>
      <w:numFmt w:val="decimal"/>
      <w:lvlText w:val="%1)"/>
      <w:lvlJc w:val="left"/>
      <w:pPr>
        <w:ind w:left="1020" w:hanging="360"/>
      </w:pPr>
    </w:lvl>
    <w:lvl w:ilvl="1" w:tplc="6AB40384">
      <w:start w:val="1"/>
      <w:numFmt w:val="decimal"/>
      <w:lvlText w:val="%2)"/>
      <w:lvlJc w:val="left"/>
      <w:pPr>
        <w:ind w:left="1020" w:hanging="360"/>
      </w:pPr>
    </w:lvl>
    <w:lvl w:ilvl="2" w:tplc="2AA46416">
      <w:start w:val="1"/>
      <w:numFmt w:val="decimal"/>
      <w:lvlText w:val="%3)"/>
      <w:lvlJc w:val="left"/>
      <w:pPr>
        <w:ind w:left="1020" w:hanging="360"/>
      </w:pPr>
    </w:lvl>
    <w:lvl w:ilvl="3" w:tplc="0222233A">
      <w:start w:val="1"/>
      <w:numFmt w:val="decimal"/>
      <w:lvlText w:val="%4)"/>
      <w:lvlJc w:val="left"/>
      <w:pPr>
        <w:ind w:left="1020" w:hanging="360"/>
      </w:pPr>
    </w:lvl>
    <w:lvl w:ilvl="4" w:tplc="DD7433F8">
      <w:start w:val="1"/>
      <w:numFmt w:val="decimal"/>
      <w:lvlText w:val="%5)"/>
      <w:lvlJc w:val="left"/>
      <w:pPr>
        <w:ind w:left="1020" w:hanging="360"/>
      </w:pPr>
    </w:lvl>
    <w:lvl w:ilvl="5" w:tplc="F932A28E">
      <w:start w:val="1"/>
      <w:numFmt w:val="decimal"/>
      <w:lvlText w:val="%6)"/>
      <w:lvlJc w:val="left"/>
      <w:pPr>
        <w:ind w:left="1020" w:hanging="360"/>
      </w:pPr>
    </w:lvl>
    <w:lvl w:ilvl="6" w:tplc="C63EB578">
      <w:start w:val="1"/>
      <w:numFmt w:val="decimal"/>
      <w:lvlText w:val="%7)"/>
      <w:lvlJc w:val="left"/>
      <w:pPr>
        <w:ind w:left="1020" w:hanging="360"/>
      </w:pPr>
    </w:lvl>
    <w:lvl w:ilvl="7" w:tplc="62A81B56">
      <w:start w:val="1"/>
      <w:numFmt w:val="decimal"/>
      <w:lvlText w:val="%8)"/>
      <w:lvlJc w:val="left"/>
      <w:pPr>
        <w:ind w:left="1020" w:hanging="360"/>
      </w:pPr>
    </w:lvl>
    <w:lvl w:ilvl="8" w:tplc="0A7215A0">
      <w:start w:val="1"/>
      <w:numFmt w:val="decimal"/>
      <w:lvlText w:val="%9)"/>
      <w:lvlJc w:val="left"/>
      <w:pPr>
        <w:ind w:left="1020" w:hanging="360"/>
      </w:pPr>
    </w:lvl>
  </w:abstractNum>
  <w:abstractNum w:abstractNumId="6"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7"/>
  </w:num>
  <w:num w:numId="2" w16cid:durableId="1081218223">
    <w:abstractNumId w:val="2"/>
  </w:num>
  <w:num w:numId="3" w16cid:durableId="1729691725">
    <w:abstractNumId w:val="9"/>
  </w:num>
  <w:num w:numId="4" w16cid:durableId="142703376">
    <w:abstractNumId w:val="8"/>
  </w:num>
  <w:num w:numId="5" w16cid:durableId="913396038">
    <w:abstractNumId w:val="10"/>
  </w:num>
  <w:num w:numId="6" w16cid:durableId="1534149646">
    <w:abstractNumId w:val="4"/>
  </w:num>
  <w:num w:numId="7" w16cid:durableId="2036345692">
    <w:abstractNumId w:val="3"/>
  </w:num>
  <w:num w:numId="8" w16cid:durableId="885028805">
    <w:abstractNumId w:val="6"/>
  </w:num>
  <w:num w:numId="9" w16cid:durableId="425224381">
    <w:abstractNumId w:val="0"/>
  </w:num>
  <w:num w:numId="10" w16cid:durableId="1153259004">
    <w:abstractNumId w:val="3"/>
    <w:lvlOverride w:ilvl="0">
      <w:lvl w:ilvl="0">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1711569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6940188">
    <w:abstractNumId w:val="1"/>
  </w:num>
  <w:num w:numId="13" w16cid:durableId="1910186585">
    <w:abstractNumId w:val="5"/>
  </w:num>
  <w:num w:numId="14" w16cid:durableId="789402681">
    <w:abstractNumId w:val="3"/>
    <w:lvlOverride w:ilvl="0">
      <w:lvl w:ilvl="0">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3tjQwMjG1NDQzNzRV0lEKTi0uzszPAykwrAUA5ccPlywAAAA="/>
  </w:docVars>
  <w:rsids>
    <w:rsidRoot w:val="008E314D"/>
    <w:rsid w:val="00000007"/>
    <w:rsid w:val="00000375"/>
    <w:rsid w:val="00000442"/>
    <w:rsid w:val="000005C0"/>
    <w:rsid w:val="00000669"/>
    <w:rsid w:val="0000072F"/>
    <w:rsid w:val="000007A2"/>
    <w:rsid w:val="00000848"/>
    <w:rsid w:val="00000E6A"/>
    <w:rsid w:val="00000ED0"/>
    <w:rsid w:val="00000FE2"/>
    <w:rsid w:val="00001062"/>
    <w:rsid w:val="00001256"/>
    <w:rsid w:val="00001441"/>
    <w:rsid w:val="00001549"/>
    <w:rsid w:val="00001770"/>
    <w:rsid w:val="000018E9"/>
    <w:rsid w:val="000019DF"/>
    <w:rsid w:val="00001B71"/>
    <w:rsid w:val="00001DC2"/>
    <w:rsid w:val="00001DDD"/>
    <w:rsid w:val="00001EAF"/>
    <w:rsid w:val="00001F0C"/>
    <w:rsid w:val="00001F56"/>
    <w:rsid w:val="00002346"/>
    <w:rsid w:val="00002430"/>
    <w:rsid w:val="0000282B"/>
    <w:rsid w:val="000028CC"/>
    <w:rsid w:val="00002979"/>
    <w:rsid w:val="00002A19"/>
    <w:rsid w:val="00002A69"/>
    <w:rsid w:val="00002A86"/>
    <w:rsid w:val="00002AC6"/>
    <w:rsid w:val="00002B4D"/>
    <w:rsid w:val="00002D97"/>
    <w:rsid w:val="00002FF5"/>
    <w:rsid w:val="00003041"/>
    <w:rsid w:val="00003102"/>
    <w:rsid w:val="0000329E"/>
    <w:rsid w:val="000032CF"/>
    <w:rsid w:val="0000358A"/>
    <w:rsid w:val="000036AA"/>
    <w:rsid w:val="0000389A"/>
    <w:rsid w:val="0000392B"/>
    <w:rsid w:val="00003B2C"/>
    <w:rsid w:val="00003BDF"/>
    <w:rsid w:val="0000432D"/>
    <w:rsid w:val="00004366"/>
    <w:rsid w:val="00004547"/>
    <w:rsid w:val="00004ACE"/>
    <w:rsid w:val="00004D2D"/>
    <w:rsid w:val="00004F12"/>
    <w:rsid w:val="00005140"/>
    <w:rsid w:val="0000539F"/>
    <w:rsid w:val="00005469"/>
    <w:rsid w:val="0000547F"/>
    <w:rsid w:val="00005503"/>
    <w:rsid w:val="000056CF"/>
    <w:rsid w:val="0000576D"/>
    <w:rsid w:val="00005772"/>
    <w:rsid w:val="00005788"/>
    <w:rsid w:val="000058B6"/>
    <w:rsid w:val="00005E2A"/>
    <w:rsid w:val="00005E86"/>
    <w:rsid w:val="00005ECD"/>
    <w:rsid w:val="00006369"/>
    <w:rsid w:val="00006535"/>
    <w:rsid w:val="00006A9E"/>
    <w:rsid w:val="00006B6E"/>
    <w:rsid w:val="00006C2E"/>
    <w:rsid w:val="00006D68"/>
    <w:rsid w:val="00006D6E"/>
    <w:rsid w:val="00006E08"/>
    <w:rsid w:val="00007005"/>
    <w:rsid w:val="00007082"/>
    <w:rsid w:val="00007143"/>
    <w:rsid w:val="000071A0"/>
    <w:rsid w:val="000072E2"/>
    <w:rsid w:val="000074E9"/>
    <w:rsid w:val="000077D9"/>
    <w:rsid w:val="00007B41"/>
    <w:rsid w:val="00007C00"/>
    <w:rsid w:val="00007F09"/>
    <w:rsid w:val="00007F19"/>
    <w:rsid w:val="0000998B"/>
    <w:rsid w:val="0001002E"/>
    <w:rsid w:val="000101AC"/>
    <w:rsid w:val="000101D1"/>
    <w:rsid w:val="00010273"/>
    <w:rsid w:val="00010284"/>
    <w:rsid w:val="00010285"/>
    <w:rsid w:val="0001039E"/>
    <w:rsid w:val="0001049D"/>
    <w:rsid w:val="00010577"/>
    <w:rsid w:val="000106CC"/>
    <w:rsid w:val="00010862"/>
    <w:rsid w:val="000108AB"/>
    <w:rsid w:val="000108D8"/>
    <w:rsid w:val="00010AA8"/>
    <w:rsid w:val="00010CEB"/>
    <w:rsid w:val="00010E07"/>
    <w:rsid w:val="00010E1B"/>
    <w:rsid w:val="00010EBE"/>
    <w:rsid w:val="00010F5D"/>
    <w:rsid w:val="00011081"/>
    <w:rsid w:val="0001110A"/>
    <w:rsid w:val="00011279"/>
    <w:rsid w:val="0001129E"/>
    <w:rsid w:val="00011380"/>
    <w:rsid w:val="000114E1"/>
    <w:rsid w:val="000115BA"/>
    <w:rsid w:val="000117A3"/>
    <w:rsid w:val="000118B8"/>
    <w:rsid w:val="0001191E"/>
    <w:rsid w:val="000119F6"/>
    <w:rsid w:val="00011B23"/>
    <w:rsid w:val="00011F31"/>
    <w:rsid w:val="00011F68"/>
    <w:rsid w:val="00011FE3"/>
    <w:rsid w:val="000121D5"/>
    <w:rsid w:val="00012235"/>
    <w:rsid w:val="00012287"/>
    <w:rsid w:val="000125B0"/>
    <w:rsid w:val="00012875"/>
    <w:rsid w:val="000128B0"/>
    <w:rsid w:val="000128DF"/>
    <w:rsid w:val="00012A59"/>
    <w:rsid w:val="00012B4F"/>
    <w:rsid w:val="00012C2A"/>
    <w:rsid w:val="00012CD7"/>
    <w:rsid w:val="00012CE2"/>
    <w:rsid w:val="00012E1D"/>
    <w:rsid w:val="00012EF4"/>
    <w:rsid w:val="000132E0"/>
    <w:rsid w:val="000139AA"/>
    <w:rsid w:val="00013A6C"/>
    <w:rsid w:val="00013C83"/>
    <w:rsid w:val="00013CCE"/>
    <w:rsid w:val="00013D84"/>
    <w:rsid w:val="000143B1"/>
    <w:rsid w:val="00014432"/>
    <w:rsid w:val="0001449B"/>
    <w:rsid w:val="0001469C"/>
    <w:rsid w:val="000148C2"/>
    <w:rsid w:val="00014E60"/>
    <w:rsid w:val="000153E3"/>
    <w:rsid w:val="000153F9"/>
    <w:rsid w:val="00015617"/>
    <w:rsid w:val="000158A6"/>
    <w:rsid w:val="000158B4"/>
    <w:rsid w:val="00015B04"/>
    <w:rsid w:val="00015B77"/>
    <w:rsid w:val="00015C05"/>
    <w:rsid w:val="00015C1A"/>
    <w:rsid w:val="00015E32"/>
    <w:rsid w:val="00015E98"/>
    <w:rsid w:val="00016394"/>
    <w:rsid w:val="000167D3"/>
    <w:rsid w:val="00016B2E"/>
    <w:rsid w:val="00016B8E"/>
    <w:rsid w:val="00016CF7"/>
    <w:rsid w:val="00016FA4"/>
    <w:rsid w:val="000171E2"/>
    <w:rsid w:val="000172D2"/>
    <w:rsid w:val="00017356"/>
    <w:rsid w:val="0001758B"/>
    <w:rsid w:val="00017841"/>
    <w:rsid w:val="000178B0"/>
    <w:rsid w:val="00017E51"/>
    <w:rsid w:val="00017F1A"/>
    <w:rsid w:val="0002025B"/>
    <w:rsid w:val="00020262"/>
    <w:rsid w:val="00020463"/>
    <w:rsid w:val="000204A5"/>
    <w:rsid w:val="0002069B"/>
    <w:rsid w:val="000207E2"/>
    <w:rsid w:val="00020820"/>
    <w:rsid w:val="00020CAE"/>
    <w:rsid w:val="00020D0F"/>
    <w:rsid w:val="00020EF6"/>
    <w:rsid w:val="00020F57"/>
    <w:rsid w:val="000210A6"/>
    <w:rsid w:val="00021206"/>
    <w:rsid w:val="0002142B"/>
    <w:rsid w:val="00021474"/>
    <w:rsid w:val="00021546"/>
    <w:rsid w:val="0002155D"/>
    <w:rsid w:val="00021945"/>
    <w:rsid w:val="00021C9D"/>
    <w:rsid w:val="00021CDA"/>
    <w:rsid w:val="00021D18"/>
    <w:rsid w:val="00021F6B"/>
    <w:rsid w:val="00021FBE"/>
    <w:rsid w:val="00022080"/>
    <w:rsid w:val="0002248C"/>
    <w:rsid w:val="00022491"/>
    <w:rsid w:val="000225F5"/>
    <w:rsid w:val="000226AF"/>
    <w:rsid w:val="00022841"/>
    <w:rsid w:val="00022895"/>
    <w:rsid w:val="000228D9"/>
    <w:rsid w:val="000229D4"/>
    <w:rsid w:val="00022A59"/>
    <w:rsid w:val="00022B1D"/>
    <w:rsid w:val="00022C15"/>
    <w:rsid w:val="00022CD0"/>
    <w:rsid w:val="00022D3A"/>
    <w:rsid w:val="0002314E"/>
    <w:rsid w:val="00023229"/>
    <w:rsid w:val="0002328D"/>
    <w:rsid w:val="00023308"/>
    <w:rsid w:val="000233BD"/>
    <w:rsid w:val="00023452"/>
    <w:rsid w:val="00023490"/>
    <w:rsid w:val="000235E1"/>
    <w:rsid w:val="00023959"/>
    <w:rsid w:val="00023A12"/>
    <w:rsid w:val="00023D8C"/>
    <w:rsid w:val="00023EFF"/>
    <w:rsid w:val="0002429B"/>
    <w:rsid w:val="000246CC"/>
    <w:rsid w:val="00024819"/>
    <w:rsid w:val="00024881"/>
    <w:rsid w:val="00024932"/>
    <w:rsid w:val="00024991"/>
    <w:rsid w:val="00024DB6"/>
    <w:rsid w:val="00024FBA"/>
    <w:rsid w:val="000252D1"/>
    <w:rsid w:val="000253A2"/>
    <w:rsid w:val="000254C0"/>
    <w:rsid w:val="00025573"/>
    <w:rsid w:val="000257CC"/>
    <w:rsid w:val="00025889"/>
    <w:rsid w:val="0002599D"/>
    <w:rsid w:val="00025B2A"/>
    <w:rsid w:val="00025C70"/>
    <w:rsid w:val="00025EC1"/>
    <w:rsid w:val="00026131"/>
    <w:rsid w:val="00026585"/>
    <w:rsid w:val="000266F9"/>
    <w:rsid w:val="00026781"/>
    <w:rsid w:val="00026849"/>
    <w:rsid w:val="00026859"/>
    <w:rsid w:val="000269CC"/>
    <w:rsid w:val="00026ACA"/>
    <w:rsid w:val="00026AF9"/>
    <w:rsid w:val="00026B5D"/>
    <w:rsid w:val="00026DD8"/>
    <w:rsid w:val="00027064"/>
    <w:rsid w:val="0002706A"/>
    <w:rsid w:val="0002717A"/>
    <w:rsid w:val="00027224"/>
    <w:rsid w:val="00027474"/>
    <w:rsid w:val="00027590"/>
    <w:rsid w:val="00027B14"/>
    <w:rsid w:val="00027D38"/>
    <w:rsid w:val="00027DAD"/>
    <w:rsid w:val="0003032E"/>
    <w:rsid w:val="00030387"/>
    <w:rsid w:val="000303C3"/>
    <w:rsid w:val="00030416"/>
    <w:rsid w:val="000305D1"/>
    <w:rsid w:val="000306D1"/>
    <w:rsid w:val="000307CB"/>
    <w:rsid w:val="00030930"/>
    <w:rsid w:val="0003096C"/>
    <w:rsid w:val="00030D29"/>
    <w:rsid w:val="0003102F"/>
    <w:rsid w:val="000312DC"/>
    <w:rsid w:val="000316E8"/>
    <w:rsid w:val="000317A3"/>
    <w:rsid w:val="000318B3"/>
    <w:rsid w:val="000318D2"/>
    <w:rsid w:val="000319AA"/>
    <w:rsid w:val="00031A00"/>
    <w:rsid w:val="00031ACE"/>
    <w:rsid w:val="00031E6C"/>
    <w:rsid w:val="0003201F"/>
    <w:rsid w:val="0003202B"/>
    <w:rsid w:val="00032344"/>
    <w:rsid w:val="0003247A"/>
    <w:rsid w:val="00032527"/>
    <w:rsid w:val="00032619"/>
    <w:rsid w:val="00032818"/>
    <w:rsid w:val="000329E2"/>
    <w:rsid w:val="00032BBB"/>
    <w:rsid w:val="00032C71"/>
    <w:rsid w:val="0003301A"/>
    <w:rsid w:val="00033204"/>
    <w:rsid w:val="0003332F"/>
    <w:rsid w:val="000335F7"/>
    <w:rsid w:val="000337EC"/>
    <w:rsid w:val="00033A41"/>
    <w:rsid w:val="00033C8E"/>
    <w:rsid w:val="00033DAA"/>
    <w:rsid w:val="00033F3D"/>
    <w:rsid w:val="0003407F"/>
    <w:rsid w:val="0003415B"/>
    <w:rsid w:val="000344FD"/>
    <w:rsid w:val="00034588"/>
    <w:rsid w:val="00034633"/>
    <w:rsid w:val="000347C9"/>
    <w:rsid w:val="000349C1"/>
    <w:rsid w:val="00034A8C"/>
    <w:rsid w:val="00034B0E"/>
    <w:rsid w:val="00034B52"/>
    <w:rsid w:val="00034D74"/>
    <w:rsid w:val="00034E02"/>
    <w:rsid w:val="00034E9F"/>
    <w:rsid w:val="00034F23"/>
    <w:rsid w:val="000351C9"/>
    <w:rsid w:val="000351D5"/>
    <w:rsid w:val="000357C6"/>
    <w:rsid w:val="00035999"/>
    <w:rsid w:val="000359B1"/>
    <w:rsid w:val="00035AAB"/>
    <w:rsid w:val="00035B43"/>
    <w:rsid w:val="00035CD8"/>
    <w:rsid w:val="00035E0C"/>
    <w:rsid w:val="00035FAB"/>
    <w:rsid w:val="000360FB"/>
    <w:rsid w:val="0003622C"/>
    <w:rsid w:val="00036267"/>
    <w:rsid w:val="00036310"/>
    <w:rsid w:val="00036417"/>
    <w:rsid w:val="00036461"/>
    <w:rsid w:val="00036720"/>
    <w:rsid w:val="00036721"/>
    <w:rsid w:val="000367BE"/>
    <w:rsid w:val="0003684C"/>
    <w:rsid w:val="00036A39"/>
    <w:rsid w:val="00036AEC"/>
    <w:rsid w:val="00036D02"/>
    <w:rsid w:val="00036D85"/>
    <w:rsid w:val="00036FB7"/>
    <w:rsid w:val="000370AF"/>
    <w:rsid w:val="00037239"/>
    <w:rsid w:val="0003723B"/>
    <w:rsid w:val="00037299"/>
    <w:rsid w:val="00037357"/>
    <w:rsid w:val="000376BC"/>
    <w:rsid w:val="00037709"/>
    <w:rsid w:val="00037736"/>
    <w:rsid w:val="0003782D"/>
    <w:rsid w:val="0003783A"/>
    <w:rsid w:val="000378D0"/>
    <w:rsid w:val="0003791F"/>
    <w:rsid w:val="000379F6"/>
    <w:rsid w:val="00037D65"/>
    <w:rsid w:val="00037E12"/>
    <w:rsid w:val="00040018"/>
    <w:rsid w:val="00040051"/>
    <w:rsid w:val="00040166"/>
    <w:rsid w:val="00040210"/>
    <w:rsid w:val="00040628"/>
    <w:rsid w:val="00040643"/>
    <w:rsid w:val="000406A8"/>
    <w:rsid w:val="0004074D"/>
    <w:rsid w:val="00040A41"/>
    <w:rsid w:val="00040AC3"/>
    <w:rsid w:val="00040D81"/>
    <w:rsid w:val="00040F07"/>
    <w:rsid w:val="00041000"/>
    <w:rsid w:val="00041094"/>
    <w:rsid w:val="000411E2"/>
    <w:rsid w:val="0004134A"/>
    <w:rsid w:val="0004150D"/>
    <w:rsid w:val="000415A0"/>
    <w:rsid w:val="000416E4"/>
    <w:rsid w:val="000417D8"/>
    <w:rsid w:val="00041849"/>
    <w:rsid w:val="00041900"/>
    <w:rsid w:val="00041BC4"/>
    <w:rsid w:val="00041E9B"/>
    <w:rsid w:val="00041F23"/>
    <w:rsid w:val="000420E4"/>
    <w:rsid w:val="00042155"/>
    <w:rsid w:val="00042249"/>
    <w:rsid w:val="000425A4"/>
    <w:rsid w:val="000425B6"/>
    <w:rsid w:val="000426C8"/>
    <w:rsid w:val="00042D1F"/>
    <w:rsid w:val="00042E00"/>
    <w:rsid w:val="000430E7"/>
    <w:rsid w:val="000432CB"/>
    <w:rsid w:val="000433FF"/>
    <w:rsid w:val="000435A4"/>
    <w:rsid w:val="00043656"/>
    <w:rsid w:val="0004368C"/>
    <w:rsid w:val="000439C3"/>
    <w:rsid w:val="00043A2E"/>
    <w:rsid w:val="00043B1B"/>
    <w:rsid w:val="00043DD3"/>
    <w:rsid w:val="000441B9"/>
    <w:rsid w:val="0004440E"/>
    <w:rsid w:val="00044478"/>
    <w:rsid w:val="00044507"/>
    <w:rsid w:val="00044567"/>
    <w:rsid w:val="000445F8"/>
    <w:rsid w:val="00044611"/>
    <w:rsid w:val="0004490A"/>
    <w:rsid w:val="00044918"/>
    <w:rsid w:val="00044BE9"/>
    <w:rsid w:val="00044D82"/>
    <w:rsid w:val="00045304"/>
    <w:rsid w:val="000454DF"/>
    <w:rsid w:val="0004554F"/>
    <w:rsid w:val="00045618"/>
    <w:rsid w:val="000456A3"/>
    <w:rsid w:val="00045C31"/>
    <w:rsid w:val="00045C34"/>
    <w:rsid w:val="00045CDF"/>
    <w:rsid w:val="00045DE1"/>
    <w:rsid w:val="000461A6"/>
    <w:rsid w:val="000461FD"/>
    <w:rsid w:val="000462B6"/>
    <w:rsid w:val="000466C0"/>
    <w:rsid w:val="00046713"/>
    <w:rsid w:val="00046776"/>
    <w:rsid w:val="000467D3"/>
    <w:rsid w:val="000468DB"/>
    <w:rsid w:val="00046A17"/>
    <w:rsid w:val="00046C2A"/>
    <w:rsid w:val="00046CC4"/>
    <w:rsid w:val="00046F02"/>
    <w:rsid w:val="00046F2D"/>
    <w:rsid w:val="0004739C"/>
    <w:rsid w:val="00047471"/>
    <w:rsid w:val="000474B1"/>
    <w:rsid w:val="00047514"/>
    <w:rsid w:val="00047538"/>
    <w:rsid w:val="0004759D"/>
    <w:rsid w:val="0004761D"/>
    <w:rsid w:val="000477FB"/>
    <w:rsid w:val="00047BFC"/>
    <w:rsid w:val="00047CB5"/>
    <w:rsid w:val="00047F5F"/>
    <w:rsid w:val="00047F6A"/>
    <w:rsid w:val="0005027A"/>
    <w:rsid w:val="0005027D"/>
    <w:rsid w:val="000506F6"/>
    <w:rsid w:val="0005080E"/>
    <w:rsid w:val="000508E8"/>
    <w:rsid w:val="00050BDF"/>
    <w:rsid w:val="00050D30"/>
    <w:rsid w:val="0005111C"/>
    <w:rsid w:val="00051441"/>
    <w:rsid w:val="00051545"/>
    <w:rsid w:val="000515E2"/>
    <w:rsid w:val="00051784"/>
    <w:rsid w:val="00051892"/>
    <w:rsid w:val="00051916"/>
    <w:rsid w:val="0005197C"/>
    <w:rsid w:val="00051A06"/>
    <w:rsid w:val="00051B3C"/>
    <w:rsid w:val="00051CDF"/>
    <w:rsid w:val="00052094"/>
    <w:rsid w:val="00052445"/>
    <w:rsid w:val="00052503"/>
    <w:rsid w:val="0005295A"/>
    <w:rsid w:val="000529F1"/>
    <w:rsid w:val="00052A00"/>
    <w:rsid w:val="00052A73"/>
    <w:rsid w:val="00052E2F"/>
    <w:rsid w:val="00052E4D"/>
    <w:rsid w:val="00052F02"/>
    <w:rsid w:val="0005312C"/>
    <w:rsid w:val="000531A4"/>
    <w:rsid w:val="000535F4"/>
    <w:rsid w:val="000538C4"/>
    <w:rsid w:val="000538C7"/>
    <w:rsid w:val="000539C5"/>
    <w:rsid w:val="00053A02"/>
    <w:rsid w:val="00053B52"/>
    <w:rsid w:val="00053C2F"/>
    <w:rsid w:val="00053C32"/>
    <w:rsid w:val="00054120"/>
    <w:rsid w:val="0005426F"/>
    <w:rsid w:val="00054502"/>
    <w:rsid w:val="00054534"/>
    <w:rsid w:val="0005490F"/>
    <w:rsid w:val="00054AC1"/>
    <w:rsid w:val="00054BA1"/>
    <w:rsid w:val="00054C4B"/>
    <w:rsid w:val="000550F5"/>
    <w:rsid w:val="00055311"/>
    <w:rsid w:val="0005532E"/>
    <w:rsid w:val="00055627"/>
    <w:rsid w:val="00055684"/>
    <w:rsid w:val="0005568C"/>
    <w:rsid w:val="0005572E"/>
    <w:rsid w:val="000557FF"/>
    <w:rsid w:val="000559BE"/>
    <w:rsid w:val="00055A63"/>
    <w:rsid w:val="00055B97"/>
    <w:rsid w:val="00055CD8"/>
    <w:rsid w:val="00055DB0"/>
    <w:rsid w:val="00055E11"/>
    <w:rsid w:val="00055EC5"/>
    <w:rsid w:val="00055F30"/>
    <w:rsid w:val="00055F46"/>
    <w:rsid w:val="00056091"/>
    <w:rsid w:val="000560EC"/>
    <w:rsid w:val="00056268"/>
    <w:rsid w:val="0005628C"/>
    <w:rsid w:val="0005632B"/>
    <w:rsid w:val="000563FC"/>
    <w:rsid w:val="00056419"/>
    <w:rsid w:val="000568B5"/>
    <w:rsid w:val="0005713B"/>
    <w:rsid w:val="0005715C"/>
    <w:rsid w:val="00057311"/>
    <w:rsid w:val="00057465"/>
    <w:rsid w:val="000574B3"/>
    <w:rsid w:val="000578BD"/>
    <w:rsid w:val="00057923"/>
    <w:rsid w:val="000579E0"/>
    <w:rsid w:val="00057AC3"/>
    <w:rsid w:val="00057C1F"/>
    <w:rsid w:val="00057D64"/>
    <w:rsid w:val="00057D65"/>
    <w:rsid w:val="000601CE"/>
    <w:rsid w:val="000602C3"/>
    <w:rsid w:val="00060449"/>
    <w:rsid w:val="000604FF"/>
    <w:rsid w:val="00060891"/>
    <w:rsid w:val="00060911"/>
    <w:rsid w:val="00060A1E"/>
    <w:rsid w:val="00060EE3"/>
    <w:rsid w:val="00060F62"/>
    <w:rsid w:val="00060FA4"/>
    <w:rsid w:val="0006119A"/>
    <w:rsid w:val="0006120B"/>
    <w:rsid w:val="00061364"/>
    <w:rsid w:val="00061491"/>
    <w:rsid w:val="000615CE"/>
    <w:rsid w:val="00061745"/>
    <w:rsid w:val="000619D3"/>
    <w:rsid w:val="00061A61"/>
    <w:rsid w:val="00061B14"/>
    <w:rsid w:val="00061BB1"/>
    <w:rsid w:val="00061C04"/>
    <w:rsid w:val="00061D91"/>
    <w:rsid w:val="0006204C"/>
    <w:rsid w:val="000621A3"/>
    <w:rsid w:val="00062229"/>
    <w:rsid w:val="000624F4"/>
    <w:rsid w:val="00062651"/>
    <w:rsid w:val="0006270F"/>
    <w:rsid w:val="00062AEC"/>
    <w:rsid w:val="00062BBB"/>
    <w:rsid w:val="00062E1C"/>
    <w:rsid w:val="00062EE4"/>
    <w:rsid w:val="000631E5"/>
    <w:rsid w:val="000635B6"/>
    <w:rsid w:val="000635FE"/>
    <w:rsid w:val="0006383C"/>
    <w:rsid w:val="00063987"/>
    <w:rsid w:val="00063A5C"/>
    <w:rsid w:val="00063B57"/>
    <w:rsid w:val="00063DB3"/>
    <w:rsid w:val="00064006"/>
    <w:rsid w:val="00064BA3"/>
    <w:rsid w:val="00064BAF"/>
    <w:rsid w:val="00064CA9"/>
    <w:rsid w:val="00064E48"/>
    <w:rsid w:val="00064E9E"/>
    <w:rsid w:val="0006502E"/>
    <w:rsid w:val="0006503A"/>
    <w:rsid w:val="000653B1"/>
    <w:rsid w:val="00065402"/>
    <w:rsid w:val="00065432"/>
    <w:rsid w:val="0006545F"/>
    <w:rsid w:val="000654EF"/>
    <w:rsid w:val="00065617"/>
    <w:rsid w:val="0006587A"/>
    <w:rsid w:val="00065994"/>
    <w:rsid w:val="00066074"/>
    <w:rsid w:val="000661BB"/>
    <w:rsid w:val="0006620B"/>
    <w:rsid w:val="00066258"/>
    <w:rsid w:val="00066404"/>
    <w:rsid w:val="000665F3"/>
    <w:rsid w:val="00066696"/>
    <w:rsid w:val="0006676B"/>
    <w:rsid w:val="0006679F"/>
    <w:rsid w:val="000668AA"/>
    <w:rsid w:val="000668C8"/>
    <w:rsid w:val="00066A27"/>
    <w:rsid w:val="00066BAA"/>
    <w:rsid w:val="00066BCF"/>
    <w:rsid w:val="00066D45"/>
    <w:rsid w:val="0006710D"/>
    <w:rsid w:val="000671A2"/>
    <w:rsid w:val="000673D6"/>
    <w:rsid w:val="000674BF"/>
    <w:rsid w:val="000674DF"/>
    <w:rsid w:val="0006769B"/>
    <w:rsid w:val="000676AB"/>
    <w:rsid w:val="00067821"/>
    <w:rsid w:val="00067A7B"/>
    <w:rsid w:val="00067C61"/>
    <w:rsid w:val="00067D09"/>
    <w:rsid w:val="00067F0A"/>
    <w:rsid w:val="00070207"/>
    <w:rsid w:val="000702DD"/>
    <w:rsid w:val="000705C1"/>
    <w:rsid w:val="0007060A"/>
    <w:rsid w:val="0007063A"/>
    <w:rsid w:val="0007067C"/>
    <w:rsid w:val="00070789"/>
    <w:rsid w:val="0007099C"/>
    <w:rsid w:val="00070A3D"/>
    <w:rsid w:val="00070D40"/>
    <w:rsid w:val="00070D97"/>
    <w:rsid w:val="00070E17"/>
    <w:rsid w:val="00070F88"/>
    <w:rsid w:val="00070F96"/>
    <w:rsid w:val="00071079"/>
    <w:rsid w:val="00071094"/>
    <w:rsid w:val="0007122C"/>
    <w:rsid w:val="000714EC"/>
    <w:rsid w:val="00071577"/>
    <w:rsid w:val="000715C5"/>
    <w:rsid w:val="00071748"/>
    <w:rsid w:val="0007178A"/>
    <w:rsid w:val="00071871"/>
    <w:rsid w:val="000718E7"/>
    <w:rsid w:val="00071EBD"/>
    <w:rsid w:val="00071F0F"/>
    <w:rsid w:val="0007205B"/>
    <w:rsid w:val="000721DA"/>
    <w:rsid w:val="00072733"/>
    <w:rsid w:val="0007278C"/>
    <w:rsid w:val="000727C0"/>
    <w:rsid w:val="0007298E"/>
    <w:rsid w:val="00072A0B"/>
    <w:rsid w:val="00072A0F"/>
    <w:rsid w:val="00072CA9"/>
    <w:rsid w:val="00073182"/>
    <w:rsid w:val="000732FF"/>
    <w:rsid w:val="0007338E"/>
    <w:rsid w:val="000733A3"/>
    <w:rsid w:val="000733DE"/>
    <w:rsid w:val="00073652"/>
    <w:rsid w:val="00073735"/>
    <w:rsid w:val="00073A60"/>
    <w:rsid w:val="00073A89"/>
    <w:rsid w:val="00073B95"/>
    <w:rsid w:val="00073B98"/>
    <w:rsid w:val="00073C95"/>
    <w:rsid w:val="00073CAB"/>
    <w:rsid w:val="00073CE6"/>
    <w:rsid w:val="00073D2A"/>
    <w:rsid w:val="00073E9B"/>
    <w:rsid w:val="000744AE"/>
    <w:rsid w:val="00074596"/>
    <w:rsid w:val="000746F1"/>
    <w:rsid w:val="000748C8"/>
    <w:rsid w:val="000749FA"/>
    <w:rsid w:val="00074A11"/>
    <w:rsid w:val="00074C6F"/>
    <w:rsid w:val="00074F70"/>
    <w:rsid w:val="000750B9"/>
    <w:rsid w:val="00075198"/>
    <w:rsid w:val="000751B9"/>
    <w:rsid w:val="00075434"/>
    <w:rsid w:val="0007554C"/>
    <w:rsid w:val="000757FC"/>
    <w:rsid w:val="000759A7"/>
    <w:rsid w:val="00075C17"/>
    <w:rsid w:val="00075CC3"/>
    <w:rsid w:val="00075E6B"/>
    <w:rsid w:val="00075F0D"/>
    <w:rsid w:val="000760AD"/>
    <w:rsid w:val="000760FD"/>
    <w:rsid w:val="00076289"/>
    <w:rsid w:val="0007642E"/>
    <w:rsid w:val="0007666E"/>
    <w:rsid w:val="00076CB8"/>
    <w:rsid w:val="00076D2B"/>
    <w:rsid w:val="00076E84"/>
    <w:rsid w:val="00077210"/>
    <w:rsid w:val="0007735D"/>
    <w:rsid w:val="000775DA"/>
    <w:rsid w:val="00077612"/>
    <w:rsid w:val="000776A3"/>
    <w:rsid w:val="00077769"/>
    <w:rsid w:val="000778C4"/>
    <w:rsid w:val="0007795F"/>
    <w:rsid w:val="00077B80"/>
    <w:rsid w:val="00077BEF"/>
    <w:rsid w:val="00077E4F"/>
    <w:rsid w:val="0007A753"/>
    <w:rsid w:val="00080147"/>
    <w:rsid w:val="0008016F"/>
    <w:rsid w:val="000804A2"/>
    <w:rsid w:val="00080603"/>
    <w:rsid w:val="0008061A"/>
    <w:rsid w:val="000808AA"/>
    <w:rsid w:val="000808B4"/>
    <w:rsid w:val="00080B8B"/>
    <w:rsid w:val="00080CAB"/>
    <w:rsid w:val="00080D9F"/>
    <w:rsid w:val="00080F66"/>
    <w:rsid w:val="00081025"/>
    <w:rsid w:val="0008112B"/>
    <w:rsid w:val="0008116D"/>
    <w:rsid w:val="0008137A"/>
    <w:rsid w:val="0008146E"/>
    <w:rsid w:val="000815DC"/>
    <w:rsid w:val="0008170C"/>
    <w:rsid w:val="00081797"/>
    <w:rsid w:val="000817BC"/>
    <w:rsid w:val="00081856"/>
    <w:rsid w:val="00081AB3"/>
    <w:rsid w:val="00081C18"/>
    <w:rsid w:val="00081DEA"/>
    <w:rsid w:val="00082153"/>
    <w:rsid w:val="000821E7"/>
    <w:rsid w:val="00082224"/>
    <w:rsid w:val="00082455"/>
    <w:rsid w:val="000824BD"/>
    <w:rsid w:val="0008277F"/>
    <w:rsid w:val="00082898"/>
    <w:rsid w:val="000829A5"/>
    <w:rsid w:val="00082AD6"/>
    <w:rsid w:val="00082D4D"/>
    <w:rsid w:val="00082E46"/>
    <w:rsid w:val="00083035"/>
    <w:rsid w:val="000831EE"/>
    <w:rsid w:val="000833FE"/>
    <w:rsid w:val="00083571"/>
    <w:rsid w:val="00083834"/>
    <w:rsid w:val="00083874"/>
    <w:rsid w:val="000838E8"/>
    <w:rsid w:val="00083AA1"/>
    <w:rsid w:val="00083AC3"/>
    <w:rsid w:val="00083B82"/>
    <w:rsid w:val="00083C0F"/>
    <w:rsid w:val="00083C11"/>
    <w:rsid w:val="00083C52"/>
    <w:rsid w:val="00083C92"/>
    <w:rsid w:val="00083D16"/>
    <w:rsid w:val="00083DE1"/>
    <w:rsid w:val="0008400B"/>
    <w:rsid w:val="00084056"/>
    <w:rsid w:val="000841EF"/>
    <w:rsid w:val="00084235"/>
    <w:rsid w:val="0008426F"/>
    <w:rsid w:val="000846FF"/>
    <w:rsid w:val="00084777"/>
    <w:rsid w:val="0008499B"/>
    <w:rsid w:val="00084C0E"/>
    <w:rsid w:val="00084C5B"/>
    <w:rsid w:val="000853A4"/>
    <w:rsid w:val="000856B8"/>
    <w:rsid w:val="0008578A"/>
    <w:rsid w:val="00085988"/>
    <w:rsid w:val="00085B3B"/>
    <w:rsid w:val="00085B4C"/>
    <w:rsid w:val="00085B91"/>
    <w:rsid w:val="00085C80"/>
    <w:rsid w:val="00085E05"/>
    <w:rsid w:val="00085FA0"/>
    <w:rsid w:val="0008601D"/>
    <w:rsid w:val="00086193"/>
    <w:rsid w:val="0008658D"/>
    <w:rsid w:val="000865F2"/>
    <w:rsid w:val="000866EC"/>
    <w:rsid w:val="00086735"/>
    <w:rsid w:val="000867F4"/>
    <w:rsid w:val="0008680C"/>
    <w:rsid w:val="00086978"/>
    <w:rsid w:val="00086A54"/>
    <w:rsid w:val="00086ABC"/>
    <w:rsid w:val="00086BC5"/>
    <w:rsid w:val="00086DB8"/>
    <w:rsid w:val="00086DD0"/>
    <w:rsid w:val="00087059"/>
    <w:rsid w:val="00087141"/>
    <w:rsid w:val="00087448"/>
    <w:rsid w:val="0008758F"/>
    <w:rsid w:val="00087AB3"/>
    <w:rsid w:val="00087B0D"/>
    <w:rsid w:val="00087BF2"/>
    <w:rsid w:val="00087CCA"/>
    <w:rsid w:val="00087DB4"/>
    <w:rsid w:val="00087E28"/>
    <w:rsid w:val="00087F75"/>
    <w:rsid w:val="0009000B"/>
    <w:rsid w:val="00090053"/>
    <w:rsid w:val="00090190"/>
    <w:rsid w:val="000902DF"/>
    <w:rsid w:val="00090329"/>
    <w:rsid w:val="00090367"/>
    <w:rsid w:val="000903E5"/>
    <w:rsid w:val="0009049E"/>
    <w:rsid w:val="000905F4"/>
    <w:rsid w:val="000907C1"/>
    <w:rsid w:val="00090AA8"/>
    <w:rsid w:val="00090C4F"/>
    <w:rsid w:val="00090CA8"/>
    <w:rsid w:val="00090D6F"/>
    <w:rsid w:val="00090F28"/>
    <w:rsid w:val="00090F3D"/>
    <w:rsid w:val="000910B6"/>
    <w:rsid w:val="0009110B"/>
    <w:rsid w:val="0009111C"/>
    <w:rsid w:val="00091142"/>
    <w:rsid w:val="0009137F"/>
    <w:rsid w:val="00091416"/>
    <w:rsid w:val="0009171C"/>
    <w:rsid w:val="00091AF3"/>
    <w:rsid w:val="00091D52"/>
    <w:rsid w:val="00091FC8"/>
    <w:rsid w:val="000920A1"/>
    <w:rsid w:val="00092350"/>
    <w:rsid w:val="00092459"/>
    <w:rsid w:val="00092479"/>
    <w:rsid w:val="00092595"/>
    <w:rsid w:val="00092868"/>
    <w:rsid w:val="00092AB5"/>
    <w:rsid w:val="00092E24"/>
    <w:rsid w:val="00093111"/>
    <w:rsid w:val="00093671"/>
    <w:rsid w:val="0009375A"/>
    <w:rsid w:val="00093888"/>
    <w:rsid w:val="00093889"/>
    <w:rsid w:val="0009393D"/>
    <w:rsid w:val="00093A63"/>
    <w:rsid w:val="00093A9A"/>
    <w:rsid w:val="00093CAA"/>
    <w:rsid w:val="00093F60"/>
    <w:rsid w:val="0009410A"/>
    <w:rsid w:val="000943A3"/>
    <w:rsid w:val="000943BE"/>
    <w:rsid w:val="0009453E"/>
    <w:rsid w:val="000946B5"/>
    <w:rsid w:val="00094792"/>
    <w:rsid w:val="00094990"/>
    <w:rsid w:val="000949DA"/>
    <w:rsid w:val="00094A6B"/>
    <w:rsid w:val="00094A9B"/>
    <w:rsid w:val="00094B67"/>
    <w:rsid w:val="00094BAF"/>
    <w:rsid w:val="00094C72"/>
    <w:rsid w:val="00094DCC"/>
    <w:rsid w:val="000951A2"/>
    <w:rsid w:val="00095325"/>
    <w:rsid w:val="00095344"/>
    <w:rsid w:val="000953C6"/>
    <w:rsid w:val="000955BF"/>
    <w:rsid w:val="0009569F"/>
    <w:rsid w:val="000958BB"/>
    <w:rsid w:val="00095934"/>
    <w:rsid w:val="00095D02"/>
    <w:rsid w:val="00095D1E"/>
    <w:rsid w:val="00095DB9"/>
    <w:rsid w:val="00095F5C"/>
    <w:rsid w:val="00095F98"/>
    <w:rsid w:val="000960A4"/>
    <w:rsid w:val="000961CD"/>
    <w:rsid w:val="000962B3"/>
    <w:rsid w:val="000962FC"/>
    <w:rsid w:val="000964BD"/>
    <w:rsid w:val="00096745"/>
    <w:rsid w:val="000967D5"/>
    <w:rsid w:val="0009685D"/>
    <w:rsid w:val="00096949"/>
    <w:rsid w:val="0009694C"/>
    <w:rsid w:val="00096B40"/>
    <w:rsid w:val="00096CC0"/>
    <w:rsid w:val="00096D0A"/>
    <w:rsid w:val="00096E39"/>
    <w:rsid w:val="00096E57"/>
    <w:rsid w:val="00096FA6"/>
    <w:rsid w:val="000970E3"/>
    <w:rsid w:val="00097198"/>
    <w:rsid w:val="000971AA"/>
    <w:rsid w:val="00097216"/>
    <w:rsid w:val="0009726E"/>
    <w:rsid w:val="0009751C"/>
    <w:rsid w:val="000975C9"/>
    <w:rsid w:val="000975FB"/>
    <w:rsid w:val="00097619"/>
    <w:rsid w:val="000976FC"/>
    <w:rsid w:val="00097746"/>
    <w:rsid w:val="00097766"/>
    <w:rsid w:val="0009780C"/>
    <w:rsid w:val="00097884"/>
    <w:rsid w:val="000979D0"/>
    <w:rsid w:val="000979D2"/>
    <w:rsid w:val="00097AFD"/>
    <w:rsid w:val="00097D98"/>
    <w:rsid w:val="00097DFE"/>
    <w:rsid w:val="000A034C"/>
    <w:rsid w:val="000A0391"/>
    <w:rsid w:val="000A0520"/>
    <w:rsid w:val="000A0607"/>
    <w:rsid w:val="000A089C"/>
    <w:rsid w:val="000A08AB"/>
    <w:rsid w:val="000A0945"/>
    <w:rsid w:val="000A0B62"/>
    <w:rsid w:val="000A0BC4"/>
    <w:rsid w:val="000A0C50"/>
    <w:rsid w:val="000A0C9B"/>
    <w:rsid w:val="000A0DFB"/>
    <w:rsid w:val="000A0F5D"/>
    <w:rsid w:val="000A0F76"/>
    <w:rsid w:val="000A1011"/>
    <w:rsid w:val="000A1225"/>
    <w:rsid w:val="000A1413"/>
    <w:rsid w:val="000A142D"/>
    <w:rsid w:val="000A14DF"/>
    <w:rsid w:val="000A178B"/>
    <w:rsid w:val="000A1960"/>
    <w:rsid w:val="000A1A29"/>
    <w:rsid w:val="000A1B43"/>
    <w:rsid w:val="000A1B47"/>
    <w:rsid w:val="000A1BFB"/>
    <w:rsid w:val="000A1D3B"/>
    <w:rsid w:val="000A1E30"/>
    <w:rsid w:val="000A1E6C"/>
    <w:rsid w:val="000A2051"/>
    <w:rsid w:val="000A2063"/>
    <w:rsid w:val="000A21D6"/>
    <w:rsid w:val="000A238E"/>
    <w:rsid w:val="000A23D6"/>
    <w:rsid w:val="000A24E1"/>
    <w:rsid w:val="000A27AE"/>
    <w:rsid w:val="000A2905"/>
    <w:rsid w:val="000A2A65"/>
    <w:rsid w:val="000A2CA6"/>
    <w:rsid w:val="000A2D17"/>
    <w:rsid w:val="000A2D97"/>
    <w:rsid w:val="000A2E93"/>
    <w:rsid w:val="000A2F67"/>
    <w:rsid w:val="000A2F6C"/>
    <w:rsid w:val="000A2F89"/>
    <w:rsid w:val="000A32D9"/>
    <w:rsid w:val="000A32E0"/>
    <w:rsid w:val="000A348C"/>
    <w:rsid w:val="000A3613"/>
    <w:rsid w:val="000A362A"/>
    <w:rsid w:val="000A3637"/>
    <w:rsid w:val="000A371B"/>
    <w:rsid w:val="000A3A9B"/>
    <w:rsid w:val="000A3AD4"/>
    <w:rsid w:val="000A3D49"/>
    <w:rsid w:val="000A3E61"/>
    <w:rsid w:val="000A4000"/>
    <w:rsid w:val="000A40A7"/>
    <w:rsid w:val="000A40FE"/>
    <w:rsid w:val="000A43DC"/>
    <w:rsid w:val="000A4466"/>
    <w:rsid w:val="000A4494"/>
    <w:rsid w:val="000A44F2"/>
    <w:rsid w:val="000A45A4"/>
    <w:rsid w:val="000A48A3"/>
    <w:rsid w:val="000A4E28"/>
    <w:rsid w:val="000A4F3F"/>
    <w:rsid w:val="000A4FC3"/>
    <w:rsid w:val="000A509A"/>
    <w:rsid w:val="000A5155"/>
    <w:rsid w:val="000A528C"/>
    <w:rsid w:val="000A549E"/>
    <w:rsid w:val="000A5501"/>
    <w:rsid w:val="000A55AA"/>
    <w:rsid w:val="000A560B"/>
    <w:rsid w:val="000A5626"/>
    <w:rsid w:val="000A5AEE"/>
    <w:rsid w:val="000A5CB2"/>
    <w:rsid w:val="000A5EBF"/>
    <w:rsid w:val="000A5FC8"/>
    <w:rsid w:val="000A62B6"/>
    <w:rsid w:val="000A64DE"/>
    <w:rsid w:val="000A675E"/>
    <w:rsid w:val="000A6865"/>
    <w:rsid w:val="000A6969"/>
    <w:rsid w:val="000A6A90"/>
    <w:rsid w:val="000A6CAB"/>
    <w:rsid w:val="000A6E1D"/>
    <w:rsid w:val="000A6E41"/>
    <w:rsid w:val="000A6E79"/>
    <w:rsid w:val="000A70B7"/>
    <w:rsid w:val="000A74AA"/>
    <w:rsid w:val="000A74C3"/>
    <w:rsid w:val="000A74C5"/>
    <w:rsid w:val="000A750F"/>
    <w:rsid w:val="000A75DE"/>
    <w:rsid w:val="000A77C6"/>
    <w:rsid w:val="000A7881"/>
    <w:rsid w:val="000A79EF"/>
    <w:rsid w:val="000A7A73"/>
    <w:rsid w:val="000A7C85"/>
    <w:rsid w:val="000A7E75"/>
    <w:rsid w:val="000B00BA"/>
    <w:rsid w:val="000B020D"/>
    <w:rsid w:val="000B0339"/>
    <w:rsid w:val="000B0452"/>
    <w:rsid w:val="000B0540"/>
    <w:rsid w:val="000B0B03"/>
    <w:rsid w:val="000B0B6B"/>
    <w:rsid w:val="000B0DBC"/>
    <w:rsid w:val="000B0F5C"/>
    <w:rsid w:val="000B10A7"/>
    <w:rsid w:val="000B111D"/>
    <w:rsid w:val="000B11D8"/>
    <w:rsid w:val="000B121B"/>
    <w:rsid w:val="000B1261"/>
    <w:rsid w:val="000B14AC"/>
    <w:rsid w:val="000B16E8"/>
    <w:rsid w:val="000B1890"/>
    <w:rsid w:val="000B1985"/>
    <w:rsid w:val="000B1A66"/>
    <w:rsid w:val="000B1B53"/>
    <w:rsid w:val="000B1BBE"/>
    <w:rsid w:val="000B1DD2"/>
    <w:rsid w:val="000B2062"/>
    <w:rsid w:val="000B2089"/>
    <w:rsid w:val="000B2361"/>
    <w:rsid w:val="000B26A1"/>
    <w:rsid w:val="000B2767"/>
    <w:rsid w:val="000B2799"/>
    <w:rsid w:val="000B2936"/>
    <w:rsid w:val="000B2A70"/>
    <w:rsid w:val="000B2A99"/>
    <w:rsid w:val="000B2CB9"/>
    <w:rsid w:val="000B2CC9"/>
    <w:rsid w:val="000B2D58"/>
    <w:rsid w:val="000B2E0C"/>
    <w:rsid w:val="000B331A"/>
    <w:rsid w:val="000B3344"/>
    <w:rsid w:val="000B3454"/>
    <w:rsid w:val="000B35EB"/>
    <w:rsid w:val="000B36F5"/>
    <w:rsid w:val="000B3DD7"/>
    <w:rsid w:val="000B3ED7"/>
    <w:rsid w:val="000B3F3C"/>
    <w:rsid w:val="000B3F78"/>
    <w:rsid w:val="000B4184"/>
    <w:rsid w:val="000B4247"/>
    <w:rsid w:val="000B4787"/>
    <w:rsid w:val="000B47D7"/>
    <w:rsid w:val="000B481E"/>
    <w:rsid w:val="000B4AD6"/>
    <w:rsid w:val="000B4B70"/>
    <w:rsid w:val="000B4C6B"/>
    <w:rsid w:val="000B4DEE"/>
    <w:rsid w:val="000B4EDE"/>
    <w:rsid w:val="000B516F"/>
    <w:rsid w:val="000B5285"/>
    <w:rsid w:val="000B54F6"/>
    <w:rsid w:val="000B591B"/>
    <w:rsid w:val="000B5947"/>
    <w:rsid w:val="000B597D"/>
    <w:rsid w:val="000B59FA"/>
    <w:rsid w:val="000B5C75"/>
    <w:rsid w:val="000B5F50"/>
    <w:rsid w:val="000B6022"/>
    <w:rsid w:val="000B61E2"/>
    <w:rsid w:val="000B621C"/>
    <w:rsid w:val="000B6282"/>
    <w:rsid w:val="000B63FD"/>
    <w:rsid w:val="000B6415"/>
    <w:rsid w:val="000B6429"/>
    <w:rsid w:val="000B653A"/>
    <w:rsid w:val="000B6549"/>
    <w:rsid w:val="000B66C1"/>
    <w:rsid w:val="000B6723"/>
    <w:rsid w:val="000B68F5"/>
    <w:rsid w:val="000B69CB"/>
    <w:rsid w:val="000B6D78"/>
    <w:rsid w:val="000B6E5D"/>
    <w:rsid w:val="000B6EB0"/>
    <w:rsid w:val="000B7384"/>
    <w:rsid w:val="000B7404"/>
    <w:rsid w:val="000B766F"/>
    <w:rsid w:val="000B782E"/>
    <w:rsid w:val="000B79A1"/>
    <w:rsid w:val="000B7B01"/>
    <w:rsid w:val="000B7DF1"/>
    <w:rsid w:val="000B7DFB"/>
    <w:rsid w:val="000C0254"/>
    <w:rsid w:val="000C04C3"/>
    <w:rsid w:val="000C07E8"/>
    <w:rsid w:val="000C09E4"/>
    <w:rsid w:val="000C0BE2"/>
    <w:rsid w:val="000C0C8E"/>
    <w:rsid w:val="000C0D5D"/>
    <w:rsid w:val="000C0EB4"/>
    <w:rsid w:val="000C0FBC"/>
    <w:rsid w:val="000C10EF"/>
    <w:rsid w:val="000C12B5"/>
    <w:rsid w:val="000C141F"/>
    <w:rsid w:val="000C1597"/>
    <w:rsid w:val="000C17D8"/>
    <w:rsid w:val="000C1851"/>
    <w:rsid w:val="000C18F4"/>
    <w:rsid w:val="000C1B9A"/>
    <w:rsid w:val="000C1C0C"/>
    <w:rsid w:val="000C1E06"/>
    <w:rsid w:val="000C250B"/>
    <w:rsid w:val="000C25E0"/>
    <w:rsid w:val="000C25E7"/>
    <w:rsid w:val="000C266E"/>
    <w:rsid w:val="000C2734"/>
    <w:rsid w:val="000C2891"/>
    <w:rsid w:val="000C296D"/>
    <w:rsid w:val="000C29F9"/>
    <w:rsid w:val="000C2E44"/>
    <w:rsid w:val="000C2E63"/>
    <w:rsid w:val="000C2E90"/>
    <w:rsid w:val="000C2F1F"/>
    <w:rsid w:val="000C3084"/>
    <w:rsid w:val="000C3112"/>
    <w:rsid w:val="000C3173"/>
    <w:rsid w:val="000C3220"/>
    <w:rsid w:val="000C3B0A"/>
    <w:rsid w:val="000C3D39"/>
    <w:rsid w:val="000C3D88"/>
    <w:rsid w:val="000C3F30"/>
    <w:rsid w:val="000C40E7"/>
    <w:rsid w:val="000C4171"/>
    <w:rsid w:val="000C4284"/>
    <w:rsid w:val="000C45E8"/>
    <w:rsid w:val="000C48E6"/>
    <w:rsid w:val="000C4CF6"/>
    <w:rsid w:val="000C4EEF"/>
    <w:rsid w:val="000C50E2"/>
    <w:rsid w:val="000C523A"/>
    <w:rsid w:val="000C5346"/>
    <w:rsid w:val="000C5355"/>
    <w:rsid w:val="000C53E2"/>
    <w:rsid w:val="000C541E"/>
    <w:rsid w:val="000C5467"/>
    <w:rsid w:val="000C5674"/>
    <w:rsid w:val="000C58DE"/>
    <w:rsid w:val="000C594B"/>
    <w:rsid w:val="000C5BF3"/>
    <w:rsid w:val="000C5F24"/>
    <w:rsid w:val="000C60D7"/>
    <w:rsid w:val="000C6262"/>
    <w:rsid w:val="000C6286"/>
    <w:rsid w:val="000C639B"/>
    <w:rsid w:val="000C6546"/>
    <w:rsid w:val="000C66DE"/>
    <w:rsid w:val="000C681B"/>
    <w:rsid w:val="000C6832"/>
    <w:rsid w:val="000C68E9"/>
    <w:rsid w:val="000C6C02"/>
    <w:rsid w:val="000C6C39"/>
    <w:rsid w:val="000C6D2D"/>
    <w:rsid w:val="000C6DDE"/>
    <w:rsid w:val="000C6E80"/>
    <w:rsid w:val="000C7117"/>
    <w:rsid w:val="000C71E8"/>
    <w:rsid w:val="000C7434"/>
    <w:rsid w:val="000C766B"/>
    <w:rsid w:val="000C797B"/>
    <w:rsid w:val="000C7B84"/>
    <w:rsid w:val="000C7F95"/>
    <w:rsid w:val="000C9143"/>
    <w:rsid w:val="000D0110"/>
    <w:rsid w:val="000D03EB"/>
    <w:rsid w:val="000D05D9"/>
    <w:rsid w:val="000D0AB9"/>
    <w:rsid w:val="000D0C90"/>
    <w:rsid w:val="000D0CF0"/>
    <w:rsid w:val="000D0E2C"/>
    <w:rsid w:val="000D0E33"/>
    <w:rsid w:val="000D0E5E"/>
    <w:rsid w:val="000D0E64"/>
    <w:rsid w:val="000D0E6E"/>
    <w:rsid w:val="000D0FC5"/>
    <w:rsid w:val="000D12DC"/>
    <w:rsid w:val="000D1425"/>
    <w:rsid w:val="000D1805"/>
    <w:rsid w:val="000D18BE"/>
    <w:rsid w:val="000D1A3C"/>
    <w:rsid w:val="000D1A97"/>
    <w:rsid w:val="000D1DC4"/>
    <w:rsid w:val="000D1E53"/>
    <w:rsid w:val="000D1EBF"/>
    <w:rsid w:val="000D1F65"/>
    <w:rsid w:val="000D1FEC"/>
    <w:rsid w:val="000D20EF"/>
    <w:rsid w:val="000D219C"/>
    <w:rsid w:val="000D22CA"/>
    <w:rsid w:val="000D2318"/>
    <w:rsid w:val="000D235D"/>
    <w:rsid w:val="000D24C1"/>
    <w:rsid w:val="000D25C5"/>
    <w:rsid w:val="000D276B"/>
    <w:rsid w:val="000D2771"/>
    <w:rsid w:val="000D2958"/>
    <w:rsid w:val="000D3038"/>
    <w:rsid w:val="000D3173"/>
    <w:rsid w:val="000D32C5"/>
    <w:rsid w:val="000D33D9"/>
    <w:rsid w:val="000D3519"/>
    <w:rsid w:val="000D3556"/>
    <w:rsid w:val="000D36A9"/>
    <w:rsid w:val="000D3771"/>
    <w:rsid w:val="000D39D4"/>
    <w:rsid w:val="000D39EF"/>
    <w:rsid w:val="000D3BC5"/>
    <w:rsid w:val="000D3BE3"/>
    <w:rsid w:val="000D3C55"/>
    <w:rsid w:val="000D3CAB"/>
    <w:rsid w:val="000D3CED"/>
    <w:rsid w:val="000D3D04"/>
    <w:rsid w:val="000D3D06"/>
    <w:rsid w:val="000D3D69"/>
    <w:rsid w:val="000D3F06"/>
    <w:rsid w:val="000D4177"/>
    <w:rsid w:val="000D42F9"/>
    <w:rsid w:val="000D4364"/>
    <w:rsid w:val="000D43B9"/>
    <w:rsid w:val="000D44B8"/>
    <w:rsid w:val="000D450C"/>
    <w:rsid w:val="000D45C3"/>
    <w:rsid w:val="000D4612"/>
    <w:rsid w:val="000D46C3"/>
    <w:rsid w:val="000D4905"/>
    <w:rsid w:val="000D4BAF"/>
    <w:rsid w:val="000D4C8A"/>
    <w:rsid w:val="000D4F90"/>
    <w:rsid w:val="000D5030"/>
    <w:rsid w:val="000D514A"/>
    <w:rsid w:val="000D551F"/>
    <w:rsid w:val="000D5653"/>
    <w:rsid w:val="000D5BF0"/>
    <w:rsid w:val="000D5DFA"/>
    <w:rsid w:val="000D5E21"/>
    <w:rsid w:val="000D6040"/>
    <w:rsid w:val="000D6049"/>
    <w:rsid w:val="000D606E"/>
    <w:rsid w:val="000D6083"/>
    <w:rsid w:val="000D60DA"/>
    <w:rsid w:val="000D635A"/>
    <w:rsid w:val="000D6920"/>
    <w:rsid w:val="000D6C06"/>
    <w:rsid w:val="000D7033"/>
    <w:rsid w:val="000D70A7"/>
    <w:rsid w:val="000D71C1"/>
    <w:rsid w:val="000D720B"/>
    <w:rsid w:val="000D7224"/>
    <w:rsid w:val="000D7419"/>
    <w:rsid w:val="000D7427"/>
    <w:rsid w:val="000D74AD"/>
    <w:rsid w:val="000D759D"/>
    <w:rsid w:val="000D79BA"/>
    <w:rsid w:val="000D7A85"/>
    <w:rsid w:val="000D7D5A"/>
    <w:rsid w:val="000D7E5D"/>
    <w:rsid w:val="000D7F26"/>
    <w:rsid w:val="000E0208"/>
    <w:rsid w:val="000E02E4"/>
    <w:rsid w:val="000E03FD"/>
    <w:rsid w:val="000E0498"/>
    <w:rsid w:val="000E0525"/>
    <w:rsid w:val="000E0586"/>
    <w:rsid w:val="000E08C7"/>
    <w:rsid w:val="000E0CA5"/>
    <w:rsid w:val="000E0E5C"/>
    <w:rsid w:val="000E0EBE"/>
    <w:rsid w:val="000E143A"/>
    <w:rsid w:val="000E1490"/>
    <w:rsid w:val="000E152B"/>
    <w:rsid w:val="000E1913"/>
    <w:rsid w:val="000E1ADE"/>
    <w:rsid w:val="000E1B9A"/>
    <w:rsid w:val="000E1C59"/>
    <w:rsid w:val="000E1F12"/>
    <w:rsid w:val="000E208A"/>
    <w:rsid w:val="000E2120"/>
    <w:rsid w:val="000E2358"/>
    <w:rsid w:val="000E2482"/>
    <w:rsid w:val="000E249B"/>
    <w:rsid w:val="000E25C5"/>
    <w:rsid w:val="000E2785"/>
    <w:rsid w:val="000E27B9"/>
    <w:rsid w:val="000E27C3"/>
    <w:rsid w:val="000E2822"/>
    <w:rsid w:val="000E2852"/>
    <w:rsid w:val="000E2A86"/>
    <w:rsid w:val="000E2D46"/>
    <w:rsid w:val="000E2DF4"/>
    <w:rsid w:val="000E2E80"/>
    <w:rsid w:val="000E300E"/>
    <w:rsid w:val="000E3082"/>
    <w:rsid w:val="000E3136"/>
    <w:rsid w:val="000E32F4"/>
    <w:rsid w:val="000E364A"/>
    <w:rsid w:val="000E371E"/>
    <w:rsid w:val="000E3732"/>
    <w:rsid w:val="000E3946"/>
    <w:rsid w:val="000E3981"/>
    <w:rsid w:val="000E39EE"/>
    <w:rsid w:val="000E3B00"/>
    <w:rsid w:val="000E3B8F"/>
    <w:rsid w:val="000E3BAD"/>
    <w:rsid w:val="000E3D65"/>
    <w:rsid w:val="000E3DA0"/>
    <w:rsid w:val="000E3DCD"/>
    <w:rsid w:val="000E4071"/>
    <w:rsid w:val="000E4378"/>
    <w:rsid w:val="000E43BA"/>
    <w:rsid w:val="000E43C7"/>
    <w:rsid w:val="000E46A0"/>
    <w:rsid w:val="000E4713"/>
    <w:rsid w:val="000E483D"/>
    <w:rsid w:val="000E4840"/>
    <w:rsid w:val="000E4CED"/>
    <w:rsid w:val="000E4E62"/>
    <w:rsid w:val="000E5095"/>
    <w:rsid w:val="000E50BA"/>
    <w:rsid w:val="000E540D"/>
    <w:rsid w:val="000E5545"/>
    <w:rsid w:val="000E5620"/>
    <w:rsid w:val="000E568D"/>
    <w:rsid w:val="000E594A"/>
    <w:rsid w:val="000E59F2"/>
    <w:rsid w:val="000E5B23"/>
    <w:rsid w:val="000E5CB2"/>
    <w:rsid w:val="000E630A"/>
    <w:rsid w:val="000E63F5"/>
    <w:rsid w:val="000E64B4"/>
    <w:rsid w:val="000E6576"/>
    <w:rsid w:val="000E66D2"/>
    <w:rsid w:val="000E67C7"/>
    <w:rsid w:val="000E67F0"/>
    <w:rsid w:val="000E6B61"/>
    <w:rsid w:val="000E6D21"/>
    <w:rsid w:val="000E6D55"/>
    <w:rsid w:val="000E6E68"/>
    <w:rsid w:val="000E6FB7"/>
    <w:rsid w:val="000E71B0"/>
    <w:rsid w:val="000E7612"/>
    <w:rsid w:val="000E765D"/>
    <w:rsid w:val="000E77B8"/>
    <w:rsid w:val="000E7962"/>
    <w:rsid w:val="000E7ACA"/>
    <w:rsid w:val="000E7B20"/>
    <w:rsid w:val="000E7C01"/>
    <w:rsid w:val="000E7C1E"/>
    <w:rsid w:val="000E7D51"/>
    <w:rsid w:val="000E7D7D"/>
    <w:rsid w:val="000F01A5"/>
    <w:rsid w:val="000F01D0"/>
    <w:rsid w:val="000F037B"/>
    <w:rsid w:val="000F038B"/>
    <w:rsid w:val="000F039D"/>
    <w:rsid w:val="000F03D8"/>
    <w:rsid w:val="000F04F6"/>
    <w:rsid w:val="000F0525"/>
    <w:rsid w:val="000F078C"/>
    <w:rsid w:val="000F0816"/>
    <w:rsid w:val="000F0ABC"/>
    <w:rsid w:val="000F0C58"/>
    <w:rsid w:val="000F0CA2"/>
    <w:rsid w:val="000F0D0C"/>
    <w:rsid w:val="000F0D2B"/>
    <w:rsid w:val="000F10E5"/>
    <w:rsid w:val="000F11B6"/>
    <w:rsid w:val="000F131C"/>
    <w:rsid w:val="000F1344"/>
    <w:rsid w:val="000F14F5"/>
    <w:rsid w:val="000F151C"/>
    <w:rsid w:val="000F16BC"/>
    <w:rsid w:val="000F19B1"/>
    <w:rsid w:val="000F1A53"/>
    <w:rsid w:val="000F1AA3"/>
    <w:rsid w:val="000F1EE7"/>
    <w:rsid w:val="000F21C3"/>
    <w:rsid w:val="000F223F"/>
    <w:rsid w:val="000F23B2"/>
    <w:rsid w:val="000F242C"/>
    <w:rsid w:val="000F2439"/>
    <w:rsid w:val="000F26AD"/>
    <w:rsid w:val="000F270F"/>
    <w:rsid w:val="000F2718"/>
    <w:rsid w:val="000F27B7"/>
    <w:rsid w:val="000F2821"/>
    <w:rsid w:val="000F2856"/>
    <w:rsid w:val="000F2930"/>
    <w:rsid w:val="000F2A83"/>
    <w:rsid w:val="000F2B81"/>
    <w:rsid w:val="000F2C12"/>
    <w:rsid w:val="000F2D80"/>
    <w:rsid w:val="000F2E20"/>
    <w:rsid w:val="000F2EB6"/>
    <w:rsid w:val="000F3436"/>
    <w:rsid w:val="000F34B4"/>
    <w:rsid w:val="000F355B"/>
    <w:rsid w:val="000F38AA"/>
    <w:rsid w:val="000F3A2D"/>
    <w:rsid w:val="000F3ADB"/>
    <w:rsid w:val="000F3B47"/>
    <w:rsid w:val="000F3B8A"/>
    <w:rsid w:val="000F4034"/>
    <w:rsid w:val="000F40AD"/>
    <w:rsid w:val="000F41B1"/>
    <w:rsid w:val="000F43DE"/>
    <w:rsid w:val="000F4491"/>
    <w:rsid w:val="000F4640"/>
    <w:rsid w:val="000F4991"/>
    <w:rsid w:val="000F4A5D"/>
    <w:rsid w:val="000F5122"/>
    <w:rsid w:val="000F52FF"/>
    <w:rsid w:val="000F530C"/>
    <w:rsid w:val="000F5347"/>
    <w:rsid w:val="000F54AF"/>
    <w:rsid w:val="000F57E7"/>
    <w:rsid w:val="000F5A52"/>
    <w:rsid w:val="000F5AA3"/>
    <w:rsid w:val="000F5BC2"/>
    <w:rsid w:val="000F5DC6"/>
    <w:rsid w:val="000F5FA8"/>
    <w:rsid w:val="000F628B"/>
    <w:rsid w:val="000F6487"/>
    <w:rsid w:val="000F65CC"/>
    <w:rsid w:val="000F6625"/>
    <w:rsid w:val="000F6750"/>
    <w:rsid w:val="000F688B"/>
    <w:rsid w:val="000F68A1"/>
    <w:rsid w:val="000F6A23"/>
    <w:rsid w:val="000F6B5A"/>
    <w:rsid w:val="000F6B5C"/>
    <w:rsid w:val="000F6C17"/>
    <w:rsid w:val="000F6E90"/>
    <w:rsid w:val="000F719C"/>
    <w:rsid w:val="000F72A4"/>
    <w:rsid w:val="000F7394"/>
    <w:rsid w:val="000F7594"/>
    <w:rsid w:val="000F77BA"/>
    <w:rsid w:val="000F785C"/>
    <w:rsid w:val="000F7B6B"/>
    <w:rsid w:val="000F7B76"/>
    <w:rsid w:val="000F7C65"/>
    <w:rsid w:val="000F7C81"/>
    <w:rsid w:val="000F7CBE"/>
    <w:rsid w:val="000F7DD9"/>
    <w:rsid w:val="000F7E70"/>
    <w:rsid w:val="00100137"/>
    <w:rsid w:val="0010015F"/>
    <w:rsid w:val="00100218"/>
    <w:rsid w:val="00100284"/>
    <w:rsid w:val="001003AE"/>
    <w:rsid w:val="00100553"/>
    <w:rsid w:val="0010075A"/>
    <w:rsid w:val="00100946"/>
    <w:rsid w:val="00100ADE"/>
    <w:rsid w:val="00100CAF"/>
    <w:rsid w:val="00100F47"/>
    <w:rsid w:val="00100F5F"/>
    <w:rsid w:val="00101088"/>
    <w:rsid w:val="00101258"/>
    <w:rsid w:val="001012EE"/>
    <w:rsid w:val="0010131A"/>
    <w:rsid w:val="0010140E"/>
    <w:rsid w:val="00101624"/>
    <w:rsid w:val="001017EC"/>
    <w:rsid w:val="001018E2"/>
    <w:rsid w:val="00101A43"/>
    <w:rsid w:val="00101A9C"/>
    <w:rsid w:val="00101B28"/>
    <w:rsid w:val="00101B40"/>
    <w:rsid w:val="00101D35"/>
    <w:rsid w:val="00101E63"/>
    <w:rsid w:val="00101E75"/>
    <w:rsid w:val="0010200B"/>
    <w:rsid w:val="001021C2"/>
    <w:rsid w:val="0010239A"/>
    <w:rsid w:val="00102660"/>
    <w:rsid w:val="00102932"/>
    <w:rsid w:val="00102CA2"/>
    <w:rsid w:val="00102F9A"/>
    <w:rsid w:val="0010304E"/>
    <w:rsid w:val="0010309D"/>
    <w:rsid w:val="001030C0"/>
    <w:rsid w:val="00103147"/>
    <w:rsid w:val="001031A3"/>
    <w:rsid w:val="001032C0"/>
    <w:rsid w:val="0010348A"/>
    <w:rsid w:val="0010352C"/>
    <w:rsid w:val="00103854"/>
    <w:rsid w:val="00103CA7"/>
    <w:rsid w:val="00103CD7"/>
    <w:rsid w:val="00104481"/>
    <w:rsid w:val="00104495"/>
    <w:rsid w:val="001045B7"/>
    <w:rsid w:val="001048A9"/>
    <w:rsid w:val="00104914"/>
    <w:rsid w:val="00104AC9"/>
    <w:rsid w:val="00104B5B"/>
    <w:rsid w:val="00104F34"/>
    <w:rsid w:val="00104F36"/>
    <w:rsid w:val="00104FF4"/>
    <w:rsid w:val="001052F0"/>
    <w:rsid w:val="00105496"/>
    <w:rsid w:val="00105636"/>
    <w:rsid w:val="00105675"/>
    <w:rsid w:val="001058D5"/>
    <w:rsid w:val="00105B1B"/>
    <w:rsid w:val="00105DFD"/>
    <w:rsid w:val="00105F37"/>
    <w:rsid w:val="00105FC8"/>
    <w:rsid w:val="0010609C"/>
    <w:rsid w:val="00106307"/>
    <w:rsid w:val="00106525"/>
    <w:rsid w:val="00106691"/>
    <w:rsid w:val="00106791"/>
    <w:rsid w:val="001068CB"/>
    <w:rsid w:val="0010691E"/>
    <w:rsid w:val="00106BA1"/>
    <w:rsid w:val="00106BAD"/>
    <w:rsid w:val="00106C8A"/>
    <w:rsid w:val="00106CCD"/>
    <w:rsid w:val="00106D28"/>
    <w:rsid w:val="00106D49"/>
    <w:rsid w:val="00106D7A"/>
    <w:rsid w:val="00106F57"/>
    <w:rsid w:val="00106FAF"/>
    <w:rsid w:val="0010721B"/>
    <w:rsid w:val="00107399"/>
    <w:rsid w:val="001073E3"/>
    <w:rsid w:val="00107426"/>
    <w:rsid w:val="001078FE"/>
    <w:rsid w:val="00107AC9"/>
    <w:rsid w:val="00107B55"/>
    <w:rsid w:val="00107BC1"/>
    <w:rsid w:val="00107BD3"/>
    <w:rsid w:val="00107C24"/>
    <w:rsid w:val="00107CE8"/>
    <w:rsid w:val="001100C1"/>
    <w:rsid w:val="00110180"/>
    <w:rsid w:val="0011025A"/>
    <w:rsid w:val="00110370"/>
    <w:rsid w:val="00110389"/>
    <w:rsid w:val="00110397"/>
    <w:rsid w:val="00110440"/>
    <w:rsid w:val="0011069B"/>
    <w:rsid w:val="001106F5"/>
    <w:rsid w:val="00110787"/>
    <w:rsid w:val="001108F3"/>
    <w:rsid w:val="00110935"/>
    <w:rsid w:val="00110958"/>
    <w:rsid w:val="00110972"/>
    <w:rsid w:val="00110B97"/>
    <w:rsid w:val="00110BD8"/>
    <w:rsid w:val="00110D8F"/>
    <w:rsid w:val="00110DC2"/>
    <w:rsid w:val="001111DA"/>
    <w:rsid w:val="001111F0"/>
    <w:rsid w:val="0011127B"/>
    <w:rsid w:val="0011137C"/>
    <w:rsid w:val="0011139E"/>
    <w:rsid w:val="0011148A"/>
    <w:rsid w:val="001114A5"/>
    <w:rsid w:val="00111573"/>
    <w:rsid w:val="0011173A"/>
    <w:rsid w:val="00111856"/>
    <w:rsid w:val="001118A0"/>
    <w:rsid w:val="00111931"/>
    <w:rsid w:val="00111DE7"/>
    <w:rsid w:val="00111E79"/>
    <w:rsid w:val="0011222B"/>
    <w:rsid w:val="0011226B"/>
    <w:rsid w:val="001123A0"/>
    <w:rsid w:val="001123E7"/>
    <w:rsid w:val="00112516"/>
    <w:rsid w:val="00112B1E"/>
    <w:rsid w:val="00112C80"/>
    <w:rsid w:val="00112CFF"/>
    <w:rsid w:val="00112D0A"/>
    <w:rsid w:val="00112DA0"/>
    <w:rsid w:val="00112E5E"/>
    <w:rsid w:val="00112E67"/>
    <w:rsid w:val="00113026"/>
    <w:rsid w:val="00113260"/>
    <w:rsid w:val="001133D5"/>
    <w:rsid w:val="0011344C"/>
    <w:rsid w:val="001135C0"/>
    <w:rsid w:val="001136C7"/>
    <w:rsid w:val="0011384F"/>
    <w:rsid w:val="001138D2"/>
    <w:rsid w:val="0011397F"/>
    <w:rsid w:val="00113B27"/>
    <w:rsid w:val="00113C68"/>
    <w:rsid w:val="00113C86"/>
    <w:rsid w:val="00114069"/>
    <w:rsid w:val="0011411A"/>
    <w:rsid w:val="001141F2"/>
    <w:rsid w:val="001143C0"/>
    <w:rsid w:val="0011441F"/>
    <w:rsid w:val="00114501"/>
    <w:rsid w:val="00114592"/>
    <w:rsid w:val="001145F4"/>
    <w:rsid w:val="0011491C"/>
    <w:rsid w:val="0011492C"/>
    <w:rsid w:val="00114B68"/>
    <w:rsid w:val="00114BEC"/>
    <w:rsid w:val="00114CDD"/>
    <w:rsid w:val="00114D41"/>
    <w:rsid w:val="00114D53"/>
    <w:rsid w:val="00115274"/>
    <w:rsid w:val="00115292"/>
    <w:rsid w:val="001152B5"/>
    <w:rsid w:val="001153E5"/>
    <w:rsid w:val="001154A1"/>
    <w:rsid w:val="00115591"/>
    <w:rsid w:val="001155C8"/>
    <w:rsid w:val="00115938"/>
    <w:rsid w:val="00115998"/>
    <w:rsid w:val="00115A7C"/>
    <w:rsid w:val="00115B82"/>
    <w:rsid w:val="00115EB9"/>
    <w:rsid w:val="00116061"/>
    <w:rsid w:val="00116673"/>
    <w:rsid w:val="001166A5"/>
    <w:rsid w:val="00116876"/>
    <w:rsid w:val="00116909"/>
    <w:rsid w:val="00116997"/>
    <w:rsid w:val="00116ACD"/>
    <w:rsid w:val="00116AF2"/>
    <w:rsid w:val="00116DA0"/>
    <w:rsid w:val="00116E43"/>
    <w:rsid w:val="00117230"/>
    <w:rsid w:val="001172B0"/>
    <w:rsid w:val="00117331"/>
    <w:rsid w:val="00117370"/>
    <w:rsid w:val="001173C4"/>
    <w:rsid w:val="00117532"/>
    <w:rsid w:val="00117687"/>
    <w:rsid w:val="001176D7"/>
    <w:rsid w:val="001176F8"/>
    <w:rsid w:val="00117868"/>
    <w:rsid w:val="00117879"/>
    <w:rsid w:val="00117B29"/>
    <w:rsid w:val="00117D14"/>
    <w:rsid w:val="00117DCE"/>
    <w:rsid w:val="00117F57"/>
    <w:rsid w:val="00120173"/>
    <w:rsid w:val="00120195"/>
    <w:rsid w:val="00120236"/>
    <w:rsid w:val="00120524"/>
    <w:rsid w:val="00120590"/>
    <w:rsid w:val="00120887"/>
    <w:rsid w:val="00120B6C"/>
    <w:rsid w:val="00120C7A"/>
    <w:rsid w:val="00120FA8"/>
    <w:rsid w:val="00121036"/>
    <w:rsid w:val="0012128D"/>
    <w:rsid w:val="001215E9"/>
    <w:rsid w:val="0012161D"/>
    <w:rsid w:val="001216DA"/>
    <w:rsid w:val="00121708"/>
    <w:rsid w:val="0012187A"/>
    <w:rsid w:val="00121956"/>
    <w:rsid w:val="00121984"/>
    <w:rsid w:val="00121ECF"/>
    <w:rsid w:val="00122198"/>
    <w:rsid w:val="00122348"/>
    <w:rsid w:val="001223D7"/>
    <w:rsid w:val="0012267B"/>
    <w:rsid w:val="001228D5"/>
    <w:rsid w:val="001228E5"/>
    <w:rsid w:val="00122DDF"/>
    <w:rsid w:val="00122E83"/>
    <w:rsid w:val="00122E9D"/>
    <w:rsid w:val="0012304B"/>
    <w:rsid w:val="0012307E"/>
    <w:rsid w:val="001231DB"/>
    <w:rsid w:val="00123291"/>
    <w:rsid w:val="001232D1"/>
    <w:rsid w:val="00123587"/>
    <w:rsid w:val="00123665"/>
    <w:rsid w:val="00123765"/>
    <w:rsid w:val="001237C7"/>
    <w:rsid w:val="001239B2"/>
    <w:rsid w:val="001239BE"/>
    <w:rsid w:val="00123CA4"/>
    <w:rsid w:val="00123D65"/>
    <w:rsid w:val="00123DCF"/>
    <w:rsid w:val="00123E15"/>
    <w:rsid w:val="00123FAD"/>
    <w:rsid w:val="0012406E"/>
    <w:rsid w:val="00124281"/>
    <w:rsid w:val="00124422"/>
    <w:rsid w:val="0012452B"/>
    <w:rsid w:val="001245AB"/>
    <w:rsid w:val="0012487B"/>
    <w:rsid w:val="001248DE"/>
    <w:rsid w:val="00124942"/>
    <w:rsid w:val="00124B89"/>
    <w:rsid w:val="00124CB9"/>
    <w:rsid w:val="00124FDE"/>
    <w:rsid w:val="00125223"/>
    <w:rsid w:val="0012534E"/>
    <w:rsid w:val="001257A5"/>
    <w:rsid w:val="001258E0"/>
    <w:rsid w:val="00125ABC"/>
    <w:rsid w:val="00125D1C"/>
    <w:rsid w:val="00125EE5"/>
    <w:rsid w:val="00125F5C"/>
    <w:rsid w:val="00125FB8"/>
    <w:rsid w:val="001261F7"/>
    <w:rsid w:val="00126392"/>
    <w:rsid w:val="00126594"/>
    <w:rsid w:val="001267A1"/>
    <w:rsid w:val="0012688F"/>
    <w:rsid w:val="001268C2"/>
    <w:rsid w:val="001268DC"/>
    <w:rsid w:val="001269E3"/>
    <w:rsid w:val="00126C51"/>
    <w:rsid w:val="00126D0B"/>
    <w:rsid w:val="00127018"/>
    <w:rsid w:val="00127187"/>
    <w:rsid w:val="001271AD"/>
    <w:rsid w:val="001274C6"/>
    <w:rsid w:val="0012752E"/>
    <w:rsid w:val="001276FB"/>
    <w:rsid w:val="00127864"/>
    <w:rsid w:val="001279EF"/>
    <w:rsid w:val="00127A3F"/>
    <w:rsid w:val="00127B6C"/>
    <w:rsid w:val="00127BD3"/>
    <w:rsid w:val="00127C9D"/>
    <w:rsid w:val="00127D7E"/>
    <w:rsid w:val="00127DEB"/>
    <w:rsid w:val="00127E88"/>
    <w:rsid w:val="00127ED7"/>
    <w:rsid w:val="0013013C"/>
    <w:rsid w:val="001301CF"/>
    <w:rsid w:val="0013036A"/>
    <w:rsid w:val="001305D3"/>
    <w:rsid w:val="00130617"/>
    <w:rsid w:val="00130655"/>
    <w:rsid w:val="00130736"/>
    <w:rsid w:val="001307C3"/>
    <w:rsid w:val="0013086C"/>
    <w:rsid w:val="0013090E"/>
    <w:rsid w:val="00130EF2"/>
    <w:rsid w:val="00130F46"/>
    <w:rsid w:val="00131002"/>
    <w:rsid w:val="0013120C"/>
    <w:rsid w:val="001316A4"/>
    <w:rsid w:val="001316BB"/>
    <w:rsid w:val="00131707"/>
    <w:rsid w:val="00131978"/>
    <w:rsid w:val="001319DE"/>
    <w:rsid w:val="00131C24"/>
    <w:rsid w:val="00131DDD"/>
    <w:rsid w:val="00131E97"/>
    <w:rsid w:val="00131EB2"/>
    <w:rsid w:val="0013203B"/>
    <w:rsid w:val="001320EB"/>
    <w:rsid w:val="001321D2"/>
    <w:rsid w:val="0013220F"/>
    <w:rsid w:val="00132238"/>
    <w:rsid w:val="0013246C"/>
    <w:rsid w:val="0013247F"/>
    <w:rsid w:val="00132526"/>
    <w:rsid w:val="00132607"/>
    <w:rsid w:val="0013270C"/>
    <w:rsid w:val="001327E0"/>
    <w:rsid w:val="00132A2B"/>
    <w:rsid w:val="00132C8D"/>
    <w:rsid w:val="001330C5"/>
    <w:rsid w:val="0013328D"/>
    <w:rsid w:val="0013328E"/>
    <w:rsid w:val="00133397"/>
    <w:rsid w:val="001333C2"/>
    <w:rsid w:val="001334DF"/>
    <w:rsid w:val="0013362B"/>
    <w:rsid w:val="0013397D"/>
    <w:rsid w:val="00133C93"/>
    <w:rsid w:val="00133D51"/>
    <w:rsid w:val="00134037"/>
    <w:rsid w:val="00134299"/>
    <w:rsid w:val="00134308"/>
    <w:rsid w:val="001344C1"/>
    <w:rsid w:val="001344C2"/>
    <w:rsid w:val="00134797"/>
    <w:rsid w:val="00134BD0"/>
    <w:rsid w:val="00134DBE"/>
    <w:rsid w:val="00134DE5"/>
    <w:rsid w:val="00134E2B"/>
    <w:rsid w:val="00134F0E"/>
    <w:rsid w:val="00134F2C"/>
    <w:rsid w:val="00134F73"/>
    <w:rsid w:val="001350C8"/>
    <w:rsid w:val="0013516E"/>
    <w:rsid w:val="00135185"/>
    <w:rsid w:val="001352FC"/>
    <w:rsid w:val="001354E2"/>
    <w:rsid w:val="00135568"/>
    <w:rsid w:val="001355ED"/>
    <w:rsid w:val="00135906"/>
    <w:rsid w:val="0013594E"/>
    <w:rsid w:val="001359BB"/>
    <w:rsid w:val="00135A88"/>
    <w:rsid w:val="00135B49"/>
    <w:rsid w:val="00135C80"/>
    <w:rsid w:val="00135D2D"/>
    <w:rsid w:val="00135DC2"/>
    <w:rsid w:val="00136057"/>
    <w:rsid w:val="00136097"/>
    <w:rsid w:val="001360A4"/>
    <w:rsid w:val="0013616A"/>
    <w:rsid w:val="00136180"/>
    <w:rsid w:val="001362BA"/>
    <w:rsid w:val="0013644B"/>
    <w:rsid w:val="0013649A"/>
    <w:rsid w:val="0013692F"/>
    <w:rsid w:val="00136A4C"/>
    <w:rsid w:val="00136A95"/>
    <w:rsid w:val="00136BAE"/>
    <w:rsid w:val="00136CFD"/>
    <w:rsid w:val="00136DB6"/>
    <w:rsid w:val="00136EF8"/>
    <w:rsid w:val="00137019"/>
    <w:rsid w:val="0013715B"/>
    <w:rsid w:val="001371DC"/>
    <w:rsid w:val="0013730B"/>
    <w:rsid w:val="00137418"/>
    <w:rsid w:val="0013746F"/>
    <w:rsid w:val="00137530"/>
    <w:rsid w:val="001377AA"/>
    <w:rsid w:val="0013784C"/>
    <w:rsid w:val="00137898"/>
    <w:rsid w:val="00137989"/>
    <w:rsid w:val="00137B66"/>
    <w:rsid w:val="00137EC7"/>
    <w:rsid w:val="00137FB0"/>
    <w:rsid w:val="001401F7"/>
    <w:rsid w:val="0014020B"/>
    <w:rsid w:val="00140685"/>
    <w:rsid w:val="00140799"/>
    <w:rsid w:val="001407B2"/>
    <w:rsid w:val="001407DA"/>
    <w:rsid w:val="00140848"/>
    <w:rsid w:val="00140876"/>
    <w:rsid w:val="0014098D"/>
    <w:rsid w:val="00140C81"/>
    <w:rsid w:val="00140D72"/>
    <w:rsid w:val="0014107B"/>
    <w:rsid w:val="00141253"/>
    <w:rsid w:val="00141266"/>
    <w:rsid w:val="001416C7"/>
    <w:rsid w:val="001416F3"/>
    <w:rsid w:val="001416FE"/>
    <w:rsid w:val="001417CE"/>
    <w:rsid w:val="001418D7"/>
    <w:rsid w:val="00141C5A"/>
    <w:rsid w:val="00141DA8"/>
    <w:rsid w:val="00141DAB"/>
    <w:rsid w:val="00141DE7"/>
    <w:rsid w:val="00141E31"/>
    <w:rsid w:val="001420B7"/>
    <w:rsid w:val="001421BD"/>
    <w:rsid w:val="00142249"/>
    <w:rsid w:val="001423D4"/>
    <w:rsid w:val="0014259C"/>
    <w:rsid w:val="0014286D"/>
    <w:rsid w:val="00142938"/>
    <w:rsid w:val="00142CF5"/>
    <w:rsid w:val="00142F2B"/>
    <w:rsid w:val="001430C7"/>
    <w:rsid w:val="0014319A"/>
    <w:rsid w:val="00143372"/>
    <w:rsid w:val="00143462"/>
    <w:rsid w:val="001436B3"/>
    <w:rsid w:val="001436E1"/>
    <w:rsid w:val="00143760"/>
    <w:rsid w:val="0014378B"/>
    <w:rsid w:val="00143B48"/>
    <w:rsid w:val="00143CAD"/>
    <w:rsid w:val="00144298"/>
    <w:rsid w:val="0014439E"/>
    <w:rsid w:val="00144555"/>
    <w:rsid w:val="0014478B"/>
    <w:rsid w:val="00144983"/>
    <w:rsid w:val="001449C0"/>
    <w:rsid w:val="00144BD2"/>
    <w:rsid w:val="00144D28"/>
    <w:rsid w:val="00145183"/>
    <w:rsid w:val="0014524E"/>
    <w:rsid w:val="001452B0"/>
    <w:rsid w:val="001452F8"/>
    <w:rsid w:val="001454E6"/>
    <w:rsid w:val="00145637"/>
    <w:rsid w:val="0014565C"/>
    <w:rsid w:val="00145696"/>
    <w:rsid w:val="0014569C"/>
    <w:rsid w:val="001456E9"/>
    <w:rsid w:val="00145774"/>
    <w:rsid w:val="001458C2"/>
    <w:rsid w:val="00145A14"/>
    <w:rsid w:val="00145C2C"/>
    <w:rsid w:val="00145C2E"/>
    <w:rsid w:val="00145D22"/>
    <w:rsid w:val="0014600C"/>
    <w:rsid w:val="00146047"/>
    <w:rsid w:val="00146249"/>
    <w:rsid w:val="0014624B"/>
    <w:rsid w:val="001462DD"/>
    <w:rsid w:val="00146356"/>
    <w:rsid w:val="001464AA"/>
    <w:rsid w:val="00146888"/>
    <w:rsid w:val="001468EA"/>
    <w:rsid w:val="00146B4B"/>
    <w:rsid w:val="00146BDA"/>
    <w:rsid w:val="00146BDE"/>
    <w:rsid w:val="00146C31"/>
    <w:rsid w:val="00146C4C"/>
    <w:rsid w:val="00146F27"/>
    <w:rsid w:val="0014726E"/>
    <w:rsid w:val="001472C3"/>
    <w:rsid w:val="001472DE"/>
    <w:rsid w:val="00147362"/>
    <w:rsid w:val="001475F9"/>
    <w:rsid w:val="0014762F"/>
    <w:rsid w:val="00147656"/>
    <w:rsid w:val="00147685"/>
    <w:rsid w:val="001478CB"/>
    <w:rsid w:val="00147A47"/>
    <w:rsid w:val="00147E03"/>
    <w:rsid w:val="00150160"/>
    <w:rsid w:val="001504B5"/>
    <w:rsid w:val="001505A5"/>
    <w:rsid w:val="00150604"/>
    <w:rsid w:val="001507A1"/>
    <w:rsid w:val="001507E4"/>
    <w:rsid w:val="00150B3E"/>
    <w:rsid w:val="00150C64"/>
    <w:rsid w:val="00150D2C"/>
    <w:rsid w:val="00150D65"/>
    <w:rsid w:val="001511C8"/>
    <w:rsid w:val="0015123F"/>
    <w:rsid w:val="00151333"/>
    <w:rsid w:val="0015135A"/>
    <w:rsid w:val="001515EE"/>
    <w:rsid w:val="00151727"/>
    <w:rsid w:val="00151929"/>
    <w:rsid w:val="00151C05"/>
    <w:rsid w:val="00151D98"/>
    <w:rsid w:val="00151DE9"/>
    <w:rsid w:val="00151E76"/>
    <w:rsid w:val="001521C8"/>
    <w:rsid w:val="001522D4"/>
    <w:rsid w:val="001525E2"/>
    <w:rsid w:val="00152665"/>
    <w:rsid w:val="0015290A"/>
    <w:rsid w:val="00152A30"/>
    <w:rsid w:val="00152AB4"/>
    <w:rsid w:val="00152AE1"/>
    <w:rsid w:val="00152B5F"/>
    <w:rsid w:val="00152E9E"/>
    <w:rsid w:val="00152EDE"/>
    <w:rsid w:val="00152F89"/>
    <w:rsid w:val="00152FC2"/>
    <w:rsid w:val="00152FE9"/>
    <w:rsid w:val="0015301D"/>
    <w:rsid w:val="001535DD"/>
    <w:rsid w:val="001536B1"/>
    <w:rsid w:val="00153726"/>
    <w:rsid w:val="0015382B"/>
    <w:rsid w:val="001538E6"/>
    <w:rsid w:val="00153B70"/>
    <w:rsid w:val="00153C3C"/>
    <w:rsid w:val="00153D42"/>
    <w:rsid w:val="00153D7C"/>
    <w:rsid w:val="00153EE7"/>
    <w:rsid w:val="00153F2E"/>
    <w:rsid w:val="00154069"/>
    <w:rsid w:val="001540A9"/>
    <w:rsid w:val="001540B0"/>
    <w:rsid w:val="0015432D"/>
    <w:rsid w:val="0015439D"/>
    <w:rsid w:val="00154517"/>
    <w:rsid w:val="00154598"/>
    <w:rsid w:val="00154602"/>
    <w:rsid w:val="001546F9"/>
    <w:rsid w:val="00154D0A"/>
    <w:rsid w:val="00154E08"/>
    <w:rsid w:val="00154FFA"/>
    <w:rsid w:val="001550BE"/>
    <w:rsid w:val="001550D9"/>
    <w:rsid w:val="001551E9"/>
    <w:rsid w:val="00155328"/>
    <w:rsid w:val="001554CE"/>
    <w:rsid w:val="001555E8"/>
    <w:rsid w:val="0015590E"/>
    <w:rsid w:val="00155B90"/>
    <w:rsid w:val="00155C30"/>
    <w:rsid w:val="00155CF0"/>
    <w:rsid w:val="00155E6B"/>
    <w:rsid w:val="00156149"/>
    <w:rsid w:val="001562AC"/>
    <w:rsid w:val="001562F7"/>
    <w:rsid w:val="001563EA"/>
    <w:rsid w:val="00156560"/>
    <w:rsid w:val="001566E5"/>
    <w:rsid w:val="00156820"/>
    <w:rsid w:val="00156BC5"/>
    <w:rsid w:val="00156ECC"/>
    <w:rsid w:val="00156F85"/>
    <w:rsid w:val="00157156"/>
    <w:rsid w:val="001573A5"/>
    <w:rsid w:val="001574B4"/>
    <w:rsid w:val="00157848"/>
    <w:rsid w:val="00157923"/>
    <w:rsid w:val="00157BD7"/>
    <w:rsid w:val="00157C2E"/>
    <w:rsid w:val="00157C3E"/>
    <w:rsid w:val="0016005F"/>
    <w:rsid w:val="001602B1"/>
    <w:rsid w:val="001604FC"/>
    <w:rsid w:val="001607B8"/>
    <w:rsid w:val="00160967"/>
    <w:rsid w:val="001609E2"/>
    <w:rsid w:val="00160B1F"/>
    <w:rsid w:val="00160B73"/>
    <w:rsid w:val="00160CB7"/>
    <w:rsid w:val="00160DAC"/>
    <w:rsid w:val="00160EA8"/>
    <w:rsid w:val="00160EFF"/>
    <w:rsid w:val="00160FAF"/>
    <w:rsid w:val="00161027"/>
    <w:rsid w:val="0016104D"/>
    <w:rsid w:val="00161126"/>
    <w:rsid w:val="00161288"/>
    <w:rsid w:val="00161441"/>
    <w:rsid w:val="00161502"/>
    <w:rsid w:val="001615FF"/>
    <w:rsid w:val="0016194E"/>
    <w:rsid w:val="00161C5E"/>
    <w:rsid w:val="00161DBD"/>
    <w:rsid w:val="00161EA8"/>
    <w:rsid w:val="00161ED5"/>
    <w:rsid w:val="001620D8"/>
    <w:rsid w:val="001621B5"/>
    <w:rsid w:val="001625FF"/>
    <w:rsid w:val="0016260A"/>
    <w:rsid w:val="00162624"/>
    <w:rsid w:val="0016277C"/>
    <w:rsid w:val="00162782"/>
    <w:rsid w:val="00162A07"/>
    <w:rsid w:val="00162A86"/>
    <w:rsid w:val="00162AE8"/>
    <w:rsid w:val="00162D12"/>
    <w:rsid w:val="00162E5C"/>
    <w:rsid w:val="00162F40"/>
    <w:rsid w:val="00162F63"/>
    <w:rsid w:val="00163088"/>
    <w:rsid w:val="00163089"/>
    <w:rsid w:val="001630E0"/>
    <w:rsid w:val="001633F3"/>
    <w:rsid w:val="0016353D"/>
    <w:rsid w:val="00163547"/>
    <w:rsid w:val="00163705"/>
    <w:rsid w:val="001638E4"/>
    <w:rsid w:val="00163AB4"/>
    <w:rsid w:val="00163AF5"/>
    <w:rsid w:val="00163C7A"/>
    <w:rsid w:val="00163D0D"/>
    <w:rsid w:val="00163D62"/>
    <w:rsid w:val="0016425C"/>
    <w:rsid w:val="00164313"/>
    <w:rsid w:val="0016441F"/>
    <w:rsid w:val="001647A5"/>
    <w:rsid w:val="00164975"/>
    <w:rsid w:val="00164AEF"/>
    <w:rsid w:val="00164B82"/>
    <w:rsid w:val="00164C58"/>
    <w:rsid w:val="00165290"/>
    <w:rsid w:val="001653BD"/>
    <w:rsid w:val="00165535"/>
    <w:rsid w:val="0016561C"/>
    <w:rsid w:val="00165621"/>
    <w:rsid w:val="00165678"/>
    <w:rsid w:val="001658F6"/>
    <w:rsid w:val="0016597D"/>
    <w:rsid w:val="00165D89"/>
    <w:rsid w:val="00165E60"/>
    <w:rsid w:val="0016650E"/>
    <w:rsid w:val="00166513"/>
    <w:rsid w:val="001665E8"/>
    <w:rsid w:val="00166661"/>
    <w:rsid w:val="001666C6"/>
    <w:rsid w:val="001669D9"/>
    <w:rsid w:val="00166A68"/>
    <w:rsid w:val="00166DDD"/>
    <w:rsid w:val="00166FA8"/>
    <w:rsid w:val="001671C4"/>
    <w:rsid w:val="001674C9"/>
    <w:rsid w:val="00167540"/>
    <w:rsid w:val="00167614"/>
    <w:rsid w:val="00167649"/>
    <w:rsid w:val="00167682"/>
    <w:rsid w:val="0016780E"/>
    <w:rsid w:val="00167959"/>
    <w:rsid w:val="00167AB5"/>
    <w:rsid w:val="00167C4F"/>
    <w:rsid w:val="00167C84"/>
    <w:rsid w:val="00167E19"/>
    <w:rsid w:val="0017030A"/>
    <w:rsid w:val="00170315"/>
    <w:rsid w:val="00170499"/>
    <w:rsid w:val="0017068F"/>
    <w:rsid w:val="001706AB"/>
    <w:rsid w:val="00170809"/>
    <w:rsid w:val="001708CD"/>
    <w:rsid w:val="0017094A"/>
    <w:rsid w:val="00170991"/>
    <w:rsid w:val="00170A8B"/>
    <w:rsid w:val="00170AB8"/>
    <w:rsid w:val="00170AF5"/>
    <w:rsid w:val="00170B40"/>
    <w:rsid w:val="00170EF5"/>
    <w:rsid w:val="0017109F"/>
    <w:rsid w:val="0017119D"/>
    <w:rsid w:val="0017126D"/>
    <w:rsid w:val="001716D4"/>
    <w:rsid w:val="00171751"/>
    <w:rsid w:val="001718AA"/>
    <w:rsid w:val="00171991"/>
    <w:rsid w:val="00171A08"/>
    <w:rsid w:val="00171AB8"/>
    <w:rsid w:val="00171C31"/>
    <w:rsid w:val="00171D14"/>
    <w:rsid w:val="00171D28"/>
    <w:rsid w:val="00171E02"/>
    <w:rsid w:val="00171E4F"/>
    <w:rsid w:val="001721B5"/>
    <w:rsid w:val="00172465"/>
    <w:rsid w:val="001724FD"/>
    <w:rsid w:val="00172573"/>
    <w:rsid w:val="001725E1"/>
    <w:rsid w:val="001727C7"/>
    <w:rsid w:val="00172AA9"/>
    <w:rsid w:val="00172AAC"/>
    <w:rsid w:val="00172AF8"/>
    <w:rsid w:val="00172CC9"/>
    <w:rsid w:val="00172D8C"/>
    <w:rsid w:val="001730C9"/>
    <w:rsid w:val="00173585"/>
    <w:rsid w:val="0017398C"/>
    <w:rsid w:val="001739EF"/>
    <w:rsid w:val="00173A31"/>
    <w:rsid w:val="00173C3C"/>
    <w:rsid w:val="00173D2E"/>
    <w:rsid w:val="00173E43"/>
    <w:rsid w:val="00173EA3"/>
    <w:rsid w:val="00173ECD"/>
    <w:rsid w:val="00174008"/>
    <w:rsid w:val="00174224"/>
    <w:rsid w:val="00174278"/>
    <w:rsid w:val="00174381"/>
    <w:rsid w:val="00174451"/>
    <w:rsid w:val="00174508"/>
    <w:rsid w:val="00174554"/>
    <w:rsid w:val="00174A93"/>
    <w:rsid w:val="00174DA2"/>
    <w:rsid w:val="00174DE3"/>
    <w:rsid w:val="00174FF0"/>
    <w:rsid w:val="00175139"/>
    <w:rsid w:val="001751C0"/>
    <w:rsid w:val="0017522E"/>
    <w:rsid w:val="0017529C"/>
    <w:rsid w:val="00175546"/>
    <w:rsid w:val="0017583C"/>
    <w:rsid w:val="00175AB6"/>
    <w:rsid w:val="00175B1E"/>
    <w:rsid w:val="00175B45"/>
    <w:rsid w:val="00175D2C"/>
    <w:rsid w:val="00175D66"/>
    <w:rsid w:val="00175D85"/>
    <w:rsid w:val="00175E24"/>
    <w:rsid w:val="00175F07"/>
    <w:rsid w:val="00175FA4"/>
    <w:rsid w:val="00176082"/>
    <w:rsid w:val="001760A8"/>
    <w:rsid w:val="001760D0"/>
    <w:rsid w:val="00176178"/>
    <w:rsid w:val="001761E2"/>
    <w:rsid w:val="0017637E"/>
    <w:rsid w:val="00176881"/>
    <w:rsid w:val="00176903"/>
    <w:rsid w:val="00176EF2"/>
    <w:rsid w:val="00176F49"/>
    <w:rsid w:val="00176FC7"/>
    <w:rsid w:val="00177061"/>
    <w:rsid w:val="00177557"/>
    <w:rsid w:val="00177835"/>
    <w:rsid w:val="00177840"/>
    <w:rsid w:val="001778F2"/>
    <w:rsid w:val="00177AB4"/>
    <w:rsid w:val="00177ABB"/>
    <w:rsid w:val="00177B38"/>
    <w:rsid w:val="00177BDB"/>
    <w:rsid w:val="00177C94"/>
    <w:rsid w:val="00177CA3"/>
    <w:rsid w:val="00177E1E"/>
    <w:rsid w:val="00177EB6"/>
    <w:rsid w:val="00177F14"/>
    <w:rsid w:val="00177F4E"/>
    <w:rsid w:val="00177F96"/>
    <w:rsid w:val="0018005C"/>
    <w:rsid w:val="001801B6"/>
    <w:rsid w:val="00180491"/>
    <w:rsid w:val="0018054F"/>
    <w:rsid w:val="001806DA"/>
    <w:rsid w:val="00180706"/>
    <w:rsid w:val="00180732"/>
    <w:rsid w:val="00180760"/>
    <w:rsid w:val="001807F4"/>
    <w:rsid w:val="00180A6D"/>
    <w:rsid w:val="00180AD1"/>
    <w:rsid w:val="00180BA6"/>
    <w:rsid w:val="00180BAC"/>
    <w:rsid w:val="00180BAD"/>
    <w:rsid w:val="00180CFD"/>
    <w:rsid w:val="00180D11"/>
    <w:rsid w:val="00180DE6"/>
    <w:rsid w:val="00180F0C"/>
    <w:rsid w:val="001811EE"/>
    <w:rsid w:val="00181253"/>
    <w:rsid w:val="001812B7"/>
    <w:rsid w:val="001813F4"/>
    <w:rsid w:val="001814F1"/>
    <w:rsid w:val="00181538"/>
    <w:rsid w:val="00181629"/>
    <w:rsid w:val="001816A1"/>
    <w:rsid w:val="00181767"/>
    <w:rsid w:val="0018177F"/>
    <w:rsid w:val="00181912"/>
    <w:rsid w:val="00181B36"/>
    <w:rsid w:val="00181BD6"/>
    <w:rsid w:val="00181BD9"/>
    <w:rsid w:val="00181D77"/>
    <w:rsid w:val="00181E61"/>
    <w:rsid w:val="0018239B"/>
    <w:rsid w:val="00182733"/>
    <w:rsid w:val="00182754"/>
    <w:rsid w:val="00182834"/>
    <w:rsid w:val="00182872"/>
    <w:rsid w:val="0018298F"/>
    <w:rsid w:val="001829B6"/>
    <w:rsid w:val="00182A36"/>
    <w:rsid w:val="00182A96"/>
    <w:rsid w:val="00182BE5"/>
    <w:rsid w:val="00182C3D"/>
    <w:rsid w:val="00182D1B"/>
    <w:rsid w:val="00182DE0"/>
    <w:rsid w:val="001833E1"/>
    <w:rsid w:val="00183430"/>
    <w:rsid w:val="0018357F"/>
    <w:rsid w:val="001835E1"/>
    <w:rsid w:val="0018372E"/>
    <w:rsid w:val="0018382A"/>
    <w:rsid w:val="0018385A"/>
    <w:rsid w:val="00183870"/>
    <w:rsid w:val="00183895"/>
    <w:rsid w:val="001838E7"/>
    <w:rsid w:val="001838F0"/>
    <w:rsid w:val="00183A27"/>
    <w:rsid w:val="00183A41"/>
    <w:rsid w:val="00183B22"/>
    <w:rsid w:val="00183B9B"/>
    <w:rsid w:val="00183D88"/>
    <w:rsid w:val="00183EA1"/>
    <w:rsid w:val="00183FE8"/>
    <w:rsid w:val="0018405F"/>
    <w:rsid w:val="001841DF"/>
    <w:rsid w:val="00184230"/>
    <w:rsid w:val="00184349"/>
    <w:rsid w:val="001843EC"/>
    <w:rsid w:val="0018479E"/>
    <w:rsid w:val="00184AAF"/>
    <w:rsid w:val="00184B9C"/>
    <w:rsid w:val="00184BAA"/>
    <w:rsid w:val="00184C42"/>
    <w:rsid w:val="00184D6A"/>
    <w:rsid w:val="0018509B"/>
    <w:rsid w:val="00185359"/>
    <w:rsid w:val="0018536F"/>
    <w:rsid w:val="001855C3"/>
    <w:rsid w:val="00185B60"/>
    <w:rsid w:val="00185D6F"/>
    <w:rsid w:val="00185E11"/>
    <w:rsid w:val="001861BD"/>
    <w:rsid w:val="001861D6"/>
    <w:rsid w:val="0018631C"/>
    <w:rsid w:val="0018649A"/>
    <w:rsid w:val="001864F1"/>
    <w:rsid w:val="0018650C"/>
    <w:rsid w:val="0018656B"/>
    <w:rsid w:val="00186570"/>
    <w:rsid w:val="0018661B"/>
    <w:rsid w:val="0018676B"/>
    <w:rsid w:val="00186789"/>
    <w:rsid w:val="001868D2"/>
    <w:rsid w:val="00186CF2"/>
    <w:rsid w:val="00186DE9"/>
    <w:rsid w:val="00186E26"/>
    <w:rsid w:val="001872F8"/>
    <w:rsid w:val="00187375"/>
    <w:rsid w:val="00187404"/>
    <w:rsid w:val="00187479"/>
    <w:rsid w:val="001874DD"/>
    <w:rsid w:val="00187685"/>
    <w:rsid w:val="001876C8"/>
    <w:rsid w:val="00187887"/>
    <w:rsid w:val="001878EB"/>
    <w:rsid w:val="00187A1F"/>
    <w:rsid w:val="00187C8A"/>
    <w:rsid w:val="00187E8E"/>
    <w:rsid w:val="00187F0D"/>
    <w:rsid w:val="00187FE7"/>
    <w:rsid w:val="00187FE9"/>
    <w:rsid w:val="001900DD"/>
    <w:rsid w:val="001901AA"/>
    <w:rsid w:val="001903ED"/>
    <w:rsid w:val="00190615"/>
    <w:rsid w:val="001906F3"/>
    <w:rsid w:val="00190743"/>
    <w:rsid w:val="00190B9B"/>
    <w:rsid w:val="00190C73"/>
    <w:rsid w:val="00190EEB"/>
    <w:rsid w:val="0019122C"/>
    <w:rsid w:val="0019133A"/>
    <w:rsid w:val="0019144D"/>
    <w:rsid w:val="001914E4"/>
    <w:rsid w:val="0019170B"/>
    <w:rsid w:val="00191720"/>
    <w:rsid w:val="0019189B"/>
    <w:rsid w:val="00191D17"/>
    <w:rsid w:val="00191D84"/>
    <w:rsid w:val="00191E46"/>
    <w:rsid w:val="00191FFD"/>
    <w:rsid w:val="001922F0"/>
    <w:rsid w:val="00192486"/>
    <w:rsid w:val="001924A1"/>
    <w:rsid w:val="00192643"/>
    <w:rsid w:val="00192671"/>
    <w:rsid w:val="0019267A"/>
    <w:rsid w:val="001927FE"/>
    <w:rsid w:val="00192936"/>
    <w:rsid w:val="00192A7C"/>
    <w:rsid w:val="00192BD7"/>
    <w:rsid w:val="00192DCC"/>
    <w:rsid w:val="00192E95"/>
    <w:rsid w:val="0019309F"/>
    <w:rsid w:val="001930AD"/>
    <w:rsid w:val="001933E7"/>
    <w:rsid w:val="001934D2"/>
    <w:rsid w:val="001934E3"/>
    <w:rsid w:val="00193DC0"/>
    <w:rsid w:val="00193F3A"/>
    <w:rsid w:val="00193F6E"/>
    <w:rsid w:val="001940FB"/>
    <w:rsid w:val="00194249"/>
    <w:rsid w:val="0019442B"/>
    <w:rsid w:val="001944A8"/>
    <w:rsid w:val="001946F2"/>
    <w:rsid w:val="001947A9"/>
    <w:rsid w:val="001947C0"/>
    <w:rsid w:val="00194967"/>
    <w:rsid w:val="00194AE7"/>
    <w:rsid w:val="00194BC6"/>
    <w:rsid w:val="00194BFC"/>
    <w:rsid w:val="00194DFB"/>
    <w:rsid w:val="0019520F"/>
    <w:rsid w:val="00195235"/>
    <w:rsid w:val="001952D4"/>
    <w:rsid w:val="0019541E"/>
    <w:rsid w:val="001956A4"/>
    <w:rsid w:val="001958A6"/>
    <w:rsid w:val="00195B31"/>
    <w:rsid w:val="00195D1E"/>
    <w:rsid w:val="00195FE5"/>
    <w:rsid w:val="0019604A"/>
    <w:rsid w:val="001963D4"/>
    <w:rsid w:val="00196447"/>
    <w:rsid w:val="0019644E"/>
    <w:rsid w:val="0019678E"/>
    <w:rsid w:val="00196AE3"/>
    <w:rsid w:val="00196B54"/>
    <w:rsid w:val="00196B5C"/>
    <w:rsid w:val="00196E02"/>
    <w:rsid w:val="00196EC8"/>
    <w:rsid w:val="00196EC9"/>
    <w:rsid w:val="00197333"/>
    <w:rsid w:val="0019754A"/>
    <w:rsid w:val="00197735"/>
    <w:rsid w:val="00197859"/>
    <w:rsid w:val="001978C6"/>
    <w:rsid w:val="001978F4"/>
    <w:rsid w:val="00197A10"/>
    <w:rsid w:val="00197C8E"/>
    <w:rsid w:val="00197EBF"/>
    <w:rsid w:val="00197EF7"/>
    <w:rsid w:val="00197F8F"/>
    <w:rsid w:val="00197FBE"/>
    <w:rsid w:val="001A010A"/>
    <w:rsid w:val="001A024E"/>
    <w:rsid w:val="001A02E6"/>
    <w:rsid w:val="001A031B"/>
    <w:rsid w:val="001A03C9"/>
    <w:rsid w:val="001A0659"/>
    <w:rsid w:val="001A0873"/>
    <w:rsid w:val="001A08D5"/>
    <w:rsid w:val="001A0A69"/>
    <w:rsid w:val="001A0D11"/>
    <w:rsid w:val="001A0E2B"/>
    <w:rsid w:val="001A0E74"/>
    <w:rsid w:val="001A11C3"/>
    <w:rsid w:val="001A11D5"/>
    <w:rsid w:val="001A1250"/>
    <w:rsid w:val="001A126F"/>
    <w:rsid w:val="001A14F8"/>
    <w:rsid w:val="001A155E"/>
    <w:rsid w:val="001A15A7"/>
    <w:rsid w:val="001A1616"/>
    <w:rsid w:val="001A17D7"/>
    <w:rsid w:val="001A18BD"/>
    <w:rsid w:val="001A1A65"/>
    <w:rsid w:val="001A1B32"/>
    <w:rsid w:val="001A207E"/>
    <w:rsid w:val="001A2432"/>
    <w:rsid w:val="001A2547"/>
    <w:rsid w:val="001A2581"/>
    <w:rsid w:val="001A26F7"/>
    <w:rsid w:val="001A272C"/>
    <w:rsid w:val="001A283F"/>
    <w:rsid w:val="001A29AB"/>
    <w:rsid w:val="001A2BFB"/>
    <w:rsid w:val="001A2C28"/>
    <w:rsid w:val="001A2C4E"/>
    <w:rsid w:val="001A2CE7"/>
    <w:rsid w:val="001A2DCE"/>
    <w:rsid w:val="001A2DFF"/>
    <w:rsid w:val="001A2E3F"/>
    <w:rsid w:val="001A2F01"/>
    <w:rsid w:val="001A327A"/>
    <w:rsid w:val="001A350F"/>
    <w:rsid w:val="001A3B21"/>
    <w:rsid w:val="001A3B67"/>
    <w:rsid w:val="001A3C21"/>
    <w:rsid w:val="001A3C86"/>
    <w:rsid w:val="001A3D25"/>
    <w:rsid w:val="001A3D4F"/>
    <w:rsid w:val="001A3D60"/>
    <w:rsid w:val="001A3E27"/>
    <w:rsid w:val="001A3FFA"/>
    <w:rsid w:val="001A4063"/>
    <w:rsid w:val="001A4074"/>
    <w:rsid w:val="001A41A1"/>
    <w:rsid w:val="001A4365"/>
    <w:rsid w:val="001A446D"/>
    <w:rsid w:val="001A4574"/>
    <w:rsid w:val="001A4857"/>
    <w:rsid w:val="001A48FB"/>
    <w:rsid w:val="001A49CD"/>
    <w:rsid w:val="001A4ABC"/>
    <w:rsid w:val="001A4AC6"/>
    <w:rsid w:val="001A4B07"/>
    <w:rsid w:val="001A4BDC"/>
    <w:rsid w:val="001A4DFC"/>
    <w:rsid w:val="001A4F18"/>
    <w:rsid w:val="001A4FA7"/>
    <w:rsid w:val="001A5014"/>
    <w:rsid w:val="001A52F4"/>
    <w:rsid w:val="001A5473"/>
    <w:rsid w:val="001A565E"/>
    <w:rsid w:val="001A59BD"/>
    <w:rsid w:val="001A5EBA"/>
    <w:rsid w:val="001A5F8D"/>
    <w:rsid w:val="001A6037"/>
    <w:rsid w:val="001A6174"/>
    <w:rsid w:val="001A61D8"/>
    <w:rsid w:val="001A61F9"/>
    <w:rsid w:val="001A621E"/>
    <w:rsid w:val="001A6290"/>
    <w:rsid w:val="001A6417"/>
    <w:rsid w:val="001A64E3"/>
    <w:rsid w:val="001A65F7"/>
    <w:rsid w:val="001A668B"/>
    <w:rsid w:val="001A6750"/>
    <w:rsid w:val="001A6819"/>
    <w:rsid w:val="001A691F"/>
    <w:rsid w:val="001A6BED"/>
    <w:rsid w:val="001A6DB0"/>
    <w:rsid w:val="001A6EE4"/>
    <w:rsid w:val="001A6F92"/>
    <w:rsid w:val="001A7371"/>
    <w:rsid w:val="001A741A"/>
    <w:rsid w:val="001A7447"/>
    <w:rsid w:val="001A7455"/>
    <w:rsid w:val="001A76EA"/>
    <w:rsid w:val="001A76EE"/>
    <w:rsid w:val="001A7732"/>
    <w:rsid w:val="001A7B14"/>
    <w:rsid w:val="001A7C1A"/>
    <w:rsid w:val="001A7E9C"/>
    <w:rsid w:val="001A7EB6"/>
    <w:rsid w:val="001A7F25"/>
    <w:rsid w:val="001A7F75"/>
    <w:rsid w:val="001A7FE2"/>
    <w:rsid w:val="001A7FE6"/>
    <w:rsid w:val="001B000D"/>
    <w:rsid w:val="001B0118"/>
    <w:rsid w:val="001B0464"/>
    <w:rsid w:val="001B0588"/>
    <w:rsid w:val="001B05B7"/>
    <w:rsid w:val="001B062D"/>
    <w:rsid w:val="001B0AB6"/>
    <w:rsid w:val="001B0BA8"/>
    <w:rsid w:val="001B0C12"/>
    <w:rsid w:val="001B0DD4"/>
    <w:rsid w:val="001B0F5B"/>
    <w:rsid w:val="001B0F68"/>
    <w:rsid w:val="001B0F69"/>
    <w:rsid w:val="001B0FC6"/>
    <w:rsid w:val="001B10DC"/>
    <w:rsid w:val="001B1271"/>
    <w:rsid w:val="001B12AD"/>
    <w:rsid w:val="001B14A0"/>
    <w:rsid w:val="001B14A8"/>
    <w:rsid w:val="001B1577"/>
    <w:rsid w:val="001B182C"/>
    <w:rsid w:val="001B1C4D"/>
    <w:rsid w:val="001B1D85"/>
    <w:rsid w:val="001B1EEF"/>
    <w:rsid w:val="001B1F25"/>
    <w:rsid w:val="001B2139"/>
    <w:rsid w:val="001B215E"/>
    <w:rsid w:val="001B2403"/>
    <w:rsid w:val="001B26D5"/>
    <w:rsid w:val="001B2D50"/>
    <w:rsid w:val="001B2DEB"/>
    <w:rsid w:val="001B2E5F"/>
    <w:rsid w:val="001B2EE5"/>
    <w:rsid w:val="001B306C"/>
    <w:rsid w:val="001B3073"/>
    <w:rsid w:val="001B30D2"/>
    <w:rsid w:val="001B3321"/>
    <w:rsid w:val="001B333A"/>
    <w:rsid w:val="001B3497"/>
    <w:rsid w:val="001B350D"/>
    <w:rsid w:val="001B3705"/>
    <w:rsid w:val="001B376B"/>
    <w:rsid w:val="001B37A0"/>
    <w:rsid w:val="001B38A8"/>
    <w:rsid w:val="001B39F4"/>
    <w:rsid w:val="001B3D32"/>
    <w:rsid w:val="001B3E04"/>
    <w:rsid w:val="001B4067"/>
    <w:rsid w:val="001B40A8"/>
    <w:rsid w:val="001B4127"/>
    <w:rsid w:val="001B4145"/>
    <w:rsid w:val="001B420B"/>
    <w:rsid w:val="001B42AC"/>
    <w:rsid w:val="001B42B1"/>
    <w:rsid w:val="001B4501"/>
    <w:rsid w:val="001B4AD2"/>
    <w:rsid w:val="001B4CB8"/>
    <w:rsid w:val="001B4F61"/>
    <w:rsid w:val="001B50D3"/>
    <w:rsid w:val="001B53D5"/>
    <w:rsid w:val="001B5445"/>
    <w:rsid w:val="001B5515"/>
    <w:rsid w:val="001B559C"/>
    <w:rsid w:val="001B55AD"/>
    <w:rsid w:val="001B57D8"/>
    <w:rsid w:val="001B5994"/>
    <w:rsid w:val="001B5C01"/>
    <w:rsid w:val="001B5D37"/>
    <w:rsid w:val="001B5EB1"/>
    <w:rsid w:val="001B5EDE"/>
    <w:rsid w:val="001B6014"/>
    <w:rsid w:val="001B6374"/>
    <w:rsid w:val="001B63D4"/>
    <w:rsid w:val="001B657F"/>
    <w:rsid w:val="001B65D9"/>
    <w:rsid w:val="001B65EE"/>
    <w:rsid w:val="001B6659"/>
    <w:rsid w:val="001B66C7"/>
    <w:rsid w:val="001B6951"/>
    <w:rsid w:val="001B6A04"/>
    <w:rsid w:val="001B6C55"/>
    <w:rsid w:val="001B6CA9"/>
    <w:rsid w:val="001B6D65"/>
    <w:rsid w:val="001B72DA"/>
    <w:rsid w:val="001B7471"/>
    <w:rsid w:val="001B769A"/>
    <w:rsid w:val="001B774D"/>
    <w:rsid w:val="001B786A"/>
    <w:rsid w:val="001B794A"/>
    <w:rsid w:val="001B7C27"/>
    <w:rsid w:val="001B7C29"/>
    <w:rsid w:val="001B7DFE"/>
    <w:rsid w:val="001B7EB8"/>
    <w:rsid w:val="001B7FB3"/>
    <w:rsid w:val="001B7FD6"/>
    <w:rsid w:val="001C0216"/>
    <w:rsid w:val="001C02A7"/>
    <w:rsid w:val="001C02BD"/>
    <w:rsid w:val="001C069F"/>
    <w:rsid w:val="001C06A1"/>
    <w:rsid w:val="001C08EF"/>
    <w:rsid w:val="001C0AF8"/>
    <w:rsid w:val="001C0B07"/>
    <w:rsid w:val="001C0B46"/>
    <w:rsid w:val="001C0C3A"/>
    <w:rsid w:val="001C0C7B"/>
    <w:rsid w:val="001C0D28"/>
    <w:rsid w:val="001C0F47"/>
    <w:rsid w:val="001C11D4"/>
    <w:rsid w:val="001C127E"/>
    <w:rsid w:val="001C129E"/>
    <w:rsid w:val="001C12AA"/>
    <w:rsid w:val="001C1356"/>
    <w:rsid w:val="001C136B"/>
    <w:rsid w:val="001C13B3"/>
    <w:rsid w:val="001C14B5"/>
    <w:rsid w:val="001C17F6"/>
    <w:rsid w:val="001C1866"/>
    <w:rsid w:val="001C1A7A"/>
    <w:rsid w:val="001C1AC7"/>
    <w:rsid w:val="001C1BAC"/>
    <w:rsid w:val="001C1C5B"/>
    <w:rsid w:val="001C1EC9"/>
    <w:rsid w:val="001C1FE1"/>
    <w:rsid w:val="001C20B8"/>
    <w:rsid w:val="001C2224"/>
    <w:rsid w:val="001C22E9"/>
    <w:rsid w:val="001C2465"/>
    <w:rsid w:val="001C25A3"/>
    <w:rsid w:val="001C26F1"/>
    <w:rsid w:val="001C29EC"/>
    <w:rsid w:val="001C29F7"/>
    <w:rsid w:val="001C2A51"/>
    <w:rsid w:val="001C2D00"/>
    <w:rsid w:val="001C2D45"/>
    <w:rsid w:val="001C2F2F"/>
    <w:rsid w:val="001C2F67"/>
    <w:rsid w:val="001C2F6F"/>
    <w:rsid w:val="001C301D"/>
    <w:rsid w:val="001C30BF"/>
    <w:rsid w:val="001C341B"/>
    <w:rsid w:val="001C3665"/>
    <w:rsid w:val="001C368F"/>
    <w:rsid w:val="001C378B"/>
    <w:rsid w:val="001C37C6"/>
    <w:rsid w:val="001C38F4"/>
    <w:rsid w:val="001C3DF5"/>
    <w:rsid w:val="001C3EA2"/>
    <w:rsid w:val="001C3F5D"/>
    <w:rsid w:val="001C3FB3"/>
    <w:rsid w:val="001C4085"/>
    <w:rsid w:val="001C40F5"/>
    <w:rsid w:val="001C415B"/>
    <w:rsid w:val="001C4452"/>
    <w:rsid w:val="001C4510"/>
    <w:rsid w:val="001C4647"/>
    <w:rsid w:val="001C4650"/>
    <w:rsid w:val="001C4B0B"/>
    <w:rsid w:val="001C4B0F"/>
    <w:rsid w:val="001C4B6B"/>
    <w:rsid w:val="001C4DE1"/>
    <w:rsid w:val="001C4E54"/>
    <w:rsid w:val="001C4F09"/>
    <w:rsid w:val="001C4F4D"/>
    <w:rsid w:val="001C507C"/>
    <w:rsid w:val="001C554A"/>
    <w:rsid w:val="001C5797"/>
    <w:rsid w:val="001C57FE"/>
    <w:rsid w:val="001C59DD"/>
    <w:rsid w:val="001C59DE"/>
    <w:rsid w:val="001C5A68"/>
    <w:rsid w:val="001C5AB9"/>
    <w:rsid w:val="001C5AFF"/>
    <w:rsid w:val="001C5C4F"/>
    <w:rsid w:val="001C5C9E"/>
    <w:rsid w:val="001C6193"/>
    <w:rsid w:val="001C629D"/>
    <w:rsid w:val="001C63B2"/>
    <w:rsid w:val="001C64A2"/>
    <w:rsid w:val="001C656C"/>
    <w:rsid w:val="001C658F"/>
    <w:rsid w:val="001C65B2"/>
    <w:rsid w:val="001C65C6"/>
    <w:rsid w:val="001C673E"/>
    <w:rsid w:val="001C6B10"/>
    <w:rsid w:val="001C6CA3"/>
    <w:rsid w:val="001C6D9E"/>
    <w:rsid w:val="001C6F8F"/>
    <w:rsid w:val="001C71CC"/>
    <w:rsid w:val="001C7304"/>
    <w:rsid w:val="001C7364"/>
    <w:rsid w:val="001C7633"/>
    <w:rsid w:val="001C76B6"/>
    <w:rsid w:val="001C773F"/>
    <w:rsid w:val="001C775B"/>
    <w:rsid w:val="001C7A6B"/>
    <w:rsid w:val="001C7B8F"/>
    <w:rsid w:val="001C7C0F"/>
    <w:rsid w:val="001C7E6A"/>
    <w:rsid w:val="001C7EB5"/>
    <w:rsid w:val="001C7F3F"/>
    <w:rsid w:val="001C7FAF"/>
    <w:rsid w:val="001D000E"/>
    <w:rsid w:val="001D01BF"/>
    <w:rsid w:val="001D01FA"/>
    <w:rsid w:val="001D0A0A"/>
    <w:rsid w:val="001D0A57"/>
    <w:rsid w:val="001D0AFC"/>
    <w:rsid w:val="001D0B49"/>
    <w:rsid w:val="001D0B59"/>
    <w:rsid w:val="001D0CBA"/>
    <w:rsid w:val="001D0E2E"/>
    <w:rsid w:val="001D0F42"/>
    <w:rsid w:val="001D0F52"/>
    <w:rsid w:val="001D132E"/>
    <w:rsid w:val="001D14AF"/>
    <w:rsid w:val="001D16C7"/>
    <w:rsid w:val="001D1C9F"/>
    <w:rsid w:val="001D1F38"/>
    <w:rsid w:val="001D1FCD"/>
    <w:rsid w:val="001D20F9"/>
    <w:rsid w:val="001D2197"/>
    <w:rsid w:val="001D23DB"/>
    <w:rsid w:val="001D23EF"/>
    <w:rsid w:val="001D261D"/>
    <w:rsid w:val="001D269F"/>
    <w:rsid w:val="001D2948"/>
    <w:rsid w:val="001D2A23"/>
    <w:rsid w:val="001D2A36"/>
    <w:rsid w:val="001D2A8A"/>
    <w:rsid w:val="001D2AAD"/>
    <w:rsid w:val="001D2B1D"/>
    <w:rsid w:val="001D2B3F"/>
    <w:rsid w:val="001D2C36"/>
    <w:rsid w:val="001D2DFA"/>
    <w:rsid w:val="001D2E84"/>
    <w:rsid w:val="001D2EF6"/>
    <w:rsid w:val="001D3019"/>
    <w:rsid w:val="001D3080"/>
    <w:rsid w:val="001D30DF"/>
    <w:rsid w:val="001D3112"/>
    <w:rsid w:val="001D33EE"/>
    <w:rsid w:val="001D3645"/>
    <w:rsid w:val="001D36CB"/>
    <w:rsid w:val="001D36EF"/>
    <w:rsid w:val="001D3719"/>
    <w:rsid w:val="001D37CA"/>
    <w:rsid w:val="001D3945"/>
    <w:rsid w:val="001D39C9"/>
    <w:rsid w:val="001D3B5B"/>
    <w:rsid w:val="001D3E00"/>
    <w:rsid w:val="001D3F95"/>
    <w:rsid w:val="001D4289"/>
    <w:rsid w:val="001D42A0"/>
    <w:rsid w:val="001D4319"/>
    <w:rsid w:val="001D432F"/>
    <w:rsid w:val="001D452D"/>
    <w:rsid w:val="001D46C2"/>
    <w:rsid w:val="001D4738"/>
    <w:rsid w:val="001D47CE"/>
    <w:rsid w:val="001D48E8"/>
    <w:rsid w:val="001D494B"/>
    <w:rsid w:val="001D4B9B"/>
    <w:rsid w:val="001D4EEF"/>
    <w:rsid w:val="001D502F"/>
    <w:rsid w:val="001D53B4"/>
    <w:rsid w:val="001D55E1"/>
    <w:rsid w:val="001D5654"/>
    <w:rsid w:val="001D589F"/>
    <w:rsid w:val="001D596D"/>
    <w:rsid w:val="001D5992"/>
    <w:rsid w:val="001D5A33"/>
    <w:rsid w:val="001D5B6B"/>
    <w:rsid w:val="001D5D13"/>
    <w:rsid w:val="001D5E7E"/>
    <w:rsid w:val="001D608F"/>
    <w:rsid w:val="001D6113"/>
    <w:rsid w:val="001D63CF"/>
    <w:rsid w:val="001D63D4"/>
    <w:rsid w:val="001D6680"/>
    <w:rsid w:val="001D66B9"/>
    <w:rsid w:val="001D672A"/>
    <w:rsid w:val="001D67CE"/>
    <w:rsid w:val="001D6C34"/>
    <w:rsid w:val="001D6D12"/>
    <w:rsid w:val="001D6DD4"/>
    <w:rsid w:val="001D6DF0"/>
    <w:rsid w:val="001D6E33"/>
    <w:rsid w:val="001D6EF0"/>
    <w:rsid w:val="001D7022"/>
    <w:rsid w:val="001D71D8"/>
    <w:rsid w:val="001D738A"/>
    <w:rsid w:val="001D7420"/>
    <w:rsid w:val="001D75E0"/>
    <w:rsid w:val="001D765B"/>
    <w:rsid w:val="001D7696"/>
    <w:rsid w:val="001D78B5"/>
    <w:rsid w:val="001D78F3"/>
    <w:rsid w:val="001D7C0B"/>
    <w:rsid w:val="001D7DBD"/>
    <w:rsid w:val="001E0010"/>
    <w:rsid w:val="001E0093"/>
    <w:rsid w:val="001E02C8"/>
    <w:rsid w:val="001E06AD"/>
    <w:rsid w:val="001E06F4"/>
    <w:rsid w:val="001E08D0"/>
    <w:rsid w:val="001E0A1D"/>
    <w:rsid w:val="001E0A80"/>
    <w:rsid w:val="001E0B51"/>
    <w:rsid w:val="001E0BC4"/>
    <w:rsid w:val="001E0BCA"/>
    <w:rsid w:val="001E0D0B"/>
    <w:rsid w:val="001E0D13"/>
    <w:rsid w:val="001E1187"/>
    <w:rsid w:val="001E118B"/>
    <w:rsid w:val="001E1244"/>
    <w:rsid w:val="001E1466"/>
    <w:rsid w:val="001E147D"/>
    <w:rsid w:val="001E14B1"/>
    <w:rsid w:val="001E1502"/>
    <w:rsid w:val="001E162A"/>
    <w:rsid w:val="001E162B"/>
    <w:rsid w:val="001E176D"/>
    <w:rsid w:val="001E18A9"/>
    <w:rsid w:val="001E1CBC"/>
    <w:rsid w:val="001E1D3D"/>
    <w:rsid w:val="001E1EC4"/>
    <w:rsid w:val="001E202B"/>
    <w:rsid w:val="001E20E7"/>
    <w:rsid w:val="001E2242"/>
    <w:rsid w:val="001E23A9"/>
    <w:rsid w:val="001E24A2"/>
    <w:rsid w:val="001E27E6"/>
    <w:rsid w:val="001E28E7"/>
    <w:rsid w:val="001E2A39"/>
    <w:rsid w:val="001E2CE2"/>
    <w:rsid w:val="001E2E32"/>
    <w:rsid w:val="001E2EA6"/>
    <w:rsid w:val="001E2FBA"/>
    <w:rsid w:val="001E3052"/>
    <w:rsid w:val="001E3410"/>
    <w:rsid w:val="001E35B0"/>
    <w:rsid w:val="001E3A32"/>
    <w:rsid w:val="001E3AEE"/>
    <w:rsid w:val="001E3B83"/>
    <w:rsid w:val="001E3C7A"/>
    <w:rsid w:val="001E3CDC"/>
    <w:rsid w:val="001E3D2F"/>
    <w:rsid w:val="001E3FDB"/>
    <w:rsid w:val="001E41DA"/>
    <w:rsid w:val="001E43A5"/>
    <w:rsid w:val="001E458E"/>
    <w:rsid w:val="001E465D"/>
    <w:rsid w:val="001E4B84"/>
    <w:rsid w:val="001E4F2F"/>
    <w:rsid w:val="001E4F36"/>
    <w:rsid w:val="001E5241"/>
    <w:rsid w:val="001E52BF"/>
    <w:rsid w:val="001E53E5"/>
    <w:rsid w:val="001E5486"/>
    <w:rsid w:val="001E5578"/>
    <w:rsid w:val="001E5596"/>
    <w:rsid w:val="001E565D"/>
    <w:rsid w:val="001E5723"/>
    <w:rsid w:val="001E59D8"/>
    <w:rsid w:val="001E59DC"/>
    <w:rsid w:val="001E5E71"/>
    <w:rsid w:val="001E5EE3"/>
    <w:rsid w:val="001E6042"/>
    <w:rsid w:val="001E61A1"/>
    <w:rsid w:val="001E62A6"/>
    <w:rsid w:val="001E641F"/>
    <w:rsid w:val="001E6683"/>
    <w:rsid w:val="001E672A"/>
    <w:rsid w:val="001E68F4"/>
    <w:rsid w:val="001E6B5C"/>
    <w:rsid w:val="001E6BED"/>
    <w:rsid w:val="001E6CA5"/>
    <w:rsid w:val="001E6DFA"/>
    <w:rsid w:val="001E6E01"/>
    <w:rsid w:val="001E6E39"/>
    <w:rsid w:val="001E6FEE"/>
    <w:rsid w:val="001E71DD"/>
    <w:rsid w:val="001E73C1"/>
    <w:rsid w:val="001E73FB"/>
    <w:rsid w:val="001E76CF"/>
    <w:rsid w:val="001E776B"/>
    <w:rsid w:val="001E778A"/>
    <w:rsid w:val="001E7A01"/>
    <w:rsid w:val="001E7AE8"/>
    <w:rsid w:val="001E7B92"/>
    <w:rsid w:val="001E7D25"/>
    <w:rsid w:val="001F02DE"/>
    <w:rsid w:val="001F03D5"/>
    <w:rsid w:val="001F079B"/>
    <w:rsid w:val="001F07BF"/>
    <w:rsid w:val="001F0824"/>
    <w:rsid w:val="001F0A4C"/>
    <w:rsid w:val="001F0D07"/>
    <w:rsid w:val="001F0E66"/>
    <w:rsid w:val="001F0E86"/>
    <w:rsid w:val="001F12C4"/>
    <w:rsid w:val="001F13D4"/>
    <w:rsid w:val="001F1407"/>
    <w:rsid w:val="001F15BC"/>
    <w:rsid w:val="001F1662"/>
    <w:rsid w:val="001F1799"/>
    <w:rsid w:val="001F183E"/>
    <w:rsid w:val="001F1853"/>
    <w:rsid w:val="001F1C17"/>
    <w:rsid w:val="001F1EED"/>
    <w:rsid w:val="001F232F"/>
    <w:rsid w:val="001F236E"/>
    <w:rsid w:val="001F2581"/>
    <w:rsid w:val="001F2667"/>
    <w:rsid w:val="001F2766"/>
    <w:rsid w:val="001F29EF"/>
    <w:rsid w:val="001F2E07"/>
    <w:rsid w:val="001F2E66"/>
    <w:rsid w:val="001F3045"/>
    <w:rsid w:val="001F3059"/>
    <w:rsid w:val="001F31A3"/>
    <w:rsid w:val="001F3221"/>
    <w:rsid w:val="001F32D9"/>
    <w:rsid w:val="001F3307"/>
    <w:rsid w:val="001F33E3"/>
    <w:rsid w:val="001F351E"/>
    <w:rsid w:val="001F35AB"/>
    <w:rsid w:val="001F36DB"/>
    <w:rsid w:val="001F36EE"/>
    <w:rsid w:val="001F3760"/>
    <w:rsid w:val="001F38B2"/>
    <w:rsid w:val="001F3974"/>
    <w:rsid w:val="001F39FF"/>
    <w:rsid w:val="001F4102"/>
    <w:rsid w:val="001F441E"/>
    <w:rsid w:val="001F4457"/>
    <w:rsid w:val="001F47F8"/>
    <w:rsid w:val="001F48B1"/>
    <w:rsid w:val="001F4BB6"/>
    <w:rsid w:val="001F4CD2"/>
    <w:rsid w:val="001F4CF6"/>
    <w:rsid w:val="001F4E7E"/>
    <w:rsid w:val="001F4ED0"/>
    <w:rsid w:val="001F507F"/>
    <w:rsid w:val="001F5204"/>
    <w:rsid w:val="001F533B"/>
    <w:rsid w:val="001F54A8"/>
    <w:rsid w:val="001F5A1F"/>
    <w:rsid w:val="001F5AF0"/>
    <w:rsid w:val="001F5BB2"/>
    <w:rsid w:val="001F5BEF"/>
    <w:rsid w:val="001F5D69"/>
    <w:rsid w:val="001F6024"/>
    <w:rsid w:val="001F62B1"/>
    <w:rsid w:val="001F68EC"/>
    <w:rsid w:val="001F69BE"/>
    <w:rsid w:val="001F6E48"/>
    <w:rsid w:val="001F6F69"/>
    <w:rsid w:val="001F707C"/>
    <w:rsid w:val="001F7198"/>
    <w:rsid w:val="001F76BD"/>
    <w:rsid w:val="001F7AB5"/>
    <w:rsid w:val="001F7F96"/>
    <w:rsid w:val="00200387"/>
    <w:rsid w:val="002003AE"/>
    <w:rsid w:val="00200673"/>
    <w:rsid w:val="002006FA"/>
    <w:rsid w:val="00200B5D"/>
    <w:rsid w:val="00200C55"/>
    <w:rsid w:val="00200CBD"/>
    <w:rsid w:val="00200D72"/>
    <w:rsid w:val="00201036"/>
    <w:rsid w:val="0020111D"/>
    <w:rsid w:val="00201120"/>
    <w:rsid w:val="00201176"/>
    <w:rsid w:val="00201590"/>
    <w:rsid w:val="00201731"/>
    <w:rsid w:val="002017AA"/>
    <w:rsid w:val="00201962"/>
    <w:rsid w:val="00201A34"/>
    <w:rsid w:val="00201B91"/>
    <w:rsid w:val="00201C8C"/>
    <w:rsid w:val="00201DF3"/>
    <w:rsid w:val="00201E53"/>
    <w:rsid w:val="00202031"/>
    <w:rsid w:val="002021FA"/>
    <w:rsid w:val="0020220F"/>
    <w:rsid w:val="0020229A"/>
    <w:rsid w:val="002023E0"/>
    <w:rsid w:val="0020244F"/>
    <w:rsid w:val="002025EB"/>
    <w:rsid w:val="00202817"/>
    <w:rsid w:val="002028AB"/>
    <w:rsid w:val="00202947"/>
    <w:rsid w:val="00202B06"/>
    <w:rsid w:val="00202BD3"/>
    <w:rsid w:val="00202C61"/>
    <w:rsid w:val="00202E4E"/>
    <w:rsid w:val="00202EE3"/>
    <w:rsid w:val="00202F70"/>
    <w:rsid w:val="00202F71"/>
    <w:rsid w:val="0020319C"/>
    <w:rsid w:val="00203251"/>
    <w:rsid w:val="00203296"/>
    <w:rsid w:val="00203317"/>
    <w:rsid w:val="002034FA"/>
    <w:rsid w:val="00203577"/>
    <w:rsid w:val="002035FB"/>
    <w:rsid w:val="00203690"/>
    <w:rsid w:val="0020388F"/>
    <w:rsid w:val="002038B0"/>
    <w:rsid w:val="00203B96"/>
    <w:rsid w:val="00203CD0"/>
    <w:rsid w:val="00203D5B"/>
    <w:rsid w:val="0020401C"/>
    <w:rsid w:val="002040F8"/>
    <w:rsid w:val="00204127"/>
    <w:rsid w:val="00204141"/>
    <w:rsid w:val="002041D8"/>
    <w:rsid w:val="002042C4"/>
    <w:rsid w:val="0020433A"/>
    <w:rsid w:val="002044E4"/>
    <w:rsid w:val="00204575"/>
    <w:rsid w:val="002046AB"/>
    <w:rsid w:val="002047A4"/>
    <w:rsid w:val="0020480D"/>
    <w:rsid w:val="002048FB"/>
    <w:rsid w:val="00204ABE"/>
    <w:rsid w:val="00204C11"/>
    <w:rsid w:val="00204CB5"/>
    <w:rsid w:val="00204D03"/>
    <w:rsid w:val="00204D86"/>
    <w:rsid w:val="002050B7"/>
    <w:rsid w:val="00205744"/>
    <w:rsid w:val="00205765"/>
    <w:rsid w:val="0020580B"/>
    <w:rsid w:val="00205C29"/>
    <w:rsid w:val="00205F06"/>
    <w:rsid w:val="00206035"/>
    <w:rsid w:val="00206036"/>
    <w:rsid w:val="00206193"/>
    <w:rsid w:val="0020620A"/>
    <w:rsid w:val="0020626F"/>
    <w:rsid w:val="002064CA"/>
    <w:rsid w:val="00206583"/>
    <w:rsid w:val="00206A02"/>
    <w:rsid w:val="00206AFC"/>
    <w:rsid w:val="00206BE7"/>
    <w:rsid w:val="00206C36"/>
    <w:rsid w:val="00206E4B"/>
    <w:rsid w:val="00207056"/>
    <w:rsid w:val="00207170"/>
    <w:rsid w:val="00207258"/>
    <w:rsid w:val="0020737E"/>
    <w:rsid w:val="002077A7"/>
    <w:rsid w:val="0020784B"/>
    <w:rsid w:val="002079D7"/>
    <w:rsid w:val="002079DA"/>
    <w:rsid w:val="00207A9E"/>
    <w:rsid w:val="00207AB7"/>
    <w:rsid w:val="00207AF2"/>
    <w:rsid w:val="00207EB5"/>
    <w:rsid w:val="00207F36"/>
    <w:rsid w:val="002100FA"/>
    <w:rsid w:val="00210173"/>
    <w:rsid w:val="00210343"/>
    <w:rsid w:val="00210461"/>
    <w:rsid w:val="00210614"/>
    <w:rsid w:val="00210A6C"/>
    <w:rsid w:val="00210ACF"/>
    <w:rsid w:val="00210B80"/>
    <w:rsid w:val="00210C0C"/>
    <w:rsid w:val="00210C39"/>
    <w:rsid w:val="00210E7E"/>
    <w:rsid w:val="0021116B"/>
    <w:rsid w:val="00211519"/>
    <w:rsid w:val="0021178F"/>
    <w:rsid w:val="00211797"/>
    <w:rsid w:val="002118B7"/>
    <w:rsid w:val="002118F0"/>
    <w:rsid w:val="0021192B"/>
    <w:rsid w:val="002119DF"/>
    <w:rsid w:val="00211A30"/>
    <w:rsid w:val="00211A63"/>
    <w:rsid w:val="00211B1B"/>
    <w:rsid w:val="00211BCD"/>
    <w:rsid w:val="00211C22"/>
    <w:rsid w:val="00211C72"/>
    <w:rsid w:val="00211D44"/>
    <w:rsid w:val="00211DAF"/>
    <w:rsid w:val="00211F17"/>
    <w:rsid w:val="002121E6"/>
    <w:rsid w:val="0021229D"/>
    <w:rsid w:val="00212712"/>
    <w:rsid w:val="0021280B"/>
    <w:rsid w:val="00212857"/>
    <w:rsid w:val="002128B6"/>
    <w:rsid w:val="00212C5F"/>
    <w:rsid w:val="00212CD6"/>
    <w:rsid w:val="00212DFF"/>
    <w:rsid w:val="00212F4B"/>
    <w:rsid w:val="002133B3"/>
    <w:rsid w:val="0021340C"/>
    <w:rsid w:val="00213688"/>
    <w:rsid w:val="002136F2"/>
    <w:rsid w:val="00213771"/>
    <w:rsid w:val="00213809"/>
    <w:rsid w:val="00213871"/>
    <w:rsid w:val="00214088"/>
    <w:rsid w:val="002144E4"/>
    <w:rsid w:val="002145D9"/>
    <w:rsid w:val="0021463C"/>
    <w:rsid w:val="002146EA"/>
    <w:rsid w:val="002148A5"/>
    <w:rsid w:val="00214B6C"/>
    <w:rsid w:val="00215102"/>
    <w:rsid w:val="0021522F"/>
    <w:rsid w:val="002152DB"/>
    <w:rsid w:val="002155B9"/>
    <w:rsid w:val="002156AE"/>
    <w:rsid w:val="0021579C"/>
    <w:rsid w:val="0021591D"/>
    <w:rsid w:val="00215BAF"/>
    <w:rsid w:val="00215CE7"/>
    <w:rsid w:val="00215D52"/>
    <w:rsid w:val="00215E6B"/>
    <w:rsid w:val="00216134"/>
    <w:rsid w:val="0021618B"/>
    <w:rsid w:val="002163B2"/>
    <w:rsid w:val="002163D7"/>
    <w:rsid w:val="00216484"/>
    <w:rsid w:val="002164B6"/>
    <w:rsid w:val="002166D7"/>
    <w:rsid w:val="002166F3"/>
    <w:rsid w:val="00216D67"/>
    <w:rsid w:val="00216DAE"/>
    <w:rsid w:val="00217022"/>
    <w:rsid w:val="00217285"/>
    <w:rsid w:val="0021729A"/>
    <w:rsid w:val="0021742C"/>
    <w:rsid w:val="00217811"/>
    <w:rsid w:val="00217AB6"/>
    <w:rsid w:val="00217E55"/>
    <w:rsid w:val="00217F57"/>
    <w:rsid w:val="002203EE"/>
    <w:rsid w:val="002205C7"/>
    <w:rsid w:val="002205D8"/>
    <w:rsid w:val="002207DA"/>
    <w:rsid w:val="00220AA2"/>
    <w:rsid w:val="00220B4F"/>
    <w:rsid w:val="00220C6F"/>
    <w:rsid w:val="00220E30"/>
    <w:rsid w:val="00220EF3"/>
    <w:rsid w:val="00221146"/>
    <w:rsid w:val="002212E6"/>
    <w:rsid w:val="002212ED"/>
    <w:rsid w:val="0022144E"/>
    <w:rsid w:val="00221929"/>
    <w:rsid w:val="00221B30"/>
    <w:rsid w:val="00221BBA"/>
    <w:rsid w:val="00221C13"/>
    <w:rsid w:val="00221CB6"/>
    <w:rsid w:val="00221D5B"/>
    <w:rsid w:val="00221FD0"/>
    <w:rsid w:val="0022220E"/>
    <w:rsid w:val="00222215"/>
    <w:rsid w:val="0022229C"/>
    <w:rsid w:val="00222436"/>
    <w:rsid w:val="00222667"/>
    <w:rsid w:val="00222988"/>
    <w:rsid w:val="00222A42"/>
    <w:rsid w:val="00222D31"/>
    <w:rsid w:val="00222D3E"/>
    <w:rsid w:val="00222F15"/>
    <w:rsid w:val="00222F8A"/>
    <w:rsid w:val="00222FFC"/>
    <w:rsid w:val="0022304B"/>
    <w:rsid w:val="002230BE"/>
    <w:rsid w:val="002231E2"/>
    <w:rsid w:val="0022340F"/>
    <w:rsid w:val="0022349B"/>
    <w:rsid w:val="002234D6"/>
    <w:rsid w:val="0022371D"/>
    <w:rsid w:val="002237A4"/>
    <w:rsid w:val="00223823"/>
    <w:rsid w:val="00223859"/>
    <w:rsid w:val="0022388C"/>
    <w:rsid w:val="0022396E"/>
    <w:rsid w:val="002239CB"/>
    <w:rsid w:val="00223ABE"/>
    <w:rsid w:val="00223CF0"/>
    <w:rsid w:val="00223E77"/>
    <w:rsid w:val="00223F79"/>
    <w:rsid w:val="002240F9"/>
    <w:rsid w:val="0022421A"/>
    <w:rsid w:val="00224345"/>
    <w:rsid w:val="00224397"/>
    <w:rsid w:val="00224888"/>
    <w:rsid w:val="00224895"/>
    <w:rsid w:val="00224974"/>
    <w:rsid w:val="002249C4"/>
    <w:rsid w:val="00224A17"/>
    <w:rsid w:val="00224EDF"/>
    <w:rsid w:val="002250FC"/>
    <w:rsid w:val="00225436"/>
    <w:rsid w:val="0022544A"/>
    <w:rsid w:val="002254D7"/>
    <w:rsid w:val="0022551C"/>
    <w:rsid w:val="0022553A"/>
    <w:rsid w:val="0022566A"/>
    <w:rsid w:val="002256C8"/>
    <w:rsid w:val="00225A29"/>
    <w:rsid w:val="00225A64"/>
    <w:rsid w:val="00225B37"/>
    <w:rsid w:val="00225B62"/>
    <w:rsid w:val="00225CAA"/>
    <w:rsid w:val="00225E96"/>
    <w:rsid w:val="00226022"/>
    <w:rsid w:val="0022608D"/>
    <w:rsid w:val="002260AC"/>
    <w:rsid w:val="0022615C"/>
    <w:rsid w:val="0022637F"/>
    <w:rsid w:val="002263D4"/>
    <w:rsid w:val="00226452"/>
    <w:rsid w:val="00226473"/>
    <w:rsid w:val="0022647E"/>
    <w:rsid w:val="002264EE"/>
    <w:rsid w:val="0022653E"/>
    <w:rsid w:val="002267CF"/>
    <w:rsid w:val="0022688D"/>
    <w:rsid w:val="002268EB"/>
    <w:rsid w:val="00226912"/>
    <w:rsid w:val="00226B71"/>
    <w:rsid w:val="00226C86"/>
    <w:rsid w:val="00226C9E"/>
    <w:rsid w:val="00226DFF"/>
    <w:rsid w:val="00226E0A"/>
    <w:rsid w:val="00226E31"/>
    <w:rsid w:val="00226EA9"/>
    <w:rsid w:val="00226ECF"/>
    <w:rsid w:val="00226F51"/>
    <w:rsid w:val="00227403"/>
    <w:rsid w:val="002274F0"/>
    <w:rsid w:val="002275FE"/>
    <w:rsid w:val="002277DA"/>
    <w:rsid w:val="00227896"/>
    <w:rsid w:val="002278C1"/>
    <w:rsid w:val="0022794A"/>
    <w:rsid w:val="00227A9B"/>
    <w:rsid w:val="00227B5F"/>
    <w:rsid w:val="00227D85"/>
    <w:rsid w:val="0022D535"/>
    <w:rsid w:val="0023014A"/>
    <w:rsid w:val="002302D6"/>
    <w:rsid w:val="00230474"/>
    <w:rsid w:val="00230532"/>
    <w:rsid w:val="00230563"/>
    <w:rsid w:val="0023060D"/>
    <w:rsid w:val="0023089D"/>
    <w:rsid w:val="00230977"/>
    <w:rsid w:val="00230B41"/>
    <w:rsid w:val="00230E3D"/>
    <w:rsid w:val="00231113"/>
    <w:rsid w:val="00231515"/>
    <w:rsid w:val="00231A4E"/>
    <w:rsid w:val="00231AB4"/>
    <w:rsid w:val="00231BFC"/>
    <w:rsid w:val="00231D7B"/>
    <w:rsid w:val="00231DEB"/>
    <w:rsid w:val="00231E24"/>
    <w:rsid w:val="00231FBE"/>
    <w:rsid w:val="0023202A"/>
    <w:rsid w:val="0023206D"/>
    <w:rsid w:val="002320B2"/>
    <w:rsid w:val="0023212E"/>
    <w:rsid w:val="00232177"/>
    <w:rsid w:val="00232344"/>
    <w:rsid w:val="0023237E"/>
    <w:rsid w:val="0023238C"/>
    <w:rsid w:val="00232499"/>
    <w:rsid w:val="002324FE"/>
    <w:rsid w:val="00232670"/>
    <w:rsid w:val="00232931"/>
    <w:rsid w:val="00232A2F"/>
    <w:rsid w:val="00232D03"/>
    <w:rsid w:val="00232FA8"/>
    <w:rsid w:val="002330CB"/>
    <w:rsid w:val="00233294"/>
    <w:rsid w:val="002332A7"/>
    <w:rsid w:val="002333D1"/>
    <w:rsid w:val="0023348B"/>
    <w:rsid w:val="0023364A"/>
    <w:rsid w:val="00233A01"/>
    <w:rsid w:val="00233A21"/>
    <w:rsid w:val="00233B17"/>
    <w:rsid w:val="00233B5D"/>
    <w:rsid w:val="00233C46"/>
    <w:rsid w:val="00234144"/>
    <w:rsid w:val="002341BD"/>
    <w:rsid w:val="0023436C"/>
    <w:rsid w:val="00234380"/>
    <w:rsid w:val="002343E2"/>
    <w:rsid w:val="00234418"/>
    <w:rsid w:val="002344E3"/>
    <w:rsid w:val="002345A9"/>
    <w:rsid w:val="002345CF"/>
    <w:rsid w:val="002347DF"/>
    <w:rsid w:val="002348ED"/>
    <w:rsid w:val="00234B4C"/>
    <w:rsid w:val="00234CC1"/>
    <w:rsid w:val="00234EBB"/>
    <w:rsid w:val="00235116"/>
    <w:rsid w:val="0023555E"/>
    <w:rsid w:val="0023568D"/>
    <w:rsid w:val="002357C2"/>
    <w:rsid w:val="0023594A"/>
    <w:rsid w:val="00235976"/>
    <w:rsid w:val="00235A8D"/>
    <w:rsid w:val="00235DA4"/>
    <w:rsid w:val="00235E0D"/>
    <w:rsid w:val="002360E5"/>
    <w:rsid w:val="002364E7"/>
    <w:rsid w:val="0023672D"/>
    <w:rsid w:val="0023673E"/>
    <w:rsid w:val="00236765"/>
    <w:rsid w:val="0023693C"/>
    <w:rsid w:val="0023695F"/>
    <w:rsid w:val="00236A96"/>
    <w:rsid w:val="00236B2B"/>
    <w:rsid w:val="00236C98"/>
    <w:rsid w:val="00236D4B"/>
    <w:rsid w:val="00236E01"/>
    <w:rsid w:val="00236F4A"/>
    <w:rsid w:val="0023706C"/>
    <w:rsid w:val="00237220"/>
    <w:rsid w:val="002376AF"/>
    <w:rsid w:val="002378E3"/>
    <w:rsid w:val="00237901"/>
    <w:rsid w:val="00237985"/>
    <w:rsid w:val="00237AD8"/>
    <w:rsid w:val="00237B30"/>
    <w:rsid w:val="00237B33"/>
    <w:rsid w:val="00237B94"/>
    <w:rsid w:val="00237FB5"/>
    <w:rsid w:val="00240153"/>
    <w:rsid w:val="002407EB"/>
    <w:rsid w:val="002409E1"/>
    <w:rsid w:val="00240B66"/>
    <w:rsid w:val="00240BEE"/>
    <w:rsid w:val="00240CF5"/>
    <w:rsid w:val="00240D68"/>
    <w:rsid w:val="00240EDF"/>
    <w:rsid w:val="00240EE4"/>
    <w:rsid w:val="00240F91"/>
    <w:rsid w:val="002413C7"/>
    <w:rsid w:val="00241539"/>
    <w:rsid w:val="002415E6"/>
    <w:rsid w:val="00241750"/>
    <w:rsid w:val="00241AEB"/>
    <w:rsid w:val="00241CAC"/>
    <w:rsid w:val="00241CAD"/>
    <w:rsid w:val="00241D17"/>
    <w:rsid w:val="00241D68"/>
    <w:rsid w:val="00241DC7"/>
    <w:rsid w:val="00241FB4"/>
    <w:rsid w:val="002422F3"/>
    <w:rsid w:val="0024235F"/>
    <w:rsid w:val="00242365"/>
    <w:rsid w:val="002423A0"/>
    <w:rsid w:val="002424D8"/>
    <w:rsid w:val="0024252D"/>
    <w:rsid w:val="00242548"/>
    <w:rsid w:val="002427CB"/>
    <w:rsid w:val="002427D8"/>
    <w:rsid w:val="0024280C"/>
    <w:rsid w:val="00242825"/>
    <w:rsid w:val="002428A0"/>
    <w:rsid w:val="00242A0F"/>
    <w:rsid w:val="00242BC6"/>
    <w:rsid w:val="00242DD1"/>
    <w:rsid w:val="00242DE6"/>
    <w:rsid w:val="00242EFD"/>
    <w:rsid w:val="00242F20"/>
    <w:rsid w:val="00242F47"/>
    <w:rsid w:val="00243094"/>
    <w:rsid w:val="002430EC"/>
    <w:rsid w:val="00243133"/>
    <w:rsid w:val="002431A3"/>
    <w:rsid w:val="002432F7"/>
    <w:rsid w:val="0024337E"/>
    <w:rsid w:val="002433C9"/>
    <w:rsid w:val="002434C0"/>
    <w:rsid w:val="00243671"/>
    <w:rsid w:val="00243755"/>
    <w:rsid w:val="00243847"/>
    <w:rsid w:val="002438B3"/>
    <w:rsid w:val="002439BE"/>
    <w:rsid w:val="002439D6"/>
    <w:rsid w:val="00243A41"/>
    <w:rsid w:val="00243B43"/>
    <w:rsid w:val="00243BA3"/>
    <w:rsid w:val="00243BE9"/>
    <w:rsid w:val="00243CA1"/>
    <w:rsid w:val="00243D98"/>
    <w:rsid w:val="00243E63"/>
    <w:rsid w:val="00243F95"/>
    <w:rsid w:val="00243FA5"/>
    <w:rsid w:val="002441FE"/>
    <w:rsid w:val="002442D3"/>
    <w:rsid w:val="00244697"/>
    <w:rsid w:val="002447C3"/>
    <w:rsid w:val="00244A51"/>
    <w:rsid w:val="00244A7F"/>
    <w:rsid w:val="00244B15"/>
    <w:rsid w:val="00244D80"/>
    <w:rsid w:val="00244F1C"/>
    <w:rsid w:val="0024521B"/>
    <w:rsid w:val="00245359"/>
    <w:rsid w:val="002453B2"/>
    <w:rsid w:val="00245566"/>
    <w:rsid w:val="00245665"/>
    <w:rsid w:val="0024570B"/>
    <w:rsid w:val="002458A7"/>
    <w:rsid w:val="0024599A"/>
    <w:rsid w:val="00245AF7"/>
    <w:rsid w:val="00245EA4"/>
    <w:rsid w:val="00245F0D"/>
    <w:rsid w:val="0024600C"/>
    <w:rsid w:val="00246161"/>
    <w:rsid w:val="002461B1"/>
    <w:rsid w:val="002462D5"/>
    <w:rsid w:val="002462F8"/>
    <w:rsid w:val="00246482"/>
    <w:rsid w:val="002464A5"/>
    <w:rsid w:val="00246A24"/>
    <w:rsid w:val="00246AA4"/>
    <w:rsid w:val="00246C27"/>
    <w:rsid w:val="00247292"/>
    <w:rsid w:val="0024741F"/>
    <w:rsid w:val="00247463"/>
    <w:rsid w:val="0024752B"/>
    <w:rsid w:val="002475E0"/>
    <w:rsid w:val="00247601"/>
    <w:rsid w:val="002478D5"/>
    <w:rsid w:val="00247911"/>
    <w:rsid w:val="00247A62"/>
    <w:rsid w:val="00247E51"/>
    <w:rsid w:val="00247E94"/>
    <w:rsid w:val="00247FDF"/>
    <w:rsid w:val="0025047A"/>
    <w:rsid w:val="002506CA"/>
    <w:rsid w:val="002506E8"/>
    <w:rsid w:val="002507EF"/>
    <w:rsid w:val="00250CAB"/>
    <w:rsid w:val="00250D7A"/>
    <w:rsid w:val="00250DA7"/>
    <w:rsid w:val="00250EB7"/>
    <w:rsid w:val="00250EC9"/>
    <w:rsid w:val="0025111F"/>
    <w:rsid w:val="0025132D"/>
    <w:rsid w:val="00251335"/>
    <w:rsid w:val="00251355"/>
    <w:rsid w:val="0025148E"/>
    <w:rsid w:val="002516DB"/>
    <w:rsid w:val="00251813"/>
    <w:rsid w:val="0025197F"/>
    <w:rsid w:val="00251A1A"/>
    <w:rsid w:val="00251AC6"/>
    <w:rsid w:val="00251CFB"/>
    <w:rsid w:val="00251D87"/>
    <w:rsid w:val="00252137"/>
    <w:rsid w:val="00252469"/>
    <w:rsid w:val="00252520"/>
    <w:rsid w:val="0025253D"/>
    <w:rsid w:val="00252897"/>
    <w:rsid w:val="0025293B"/>
    <w:rsid w:val="00252996"/>
    <w:rsid w:val="00252A20"/>
    <w:rsid w:val="00252CC7"/>
    <w:rsid w:val="00252E1F"/>
    <w:rsid w:val="002530B2"/>
    <w:rsid w:val="002530F3"/>
    <w:rsid w:val="00253350"/>
    <w:rsid w:val="00253387"/>
    <w:rsid w:val="002533A1"/>
    <w:rsid w:val="00253681"/>
    <w:rsid w:val="00253689"/>
    <w:rsid w:val="0025398D"/>
    <w:rsid w:val="00253B91"/>
    <w:rsid w:val="00253B94"/>
    <w:rsid w:val="00253BE2"/>
    <w:rsid w:val="00253C95"/>
    <w:rsid w:val="00253FC3"/>
    <w:rsid w:val="00253FCE"/>
    <w:rsid w:val="002540F9"/>
    <w:rsid w:val="00254140"/>
    <w:rsid w:val="00254360"/>
    <w:rsid w:val="002544B2"/>
    <w:rsid w:val="002544EC"/>
    <w:rsid w:val="00254505"/>
    <w:rsid w:val="0025461C"/>
    <w:rsid w:val="002547AD"/>
    <w:rsid w:val="002548A1"/>
    <w:rsid w:val="002548F6"/>
    <w:rsid w:val="002549DF"/>
    <w:rsid w:val="00254D18"/>
    <w:rsid w:val="00254F72"/>
    <w:rsid w:val="00254FE6"/>
    <w:rsid w:val="002551D8"/>
    <w:rsid w:val="002551E6"/>
    <w:rsid w:val="00255247"/>
    <w:rsid w:val="0025539B"/>
    <w:rsid w:val="00255438"/>
    <w:rsid w:val="002555A9"/>
    <w:rsid w:val="002555EA"/>
    <w:rsid w:val="00255811"/>
    <w:rsid w:val="00255969"/>
    <w:rsid w:val="002559D0"/>
    <w:rsid w:val="00255DAD"/>
    <w:rsid w:val="00255E05"/>
    <w:rsid w:val="00255E1B"/>
    <w:rsid w:val="00255E9B"/>
    <w:rsid w:val="00255F1E"/>
    <w:rsid w:val="00255F83"/>
    <w:rsid w:val="00256485"/>
    <w:rsid w:val="0025660F"/>
    <w:rsid w:val="00256681"/>
    <w:rsid w:val="00256710"/>
    <w:rsid w:val="00256833"/>
    <w:rsid w:val="002568FF"/>
    <w:rsid w:val="0025696A"/>
    <w:rsid w:val="00256A62"/>
    <w:rsid w:val="00256AB2"/>
    <w:rsid w:val="00256BCF"/>
    <w:rsid w:val="00256F7C"/>
    <w:rsid w:val="002571F9"/>
    <w:rsid w:val="002572F6"/>
    <w:rsid w:val="002573B9"/>
    <w:rsid w:val="0025747A"/>
    <w:rsid w:val="002574EC"/>
    <w:rsid w:val="0025764C"/>
    <w:rsid w:val="002576F1"/>
    <w:rsid w:val="002578B9"/>
    <w:rsid w:val="002579CC"/>
    <w:rsid w:val="00257CB0"/>
    <w:rsid w:val="00257FDD"/>
    <w:rsid w:val="002600D9"/>
    <w:rsid w:val="002601C6"/>
    <w:rsid w:val="00260258"/>
    <w:rsid w:val="00260455"/>
    <w:rsid w:val="00260861"/>
    <w:rsid w:val="00260A21"/>
    <w:rsid w:val="00260ACF"/>
    <w:rsid w:val="00260D21"/>
    <w:rsid w:val="00260ED6"/>
    <w:rsid w:val="00260EFF"/>
    <w:rsid w:val="00260FCC"/>
    <w:rsid w:val="0026116A"/>
    <w:rsid w:val="002611F4"/>
    <w:rsid w:val="0026172C"/>
    <w:rsid w:val="002617CA"/>
    <w:rsid w:val="0026194E"/>
    <w:rsid w:val="00261C83"/>
    <w:rsid w:val="00261C9B"/>
    <w:rsid w:val="00261CA6"/>
    <w:rsid w:val="00261FA6"/>
    <w:rsid w:val="0026205C"/>
    <w:rsid w:val="002620FF"/>
    <w:rsid w:val="002623BE"/>
    <w:rsid w:val="0026247D"/>
    <w:rsid w:val="00262683"/>
    <w:rsid w:val="00262775"/>
    <w:rsid w:val="00262792"/>
    <w:rsid w:val="002627E7"/>
    <w:rsid w:val="002629B0"/>
    <w:rsid w:val="002629C1"/>
    <w:rsid w:val="002629F2"/>
    <w:rsid w:val="00262A6A"/>
    <w:rsid w:val="00262BF8"/>
    <w:rsid w:val="00262C0D"/>
    <w:rsid w:val="0026316E"/>
    <w:rsid w:val="002632C3"/>
    <w:rsid w:val="00263570"/>
    <w:rsid w:val="00263576"/>
    <w:rsid w:val="00263688"/>
    <w:rsid w:val="002637ED"/>
    <w:rsid w:val="0026394D"/>
    <w:rsid w:val="00263A23"/>
    <w:rsid w:val="00263B07"/>
    <w:rsid w:val="00263BC6"/>
    <w:rsid w:val="00263C36"/>
    <w:rsid w:val="00263D44"/>
    <w:rsid w:val="00263E6F"/>
    <w:rsid w:val="00263EA5"/>
    <w:rsid w:val="00263F9F"/>
    <w:rsid w:val="00264185"/>
    <w:rsid w:val="002643C7"/>
    <w:rsid w:val="00264C1B"/>
    <w:rsid w:val="00264CFE"/>
    <w:rsid w:val="00265028"/>
    <w:rsid w:val="002654C7"/>
    <w:rsid w:val="002655B2"/>
    <w:rsid w:val="002656AE"/>
    <w:rsid w:val="002657C0"/>
    <w:rsid w:val="00265A60"/>
    <w:rsid w:val="00265B23"/>
    <w:rsid w:val="00265B94"/>
    <w:rsid w:val="00265BA8"/>
    <w:rsid w:val="00265C4D"/>
    <w:rsid w:val="00265DE3"/>
    <w:rsid w:val="00265E4D"/>
    <w:rsid w:val="0026600B"/>
    <w:rsid w:val="0026603C"/>
    <w:rsid w:val="00266157"/>
    <w:rsid w:val="00266317"/>
    <w:rsid w:val="00266428"/>
    <w:rsid w:val="0026648D"/>
    <w:rsid w:val="00266608"/>
    <w:rsid w:val="002669BC"/>
    <w:rsid w:val="00266BAF"/>
    <w:rsid w:val="00266D65"/>
    <w:rsid w:val="00266DE5"/>
    <w:rsid w:val="00266F68"/>
    <w:rsid w:val="00266F71"/>
    <w:rsid w:val="00267260"/>
    <w:rsid w:val="00267365"/>
    <w:rsid w:val="0026748C"/>
    <w:rsid w:val="0026751B"/>
    <w:rsid w:val="00267692"/>
    <w:rsid w:val="00267886"/>
    <w:rsid w:val="00267C39"/>
    <w:rsid w:val="00267DF5"/>
    <w:rsid w:val="00267E54"/>
    <w:rsid w:val="00267EAF"/>
    <w:rsid w:val="00267EFD"/>
    <w:rsid w:val="00268E49"/>
    <w:rsid w:val="00270568"/>
    <w:rsid w:val="00270DD7"/>
    <w:rsid w:val="00270F5C"/>
    <w:rsid w:val="00270F76"/>
    <w:rsid w:val="00270F77"/>
    <w:rsid w:val="002710A5"/>
    <w:rsid w:val="002712BB"/>
    <w:rsid w:val="00271342"/>
    <w:rsid w:val="00271704"/>
    <w:rsid w:val="0027189E"/>
    <w:rsid w:val="002718EB"/>
    <w:rsid w:val="00271B61"/>
    <w:rsid w:val="00271C65"/>
    <w:rsid w:val="00271C9E"/>
    <w:rsid w:val="00271D62"/>
    <w:rsid w:val="00271E6F"/>
    <w:rsid w:val="00271F40"/>
    <w:rsid w:val="00271FB1"/>
    <w:rsid w:val="00272183"/>
    <w:rsid w:val="0027221E"/>
    <w:rsid w:val="00272401"/>
    <w:rsid w:val="0027253F"/>
    <w:rsid w:val="002725AF"/>
    <w:rsid w:val="0027269F"/>
    <w:rsid w:val="002727D0"/>
    <w:rsid w:val="00272B2E"/>
    <w:rsid w:val="00272B3C"/>
    <w:rsid w:val="00272DE5"/>
    <w:rsid w:val="00272E8F"/>
    <w:rsid w:val="00273070"/>
    <w:rsid w:val="0027318E"/>
    <w:rsid w:val="00273230"/>
    <w:rsid w:val="002733C3"/>
    <w:rsid w:val="0027353D"/>
    <w:rsid w:val="00273806"/>
    <w:rsid w:val="00273A82"/>
    <w:rsid w:val="00273AD6"/>
    <w:rsid w:val="00273B6B"/>
    <w:rsid w:val="00273BE4"/>
    <w:rsid w:val="00273C4C"/>
    <w:rsid w:val="00273C70"/>
    <w:rsid w:val="00273E21"/>
    <w:rsid w:val="00273E5F"/>
    <w:rsid w:val="00273EEC"/>
    <w:rsid w:val="00274038"/>
    <w:rsid w:val="002740D3"/>
    <w:rsid w:val="002741A8"/>
    <w:rsid w:val="00274391"/>
    <w:rsid w:val="002743A5"/>
    <w:rsid w:val="002743AB"/>
    <w:rsid w:val="00274427"/>
    <w:rsid w:val="00274636"/>
    <w:rsid w:val="0027472D"/>
    <w:rsid w:val="00274BEF"/>
    <w:rsid w:val="00274F16"/>
    <w:rsid w:val="0027518B"/>
    <w:rsid w:val="0027524A"/>
    <w:rsid w:val="0027525D"/>
    <w:rsid w:val="0027539F"/>
    <w:rsid w:val="0027544F"/>
    <w:rsid w:val="002756F7"/>
    <w:rsid w:val="00275822"/>
    <w:rsid w:val="00275CDF"/>
    <w:rsid w:val="00275F09"/>
    <w:rsid w:val="00275F4D"/>
    <w:rsid w:val="0027610E"/>
    <w:rsid w:val="0027638C"/>
    <w:rsid w:val="002763F4"/>
    <w:rsid w:val="00276443"/>
    <w:rsid w:val="00276662"/>
    <w:rsid w:val="0027683A"/>
    <w:rsid w:val="002768F6"/>
    <w:rsid w:val="00276C5E"/>
    <w:rsid w:val="00276CB3"/>
    <w:rsid w:val="00276E2E"/>
    <w:rsid w:val="002773A8"/>
    <w:rsid w:val="00277528"/>
    <w:rsid w:val="00277618"/>
    <w:rsid w:val="0027761B"/>
    <w:rsid w:val="00277762"/>
    <w:rsid w:val="002778A8"/>
    <w:rsid w:val="00277964"/>
    <w:rsid w:val="00277B51"/>
    <w:rsid w:val="00277B8D"/>
    <w:rsid w:val="00277C8D"/>
    <w:rsid w:val="002800FE"/>
    <w:rsid w:val="0028033D"/>
    <w:rsid w:val="002803C4"/>
    <w:rsid w:val="002803F3"/>
    <w:rsid w:val="002805CB"/>
    <w:rsid w:val="0028075F"/>
    <w:rsid w:val="002808D8"/>
    <w:rsid w:val="0028099F"/>
    <w:rsid w:val="00280E95"/>
    <w:rsid w:val="00281176"/>
    <w:rsid w:val="0028128C"/>
    <w:rsid w:val="0028129F"/>
    <w:rsid w:val="002813D5"/>
    <w:rsid w:val="002815C4"/>
    <w:rsid w:val="00281B16"/>
    <w:rsid w:val="00281BD2"/>
    <w:rsid w:val="00281D22"/>
    <w:rsid w:val="00281EC6"/>
    <w:rsid w:val="0028205F"/>
    <w:rsid w:val="002820DA"/>
    <w:rsid w:val="002821D5"/>
    <w:rsid w:val="00282312"/>
    <w:rsid w:val="002825D1"/>
    <w:rsid w:val="002828F3"/>
    <w:rsid w:val="00282986"/>
    <w:rsid w:val="00282A14"/>
    <w:rsid w:val="00282D4A"/>
    <w:rsid w:val="00282E0C"/>
    <w:rsid w:val="0028329E"/>
    <w:rsid w:val="002835B8"/>
    <w:rsid w:val="00283E37"/>
    <w:rsid w:val="00284126"/>
    <w:rsid w:val="002846D5"/>
    <w:rsid w:val="0028480E"/>
    <w:rsid w:val="00284A33"/>
    <w:rsid w:val="00284B1F"/>
    <w:rsid w:val="00284B6C"/>
    <w:rsid w:val="00284C04"/>
    <w:rsid w:val="00284CB9"/>
    <w:rsid w:val="00284CD2"/>
    <w:rsid w:val="00285163"/>
    <w:rsid w:val="002854AF"/>
    <w:rsid w:val="002856EE"/>
    <w:rsid w:val="00285743"/>
    <w:rsid w:val="00285813"/>
    <w:rsid w:val="00285838"/>
    <w:rsid w:val="00285B81"/>
    <w:rsid w:val="00285CC6"/>
    <w:rsid w:val="00286323"/>
    <w:rsid w:val="0028635D"/>
    <w:rsid w:val="002863CD"/>
    <w:rsid w:val="002864D7"/>
    <w:rsid w:val="00286650"/>
    <w:rsid w:val="00286889"/>
    <w:rsid w:val="00286AC9"/>
    <w:rsid w:val="00286BAA"/>
    <w:rsid w:val="00286C14"/>
    <w:rsid w:val="00286DC3"/>
    <w:rsid w:val="00286E5C"/>
    <w:rsid w:val="00287138"/>
    <w:rsid w:val="00287311"/>
    <w:rsid w:val="00287363"/>
    <w:rsid w:val="002873E3"/>
    <w:rsid w:val="0028754A"/>
    <w:rsid w:val="0028766A"/>
    <w:rsid w:val="0028773F"/>
    <w:rsid w:val="002877BD"/>
    <w:rsid w:val="00287841"/>
    <w:rsid w:val="00287979"/>
    <w:rsid w:val="00287A2F"/>
    <w:rsid w:val="00287A64"/>
    <w:rsid w:val="00287CFF"/>
    <w:rsid w:val="00287E85"/>
    <w:rsid w:val="00287E86"/>
    <w:rsid w:val="00287EFD"/>
    <w:rsid w:val="00287FC6"/>
    <w:rsid w:val="00290014"/>
    <w:rsid w:val="00290196"/>
    <w:rsid w:val="00290250"/>
    <w:rsid w:val="00290360"/>
    <w:rsid w:val="002904EB"/>
    <w:rsid w:val="00290795"/>
    <w:rsid w:val="002908B1"/>
    <w:rsid w:val="00290B22"/>
    <w:rsid w:val="00290E61"/>
    <w:rsid w:val="0029120D"/>
    <w:rsid w:val="002912A9"/>
    <w:rsid w:val="00291958"/>
    <w:rsid w:val="00291AC5"/>
    <w:rsid w:val="00291BFE"/>
    <w:rsid w:val="00291CDA"/>
    <w:rsid w:val="00291F23"/>
    <w:rsid w:val="0029200E"/>
    <w:rsid w:val="0029222B"/>
    <w:rsid w:val="002923BC"/>
    <w:rsid w:val="00292E85"/>
    <w:rsid w:val="00293369"/>
    <w:rsid w:val="00293388"/>
    <w:rsid w:val="002933A9"/>
    <w:rsid w:val="0029387F"/>
    <w:rsid w:val="002938B9"/>
    <w:rsid w:val="00293ECF"/>
    <w:rsid w:val="00293F9B"/>
    <w:rsid w:val="00293FF2"/>
    <w:rsid w:val="00294087"/>
    <w:rsid w:val="00294305"/>
    <w:rsid w:val="00294350"/>
    <w:rsid w:val="00294364"/>
    <w:rsid w:val="0029449B"/>
    <w:rsid w:val="0029455E"/>
    <w:rsid w:val="00294650"/>
    <w:rsid w:val="002947C0"/>
    <w:rsid w:val="0029498E"/>
    <w:rsid w:val="002949FE"/>
    <w:rsid w:val="00294A2A"/>
    <w:rsid w:val="00294AB9"/>
    <w:rsid w:val="00294C7E"/>
    <w:rsid w:val="00294CFE"/>
    <w:rsid w:val="00294F55"/>
    <w:rsid w:val="002956DB"/>
    <w:rsid w:val="00295714"/>
    <w:rsid w:val="00295764"/>
    <w:rsid w:val="00295796"/>
    <w:rsid w:val="0029597F"/>
    <w:rsid w:val="00295B60"/>
    <w:rsid w:val="00295C5A"/>
    <w:rsid w:val="00295D56"/>
    <w:rsid w:val="00296089"/>
    <w:rsid w:val="00296304"/>
    <w:rsid w:val="00296508"/>
    <w:rsid w:val="002965B7"/>
    <w:rsid w:val="002969B7"/>
    <w:rsid w:val="00296A0C"/>
    <w:rsid w:val="00296B07"/>
    <w:rsid w:val="00296C5D"/>
    <w:rsid w:val="00296D99"/>
    <w:rsid w:val="00296E36"/>
    <w:rsid w:val="00296EBD"/>
    <w:rsid w:val="0029723D"/>
    <w:rsid w:val="002973F5"/>
    <w:rsid w:val="00297682"/>
    <w:rsid w:val="00297E07"/>
    <w:rsid w:val="002A00F9"/>
    <w:rsid w:val="002A01AE"/>
    <w:rsid w:val="002A01D2"/>
    <w:rsid w:val="002A02B3"/>
    <w:rsid w:val="002A02C6"/>
    <w:rsid w:val="002A02C7"/>
    <w:rsid w:val="002A054D"/>
    <w:rsid w:val="002A08A4"/>
    <w:rsid w:val="002A0AD2"/>
    <w:rsid w:val="002A0B00"/>
    <w:rsid w:val="002A0D03"/>
    <w:rsid w:val="002A0E92"/>
    <w:rsid w:val="002A0FE0"/>
    <w:rsid w:val="002A1214"/>
    <w:rsid w:val="002A136B"/>
    <w:rsid w:val="002A182A"/>
    <w:rsid w:val="002A18A2"/>
    <w:rsid w:val="002A19BE"/>
    <w:rsid w:val="002A19D6"/>
    <w:rsid w:val="002A1C2E"/>
    <w:rsid w:val="002A1EC3"/>
    <w:rsid w:val="002A1EF8"/>
    <w:rsid w:val="002A24CC"/>
    <w:rsid w:val="002A25BD"/>
    <w:rsid w:val="002A2766"/>
    <w:rsid w:val="002A2791"/>
    <w:rsid w:val="002A27B4"/>
    <w:rsid w:val="002A28B1"/>
    <w:rsid w:val="002A2965"/>
    <w:rsid w:val="002A29C6"/>
    <w:rsid w:val="002A2ACB"/>
    <w:rsid w:val="002A2B60"/>
    <w:rsid w:val="002A2B76"/>
    <w:rsid w:val="002A2B93"/>
    <w:rsid w:val="002A2D12"/>
    <w:rsid w:val="002A2D9F"/>
    <w:rsid w:val="002A2E63"/>
    <w:rsid w:val="002A2FFF"/>
    <w:rsid w:val="002A3295"/>
    <w:rsid w:val="002A3324"/>
    <w:rsid w:val="002A3337"/>
    <w:rsid w:val="002A3399"/>
    <w:rsid w:val="002A36B2"/>
    <w:rsid w:val="002A36F3"/>
    <w:rsid w:val="002A390D"/>
    <w:rsid w:val="002A3D40"/>
    <w:rsid w:val="002A3DCA"/>
    <w:rsid w:val="002A3F11"/>
    <w:rsid w:val="002A40FF"/>
    <w:rsid w:val="002A444A"/>
    <w:rsid w:val="002A4510"/>
    <w:rsid w:val="002A45F1"/>
    <w:rsid w:val="002A465D"/>
    <w:rsid w:val="002A4AE7"/>
    <w:rsid w:val="002A4BE4"/>
    <w:rsid w:val="002A4CB1"/>
    <w:rsid w:val="002A4D4A"/>
    <w:rsid w:val="002A5188"/>
    <w:rsid w:val="002A51D6"/>
    <w:rsid w:val="002A51FB"/>
    <w:rsid w:val="002A5203"/>
    <w:rsid w:val="002A5367"/>
    <w:rsid w:val="002A53CD"/>
    <w:rsid w:val="002A54B1"/>
    <w:rsid w:val="002A5651"/>
    <w:rsid w:val="002A5833"/>
    <w:rsid w:val="002A5A1B"/>
    <w:rsid w:val="002A5BD4"/>
    <w:rsid w:val="002A5BFA"/>
    <w:rsid w:val="002A5DEC"/>
    <w:rsid w:val="002A5EB1"/>
    <w:rsid w:val="002A5EB8"/>
    <w:rsid w:val="002A5FA1"/>
    <w:rsid w:val="002A5FA6"/>
    <w:rsid w:val="002A6026"/>
    <w:rsid w:val="002A613F"/>
    <w:rsid w:val="002A623F"/>
    <w:rsid w:val="002A62DB"/>
    <w:rsid w:val="002A64C6"/>
    <w:rsid w:val="002A66CD"/>
    <w:rsid w:val="002A680A"/>
    <w:rsid w:val="002A68B7"/>
    <w:rsid w:val="002A6928"/>
    <w:rsid w:val="002A6959"/>
    <w:rsid w:val="002A6979"/>
    <w:rsid w:val="002A6B42"/>
    <w:rsid w:val="002A6CC0"/>
    <w:rsid w:val="002A6D0D"/>
    <w:rsid w:val="002A6E0C"/>
    <w:rsid w:val="002A6E0D"/>
    <w:rsid w:val="002A6E0E"/>
    <w:rsid w:val="002A704A"/>
    <w:rsid w:val="002A7353"/>
    <w:rsid w:val="002A761C"/>
    <w:rsid w:val="002A7729"/>
    <w:rsid w:val="002A7798"/>
    <w:rsid w:val="002A77CF"/>
    <w:rsid w:val="002A7D5B"/>
    <w:rsid w:val="002A7E15"/>
    <w:rsid w:val="002B051B"/>
    <w:rsid w:val="002B056C"/>
    <w:rsid w:val="002B059F"/>
    <w:rsid w:val="002B08CE"/>
    <w:rsid w:val="002B0C5B"/>
    <w:rsid w:val="002B0E85"/>
    <w:rsid w:val="002B0EB0"/>
    <w:rsid w:val="002B0ED3"/>
    <w:rsid w:val="002B0FD8"/>
    <w:rsid w:val="002B10C6"/>
    <w:rsid w:val="002B11EE"/>
    <w:rsid w:val="002B11F6"/>
    <w:rsid w:val="002B12E3"/>
    <w:rsid w:val="002B13C5"/>
    <w:rsid w:val="002B1421"/>
    <w:rsid w:val="002B1499"/>
    <w:rsid w:val="002B14C6"/>
    <w:rsid w:val="002B157D"/>
    <w:rsid w:val="002B1598"/>
    <w:rsid w:val="002B17D3"/>
    <w:rsid w:val="002B193C"/>
    <w:rsid w:val="002B1A5A"/>
    <w:rsid w:val="002B1AAB"/>
    <w:rsid w:val="002B1B1A"/>
    <w:rsid w:val="002B1B65"/>
    <w:rsid w:val="002B1BE4"/>
    <w:rsid w:val="002B1BEE"/>
    <w:rsid w:val="002B1C60"/>
    <w:rsid w:val="002B1C8D"/>
    <w:rsid w:val="002B1DFF"/>
    <w:rsid w:val="002B1EAB"/>
    <w:rsid w:val="002B1FD0"/>
    <w:rsid w:val="002B20D9"/>
    <w:rsid w:val="002B2294"/>
    <w:rsid w:val="002B2298"/>
    <w:rsid w:val="002B23A6"/>
    <w:rsid w:val="002B24C6"/>
    <w:rsid w:val="002B2515"/>
    <w:rsid w:val="002B266F"/>
    <w:rsid w:val="002B26A5"/>
    <w:rsid w:val="002B27DB"/>
    <w:rsid w:val="002B28C2"/>
    <w:rsid w:val="002B28C4"/>
    <w:rsid w:val="002B294F"/>
    <w:rsid w:val="002B2A99"/>
    <w:rsid w:val="002B31E0"/>
    <w:rsid w:val="002B32CF"/>
    <w:rsid w:val="002B32D1"/>
    <w:rsid w:val="002B336B"/>
    <w:rsid w:val="002B351B"/>
    <w:rsid w:val="002B36C7"/>
    <w:rsid w:val="002B388E"/>
    <w:rsid w:val="002B3A90"/>
    <w:rsid w:val="002B3E11"/>
    <w:rsid w:val="002B3E86"/>
    <w:rsid w:val="002B3F94"/>
    <w:rsid w:val="002B40D0"/>
    <w:rsid w:val="002B41BE"/>
    <w:rsid w:val="002B42AA"/>
    <w:rsid w:val="002B4344"/>
    <w:rsid w:val="002B43D3"/>
    <w:rsid w:val="002B445E"/>
    <w:rsid w:val="002B447D"/>
    <w:rsid w:val="002B45D3"/>
    <w:rsid w:val="002B480A"/>
    <w:rsid w:val="002B4954"/>
    <w:rsid w:val="002B4CEF"/>
    <w:rsid w:val="002B4EB0"/>
    <w:rsid w:val="002B4F12"/>
    <w:rsid w:val="002B514A"/>
    <w:rsid w:val="002B53D2"/>
    <w:rsid w:val="002B55EE"/>
    <w:rsid w:val="002B5A9C"/>
    <w:rsid w:val="002B5B73"/>
    <w:rsid w:val="002B5EB1"/>
    <w:rsid w:val="002B6003"/>
    <w:rsid w:val="002B603F"/>
    <w:rsid w:val="002B6140"/>
    <w:rsid w:val="002B62F9"/>
    <w:rsid w:val="002B6321"/>
    <w:rsid w:val="002B634C"/>
    <w:rsid w:val="002B650E"/>
    <w:rsid w:val="002B656F"/>
    <w:rsid w:val="002B68AB"/>
    <w:rsid w:val="002B694A"/>
    <w:rsid w:val="002B6A0C"/>
    <w:rsid w:val="002B6C0C"/>
    <w:rsid w:val="002B6C54"/>
    <w:rsid w:val="002B6CBA"/>
    <w:rsid w:val="002B6D64"/>
    <w:rsid w:val="002B6F1B"/>
    <w:rsid w:val="002B7287"/>
    <w:rsid w:val="002B74D2"/>
    <w:rsid w:val="002B7665"/>
    <w:rsid w:val="002B7955"/>
    <w:rsid w:val="002B7972"/>
    <w:rsid w:val="002B7C34"/>
    <w:rsid w:val="002B7C3D"/>
    <w:rsid w:val="002B7C9E"/>
    <w:rsid w:val="002B7E68"/>
    <w:rsid w:val="002C0345"/>
    <w:rsid w:val="002C041F"/>
    <w:rsid w:val="002C0612"/>
    <w:rsid w:val="002C06B6"/>
    <w:rsid w:val="002C0724"/>
    <w:rsid w:val="002C07E9"/>
    <w:rsid w:val="002C0A3B"/>
    <w:rsid w:val="002C0AC8"/>
    <w:rsid w:val="002C0B83"/>
    <w:rsid w:val="002C0CC1"/>
    <w:rsid w:val="002C0DDE"/>
    <w:rsid w:val="002C0E11"/>
    <w:rsid w:val="002C10AE"/>
    <w:rsid w:val="002C122D"/>
    <w:rsid w:val="002C12A3"/>
    <w:rsid w:val="002C12F8"/>
    <w:rsid w:val="002C1362"/>
    <w:rsid w:val="002C14AF"/>
    <w:rsid w:val="002C14B3"/>
    <w:rsid w:val="002C16F3"/>
    <w:rsid w:val="002C1792"/>
    <w:rsid w:val="002C18A1"/>
    <w:rsid w:val="002C18F2"/>
    <w:rsid w:val="002C1913"/>
    <w:rsid w:val="002C19EB"/>
    <w:rsid w:val="002C1A40"/>
    <w:rsid w:val="002C1A79"/>
    <w:rsid w:val="002C1BD9"/>
    <w:rsid w:val="002C1C19"/>
    <w:rsid w:val="002C1D1B"/>
    <w:rsid w:val="002C1D61"/>
    <w:rsid w:val="002C1F7F"/>
    <w:rsid w:val="002C23FF"/>
    <w:rsid w:val="002C2459"/>
    <w:rsid w:val="002C2587"/>
    <w:rsid w:val="002C2593"/>
    <w:rsid w:val="002C2645"/>
    <w:rsid w:val="002C2715"/>
    <w:rsid w:val="002C289C"/>
    <w:rsid w:val="002C29AF"/>
    <w:rsid w:val="002C2CC9"/>
    <w:rsid w:val="002C2E00"/>
    <w:rsid w:val="002C2E1A"/>
    <w:rsid w:val="002C2EA8"/>
    <w:rsid w:val="002C2F17"/>
    <w:rsid w:val="002C2F20"/>
    <w:rsid w:val="002C30CA"/>
    <w:rsid w:val="002C32ED"/>
    <w:rsid w:val="002C36B6"/>
    <w:rsid w:val="002C377F"/>
    <w:rsid w:val="002C378D"/>
    <w:rsid w:val="002C3FAA"/>
    <w:rsid w:val="002C4047"/>
    <w:rsid w:val="002C40BD"/>
    <w:rsid w:val="002C40C9"/>
    <w:rsid w:val="002C426D"/>
    <w:rsid w:val="002C4365"/>
    <w:rsid w:val="002C44B2"/>
    <w:rsid w:val="002C4572"/>
    <w:rsid w:val="002C47BD"/>
    <w:rsid w:val="002C4B03"/>
    <w:rsid w:val="002C4D5A"/>
    <w:rsid w:val="002C4E6B"/>
    <w:rsid w:val="002C4E77"/>
    <w:rsid w:val="002C51F0"/>
    <w:rsid w:val="002C5319"/>
    <w:rsid w:val="002C539F"/>
    <w:rsid w:val="002C53B2"/>
    <w:rsid w:val="002C554A"/>
    <w:rsid w:val="002C5841"/>
    <w:rsid w:val="002C59A6"/>
    <w:rsid w:val="002C59FA"/>
    <w:rsid w:val="002C5CCE"/>
    <w:rsid w:val="002C5CDF"/>
    <w:rsid w:val="002C5F0F"/>
    <w:rsid w:val="002C5F13"/>
    <w:rsid w:val="002C600F"/>
    <w:rsid w:val="002C626C"/>
    <w:rsid w:val="002C63EB"/>
    <w:rsid w:val="002C6526"/>
    <w:rsid w:val="002C6A8C"/>
    <w:rsid w:val="002C6ADF"/>
    <w:rsid w:val="002C6BEF"/>
    <w:rsid w:val="002C6C59"/>
    <w:rsid w:val="002C6E1C"/>
    <w:rsid w:val="002C6FCE"/>
    <w:rsid w:val="002C702C"/>
    <w:rsid w:val="002C7042"/>
    <w:rsid w:val="002C7048"/>
    <w:rsid w:val="002C71D8"/>
    <w:rsid w:val="002C72A3"/>
    <w:rsid w:val="002C7395"/>
    <w:rsid w:val="002C73F2"/>
    <w:rsid w:val="002C7570"/>
    <w:rsid w:val="002C7618"/>
    <w:rsid w:val="002C780B"/>
    <w:rsid w:val="002C78F7"/>
    <w:rsid w:val="002C7CA2"/>
    <w:rsid w:val="002C7D88"/>
    <w:rsid w:val="002C7E35"/>
    <w:rsid w:val="002C7FBB"/>
    <w:rsid w:val="002D0061"/>
    <w:rsid w:val="002D037D"/>
    <w:rsid w:val="002D054C"/>
    <w:rsid w:val="002D06F3"/>
    <w:rsid w:val="002D08D8"/>
    <w:rsid w:val="002D0950"/>
    <w:rsid w:val="002D09AD"/>
    <w:rsid w:val="002D0CF3"/>
    <w:rsid w:val="002D0DF7"/>
    <w:rsid w:val="002D0E01"/>
    <w:rsid w:val="002D14D0"/>
    <w:rsid w:val="002D1701"/>
    <w:rsid w:val="002D17F5"/>
    <w:rsid w:val="002D1A88"/>
    <w:rsid w:val="002D1C79"/>
    <w:rsid w:val="002D1CB9"/>
    <w:rsid w:val="002D2014"/>
    <w:rsid w:val="002D20A7"/>
    <w:rsid w:val="002D216F"/>
    <w:rsid w:val="002D21CF"/>
    <w:rsid w:val="002D22EB"/>
    <w:rsid w:val="002D23BE"/>
    <w:rsid w:val="002D2534"/>
    <w:rsid w:val="002D2728"/>
    <w:rsid w:val="002D27C8"/>
    <w:rsid w:val="002D297E"/>
    <w:rsid w:val="002D2AC4"/>
    <w:rsid w:val="002D2B11"/>
    <w:rsid w:val="002D2B16"/>
    <w:rsid w:val="002D2F79"/>
    <w:rsid w:val="002D3078"/>
    <w:rsid w:val="002D30A8"/>
    <w:rsid w:val="002D3337"/>
    <w:rsid w:val="002D351F"/>
    <w:rsid w:val="002D36E8"/>
    <w:rsid w:val="002D3B2D"/>
    <w:rsid w:val="002D3DAD"/>
    <w:rsid w:val="002D3E61"/>
    <w:rsid w:val="002D3F03"/>
    <w:rsid w:val="002D43E6"/>
    <w:rsid w:val="002D4B79"/>
    <w:rsid w:val="002D4C75"/>
    <w:rsid w:val="002D4CBA"/>
    <w:rsid w:val="002D4D52"/>
    <w:rsid w:val="002D5131"/>
    <w:rsid w:val="002D5348"/>
    <w:rsid w:val="002D53A8"/>
    <w:rsid w:val="002D5529"/>
    <w:rsid w:val="002D5656"/>
    <w:rsid w:val="002D5682"/>
    <w:rsid w:val="002D5716"/>
    <w:rsid w:val="002D58F3"/>
    <w:rsid w:val="002D594E"/>
    <w:rsid w:val="002D59DB"/>
    <w:rsid w:val="002D5B2F"/>
    <w:rsid w:val="002D5C15"/>
    <w:rsid w:val="002D5DFA"/>
    <w:rsid w:val="002D5F4B"/>
    <w:rsid w:val="002D62BD"/>
    <w:rsid w:val="002D6445"/>
    <w:rsid w:val="002D64DC"/>
    <w:rsid w:val="002D6586"/>
    <w:rsid w:val="002D66F9"/>
    <w:rsid w:val="002D6764"/>
    <w:rsid w:val="002D691E"/>
    <w:rsid w:val="002D6960"/>
    <w:rsid w:val="002D6B64"/>
    <w:rsid w:val="002D6B6B"/>
    <w:rsid w:val="002D6BDC"/>
    <w:rsid w:val="002D6D76"/>
    <w:rsid w:val="002D6ED7"/>
    <w:rsid w:val="002D704B"/>
    <w:rsid w:val="002D7116"/>
    <w:rsid w:val="002D7254"/>
    <w:rsid w:val="002D72DD"/>
    <w:rsid w:val="002D732A"/>
    <w:rsid w:val="002D7585"/>
    <w:rsid w:val="002D75DC"/>
    <w:rsid w:val="002D7980"/>
    <w:rsid w:val="002D7D5B"/>
    <w:rsid w:val="002D7F57"/>
    <w:rsid w:val="002E011B"/>
    <w:rsid w:val="002E02F2"/>
    <w:rsid w:val="002E040D"/>
    <w:rsid w:val="002E040E"/>
    <w:rsid w:val="002E087E"/>
    <w:rsid w:val="002E08DD"/>
    <w:rsid w:val="002E0A7B"/>
    <w:rsid w:val="002E0D6A"/>
    <w:rsid w:val="002E0EA8"/>
    <w:rsid w:val="002E136A"/>
    <w:rsid w:val="002E148C"/>
    <w:rsid w:val="002E154B"/>
    <w:rsid w:val="002E1592"/>
    <w:rsid w:val="002E15DB"/>
    <w:rsid w:val="002E1868"/>
    <w:rsid w:val="002E1A62"/>
    <w:rsid w:val="002E1C2D"/>
    <w:rsid w:val="002E1E77"/>
    <w:rsid w:val="002E1ED8"/>
    <w:rsid w:val="002E1F2A"/>
    <w:rsid w:val="002E1F7D"/>
    <w:rsid w:val="002E20D5"/>
    <w:rsid w:val="002E2286"/>
    <w:rsid w:val="002E289D"/>
    <w:rsid w:val="002E28BE"/>
    <w:rsid w:val="002E2960"/>
    <w:rsid w:val="002E2A1F"/>
    <w:rsid w:val="002E2B20"/>
    <w:rsid w:val="002E2B2A"/>
    <w:rsid w:val="002E2BC6"/>
    <w:rsid w:val="002E2CFC"/>
    <w:rsid w:val="002E2D27"/>
    <w:rsid w:val="002E308A"/>
    <w:rsid w:val="002E313F"/>
    <w:rsid w:val="002E348E"/>
    <w:rsid w:val="002E384C"/>
    <w:rsid w:val="002E3969"/>
    <w:rsid w:val="002E39EF"/>
    <w:rsid w:val="002E403E"/>
    <w:rsid w:val="002E41CB"/>
    <w:rsid w:val="002E43B9"/>
    <w:rsid w:val="002E4544"/>
    <w:rsid w:val="002E473B"/>
    <w:rsid w:val="002E47AE"/>
    <w:rsid w:val="002E4873"/>
    <w:rsid w:val="002E4895"/>
    <w:rsid w:val="002E4B5C"/>
    <w:rsid w:val="002E4D3B"/>
    <w:rsid w:val="002E4EFD"/>
    <w:rsid w:val="002E4F0B"/>
    <w:rsid w:val="002E4FAF"/>
    <w:rsid w:val="002E50C1"/>
    <w:rsid w:val="002E5103"/>
    <w:rsid w:val="002E536D"/>
    <w:rsid w:val="002E5384"/>
    <w:rsid w:val="002E5393"/>
    <w:rsid w:val="002E55C0"/>
    <w:rsid w:val="002E5637"/>
    <w:rsid w:val="002E5990"/>
    <w:rsid w:val="002E5B34"/>
    <w:rsid w:val="002E5B4C"/>
    <w:rsid w:val="002E5D61"/>
    <w:rsid w:val="002E6018"/>
    <w:rsid w:val="002E6375"/>
    <w:rsid w:val="002E6414"/>
    <w:rsid w:val="002E6554"/>
    <w:rsid w:val="002E6588"/>
    <w:rsid w:val="002E658E"/>
    <w:rsid w:val="002E689C"/>
    <w:rsid w:val="002E69EC"/>
    <w:rsid w:val="002E6AD6"/>
    <w:rsid w:val="002E6BD4"/>
    <w:rsid w:val="002E6D14"/>
    <w:rsid w:val="002E6FF4"/>
    <w:rsid w:val="002E7063"/>
    <w:rsid w:val="002E71A1"/>
    <w:rsid w:val="002E723A"/>
    <w:rsid w:val="002E7396"/>
    <w:rsid w:val="002E74E6"/>
    <w:rsid w:val="002E7525"/>
    <w:rsid w:val="002E7651"/>
    <w:rsid w:val="002E7699"/>
    <w:rsid w:val="002E78B9"/>
    <w:rsid w:val="002E7A00"/>
    <w:rsid w:val="002E7AAF"/>
    <w:rsid w:val="002E7ACC"/>
    <w:rsid w:val="002E7CFB"/>
    <w:rsid w:val="002E7D0E"/>
    <w:rsid w:val="002E7FFB"/>
    <w:rsid w:val="002F0095"/>
    <w:rsid w:val="002F0389"/>
    <w:rsid w:val="002F046A"/>
    <w:rsid w:val="002F0736"/>
    <w:rsid w:val="002F07D6"/>
    <w:rsid w:val="002F0850"/>
    <w:rsid w:val="002F089A"/>
    <w:rsid w:val="002F0A87"/>
    <w:rsid w:val="002F0D49"/>
    <w:rsid w:val="002F0EA3"/>
    <w:rsid w:val="002F0F60"/>
    <w:rsid w:val="002F11AF"/>
    <w:rsid w:val="002F13CA"/>
    <w:rsid w:val="002F13DA"/>
    <w:rsid w:val="002F1439"/>
    <w:rsid w:val="002F175C"/>
    <w:rsid w:val="002F17A0"/>
    <w:rsid w:val="002F1ADE"/>
    <w:rsid w:val="002F1C59"/>
    <w:rsid w:val="002F1D39"/>
    <w:rsid w:val="002F1E27"/>
    <w:rsid w:val="002F1EBE"/>
    <w:rsid w:val="002F2099"/>
    <w:rsid w:val="002F20B1"/>
    <w:rsid w:val="002F2219"/>
    <w:rsid w:val="002F24CD"/>
    <w:rsid w:val="002F2655"/>
    <w:rsid w:val="002F27B4"/>
    <w:rsid w:val="002F28C0"/>
    <w:rsid w:val="002F28FE"/>
    <w:rsid w:val="002F291F"/>
    <w:rsid w:val="002F2994"/>
    <w:rsid w:val="002F29A1"/>
    <w:rsid w:val="002F2A1C"/>
    <w:rsid w:val="002F2F74"/>
    <w:rsid w:val="002F30AB"/>
    <w:rsid w:val="002F3101"/>
    <w:rsid w:val="002F3271"/>
    <w:rsid w:val="002F340F"/>
    <w:rsid w:val="002F3515"/>
    <w:rsid w:val="002F3688"/>
    <w:rsid w:val="002F37FF"/>
    <w:rsid w:val="002F3CE6"/>
    <w:rsid w:val="002F3E5A"/>
    <w:rsid w:val="002F3E76"/>
    <w:rsid w:val="002F3F36"/>
    <w:rsid w:val="002F413D"/>
    <w:rsid w:val="002F42A3"/>
    <w:rsid w:val="002F4341"/>
    <w:rsid w:val="002F44BC"/>
    <w:rsid w:val="002F47A9"/>
    <w:rsid w:val="002F47B2"/>
    <w:rsid w:val="002F47C0"/>
    <w:rsid w:val="002F48AD"/>
    <w:rsid w:val="002F4A20"/>
    <w:rsid w:val="002F4A6A"/>
    <w:rsid w:val="002F4BF1"/>
    <w:rsid w:val="002F4C8A"/>
    <w:rsid w:val="002F4ED7"/>
    <w:rsid w:val="002F51F4"/>
    <w:rsid w:val="002F5215"/>
    <w:rsid w:val="002F528E"/>
    <w:rsid w:val="002F5353"/>
    <w:rsid w:val="002F542C"/>
    <w:rsid w:val="002F55A7"/>
    <w:rsid w:val="002F57C2"/>
    <w:rsid w:val="002F58F2"/>
    <w:rsid w:val="002F5939"/>
    <w:rsid w:val="002F5C90"/>
    <w:rsid w:val="002F5E17"/>
    <w:rsid w:val="002F5FAD"/>
    <w:rsid w:val="002F60F3"/>
    <w:rsid w:val="002F6282"/>
    <w:rsid w:val="002F62C4"/>
    <w:rsid w:val="002F634E"/>
    <w:rsid w:val="002F638A"/>
    <w:rsid w:val="002F63EA"/>
    <w:rsid w:val="002F674C"/>
    <w:rsid w:val="002F6781"/>
    <w:rsid w:val="002F68C1"/>
    <w:rsid w:val="002F6A37"/>
    <w:rsid w:val="002F6B52"/>
    <w:rsid w:val="002F6BE5"/>
    <w:rsid w:val="002F6CEF"/>
    <w:rsid w:val="002F6EA9"/>
    <w:rsid w:val="002F704B"/>
    <w:rsid w:val="002F7084"/>
    <w:rsid w:val="002F709B"/>
    <w:rsid w:val="002F71B7"/>
    <w:rsid w:val="002F71BD"/>
    <w:rsid w:val="002F7268"/>
    <w:rsid w:val="002F757E"/>
    <w:rsid w:val="002F75C5"/>
    <w:rsid w:val="002F7662"/>
    <w:rsid w:val="002F781E"/>
    <w:rsid w:val="002F7904"/>
    <w:rsid w:val="002F7BCD"/>
    <w:rsid w:val="002F7D59"/>
    <w:rsid w:val="002F7E23"/>
    <w:rsid w:val="002F7ED1"/>
    <w:rsid w:val="002F7F45"/>
    <w:rsid w:val="002F7F70"/>
    <w:rsid w:val="0030027C"/>
    <w:rsid w:val="00300311"/>
    <w:rsid w:val="00300345"/>
    <w:rsid w:val="003005B5"/>
    <w:rsid w:val="003005C6"/>
    <w:rsid w:val="00300957"/>
    <w:rsid w:val="00300DC8"/>
    <w:rsid w:val="00300DEB"/>
    <w:rsid w:val="00300EAD"/>
    <w:rsid w:val="00301011"/>
    <w:rsid w:val="00301081"/>
    <w:rsid w:val="003014D7"/>
    <w:rsid w:val="00301524"/>
    <w:rsid w:val="0030155C"/>
    <w:rsid w:val="003015E4"/>
    <w:rsid w:val="003016BA"/>
    <w:rsid w:val="0030191E"/>
    <w:rsid w:val="00301B03"/>
    <w:rsid w:val="00301E54"/>
    <w:rsid w:val="003024EE"/>
    <w:rsid w:val="0030275F"/>
    <w:rsid w:val="003028FA"/>
    <w:rsid w:val="00302958"/>
    <w:rsid w:val="00302AE3"/>
    <w:rsid w:val="00302E29"/>
    <w:rsid w:val="00302E66"/>
    <w:rsid w:val="00302F5A"/>
    <w:rsid w:val="00303117"/>
    <w:rsid w:val="0030311D"/>
    <w:rsid w:val="003032D0"/>
    <w:rsid w:val="00303542"/>
    <w:rsid w:val="00303547"/>
    <w:rsid w:val="00303567"/>
    <w:rsid w:val="0030371A"/>
    <w:rsid w:val="003037A4"/>
    <w:rsid w:val="00303927"/>
    <w:rsid w:val="00303CDF"/>
    <w:rsid w:val="00303F60"/>
    <w:rsid w:val="0030409D"/>
    <w:rsid w:val="003043F1"/>
    <w:rsid w:val="0030482F"/>
    <w:rsid w:val="003048A1"/>
    <w:rsid w:val="00304B93"/>
    <w:rsid w:val="00304E49"/>
    <w:rsid w:val="00305296"/>
    <w:rsid w:val="00305393"/>
    <w:rsid w:val="003058B5"/>
    <w:rsid w:val="00305A28"/>
    <w:rsid w:val="00305B1C"/>
    <w:rsid w:val="00305DF7"/>
    <w:rsid w:val="00305DFA"/>
    <w:rsid w:val="0030604D"/>
    <w:rsid w:val="00306269"/>
    <w:rsid w:val="00306612"/>
    <w:rsid w:val="00306682"/>
    <w:rsid w:val="00306950"/>
    <w:rsid w:val="003069B4"/>
    <w:rsid w:val="00306D7E"/>
    <w:rsid w:val="00306DD7"/>
    <w:rsid w:val="003073BD"/>
    <w:rsid w:val="0030740F"/>
    <w:rsid w:val="0030752A"/>
    <w:rsid w:val="00307653"/>
    <w:rsid w:val="003076B6"/>
    <w:rsid w:val="0030778D"/>
    <w:rsid w:val="00307922"/>
    <w:rsid w:val="00307D69"/>
    <w:rsid w:val="00307D78"/>
    <w:rsid w:val="00307E55"/>
    <w:rsid w:val="00307FC1"/>
    <w:rsid w:val="00310057"/>
    <w:rsid w:val="00310451"/>
    <w:rsid w:val="0031056D"/>
    <w:rsid w:val="003105BD"/>
    <w:rsid w:val="003105EE"/>
    <w:rsid w:val="00310675"/>
    <w:rsid w:val="003106D8"/>
    <w:rsid w:val="003108D7"/>
    <w:rsid w:val="00310913"/>
    <w:rsid w:val="003109FE"/>
    <w:rsid w:val="00310E4B"/>
    <w:rsid w:val="00310E68"/>
    <w:rsid w:val="00310F2B"/>
    <w:rsid w:val="00310F76"/>
    <w:rsid w:val="00311275"/>
    <w:rsid w:val="003112C7"/>
    <w:rsid w:val="00311302"/>
    <w:rsid w:val="0031143D"/>
    <w:rsid w:val="003114CC"/>
    <w:rsid w:val="003114CF"/>
    <w:rsid w:val="00311551"/>
    <w:rsid w:val="00311650"/>
    <w:rsid w:val="00311738"/>
    <w:rsid w:val="00311E8A"/>
    <w:rsid w:val="0031214D"/>
    <w:rsid w:val="00312198"/>
    <w:rsid w:val="00312246"/>
    <w:rsid w:val="003124B5"/>
    <w:rsid w:val="00312594"/>
    <w:rsid w:val="003125BD"/>
    <w:rsid w:val="003125C3"/>
    <w:rsid w:val="003125CE"/>
    <w:rsid w:val="00312796"/>
    <w:rsid w:val="00312BE0"/>
    <w:rsid w:val="00312D01"/>
    <w:rsid w:val="00312DDE"/>
    <w:rsid w:val="00312E96"/>
    <w:rsid w:val="00313326"/>
    <w:rsid w:val="0031349A"/>
    <w:rsid w:val="00313575"/>
    <w:rsid w:val="0031365D"/>
    <w:rsid w:val="0031378F"/>
    <w:rsid w:val="00313940"/>
    <w:rsid w:val="00313BF3"/>
    <w:rsid w:val="00313C05"/>
    <w:rsid w:val="00313E54"/>
    <w:rsid w:val="00314246"/>
    <w:rsid w:val="00314340"/>
    <w:rsid w:val="00314ABF"/>
    <w:rsid w:val="00314BC9"/>
    <w:rsid w:val="00314C2C"/>
    <w:rsid w:val="00314CCF"/>
    <w:rsid w:val="00314D91"/>
    <w:rsid w:val="00314E12"/>
    <w:rsid w:val="00314E8E"/>
    <w:rsid w:val="003150CD"/>
    <w:rsid w:val="00315250"/>
    <w:rsid w:val="00315274"/>
    <w:rsid w:val="003152C3"/>
    <w:rsid w:val="00315330"/>
    <w:rsid w:val="00315341"/>
    <w:rsid w:val="003153FC"/>
    <w:rsid w:val="00315607"/>
    <w:rsid w:val="00315717"/>
    <w:rsid w:val="00315719"/>
    <w:rsid w:val="00315726"/>
    <w:rsid w:val="0031584D"/>
    <w:rsid w:val="0031594E"/>
    <w:rsid w:val="00315B34"/>
    <w:rsid w:val="00315B4D"/>
    <w:rsid w:val="00315F4E"/>
    <w:rsid w:val="00316022"/>
    <w:rsid w:val="00316192"/>
    <w:rsid w:val="003162DA"/>
    <w:rsid w:val="0031631E"/>
    <w:rsid w:val="0031639E"/>
    <w:rsid w:val="003163D8"/>
    <w:rsid w:val="0031643E"/>
    <w:rsid w:val="0031647A"/>
    <w:rsid w:val="00316520"/>
    <w:rsid w:val="00316556"/>
    <w:rsid w:val="003165C1"/>
    <w:rsid w:val="003165CA"/>
    <w:rsid w:val="003165F8"/>
    <w:rsid w:val="003167A0"/>
    <w:rsid w:val="00316838"/>
    <w:rsid w:val="0031699F"/>
    <w:rsid w:val="003169D7"/>
    <w:rsid w:val="00316A14"/>
    <w:rsid w:val="00316A68"/>
    <w:rsid w:val="00316AA7"/>
    <w:rsid w:val="00316AC1"/>
    <w:rsid w:val="00316BAE"/>
    <w:rsid w:val="00316C55"/>
    <w:rsid w:val="00316D1A"/>
    <w:rsid w:val="00316D87"/>
    <w:rsid w:val="00316DB4"/>
    <w:rsid w:val="00316DC0"/>
    <w:rsid w:val="00316E1A"/>
    <w:rsid w:val="00317020"/>
    <w:rsid w:val="00317141"/>
    <w:rsid w:val="0031749A"/>
    <w:rsid w:val="003178A4"/>
    <w:rsid w:val="00317ABF"/>
    <w:rsid w:val="00317C07"/>
    <w:rsid w:val="00317C4C"/>
    <w:rsid w:val="00317C5C"/>
    <w:rsid w:val="00317E63"/>
    <w:rsid w:val="00317FF2"/>
    <w:rsid w:val="003200A7"/>
    <w:rsid w:val="003202C2"/>
    <w:rsid w:val="00320331"/>
    <w:rsid w:val="003203D7"/>
    <w:rsid w:val="00320410"/>
    <w:rsid w:val="00320416"/>
    <w:rsid w:val="00320588"/>
    <w:rsid w:val="00320766"/>
    <w:rsid w:val="0032086E"/>
    <w:rsid w:val="00320A00"/>
    <w:rsid w:val="00320A50"/>
    <w:rsid w:val="00320BDF"/>
    <w:rsid w:val="00320D87"/>
    <w:rsid w:val="00320EC9"/>
    <w:rsid w:val="00320F49"/>
    <w:rsid w:val="0032104B"/>
    <w:rsid w:val="003211BC"/>
    <w:rsid w:val="003215A3"/>
    <w:rsid w:val="00321709"/>
    <w:rsid w:val="003217C8"/>
    <w:rsid w:val="003219A9"/>
    <w:rsid w:val="00321A7A"/>
    <w:rsid w:val="00321BFC"/>
    <w:rsid w:val="00321C2C"/>
    <w:rsid w:val="00321C3B"/>
    <w:rsid w:val="00321C8A"/>
    <w:rsid w:val="00321C8E"/>
    <w:rsid w:val="00321D4A"/>
    <w:rsid w:val="00321D66"/>
    <w:rsid w:val="00321DB9"/>
    <w:rsid w:val="00321DEE"/>
    <w:rsid w:val="00321F68"/>
    <w:rsid w:val="0032201F"/>
    <w:rsid w:val="0032210D"/>
    <w:rsid w:val="003221EC"/>
    <w:rsid w:val="0032225D"/>
    <w:rsid w:val="00322286"/>
    <w:rsid w:val="00322542"/>
    <w:rsid w:val="00322834"/>
    <w:rsid w:val="0032285B"/>
    <w:rsid w:val="00322B6D"/>
    <w:rsid w:val="00322B88"/>
    <w:rsid w:val="00322C01"/>
    <w:rsid w:val="00322C7E"/>
    <w:rsid w:val="00322C8D"/>
    <w:rsid w:val="00322E18"/>
    <w:rsid w:val="00322E83"/>
    <w:rsid w:val="00322E8F"/>
    <w:rsid w:val="00323244"/>
    <w:rsid w:val="0032331B"/>
    <w:rsid w:val="0032333D"/>
    <w:rsid w:val="00323458"/>
    <w:rsid w:val="00323A7F"/>
    <w:rsid w:val="00323DFE"/>
    <w:rsid w:val="00323E84"/>
    <w:rsid w:val="0032406C"/>
    <w:rsid w:val="003241E8"/>
    <w:rsid w:val="0032451E"/>
    <w:rsid w:val="00324596"/>
    <w:rsid w:val="003245EC"/>
    <w:rsid w:val="003245EF"/>
    <w:rsid w:val="00324622"/>
    <w:rsid w:val="0032470C"/>
    <w:rsid w:val="00324906"/>
    <w:rsid w:val="003249A7"/>
    <w:rsid w:val="00324B0D"/>
    <w:rsid w:val="00324D76"/>
    <w:rsid w:val="00324DE2"/>
    <w:rsid w:val="0032515B"/>
    <w:rsid w:val="00325241"/>
    <w:rsid w:val="0032535E"/>
    <w:rsid w:val="003253A5"/>
    <w:rsid w:val="003254D7"/>
    <w:rsid w:val="0032552F"/>
    <w:rsid w:val="00325733"/>
    <w:rsid w:val="00325763"/>
    <w:rsid w:val="00325851"/>
    <w:rsid w:val="003258EC"/>
    <w:rsid w:val="00325922"/>
    <w:rsid w:val="00325AEB"/>
    <w:rsid w:val="00325F0B"/>
    <w:rsid w:val="00325F30"/>
    <w:rsid w:val="00325FE0"/>
    <w:rsid w:val="00326082"/>
    <w:rsid w:val="00326143"/>
    <w:rsid w:val="00326331"/>
    <w:rsid w:val="003264B4"/>
    <w:rsid w:val="0032671E"/>
    <w:rsid w:val="00326B2E"/>
    <w:rsid w:val="00326B33"/>
    <w:rsid w:val="00326C09"/>
    <w:rsid w:val="00326D94"/>
    <w:rsid w:val="0032716F"/>
    <w:rsid w:val="00327398"/>
    <w:rsid w:val="003273BA"/>
    <w:rsid w:val="00327885"/>
    <w:rsid w:val="00327890"/>
    <w:rsid w:val="00327CE6"/>
    <w:rsid w:val="00327D4B"/>
    <w:rsid w:val="00327DE7"/>
    <w:rsid w:val="00327F22"/>
    <w:rsid w:val="00330326"/>
    <w:rsid w:val="0033036C"/>
    <w:rsid w:val="003304C7"/>
    <w:rsid w:val="003305B0"/>
    <w:rsid w:val="0033061C"/>
    <w:rsid w:val="003307A9"/>
    <w:rsid w:val="003309E7"/>
    <w:rsid w:val="00330A11"/>
    <w:rsid w:val="00330C3D"/>
    <w:rsid w:val="00330E12"/>
    <w:rsid w:val="00331083"/>
    <w:rsid w:val="0033114E"/>
    <w:rsid w:val="0033131D"/>
    <w:rsid w:val="0033147B"/>
    <w:rsid w:val="0033154C"/>
    <w:rsid w:val="003315A7"/>
    <w:rsid w:val="00331684"/>
    <w:rsid w:val="003316BE"/>
    <w:rsid w:val="0033171A"/>
    <w:rsid w:val="00331860"/>
    <w:rsid w:val="00331AB7"/>
    <w:rsid w:val="00331B12"/>
    <w:rsid w:val="00331D9E"/>
    <w:rsid w:val="00331DED"/>
    <w:rsid w:val="00331F2F"/>
    <w:rsid w:val="00331F6C"/>
    <w:rsid w:val="00332324"/>
    <w:rsid w:val="0033249A"/>
    <w:rsid w:val="00332660"/>
    <w:rsid w:val="003327E2"/>
    <w:rsid w:val="00332858"/>
    <w:rsid w:val="00332AF5"/>
    <w:rsid w:val="00332D0E"/>
    <w:rsid w:val="00332D8F"/>
    <w:rsid w:val="00332E80"/>
    <w:rsid w:val="003331A5"/>
    <w:rsid w:val="003331A9"/>
    <w:rsid w:val="003332BD"/>
    <w:rsid w:val="003333DB"/>
    <w:rsid w:val="003335A1"/>
    <w:rsid w:val="0033363C"/>
    <w:rsid w:val="0033368F"/>
    <w:rsid w:val="00333705"/>
    <w:rsid w:val="003337C0"/>
    <w:rsid w:val="00333865"/>
    <w:rsid w:val="0033391F"/>
    <w:rsid w:val="00333B35"/>
    <w:rsid w:val="00333B63"/>
    <w:rsid w:val="00333C5F"/>
    <w:rsid w:val="00333D20"/>
    <w:rsid w:val="00333FE2"/>
    <w:rsid w:val="00334029"/>
    <w:rsid w:val="0033422D"/>
    <w:rsid w:val="00334296"/>
    <w:rsid w:val="0033440D"/>
    <w:rsid w:val="00334693"/>
    <w:rsid w:val="00334828"/>
    <w:rsid w:val="0033483C"/>
    <w:rsid w:val="003348EF"/>
    <w:rsid w:val="00334931"/>
    <w:rsid w:val="00334A0B"/>
    <w:rsid w:val="00334CE5"/>
    <w:rsid w:val="00334F16"/>
    <w:rsid w:val="0033508B"/>
    <w:rsid w:val="003350D5"/>
    <w:rsid w:val="00335464"/>
    <w:rsid w:val="0033553F"/>
    <w:rsid w:val="00335737"/>
    <w:rsid w:val="0033587E"/>
    <w:rsid w:val="00335913"/>
    <w:rsid w:val="00335A53"/>
    <w:rsid w:val="00335AB9"/>
    <w:rsid w:val="00335AC8"/>
    <w:rsid w:val="00335C0C"/>
    <w:rsid w:val="00335EE2"/>
    <w:rsid w:val="00336358"/>
    <w:rsid w:val="003363CE"/>
    <w:rsid w:val="0033656F"/>
    <w:rsid w:val="0033660F"/>
    <w:rsid w:val="00336690"/>
    <w:rsid w:val="003367FB"/>
    <w:rsid w:val="00336937"/>
    <w:rsid w:val="0033698B"/>
    <w:rsid w:val="003369B9"/>
    <w:rsid w:val="00336C5E"/>
    <w:rsid w:val="00336CA8"/>
    <w:rsid w:val="00336E1C"/>
    <w:rsid w:val="00337002"/>
    <w:rsid w:val="0033705F"/>
    <w:rsid w:val="00337104"/>
    <w:rsid w:val="003371B8"/>
    <w:rsid w:val="00337219"/>
    <w:rsid w:val="003372B4"/>
    <w:rsid w:val="003372CE"/>
    <w:rsid w:val="00337321"/>
    <w:rsid w:val="00337578"/>
    <w:rsid w:val="00337763"/>
    <w:rsid w:val="00337927"/>
    <w:rsid w:val="00337B8C"/>
    <w:rsid w:val="00337BB3"/>
    <w:rsid w:val="00337D2D"/>
    <w:rsid w:val="00337D36"/>
    <w:rsid w:val="00340094"/>
    <w:rsid w:val="00340220"/>
    <w:rsid w:val="0034028C"/>
    <w:rsid w:val="00340366"/>
    <w:rsid w:val="00340386"/>
    <w:rsid w:val="00340438"/>
    <w:rsid w:val="0034068B"/>
    <w:rsid w:val="003406A6"/>
    <w:rsid w:val="00340B2B"/>
    <w:rsid w:val="00340B3E"/>
    <w:rsid w:val="00340E34"/>
    <w:rsid w:val="00340F1E"/>
    <w:rsid w:val="00341134"/>
    <w:rsid w:val="0034118B"/>
    <w:rsid w:val="00341339"/>
    <w:rsid w:val="0034134E"/>
    <w:rsid w:val="00341410"/>
    <w:rsid w:val="003414D2"/>
    <w:rsid w:val="0034156E"/>
    <w:rsid w:val="003417C1"/>
    <w:rsid w:val="00341814"/>
    <w:rsid w:val="00341891"/>
    <w:rsid w:val="00341D48"/>
    <w:rsid w:val="00341F3B"/>
    <w:rsid w:val="0034219D"/>
    <w:rsid w:val="003421C5"/>
    <w:rsid w:val="00342350"/>
    <w:rsid w:val="00342479"/>
    <w:rsid w:val="00342653"/>
    <w:rsid w:val="00342670"/>
    <w:rsid w:val="0034269B"/>
    <w:rsid w:val="003427AC"/>
    <w:rsid w:val="00342912"/>
    <w:rsid w:val="00342923"/>
    <w:rsid w:val="0034298C"/>
    <w:rsid w:val="003429C8"/>
    <w:rsid w:val="00342A96"/>
    <w:rsid w:val="00342B51"/>
    <w:rsid w:val="00342B7E"/>
    <w:rsid w:val="00342CAC"/>
    <w:rsid w:val="00342D94"/>
    <w:rsid w:val="00342E92"/>
    <w:rsid w:val="00342F29"/>
    <w:rsid w:val="00343226"/>
    <w:rsid w:val="00343270"/>
    <w:rsid w:val="0034368D"/>
    <w:rsid w:val="0034372B"/>
    <w:rsid w:val="00343BF5"/>
    <w:rsid w:val="00343EDE"/>
    <w:rsid w:val="003440B3"/>
    <w:rsid w:val="00344180"/>
    <w:rsid w:val="003442DC"/>
    <w:rsid w:val="00344395"/>
    <w:rsid w:val="00344397"/>
    <w:rsid w:val="003443CA"/>
    <w:rsid w:val="003444E8"/>
    <w:rsid w:val="00344AF6"/>
    <w:rsid w:val="00344F2F"/>
    <w:rsid w:val="00344FBA"/>
    <w:rsid w:val="00344FD0"/>
    <w:rsid w:val="003453B8"/>
    <w:rsid w:val="00345570"/>
    <w:rsid w:val="00345582"/>
    <w:rsid w:val="0034576D"/>
    <w:rsid w:val="00345882"/>
    <w:rsid w:val="00345CD1"/>
    <w:rsid w:val="00345EE3"/>
    <w:rsid w:val="00345F83"/>
    <w:rsid w:val="00346507"/>
    <w:rsid w:val="003465FC"/>
    <w:rsid w:val="00346607"/>
    <w:rsid w:val="003466A4"/>
    <w:rsid w:val="00346719"/>
    <w:rsid w:val="0034687F"/>
    <w:rsid w:val="00346911"/>
    <w:rsid w:val="00346A20"/>
    <w:rsid w:val="00346B09"/>
    <w:rsid w:val="00346D45"/>
    <w:rsid w:val="00346DFC"/>
    <w:rsid w:val="00347021"/>
    <w:rsid w:val="003471A3"/>
    <w:rsid w:val="00347386"/>
    <w:rsid w:val="003473C2"/>
    <w:rsid w:val="003475B7"/>
    <w:rsid w:val="00347A94"/>
    <w:rsid w:val="00347BAE"/>
    <w:rsid w:val="00347E88"/>
    <w:rsid w:val="00350132"/>
    <w:rsid w:val="00350384"/>
    <w:rsid w:val="0035039A"/>
    <w:rsid w:val="003503ED"/>
    <w:rsid w:val="003504EE"/>
    <w:rsid w:val="00350684"/>
    <w:rsid w:val="003509E4"/>
    <w:rsid w:val="00350D97"/>
    <w:rsid w:val="00350DCB"/>
    <w:rsid w:val="00350E9C"/>
    <w:rsid w:val="00350F6A"/>
    <w:rsid w:val="003510A2"/>
    <w:rsid w:val="00351121"/>
    <w:rsid w:val="00351698"/>
    <w:rsid w:val="003516EB"/>
    <w:rsid w:val="00351838"/>
    <w:rsid w:val="00351A15"/>
    <w:rsid w:val="00351A24"/>
    <w:rsid w:val="00351AFA"/>
    <w:rsid w:val="00351D10"/>
    <w:rsid w:val="00351F35"/>
    <w:rsid w:val="00352195"/>
    <w:rsid w:val="0035231D"/>
    <w:rsid w:val="0035254D"/>
    <w:rsid w:val="00352590"/>
    <w:rsid w:val="0035259A"/>
    <w:rsid w:val="003526BA"/>
    <w:rsid w:val="00352A2C"/>
    <w:rsid w:val="00352BB8"/>
    <w:rsid w:val="00352C16"/>
    <w:rsid w:val="00352C9B"/>
    <w:rsid w:val="00352ED1"/>
    <w:rsid w:val="00352FBF"/>
    <w:rsid w:val="00352FD9"/>
    <w:rsid w:val="00352FDD"/>
    <w:rsid w:val="003530B9"/>
    <w:rsid w:val="003534D6"/>
    <w:rsid w:val="00353C75"/>
    <w:rsid w:val="00353D84"/>
    <w:rsid w:val="00353DB8"/>
    <w:rsid w:val="00353F42"/>
    <w:rsid w:val="003540B7"/>
    <w:rsid w:val="00354157"/>
    <w:rsid w:val="00354306"/>
    <w:rsid w:val="00354456"/>
    <w:rsid w:val="003545EB"/>
    <w:rsid w:val="003546A6"/>
    <w:rsid w:val="0035487F"/>
    <w:rsid w:val="003549DE"/>
    <w:rsid w:val="00354BD6"/>
    <w:rsid w:val="00354E2E"/>
    <w:rsid w:val="003555F8"/>
    <w:rsid w:val="003556C1"/>
    <w:rsid w:val="0035571E"/>
    <w:rsid w:val="00355760"/>
    <w:rsid w:val="00355AD4"/>
    <w:rsid w:val="00355E2B"/>
    <w:rsid w:val="00355E4A"/>
    <w:rsid w:val="003560B2"/>
    <w:rsid w:val="00356104"/>
    <w:rsid w:val="00356142"/>
    <w:rsid w:val="003561CE"/>
    <w:rsid w:val="003562AD"/>
    <w:rsid w:val="00356313"/>
    <w:rsid w:val="00356347"/>
    <w:rsid w:val="00356375"/>
    <w:rsid w:val="00356501"/>
    <w:rsid w:val="0035669A"/>
    <w:rsid w:val="00356821"/>
    <w:rsid w:val="003568E7"/>
    <w:rsid w:val="00356904"/>
    <w:rsid w:val="00356928"/>
    <w:rsid w:val="00356AFF"/>
    <w:rsid w:val="00356C6A"/>
    <w:rsid w:val="00356DCE"/>
    <w:rsid w:val="00356EDA"/>
    <w:rsid w:val="00356EF2"/>
    <w:rsid w:val="0035700C"/>
    <w:rsid w:val="0035707C"/>
    <w:rsid w:val="003571E3"/>
    <w:rsid w:val="003573A5"/>
    <w:rsid w:val="00357404"/>
    <w:rsid w:val="003576E7"/>
    <w:rsid w:val="0035770A"/>
    <w:rsid w:val="00357C9A"/>
    <w:rsid w:val="00360105"/>
    <w:rsid w:val="003602D8"/>
    <w:rsid w:val="0036039A"/>
    <w:rsid w:val="003605DE"/>
    <w:rsid w:val="0036061A"/>
    <w:rsid w:val="00360637"/>
    <w:rsid w:val="003606AA"/>
    <w:rsid w:val="003608EF"/>
    <w:rsid w:val="00360A84"/>
    <w:rsid w:val="00360AFD"/>
    <w:rsid w:val="00360D0F"/>
    <w:rsid w:val="00360F90"/>
    <w:rsid w:val="00361461"/>
    <w:rsid w:val="003617A3"/>
    <w:rsid w:val="00361800"/>
    <w:rsid w:val="00361AAA"/>
    <w:rsid w:val="00361B64"/>
    <w:rsid w:val="00361B6F"/>
    <w:rsid w:val="00361BCA"/>
    <w:rsid w:val="00361C3A"/>
    <w:rsid w:val="00361C69"/>
    <w:rsid w:val="00361D41"/>
    <w:rsid w:val="00361DD4"/>
    <w:rsid w:val="00361F25"/>
    <w:rsid w:val="00362016"/>
    <w:rsid w:val="0036212B"/>
    <w:rsid w:val="00362133"/>
    <w:rsid w:val="0036224D"/>
    <w:rsid w:val="00362415"/>
    <w:rsid w:val="00362465"/>
    <w:rsid w:val="003624F8"/>
    <w:rsid w:val="003626B7"/>
    <w:rsid w:val="00362AAC"/>
    <w:rsid w:val="00362AC6"/>
    <w:rsid w:val="00362E24"/>
    <w:rsid w:val="00362E74"/>
    <w:rsid w:val="00362FE3"/>
    <w:rsid w:val="0036317C"/>
    <w:rsid w:val="00363253"/>
    <w:rsid w:val="00363351"/>
    <w:rsid w:val="0036338E"/>
    <w:rsid w:val="003633C0"/>
    <w:rsid w:val="00363461"/>
    <w:rsid w:val="00363563"/>
    <w:rsid w:val="00363644"/>
    <w:rsid w:val="003636B8"/>
    <w:rsid w:val="003636C1"/>
    <w:rsid w:val="0036385C"/>
    <w:rsid w:val="0036391A"/>
    <w:rsid w:val="0036391F"/>
    <w:rsid w:val="00363A1F"/>
    <w:rsid w:val="00363CE9"/>
    <w:rsid w:val="00363D60"/>
    <w:rsid w:val="00364311"/>
    <w:rsid w:val="003643EA"/>
    <w:rsid w:val="00364613"/>
    <w:rsid w:val="0036482B"/>
    <w:rsid w:val="003648EF"/>
    <w:rsid w:val="0036494F"/>
    <w:rsid w:val="00364B21"/>
    <w:rsid w:val="00364CDF"/>
    <w:rsid w:val="00364DA3"/>
    <w:rsid w:val="00364E4B"/>
    <w:rsid w:val="003650BE"/>
    <w:rsid w:val="003650F6"/>
    <w:rsid w:val="00365277"/>
    <w:rsid w:val="0036533B"/>
    <w:rsid w:val="00365395"/>
    <w:rsid w:val="003653B9"/>
    <w:rsid w:val="003655D1"/>
    <w:rsid w:val="00365732"/>
    <w:rsid w:val="0036582D"/>
    <w:rsid w:val="00365941"/>
    <w:rsid w:val="00365BDF"/>
    <w:rsid w:val="00365C6E"/>
    <w:rsid w:val="00365CC6"/>
    <w:rsid w:val="00365D61"/>
    <w:rsid w:val="00365D79"/>
    <w:rsid w:val="00365E2F"/>
    <w:rsid w:val="00365E33"/>
    <w:rsid w:val="00365FA4"/>
    <w:rsid w:val="00366050"/>
    <w:rsid w:val="003660E2"/>
    <w:rsid w:val="003668CA"/>
    <w:rsid w:val="00366A44"/>
    <w:rsid w:val="00366B75"/>
    <w:rsid w:val="00366C40"/>
    <w:rsid w:val="00366ECB"/>
    <w:rsid w:val="00367282"/>
    <w:rsid w:val="0036742F"/>
    <w:rsid w:val="00367485"/>
    <w:rsid w:val="003674E8"/>
    <w:rsid w:val="00367780"/>
    <w:rsid w:val="0036781B"/>
    <w:rsid w:val="00367820"/>
    <w:rsid w:val="00367937"/>
    <w:rsid w:val="00367B75"/>
    <w:rsid w:val="00367EDA"/>
    <w:rsid w:val="00367F16"/>
    <w:rsid w:val="00367FD2"/>
    <w:rsid w:val="003700CD"/>
    <w:rsid w:val="0037032A"/>
    <w:rsid w:val="00370789"/>
    <w:rsid w:val="00370B76"/>
    <w:rsid w:val="00370B95"/>
    <w:rsid w:val="00370BCA"/>
    <w:rsid w:val="00370CED"/>
    <w:rsid w:val="00370F70"/>
    <w:rsid w:val="003710A4"/>
    <w:rsid w:val="0037113D"/>
    <w:rsid w:val="003712C6"/>
    <w:rsid w:val="003716DB"/>
    <w:rsid w:val="0037195D"/>
    <w:rsid w:val="00371DC4"/>
    <w:rsid w:val="00371DF5"/>
    <w:rsid w:val="00371E12"/>
    <w:rsid w:val="00371E1C"/>
    <w:rsid w:val="00372475"/>
    <w:rsid w:val="003724BE"/>
    <w:rsid w:val="003724FF"/>
    <w:rsid w:val="00372693"/>
    <w:rsid w:val="0037269D"/>
    <w:rsid w:val="0037284E"/>
    <w:rsid w:val="00372C0A"/>
    <w:rsid w:val="00372DC3"/>
    <w:rsid w:val="0037303C"/>
    <w:rsid w:val="003731DB"/>
    <w:rsid w:val="00373294"/>
    <w:rsid w:val="003733B6"/>
    <w:rsid w:val="003733DD"/>
    <w:rsid w:val="003735B2"/>
    <w:rsid w:val="0037374D"/>
    <w:rsid w:val="003737EA"/>
    <w:rsid w:val="00373978"/>
    <w:rsid w:val="00373C05"/>
    <w:rsid w:val="00373C11"/>
    <w:rsid w:val="00373EBE"/>
    <w:rsid w:val="00373FA0"/>
    <w:rsid w:val="00374025"/>
    <w:rsid w:val="0037406F"/>
    <w:rsid w:val="003740ED"/>
    <w:rsid w:val="003741A3"/>
    <w:rsid w:val="003741E9"/>
    <w:rsid w:val="0037461C"/>
    <w:rsid w:val="00374723"/>
    <w:rsid w:val="003748E7"/>
    <w:rsid w:val="0037497B"/>
    <w:rsid w:val="003749C2"/>
    <w:rsid w:val="00374A46"/>
    <w:rsid w:val="00374A85"/>
    <w:rsid w:val="00374AF5"/>
    <w:rsid w:val="00374C03"/>
    <w:rsid w:val="00374D01"/>
    <w:rsid w:val="00374F65"/>
    <w:rsid w:val="00374FF3"/>
    <w:rsid w:val="00375061"/>
    <w:rsid w:val="00375069"/>
    <w:rsid w:val="00375462"/>
    <w:rsid w:val="00375528"/>
    <w:rsid w:val="0037552C"/>
    <w:rsid w:val="00375625"/>
    <w:rsid w:val="003756BF"/>
    <w:rsid w:val="003758ED"/>
    <w:rsid w:val="00375D38"/>
    <w:rsid w:val="00375DC3"/>
    <w:rsid w:val="00375FC5"/>
    <w:rsid w:val="00376174"/>
    <w:rsid w:val="00376186"/>
    <w:rsid w:val="00376236"/>
    <w:rsid w:val="0037680C"/>
    <w:rsid w:val="00376BE1"/>
    <w:rsid w:val="00376D74"/>
    <w:rsid w:val="00377145"/>
    <w:rsid w:val="003775E5"/>
    <w:rsid w:val="003776A5"/>
    <w:rsid w:val="0037771E"/>
    <w:rsid w:val="0037777A"/>
    <w:rsid w:val="00377DB4"/>
    <w:rsid w:val="00377ED4"/>
    <w:rsid w:val="00377EED"/>
    <w:rsid w:val="0038001B"/>
    <w:rsid w:val="0038001F"/>
    <w:rsid w:val="0038009B"/>
    <w:rsid w:val="0038017B"/>
    <w:rsid w:val="003801EE"/>
    <w:rsid w:val="0038026C"/>
    <w:rsid w:val="00380318"/>
    <w:rsid w:val="0038039A"/>
    <w:rsid w:val="003803EB"/>
    <w:rsid w:val="00380422"/>
    <w:rsid w:val="003804CC"/>
    <w:rsid w:val="00380761"/>
    <w:rsid w:val="003808B5"/>
    <w:rsid w:val="003808D3"/>
    <w:rsid w:val="003809EE"/>
    <w:rsid w:val="00380A2B"/>
    <w:rsid w:val="00380FCD"/>
    <w:rsid w:val="0038100B"/>
    <w:rsid w:val="003810B2"/>
    <w:rsid w:val="00381528"/>
    <w:rsid w:val="00381702"/>
    <w:rsid w:val="003817FD"/>
    <w:rsid w:val="003819A2"/>
    <w:rsid w:val="00381AB2"/>
    <w:rsid w:val="00381AB6"/>
    <w:rsid w:val="00381B97"/>
    <w:rsid w:val="00381C92"/>
    <w:rsid w:val="00381CAF"/>
    <w:rsid w:val="00381CC2"/>
    <w:rsid w:val="00381F3D"/>
    <w:rsid w:val="00382005"/>
    <w:rsid w:val="00382129"/>
    <w:rsid w:val="00382280"/>
    <w:rsid w:val="003823FE"/>
    <w:rsid w:val="003825EE"/>
    <w:rsid w:val="003828A8"/>
    <w:rsid w:val="0038290F"/>
    <w:rsid w:val="00382B57"/>
    <w:rsid w:val="00382D24"/>
    <w:rsid w:val="00382E98"/>
    <w:rsid w:val="00382FCA"/>
    <w:rsid w:val="00383251"/>
    <w:rsid w:val="003833AD"/>
    <w:rsid w:val="003836C6"/>
    <w:rsid w:val="003837F1"/>
    <w:rsid w:val="00383BDD"/>
    <w:rsid w:val="00383EAC"/>
    <w:rsid w:val="00383EE1"/>
    <w:rsid w:val="00383FC3"/>
    <w:rsid w:val="0038420C"/>
    <w:rsid w:val="003843D4"/>
    <w:rsid w:val="00384414"/>
    <w:rsid w:val="003848FD"/>
    <w:rsid w:val="00384A85"/>
    <w:rsid w:val="00384B1C"/>
    <w:rsid w:val="00384B40"/>
    <w:rsid w:val="00384BA5"/>
    <w:rsid w:val="00384BD5"/>
    <w:rsid w:val="00384DA8"/>
    <w:rsid w:val="003855B4"/>
    <w:rsid w:val="003855EF"/>
    <w:rsid w:val="00385704"/>
    <w:rsid w:val="003857F5"/>
    <w:rsid w:val="003858B7"/>
    <w:rsid w:val="00385944"/>
    <w:rsid w:val="00385AFF"/>
    <w:rsid w:val="00385CCE"/>
    <w:rsid w:val="00385DD6"/>
    <w:rsid w:val="00385DEC"/>
    <w:rsid w:val="00385FB2"/>
    <w:rsid w:val="003860CF"/>
    <w:rsid w:val="00386168"/>
    <w:rsid w:val="00386225"/>
    <w:rsid w:val="00386357"/>
    <w:rsid w:val="003868F1"/>
    <w:rsid w:val="00386980"/>
    <w:rsid w:val="00386ACC"/>
    <w:rsid w:val="00386C9E"/>
    <w:rsid w:val="00386DB6"/>
    <w:rsid w:val="00386DF4"/>
    <w:rsid w:val="0038729B"/>
    <w:rsid w:val="003875DF"/>
    <w:rsid w:val="0038767C"/>
    <w:rsid w:val="003876E9"/>
    <w:rsid w:val="00387777"/>
    <w:rsid w:val="003878A2"/>
    <w:rsid w:val="00387930"/>
    <w:rsid w:val="00387A27"/>
    <w:rsid w:val="00387AAF"/>
    <w:rsid w:val="00387D9B"/>
    <w:rsid w:val="00387DA1"/>
    <w:rsid w:val="00390133"/>
    <w:rsid w:val="003901B6"/>
    <w:rsid w:val="003901DC"/>
    <w:rsid w:val="0039048E"/>
    <w:rsid w:val="00390577"/>
    <w:rsid w:val="00390798"/>
    <w:rsid w:val="003908B8"/>
    <w:rsid w:val="003909DD"/>
    <w:rsid w:val="00390AB4"/>
    <w:rsid w:val="00390BBD"/>
    <w:rsid w:val="00390C80"/>
    <w:rsid w:val="00390E17"/>
    <w:rsid w:val="00390EB5"/>
    <w:rsid w:val="00390FD6"/>
    <w:rsid w:val="00391083"/>
    <w:rsid w:val="00391087"/>
    <w:rsid w:val="0039121C"/>
    <w:rsid w:val="003915B4"/>
    <w:rsid w:val="003915B8"/>
    <w:rsid w:val="003917B3"/>
    <w:rsid w:val="00391899"/>
    <w:rsid w:val="0039190E"/>
    <w:rsid w:val="003919E9"/>
    <w:rsid w:val="00391F9D"/>
    <w:rsid w:val="003925CB"/>
    <w:rsid w:val="003925CE"/>
    <w:rsid w:val="003926CA"/>
    <w:rsid w:val="00392838"/>
    <w:rsid w:val="003928D6"/>
    <w:rsid w:val="00392981"/>
    <w:rsid w:val="00392B63"/>
    <w:rsid w:val="00392D1A"/>
    <w:rsid w:val="00392F3A"/>
    <w:rsid w:val="00393066"/>
    <w:rsid w:val="003931B9"/>
    <w:rsid w:val="0039324F"/>
    <w:rsid w:val="003932C1"/>
    <w:rsid w:val="0039349A"/>
    <w:rsid w:val="0039370B"/>
    <w:rsid w:val="0039377F"/>
    <w:rsid w:val="00393B47"/>
    <w:rsid w:val="00393BE9"/>
    <w:rsid w:val="00393C23"/>
    <w:rsid w:val="00393E6D"/>
    <w:rsid w:val="00394114"/>
    <w:rsid w:val="0039441B"/>
    <w:rsid w:val="0039459B"/>
    <w:rsid w:val="003946FC"/>
    <w:rsid w:val="00394B9F"/>
    <w:rsid w:val="00394DB6"/>
    <w:rsid w:val="00394E9D"/>
    <w:rsid w:val="00394FD6"/>
    <w:rsid w:val="003951C4"/>
    <w:rsid w:val="003953E2"/>
    <w:rsid w:val="0039558D"/>
    <w:rsid w:val="00395854"/>
    <w:rsid w:val="003958DA"/>
    <w:rsid w:val="003959E4"/>
    <w:rsid w:val="00395A5A"/>
    <w:rsid w:val="00395B17"/>
    <w:rsid w:val="00395C79"/>
    <w:rsid w:val="00395CDB"/>
    <w:rsid w:val="00395DD3"/>
    <w:rsid w:val="00395E85"/>
    <w:rsid w:val="00395E98"/>
    <w:rsid w:val="0039602C"/>
    <w:rsid w:val="003961EB"/>
    <w:rsid w:val="003962CC"/>
    <w:rsid w:val="00396307"/>
    <w:rsid w:val="003965F6"/>
    <w:rsid w:val="00396782"/>
    <w:rsid w:val="003967F1"/>
    <w:rsid w:val="00396A0D"/>
    <w:rsid w:val="00396A9A"/>
    <w:rsid w:val="00396D90"/>
    <w:rsid w:val="00396DA7"/>
    <w:rsid w:val="00396E71"/>
    <w:rsid w:val="00396FCA"/>
    <w:rsid w:val="003972A0"/>
    <w:rsid w:val="00397322"/>
    <w:rsid w:val="003976A4"/>
    <w:rsid w:val="003977A3"/>
    <w:rsid w:val="003977FE"/>
    <w:rsid w:val="00397A7B"/>
    <w:rsid w:val="00397D37"/>
    <w:rsid w:val="003A02AD"/>
    <w:rsid w:val="003A0376"/>
    <w:rsid w:val="003A0426"/>
    <w:rsid w:val="003A0538"/>
    <w:rsid w:val="003A087E"/>
    <w:rsid w:val="003A0AFA"/>
    <w:rsid w:val="003A0C2A"/>
    <w:rsid w:val="003A0C4D"/>
    <w:rsid w:val="003A0DAC"/>
    <w:rsid w:val="003A1037"/>
    <w:rsid w:val="003A11F7"/>
    <w:rsid w:val="003A1579"/>
    <w:rsid w:val="003A1A7F"/>
    <w:rsid w:val="003A1B37"/>
    <w:rsid w:val="003A1BA6"/>
    <w:rsid w:val="003A1C51"/>
    <w:rsid w:val="003A1DE3"/>
    <w:rsid w:val="003A1E95"/>
    <w:rsid w:val="003A20DF"/>
    <w:rsid w:val="003A215D"/>
    <w:rsid w:val="003A21B3"/>
    <w:rsid w:val="003A2207"/>
    <w:rsid w:val="003A222D"/>
    <w:rsid w:val="003A22FD"/>
    <w:rsid w:val="003A232E"/>
    <w:rsid w:val="003A2478"/>
    <w:rsid w:val="003A255B"/>
    <w:rsid w:val="003A29B5"/>
    <w:rsid w:val="003A2EC6"/>
    <w:rsid w:val="003A2F4C"/>
    <w:rsid w:val="003A2FE9"/>
    <w:rsid w:val="003A3055"/>
    <w:rsid w:val="003A30E0"/>
    <w:rsid w:val="003A31B1"/>
    <w:rsid w:val="003A32FA"/>
    <w:rsid w:val="003A3326"/>
    <w:rsid w:val="003A3353"/>
    <w:rsid w:val="003A33C2"/>
    <w:rsid w:val="003A346A"/>
    <w:rsid w:val="003A34A2"/>
    <w:rsid w:val="003A36D4"/>
    <w:rsid w:val="003A3825"/>
    <w:rsid w:val="003A3889"/>
    <w:rsid w:val="003A3903"/>
    <w:rsid w:val="003A3A0C"/>
    <w:rsid w:val="003A3E73"/>
    <w:rsid w:val="003A4188"/>
    <w:rsid w:val="003A422C"/>
    <w:rsid w:val="003A45D7"/>
    <w:rsid w:val="003A47CA"/>
    <w:rsid w:val="003A4968"/>
    <w:rsid w:val="003A49D9"/>
    <w:rsid w:val="003A4B57"/>
    <w:rsid w:val="003A4BEE"/>
    <w:rsid w:val="003A4E42"/>
    <w:rsid w:val="003A4FA5"/>
    <w:rsid w:val="003A51F4"/>
    <w:rsid w:val="003A53E5"/>
    <w:rsid w:val="003A56AB"/>
    <w:rsid w:val="003A5813"/>
    <w:rsid w:val="003A5867"/>
    <w:rsid w:val="003A593D"/>
    <w:rsid w:val="003A593F"/>
    <w:rsid w:val="003A59D8"/>
    <w:rsid w:val="003A5B9E"/>
    <w:rsid w:val="003A5C68"/>
    <w:rsid w:val="003A606A"/>
    <w:rsid w:val="003A60C5"/>
    <w:rsid w:val="003A6124"/>
    <w:rsid w:val="003A62AC"/>
    <w:rsid w:val="003A6482"/>
    <w:rsid w:val="003A655B"/>
    <w:rsid w:val="003A664E"/>
    <w:rsid w:val="003A667D"/>
    <w:rsid w:val="003A66A2"/>
    <w:rsid w:val="003A67D2"/>
    <w:rsid w:val="003A6A6B"/>
    <w:rsid w:val="003A6A77"/>
    <w:rsid w:val="003A6B60"/>
    <w:rsid w:val="003A6D50"/>
    <w:rsid w:val="003A6D8A"/>
    <w:rsid w:val="003A6E85"/>
    <w:rsid w:val="003A6ECE"/>
    <w:rsid w:val="003A6F04"/>
    <w:rsid w:val="003A703C"/>
    <w:rsid w:val="003A72A5"/>
    <w:rsid w:val="003A72BC"/>
    <w:rsid w:val="003A7555"/>
    <w:rsid w:val="003A796C"/>
    <w:rsid w:val="003A7A5D"/>
    <w:rsid w:val="003A7A8A"/>
    <w:rsid w:val="003A7B6E"/>
    <w:rsid w:val="003A7D47"/>
    <w:rsid w:val="003B00AF"/>
    <w:rsid w:val="003B0210"/>
    <w:rsid w:val="003B03A4"/>
    <w:rsid w:val="003B0572"/>
    <w:rsid w:val="003B058A"/>
    <w:rsid w:val="003B05F4"/>
    <w:rsid w:val="003B0620"/>
    <w:rsid w:val="003B09E1"/>
    <w:rsid w:val="003B0CB5"/>
    <w:rsid w:val="003B0E15"/>
    <w:rsid w:val="003B0F47"/>
    <w:rsid w:val="003B1071"/>
    <w:rsid w:val="003B11B1"/>
    <w:rsid w:val="003B12B2"/>
    <w:rsid w:val="003B13EC"/>
    <w:rsid w:val="003B15CB"/>
    <w:rsid w:val="003B197E"/>
    <w:rsid w:val="003B1A94"/>
    <w:rsid w:val="003B1E80"/>
    <w:rsid w:val="003B22BF"/>
    <w:rsid w:val="003B24B6"/>
    <w:rsid w:val="003B26A7"/>
    <w:rsid w:val="003B275E"/>
    <w:rsid w:val="003B27D9"/>
    <w:rsid w:val="003B27ED"/>
    <w:rsid w:val="003B2803"/>
    <w:rsid w:val="003B2ED7"/>
    <w:rsid w:val="003B2EEC"/>
    <w:rsid w:val="003B2F6E"/>
    <w:rsid w:val="003B319E"/>
    <w:rsid w:val="003B31E7"/>
    <w:rsid w:val="003B3265"/>
    <w:rsid w:val="003B343C"/>
    <w:rsid w:val="003B37C9"/>
    <w:rsid w:val="003B391C"/>
    <w:rsid w:val="003B3B64"/>
    <w:rsid w:val="003B3E76"/>
    <w:rsid w:val="003B3F1C"/>
    <w:rsid w:val="003B3F4D"/>
    <w:rsid w:val="003B3FD7"/>
    <w:rsid w:val="003B4040"/>
    <w:rsid w:val="003B4265"/>
    <w:rsid w:val="003B42BB"/>
    <w:rsid w:val="003B437E"/>
    <w:rsid w:val="003B4491"/>
    <w:rsid w:val="003B45EB"/>
    <w:rsid w:val="003B4667"/>
    <w:rsid w:val="003B48D9"/>
    <w:rsid w:val="003B4910"/>
    <w:rsid w:val="003B49CD"/>
    <w:rsid w:val="003B4A83"/>
    <w:rsid w:val="003B4AD2"/>
    <w:rsid w:val="003B4B40"/>
    <w:rsid w:val="003B4BD3"/>
    <w:rsid w:val="003B4C2E"/>
    <w:rsid w:val="003B4C63"/>
    <w:rsid w:val="003B4E12"/>
    <w:rsid w:val="003B5387"/>
    <w:rsid w:val="003B53FA"/>
    <w:rsid w:val="003B55BD"/>
    <w:rsid w:val="003B5690"/>
    <w:rsid w:val="003B5B5A"/>
    <w:rsid w:val="003B6018"/>
    <w:rsid w:val="003B607E"/>
    <w:rsid w:val="003B6181"/>
    <w:rsid w:val="003B650E"/>
    <w:rsid w:val="003B65B9"/>
    <w:rsid w:val="003B65FA"/>
    <w:rsid w:val="003B660A"/>
    <w:rsid w:val="003B6707"/>
    <w:rsid w:val="003B6743"/>
    <w:rsid w:val="003B67B2"/>
    <w:rsid w:val="003B6955"/>
    <w:rsid w:val="003B69B6"/>
    <w:rsid w:val="003B6BAD"/>
    <w:rsid w:val="003B6BF7"/>
    <w:rsid w:val="003B6C16"/>
    <w:rsid w:val="003B6C88"/>
    <w:rsid w:val="003B6D84"/>
    <w:rsid w:val="003B71E8"/>
    <w:rsid w:val="003B7235"/>
    <w:rsid w:val="003B7338"/>
    <w:rsid w:val="003B73B8"/>
    <w:rsid w:val="003B73E7"/>
    <w:rsid w:val="003B744C"/>
    <w:rsid w:val="003B74BC"/>
    <w:rsid w:val="003B79A3"/>
    <w:rsid w:val="003B7A39"/>
    <w:rsid w:val="003B7A7E"/>
    <w:rsid w:val="003B7B6E"/>
    <w:rsid w:val="003B7BB0"/>
    <w:rsid w:val="003B7F77"/>
    <w:rsid w:val="003C00ED"/>
    <w:rsid w:val="003C03DE"/>
    <w:rsid w:val="003C0513"/>
    <w:rsid w:val="003C0613"/>
    <w:rsid w:val="003C0794"/>
    <w:rsid w:val="003C07D0"/>
    <w:rsid w:val="003C08F8"/>
    <w:rsid w:val="003C091A"/>
    <w:rsid w:val="003C104A"/>
    <w:rsid w:val="003C106A"/>
    <w:rsid w:val="003C10A0"/>
    <w:rsid w:val="003C117D"/>
    <w:rsid w:val="003C12AD"/>
    <w:rsid w:val="003C136E"/>
    <w:rsid w:val="003C15C8"/>
    <w:rsid w:val="003C1799"/>
    <w:rsid w:val="003C193C"/>
    <w:rsid w:val="003C1964"/>
    <w:rsid w:val="003C19BD"/>
    <w:rsid w:val="003C1A55"/>
    <w:rsid w:val="003C1B16"/>
    <w:rsid w:val="003C1B4E"/>
    <w:rsid w:val="003C1C4F"/>
    <w:rsid w:val="003C1D64"/>
    <w:rsid w:val="003C1E0D"/>
    <w:rsid w:val="003C1EA5"/>
    <w:rsid w:val="003C2179"/>
    <w:rsid w:val="003C2213"/>
    <w:rsid w:val="003C2503"/>
    <w:rsid w:val="003C2893"/>
    <w:rsid w:val="003C28E5"/>
    <w:rsid w:val="003C292A"/>
    <w:rsid w:val="003C29C4"/>
    <w:rsid w:val="003C29E9"/>
    <w:rsid w:val="003C2ADC"/>
    <w:rsid w:val="003C2BA2"/>
    <w:rsid w:val="003C2DFA"/>
    <w:rsid w:val="003C3198"/>
    <w:rsid w:val="003C3351"/>
    <w:rsid w:val="003C3401"/>
    <w:rsid w:val="003C355A"/>
    <w:rsid w:val="003C3608"/>
    <w:rsid w:val="003C3688"/>
    <w:rsid w:val="003C369C"/>
    <w:rsid w:val="003C3A15"/>
    <w:rsid w:val="003C3A9A"/>
    <w:rsid w:val="003C3EA0"/>
    <w:rsid w:val="003C40BD"/>
    <w:rsid w:val="003C4283"/>
    <w:rsid w:val="003C43E2"/>
    <w:rsid w:val="003C44B6"/>
    <w:rsid w:val="003C4531"/>
    <w:rsid w:val="003C466D"/>
    <w:rsid w:val="003C46A1"/>
    <w:rsid w:val="003C46C1"/>
    <w:rsid w:val="003C474F"/>
    <w:rsid w:val="003C4C84"/>
    <w:rsid w:val="003C4D39"/>
    <w:rsid w:val="003C4D8D"/>
    <w:rsid w:val="003C4DDF"/>
    <w:rsid w:val="003C50BE"/>
    <w:rsid w:val="003C539F"/>
    <w:rsid w:val="003C5448"/>
    <w:rsid w:val="003C550F"/>
    <w:rsid w:val="003C5510"/>
    <w:rsid w:val="003C5791"/>
    <w:rsid w:val="003C5832"/>
    <w:rsid w:val="003C5C1A"/>
    <w:rsid w:val="003C5D08"/>
    <w:rsid w:val="003C5D38"/>
    <w:rsid w:val="003C5DB4"/>
    <w:rsid w:val="003C5F25"/>
    <w:rsid w:val="003C5FAC"/>
    <w:rsid w:val="003C5FAF"/>
    <w:rsid w:val="003C6021"/>
    <w:rsid w:val="003C60FB"/>
    <w:rsid w:val="003C6420"/>
    <w:rsid w:val="003C661A"/>
    <w:rsid w:val="003C6911"/>
    <w:rsid w:val="003C6B00"/>
    <w:rsid w:val="003C6B08"/>
    <w:rsid w:val="003C6DC9"/>
    <w:rsid w:val="003C6DE4"/>
    <w:rsid w:val="003C6FE4"/>
    <w:rsid w:val="003C701A"/>
    <w:rsid w:val="003C72A6"/>
    <w:rsid w:val="003C74BC"/>
    <w:rsid w:val="003C7636"/>
    <w:rsid w:val="003C780E"/>
    <w:rsid w:val="003C7A75"/>
    <w:rsid w:val="003C7B47"/>
    <w:rsid w:val="003C7C10"/>
    <w:rsid w:val="003C7C72"/>
    <w:rsid w:val="003C7D1F"/>
    <w:rsid w:val="003D02A5"/>
    <w:rsid w:val="003D0496"/>
    <w:rsid w:val="003D0887"/>
    <w:rsid w:val="003D08E3"/>
    <w:rsid w:val="003D0A66"/>
    <w:rsid w:val="003D0BB5"/>
    <w:rsid w:val="003D0C7C"/>
    <w:rsid w:val="003D0FB5"/>
    <w:rsid w:val="003D10B9"/>
    <w:rsid w:val="003D1158"/>
    <w:rsid w:val="003D115C"/>
    <w:rsid w:val="003D13D7"/>
    <w:rsid w:val="003D1413"/>
    <w:rsid w:val="003D1509"/>
    <w:rsid w:val="003D15EB"/>
    <w:rsid w:val="003D1735"/>
    <w:rsid w:val="003D17F7"/>
    <w:rsid w:val="003D1F12"/>
    <w:rsid w:val="003D2081"/>
    <w:rsid w:val="003D208F"/>
    <w:rsid w:val="003D20A1"/>
    <w:rsid w:val="003D20A3"/>
    <w:rsid w:val="003D20D1"/>
    <w:rsid w:val="003D20F6"/>
    <w:rsid w:val="003D2125"/>
    <w:rsid w:val="003D2498"/>
    <w:rsid w:val="003D250E"/>
    <w:rsid w:val="003D2570"/>
    <w:rsid w:val="003D2733"/>
    <w:rsid w:val="003D28ED"/>
    <w:rsid w:val="003D2C67"/>
    <w:rsid w:val="003D301D"/>
    <w:rsid w:val="003D34E4"/>
    <w:rsid w:val="003D3779"/>
    <w:rsid w:val="003D3787"/>
    <w:rsid w:val="003D379A"/>
    <w:rsid w:val="003D3DA2"/>
    <w:rsid w:val="003D3E81"/>
    <w:rsid w:val="003D4103"/>
    <w:rsid w:val="003D414A"/>
    <w:rsid w:val="003D4155"/>
    <w:rsid w:val="003D41D8"/>
    <w:rsid w:val="003D4230"/>
    <w:rsid w:val="003D4247"/>
    <w:rsid w:val="003D4253"/>
    <w:rsid w:val="003D4331"/>
    <w:rsid w:val="003D4537"/>
    <w:rsid w:val="003D4581"/>
    <w:rsid w:val="003D479B"/>
    <w:rsid w:val="003D4809"/>
    <w:rsid w:val="003D4988"/>
    <w:rsid w:val="003D49E3"/>
    <w:rsid w:val="003D49FF"/>
    <w:rsid w:val="003D4AB6"/>
    <w:rsid w:val="003D52BB"/>
    <w:rsid w:val="003D550D"/>
    <w:rsid w:val="003D56F5"/>
    <w:rsid w:val="003D5906"/>
    <w:rsid w:val="003D5B45"/>
    <w:rsid w:val="003D5DDE"/>
    <w:rsid w:val="003D5F12"/>
    <w:rsid w:val="003D6070"/>
    <w:rsid w:val="003D6095"/>
    <w:rsid w:val="003D6190"/>
    <w:rsid w:val="003D6222"/>
    <w:rsid w:val="003D64B3"/>
    <w:rsid w:val="003D661F"/>
    <w:rsid w:val="003D674B"/>
    <w:rsid w:val="003D67E8"/>
    <w:rsid w:val="003D6B8C"/>
    <w:rsid w:val="003D6BE8"/>
    <w:rsid w:val="003D6C9A"/>
    <w:rsid w:val="003D6CBC"/>
    <w:rsid w:val="003D6CCF"/>
    <w:rsid w:val="003D6ECF"/>
    <w:rsid w:val="003D7139"/>
    <w:rsid w:val="003D71C0"/>
    <w:rsid w:val="003D726B"/>
    <w:rsid w:val="003D739C"/>
    <w:rsid w:val="003D773F"/>
    <w:rsid w:val="003D7791"/>
    <w:rsid w:val="003D7815"/>
    <w:rsid w:val="003D790F"/>
    <w:rsid w:val="003D7BE9"/>
    <w:rsid w:val="003D7C68"/>
    <w:rsid w:val="003D7C6D"/>
    <w:rsid w:val="003D7C77"/>
    <w:rsid w:val="003D7D78"/>
    <w:rsid w:val="003D7DE4"/>
    <w:rsid w:val="003D7DE8"/>
    <w:rsid w:val="003D7EBF"/>
    <w:rsid w:val="003E017C"/>
    <w:rsid w:val="003E022B"/>
    <w:rsid w:val="003E0399"/>
    <w:rsid w:val="003E04FC"/>
    <w:rsid w:val="003E05AF"/>
    <w:rsid w:val="003E082A"/>
    <w:rsid w:val="003E09D4"/>
    <w:rsid w:val="003E0A58"/>
    <w:rsid w:val="003E0A6C"/>
    <w:rsid w:val="003E0E3D"/>
    <w:rsid w:val="003E0ED0"/>
    <w:rsid w:val="003E149B"/>
    <w:rsid w:val="003E14A0"/>
    <w:rsid w:val="003E1631"/>
    <w:rsid w:val="003E163D"/>
    <w:rsid w:val="003E16DD"/>
    <w:rsid w:val="003E1A80"/>
    <w:rsid w:val="003E1DEF"/>
    <w:rsid w:val="003E1E92"/>
    <w:rsid w:val="003E1FC9"/>
    <w:rsid w:val="003E1FED"/>
    <w:rsid w:val="003E20BE"/>
    <w:rsid w:val="003E2126"/>
    <w:rsid w:val="003E214B"/>
    <w:rsid w:val="003E214D"/>
    <w:rsid w:val="003E2157"/>
    <w:rsid w:val="003E2268"/>
    <w:rsid w:val="003E2380"/>
    <w:rsid w:val="003E268F"/>
    <w:rsid w:val="003E26B0"/>
    <w:rsid w:val="003E27DF"/>
    <w:rsid w:val="003E285D"/>
    <w:rsid w:val="003E2A49"/>
    <w:rsid w:val="003E2A8F"/>
    <w:rsid w:val="003E2AC4"/>
    <w:rsid w:val="003E2D33"/>
    <w:rsid w:val="003E2DE9"/>
    <w:rsid w:val="003E2E54"/>
    <w:rsid w:val="003E2E73"/>
    <w:rsid w:val="003E327D"/>
    <w:rsid w:val="003E32FD"/>
    <w:rsid w:val="003E335A"/>
    <w:rsid w:val="003E33BD"/>
    <w:rsid w:val="003E33EC"/>
    <w:rsid w:val="003E3476"/>
    <w:rsid w:val="003E34B8"/>
    <w:rsid w:val="003E3538"/>
    <w:rsid w:val="003E353F"/>
    <w:rsid w:val="003E356D"/>
    <w:rsid w:val="003E36D0"/>
    <w:rsid w:val="003E370B"/>
    <w:rsid w:val="003E3735"/>
    <w:rsid w:val="003E3830"/>
    <w:rsid w:val="003E38A3"/>
    <w:rsid w:val="003E38E8"/>
    <w:rsid w:val="003E3965"/>
    <w:rsid w:val="003E3A11"/>
    <w:rsid w:val="003E3D34"/>
    <w:rsid w:val="003E3D65"/>
    <w:rsid w:val="003E3D69"/>
    <w:rsid w:val="003E400D"/>
    <w:rsid w:val="003E40D2"/>
    <w:rsid w:val="003E42EF"/>
    <w:rsid w:val="003E4352"/>
    <w:rsid w:val="003E4362"/>
    <w:rsid w:val="003E4518"/>
    <w:rsid w:val="003E46DA"/>
    <w:rsid w:val="003E4893"/>
    <w:rsid w:val="003E489B"/>
    <w:rsid w:val="003E49EC"/>
    <w:rsid w:val="003E4ACE"/>
    <w:rsid w:val="003E4B18"/>
    <w:rsid w:val="003E4F1D"/>
    <w:rsid w:val="003E4FE0"/>
    <w:rsid w:val="003E5011"/>
    <w:rsid w:val="003E540B"/>
    <w:rsid w:val="003E54D6"/>
    <w:rsid w:val="003E553F"/>
    <w:rsid w:val="003E562C"/>
    <w:rsid w:val="003E5876"/>
    <w:rsid w:val="003E5A4F"/>
    <w:rsid w:val="003E5B4D"/>
    <w:rsid w:val="003E60AA"/>
    <w:rsid w:val="003E63C4"/>
    <w:rsid w:val="003E670A"/>
    <w:rsid w:val="003E6876"/>
    <w:rsid w:val="003E6891"/>
    <w:rsid w:val="003E6C14"/>
    <w:rsid w:val="003E6D98"/>
    <w:rsid w:val="003E6DB3"/>
    <w:rsid w:val="003E6EA5"/>
    <w:rsid w:val="003E6F15"/>
    <w:rsid w:val="003E6F7B"/>
    <w:rsid w:val="003E6FBA"/>
    <w:rsid w:val="003E71C3"/>
    <w:rsid w:val="003E7382"/>
    <w:rsid w:val="003E7B75"/>
    <w:rsid w:val="003E7CB5"/>
    <w:rsid w:val="003E7CE3"/>
    <w:rsid w:val="003F00C6"/>
    <w:rsid w:val="003F0288"/>
    <w:rsid w:val="003F04C4"/>
    <w:rsid w:val="003F050D"/>
    <w:rsid w:val="003F0529"/>
    <w:rsid w:val="003F0BCE"/>
    <w:rsid w:val="003F0C0A"/>
    <w:rsid w:val="003F0DE5"/>
    <w:rsid w:val="003F0E32"/>
    <w:rsid w:val="003F1135"/>
    <w:rsid w:val="003F1160"/>
    <w:rsid w:val="003F1227"/>
    <w:rsid w:val="003F1252"/>
    <w:rsid w:val="003F1CF9"/>
    <w:rsid w:val="003F1FC0"/>
    <w:rsid w:val="003F21E3"/>
    <w:rsid w:val="003F2488"/>
    <w:rsid w:val="003F28A6"/>
    <w:rsid w:val="003F2E41"/>
    <w:rsid w:val="003F2F1A"/>
    <w:rsid w:val="003F31F8"/>
    <w:rsid w:val="003F3224"/>
    <w:rsid w:val="003F33EE"/>
    <w:rsid w:val="003F33F8"/>
    <w:rsid w:val="003F3599"/>
    <w:rsid w:val="003F37C5"/>
    <w:rsid w:val="003F381A"/>
    <w:rsid w:val="003F3859"/>
    <w:rsid w:val="003F3A06"/>
    <w:rsid w:val="003F3A32"/>
    <w:rsid w:val="003F3F8F"/>
    <w:rsid w:val="003F3FC6"/>
    <w:rsid w:val="003F4463"/>
    <w:rsid w:val="003F4641"/>
    <w:rsid w:val="003F4A74"/>
    <w:rsid w:val="003F4EF7"/>
    <w:rsid w:val="003F4F3F"/>
    <w:rsid w:val="003F5076"/>
    <w:rsid w:val="003F509B"/>
    <w:rsid w:val="003F50EE"/>
    <w:rsid w:val="003F5178"/>
    <w:rsid w:val="003F519F"/>
    <w:rsid w:val="003F5716"/>
    <w:rsid w:val="003F59C3"/>
    <w:rsid w:val="003F5BBD"/>
    <w:rsid w:val="003F5BE7"/>
    <w:rsid w:val="003F5F42"/>
    <w:rsid w:val="003F6536"/>
    <w:rsid w:val="003F65B9"/>
    <w:rsid w:val="003F69B8"/>
    <w:rsid w:val="003F6AC7"/>
    <w:rsid w:val="003F6C04"/>
    <w:rsid w:val="003F6C7D"/>
    <w:rsid w:val="003F6C8D"/>
    <w:rsid w:val="003F6E32"/>
    <w:rsid w:val="003F71C6"/>
    <w:rsid w:val="003F7287"/>
    <w:rsid w:val="003F7541"/>
    <w:rsid w:val="003F76D2"/>
    <w:rsid w:val="003F79E9"/>
    <w:rsid w:val="003F7F32"/>
    <w:rsid w:val="003F7FC4"/>
    <w:rsid w:val="0040004F"/>
    <w:rsid w:val="004002C2"/>
    <w:rsid w:val="0040096C"/>
    <w:rsid w:val="00400AD7"/>
    <w:rsid w:val="00400B97"/>
    <w:rsid w:val="00401200"/>
    <w:rsid w:val="004016D8"/>
    <w:rsid w:val="00401729"/>
    <w:rsid w:val="00401892"/>
    <w:rsid w:val="00401898"/>
    <w:rsid w:val="00401DAE"/>
    <w:rsid w:val="0040206B"/>
    <w:rsid w:val="00402132"/>
    <w:rsid w:val="0040213C"/>
    <w:rsid w:val="004021EC"/>
    <w:rsid w:val="004021F8"/>
    <w:rsid w:val="00402203"/>
    <w:rsid w:val="00402216"/>
    <w:rsid w:val="004022AD"/>
    <w:rsid w:val="004022D0"/>
    <w:rsid w:val="004025E1"/>
    <w:rsid w:val="0040262C"/>
    <w:rsid w:val="004029BC"/>
    <w:rsid w:val="00402C1B"/>
    <w:rsid w:val="00402F1B"/>
    <w:rsid w:val="00402F47"/>
    <w:rsid w:val="00402F59"/>
    <w:rsid w:val="0040321A"/>
    <w:rsid w:val="0040325B"/>
    <w:rsid w:val="00403282"/>
    <w:rsid w:val="004032B5"/>
    <w:rsid w:val="004033E7"/>
    <w:rsid w:val="00403467"/>
    <w:rsid w:val="00403C25"/>
    <w:rsid w:val="00403EA1"/>
    <w:rsid w:val="00403FAD"/>
    <w:rsid w:val="00404078"/>
    <w:rsid w:val="004040DE"/>
    <w:rsid w:val="00404220"/>
    <w:rsid w:val="00404319"/>
    <w:rsid w:val="00404384"/>
    <w:rsid w:val="00404434"/>
    <w:rsid w:val="0040444E"/>
    <w:rsid w:val="004046D8"/>
    <w:rsid w:val="0040481D"/>
    <w:rsid w:val="00404948"/>
    <w:rsid w:val="00404A5E"/>
    <w:rsid w:val="00404D0E"/>
    <w:rsid w:val="00404D5C"/>
    <w:rsid w:val="00404FEE"/>
    <w:rsid w:val="00405096"/>
    <w:rsid w:val="004050FE"/>
    <w:rsid w:val="0040519C"/>
    <w:rsid w:val="004052DE"/>
    <w:rsid w:val="00405364"/>
    <w:rsid w:val="0040537B"/>
    <w:rsid w:val="004056A5"/>
    <w:rsid w:val="0040595D"/>
    <w:rsid w:val="00405CC0"/>
    <w:rsid w:val="00405D30"/>
    <w:rsid w:val="00405F66"/>
    <w:rsid w:val="004061C6"/>
    <w:rsid w:val="00406241"/>
    <w:rsid w:val="0040668A"/>
    <w:rsid w:val="00406752"/>
    <w:rsid w:val="0040695E"/>
    <w:rsid w:val="00406B72"/>
    <w:rsid w:val="00406D48"/>
    <w:rsid w:val="00406DCF"/>
    <w:rsid w:val="004070F1"/>
    <w:rsid w:val="004071A2"/>
    <w:rsid w:val="004071AF"/>
    <w:rsid w:val="004071B3"/>
    <w:rsid w:val="004071E5"/>
    <w:rsid w:val="004072FE"/>
    <w:rsid w:val="0040733D"/>
    <w:rsid w:val="004073BA"/>
    <w:rsid w:val="00407460"/>
    <w:rsid w:val="0040753B"/>
    <w:rsid w:val="0040768E"/>
    <w:rsid w:val="00407951"/>
    <w:rsid w:val="00407B62"/>
    <w:rsid w:val="00407C43"/>
    <w:rsid w:val="00407C62"/>
    <w:rsid w:val="00407DAC"/>
    <w:rsid w:val="00407E41"/>
    <w:rsid w:val="00407E59"/>
    <w:rsid w:val="00407F2A"/>
    <w:rsid w:val="00407FE5"/>
    <w:rsid w:val="00410257"/>
    <w:rsid w:val="00410412"/>
    <w:rsid w:val="00410435"/>
    <w:rsid w:val="0041049F"/>
    <w:rsid w:val="0041058B"/>
    <w:rsid w:val="0041070F"/>
    <w:rsid w:val="0041072C"/>
    <w:rsid w:val="00410866"/>
    <w:rsid w:val="00410E0E"/>
    <w:rsid w:val="00410F16"/>
    <w:rsid w:val="00411066"/>
    <w:rsid w:val="00411161"/>
    <w:rsid w:val="004112DB"/>
    <w:rsid w:val="00411343"/>
    <w:rsid w:val="004114A9"/>
    <w:rsid w:val="00411575"/>
    <w:rsid w:val="00411AB2"/>
    <w:rsid w:val="00411CA1"/>
    <w:rsid w:val="00412155"/>
    <w:rsid w:val="0041224D"/>
    <w:rsid w:val="004123DF"/>
    <w:rsid w:val="0041247C"/>
    <w:rsid w:val="004129FA"/>
    <w:rsid w:val="00412AEE"/>
    <w:rsid w:val="00412EF7"/>
    <w:rsid w:val="0041308E"/>
    <w:rsid w:val="004134E3"/>
    <w:rsid w:val="004134E4"/>
    <w:rsid w:val="0041390D"/>
    <w:rsid w:val="00413B46"/>
    <w:rsid w:val="00413D41"/>
    <w:rsid w:val="00413DCB"/>
    <w:rsid w:val="00413E29"/>
    <w:rsid w:val="00413E70"/>
    <w:rsid w:val="00413F3A"/>
    <w:rsid w:val="004141E3"/>
    <w:rsid w:val="0041437D"/>
    <w:rsid w:val="00414517"/>
    <w:rsid w:val="0041459B"/>
    <w:rsid w:val="004145AF"/>
    <w:rsid w:val="00414729"/>
    <w:rsid w:val="00414873"/>
    <w:rsid w:val="00414BB8"/>
    <w:rsid w:val="00414C8F"/>
    <w:rsid w:val="00414C95"/>
    <w:rsid w:val="00414CE5"/>
    <w:rsid w:val="00414D53"/>
    <w:rsid w:val="00414DF4"/>
    <w:rsid w:val="00414E31"/>
    <w:rsid w:val="00414F49"/>
    <w:rsid w:val="00414F75"/>
    <w:rsid w:val="00415016"/>
    <w:rsid w:val="004150D0"/>
    <w:rsid w:val="004150E7"/>
    <w:rsid w:val="0041512C"/>
    <w:rsid w:val="004151D5"/>
    <w:rsid w:val="0041567D"/>
    <w:rsid w:val="00415955"/>
    <w:rsid w:val="004159F0"/>
    <w:rsid w:val="00415A68"/>
    <w:rsid w:val="00415CEF"/>
    <w:rsid w:val="00415EA5"/>
    <w:rsid w:val="00415EB4"/>
    <w:rsid w:val="00416084"/>
    <w:rsid w:val="004160AF"/>
    <w:rsid w:val="00416186"/>
    <w:rsid w:val="0041655E"/>
    <w:rsid w:val="0041683F"/>
    <w:rsid w:val="004169F8"/>
    <w:rsid w:val="00416B41"/>
    <w:rsid w:val="00416B5B"/>
    <w:rsid w:val="00416C0B"/>
    <w:rsid w:val="00416C27"/>
    <w:rsid w:val="00416D5E"/>
    <w:rsid w:val="00416E66"/>
    <w:rsid w:val="004170E3"/>
    <w:rsid w:val="0041711D"/>
    <w:rsid w:val="0041720C"/>
    <w:rsid w:val="0041729E"/>
    <w:rsid w:val="004172E0"/>
    <w:rsid w:val="00417300"/>
    <w:rsid w:val="004175DD"/>
    <w:rsid w:val="00417613"/>
    <w:rsid w:val="0041769E"/>
    <w:rsid w:val="004176CB"/>
    <w:rsid w:val="00417A08"/>
    <w:rsid w:val="00417D95"/>
    <w:rsid w:val="00417E1E"/>
    <w:rsid w:val="00417FE8"/>
    <w:rsid w:val="004200CD"/>
    <w:rsid w:val="00420408"/>
    <w:rsid w:val="0042053B"/>
    <w:rsid w:val="004207EF"/>
    <w:rsid w:val="004208EE"/>
    <w:rsid w:val="0042093C"/>
    <w:rsid w:val="004209DE"/>
    <w:rsid w:val="00420BB1"/>
    <w:rsid w:val="00420BC8"/>
    <w:rsid w:val="00420D88"/>
    <w:rsid w:val="00420D8A"/>
    <w:rsid w:val="00420E7A"/>
    <w:rsid w:val="00420EA7"/>
    <w:rsid w:val="00420FEE"/>
    <w:rsid w:val="004210F9"/>
    <w:rsid w:val="004211B4"/>
    <w:rsid w:val="00421273"/>
    <w:rsid w:val="00421421"/>
    <w:rsid w:val="0042150F"/>
    <w:rsid w:val="00421563"/>
    <w:rsid w:val="00421889"/>
    <w:rsid w:val="0042189D"/>
    <w:rsid w:val="004218E7"/>
    <w:rsid w:val="00421BC0"/>
    <w:rsid w:val="00421C79"/>
    <w:rsid w:val="0042216F"/>
    <w:rsid w:val="00422273"/>
    <w:rsid w:val="0042234A"/>
    <w:rsid w:val="00422495"/>
    <w:rsid w:val="004224E0"/>
    <w:rsid w:val="004224F6"/>
    <w:rsid w:val="00422525"/>
    <w:rsid w:val="00422924"/>
    <w:rsid w:val="00422CF6"/>
    <w:rsid w:val="00422E70"/>
    <w:rsid w:val="00422E88"/>
    <w:rsid w:val="00422FF0"/>
    <w:rsid w:val="0042324C"/>
    <w:rsid w:val="00423274"/>
    <w:rsid w:val="00423364"/>
    <w:rsid w:val="00423680"/>
    <w:rsid w:val="004237B4"/>
    <w:rsid w:val="00423BCC"/>
    <w:rsid w:val="00423C17"/>
    <w:rsid w:val="00423E0C"/>
    <w:rsid w:val="00423F4D"/>
    <w:rsid w:val="00424036"/>
    <w:rsid w:val="00424859"/>
    <w:rsid w:val="00424862"/>
    <w:rsid w:val="0042489E"/>
    <w:rsid w:val="00424AE5"/>
    <w:rsid w:val="00424B12"/>
    <w:rsid w:val="00424B9E"/>
    <w:rsid w:val="00424EF7"/>
    <w:rsid w:val="004252DA"/>
    <w:rsid w:val="004254B7"/>
    <w:rsid w:val="00425500"/>
    <w:rsid w:val="00425A6C"/>
    <w:rsid w:val="00425A8C"/>
    <w:rsid w:val="00425B6F"/>
    <w:rsid w:val="00425BC3"/>
    <w:rsid w:val="00425D08"/>
    <w:rsid w:val="00425DE5"/>
    <w:rsid w:val="00425EDC"/>
    <w:rsid w:val="00425F3C"/>
    <w:rsid w:val="004260D1"/>
    <w:rsid w:val="0042623A"/>
    <w:rsid w:val="004263CB"/>
    <w:rsid w:val="00426407"/>
    <w:rsid w:val="004266E1"/>
    <w:rsid w:val="0042673E"/>
    <w:rsid w:val="004267E3"/>
    <w:rsid w:val="0042680A"/>
    <w:rsid w:val="00426939"/>
    <w:rsid w:val="00426D4F"/>
    <w:rsid w:val="00426DA9"/>
    <w:rsid w:val="00426E91"/>
    <w:rsid w:val="00426ECB"/>
    <w:rsid w:val="0042713E"/>
    <w:rsid w:val="00427384"/>
    <w:rsid w:val="004273BD"/>
    <w:rsid w:val="004275D0"/>
    <w:rsid w:val="004277C2"/>
    <w:rsid w:val="00427822"/>
    <w:rsid w:val="00427A5A"/>
    <w:rsid w:val="00427A9D"/>
    <w:rsid w:val="00427C3A"/>
    <w:rsid w:val="00427D28"/>
    <w:rsid w:val="00427EC0"/>
    <w:rsid w:val="00427F1A"/>
    <w:rsid w:val="00427F3B"/>
    <w:rsid w:val="00430189"/>
    <w:rsid w:val="0043026F"/>
    <w:rsid w:val="00430433"/>
    <w:rsid w:val="0043076D"/>
    <w:rsid w:val="004308F6"/>
    <w:rsid w:val="00430AA2"/>
    <w:rsid w:val="00430BD9"/>
    <w:rsid w:val="00430F57"/>
    <w:rsid w:val="00430FEA"/>
    <w:rsid w:val="00430FF9"/>
    <w:rsid w:val="00431034"/>
    <w:rsid w:val="004310A3"/>
    <w:rsid w:val="004310D5"/>
    <w:rsid w:val="00431110"/>
    <w:rsid w:val="00431163"/>
    <w:rsid w:val="0043134C"/>
    <w:rsid w:val="004313E1"/>
    <w:rsid w:val="00431531"/>
    <w:rsid w:val="004315FC"/>
    <w:rsid w:val="0043163D"/>
    <w:rsid w:val="004318DC"/>
    <w:rsid w:val="00431AED"/>
    <w:rsid w:val="00431B14"/>
    <w:rsid w:val="00431D9F"/>
    <w:rsid w:val="00431DF2"/>
    <w:rsid w:val="00431F4E"/>
    <w:rsid w:val="0043215D"/>
    <w:rsid w:val="004323AF"/>
    <w:rsid w:val="00432430"/>
    <w:rsid w:val="0043263D"/>
    <w:rsid w:val="004326EC"/>
    <w:rsid w:val="0043271D"/>
    <w:rsid w:val="0043279C"/>
    <w:rsid w:val="00432807"/>
    <w:rsid w:val="00432842"/>
    <w:rsid w:val="00432AB5"/>
    <w:rsid w:val="00432B63"/>
    <w:rsid w:val="00432B9F"/>
    <w:rsid w:val="00432D08"/>
    <w:rsid w:val="00432E44"/>
    <w:rsid w:val="00432F7A"/>
    <w:rsid w:val="0043306E"/>
    <w:rsid w:val="004330F6"/>
    <w:rsid w:val="004331B9"/>
    <w:rsid w:val="004331BD"/>
    <w:rsid w:val="00433442"/>
    <w:rsid w:val="00433452"/>
    <w:rsid w:val="004335A8"/>
    <w:rsid w:val="0043362E"/>
    <w:rsid w:val="00433855"/>
    <w:rsid w:val="004338A5"/>
    <w:rsid w:val="0043391B"/>
    <w:rsid w:val="00433921"/>
    <w:rsid w:val="0043394A"/>
    <w:rsid w:val="00433BF2"/>
    <w:rsid w:val="00433C2B"/>
    <w:rsid w:val="00433E2E"/>
    <w:rsid w:val="00433EA3"/>
    <w:rsid w:val="00434073"/>
    <w:rsid w:val="00434133"/>
    <w:rsid w:val="004343A7"/>
    <w:rsid w:val="0043455D"/>
    <w:rsid w:val="00434824"/>
    <w:rsid w:val="004348C4"/>
    <w:rsid w:val="00434913"/>
    <w:rsid w:val="00434DAB"/>
    <w:rsid w:val="00434F4D"/>
    <w:rsid w:val="0043543C"/>
    <w:rsid w:val="00435476"/>
    <w:rsid w:val="0043548E"/>
    <w:rsid w:val="004356E6"/>
    <w:rsid w:val="0043582C"/>
    <w:rsid w:val="004358F1"/>
    <w:rsid w:val="0043591C"/>
    <w:rsid w:val="00435986"/>
    <w:rsid w:val="00435C87"/>
    <w:rsid w:val="00435FBA"/>
    <w:rsid w:val="00436354"/>
    <w:rsid w:val="004364E4"/>
    <w:rsid w:val="004365D3"/>
    <w:rsid w:val="00436667"/>
    <w:rsid w:val="00436690"/>
    <w:rsid w:val="00436727"/>
    <w:rsid w:val="004367DB"/>
    <w:rsid w:val="004368AB"/>
    <w:rsid w:val="00436B6C"/>
    <w:rsid w:val="00436CA0"/>
    <w:rsid w:val="004370C9"/>
    <w:rsid w:val="004370D8"/>
    <w:rsid w:val="004371B5"/>
    <w:rsid w:val="004372AA"/>
    <w:rsid w:val="004375B9"/>
    <w:rsid w:val="00437758"/>
    <w:rsid w:val="00437850"/>
    <w:rsid w:val="00437A63"/>
    <w:rsid w:val="00437AA2"/>
    <w:rsid w:val="00437DA9"/>
    <w:rsid w:val="00437E47"/>
    <w:rsid w:val="00437F6F"/>
    <w:rsid w:val="00437FCC"/>
    <w:rsid w:val="004400A3"/>
    <w:rsid w:val="004400B0"/>
    <w:rsid w:val="0044012E"/>
    <w:rsid w:val="004402D6"/>
    <w:rsid w:val="00440427"/>
    <w:rsid w:val="00440465"/>
    <w:rsid w:val="00440684"/>
    <w:rsid w:val="004406C5"/>
    <w:rsid w:val="004409C2"/>
    <w:rsid w:val="00440B9A"/>
    <w:rsid w:val="00440BFC"/>
    <w:rsid w:val="00440C34"/>
    <w:rsid w:val="00440E98"/>
    <w:rsid w:val="00440EB2"/>
    <w:rsid w:val="00440EE4"/>
    <w:rsid w:val="00440EF9"/>
    <w:rsid w:val="00440F3D"/>
    <w:rsid w:val="00441399"/>
    <w:rsid w:val="004414B2"/>
    <w:rsid w:val="00441613"/>
    <w:rsid w:val="004417ED"/>
    <w:rsid w:val="00442186"/>
    <w:rsid w:val="004421A2"/>
    <w:rsid w:val="004422DF"/>
    <w:rsid w:val="004422EE"/>
    <w:rsid w:val="004423D0"/>
    <w:rsid w:val="00442426"/>
    <w:rsid w:val="00442432"/>
    <w:rsid w:val="004426C2"/>
    <w:rsid w:val="00442760"/>
    <w:rsid w:val="0044282C"/>
    <w:rsid w:val="004429C4"/>
    <w:rsid w:val="00442AF6"/>
    <w:rsid w:val="00442B22"/>
    <w:rsid w:val="00442B68"/>
    <w:rsid w:val="00442C31"/>
    <w:rsid w:val="00442C47"/>
    <w:rsid w:val="00442D5E"/>
    <w:rsid w:val="00442D6A"/>
    <w:rsid w:val="00442DE2"/>
    <w:rsid w:val="00442EF4"/>
    <w:rsid w:val="00443314"/>
    <w:rsid w:val="00443320"/>
    <w:rsid w:val="00443337"/>
    <w:rsid w:val="00443685"/>
    <w:rsid w:val="00443B3F"/>
    <w:rsid w:val="00443BB9"/>
    <w:rsid w:val="00443C16"/>
    <w:rsid w:val="00443C69"/>
    <w:rsid w:val="00443CE3"/>
    <w:rsid w:val="00444053"/>
    <w:rsid w:val="00444055"/>
    <w:rsid w:val="00444168"/>
    <w:rsid w:val="00444346"/>
    <w:rsid w:val="0044461E"/>
    <w:rsid w:val="00444681"/>
    <w:rsid w:val="004449FC"/>
    <w:rsid w:val="00444BF3"/>
    <w:rsid w:val="00444C6C"/>
    <w:rsid w:val="00444CD8"/>
    <w:rsid w:val="00444D59"/>
    <w:rsid w:val="00444D6F"/>
    <w:rsid w:val="00444DFA"/>
    <w:rsid w:val="00444E65"/>
    <w:rsid w:val="00444FC8"/>
    <w:rsid w:val="00444FEB"/>
    <w:rsid w:val="004454CC"/>
    <w:rsid w:val="00445559"/>
    <w:rsid w:val="00445596"/>
    <w:rsid w:val="004455FA"/>
    <w:rsid w:val="00445789"/>
    <w:rsid w:val="004457B1"/>
    <w:rsid w:val="00445A08"/>
    <w:rsid w:val="00445B51"/>
    <w:rsid w:val="00445B64"/>
    <w:rsid w:val="00445D06"/>
    <w:rsid w:val="00445DD6"/>
    <w:rsid w:val="00445E09"/>
    <w:rsid w:val="0044614C"/>
    <w:rsid w:val="00446250"/>
    <w:rsid w:val="004462FF"/>
    <w:rsid w:val="00446304"/>
    <w:rsid w:val="00446367"/>
    <w:rsid w:val="004463D7"/>
    <w:rsid w:val="0044645F"/>
    <w:rsid w:val="00446483"/>
    <w:rsid w:val="004466A8"/>
    <w:rsid w:val="004468E1"/>
    <w:rsid w:val="00446965"/>
    <w:rsid w:val="00446995"/>
    <w:rsid w:val="00446A51"/>
    <w:rsid w:val="00446A7B"/>
    <w:rsid w:val="00446CC5"/>
    <w:rsid w:val="00446D3B"/>
    <w:rsid w:val="00446E31"/>
    <w:rsid w:val="00446FD3"/>
    <w:rsid w:val="004470BE"/>
    <w:rsid w:val="004471B1"/>
    <w:rsid w:val="0044746F"/>
    <w:rsid w:val="00447616"/>
    <w:rsid w:val="00447699"/>
    <w:rsid w:val="00447895"/>
    <w:rsid w:val="004479DB"/>
    <w:rsid w:val="00447A0C"/>
    <w:rsid w:val="00447A93"/>
    <w:rsid w:val="00447FF2"/>
    <w:rsid w:val="004500CB"/>
    <w:rsid w:val="00450192"/>
    <w:rsid w:val="004501E4"/>
    <w:rsid w:val="00450254"/>
    <w:rsid w:val="004502CB"/>
    <w:rsid w:val="00450499"/>
    <w:rsid w:val="0045062B"/>
    <w:rsid w:val="00450745"/>
    <w:rsid w:val="004507A7"/>
    <w:rsid w:val="00450AA4"/>
    <w:rsid w:val="00450B02"/>
    <w:rsid w:val="00450BC1"/>
    <w:rsid w:val="00450C46"/>
    <w:rsid w:val="00450CA4"/>
    <w:rsid w:val="00450EC9"/>
    <w:rsid w:val="00450F47"/>
    <w:rsid w:val="00451213"/>
    <w:rsid w:val="0045128D"/>
    <w:rsid w:val="00451482"/>
    <w:rsid w:val="00451572"/>
    <w:rsid w:val="00451627"/>
    <w:rsid w:val="00451828"/>
    <w:rsid w:val="00451AF6"/>
    <w:rsid w:val="00451B35"/>
    <w:rsid w:val="00451C1D"/>
    <w:rsid w:val="00451C5F"/>
    <w:rsid w:val="00451E00"/>
    <w:rsid w:val="00451E8F"/>
    <w:rsid w:val="0045204F"/>
    <w:rsid w:val="004520AE"/>
    <w:rsid w:val="004520C5"/>
    <w:rsid w:val="0045221C"/>
    <w:rsid w:val="00452269"/>
    <w:rsid w:val="004522D0"/>
    <w:rsid w:val="004524EC"/>
    <w:rsid w:val="004525EA"/>
    <w:rsid w:val="004525FC"/>
    <w:rsid w:val="00452649"/>
    <w:rsid w:val="004526E9"/>
    <w:rsid w:val="0045277D"/>
    <w:rsid w:val="004527F4"/>
    <w:rsid w:val="004528A5"/>
    <w:rsid w:val="00452919"/>
    <w:rsid w:val="00452A12"/>
    <w:rsid w:val="00452A5D"/>
    <w:rsid w:val="00452B32"/>
    <w:rsid w:val="00452C83"/>
    <w:rsid w:val="00452D57"/>
    <w:rsid w:val="004530C5"/>
    <w:rsid w:val="00453114"/>
    <w:rsid w:val="00453252"/>
    <w:rsid w:val="004532F6"/>
    <w:rsid w:val="0045340E"/>
    <w:rsid w:val="00453699"/>
    <w:rsid w:val="004537DC"/>
    <w:rsid w:val="004537E8"/>
    <w:rsid w:val="00453973"/>
    <w:rsid w:val="00453A1C"/>
    <w:rsid w:val="00453A2E"/>
    <w:rsid w:val="00453B7B"/>
    <w:rsid w:val="00453C51"/>
    <w:rsid w:val="00453DF8"/>
    <w:rsid w:val="00453E6E"/>
    <w:rsid w:val="00453F45"/>
    <w:rsid w:val="00453F94"/>
    <w:rsid w:val="00454170"/>
    <w:rsid w:val="004542BD"/>
    <w:rsid w:val="004543D4"/>
    <w:rsid w:val="004544B0"/>
    <w:rsid w:val="004544E5"/>
    <w:rsid w:val="00454518"/>
    <w:rsid w:val="0045451C"/>
    <w:rsid w:val="004545A9"/>
    <w:rsid w:val="004546F1"/>
    <w:rsid w:val="0045477C"/>
    <w:rsid w:val="00454BC6"/>
    <w:rsid w:val="00454C14"/>
    <w:rsid w:val="00454D15"/>
    <w:rsid w:val="00454DD9"/>
    <w:rsid w:val="00454E00"/>
    <w:rsid w:val="0045511C"/>
    <w:rsid w:val="00455168"/>
    <w:rsid w:val="00455227"/>
    <w:rsid w:val="0045549C"/>
    <w:rsid w:val="0045577B"/>
    <w:rsid w:val="004557D4"/>
    <w:rsid w:val="00455842"/>
    <w:rsid w:val="00455A8B"/>
    <w:rsid w:val="00455B85"/>
    <w:rsid w:val="00455F53"/>
    <w:rsid w:val="00455FDA"/>
    <w:rsid w:val="00456365"/>
    <w:rsid w:val="004564B8"/>
    <w:rsid w:val="0045665D"/>
    <w:rsid w:val="004566A8"/>
    <w:rsid w:val="004566EF"/>
    <w:rsid w:val="00456712"/>
    <w:rsid w:val="0045689B"/>
    <w:rsid w:val="004569ED"/>
    <w:rsid w:val="00456DD3"/>
    <w:rsid w:val="00456E84"/>
    <w:rsid w:val="00456EC3"/>
    <w:rsid w:val="004572D3"/>
    <w:rsid w:val="00457320"/>
    <w:rsid w:val="00457341"/>
    <w:rsid w:val="00457347"/>
    <w:rsid w:val="00457385"/>
    <w:rsid w:val="004573BE"/>
    <w:rsid w:val="00457420"/>
    <w:rsid w:val="00457610"/>
    <w:rsid w:val="004576CB"/>
    <w:rsid w:val="0045781D"/>
    <w:rsid w:val="00457876"/>
    <w:rsid w:val="00457CDA"/>
    <w:rsid w:val="00457CF9"/>
    <w:rsid w:val="00457E45"/>
    <w:rsid w:val="00457F14"/>
    <w:rsid w:val="00457F6C"/>
    <w:rsid w:val="0045E612"/>
    <w:rsid w:val="00460062"/>
    <w:rsid w:val="00460235"/>
    <w:rsid w:val="004606F1"/>
    <w:rsid w:val="0046074D"/>
    <w:rsid w:val="004608DC"/>
    <w:rsid w:val="00460A4B"/>
    <w:rsid w:val="00460B34"/>
    <w:rsid w:val="00460CC2"/>
    <w:rsid w:val="00460CE7"/>
    <w:rsid w:val="00460DCD"/>
    <w:rsid w:val="00460E17"/>
    <w:rsid w:val="00460E66"/>
    <w:rsid w:val="00460FA1"/>
    <w:rsid w:val="00461266"/>
    <w:rsid w:val="004612AF"/>
    <w:rsid w:val="004613AE"/>
    <w:rsid w:val="004613C0"/>
    <w:rsid w:val="004613E2"/>
    <w:rsid w:val="00461490"/>
    <w:rsid w:val="00461535"/>
    <w:rsid w:val="00461657"/>
    <w:rsid w:val="004616A3"/>
    <w:rsid w:val="004616D9"/>
    <w:rsid w:val="004617A5"/>
    <w:rsid w:val="0046198D"/>
    <w:rsid w:val="004619ED"/>
    <w:rsid w:val="00461BBB"/>
    <w:rsid w:val="00461BED"/>
    <w:rsid w:val="00461CBA"/>
    <w:rsid w:val="00461D7C"/>
    <w:rsid w:val="00461E3C"/>
    <w:rsid w:val="00462013"/>
    <w:rsid w:val="004622DD"/>
    <w:rsid w:val="004623A9"/>
    <w:rsid w:val="00462530"/>
    <w:rsid w:val="00462549"/>
    <w:rsid w:val="004627C7"/>
    <w:rsid w:val="0046283A"/>
    <w:rsid w:val="004629D4"/>
    <w:rsid w:val="004629F6"/>
    <w:rsid w:val="00462A26"/>
    <w:rsid w:val="00462CDF"/>
    <w:rsid w:val="00462EBE"/>
    <w:rsid w:val="00463090"/>
    <w:rsid w:val="004630E6"/>
    <w:rsid w:val="00463147"/>
    <w:rsid w:val="00463155"/>
    <w:rsid w:val="00463434"/>
    <w:rsid w:val="0046363E"/>
    <w:rsid w:val="00463B02"/>
    <w:rsid w:val="00463F10"/>
    <w:rsid w:val="004642CB"/>
    <w:rsid w:val="004642E8"/>
    <w:rsid w:val="004643E5"/>
    <w:rsid w:val="004645F0"/>
    <w:rsid w:val="004646D8"/>
    <w:rsid w:val="00464833"/>
    <w:rsid w:val="0046489C"/>
    <w:rsid w:val="00464C47"/>
    <w:rsid w:val="00464CA2"/>
    <w:rsid w:val="00464D29"/>
    <w:rsid w:val="00464FD0"/>
    <w:rsid w:val="004650B1"/>
    <w:rsid w:val="004650BC"/>
    <w:rsid w:val="004651C8"/>
    <w:rsid w:val="004653F6"/>
    <w:rsid w:val="0046540A"/>
    <w:rsid w:val="004654D5"/>
    <w:rsid w:val="0046558B"/>
    <w:rsid w:val="004655F0"/>
    <w:rsid w:val="00465998"/>
    <w:rsid w:val="00465B2E"/>
    <w:rsid w:val="00465BBA"/>
    <w:rsid w:val="00465BC9"/>
    <w:rsid w:val="00465DA7"/>
    <w:rsid w:val="00466031"/>
    <w:rsid w:val="004661B4"/>
    <w:rsid w:val="004661C7"/>
    <w:rsid w:val="00466212"/>
    <w:rsid w:val="004662B7"/>
    <w:rsid w:val="0046630D"/>
    <w:rsid w:val="004667B1"/>
    <w:rsid w:val="0046691E"/>
    <w:rsid w:val="00466937"/>
    <w:rsid w:val="00466AEE"/>
    <w:rsid w:val="00466BEE"/>
    <w:rsid w:val="00466C28"/>
    <w:rsid w:val="00467146"/>
    <w:rsid w:val="00467170"/>
    <w:rsid w:val="00467459"/>
    <w:rsid w:val="00467461"/>
    <w:rsid w:val="0046775F"/>
    <w:rsid w:val="00467A01"/>
    <w:rsid w:val="00467A41"/>
    <w:rsid w:val="00467DBD"/>
    <w:rsid w:val="00467F04"/>
    <w:rsid w:val="0047019E"/>
    <w:rsid w:val="0047020A"/>
    <w:rsid w:val="004702FF"/>
    <w:rsid w:val="00470576"/>
    <w:rsid w:val="0047058E"/>
    <w:rsid w:val="004706E5"/>
    <w:rsid w:val="00470951"/>
    <w:rsid w:val="00470AD3"/>
    <w:rsid w:val="00470BB5"/>
    <w:rsid w:val="00470BC8"/>
    <w:rsid w:val="00470C45"/>
    <w:rsid w:val="00470C86"/>
    <w:rsid w:val="0047113E"/>
    <w:rsid w:val="00471445"/>
    <w:rsid w:val="004717D0"/>
    <w:rsid w:val="00471919"/>
    <w:rsid w:val="00471A91"/>
    <w:rsid w:val="00471B56"/>
    <w:rsid w:val="00471C6F"/>
    <w:rsid w:val="00472303"/>
    <w:rsid w:val="0047244E"/>
    <w:rsid w:val="004725FA"/>
    <w:rsid w:val="0047269F"/>
    <w:rsid w:val="00472876"/>
    <w:rsid w:val="0047294D"/>
    <w:rsid w:val="004729D1"/>
    <w:rsid w:val="00472C66"/>
    <w:rsid w:val="00472E1F"/>
    <w:rsid w:val="004732B9"/>
    <w:rsid w:val="00473308"/>
    <w:rsid w:val="00473396"/>
    <w:rsid w:val="004733C1"/>
    <w:rsid w:val="00473633"/>
    <w:rsid w:val="00473731"/>
    <w:rsid w:val="00473777"/>
    <w:rsid w:val="004738CC"/>
    <w:rsid w:val="00473E03"/>
    <w:rsid w:val="00473F31"/>
    <w:rsid w:val="00473FEE"/>
    <w:rsid w:val="00474107"/>
    <w:rsid w:val="00474279"/>
    <w:rsid w:val="00474540"/>
    <w:rsid w:val="0047455C"/>
    <w:rsid w:val="004746CE"/>
    <w:rsid w:val="004748BB"/>
    <w:rsid w:val="0047497C"/>
    <w:rsid w:val="00474AA6"/>
    <w:rsid w:val="00474AF7"/>
    <w:rsid w:val="00474B70"/>
    <w:rsid w:val="00474B83"/>
    <w:rsid w:val="00474DE3"/>
    <w:rsid w:val="00474DEA"/>
    <w:rsid w:val="00475097"/>
    <w:rsid w:val="004750C8"/>
    <w:rsid w:val="004754F2"/>
    <w:rsid w:val="004755F9"/>
    <w:rsid w:val="004757E8"/>
    <w:rsid w:val="0047580D"/>
    <w:rsid w:val="00475883"/>
    <w:rsid w:val="0047591F"/>
    <w:rsid w:val="004759FA"/>
    <w:rsid w:val="00475B06"/>
    <w:rsid w:val="00475B23"/>
    <w:rsid w:val="00475BAE"/>
    <w:rsid w:val="00475C67"/>
    <w:rsid w:val="00475D48"/>
    <w:rsid w:val="00475DFF"/>
    <w:rsid w:val="00475E17"/>
    <w:rsid w:val="00476039"/>
    <w:rsid w:val="004760AC"/>
    <w:rsid w:val="00476360"/>
    <w:rsid w:val="00476446"/>
    <w:rsid w:val="004764C7"/>
    <w:rsid w:val="0047660C"/>
    <w:rsid w:val="004766A5"/>
    <w:rsid w:val="004767E8"/>
    <w:rsid w:val="00476847"/>
    <w:rsid w:val="00476877"/>
    <w:rsid w:val="00476A01"/>
    <w:rsid w:val="00476A44"/>
    <w:rsid w:val="00476B32"/>
    <w:rsid w:val="00476BC8"/>
    <w:rsid w:val="00476E38"/>
    <w:rsid w:val="00476F39"/>
    <w:rsid w:val="00476F44"/>
    <w:rsid w:val="00476F59"/>
    <w:rsid w:val="00476FD6"/>
    <w:rsid w:val="00477142"/>
    <w:rsid w:val="00477227"/>
    <w:rsid w:val="0047723D"/>
    <w:rsid w:val="00477635"/>
    <w:rsid w:val="00477719"/>
    <w:rsid w:val="00477926"/>
    <w:rsid w:val="0047794C"/>
    <w:rsid w:val="004800F5"/>
    <w:rsid w:val="00480328"/>
    <w:rsid w:val="00480460"/>
    <w:rsid w:val="00480464"/>
    <w:rsid w:val="004805F5"/>
    <w:rsid w:val="00480619"/>
    <w:rsid w:val="004807E4"/>
    <w:rsid w:val="004809B3"/>
    <w:rsid w:val="004809CF"/>
    <w:rsid w:val="004809DF"/>
    <w:rsid w:val="00480B10"/>
    <w:rsid w:val="00480CB0"/>
    <w:rsid w:val="00480D26"/>
    <w:rsid w:val="00480E1A"/>
    <w:rsid w:val="00480E63"/>
    <w:rsid w:val="0048112D"/>
    <w:rsid w:val="004811AE"/>
    <w:rsid w:val="00481403"/>
    <w:rsid w:val="00481424"/>
    <w:rsid w:val="00481568"/>
    <w:rsid w:val="004819BF"/>
    <w:rsid w:val="00481A58"/>
    <w:rsid w:val="00481C18"/>
    <w:rsid w:val="00481DEA"/>
    <w:rsid w:val="00481F13"/>
    <w:rsid w:val="00481F1A"/>
    <w:rsid w:val="00481FDE"/>
    <w:rsid w:val="00482028"/>
    <w:rsid w:val="0048217A"/>
    <w:rsid w:val="00482182"/>
    <w:rsid w:val="004823C0"/>
    <w:rsid w:val="004826EE"/>
    <w:rsid w:val="00482CD9"/>
    <w:rsid w:val="00482D7F"/>
    <w:rsid w:val="00482FCD"/>
    <w:rsid w:val="004831FA"/>
    <w:rsid w:val="0048321D"/>
    <w:rsid w:val="004832E5"/>
    <w:rsid w:val="00483831"/>
    <w:rsid w:val="004838F1"/>
    <w:rsid w:val="00483972"/>
    <w:rsid w:val="00483A34"/>
    <w:rsid w:val="00483A4C"/>
    <w:rsid w:val="00483EE9"/>
    <w:rsid w:val="004840D5"/>
    <w:rsid w:val="00484403"/>
    <w:rsid w:val="00484950"/>
    <w:rsid w:val="00484C80"/>
    <w:rsid w:val="00484CD6"/>
    <w:rsid w:val="00484D82"/>
    <w:rsid w:val="00485003"/>
    <w:rsid w:val="0048505E"/>
    <w:rsid w:val="00485290"/>
    <w:rsid w:val="0048529E"/>
    <w:rsid w:val="00485331"/>
    <w:rsid w:val="00485528"/>
    <w:rsid w:val="004856A8"/>
    <w:rsid w:val="0048594F"/>
    <w:rsid w:val="00485993"/>
    <w:rsid w:val="00485B06"/>
    <w:rsid w:val="00485C7A"/>
    <w:rsid w:val="00485E4F"/>
    <w:rsid w:val="00486402"/>
    <w:rsid w:val="004864CC"/>
    <w:rsid w:val="00486B55"/>
    <w:rsid w:val="00486CD1"/>
    <w:rsid w:val="00486E7B"/>
    <w:rsid w:val="00486F79"/>
    <w:rsid w:val="0048709B"/>
    <w:rsid w:val="004871F1"/>
    <w:rsid w:val="004872AF"/>
    <w:rsid w:val="00487662"/>
    <w:rsid w:val="004876B5"/>
    <w:rsid w:val="004877D0"/>
    <w:rsid w:val="00487932"/>
    <w:rsid w:val="00487A5F"/>
    <w:rsid w:val="00487B6A"/>
    <w:rsid w:val="00487EF8"/>
    <w:rsid w:val="00487F3F"/>
    <w:rsid w:val="0049008D"/>
    <w:rsid w:val="004900E0"/>
    <w:rsid w:val="00490680"/>
    <w:rsid w:val="00490773"/>
    <w:rsid w:val="00490B11"/>
    <w:rsid w:val="00490B85"/>
    <w:rsid w:val="00490DA0"/>
    <w:rsid w:val="00490E14"/>
    <w:rsid w:val="00490F48"/>
    <w:rsid w:val="0049105C"/>
    <w:rsid w:val="00491187"/>
    <w:rsid w:val="00491233"/>
    <w:rsid w:val="0049135E"/>
    <w:rsid w:val="004915AC"/>
    <w:rsid w:val="004916EC"/>
    <w:rsid w:val="0049178D"/>
    <w:rsid w:val="00491881"/>
    <w:rsid w:val="004919A7"/>
    <w:rsid w:val="004919F6"/>
    <w:rsid w:val="00491AC5"/>
    <w:rsid w:val="00491ACB"/>
    <w:rsid w:val="00492067"/>
    <w:rsid w:val="0049210E"/>
    <w:rsid w:val="00492534"/>
    <w:rsid w:val="004928BC"/>
    <w:rsid w:val="004928CE"/>
    <w:rsid w:val="00492A3A"/>
    <w:rsid w:val="00492AA2"/>
    <w:rsid w:val="00492CAF"/>
    <w:rsid w:val="00492E72"/>
    <w:rsid w:val="00493497"/>
    <w:rsid w:val="004935B4"/>
    <w:rsid w:val="00493750"/>
    <w:rsid w:val="004937EC"/>
    <w:rsid w:val="004938F7"/>
    <w:rsid w:val="004939EC"/>
    <w:rsid w:val="00493D29"/>
    <w:rsid w:val="00493F7C"/>
    <w:rsid w:val="00493F95"/>
    <w:rsid w:val="0049417D"/>
    <w:rsid w:val="00494346"/>
    <w:rsid w:val="00494546"/>
    <w:rsid w:val="00494549"/>
    <w:rsid w:val="00494638"/>
    <w:rsid w:val="004946A3"/>
    <w:rsid w:val="0049470A"/>
    <w:rsid w:val="0049477A"/>
    <w:rsid w:val="00494789"/>
    <w:rsid w:val="00494903"/>
    <w:rsid w:val="00494A86"/>
    <w:rsid w:val="00494A89"/>
    <w:rsid w:val="00494ADB"/>
    <w:rsid w:val="00494B69"/>
    <w:rsid w:val="00494C30"/>
    <w:rsid w:val="00495044"/>
    <w:rsid w:val="004952C0"/>
    <w:rsid w:val="004953F1"/>
    <w:rsid w:val="0049542D"/>
    <w:rsid w:val="004959B1"/>
    <w:rsid w:val="00495AA1"/>
    <w:rsid w:val="00495AFD"/>
    <w:rsid w:val="00495F59"/>
    <w:rsid w:val="00495FBF"/>
    <w:rsid w:val="00496010"/>
    <w:rsid w:val="00496277"/>
    <w:rsid w:val="00496392"/>
    <w:rsid w:val="004965AB"/>
    <w:rsid w:val="00496752"/>
    <w:rsid w:val="0049686A"/>
    <w:rsid w:val="00496996"/>
    <w:rsid w:val="00496AFD"/>
    <w:rsid w:val="00497189"/>
    <w:rsid w:val="004972E8"/>
    <w:rsid w:val="0049731A"/>
    <w:rsid w:val="0049738D"/>
    <w:rsid w:val="0049753A"/>
    <w:rsid w:val="0049758C"/>
    <w:rsid w:val="0049783E"/>
    <w:rsid w:val="0049792C"/>
    <w:rsid w:val="00497A94"/>
    <w:rsid w:val="00497AEF"/>
    <w:rsid w:val="00497CBE"/>
    <w:rsid w:val="00497DAE"/>
    <w:rsid w:val="00497FCD"/>
    <w:rsid w:val="004A0439"/>
    <w:rsid w:val="004A0486"/>
    <w:rsid w:val="004A0767"/>
    <w:rsid w:val="004A07C2"/>
    <w:rsid w:val="004A089C"/>
    <w:rsid w:val="004A0925"/>
    <w:rsid w:val="004A09FF"/>
    <w:rsid w:val="004A0A1D"/>
    <w:rsid w:val="004A0BF3"/>
    <w:rsid w:val="004A0CD7"/>
    <w:rsid w:val="004A0EC0"/>
    <w:rsid w:val="004A105E"/>
    <w:rsid w:val="004A1436"/>
    <w:rsid w:val="004A157F"/>
    <w:rsid w:val="004A1909"/>
    <w:rsid w:val="004A1986"/>
    <w:rsid w:val="004A1BF4"/>
    <w:rsid w:val="004A1C92"/>
    <w:rsid w:val="004A1DA4"/>
    <w:rsid w:val="004A1E62"/>
    <w:rsid w:val="004A2238"/>
    <w:rsid w:val="004A2367"/>
    <w:rsid w:val="004A237A"/>
    <w:rsid w:val="004A2611"/>
    <w:rsid w:val="004A2673"/>
    <w:rsid w:val="004A2679"/>
    <w:rsid w:val="004A26C6"/>
    <w:rsid w:val="004A288B"/>
    <w:rsid w:val="004A2A01"/>
    <w:rsid w:val="004A2A24"/>
    <w:rsid w:val="004A2F4B"/>
    <w:rsid w:val="004A2F9A"/>
    <w:rsid w:val="004A2FBA"/>
    <w:rsid w:val="004A3044"/>
    <w:rsid w:val="004A3308"/>
    <w:rsid w:val="004A359C"/>
    <w:rsid w:val="004A380D"/>
    <w:rsid w:val="004A390B"/>
    <w:rsid w:val="004A3B89"/>
    <w:rsid w:val="004A3CCB"/>
    <w:rsid w:val="004A3EE6"/>
    <w:rsid w:val="004A3F0E"/>
    <w:rsid w:val="004A3FB4"/>
    <w:rsid w:val="004A3FD2"/>
    <w:rsid w:val="004A4110"/>
    <w:rsid w:val="004A417E"/>
    <w:rsid w:val="004A46CB"/>
    <w:rsid w:val="004A47C6"/>
    <w:rsid w:val="004A48D0"/>
    <w:rsid w:val="004A48D7"/>
    <w:rsid w:val="004A4971"/>
    <w:rsid w:val="004A4988"/>
    <w:rsid w:val="004A4B47"/>
    <w:rsid w:val="004A4CF2"/>
    <w:rsid w:val="004A5172"/>
    <w:rsid w:val="004A5568"/>
    <w:rsid w:val="004A560E"/>
    <w:rsid w:val="004A57AE"/>
    <w:rsid w:val="004A5810"/>
    <w:rsid w:val="004A5873"/>
    <w:rsid w:val="004A5DA7"/>
    <w:rsid w:val="004A5E7E"/>
    <w:rsid w:val="004A618D"/>
    <w:rsid w:val="004A6231"/>
    <w:rsid w:val="004A6306"/>
    <w:rsid w:val="004A63ED"/>
    <w:rsid w:val="004A6461"/>
    <w:rsid w:val="004A6545"/>
    <w:rsid w:val="004A65C4"/>
    <w:rsid w:val="004A6655"/>
    <w:rsid w:val="004A67EF"/>
    <w:rsid w:val="004A6B18"/>
    <w:rsid w:val="004A6ED2"/>
    <w:rsid w:val="004A6F7F"/>
    <w:rsid w:val="004A70BE"/>
    <w:rsid w:val="004A718F"/>
    <w:rsid w:val="004A72E0"/>
    <w:rsid w:val="004A78AC"/>
    <w:rsid w:val="004A79D4"/>
    <w:rsid w:val="004A7AB9"/>
    <w:rsid w:val="004A7AEB"/>
    <w:rsid w:val="004A7C33"/>
    <w:rsid w:val="004A7D67"/>
    <w:rsid w:val="004A7F30"/>
    <w:rsid w:val="004A7FF3"/>
    <w:rsid w:val="004B0064"/>
    <w:rsid w:val="004B0080"/>
    <w:rsid w:val="004B033B"/>
    <w:rsid w:val="004B042F"/>
    <w:rsid w:val="004B0485"/>
    <w:rsid w:val="004B04A3"/>
    <w:rsid w:val="004B06C9"/>
    <w:rsid w:val="004B06F4"/>
    <w:rsid w:val="004B07A4"/>
    <w:rsid w:val="004B07BC"/>
    <w:rsid w:val="004B089E"/>
    <w:rsid w:val="004B08C4"/>
    <w:rsid w:val="004B0AA4"/>
    <w:rsid w:val="004B0BCF"/>
    <w:rsid w:val="004B0C18"/>
    <w:rsid w:val="004B116A"/>
    <w:rsid w:val="004B11D0"/>
    <w:rsid w:val="004B13A1"/>
    <w:rsid w:val="004B1F05"/>
    <w:rsid w:val="004B2099"/>
    <w:rsid w:val="004B22D6"/>
    <w:rsid w:val="004B236C"/>
    <w:rsid w:val="004B24EC"/>
    <w:rsid w:val="004B2714"/>
    <w:rsid w:val="004B2A1C"/>
    <w:rsid w:val="004B30BF"/>
    <w:rsid w:val="004B35A1"/>
    <w:rsid w:val="004B36FE"/>
    <w:rsid w:val="004B3701"/>
    <w:rsid w:val="004B3A6C"/>
    <w:rsid w:val="004B3C00"/>
    <w:rsid w:val="004B3F13"/>
    <w:rsid w:val="004B4093"/>
    <w:rsid w:val="004B4216"/>
    <w:rsid w:val="004B42F9"/>
    <w:rsid w:val="004B4420"/>
    <w:rsid w:val="004B460B"/>
    <w:rsid w:val="004B46EB"/>
    <w:rsid w:val="004B48C3"/>
    <w:rsid w:val="004B4978"/>
    <w:rsid w:val="004B4AF3"/>
    <w:rsid w:val="004B4C01"/>
    <w:rsid w:val="004B4CB3"/>
    <w:rsid w:val="004B4D7F"/>
    <w:rsid w:val="004B4EA1"/>
    <w:rsid w:val="004B4ED9"/>
    <w:rsid w:val="004B4F6F"/>
    <w:rsid w:val="004B4FD2"/>
    <w:rsid w:val="004B4FD9"/>
    <w:rsid w:val="004B53AD"/>
    <w:rsid w:val="004B55CB"/>
    <w:rsid w:val="004B56B7"/>
    <w:rsid w:val="004B5A44"/>
    <w:rsid w:val="004B5A73"/>
    <w:rsid w:val="004B5A7B"/>
    <w:rsid w:val="004B5B4A"/>
    <w:rsid w:val="004B5BAE"/>
    <w:rsid w:val="004B5CC6"/>
    <w:rsid w:val="004B5CF2"/>
    <w:rsid w:val="004B604C"/>
    <w:rsid w:val="004B62B4"/>
    <w:rsid w:val="004B62CE"/>
    <w:rsid w:val="004B6325"/>
    <w:rsid w:val="004B63EE"/>
    <w:rsid w:val="004B6650"/>
    <w:rsid w:val="004B66BC"/>
    <w:rsid w:val="004B6702"/>
    <w:rsid w:val="004B676F"/>
    <w:rsid w:val="004B68A6"/>
    <w:rsid w:val="004B6B62"/>
    <w:rsid w:val="004B6CC6"/>
    <w:rsid w:val="004B6DDD"/>
    <w:rsid w:val="004B6E65"/>
    <w:rsid w:val="004B6F1A"/>
    <w:rsid w:val="004B702D"/>
    <w:rsid w:val="004B726F"/>
    <w:rsid w:val="004B741D"/>
    <w:rsid w:val="004B7458"/>
    <w:rsid w:val="004B766C"/>
    <w:rsid w:val="004B79AE"/>
    <w:rsid w:val="004B7B55"/>
    <w:rsid w:val="004B7BBC"/>
    <w:rsid w:val="004B7D26"/>
    <w:rsid w:val="004B7D54"/>
    <w:rsid w:val="004B7DCA"/>
    <w:rsid w:val="004B7EB5"/>
    <w:rsid w:val="004B7FD8"/>
    <w:rsid w:val="004B7FFC"/>
    <w:rsid w:val="004BA3E2"/>
    <w:rsid w:val="004C01D1"/>
    <w:rsid w:val="004C0224"/>
    <w:rsid w:val="004C0343"/>
    <w:rsid w:val="004C0402"/>
    <w:rsid w:val="004C061D"/>
    <w:rsid w:val="004C09C2"/>
    <w:rsid w:val="004C0CA4"/>
    <w:rsid w:val="004C0D45"/>
    <w:rsid w:val="004C144D"/>
    <w:rsid w:val="004C149C"/>
    <w:rsid w:val="004C14A2"/>
    <w:rsid w:val="004C156A"/>
    <w:rsid w:val="004C159A"/>
    <w:rsid w:val="004C167E"/>
    <w:rsid w:val="004C1845"/>
    <w:rsid w:val="004C1905"/>
    <w:rsid w:val="004C1B9A"/>
    <w:rsid w:val="004C1CF3"/>
    <w:rsid w:val="004C1D10"/>
    <w:rsid w:val="004C1D36"/>
    <w:rsid w:val="004C1F09"/>
    <w:rsid w:val="004C1F44"/>
    <w:rsid w:val="004C20E2"/>
    <w:rsid w:val="004C2114"/>
    <w:rsid w:val="004C238D"/>
    <w:rsid w:val="004C242A"/>
    <w:rsid w:val="004C2469"/>
    <w:rsid w:val="004C250E"/>
    <w:rsid w:val="004C2AE1"/>
    <w:rsid w:val="004C2E5F"/>
    <w:rsid w:val="004C2F61"/>
    <w:rsid w:val="004C3075"/>
    <w:rsid w:val="004C30A6"/>
    <w:rsid w:val="004C3189"/>
    <w:rsid w:val="004C3455"/>
    <w:rsid w:val="004C35CC"/>
    <w:rsid w:val="004C36C1"/>
    <w:rsid w:val="004C3B0D"/>
    <w:rsid w:val="004C3B78"/>
    <w:rsid w:val="004C3BF7"/>
    <w:rsid w:val="004C3CB3"/>
    <w:rsid w:val="004C3CF5"/>
    <w:rsid w:val="004C3E69"/>
    <w:rsid w:val="004C3E8C"/>
    <w:rsid w:val="004C3FEA"/>
    <w:rsid w:val="004C41B4"/>
    <w:rsid w:val="004C4895"/>
    <w:rsid w:val="004C49B5"/>
    <w:rsid w:val="004C4A4F"/>
    <w:rsid w:val="004C4B35"/>
    <w:rsid w:val="004C4B6B"/>
    <w:rsid w:val="004C4CC2"/>
    <w:rsid w:val="004C4CC7"/>
    <w:rsid w:val="004C4F0C"/>
    <w:rsid w:val="004C4FD6"/>
    <w:rsid w:val="004C502F"/>
    <w:rsid w:val="004C51A8"/>
    <w:rsid w:val="004C5238"/>
    <w:rsid w:val="004C52FE"/>
    <w:rsid w:val="004C5309"/>
    <w:rsid w:val="004C5347"/>
    <w:rsid w:val="004C535F"/>
    <w:rsid w:val="004C5484"/>
    <w:rsid w:val="004C5586"/>
    <w:rsid w:val="004C5647"/>
    <w:rsid w:val="004C56D9"/>
    <w:rsid w:val="004C5863"/>
    <w:rsid w:val="004C59DD"/>
    <w:rsid w:val="004C5AF9"/>
    <w:rsid w:val="004C5D05"/>
    <w:rsid w:val="004C5E29"/>
    <w:rsid w:val="004C5EDD"/>
    <w:rsid w:val="004C5F05"/>
    <w:rsid w:val="004C6310"/>
    <w:rsid w:val="004C6352"/>
    <w:rsid w:val="004C64F0"/>
    <w:rsid w:val="004C675A"/>
    <w:rsid w:val="004C67D8"/>
    <w:rsid w:val="004C6828"/>
    <w:rsid w:val="004C6897"/>
    <w:rsid w:val="004C69F2"/>
    <w:rsid w:val="004C6B82"/>
    <w:rsid w:val="004C6C47"/>
    <w:rsid w:val="004C6C70"/>
    <w:rsid w:val="004C6DFC"/>
    <w:rsid w:val="004C6F02"/>
    <w:rsid w:val="004C6F1B"/>
    <w:rsid w:val="004C6F1E"/>
    <w:rsid w:val="004C6F73"/>
    <w:rsid w:val="004C6FA0"/>
    <w:rsid w:val="004C7002"/>
    <w:rsid w:val="004C71B1"/>
    <w:rsid w:val="004C722C"/>
    <w:rsid w:val="004C7254"/>
    <w:rsid w:val="004C7497"/>
    <w:rsid w:val="004C7665"/>
    <w:rsid w:val="004C7AEE"/>
    <w:rsid w:val="004C7BFE"/>
    <w:rsid w:val="004C7E4E"/>
    <w:rsid w:val="004C7FF5"/>
    <w:rsid w:val="004D01F4"/>
    <w:rsid w:val="004D01FA"/>
    <w:rsid w:val="004D04BB"/>
    <w:rsid w:val="004D0635"/>
    <w:rsid w:val="004D0666"/>
    <w:rsid w:val="004D070E"/>
    <w:rsid w:val="004D0724"/>
    <w:rsid w:val="004D0732"/>
    <w:rsid w:val="004D0851"/>
    <w:rsid w:val="004D0858"/>
    <w:rsid w:val="004D087A"/>
    <w:rsid w:val="004D09E0"/>
    <w:rsid w:val="004D0A6C"/>
    <w:rsid w:val="004D0AD8"/>
    <w:rsid w:val="004D0C41"/>
    <w:rsid w:val="004D0EED"/>
    <w:rsid w:val="004D0FBC"/>
    <w:rsid w:val="004D1582"/>
    <w:rsid w:val="004D178F"/>
    <w:rsid w:val="004D17F5"/>
    <w:rsid w:val="004D190C"/>
    <w:rsid w:val="004D1B69"/>
    <w:rsid w:val="004D1C8C"/>
    <w:rsid w:val="004D1CD2"/>
    <w:rsid w:val="004D1CE7"/>
    <w:rsid w:val="004D1D09"/>
    <w:rsid w:val="004D1D22"/>
    <w:rsid w:val="004D1D45"/>
    <w:rsid w:val="004D1EDB"/>
    <w:rsid w:val="004D1EF7"/>
    <w:rsid w:val="004D208A"/>
    <w:rsid w:val="004D2106"/>
    <w:rsid w:val="004D21B1"/>
    <w:rsid w:val="004D237A"/>
    <w:rsid w:val="004D2566"/>
    <w:rsid w:val="004D276A"/>
    <w:rsid w:val="004D27AA"/>
    <w:rsid w:val="004D28CE"/>
    <w:rsid w:val="004D299C"/>
    <w:rsid w:val="004D2C6B"/>
    <w:rsid w:val="004D2E74"/>
    <w:rsid w:val="004D2F4A"/>
    <w:rsid w:val="004D328C"/>
    <w:rsid w:val="004D3297"/>
    <w:rsid w:val="004D32FA"/>
    <w:rsid w:val="004D35E8"/>
    <w:rsid w:val="004D374B"/>
    <w:rsid w:val="004D3878"/>
    <w:rsid w:val="004D3950"/>
    <w:rsid w:val="004D3A81"/>
    <w:rsid w:val="004D3ABE"/>
    <w:rsid w:val="004D3C55"/>
    <w:rsid w:val="004D3CE1"/>
    <w:rsid w:val="004D3CFC"/>
    <w:rsid w:val="004D3D46"/>
    <w:rsid w:val="004D3E77"/>
    <w:rsid w:val="004D3F38"/>
    <w:rsid w:val="004D3F6A"/>
    <w:rsid w:val="004D403D"/>
    <w:rsid w:val="004D4083"/>
    <w:rsid w:val="004D4262"/>
    <w:rsid w:val="004D4269"/>
    <w:rsid w:val="004D42AC"/>
    <w:rsid w:val="004D43A2"/>
    <w:rsid w:val="004D4755"/>
    <w:rsid w:val="004D4862"/>
    <w:rsid w:val="004D48B7"/>
    <w:rsid w:val="004D4986"/>
    <w:rsid w:val="004D4AC6"/>
    <w:rsid w:val="004D4AEC"/>
    <w:rsid w:val="004D4B6A"/>
    <w:rsid w:val="004D4C98"/>
    <w:rsid w:val="004D4EF9"/>
    <w:rsid w:val="004D4F19"/>
    <w:rsid w:val="004D4FEC"/>
    <w:rsid w:val="004D5125"/>
    <w:rsid w:val="004D51A4"/>
    <w:rsid w:val="004D525F"/>
    <w:rsid w:val="004D52C6"/>
    <w:rsid w:val="004D535D"/>
    <w:rsid w:val="004D53DE"/>
    <w:rsid w:val="004D56FC"/>
    <w:rsid w:val="004D58D0"/>
    <w:rsid w:val="004D59A1"/>
    <w:rsid w:val="004D59CD"/>
    <w:rsid w:val="004D5D44"/>
    <w:rsid w:val="004D5EA0"/>
    <w:rsid w:val="004D5F24"/>
    <w:rsid w:val="004D5FA7"/>
    <w:rsid w:val="004D619D"/>
    <w:rsid w:val="004D61B5"/>
    <w:rsid w:val="004D653E"/>
    <w:rsid w:val="004D6688"/>
    <w:rsid w:val="004D6915"/>
    <w:rsid w:val="004D6C21"/>
    <w:rsid w:val="004D70B7"/>
    <w:rsid w:val="004D71A3"/>
    <w:rsid w:val="004D71B7"/>
    <w:rsid w:val="004D71E5"/>
    <w:rsid w:val="004D723C"/>
    <w:rsid w:val="004D72DD"/>
    <w:rsid w:val="004D73CB"/>
    <w:rsid w:val="004D775A"/>
    <w:rsid w:val="004D7B94"/>
    <w:rsid w:val="004D7C7C"/>
    <w:rsid w:val="004D7D72"/>
    <w:rsid w:val="004D7EA0"/>
    <w:rsid w:val="004E008C"/>
    <w:rsid w:val="004E0103"/>
    <w:rsid w:val="004E01A9"/>
    <w:rsid w:val="004E02D4"/>
    <w:rsid w:val="004E02D5"/>
    <w:rsid w:val="004E0539"/>
    <w:rsid w:val="004E06BC"/>
    <w:rsid w:val="004E06C5"/>
    <w:rsid w:val="004E0779"/>
    <w:rsid w:val="004E0955"/>
    <w:rsid w:val="004E0AC2"/>
    <w:rsid w:val="004E0B1A"/>
    <w:rsid w:val="004E0CCD"/>
    <w:rsid w:val="004E0CFD"/>
    <w:rsid w:val="004E0D8B"/>
    <w:rsid w:val="004E0E11"/>
    <w:rsid w:val="004E102A"/>
    <w:rsid w:val="004E1079"/>
    <w:rsid w:val="004E12BF"/>
    <w:rsid w:val="004E13DB"/>
    <w:rsid w:val="004E14A4"/>
    <w:rsid w:val="004E1506"/>
    <w:rsid w:val="004E1634"/>
    <w:rsid w:val="004E172B"/>
    <w:rsid w:val="004E1737"/>
    <w:rsid w:val="004E1794"/>
    <w:rsid w:val="004E183D"/>
    <w:rsid w:val="004E197F"/>
    <w:rsid w:val="004E1A7B"/>
    <w:rsid w:val="004E1AA6"/>
    <w:rsid w:val="004E237C"/>
    <w:rsid w:val="004E23C7"/>
    <w:rsid w:val="004E23FE"/>
    <w:rsid w:val="004E241E"/>
    <w:rsid w:val="004E27B5"/>
    <w:rsid w:val="004E288A"/>
    <w:rsid w:val="004E2927"/>
    <w:rsid w:val="004E29F1"/>
    <w:rsid w:val="004E2A3F"/>
    <w:rsid w:val="004E2BD0"/>
    <w:rsid w:val="004E2C83"/>
    <w:rsid w:val="004E2DF7"/>
    <w:rsid w:val="004E2EDD"/>
    <w:rsid w:val="004E2F03"/>
    <w:rsid w:val="004E2F71"/>
    <w:rsid w:val="004E307F"/>
    <w:rsid w:val="004E31E5"/>
    <w:rsid w:val="004E3260"/>
    <w:rsid w:val="004E3507"/>
    <w:rsid w:val="004E352E"/>
    <w:rsid w:val="004E366E"/>
    <w:rsid w:val="004E368A"/>
    <w:rsid w:val="004E378E"/>
    <w:rsid w:val="004E3809"/>
    <w:rsid w:val="004E380C"/>
    <w:rsid w:val="004E39A8"/>
    <w:rsid w:val="004E3AEB"/>
    <w:rsid w:val="004E3DB4"/>
    <w:rsid w:val="004E40A5"/>
    <w:rsid w:val="004E415D"/>
    <w:rsid w:val="004E416E"/>
    <w:rsid w:val="004E41AF"/>
    <w:rsid w:val="004E4216"/>
    <w:rsid w:val="004E4364"/>
    <w:rsid w:val="004E4538"/>
    <w:rsid w:val="004E4671"/>
    <w:rsid w:val="004E478E"/>
    <w:rsid w:val="004E4A8F"/>
    <w:rsid w:val="004E4B3B"/>
    <w:rsid w:val="004E4D8C"/>
    <w:rsid w:val="004E4DD8"/>
    <w:rsid w:val="004E4EC1"/>
    <w:rsid w:val="004E4F0C"/>
    <w:rsid w:val="004E4F24"/>
    <w:rsid w:val="004E51BA"/>
    <w:rsid w:val="004E51D2"/>
    <w:rsid w:val="004E54C9"/>
    <w:rsid w:val="004E55B3"/>
    <w:rsid w:val="004E579E"/>
    <w:rsid w:val="004E58A2"/>
    <w:rsid w:val="004E593F"/>
    <w:rsid w:val="004E5B18"/>
    <w:rsid w:val="004E5E61"/>
    <w:rsid w:val="004E5F88"/>
    <w:rsid w:val="004E602E"/>
    <w:rsid w:val="004E6212"/>
    <w:rsid w:val="004E62A4"/>
    <w:rsid w:val="004E62B6"/>
    <w:rsid w:val="004E63CD"/>
    <w:rsid w:val="004E642A"/>
    <w:rsid w:val="004E666E"/>
    <w:rsid w:val="004E698E"/>
    <w:rsid w:val="004E69CE"/>
    <w:rsid w:val="004E6A56"/>
    <w:rsid w:val="004E6B3F"/>
    <w:rsid w:val="004E6C2D"/>
    <w:rsid w:val="004E6C53"/>
    <w:rsid w:val="004E6E81"/>
    <w:rsid w:val="004E6FD0"/>
    <w:rsid w:val="004E701D"/>
    <w:rsid w:val="004E71B3"/>
    <w:rsid w:val="004E727B"/>
    <w:rsid w:val="004E72A4"/>
    <w:rsid w:val="004E73C4"/>
    <w:rsid w:val="004E74CB"/>
    <w:rsid w:val="004E7601"/>
    <w:rsid w:val="004E77A3"/>
    <w:rsid w:val="004E785D"/>
    <w:rsid w:val="004E794E"/>
    <w:rsid w:val="004E79B4"/>
    <w:rsid w:val="004E7A25"/>
    <w:rsid w:val="004E7A86"/>
    <w:rsid w:val="004E7BBD"/>
    <w:rsid w:val="004E7BC3"/>
    <w:rsid w:val="004E7D1A"/>
    <w:rsid w:val="004E7D45"/>
    <w:rsid w:val="004E7D47"/>
    <w:rsid w:val="004E7E49"/>
    <w:rsid w:val="004E7F69"/>
    <w:rsid w:val="004E7FAB"/>
    <w:rsid w:val="004E96AA"/>
    <w:rsid w:val="004F0267"/>
    <w:rsid w:val="004F034D"/>
    <w:rsid w:val="004F03DB"/>
    <w:rsid w:val="004F0490"/>
    <w:rsid w:val="004F05EC"/>
    <w:rsid w:val="004F06BE"/>
    <w:rsid w:val="004F06DD"/>
    <w:rsid w:val="004F0737"/>
    <w:rsid w:val="004F0B44"/>
    <w:rsid w:val="004F0DDE"/>
    <w:rsid w:val="004F0E68"/>
    <w:rsid w:val="004F0E72"/>
    <w:rsid w:val="004F0EB1"/>
    <w:rsid w:val="004F0F11"/>
    <w:rsid w:val="004F0F18"/>
    <w:rsid w:val="004F130B"/>
    <w:rsid w:val="004F1672"/>
    <w:rsid w:val="004F178B"/>
    <w:rsid w:val="004F1A00"/>
    <w:rsid w:val="004F1B6F"/>
    <w:rsid w:val="004F1C7B"/>
    <w:rsid w:val="004F1C96"/>
    <w:rsid w:val="004F1E16"/>
    <w:rsid w:val="004F1E22"/>
    <w:rsid w:val="004F1EB1"/>
    <w:rsid w:val="004F1FE5"/>
    <w:rsid w:val="004F21F3"/>
    <w:rsid w:val="004F22A0"/>
    <w:rsid w:val="004F2479"/>
    <w:rsid w:val="004F2626"/>
    <w:rsid w:val="004F27F7"/>
    <w:rsid w:val="004F2B75"/>
    <w:rsid w:val="004F2C8C"/>
    <w:rsid w:val="004F31A4"/>
    <w:rsid w:val="004F3225"/>
    <w:rsid w:val="004F335D"/>
    <w:rsid w:val="004F343E"/>
    <w:rsid w:val="004F34C9"/>
    <w:rsid w:val="004F34FF"/>
    <w:rsid w:val="004F36AC"/>
    <w:rsid w:val="004F36B5"/>
    <w:rsid w:val="004F36CE"/>
    <w:rsid w:val="004F36FD"/>
    <w:rsid w:val="004F3724"/>
    <w:rsid w:val="004F3978"/>
    <w:rsid w:val="004F3A21"/>
    <w:rsid w:val="004F3B2E"/>
    <w:rsid w:val="004F3C39"/>
    <w:rsid w:val="004F3D04"/>
    <w:rsid w:val="004F3DB6"/>
    <w:rsid w:val="004F3DC3"/>
    <w:rsid w:val="004F3EBD"/>
    <w:rsid w:val="004F40CF"/>
    <w:rsid w:val="004F4602"/>
    <w:rsid w:val="004F460D"/>
    <w:rsid w:val="004F46A3"/>
    <w:rsid w:val="004F4732"/>
    <w:rsid w:val="004F4792"/>
    <w:rsid w:val="004F4825"/>
    <w:rsid w:val="004F4B7E"/>
    <w:rsid w:val="004F4EF5"/>
    <w:rsid w:val="004F515C"/>
    <w:rsid w:val="004F51EA"/>
    <w:rsid w:val="004F521C"/>
    <w:rsid w:val="004F56E2"/>
    <w:rsid w:val="004F5B17"/>
    <w:rsid w:val="004F5CBF"/>
    <w:rsid w:val="004F625B"/>
    <w:rsid w:val="004F693E"/>
    <w:rsid w:val="004F6A00"/>
    <w:rsid w:val="004F6A20"/>
    <w:rsid w:val="004F6ABD"/>
    <w:rsid w:val="004F6B0E"/>
    <w:rsid w:val="004F6C8B"/>
    <w:rsid w:val="004F6CAF"/>
    <w:rsid w:val="004F6D28"/>
    <w:rsid w:val="004F6EBF"/>
    <w:rsid w:val="004F6FB1"/>
    <w:rsid w:val="004F70B3"/>
    <w:rsid w:val="004F7236"/>
    <w:rsid w:val="004F738F"/>
    <w:rsid w:val="004F73C6"/>
    <w:rsid w:val="004F7A39"/>
    <w:rsid w:val="004F7A84"/>
    <w:rsid w:val="004F7A92"/>
    <w:rsid w:val="004F7AB7"/>
    <w:rsid w:val="004F7C00"/>
    <w:rsid w:val="004F7D73"/>
    <w:rsid w:val="0050010F"/>
    <w:rsid w:val="005002BF"/>
    <w:rsid w:val="00500381"/>
    <w:rsid w:val="00500504"/>
    <w:rsid w:val="00500964"/>
    <w:rsid w:val="005009DC"/>
    <w:rsid w:val="00500F08"/>
    <w:rsid w:val="00500F1F"/>
    <w:rsid w:val="0050109A"/>
    <w:rsid w:val="00501167"/>
    <w:rsid w:val="005014A3"/>
    <w:rsid w:val="00501571"/>
    <w:rsid w:val="0050163B"/>
    <w:rsid w:val="005018A3"/>
    <w:rsid w:val="005018D7"/>
    <w:rsid w:val="00501B94"/>
    <w:rsid w:val="00501D28"/>
    <w:rsid w:val="00501E4B"/>
    <w:rsid w:val="0050206C"/>
    <w:rsid w:val="005021C0"/>
    <w:rsid w:val="00502225"/>
    <w:rsid w:val="005022C1"/>
    <w:rsid w:val="00502376"/>
    <w:rsid w:val="00502507"/>
    <w:rsid w:val="00502521"/>
    <w:rsid w:val="00502653"/>
    <w:rsid w:val="005026BE"/>
    <w:rsid w:val="005026C8"/>
    <w:rsid w:val="005029C8"/>
    <w:rsid w:val="00502D70"/>
    <w:rsid w:val="00502E38"/>
    <w:rsid w:val="005030F4"/>
    <w:rsid w:val="005033E8"/>
    <w:rsid w:val="00503550"/>
    <w:rsid w:val="00503AD6"/>
    <w:rsid w:val="00503C7C"/>
    <w:rsid w:val="00503CCD"/>
    <w:rsid w:val="00503D85"/>
    <w:rsid w:val="00503E1A"/>
    <w:rsid w:val="00503E6D"/>
    <w:rsid w:val="00503EC6"/>
    <w:rsid w:val="00503F40"/>
    <w:rsid w:val="00503FA2"/>
    <w:rsid w:val="0050402C"/>
    <w:rsid w:val="0050419A"/>
    <w:rsid w:val="0050433C"/>
    <w:rsid w:val="005043AD"/>
    <w:rsid w:val="005044FD"/>
    <w:rsid w:val="005046F1"/>
    <w:rsid w:val="005049F1"/>
    <w:rsid w:val="00504A85"/>
    <w:rsid w:val="00504C5A"/>
    <w:rsid w:val="00504E77"/>
    <w:rsid w:val="005050A3"/>
    <w:rsid w:val="00505213"/>
    <w:rsid w:val="005052B5"/>
    <w:rsid w:val="005052F2"/>
    <w:rsid w:val="0050534C"/>
    <w:rsid w:val="00505516"/>
    <w:rsid w:val="0050555C"/>
    <w:rsid w:val="005055EA"/>
    <w:rsid w:val="005055F9"/>
    <w:rsid w:val="00505842"/>
    <w:rsid w:val="0050599E"/>
    <w:rsid w:val="00505B18"/>
    <w:rsid w:val="00505C5C"/>
    <w:rsid w:val="00505D0A"/>
    <w:rsid w:val="00505DDC"/>
    <w:rsid w:val="00505F5B"/>
    <w:rsid w:val="0050600F"/>
    <w:rsid w:val="0050612E"/>
    <w:rsid w:val="00506186"/>
    <w:rsid w:val="0050618E"/>
    <w:rsid w:val="00506210"/>
    <w:rsid w:val="00506359"/>
    <w:rsid w:val="00506391"/>
    <w:rsid w:val="005064C2"/>
    <w:rsid w:val="0050658C"/>
    <w:rsid w:val="00506647"/>
    <w:rsid w:val="005066BA"/>
    <w:rsid w:val="005069CD"/>
    <w:rsid w:val="00506D28"/>
    <w:rsid w:val="00506DAC"/>
    <w:rsid w:val="00506EB2"/>
    <w:rsid w:val="0050700F"/>
    <w:rsid w:val="005076C0"/>
    <w:rsid w:val="00507746"/>
    <w:rsid w:val="0050782B"/>
    <w:rsid w:val="0050790E"/>
    <w:rsid w:val="00507D49"/>
    <w:rsid w:val="005101F3"/>
    <w:rsid w:val="00510327"/>
    <w:rsid w:val="00510408"/>
    <w:rsid w:val="005105CB"/>
    <w:rsid w:val="00510839"/>
    <w:rsid w:val="00510BDE"/>
    <w:rsid w:val="00510C2F"/>
    <w:rsid w:val="00510CFD"/>
    <w:rsid w:val="00510DD7"/>
    <w:rsid w:val="00511292"/>
    <w:rsid w:val="005113AA"/>
    <w:rsid w:val="00511753"/>
    <w:rsid w:val="005117DB"/>
    <w:rsid w:val="0051181C"/>
    <w:rsid w:val="00511867"/>
    <w:rsid w:val="00511AAB"/>
    <w:rsid w:val="00511B31"/>
    <w:rsid w:val="00511BAE"/>
    <w:rsid w:val="00511D61"/>
    <w:rsid w:val="00511EB7"/>
    <w:rsid w:val="00511FB3"/>
    <w:rsid w:val="005120AE"/>
    <w:rsid w:val="005125FC"/>
    <w:rsid w:val="005128AA"/>
    <w:rsid w:val="00512C85"/>
    <w:rsid w:val="00512CC6"/>
    <w:rsid w:val="00512EC2"/>
    <w:rsid w:val="00513202"/>
    <w:rsid w:val="005134E1"/>
    <w:rsid w:val="0051355C"/>
    <w:rsid w:val="005136C8"/>
    <w:rsid w:val="00513836"/>
    <w:rsid w:val="00513859"/>
    <w:rsid w:val="00513914"/>
    <w:rsid w:val="00513C38"/>
    <w:rsid w:val="00513C72"/>
    <w:rsid w:val="00513EE0"/>
    <w:rsid w:val="00514177"/>
    <w:rsid w:val="005142DA"/>
    <w:rsid w:val="0051449F"/>
    <w:rsid w:val="005147B0"/>
    <w:rsid w:val="005147F3"/>
    <w:rsid w:val="00514921"/>
    <w:rsid w:val="0051494B"/>
    <w:rsid w:val="005149C6"/>
    <w:rsid w:val="00514A4A"/>
    <w:rsid w:val="00514B9B"/>
    <w:rsid w:val="00514CE9"/>
    <w:rsid w:val="00514F20"/>
    <w:rsid w:val="00514F65"/>
    <w:rsid w:val="0051514D"/>
    <w:rsid w:val="005151DB"/>
    <w:rsid w:val="005156D8"/>
    <w:rsid w:val="005157BC"/>
    <w:rsid w:val="005157E5"/>
    <w:rsid w:val="00515A17"/>
    <w:rsid w:val="00515A43"/>
    <w:rsid w:val="00515A4F"/>
    <w:rsid w:val="00515BAD"/>
    <w:rsid w:val="00515BF7"/>
    <w:rsid w:val="00515C08"/>
    <w:rsid w:val="00515C7D"/>
    <w:rsid w:val="00515CC2"/>
    <w:rsid w:val="0051603F"/>
    <w:rsid w:val="005163C1"/>
    <w:rsid w:val="00516418"/>
    <w:rsid w:val="00516487"/>
    <w:rsid w:val="005164B0"/>
    <w:rsid w:val="00516B3E"/>
    <w:rsid w:val="00516B9D"/>
    <w:rsid w:val="00517184"/>
    <w:rsid w:val="005172EB"/>
    <w:rsid w:val="0051758D"/>
    <w:rsid w:val="00517663"/>
    <w:rsid w:val="00517841"/>
    <w:rsid w:val="00517870"/>
    <w:rsid w:val="0051793B"/>
    <w:rsid w:val="00517B62"/>
    <w:rsid w:val="00517B7D"/>
    <w:rsid w:val="00517CAB"/>
    <w:rsid w:val="00517FDB"/>
    <w:rsid w:val="00520274"/>
    <w:rsid w:val="005202E4"/>
    <w:rsid w:val="005202EA"/>
    <w:rsid w:val="00520317"/>
    <w:rsid w:val="00520418"/>
    <w:rsid w:val="00520652"/>
    <w:rsid w:val="0052082D"/>
    <w:rsid w:val="005208E2"/>
    <w:rsid w:val="0052099C"/>
    <w:rsid w:val="005209D1"/>
    <w:rsid w:val="00520B60"/>
    <w:rsid w:val="00520C36"/>
    <w:rsid w:val="00520CAC"/>
    <w:rsid w:val="00520F81"/>
    <w:rsid w:val="00520F8B"/>
    <w:rsid w:val="00521038"/>
    <w:rsid w:val="00521271"/>
    <w:rsid w:val="0052185C"/>
    <w:rsid w:val="0052193D"/>
    <w:rsid w:val="00521B85"/>
    <w:rsid w:val="00521D10"/>
    <w:rsid w:val="0052213E"/>
    <w:rsid w:val="0052227E"/>
    <w:rsid w:val="0052247D"/>
    <w:rsid w:val="00522710"/>
    <w:rsid w:val="00522AA7"/>
    <w:rsid w:val="00522D5C"/>
    <w:rsid w:val="00522EE9"/>
    <w:rsid w:val="00522EF3"/>
    <w:rsid w:val="00522FF8"/>
    <w:rsid w:val="00523056"/>
    <w:rsid w:val="00523057"/>
    <w:rsid w:val="00523138"/>
    <w:rsid w:val="0052320F"/>
    <w:rsid w:val="0052326A"/>
    <w:rsid w:val="005237C7"/>
    <w:rsid w:val="00523C1B"/>
    <w:rsid w:val="00523E1F"/>
    <w:rsid w:val="0052402F"/>
    <w:rsid w:val="005241B3"/>
    <w:rsid w:val="0052436F"/>
    <w:rsid w:val="005244D1"/>
    <w:rsid w:val="00524738"/>
    <w:rsid w:val="005247D9"/>
    <w:rsid w:val="005247FA"/>
    <w:rsid w:val="00524BFD"/>
    <w:rsid w:val="00524C81"/>
    <w:rsid w:val="00524CBF"/>
    <w:rsid w:val="0052530F"/>
    <w:rsid w:val="005253A1"/>
    <w:rsid w:val="00525720"/>
    <w:rsid w:val="00525738"/>
    <w:rsid w:val="00525795"/>
    <w:rsid w:val="00525B30"/>
    <w:rsid w:val="00525CBD"/>
    <w:rsid w:val="00525EF0"/>
    <w:rsid w:val="0052613D"/>
    <w:rsid w:val="0052635C"/>
    <w:rsid w:val="0052645B"/>
    <w:rsid w:val="00526514"/>
    <w:rsid w:val="0052667D"/>
    <w:rsid w:val="00526922"/>
    <w:rsid w:val="00526A0E"/>
    <w:rsid w:val="00526AB1"/>
    <w:rsid w:val="00526C0F"/>
    <w:rsid w:val="00526F6C"/>
    <w:rsid w:val="0052702C"/>
    <w:rsid w:val="00527285"/>
    <w:rsid w:val="005272DA"/>
    <w:rsid w:val="005273E4"/>
    <w:rsid w:val="00527588"/>
    <w:rsid w:val="00527636"/>
    <w:rsid w:val="00527796"/>
    <w:rsid w:val="00527847"/>
    <w:rsid w:val="005278B3"/>
    <w:rsid w:val="00527C21"/>
    <w:rsid w:val="00527C55"/>
    <w:rsid w:val="00527CFD"/>
    <w:rsid w:val="00527F5E"/>
    <w:rsid w:val="00527F68"/>
    <w:rsid w:val="00527FB8"/>
    <w:rsid w:val="00530205"/>
    <w:rsid w:val="00530239"/>
    <w:rsid w:val="005304F8"/>
    <w:rsid w:val="005305F7"/>
    <w:rsid w:val="00530698"/>
    <w:rsid w:val="00530771"/>
    <w:rsid w:val="00530788"/>
    <w:rsid w:val="00530995"/>
    <w:rsid w:val="00530A46"/>
    <w:rsid w:val="00530ABF"/>
    <w:rsid w:val="00530CEA"/>
    <w:rsid w:val="00530D91"/>
    <w:rsid w:val="005313AB"/>
    <w:rsid w:val="005318AA"/>
    <w:rsid w:val="005319FE"/>
    <w:rsid w:val="00531C8B"/>
    <w:rsid w:val="00531CFB"/>
    <w:rsid w:val="00531D97"/>
    <w:rsid w:val="00531E04"/>
    <w:rsid w:val="00531E86"/>
    <w:rsid w:val="00531F32"/>
    <w:rsid w:val="00531FF7"/>
    <w:rsid w:val="00532212"/>
    <w:rsid w:val="0053222C"/>
    <w:rsid w:val="005324D1"/>
    <w:rsid w:val="00532604"/>
    <w:rsid w:val="00532734"/>
    <w:rsid w:val="005328BD"/>
    <w:rsid w:val="00532934"/>
    <w:rsid w:val="0053299B"/>
    <w:rsid w:val="005329C7"/>
    <w:rsid w:val="00532B54"/>
    <w:rsid w:val="00532C57"/>
    <w:rsid w:val="00532C5F"/>
    <w:rsid w:val="00532C93"/>
    <w:rsid w:val="00532CE7"/>
    <w:rsid w:val="00532DC5"/>
    <w:rsid w:val="00532E39"/>
    <w:rsid w:val="00532EB9"/>
    <w:rsid w:val="00533178"/>
    <w:rsid w:val="00533277"/>
    <w:rsid w:val="005332A8"/>
    <w:rsid w:val="005332DD"/>
    <w:rsid w:val="005333A9"/>
    <w:rsid w:val="005333FA"/>
    <w:rsid w:val="00533540"/>
    <w:rsid w:val="00533572"/>
    <w:rsid w:val="005337CC"/>
    <w:rsid w:val="00533800"/>
    <w:rsid w:val="00533845"/>
    <w:rsid w:val="005338A3"/>
    <w:rsid w:val="005338B1"/>
    <w:rsid w:val="005339C7"/>
    <w:rsid w:val="00533A55"/>
    <w:rsid w:val="00533AB2"/>
    <w:rsid w:val="00533B0A"/>
    <w:rsid w:val="00534013"/>
    <w:rsid w:val="0053415C"/>
    <w:rsid w:val="005344A9"/>
    <w:rsid w:val="0053454B"/>
    <w:rsid w:val="00534696"/>
    <w:rsid w:val="00534915"/>
    <w:rsid w:val="00534962"/>
    <w:rsid w:val="00534B8B"/>
    <w:rsid w:val="00534E49"/>
    <w:rsid w:val="00534F01"/>
    <w:rsid w:val="00534F40"/>
    <w:rsid w:val="00534F61"/>
    <w:rsid w:val="005350A6"/>
    <w:rsid w:val="0053516D"/>
    <w:rsid w:val="0053521D"/>
    <w:rsid w:val="005352C1"/>
    <w:rsid w:val="00535425"/>
    <w:rsid w:val="00535479"/>
    <w:rsid w:val="0053561D"/>
    <w:rsid w:val="005357A8"/>
    <w:rsid w:val="00535826"/>
    <w:rsid w:val="0053587D"/>
    <w:rsid w:val="00535D49"/>
    <w:rsid w:val="00535EA2"/>
    <w:rsid w:val="00535FB7"/>
    <w:rsid w:val="00535FF7"/>
    <w:rsid w:val="0053602E"/>
    <w:rsid w:val="005361BB"/>
    <w:rsid w:val="005362A8"/>
    <w:rsid w:val="005363BF"/>
    <w:rsid w:val="005363EA"/>
    <w:rsid w:val="00536449"/>
    <w:rsid w:val="005364EF"/>
    <w:rsid w:val="00536598"/>
    <w:rsid w:val="00536658"/>
    <w:rsid w:val="00536B37"/>
    <w:rsid w:val="00536CB5"/>
    <w:rsid w:val="00536EB9"/>
    <w:rsid w:val="00536F22"/>
    <w:rsid w:val="0053704C"/>
    <w:rsid w:val="00537711"/>
    <w:rsid w:val="0053779D"/>
    <w:rsid w:val="005377D0"/>
    <w:rsid w:val="0053780E"/>
    <w:rsid w:val="0053786F"/>
    <w:rsid w:val="005378C1"/>
    <w:rsid w:val="00537CBF"/>
    <w:rsid w:val="00537E46"/>
    <w:rsid w:val="00537ED7"/>
    <w:rsid w:val="00537F29"/>
    <w:rsid w:val="0054012D"/>
    <w:rsid w:val="005401DC"/>
    <w:rsid w:val="005404A3"/>
    <w:rsid w:val="005404E5"/>
    <w:rsid w:val="00540657"/>
    <w:rsid w:val="005408F6"/>
    <w:rsid w:val="005409FA"/>
    <w:rsid w:val="00540C05"/>
    <w:rsid w:val="00540C6D"/>
    <w:rsid w:val="00540C74"/>
    <w:rsid w:val="00540EFA"/>
    <w:rsid w:val="00540F66"/>
    <w:rsid w:val="0054101D"/>
    <w:rsid w:val="005410AC"/>
    <w:rsid w:val="0054117A"/>
    <w:rsid w:val="00541180"/>
    <w:rsid w:val="005412D3"/>
    <w:rsid w:val="005412E1"/>
    <w:rsid w:val="005412F6"/>
    <w:rsid w:val="00541351"/>
    <w:rsid w:val="005413B5"/>
    <w:rsid w:val="005413D7"/>
    <w:rsid w:val="0054167C"/>
    <w:rsid w:val="005416CB"/>
    <w:rsid w:val="005416D8"/>
    <w:rsid w:val="0054185B"/>
    <w:rsid w:val="005418C0"/>
    <w:rsid w:val="00541AD1"/>
    <w:rsid w:val="00541CB4"/>
    <w:rsid w:val="00541DB7"/>
    <w:rsid w:val="00541DC3"/>
    <w:rsid w:val="00541EBE"/>
    <w:rsid w:val="00541FA3"/>
    <w:rsid w:val="0054223D"/>
    <w:rsid w:val="0054255E"/>
    <w:rsid w:val="00542587"/>
    <w:rsid w:val="00542600"/>
    <w:rsid w:val="00542620"/>
    <w:rsid w:val="00542638"/>
    <w:rsid w:val="00542690"/>
    <w:rsid w:val="00542743"/>
    <w:rsid w:val="005427EC"/>
    <w:rsid w:val="00542826"/>
    <w:rsid w:val="00542A75"/>
    <w:rsid w:val="00542E7D"/>
    <w:rsid w:val="00542F31"/>
    <w:rsid w:val="00542F60"/>
    <w:rsid w:val="00542FDF"/>
    <w:rsid w:val="00543050"/>
    <w:rsid w:val="00543103"/>
    <w:rsid w:val="0054313A"/>
    <w:rsid w:val="0054323E"/>
    <w:rsid w:val="0054353B"/>
    <w:rsid w:val="005436A7"/>
    <w:rsid w:val="005438E2"/>
    <w:rsid w:val="0054391B"/>
    <w:rsid w:val="00543BC0"/>
    <w:rsid w:val="00543F2A"/>
    <w:rsid w:val="00544070"/>
    <w:rsid w:val="005440EF"/>
    <w:rsid w:val="00544280"/>
    <w:rsid w:val="005443AB"/>
    <w:rsid w:val="00544442"/>
    <w:rsid w:val="00544534"/>
    <w:rsid w:val="00544559"/>
    <w:rsid w:val="0054487E"/>
    <w:rsid w:val="00544968"/>
    <w:rsid w:val="00544A01"/>
    <w:rsid w:val="00544CC5"/>
    <w:rsid w:val="00544D08"/>
    <w:rsid w:val="00545009"/>
    <w:rsid w:val="0054503A"/>
    <w:rsid w:val="005450FC"/>
    <w:rsid w:val="0054510C"/>
    <w:rsid w:val="00545170"/>
    <w:rsid w:val="00545179"/>
    <w:rsid w:val="005456A7"/>
    <w:rsid w:val="00545876"/>
    <w:rsid w:val="0054588F"/>
    <w:rsid w:val="00545930"/>
    <w:rsid w:val="00545CCE"/>
    <w:rsid w:val="00545D21"/>
    <w:rsid w:val="00545FD6"/>
    <w:rsid w:val="0054609C"/>
    <w:rsid w:val="005464A7"/>
    <w:rsid w:val="00546577"/>
    <w:rsid w:val="005465E8"/>
    <w:rsid w:val="005467B0"/>
    <w:rsid w:val="00546833"/>
    <w:rsid w:val="005468E2"/>
    <w:rsid w:val="005469FD"/>
    <w:rsid w:val="00546E0C"/>
    <w:rsid w:val="00546E59"/>
    <w:rsid w:val="0054702A"/>
    <w:rsid w:val="005470E4"/>
    <w:rsid w:val="00547140"/>
    <w:rsid w:val="0054716D"/>
    <w:rsid w:val="00547175"/>
    <w:rsid w:val="005472B8"/>
    <w:rsid w:val="00547585"/>
    <w:rsid w:val="0054760F"/>
    <w:rsid w:val="005477A1"/>
    <w:rsid w:val="00547A17"/>
    <w:rsid w:val="00547A34"/>
    <w:rsid w:val="00547A58"/>
    <w:rsid w:val="00547ABC"/>
    <w:rsid w:val="00547B67"/>
    <w:rsid w:val="00547B75"/>
    <w:rsid w:val="00547F2F"/>
    <w:rsid w:val="005500CC"/>
    <w:rsid w:val="005500F9"/>
    <w:rsid w:val="00550101"/>
    <w:rsid w:val="0055015B"/>
    <w:rsid w:val="005502C7"/>
    <w:rsid w:val="00550388"/>
    <w:rsid w:val="00550450"/>
    <w:rsid w:val="00550507"/>
    <w:rsid w:val="005506CF"/>
    <w:rsid w:val="005506F0"/>
    <w:rsid w:val="0055077E"/>
    <w:rsid w:val="00550B9E"/>
    <w:rsid w:val="00550C97"/>
    <w:rsid w:val="00550FDC"/>
    <w:rsid w:val="005513A8"/>
    <w:rsid w:val="005518EF"/>
    <w:rsid w:val="0055196F"/>
    <w:rsid w:val="00551B43"/>
    <w:rsid w:val="00551BB3"/>
    <w:rsid w:val="00551CFC"/>
    <w:rsid w:val="00551F02"/>
    <w:rsid w:val="0055229D"/>
    <w:rsid w:val="005522E9"/>
    <w:rsid w:val="005523D4"/>
    <w:rsid w:val="0055240D"/>
    <w:rsid w:val="00552439"/>
    <w:rsid w:val="00552612"/>
    <w:rsid w:val="00552681"/>
    <w:rsid w:val="005526B9"/>
    <w:rsid w:val="005528DB"/>
    <w:rsid w:val="005529F0"/>
    <w:rsid w:val="00552AB3"/>
    <w:rsid w:val="00552AD1"/>
    <w:rsid w:val="00552AD5"/>
    <w:rsid w:val="00552BB6"/>
    <w:rsid w:val="00552BC4"/>
    <w:rsid w:val="00552C15"/>
    <w:rsid w:val="00552ED0"/>
    <w:rsid w:val="00553181"/>
    <w:rsid w:val="00553193"/>
    <w:rsid w:val="005531EF"/>
    <w:rsid w:val="00553318"/>
    <w:rsid w:val="00553392"/>
    <w:rsid w:val="00553433"/>
    <w:rsid w:val="0055360D"/>
    <w:rsid w:val="005537A4"/>
    <w:rsid w:val="005537AC"/>
    <w:rsid w:val="00553D10"/>
    <w:rsid w:val="00553D91"/>
    <w:rsid w:val="00553E40"/>
    <w:rsid w:val="00553E67"/>
    <w:rsid w:val="00553FB8"/>
    <w:rsid w:val="00553FF1"/>
    <w:rsid w:val="00554170"/>
    <w:rsid w:val="005541D5"/>
    <w:rsid w:val="00554216"/>
    <w:rsid w:val="005543AF"/>
    <w:rsid w:val="00554418"/>
    <w:rsid w:val="005545F5"/>
    <w:rsid w:val="00554612"/>
    <w:rsid w:val="005549BE"/>
    <w:rsid w:val="005549D5"/>
    <w:rsid w:val="00554BE1"/>
    <w:rsid w:val="00554C64"/>
    <w:rsid w:val="00554D41"/>
    <w:rsid w:val="0055503F"/>
    <w:rsid w:val="00555193"/>
    <w:rsid w:val="0055531E"/>
    <w:rsid w:val="005554BF"/>
    <w:rsid w:val="00555594"/>
    <w:rsid w:val="0055568F"/>
    <w:rsid w:val="00555867"/>
    <w:rsid w:val="0055590B"/>
    <w:rsid w:val="00555BDF"/>
    <w:rsid w:val="00555BE1"/>
    <w:rsid w:val="00555C64"/>
    <w:rsid w:val="00555CC1"/>
    <w:rsid w:val="00555DE9"/>
    <w:rsid w:val="00555FC5"/>
    <w:rsid w:val="00555FD4"/>
    <w:rsid w:val="0055600B"/>
    <w:rsid w:val="005562BB"/>
    <w:rsid w:val="00556327"/>
    <w:rsid w:val="0055645C"/>
    <w:rsid w:val="00556511"/>
    <w:rsid w:val="00556656"/>
    <w:rsid w:val="00556685"/>
    <w:rsid w:val="005566E1"/>
    <w:rsid w:val="005567EB"/>
    <w:rsid w:val="00556C7C"/>
    <w:rsid w:val="00556F22"/>
    <w:rsid w:val="00556F86"/>
    <w:rsid w:val="00556F90"/>
    <w:rsid w:val="005570E7"/>
    <w:rsid w:val="00557128"/>
    <w:rsid w:val="005571D3"/>
    <w:rsid w:val="0055737D"/>
    <w:rsid w:val="00557396"/>
    <w:rsid w:val="00557449"/>
    <w:rsid w:val="00557474"/>
    <w:rsid w:val="005577DC"/>
    <w:rsid w:val="005579AF"/>
    <w:rsid w:val="005579D2"/>
    <w:rsid w:val="00557A6D"/>
    <w:rsid w:val="00557B52"/>
    <w:rsid w:val="00557BD2"/>
    <w:rsid w:val="00557CCF"/>
    <w:rsid w:val="00557CD1"/>
    <w:rsid w:val="00557D79"/>
    <w:rsid w:val="00557E08"/>
    <w:rsid w:val="0056002B"/>
    <w:rsid w:val="0056016D"/>
    <w:rsid w:val="00560301"/>
    <w:rsid w:val="005603A7"/>
    <w:rsid w:val="00560437"/>
    <w:rsid w:val="0056044E"/>
    <w:rsid w:val="00560523"/>
    <w:rsid w:val="005606D0"/>
    <w:rsid w:val="00560947"/>
    <w:rsid w:val="00560EB1"/>
    <w:rsid w:val="00560F59"/>
    <w:rsid w:val="0056110A"/>
    <w:rsid w:val="00561224"/>
    <w:rsid w:val="00561261"/>
    <w:rsid w:val="005612EE"/>
    <w:rsid w:val="005613AD"/>
    <w:rsid w:val="00561444"/>
    <w:rsid w:val="00561467"/>
    <w:rsid w:val="0056166C"/>
    <w:rsid w:val="0056167C"/>
    <w:rsid w:val="00561690"/>
    <w:rsid w:val="005617C0"/>
    <w:rsid w:val="00561875"/>
    <w:rsid w:val="00561CC3"/>
    <w:rsid w:val="00561CC7"/>
    <w:rsid w:val="00561E94"/>
    <w:rsid w:val="00561F62"/>
    <w:rsid w:val="0056208A"/>
    <w:rsid w:val="005620B4"/>
    <w:rsid w:val="005620CC"/>
    <w:rsid w:val="005620D3"/>
    <w:rsid w:val="005620F7"/>
    <w:rsid w:val="005620F8"/>
    <w:rsid w:val="00562114"/>
    <w:rsid w:val="00562260"/>
    <w:rsid w:val="0056240E"/>
    <w:rsid w:val="005625C4"/>
    <w:rsid w:val="005625D0"/>
    <w:rsid w:val="005626B3"/>
    <w:rsid w:val="005626E6"/>
    <w:rsid w:val="005628A5"/>
    <w:rsid w:val="0056291F"/>
    <w:rsid w:val="00562B82"/>
    <w:rsid w:val="00562E01"/>
    <w:rsid w:val="00562E1E"/>
    <w:rsid w:val="00562E51"/>
    <w:rsid w:val="00562E91"/>
    <w:rsid w:val="00562ECF"/>
    <w:rsid w:val="00563061"/>
    <w:rsid w:val="0056315A"/>
    <w:rsid w:val="0056325D"/>
    <w:rsid w:val="00563427"/>
    <w:rsid w:val="005635D0"/>
    <w:rsid w:val="005638A7"/>
    <w:rsid w:val="005639FB"/>
    <w:rsid w:val="00563A62"/>
    <w:rsid w:val="00563D2A"/>
    <w:rsid w:val="00563E46"/>
    <w:rsid w:val="00564079"/>
    <w:rsid w:val="0056418E"/>
    <w:rsid w:val="00564234"/>
    <w:rsid w:val="0056439E"/>
    <w:rsid w:val="005643C5"/>
    <w:rsid w:val="0056442F"/>
    <w:rsid w:val="005647A4"/>
    <w:rsid w:val="00564954"/>
    <w:rsid w:val="00564AB4"/>
    <w:rsid w:val="00564B56"/>
    <w:rsid w:val="00564BBF"/>
    <w:rsid w:val="00564C04"/>
    <w:rsid w:val="00564D15"/>
    <w:rsid w:val="00564E31"/>
    <w:rsid w:val="00564E60"/>
    <w:rsid w:val="00564F6E"/>
    <w:rsid w:val="00564F70"/>
    <w:rsid w:val="0056507C"/>
    <w:rsid w:val="0056514C"/>
    <w:rsid w:val="005652B3"/>
    <w:rsid w:val="005655C5"/>
    <w:rsid w:val="0056594A"/>
    <w:rsid w:val="00565959"/>
    <w:rsid w:val="005659F3"/>
    <w:rsid w:val="00565B81"/>
    <w:rsid w:val="00565B88"/>
    <w:rsid w:val="00565BAB"/>
    <w:rsid w:val="005660A6"/>
    <w:rsid w:val="005661D3"/>
    <w:rsid w:val="00566269"/>
    <w:rsid w:val="00566462"/>
    <w:rsid w:val="005664E5"/>
    <w:rsid w:val="0056657B"/>
    <w:rsid w:val="005668BF"/>
    <w:rsid w:val="005668EF"/>
    <w:rsid w:val="00566AE3"/>
    <w:rsid w:val="00566AEE"/>
    <w:rsid w:val="00566BB4"/>
    <w:rsid w:val="00566C70"/>
    <w:rsid w:val="00566DB5"/>
    <w:rsid w:val="00566E71"/>
    <w:rsid w:val="00567055"/>
    <w:rsid w:val="0056714B"/>
    <w:rsid w:val="00567373"/>
    <w:rsid w:val="0056741A"/>
    <w:rsid w:val="00567551"/>
    <w:rsid w:val="005678C5"/>
    <w:rsid w:val="00567A1B"/>
    <w:rsid w:val="00567A26"/>
    <w:rsid w:val="00567B23"/>
    <w:rsid w:val="00567CAD"/>
    <w:rsid w:val="005693AF"/>
    <w:rsid w:val="00570425"/>
    <w:rsid w:val="00570546"/>
    <w:rsid w:val="00570551"/>
    <w:rsid w:val="0057057D"/>
    <w:rsid w:val="0057069A"/>
    <w:rsid w:val="005709A3"/>
    <w:rsid w:val="00570AFF"/>
    <w:rsid w:val="00570B1E"/>
    <w:rsid w:val="00570B2E"/>
    <w:rsid w:val="00570C06"/>
    <w:rsid w:val="00570C35"/>
    <w:rsid w:val="00570F0B"/>
    <w:rsid w:val="00570F50"/>
    <w:rsid w:val="0057103E"/>
    <w:rsid w:val="00571125"/>
    <w:rsid w:val="0057126C"/>
    <w:rsid w:val="0057129E"/>
    <w:rsid w:val="005716A0"/>
    <w:rsid w:val="00571718"/>
    <w:rsid w:val="0057174A"/>
    <w:rsid w:val="005718CF"/>
    <w:rsid w:val="005718EE"/>
    <w:rsid w:val="00571903"/>
    <w:rsid w:val="0057193E"/>
    <w:rsid w:val="00571B41"/>
    <w:rsid w:val="00571C47"/>
    <w:rsid w:val="00571C59"/>
    <w:rsid w:val="00571C92"/>
    <w:rsid w:val="00571CAC"/>
    <w:rsid w:val="00571DFD"/>
    <w:rsid w:val="00571F2B"/>
    <w:rsid w:val="005721E0"/>
    <w:rsid w:val="005722FA"/>
    <w:rsid w:val="0057235C"/>
    <w:rsid w:val="005723BD"/>
    <w:rsid w:val="00572474"/>
    <w:rsid w:val="005724FE"/>
    <w:rsid w:val="00572646"/>
    <w:rsid w:val="005726E2"/>
    <w:rsid w:val="0057270B"/>
    <w:rsid w:val="00572712"/>
    <w:rsid w:val="00572972"/>
    <w:rsid w:val="00572C3B"/>
    <w:rsid w:val="00573184"/>
    <w:rsid w:val="00573316"/>
    <w:rsid w:val="0057360B"/>
    <w:rsid w:val="00573637"/>
    <w:rsid w:val="005736A3"/>
    <w:rsid w:val="00573726"/>
    <w:rsid w:val="0057376D"/>
    <w:rsid w:val="0057385F"/>
    <w:rsid w:val="00573948"/>
    <w:rsid w:val="0057396A"/>
    <w:rsid w:val="00573ADD"/>
    <w:rsid w:val="00573C1C"/>
    <w:rsid w:val="00573E35"/>
    <w:rsid w:val="00574009"/>
    <w:rsid w:val="00574174"/>
    <w:rsid w:val="00574213"/>
    <w:rsid w:val="005742C4"/>
    <w:rsid w:val="0057454E"/>
    <w:rsid w:val="005746B9"/>
    <w:rsid w:val="00574741"/>
    <w:rsid w:val="005748B9"/>
    <w:rsid w:val="00574A4F"/>
    <w:rsid w:val="00574B65"/>
    <w:rsid w:val="00574D1E"/>
    <w:rsid w:val="00574EFE"/>
    <w:rsid w:val="005750B4"/>
    <w:rsid w:val="005751E7"/>
    <w:rsid w:val="0057524A"/>
    <w:rsid w:val="00575461"/>
    <w:rsid w:val="005754EA"/>
    <w:rsid w:val="005755B9"/>
    <w:rsid w:val="00575611"/>
    <w:rsid w:val="0057568B"/>
    <w:rsid w:val="00575978"/>
    <w:rsid w:val="00575BB8"/>
    <w:rsid w:val="00575C46"/>
    <w:rsid w:val="00575CE1"/>
    <w:rsid w:val="0057605F"/>
    <w:rsid w:val="005761EE"/>
    <w:rsid w:val="00576207"/>
    <w:rsid w:val="0057620A"/>
    <w:rsid w:val="005762EA"/>
    <w:rsid w:val="005764EB"/>
    <w:rsid w:val="0057650E"/>
    <w:rsid w:val="005767D6"/>
    <w:rsid w:val="005768DD"/>
    <w:rsid w:val="00576916"/>
    <w:rsid w:val="005769EC"/>
    <w:rsid w:val="00576A61"/>
    <w:rsid w:val="00576C0B"/>
    <w:rsid w:val="00576C46"/>
    <w:rsid w:val="00577019"/>
    <w:rsid w:val="005770AE"/>
    <w:rsid w:val="005770E2"/>
    <w:rsid w:val="00577289"/>
    <w:rsid w:val="00577406"/>
    <w:rsid w:val="0057746A"/>
    <w:rsid w:val="005776D8"/>
    <w:rsid w:val="00577E34"/>
    <w:rsid w:val="00577E7F"/>
    <w:rsid w:val="00577F05"/>
    <w:rsid w:val="00577FD0"/>
    <w:rsid w:val="0057B885"/>
    <w:rsid w:val="005800DC"/>
    <w:rsid w:val="0058018B"/>
    <w:rsid w:val="005801DE"/>
    <w:rsid w:val="0058023E"/>
    <w:rsid w:val="005803A6"/>
    <w:rsid w:val="005803BA"/>
    <w:rsid w:val="005803DC"/>
    <w:rsid w:val="005804FD"/>
    <w:rsid w:val="0058085F"/>
    <w:rsid w:val="00580AA9"/>
    <w:rsid w:val="00580BBB"/>
    <w:rsid w:val="00580DF1"/>
    <w:rsid w:val="00580E4D"/>
    <w:rsid w:val="00580E53"/>
    <w:rsid w:val="00580F58"/>
    <w:rsid w:val="0058133B"/>
    <w:rsid w:val="00581349"/>
    <w:rsid w:val="0058140A"/>
    <w:rsid w:val="0058149A"/>
    <w:rsid w:val="0058168A"/>
    <w:rsid w:val="00581690"/>
    <w:rsid w:val="0058172C"/>
    <w:rsid w:val="00581BC8"/>
    <w:rsid w:val="00581D22"/>
    <w:rsid w:val="00581FE8"/>
    <w:rsid w:val="005824F2"/>
    <w:rsid w:val="005825AC"/>
    <w:rsid w:val="00582656"/>
    <w:rsid w:val="0058278B"/>
    <w:rsid w:val="00582843"/>
    <w:rsid w:val="00582AB3"/>
    <w:rsid w:val="00582B01"/>
    <w:rsid w:val="00582C1D"/>
    <w:rsid w:val="00582E48"/>
    <w:rsid w:val="00582E6D"/>
    <w:rsid w:val="0058319E"/>
    <w:rsid w:val="00583207"/>
    <w:rsid w:val="00583227"/>
    <w:rsid w:val="0058339C"/>
    <w:rsid w:val="005833AA"/>
    <w:rsid w:val="00583460"/>
    <w:rsid w:val="0058355D"/>
    <w:rsid w:val="005835C2"/>
    <w:rsid w:val="005835C7"/>
    <w:rsid w:val="00583632"/>
    <w:rsid w:val="0058385A"/>
    <w:rsid w:val="0058397A"/>
    <w:rsid w:val="005839E3"/>
    <w:rsid w:val="00583C4D"/>
    <w:rsid w:val="00583DD1"/>
    <w:rsid w:val="00583F10"/>
    <w:rsid w:val="005840C0"/>
    <w:rsid w:val="005841AE"/>
    <w:rsid w:val="005841E7"/>
    <w:rsid w:val="00584215"/>
    <w:rsid w:val="0058423D"/>
    <w:rsid w:val="0058425F"/>
    <w:rsid w:val="00584322"/>
    <w:rsid w:val="005843F6"/>
    <w:rsid w:val="00584645"/>
    <w:rsid w:val="005847C4"/>
    <w:rsid w:val="005848D4"/>
    <w:rsid w:val="00584A52"/>
    <w:rsid w:val="00584AD7"/>
    <w:rsid w:val="00584C61"/>
    <w:rsid w:val="00584CE0"/>
    <w:rsid w:val="00584CF9"/>
    <w:rsid w:val="00584D47"/>
    <w:rsid w:val="00584DED"/>
    <w:rsid w:val="00584E34"/>
    <w:rsid w:val="00585302"/>
    <w:rsid w:val="00585303"/>
    <w:rsid w:val="0058542B"/>
    <w:rsid w:val="005854A7"/>
    <w:rsid w:val="005854D6"/>
    <w:rsid w:val="005855D1"/>
    <w:rsid w:val="0058581A"/>
    <w:rsid w:val="00585942"/>
    <w:rsid w:val="00585A50"/>
    <w:rsid w:val="00585DD9"/>
    <w:rsid w:val="00585E5D"/>
    <w:rsid w:val="00585EEA"/>
    <w:rsid w:val="005863BA"/>
    <w:rsid w:val="005864A1"/>
    <w:rsid w:val="005864F9"/>
    <w:rsid w:val="0058658B"/>
    <w:rsid w:val="005865FB"/>
    <w:rsid w:val="0058661C"/>
    <w:rsid w:val="00586723"/>
    <w:rsid w:val="00586803"/>
    <w:rsid w:val="005868E4"/>
    <w:rsid w:val="00586C84"/>
    <w:rsid w:val="00586D7B"/>
    <w:rsid w:val="005870A1"/>
    <w:rsid w:val="005870D1"/>
    <w:rsid w:val="00587135"/>
    <w:rsid w:val="00587484"/>
    <w:rsid w:val="00587603"/>
    <w:rsid w:val="00587856"/>
    <w:rsid w:val="005878F7"/>
    <w:rsid w:val="00587B9E"/>
    <w:rsid w:val="00587CDB"/>
    <w:rsid w:val="00587D54"/>
    <w:rsid w:val="00587DC4"/>
    <w:rsid w:val="00587E73"/>
    <w:rsid w:val="00587FA1"/>
    <w:rsid w:val="00590000"/>
    <w:rsid w:val="00590343"/>
    <w:rsid w:val="00590810"/>
    <w:rsid w:val="0059087C"/>
    <w:rsid w:val="0059099B"/>
    <w:rsid w:val="00590A23"/>
    <w:rsid w:val="00590C2E"/>
    <w:rsid w:val="00590C80"/>
    <w:rsid w:val="00590D84"/>
    <w:rsid w:val="00590D98"/>
    <w:rsid w:val="00590EFB"/>
    <w:rsid w:val="00590F0D"/>
    <w:rsid w:val="00590F29"/>
    <w:rsid w:val="00590F3A"/>
    <w:rsid w:val="0059121B"/>
    <w:rsid w:val="00591674"/>
    <w:rsid w:val="005917CB"/>
    <w:rsid w:val="00591899"/>
    <w:rsid w:val="0059199F"/>
    <w:rsid w:val="00591A8C"/>
    <w:rsid w:val="00591B9C"/>
    <w:rsid w:val="00591C71"/>
    <w:rsid w:val="00591C98"/>
    <w:rsid w:val="00591DC3"/>
    <w:rsid w:val="00591F46"/>
    <w:rsid w:val="00591FFC"/>
    <w:rsid w:val="00592380"/>
    <w:rsid w:val="005923DB"/>
    <w:rsid w:val="00592401"/>
    <w:rsid w:val="00592616"/>
    <w:rsid w:val="005927DB"/>
    <w:rsid w:val="005928F2"/>
    <w:rsid w:val="00592917"/>
    <w:rsid w:val="005929FD"/>
    <w:rsid w:val="00592A61"/>
    <w:rsid w:val="00592FB0"/>
    <w:rsid w:val="00592FCB"/>
    <w:rsid w:val="00593064"/>
    <w:rsid w:val="005934BC"/>
    <w:rsid w:val="00593585"/>
    <w:rsid w:val="005935D4"/>
    <w:rsid w:val="00593666"/>
    <w:rsid w:val="0059369B"/>
    <w:rsid w:val="005938F7"/>
    <w:rsid w:val="00593D68"/>
    <w:rsid w:val="00593EE3"/>
    <w:rsid w:val="00594158"/>
    <w:rsid w:val="00594165"/>
    <w:rsid w:val="005941A2"/>
    <w:rsid w:val="00594223"/>
    <w:rsid w:val="00594336"/>
    <w:rsid w:val="00594353"/>
    <w:rsid w:val="005943F8"/>
    <w:rsid w:val="00594539"/>
    <w:rsid w:val="00594599"/>
    <w:rsid w:val="005947F2"/>
    <w:rsid w:val="00594932"/>
    <w:rsid w:val="00594BE2"/>
    <w:rsid w:val="00594E0D"/>
    <w:rsid w:val="00595154"/>
    <w:rsid w:val="005951AE"/>
    <w:rsid w:val="0059559A"/>
    <w:rsid w:val="005955D0"/>
    <w:rsid w:val="00595642"/>
    <w:rsid w:val="00595CA9"/>
    <w:rsid w:val="00595F6C"/>
    <w:rsid w:val="00595F6F"/>
    <w:rsid w:val="00595F7B"/>
    <w:rsid w:val="00595FA6"/>
    <w:rsid w:val="00596050"/>
    <w:rsid w:val="005962A3"/>
    <w:rsid w:val="005965C5"/>
    <w:rsid w:val="005967F3"/>
    <w:rsid w:val="0059685C"/>
    <w:rsid w:val="005968EB"/>
    <w:rsid w:val="0059692B"/>
    <w:rsid w:val="00596AE0"/>
    <w:rsid w:val="00596B81"/>
    <w:rsid w:val="00596D84"/>
    <w:rsid w:val="00596FEE"/>
    <w:rsid w:val="00597038"/>
    <w:rsid w:val="00597100"/>
    <w:rsid w:val="0059747A"/>
    <w:rsid w:val="005974EF"/>
    <w:rsid w:val="005974FC"/>
    <w:rsid w:val="005978A1"/>
    <w:rsid w:val="00597A4A"/>
    <w:rsid w:val="00597A7F"/>
    <w:rsid w:val="00597B10"/>
    <w:rsid w:val="00597BBE"/>
    <w:rsid w:val="00597BC8"/>
    <w:rsid w:val="00597C02"/>
    <w:rsid w:val="00597D7D"/>
    <w:rsid w:val="00597ECB"/>
    <w:rsid w:val="00597FAA"/>
    <w:rsid w:val="005A035B"/>
    <w:rsid w:val="005A06E6"/>
    <w:rsid w:val="005A09E7"/>
    <w:rsid w:val="005A0A00"/>
    <w:rsid w:val="005A0AF4"/>
    <w:rsid w:val="005A0C74"/>
    <w:rsid w:val="005A0CB5"/>
    <w:rsid w:val="005A0D07"/>
    <w:rsid w:val="005A0D21"/>
    <w:rsid w:val="005A0FF8"/>
    <w:rsid w:val="005A1171"/>
    <w:rsid w:val="005A1181"/>
    <w:rsid w:val="005A119B"/>
    <w:rsid w:val="005A128E"/>
    <w:rsid w:val="005A1486"/>
    <w:rsid w:val="005A15C6"/>
    <w:rsid w:val="005A1719"/>
    <w:rsid w:val="005A187E"/>
    <w:rsid w:val="005A1B5A"/>
    <w:rsid w:val="005A1C1B"/>
    <w:rsid w:val="005A1F42"/>
    <w:rsid w:val="005A24CF"/>
    <w:rsid w:val="005A2583"/>
    <w:rsid w:val="005A26EE"/>
    <w:rsid w:val="005A297C"/>
    <w:rsid w:val="005A2A1C"/>
    <w:rsid w:val="005A2B90"/>
    <w:rsid w:val="005A2C9E"/>
    <w:rsid w:val="005A2F32"/>
    <w:rsid w:val="005A31B7"/>
    <w:rsid w:val="005A3261"/>
    <w:rsid w:val="005A3A89"/>
    <w:rsid w:val="005A3BDD"/>
    <w:rsid w:val="005A3BF2"/>
    <w:rsid w:val="005A3D28"/>
    <w:rsid w:val="005A3EA2"/>
    <w:rsid w:val="005A3F5E"/>
    <w:rsid w:val="005A40B4"/>
    <w:rsid w:val="005A444E"/>
    <w:rsid w:val="005A44C8"/>
    <w:rsid w:val="005A458D"/>
    <w:rsid w:val="005A45C6"/>
    <w:rsid w:val="005A463E"/>
    <w:rsid w:val="005A46BE"/>
    <w:rsid w:val="005A48D4"/>
    <w:rsid w:val="005A4ABC"/>
    <w:rsid w:val="005A4DCB"/>
    <w:rsid w:val="005A4DF6"/>
    <w:rsid w:val="005A4E65"/>
    <w:rsid w:val="005A5086"/>
    <w:rsid w:val="005A529B"/>
    <w:rsid w:val="005A56F4"/>
    <w:rsid w:val="005A5777"/>
    <w:rsid w:val="005A5784"/>
    <w:rsid w:val="005A5AC4"/>
    <w:rsid w:val="005A5B9D"/>
    <w:rsid w:val="005A60F2"/>
    <w:rsid w:val="005A61F2"/>
    <w:rsid w:val="005A62B4"/>
    <w:rsid w:val="005A64F7"/>
    <w:rsid w:val="005A65A2"/>
    <w:rsid w:val="005A65AA"/>
    <w:rsid w:val="005A68F5"/>
    <w:rsid w:val="005A6A2C"/>
    <w:rsid w:val="005A6AE6"/>
    <w:rsid w:val="005A6B95"/>
    <w:rsid w:val="005A6EDC"/>
    <w:rsid w:val="005A6F24"/>
    <w:rsid w:val="005A6F62"/>
    <w:rsid w:val="005A7166"/>
    <w:rsid w:val="005A719F"/>
    <w:rsid w:val="005A7309"/>
    <w:rsid w:val="005A7682"/>
    <w:rsid w:val="005A7704"/>
    <w:rsid w:val="005A77C3"/>
    <w:rsid w:val="005A7872"/>
    <w:rsid w:val="005A78C3"/>
    <w:rsid w:val="005A7993"/>
    <w:rsid w:val="005A7C10"/>
    <w:rsid w:val="005A7D32"/>
    <w:rsid w:val="005A7DA2"/>
    <w:rsid w:val="005A7F65"/>
    <w:rsid w:val="005A7FCA"/>
    <w:rsid w:val="005B0052"/>
    <w:rsid w:val="005B0251"/>
    <w:rsid w:val="005B0358"/>
    <w:rsid w:val="005B048A"/>
    <w:rsid w:val="005B0602"/>
    <w:rsid w:val="005B0A4A"/>
    <w:rsid w:val="005B0BC3"/>
    <w:rsid w:val="005B0ECF"/>
    <w:rsid w:val="005B0FC7"/>
    <w:rsid w:val="005B1033"/>
    <w:rsid w:val="005B1049"/>
    <w:rsid w:val="005B11D8"/>
    <w:rsid w:val="005B1257"/>
    <w:rsid w:val="005B1656"/>
    <w:rsid w:val="005B1682"/>
    <w:rsid w:val="005B1C50"/>
    <w:rsid w:val="005B1C5E"/>
    <w:rsid w:val="005B20CE"/>
    <w:rsid w:val="005B21D7"/>
    <w:rsid w:val="005B22FD"/>
    <w:rsid w:val="005B2396"/>
    <w:rsid w:val="005B2566"/>
    <w:rsid w:val="005B2619"/>
    <w:rsid w:val="005B2668"/>
    <w:rsid w:val="005B2850"/>
    <w:rsid w:val="005B29CE"/>
    <w:rsid w:val="005B2D17"/>
    <w:rsid w:val="005B2DAF"/>
    <w:rsid w:val="005B2DE1"/>
    <w:rsid w:val="005B2FEC"/>
    <w:rsid w:val="005B3092"/>
    <w:rsid w:val="005B318E"/>
    <w:rsid w:val="005B328B"/>
    <w:rsid w:val="005B34AB"/>
    <w:rsid w:val="005B362A"/>
    <w:rsid w:val="005B381D"/>
    <w:rsid w:val="005B3889"/>
    <w:rsid w:val="005B38C2"/>
    <w:rsid w:val="005B394E"/>
    <w:rsid w:val="005B3ABB"/>
    <w:rsid w:val="005B3B7E"/>
    <w:rsid w:val="005B3BEC"/>
    <w:rsid w:val="005B3FF5"/>
    <w:rsid w:val="005B4191"/>
    <w:rsid w:val="005B4425"/>
    <w:rsid w:val="005B45F5"/>
    <w:rsid w:val="005B4838"/>
    <w:rsid w:val="005B4ADE"/>
    <w:rsid w:val="005B4B8D"/>
    <w:rsid w:val="005B4C51"/>
    <w:rsid w:val="005B4E40"/>
    <w:rsid w:val="005B5248"/>
    <w:rsid w:val="005B52C6"/>
    <w:rsid w:val="005B57A5"/>
    <w:rsid w:val="005B58C0"/>
    <w:rsid w:val="005B5D6B"/>
    <w:rsid w:val="005B5EBA"/>
    <w:rsid w:val="005B5F94"/>
    <w:rsid w:val="005B6182"/>
    <w:rsid w:val="005B627A"/>
    <w:rsid w:val="005B63C4"/>
    <w:rsid w:val="005B646D"/>
    <w:rsid w:val="005B65B8"/>
    <w:rsid w:val="005B6839"/>
    <w:rsid w:val="005B69FB"/>
    <w:rsid w:val="005B6AB0"/>
    <w:rsid w:val="005B6D07"/>
    <w:rsid w:val="005B6E01"/>
    <w:rsid w:val="005B6F26"/>
    <w:rsid w:val="005B70B9"/>
    <w:rsid w:val="005B7161"/>
    <w:rsid w:val="005B71C7"/>
    <w:rsid w:val="005B7215"/>
    <w:rsid w:val="005B7291"/>
    <w:rsid w:val="005B7317"/>
    <w:rsid w:val="005B7904"/>
    <w:rsid w:val="005B79A8"/>
    <w:rsid w:val="005B7CBC"/>
    <w:rsid w:val="005B7DBF"/>
    <w:rsid w:val="005BA5E4"/>
    <w:rsid w:val="005C0078"/>
    <w:rsid w:val="005C00B8"/>
    <w:rsid w:val="005C02AA"/>
    <w:rsid w:val="005C042A"/>
    <w:rsid w:val="005C04DD"/>
    <w:rsid w:val="005C0567"/>
    <w:rsid w:val="005C0578"/>
    <w:rsid w:val="005C0848"/>
    <w:rsid w:val="005C09D3"/>
    <w:rsid w:val="005C0AB6"/>
    <w:rsid w:val="005C1102"/>
    <w:rsid w:val="005C1299"/>
    <w:rsid w:val="005C14B3"/>
    <w:rsid w:val="005C14C6"/>
    <w:rsid w:val="005C14CC"/>
    <w:rsid w:val="005C1829"/>
    <w:rsid w:val="005C18F5"/>
    <w:rsid w:val="005C1AB8"/>
    <w:rsid w:val="005C1ADA"/>
    <w:rsid w:val="005C1F94"/>
    <w:rsid w:val="005C21CD"/>
    <w:rsid w:val="005C21D4"/>
    <w:rsid w:val="005C2385"/>
    <w:rsid w:val="005C2425"/>
    <w:rsid w:val="005C2514"/>
    <w:rsid w:val="005C2529"/>
    <w:rsid w:val="005C2592"/>
    <w:rsid w:val="005C292B"/>
    <w:rsid w:val="005C2975"/>
    <w:rsid w:val="005C2A82"/>
    <w:rsid w:val="005C2A85"/>
    <w:rsid w:val="005C2AA0"/>
    <w:rsid w:val="005C2C1A"/>
    <w:rsid w:val="005C31A7"/>
    <w:rsid w:val="005C33F2"/>
    <w:rsid w:val="005C35A1"/>
    <w:rsid w:val="005C37CC"/>
    <w:rsid w:val="005C3DCF"/>
    <w:rsid w:val="005C3E21"/>
    <w:rsid w:val="005C404C"/>
    <w:rsid w:val="005C4254"/>
    <w:rsid w:val="005C42EF"/>
    <w:rsid w:val="005C4324"/>
    <w:rsid w:val="005C4372"/>
    <w:rsid w:val="005C438C"/>
    <w:rsid w:val="005C4788"/>
    <w:rsid w:val="005C4A87"/>
    <w:rsid w:val="005C4AC5"/>
    <w:rsid w:val="005C4B9E"/>
    <w:rsid w:val="005C4C21"/>
    <w:rsid w:val="005C4C6A"/>
    <w:rsid w:val="005C4DC1"/>
    <w:rsid w:val="005C4F0C"/>
    <w:rsid w:val="005C504C"/>
    <w:rsid w:val="005C508E"/>
    <w:rsid w:val="005C524F"/>
    <w:rsid w:val="005C536E"/>
    <w:rsid w:val="005C5632"/>
    <w:rsid w:val="005C56D6"/>
    <w:rsid w:val="005C575C"/>
    <w:rsid w:val="005C57FF"/>
    <w:rsid w:val="005C599F"/>
    <w:rsid w:val="005C5C3F"/>
    <w:rsid w:val="005C5FC7"/>
    <w:rsid w:val="005C6091"/>
    <w:rsid w:val="005C630A"/>
    <w:rsid w:val="005C6350"/>
    <w:rsid w:val="005C6402"/>
    <w:rsid w:val="005C6543"/>
    <w:rsid w:val="005C6560"/>
    <w:rsid w:val="005C65DD"/>
    <w:rsid w:val="005C6637"/>
    <w:rsid w:val="005C6673"/>
    <w:rsid w:val="005C68B9"/>
    <w:rsid w:val="005C6A8C"/>
    <w:rsid w:val="005C6AD9"/>
    <w:rsid w:val="005C6CFB"/>
    <w:rsid w:val="005C6E25"/>
    <w:rsid w:val="005C7087"/>
    <w:rsid w:val="005C7161"/>
    <w:rsid w:val="005C7191"/>
    <w:rsid w:val="005C7198"/>
    <w:rsid w:val="005C728F"/>
    <w:rsid w:val="005C7305"/>
    <w:rsid w:val="005C741F"/>
    <w:rsid w:val="005C74EA"/>
    <w:rsid w:val="005C7591"/>
    <w:rsid w:val="005C75F5"/>
    <w:rsid w:val="005C76C9"/>
    <w:rsid w:val="005C77FF"/>
    <w:rsid w:val="005C7897"/>
    <w:rsid w:val="005C78F7"/>
    <w:rsid w:val="005C79C9"/>
    <w:rsid w:val="005C7A4C"/>
    <w:rsid w:val="005C7B32"/>
    <w:rsid w:val="005C7D9C"/>
    <w:rsid w:val="005C7DF9"/>
    <w:rsid w:val="005C7E51"/>
    <w:rsid w:val="005CCE00"/>
    <w:rsid w:val="005D01BD"/>
    <w:rsid w:val="005D01F1"/>
    <w:rsid w:val="005D0276"/>
    <w:rsid w:val="005D035C"/>
    <w:rsid w:val="005D03EF"/>
    <w:rsid w:val="005D04AF"/>
    <w:rsid w:val="005D05AA"/>
    <w:rsid w:val="005D0662"/>
    <w:rsid w:val="005D0752"/>
    <w:rsid w:val="005D0A58"/>
    <w:rsid w:val="005D0A77"/>
    <w:rsid w:val="005D0CF7"/>
    <w:rsid w:val="005D0D6C"/>
    <w:rsid w:val="005D0E28"/>
    <w:rsid w:val="005D1037"/>
    <w:rsid w:val="005D106A"/>
    <w:rsid w:val="005D11B5"/>
    <w:rsid w:val="005D1202"/>
    <w:rsid w:val="005D121A"/>
    <w:rsid w:val="005D1391"/>
    <w:rsid w:val="005D13E7"/>
    <w:rsid w:val="005D15DB"/>
    <w:rsid w:val="005D15DF"/>
    <w:rsid w:val="005D170D"/>
    <w:rsid w:val="005D1A27"/>
    <w:rsid w:val="005D1A54"/>
    <w:rsid w:val="005D1AF4"/>
    <w:rsid w:val="005D1BC8"/>
    <w:rsid w:val="005D1BFB"/>
    <w:rsid w:val="005D1CC7"/>
    <w:rsid w:val="005D2006"/>
    <w:rsid w:val="005D2568"/>
    <w:rsid w:val="005D2868"/>
    <w:rsid w:val="005D28DF"/>
    <w:rsid w:val="005D292A"/>
    <w:rsid w:val="005D2936"/>
    <w:rsid w:val="005D29B7"/>
    <w:rsid w:val="005D2A0A"/>
    <w:rsid w:val="005D2B37"/>
    <w:rsid w:val="005D2C7A"/>
    <w:rsid w:val="005D2C9D"/>
    <w:rsid w:val="005D2F39"/>
    <w:rsid w:val="005D3354"/>
    <w:rsid w:val="005D3489"/>
    <w:rsid w:val="005D35BE"/>
    <w:rsid w:val="005D368A"/>
    <w:rsid w:val="005D36B1"/>
    <w:rsid w:val="005D36C8"/>
    <w:rsid w:val="005D36E2"/>
    <w:rsid w:val="005D3B80"/>
    <w:rsid w:val="005D3CA0"/>
    <w:rsid w:val="005D3F2E"/>
    <w:rsid w:val="005D4010"/>
    <w:rsid w:val="005D42D0"/>
    <w:rsid w:val="005D438E"/>
    <w:rsid w:val="005D448A"/>
    <w:rsid w:val="005D4819"/>
    <w:rsid w:val="005D4882"/>
    <w:rsid w:val="005D4B24"/>
    <w:rsid w:val="005D4C5D"/>
    <w:rsid w:val="005D4C6E"/>
    <w:rsid w:val="005D50E4"/>
    <w:rsid w:val="005D524D"/>
    <w:rsid w:val="005D52B0"/>
    <w:rsid w:val="005D53BC"/>
    <w:rsid w:val="005D544A"/>
    <w:rsid w:val="005D54EF"/>
    <w:rsid w:val="005D5617"/>
    <w:rsid w:val="005D569B"/>
    <w:rsid w:val="005D56DF"/>
    <w:rsid w:val="005D580E"/>
    <w:rsid w:val="005D5846"/>
    <w:rsid w:val="005D5991"/>
    <w:rsid w:val="005D5C73"/>
    <w:rsid w:val="005D5CE4"/>
    <w:rsid w:val="005D5FCC"/>
    <w:rsid w:val="005D5FFE"/>
    <w:rsid w:val="005D601A"/>
    <w:rsid w:val="005D601B"/>
    <w:rsid w:val="005D606E"/>
    <w:rsid w:val="005D64CC"/>
    <w:rsid w:val="005D64E9"/>
    <w:rsid w:val="005D64FC"/>
    <w:rsid w:val="005D65A7"/>
    <w:rsid w:val="005D66B0"/>
    <w:rsid w:val="005D673D"/>
    <w:rsid w:val="005D6789"/>
    <w:rsid w:val="005D6CF6"/>
    <w:rsid w:val="005D71C2"/>
    <w:rsid w:val="005D746B"/>
    <w:rsid w:val="005D7540"/>
    <w:rsid w:val="005D75AA"/>
    <w:rsid w:val="005D77A9"/>
    <w:rsid w:val="005D79B2"/>
    <w:rsid w:val="005D7A1A"/>
    <w:rsid w:val="005D7AA6"/>
    <w:rsid w:val="005D7AE1"/>
    <w:rsid w:val="005D7CFC"/>
    <w:rsid w:val="005E035A"/>
    <w:rsid w:val="005E0467"/>
    <w:rsid w:val="005E052A"/>
    <w:rsid w:val="005E062A"/>
    <w:rsid w:val="005E08F4"/>
    <w:rsid w:val="005E09A5"/>
    <w:rsid w:val="005E0A47"/>
    <w:rsid w:val="005E0B39"/>
    <w:rsid w:val="005E0CF1"/>
    <w:rsid w:val="005E0E81"/>
    <w:rsid w:val="005E1325"/>
    <w:rsid w:val="005E13C3"/>
    <w:rsid w:val="005E1402"/>
    <w:rsid w:val="005E1416"/>
    <w:rsid w:val="005E177A"/>
    <w:rsid w:val="005E1D43"/>
    <w:rsid w:val="005E2475"/>
    <w:rsid w:val="005E2648"/>
    <w:rsid w:val="005E2909"/>
    <w:rsid w:val="005E297F"/>
    <w:rsid w:val="005E2A8E"/>
    <w:rsid w:val="005E2B9B"/>
    <w:rsid w:val="005E2C79"/>
    <w:rsid w:val="005E2CB6"/>
    <w:rsid w:val="005E2D75"/>
    <w:rsid w:val="005E2EBE"/>
    <w:rsid w:val="005E3031"/>
    <w:rsid w:val="005E319A"/>
    <w:rsid w:val="005E371D"/>
    <w:rsid w:val="005E381D"/>
    <w:rsid w:val="005E3856"/>
    <w:rsid w:val="005E3866"/>
    <w:rsid w:val="005E3891"/>
    <w:rsid w:val="005E3913"/>
    <w:rsid w:val="005E3A51"/>
    <w:rsid w:val="005E3A98"/>
    <w:rsid w:val="005E3E3D"/>
    <w:rsid w:val="005E3E47"/>
    <w:rsid w:val="005E44FA"/>
    <w:rsid w:val="005E4530"/>
    <w:rsid w:val="005E4599"/>
    <w:rsid w:val="005E46DE"/>
    <w:rsid w:val="005E46E8"/>
    <w:rsid w:val="005E47BA"/>
    <w:rsid w:val="005E48DB"/>
    <w:rsid w:val="005E4C27"/>
    <w:rsid w:val="005E4DCA"/>
    <w:rsid w:val="005E4E8F"/>
    <w:rsid w:val="005E502F"/>
    <w:rsid w:val="005E51F9"/>
    <w:rsid w:val="005E540B"/>
    <w:rsid w:val="005E543D"/>
    <w:rsid w:val="005E5509"/>
    <w:rsid w:val="005E58F9"/>
    <w:rsid w:val="005E593C"/>
    <w:rsid w:val="005E5B4E"/>
    <w:rsid w:val="005E5C59"/>
    <w:rsid w:val="005E5E34"/>
    <w:rsid w:val="005E5E91"/>
    <w:rsid w:val="005E63B1"/>
    <w:rsid w:val="005E6483"/>
    <w:rsid w:val="005E6807"/>
    <w:rsid w:val="005E684A"/>
    <w:rsid w:val="005E6AAA"/>
    <w:rsid w:val="005E6BEE"/>
    <w:rsid w:val="005E6C6D"/>
    <w:rsid w:val="005E6CA8"/>
    <w:rsid w:val="005E6CF6"/>
    <w:rsid w:val="005E6E0B"/>
    <w:rsid w:val="005E6F2F"/>
    <w:rsid w:val="005E723E"/>
    <w:rsid w:val="005E7302"/>
    <w:rsid w:val="005E73A9"/>
    <w:rsid w:val="005E73BD"/>
    <w:rsid w:val="005E7532"/>
    <w:rsid w:val="005E75E5"/>
    <w:rsid w:val="005E76D0"/>
    <w:rsid w:val="005E7708"/>
    <w:rsid w:val="005E7908"/>
    <w:rsid w:val="005E79F6"/>
    <w:rsid w:val="005E79FF"/>
    <w:rsid w:val="005E7B89"/>
    <w:rsid w:val="005E7F95"/>
    <w:rsid w:val="005F00F5"/>
    <w:rsid w:val="005F01DD"/>
    <w:rsid w:val="005F02D2"/>
    <w:rsid w:val="005F08D4"/>
    <w:rsid w:val="005F0941"/>
    <w:rsid w:val="005F0947"/>
    <w:rsid w:val="005F097A"/>
    <w:rsid w:val="005F0A04"/>
    <w:rsid w:val="005F0A46"/>
    <w:rsid w:val="005F0A83"/>
    <w:rsid w:val="005F0B44"/>
    <w:rsid w:val="005F0BBA"/>
    <w:rsid w:val="005F0CB4"/>
    <w:rsid w:val="005F0D2E"/>
    <w:rsid w:val="005F0FEE"/>
    <w:rsid w:val="005F1009"/>
    <w:rsid w:val="005F1326"/>
    <w:rsid w:val="005F13F7"/>
    <w:rsid w:val="005F14A5"/>
    <w:rsid w:val="005F1601"/>
    <w:rsid w:val="005F1714"/>
    <w:rsid w:val="005F1C0D"/>
    <w:rsid w:val="005F1C86"/>
    <w:rsid w:val="005F1D0C"/>
    <w:rsid w:val="005F1D33"/>
    <w:rsid w:val="005F224C"/>
    <w:rsid w:val="005F2281"/>
    <w:rsid w:val="005F229C"/>
    <w:rsid w:val="005F2751"/>
    <w:rsid w:val="005F276A"/>
    <w:rsid w:val="005F278F"/>
    <w:rsid w:val="005F2C7E"/>
    <w:rsid w:val="005F2F1E"/>
    <w:rsid w:val="005F2F8C"/>
    <w:rsid w:val="005F329C"/>
    <w:rsid w:val="005F32C5"/>
    <w:rsid w:val="005F3750"/>
    <w:rsid w:val="005F3A0E"/>
    <w:rsid w:val="005F3AE5"/>
    <w:rsid w:val="005F3E82"/>
    <w:rsid w:val="005F3F62"/>
    <w:rsid w:val="005F4202"/>
    <w:rsid w:val="005F4481"/>
    <w:rsid w:val="005F45B9"/>
    <w:rsid w:val="005F489F"/>
    <w:rsid w:val="005F4C09"/>
    <w:rsid w:val="005F4F25"/>
    <w:rsid w:val="005F4F78"/>
    <w:rsid w:val="005F5003"/>
    <w:rsid w:val="005F5034"/>
    <w:rsid w:val="005F50C1"/>
    <w:rsid w:val="005F50E4"/>
    <w:rsid w:val="005F5165"/>
    <w:rsid w:val="005F518F"/>
    <w:rsid w:val="005F5211"/>
    <w:rsid w:val="005F5271"/>
    <w:rsid w:val="005F53C5"/>
    <w:rsid w:val="005F551C"/>
    <w:rsid w:val="005F556F"/>
    <w:rsid w:val="005F57BC"/>
    <w:rsid w:val="005F5DDD"/>
    <w:rsid w:val="005F5ED3"/>
    <w:rsid w:val="005F6195"/>
    <w:rsid w:val="005F6217"/>
    <w:rsid w:val="005F633A"/>
    <w:rsid w:val="005F63E2"/>
    <w:rsid w:val="005F64B3"/>
    <w:rsid w:val="005F671B"/>
    <w:rsid w:val="005F6750"/>
    <w:rsid w:val="005F688A"/>
    <w:rsid w:val="005F68B1"/>
    <w:rsid w:val="005F6E11"/>
    <w:rsid w:val="005F6F54"/>
    <w:rsid w:val="005F72A1"/>
    <w:rsid w:val="005F736D"/>
    <w:rsid w:val="005F74DD"/>
    <w:rsid w:val="005F78F8"/>
    <w:rsid w:val="005F7A41"/>
    <w:rsid w:val="005F7EC0"/>
    <w:rsid w:val="00600152"/>
    <w:rsid w:val="0060015A"/>
    <w:rsid w:val="00600285"/>
    <w:rsid w:val="006002BC"/>
    <w:rsid w:val="00600326"/>
    <w:rsid w:val="00600347"/>
    <w:rsid w:val="00600405"/>
    <w:rsid w:val="00600462"/>
    <w:rsid w:val="006006F1"/>
    <w:rsid w:val="00600737"/>
    <w:rsid w:val="00600893"/>
    <w:rsid w:val="006008A5"/>
    <w:rsid w:val="0060093E"/>
    <w:rsid w:val="006009C0"/>
    <w:rsid w:val="00600D06"/>
    <w:rsid w:val="00600EC5"/>
    <w:rsid w:val="00600F64"/>
    <w:rsid w:val="006011A2"/>
    <w:rsid w:val="0060136F"/>
    <w:rsid w:val="00601405"/>
    <w:rsid w:val="00601599"/>
    <w:rsid w:val="006016FB"/>
    <w:rsid w:val="0060174D"/>
    <w:rsid w:val="006017B8"/>
    <w:rsid w:val="006017DE"/>
    <w:rsid w:val="00601C36"/>
    <w:rsid w:val="00601D13"/>
    <w:rsid w:val="00601D8C"/>
    <w:rsid w:val="00601DAB"/>
    <w:rsid w:val="00601EBE"/>
    <w:rsid w:val="00601FCF"/>
    <w:rsid w:val="00602045"/>
    <w:rsid w:val="00602086"/>
    <w:rsid w:val="00602476"/>
    <w:rsid w:val="006026A9"/>
    <w:rsid w:val="006026D3"/>
    <w:rsid w:val="006028ED"/>
    <w:rsid w:val="00602A6B"/>
    <w:rsid w:val="00602D66"/>
    <w:rsid w:val="00602DE8"/>
    <w:rsid w:val="00602E41"/>
    <w:rsid w:val="00603019"/>
    <w:rsid w:val="006030F5"/>
    <w:rsid w:val="006031FD"/>
    <w:rsid w:val="0060321C"/>
    <w:rsid w:val="006033E9"/>
    <w:rsid w:val="0060381A"/>
    <w:rsid w:val="00603856"/>
    <w:rsid w:val="0060387E"/>
    <w:rsid w:val="0060396D"/>
    <w:rsid w:val="006039EE"/>
    <w:rsid w:val="00603A73"/>
    <w:rsid w:val="00603AEF"/>
    <w:rsid w:val="00603B8D"/>
    <w:rsid w:val="00603CBA"/>
    <w:rsid w:val="00603D15"/>
    <w:rsid w:val="00603EC1"/>
    <w:rsid w:val="00603FA0"/>
    <w:rsid w:val="00604103"/>
    <w:rsid w:val="00604111"/>
    <w:rsid w:val="00604210"/>
    <w:rsid w:val="006042C7"/>
    <w:rsid w:val="00604351"/>
    <w:rsid w:val="00604408"/>
    <w:rsid w:val="00604419"/>
    <w:rsid w:val="0060441C"/>
    <w:rsid w:val="00604495"/>
    <w:rsid w:val="00604574"/>
    <w:rsid w:val="0060469C"/>
    <w:rsid w:val="0060471A"/>
    <w:rsid w:val="00604736"/>
    <w:rsid w:val="00604748"/>
    <w:rsid w:val="00604774"/>
    <w:rsid w:val="006047AA"/>
    <w:rsid w:val="00604CAB"/>
    <w:rsid w:val="00604CF0"/>
    <w:rsid w:val="00604F72"/>
    <w:rsid w:val="006050E7"/>
    <w:rsid w:val="0060543B"/>
    <w:rsid w:val="00605669"/>
    <w:rsid w:val="006057B6"/>
    <w:rsid w:val="00605833"/>
    <w:rsid w:val="00605C7C"/>
    <w:rsid w:val="00605D01"/>
    <w:rsid w:val="00605D92"/>
    <w:rsid w:val="00605EA6"/>
    <w:rsid w:val="00605FC6"/>
    <w:rsid w:val="00606370"/>
    <w:rsid w:val="006063E1"/>
    <w:rsid w:val="0060642C"/>
    <w:rsid w:val="00606478"/>
    <w:rsid w:val="0060650A"/>
    <w:rsid w:val="006067AC"/>
    <w:rsid w:val="00606B74"/>
    <w:rsid w:val="00606D3C"/>
    <w:rsid w:val="00606FF8"/>
    <w:rsid w:val="006070F7"/>
    <w:rsid w:val="00607168"/>
    <w:rsid w:val="006073FB"/>
    <w:rsid w:val="006074DD"/>
    <w:rsid w:val="0060756D"/>
    <w:rsid w:val="00607639"/>
    <w:rsid w:val="00607657"/>
    <w:rsid w:val="006077EF"/>
    <w:rsid w:val="00607AFE"/>
    <w:rsid w:val="00607B25"/>
    <w:rsid w:val="00607B29"/>
    <w:rsid w:val="00607BB2"/>
    <w:rsid w:val="00607D31"/>
    <w:rsid w:val="00607D3C"/>
    <w:rsid w:val="00607EC4"/>
    <w:rsid w:val="00607FEC"/>
    <w:rsid w:val="0061021F"/>
    <w:rsid w:val="006102B9"/>
    <w:rsid w:val="006104FC"/>
    <w:rsid w:val="00610885"/>
    <w:rsid w:val="006108C7"/>
    <w:rsid w:val="0061093B"/>
    <w:rsid w:val="00610947"/>
    <w:rsid w:val="00610A57"/>
    <w:rsid w:val="00610A78"/>
    <w:rsid w:val="00610E53"/>
    <w:rsid w:val="00611090"/>
    <w:rsid w:val="006112D5"/>
    <w:rsid w:val="00611387"/>
    <w:rsid w:val="006118B0"/>
    <w:rsid w:val="0061197A"/>
    <w:rsid w:val="00611B6B"/>
    <w:rsid w:val="00611F78"/>
    <w:rsid w:val="006120CB"/>
    <w:rsid w:val="0061215B"/>
    <w:rsid w:val="006125D5"/>
    <w:rsid w:val="00612826"/>
    <w:rsid w:val="006128B4"/>
    <w:rsid w:val="0061297B"/>
    <w:rsid w:val="00612A5F"/>
    <w:rsid w:val="00612A65"/>
    <w:rsid w:val="00612A93"/>
    <w:rsid w:val="00612DC5"/>
    <w:rsid w:val="00612FF8"/>
    <w:rsid w:val="006131B8"/>
    <w:rsid w:val="0061331F"/>
    <w:rsid w:val="0061339E"/>
    <w:rsid w:val="00613491"/>
    <w:rsid w:val="00613522"/>
    <w:rsid w:val="006136BC"/>
    <w:rsid w:val="00613A2E"/>
    <w:rsid w:val="00613B1A"/>
    <w:rsid w:val="00613B67"/>
    <w:rsid w:val="00613BCD"/>
    <w:rsid w:val="00613D40"/>
    <w:rsid w:val="00613EC1"/>
    <w:rsid w:val="006142B9"/>
    <w:rsid w:val="00614440"/>
    <w:rsid w:val="00614A86"/>
    <w:rsid w:val="00614AAF"/>
    <w:rsid w:val="00614ECE"/>
    <w:rsid w:val="00614FE9"/>
    <w:rsid w:val="0061501F"/>
    <w:rsid w:val="006151C3"/>
    <w:rsid w:val="00615266"/>
    <w:rsid w:val="0061540F"/>
    <w:rsid w:val="00615415"/>
    <w:rsid w:val="006154D4"/>
    <w:rsid w:val="0061560A"/>
    <w:rsid w:val="006158AD"/>
    <w:rsid w:val="00615A8C"/>
    <w:rsid w:val="00615B67"/>
    <w:rsid w:val="00615BA0"/>
    <w:rsid w:val="00615C89"/>
    <w:rsid w:val="00615C98"/>
    <w:rsid w:val="00615F73"/>
    <w:rsid w:val="00616286"/>
    <w:rsid w:val="0061649A"/>
    <w:rsid w:val="006167D4"/>
    <w:rsid w:val="00616843"/>
    <w:rsid w:val="006168BC"/>
    <w:rsid w:val="006168D5"/>
    <w:rsid w:val="00616B13"/>
    <w:rsid w:val="00616BCE"/>
    <w:rsid w:val="00616D69"/>
    <w:rsid w:val="00616E6B"/>
    <w:rsid w:val="00616F41"/>
    <w:rsid w:val="00617127"/>
    <w:rsid w:val="00617237"/>
    <w:rsid w:val="00617263"/>
    <w:rsid w:val="00617588"/>
    <w:rsid w:val="0061760C"/>
    <w:rsid w:val="006179EF"/>
    <w:rsid w:val="00617BC3"/>
    <w:rsid w:val="00617C76"/>
    <w:rsid w:val="00617D1A"/>
    <w:rsid w:val="00617D3B"/>
    <w:rsid w:val="00617FF2"/>
    <w:rsid w:val="0062012F"/>
    <w:rsid w:val="00620193"/>
    <w:rsid w:val="006202BE"/>
    <w:rsid w:val="00620382"/>
    <w:rsid w:val="006204ED"/>
    <w:rsid w:val="0062053B"/>
    <w:rsid w:val="0062060A"/>
    <w:rsid w:val="0062086F"/>
    <w:rsid w:val="00620C77"/>
    <w:rsid w:val="00620EEA"/>
    <w:rsid w:val="00620FAD"/>
    <w:rsid w:val="0062103B"/>
    <w:rsid w:val="00621087"/>
    <w:rsid w:val="0062110B"/>
    <w:rsid w:val="00621397"/>
    <w:rsid w:val="00621428"/>
    <w:rsid w:val="00621459"/>
    <w:rsid w:val="00621599"/>
    <w:rsid w:val="00621750"/>
    <w:rsid w:val="0062187A"/>
    <w:rsid w:val="006218AD"/>
    <w:rsid w:val="00621968"/>
    <w:rsid w:val="00621BE6"/>
    <w:rsid w:val="00621E45"/>
    <w:rsid w:val="00621F5B"/>
    <w:rsid w:val="00622231"/>
    <w:rsid w:val="0062255F"/>
    <w:rsid w:val="006226BE"/>
    <w:rsid w:val="00622879"/>
    <w:rsid w:val="00622B1A"/>
    <w:rsid w:val="00622C8A"/>
    <w:rsid w:val="00622D11"/>
    <w:rsid w:val="00622D39"/>
    <w:rsid w:val="00622E09"/>
    <w:rsid w:val="006232DB"/>
    <w:rsid w:val="00623405"/>
    <w:rsid w:val="0062347A"/>
    <w:rsid w:val="00623496"/>
    <w:rsid w:val="0062358B"/>
    <w:rsid w:val="0062373E"/>
    <w:rsid w:val="0062384C"/>
    <w:rsid w:val="0062388D"/>
    <w:rsid w:val="006238B0"/>
    <w:rsid w:val="00623983"/>
    <w:rsid w:val="00623A84"/>
    <w:rsid w:val="00623B7F"/>
    <w:rsid w:val="00623B98"/>
    <w:rsid w:val="00624028"/>
    <w:rsid w:val="006240C6"/>
    <w:rsid w:val="006245A0"/>
    <w:rsid w:val="0062469D"/>
    <w:rsid w:val="00624710"/>
    <w:rsid w:val="0062474F"/>
    <w:rsid w:val="006247F2"/>
    <w:rsid w:val="006248AD"/>
    <w:rsid w:val="006248DE"/>
    <w:rsid w:val="00624938"/>
    <w:rsid w:val="0062499B"/>
    <w:rsid w:val="00624AD6"/>
    <w:rsid w:val="00624AE0"/>
    <w:rsid w:val="00624BBF"/>
    <w:rsid w:val="00624C13"/>
    <w:rsid w:val="00624C9B"/>
    <w:rsid w:val="00624DDC"/>
    <w:rsid w:val="00624E47"/>
    <w:rsid w:val="00624E62"/>
    <w:rsid w:val="00624E73"/>
    <w:rsid w:val="00624E74"/>
    <w:rsid w:val="0062507B"/>
    <w:rsid w:val="00625211"/>
    <w:rsid w:val="00625284"/>
    <w:rsid w:val="006252D5"/>
    <w:rsid w:val="00625307"/>
    <w:rsid w:val="00625413"/>
    <w:rsid w:val="0062564D"/>
    <w:rsid w:val="00625825"/>
    <w:rsid w:val="00625988"/>
    <w:rsid w:val="00625B41"/>
    <w:rsid w:val="00625C0E"/>
    <w:rsid w:val="00625CFB"/>
    <w:rsid w:val="00625E32"/>
    <w:rsid w:val="00625EEE"/>
    <w:rsid w:val="0062616C"/>
    <w:rsid w:val="00626272"/>
    <w:rsid w:val="006262FA"/>
    <w:rsid w:val="0062631A"/>
    <w:rsid w:val="006264DA"/>
    <w:rsid w:val="00626575"/>
    <w:rsid w:val="0062661A"/>
    <w:rsid w:val="00626ADA"/>
    <w:rsid w:val="00626BA2"/>
    <w:rsid w:val="00626D32"/>
    <w:rsid w:val="00626D64"/>
    <w:rsid w:val="00626D86"/>
    <w:rsid w:val="00626EF4"/>
    <w:rsid w:val="0062705E"/>
    <w:rsid w:val="00627173"/>
    <w:rsid w:val="00627414"/>
    <w:rsid w:val="00627571"/>
    <w:rsid w:val="006279A0"/>
    <w:rsid w:val="00627ACB"/>
    <w:rsid w:val="00627B81"/>
    <w:rsid w:val="00627CC1"/>
    <w:rsid w:val="00627F4F"/>
    <w:rsid w:val="00630067"/>
    <w:rsid w:val="00630368"/>
    <w:rsid w:val="00630467"/>
    <w:rsid w:val="006304B8"/>
    <w:rsid w:val="00630556"/>
    <w:rsid w:val="00630650"/>
    <w:rsid w:val="00630906"/>
    <w:rsid w:val="00630908"/>
    <w:rsid w:val="00630982"/>
    <w:rsid w:val="00630C29"/>
    <w:rsid w:val="00630FEE"/>
    <w:rsid w:val="0063124D"/>
    <w:rsid w:val="00631903"/>
    <w:rsid w:val="006319E9"/>
    <w:rsid w:val="00631A8A"/>
    <w:rsid w:val="00631BE0"/>
    <w:rsid w:val="00631C0D"/>
    <w:rsid w:val="00631D29"/>
    <w:rsid w:val="00631D90"/>
    <w:rsid w:val="00631F47"/>
    <w:rsid w:val="00632006"/>
    <w:rsid w:val="00632110"/>
    <w:rsid w:val="006321DE"/>
    <w:rsid w:val="00632222"/>
    <w:rsid w:val="006323A5"/>
    <w:rsid w:val="00632590"/>
    <w:rsid w:val="00632648"/>
    <w:rsid w:val="006326CB"/>
    <w:rsid w:val="006326EB"/>
    <w:rsid w:val="00632725"/>
    <w:rsid w:val="006328FC"/>
    <w:rsid w:val="00632BF2"/>
    <w:rsid w:val="00632DAB"/>
    <w:rsid w:val="00632DB7"/>
    <w:rsid w:val="006330F7"/>
    <w:rsid w:val="006332EA"/>
    <w:rsid w:val="0063333B"/>
    <w:rsid w:val="0063349F"/>
    <w:rsid w:val="0063352A"/>
    <w:rsid w:val="00633624"/>
    <w:rsid w:val="00633709"/>
    <w:rsid w:val="00633826"/>
    <w:rsid w:val="00633A80"/>
    <w:rsid w:val="00633D03"/>
    <w:rsid w:val="00633DAB"/>
    <w:rsid w:val="00633E8B"/>
    <w:rsid w:val="00633F20"/>
    <w:rsid w:val="00633F35"/>
    <w:rsid w:val="006342BF"/>
    <w:rsid w:val="0063447D"/>
    <w:rsid w:val="006344C0"/>
    <w:rsid w:val="0063460B"/>
    <w:rsid w:val="00634639"/>
    <w:rsid w:val="00634693"/>
    <w:rsid w:val="0063472C"/>
    <w:rsid w:val="00634782"/>
    <w:rsid w:val="00634A57"/>
    <w:rsid w:val="00634C5F"/>
    <w:rsid w:val="00634D42"/>
    <w:rsid w:val="00634D67"/>
    <w:rsid w:val="00634DCB"/>
    <w:rsid w:val="00634EE6"/>
    <w:rsid w:val="006350F7"/>
    <w:rsid w:val="00635161"/>
    <w:rsid w:val="006354A4"/>
    <w:rsid w:val="0063578B"/>
    <w:rsid w:val="006357FA"/>
    <w:rsid w:val="006359C4"/>
    <w:rsid w:val="00635B6D"/>
    <w:rsid w:val="00635B81"/>
    <w:rsid w:val="00635BE0"/>
    <w:rsid w:val="00635BF5"/>
    <w:rsid w:val="00635CA2"/>
    <w:rsid w:val="00635E0E"/>
    <w:rsid w:val="00635E51"/>
    <w:rsid w:val="006361B9"/>
    <w:rsid w:val="006362CE"/>
    <w:rsid w:val="00636860"/>
    <w:rsid w:val="006368AB"/>
    <w:rsid w:val="00636955"/>
    <w:rsid w:val="00636960"/>
    <w:rsid w:val="006369BE"/>
    <w:rsid w:val="006369BF"/>
    <w:rsid w:val="00636A4A"/>
    <w:rsid w:val="00636AD9"/>
    <w:rsid w:val="00636CF3"/>
    <w:rsid w:val="00636D5C"/>
    <w:rsid w:val="00636EB7"/>
    <w:rsid w:val="006370AE"/>
    <w:rsid w:val="00637291"/>
    <w:rsid w:val="006374D8"/>
    <w:rsid w:val="0063751F"/>
    <w:rsid w:val="006378E8"/>
    <w:rsid w:val="00637974"/>
    <w:rsid w:val="00637AC1"/>
    <w:rsid w:val="00637AF9"/>
    <w:rsid w:val="00637B26"/>
    <w:rsid w:val="00637BF0"/>
    <w:rsid w:val="00637E57"/>
    <w:rsid w:val="00637EA7"/>
    <w:rsid w:val="006400D2"/>
    <w:rsid w:val="0064028A"/>
    <w:rsid w:val="0064029E"/>
    <w:rsid w:val="00640334"/>
    <w:rsid w:val="00640419"/>
    <w:rsid w:val="00640567"/>
    <w:rsid w:val="00640607"/>
    <w:rsid w:val="00640A06"/>
    <w:rsid w:val="00640C29"/>
    <w:rsid w:val="00640C6B"/>
    <w:rsid w:val="00641195"/>
    <w:rsid w:val="00641509"/>
    <w:rsid w:val="006415AD"/>
    <w:rsid w:val="0064182E"/>
    <w:rsid w:val="00641B4E"/>
    <w:rsid w:val="00641B6D"/>
    <w:rsid w:val="00641D30"/>
    <w:rsid w:val="00641F89"/>
    <w:rsid w:val="006425DB"/>
    <w:rsid w:val="00642615"/>
    <w:rsid w:val="0064268F"/>
    <w:rsid w:val="00642C9A"/>
    <w:rsid w:val="00642CC6"/>
    <w:rsid w:val="0064300E"/>
    <w:rsid w:val="00643219"/>
    <w:rsid w:val="0064352B"/>
    <w:rsid w:val="00643762"/>
    <w:rsid w:val="0064394F"/>
    <w:rsid w:val="00643A12"/>
    <w:rsid w:val="00643C1B"/>
    <w:rsid w:val="00643C1C"/>
    <w:rsid w:val="00643C3B"/>
    <w:rsid w:val="00643D77"/>
    <w:rsid w:val="00643D89"/>
    <w:rsid w:val="00643DF1"/>
    <w:rsid w:val="00643EE1"/>
    <w:rsid w:val="00643FA4"/>
    <w:rsid w:val="006441CC"/>
    <w:rsid w:val="00644256"/>
    <w:rsid w:val="0064428E"/>
    <w:rsid w:val="0064450D"/>
    <w:rsid w:val="00644688"/>
    <w:rsid w:val="0064469A"/>
    <w:rsid w:val="006446F9"/>
    <w:rsid w:val="00644802"/>
    <w:rsid w:val="0064482D"/>
    <w:rsid w:val="0064496C"/>
    <w:rsid w:val="00644977"/>
    <w:rsid w:val="00644C1D"/>
    <w:rsid w:val="00644DB8"/>
    <w:rsid w:val="0064501F"/>
    <w:rsid w:val="0064502B"/>
    <w:rsid w:val="00645221"/>
    <w:rsid w:val="006453FA"/>
    <w:rsid w:val="00645904"/>
    <w:rsid w:val="00645960"/>
    <w:rsid w:val="00645CE2"/>
    <w:rsid w:val="00645DEE"/>
    <w:rsid w:val="006461E9"/>
    <w:rsid w:val="00646338"/>
    <w:rsid w:val="006466B6"/>
    <w:rsid w:val="00646946"/>
    <w:rsid w:val="0064694F"/>
    <w:rsid w:val="00646A15"/>
    <w:rsid w:val="00646B00"/>
    <w:rsid w:val="00646B0E"/>
    <w:rsid w:val="00646C0D"/>
    <w:rsid w:val="00646DEB"/>
    <w:rsid w:val="00647168"/>
    <w:rsid w:val="00647258"/>
    <w:rsid w:val="00647289"/>
    <w:rsid w:val="006472E6"/>
    <w:rsid w:val="006473FE"/>
    <w:rsid w:val="006475C1"/>
    <w:rsid w:val="00647720"/>
    <w:rsid w:val="0064774F"/>
    <w:rsid w:val="00647896"/>
    <w:rsid w:val="006478A7"/>
    <w:rsid w:val="00647A0C"/>
    <w:rsid w:val="00647C81"/>
    <w:rsid w:val="00647C83"/>
    <w:rsid w:val="00647ED3"/>
    <w:rsid w:val="0064BEE4"/>
    <w:rsid w:val="0064E08B"/>
    <w:rsid w:val="006500B4"/>
    <w:rsid w:val="00650317"/>
    <w:rsid w:val="00650406"/>
    <w:rsid w:val="006506E7"/>
    <w:rsid w:val="006506FF"/>
    <w:rsid w:val="006507BE"/>
    <w:rsid w:val="0065086E"/>
    <w:rsid w:val="00650883"/>
    <w:rsid w:val="00650A00"/>
    <w:rsid w:val="00650A77"/>
    <w:rsid w:val="00650BC5"/>
    <w:rsid w:val="00650CB9"/>
    <w:rsid w:val="00650F05"/>
    <w:rsid w:val="00651586"/>
    <w:rsid w:val="0065196B"/>
    <w:rsid w:val="00651A6B"/>
    <w:rsid w:val="00651AAA"/>
    <w:rsid w:val="00651C27"/>
    <w:rsid w:val="00651CF8"/>
    <w:rsid w:val="00651E08"/>
    <w:rsid w:val="00651E0C"/>
    <w:rsid w:val="00651EB7"/>
    <w:rsid w:val="00652390"/>
    <w:rsid w:val="00652486"/>
    <w:rsid w:val="0065258C"/>
    <w:rsid w:val="00652763"/>
    <w:rsid w:val="0065279B"/>
    <w:rsid w:val="00652814"/>
    <w:rsid w:val="00652958"/>
    <w:rsid w:val="006529D9"/>
    <w:rsid w:val="00652BED"/>
    <w:rsid w:val="00652CBD"/>
    <w:rsid w:val="00652CFA"/>
    <w:rsid w:val="00652F1D"/>
    <w:rsid w:val="00653317"/>
    <w:rsid w:val="00653393"/>
    <w:rsid w:val="00653451"/>
    <w:rsid w:val="00653585"/>
    <w:rsid w:val="00653713"/>
    <w:rsid w:val="00653770"/>
    <w:rsid w:val="00653925"/>
    <w:rsid w:val="00653AC0"/>
    <w:rsid w:val="00653B22"/>
    <w:rsid w:val="00653B4D"/>
    <w:rsid w:val="00653B9F"/>
    <w:rsid w:val="00653C08"/>
    <w:rsid w:val="00653D61"/>
    <w:rsid w:val="00653D7C"/>
    <w:rsid w:val="00653DA7"/>
    <w:rsid w:val="006542B5"/>
    <w:rsid w:val="0065460F"/>
    <w:rsid w:val="00654CBC"/>
    <w:rsid w:val="00654CC6"/>
    <w:rsid w:val="00654E35"/>
    <w:rsid w:val="00654ED8"/>
    <w:rsid w:val="00654EF2"/>
    <w:rsid w:val="00654F1B"/>
    <w:rsid w:val="00654FEA"/>
    <w:rsid w:val="00655107"/>
    <w:rsid w:val="00655152"/>
    <w:rsid w:val="00655417"/>
    <w:rsid w:val="00655488"/>
    <w:rsid w:val="006555A5"/>
    <w:rsid w:val="006555AA"/>
    <w:rsid w:val="00655B2C"/>
    <w:rsid w:val="00655CE0"/>
    <w:rsid w:val="00655D5B"/>
    <w:rsid w:val="00655D8D"/>
    <w:rsid w:val="00655EA3"/>
    <w:rsid w:val="00655FAF"/>
    <w:rsid w:val="00656123"/>
    <w:rsid w:val="00656326"/>
    <w:rsid w:val="00656334"/>
    <w:rsid w:val="00656678"/>
    <w:rsid w:val="006566A3"/>
    <w:rsid w:val="00656821"/>
    <w:rsid w:val="00656975"/>
    <w:rsid w:val="00656C5A"/>
    <w:rsid w:val="0065706E"/>
    <w:rsid w:val="006572EE"/>
    <w:rsid w:val="00657368"/>
    <w:rsid w:val="00657389"/>
    <w:rsid w:val="0065752C"/>
    <w:rsid w:val="0065753C"/>
    <w:rsid w:val="00657628"/>
    <w:rsid w:val="00657634"/>
    <w:rsid w:val="00657BB2"/>
    <w:rsid w:val="00657BD3"/>
    <w:rsid w:val="0066006E"/>
    <w:rsid w:val="006602E1"/>
    <w:rsid w:val="006603C3"/>
    <w:rsid w:val="00660423"/>
    <w:rsid w:val="0066065C"/>
    <w:rsid w:val="0066068D"/>
    <w:rsid w:val="0066074A"/>
    <w:rsid w:val="00660BAC"/>
    <w:rsid w:val="00660D41"/>
    <w:rsid w:val="00660F6E"/>
    <w:rsid w:val="0066114D"/>
    <w:rsid w:val="0066116F"/>
    <w:rsid w:val="006612EE"/>
    <w:rsid w:val="00661687"/>
    <w:rsid w:val="006616F6"/>
    <w:rsid w:val="00661743"/>
    <w:rsid w:val="00661987"/>
    <w:rsid w:val="00661B27"/>
    <w:rsid w:val="00661CD3"/>
    <w:rsid w:val="00661D88"/>
    <w:rsid w:val="00661FB5"/>
    <w:rsid w:val="00661FE6"/>
    <w:rsid w:val="00662048"/>
    <w:rsid w:val="006620E5"/>
    <w:rsid w:val="006621A4"/>
    <w:rsid w:val="0066222C"/>
    <w:rsid w:val="0066232E"/>
    <w:rsid w:val="006623CA"/>
    <w:rsid w:val="006624A1"/>
    <w:rsid w:val="0066270C"/>
    <w:rsid w:val="00662774"/>
    <w:rsid w:val="0066288E"/>
    <w:rsid w:val="00662940"/>
    <w:rsid w:val="00662C59"/>
    <w:rsid w:val="00662DFC"/>
    <w:rsid w:val="00662EB1"/>
    <w:rsid w:val="006631B5"/>
    <w:rsid w:val="006631F4"/>
    <w:rsid w:val="00663460"/>
    <w:rsid w:val="00663753"/>
    <w:rsid w:val="0066382E"/>
    <w:rsid w:val="006638AF"/>
    <w:rsid w:val="00663978"/>
    <w:rsid w:val="006639AF"/>
    <w:rsid w:val="00663BCB"/>
    <w:rsid w:val="00663BEB"/>
    <w:rsid w:val="00663C2A"/>
    <w:rsid w:val="00663C31"/>
    <w:rsid w:val="00663CB5"/>
    <w:rsid w:val="00663ECE"/>
    <w:rsid w:val="00663F6D"/>
    <w:rsid w:val="00664024"/>
    <w:rsid w:val="0066405E"/>
    <w:rsid w:val="006640AA"/>
    <w:rsid w:val="006645CD"/>
    <w:rsid w:val="00664718"/>
    <w:rsid w:val="00664987"/>
    <w:rsid w:val="006649E4"/>
    <w:rsid w:val="00664B22"/>
    <w:rsid w:val="00664B64"/>
    <w:rsid w:val="00664C02"/>
    <w:rsid w:val="00664EA0"/>
    <w:rsid w:val="00664F06"/>
    <w:rsid w:val="0066500A"/>
    <w:rsid w:val="006650A9"/>
    <w:rsid w:val="006650B2"/>
    <w:rsid w:val="006650CA"/>
    <w:rsid w:val="006650D8"/>
    <w:rsid w:val="00665136"/>
    <w:rsid w:val="00665196"/>
    <w:rsid w:val="006652C8"/>
    <w:rsid w:val="00665514"/>
    <w:rsid w:val="0066558C"/>
    <w:rsid w:val="00665610"/>
    <w:rsid w:val="006657B6"/>
    <w:rsid w:val="0066594F"/>
    <w:rsid w:val="00665B04"/>
    <w:rsid w:val="00665BC3"/>
    <w:rsid w:val="00665ED8"/>
    <w:rsid w:val="00665F58"/>
    <w:rsid w:val="00666071"/>
    <w:rsid w:val="0066614E"/>
    <w:rsid w:val="006664C9"/>
    <w:rsid w:val="00666670"/>
    <w:rsid w:val="00666790"/>
    <w:rsid w:val="006667F0"/>
    <w:rsid w:val="00666926"/>
    <w:rsid w:val="00666A2D"/>
    <w:rsid w:val="00666BE7"/>
    <w:rsid w:val="00666E06"/>
    <w:rsid w:val="00666F43"/>
    <w:rsid w:val="006671B2"/>
    <w:rsid w:val="006673ED"/>
    <w:rsid w:val="00667718"/>
    <w:rsid w:val="006677E7"/>
    <w:rsid w:val="0066787A"/>
    <w:rsid w:val="006678E4"/>
    <w:rsid w:val="006678F4"/>
    <w:rsid w:val="00667A70"/>
    <w:rsid w:val="00667AD8"/>
    <w:rsid w:val="006703E2"/>
    <w:rsid w:val="0067065F"/>
    <w:rsid w:val="006706B7"/>
    <w:rsid w:val="00670C89"/>
    <w:rsid w:val="00670D87"/>
    <w:rsid w:val="00670F59"/>
    <w:rsid w:val="00671043"/>
    <w:rsid w:val="0067121B"/>
    <w:rsid w:val="006712A7"/>
    <w:rsid w:val="006712FC"/>
    <w:rsid w:val="0067145E"/>
    <w:rsid w:val="006715D2"/>
    <w:rsid w:val="006715F8"/>
    <w:rsid w:val="00671626"/>
    <w:rsid w:val="0067175E"/>
    <w:rsid w:val="00671943"/>
    <w:rsid w:val="006719E7"/>
    <w:rsid w:val="00671AE2"/>
    <w:rsid w:val="00671BD0"/>
    <w:rsid w:val="00671D50"/>
    <w:rsid w:val="006720C4"/>
    <w:rsid w:val="006725C5"/>
    <w:rsid w:val="00672630"/>
    <w:rsid w:val="00672790"/>
    <w:rsid w:val="00672C7D"/>
    <w:rsid w:val="00672EBC"/>
    <w:rsid w:val="00673070"/>
    <w:rsid w:val="006730B4"/>
    <w:rsid w:val="00673242"/>
    <w:rsid w:val="00673256"/>
    <w:rsid w:val="006732C2"/>
    <w:rsid w:val="0067354E"/>
    <w:rsid w:val="006739BD"/>
    <w:rsid w:val="00673B19"/>
    <w:rsid w:val="00673B3C"/>
    <w:rsid w:val="00674143"/>
    <w:rsid w:val="0067474D"/>
    <w:rsid w:val="006747D8"/>
    <w:rsid w:val="006747E1"/>
    <w:rsid w:val="00674865"/>
    <w:rsid w:val="00674961"/>
    <w:rsid w:val="00674CBA"/>
    <w:rsid w:val="00674CCB"/>
    <w:rsid w:val="00674DB7"/>
    <w:rsid w:val="00674ECA"/>
    <w:rsid w:val="00674EEC"/>
    <w:rsid w:val="00674F07"/>
    <w:rsid w:val="00674F57"/>
    <w:rsid w:val="006750C1"/>
    <w:rsid w:val="00675682"/>
    <w:rsid w:val="0067581D"/>
    <w:rsid w:val="00675839"/>
    <w:rsid w:val="00675892"/>
    <w:rsid w:val="00675B46"/>
    <w:rsid w:val="00675B62"/>
    <w:rsid w:val="00675B6F"/>
    <w:rsid w:val="00675C80"/>
    <w:rsid w:val="00675CFC"/>
    <w:rsid w:val="00675D1A"/>
    <w:rsid w:val="00675F76"/>
    <w:rsid w:val="006761E4"/>
    <w:rsid w:val="006761F6"/>
    <w:rsid w:val="006766C5"/>
    <w:rsid w:val="006767E3"/>
    <w:rsid w:val="006768F0"/>
    <w:rsid w:val="006769F2"/>
    <w:rsid w:val="00676FE8"/>
    <w:rsid w:val="00677001"/>
    <w:rsid w:val="0067700A"/>
    <w:rsid w:val="00677091"/>
    <w:rsid w:val="00677216"/>
    <w:rsid w:val="0067725D"/>
    <w:rsid w:val="0067738F"/>
    <w:rsid w:val="00677513"/>
    <w:rsid w:val="0067756F"/>
    <w:rsid w:val="006776A2"/>
    <w:rsid w:val="006776D8"/>
    <w:rsid w:val="006777A8"/>
    <w:rsid w:val="006778A9"/>
    <w:rsid w:val="0067790D"/>
    <w:rsid w:val="00677962"/>
    <w:rsid w:val="00677998"/>
    <w:rsid w:val="00677B68"/>
    <w:rsid w:val="00677BC4"/>
    <w:rsid w:val="00677BFD"/>
    <w:rsid w:val="00677C61"/>
    <w:rsid w:val="00677CB5"/>
    <w:rsid w:val="00677F27"/>
    <w:rsid w:val="00677F36"/>
    <w:rsid w:val="00677FBE"/>
    <w:rsid w:val="006800FC"/>
    <w:rsid w:val="00680551"/>
    <w:rsid w:val="00680631"/>
    <w:rsid w:val="0068065B"/>
    <w:rsid w:val="006806EE"/>
    <w:rsid w:val="006808FF"/>
    <w:rsid w:val="0068099D"/>
    <w:rsid w:val="00680A34"/>
    <w:rsid w:val="00680B47"/>
    <w:rsid w:val="00680D27"/>
    <w:rsid w:val="00680D43"/>
    <w:rsid w:val="00680DA7"/>
    <w:rsid w:val="00680DDB"/>
    <w:rsid w:val="00680E2C"/>
    <w:rsid w:val="0068107E"/>
    <w:rsid w:val="006810DB"/>
    <w:rsid w:val="0068131D"/>
    <w:rsid w:val="006814C6"/>
    <w:rsid w:val="006815E6"/>
    <w:rsid w:val="006815FE"/>
    <w:rsid w:val="0068161E"/>
    <w:rsid w:val="0068172A"/>
    <w:rsid w:val="00681763"/>
    <w:rsid w:val="00681815"/>
    <w:rsid w:val="0068185A"/>
    <w:rsid w:val="0068194B"/>
    <w:rsid w:val="00681A71"/>
    <w:rsid w:val="00681CFF"/>
    <w:rsid w:val="00681D98"/>
    <w:rsid w:val="00681E25"/>
    <w:rsid w:val="00682288"/>
    <w:rsid w:val="00682416"/>
    <w:rsid w:val="0068241B"/>
    <w:rsid w:val="0068242C"/>
    <w:rsid w:val="006824B5"/>
    <w:rsid w:val="006827E1"/>
    <w:rsid w:val="006828E0"/>
    <w:rsid w:val="00682A57"/>
    <w:rsid w:val="00682C74"/>
    <w:rsid w:val="00682E4E"/>
    <w:rsid w:val="00683163"/>
    <w:rsid w:val="00683227"/>
    <w:rsid w:val="006836C2"/>
    <w:rsid w:val="0068376D"/>
    <w:rsid w:val="00683824"/>
    <w:rsid w:val="00683C40"/>
    <w:rsid w:val="00683C4D"/>
    <w:rsid w:val="00683F12"/>
    <w:rsid w:val="00683F69"/>
    <w:rsid w:val="006842F5"/>
    <w:rsid w:val="0068430B"/>
    <w:rsid w:val="006843E1"/>
    <w:rsid w:val="0068460E"/>
    <w:rsid w:val="0068465C"/>
    <w:rsid w:val="006846D3"/>
    <w:rsid w:val="00684779"/>
    <w:rsid w:val="0068486C"/>
    <w:rsid w:val="00684D4C"/>
    <w:rsid w:val="00684E27"/>
    <w:rsid w:val="0068503F"/>
    <w:rsid w:val="0068523A"/>
    <w:rsid w:val="0068528D"/>
    <w:rsid w:val="0068532C"/>
    <w:rsid w:val="006853EE"/>
    <w:rsid w:val="006854D9"/>
    <w:rsid w:val="00685554"/>
    <w:rsid w:val="006855A3"/>
    <w:rsid w:val="00685738"/>
    <w:rsid w:val="006858D6"/>
    <w:rsid w:val="00685ACA"/>
    <w:rsid w:val="0068602A"/>
    <w:rsid w:val="0068602D"/>
    <w:rsid w:val="0068619B"/>
    <w:rsid w:val="0068629B"/>
    <w:rsid w:val="0068656E"/>
    <w:rsid w:val="006865D3"/>
    <w:rsid w:val="00686917"/>
    <w:rsid w:val="00686998"/>
    <w:rsid w:val="006869EC"/>
    <w:rsid w:val="00686C33"/>
    <w:rsid w:val="00686D71"/>
    <w:rsid w:val="00686F58"/>
    <w:rsid w:val="0068729E"/>
    <w:rsid w:val="00687611"/>
    <w:rsid w:val="00687A51"/>
    <w:rsid w:val="00687AC3"/>
    <w:rsid w:val="00687CDD"/>
    <w:rsid w:val="00690030"/>
    <w:rsid w:val="006900B6"/>
    <w:rsid w:val="006902FB"/>
    <w:rsid w:val="0069045D"/>
    <w:rsid w:val="0069047B"/>
    <w:rsid w:val="006904A0"/>
    <w:rsid w:val="006904C1"/>
    <w:rsid w:val="006904E6"/>
    <w:rsid w:val="0069060E"/>
    <w:rsid w:val="00690700"/>
    <w:rsid w:val="0069075B"/>
    <w:rsid w:val="006907EC"/>
    <w:rsid w:val="006909BC"/>
    <w:rsid w:val="00690A4F"/>
    <w:rsid w:val="00690AC9"/>
    <w:rsid w:val="00690BD3"/>
    <w:rsid w:val="00690C7B"/>
    <w:rsid w:val="00690D97"/>
    <w:rsid w:val="00690E7A"/>
    <w:rsid w:val="00690EF5"/>
    <w:rsid w:val="00690F49"/>
    <w:rsid w:val="00690FBF"/>
    <w:rsid w:val="0069126A"/>
    <w:rsid w:val="00691362"/>
    <w:rsid w:val="0069140E"/>
    <w:rsid w:val="006914E6"/>
    <w:rsid w:val="00691785"/>
    <w:rsid w:val="00691A12"/>
    <w:rsid w:val="00691AF3"/>
    <w:rsid w:val="00691F65"/>
    <w:rsid w:val="006921FA"/>
    <w:rsid w:val="00692401"/>
    <w:rsid w:val="0069277D"/>
    <w:rsid w:val="006927A6"/>
    <w:rsid w:val="006927AC"/>
    <w:rsid w:val="006927B6"/>
    <w:rsid w:val="006928F2"/>
    <w:rsid w:val="00692945"/>
    <w:rsid w:val="00692A9C"/>
    <w:rsid w:val="00692BF0"/>
    <w:rsid w:val="00692D91"/>
    <w:rsid w:val="00692F79"/>
    <w:rsid w:val="006931BA"/>
    <w:rsid w:val="00693242"/>
    <w:rsid w:val="006937BE"/>
    <w:rsid w:val="00693833"/>
    <w:rsid w:val="0069399B"/>
    <w:rsid w:val="00693CC3"/>
    <w:rsid w:val="0069418F"/>
    <w:rsid w:val="00694263"/>
    <w:rsid w:val="006942D2"/>
    <w:rsid w:val="0069435F"/>
    <w:rsid w:val="0069442A"/>
    <w:rsid w:val="006944CA"/>
    <w:rsid w:val="00694A4B"/>
    <w:rsid w:val="00694B74"/>
    <w:rsid w:val="00694BF2"/>
    <w:rsid w:val="00694C48"/>
    <w:rsid w:val="00694D82"/>
    <w:rsid w:val="00695031"/>
    <w:rsid w:val="006950F3"/>
    <w:rsid w:val="006951D3"/>
    <w:rsid w:val="006952A8"/>
    <w:rsid w:val="00695459"/>
    <w:rsid w:val="0069547B"/>
    <w:rsid w:val="00695575"/>
    <w:rsid w:val="00695838"/>
    <w:rsid w:val="006958F0"/>
    <w:rsid w:val="00695980"/>
    <w:rsid w:val="00695BF9"/>
    <w:rsid w:val="00695C77"/>
    <w:rsid w:val="00695D08"/>
    <w:rsid w:val="00695D68"/>
    <w:rsid w:val="00695FFB"/>
    <w:rsid w:val="0069621A"/>
    <w:rsid w:val="006962D6"/>
    <w:rsid w:val="00696312"/>
    <w:rsid w:val="0069650A"/>
    <w:rsid w:val="00696E23"/>
    <w:rsid w:val="00696F38"/>
    <w:rsid w:val="00697125"/>
    <w:rsid w:val="006972C8"/>
    <w:rsid w:val="006974FC"/>
    <w:rsid w:val="0069755A"/>
    <w:rsid w:val="006975D4"/>
    <w:rsid w:val="00697603"/>
    <w:rsid w:val="00697622"/>
    <w:rsid w:val="0069779D"/>
    <w:rsid w:val="006977E8"/>
    <w:rsid w:val="006979EF"/>
    <w:rsid w:val="006979FA"/>
    <w:rsid w:val="00697B6F"/>
    <w:rsid w:val="00697D7A"/>
    <w:rsid w:val="00697DFF"/>
    <w:rsid w:val="00697F78"/>
    <w:rsid w:val="00698B2B"/>
    <w:rsid w:val="006A068A"/>
    <w:rsid w:val="006A06CD"/>
    <w:rsid w:val="006A070E"/>
    <w:rsid w:val="006A099F"/>
    <w:rsid w:val="006A0A20"/>
    <w:rsid w:val="006A0A4D"/>
    <w:rsid w:val="006A0B79"/>
    <w:rsid w:val="006A0CDD"/>
    <w:rsid w:val="006A0DB9"/>
    <w:rsid w:val="006A0F3E"/>
    <w:rsid w:val="006A1039"/>
    <w:rsid w:val="006A12D2"/>
    <w:rsid w:val="006A14EB"/>
    <w:rsid w:val="006A1A7F"/>
    <w:rsid w:val="006A1AD9"/>
    <w:rsid w:val="006A1B2F"/>
    <w:rsid w:val="006A1EF6"/>
    <w:rsid w:val="006A1F71"/>
    <w:rsid w:val="006A1FA1"/>
    <w:rsid w:val="006A2074"/>
    <w:rsid w:val="006A20D0"/>
    <w:rsid w:val="006A21A9"/>
    <w:rsid w:val="006A22CC"/>
    <w:rsid w:val="006A2572"/>
    <w:rsid w:val="006A25F0"/>
    <w:rsid w:val="006A262A"/>
    <w:rsid w:val="006A268C"/>
    <w:rsid w:val="006A2895"/>
    <w:rsid w:val="006A2B75"/>
    <w:rsid w:val="006A2B93"/>
    <w:rsid w:val="006A2CA3"/>
    <w:rsid w:val="006A2F66"/>
    <w:rsid w:val="006A3103"/>
    <w:rsid w:val="006A3224"/>
    <w:rsid w:val="006A332F"/>
    <w:rsid w:val="006A34D8"/>
    <w:rsid w:val="006A361C"/>
    <w:rsid w:val="006A38C6"/>
    <w:rsid w:val="006A3A0E"/>
    <w:rsid w:val="006A3BB1"/>
    <w:rsid w:val="006A3C49"/>
    <w:rsid w:val="006A3F0A"/>
    <w:rsid w:val="006A41AF"/>
    <w:rsid w:val="006A41DA"/>
    <w:rsid w:val="006A4325"/>
    <w:rsid w:val="006A4558"/>
    <w:rsid w:val="006A45C3"/>
    <w:rsid w:val="006A4658"/>
    <w:rsid w:val="006A4750"/>
    <w:rsid w:val="006A4760"/>
    <w:rsid w:val="006A47CC"/>
    <w:rsid w:val="006A4999"/>
    <w:rsid w:val="006A49CE"/>
    <w:rsid w:val="006A4AA9"/>
    <w:rsid w:val="006A4DC6"/>
    <w:rsid w:val="006A4F36"/>
    <w:rsid w:val="006A4F44"/>
    <w:rsid w:val="006A4FAC"/>
    <w:rsid w:val="006A5140"/>
    <w:rsid w:val="006A514A"/>
    <w:rsid w:val="006A514B"/>
    <w:rsid w:val="006A51E2"/>
    <w:rsid w:val="006A5387"/>
    <w:rsid w:val="006A567A"/>
    <w:rsid w:val="006A5932"/>
    <w:rsid w:val="006A5A0B"/>
    <w:rsid w:val="006A5BE2"/>
    <w:rsid w:val="006A5C03"/>
    <w:rsid w:val="006A5EA8"/>
    <w:rsid w:val="006A5F57"/>
    <w:rsid w:val="006A60C1"/>
    <w:rsid w:val="006A644F"/>
    <w:rsid w:val="006A6671"/>
    <w:rsid w:val="006A66A7"/>
    <w:rsid w:val="006A66EC"/>
    <w:rsid w:val="006A6A01"/>
    <w:rsid w:val="006A6B0F"/>
    <w:rsid w:val="006A6B5C"/>
    <w:rsid w:val="006A6C59"/>
    <w:rsid w:val="006A6C83"/>
    <w:rsid w:val="006A6E05"/>
    <w:rsid w:val="006A6E8B"/>
    <w:rsid w:val="006A6E9F"/>
    <w:rsid w:val="006A6ED2"/>
    <w:rsid w:val="006A716E"/>
    <w:rsid w:val="006A7464"/>
    <w:rsid w:val="006A776F"/>
    <w:rsid w:val="006A77B6"/>
    <w:rsid w:val="006A77ED"/>
    <w:rsid w:val="006A78A4"/>
    <w:rsid w:val="006A78F4"/>
    <w:rsid w:val="006A79C3"/>
    <w:rsid w:val="006A7A74"/>
    <w:rsid w:val="006A7AE4"/>
    <w:rsid w:val="006B0006"/>
    <w:rsid w:val="006B00B8"/>
    <w:rsid w:val="006B01ED"/>
    <w:rsid w:val="006B03A1"/>
    <w:rsid w:val="006B09BA"/>
    <w:rsid w:val="006B0DD1"/>
    <w:rsid w:val="006B1109"/>
    <w:rsid w:val="006B17AD"/>
    <w:rsid w:val="006B17DD"/>
    <w:rsid w:val="006B1AE9"/>
    <w:rsid w:val="006B1BEA"/>
    <w:rsid w:val="006B1C00"/>
    <w:rsid w:val="006B1C22"/>
    <w:rsid w:val="006B1D2D"/>
    <w:rsid w:val="006B1F7E"/>
    <w:rsid w:val="006B2709"/>
    <w:rsid w:val="006B283C"/>
    <w:rsid w:val="006B2913"/>
    <w:rsid w:val="006B2A5C"/>
    <w:rsid w:val="006B2AD6"/>
    <w:rsid w:val="006B2B0D"/>
    <w:rsid w:val="006B2C6B"/>
    <w:rsid w:val="006B2CB5"/>
    <w:rsid w:val="006B2E00"/>
    <w:rsid w:val="006B2E2A"/>
    <w:rsid w:val="006B3104"/>
    <w:rsid w:val="006B32D4"/>
    <w:rsid w:val="006B3317"/>
    <w:rsid w:val="006B35BB"/>
    <w:rsid w:val="006B36CC"/>
    <w:rsid w:val="006B3799"/>
    <w:rsid w:val="006B3A35"/>
    <w:rsid w:val="006B3B77"/>
    <w:rsid w:val="006B3D53"/>
    <w:rsid w:val="006B3F7F"/>
    <w:rsid w:val="006B401C"/>
    <w:rsid w:val="006B4441"/>
    <w:rsid w:val="006B4486"/>
    <w:rsid w:val="006B45C3"/>
    <w:rsid w:val="006B46B7"/>
    <w:rsid w:val="006B4926"/>
    <w:rsid w:val="006B4944"/>
    <w:rsid w:val="006B4A58"/>
    <w:rsid w:val="006B4A72"/>
    <w:rsid w:val="006B5060"/>
    <w:rsid w:val="006B5122"/>
    <w:rsid w:val="006B515B"/>
    <w:rsid w:val="006B51C5"/>
    <w:rsid w:val="006B51DD"/>
    <w:rsid w:val="006B53BA"/>
    <w:rsid w:val="006B54E2"/>
    <w:rsid w:val="006B568F"/>
    <w:rsid w:val="006B5694"/>
    <w:rsid w:val="006B5956"/>
    <w:rsid w:val="006B5B20"/>
    <w:rsid w:val="006B5C36"/>
    <w:rsid w:val="006B64C9"/>
    <w:rsid w:val="006B6516"/>
    <w:rsid w:val="006B662A"/>
    <w:rsid w:val="006B666E"/>
    <w:rsid w:val="006B6913"/>
    <w:rsid w:val="006B6A33"/>
    <w:rsid w:val="006B6B0E"/>
    <w:rsid w:val="006B6BC3"/>
    <w:rsid w:val="006B6CDA"/>
    <w:rsid w:val="006B6D1E"/>
    <w:rsid w:val="006B71D0"/>
    <w:rsid w:val="006B7378"/>
    <w:rsid w:val="006B74CD"/>
    <w:rsid w:val="006B7533"/>
    <w:rsid w:val="006B75A4"/>
    <w:rsid w:val="006B76F5"/>
    <w:rsid w:val="006B76FD"/>
    <w:rsid w:val="006B771C"/>
    <w:rsid w:val="006B7C04"/>
    <w:rsid w:val="006B7FF6"/>
    <w:rsid w:val="006C0032"/>
    <w:rsid w:val="006C0091"/>
    <w:rsid w:val="006C00BE"/>
    <w:rsid w:val="006C049D"/>
    <w:rsid w:val="006C075C"/>
    <w:rsid w:val="006C0923"/>
    <w:rsid w:val="006C0953"/>
    <w:rsid w:val="006C0D1F"/>
    <w:rsid w:val="006C0E33"/>
    <w:rsid w:val="006C0F64"/>
    <w:rsid w:val="006C0FAD"/>
    <w:rsid w:val="006C126A"/>
    <w:rsid w:val="006C1500"/>
    <w:rsid w:val="006C1507"/>
    <w:rsid w:val="006C1568"/>
    <w:rsid w:val="006C17C9"/>
    <w:rsid w:val="006C186C"/>
    <w:rsid w:val="006C19E2"/>
    <w:rsid w:val="006C1A00"/>
    <w:rsid w:val="006C1A35"/>
    <w:rsid w:val="006C1B77"/>
    <w:rsid w:val="006C1B78"/>
    <w:rsid w:val="006C1C1C"/>
    <w:rsid w:val="006C1D33"/>
    <w:rsid w:val="006C1D7A"/>
    <w:rsid w:val="006C1DC5"/>
    <w:rsid w:val="006C1E72"/>
    <w:rsid w:val="006C2075"/>
    <w:rsid w:val="006C21CE"/>
    <w:rsid w:val="006C2314"/>
    <w:rsid w:val="006C2322"/>
    <w:rsid w:val="006C23D1"/>
    <w:rsid w:val="006C24B9"/>
    <w:rsid w:val="006C2796"/>
    <w:rsid w:val="006C291A"/>
    <w:rsid w:val="006C2932"/>
    <w:rsid w:val="006C2A87"/>
    <w:rsid w:val="006C2F95"/>
    <w:rsid w:val="006C2FF0"/>
    <w:rsid w:val="006C3087"/>
    <w:rsid w:val="006C324C"/>
    <w:rsid w:val="006C34BF"/>
    <w:rsid w:val="006C35AF"/>
    <w:rsid w:val="006C3657"/>
    <w:rsid w:val="006C3A4E"/>
    <w:rsid w:val="006C3B21"/>
    <w:rsid w:val="006C40A6"/>
    <w:rsid w:val="006C4299"/>
    <w:rsid w:val="006C46EB"/>
    <w:rsid w:val="006C4967"/>
    <w:rsid w:val="006C4986"/>
    <w:rsid w:val="006C4A41"/>
    <w:rsid w:val="006C4B40"/>
    <w:rsid w:val="006C4E4B"/>
    <w:rsid w:val="006C51E0"/>
    <w:rsid w:val="006C5323"/>
    <w:rsid w:val="006C541C"/>
    <w:rsid w:val="006C5585"/>
    <w:rsid w:val="006C55FA"/>
    <w:rsid w:val="006C576F"/>
    <w:rsid w:val="006C583F"/>
    <w:rsid w:val="006C5939"/>
    <w:rsid w:val="006C59FF"/>
    <w:rsid w:val="006C5A70"/>
    <w:rsid w:val="006C5A99"/>
    <w:rsid w:val="006C5C00"/>
    <w:rsid w:val="006C5C9D"/>
    <w:rsid w:val="006C5EC2"/>
    <w:rsid w:val="006C6034"/>
    <w:rsid w:val="006C6055"/>
    <w:rsid w:val="006C60F6"/>
    <w:rsid w:val="006C6190"/>
    <w:rsid w:val="006C686D"/>
    <w:rsid w:val="006C68C3"/>
    <w:rsid w:val="006C6D6C"/>
    <w:rsid w:val="006C6DC3"/>
    <w:rsid w:val="006C6E0F"/>
    <w:rsid w:val="006C70EC"/>
    <w:rsid w:val="006C717D"/>
    <w:rsid w:val="006C7312"/>
    <w:rsid w:val="006C7389"/>
    <w:rsid w:val="006C7521"/>
    <w:rsid w:val="006C7657"/>
    <w:rsid w:val="006C76E2"/>
    <w:rsid w:val="006C7706"/>
    <w:rsid w:val="006C7BE8"/>
    <w:rsid w:val="006C7DE7"/>
    <w:rsid w:val="006C7EE8"/>
    <w:rsid w:val="006D011E"/>
    <w:rsid w:val="006D01DA"/>
    <w:rsid w:val="006D01FF"/>
    <w:rsid w:val="006D0363"/>
    <w:rsid w:val="006D04CC"/>
    <w:rsid w:val="006D06D3"/>
    <w:rsid w:val="006D07A5"/>
    <w:rsid w:val="006D085B"/>
    <w:rsid w:val="006D0897"/>
    <w:rsid w:val="006D093B"/>
    <w:rsid w:val="006D0B48"/>
    <w:rsid w:val="006D0D95"/>
    <w:rsid w:val="006D0F0D"/>
    <w:rsid w:val="006D110B"/>
    <w:rsid w:val="006D1140"/>
    <w:rsid w:val="006D11D9"/>
    <w:rsid w:val="006D15F7"/>
    <w:rsid w:val="006D171E"/>
    <w:rsid w:val="006D1789"/>
    <w:rsid w:val="006D1A1E"/>
    <w:rsid w:val="006D1A96"/>
    <w:rsid w:val="006D1AF9"/>
    <w:rsid w:val="006D1B24"/>
    <w:rsid w:val="006D1B6E"/>
    <w:rsid w:val="006D1BBA"/>
    <w:rsid w:val="006D1C78"/>
    <w:rsid w:val="006D1F8C"/>
    <w:rsid w:val="006D22B5"/>
    <w:rsid w:val="006D231E"/>
    <w:rsid w:val="006D23AA"/>
    <w:rsid w:val="006D263D"/>
    <w:rsid w:val="006D274F"/>
    <w:rsid w:val="006D2818"/>
    <w:rsid w:val="006D281B"/>
    <w:rsid w:val="006D2887"/>
    <w:rsid w:val="006D2E6A"/>
    <w:rsid w:val="006D308E"/>
    <w:rsid w:val="006D32F5"/>
    <w:rsid w:val="006D330B"/>
    <w:rsid w:val="006D331B"/>
    <w:rsid w:val="006D3324"/>
    <w:rsid w:val="006D33D5"/>
    <w:rsid w:val="006D36FD"/>
    <w:rsid w:val="006D376D"/>
    <w:rsid w:val="006D3815"/>
    <w:rsid w:val="006D381F"/>
    <w:rsid w:val="006D3BDD"/>
    <w:rsid w:val="006D3E10"/>
    <w:rsid w:val="006D3EA9"/>
    <w:rsid w:val="006D4102"/>
    <w:rsid w:val="006D41DD"/>
    <w:rsid w:val="006D4269"/>
    <w:rsid w:val="006D42EF"/>
    <w:rsid w:val="006D433F"/>
    <w:rsid w:val="006D43E1"/>
    <w:rsid w:val="006D4418"/>
    <w:rsid w:val="006D44B7"/>
    <w:rsid w:val="006D44C7"/>
    <w:rsid w:val="006D452F"/>
    <w:rsid w:val="006D456D"/>
    <w:rsid w:val="006D469C"/>
    <w:rsid w:val="006D470F"/>
    <w:rsid w:val="006D4710"/>
    <w:rsid w:val="006D4772"/>
    <w:rsid w:val="006D4912"/>
    <w:rsid w:val="006D4976"/>
    <w:rsid w:val="006D49EF"/>
    <w:rsid w:val="006D4BD7"/>
    <w:rsid w:val="006D4F93"/>
    <w:rsid w:val="006D5318"/>
    <w:rsid w:val="006D5443"/>
    <w:rsid w:val="006D54AD"/>
    <w:rsid w:val="006D54DD"/>
    <w:rsid w:val="006D54FD"/>
    <w:rsid w:val="006D558C"/>
    <w:rsid w:val="006D572D"/>
    <w:rsid w:val="006D5780"/>
    <w:rsid w:val="006D5848"/>
    <w:rsid w:val="006D5C81"/>
    <w:rsid w:val="006D5CC3"/>
    <w:rsid w:val="006D5E2E"/>
    <w:rsid w:val="006D5F02"/>
    <w:rsid w:val="006D6122"/>
    <w:rsid w:val="006D63E2"/>
    <w:rsid w:val="006D645D"/>
    <w:rsid w:val="006D64A8"/>
    <w:rsid w:val="006D64DC"/>
    <w:rsid w:val="006D6631"/>
    <w:rsid w:val="006D670C"/>
    <w:rsid w:val="006D6F36"/>
    <w:rsid w:val="006D717C"/>
    <w:rsid w:val="006D7243"/>
    <w:rsid w:val="006D7338"/>
    <w:rsid w:val="006D73D7"/>
    <w:rsid w:val="006D748F"/>
    <w:rsid w:val="006D74FF"/>
    <w:rsid w:val="006D766A"/>
    <w:rsid w:val="006D7768"/>
    <w:rsid w:val="006D780E"/>
    <w:rsid w:val="006D7946"/>
    <w:rsid w:val="006D7A3A"/>
    <w:rsid w:val="006D7B9C"/>
    <w:rsid w:val="006D7C47"/>
    <w:rsid w:val="006E00FB"/>
    <w:rsid w:val="006E0103"/>
    <w:rsid w:val="006E0199"/>
    <w:rsid w:val="006E019B"/>
    <w:rsid w:val="006E0255"/>
    <w:rsid w:val="006E02E5"/>
    <w:rsid w:val="006E04E2"/>
    <w:rsid w:val="006E05AD"/>
    <w:rsid w:val="006E0D52"/>
    <w:rsid w:val="006E0D6C"/>
    <w:rsid w:val="006E0EC2"/>
    <w:rsid w:val="006E112E"/>
    <w:rsid w:val="006E12F0"/>
    <w:rsid w:val="006E1662"/>
    <w:rsid w:val="006E1875"/>
    <w:rsid w:val="006E1911"/>
    <w:rsid w:val="006E1AAD"/>
    <w:rsid w:val="006E1AFE"/>
    <w:rsid w:val="006E1B57"/>
    <w:rsid w:val="006E1F73"/>
    <w:rsid w:val="006E210D"/>
    <w:rsid w:val="006E21EA"/>
    <w:rsid w:val="006E22C5"/>
    <w:rsid w:val="006E23AD"/>
    <w:rsid w:val="006E24A1"/>
    <w:rsid w:val="006E24A8"/>
    <w:rsid w:val="006E25D8"/>
    <w:rsid w:val="006E2756"/>
    <w:rsid w:val="006E2779"/>
    <w:rsid w:val="006E282F"/>
    <w:rsid w:val="006E2A68"/>
    <w:rsid w:val="006E2AC7"/>
    <w:rsid w:val="006E2B25"/>
    <w:rsid w:val="006E2B26"/>
    <w:rsid w:val="006E2E4B"/>
    <w:rsid w:val="006E340A"/>
    <w:rsid w:val="006E36D3"/>
    <w:rsid w:val="006E3732"/>
    <w:rsid w:val="006E378F"/>
    <w:rsid w:val="006E3B2F"/>
    <w:rsid w:val="006E3F43"/>
    <w:rsid w:val="006E414D"/>
    <w:rsid w:val="006E41B1"/>
    <w:rsid w:val="006E41C5"/>
    <w:rsid w:val="006E426F"/>
    <w:rsid w:val="006E43E7"/>
    <w:rsid w:val="006E440B"/>
    <w:rsid w:val="006E45FA"/>
    <w:rsid w:val="006E4646"/>
    <w:rsid w:val="006E4783"/>
    <w:rsid w:val="006E493A"/>
    <w:rsid w:val="006E4954"/>
    <w:rsid w:val="006E4A63"/>
    <w:rsid w:val="006E4B88"/>
    <w:rsid w:val="006E4BA6"/>
    <w:rsid w:val="006E4C41"/>
    <w:rsid w:val="006E4F81"/>
    <w:rsid w:val="006E4FE9"/>
    <w:rsid w:val="006E5070"/>
    <w:rsid w:val="006E51B2"/>
    <w:rsid w:val="006E536E"/>
    <w:rsid w:val="006E5416"/>
    <w:rsid w:val="006E54DC"/>
    <w:rsid w:val="006E57B8"/>
    <w:rsid w:val="006E5901"/>
    <w:rsid w:val="006E5983"/>
    <w:rsid w:val="006E5A0D"/>
    <w:rsid w:val="006E5B7D"/>
    <w:rsid w:val="006E5BEE"/>
    <w:rsid w:val="006E5D9B"/>
    <w:rsid w:val="006E5EAB"/>
    <w:rsid w:val="006E5EF0"/>
    <w:rsid w:val="006E5F75"/>
    <w:rsid w:val="006E6045"/>
    <w:rsid w:val="006E6250"/>
    <w:rsid w:val="006E6345"/>
    <w:rsid w:val="006E64C7"/>
    <w:rsid w:val="006E65F3"/>
    <w:rsid w:val="006E670B"/>
    <w:rsid w:val="006E67BD"/>
    <w:rsid w:val="006E6AC7"/>
    <w:rsid w:val="006E6BC8"/>
    <w:rsid w:val="006E6BD5"/>
    <w:rsid w:val="006E6BEF"/>
    <w:rsid w:val="006E6C27"/>
    <w:rsid w:val="006E6C58"/>
    <w:rsid w:val="006E6F2F"/>
    <w:rsid w:val="006E7102"/>
    <w:rsid w:val="006E7116"/>
    <w:rsid w:val="006E72C2"/>
    <w:rsid w:val="006E750F"/>
    <w:rsid w:val="006E76C6"/>
    <w:rsid w:val="006E76DC"/>
    <w:rsid w:val="006E774E"/>
    <w:rsid w:val="006E78E9"/>
    <w:rsid w:val="006E7ACD"/>
    <w:rsid w:val="006E7B22"/>
    <w:rsid w:val="006E7B36"/>
    <w:rsid w:val="006E7DAC"/>
    <w:rsid w:val="006E7E6E"/>
    <w:rsid w:val="006EF91E"/>
    <w:rsid w:val="006F0076"/>
    <w:rsid w:val="006F00E6"/>
    <w:rsid w:val="006F043A"/>
    <w:rsid w:val="006F0523"/>
    <w:rsid w:val="006F058D"/>
    <w:rsid w:val="006F0A2E"/>
    <w:rsid w:val="006F0E2D"/>
    <w:rsid w:val="006F10E7"/>
    <w:rsid w:val="006F14C2"/>
    <w:rsid w:val="006F15D2"/>
    <w:rsid w:val="006F1A0C"/>
    <w:rsid w:val="006F1BB1"/>
    <w:rsid w:val="006F1C58"/>
    <w:rsid w:val="006F1D06"/>
    <w:rsid w:val="006F1D0C"/>
    <w:rsid w:val="006F1D31"/>
    <w:rsid w:val="006F1D51"/>
    <w:rsid w:val="006F1D7E"/>
    <w:rsid w:val="006F1DEE"/>
    <w:rsid w:val="006F1E05"/>
    <w:rsid w:val="006F1EB3"/>
    <w:rsid w:val="006F2048"/>
    <w:rsid w:val="006F20BF"/>
    <w:rsid w:val="006F2151"/>
    <w:rsid w:val="006F2182"/>
    <w:rsid w:val="006F21D7"/>
    <w:rsid w:val="006F2287"/>
    <w:rsid w:val="006F2340"/>
    <w:rsid w:val="006F24A1"/>
    <w:rsid w:val="006F24DD"/>
    <w:rsid w:val="006F254F"/>
    <w:rsid w:val="006F26BA"/>
    <w:rsid w:val="006F272C"/>
    <w:rsid w:val="006F2856"/>
    <w:rsid w:val="006F2924"/>
    <w:rsid w:val="006F2D4C"/>
    <w:rsid w:val="006F2EF7"/>
    <w:rsid w:val="006F2FE8"/>
    <w:rsid w:val="006F2FFD"/>
    <w:rsid w:val="006F3133"/>
    <w:rsid w:val="006F32FB"/>
    <w:rsid w:val="006F334A"/>
    <w:rsid w:val="006F33E9"/>
    <w:rsid w:val="006F34EB"/>
    <w:rsid w:val="006F3698"/>
    <w:rsid w:val="006F36EA"/>
    <w:rsid w:val="006F3788"/>
    <w:rsid w:val="006F38C8"/>
    <w:rsid w:val="006F394A"/>
    <w:rsid w:val="006F3967"/>
    <w:rsid w:val="006F3F98"/>
    <w:rsid w:val="006F4231"/>
    <w:rsid w:val="006F4248"/>
    <w:rsid w:val="006F4249"/>
    <w:rsid w:val="006F44D5"/>
    <w:rsid w:val="006F45B7"/>
    <w:rsid w:val="006F4909"/>
    <w:rsid w:val="006F4A8C"/>
    <w:rsid w:val="006F4BBD"/>
    <w:rsid w:val="006F4BCA"/>
    <w:rsid w:val="006F4FFB"/>
    <w:rsid w:val="006F5020"/>
    <w:rsid w:val="006F507C"/>
    <w:rsid w:val="006F5082"/>
    <w:rsid w:val="006F51F4"/>
    <w:rsid w:val="006F5398"/>
    <w:rsid w:val="006F539A"/>
    <w:rsid w:val="006F5674"/>
    <w:rsid w:val="006F56CB"/>
    <w:rsid w:val="006F56D8"/>
    <w:rsid w:val="006F572A"/>
    <w:rsid w:val="006F5A66"/>
    <w:rsid w:val="006F5CF5"/>
    <w:rsid w:val="006F5F8C"/>
    <w:rsid w:val="006F6342"/>
    <w:rsid w:val="006F6344"/>
    <w:rsid w:val="006F6378"/>
    <w:rsid w:val="006F64E8"/>
    <w:rsid w:val="006F66C3"/>
    <w:rsid w:val="006F66E0"/>
    <w:rsid w:val="006F69CA"/>
    <w:rsid w:val="006F69E2"/>
    <w:rsid w:val="006F6DC4"/>
    <w:rsid w:val="006F70DF"/>
    <w:rsid w:val="006F70F7"/>
    <w:rsid w:val="006F7129"/>
    <w:rsid w:val="006F730E"/>
    <w:rsid w:val="006F773D"/>
    <w:rsid w:val="006F7824"/>
    <w:rsid w:val="006F7A5A"/>
    <w:rsid w:val="006F7A61"/>
    <w:rsid w:val="006F7AD7"/>
    <w:rsid w:val="006F7E71"/>
    <w:rsid w:val="006F7FFB"/>
    <w:rsid w:val="007002D6"/>
    <w:rsid w:val="007002F9"/>
    <w:rsid w:val="0070033C"/>
    <w:rsid w:val="00700580"/>
    <w:rsid w:val="007005C0"/>
    <w:rsid w:val="00700659"/>
    <w:rsid w:val="007008A6"/>
    <w:rsid w:val="00700AC5"/>
    <w:rsid w:val="00700B86"/>
    <w:rsid w:val="00700CED"/>
    <w:rsid w:val="00700F19"/>
    <w:rsid w:val="00700F8F"/>
    <w:rsid w:val="00701070"/>
    <w:rsid w:val="00701099"/>
    <w:rsid w:val="0070125E"/>
    <w:rsid w:val="00701295"/>
    <w:rsid w:val="00701348"/>
    <w:rsid w:val="00701444"/>
    <w:rsid w:val="0070145D"/>
    <w:rsid w:val="00701745"/>
    <w:rsid w:val="00701848"/>
    <w:rsid w:val="0070221F"/>
    <w:rsid w:val="00702556"/>
    <w:rsid w:val="00702629"/>
    <w:rsid w:val="0070278D"/>
    <w:rsid w:val="00702794"/>
    <w:rsid w:val="007029E2"/>
    <w:rsid w:val="00702B4D"/>
    <w:rsid w:val="00702BD1"/>
    <w:rsid w:val="00702C19"/>
    <w:rsid w:val="00702F8C"/>
    <w:rsid w:val="00703149"/>
    <w:rsid w:val="0070326C"/>
    <w:rsid w:val="00703453"/>
    <w:rsid w:val="00703491"/>
    <w:rsid w:val="00703503"/>
    <w:rsid w:val="00703559"/>
    <w:rsid w:val="007035C4"/>
    <w:rsid w:val="00703739"/>
    <w:rsid w:val="0070373A"/>
    <w:rsid w:val="007037A9"/>
    <w:rsid w:val="007038A5"/>
    <w:rsid w:val="007038F8"/>
    <w:rsid w:val="00703960"/>
    <w:rsid w:val="00703C98"/>
    <w:rsid w:val="00704076"/>
    <w:rsid w:val="007040EE"/>
    <w:rsid w:val="00704465"/>
    <w:rsid w:val="007045C2"/>
    <w:rsid w:val="00704615"/>
    <w:rsid w:val="0070464A"/>
    <w:rsid w:val="00704751"/>
    <w:rsid w:val="00704993"/>
    <w:rsid w:val="00704C7F"/>
    <w:rsid w:val="00704DF4"/>
    <w:rsid w:val="00704F14"/>
    <w:rsid w:val="00704FB1"/>
    <w:rsid w:val="0070503B"/>
    <w:rsid w:val="007051E2"/>
    <w:rsid w:val="0070536A"/>
    <w:rsid w:val="0070546D"/>
    <w:rsid w:val="0070582B"/>
    <w:rsid w:val="007059A7"/>
    <w:rsid w:val="00705A11"/>
    <w:rsid w:val="00705CE7"/>
    <w:rsid w:val="00705D51"/>
    <w:rsid w:val="00705E40"/>
    <w:rsid w:val="00705F18"/>
    <w:rsid w:val="007060FE"/>
    <w:rsid w:val="00706173"/>
    <w:rsid w:val="007062A9"/>
    <w:rsid w:val="007062AB"/>
    <w:rsid w:val="007062EC"/>
    <w:rsid w:val="0070632E"/>
    <w:rsid w:val="0070647C"/>
    <w:rsid w:val="0070654E"/>
    <w:rsid w:val="00706585"/>
    <w:rsid w:val="007065BE"/>
    <w:rsid w:val="00706800"/>
    <w:rsid w:val="0070694E"/>
    <w:rsid w:val="00706B5B"/>
    <w:rsid w:val="00706D6D"/>
    <w:rsid w:val="00706EE7"/>
    <w:rsid w:val="00707274"/>
    <w:rsid w:val="007073E2"/>
    <w:rsid w:val="00707503"/>
    <w:rsid w:val="007076C6"/>
    <w:rsid w:val="00707712"/>
    <w:rsid w:val="0070778C"/>
    <w:rsid w:val="00707A3F"/>
    <w:rsid w:val="00707B9F"/>
    <w:rsid w:val="00707BE1"/>
    <w:rsid w:val="00707BFD"/>
    <w:rsid w:val="007100EC"/>
    <w:rsid w:val="007101C0"/>
    <w:rsid w:val="007101C5"/>
    <w:rsid w:val="0071039C"/>
    <w:rsid w:val="00710525"/>
    <w:rsid w:val="00710528"/>
    <w:rsid w:val="0071057F"/>
    <w:rsid w:val="00710A9D"/>
    <w:rsid w:val="00710CE7"/>
    <w:rsid w:val="00710D60"/>
    <w:rsid w:val="00710EAD"/>
    <w:rsid w:val="00710F76"/>
    <w:rsid w:val="007110E3"/>
    <w:rsid w:val="007111A5"/>
    <w:rsid w:val="007115BF"/>
    <w:rsid w:val="0071168E"/>
    <w:rsid w:val="007116E1"/>
    <w:rsid w:val="00711976"/>
    <w:rsid w:val="00711E19"/>
    <w:rsid w:val="00711EAA"/>
    <w:rsid w:val="007120AC"/>
    <w:rsid w:val="007121FD"/>
    <w:rsid w:val="007123D3"/>
    <w:rsid w:val="00712462"/>
    <w:rsid w:val="007124D0"/>
    <w:rsid w:val="007124D9"/>
    <w:rsid w:val="00712514"/>
    <w:rsid w:val="00712580"/>
    <w:rsid w:val="0071281F"/>
    <w:rsid w:val="00712825"/>
    <w:rsid w:val="007129A6"/>
    <w:rsid w:val="007129B1"/>
    <w:rsid w:val="00712A1B"/>
    <w:rsid w:val="00712C37"/>
    <w:rsid w:val="00712D67"/>
    <w:rsid w:val="00712ED6"/>
    <w:rsid w:val="00713035"/>
    <w:rsid w:val="007130DF"/>
    <w:rsid w:val="00713108"/>
    <w:rsid w:val="00713126"/>
    <w:rsid w:val="007131AF"/>
    <w:rsid w:val="007131B6"/>
    <w:rsid w:val="007132E7"/>
    <w:rsid w:val="00713382"/>
    <w:rsid w:val="00713666"/>
    <w:rsid w:val="00713716"/>
    <w:rsid w:val="0071380E"/>
    <w:rsid w:val="00713CCA"/>
    <w:rsid w:val="00713E28"/>
    <w:rsid w:val="00713EB2"/>
    <w:rsid w:val="00713FE9"/>
    <w:rsid w:val="0071413E"/>
    <w:rsid w:val="0071442D"/>
    <w:rsid w:val="0071449D"/>
    <w:rsid w:val="00714580"/>
    <w:rsid w:val="0071478D"/>
    <w:rsid w:val="00714B29"/>
    <w:rsid w:val="00714CAA"/>
    <w:rsid w:val="0071501E"/>
    <w:rsid w:val="007150B8"/>
    <w:rsid w:val="0071537A"/>
    <w:rsid w:val="00715403"/>
    <w:rsid w:val="007155E0"/>
    <w:rsid w:val="007156CC"/>
    <w:rsid w:val="0071590A"/>
    <w:rsid w:val="0071592F"/>
    <w:rsid w:val="00715A59"/>
    <w:rsid w:val="00715A9B"/>
    <w:rsid w:val="00715ABF"/>
    <w:rsid w:val="00715C4F"/>
    <w:rsid w:val="00715DCC"/>
    <w:rsid w:val="00715F15"/>
    <w:rsid w:val="00716108"/>
    <w:rsid w:val="00716172"/>
    <w:rsid w:val="0071638D"/>
    <w:rsid w:val="00716624"/>
    <w:rsid w:val="00716836"/>
    <w:rsid w:val="00716A32"/>
    <w:rsid w:val="00716CB4"/>
    <w:rsid w:val="00716CF6"/>
    <w:rsid w:val="007172F7"/>
    <w:rsid w:val="0071733D"/>
    <w:rsid w:val="00717353"/>
    <w:rsid w:val="007175F1"/>
    <w:rsid w:val="00717643"/>
    <w:rsid w:val="00717744"/>
    <w:rsid w:val="00717A22"/>
    <w:rsid w:val="00717AEE"/>
    <w:rsid w:val="00717BB5"/>
    <w:rsid w:val="00717C13"/>
    <w:rsid w:val="0072034C"/>
    <w:rsid w:val="00720354"/>
    <w:rsid w:val="0072036E"/>
    <w:rsid w:val="007203D6"/>
    <w:rsid w:val="007204B1"/>
    <w:rsid w:val="0072055D"/>
    <w:rsid w:val="007206A4"/>
    <w:rsid w:val="0072072B"/>
    <w:rsid w:val="0072074C"/>
    <w:rsid w:val="007207BB"/>
    <w:rsid w:val="0072094B"/>
    <w:rsid w:val="007209F6"/>
    <w:rsid w:val="00720A1E"/>
    <w:rsid w:val="00720C3E"/>
    <w:rsid w:val="00720D18"/>
    <w:rsid w:val="00720E60"/>
    <w:rsid w:val="00720F2B"/>
    <w:rsid w:val="0072130C"/>
    <w:rsid w:val="0072146E"/>
    <w:rsid w:val="00721A9D"/>
    <w:rsid w:val="00721C26"/>
    <w:rsid w:val="00721C2D"/>
    <w:rsid w:val="00721FA6"/>
    <w:rsid w:val="007220DC"/>
    <w:rsid w:val="00722272"/>
    <w:rsid w:val="007223A1"/>
    <w:rsid w:val="007223C7"/>
    <w:rsid w:val="0072250B"/>
    <w:rsid w:val="00722555"/>
    <w:rsid w:val="00722654"/>
    <w:rsid w:val="00722770"/>
    <w:rsid w:val="0072278B"/>
    <w:rsid w:val="007228D4"/>
    <w:rsid w:val="007229EC"/>
    <w:rsid w:val="00722B92"/>
    <w:rsid w:val="00722C73"/>
    <w:rsid w:val="00722EC9"/>
    <w:rsid w:val="00722ED6"/>
    <w:rsid w:val="00722F40"/>
    <w:rsid w:val="00722FEB"/>
    <w:rsid w:val="00723130"/>
    <w:rsid w:val="00723134"/>
    <w:rsid w:val="0072329C"/>
    <w:rsid w:val="007232A1"/>
    <w:rsid w:val="007232CC"/>
    <w:rsid w:val="00723343"/>
    <w:rsid w:val="0072346D"/>
    <w:rsid w:val="007238C4"/>
    <w:rsid w:val="00723A63"/>
    <w:rsid w:val="00723B57"/>
    <w:rsid w:val="00723B9C"/>
    <w:rsid w:val="00723D71"/>
    <w:rsid w:val="00723EA3"/>
    <w:rsid w:val="00723FB1"/>
    <w:rsid w:val="007240C2"/>
    <w:rsid w:val="00724261"/>
    <w:rsid w:val="007242DF"/>
    <w:rsid w:val="00724317"/>
    <w:rsid w:val="00724383"/>
    <w:rsid w:val="007244DF"/>
    <w:rsid w:val="007245F7"/>
    <w:rsid w:val="007246DD"/>
    <w:rsid w:val="00724B19"/>
    <w:rsid w:val="00724B31"/>
    <w:rsid w:val="00724BFE"/>
    <w:rsid w:val="00724D16"/>
    <w:rsid w:val="00724D33"/>
    <w:rsid w:val="0072508F"/>
    <w:rsid w:val="007252E2"/>
    <w:rsid w:val="00725424"/>
    <w:rsid w:val="0072546B"/>
    <w:rsid w:val="00725501"/>
    <w:rsid w:val="00725545"/>
    <w:rsid w:val="0072592C"/>
    <w:rsid w:val="00725A28"/>
    <w:rsid w:val="00725A3D"/>
    <w:rsid w:val="00725BC3"/>
    <w:rsid w:val="00725C01"/>
    <w:rsid w:val="00725C2A"/>
    <w:rsid w:val="00725CD5"/>
    <w:rsid w:val="00725F9B"/>
    <w:rsid w:val="0072603A"/>
    <w:rsid w:val="0072619D"/>
    <w:rsid w:val="0072632B"/>
    <w:rsid w:val="00726350"/>
    <w:rsid w:val="00726393"/>
    <w:rsid w:val="00726409"/>
    <w:rsid w:val="007264C3"/>
    <w:rsid w:val="00726546"/>
    <w:rsid w:val="00726980"/>
    <w:rsid w:val="007269CC"/>
    <w:rsid w:val="00726B7A"/>
    <w:rsid w:val="00726BD8"/>
    <w:rsid w:val="00726D1C"/>
    <w:rsid w:val="00726E16"/>
    <w:rsid w:val="00726E44"/>
    <w:rsid w:val="00726F09"/>
    <w:rsid w:val="00726F20"/>
    <w:rsid w:val="0072707B"/>
    <w:rsid w:val="00727143"/>
    <w:rsid w:val="0072739C"/>
    <w:rsid w:val="00727548"/>
    <w:rsid w:val="007275F4"/>
    <w:rsid w:val="00727831"/>
    <w:rsid w:val="00727889"/>
    <w:rsid w:val="00727AB5"/>
    <w:rsid w:val="00727B52"/>
    <w:rsid w:val="00727B54"/>
    <w:rsid w:val="00727CD8"/>
    <w:rsid w:val="00727DB7"/>
    <w:rsid w:val="00727E16"/>
    <w:rsid w:val="007302B3"/>
    <w:rsid w:val="00730340"/>
    <w:rsid w:val="00730366"/>
    <w:rsid w:val="00730429"/>
    <w:rsid w:val="0073049A"/>
    <w:rsid w:val="007304F2"/>
    <w:rsid w:val="007305AB"/>
    <w:rsid w:val="0073061A"/>
    <w:rsid w:val="007306BE"/>
    <w:rsid w:val="007306DD"/>
    <w:rsid w:val="00730805"/>
    <w:rsid w:val="00730890"/>
    <w:rsid w:val="00730C99"/>
    <w:rsid w:val="00730E7B"/>
    <w:rsid w:val="00730EE7"/>
    <w:rsid w:val="007310A6"/>
    <w:rsid w:val="007310F8"/>
    <w:rsid w:val="0073129C"/>
    <w:rsid w:val="007312ED"/>
    <w:rsid w:val="00731307"/>
    <w:rsid w:val="00731427"/>
    <w:rsid w:val="007314E6"/>
    <w:rsid w:val="00731B03"/>
    <w:rsid w:val="00731B78"/>
    <w:rsid w:val="00731CA5"/>
    <w:rsid w:val="00731E6A"/>
    <w:rsid w:val="00731EBA"/>
    <w:rsid w:val="007320D1"/>
    <w:rsid w:val="00732267"/>
    <w:rsid w:val="00732304"/>
    <w:rsid w:val="007324A9"/>
    <w:rsid w:val="00732885"/>
    <w:rsid w:val="00732AE9"/>
    <w:rsid w:val="00732B60"/>
    <w:rsid w:val="00732C0A"/>
    <w:rsid w:val="00732CFF"/>
    <w:rsid w:val="00732DCE"/>
    <w:rsid w:val="00732E86"/>
    <w:rsid w:val="00732EE1"/>
    <w:rsid w:val="00732F57"/>
    <w:rsid w:val="00733474"/>
    <w:rsid w:val="00733515"/>
    <w:rsid w:val="007335E4"/>
    <w:rsid w:val="00733643"/>
    <w:rsid w:val="007339C0"/>
    <w:rsid w:val="00733AB7"/>
    <w:rsid w:val="00733DCC"/>
    <w:rsid w:val="00733E15"/>
    <w:rsid w:val="00734375"/>
    <w:rsid w:val="007344D0"/>
    <w:rsid w:val="00734506"/>
    <w:rsid w:val="007345CB"/>
    <w:rsid w:val="00734737"/>
    <w:rsid w:val="00734753"/>
    <w:rsid w:val="0073494B"/>
    <w:rsid w:val="0073496A"/>
    <w:rsid w:val="00734C0F"/>
    <w:rsid w:val="00734FA6"/>
    <w:rsid w:val="00734FC9"/>
    <w:rsid w:val="007353B6"/>
    <w:rsid w:val="007354BC"/>
    <w:rsid w:val="007355AE"/>
    <w:rsid w:val="00735A6C"/>
    <w:rsid w:val="00735B00"/>
    <w:rsid w:val="00735BEB"/>
    <w:rsid w:val="00735C63"/>
    <w:rsid w:val="00735C83"/>
    <w:rsid w:val="00735D79"/>
    <w:rsid w:val="007362A6"/>
    <w:rsid w:val="007363A9"/>
    <w:rsid w:val="00736517"/>
    <w:rsid w:val="00736616"/>
    <w:rsid w:val="007367E4"/>
    <w:rsid w:val="007367E6"/>
    <w:rsid w:val="00736841"/>
    <w:rsid w:val="00736AC9"/>
    <w:rsid w:val="00736F26"/>
    <w:rsid w:val="0073725B"/>
    <w:rsid w:val="007372EB"/>
    <w:rsid w:val="0073736D"/>
    <w:rsid w:val="007374EF"/>
    <w:rsid w:val="00737519"/>
    <w:rsid w:val="00737531"/>
    <w:rsid w:val="007375C8"/>
    <w:rsid w:val="00737743"/>
    <w:rsid w:val="00737747"/>
    <w:rsid w:val="007377E8"/>
    <w:rsid w:val="0073780A"/>
    <w:rsid w:val="0073795A"/>
    <w:rsid w:val="00737967"/>
    <w:rsid w:val="00737B02"/>
    <w:rsid w:val="00737BC2"/>
    <w:rsid w:val="00737C4B"/>
    <w:rsid w:val="00737D4B"/>
    <w:rsid w:val="00740029"/>
    <w:rsid w:val="0074007A"/>
    <w:rsid w:val="00740294"/>
    <w:rsid w:val="0074029F"/>
    <w:rsid w:val="0074056A"/>
    <w:rsid w:val="0074061D"/>
    <w:rsid w:val="007406AB"/>
    <w:rsid w:val="007408B3"/>
    <w:rsid w:val="00740940"/>
    <w:rsid w:val="00740BFB"/>
    <w:rsid w:val="00740C14"/>
    <w:rsid w:val="00740CEF"/>
    <w:rsid w:val="0074101A"/>
    <w:rsid w:val="007410E3"/>
    <w:rsid w:val="007411F0"/>
    <w:rsid w:val="0074128B"/>
    <w:rsid w:val="007412ED"/>
    <w:rsid w:val="007413EA"/>
    <w:rsid w:val="007414EC"/>
    <w:rsid w:val="00741553"/>
    <w:rsid w:val="007415B8"/>
    <w:rsid w:val="00741638"/>
    <w:rsid w:val="00741853"/>
    <w:rsid w:val="00741C58"/>
    <w:rsid w:val="00741EF0"/>
    <w:rsid w:val="00741F3A"/>
    <w:rsid w:val="00741FF9"/>
    <w:rsid w:val="00742063"/>
    <w:rsid w:val="00742315"/>
    <w:rsid w:val="007423C1"/>
    <w:rsid w:val="00742551"/>
    <w:rsid w:val="00742579"/>
    <w:rsid w:val="00742639"/>
    <w:rsid w:val="00742902"/>
    <w:rsid w:val="00742BA8"/>
    <w:rsid w:val="00742D7C"/>
    <w:rsid w:val="0074302C"/>
    <w:rsid w:val="00743544"/>
    <w:rsid w:val="007437ED"/>
    <w:rsid w:val="0074384F"/>
    <w:rsid w:val="00743B15"/>
    <w:rsid w:val="00743B2B"/>
    <w:rsid w:val="00743B81"/>
    <w:rsid w:val="00743CE6"/>
    <w:rsid w:val="00743E39"/>
    <w:rsid w:val="00743F28"/>
    <w:rsid w:val="00743FDC"/>
    <w:rsid w:val="0074426A"/>
    <w:rsid w:val="007446D8"/>
    <w:rsid w:val="00744C1B"/>
    <w:rsid w:val="00744CC9"/>
    <w:rsid w:val="0074501E"/>
    <w:rsid w:val="007452C9"/>
    <w:rsid w:val="007452EA"/>
    <w:rsid w:val="0074530A"/>
    <w:rsid w:val="00745732"/>
    <w:rsid w:val="007457E2"/>
    <w:rsid w:val="0074586F"/>
    <w:rsid w:val="007458F2"/>
    <w:rsid w:val="0074593F"/>
    <w:rsid w:val="00745A4F"/>
    <w:rsid w:val="00745AAF"/>
    <w:rsid w:val="00745B56"/>
    <w:rsid w:val="00745BEE"/>
    <w:rsid w:val="00745D7A"/>
    <w:rsid w:val="00745FDB"/>
    <w:rsid w:val="00745FF9"/>
    <w:rsid w:val="007462DD"/>
    <w:rsid w:val="00746445"/>
    <w:rsid w:val="0074656D"/>
    <w:rsid w:val="0074662D"/>
    <w:rsid w:val="00746677"/>
    <w:rsid w:val="00746685"/>
    <w:rsid w:val="00746812"/>
    <w:rsid w:val="00746E0E"/>
    <w:rsid w:val="00746ED9"/>
    <w:rsid w:val="0074715B"/>
    <w:rsid w:val="0074725E"/>
    <w:rsid w:val="0074732C"/>
    <w:rsid w:val="00747359"/>
    <w:rsid w:val="007473D2"/>
    <w:rsid w:val="0074740D"/>
    <w:rsid w:val="00747684"/>
    <w:rsid w:val="007476FE"/>
    <w:rsid w:val="00747957"/>
    <w:rsid w:val="00747A25"/>
    <w:rsid w:val="00747C90"/>
    <w:rsid w:val="007500B9"/>
    <w:rsid w:val="007503C1"/>
    <w:rsid w:val="00750805"/>
    <w:rsid w:val="0075093C"/>
    <w:rsid w:val="00750BAC"/>
    <w:rsid w:val="00750EA5"/>
    <w:rsid w:val="00750EE8"/>
    <w:rsid w:val="00750F95"/>
    <w:rsid w:val="0075117A"/>
    <w:rsid w:val="00751202"/>
    <w:rsid w:val="00751412"/>
    <w:rsid w:val="00751640"/>
    <w:rsid w:val="00751747"/>
    <w:rsid w:val="00751819"/>
    <w:rsid w:val="0075189F"/>
    <w:rsid w:val="007518DB"/>
    <w:rsid w:val="00751B2C"/>
    <w:rsid w:val="00751D2E"/>
    <w:rsid w:val="00751D84"/>
    <w:rsid w:val="00751EDE"/>
    <w:rsid w:val="00752106"/>
    <w:rsid w:val="0075212E"/>
    <w:rsid w:val="00752167"/>
    <w:rsid w:val="00752168"/>
    <w:rsid w:val="00752289"/>
    <w:rsid w:val="00752333"/>
    <w:rsid w:val="00752435"/>
    <w:rsid w:val="0075253F"/>
    <w:rsid w:val="00752643"/>
    <w:rsid w:val="007526C1"/>
    <w:rsid w:val="0075276A"/>
    <w:rsid w:val="0075293A"/>
    <w:rsid w:val="00752942"/>
    <w:rsid w:val="0075295F"/>
    <w:rsid w:val="00752965"/>
    <w:rsid w:val="007529E3"/>
    <w:rsid w:val="00752B3A"/>
    <w:rsid w:val="00752B78"/>
    <w:rsid w:val="00752BF1"/>
    <w:rsid w:val="00752C60"/>
    <w:rsid w:val="00752D53"/>
    <w:rsid w:val="00753032"/>
    <w:rsid w:val="007530B7"/>
    <w:rsid w:val="007530D1"/>
    <w:rsid w:val="0075324F"/>
    <w:rsid w:val="007532A7"/>
    <w:rsid w:val="007532E8"/>
    <w:rsid w:val="0075344E"/>
    <w:rsid w:val="00753666"/>
    <w:rsid w:val="00753741"/>
    <w:rsid w:val="00753766"/>
    <w:rsid w:val="007537DA"/>
    <w:rsid w:val="00753937"/>
    <w:rsid w:val="00753B49"/>
    <w:rsid w:val="00753C1B"/>
    <w:rsid w:val="00753CC2"/>
    <w:rsid w:val="00753CC5"/>
    <w:rsid w:val="00753D79"/>
    <w:rsid w:val="00753E60"/>
    <w:rsid w:val="007542E6"/>
    <w:rsid w:val="0075457E"/>
    <w:rsid w:val="007545DC"/>
    <w:rsid w:val="00754672"/>
    <w:rsid w:val="007546AF"/>
    <w:rsid w:val="007547B8"/>
    <w:rsid w:val="00754A23"/>
    <w:rsid w:val="00754C3B"/>
    <w:rsid w:val="00754C7F"/>
    <w:rsid w:val="00754CBF"/>
    <w:rsid w:val="00754F41"/>
    <w:rsid w:val="00755146"/>
    <w:rsid w:val="00755297"/>
    <w:rsid w:val="0075546B"/>
    <w:rsid w:val="007555CF"/>
    <w:rsid w:val="00755A21"/>
    <w:rsid w:val="00755D8E"/>
    <w:rsid w:val="00755E32"/>
    <w:rsid w:val="00756033"/>
    <w:rsid w:val="007561E8"/>
    <w:rsid w:val="00756329"/>
    <w:rsid w:val="0075674B"/>
    <w:rsid w:val="007567CE"/>
    <w:rsid w:val="00756815"/>
    <w:rsid w:val="00756874"/>
    <w:rsid w:val="00756926"/>
    <w:rsid w:val="0075698D"/>
    <w:rsid w:val="00756A43"/>
    <w:rsid w:val="00756CBF"/>
    <w:rsid w:val="00756CE2"/>
    <w:rsid w:val="00756D4C"/>
    <w:rsid w:val="00756DB1"/>
    <w:rsid w:val="00756DEA"/>
    <w:rsid w:val="00756FAD"/>
    <w:rsid w:val="0075703D"/>
    <w:rsid w:val="00757242"/>
    <w:rsid w:val="0075766C"/>
    <w:rsid w:val="00757A0F"/>
    <w:rsid w:val="00757AA7"/>
    <w:rsid w:val="00757B8A"/>
    <w:rsid w:val="00757BF4"/>
    <w:rsid w:val="00757E74"/>
    <w:rsid w:val="0076025E"/>
    <w:rsid w:val="00760482"/>
    <w:rsid w:val="00760915"/>
    <w:rsid w:val="00760A41"/>
    <w:rsid w:val="00760A5B"/>
    <w:rsid w:val="00760A6C"/>
    <w:rsid w:val="00760B27"/>
    <w:rsid w:val="00760B79"/>
    <w:rsid w:val="00760B99"/>
    <w:rsid w:val="00760DE7"/>
    <w:rsid w:val="00760DF7"/>
    <w:rsid w:val="00760EE2"/>
    <w:rsid w:val="00760F36"/>
    <w:rsid w:val="00761016"/>
    <w:rsid w:val="007611B0"/>
    <w:rsid w:val="007612BC"/>
    <w:rsid w:val="0076134D"/>
    <w:rsid w:val="0076142D"/>
    <w:rsid w:val="0076159B"/>
    <w:rsid w:val="00761702"/>
    <w:rsid w:val="00761742"/>
    <w:rsid w:val="007618F2"/>
    <w:rsid w:val="00761A92"/>
    <w:rsid w:val="00761EBF"/>
    <w:rsid w:val="00761ED7"/>
    <w:rsid w:val="00761F85"/>
    <w:rsid w:val="00762078"/>
    <w:rsid w:val="00762110"/>
    <w:rsid w:val="007622E1"/>
    <w:rsid w:val="0076236D"/>
    <w:rsid w:val="007624B4"/>
    <w:rsid w:val="0076271D"/>
    <w:rsid w:val="00762766"/>
    <w:rsid w:val="0076280B"/>
    <w:rsid w:val="0076283B"/>
    <w:rsid w:val="00762863"/>
    <w:rsid w:val="007629D5"/>
    <w:rsid w:val="007629DE"/>
    <w:rsid w:val="00762B13"/>
    <w:rsid w:val="00762D60"/>
    <w:rsid w:val="00762DC6"/>
    <w:rsid w:val="00763004"/>
    <w:rsid w:val="00763496"/>
    <w:rsid w:val="0076355C"/>
    <w:rsid w:val="007635C1"/>
    <w:rsid w:val="00763677"/>
    <w:rsid w:val="0076367A"/>
    <w:rsid w:val="0076372D"/>
    <w:rsid w:val="00763745"/>
    <w:rsid w:val="00763818"/>
    <w:rsid w:val="007638F0"/>
    <w:rsid w:val="00763BF9"/>
    <w:rsid w:val="00763C49"/>
    <w:rsid w:val="00763D92"/>
    <w:rsid w:val="00763E0F"/>
    <w:rsid w:val="00763E51"/>
    <w:rsid w:val="00763EFB"/>
    <w:rsid w:val="007641E9"/>
    <w:rsid w:val="00764294"/>
    <w:rsid w:val="007642BB"/>
    <w:rsid w:val="00764303"/>
    <w:rsid w:val="007644B5"/>
    <w:rsid w:val="0076466C"/>
    <w:rsid w:val="00764B54"/>
    <w:rsid w:val="00764B5E"/>
    <w:rsid w:val="00764E0B"/>
    <w:rsid w:val="00764F44"/>
    <w:rsid w:val="00764F71"/>
    <w:rsid w:val="007650F3"/>
    <w:rsid w:val="0076518C"/>
    <w:rsid w:val="00765224"/>
    <w:rsid w:val="00765700"/>
    <w:rsid w:val="00765799"/>
    <w:rsid w:val="007657F8"/>
    <w:rsid w:val="00765B78"/>
    <w:rsid w:val="00765C6B"/>
    <w:rsid w:val="00766064"/>
    <w:rsid w:val="0076644F"/>
    <w:rsid w:val="00766518"/>
    <w:rsid w:val="007665AA"/>
    <w:rsid w:val="00766AA8"/>
    <w:rsid w:val="00766C3C"/>
    <w:rsid w:val="00766FAB"/>
    <w:rsid w:val="00767072"/>
    <w:rsid w:val="0076752B"/>
    <w:rsid w:val="00767600"/>
    <w:rsid w:val="00767A94"/>
    <w:rsid w:val="00767BA6"/>
    <w:rsid w:val="00767F4B"/>
    <w:rsid w:val="00767FAA"/>
    <w:rsid w:val="00770170"/>
    <w:rsid w:val="007702BB"/>
    <w:rsid w:val="00770328"/>
    <w:rsid w:val="00770404"/>
    <w:rsid w:val="00770532"/>
    <w:rsid w:val="00770559"/>
    <w:rsid w:val="00770751"/>
    <w:rsid w:val="00770A3C"/>
    <w:rsid w:val="00770ACB"/>
    <w:rsid w:val="00770ACE"/>
    <w:rsid w:val="00770D2A"/>
    <w:rsid w:val="00771047"/>
    <w:rsid w:val="007711AA"/>
    <w:rsid w:val="00771498"/>
    <w:rsid w:val="0077153A"/>
    <w:rsid w:val="0077170E"/>
    <w:rsid w:val="0077181F"/>
    <w:rsid w:val="007719A6"/>
    <w:rsid w:val="00771AE9"/>
    <w:rsid w:val="00771E4A"/>
    <w:rsid w:val="00771E7E"/>
    <w:rsid w:val="00772231"/>
    <w:rsid w:val="00772407"/>
    <w:rsid w:val="0077246E"/>
    <w:rsid w:val="0077276C"/>
    <w:rsid w:val="007729DE"/>
    <w:rsid w:val="00772A22"/>
    <w:rsid w:val="00772D6B"/>
    <w:rsid w:val="00772DB7"/>
    <w:rsid w:val="00772DEA"/>
    <w:rsid w:val="007730F0"/>
    <w:rsid w:val="007735C4"/>
    <w:rsid w:val="00773633"/>
    <w:rsid w:val="00773962"/>
    <w:rsid w:val="00773AD9"/>
    <w:rsid w:val="00773D77"/>
    <w:rsid w:val="00773DB3"/>
    <w:rsid w:val="00773E0F"/>
    <w:rsid w:val="00774035"/>
    <w:rsid w:val="0077406C"/>
    <w:rsid w:val="0077410F"/>
    <w:rsid w:val="00774117"/>
    <w:rsid w:val="0077427E"/>
    <w:rsid w:val="00774338"/>
    <w:rsid w:val="00774361"/>
    <w:rsid w:val="0077436A"/>
    <w:rsid w:val="00774456"/>
    <w:rsid w:val="007745E4"/>
    <w:rsid w:val="007747DC"/>
    <w:rsid w:val="007749AE"/>
    <w:rsid w:val="00774BE5"/>
    <w:rsid w:val="00774CC5"/>
    <w:rsid w:val="00774D8F"/>
    <w:rsid w:val="00774DB6"/>
    <w:rsid w:val="00774ECC"/>
    <w:rsid w:val="00774F2D"/>
    <w:rsid w:val="0077523F"/>
    <w:rsid w:val="00775368"/>
    <w:rsid w:val="00775376"/>
    <w:rsid w:val="00775392"/>
    <w:rsid w:val="007753D8"/>
    <w:rsid w:val="00775658"/>
    <w:rsid w:val="0077576D"/>
    <w:rsid w:val="0077581E"/>
    <w:rsid w:val="0077594A"/>
    <w:rsid w:val="00775C78"/>
    <w:rsid w:val="00775C82"/>
    <w:rsid w:val="00775D41"/>
    <w:rsid w:val="00775D9A"/>
    <w:rsid w:val="00775E4B"/>
    <w:rsid w:val="00775F70"/>
    <w:rsid w:val="007761A3"/>
    <w:rsid w:val="00776227"/>
    <w:rsid w:val="0077650C"/>
    <w:rsid w:val="00776525"/>
    <w:rsid w:val="00776607"/>
    <w:rsid w:val="007768D2"/>
    <w:rsid w:val="00776964"/>
    <w:rsid w:val="007769A3"/>
    <w:rsid w:val="00776FD7"/>
    <w:rsid w:val="00777180"/>
    <w:rsid w:val="00777247"/>
    <w:rsid w:val="007772E8"/>
    <w:rsid w:val="007772F1"/>
    <w:rsid w:val="00777309"/>
    <w:rsid w:val="007775D6"/>
    <w:rsid w:val="007776B0"/>
    <w:rsid w:val="00777865"/>
    <w:rsid w:val="00777978"/>
    <w:rsid w:val="00777A7F"/>
    <w:rsid w:val="00777B9A"/>
    <w:rsid w:val="00777DBC"/>
    <w:rsid w:val="007801B2"/>
    <w:rsid w:val="007803B9"/>
    <w:rsid w:val="0078061E"/>
    <w:rsid w:val="007806EF"/>
    <w:rsid w:val="00780733"/>
    <w:rsid w:val="00780889"/>
    <w:rsid w:val="00780ADF"/>
    <w:rsid w:val="00780CEF"/>
    <w:rsid w:val="00780EE0"/>
    <w:rsid w:val="007810F7"/>
    <w:rsid w:val="00781347"/>
    <w:rsid w:val="007813AF"/>
    <w:rsid w:val="00781647"/>
    <w:rsid w:val="00781791"/>
    <w:rsid w:val="00781797"/>
    <w:rsid w:val="00781A47"/>
    <w:rsid w:val="00781ADA"/>
    <w:rsid w:val="00781B25"/>
    <w:rsid w:val="00781C4B"/>
    <w:rsid w:val="00781EFA"/>
    <w:rsid w:val="00782242"/>
    <w:rsid w:val="0078228A"/>
    <w:rsid w:val="0078262E"/>
    <w:rsid w:val="00782688"/>
    <w:rsid w:val="00782731"/>
    <w:rsid w:val="007827BC"/>
    <w:rsid w:val="00782BD6"/>
    <w:rsid w:val="00782D52"/>
    <w:rsid w:val="00782D97"/>
    <w:rsid w:val="00782E06"/>
    <w:rsid w:val="007830AF"/>
    <w:rsid w:val="007830FC"/>
    <w:rsid w:val="00783167"/>
    <w:rsid w:val="00783286"/>
    <w:rsid w:val="007834C9"/>
    <w:rsid w:val="007834F4"/>
    <w:rsid w:val="00783730"/>
    <w:rsid w:val="007837E9"/>
    <w:rsid w:val="007838BA"/>
    <w:rsid w:val="00783A08"/>
    <w:rsid w:val="00783AA5"/>
    <w:rsid w:val="00783B03"/>
    <w:rsid w:val="00783CA7"/>
    <w:rsid w:val="00783CBB"/>
    <w:rsid w:val="00783E0D"/>
    <w:rsid w:val="00783E82"/>
    <w:rsid w:val="00783F0E"/>
    <w:rsid w:val="007841CB"/>
    <w:rsid w:val="00784286"/>
    <w:rsid w:val="007844BD"/>
    <w:rsid w:val="00784742"/>
    <w:rsid w:val="00784E39"/>
    <w:rsid w:val="00784E4D"/>
    <w:rsid w:val="0078503F"/>
    <w:rsid w:val="007850F5"/>
    <w:rsid w:val="0078527E"/>
    <w:rsid w:val="00785378"/>
    <w:rsid w:val="007853DB"/>
    <w:rsid w:val="007854D2"/>
    <w:rsid w:val="007854FA"/>
    <w:rsid w:val="0078554A"/>
    <w:rsid w:val="007855DF"/>
    <w:rsid w:val="007856A2"/>
    <w:rsid w:val="0078578F"/>
    <w:rsid w:val="00785BC0"/>
    <w:rsid w:val="00785BC9"/>
    <w:rsid w:val="00785D40"/>
    <w:rsid w:val="00785DD5"/>
    <w:rsid w:val="0078601C"/>
    <w:rsid w:val="00786029"/>
    <w:rsid w:val="0078631F"/>
    <w:rsid w:val="00786429"/>
    <w:rsid w:val="00786454"/>
    <w:rsid w:val="007865B6"/>
    <w:rsid w:val="007865CE"/>
    <w:rsid w:val="00786695"/>
    <w:rsid w:val="007867FA"/>
    <w:rsid w:val="007868E0"/>
    <w:rsid w:val="00786939"/>
    <w:rsid w:val="00786C41"/>
    <w:rsid w:val="00786CB2"/>
    <w:rsid w:val="00786CC8"/>
    <w:rsid w:val="007872AA"/>
    <w:rsid w:val="00787622"/>
    <w:rsid w:val="00787699"/>
    <w:rsid w:val="0078783C"/>
    <w:rsid w:val="007878D6"/>
    <w:rsid w:val="007878F2"/>
    <w:rsid w:val="007878FC"/>
    <w:rsid w:val="00787AB6"/>
    <w:rsid w:val="00787E34"/>
    <w:rsid w:val="00787E99"/>
    <w:rsid w:val="00787ED3"/>
    <w:rsid w:val="00787F40"/>
    <w:rsid w:val="00787FFE"/>
    <w:rsid w:val="007904CC"/>
    <w:rsid w:val="007904FB"/>
    <w:rsid w:val="0079057E"/>
    <w:rsid w:val="00790825"/>
    <w:rsid w:val="00790886"/>
    <w:rsid w:val="00790A96"/>
    <w:rsid w:val="00790BE3"/>
    <w:rsid w:val="00790FC4"/>
    <w:rsid w:val="0079106C"/>
    <w:rsid w:val="007910DC"/>
    <w:rsid w:val="007911A3"/>
    <w:rsid w:val="007912BC"/>
    <w:rsid w:val="007912C0"/>
    <w:rsid w:val="00791429"/>
    <w:rsid w:val="0079149A"/>
    <w:rsid w:val="007914E2"/>
    <w:rsid w:val="007917ED"/>
    <w:rsid w:val="007918AB"/>
    <w:rsid w:val="0079196F"/>
    <w:rsid w:val="00791AB0"/>
    <w:rsid w:val="00791AC5"/>
    <w:rsid w:val="00791DFF"/>
    <w:rsid w:val="00791F13"/>
    <w:rsid w:val="007920C3"/>
    <w:rsid w:val="007924DA"/>
    <w:rsid w:val="0079261F"/>
    <w:rsid w:val="0079262D"/>
    <w:rsid w:val="00792709"/>
    <w:rsid w:val="007927C6"/>
    <w:rsid w:val="00792800"/>
    <w:rsid w:val="00792969"/>
    <w:rsid w:val="007929EB"/>
    <w:rsid w:val="00792D55"/>
    <w:rsid w:val="00793121"/>
    <w:rsid w:val="007932A8"/>
    <w:rsid w:val="00793500"/>
    <w:rsid w:val="007935B5"/>
    <w:rsid w:val="007937B9"/>
    <w:rsid w:val="00793A61"/>
    <w:rsid w:val="00793AF5"/>
    <w:rsid w:val="00793B34"/>
    <w:rsid w:val="00793C18"/>
    <w:rsid w:val="00793D38"/>
    <w:rsid w:val="00793D57"/>
    <w:rsid w:val="00793ECD"/>
    <w:rsid w:val="0079400F"/>
    <w:rsid w:val="00794071"/>
    <w:rsid w:val="0079407D"/>
    <w:rsid w:val="00794090"/>
    <w:rsid w:val="0079413D"/>
    <w:rsid w:val="00794441"/>
    <w:rsid w:val="0079456B"/>
    <w:rsid w:val="0079466E"/>
    <w:rsid w:val="007947ED"/>
    <w:rsid w:val="0079480A"/>
    <w:rsid w:val="0079496A"/>
    <w:rsid w:val="00794AE4"/>
    <w:rsid w:val="00794C4B"/>
    <w:rsid w:val="00794CC8"/>
    <w:rsid w:val="00794CF9"/>
    <w:rsid w:val="00794D74"/>
    <w:rsid w:val="00794D9B"/>
    <w:rsid w:val="00794E1D"/>
    <w:rsid w:val="00794EB1"/>
    <w:rsid w:val="00795015"/>
    <w:rsid w:val="007950C8"/>
    <w:rsid w:val="007952F5"/>
    <w:rsid w:val="00795328"/>
    <w:rsid w:val="0079542D"/>
    <w:rsid w:val="0079587E"/>
    <w:rsid w:val="00795936"/>
    <w:rsid w:val="00795CB4"/>
    <w:rsid w:val="00795CE1"/>
    <w:rsid w:val="00795D7A"/>
    <w:rsid w:val="00795F70"/>
    <w:rsid w:val="00796008"/>
    <w:rsid w:val="00796312"/>
    <w:rsid w:val="007963A3"/>
    <w:rsid w:val="00796416"/>
    <w:rsid w:val="00796791"/>
    <w:rsid w:val="0079682C"/>
    <w:rsid w:val="0079684E"/>
    <w:rsid w:val="00796941"/>
    <w:rsid w:val="00796A15"/>
    <w:rsid w:val="00796BF6"/>
    <w:rsid w:val="00796EBC"/>
    <w:rsid w:val="00796FEA"/>
    <w:rsid w:val="00797064"/>
    <w:rsid w:val="00797155"/>
    <w:rsid w:val="007974CD"/>
    <w:rsid w:val="0079750E"/>
    <w:rsid w:val="00797773"/>
    <w:rsid w:val="0079784A"/>
    <w:rsid w:val="00797999"/>
    <w:rsid w:val="007979AB"/>
    <w:rsid w:val="007979F6"/>
    <w:rsid w:val="00797AD2"/>
    <w:rsid w:val="00797B04"/>
    <w:rsid w:val="00797B26"/>
    <w:rsid w:val="00797CA0"/>
    <w:rsid w:val="00797E6D"/>
    <w:rsid w:val="00797EC5"/>
    <w:rsid w:val="007A00AF"/>
    <w:rsid w:val="007A0422"/>
    <w:rsid w:val="007A09B7"/>
    <w:rsid w:val="007A0B0D"/>
    <w:rsid w:val="007A0B2E"/>
    <w:rsid w:val="007A0CE2"/>
    <w:rsid w:val="007A0EA3"/>
    <w:rsid w:val="007A10E4"/>
    <w:rsid w:val="007A11D0"/>
    <w:rsid w:val="007A11ED"/>
    <w:rsid w:val="007A120D"/>
    <w:rsid w:val="007A1355"/>
    <w:rsid w:val="007A1421"/>
    <w:rsid w:val="007A1585"/>
    <w:rsid w:val="007A16C0"/>
    <w:rsid w:val="007A190E"/>
    <w:rsid w:val="007A1A50"/>
    <w:rsid w:val="007A1CA4"/>
    <w:rsid w:val="007A1E3C"/>
    <w:rsid w:val="007A1F09"/>
    <w:rsid w:val="007A20C5"/>
    <w:rsid w:val="007A2246"/>
    <w:rsid w:val="007A2267"/>
    <w:rsid w:val="007A22C5"/>
    <w:rsid w:val="007A24C0"/>
    <w:rsid w:val="007A25EE"/>
    <w:rsid w:val="007A26C6"/>
    <w:rsid w:val="007A285F"/>
    <w:rsid w:val="007A2ADC"/>
    <w:rsid w:val="007A2B32"/>
    <w:rsid w:val="007A2BDF"/>
    <w:rsid w:val="007A2CAA"/>
    <w:rsid w:val="007A2CD3"/>
    <w:rsid w:val="007A2D09"/>
    <w:rsid w:val="007A2F2A"/>
    <w:rsid w:val="007A322C"/>
    <w:rsid w:val="007A3345"/>
    <w:rsid w:val="007A33FE"/>
    <w:rsid w:val="007A3416"/>
    <w:rsid w:val="007A344F"/>
    <w:rsid w:val="007A34B2"/>
    <w:rsid w:val="007A34B5"/>
    <w:rsid w:val="007A3556"/>
    <w:rsid w:val="007A356B"/>
    <w:rsid w:val="007A36EF"/>
    <w:rsid w:val="007A3923"/>
    <w:rsid w:val="007A39FB"/>
    <w:rsid w:val="007A3B7C"/>
    <w:rsid w:val="007A3D04"/>
    <w:rsid w:val="007A3D48"/>
    <w:rsid w:val="007A3D49"/>
    <w:rsid w:val="007A3D57"/>
    <w:rsid w:val="007A3D77"/>
    <w:rsid w:val="007A3FDD"/>
    <w:rsid w:val="007A4031"/>
    <w:rsid w:val="007A40A4"/>
    <w:rsid w:val="007A43D9"/>
    <w:rsid w:val="007A442E"/>
    <w:rsid w:val="007A4579"/>
    <w:rsid w:val="007A45B3"/>
    <w:rsid w:val="007A4A33"/>
    <w:rsid w:val="007A4B0B"/>
    <w:rsid w:val="007A4E19"/>
    <w:rsid w:val="007A51A3"/>
    <w:rsid w:val="007A54E9"/>
    <w:rsid w:val="007A566A"/>
    <w:rsid w:val="007A571A"/>
    <w:rsid w:val="007A57A6"/>
    <w:rsid w:val="007A57FF"/>
    <w:rsid w:val="007A5803"/>
    <w:rsid w:val="007A584C"/>
    <w:rsid w:val="007A584D"/>
    <w:rsid w:val="007A599C"/>
    <w:rsid w:val="007A5A0E"/>
    <w:rsid w:val="007A5A2B"/>
    <w:rsid w:val="007A5BC9"/>
    <w:rsid w:val="007A5BEC"/>
    <w:rsid w:val="007A5C61"/>
    <w:rsid w:val="007A5C99"/>
    <w:rsid w:val="007A5CA2"/>
    <w:rsid w:val="007A5EBC"/>
    <w:rsid w:val="007A5ED6"/>
    <w:rsid w:val="007A6340"/>
    <w:rsid w:val="007A6346"/>
    <w:rsid w:val="007A64FD"/>
    <w:rsid w:val="007A65B1"/>
    <w:rsid w:val="007A66C0"/>
    <w:rsid w:val="007A675F"/>
    <w:rsid w:val="007A67CA"/>
    <w:rsid w:val="007A6A44"/>
    <w:rsid w:val="007A6B26"/>
    <w:rsid w:val="007A6CEF"/>
    <w:rsid w:val="007A6E30"/>
    <w:rsid w:val="007A7050"/>
    <w:rsid w:val="007A71D1"/>
    <w:rsid w:val="007A73DF"/>
    <w:rsid w:val="007A770B"/>
    <w:rsid w:val="007A780B"/>
    <w:rsid w:val="007A7884"/>
    <w:rsid w:val="007A799B"/>
    <w:rsid w:val="007A7D40"/>
    <w:rsid w:val="007B0007"/>
    <w:rsid w:val="007B00FC"/>
    <w:rsid w:val="007B0194"/>
    <w:rsid w:val="007B021F"/>
    <w:rsid w:val="007B049C"/>
    <w:rsid w:val="007B04DD"/>
    <w:rsid w:val="007B050B"/>
    <w:rsid w:val="007B0741"/>
    <w:rsid w:val="007B0D81"/>
    <w:rsid w:val="007B0D8B"/>
    <w:rsid w:val="007B0E7C"/>
    <w:rsid w:val="007B0F2D"/>
    <w:rsid w:val="007B10B3"/>
    <w:rsid w:val="007B1176"/>
    <w:rsid w:val="007B118D"/>
    <w:rsid w:val="007B11EF"/>
    <w:rsid w:val="007B1556"/>
    <w:rsid w:val="007B18BC"/>
    <w:rsid w:val="007B1929"/>
    <w:rsid w:val="007B192A"/>
    <w:rsid w:val="007B1955"/>
    <w:rsid w:val="007B1A5B"/>
    <w:rsid w:val="007B1E0F"/>
    <w:rsid w:val="007B1F9C"/>
    <w:rsid w:val="007B20ED"/>
    <w:rsid w:val="007B227A"/>
    <w:rsid w:val="007B22D2"/>
    <w:rsid w:val="007B2317"/>
    <w:rsid w:val="007B237C"/>
    <w:rsid w:val="007B23BA"/>
    <w:rsid w:val="007B2575"/>
    <w:rsid w:val="007B25C9"/>
    <w:rsid w:val="007B2A19"/>
    <w:rsid w:val="007B2A1A"/>
    <w:rsid w:val="007B2A7B"/>
    <w:rsid w:val="007B2C12"/>
    <w:rsid w:val="007B2F3F"/>
    <w:rsid w:val="007B3448"/>
    <w:rsid w:val="007B3546"/>
    <w:rsid w:val="007B3860"/>
    <w:rsid w:val="007B3938"/>
    <w:rsid w:val="007B39B4"/>
    <w:rsid w:val="007B3A56"/>
    <w:rsid w:val="007B3D4A"/>
    <w:rsid w:val="007B3F99"/>
    <w:rsid w:val="007B4025"/>
    <w:rsid w:val="007B4047"/>
    <w:rsid w:val="007B4166"/>
    <w:rsid w:val="007B433D"/>
    <w:rsid w:val="007B43B5"/>
    <w:rsid w:val="007B449F"/>
    <w:rsid w:val="007B46CC"/>
    <w:rsid w:val="007B4757"/>
    <w:rsid w:val="007B4802"/>
    <w:rsid w:val="007B48F0"/>
    <w:rsid w:val="007B4AA5"/>
    <w:rsid w:val="007B4BB1"/>
    <w:rsid w:val="007B4E0B"/>
    <w:rsid w:val="007B4EC9"/>
    <w:rsid w:val="007B5063"/>
    <w:rsid w:val="007B528F"/>
    <w:rsid w:val="007B547B"/>
    <w:rsid w:val="007B59B4"/>
    <w:rsid w:val="007B5A55"/>
    <w:rsid w:val="007B5DCC"/>
    <w:rsid w:val="007B5EB1"/>
    <w:rsid w:val="007B6063"/>
    <w:rsid w:val="007B6337"/>
    <w:rsid w:val="007B65FE"/>
    <w:rsid w:val="007B67EA"/>
    <w:rsid w:val="007B680C"/>
    <w:rsid w:val="007B6BFC"/>
    <w:rsid w:val="007B6CD2"/>
    <w:rsid w:val="007B6ED9"/>
    <w:rsid w:val="007B7035"/>
    <w:rsid w:val="007B706E"/>
    <w:rsid w:val="007B718B"/>
    <w:rsid w:val="007B71F4"/>
    <w:rsid w:val="007B7295"/>
    <w:rsid w:val="007B74BC"/>
    <w:rsid w:val="007B74DD"/>
    <w:rsid w:val="007B7600"/>
    <w:rsid w:val="007B76DA"/>
    <w:rsid w:val="007B770F"/>
    <w:rsid w:val="007B7781"/>
    <w:rsid w:val="007B77AF"/>
    <w:rsid w:val="007B77E1"/>
    <w:rsid w:val="007B78F0"/>
    <w:rsid w:val="007B7A1F"/>
    <w:rsid w:val="007B7D1D"/>
    <w:rsid w:val="007B7E8E"/>
    <w:rsid w:val="007B7F60"/>
    <w:rsid w:val="007C0024"/>
    <w:rsid w:val="007C003A"/>
    <w:rsid w:val="007C01ED"/>
    <w:rsid w:val="007C0217"/>
    <w:rsid w:val="007C0333"/>
    <w:rsid w:val="007C04AE"/>
    <w:rsid w:val="007C0841"/>
    <w:rsid w:val="007C0A29"/>
    <w:rsid w:val="007C0A8D"/>
    <w:rsid w:val="007C0AFB"/>
    <w:rsid w:val="007C0B88"/>
    <w:rsid w:val="007C0DF4"/>
    <w:rsid w:val="007C109D"/>
    <w:rsid w:val="007C1349"/>
    <w:rsid w:val="007C134D"/>
    <w:rsid w:val="007C1373"/>
    <w:rsid w:val="007C1653"/>
    <w:rsid w:val="007C167A"/>
    <w:rsid w:val="007C1703"/>
    <w:rsid w:val="007C18D2"/>
    <w:rsid w:val="007C1AD1"/>
    <w:rsid w:val="007C1AF1"/>
    <w:rsid w:val="007C1B1E"/>
    <w:rsid w:val="007C1B9F"/>
    <w:rsid w:val="007C1CCF"/>
    <w:rsid w:val="007C20C7"/>
    <w:rsid w:val="007C214D"/>
    <w:rsid w:val="007C2584"/>
    <w:rsid w:val="007C258B"/>
    <w:rsid w:val="007C25CB"/>
    <w:rsid w:val="007C25D7"/>
    <w:rsid w:val="007C261F"/>
    <w:rsid w:val="007C2926"/>
    <w:rsid w:val="007C2982"/>
    <w:rsid w:val="007C2A17"/>
    <w:rsid w:val="007C2B59"/>
    <w:rsid w:val="007C32A5"/>
    <w:rsid w:val="007C333A"/>
    <w:rsid w:val="007C3491"/>
    <w:rsid w:val="007C34C1"/>
    <w:rsid w:val="007C36F8"/>
    <w:rsid w:val="007C3731"/>
    <w:rsid w:val="007C3758"/>
    <w:rsid w:val="007C3769"/>
    <w:rsid w:val="007C3BF3"/>
    <w:rsid w:val="007C3C9F"/>
    <w:rsid w:val="007C3F91"/>
    <w:rsid w:val="007C3FD6"/>
    <w:rsid w:val="007C3FF0"/>
    <w:rsid w:val="007C4014"/>
    <w:rsid w:val="007C41D1"/>
    <w:rsid w:val="007C4331"/>
    <w:rsid w:val="007C4555"/>
    <w:rsid w:val="007C47D4"/>
    <w:rsid w:val="007C47DF"/>
    <w:rsid w:val="007C47EB"/>
    <w:rsid w:val="007C480E"/>
    <w:rsid w:val="007C48C2"/>
    <w:rsid w:val="007C49BF"/>
    <w:rsid w:val="007C4A3F"/>
    <w:rsid w:val="007C4DB1"/>
    <w:rsid w:val="007C4DF2"/>
    <w:rsid w:val="007C4E5A"/>
    <w:rsid w:val="007C4F2B"/>
    <w:rsid w:val="007C503D"/>
    <w:rsid w:val="007C5207"/>
    <w:rsid w:val="007C5560"/>
    <w:rsid w:val="007C557F"/>
    <w:rsid w:val="007C5588"/>
    <w:rsid w:val="007C55B7"/>
    <w:rsid w:val="007C56BA"/>
    <w:rsid w:val="007C5795"/>
    <w:rsid w:val="007C5849"/>
    <w:rsid w:val="007C5C7B"/>
    <w:rsid w:val="007C5CCC"/>
    <w:rsid w:val="007C5DB9"/>
    <w:rsid w:val="007C5DFC"/>
    <w:rsid w:val="007C6205"/>
    <w:rsid w:val="007C6254"/>
    <w:rsid w:val="007C6323"/>
    <w:rsid w:val="007C64C2"/>
    <w:rsid w:val="007C664B"/>
    <w:rsid w:val="007C67DB"/>
    <w:rsid w:val="007C68FF"/>
    <w:rsid w:val="007C6C85"/>
    <w:rsid w:val="007C6FC0"/>
    <w:rsid w:val="007C719D"/>
    <w:rsid w:val="007C71AF"/>
    <w:rsid w:val="007C71DC"/>
    <w:rsid w:val="007C733C"/>
    <w:rsid w:val="007C790A"/>
    <w:rsid w:val="007C7914"/>
    <w:rsid w:val="007C7ADD"/>
    <w:rsid w:val="007C7C09"/>
    <w:rsid w:val="007C7CED"/>
    <w:rsid w:val="007C7E04"/>
    <w:rsid w:val="007D0155"/>
    <w:rsid w:val="007D02CD"/>
    <w:rsid w:val="007D0318"/>
    <w:rsid w:val="007D0376"/>
    <w:rsid w:val="007D03FE"/>
    <w:rsid w:val="007D041A"/>
    <w:rsid w:val="007D07C8"/>
    <w:rsid w:val="007D094B"/>
    <w:rsid w:val="007D0AF1"/>
    <w:rsid w:val="007D0C34"/>
    <w:rsid w:val="007D0C63"/>
    <w:rsid w:val="007D0DC1"/>
    <w:rsid w:val="007D0ED9"/>
    <w:rsid w:val="007D0F91"/>
    <w:rsid w:val="007D12F8"/>
    <w:rsid w:val="007D162A"/>
    <w:rsid w:val="007D16DF"/>
    <w:rsid w:val="007D1945"/>
    <w:rsid w:val="007D1C8F"/>
    <w:rsid w:val="007D1FA7"/>
    <w:rsid w:val="007D1FDA"/>
    <w:rsid w:val="007D2128"/>
    <w:rsid w:val="007D2493"/>
    <w:rsid w:val="007D25A0"/>
    <w:rsid w:val="007D2635"/>
    <w:rsid w:val="007D276C"/>
    <w:rsid w:val="007D2791"/>
    <w:rsid w:val="007D281D"/>
    <w:rsid w:val="007D2877"/>
    <w:rsid w:val="007D2912"/>
    <w:rsid w:val="007D2924"/>
    <w:rsid w:val="007D2A5C"/>
    <w:rsid w:val="007D2B6B"/>
    <w:rsid w:val="007D2C11"/>
    <w:rsid w:val="007D2D3C"/>
    <w:rsid w:val="007D2EA1"/>
    <w:rsid w:val="007D2F3A"/>
    <w:rsid w:val="007D2FAC"/>
    <w:rsid w:val="007D302C"/>
    <w:rsid w:val="007D3284"/>
    <w:rsid w:val="007D32BE"/>
    <w:rsid w:val="007D3576"/>
    <w:rsid w:val="007D3FBC"/>
    <w:rsid w:val="007D4298"/>
    <w:rsid w:val="007D43B4"/>
    <w:rsid w:val="007D4497"/>
    <w:rsid w:val="007D47EB"/>
    <w:rsid w:val="007D4808"/>
    <w:rsid w:val="007D4A64"/>
    <w:rsid w:val="007D4AF0"/>
    <w:rsid w:val="007D4BE3"/>
    <w:rsid w:val="007D4D2B"/>
    <w:rsid w:val="007D4D94"/>
    <w:rsid w:val="007D5191"/>
    <w:rsid w:val="007D5213"/>
    <w:rsid w:val="007D540A"/>
    <w:rsid w:val="007D55BE"/>
    <w:rsid w:val="007D565F"/>
    <w:rsid w:val="007D576A"/>
    <w:rsid w:val="007D592A"/>
    <w:rsid w:val="007D5D09"/>
    <w:rsid w:val="007D5DED"/>
    <w:rsid w:val="007D5F9C"/>
    <w:rsid w:val="007D615A"/>
    <w:rsid w:val="007D615C"/>
    <w:rsid w:val="007D642F"/>
    <w:rsid w:val="007D69BA"/>
    <w:rsid w:val="007D6BC9"/>
    <w:rsid w:val="007D6CE0"/>
    <w:rsid w:val="007D6CE8"/>
    <w:rsid w:val="007D6F0F"/>
    <w:rsid w:val="007D6F88"/>
    <w:rsid w:val="007D71C9"/>
    <w:rsid w:val="007D7260"/>
    <w:rsid w:val="007D7500"/>
    <w:rsid w:val="007D7567"/>
    <w:rsid w:val="007D75DB"/>
    <w:rsid w:val="007D7911"/>
    <w:rsid w:val="007D7B40"/>
    <w:rsid w:val="007D7D49"/>
    <w:rsid w:val="007D7E3C"/>
    <w:rsid w:val="007D7EE7"/>
    <w:rsid w:val="007D7FD9"/>
    <w:rsid w:val="007D7FE0"/>
    <w:rsid w:val="007E005B"/>
    <w:rsid w:val="007E013A"/>
    <w:rsid w:val="007E018D"/>
    <w:rsid w:val="007E0315"/>
    <w:rsid w:val="007E03DF"/>
    <w:rsid w:val="007E0614"/>
    <w:rsid w:val="007E0662"/>
    <w:rsid w:val="007E07B6"/>
    <w:rsid w:val="007E09A2"/>
    <w:rsid w:val="007E0B52"/>
    <w:rsid w:val="007E0B67"/>
    <w:rsid w:val="007E0D84"/>
    <w:rsid w:val="007E0F39"/>
    <w:rsid w:val="007E0F53"/>
    <w:rsid w:val="007E1071"/>
    <w:rsid w:val="007E1197"/>
    <w:rsid w:val="007E11FF"/>
    <w:rsid w:val="007E124B"/>
    <w:rsid w:val="007E1336"/>
    <w:rsid w:val="007E138D"/>
    <w:rsid w:val="007E13C1"/>
    <w:rsid w:val="007E1542"/>
    <w:rsid w:val="007E154E"/>
    <w:rsid w:val="007E1595"/>
    <w:rsid w:val="007E1791"/>
    <w:rsid w:val="007E199C"/>
    <w:rsid w:val="007E1A47"/>
    <w:rsid w:val="007E1CBE"/>
    <w:rsid w:val="007E1D77"/>
    <w:rsid w:val="007E1F27"/>
    <w:rsid w:val="007E246A"/>
    <w:rsid w:val="007E251F"/>
    <w:rsid w:val="007E28FE"/>
    <w:rsid w:val="007E2AA9"/>
    <w:rsid w:val="007E2C97"/>
    <w:rsid w:val="007E2FBE"/>
    <w:rsid w:val="007E2FE1"/>
    <w:rsid w:val="007E31EE"/>
    <w:rsid w:val="007E32FD"/>
    <w:rsid w:val="007E3495"/>
    <w:rsid w:val="007E3606"/>
    <w:rsid w:val="007E36E1"/>
    <w:rsid w:val="007E38D7"/>
    <w:rsid w:val="007E3B99"/>
    <w:rsid w:val="007E3EAF"/>
    <w:rsid w:val="007E41F3"/>
    <w:rsid w:val="007E4293"/>
    <w:rsid w:val="007E42C6"/>
    <w:rsid w:val="007E42E7"/>
    <w:rsid w:val="007E4538"/>
    <w:rsid w:val="007E46BA"/>
    <w:rsid w:val="007E47BD"/>
    <w:rsid w:val="007E499F"/>
    <w:rsid w:val="007E4AEA"/>
    <w:rsid w:val="007E4B32"/>
    <w:rsid w:val="007E4BDF"/>
    <w:rsid w:val="007E4CF4"/>
    <w:rsid w:val="007E4E23"/>
    <w:rsid w:val="007E4EAD"/>
    <w:rsid w:val="007E5041"/>
    <w:rsid w:val="007E50DF"/>
    <w:rsid w:val="007E511A"/>
    <w:rsid w:val="007E5273"/>
    <w:rsid w:val="007E5449"/>
    <w:rsid w:val="007E552B"/>
    <w:rsid w:val="007E55AF"/>
    <w:rsid w:val="007E56DE"/>
    <w:rsid w:val="007E5AF9"/>
    <w:rsid w:val="007E5C8C"/>
    <w:rsid w:val="007E5DE3"/>
    <w:rsid w:val="007E5E15"/>
    <w:rsid w:val="007E6032"/>
    <w:rsid w:val="007E60FC"/>
    <w:rsid w:val="007E61CE"/>
    <w:rsid w:val="007E636E"/>
    <w:rsid w:val="007E6530"/>
    <w:rsid w:val="007E6544"/>
    <w:rsid w:val="007E677C"/>
    <w:rsid w:val="007E67AE"/>
    <w:rsid w:val="007E693D"/>
    <w:rsid w:val="007E6AE0"/>
    <w:rsid w:val="007E6BB5"/>
    <w:rsid w:val="007E6CB1"/>
    <w:rsid w:val="007E6E14"/>
    <w:rsid w:val="007E7114"/>
    <w:rsid w:val="007E721C"/>
    <w:rsid w:val="007E737C"/>
    <w:rsid w:val="007E75BD"/>
    <w:rsid w:val="007E7A6E"/>
    <w:rsid w:val="007E7D4D"/>
    <w:rsid w:val="007E7E29"/>
    <w:rsid w:val="007E7F7C"/>
    <w:rsid w:val="007F00DA"/>
    <w:rsid w:val="007F013A"/>
    <w:rsid w:val="007F0190"/>
    <w:rsid w:val="007F0777"/>
    <w:rsid w:val="007F0833"/>
    <w:rsid w:val="007F08FF"/>
    <w:rsid w:val="007F09C2"/>
    <w:rsid w:val="007F0E06"/>
    <w:rsid w:val="007F0EBC"/>
    <w:rsid w:val="007F0F5C"/>
    <w:rsid w:val="007F0FAC"/>
    <w:rsid w:val="007F1036"/>
    <w:rsid w:val="007F10A5"/>
    <w:rsid w:val="007F1159"/>
    <w:rsid w:val="007F11FB"/>
    <w:rsid w:val="007F12BE"/>
    <w:rsid w:val="007F13F1"/>
    <w:rsid w:val="007F1690"/>
    <w:rsid w:val="007F1B76"/>
    <w:rsid w:val="007F1FC3"/>
    <w:rsid w:val="007F2145"/>
    <w:rsid w:val="007F22C7"/>
    <w:rsid w:val="007F2327"/>
    <w:rsid w:val="007F2356"/>
    <w:rsid w:val="007F236C"/>
    <w:rsid w:val="007F2519"/>
    <w:rsid w:val="007F2522"/>
    <w:rsid w:val="007F27D8"/>
    <w:rsid w:val="007F2885"/>
    <w:rsid w:val="007F2B13"/>
    <w:rsid w:val="007F2C0B"/>
    <w:rsid w:val="007F2CCF"/>
    <w:rsid w:val="007F2D67"/>
    <w:rsid w:val="007F2DFD"/>
    <w:rsid w:val="007F2F5D"/>
    <w:rsid w:val="007F300C"/>
    <w:rsid w:val="007F3112"/>
    <w:rsid w:val="007F31EF"/>
    <w:rsid w:val="007F32CA"/>
    <w:rsid w:val="007F32F8"/>
    <w:rsid w:val="007F349D"/>
    <w:rsid w:val="007F34D1"/>
    <w:rsid w:val="007F34E9"/>
    <w:rsid w:val="007F392F"/>
    <w:rsid w:val="007F39DE"/>
    <w:rsid w:val="007F3B00"/>
    <w:rsid w:val="007F3BD6"/>
    <w:rsid w:val="007F3E44"/>
    <w:rsid w:val="007F3F91"/>
    <w:rsid w:val="007F3FF4"/>
    <w:rsid w:val="007F42A2"/>
    <w:rsid w:val="007F4310"/>
    <w:rsid w:val="007F436C"/>
    <w:rsid w:val="007F4390"/>
    <w:rsid w:val="007F4470"/>
    <w:rsid w:val="007F462A"/>
    <w:rsid w:val="007F4669"/>
    <w:rsid w:val="007F48AA"/>
    <w:rsid w:val="007F493F"/>
    <w:rsid w:val="007F4A7C"/>
    <w:rsid w:val="007F4C35"/>
    <w:rsid w:val="007F5160"/>
    <w:rsid w:val="007F534B"/>
    <w:rsid w:val="007F53CA"/>
    <w:rsid w:val="007F5461"/>
    <w:rsid w:val="007F552B"/>
    <w:rsid w:val="007F5783"/>
    <w:rsid w:val="007F5A15"/>
    <w:rsid w:val="007F5A4C"/>
    <w:rsid w:val="007F5ED3"/>
    <w:rsid w:val="007F6114"/>
    <w:rsid w:val="007F624F"/>
    <w:rsid w:val="007F6283"/>
    <w:rsid w:val="007F66E7"/>
    <w:rsid w:val="007F69DB"/>
    <w:rsid w:val="007F6D27"/>
    <w:rsid w:val="007F6DFD"/>
    <w:rsid w:val="007F6E99"/>
    <w:rsid w:val="007F711E"/>
    <w:rsid w:val="007F7235"/>
    <w:rsid w:val="007F7393"/>
    <w:rsid w:val="007F73D7"/>
    <w:rsid w:val="007F7552"/>
    <w:rsid w:val="007F7980"/>
    <w:rsid w:val="007F79DD"/>
    <w:rsid w:val="007F7A70"/>
    <w:rsid w:val="007F7C88"/>
    <w:rsid w:val="007F7D96"/>
    <w:rsid w:val="007F7E83"/>
    <w:rsid w:val="007F7EC5"/>
    <w:rsid w:val="008001E0"/>
    <w:rsid w:val="008002DF"/>
    <w:rsid w:val="008007B1"/>
    <w:rsid w:val="008009A2"/>
    <w:rsid w:val="00800AA5"/>
    <w:rsid w:val="00800AAF"/>
    <w:rsid w:val="00800AD4"/>
    <w:rsid w:val="00800BC1"/>
    <w:rsid w:val="00800E0B"/>
    <w:rsid w:val="00800E5A"/>
    <w:rsid w:val="0080123B"/>
    <w:rsid w:val="008013F6"/>
    <w:rsid w:val="00801448"/>
    <w:rsid w:val="0080171E"/>
    <w:rsid w:val="008018DA"/>
    <w:rsid w:val="00801C7F"/>
    <w:rsid w:val="00801C98"/>
    <w:rsid w:val="00801E39"/>
    <w:rsid w:val="008020B1"/>
    <w:rsid w:val="008020C7"/>
    <w:rsid w:val="00802145"/>
    <w:rsid w:val="00802188"/>
    <w:rsid w:val="0080227C"/>
    <w:rsid w:val="00802371"/>
    <w:rsid w:val="008025A2"/>
    <w:rsid w:val="008025A5"/>
    <w:rsid w:val="0080274E"/>
    <w:rsid w:val="00802B4D"/>
    <w:rsid w:val="00802D1F"/>
    <w:rsid w:val="00803102"/>
    <w:rsid w:val="0080325A"/>
    <w:rsid w:val="008032E1"/>
    <w:rsid w:val="008035E5"/>
    <w:rsid w:val="00803622"/>
    <w:rsid w:val="008036EC"/>
    <w:rsid w:val="00803726"/>
    <w:rsid w:val="008038F0"/>
    <w:rsid w:val="00803A8D"/>
    <w:rsid w:val="00803AB0"/>
    <w:rsid w:val="00803B00"/>
    <w:rsid w:val="00803C05"/>
    <w:rsid w:val="00803ECD"/>
    <w:rsid w:val="0080424A"/>
    <w:rsid w:val="0080440D"/>
    <w:rsid w:val="00804643"/>
    <w:rsid w:val="008046A4"/>
    <w:rsid w:val="008047C4"/>
    <w:rsid w:val="0080490C"/>
    <w:rsid w:val="00804A38"/>
    <w:rsid w:val="00804D1E"/>
    <w:rsid w:val="00804DFD"/>
    <w:rsid w:val="00805407"/>
    <w:rsid w:val="0080560E"/>
    <w:rsid w:val="00805649"/>
    <w:rsid w:val="00805701"/>
    <w:rsid w:val="00805798"/>
    <w:rsid w:val="0080599B"/>
    <w:rsid w:val="008059C1"/>
    <w:rsid w:val="008059DB"/>
    <w:rsid w:val="00805B72"/>
    <w:rsid w:val="00805BB0"/>
    <w:rsid w:val="00805DC1"/>
    <w:rsid w:val="00805E5D"/>
    <w:rsid w:val="00805E5E"/>
    <w:rsid w:val="00805ECB"/>
    <w:rsid w:val="0080612A"/>
    <w:rsid w:val="00806483"/>
    <w:rsid w:val="0080658F"/>
    <w:rsid w:val="008066B1"/>
    <w:rsid w:val="00806968"/>
    <w:rsid w:val="00806A8D"/>
    <w:rsid w:val="00806AEB"/>
    <w:rsid w:val="00806B32"/>
    <w:rsid w:val="00806D35"/>
    <w:rsid w:val="00806DB6"/>
    <w:rsid w:val="00806EC5"/>
    <w:rsid w:val="0080714F"/>
    <w:rsid w:val="008071A7"/>
    <w:rsid w:val="00807490"/>
    <w:rsid w:val="008074A2"/>
    <w:rsid w:val="008076A1"/>
    <w:rsid w:val="00807822"/>
    <w:rsid w:val="00807906"/>
    <w:rsid w:val="00807A0D"/>
    <w:rsid w:val="00807A3D"/>
    <w:rsid w:val="00807AD7"/>
    <w:rsid w:val="00807B56"/>
    <w:rsid w:val="00807EC5"/>
    <w:rsid w:val="0081016C"/>
    <w:rsid w:val="0081017B"/>
    <w:rsid w:val="00810615"/>
    <w:rsid w:val="008106A7"/>
    <w:rsid w:val="00810D0F"/>
    <w:rsid w:val="00810D4B"/>
    <w:rsid w:val="00810FF7"/>
    <w:rsid w:val="008111CB"/>
    <w:rsid w:val="0081123F"/>
    <w:rsid w:val="00811272"/>
    <w:rsid w:val="00811312"/>
    <w:rsid w:val="008115FE"/>
    <w:rsid w:val="008116B4"/>
    <w:rsid w:val="00811873"/>
    <w:rsid w:val="00811977"/>
    <w:rsid w:val="00811A42"/>
    <w:rsid w:val="00811B3B"/>
    <w:rsid w:val="00811BDD"/>
    <w:rsid w:val="0081207A"/>
    <w:rsid w:val="0081210A"/>
    <w:rsid w:val="0081223E"/>
    <w:rsid w:val="0081229E"/>
    <w:rsid w:val="008124DF"/>
    <w:rsid w:val="0081278C"/>
    <w:rsid w:val="0081297D"/>
    <w:rsid w:val="00812AD7"/>
    <w:rsid w:val="00812B38"/>
    <w:rsid w:val="00812B43"/>
    <w:rsid w:val="00812D73"/>
    <w:rsid w:val="00812DB5"/>
    <w:rsid w:val="00812FC5"/>
    <w:rsid w:val="008130B8"/>
    <w:rsid w:val="0081318C"/>
    <w:rsid w:val="008131B5"/>
    <w:rsid w:val="0081367A"/>
    <w:rsid w:val="008136E7"/>
    <w:rsid w:val="008137A4"/>
    <w:rsid w:val="008137D0"/>
    <w:rsid w:val="008138E2"/>
    <w:rsid w:val="00813AA0"/>
    <w:rsid w:val="00813AF5"/>
    <w:rsid w:val="00813B20"/>
    <w:rsid w:val="00813B46"/>
    <w:rsid w:val="00813B61"/>
    <w:rsid w:val="00813C1F"/>
    <w:rsid w:val="00813C29"/>
    <w:rsid w:val="00813E8A"/>
    <w:rsid w:val="00813F3B"/>
    <w:rsid w:val="00814043"/>
    <w:rsid w:val="008140B4"/>
    <w:rsid w:val="008142B6"/>
    <w:rsid w:val="0081433D"/>
    <w:rsid w:val="008145B1"/>
    <w:rsid w:val="00814668"/>
    <w:rsid w:val="00814696"/>
    <w:rsid w:val="0081469C"/>
    <w:rsid w:val="008149AD"/>
    <w:rsid w:val="00814A90"/>
    <w:rsid w:val="00814AC7"/>
    <w:rsid w:val="00814B45"/>
    <w:rsid w:val="00814CEA"/>
    <w:rsid w:val="00814FC6"/>
    <w:rsid w:val="008150D7"/>
    <w:rsid w:val="008151F0"/>
    <w:rsid w:val="008151F9"/>
    <w:rsid w:val="008156A2"/>
    <w:rsid w:val="008156BE"/>
    <w:rsid w:val="008159D1"/>
    <w:rsid w:val="008159FC"/>
    <w:rsid w:val="00815A5C"/>
    <w:rsid w:val="00815C49"/>
    <w:rsid w:val="00815CB5"/>
    <w:rsid w:val="00815CC4"/>
    <w:rsid w:val="00815E1D"/>
    <w:rsid w:val="00815F8C"/>
    <w:rsid w:val="00816029"/>
    <w:rsid w:val="00816346"/>
    <w:rsid w:val="008164D7"/>
    <w:rsid w:val="008164DA"/>
    <w:rsid w:val="008165C0"/>
    <w:rsid w:val="00816A89"/>
    <w:rsid w:val="00816F4A"/>
    <w:rsid w:val="00816FE3"/>
    <w:rsid w:val="008170A9"/>
    <w:rsid w:val="008171CD"/>
    <w:rsid w:val="0081743C"/>
    <w:rsid w:val="00817507"/>
    <w:rsid w:val="008175B8"/>
    <w:rsid w:val="008175D9"/>
    <w:rsid w:val="008178D8"/>
    <w:rsid w:val="00817A55"/>
    <w:rsid w:val="00817A77"/>
    <w:rsid w:val="00817B75"/>
    <w:rsid w:val="00817BEE"/>
    <w:rsid w:val="00817CCC"/>
    <w:rsid w:val="00817D2C"/>
    <w:rsid w:val="00817D83"/>
    <w:rsid w:val="00817DD0"/>
    <w:rsid w:val="00817E78"/>
    <w:rsid w:val="00817F53"/>
    <w:rsid w:val="00820015"/>
    <w:rsid w:val="00820086"/>
    <w:rsid w:val="00820197"/>
    <w:rsid w:val="00820481"/>
    <w:rsid w:val="00820513"/>
    <w:rsid w:val="00820628"/>
    <w:rsid w:val="008206BB"/>
    <w:rsid w:val="00820707"/>
    <w:rsid w:val="0082092B"/>
    <w:rsid w:val="00820AAD"/>
    <w:rsid w:val="00820B3F"/>
    <w:rsid w:val="00820B8A"/>
    <w:rsid w:val="00820BF4"/>
    <w:rsid w:val="00820C4C"/>
    <w:rsid w:val="00820D88"/>
    <w:rsid w:val="00820DBC"/>
    <w:rsid w:val="00820EA2"/>
    <w:rsid w:val="00820F73"/>
    <w:rsid w:val="00820F99"/>
    <w:rsid w:val="00821073"/>
    <w:rsid w:val="008210CC"/>
    <w:rsid w:val="00821128"/>
    <w:rsid w:val="008211FC"/>
    <w:rsid w:val="00821243"/>
    <w:rsid w:val="0082135B"/>
    <w:rsid w:val="008215FC"/>
    <w:rsid w:val="008216D4"/>
    <w:rsid w:val="008216FE"/>
    <w:rsid w:val="008219E1"/>
    <w:rsid w:val="00821C24"/>
    <w:rsid w:val="00821D0F"/>
    <w:rsid w:val="00821E46"/>
    <w:rsid w:val="00821EEF"/>
    <w:rsid w:val="0082201E"/>
    <w:rsid w:val="0082203C"/>
    <w:rsid w:val="00822054"/>
    <w:rsid w:val="008221AF"/>
    <w:rsid w:val="0082225E"/>
    <w:rsid w:val="008222F6"/>
    <w:rsid w:val="00822324"/>
    <w:rsid w:val="00822440"/>
    <w:rsid w:val="00822508"/>
    <w:rsid w:val="008225E3"/>
    <w:rsid w:val="00822697"/>
    <w:rsid w:val="00822748"/>
    <w:rsid w:val="00822854"/>
    <w:rsid w:val="00822883"/>
    <w:rsid w:val="00822ACD"/>
    <w:rsid w:val="00822BDE"/>
    <w:rsid w:val="00822E4E"/>
    <w:rsid w:val="00822F02"/>
    <w:rsid w:val="00822FED"/>
    <w:rsid w:val="0082312E"/>
    <w:rsid w:val="0082323D"/>
    <w:rsid w:val="00823304"/>
    <w:rsid w:val="0082335A"/>
    <w:rsid w:val="00823661"/>
    <w:rsid w:val="00823EA2"/>
    <w:rsid w:val="008240D0"/>
    <w:rsid w:val="00824297"/>
    <w:rsid w:val="0082457B"/>
    <w:rsid w:val="0082458E"/>
    <w:rsid w:val="008248F6"/>
    <w:rsid w:val="00824979"/>
    <w:rsid w:val="00824B03"/>
    <w:rsid w:val="00824B79"/>
    <w:rsid w:val="00824CA7"/>
    <w:rsid w:val="00824D9F"/>
    <w:rsid w:val="008255C1"/>
    <w:rsid w:val="00825860"/>
    <w:rsid w:val="00825865"/>
    <w:rsid w:val="0082590D"/>
    <w:rsid w:val="00825956"/>
    <w:rsid w:val="00825B4F"/>
    <w:rsid w:val="00825C1E"/>
    <w:rsid w:val="00825C3B"/>
    <w:rsid w:val="00825D08"/>
    <w:rsid w:val="00825D0C"/>
    <w:rsid w:val="00825E5C"/>
    <w:rsid w:val="00825EE7"/>
    <w:rsid w:val="00825FE3"/>
    <w:rsid w:val="00826013"/>
    <w:rsid w:val="00826064"/>
    <w:rsid w:val="0082608D"/>
    <w:rsid w:val="008260FB"/>
    <w:rsid w:val="008267A1"/>
    <w:rsid w:val="008269E1"/>
    <w:rsid w:val="00826C23"/>
    <w:rsid w:val="00826C82"/>
    <w:rsid w:val="00826CB0"/>
    <w:rsid w:val="00826D2F"/>
    <w:rsid w:val="008270AB"/>
    <w:rsid w:val="00827199"/>
    <w:rsid w:val="008271CD"/>
    <w:rsid w:val="00827260"/>
    <w:rsid w:val="008275FC"/>
    <w:rsid w:val="00827829"/>
    <w:rsid w:val="00827901"/>
    <w:rsid w:val="00827945"/>
    <w:rsid w:val="00827963"/>
    <w:rsid w:val="00827A31"/>
    <w:rsid w:val="00827CD4"/>
    <w:rsid w:val="00827D5A"/>
    <w:rsid w:val="00827F41"/>
    <w:rsid w:val="00827FCA"/>
    <w:rsid w:val="008302E4"/>
    <w:rsid w:val="00830335"/>
    <w:rsid w:val="00830353"/>
    <w:rsid w:val="008303E0"/>
    <w:rsid w:val="008304FA"/>
    <w:rsid w:val="008305AD"/>
    <w:rsid w:val="0083064D"/>
    <w:rsid w:val="008307C9"/>
    <w:rsid w:val="00830839"/>
    <w:rsid w:val="00830CFB"/>
    <w:rsid w:val="00830E3D"/>
    <w:rsid w:val="00830FE6"/>
    <w:rsid w:val="00831080"/>
    <w:rsid w:val="008311B7"/>
    <w:rsid w:val="00831296"/>
    <w:rsid w:val="0083146B"/>
    <w:rsid w:val="00831482"/>
    <w:rsid w:val="008314C1"/>
    <w:rsid w:val="00831552"/>
    <w:rsid w:val="008315A4"/>
    <w:rsid w:val="00831838"/>
    <w:rsid w:val="008318D1"/>
    <w:rsid w:val="008319FE"/>
    <w:rsid w:val="00831B1A"/>
    <w:rsid w:val="00831BC7"/>
    <w:rsid w:val="00831C04"/>
    <w:rsid w:val="00831CDA"/>
    <w:rsid w:val="00831E06"/>
    <w:rsid w:val="00832162"/>
    <w:rsid w:val="00832587"/>
    <w:rsid w:val="008325C4"/>
    <w:rsid w:val="008327C3"/>
    <w:rsid w:val="00832926"/>
    <w:rsid w:val="00832A3A"/>
    <w:rsid w:val="00832B0C"/>
    <w:rsid w:val="00832BCE"/>
    <w:rsid w:val="00832CD7"/>
    <w:rsid w:val="00832D25"/>
    <w:rsid w:val="00833193"/>
    <w:rsid w:val="008333FF"/>
    <w:rsid w:val="008335C3"/>
    <w:rsid w:val="0083375F"/>
    <w:rsid w:val="0083383F"/>
    <w:rsid w:val="00833ADF"/>
    <w:rsid w:val="00833CE3"/>
    <w:rsid w:val="00833E3D"/>
    <w:rsid w:val="00833E8A"/>
    <w:rsid w:val="0083404B"/>
    <w:rsid w:val="0083411C"/>
    <w:rsid w:val="00834218"/>
    <w:rsid w:val="0083421E"/>
    <w:rsid w:val="008342E6"/>
    <w:rsid w:val="00834553"/>
    <w:rsid w:val="00834845"/>
    <w:rsid w:val="00834989"/>
    <w:rsid w:val="0083499B"/>
    <w:rsid w:val="00834A02"/>
    <w:rsid w:val="00834C83"/>
    <w:rsid w:val="00834CC5"/>
    <w:rsid w:val="00834CEA"/>
    <w:rsid w:val="00834E5F"/>
    <w:rsid w:val="00834FAB"/>
    <w:rsid w:val="0083533F"/>
    <w:rsid w:val="0083549B"/>
    <w:rsid w:val="00835562"/>
    <w:rsid w:val="008356F8"/>
    <w:rsid w:val="008359F5"/>
    <w:rsid w:val="00835A94"/>
    <w:rsid w:val="00835B92"/>
    <w:rsid w:val="00835BDE"/>
    <w:rsid w:val="00835E8B"/>
    <w:rsid w:val="00836067"/>
    <w:rsid w:val="00836167"/>
    <w:rsid w:val="008364BB"/>
    <w:rsid w:val="008364C5"/>
    <w:rsid w:val="00836591"/>
    <w:rsid w:val="0083690C"/>
    <w:rsid w:val="00836A7A"/>
    <w:rsid w:val="00836B5B"/>
    <w:rsid w:val="00836BE5"/>
    <w:rsid w:val="00836C99"/>
    <w:rsid w:val="00836CA4"/>
    <w:rsid w:val="00836D68"/>
    <w:rsid w:val="00836E13"/>
    <w:rsid w:val="00836F7F"/>
    <w:rsid w:val="00837512"/>
    <w:rsid w:val="00837D37"/>
    <w:rsid w:val="00840088"/>
    <w:rsid w:val="0084022D"/>
    <w:rsid w:val="00840232"/>
    <w:rsid w:val="00840476"/>
    <w:rsid w:val="00840667"/>
    <w:rsid w:val="00840ABB"/>
    <w:rsid w:val="00840C61"/>
    <w:rsid w:val="00840C7A"/>
    <w:rsid w:val="00840E7A"/>
    <w:rsid w:val="00840EA7"/>
    <w:rsid w:val="00840F72"/>
    <w:rsid w:val="008410B2"/>
    <w:rsid w:val="00841202"/>
    <w:rsid w:val="008415C9"/>
    <w:rsid w:val="00841787"/>
    <w:rsid w:val="0084188C"/>
    <w:rsid w:val="00841951"/>
    <w:rsid w:val="00841970"/>
    <w:rsid w:val="00841AAE"/>
    <w:rsid w:val="00841AE0"/>
    <w:rsid w:val="00841AE4"/>
    <w:rsid w:val="00841B15"/>
    <w:rsid w:val="00841B6F"/>
    <w:rsid w:val="0084206D"/>
    <w:rsid w:val="008421FA"/>
    <w:rsid w:val="008426A2"/>
    <w:rsid w:val="0084271D"/>
    <w:rsid w:val="0084288D"/>
    <w:rsid w:val="008428BE"/>
    <w:rsid w:val="00842960"/>
    <w:rsid w:val="00842AB5"/>
    <w:rsid w:val="00842B32"/>
    <w:rsid w:val="00842B7A"/>
    <w:rsid w:val="00842C64"/>
    <w:rsid w:val="00842C85"/>
    <w:rsid w:val="00842CF4"/>
    <w:rsid w:val="00842DA3"/>
    <w:rsid w:val="00842F57"/>
    <w:rsid w:val="00843023"/>
    <w:rsid w:val="008432C1"/>
    <w:rsid w:val="008432E2"/>
    <w:rsid w:val="00843476"/>
    <w:rsid w:val="0084361E"/>
    <w:rsid w:val="00843675"/>
    <w:rsid w:val="008436B7"/>
    <w:rsid w:val="0084372B"/>
    <w:rsid w:val="00843821"/>
    <w:rsid w:val="008438A9"/>
    <w:rsid w:val="00843AC3"/>
    <w:rsid w:val="00844289"/>
    <w:rsid w:val="00844419"/>
    <w:rsid w:val="00844886"/>
    <w:rsid w:val="008448AF"/>
    <w:rsid w:val="008449C3"/>
    <w:rsid w:val="00844AA0"/>
    <w:rsid w:val="00845071"/>
    <w:rsid w:val="008450FC"/>
    <w:rsid w:val="0084537D"/>
    <w:rsid w:val="00845A4B"/>
    <w:rsid w:val="00845A9E"/>
    <w:rsid w:val="00845B18"/>
    <w:rsid w:val="00845C72"/>
    <w:rsid w:val="0084601A"/>
    <w:rsid w:val="008460A9"/>
    <w:rsid w:val="0084644A"/>
    <w:rsid w:val="00846B53"/>
    <w:rsid w:val="00846E3D"/>
    <w:rsid w:val="00846EB3"/>
    <w:rsid w:val="00846F06"/>
    <w:rsid w:val="00846F17"/>
    <w:rsid w:val="00846F24"/>
    <w:rsid w:val="008470C2"/>
    <w:rsid w:val="0084727A"/>
    <w:rsid w:val="0084737E"/>
    <w:rsid w:val="00847622"/>
    <w:rsid w:val="0084798F"/>
    <w:rsid w:val="008479DF"/>
    <w:rsid w:val="00847A6F"/>
    <w:rsid w:val="00847D3D"/>
    <w:rsid w:val="00847DC3"/>
    <w:rsid w:val="00847EC9"/>
    <w:rsid w:val="00847F82"/>
    <w:rsid w:val="0085017A"/>
    <w:rsid w:val="008501DD"/>
    <w:rsid w:val="00850412"/>
    <w:rsid w:val="0085048A"/>
    <w:rsid w:val="008504C0"/>
    <w:rsid w:val="0085058D"/>
    <w:rsid w:val="0085077A"/>
    <w:rsid w:val="0085086A"/>
    <w:rsid w:val="0085094E"/>
    <w:rsid w:val="00850CCC"/>
    <w:rsid w:val="00850D2C"/>
    <w:rsid w:val="00851031"/>
    <w:rsid w:val="008511A7"/>
    <w:rsid w:val="008512F4"/>
    <w:rsid w:val="008514D6"/>
    <w:rsid w:val="00851920"/>
    <w:rsid w:val="00851968"/>
    <w:rsid w:val="00851A01"/>
    <w:rsid w:val="00851DA0"/>
    <w:rsid w:val="00851E4E"/>
    <w:rsid w:val="00852232"/>
    <w:rsid w:val="00852316"/>
    <w:rsid w:val="00852406"/>
    <w:rsid w:val="00852458"/>
    <w:rsid w:val="00852487"/>
    <w:rsid w:val="00852725"/>
    <w:rsid w:val="008528ED"/>
    <w:rsid w:val="00852945"/>
    <w:rsid w:val="00852AC1"/>
    <w:rsid w:val="00852BDE"/>
    <w:rsid w:val="00853192"/>
    <w:rsid w:val="0085324F"/>
    <w:rsid w:val="00853318"/>
    <w:rsid w:val="008534CE"/>
    <w:rsid w:val="008534D2"/>
    <w:rsid w:val="00853968"/>
    <w:rsid w:val="00853CC8"/>
    <w:rsid w:val="00853D58"/>
    <w:rsid w:val="00853DE0"/>
    <w:rsid w:val="00853FDF"/>
    <w:rsid w:val="0085427A"/>
    <w:rsid w:val="008542E1"/>
    <w:rsid w:val="00854805"/>
    <w:rsid w:val="00854BCC"/>
    <w:rsid w:val="00854CD5"/>
    <w:rsid w:val="00854D42"/>
    <w:rsid w:val="00854ECC"/>
    <w:rsid w:val="00854FDE"/>
    <w:rsid w:val="00855183"/>
    <w:rsid w:val="008552DE"/>
    <w:rsid w:val="0085573E"/>
    <w:rsid w:val="00855893"/>
    <w:rsid w:val="008558CE"/>
    <w:rsid w:val="00855A6B"/>
    <w:rsid w:val="00855D16"/>
    <w:rsid w:val="00855D34"/>
    <w:rsid w:val="00855D9F"/>
    <w:rsid w:val="00855E1B"/>
    <w:rsid w:val="00855E44"/>
    <w:rsid w:val="008560B2"/>
    <w:rsid w:val="00856123"/>
    <w:rsid w:val="0085634B"/>
    <w:rsid w:val="0085640E"/>
    <w:rsid w:val="00856428"/>
    <w:rsid w:val="0085643B"/>
    <w:rsid w:val="0085645D"/>
    <w:rsid w:val="00856544"/>
    <w:rsid w:val="00856727"/>
    <w:rsid w:val="008569B4"/>
    <w:rsid w:val="00856B45"/>
    <w:rsid w:val="00856EDE"/>
    <w:rsid w:val="00856FD0"/>
    <w:rsid w:val="00857102"/>
    <w:rsid w:val="008572FC"/>
    <w:rsid w:val="008572FE"/>
    <w:rsid w:val="00857388"/>
    <w:rsid w:val="0085764A"/>
    <w:rsid w:val="008577D0"/>
    <w:rsid w:val="0085798F"/>
    <w:rsid w:val="008579C1"/>
    <w:rsid w:val="00857A81"/>
    <w:rsid w:val="00857C10"/>
    <w:rsid w:val="00860071"/>
    <w:rsid w:val="008603D3"/>
    <w:rsid w:val="00860663"/>
    <w:rsid w:val="0086079C"/>
    <w:rsid w:val="0086083C"/>
    <w:rsid w:val="008609E4"/>
    <w:rsid w:val="00860C99"/>
    <w:rsid w:val="00861205"/>
    <w:rsid w:val="00861437"/>
    <w:rsid w:val="0086182B"/>
    <w:rsid w:val="00861916"/>
    <w:rsid w:val="00861940"/>
    <w:rsid w:val="00861A49"/>
    <w:rsid w:val="00861AEE"/>
    <w:rsid w:val="00861BFC"/>
    <w:rsid w:val="00861CEC"/>
    <w:rsid w:val="00861D7A"/>
    <w:rsid w:val="00861E25"/>
    <w:rsid w:val="00862006"/>
    <w:rsid w:val="00862098"/>
    <w:rsid w:val="0086221B"/>
    <w:rsid w:val="00862577"/>
    <w:rsid w:val="00862646"/>
    <w:rsid w:val="00862733"/>
    <w:rsid w:val="008627A0"/>
    <w:rsid w:val="00862841"/>
    <w:rsid w:val="008628C0"/>
    <w:rsid w:val="00862932"/>
    <w:rsid w:val="00862D32"/>
    <w:rsid w:val="00862D77"/>
    <w:rsid w:val="00862DB9"/>
    <w:rsid w:val="00862DC0"/>
    <w:rsid w:val="00862F07"/>
    <w:rsid w:val="0086342B"/>
    <w:rsid w:val="008634D0"/>
    <w:rsid w:val="008634F4"/>
    <w:rsid w:val="00863634"/>
    <w:rsid w:val="0086369A"/>
    <w:rsid w:val="008637EC"/>
    <w:rsid w:val="008637FC"/>
    <w:rsid w:val="00863C23"/>
    <w:rsid w:val="00863D4E"/>
    <w:rsid w:val="00863EA6"/>
    <w:rsid w:val="00863F56"/>
    <w:rsid w:val="00863F6D"/>
    <w:rsid w:val="00863F7F"/>
    <w:rsid w:val="008640D7"/>
    <w:rsid w:val="00864101"/>
    <w:rsid w:val="008644AD"/>
    <w:rsid w:val="008645C4"/>
    <w:rsid w:val="008646FB"/>
    <w:rsid w:val="00864D1D"/>
    <w:rsid w:val="00864ECE"/>
    <w:rsid w:val="00865035"/>
    <w:rsid w:val="00865300"/>
    <w:rsid w:val="00865304"/>
    <w:rsid w:val="00865395"/>
    <w:rsid w:val="008658E4"/>
    <w:rsid w:val="008659B7"/>
    <w:rsid w:val="00865A27"/>
    <w:rsid w:val="00865B77"/>
    <w:rsid w:val="00865BFB"/>
    <w:rsid w:val="00865C61"/>
    <w:rsid w:val="00865CC4"/>
    <w:rsid w:val="00865E0E"/>
    <w:rsid w:val="00866041"/>
    <w:rsid w:val="00866052"/>
    <w:rsid w:val="0086617F"/>
    <w:rsid w:val="00866182"/>
    <w:rsid w:val="008661DA"/>
    <w:rsid w:val="008662AE"/>
    <w:rsid w:val="00866388"/>
    <w:rsid w:val="00866493"/>
    <w:rsid w:val="008665B8"/>
    <w:rsid w:val="00866657"/>
    <w:rsid w:val="00866690"/>
    <w:rsid w:val="008668A6"/>
    <w:rsid w:val="00866BDA"/>
    <w:rsid w:val="00866C9A"/>
    <w:rsid w:val="00866FC3"/>
    <w:rsid w:val="008672D4"/>
    <w:rsid w:val="00867305"/>
    <w:rsid w:val="00867313"/>
    <w:rsid w:val="0086744F"/>
    <w:rsid w:val="00867523"/>
    <w:rsid w:val="0086764A"/>
    <w:rsid w:val="0086784D"/>
    <w:rsid w:val="008678DC"/>
    <w:rsid w:val="00867909"/>
    <w:rsid w:val="0086797B"/>
    <w:rsid w:val="00867AFA"/>
    <w:rsid w:val="00867B80"/>
    <w:rsid w:val="00867F7D"/>
    <w:rsid w:val="008700BC"/>
    <w:rsid w:val="00870219"/>
    <w:rsid w:val="00870310"/>
    <w:rsid w:val="00870505"/>
    <w:rsid w:val="00870630"/>
    <w:rsid w:val="00870770"/>
    <w:rsid w:val="008707FC"/>
    <w:rsid w:val="00870901"/>
    <w:rsid w:val="00870B24"/>
    <w:rsid w:val="00870B7B"/>
    <w:rsid w:val="00870D31"/>
    <w:rsid w:val="00870E06"/>
    <w:rsid w:val="00870F24"/>
    <w:rsid w:val="00870F59"/>
    <w:rsid w:val="00871083"/>
    <w:rsid w:val="0087111E"/>
    <w:rsid w:val="0087140E"/>
    <w:rsid w:val="008715B4"/>
    <w:rsid w:val="00871AF9"/>
    <w:rsid w:val="00871B2B"/>
    <w:rsid w:val="00871B6E"/>
    <w:rsid w:val="00871CFA"/>
    <w:rsid w:val="00871E57"/>
    <w:rsid w:val="008720CC"/>
    <w:rsid w:val="008720E1"/>
    <w:rsid w:val="008722B8"/>
    <w:rsid w:val="00872399"/>
    <w:rsid w:val="0087246B"/>
    <w:rsid w:val="0087266B"/>
    <w:rsid w:val="00872963"/>
    <w:rsid w:val="00872AA5"/>
    <w:rsid w:val="00872AC4"/>
    <w:rsid w:val="00872AF1"/>
    <w:rsid w:val="00872B5C"/>
    <w:rsid w:val="00872F7E"/>
    <w:rsid w:val="00872F7F"/>
    <w:rsid w:val="00872FCF"/>
    <w:rsid w:val="008730EF"/>
    <w:rsid w:val="00873274"/>
    <w:rsid w:val="00873758"/>
    <w:rsid w:val="008737F6"/>
    <w:rsid w:val="00873873"/>
    <w:rsid w:val="008738EF"/>
    <w:rsid w:val="0087398E"/>
    <w:rsid w:val="00873BF5"/>
    <w:rsid w:val="00873C8F"/>
    <w:rsid w:val="00873CAF"/>
    <w:rsid w:val="00873D2F"/>
    <w:rsid w:val="00873DCA"/>
    <w:rsid w:val="00873F8B"/>
    <w:rsid w:val="008741DA"/>
    <w:rsid w:val="008742E8"/>
    <w:rsid w:val="008742FA"/>
    <w:rsid w:val="008744F4"/>
    <w:rsid w:val="008748B5"/>
    <w:rsid w:val="008748C8"/>
    <w:rsid w:val="00874939"/>
    <w:rsid w:val="00874AEE"/>
    <w:rsid w:val="00874BD0"/>
    <w:rsid w:val="00874D85"/>
    <w:rsid w:val="00874E5D"/>
    <w:rsid w:val="00874FB7"/>
    <w:rsid w:val="00875082"/>
    <w:rsid w:val="008750B4"/>
    <w:rsid w:val="0087511E"/>
    <w:rsid w:val="0087538B"/>
    <w:rsid w:val="0087551A"/>
    <w:rsid w:val="00875572"/>
    <w:rsid w:val="008758EB"/>
    <w:rsid w:val="00875A51"/>
    <w:rsid w:val="00875C28"/>
    <w:rsid w:val="00875C2A"/>
    <w:rsid w:val="00875E3B"/>
    <w:rsid w:val="00875EC4"/>
    <w:rsid w:val="00875F73"/>
    <w:rsid w:val="00875F76"/>
    <w:rsid w:val="0087620D"/>
    <w:rsid w:val="0087649E"/>
    <w:rsid w:val="008764FF"/>
    <w:rsid w:val="008766EF"/>
    <w:rsid w:val="0087684F"/>
    <w:rsid w:val="00876A87"/>
    <w:rsid w:val="00876AAD"/>
    <w:rsid w:val="00876BF6"/>
    <w:rsid w:val="00876C43"/>
    <w:rsid w:val="00876D2F"/>
    <w:rsid w:val="00876D85"/>
    <w:rsid w:val="00876F9F"/>
    <w:rsid w:val="00876FFA"/>
    <w:rsid w:val="008771D0"/>
    <w:rsid w:val="008772B5"/>
    <w:rsid w:val="008773A4"/>
    <w:rsid w:val="008775CB"/>
    <w:rsid w:val="00877626"/>
    <w:rsid w:val="00877687"/>
    <w:rsid w:val="0087769F"/>
    <w:rsid w:val="008777EE"/>
    <w:rsid w:val="008779F3"/>
    <w:rsid w:val="00877C13"/>
    <w:rsid w:val="00877C50"/>
    <w:rsid w:val="00877EA4"/>
    <w:rsid w:val="00877F3D"/>
    <w:rsid w:val="00880196"/>
    <w:rsid w:val="00880280"/>
    <w:rsid w:val="00880371"/>
    <w:rsid w:val="008803A3"/>
    <w:rsid w:val="008806CA"/>
    <w:rsid w:val="008806F2"/>
    <w:rsid w:val="0088072D"/>
    <w:rsid w:val="0088088A"/>
    <w:rsid w:val="00880BAB"/>
    <w:rsid w:val="00880D8D"/>
    <w:rsid w:val="00880E62"/>
    <w:rsid w:val="00880ECF"/>
    <w:rsid w:val="00880ED8"/>
    <w:rsid w:val="00881127"/>
    <w:rsid w:val="0088155A"/>
    <w:rsid w:val="0088156C"/>
    <w:rsid w:val="00881658"/>
    <w:rsid w:val="008818F9"/>
    <w:rsid w:val="00881974"/>
    <w:rsid w:val="00881A24"/>
    <w:rsid w:val="00881B98"/>
    <w:rsid w:val="00881BAB"/>
    <w:rsid w:val="0088206B"/>
    <w:rsid w:val="008824E7"/>
    <w:rsid w:val="00882896"/>
    <w:rsid w:val="00882A32"/>
    <w:rsid w:val="00882BBB"/>
    <w:rsid w:val="00882BCA"/>
    <w:rsid w:val="00882BF6"/>
    <w:rsid w:val="00882D0C"/>
    <w:rsid w:val="00882E56"/>
    <w:rsid w:val="00882EF7"/>
    <w:rsid w:val="00883003"/>
    <w:rsid w:val="00883547"/>
    <w:rsid w:val="00883936"/>
    <w:rsid w:val="00883A54"/>
    <w:rsid w:val="00883A9F"/>
    <w:rsid w:val="00883DE1"/>
    <w:rsid w:val="00883F62"/>
    <w:rsid w:val="0088427A"/>
    <w:rsid w:val="008842F8"/>
    <w:rsid w:val="0088438A"/>
    <w:rsid w:val="0088444A"/>
    <w:rsid w:val="00884660"/>
    <w:rsid w:val="008846D5"/>
    <w:rsid w:val="008847A3"/>
    <w:rsid w:val="0088495B"/>
    <w:rsid w:val="008849DA"/>
    <w:rsid w:val="00884ABD"/>
    <w:rsid w:val="00884BD2"/>
    <w:rsid w:val="00884DD8"/>
    <w:rsid w:val="00884E81"/>
    <w:rsid w:val="00884EA9"/>
    <w:rsid w:val="00884EDA"/>
    <w:rsid w:val="00884F56"/>
    <w:rsid w:val="0088520F"/>
    <w:rsid w:val="00885271"/>
    <w:rsid w:val="008853CC"/>
    <w:rsid w:val="008858FF"/>
    <w:rsid w:val="008859C8"/>
    <w:rsid w:val="00885AA7"/>
    <w:rsid w:val="00885B5B"/>
    <w:rsid w:val="00885D68"/>
    <w:rsid w:val="00885E92"/>
    <w:rsid w:val="00885FF9"/>
    <w:rsid w:val="00886135"/>
    <w:rsid w:val="00886145"/>
    <w:rsid w:val="00886199"/>
    <w:rsid w:val="00886229"/>
    <w:rsid w:val="00886261"/>
    <w:rsid w:val="00886276"/>
    <w:rsid w:val="008864F0"/>
    <w:rsid w:val="008865C7"/>
    <w:rsid w:val="008865FD"/>
    <w:rsid w:val="0088661A"/>
    <w:rsid w:val="00886644"/>
    <w:rsid w:val="00886762"/>
    <w:rsid w:val="0088677C"/>
    <w:rsid w:val="008867BE"/>
    <w:rsid w:val="008869FD"/>
    <w:rsid w:val="00886DCA"/>
    <w:rsid w:val="00886FF8"/>
    <w:rsid w:val="00887019"/>
    <w:rsid w:val="00887101"/>
    <w:rsid w:val="00887263"/>
    <w:rsid w:val="00887299"/>
    <w:rsid w:val="008873CB"/>
    <w:rsid w:val="0088779C"/>
    <w:rsid w:val="008877B6"/>
    <w:rsid w:val="008877F4"/>
    <w:rsid w:val="00887817"/>
    <w:rsid w:val="0088786A"/>
    <w:rsid w:val="00887883"/>
    <w:rsid w:val="00887A87"/>
    <w:rsid w:val="00887D2E"/>
    <w:rsid w:val="00887D5F"/>
    <w:rsid w:val="00887D70"/>
    <w:rsid w:val="00887E59"/>
    <w:rsid w:val="00887E7D"/>
    <w:rsid w:val="00890197"/>
    <w:rsid w:val="00890551"/>
    <w:rsid w:val="00890672"/>
    <w:rsid w:val="00890823"/>
    <w:rsid w:val="008908E7"/>
    <w:rsid w:val="0089098D"/>
    <w:rsid w:val="00890A7B"/>
    <w:rsid w:val="00890B24"/>
    <w:rsid w:val="00890C49"/>
    <w:rsid w:val="00890F11"/>
    <w:rsid w:val="00890F87"/>
    <w:rsid w:val="00891057"/>
    <w:rsid w:val="0089113A"/>
    <w:rsid w:val="0089122A"/>
    <w:rsid w:val="00891505"/>
    <w:rsid w:val="00891C8C"/>
    <w:rsid w:val="00891E05"/>
    <w:rsid w:val="00891F35"/>
    <w:rsid w:val="0089202E"/>
    <w:rsid w:val="0089239B"/>
    <w:rsid w:val="00892429"/>
    <w:rsid w:val="0089256D"/>
    <w:rsid w:val="0089270A"/>
    <w:rsid w:val="008928CB"/>
    <w:rsid w:val="00892C70"/>
    <w:rsid w:val="00892C7C"/>
    <w:rsid w:val="00892FF9"/>
    <w:rsid w:val="00892FFF"/>
    <w:rsid w:val="0089347B"/>
    <w:rsid w:val="00893762"/>
    <w:rsid w:val="00893955"/>
    <w:rsid w:val="008939A9"/>
    <w:rsid w:val="00893AD6"/>
    <w:rsid w:val="00893C33"/>
    <w:rsid w:val="00893C4E"/>
    <w:rsid w:val="00893C78"/>
    <w:rsid w:val="00893F0B"/>
    <w:rsid w:val="0089414B"/>
    <w:rsid w:val="00894579"/>
    <w:rsid w:val="008946CE"/>
    <w:rsid w:val="0089479F"/>
    <w:rsid w:val="00894862"/>
    <w:rsid w:val="008948D4"/>
    <w:rsid w:val="00894B67"/>
    <w:rsid w:val="00894B7C"/>
    <w:rsid w:val="00894C09"/>
    <w:rsid w:val="00894FCF"/>
    <w:rsid w:val="00895032"/>
    <w:rsid w:val="008952E0"/>
    <w:rsid w:val="008955A5"/>
    <w:rsid w:val="0089570C"/>
    <w:rsid w:val="00895BA4"/>
    <w:rsid w:val="00895F54"/>
    <w:rsid w:val="00895FDB"/>
    <w:rsid w:val="00896037"/>
    <w:rsid w:val="008961D9"/>
    <w:rsid w:val="008962B5"/>
    <w:rsid w:val="008964B1"/>
    <w:rsid w:val="00896631"/>
    <w:rsid w:val="008966CA"/>
    <w:rsid w:val="0089672D"/>
    <w:rsid w:val="008969EE"/>
    <w:rsid w:val="00896ABA"/>
    <w:rsid w:val="00896B25"/>
    <w:rsid w:val="00896B6E"/>
    <w:rsid w:val="00896BE5"/>
    <w:rsid w:val="00896E09"/>
    <w:rsid w:val="00896E55"/>
    <w:rsid w:val="00896EA5"/>
    <w:rsid w:val="0089731F"/>
    <w:rsid w:val="008978C0"/>
    <w:rsid w:val="00897ABF"/>
    <w:rsid w:val="00897B51"/>
    <w:rsid w:val="00897BF5"/>
    <w:rsid w:val="00897EC1"/>
    <w:rsid w:val="008A0170"/>
    <w:rsid w:val="008A032C"/>
    <w:rsid w:val="008A03F5"/>
    <w:rsid w:val="008A05F9"/>
    <w:rsid w:val="008A0668"/>
    <w:rsid w:val="008A07B1"/>
    <w:rsid w:val="008A0833"/>
    <w:rsid w:val="008A091D"/>
    <w:rsid w:val="008A0AB3"/>
    <w:rsid w:val="008A0DD1"/>
    <w:rsid w:val="008A0EEA"/>
    <w:rsid w:val="008A0FB6"/>
    <w:rsid w:val="008A0FFD"/>
    <w:rsid w:val="008A1196"/>
    <w:rsid w:val="008A1518"/>
    <w:rsid w:val="008A1626"/>
    <w:rsid w:val="008A1985"/>
    <w:rsid w:val="008A19D4"/>
    <w:rsid w:val="008A19EF"/>
    <w:rsid w:val="008A1C7E"/>
    <w:rsid w:val="008A1C8F"/>
    <w:rsid w:val="008A20F3"/>
    <w:rsid w:val="008A2375"/>
    <w:rsid w:val="008A23B4"/>
    <w:rsid w:val="008A25D3"/>
    <w:rsid w:val="008A270C"/>
    <w:rsid w:val="008A279A"/>
    <w:rsid w:val="008A2844"/>
    <w:rsid w:val="008A29C3"/>
    <w:rsid w:val="008A2AD5"/>
    <w:rsid w:val="008A2E4D"/>
    <w:rsid w:val="008A2E61"/>
    <w:rsid w:val="008A2EA3"/>
    <w:rsid w:val="008A2EED"/>
    <w:rsid w:val="008A310B"/>
    <w:rsid w:val="008A3289"/>
    <w:rsid w:val="008A371F"/>
    <w:rsid w:val="008A378F"/>
    <w:rsid w:val="008A3851"/>
    <w:rsid w:val="008A3B02"/>
    <w:rsid w:val="008A3CEB"/>
    <w:rsid w:val="008A3DC6"/>
    <w:rsid w:val="008A3E96"/>
    <w:rsid w:val="008A436B"/>
    <w:rsid w:val="008A4500"/>
    <w:rsid w:val="008A4589"/>
    <w:rsid w:val="008A4611"/>
    <w:rsid w:val="008A4619"/>
    <w:rsid w:val="008A488E"/>
    <w:rsid w:val="008A48CE"/>
    <w:rsid w:val="008A4967"/>
    <w:rsid w:val="008A49E4"/>
    <w:rsid w:val="008A4B22"/>
    <w:rsid w:val="008A4B6F"/>
    <w:rsid w:val="008A4CC5"/>
    <w:rsid w:val="008A4DA2"/>
    <w:rsid w:val="008A5095"/>
    <w:rsid w:val="008A514B"/>
    <w:rsid w:val="008A5429"/>
    <w:rsid w:val="008A544F"/>
    <w:rsid w:val="008A553D"/>
    <w:rsid w:val="008A5598"/>
    <w:rsid w:val="008A55D0"/>
    <w:rsid w:val="008A5635"/>
    <w:rsid w:val="008A56EA"/>
    <w:rsid w:val="008A5727"/>
    <w:rsid w:val="008A59B0"/>
    <w:rsid w:val="008A5B1A"/>
    <w:rsid w:val="008A5C75"/>
    <w:rsid w:val="008A5CA4"/>
    <w:rsid w:val="008A5D84"/>
    <w:rsid w:val="008A5E5C"/>
    <w:rsid w:val="008A5F56"/>
    <w:rsid w:val="008A6086"/>
    <w:rsid w:val="008A60C7"/>
    <w:rsid w:val="008A6190"/>
    <w:rsid w:val="008A61C0"/>
    <w:rsid w:val="008A6231"/>
    <w:rsid w:val="008A623D"/>
    <w:rsid w:val="008A62AD"/>
    <w:rsid w:val="008A65E8"/>
    <w:rsid w:val="008A6685"/>
    <w:rsid w:val="008A6841"/>
    <w:rsid w:val="008A6884"/>
    <w:rsid w:val="008A6885"/>
    <w:rsid w:val="008A6962"/>
    <w:rsid w:val="008A6983"/>
    <w:rsid w:val="008A6DFD"/>
    <w:rsid w:val="008A6E66"/>
    <w:rsid w:val="008A6E6D"/>
    <w:rsid w:val="008A6EE2"/>
    <w:rsid w:val="008A6FE1"/>
    <w:rsid w:val="008A71C1"/>
    <w:rsid w:val="008A7837"/>
    <w:rsid w:val="008A7A0E"/>
    <w:rsid w:val="008A7ACC"/>
    <w:rsid w:val="008A7C28"/>
    <w:rsid w:val="008A7D39"/>
    <w:rsid w:val="008A7D40"/>
    <w:rsid w:val="008B00F4"/>
    <w:rsid w:val="008B01BB"/>
    <w:rsid w:val="008B021A"/>
    <w:rsid w:val="008B03D9"/>
    <w:rsid w:val="008B045D"/>
    <w:rsid w:val="008B0516"/>
    <w:rsid w:val="008B0580"/>
    <w:rsid w:val="008B0620"/>
    <w:rsid w:val="008B07E4"/>
    <w:rsid w:val="008B07FC"/>
    <w:rsid w:val="008B0ACB"/>
    <w:rsid w:val="008B0C40"/>
    <w:rsid w:val="008B0C67"/>
    <w:rsid w:val="008B0C84"/>
    <w:rsid w:val="008B0D69"/>
    <w:rsid w:val="008B0EB6"/>
    <w:rsid w:val="008B0F9F"/>
    <w:rsid w:val="008B1187"/>
    <w:rsid w:val="008B11CB"/>
    <w:rsid w:val="008B1273"/>
    <w:rsid w:val="008B1415"/>
    <w:rsid w:val="008B1686"/>
    <w:rsid w:val="008B177A"/>
    <w:rsid w:val="008B1A90"/>
    <w:rsid w:val="008B1BC0"/>
    <w:rsid w:val="008B1FBA"/>
    <w:rsid w:val="008B21F5"/>
    <w:rsid w:val="008B2293"/>
    <w:rsid w:val="008B22A0"/>
    <w:rsid w:val="008B2415"/>
    <w:rsid w:val="008B28A8"/>
    <w:rsid w:val="008B2953"/>
    <w:rsid w:val="008B2ACF"/>
    <w:rsid w:val="008B2ADD"/>
    <w:rsid w:val="008B2F45"/>
    <w:rsid w:val="008B30F2"/>
    <w:rsid w:val="008B3137"/>
    <w:rsid w:val="008B31E2"/>
    <w:rsid w:val="008B32F3"/>
    <w:rsid w:val="008B35C8"/>
    <w:rsid w:val="008B366A"/>
    <w:rsid w:val="008B3687"/>
    <w:rsid w:val="008B3ACC"/>
    <w:rsid w:val="008B3B1F"/>
    <w:rsid w:val="008B3B2C"/>
    <w:rsid w:val="008B3BD3"/>
    <w:rsid w:val="008B3D8C"/>
    <w:rsid w:val="008B3DEF"/>
    <w:rsid w:val="008B3F10"/>
    <w:rsid w:val="008B4036"/>
    <w:rsid w:val="008B4105"/>
    <w:rsid w:val="008B4203"/>
    <w:rsid w:val="008B437A"/>
    <w:rsid w:val="008B43A6"/>
    <w:rsid w:val="008B43CD"/>
    <w:rsid w:val="008B453F"/>
    <w:rsid w:val="008B4591"/>
    <w:rsid w:val="008B470B"/>
    <w:rsid w:val="008B498B"/>
    <w:rsid w:val="008B4A66"/>
    <w:rsid w:val="008B4B18"/>
    <w:rsid w:val="008B4C77"/>
    <w:rsid w:val="008B4D81"/>
    <w:rsid w:val="008B4E5D"/>
    <w:rsid w:val="008B4ECB"/>
    <w:rsid w:val="008B50FB"/>
    <w:rsid w:val="008B5103"/>
    <w:rsid w:val="008B5254"/>
    <w:rsid w:val="008B5266"/>
    <w:rsid w:val="008B56CC"/>
    <w:rsid w:val="008B587A"/>
    <w:rsid w:val="008B5A75"/>
    <w:rsid w:val="008B5AD6"/>
    <w:rsid w:val="008B5E4E"/>
    <w:rsid w:val="008B5E9F"/>
    <w:rsid w:val="008B6104"/>
    <w:rsid w:val="008B622F"/>
    <w:rsid w:val="008B62D0"/>
    <w:rsid w:val="008B64A0"/>
    <w:rsid w:val="008B6516"/>
    <w:rsid w:val="008B6574"/>
    <w:rsid w:val="008B66B2"/>
    <w:rsid w:val="008B676C"/>
    <w:rsid w:val="008B67AA"/>
    <w:rsid w:val="008B67BB"/>
    <w:rsid w:val="008B6800"/>
    <w:rsid w:val="008B6821"/>
    <w:rsid w:val="008B6AC0"/>
    <w:rsid w:val="008B6AED"/>
    <w:rsid w:val="008B6E9E"/>
    <w:rsid w:val="008B6F00"/>
    <w:rsid w:val="008B6FDE"/>
    <w:rsid w:val="008B7080"/>
    <w:rsid w:val="008B71E6"/>
    <w:rsid w:val="008B71F8"/>
    <w:rsid w:val="008B7245"/>
    <w:rsid w:val="008B72E3"/>
    <w:rsid w:val="008B7315"/>
    <w:rsid w:val="008B7725"/>
    <w:rsid w:val="008B777D"/>
    <w:rsid w:val="008B77F5"/>
    <w:rsid w:val="008B7826"/>
    <w:rsid w:val="008B7898"/>
    <w:rsid w:val="008B7BF1"/>
    <w:rsid w:val="008B7DE2"/>
    <w:rsid w:val="008B7EDE"/>
    <w:rsid w:val="008C00FA"/>
    <w:rsid w:val="008C060B"/>
    <w:rsid w:val="008C0872"/>
    <w:rsid w:val="008C0A7B"/>
    <w:rsid w:val="008C0DC0"/>
    <w:rsid w:val="008C0E5A"/>
    <w:rsid w:val="008C0E88"/>
    <w:rsid w:val="008C13EF"/>
    <w:rsid w:val="008C156C"/>
    <w:rsid w:val="008C1590"/>
    <w:rsid w:val="008C1599"/>
    <w:rsid w:val="008C159B"/>
    <w:rsid w:val="008C1682"/>
    <w:rsid w:val="008C1767"/>
    <w:rsid w:val="008C176B"/>
    <w:rsid w:val="008C17A8"/>
    <w:rsid w:val="008C18CA"/>
    <w:rsid w:val="008C1A4D"/>
    <w:rsid w:val="008C1B9A"/>
    <w:rsid w:val="008C1BEF"/>
    <w:rsid w:val="008C1CA3"/>
    <w:rsid w:val="008C1F5E"/>
    <w:rsid w:val="008C200C"/>
    <w:rsid w:val="008C21D8"/>
    <w:rsid w:val="008C2356"/>
    <w:rsid w:val="008C2822"/>
    <w:rsid w:val="008C2B63"/>
    <w:rsid w:val="008C2DAA"/>
    <w:rsid w:val="008C2DEC"/>
    <w:rsid w:val="008C2E23"/>
    <w:rsid w:val="008C2ED1"/>
    <w:rsid w:val="008C2EEE"/>
    <w:rsid w:val="008C2F48"/>
    <w:rsid w:val="008C30B3"/>
    <w:rsid w:val="008C319D"/>
    <w:rsid w:val="008C334B"/>
    <w:rsid w:val="008C36C6"/>
    <w:rsid w:val="008C3B26"/>
    <w:rsid w:val="008C4088"/>
    <w:rsid w:val="008C409D"/>
    <w:rsid w:val="008C4128"/>
    <w:rsid w:val="008C4707"/>
    <w:rsid w:val="008C48CE"/>
    <w:rsid w:val="008C493A"/>
    <w:rsid w:val="008C4955"/>
    <w:rsid w:val="008C498B"/>
    <w:rsid w:val="008C4B30"/>
    <w:rsid w:val="008C4DD8"/>
    <w:rsid w:val="008C4DEC"/>
    <w:rsid w:val="008C4EB8"/>
    <w:rsid w:val="008C5205"/>
    <w:rsid w:val="008C52AB"/>
    <w:rsid w:val="008C5633"/>
    <w:rsid w:val="008C570A"/>
    <w:rsid w:val="008C5A8F"/>
    <w:rsid w:val="008C5AC5"/>
    <w:rsid w:val="008C5C24"/>
    <w:rsid w:val="008C5C61"/>
    <w:rsid w:val="008C5D6C"/>
    <w:rsid w:val="008C60D7"/>
    <w:rsid w:val="008C6289"/>
    <w:rsid w:val="008C6476"/>
    <w:rsid w:val="008C64B9"/>
    <w:rsid w:val="008C6560"/>
    <w:rsid w:val="008C656E"/>
    <w:rsid w:val="008C6614"/>
    <w:rsid w:val="008C6713"/>
    <w:rsid w:val="008C6ACB"/>
    <w:rsid w:val="008C6AD4"/>
    <w:rsid w:val="008C6C55"/>
    <w:rsid w:val="008C6C84"/>
    <w:rsid w:val="008C6E07"/>
    <w:rsid w:val="008C7040"/>
    <w:rsid w:val="008C70F4"/>
    <w:rsid w:val="008C7110"/>
    <w:rsid w:val="008C7271"/>
    <w:rsid w:val="008C737F"/>
    <w:rsid w:val="008C76D8"/>
    <w:rsid w:val="008C7781"/>
    <w:rsid w:val="008C77C7"/>
    <w:rsid w:val="008C787B"/>
    <w:rsid w:val="008C78D2"/>
    <w:rsid w:val="008C78DD"/>
    <w:rsid w:val="008C7965"/>
    <w:rsid w:val="008C7D38"/>
    <w:rsid w:val="008C7DEE"/>
    <w:rsid w:val="008C7DF2"/>
    <w:rsid w:val="008C7F7E"/>
    <w:rsid w:val="008C7FEE"/>
    <w:rsid w:val="008D004F"/>
    <w:rsid w:val="008D0270"/>
    <w:rsid w:val="008D040B"/>
    <w:rsid w:val="008D05EF"/>
    <w:rsid w:val="008D0773"/>
    <w:rsid w:val="008D07B0"/>
    <w:rsid w:val="008D0A54"/>
    <w:rsid w:val="008D0B9B"/>
    <w:rsid w:val="008D0BFE"/>
    <w:rsid w:val="008D0D35"/>
    <w:rsid w:val="008D0DA5"/>
    <w:rsid w:val="008D0DD7"/>
    <w:rsid w:val="008D1026"/>
    <w:rsid w:val="008D1151"/>
    <w:rsid w:val="008D13E5"/>
    <w:rsid w:val="008D1756"/>
    <w:rsid w:val="008D1A45"/>
    <w:rsid w:val="008D1A86"/>
    <w:rsid w:val="008D1E31"/>
    <w:rsid w:val="008D22DB"/>
    <w:rsid w:val="008D23E4"/>
    <w:rsid w:val="008D240F"/>
    <w:rsid w:val="008D267F"/>
    <w:rsid w:val="008D268F"/>
    <w:rsid w:val="008D2836"/>
    <w:rsid w:val="008D2A1F"/>
    <w:rsid w:val="008D2BFC"/>
    <w:rsid w:val="008D2EBA"/>
    <w:rsid w:val="008D2F8D"/>
    <w:rsid w:val="008D311C"/>
    <w:rsid w:val="008D3242"/>
    <w:rsid w:val="008D3267"/>
    <w:rsid w:val="008D334A"/>
    <w:rsid w:val="008D334C"/>
    <w:rsid w:val="008D361D"/>
    <w:rsid w:val="008D3633"/>
    <w:rsid w:val="008D36C5"/>
    <w:rsid w:val="008D3807"/>
    <w:rsid w:val="008D3AB3"/>
    <w:rsid w:val="008D3DBE"/>
    <w:rsid w:val="008D3F0E"/>
    <w:rsid w:val="008D4155"/>
    <w:rsid w:val="008D45FF"/>
    <w:rsid w:val="008D47BB"/>
    <w:rsid w:val="008D47E3"/>
    <w:rsid w:val="008D488B"/>
    <w:rsid w:val="008D4A55"/>
    <w:rsid w:val="008D4CC5"/>
    <w:rsid w:val="008D4DEC"/>
    <w:rsid w:val="008D4F7E"/>
    <w:rsid w:val="008D5063"/>
    <w:rsid w:val="008D52FE"/>
    <w:rsid w:val="008D5391"/>
    <w:rsid w:val="008D5510"/>
    <w:rsid w:val="008D576B"/>
    <w:rsid w:val="008D580A"/>
    <w:rsid w:val="008D58A7"/>
    <w:rsid w:val="008D59CB"/>
    <w:rsid w:val="008D5B64"/>
    <w:rsid w:val="008D5BB4"/>
    <w:rsid w:val="008D5CD7"/>
    <w:rsid w:val="008D5D2E"/>
    <w:rsid w:val="008D5DB6"/>
    <w:rsid w:val="008D6098"/>
    <w:rsid w:val="008D6102"/>
    <w:rsid w:val="008D615A"/>
    <w:rsid w:val="008D6180"/>
    <w:rsid w:val="008D61D2"/>
    <w:rsid w:val="008D62A9"/>
    <w:rsid w:val="008D65EE"/>
    <w:rsid w:val="008D6853"/>
    <w:rsid w:val="008D6A20"/>
    <w:rsid w:val="008D6B35"/>
    <w:rsid w:val="008D6C05"/>
    <w:rsid w:val="008D6C7A"/>
    <w:rsid w:val="008D6D12"/>
    <w:rsid w:val="008D6D60"/>
    <w:rsid w:val="008D6DA3"/>
    <w:rsid w:val="008D705A"/>
    <w:rsid w:val="008D709F"/>
    <w:rsid w:val="008D70A4"/>
    <w:rsid w:val="008D70F6"/>
    <w:rsid w:val="008D7178"/>
    <w:rsid w:val="008D717D"/>
    <w:rsid w:val="008D7195"/>
    <w:rsid w:val="008D7309"/>
    <w:rsid w:val="008D73EE"/>
    <w:rsid w:val="008D7679"/>
    <w:rsid w:val="008D76DF"/>
    <w:rsid w:val="008D7800"/>
    <w:rsid w:val="008D7809"/>
    <w:rsid w:val="008D7973"/>
    <w:rsid w:val="008D79C2"/>
    <w:rsid w:val="008D79C3"/>
    <w:rsid w:val="008D7C37"/>
    <w:rsid w:val="008D7E08"/>
    <w:rsid w:val="008E00D4"/>
    <w:rsid w:val="008E02AD"/>
    <w:rsid w:val="008E02C1"/>
    <w:rsid w:val="008E05C9"/>
    <w:rsid w:val="008E07C6"/>
    <w:rsid w:val="008E07F5"/>
    <w:rsid w:val="008E0A20"/>
    <w:rsid w:val="008E0B69"/>
    <w:rsid w:val="008E0D61"/>
    <w:rsid w:val="008E0DE6"/>
    <w:rsid w:val="008E0EE8"/>
    <w:rsid w:val="008E10C3"/>
    <w:rsid w:val="008E1137"/>
    <w:rsid w:val="008E12DF"/>
    <w:rsid w:val="008E13CB"/>
    <w:rsid w:val="008E13E3"/>
    <w:rsid w:val="008E160D"/>
    <w:rsid w:val="008E183D"/>
    <w:rsid w:val="008E1912"/>
    <w:rsid w:val="008E1C74"/>
    <w:rsid w:val="008E2035"/>
    <w:rsid w:val="008E21CA"/>
    <w:rsid w:val="008E24B4"/>
    <w:rsid w:val="008E2576"/>
    <w:rsid w:val="008E26DB"/>
    <w:rsid w:val="008E26EA"/>
    <w:rsid w:val="008E27E4"/>
    <w:rsid w:val="008E284A"/>
    <w:rsid w:val="008E29BA"/>
    <w:rsid w:val="008E2BD7"/>
    <w:rsid w:val="008E3028"/>
    <w:rsid w:val="008E30C0"/>
    <w:rsid w:val="008E314D"/>
    <w:rsid w:val="008E3151"/>
    <w:rsid w:val="008E3349"/>
    <w:rsid w:val="008E36F1"/>
    <w:rsid w:val="008E37A6"/>
    <w:rsid w:val="008E3930"/>
    <w:rsid w:val="008E3AC4"/>
    <w:rsid w:val="008E3BDC"/>
    <w:rsid w:val="008E3D17"/>
    <w:rsid w:val="008E3E0F"/>
    <w:rsid w:val="008E404B"/>
    <w:rsid w:val="008E4120"/>
    <w:rsid w:val="008E43B8"/>
    <w:rsid w:val="008E46A9"/>
    <w:rsid w:val="008E4789"/>
    <w:rsid w:val="008E482E"/>
    <w:rsid w:val="008E4BB5"/>
    <w:rsid w:val="008E4CFE"/>
    <w:rsid w:val="008E4F24"/>
    <w:rsid w:val="008E4F33"/>
    <w:rsid w:val="008E5453"/>
    <w:rsid w:val="008E54E2"/>
    <w:rsid w:val="008E56A5"/>
    <w:rsid w:val="008E57D4"/>
    <w:rsid w:val="008E59D1"/>
    <w:rsid w:val="008E5B4F"/>
    <w:rsid w:val="008E5C85"/>
    <w:rsid w:val="008E6051"/>
    <w:rsid w:val="008E6082"/>
    <w:rsid w:val="008E61E2"/>
    <w:rsid w:val="008E628E"/>
    <w:rsid w:val="008E66F9"/>
    <w:rsid w:val="008E6A18"/>
    <w:rsid w:val="008E6E01"/>
    <w:rsid w:val="008E6E79"/>
    <w:rsid w:val="008E72FB"/>
    <w:rsid w:val="008E73AF"/>
    <w:rsid w:val="008E7473"/>
    <w:rsid w:val="008E7478"/>
    <w:rsid w:val="008E775A"/>
    <w:rsid w:val="008E7846"/>
    <w:rsid w:val="008E7864"/>
    <w:rsid w:val="008E78FB"/>
    <w:rsid w:val="008E79BA"/>
    <w:rsid w:val="008E7A3B"/>
    <w:rsid w:val="008E7AB6"/>
    <w:rsid w:val="008E7BD2"/>
    <w:rsid w:val="008E8487"/>
    <w:rsid w:val="008F00FE"/>
    <w:rsid w:val="008F026A"/>
    <w:rsid w:val="008F02B4"/>
    <w:rsid w:val="008F0395"/>
    <w:rsid w:val="008F057C"/>
    <w:rsid w:val="008F060E"/>
    <w:rsid w:val="008F0834"/>
    <w:rsid w:val="008F0B6B"/>
    <w:rsid w:val="008F0C4C"/>
    <w:rsid w:val="008F0C76"/>
    <w:rsid w:val="008F0E02"/>
    <w:rsid w:val="008F0EF5"/>
    <w:rsid w:val="008F0F7E"/>
    <w:rsid w:val="008F16AC"/>
    <w:rsid w:val="008F171A"/>
    <w:rsid w:val="008F1856"/>
    <w:rsid w:val="008F1BD9"/>
    <w:rsid w:val="008F1D7A"/>
    <w:rsid w:val="008F1E6A"/>
    <w:rsid w:val="008F1EE6"/>
    <w:rsid w:val="008F2268"/>
    <w:rsid w:val="008F239C"/>
    <w:rsid w:val="008F239E"/>
    <w:rsid w:val="008F2B08"/>
    <w:rsid w:val="008F2D5E"/>
    <w:rsid w:val="008F2ED8"/>
    <w:rsid w:val="008F3179"/>
    <w:rsid w:val="008F32DF"/>
    <w:rsid w:val="008F3513"/>
    <w:rsid w:val="008F3629"/>
    <w:rsid w:val="008F36D2"/>
    <w:rsid w:val="008F394B"/>
    <w:rsid w:val="008F3B4F"/>
    <w:rsid w:val="008F3B8A"/>
    <w:rsid w:val="008F3BE5"/>
    <w:rsid w:val="008F3C46"/>
    <w:rsid w:val="008F3D44"/>
    <w:rsid w:val="008F3D89"/>
    <w:rsid w:val="008F3E05"/>
    <w:rsid w:val="008F4041"/>
    <w:rsid w:val="008F429E"/>
    <w:rsid w:val="008F43A1"/>
    <w:rsid w:val="008F44A3"/>
    <w:rsid w:val="008F45C4"/>
    <w:rsid w:val="008F4665"/>
    <w:rsid w:val="008F466E"/>
    <w:rsid w:val="008F46AF"/>
    <w:rsid w:val="008F46E3"/>
    <w:rsid w:val="008F46F2"/>
    <w:rsid w:val="008F47D6"/>
    <w:rsid w:val="008F4807"/>
    <w:rsid w:val="008F4AC4"/>
    <w:rsid w:val="008F4B39"/>
    <w:rsid w:val="008F4BE5"/>
    <w:rsid w:val="008F4E07"/>
    <w:rsid w:val="008F50BD"/>
    <w:rsid w:val="008F51CB"/>
    <w:rsid w:val="008F5215"/>
    <w:rsid w:val="008F5339"/>
    <w:rsid w:val="008F5797"/>
    <w:rsid w:val="008F58AB"/>
    <w:rsid w:val="008F5B91"/>
    <w:rsid w:val="008F5DD7"/>
    <w:rsid w:val="008F5DE7"/>
    <w:rsid w:val="008F5E50"/>
    <w:rsid w:val="008F60B2"/>
    <w:rsid w:val="008F6219"/>
    <w:rsid w:val="008F63CC"/>
    <w:rsid w:val="008F6423"/>
    <w:rsid w:val="008F65BD"/>
    <w:rsid w:val="008F690C"/>
    <w:rsid w:val="008F6FD5"/>
    <w:rsid w:val="008F72B8"/>
    <w:rsid w:val="008F762F"/>
    <w:rsid w:val="008F76F7"/>
    <w:rsid w:val="008F7BBD"/>
    <w:rsid w:val="008F7DB6"/>
    <w:rsid w:val="008F7EB3"/>
    <w:rsid w:val="008F7F66"/>
    <w:rsid w:val="008F7F8B"/>
    <w:rsid w:val="009001C3"/>
    <w:rsid w:val="009001FB"/>
    <w:rsid w:val="009001FC"/>
    <w:rsid w:val="00900331"/>
    <w:rsid w:val="00900391"/>
    <w:rsid w:val="009003B2"/>
    <w:rsid w:val="0090041A"/>
    <w:rsid w:val="0090064E"/>
    <w:rsid w:val="009006BD"/>
    <w:rsid w:val="009006BF"/>
    <w:rsid w:val="00900A0E"/>
    <w:rsid w:val="00900ADE"/>
    <w:rsid w:val="00900BF5"/>
    <w:rsid w:val="00900D3E"/>
    <w:rsid w:val="0090106C"/>
    <w:rsid w:val="00901109"/>
    <w:rsid w:val="009011F0"/>
    <w:rsid w:val="00901237"/>
    <w:rsid w:val="00901454"/>
    <w:rsid w:val="0090145A"/>
    <w:rsid w:val="00901683"/>
    <w:rsid w:val="00901B18"/>
    <w:rsid w:val="0090232C"/>
    <w:rsid w:val="009025A4"/>
    <w:rsid w:val="0090278A"/>
    <w:rsid w:val="0090283B"/>
    <w:rsid w:val="009028DD"/>
    <w:rsid w:val="00902BE6"/>
    <w:rsid w:val="00902CFA"/>
    <w:rsid w:val="00902D09"/>
    <w:rsid w:val="00902D0E"/>
    <w:rsid w:val="0090363C"/>
    <w:rsid w:val="009038EF"/>
    <w:rsid w:val="00903951"/>
    <w:rsid w:val="0090397B"/>
    <w:rsid w:val="00903B11"/>
    <w:rsid w:val="00903C2B"/>
    <w:rsid w:val="00903C46"/>
    <w:rsid w:val="00903CC5"/>
    <w:rsid w:val="00903D45"/>
    <w:rsid w:val="00903FBB"/>
    <w:rsid w:val="009040A4"/>
    <w:rsid w:val="0090445D"/>
    <w:rsid w:val="0090448E"/>
    <w:rsid w:val="00904498"/>
    <w:rsid w:val="009045B8"/>
    <w:rsid w:val="009046EC"/>
    <w:rsid w:val="0090486D"/>
    <w:rsid w:val="00904A82"/>
    <w:rsid w:val="00904F8C"/>
    <w:rsid w:val="0090516D"/>
    <w:rsid w:val="0090517F"/>
    <w:rsid w:val="00905299"/>
    <w:rsid w:val="009052A9"/>
    <w:rsid w:val="0090540A"/>
    <w:rsid w:val="00905525"/>
    <w:rsid w:val="009056D4"/>
    <w:rsid w:val="009059AB"/>
    <w:rsid w:val="00905B0E"/>
    <w:rsid w:val="00905BB5"/>
    <w:rsid w:val="00905C36"/>
    <w:rsid w:val="00905CF4"/>
    <w:rsid w:val="00905E4B"/>
    <w:rsid w:val="00905E6B"/>
    <w:rsid w:val="00905F08"/>
    <w:rsid w:val="00905FC4"/>
    <w:rsid w:val="0090604D"/>
    <w:rsid w:val="009060CC"/>
    <w:rsid w:val="009062ED"/>
    <w:rsid w:val="00906388"/>
    <w:rsid w:val="0090671A"/>
    <w:rsid w:val="0090673B"/>
    <w:rsid w:val="00906AF0"/>
    <w:rsid w:val="00906B99"/>
    <w:rsid w:val="00906BF6"/>
    <w:rsid w:val="00906CC2"/>
    <w:rsid w:val="00906EEB"/>
    <w:rsid w:val="009070A1"/>
    <w:rsid w:val="00907272"/>
    <w:rsid w:val="0090742A"/>
    <w:rsid w:val="00907817"/>
    <w:rsid w:val="00907829"/>
    <w:rsid w:val="00907ABC"/>
    <w:rsid w:val="00907AEE"/>
    <w:rsid w:val="00907D1E"/>
    <w:rsid w:val="00907F9D"/>
    <w:rsid w:val="009100F9"/>
    <w:rsid w:val="009102D8"/>
    <w:rsid w:val="009104A7"/>
    <w:rsid w:val="00910603"/>
    <w:rsid w:val="00910655"/>
    <w:rsid w:val="00910679"/>
    <w:rsid w:val="009106D2"/>
    <w:rsid w:val="009106F5"/>
    <w:rsid w:val="00910C01"/>
    <w:rsid w:val="00910C18"/>
    <w:rsid w:val="00910C31"/>
    <w:rsid w:val="00910CB0"/>
    <w:rsid w:val="00910D23"/>
    <w:rsid w:val="00910F99"/>
    <w:rsid w:val="00911011"/>
    <w:rsid w:val="00911175"/>
    <w:rsid w:val="009113D1"/>
    <w:rsid w:val="009113E0"/>
    <w:rsid w:val="00911453"/>
    <w:rsid w:val="0091145A"/>
    <w:rsid w:val="009114BB"/>
    <w:rsid w:val="00911571"/>
    <w:rsid w:val="00911658"/>
    <w:rsid w:val="009117B3"/>
    <w:rsid w:val="009118E8"/>
    <w:rsid w:val="0091192D"/>
    <w:rsid w:val="009119F6"/>
    <w:rsid w:val="00911A0C"/>
    <w:rsid w:val="00911BD8"/>
    <w:rsid w:val="00911D37"/>
    <w:rsid w:val="00911DBB"/>
    <w:rsid w:val="00911DE6"/>
    <w:rsid w:val="00912215"/>
    <w:rsid w:val="00912256"/>
    <w:rsid w:val="009125D0"/>
    <w:rsid w:val="0091299A"/>
    <w:rsid w:val="00912A0D"/>
    <w:rsid w:val="00912C27"/>
    <w:rsid w:val="00912D63"/>
    <w:rsid w:val="00913037"/>
    <w:rsid w:val="00913145"/>
    <w:rsid w:val="009135A1"/>
    <w:rsid w:val="00913777"/>
    <w:rsid w:val="009139E8"/>
    <w:rsid w:val="00913AD6"/>
    <w:rsid w:val="00913E36"/>
    <w:rsid w:val="0091410B"/>
    <w:rsid w:val="009141C8"/>
    <w:rsid w:val="009141F4"/>
    <w:rsid w:val="009141F6"/>
    <w:rsid w:val="00914351"/>
    <w:rsid w:val="00914608"/>
    <w:rsid w:val="0091499C"/>
    <w:rsid w:val="00914A69"/>
    <w:rsid w:val="00914C58"/>
    <w:rsid w:val="00914F27"/>
    <w:rsid w:val="00915565"/>
    <w:rsid w:val="009158B6"/>
    <w:rsid w:val="00915AE3"/>
    <w:rsid w:val="00915C7B"/>
    <w:rsid w:val="00915CCB"/>
    <w:rsid w:val="00915FD1"/>
    <w:rsid w:val="009161A4"/>
    <w:rsid w:val="009163E0"/>
    <w:rsid w:val="0091659A"/>
    <w:rsid w:val="009166EA"/>
    <w:rsid w:val="009167CB"/>
    <w:rsid w:val="009167E7"/>
    <w:rsid w:val="00916852"/>
    <w:rsid w:val="00916881"/>
    <w:rsid w:val="00916893"/>
    <w:rsid w:val="00916956"/>
    <w:rsid w:val="009169BB"/>
    <w:rsid w:val="009169E3"/>
    <w:rsid w:val="00916A15"/>
    <w:rsid w:val="00916B67"/>
    <w:rsid w:val="00916DD3"/>
    <w:rsid w:val="00916ED5"/>
    <w:rsid w:val="00916F02"/>
    <w:rsid w:val="00916FB3"/>
    <w:rsid w:val="009171A8"/>
    <w:rsid w:val="0091724E"/>
    <w:rsid w:val="00917597"/>
    <w:rsid w:val="00917CF5"/>
    <w:rsid w:val="00917E93"/>
    <w:rsid w:val="00917F26"/>
    <w:rsid w:val="00920359"/>
    <w:rsid w:val="0092040E"/>
    <w:rsid w:val="00920519"/>
    <w:rsid w:val="00920770"/>
    <w:rsid w:val="00920A50"/>
    <w:rsid w:val="00920B83"/>
    <w:rsid w:val="00920BA4"/>
    <w:rsid w:val="00920D1D"/>
    <w:rsid w:val="00920F5F"/>
    <w:rsid w:val="009210B0"/>
    <w:rsid w:val="009210D1"/>
    <w:rsid w:val="0092122E"/>
    <w:rsid w:val="00921389"/>
    <w:rsid w:val="009213EC"/>
    <w:rsid w:val="00921650"/>
    <w:rsid w:val="009218EA"/>
    <w:rsid w:val="0092197E"/>
    <w:rsid w:val="00921A55"/>
    <w:rsid w:val="00921ACA"/>
    <w:rsid w:val="00921AFD"/>
    <w:rsid w:val="00921D04"/>
    <w:rsid w:val="00922010"/>
    <w:rsid w:val="00922115"/>
    <w:rsid w:val="009221E7"/>
    <w:rsid w:val="009225D4"/>
    <w:rsid w:val="00922B21"/>
    <w:rsid w:val="00922BAD"/>
    <w:rsid w:val="00922C75"/>
    <w:rsid w:val="0092306E"/>
    <w:rsid w:val="009230B6"/>
    <w:rsid w:val="009230FB"/>
    <w:rsid w:val="0092314A"/>
    <w:rsid w:val="00923384"/>
    <w:rsid w:val="009234BF"/>
    <w:rsid w:val="0092372C"/>
    <w:rsid w:val="0092381D"/>
    <w:rsid w:val="00923877"/>
    <w:rsid w:val="00923A3F"/>
    <w:rsid w:val="00923A8D"/>
    <w:rsid w:val="00923C12"/>
    <w:rsid w:val="00923C4F"/>
    <w:rsid w:val="00923C94"/>
    <w:rsid w:val="00923D02"/>
    <w:rsid w:val="00923D2A"/>
    <w:rsid w:val="00923E96"/>
    <w:rsid w:val="00924211"/>
    <w:rsid w:val="00924350"/>
    <w:rsid w:val="00924566"/>
    <w:rsid w:val="0092469A"/>
    <w:rsid w:val="00924902"/>
    <w:rsid w:val="009249EE"/>
    <w:rsid w:val="00924A3E"/>
    <w:rsid w:val="00924B4D"/>
    <w:rsid w:val="009250A5"/>
    <w:rsid w:val="00925463"/>
    <w:rsid w:val="00925624"/>
    <w:rsid w:val="00925696"/>
    <w:rsid w:val="009256BF"/>
    <w:rsid w:val="009257C5"/>
    <w:rsid w:val="00925EEA"/>
    <w:rsid w:val="00926433"/>
    <w:rsid w:val="009265CE"/>
    <w:rsid w:val="009267BA"/>
    <w:rsid w:val="009268A0"/>
    <w:rsid w:val="00926972"/>
    <w:rsid w:val="009269B2"/>
    <w:rsid w:val="00926A47"/>
    <w:rsid w:val="00926E39"/>
    <w:rsid w:val="0092707A"/>
    <w:rsid w:val="009271F9"/>
    <w:rsid w:val="009273D8"/>
    <w:rsid w:val="009273DC"/>
    <w:rsid w:val="00927546"/>
    <w:rsid w:val="009278E6"/>
    <w:rsid w:val="00927916"/>
    <w:rsid w:val="00927979"/>
    <w:rsid w:val="009279BB"/>
    <w:rsid w:val="00927B1B"/>
    <w:rsid w:val="00927E9E"/>
    <w:rsid w:val="009301E7"/>
    <w:rsid w:val="0093026D"/>
    <w:rsid w:val="0093036A"/>
    <w:rsid w:val="0093054B"/>
    <w:rsid w:val="00930593"/>
    <w:rsid w:val="009306CF"/>
    <w:rsid w:val="009306D0"/>
    <w:rsid w:val="00930726"/>
    <w:rsid w:val="00930763"/>
    <w:rsid w:val="00930AB0"/>
    <w:rsid w:val="00930C6F"/>
    <w:rsid w:val="00930CE5"/>
    <w:rsid w:val="00930CEC"/>
    <w:rsid w:val="00931301"/>
    <w:rsid w:val="009313F0"/>
    <w:rsid w:val="00931429"/>
    <w:rsid w:val="00931469"/>
    <w:rsid w:val="009317B6"/>
    <w:rsid w:val="009317F9"/>
    <w:rsid w:val="00931830"/>
    <w:rsid w:val="009318AF"/>
    <w:rsid w:val="00931924"/>
    <w:rsid w:val="00931979"/>
    <w:rsid w:val="00931AF4"/>
    <w:rsid w:val="00931B79"/>
    <w:rsid w:val="00931D84"/>
    <w:rsid w:val="00931DD7"/>
    <w:rsid w:val="00931F95"/>
    <w:rsid w:val="00932199"/>
    <w:rsid w:val="009321CA"/>
    <w:rsid w:val="0093225F"/>
    <w:rsid w:val="009323EC"/>
    <w:rsid w:val="009323F1"/>
    <w:rsid w:val="00932549"/>
    <w:rsid w:val="0093291C"/>
    <w:rsid w:val="00932C3F"/>
    <w:rsid w:val="00932ED8"/>
    <w:rsid w:val="0093302E"/>
    <w:rsid w:val="0093307B"/>
    <w:rsid w:val="00933580"/>
    <w:rsid w:val="009337B8"/>
    <w:rsid w:val="00933874"/>
    <w:rsid w:val="00933988"/>
    <w:rsid w:val="00933A60"/>
    <w:rsid w:val="00933B75"/>
    <w:rsid w:val="00933BC2"/>
    <w:rsid w:val="00933BE4"/>
    <w:rsid w:val="00933C05"/>
    <w:rsid w:val="00934079"/>
    <w:rsid w:val="0093409F"/>
    <w:rsid w:val="00934197"/>
    <w:rsid w:val="009343E9"/>
    <w:rsid w:val="00934403"/>
    <w:rsid w:val="00934701"/>
    <w:rsid w:val="00934772"/>
    <w:rsid w:val="00934899"/>
    <w:rsid w:val="00934BAC"/>
    <w:rsid w:val="00934D59"/>
    <w:rsid w:val="00934EEF"/>
    <w:rsid w:val="00935223"/>
    <w:rsid w:val="00935533"/>
    <w:rsid w:val="00935AEB"/>
    <w:rsid w:val="00935B10"/>
    <w:rsid w:val="00935B65"/>
    <w:rsid w:val="00935BC9"/>
    <w:rsid w:val="0093618A"/>
    <w:rsid w:val="00936347"/>
    <w:rsid w:val="0093634E"/>
    <w:rsid w:val="009364CE"/>
    <w:rsid w:val="0093650C"/>
    <w:rsid w:val="00936750"/>
    <w:rsid w:val="00936944"/>
    <w:rsid w:val="00936BAC"/>
    <w:rsid w:val="00936C5E"/>
    <w:rsid w:val="00936F0F"/>
    <w:rsid w:val="00936F2C"/>
    <w:rsid w:val="00937258"/>
    <w:rsid w:val="00937416"/>
    <w:rsid w:val="00937423"/>
    <w:rsid w:val="0093758C"/>
    <w:rsid w:val="00937640"/>
    <w:rsid w:val="00937723"/>
    <w:rsid w:val="00937799"/>
    <w:rsid w:val="00937AE9"/>
    <w:rsid w:val="00937EB6"/>
    <w:rsid w:val="00937EC9"/>
    <w:rsid w:val="00937FC5"/>
    <w:rsid w:val="009400F4"/>
    <w:rsid w:val="00940178"/>
    <w:rsid w:val="009403B8"/>
    <w:rsid w:val="0094044A"/>
    <w:rsid w:val="00940709"/>
    <w:rsid w:val="00940759"/>
    <w:rsid w:val="00940810"/>
    <w:rsid w:val="00940994"/>
    <w:rsid w:val="00940B6F"/>
    <w:rsid w:val="00940CFB"/>
    <w:rsid w:val="00940D81"/>
    <w:rsid w:val="00940ECB"/>
    <w:rsid w:val="00941221"/>
    <w:rsid w:val="00941274"/>
    <w:rsid w:val="00941289"/>
    <w:rsid w:val="009412AB"/>
    <w:rsid w:val="00941622"/>
    <w:rsid w:val="0094177F"/>
    <w:rsid w:val="00941855"/>
    <w:rsid w:val="0094185D"/>
    <w:rsid w:val="00941C7E"/>
    <w:rsid w:val="00941D63"/>
    <w:rsid w:val="00941D6F"/>
    <w:rsid w:val="00941D79"/>
    <w:rsid w:val="00941E5B"/>
    <w:rsid w:val="00941E86"/>
    <w:rsid w:val="00941F37"/>
    <w:rsid w:val="00941FC2"/>
    <w:rsid w:val="00942053"/>
    <w:rsid w:val="0094213E"/>
    <w:rsid w:val="0094224D"/>
    <w:rsid w:val="00942419"/>
    <w:rsid w:val="00942775"/>
    <w:rsid w:val="009427C5"/>
    <w:rsid w:val="0094285F"/>
    <w:rsid w:val="009428DE"/>
    <w:rsid w:val="0094297A"/>
    <w:rsid w:val="00942B4B"/>
    <w:rsid w:val="00942C08"/>
    <w:rsid w:val="00942FB9"/>
    <w:rsid w:val="00943021"/>
    <w:rsid w:val="0094325C"/>
    <w:rsid w:val="009433A4"/>
    <w:rsid w:val="00943431"/>
    <w:rsid w:val="009434D6"/>
    <w:rsid w:val="00943524"/>
    <w:rsid w:val="0094360C"/>
    <w:rsid w:val="009436B1"/>
    <w:rsid w:val="00943704"/>
    <w:rsid w:val="0094380C"/>
    <w:rsid w:val="00943830"/>
    <w:rsid w:val="009438D4"/>
    <w:rsid w:val="00943B0C"/>
    <w:rsid w:val="00943B58"/>
    <w:rsid w:val="00943D89"/>
    <w:rsid w:val="00943E12"/>
    <w:rsid w:val="00944194"/>
    <w:rsid w:val="0094425D"/>
    <w:rsid w:val="009442C6"/>
    <w:rsid w:val="00944672"/>
    <w:rsid w:val="009446F5"/>
    <w:rsid w:val="00944735"/>
    <w:rsid w:val="009447E6"/>
    <w:rsid w:val="00944AB1"/>
    <w:rsid w:val="00944BD9"/>
    <w:rsid w:val="00944BF0"/>
    <w:rsid w:val="00944D9E"/>
    <w:rsid w:val="0094518A"/>
    <w:rsid w:val="009451DB"/>
    <w:rsid w:val="00945207"/>
    <w:rsid w:val="00945235"/>
    <w:rsid w:val="00945300"/>
    <w:rsid w:val="0094558F"/>
    <w:rsid w:val="00945641"/>
    <w:rsid w:val="009456D8"/>
    <w:rsid w:val="00945733"/>
    <w:rsid w:val="00945868"/>
    <w:rsid w:val="009458A0"/>
    <w:rsid w:val="00945A00"/>
    <w:rsid w:val="00945AE6"/>
    <w:rsid w:val="00945BC0"/>
    <w:rsid w:val="00945C6E"/>
    <w:rsid w:val="009461C6"/>
    <w:rsid w:val="00946393"/>
    <w:rsid w:val="009465A5"/>
    <w:rsid w:val="0094671E"/>
    <w:rsid w:val="00946862"/>
    <w:rsid w:val="009468A5"/>
    <w:rsid w:val="009468C0"/>
    <w:rsid w:val="009468C2"/>
    <w:rsid w:val="00946ADC"/>
    <w:rsid w:val="00946D2B"/>
    <w:rsid w:val="00946DD3"/>
    <w:rsid w:val="0094700E"/>
    <w:rsid w:val="00947011"/>
    <w:rsid w:val="0094716B"/>
    <w:rsid w:val="009472AB"/>
    <w:rsid w:val="009476D4"/>
    <w:rsid w:val="0094778A"/>
    <w:rsid w:val="009478E9"/>
    <w:rsid w:val="00947C4B"/>
    <w:rsid w:val="00947E32"/>
    <w:rsid w:val="00950068"/>
    <w:rsid w:val="00950148"/>
    <w:rsid w:val="0095016A"/>
    <w:rsid w:val="0095021B"/>
    <w:rsid w:val="00950886"/>
    <w:rsid w:val="00950B33"/>
    <w:rsid w:val="00950B63"/>
    <w:rsid w:val="00950D74"/>
    <w:rsid w:val="00950EB6"/>
    <w:rsid w:val="0095123B"/>
    <w:rsid w:val="0095145B"/>
    <w:rsid w:val="00951517"/>
    <w:rsid w:val="0095180F"/>
    <w:rsid w:val="0095183F"/>
    <w:rsid w:val="0095196C"/>
    <w:rsid w:val="009519E0"/>
    <w:rsid w:val="009519FB"/>
    <w:rsid w:val="009519FD"/>
    <w:rsid w:val="00951A65"/>
    <w:rsid w:val="00951BA0"/>
    <w:rsid w:val="00951C91"/>
    <w:rsid w:val="00951D57"/>
    <w:rsid w:val="00951F4B"/>
    <w:rsid w:val="00951F72"/>
    <w:rsid w:val="0095227E"/>
    <w:rsid w:val="00952301"/>
    <w:rsid w:val="00952405"/>
    <w:rsid w:val="00952559"/>
    <w:rsid w:val="00952628"/>
    <w:rsid w:val="00952879"/>
    <w:rsid w:val="00952963"/>
    <w:rsid w:val="00952982"/>
    <w:rsid w:val="009529A9"/>
    <w:rsid w:val="00952D51"/>
    <w:rsid w:val="00952D72"/>
    <w:rsid w:val="00952E9C"/>
    <w:rsid w:val="00953014"/>
    <w:rsid w:val="009530B0"/>
    <w:rsid w:val="00953338"/>
    <w:rsid w:val="009535C6"/>
    <w:rsid w:val="00953646"/>
    <w:rsid w:val="00953678"/>
    <w:rsid w:val="009539E9"/>
    <w:rsid w:val="00953B41"/>
    <w:rsid w:val="00953C3F"/>
    <w:rsid w:val="009540FF"/>
    <w:rsid w:val="00954247"/>
    <w:rsid w:val="00954294"/>
    <w:rsid w:val="00954554"/>
    <w:rsid w:val="009545D0"/>
    <w:rsid w:val="009545E2"/>
    <w:rsid w:val="009546E7"/>
    <w:rsid w:val="009546F0"/>
    <w:rsid w:val="009547E1"/>
    <w:rsid w:val="00954C13"/>
    <w:rsid w:val="00954F39"/>
    <w:rsid w:val="00954FFA"/>
    <w:rsid w:val="00955141"/>
    <w:rsid w:val="009551AA"/>
    <w:rsid w:val="009551BB"/>
    <w:rsid w:val="0095523E"/>
    <w:rsid w:val="009552E4"/>
    <w:rsid w:val="00955324"/>
    <w:rsid w:val="009553A1"/>
    <w:rsid w:val="0095564A"/>
    <w:rsid w:val="009557D7"/>
    <w:rsid w:val="009557F9"/>
    <w:rsid w:val="0095583A"/>
    <w:rsid w:val="00955924"/>
    <w:rsid w:val="00955E87"/>
    <w:rsid w:val="00955F35"/>
    <w:rsid w:val="00956013"/>
    <w:rsid w:val="00956328"/>
    <w:rsid w:val="0095660F"/>
    <w:rsid w:val="0095672E"/>
    <w:rsid w:val="0095676E"/>
    <w:rsid w:val="009567D7"/>
    <w:rsid w:val="00956897"/>
    <w:rsid w:val="00956931"/>
    <w:rsid w:val="00956979"/>
    <w:rsid w:val="009569FF"/>
    <w:rsid w:val="00956E09"/>
    <w:rsid w:val="00956EBA"/>
    <w:rsid w:val="00956F40"/>
    <w:rsid w:val="0095706E"/>
    <w:rsid w:val="009570DB"/>
    <w:rsid w:val="0095749A"/>
    <w:rsid w:val="0095762F"/>
    <w:rsid w:val="00957689"/>
    <w:rsid w:val="00957735"/>
    <w:rsid w:val="00957775"/>
    <w:rsid w:val="009577F9"/>
    <w:rsid w:val="0095782C"/>
    <w:rsid w:val="009579FB"/>
    <w:rsid w:val="00957A6A"/>
    <w:rsid w:val="00957E2C"/>
    <w:rsid w:val="00957F1D"/>
    <w:rsid w:val="00957F72"/>
    <w:rsid w:val="009602A4"/>
    <w:rsid w:val="009602DE"/>
    <w:rsid w:val="009605C7"/>
    <w:rsid w:val="009605CD"/>
    <w:rsid w:val="0096061F"/>
    <w:rsid w:val="00960CC9"/>
    <w:rsid w:val="00960E1F"/>
    <w:rsid w:val="00960E22"/>
    <w:rsid w:val="00960E86"/>
    <w:rsid w:val="009610CA"/>
    <w:rsid w:val="009610EA"/>
    <w:rsid w:val="00961127"/>
    <w:rsid w:val="0096118D"/>
    <w:rsid w:val="009612E7"/>
    <w:rsid w:val="0096135B"/>
    <w:rsid w:val="0096137B"/>
    <w:rsid w:val="009617EF"/>
    <w:rsid w:val="00961864"/>
    <w:rsid w:val="00961961"/>
    <w:rsid w:val="00961A55"/>
    <w:rsid w:val="00961A66"/>
    <w:rsid w:val="00961B18"/>
    <w:rsid w:val="00961B95"/>
    <w:rsid w:val="00961D73"/>
    <w:rsid w:val="009621BB"/>
    <w:rsid w:val="009621E4"/>
    <w:rsid w:val="009622CF"/>
    <w:rsid w:val="0096236A"/>
    <w:rsid w:val="00962640"/>
    <w:rsid w:val="00962894"/>
    <w:rsid w:val="00962DA8"/>
    <w:rsid w:val="00962F67"/>
    <w:rsid w:val="00963004"/>
    <w:rsid w:val="0096310D"/>
    <w:rsid w:val="00963112"/>
    <w:rsid w:val="00963237"/>
    <w:rsid w:val="00963331"/>
    <w:rsid w:val="00963531"/>
    <w:rsid w:val="0096374B"/>
    <w:rsid w:val="00963865"/>
    <w:rsid w:val="009638FE"/>
    <w:rsid w:val="009639FA"/>
    <w:rsid w:val="00963ABE"/>
    <w:rsid w:val="00963CD4"/>
    <w:rsid w:val="00963D55"/>
    <w:rsid w:val="00964024"/>
    <w:rsid w:val="00964283"/>
    <w:rsid w:val="009642A8"/>
    <w:rsid w:val="009642FA"/>
    <w:rsid w:val="00964547"/>
    <w:rsid w:val="009645A5"/>
    <w:rsid w:val="00964699"/>
    <w:rsid w:val="009647EE"/>
    <w:rsid w:val="0096494B"/>
    <w:rsid w:val="00964AE7"/>
    <w:rsid w:val="00964DC4"/>
    <w:rsid w:val="00964DE6"/>
    <w:rsid w:val="00964FD6"/>
    <w:rsid w:val="009650E0"/>
    <w:rsid w:val="009654EB"/>
    <w:rsid w:val="009656F1"/>
    <w:rsid w:val="00965A7C"/>
    <w:rsid w:val="00965A8F"/>
    <w:rsid w:val="00965AE3"/>
    <w:rsid w:val="00965D89"/>
    <w:rsid w:val="00966086"/>
    <w:rsid w:val="0096609C"/>
    <w:rsid w:val="009662D2"/>
    <w:rsid w:val="009668C5"/>
    <w:rsid w:val="00966A00"/>
    <w:rsid w:val="00966AA6"/>
    <w:rsid w:val="00966AE6"/>
    <w:rsid w:val="00966B6B"/>
    <w:rsid w:val="00966C9B"/>
    <w:rsid w:val="00966E04"/>
    <w:rsid w:val="00966EFF"/>
    <w:rsid w:val="009670BA"/>
    <w:rsid w:val="00967195"/>
    <w:rsid w:val="009672B8"/>
    <w:rsid w:val="00967433"/>
    <w:rsid w:val="009675D7"/>
    <w:rsid w:val="0096768E"/>
    <w:rsid w:val="009678F8"/>
    <w:rsid w:val="00967974"/>
    <w:rsid w:val="00967C4F"/>
    <w:rsid w:val="00967C58"/>
    <w:rsid w:val="00967D9D"/>
    <w:rsid w:val="00967FAE"/>
    <w:rsid w:val="00967FE1"/>
    <w:rsid w:val="0097004C"/>
    <w:rsid w:val="009700F6"/>
    <w:rsid w:val="00970174"/>
    <w:rsid w:val="0097036C"/>
    <w:rsid w:val="009704AD"/>
    <w:rsid w:val="009705A6"/>
    <w:rsid w:val="00970A76"/>
    <w:rsid w:val="00970B7B"/>
    <w:rsid w:val="00970B91"/>
    <w:rsid w:val="00970C46"/>
    <w:rsid w:val="00970DF9"/>
    <w:rsid w:val="00970ED2"/>
    <w:rsid w:val="00971036"/>
    <w:rsid w:val="00971083"/>
    <w:rsid w:val="009710AC"/>
    <w:rsid w:val="0097122B"/>
    <w:rsid w:val="00971269"/>
    <w:rsid w:val="009712D0"/>
    <w:rsid w:val="0097180C"/>
    <w:rsid w:val="00971A77"/>
    <w:rsid w:val="00971B17"/>
    <w:rsid w:val="00971BEA"/>
    <w:rsid w:val="00971C81"/>
    <w:rsid w:val="00971E66"/>
    <w:rsid w:val="00971ED7"/>
    <w:rsid w:val="00972446"/>
    <w:rsid w:val="0097245A"/>
    <w:rsid w:val="00972504"/>
    <w:rsid w:val="009725F1"/>
    <w:rsid w:val="00972929"/>
    <w:rsid w:val="0097292D"/>
    <w:rsid w:val="00972A73"/>
    <w:rsid w:val="00972ADE"/>
    <w:rsid w:val="00972F7D"/>
    <w:rsid w:val="00973293"/>
    <w:rsid w:val="009735E4"/>
    <w:rsid w:val="009736F6"/>
    <w:rsid w:val="0097398B"/>
    <w:rsid w:val="009739DA"/>
    <w:rsid w:val="00973B3B"/>
    <w:rsid w:val="00973C53"/>
    <w:rsid w:val="00973C93"/>
    <w:rsid w:val="00973D1A"/>
    <w:rsid w:val="00973FD5"/>
    <w:rsid w:val="009741C8"/>
    <w:rsid w:val="0097426E"/>
    <w:rsid w:val="00974803"/>
    <w:rsid w:val="00974BE9"/>
    <w:rsid w:val="00974C41"/>
    <w:rsid w:val="00974E16"/>
    <w:rsid w:val="00974E50"/>
    <w:rsid w:val="00975200"/>
    <w:rsid w:val="0097529D"/>
    <w:rsid w:val="00975344"/>
    <w:rsid w:val="009753E5"/>
    <w:rsid w:val="0097579A"/>
    <w:rsid w:val="009757E3"/>
    <w:rsid w:val="009762CC"/>
    <w:rsid w:val="009763A9"/>
    <w:rsid w:val="00976479"/>
    <w:rsid w:val="009764AC"/>
    <w:rsid w:val="00976759"/>
    <w:rsid w:val="00976914"/>
    <w:rsid w:val="0097698C"/>
    <w:rsid w:val="00976C21"/>
    <w:rsid w:val="009770B2"/>
    <w:rsid w:val="009770DA"/>
    <w:rsid w:val="009771B0"/>
    <w:rsid w:val="009772F2"/>
    <w:rsid w:val="009776D0"/>
    <w:rsid w:val="009778BF"/>
    <w:rsid w:val="00977A55"/>
    <w:rsid w:val="00977C90"/>
    <w:rsid w:val="00977E2F"/>
    <w:rsid w:val="00977EC0"/>
    <w:rsid w:val="00977EC6"/>
    <w:rsid w:val="009802E9"/>
    <w:rsid w:val="009804EB"/>
    <w:rsid w:val="0098054A"/>
    <w:rsid w:val="0098055F"/>
    <w:rsid w:val="009805E4"/>
    <w:rsid w:val="0098069D"/>
    <w:rsid w:val="009806BD"/>
    <w:rsid w:val="00980A94"/>
    <w:rsid w:val="00980CB0"/>
    <w:rsid w:val="00980D49"/>
    <w:rsid w:val="00980E19"/>
    <w:rsid w:val="00981193"/>
    <w:rsid w:val="0098126D"/>
    <w:rsid w:val="0098140B"/>
    <w:rsid w:val="00981531"/>
    <w:rsid w:val="009815E7"/>
    <w:rsid w:val="00981655"/>
    <w:rsid w:val="009817D6"/>
    <w:rsid w:val="009817D7"/>
    <w:rsid w:val="009817DA"/>
    <w:rsid w:val="00981AE0"/>
    <w:rsid w:val="00981B79"/>
    <w:rsid w:val="0098204F"/>
    <w:rsid w:val="00982472"/>
    <w:rsid w:val="009826D7"/>
    <w:rsid w:val="0098270C"/>
    <w:rsid w:val="00982B25"/>
    <w:rsid w:val="00982B39"/>
    <w:rsid w:val="00983000"/>
    <w:rsid w:val="00983075"/>
    <w:rsid w:val="00983179"/>
    <w:rsid w:val="0098318D"/>
    <w:rsid w:val="00983688"/>
    <w:rsid w:val="009837A3"/>
    <w:rsid w:val="009837FD"/>
    <w:rsid w:val="009838CA"/>
    <w:rsid w:val="009838FB"/>
    <w:rsid w:val="00983BAD"/>
    <w:rsid w:val="00983CE3"/>
    <w:rsid w:val="00983D61"/>
    <w:rsid w:val="00984060"/>
    <w:rsid w:val="00984168"/>
    <w:rsid w:val="00984249"/>
    <w:rsid w:val="009842E6"/>
    <w:rsid w:val="00984752"/>
    <w:rsid w:val="00984878"/>
    <w:rsid w:val="00984A26"/>
    <w:rsid w:val="00985165"/>
    <w:rsid w:val="0098520A"/>
    <w:rsid w:val="00985408"/>
    <w:rsid w:val="0098561C"/>
    <w:rsid w:val="00985A34"/>
    <w:rsid w:val="00985AE1"/>
    <w:rsid w:val="00985B99"/>
    <w:rsid w:val="00985BA3"/>
    <w:rsid w:val="00985BB3"/>
    <w:rsid w:val="00985E24"/>
    <w:rsid w:val="0098612C"/>
    <w:rsid w:val="0098621A"/>
    <w:rsid w:val="009863B1"/>
    <w:rsid w:val="009866B8"/>
    <w:rsid w:val="009866D2"/>
    <w:rsid w:val="00986713"/>
    <w:rsid w:val="009868BD"/>
    <w:rsid w:val="009869BA"/>
    <w:rsid w:val="00986BEB"/>
    <w:rsid w:val="00986EE3"/>
    <w:rsid w:val="00986F2A"/>
    <w:rsid w:val="00986F61"/>
    <w:rsid w:val="00986F69"/>
    <w:rsid w:val="00987061"/>
    <w:rsid w:val="0098730E"/>
    <w:rsid w:val="009873BB"/>
    <w:rsid w:val="009879B0"/>
    <w:rsid w:val="00987ADF"/>
    <w:rsid w:val="00987BD7"/>
    <w:rsid w:val="00987D11"/>
    <w:rsid w:val="00987D7C"/>
    <w:rsid w:val="00987D92"/>
    <w:rsid w:val="00987DB0"/>
    <w:rsid w:val="00987E2D"/>
    <w:rsid w:val="00987E5F"/>
    <w:rsid w:val="00987EA9"/>
    <w:rsid w:val="00990067"/>
    <w:rsid w:val="009902C1"/>
    <w:rsid w:val="0099048E"/>
    <w:rsid w:val="00990529"/>
    <w:rsid w:val="009906A6"/>
    <w:rsid w:val="00990981"/>
    <w:rsid w:val="00990AE4"/>
    <w:rsid w:val="00990C3E"/>
    <w:rsid w:val="00990E54"/>
    <w:rsid w:val="009912D3"/>
    <w:rsid w:val="009913B2"/>
    <w:rsid w:val="0099152A"/>
    <w:rsid w:val="00991533"/>
    <w:rsid w:val="009915E0"/>
    <w:rsid w:val="009917C7"/>
    <w:rsid w:val="00991803"/>
    <w:rsid w:val="00991963"/>
    <w:rsid w:val="00991BF6"/>
    <w:rsid w:val="00991D63"/>
    <w:rsid w:val="00991DCF"/>
    <w:rsid w:val="00991EC8"/>
    <w:rsid w:val="00991FF9"/>
    <w:rsid w:val="00992266"/>
    <w:rsid w:val="009922FE"/>
    <w:rsid w:val="0099236B"/>
    <w:rsid w:val="00992486"/>
    <w:rsid w:val="00992574"/>
    <w:rsid w:val="009925D2"/>
    <w:rsid w:val="0099279F"/>
    <w:rsid w:val="00992A18"/>
    <w:rsid w:val="00992CFA"/>
    <w:rsid w:val="00992D4B"/>
    <w:rsid w:val="00992D59"/>
    <w:rsid w:val="00992DE6"/>
    <w:rsid w:val="00992F50"/>
    <w:rsid w:val="00992F90"/>
    <w:rsid w:val="00993016"/>
    <w:rsid w:val="00993102"/>
    <w:rsid w:val="00993210"/>
    <w:rsid w:val="009932BA"/>
    <w:rsid w:val="0099338B"/>
    <w:rsid w:val="00993390"/>
    <w:rsid w:val="0099355C"/>
    <w:rsid w:val="009935C4"/>
    <w:rsid w:val="0099381F"/>
    <w:rsid w:val="00993955"/>
    <w:rsid w:val="00993B0E"/>
    <w:rsid w:val="00993B90"/>
    <w:rsid w:val="00993C7E"/>
    <w:rsid w:val="00993C9D"/>
    <w:rsid w:val="00993F36"/>
    <w:rsid w:val="00993F96"/>
    <w:rsid w:val="00994053"/>
    <w:rsid w:val="009941C8"/>
    <w:rsid w:val="009942A6"/>
    <w:rsid w:val="009943D4"/>
    <w:rsid w:val="0099469A"/>
    <w:rsid w:val="009948AC"/>
    <w:rsid w:val="00994D3A"/>
    <w:rsid w:val="00994F78"/>
    <w:rsid w:val="00994F8D"/>
    <w:rsid w:val="00994FEA"/>
    <w:rsid w:val="0099521B"/>
    <w:rsid w:val="0099524D"/>
    <w:rsid w:val="0099528E"/>
    <w:rsid w:val="009952FE"/>
    <w:rsid w:val="0099571F"/>
    <w:rsid w:val="009957C9"/>
    <w:rsid w:val="009957E8"/>
    <w:rsid w:val="009959D5"/>
    <w:rsid w:val="00995CC2"/>
    <w:rsid w:val="00995E59"/>
    <w:rsid w:val="00995E9B"/>
    <w:rsid w:val="00995FA5"/>
    <w:rsid w:val="00996313"/>
    <w:rsid w:val="009966AB"/>
    <w:rsid w:val="00996704"/>
    <w:rsid w:val="009967C5"/>
    <w:rsid w:val="00996850"/>
    <w:rsid w:val="009969AF"/>
    <w:rsid w:val="00996D15"/>
    <w:rsid w:val="00996DF8"/>
    <w:rsid w:val="009971A6"/>
    <w:rsid w:val="00997216"/>
    <w:rsid w:val="009973DB"/>
    <w:rsid w:val="009974B9"/>
    <w:rsid w:val="00997899"/>
    <w:rsid w:val="00997944"/>
    <w:rsid w:val="00997A84"/>
    <w:rsid w:val="00997B71"/>
    <w:rsid w:val="009A000D"/>
    <w:rsid w:val="009A0147"/>
    <w:rsid w:val="009A0326"/>
    <w:rsid w:val="009A03F0"/>
    <w:rsid w:val="009A0589"/>
    <w:rsid w:val="009A05F7"/>
    <w:rsid w:val="009A0603"/>
    <w:rsid w:val="009A06A1"/>
    <w:rsid w:val="009A077C"/>
    <w:rsid w:val="009A0987"/>
    <w:rsid w:val="009A0A92"/>
    <w:rsid w:val="009A0AC6"/>
    <w:rsid w:val="009A0E78"/>
    <w:rsid w:val="009A0ED3"/>
    <w:rsid w:val="009A0F8B"/>
    <w:rsid w:val="009A1014"/>
    <w:rsid w:val="009A1064"/>
    <w:rsid w:val="009A1122"/>
    <w:rsid w:val="009A137E"/>
    <w:rsid w:val="009A1531"/>
    <w:rsid w:val="009A1AC2"/>
    <w:rsid w:val="009A1B0D"/>
    <w:rsid w:val="009A1B5B"/>
    <w:rsid w:val="009A1DA0"/>
    <w:rsid w:val="009A20BE"/>
    <w:rsid w:val="009A2233"/>
    <w:rsid w:val="009A27F6"/>
    <w:rsid w:val="009A284D"/>
    <w:rsid w:val="009A2972"/>
    <w:rsid w:val="009A2BC2"/>
    <w:rsid w:val="009A2C8D"/>
    <w:rsid w:val="009A2D0F"/>
    <w:rsid w:val="009A2DBB"/>
    <w:rsid w:val="009A2E42"/>
    <w:rsid w:val="009A2E56"/>
    <w:rsid w:val="009A2EE8"/>
    <w:rsid w:val="009A3221"/>
    <w:rsid w:val="009A3795"/>
    <w:rsid w:val="009A39D7"/>
    <w:rsid w:val="009A3AB3"/>
    <w:rsid w:val="009A3BAB"/>
    <w:rsid w:val="009A3C13"/>
    <w:rsid w:val="009A3F95"/>
    <w:rsid w:val="009A4208"/>
    <w:rsid w:val="009A4234"/>
    <w:rsid w:val="009A42F3"/>
    <w:rsid w:val="009A43E4"/>
    <w:rsid w:val="009A4521"/>
    <w:rsid w:val="009A456C"/>
    <w:rsid w:val="009A469D"/>
    <w:rsid w:val="009A46BB"/>
    <w:rsid w:val="009A46CA"/>
    <w:rsid w:val="009A4A36"/>
    <w:rsid w:val="009A4B01"/>
    <w:rsid w:val="009A4B44"/>
    <w:rsid w:val="009A4E4A"/>
    <w:rsid w:val="009A4F4B"/>
    <w:rsid w:val="009A4F5E"/>
    <w:rsid w:val="009A4F7C"/>
    <w:rsid w:val="009A4FDD"/>
    <w:rsid w:val="009A512E"/>
    <w:rsid w:val="009A518C"/>
    <w:rsid w:val="009A52C5"/>
    <w:rsid w:val="009A5407"/>
    <w:rsid w:val="009A5595"/>
    <w:rsid w:val="009A55C0"/>
    <w:rsid w:val="009A59A6"/>
    <w:rsid w:val="009A5A97"/>
    <w:rsid w:val="009A5AA1"/>
    <w:rsid w:val="009A5B28"/>
    <w:rsid w:val="009A5B5C"/>
    <w:rsid w:val="009A5BEF"/>
    <w:rsid w:val="009A5C15"/>
    <w:rsid w:val="009A5CE8"/>
    <w:rsid w:val="009A5EAD"/>
    <w:rsid w:val="009A6105"/>
    <w:rsid w:val="009A623B"/>
    <w:rsid w:val="009A63F6"/>
    <w:rsid w:val="009A64AD"/>
    <w:rsid w:val="009A64F3"/>
    <w:rsid w:val="009A6779"/>
    <w:rsid w:val="009A68BF"/>
    <w:rsid w:val="009A68C4"/>
    <w:rsid w:val="009A6982"/>
    <w:rsid w:val="009A719E"/>
    <w:rsid w:val="009A72A4"/>
    <w:rsid w:val="009A730A"/>
    <w:rsid w:val="009A736E"/>
    <w:rsid w:val="009A75C7"/>
    <w:rsid w:val="009A78FC"/>
    <w:rsid w:val="009A7A53"/>
    <w:rsid w:val="009A7B17"/>
    <w:rsid w:val="009A7B94"/>
    <w:rsid w:val="009B0002"/>
    <w:rsid w:val="009B013F"/>
    <w:rsid w:val="009B0354"/>
    <w:rsid w:val="009B03DB"/>
    <w:rsid w:val="009B051F"/>
    <w:rsid w:val="009B071D"/>
    <w:rsid w:val="009B097A"/>
    <w:rsid w:val="009B0A80"/>
    <w:rsid w:val="009B0B32"/>
    <w:rsid w:val="009B1A76"/>
    <w:rsid w:val="009B1A7E"/>
    <w:rsid w:val="009B1B8C"/>
    <w:rsid w:val="009B1BEB"/>
    <w:rsid w:val="009B1E1D"/>
    <w:rsid w:val="009B1F75"/>
    <w:rsid w:val="009B1FAA"/>
    <w:rsid w:val="009B223E"/>
    <w:rsid w:val="009B23F7"/>
    <w:rsid w:val="009B254F"/>
    <w:rsid w:val="009B2679"/>
    <w:rsid w:val="009B272B"/>
    <w:rsid w:val="009B28FD"/>
    <w:rsid w:val="009B2BE3"/>
    <w:rsid w:val="009B2C70"/>
    <w:rsid w:val="009B2CCA"/>
    <w:rsid w:val="009B2FA3"/>
    <w:rsid w:val="009B2FD8"/>
    <w:rsid w:val="009B303E"/>
    <w:rsid w:val="009B3346"/>
    <w:rsid w:val="009B35F5"/>
    <w:rsid w:val="009B36B2"/>
    <w:rsid w:val="009B36E2"/>
    <w:rsid w:val="009B374A"/>
    <w:rsid w:val="009B37DF"/>
    <w:rsid w:val="009B3852"/>
    <w:rsid w:val="009B3942"/>
    <w:rsid w:val="009B395F"/>
    <w:rsid w:val="009B3A2A"/>
    <w:rsid w:val="009B3A86"/>
    <w:rsid w:val="009B3BAB"/>
    <w:rsid w:val="009B3BC8"/>
    <w:rsid w:val="009B3C20"/>
    <w:rsid w:val="009B3CC1"/>
    <w:rsid w:val="009B3D10"/>
    <w:rsid w:val="009B3DD4"/>
    <w:rsid w:val="009B3E23"/>
    <w:rsid w:val="009B3E77"/>
    <w:rsid w:val="009B3F3A"/>
    <w:rsid w:val="009B3FFE"/>
    <w:rsid w:val="009B4028"/>
    <w:rsid w:val="009B40A6"/>
    <w:rsid w:val="009B410A"/>
    <w:rsid w:val="009B410E"/>
    <w:rsid w:val="009B4198"/>
    <w:rsid w:val="009B41CC"/>
    <w:rsid w:val="009B42A1"/>
    <w:rsid w:val="009B45E0"/>
    <w:rsid w:val="009B462A"/>
    <w:rsid w:val="009B4643"/>
    <w:rsid w:val="009B4756"/>
    <w:rsid w:val="009B4882"/>
    <w:rsid w:val="009B4902"/>
    <w:rsid w:val="009B4944"/>
    <w:rsid w:val="009B4B42"/>
    <w:rsid w:val="009B4E05"/>
    <w:rsid w:val="009B4EDC"/>
    <w:rsid w:val="009B4EDF"/>
    <w:rsid w:val="009B515E"/>
    <w:rsid w:val="009B546D"/>
    <w:rsid w:val="009B5518"/>
    <w:rsid w:val="009B55F1"/>
    <w:rsid w:val="009B5614"/>
    <w:rsid w:val="009B5615"/>
    <w:rsid w:val="009B56AF"/>
    <w:rsid w:val="009B59D2"/>
    <w:rsid w:val="009B5A16"/>
    <w:rsid w:val="009B5D18"/>
    <w:rsid w:val="009B5DC6"/>
    <w:rsid w:val="009B5DF3"/>
    <w:rsid w:val="009B5E43"/>
    <w:rsid w:val="009B60A1"/>
    <w:rsid w:val="009B61E1"/>
    <w:rsid w:val="009B62BC"/>
    <w:rsid w:val="009B631F"/>
    <w:rsid w:val="009B6398"/>
    <w:rsid w:val="009B6919"/>
    <w:rsid w:val="009B6995"/>
    <w:rsid w:val="009B69C7"/>
    <w:rsid w:val="009B6CAE"/>
    <w:rsid w:val="009B6F60"/>
    <w:rsid w:val="009B71BA"/>
    <w:rsid w:val="009B7471"/>
    <w:rsid w:val="009B74FB"/>
    <w:rsid w:val="009B7614"/>
    <w:rsid w:val="009B78E2"/>
    <w:rsid w:val="009B7AD1"/>
    <w:rsid w:val="009B7DF4"/>
    <w:rsid w:val="009B7FDB"/>
    <w:rsid w:val="009B7FEC"/>
    <w:rsid w:val="009C02E7"/>
    <w:rsid w:val="009C0992"/>
    <w:rsid w:val="009C0995"/>
    <w:rsid w:val="009C0A41"/>
    <w:rsid w:val="009C0A66"/>
    <w:rsid w:val="009C0C82"/>
    <w:rsid w:val="009C0D42"/>
    <w:rsid w:val="009C0F46"/>
    <w:rsid w:val="009C1088"/>
    <w:rsid w:val="009C1187"/>
    <w:rsid w:val="009C11C4"/>
    <w:rsid w:val="009C1373"/>
    <w:rsid w:val="009C1394"/>
    <w:rsid w:val="009C18A7"/>
    <w:rsid w:val="009C19C2"/>
    <w:rsid w:val="009C1A58"/>
    <w:rsid w:val="009C1B34"/>
    <w:rsid w:val="009C1D31"/>
    <w:rsid w:val="009C1EB9"/>
    <w:rsid w:val="009C2008"/>
    <w:rsid w:val="009C2205"/>
    <w:rsid w:val="009C22E1"/>
    <w:rsid w:val="009C234C"/>
    <w:rsid w:val="009C23C6"/>
    <w:rsid w:val="009C23D3"/>
    <w:rsid w:val="009C250B"/>
    <w:rsid w:val="009C2545"/>
    <w:rsid w:val="009C2573"/>
    <w:rsid w:val="009C2870"/>
    <w:rsid w:val="009C2A68"/>
    <w:rsid w:val="009C2E73"/>
    <w:rsid w:val="009C2E9C"/>
    <w:rsid w:val="009C3110"/>
    <w:rsid w:val="009C315C"/>
    <w:rsid w:val="009C3170"/>
    <w:rsid w:val="009C33FC"/>
    <w:rsid w:val="009C357F"/>
    <w:rsid w:val="009C3B4A"/>
    <w:rsid w:val="009C3C16"/>
    <w:rsid w:val="009C3C93"/>
    <w:rsid w:val="009C3DF6"/>
    <w:rsid w:val="009C4088"/>
    <w:rsid w:val="009C40B3"/>
    <w:rsid w:val="009C40F8"/>
    <w:rsid w:val="009C4363"/>
    <w:rsid w:val="009C4550"/>
    <w:rsid w:val="009C463D"/>
    <w:rsid w:val="009C48FB"/>
    <w:rsid w:val="009C4990"/>
    <w:rsid w:val="009C4A9A"/>
    <w:rsid w:val="009C4D5F"/>
    <w:rsid w:val="009C4E6E"/>
    <w:rsid w:val="009C4F5C"/>
    <w:rsid w:val="009C50A5"/>
    <w:rsid w:val="009C50B9"/>
    <w:rsid w:val="009C5215"/>
    <w:rsid w:val="009C52A6"/>
    <w:rsid w:val="009C53FF"/>
    <w:rsid w:val="009C54A8"/>
    <w:rsid w:val="009C54EB"/>
    <w:rsid w:val="009C553E"/>
    <w:rsid w:val="009C55F8"/>
    <w:rsid w:val="009C56A4"/>
    <w:rsid w:val="009C5794"/>
    <w:rsid w:val="009C5893"/>
    <w:rsid w:val="009C5995"/>
    <w:rsid w:val="009C5A8C"/>
    <w:rsid w:val="009C5DD6"/>
    <w:rsid w:val="009C5EFE"/>
    <w:rsid w:val="009C60D3"/>
    <w:rsid w:val="009C6342"/>
    <w:rsid w:val="009C638E"/>
    <w:rsid w:val="009C64B9"/>
    <w:rsid w:val="009C64C4"/>
    <w:rsid w:val="009C6771"/>
    <w:rsid w:val="009C688C"/>
    <w:rsid w:val="009C6954"/>
    <w:rsid w:val="009C696F"/>
    <w:rsid w:val="009C69E4"/>
    <w:rsid w:val="009C6B26"/>
    <w:rsid w:val="009C6B95"/>
    <w:rsid w:val="009C6BB0"/>
    <w:rsid w:val="009C6C6A"/>
    <w:rsid w:val="009C6E10"/>
    <w:rsid w:val="009C72D1"/>
    <w:rsid w:val="009C74C9"/>
    <w:rsid w:val="009C75AA"/>
    <w:rsid w:val="009C79A1"/>
    <w:rsid w:val="009C7B18"/>
    <w:rsid w:val="009C7C72"/>
    <w:rsid w:val="009C7E38"/>
    <w:rsid w:val="009C7E40"/>
    <w:rsid w:val="009CCE70"/>
    <w:rsid w:val="009D0220"/>
    <w:rsid w:val="009D0554"/>
    <w:rsid w:val="009D07C3"/>
    <w:rsid w:val="009D07D5"/>
    <w:rsid w:val="009D085C"/>
    <w:rsid w:val="009D0B0B"/>
    <w:rsid w:val="009D0B4F"/>
    <w:rsid w:val="009D0C0E"/>
    <w:rsid w:val="009D10A4"/>
    <w:rsid w:val="009D141F"/>
    <w:rsid w:val="009D15AF"/>
    <w:rsid w:val="009D1798"/>
    <w:rsid w:val="009D1906"/>
    <w:rsid w:val="009D1B31"/>
    <w:rsid w:val="009D1C16"/>
    <w:rsid w:val="009D1D37"/>
    <w:rsid w:val="009D1DD6"/>
    <w:rsid w:val="009D1FDB"/>
    <w:rsid w:val="009D20B4"/>
    <w:rsid w:val="009D214C"/>
    <w:rsid w:val="009D21B1"/>
    <w:rsid w:val="009D2277"/>
    <w:rsid w:val="009D22C4"/>
    <w:rsid w:val="009D2332"/>
    <w:rsid w:val="009D26BA"/>
    <w:rsid w:val="009D27B9"/>
    <w:rsid w:val="009D2990"/>
    <w:rsid w:val="009D2A70"/>
    <w:rsid w:val="009D2A87"/>
    <w:rsid w:val="009D2B03"/>
    <w:rsid w:val="009D2DBC"/>
    <w:rsid w:val="009D2DEF"/>
    <w:rsid w:val="009D30CB"/>
    <w:rsid w:val="009D320C"/>
    <w:rsid w:val="009D34FD"/>
    <w:rsid w:val="009D3569"/>
    <w:rsid w:val="009D36C4"/>
    <w:rsid w:val="009D38F8"/>
    <w:rsid w:val="009D3A5A"/>
    <w:rsid w:val="009D3C13"/>
    <w:rsid w:val="009D3CBA"/>
    <w:rsid w:val="009D3E70"/>
    <w:rsid w:val="009D3EFF"/>
    <w:rsid w:val="009D3F6A"/>
    <w:rsid w:val="009D406A"/>
    <w:rsid w:val="009D422F"/>
    <w:rsid w:val="009D45AA"/>
    <w:rsid w:val="009D4638"/>
    <w:rsid w:val="009D4711"/>
    <w:rsid w:val="009D4830"/>
    <w:rsid w:val="009D4A61"/>
    <w:rsid w:val="009D506A"/>
    <w:rsid w:val="009D5239"/>
    <w:rsid w:val="009D5335"/>
    <w:rsid w:val="009D53E2"/>
    <w:rsid w:val="009D55D6"/>
    <w:rsid w:val="009D5615"/>
    <w:rsid w:val="009D5856"/>
    <w:rsid w:val="009D5A4F"/>
    <w:rsid w:val="009D5D7B"/>
    <w:rsid w:val="009D5DF5"/>
    <w:rsid w:val="009D5EC8"/>
    <w:rsid w:val="009D5FB3"/>
    <w:rsid w:val="009D6099"/>
    <w:rsid w:val="009D60A7"/>
    <w:rsid w:val="009D61C1"/>
    <w:rsid w:val="009D644F"/>
    <w:rsid w:val="009D64B2"/>
    <w:rsid w:val="009D64BD"/>
    <w:rsid w:val="009D66D2"/>
    <w:rsid w:val="009D68A3"/>
    <w:rsid w:val="009D6B23"/>
    <w:rsid w:val="009D6ED6"/>
    <w:rsid w:val="009D6F58"/>
    <w:rsid w:val="009D6FB3"/>
    <w:rsid w:val="009D71FE"/>
    <w:rsid w:val="009D724F"/>
    <w:rsid w:val="009D72E0"/>
    <w:rsid w:val="009D72E9"/>
    <w:rsid w:val="009D74D3"/>
    <w:rsid w:val="009D7521"/>
    <w:rsid w:val="009D7902"/>
    <w:rsid w:val="009D7B48"/>
    <w:rsid w:val="009D7D8C"/>
    <w:rsid w:val="009D7E4A"/>
    <w:rsid w:val="009D7E8E"/>
    <w:rsid w:val="009D7F38"/>
    <w:rsid w:val="009E0330"/>
    <w:rsid w:val="009E044C"/>
    <w:rsid w:val="009E0529"/>
    <w:rsid w:val="009E0602"/>
    <w:rsid w:val="009E065D"/>
    <w:rsid w:val="009E0726"/>
    <w:rsid w:val="009E0760"/>
    <w:rsid w:val="009E0A3A"/>
    <w:rsid w:val="009E0A3E"/>
    <w:rsid w:val="009E0B6F"/>
    <w:rsid w:val="009E0C7F"/>
    <w:rsid w:val="009E0D61"/>
    <w:rsid w:val="009E0F3C"/>
    <w:rsid w:val="009E10BC"/>
    <w:rsid w:val="009E116F"/>
    <w:rsid w:val="009E11A0"/>
    <w:rsid w:val="009E11E7"/>
    <w:rsid w:val="009E1200"/>
    <w:rsid w:val="009E1270"/>
    <w:rsid w:val="009E1512"/>
    <w:rsid w:val="009E1569"/>
    <w:rsid w:val="009E159D"/>
    <w:rsid w:val="009E17CC"/>
    <w:rsid w:val="009E19BA"/>
    <w:rsid w:val="009E1D06"/>
    <w:rsid w:val="009E1E4E"/>
    <w:rsid w:val="009E2203"/>
    <w:rsid w:val="009E23E8"/>
    <w:rsid w:val="009E2493"/>
    <w:rsid w:val="009E2534"/>
    <w:rsid w:val="009E27B3"/>
    <w:rsid w:val="009E2B69"/>
    <w:rsid w:val="009E2C95"/>
    <w:rsid w:val="009E2D4C"/>
    <w:rsid w:val="009E2E27"/>
    <w:rsid w:val="009E30AD"/>
    <w:rsid w:val="009E31ED"/>
    <w:rsid w:val="009E34B4"/>
    <w:rsid w:val="009E372C"/>
    <w:rsid w:val="009E37AF"/>
    <w:rsid w:val="009E398C"/>
    <w:rsid w:val="009E39D5"/>
    <w:rsid w:val="009E3B35"/>
    <w:rsid w:val="009E3BEC"/>
    <w:rsid w:val="009E3BEE"/>
    <w:rsid w:val="009E3CC5"/>
    <w:rsid w:val="009E3D4C"/>
    <w:rsid w:val="009E3D6A"/>
    <w:rsid w:val="009E4191"/>
    <w:rsid w:val="009E4C58"/>
    <w:rsid w:val="009E4CF7"/>
    <w:rsid w:val="009E4FD2"/>
    <w:rsid w:val="009E5040"/>
    <w:rsid w:val="009E50EB"/>
    <w:rsid w:val="009E5373"/>
    <w:rsid w:val="009E56F1"/>
    <w:rsid w:val="009E573C"/>
    <w:rsid w:val="009E578A"/>
    <w:rsid w:val="009E5977"/>
    <w:rsid w:val="009E5C7A"/>
    <w:rsid w:val="009E5CB2"/>
    <w:rsid w:val="009E5EA5"/>
    <w:rsid w:val="009E5F51"/>
    <w:rsid w:val="009E606E"/>
    <w:rsid w:val="009E6269"/>
    <w:rsid w:val="009E6280"/>
    <w:rsid w:val="009E6305"/>
    <w:rsid w:val="009E65B5"/>
    <w:rsid w:val="009E66CC"/>
    <w:rsid w:val="009E6859"/>
    <w:rsid w:val="009E6967"/>
    <w:rsid w:val="009E6C87"/>
    <w:rsid w:val="009E6D2A"/>
    <w:rsid w:val="009E6DCF"/>
    <w:rsid w:val="009E6EF0"/>
    <w:rsid w:val="009E6F15"/>
    <w:rsid w:val="009E7048"/>
    <w:rsid w:val="009E7143"/>
    <w:rsid w:val="009E7192"/>
    <w:rsid w:val="009E724C"/>
    <w:rsid w:val="009E7448"/>
    <w:rsid w:val="009E7731"/>
    <w:rsid w:val="009E78A0"/>
    <w:rsid w:val="009E79EF"/>
    <w:rsid w:val="009E7BF6"/>
    <w:rsid w:val="009E7D74"/>
    <w:rsid w:val="009E7E49"/>
    <w:rsid w:val="009E7E4E"/>
    <w:rsid w:val="009E7E60"/>
    <w:rsid w:val="009E7F6F"/>
    <w:rsid w:val="009ECC2C"/>
    <w:rsid w:val="009F0060"/>
    <w:rsid w:val="009F018A"/>
    <w:rsid w:val="009F0235"/>
    <w:rsid w:val="009F028A"/>
    <w:rsid w:val="009F02D7"/>
    <w:rsid w:val="009F03CD"/>
    <w:rsid w:val="009F04E6"/>
    <w:rsid w:val="009F0502"/>
    <w:rsid w:val="009F0541"/>
    <w:rsid w:val="009F05D3"/>
    <w:rsid w:val="009F05EC"/>
    <w:rsid w:val="009F0978"/>
    <w:rsid w:val="009F0A52"/>
    <w:rsid w:val="009F0A54"/>
    <w:rsid w:val="009F0D72"/>
    <w:rsid w:val="009F0E16"/>
    <w:rsid w:val="009F0ECA"/>
    <w:rsid w:val="009F0EF1"/>
    <w:rsid w:val="009F0EF7"/>
    <w:rsid w:val="009F10B8"/>
    <w:rsid w:val="009F1495"/>
    <w:rsid w:val="009F1500"/>
    <w:rsid w:val="009F186F"/>
    <w:rsid w:val="009F1A6D"/>
    <w:rsid w:val="009F1B4B"/>
    <w:rsid w:val="009F1D16"/>
    <w:rsid w:val="009F1E74"/>
    <w:rsid w:val="009F235D"/>
    <w:rsid w:val="009F24B9"/>
    <w:rsid w:val="009F2561"/>
    <w:rsid w:val="009F2608"/>
    <w:rsid w:val="009F2654"/>
    <w:rsid w:val="009F28F5"/>
    <w:rsid w:val="009F29BF"/>
    <w:rsid w:val="009F2BD6"/>
    <w:rsid w:val="009F2CF5"/>
    <w:rsid w:val="009F2F1D"/>
    <w:rsid w:val="009F32D1"/>
    <w:rsid w:val="009F3397"/>
    <w:rsid w:val="009F3427"/>
    <w:rsid w:val="009F3733"/>
    <w:rsid w:val="009F378D"/>
    <w:rsid w:val="009F3945"/>
    <w:rsid w:val="009F3A6C"/>
    <w:rsid w:val="009F3B27"/>
    <w:rsid w:val="009F3B3F"/>
    <w:rsid w:val="009F3B48"/>
    <w:rsid w:val="009F3BEF"/>
    <w:rsid w:val="009F3C70"/>
    <w:rsid w:val="009F3C9E"/>
    <w:rsid w:val="009F3DF6"/>
    <w:rsid w:val="009F4021"/>
    <w:rsid w:val="009F40E1"/>
    <w:rsid w:val="009F4165"/>
    <w:rsid w:val="009F44A6"/>
    <w:rsid w:val="009F44FF"/>
    <w:rsid w:val="009F456C"/>
    <w:rsid w:val="009F474A"/>
    <w:rsid w:val="009F4814"/>
    <w:rsid w:val="009F48B6"/>
    <w:rsid w:val="009F4AA9"/>
    <w:rsid w:val="009F4B46"/>
    <w:rsid w:val="009F4B47"/>
    <w:rsid w:val="009F4C03"/>
    <w:rsid w:val="009F4C87"/>
    <w:rsid w:val="009F4D43"/>
    <w:rsid w:val="009F5222"/>
    <w:rsid w:val="009F5892"/>
    <w:rsid w:val="009F5A28"/>
    <w:rsid w:val="009F5B85"/>
    <w:rsid w:val="009F5D97"/>
    <w:rsid w:val="009F5E3A"/>
    <w:rsid w:val="009F5F4D"/>
    <w:rsid w:val="009F6126"/>
    <w:rsid w:val="009F66D6"/>
    <w:rsid w:val="009F66F5"/>
    <w:rsid w:val="009F68C1"/>
    <w:rsid w:val="009F68E4"/>
    <w:rsid w:val="009F6924"/>
    <w:rsid w:val="009F69FB"/>
    <w:rsid w:val="009F6A73"/>
    <w:rsid w:val="009F6BD8"/>
    <w:rsid w:val="009F6C27"/>
    <w:rsid w:val="009F724F"/>
    <w:rsid w:val="009F7271"/>
    <w:rsid w:val="009F776D"/>
    <w:rsid w:val="009F781D"/>
    <w:rsid w:val="009F782D"/>
    <w:rsid w:val="009F78DF"/>
    <w:rsid w:val="009F794E"/>
    <w:rsid w:val="009F7965"/>
    <w:rsid w:val="009F79D9"/>
    <w:rsid w:val="009F7B2F"/>
    <w:rsid w:val="009F7E4E"/>
    <w:rsid w:val="009F7E90"/>
    <w:rsid w:val="009F7FCF"/>
    <w:rsid w:val="00A0005B"/>
    <w:rsid w:val="00A000CA"/>
    <w:rsid w:val="00A000D8"/>
    <w:rsid w:val="00A00142"/>
    <w:rsid w:val="00A001A1"/>
    <w:rsid w:val="00A001E6"/>
    <w:rsid w:val="00A0032F"/>
    <w:rsid w:val="00A00358"/>
    <w:rsid w:val="00A0041C"/>
    <w:rsid w:val="00A005F8"/>
    <w:rsid w:val="00A0073B"/>
    <w:rsid w:val="00A00AC4"/>
    <w:rsid w:val="00A00B10"/>
    <w:rsid w:val="00A00B26"/>
    <w:rsid w:val="00A00ED0"/>
    <w:rsid w:val="00A0110F"/>
    <w:rsid w:val="00A01243"/>
    <w:rsid w:val="00A012C0"/>
    <w:rsid w:val="00A012C4"/>
    <w:rsid w:val="00A01444"/>
    <w:rsid w:val="00A0149E"/>
    <w:rsid w:val="00A015D8"/>
    <w:rsid w:val="00A01665"/>
    <w:rsid w:val="00A016E0"/>
    <w:rsid w:val="00A016F7"/>
    <w:rsid w:val="00A01822"/>
    <w:rsid w:val="00A01891"/>
    <w:rsid w:val="00A019DA"/>
    <w:rsid w:val="00A019ED"/>
    <w:rsid w:val="00A01E59"/>
    <w:rsid w:val="00A020BB"/>
    <w:rsid w:val="00A0214D"/>
    <w:rsid w:val="00A0222C"/>
    <w:rsid w:val="00A02235"/>
    <w:rsid w:val="00A022F6"/>
    <w:rsid w:val="00A0231B"/>
    <w:rsid w:val="00A023DC"/>
    <w:rsid w:val="00A023E3"/>
    <w:rsid w:val="00A023E5"/>
    <w:rsid w:val="00A028B4"/>
    <w:rsid w:val="00A028E4"/>
    <w:rsid w:val="00A02C73"/>
    <w:rsid w:val="00A02D55"/>
    <w:rsid w:val="00A02DAB"/>
    <w:rsid w:val="00A02E1B"/>
    <w:rsid w:val="00A02FF4"/>
    <w:rsid w:val="00A03017"/>
    <w:rsid w:val="00A03158"/>
    <w:rsid w:val="00A033CB"/>
    <w:rsid w:val="00A0375C"/>
    <w:rsid w:val="00A03772"/>
    <w:rsid w:val="00A038DB"/>
    <w:rsid w:val="00A038FE"/>
    <w:rsid w:val="00A03A89"/>
    <w:rsid w:val="00A03F30"/>
    <w:rsid w:val="00A041F7"/>
    <w:rsid w:val="00A04234"/>
    <w:rsid w:val="00A0426A"/>
    <w:rsid w:val="00A0426C"/>
    <w:rsid w:val="00A042C0"/>
    <w:rsid w:val="00A043C6"/>
    <w:rsid w:val="00A04434"/>
    <w:rsid w:val="00A04513"/>
    <w:rsid w:val="00A04552"/>
    <w:rsid w:val="00A048A1"/>
    <w:rsid w:val="00A04B34"/>
    <w:rsid w:val="00A04C52"/>
    <w:rsid w:val="00A0574D"/>
    <w:rsid w:val="00A05B5A"/>
    <w:rsid w:val="00A05B5E"/>
    <w:rsid w:val="00A05CF3"/>
    <w:rsid w:val="00A05F98"/>
    <w:rsid w:val="00A0609A"/>
    <w:rsid w:val="00A060D8"/>
    <w:rsid w:val="00A0613C"/>
    <w:rsid w:val="00A0625A"/>
    <w:rsid w:val="00A0632E"/>
    <w:rsid w:val="00A063F5"/>
    <w:rsid w:val="00A0669A"/>
    <w:rsid w:val="00A0682E"/>
    <w:rsid w:val="00A06983"/>
    <w:rsid w:val="00A06A4F"/>
    <w:rsid w:val="00A06AC3"/>
    <w:rsid w:val="00A0707A"/>
    <w:rsid w:val="00A07089"/>
    <w:rsid w:val="00A07172"/>
    <w:rsid w:val="00A0729F"/>
    <w:rsid w:val="00A075C0"/>
    <w:rsid w:val="00A07794"/>
    <w:rsid w:val="00A07843"/>
    <w:rsid w:val="00A07996"/>
    <w:rsid w:val="00A079BE"/>
    <w:rsid w:val="00A07C9A"/>
    <w:rsid w:val="00A07FAB"/>
    <w:rsid w:val="00A07FEE"/>
    <w:rsid w:val="00A10346"/>
    <w:rsid w:val="00A1037B"/>
    <w:rsid w:val="00A103F0"/>
    <w:rsid w:val="00A105AE"/>
    <w:rsid w:val="00A10615"/>
    <w:rsid w:val="00A1069C"/>
    <w:rsid w:val="00A106A9"/>
    <w:rsid w:val="00A1072D"/>
    <w:rsid w:val="00A107B9"/>
    <w:rsid w:val="00A107BB"/>
    <w:rsid w:val="00A10BFD"/>
    <w:rsid w:val="00A10D69"/>
    <w:rsid w:val="00A10DB8"/>
    <w:rsid w:val="00A110E9"/>
    <w:rsid w:val="00A11632"/>
    <w:rsid w:val="00A11701"/>
    <w:rsid w:val="00A1183E"/>
    <w:rsid w:val="00A1190B"/>
    <w:rsid w:val="00A11F45"/>
    <w:rsid w:val="00A11F9A"/>
    <w:rsid w:val="00A11FE9"/>
    <w:rsid w:val="00A12002"/>
    <w:rsid w:val="00A12022"/>
    <w:rsid w:val="00A12036"/>
    <w:rsid w:val="00A12088"/>
    <w:rsid w:val="00A1213D"/>
    <w:rsid w:val="00A123E6"/>
    <w:rsid w:val="00A123FF"/>
    <w:rsid w:val="00A125B0"/>
    <w:rsid w:val="00A125E8"/>
    <w:rsid w:val="00A126B5"/>
    <w:rsid w:val="00A127CC"/>
    <w:rsid w:val="00A12B06"/>
    <w:rsid w:val="00A12CEB"/>
    <w:rsid w:val="00A12DB9"/>
    <w:rsid w:val="00A130AB"/>
    <w:rsid w:val="00A130FF"/>
    <w:rsid w:val="00A13204"/>
    <w:rsid w:val="00A13292"/>
    <w:rsid w:val="00A132BF"/>
    <w:rsid w:val="00A134DB"/>
    <w:rsid w:val="00A13505"/>
    <w:rsid w:val="00A1356E"/>
    <w:rsid w:val="00A13582"/>
    <w:rsid w:val="00A1362F"/>
    <w:rsid w:val="00A137C5"/>
    <w:rsid w:val="00A137DA"/>
    <w:rsid w:val="00A13824"/>
    <w:rsid w:val="00A13904"/>
    <w:rsid w:val="00A13CC8"/>
    <w:rsid w:val="00A13CCA"/>
    <w:rsid w:val="00A13F8B"/>
    <w:rsid w:val="00A142C3"/>
    <w:rsid w:val="00A14529"/>
    <w:rsid w:val="00A14592"/>
    <w:rsid w:val="00A14CB9"/>
    <w:rsid w:val="00A1521C"/>
    <w:rsid w:val="00A15310"/>
    <w:rsid w:val="00A154D6"/>
    <w:rsid w:val="00A155A9"/>
    <w:rsid w:val="00A15892"/>
    <w:rsid w:val="00A15931"/>
    <w:rsid w:val="00A16121"/>
    <w:rsid w:val="00A16154"/>
    <w:rsid w:val="00A1617E"/>
    <w:rsid w:val="00A1625D"/>
    <w:rsid w:val="00A1634E"/>
    <w:rsid w:val="00A16541"/>
    <w:rsid w:val="00A165A5"/>
    <w:rsid w:val="00A1662C"/>
    <w:rsid w:val="00A16694"/>
    <w:rsid w:val="00A16752"/>
    <w:rsid w:val="00A168F8"/>
    <w:rsid w:val="00A1694C"/>
    <w:rsid w:val="00A169F8"/>
    <w:rsid w:val="00A16B02"/>
    <w:rsid w:val="00A16BCD"/>
    <w:rsid w:val="00A16C22"/>
    <w:rsid w:val="00A16CB4"/>
    <w:rsid w:val="00A16D50"/>
    <w:rsid w:val="00A1701B"/>
    <w:rsid w:val="00A17304"/>
    <w:rsid w:val="00A17357"/>
    <w:rsid w:val="00A17471"/>
    <w:rsid w:val="00A176C6"/>
    <w:rsid w:val="00A177E4"/>
    <w:rsid w:val="00A177F3"/>
    <w:rsid w:val="00A179AC"/>
    <w:rsid w:val="00A17AE6"/>
    <w:rsid w:val="00A17C02"/>
    <w:rsid w:val="00A17DD2"/>
    <w:rsid w:val="00A17DF8"/>
    <w:rsid w:val="00A17DFD"/>
    <w:rsid w:val="00A202B9"/>
    <w:rsid w:val="00A2031C"/>
    <w:rsid w:val="00A20325"/>
    <w:rsid w:val="00A2041B"/>
    <w:rsid w:val="00A204B9"/>
    <w:rsid w:val="00A204D1"/>
    <w:rsid w:val="00A2058A"/>
    <w:rsid w:val="00A2061A"/>
    <w:rsid w:val="00A207A3"/>
    <w:rsid w:val="00A2081F"/>
    <w:rsid w:val="00A20837"/>
    <w:rsid w:val="00A20AAF"/>
    <w:rsid w:val="00A20F27"/>
    <w:rsid w:val="00A211EE"/>
    <w:rsid w:val="00A2123F"/>
    <w:rsid w:val="00A2177D"/>
    <w:rsid w:val="00A218AE"/>
    <w:rsid w:val="00A21A75"/>
    <w:rsid w:val="00A21AB0"/>
    <w:rsid w:val="00A21AE4"/>
    <w:rsid w:val="00A21B69"/>
    <w:rsid w:val="00A21B8E"/>
    <w:rsid w:val="00A21D31"/>
    <w:rsid w:val="00A21DEC"/>
    <w:rsid w:val="00A21E55"/>
    <w:rsid w:val="00A21F0A"/>
    <w:rsid w:val="00A22074"/>
    <w:rsid w:val="00A22276"/>
    <w:rsid w:val="00A22277"/>
    <w:rsid w:val="00A222B4"/>
    <w:rsid w:val="00A2230D"/>
    <w:rsid w:val="00A22537"/>
    <w:rsid w:val="00A22601"/>
    <w:rsid w:val="00A2267B"/>
    <w:rsid w:val="00A226A1"/>
    <w:rsid w:val="00A22894"/>
    <w:rsid w:val="00A2298C"/>
    <w:rsid w:val="00A22A2B"/>
    <w:rsid w:val="00A22B1A"/>
    <w:rsid w:val="00A22B70"/>
    <w:rsid w:val="00A22D41"/>
    <w:rsid w:val="00A22D80"/>
    <w:rsid w:val="00A2311A"/>
    <w:rsid w:val="00A231C4"/>
    <w:rsid w:val="00A232E4"/>
    <w:rsid w:val="00A23305"/>
    <w:rsid w:val="00A236C2"/>
    <w:rsid w:val="00A236EC"/>
    <w:rsid w:val="00A236FF"/>
    <w:rsid w:val="00A237BD"/>
    <w:rsid w:val="00A23808"/>
    <w:rsid w:val="00A2395E"/>
    <w:rsid w:val="00A23964"/>
    <w:rsid w:val="00A23B6D"/>
    <w:rsid w:val="00A23BD9"/>
    <w:rsid w:val="00A23D94"/>
    <w:rsid w:val="00A23DD1"/>
    <w:rsid w:val="00A24455"/>
    <w:rsid w:val="00A24B74"/>
    <w:rsid w:val="00A24BFB"/>
    <w:rsid w:val="00A25130"/>
    <w:rsid w:val="00A25188"/>
    <w:rsid w:val="00A2532D"/>
    <w:rsid w:val="00A254C7"/>
    <w:rsid w:val="00A258EE"/>
    <w:rsid w:val="00A259A6"/>
    <w:rsid w:val="00A25A11"/>
    <w:rsid w:val="00A25A5A"/>
    <w:rsid w:val="00A25D37"/>
    <w:rsid w:val="00A25F35"/>
    <w:rsid w:val="00A2662D"/>
    <w:rsid w:val="00A26690"/>
    <w:rsid w:val="00A26918"/>
    <w:rsid w:val="00A26939"/>
    <w:rsid w:val="00A26A25"/>
    <w:rsid w:val="00A26BA9"/>
    <w:rsid w:val="00A26BF5"/>
    <w:rsid w:val="00A26CF1"/>
    <w:rsid w:val="00A2705B"/>
    <w:rsid w:val="00A270FA"/>
    <w:rsid w:val="00A27137"/>
    <w:rsid w:val="00A27150"/>
    <w:rsid w:val="00A27203"/>
    <w:rsid w:val="00A2729D"/>
    <w:rsid w:val="00A27489"/>
    <w:rsid w:val="00A27582"/>
    <w:rsid w:val="00A27662"/>
    <w:rsid w:val="00A278FD"/>
    <w:rsid w:val="00A27999"/>
    <w:rsid w:val="00A27D6D"/>
    <w:rsid w:val="00A27DB2"/>
    <w:rsid w:val="00A30094"/>
    <w:rsid w:val="00A306D6"/>
    <w:rsid w:val="00A307B6"/>
    <w:rsid w:val="00A30816"/>
    <w:rsid w:val="00A30823"/>
    <w:rsid w:val="00A30B87"/>
    <w:rsid w:val="00A30E01"/>
    <w:rsid w:val="00A3111C"/>
    <w:rsid w:val="00A3115B"/>
    <w:rsid w:val="00A31296"/>
    <w:rsid w:val="00A312A5"/>
    <w:rsid w:val="00A313A6"/>
    <w:rsid w:val="00A314C6"/>
    <w:rsid w:val="00A315F1"/>
    <w:rsid w:val="00A3162C"/>
    <w:rsid w:val="00A3193A"/>
    <w:rsid w:val="00A319A4"/>
    <w:rsid w:val="00A319CB"/>
    <w:rsid w:val="00A31A39"/>
    <w:rsid w:val="00A31ABD"/>
    <w:rsid w:val="00A31B36"/>
    <w:rsid w:val="00A31BCD"/>
    <w:rsid w:val="00A320D0"/>
    <w:rsid w:val="00A3226A"/>
    <w:rsid w:val="00A3229C"/>
    <w:rsid w:val="00A32372"/>
    <w:rsid w:val="00A3247D"/>
    <w:rsid w:val="00A3274F"/>
    <w:rsid w:val="00A327E0"/>
    <w:rsid w:val="00A3286D"/>
    <w:rsid w:val="00A32AC2"/>
    <w:rsid w:val="00A32CAC"/>
    <w:rsid w:val="00A32D68"/>
    <w:rsid w:val="00A3313C"/>
    <w:rsid w:val="00A33566"/>
    <w:rsid w:val="00A33855"/>
    <w:rsid w:val="00A33B78"/>
    <w:rsid w:val="00A3402E"/>
    <w:rsid w:val="00A3415D"/>
    <w:rsid w:val="00A341F9"/>
    <w:rsid w:val="00A34323"/>
    <w:rsid w:val="00A343EB"/>
    <w:rsid w:val="00A3473C"/>
    <w:rsid w:val="00A34A19"/>
    <w:rsid w:val="00A34C71"/>
    <w:rsid w:val="00A34DF4"/>
    <w:rsid w:val="00A350D8"/>
    <w:rsid w:val="00A351A9"/>
    <w:rsid w:val="00A35334"/>
    <w:rsid w:val="00A3539F"/>
    <w:rsid w:val="00A3560A"/>
    <w:rsid w:val="00A3561F"/>
    <w:rsid w:val="00A3591A"/>
    <w:rsid w:val="00A35B5D"/>
    <w:rsid w:val="00A3646F"/>
    <w:rsid w:val="00A364D2"/>
    <w:rsid w:val="00A36517"/>
    <w:rsid w:val="00A36554"/>
    <w:rsid w:val="00A36574"/>
    <w:rsid w:val="00A36687"/>
    <w:rsid w:val="00A366CB"/>
    <w:rsid w:val="00A369C4"/>
    <w:rsid w:val="00A36BF1"/>
    <w:rsid w:val="00A36E2F"/>
    <w:rsid w:val="00A36F77"/>
    <w:rsid w:val="00A37083"/>
    <w:rsid w:val="00A376B9"/>
    <w:rsid w:val="00A37716"/>
    <w:rsid w:val="00A37751"/>
    <w:rsid w:val="00A37893"/>
    <w:rsid w:val="00A379EF"/>
    <w:rsid w:val="00A37C7E"/>
    <w:rsid w:val="00A4004F"/>
    <w:rsid w:val="00A400DB"/>
    <w:rsid w:val="00A4015A"/>
    <w:rsid w:val="00A40275"/>
    <w:rsid w:val="00A4039F"/>
    <w:rsid w:val="00A403F7"/>
    <w:rsid w:val="00A4057E"/>
    <w:rsid w:val="00A405D6"/>
    <w:rsid w:val="00A407B3"/>
    <w:rsid w:val="00A407D8"/>
    <w:rsid w:val="00A40913"/>
    <w:rsid w:val="00A409EC"/>
    <w:rsid w:val="00A40C24"/>
    <w:rsid w:val="00A40E26"/>
    <w:rsid w:val="00A40F57"/>
    <w:rsid w:val="00A410DF"/>
    <w:rsid w:val="00A412C0"/>
    <w:rsid w:val="00A41706"/>
    <w:rsid w:val="00A41DCA"/>
    <w:rsid w:val="00A41DFA"/>
    <w:rsid w:val="00A41E15"/>
    <w:rsid w:val="00A42103"/>
    <w:rsid w:val="00A42185"/>
    <w:rsid w:val="00A421A5"/>
    <w:rsid w:val="00A42341"/>
    <w:rsid w:val="00A42347"/>
    <w:rsid w:val="00A42408"/>
    <w:rsid w:val="00A42543"/>
    <w:rsid w:val="00A42597"/>
    <w:rsid w:val="00A427FA"/>
    <w:rsid w:val="00A429C5"/>
    <w:rsid w:val="00A42B1B"/>
    <w:rsid w:val="00A42CC9"/>
    <w:rsid w:val="00A42DAD"/>
    <w:rsid w:val="00A42EF2"/>
    <w:rsid w:val="00A42FC1"/>
    <w:rsid w:val="00A430D0"/>
    <w:rsid w:val="00A432C7"/>
    <w:rsid w:val="00A432DA"/>
    <w:rsid w:val="00A432E4"/>
    <w:rsid w:val="00A43354"/>
    <w:rsid w:val="00A435BC"/>
    <w:rsid w:val="00A435F4"/>
    <w:rsid w:val="00A437DD"/>
    <w:rsid w:val="00A43C1D"/>
    <w:rsid w:val="00A43C72"/>
    <w:rsid w:val="00A43D9D"/>
    <w:rsid w:val="00A43E1D"/>
    <w:rsid w:val="00A43EAF"/>
    <w:rsid w:val="00A44010"/>
    <w:rsid w:val="00A44138"/>
    <w:rsid w:val="00A44219"/>
    <w:rsid w:val="00A443AD"/>
    <w:rsid w:val="00A443CE"/>
    <w:rsid w:val="00A44690"/>
    <w:rsid w:val="00A4470B"/>
    <w:rsid w:val="00A4479E"/>
    <w:rsid w:val="00A4491E"/>
    <w:rsid w:val="00A44968"/>
    <w:rsid w:val="00A44979"/>
    <w:rsid w:val="00A44A1C"/>
    <w:rsid w:val="00A44A61"/>
    <w:rsid w:val="00A44C37"/>
    <w:rsid w:val="00A44C84"/>
    <w:rsid w:val="00A44CC8"/>
    <w:rsid w:val="00A44CD3"/>
    <w:rsid w:val="00A45021"/>
    <w:rsid w:val="00A45115"/>
    <w:rsid w:val="00A45405"/>
    <w:rsid w:val="00A454B2"/>
    <w:rsid w:val="00A45585"/>
    <w:rsid w:val="00A456F0"/>
    <w:rsid w:val="00A45AC1"/>
    <w:rsid w:val="00A45BF5"/>
    <w:rsid w:val="00A45E11"/>
    <w:rsid w:val="00A45F1E"/>
    <w:rsid w:val="00A4600A"/>
    <w:rsid w:val="00A46021"/>
    <w:rsid w:val="00A46206"/>
    <w:rsid w:val="00A4630F"/>
    <w:rsid w:val="00A46771"/>
    <w:rsid w:val="00A46A83"/>
    <w:rsid w:val="00A46CA7"/>
    <w:rsid w:val="00A46D96"/>
    <w:rsid w:val="00A4722D"/>
    <w:rsid w:val="00A47296"/>
    <w:rsid w:val="00A47657"/>
    <w:rsid w:val="00A47A66"/>
    <w:rsid w:val="00A47B1A"/>
    <w:rsid w:val="00A47C2A"/>
    <w:rsid w:val="00A47D0F"/>
    <w:rsid w:val="00A50269"/>
    <w:rsid w:val="00A507BC"/>
    <w:rsid w:val="00A50837"/>
    <w:rsid w:val="00A508EB"/>
    <w:rsid w:val="00A50A9E"/>
    <w:rsid w:val="00A50B9B"/>
    <w:rsid w:val="00A50B9E"/>
    <w:rsid w:val="00A50BB6"/>
    <w:rsid w:val="00A51024"/>
    <w:rsid w:val="00A510A0"/>
    <w:rsid w:val="00A510D5"/>
    <w:rsid w:val="00A5123A"/>
    <w:rsid w:val="00A512C2"/>
    <w:rsid w:val="00A512EE"/>
    <w:rsid w:val="00A5138D"/>
    <w:rsid w:val="00A513D2"/>
    <w:rsid w:val="00A515D5"/>
    <w:rsid w:val="00A515DB"/>
    <w:rsid w:val="00A518E6"/>
    <w:rsid w:val="00A519F2"/>
    <w:rsid w:val="00A51A07"/>
    <w:rsid w:val="00A51C5B"/>
    <w:rsid w:val="00A51D07"/>
    <w:rsid w:val="00A51D96"/>
    <w:rsid w:val="00A51D9F"/>
    <w:rsid w:val="00A51DAA"/>
    <w:rsid w:val="00A51DAC"/>
    <w:rsid w:val="00A51E11"/>
    <w:rsid w:val="00A51E26"/>
    <w:rsid w:val="00A51EA1"/>
    <w:rsid w:val="00A51FE8"/>
    <w:rsid w:val="00A525BA"/>
    <w:rsid w:val="00A52723"/>
    <w:rsid w:val="00A52AFE"/>
    <w:rsid w:val="00A52CD1"/>
    <w:rsid w:val="00A52CD9"/>
    <w:rsid w:val="00A52D33"/>
    <w:rsid w:val="00A53095"/>
    <w:rsid w:val="00A5324F"/>
    <w:rsid w:val="00A5349C"/>
    <w:rsid w:val="00A5354F"/>
    <w:rsid w:val="00A53578"/>
    <w:rsid w:val="00A535CD"/>
    <w:rsid w:val="00A53707"/>
    <w:rsid w:val="00A53957"/>
    <w:rsid w:val="00A53BB9"/>
    <w:rsid w:val="00A53BF2"/>
    <w:rsid w:val="00A53D4B"/>
    <w:rsid w:val="00A53DFE"/>
    <w:rsid w:val="00A53E6D"/>
    <w:rsid w:val="00A540A6"/>
    <w:rsid w:val="00A5421E"/>
    <w:rsid w:val="00A54310"/>
    <w:rsid w:val="00A54410"/>
    <w:rsid w:val="00A54636"/>
    <w:rsid w:val="00A54669"/>
    <w:rsid w:val="00A54690"/>
    <w:rsid w:val="00A54874"/>
    <w:rsid w:val="00A5491D"/>
    <w:rsid w:val="00A54A7F"/>
    <w:rsid w:val="00A54B92"/>
    <w:rsid w:val="00A54F84"/>
    <w:rsid w:val="00A54FA3"/>
    <w:rsid w:val="00A5516E"/>
    <w:rsid w:val="00A55307"/>
    <w:rsid w:val="00A553E9"/>
    <w:rsid w:val="00A5547E"/>
    <w:rsid w:val="00A5570D"/>
    <w:rsid w:val="00A557B6"/>
    <w:rsid w:val="00A55B12"/>
    <w:rsid w:val="00A55C1D"/>
    <w:rsid w:val="00A55DCF"/>
    <w:rsid w:val="00A55E0A"/>
    <w:rsid w:val="00A55E50"/>
    <w:rsid w:val="00A55E72"/>
    <w:rsid w:val="00A56069"/>
    <w:rsid w:val="00A5622E"/>
    <w:rsid w:val="00A5639F"/>
    <w:rsid w:val="00A565EC"/>
    <w:rsid w:val="00A56888"/>
    <w:rsid w:val="00A56C7E"/>
    <w:rsid w:val="00A56C9D"/>
    <w:rsid w:val="00A56DAD"/>
    <w:rsid w:val="00A56FF0"/>
    <w:rsid w:val="00A57259"/>
    <w:rsid w:val="00A572A0"/>
    <w:rsid w:val="00A57494"/>
    <w:rsid w:val="00A57587"/>
    <w:rsid w:val="00A57626"/>
    <w:rsid w:val="00A57731"/>
    <w:rsid w:val="00A57736"/>
    <w:rsid w:val="00A57A0F"/>
    <w:rsid w:val="00A57A1B"/>
    <w:rsid w:val="00A57C45"/>
    <w:rsid w:val="00A57D41"/>
    <w:rsid w:val="00A57E3F"/>
    <w:rsid w:val="00A57F6B"/>
    <w:rsid w:val="00A57FCE"/>
    <w:rsid w:val="00A60697"/>
    <w:rsid w:val="00A606B1"/>
    <w:rsid w:val="00A60AA7"/>
    <w:rsid w:val="00A60AC7"/>
    <w:rsid w:val="00A60B46"/>
    <w:rsid w:val="00A60DBE"/>
    <w:rsid w:val="00A60E5A"/>
    <w:rsid w:val="00A60E67"/>
    <w:rsid w:val="00A60EE7"/>
    <w:rsid w:val="00A6109D"/>
    <w:rsid w:val="00A610FE"/>
    <w:rsid w:val="00A61209"/>
    <w:rsid w:val="00A612C8"/>
    <w:rsid w:val="00A614A4"/>
    <w:rsid w:val="00A6160D"/>
    <w:rsid w:val="00A6167F"/>
    <w:rsid w:val="00A6191B"/>
    <w:rsid w:val="00A61968"/>
    <w:rsid w:val="00A619DA"/>
    <w:rsid w:val="00A61B36"/>
    <w:rsid w:val="00A61CEF"/>
    <w:rsid w:val="00A61DA7"/>
    <w:rsid w:val="00A622E1"/>
    <w:rsid w:val="00A623E1"/>
    <w:rsid w:val="00A62479"/>
    <w:rsid w:val="00A62ACF"/>
    <w:rsid w:val="00A62C37"/>
    <w:rsid w:val="00A62C89"/>
    <w:rsid w:val="00A62DFD"/>
    <w:rsid w:val="00A62DFE"/>
    <w:rsid w:val="00A6303A"/>
    <w:rsid w:val="00A63098"/>
    <w:rsid w:val="00A6357C"/>
    <w:rsid w:val="00A63B9A"/>
    <w:rsid w:val="00A63C97"/>
    <w:rsid w:val="00A64031"/>
    <w:rsid w:val="00A640C2"/>
    <w:rsid w:val="00A64169"/>
    <w:rsid w:val="00A642B3"/>
    <w:rsid w:val="00A642FA"/>
    <w:rsid w:val="00A644FA"/>
    <w:rsid w:val="00A645B5"/>
    <w:rsid w:val="00A645C7"/>
    <w:rsid w:val="00A64805"/>
    <w:rsid w:val="00A64AA7"/>
    <w:rsid w:val="00A64B18"/>
    <w:rsid w:val="00A6500D"/>
    <w:rsid w:val="00A651C9"/>
    <w:rsid w:val="00A651D7"/>
    <w:rsid w:val="00A6521E"/>
    <w:rsid w:val="00A656C8"/>
    <w:rsid w:val="00A6595D"/>
    <w:rsid w:val="00A65B49"/>
    <w:rsid w:val="00A65CA2"/>
    <w:rsid w:val="00A65F73"/>
    <w:rsid w:val="00A66322"/>
    <w:rsid w:val="00A66639"/>
    <w:rsid w:val="00A6664F"/>
    <w:rsid w:val="00A6668F"/>
    <w:rsid w:val="00A667F8"/>
    <w:rsid w:val="00A6681D"/>
    <w:rsid w:val="00A668CA"/>
    <w:rsid w:val="00A66910"/>
    <w:rsid w:val="00A6699E"/>
    <w:rsid w:val="00A66A28"/>
    <w:rsid w:val="00A66A40"/>
    <w:rsid w:val="00A66AEE"/>
    <w:rsid w:val="00A66C80"/>
    <w:rsid w:val="00A66E33"/>
    <w:rsid w:val="00A6711F"/>
    <w:rsid w:val="00A67174"/>
    <w:rsid w:val="00A67598"/>
    <w:rsid w:val="00A6782A"/>
    <w:rsid w:val="00A678A1"/>
    <w:rsid w:val="00A679D0"/>
    <w:rsid w:val="00A67B00"/>
    <w:rsid w:val="00A67BE5"/>
    <w:rsid w:val="00A67C17"/>
    <w:rsid w:val="00A67C7F"/>
    <w:rsid w:val="00A67CC8"/>
    <w:rsid w:val="00A67D60"/>
    <w:rsid w:val="00A67E18"/>
    <w:rsid w:val="00A67F8D"/>
    <w:rsid w:val="00A70002"/>
    <w:rsid w:val="00A70132"/>
    <w:rsid w:val="00A701CA"/>
    <w:rsid w:val="00A7047D"/>
    <w:rsid w:val="00A706CE"/>
    <w:rsid w:val="00A70767"/>
    <w:rsid w:val="00A7078A"/>
    <w:rsid w:val="00A70874"/>
    <w:rsid w:val="00A70946"/>
    <w:rsid w:val="00A709CA"/>
    <w:rsid w:val="00A70B3B"/>
    <w:rsid w:val="00A70C9B"/>
    <w:rsid w:val="00A70D34"/>
    <w:rsid w:val="00A70E49"/>
    <w:rsid w:val="00A70FD4"/>
    <w:rsid w:val="00A71235"/>
    <w:rsid w:val="00A71979"/>
    <w:rsid w:val="00A71C1A"/>
    <w:rsid w:val="00A720EF"/>
    <w:rsid w:val="00A721D4"/>
    <w:rsid w:val="00A724F8"/>
    <w:rsid w:val="00A725DE"/>
    <w:rsid w:val="00A72BBB"/>
    <w:rsid w:val="00A72BD4"/>
    <w:rsid w:val="00A72C0D"/>
    <w:rsid w:val="00A72C7D"/>
    <w:rsid w:val="00A72CD4"/>
    <w:rsid w:val="00A72DFE"/>
    <w:rsid w:val="00A73070"/>
    <w:rsid w:val="00A73237"/>
    <w:rsid w:val="00A738FC"/>
    <w:rsid w:val="00A73A96"/>
    <w:rsid w:val="00A73C59"/>
    <w:rsid w:val="00A73D48"/>
    <w:rsid w:val="00A73E64"/>
    <w:rsid w:val="00A73F77"/>
    <w:rsid w:val="00A7445A"/>
    <w:rsid w:val="00A744C7"/>
    <w:rsid w:val="00A744DF"/>
    <w:rsid w:val="00A74510"/>
    <w:rsid w:val="00A745B7"/>
    <w:rsid w:val="00A746E9"/>
    <w:rsid w:val="00A747ED"/>
    <w:rsid w:val="00A7487D"/>
    <w:rsid w:val="00A74948"/>
    <w:rsid w:val="00A749E6"/>
    <w:rsid w:val="00A74B90"/>
    <w:rsid w:val="00A74BB5"/>
    <w:rsid w:val="00A751E6"/>
    <w:rsid w:val="00A7531D"/>
    <w:rsid w:val="00A756F5"/>
    <w:rsid w:val="00A75957"/>
    <w:rsid w:val="00A7596A"/>
    <w:rsid w:val="00A75BAE"/>
    <w:rsid w:val="00A75D38"/>
    <w:rsid w:val="00A75E1E"/>
    <w:rsid w:val="00A76086"/>
    <w:rsid w:val="00A76402"/>
    <w:rsid w:val="00A76459"/>
    <w:rsid w:val="00A7649C"/>
    <w:rsid w:val="00A764BF"/>
    <w:rsid w:val="00A76547"/>
    <w:rsid w:val="00A7658F"/>
    <w:rsid w:val="00A765DB"/>
    <w:rsid w:val="00A769F0"/>
    <w:rsid w:val="00A76C90"/>
    <w:rsid w:val="00A76C93"/>
    <w:rsid w:val="00A76F0F"/>
    <w:rsid w:val="00A7718B"/>
    <w:rsid w:val="00A774D0"/>
    <w:rsid w:val="00A774F4"/>
    <w:rsid w:val="00A774F9"/>
    <w:rsid w:val="00A7756C"/>
    <w:rsid w:val="00A7775B"/>
    <w:rsid w:val="00A77761"/>
    <w:rsid w:val="00A7777E"/>
    <w:rsid w:val="00A777AE"/>
    <w:rsid w:val="00A77A84"/>
    <w:rsid w:val="00A77EBC"/>
    <w:rsid w:val="00A803ED"/>
    <w:rsid w:val="00A80537"/>
    <w:rsid w:val="00A80588"/>
    <w:rsid w:val="00A8060F"/>
    <w:rsid w:val="00A80636"/>
    <w:rsid w:val="00A80A09"/>
    <w:rsid w:val="00A80AE1"/>
    <w:rsid w:val="00A80C5A"/>
    <w:rsid w:val="00A80CD5"/>
    <w:rsid w:val="00A80F98"/>
    <w:rsid w:val="00A80FE5"/>
    <w:rsid w:val="00A81024"/>
    <w:rsid w:val="00A8122D"/>
    <w:rsid w:val="00A812A8"/>
    <w:rsid w:val="00A815C8"/>
    <w:rsid w:val="00A8170B"/>
    <w:rsid w:val="00A81726"/>
    <w:rsid w:val="00A81824"/>
    <w:rsid w:val="00A8189C"/>
    <w:rsid w:val="00A819F1"/>
    <w:rsid w:val="00A81A72"/>
    <w:rsid w:val="00A81D80"/>
    <w:rsid w:val="00A81DA3"/>
    <w:rsid w:val="00A81FA5"/>
    <w:rsid w:val="00A8202B"/>
    <w:rsid w:val="00A820F6"/>
    <w:rsid w:val="00A821E0"/>
    <w:rsid w:val="00A825BC"/>
    <w:rsid w:val="00A82821"/>
    <w:rsid w:val="00A8291D"/>
    <w:rsid w:val="00A82D45"/>
    <w:rsid w:val="00A82DC1"/>
    <w:rsid w:val="00A8311E"/>
    <w:rsid w:val="00A83173"/>
    <w:rsid w:val="00A8321A"/>
    <w:rsid w:val="00A833A1"/>
    <w:rsid w:val="00A83559"/>
    <w:rsid w:val="00A838E2"/>
    <w:rsid w:val="00A83973"/>
    <w:rsid w:val="00A83A86"/>
    <w:rsid w:val="00A83ACD"/>
    <w:rsid w:val="00A83E63"/>
    <w:rsid w:val="00A83E71"/>
    <w:rsid w:val="00A8415F"/>
    <w:rsid w:val="00A843F7"/>
    <w:rsid w:val="00A84518"/>
    <w:rsid w:val="00A846A2"/>
    <w:rsid w:val="00A8478A"/>
    <w:rsid w:val="00A84A36"/>
    <w:rsid w:val="00A84A45"/>
    <w:rsid w:val="00A84A98"/>
    <w:rsid w:val="00A84B0F"/>
    <w:rsid w:val="00A84B4F"/>
    <w:rsid w:val="00A84E3A"/>
    <w:rsid w:val="00A84F53"/>
    <w:rsid w:val="00A851E7"/>
    <w:rsid w:val="00A851F6"/>
    <w:rsid w:val="00A85202"/>
    <w:rsid w:val="00A8576A"/>
    <w:rsid w:val="00A8594B"/>
    <w:rsid w:val="00A85A15"/>
    <w:rsid w:val="00A85A62"/>
    <w:rsid w:val="00A85E51"/>
    <w:rsid w:val="00A860C8"/>
    <w:rsid w:val="00A861F5"/>
    <w:rsid w:val="00A86314"/>
    <w:rsid w:val="00A863A5"/>
    <w:rsid w:val="00A86542"/>
    <w:rsid w:val="00A866A7"/>
    <w:rsid w:val="00A867BF"/>
    <w:rsid w:val="00A86A3A"/>
    <w:rsid w:val="00A86BBA"/>
    <w:rsid w:val="00A86BFF"/>
    <w:rsid w:val="00A86D6F"/>
    <w:rsid w:val="00A86F31"/>
    <w:rsid w:val="00A8725F"/>
    <w:rsid w:val="00A87309"/>
    <w:rsid w:val="00A87436"/>
    <w:rsid w:val="00A874B8"/>
    <w:rsid w:val="00A8750F"/>
    <w:rsid w:val="00A875D5"/>
    <w:rsid w:val="00A87868"/>
    <w:rsid w:val="00A87BAE"/>
    <w:rsid w:val="00A87CC5"/>
    <w:rsid w:val="00A87CE4"/>
    <w:rsid w:val="00A87D21"/>
    <w:rsid w:val="00A87D75"/>
    <w:rsid w:val="00A87E94"/>
    <w:rsid w:val="00A90018"/>
    <w:rsid w:val="00A90243"/>
    <w:rsid w:val="00A90476"/>
    <w:rsid w:val="00A90740"/>
    <w:rsid w:val="00A9085D"/>
    <w:rsid w:val="00A90B45"/>
    <w:rsid w:val="00A90C41"/>
    <w:rsid w:val="00A90F50"/>
    <w:rsid w:val="00A910A0"/>
    <w:rsid w:val="00A9116F"/>
    <w:rsid w:val="00A91317"/>
    <w:rsid w:val="00A91570"/>
    <w:rsid w:val="00A91984"/>
    <w:rsid w:val="00A91C03"/>
    <w:rsid w:val="00A91DE2"/>
    <w:rsid w:val="00A91FDA"/>
    <w:rsid w:val="00A9219C"/>
    <w:rsid w:val="00A926BB"/>
    <w:rsid w:val="00A92995"/>
    <w:rsid w:val="00A9299A"/>
    <w:rsid w:val="00A929F4"/>
    <w:rsid w:val="00A92BB7"/>
    <w:rsid w:val="00A92C7B"/>
    <w:rsid w:val="00A92F2E"/>
    <w:rsid w:val="00A92F7E"/>
    <w:rsid w:val="00A92FC8"/>
    <w:rsid w:val="00A93130"/>
    <w:rsid w:val="00A93172"/>
    <w:rsid w:val="00A9318E"/>
    <w:rsid w:val="00A93345"/>
    <w:rsid w:val="00A933B1"/>
    <w:rsid w:val="00A9380C"/>
    <w:rsid w:val="00A93843"/>
    <w:rsid w:val="00A93A32"/>
    <w:rsid w:val="00A93A50"/>
    <w:rsid w:val="00A93C59"/>
    <w:rsid w:val="00A93C9F"/>
    <w:rsid w:val="00A93E83"/>
    <w:rsid w:val="00A93EB7"/>
    <w:rsid w:val="00A93F34"/>
    <w:rsid w:val="00A942D3"/>
    <w:rsid w:val="00A94341"/>
    <w:rsid w:val="00A94386"/>
    <w:rsid w:val="00A94406"/>
    <w:rsid w:val="00A944B3"/>
    <w:rsid w:val="00A9452B"/>
    <w:rsid w:val="00A945D6"/>
    <w:rsid w:val="00A9484B"/>
    <w:rsid w:val="00A949D5"/>
    <w:rsid w:val="00A94B75"/>
    <w:rsid w:val="00A94CE7"/>
    <w:rsid w:val="00A9509A"/>
    <w:rsid w:val="00A9510D"/>
    <w:rsid w:val="00A95185"/>
    <w:rsid w:val="00A95401"/>
    <w:rsid w:val="00A95563"/>
    <w:rsid w:val="00A95642"/>
    <w:rsid w:val="00A95984"/>
    <w:rsid w:val="00A95A55"/>
    <w:rsid w:val="00A95BAB"/>
    <w:rsid w:val="00A95D4E"/>
    <w:rsid w:val="00A95DFB"/>
    <w:rsid w:val="00A95E17"/>
    <w:rsid w:val="00A95F74"/>
    <w:rsid w:val="00A95FC9"/>
    <w:rsid w:val="00A960A7"/>
    <w:rsid w:val="00A96532"/>
    <w:rsid w:val="00A96695"/>
    <w:rsid w:val="00A9692D"/>
    <w:rsid w:val="00A96A96"/>
    <w:rsid w:val="00A96E69"/>
    <w:rsid w:val="00A96EF8"/>
    <w:rsid w:val="00A96F3D"/>
    <w:rsid w:val="00A97039"/>
    <w:rsid w:val="00A970D4"/>
    <w:rsid w:val="00A97166"/>
    <w:rsid w:val="00A97260"/>
    <w:rsid w:val="00A97439"/>
    <w:rsid w:val="00A976BD"/>
    <w:rsid w:val="00A977DD"/>
    <w:rsid w:val="00A97860"/>
    <w:rsid w:val="00A97B3A"/>
    <w:rsid w:val="00A97B60"/>
    <w:rsid w:val="00AA021C"/>
    <w:rsid w:val="00AA03BD"/>
    <w:rsid w:val="00AA0486"/>
    <w:rsid w:val="00AA050E"/>
    <w:rsid w:val="00AA051C"/>
    <w:rsid w:val="00AA0528"/>
    <w:rsid w:val="00AA058F"/>
    <w:rsid w:val="00AA06F6"/>
    <w:rsid w:val="00AA072B"/>
    <w:rsid w:val="00AA09F3"/>
    <w:rsid w:val="00AA0C37"/>
    <w:rsid w:val="00AA0E5A"/>
    <w:rsid w:val="00AA0EE9"/>
    <w:rsid w:val="00AA0F44"/>
    <w:rsid w:val="00AA102A"/>
    <w:rsid w:val="00AA113B"/>
    <w:rsid w:val="00AA1168"/>
    <w:rsid w:val="00AA12F7"/>
    <w:rsid w:val="00AA169B"/>
    <w:rsid w:val="00AA1910"/>
    <w:rsid w:val="00AA1CFF"/>
    <w:rsid w:val="00AA1F61"/>
    <w:rsid w:val="00AA20C7"/>
    <w:rsid w:val="00AA20FB"/>
    <w:rsid w:val="00AA22A4"/>
    <w:rsid w:val="00AA2372"/>
    <w:rsid w:val="00AA2575"/>
    <w:rsid w:val="00AA266E"/>
    <w:rsid w:val="00AA277C"/>
    <w:rsid w:val="00AA2A17"/>
    <w:rsid w:val="00AA2B2D"/>
    <w:rsid w:val="00AA2E4D"/>
    <w:rsid w:val="00AA2E9C"/>
    <w:rsid w:val="00AA2FAB"/>
    <w:rsid w:val="00AA3277"/>
    <w:rsid w:val="00AA3309"/>
    <w:rsid w:val="00AA35D3"/>
    <w:rsid w:val="00AA35F1"/>
    <w:rsid w:val="00AA3832"/>
    <w:rsid w:val="00AA39A5"/>
    <w:rsid w:val="00AA3CEE"/>
    <w:rsid w:val="00AA3D71"/>
    <w:rsid w:val="00AA3EB3"/>
    <w:rsid w:val="00AA3FE2"/>
    <w:rsid w:val="00AA406E"/>
    <w:rsid w:val="00AA416B"/>
    <w:rsid w:val="00AA4318"/>
    <w:rsid w:val="00AA456D"/>
    <w:rsid w:val="00AA45AB"/>
    <w:rsid w:val="00AA45B9"/>
    <w:rsid w:val="00AA4998"/>
    <w:rsid w:val="00AA4A95"/>
    <w:rsid w:val="00AA4CA8"/>
    <w:rsid w:val="00AA4D56"/>
    <w:rsid w:val="00AA4DA8"/>
    <w:rsid w:val="00AA4EAB"/>
    <w:rsid w:val="00AA5243"/>
    <w:rsid w:val="00AA5293"/>
    <w:rsid w:val="00AA52E3"/>
    <w:rsid w:val="00AA530E"/>
    <w:rsid w:val="00AA554A"/>
    <w:rsid w:val="00AA55CA"/>
    <w:rsid w:val="00AA580C"/>
    <w:rsid w:val="00AA596C"/>
    <w:rsid w:val="00AA5977"/>
    <w:rsid w:val="00AA5B65"/>
    <w:rsid w:val="00AA5C74"/>
    <w:rsid w:val="00AA606E"/>
    <w:rsid w:val="00AA62A3"/>
    <w:rsid w:val="00AA63C7"/>
    <w:rsid w:val="00AA6731"/>
    <w:rsid w:val="00AA67FC"/>
    <w:rsid w:val="00AA68B0"/>
    <w:rsid w:val="00AA6C5E"/>
    <w:rsid w:val="00AA71ED"/>
    <w:rsid w:val="00AA7281"/>
    <w:rsid w:val="00AA735D"/>
    <w:rsid w:val="00AA73D3"/>
    <w:rsid w:val="00AA7495"/>
    <w:rsid w:val="00AA7907"/>
    <w:rsid w:val="00AA7946"/>
    <w:rsid w:val="00AA7A42"/>
    <w:rsid w:val="00AA7ACA"/>
    <w:rsid w:val="00AA7DBB"/>
    <w:rsid w:val="00AA7EC6"/>
    <w:rsid w:val="00AA7F3C"/>
    <w:rsid w:val="00AB00E9"/>
    <w:rsid w:val="00AB03DA"/>
    <w:rsid w:val="00AB0499"/>
    <w:rsid w:val="00AB067C"/>
    <w:rsid w:val="00AB08C3"/>
    <w:rsid w:val="00AB0A0A"/>
    <w:rsid w:val="00AB0A76"/>
    <w:rsid w:val="00AB0AD9"/>
    <w:rsid w:val="00AB0BFF"/>
    <w:rsid w:val="00AB0F77"/>
    <w:rsid w:val="00AB114C"/>
    <w:rsid w:val="00AB1356"/>
    <w:rsid w:val="00AB1384"/>
    <w:rsid w:val="00AB13E4"/>
    <w:rsid w:val="00AB14FB"/>
    <w:rsid w:val="00AB1532"/>
    <w:rsid w:val="00AB1874"/>
    <w:rsid w:val="00AB1A5A"/>
    <w:rsid w:val="00AB1A70"/>
    <w:rsid w:val="00AB1AF1"/>
    <w:rsid w:val="00AB1AF9"/>
    <w:rsid w:val="00AB1B3B"/>
    <w:rsid w:val="00AB1BF7"/>
    <w:rsid w:val="00AB1DB8"/>
    <w:rsid w:val="00AB1FD8"/>
    <w:rsid w:val="00AB20AF"/>
    <w:rsid w:val="00AB23C3"/>
    <w:rsid w:val="00AB2414"/>
    <w:rsid w:val="00AB264B"/>
    <w:rsid w:val="00AB2656"/>
    <w:rsid w:val="00AB297C"/>
    <w:rsid w:val="00AB2B39"/>
    <w:rsid w:val="00AB2B72"/>
    <w:rsid w:val="00AB2BF6"/>
    <w:rsid w:val="00AB2CAE"/>
    <w:rsid w:val="00AB2CBB"/>
    <w:rsid w:val="00AB2DC9"/>
    <w:rsid w:val="00AB30C7"/>
    <w:rsid w:val="00AB316F"/>
    <w:rsid w:val="00AB334A"/>
    <w:rsid w:val="00AB33A4"/>
    <w:rsid w:val="00AB344B"/>
    <w:rsid w:val="00AB345A"/>
    <w:rsid w:val="00AB34E3"/>
    <w:rsid w:val="00AB351F"/>
    <w:rsid w:val="00AB361D"/>
    <w:rsid w:val="00AB3623"/>
    <w:rsid w:val="00AB37A3"/>
    <w:rsid w:val="00AB3B32"/>
    <w:rsid w:val="00AB3BDB"/>
    <w:rsid w:val="00AB3D7B"/>
    <w:rsid w:val="00AB3E28"/>
    <w:rsid w:val="00AB3E73"/>
    <w:rsid w:val="00AB4113"/>
    <w:rsid w:val="00AB4267"/>
    <w:rsid w:val="00AB4295"/>
    <w:rsid w:val="00AB429A"/>
    <w:rsid w:val="00AB4868"/>
    <w:rsid w:val="00AB49A2"/>
    <w:rsid w:val="00AB4A0F"/>
    <w:rsid w:val="00AB4A30"/>
    <w:rsid w:val="00AB4AC2"/>
    <w:rsid w:val="00AB4B01"/>
    <w:rsid w:val="00AB4B31"/>
    <w:rsid w:val="00AB4B42"/>
    <w:rsid w:val="00AB4D2E"/>
    <w:rsid w:val="00AB4F6A"/>
    <w:rsid w:val="00AB5219"/>
    <w:rsid w:val="00AB54D6"/>
    <w:rsid w:val="00AB557B"/>
    <w:rsid w:val="00AB594C"/>
    <w:rsid w:val="00AB5FB9"/>
    <w:rsid w:val="00AB5FC6"/>
    <w:rsid w:val="00AB623B"/>
    <w:rsid w:val="00AB62AC"/>
    <w:rsid w:val="00AB62E3"/>
    <w:rsid w:val="00AB6365"/>
    <w:rsid w:val="00AB64AA"/>
    <w:rsid w:val="00AB654B"/>
    <w:rsid w:val="00AB6714"/>
    <w:rsid w:val="00AB6752"/>
    <w:rsid w:val="00AB69C1"/>
    <w:rsid w:val="00AB6CED"/>
    <w:rsid w:val="00AB6DB8"/>
    <w:rsid w:val="00AB6DFD"/>
    <w:rsid w:val="00AB700D"/>
    <w:rsid w:val="00AB709B"/>
    <w:rsid w:val="00AB713F"/>
    <w:rsid w:val="00AB79DD"/>
    <w:rsid w:val="00AB7E37"/>
    <w:rsid w:val="00AB7EE6"/>
    <w:rsid w:val="00AC0043"/>
    <w:rsid w:val="00AC013E"/>
    <w:rsid w:val="00AC0305"/>
    <w:rsid w:val="00AC03C4"/>
    <w:rsid w:val="00AC05A8"/>
    <w:rsid w:val="00AC0951"/>
    <w:rsid w:val="00AC0A06"/>
    <w:rsid w:val="00AC0A3E"/>
    <w:rsid w:val="00AC0CCF"/>
    <w:rsid w:val="00AC0FD7"/>
    <w:rsid w:val="00AC107E"/>
    <w:rsid w:val="00AC12E9"/>
    <w:rsid w:val="00AC13FA"/>
    <w:rsid w:val="00AC1494"/>
    <w:rsid w:val="00AC1630"/>
    <w:rsid w:val="00AC187E"/>
    <w:rsid w:val="00AC1956"/>
    <w:rsid w:val="00AC19E2"/>
    <w:rsid w:val="00AC1A5F"/>
    <w:rsid w:val="00AC1F9D"/>
    <w:rsid w:val="00AC20BA"/>
    <w:rsid w:val="00AC23FF"/>
    <w:rsid w:val="00AC255D"/>
    <w:rsid w:val="00AC262B"/>
    <w:rsid w:val="00AC2631"/>
    <w:rsid w:val="00AC2697"/>
    <w:rsid w:val="00AC26BA"/>
    <w:rsid w:val="00AC2944"/>
    <w:rsid w:val="00AC2ECF"/>
    <w:rsid w:val="00AC2F1F"/>
    <w:rsid w:val="00AC2FF4"/>
    <w:rsid w:val="00AC32B0"/>
    <w:rsid w:val="00AC340B"/>
    <w:rsid w:val="00AC3425"/>
    <w:rsid w:val="00AC353D"/>
    <w:rsid w:val="00AC386A"/>
    <w:rsid w:val="00AC3A54"/>
    <w:rsid w:val="00AC3AD0"/>
    <w:rsid w:val="00AC3BD4"/>
    <w:rsid w:val="00AC3C71"/>
    <w:rsid w:val="00AC3EC9"/>
    <w:rsid w:val="00AC4134"/>
    <w:rsid w:val="00AC4420"/>
    <w:rsid w:val="00AC45A5"/>
    <w:rsid w:val="00AC463A"/>
    <w:rsid w:val="00AC474E"/>
    <w:rsid w:val="00AC48A2"/>
    <w:rsid w:val="00AC48B1"/>
    <w:rsid w:val="00AC4A7A"/>
    <w:rsid w:val="00AC4C4B"/>
    <w:rsid w:val="00AC4C6D"/>
    <w:rsid w:val="00AC4CE2"/>
    <w:rsid w:val="00AC4F33"/>
    <w:rsid w:val="00AC4F56"/>
    <w:rsid w:val="00AC4FDC"/>
    <w:rsid w:val="00AC504B"/>
    <w:rsid w:val="00AC56B6"/>
    <w:rsid w:val="00AC5740"/>
    <w:rsid w:val="00AC581D"/>
    <w:rsid w:val="00AC5920"/>
    <w:rsid w:val="00AC5AB7"/>
    <w:rsid w:val="00AC5B09"/>
    <w:rsid w:val="00AC5B17"/>
    <w:rsid w:val="00AC5BA7"/>
    <w:rsid w:val="00AC5C4C"/>
    <w:rsid w:val="00AC5E19"/>
    <w:rsid w:val="00AC6433"/>
    <w:rsid w:val="00AC67AF"/>
    <w:rsid w:val="00AC6829"/>
    <w:rsid w:val="00AC68EE"/>
    <w:rsid w:val="00AC6B56"/>
    <w:rsid w:val="00AC6E55"/>
    <w:rsid w:val="00AC6F08"/>
    <w:rsid w:val="00AC6FB4"/>
    <w:rsid w:val="00AC7339"/>
    <w:rsid w:val="00AC7395"/>
    <w:rsid w:val="00AC7511"/>
    <w:rsid w:val="00AC75E2"/>
    <w:rsid w:val="00AC780F"/>
    <w:rsid w:val="00AC7DA2"/>
    <w:rsid w:val="00AC7DAD"/>
    <w:rsid w:val="00AD01D6"/>
    <w:rsid w:val="00AD02D4"/>
    <w:rsid w:val="00AD0424"/>
    <w:rsid w:val="00AD05DE"/>
    <w:rsid w:val="00AD05F4"/>
    <w:rsid w:val="00AD06C9"/>
    <w:rsid w:val="00AD0B48"/>
    <w:rsid w:val="00AD0C33"/>
    <w:rsid w:val="00AD113A"/>
    <w:rsid w:val="00AD12C9"/>
    <w:rsid w:val="00AD1307"/>
    <w:rsid w:val="00AD14A6"/>
    <w:rsid w:val="00AD1527"/>
    <w:rsid w:val="00AD166A"/>
    <w:rsid w:val="00AD1833"/>
    <w:rsid w:val="00AD1A20"/>
    <w:rsid w:val="00AD1AB6"/>
    <w:rsid w:val="00AD1D77"/>
    <w:rsid w:val="00AD20CD"/>
    <w:rsid w:val="00AD20D0"/>
    <w:rsid w:val="00AD2143"/>
    <w:rsid w:val="00AD21D6"/>
    <w:rsid w:val="00AD228D"/>
    <w:rsid w:val="00AD22A8"/>
    <w:rsid w:val="00AD23DF"/>
    <w:rsid w:val="00AD24C7"/>
    <w:rsid w:val="00AD26D8"/>
    <w:rsid w:val="00AD2795"/>
    <w:rsid w:val="00AD29CD"/>
    <w:rsid w:val="00AD2A3F"/>
    <w:rsid w:val="00AD2D4E"/>
    <w:rsid w:val="00AD2E29"/>
    <w:rsid w:val="00AD2F2E"/>
    <w:rsid w:val="00AD3221"/>
    <w:rsid w:val="00AD3291"/>
    <w:rsid w:val="00AD34ED"/>
    <w:rsid w:val="00AD3579"/>
    <w:rsid w:val="00AD358F"/>
    <w:rsid w:val="00AD3783"/>
    <w:rsid w:val="00AD39C0"/>
    <w:rsid w:val="00AD3BAD"/>
    <w:rsid w:val="00AD3C7C"/>
    <w:rsid w:val="00AD3F87"/>
    <w:rsid w:val="00AD3F94"/>
    <w:rsid w:val="00AD40A8"/>
    <w:rsid w:val="00AD40C4"/>
    <w:rsid w:val="00AD41DD"/>
    <w:rsid w:val="00AD41FF"/>
    <w:rsid w:val="00AD439A"/>
    <w:rsid w:val="00AD4439"/>
    <w:rsid w:val="00AD4557"/>
    <w:rsid w:val="00AD45D0"/>
    <w:rsid w:val="00AD4744"/>
    <w:rsid w:val="00AD4771"/>
    <w:rsid w:val="00AD4872"/>
    <w:rsid w:val="00AD48E2"/>
    <w:rsid w:val="00AD4AFD"/>
    <w:rsid w:val="00AD4C0C"/>
    <w:rsid w:val="00AD4C10"/>
    <w:rsid w:val="00AD4C7E"/>
    <w:rsid w:val="00AD4CAF"/>
    <w:rsid w:val="00AD4CDB"/>
    <w:rsid w:val="00AD4CFC"/>
    <w:rsid w:val="00AD5073"/>
    <w:rsid w:val="00AD50E1"/>
    <w:rsid w:val="00AD51C6"/>
    <w:rsid w:val="00AD524E"/>
    <w:rsid w:val="00AD5983"/>
    <w:rsid w:val="00AD5C8B"/>
    <w:rsid w:val="00AD5CC1"/>
    <w:rsid w:val="00AD5E0E"/>
    <w:rsid w:val="00AD5E64"/>
    <w:rsid w:val="00AD5EB1"/>
    <w:rsid w:val="00AD5F64"/>
    <w:rsid w:val="00AD60D5"/>
    <w:rsid w:val="00AD60EA"/>
    <w:rsid w:val="00AD6147"/>
    <w:rsid w:val="00AD6171"/>
    <w:rsid w:val="00AD61C4"/>
    <w:rsid w:val="00AD62E0"/>
    <w:rsid w:val="00AD6329"/>
    <w:rsid w:val="00AD6454"/>
    <w:rsid w:val="00AD648D"/>
    <w:rsid w:val="00AD652A"/>
    <w:rsid w:val="00AD6636"/>
    <w:rsid w:val="00AD6B39"/>
    <w:rsid w:val="00AD6BB1"/>
    <w:rsid w:val="00AD6FD4"/>
    <w:rsid w:val="00AD7243"/>
    <w:rsid w:val="00AD74DE"/>
    <w:rsid w:val="00AD772D"/>
    <w:rsid w:val="00AD778D"/>
    <w:rsid w:val="00AD77FB"/>
    <w:rsid w:val="00AD785C"/>
    <w:rsid w:val="00AD789A"/>
    <w:rsid w:val="00AD7951"/>
    <w:rsid w:val="00AD7AAD"/>
    <w:rsid w:val="00AD7BDB"/>
    <w:rsid w:val="00AD7EF0"/>
    <w:rsid w:val="00AE0081"/>
    <w:rsid w:val="00AE01B9"/>
    <w:rsid w:val="00AE0283"/>
    <w:rsid w:val="00AE035C"/>
    <w:rsid w:val="00AE03D1"/>
    <w:rsid w:val="00AE0817"/>
    <w:rsid w:val="00AE08D0"/>
    <w:rsid w:val="00AE0958"/>
    <w:rsid w:val="00AE096F"/>
    <w:rsid w:val="00AE09F2"/>
    <w:rsid w:val="00AE0A38"/>
    <w:rsid w:val="00AE0B94"/>
    <w:rsid w:val="00AE0CE2"/>
    <w:rsid w:val="00AE0DAF"/>
    <w:rsid w:val="00AE0E2A"/>
    <w:rsid w:val="00AE11AD"/>
    <w:rsid w:val="00AE11D0"/>
    <w:rsid w:val="00AE14B2"/>
    <w:rsid w:val="00AE1509"/>
    <w:rsid w:val="00AE155F"/>
    <w:rsid w:val="00AE15A5"/>
    <w:rsid w:val="00AE15E6"/>
    <w:rsid w:val="00AE17CC"/>
    <w:rsid w:val="00AE1829"/>
    <w:rsid w:val="00AE199B"/>
    <w:rsid w:val="00AE1AD3"/>
    <w:rsid w:val="00AE1D17"/>
    <w:rsid w:val="00AE1DCD"/>
    <w:rsid w:val="00AE1E06"/>
    <w:rsid w:val="00AE1E55"/>
    <w:rsid w:val="00AE1F48"/>
    <w:rsid w:val="00AE2026"/>
    <w:rsid w:val="00AE22FE"/>
    <w:rsid w:val="00AE23AD"/>
    <w:rsid w:val="00AE27E1"/>
    <w:rsid w:val="00AE2B57"/>
    <w:rsid w:val="00AE2DA1"/>
    <w:rsid w:val="00AE2E7F"/>
    <w:rsid w:val="00AE3269"/>
    <w:rsid w:val="00AE3307"/>
    <w:rsid w:val="00AE3313"/>
    <w:rsid w:val="00AE3559"/>
    <w:rsid w:val="00AE35CC"/>
    <w:rsid w:val="00AE3657"/>
    <w:rsid w:val="00AE3D96"/>
    <w:rsid w:val="00AE3FDE"/>
    <w:rsid w:val="00AE40BA"/>
    <w:rsid w:val="00AE4122"/>
    <w:rsid w:val="00AE4573"/>
    <w:rsid w:val="00AE45FE"/>
    <w:rsid w:val="00AE460D"/>
    <w:rsid w:val="00AE467F"/>
    <w:rsid w:val="00AE480E"/>
    <w:rsid w:val="00AE4CD9"/>
    <w:rsid w:val="00AE4E18"/>
    <w:rsid w:val="00AE4F1B"/>
    <w:rsid w:val="00AE4F2F"/>
    <w:rsid w:val="00AE4FC0"/>
    <w:rsid w:val="00AE50A0"/>
    <w:rsid w:val="00AE52F6"/>
    <w:rsid w:val="00AE5331"/>
    <w:rsid w:val="00AE5348"/>
    <w:rsid w:val="00AE5401"/>
    <w:rsid w:val="00AE54F0"/>
    <w:rsid w:val="00AE54FB"/>
    <w:rsid w:val="00AE56BF"/>
    <w:rsid w:val="00AE56C1"/>
    <w:rsid w:val="00AE5A32"/>
    <w:rsid w:val="00AE5A43"/>
    <w:rsid w:val="00AE5E43"/>
    <w:rsid w:val="00AE6286"/>
    <w:rsid w:val="00AE62A7"/>
    <w:rsid w:val="00AE632C"/>
    <w:rsid w:val="00AE65F9"/>
    <w:rsid w:val="00AE6750"/>
    <w:rsid w:val="00AE687F"/>
    <w:rsid w:val="00AE6B19"/>
    <w:rsid w:val="00AE6CFF"/>
    <w:rsid w:val="00AE6DB4"/>
    <w:rsid w:val="00AE6F54"/>
    <w:rsid w:val="00AE7124"/>
    <w:rsid w:val="00AE713A"/>
    <w:rsid w:val="00AE727F"/>
    <w:rsid w:val="00AE731B"/>
    <w:rsid w:val="00AE748F"/>
    <w:rsid w:val="00AE7536"/>
    <w:rsid w:val="00AE766D"/>
    <w:rsid w:val="00AE770A"/>
    <w:rsid w:val="00AE7A4B"/>
    <w:rsid w:val="00AE7A7C"/>
    <w:rsid w:val="00AE7B26"/>
    <w:rsid w:val="00AE7FA4"/>
    <w:rsid w:val="00AE7FB7"/>
    <w:rsid w:val="00AF0052"/>
    <w:rsid w:val="00AF0062"/>
    <w:rsid w:val="00AF007B"/>
    <w:rsid w:val="00AF018F"/>
    <w:rsid w:val="00AF0308"/>
    <w:rsid w:val="00AF039E"/>
    <w:rsid w:val="00AF05EA"/>
    <w:rsid w:val="00AF0684"/>
    <w:rsid w:val="00AF06B5"/>
    <w:rsid w:val="00AF0779"/>
    <w:rsid w:val="00AF07B0"/>
    <w:rsid w:val="00AF0A15"/>
    <w:rsid w:val="00AF1178"/>
    <w:rsid w:val="00AF11A3"/>
    <w:rsid w:val="00AF11BC"/>
    <w:rsid w:val="00AF1248"/>
    <w:rsid w:val="00AF143D"/>
    <w:rsid w:val="00AF1A47"/>
    <w:rsid w:val="00AF1A60"/>
    <w:rsid w:val="00AF1B84"/>
    <w:rsid w:val="00AF1BAE"/>
    <w:rsid w:val="00AF1BEE"/>
    <w:rsid w:val="00AF1C7F"/>
    <w:rsid w:val="00AF1E0C"/>
    <w:rsid w:val="00AF1F53"/>
    <w:rsid w:val="00AF21DF"/>
    <w:rsid w:val="00AF2284"/>
    <w:rsid w:val="00AF22BC"/>
    <w:rsid w:val="00AF24F2"/>
    <w:rsid w:val="00AF2702"/>
    <w:rsid w:val="00AF2727"/>
    <w:rsid w:val="00AF280B"/>
    <w:rsid w:val="00AF2844"/>
    <w:rsid w:val="00AF28E6"/>
    <w:rsid w:val="00AF298D"/>
    <w:rsid w:val="00AF2A32"/>
    <w:rsid w:val="00AF2B6E"/>
    <w:rsid w:val="00AF2FB7"/>
    <w:rsid w:val="00AF3065"/>
    <w:rsid w:val="00AF3348"/>
    <w:rsid w:val="00AF36C6"/>
    <w:rsid w:val="00AF3968"/>
    <w:rsid w:val="00AF3A4F"/>
    <w:rsid w:val="00AF3A94"/>
    <w:rsid w:val="00AF3D75"/>
    <w:rsid w:val="00AF3FE6"/>
    <w:rsid w:val="00AF400A"/>
    <w:rsid w:val="00AF422B"/>
    <w:rsid w:val="00AF4264"/>
    <w:rsid w:val="00AF427F"/>
    <w:rsid w:val="00AF43E1"/>
    <w:rsid w:val="00AF456E"/>
    <w:rsid w:val="00AF45C7"/>
    <w:rsid w:val="00AF4AC1"/>
    <w:rsid w:val="00AF4ACE"/>
    <w:rsid w:val="00AF4AE3"/>
    <w:rsid w:val="00AF4C2E"/>
    <w:rsid w:val="00AF4D9B"/>
    <w:rsid w:val="00AF4E46"/>
    <w:rsid w:val="00AF4ED5"/>
    <w:rsid w:val="00AF5097"/>
    <w:rsid w:val="00AF52EE"/>
    <w:rsid w:val="00AF53BA"/>
    <w:rsid w:val="00AF5748"/>
    <w:rsid w:val="00AF5803"/>
    <w:rsid w:val="00AF58A9"/>
    <w:rsid w:val="00AF58D2"/>
    <w:rsid w:val="00AF58EF"/>
    <w:rsid w:val="00AF5D72"/>
    <w:rsid w:val="00AF5E87"/>
    <w:rsid w:val="00AF5FBD"/>
    <w:rsid w:val="00AF5FE0"/>
    <w:rsid w:val="00AF6229"/>
    <w:rsid w:val="00AF6401"/>
    <w:rsid w:val="00AF65DA"/>
    <w:rsid w:val="00AF685D"/>
    <w:rsid w:val="00AF68BC"/>
    <w:rsid w:val="00AF6988"/>
    <w:rsid w:val="00AF69E3"/>
    <w:rsid w:val="00AF6AE1"/>
    <w:rsid w:val="00AF6B78"/>
    <w:rsid w:val="00AF6E24"/>
    <w:rsid w:val="00AF7025"/>
    <w:rsid w:val="00AF7085"/>
    <w:rsid w:val="00AF70A7"/>
    <w:rsid w:val="00AF71F2"/>
    <w:rsid w:val="00AF7212"/>
    <w:rsid w:val="00AF7263"/>
    <w:rsid w:val="00AF73ED"/>
    <w:rsid w:val="00AF755F"/>
    <w:rsid w:val="00AF793C"/>
    <w:rsid w:val="00AF79D9"/>
    <w:rsid w:val="00AF7B77"/>
    <w:rsid w:val="00AF7CD1"/>
    <w:rsid w:val="00AF7D66"/>
    <w:rsid w:val="00AF7E28"/>
    <w:rsid w:val="00AF7F32"/>
    <w:rsid w:val="00B00246"/>
    <w:rsid w:val="00B006BE"/>
    <w:rsid w:val="00B009F0"/>
    <w:rsid w:val="00B00A96"/>
    <w:rsid w:val="00B00CE9"/>
    <w:rsid w:val="00B00CF6"/>
    <w:rsid w:val="00B00EB2"/>
    <w:rsid w:val="00B00FD4"/>
    <w:rsid w:val="00B00FD9"/>
    <w:rsid w:val="00B01048"/>
    <w:rsid w:val="00B01069"/>
    <w:rsid w:val="00B0118D"/>
    <w:rsid w:val="00B0126E"/>
    <w:rsid w:val="00B01295"/>
    <w:rsid w:val="00B01541"/>
    <w:rsid w:val="00B016D5"/>
    <w:rsid w:val="00B017D2"/>
    <w:rsid w:val="00B01D59"/>
    <w:rsid w:val="00B02204"/>
    <w:rsid w:val="00B025B0"/>
    <w:rsid w:val="00B027D3"/>
    <w:rsid w:val="00B02B00"/>
    <w:rsid w:val="00B02D02"/>
    <w:rsid w:val="00B02D88"/>
    <w:rsid w:val="00B03011"/>
    <w:rsid w:val="00B03014"/>
    <w:rsid w:val="00B033EB"/>
    <w:rsid w:val="00B03435"/>
    <w:rsid w:val="00B0343D"/>
    <w:rsid w:val="00B035C5"/>
    <w:rsid w:val="00B03633"/>
    <w:rsid w:val="00B037AB"/>
    <w:rsid w:val="00B03A1B"/>
    <w:rsid w:val="00B03A6A"/>
    <w:rsid w:val="00B03AC3"/>
    <w:rsid w:val="00B043E8"/>
    <w:rsid w:val="00B0452E"/>
    <w:rsid w:val="00B046CD"/>
    <w:rsid w:val="00B047C0"/>
    <w:rsid w:val="00B04889"/>
    <w:rsid w:val="00B048BD"/>
    <w:rsid w:val="00B04A5C"/>
    <w:rsid w:val="00B04AB4"/>
    <w:rsid w:val="00B04E61"/>
    <w:rsid w:val="00B04F63"/>
    <w:rsid w:val="00B04F6F"/>
    <w:rsid w:val="00B05281"/>
    <w:rsid w:val="00B05322"/>
    <w:rsid w:val="00B05336"/>
    <w:rsid w:val="00B0555B"/>
    <w:rsid w:val="00B058A8"/>
    <w:rsid w:val="00B05A2C"/>
    <w:rsid w:val="00B05A42"/>
    <w:rsid w:val="00B05B09"/>
    <w:rsid w:val="00B05C69"/>
    <w:rsid w:val="00B05D1B"/>
    <w:rsid w:val="00B05F8E"/>
    <w:rsid w:val="00B06051"/>
    <w:rsid w:val="00B060B4"/>
    <w:rsid w:val="00B06100"/>
    <w:rsid w:val="00B06154"/>
    <w:rsid w:val="00B061EC"/>
    <w:rsid w:val="00B0629B"/>
    <w:rsid w:val="00B06453"/>
    <w:rsid w:val="00B06457"/>
    <w:rsid w:val="00B06546"/>
    <w:rsid w:val="00B06642"/>
    <w:rsid w:val="00B0684F"/>
    <w:rsid w:val="00B06872"/>
    <w:rsid w:val="00B0694E"/>
    <w:rsid w:val="00B06982"/>
    <w:rsid w:val="00B06A4D"/>
    <w:rsid w:val="00B06B19"/>
    <w:rsid w:val="00B06BCC"/>
    <w:rsid w:val="00B06F76"/>
    <w:rsid w:val="00B06FA1"/>
    <w:rsid w:val="00B06FAA"/>
    <w:rsid w:val="00B07432"/>
    <w:rsid w:val="00B0769D"/>
    <w:rsid w:val="00B076E8"/>
    <w:rsid w:val="00B07789"/>
    <w:rsid w:val="00B07794"/>
    <w:rsid w:val="00B079A0"/>
    <w:rsid w:val="00B07A1C"/>
    <w:rsid w:val="00B07AB4"/>
    <w:rsid w:val="00B07CF7"/>
    <w:rsid w:val="00B07DC8"/>
    <w:rsid w:val="00B07DDB"/>
    <w:rsid w:val="00B07E99"/>
    <w:rsid w:val="00B0FF64"/>
    <w:rsid w:val="00B102F2"/>
    <w:rsid w:val="00B10438"/>
    <w:rsid w:val="00B106CD"/>
    <w:rsid w:val="00B107A3"/>
    <w:rsid w:val="00B10827"/>
    <w:rsid w:val="00B10873"/>
    <w:rsid w:val="00B10B1A"/>
    <w:rsid w:val="00B10BE7"/>
    <w:rsid w:val="00B10D8E"/>
    <w:rsid w:val="00B10E5A"/>
    <w:rsid w:val="00B10F3E"/>
    <w:rsid w:val="00B10FB2"/>
    <w:rsid w:val="00B11250"/>
    <w:rsid w:val="00B112F5"/>
    <w:rsid w:val="00B11378"/>
    <w:rsid w:val="00B1143C"/>
    <w:rsid w:val="00B114DF"/>
    <w:rsid w:val="00B119F1"/>
    <w:rsid w:val="00B11CB2"/>
    <w:rsid w:val="00B11CC3"/>
    <w:rsid w:val="00B11E4D"/>
    <w:rsid w:val="00B11FEC"/>
    <w:rsid w:val="00B12009"/>
    <w:rsid w:val="00B120BB"/>
    <w:rsid w:val="00B122ED"/>
    <w:rsid w:val="00B12647"/>
    <w:rsid w:val="00B12699"/>
    <w:rsid w:val="00B12752"/>
    <w:rsid w:val="00B12817"/>
    <w:rsid w:val="00B129AE"/>
    <w:rsid w:val="00B12A38"/>
    <w:rsid w:val="00B12A73"/>
    <w:rsid w:val="00B12D08"/>
    <w:rsid w:val="00B12D44"/>
    <w:rsid w:val="00B12D6E"/>
    <w:rsid w:val="00B12DE5"/>
    <w:rsid w:val="00B13096"/>
    <w:rsid w:val="00B1323D"/>
    <w:rsid w:val="00B1327F"/>
    <w:rsid w:val="00B13390"/>
    <w:rsid w:val="00B133DC"/>
    <w:rsid w:val="00B1363C"/>
    <w:rsid w:val="00B13698"/>
    <w:rsid w:val="00B137BE"/>
    <w:rsid w:val="00B13935"/>
    <w:rsid w:val="00B139D1"/>
    <w:rsid w:val="00B13AB3"/>
    <w:rsid w:val="00B13BBB"/>
    <w:rsid w:val="00B13FDE"/>
    <w:rsid w:val="00B14194"/>
    <w:rsid w:val="00B141ED"/>
    <w:rsid w:val="00B14275"/>
    <w:rsid w:val="00B14480"/>
    <w:rsid w:val="00B147E7"/>
    <w:rsid w:val="00B1494F"/>
    <w:rsid w:val="00B14B4F"/>
    <w:rsid w:val="00B14DD8"/>
    <w:rsid w:val="00B14E9D"/>
    <w:rsid w:val="00B14EB3"/>
    <w:rsid w:val="00B1500A"/>
    <w:rsid w:val="00B151C0"/>
    <w:rsid w:val="00B152B8"/>
    <w:rsid w:val="00B157F9"/>
    <w:rsid w:val="00B15AEC"/>
    <w:rsid w:val="00B15B32"/>
    <w:rsid w:val="00B15C3B"/>
    <w:rsid w:val="00B15ECC"/>
    <w:rsid w:val="00B16621"/>
    <w:rsid w:val="00B16647"/>
    <w:rsid w:val="00B1664A"/>
    <w:rsid w:val="00B166E9"/>
    <w:rsid w:val="00B167FE"/>
    <w:rsid w:val="00B16C3A"/>
    <w:rsid w:val="00B16CFC"/>
    <w:rsid w:val="00B16D11"/>
    <w:rsid w:val="00B16FFC"/>
    <w:rsid w:val="00B1715B"/>
    <w:rsid w:val="00B171EE"/>
    <w:rsid w:val="00B172D1"/>
    <w:rsid w:val="00B173FC"/>
    <w:rsid w:val="00B179FC"/>
    <w:rsid w:val="00B17B33"/>
    <w:rsid w:val="00B17B4C"/>
    <w:rsid w:val="00B17B6F"/>
    <w:rsid w:val="00B17B7B"/>
    <w:rsid w:val="00B17DD5"/>
    <w:rsid w:val="00B17ED1"/>
    <w:rsid w:val="00B17F99"/>
    <w:rsid w:val="00B2016F"/>
    <w:rsid w:val="00B20397"/>
    <w:rsid w:val="00B20850"/>
    <w:rsid w:val="00B208EE"/>
    <w:rsid w:val="00B20B35"/>
    <w:rsid w:val="00B20D79"/>
    <w:rsid w:val="00B20ED1"/>
    <w:rsid w:val="00B20F74"/>
    <w:rsid w:val="00B21119"/>
    <w:rsid w:val="00B21291"/>
    <w:rsid w:val="00B21392"/>
    <w:rsid w:val="00B21610"/>
    <w:rsid w:val="00B21975"/>
    <w:rsid w:val="00B21BE9"/>
    <w:rsid w:val="00B21C67"/>
    <w:rsid w:val="00B21D0F"/>
    <w:rsid w:val="00B22271"/>
    <w:rsid w:val="00B223F3"/>
    <w:rsid w:val="00B226B1"/>
    <w:rsid w:val="00B22770"/>
    <w:rsid w:val="00B2294A"/>
    <w:rsid w:val="00B22A4A"/>
    <w:rsid w:val="00B22F45"/>
    <w:rsid w:val="00B22FC3"/>
    <w:rsid w:val="00B230BC"/>
    <w:rsid w:val="00B23319"/>
    <w:rsid w:val="00B233FD"/>
    <w:rsid w:val="00B23525"/>
    <w:rsid w:val="00B237AB"/>
    <w:rsid w:val="00B23A7F"/>
    <w:rsid w:val="00B23C26"/>
    <w:rsid w:val="00B23C6E"/>
    <w:rsid w:val="00B23F53"/>
    <w:rsid w:val="00B23FD0"/>
    <w:rsid w:val="00B23FD4"/>
    <w:rsid w:val="00B24212"/>
    <w:rsid w:val="00B24223"/>
    <w:rsid w:val="00B246CE"/>
    <w:rsid w:val="00B24842"/>
    <w:rsid w:val="00B24935"/>
    <w:rsid w:val="00B24B4A"/>
    <w:rsid w:val="00B24C43"/>
    <w:rsid w:val="00B2508A"/>
    <w:rsid w:val="00B2520A"/>
    <w:rsid w:val="00B25211"/>
    <w:rsid w:val="00B25240"/>
    <w:rsid w:val="00B2532E"/>
    <w:rsid w:val="00B25805"/>
    <w:rsid w:val="00B2582E"/>
    <w:rsid w:val="00B2597C"/>
    <w:rsid w:val="00B259E1"/>
    <w:rsid w:val="00B25B04"/>
    <w:rsid w:val="00B25C12"/>
    <w:rsid w:val="00B25E20"/>
    <w:rsid w:val="00B25E97"/>
    <w:rsid w:val="00B26081"/>
    <w:rsid w:val="00B260F1"/>
    <w:rsid w:val="00B26153"/>
    <w:rsid w:val="00B26369"/>
    <w:rsid w:val="00B26388"/>
    <w:rsid w:val="00B26390"/>
    <w:rsid w:val="00B263FD"/>
    <w:rsid w:val="00B26464"/>
    <w:rsid w:val="00B26531"/>
    <w:rsid w:val="00B26699"/>
    <w:rsid w:val="00B269A8"/>
    <w:rsid w:val="00B269BE"/>
    <w:rsid w:val="00B269CE"/>
    <w:rsid w:val="00B26A2E"/>
    <w:rsid w:val="00B26A48"/>
    <w:rsid w:val="00B26B1B"/>
    <w:rsid w:val="00B26B57"/>
    <w:rsid w:val="00B26BE1"/>
    <w:rsid w:val="00B26F0A"/>
    <w:rsid w:val="00B27058"/>
    <w:rsid w:val="00B27179"/>
    <w:rsid w:val="00B2727F"/>
    <w:rsid w:val="00B27338"/>
    <w:rsid w:val="00B273E7"/>
    <w:rsid w:val="00B274D9"/>
    <w:rsid w:val="00B276E2"/>
    <w:rsid w:val="00B27812"/>
    <w:rsid w:val="00B27BE9"/>
    <w:rsid w:val="00B27F2E"/>
    <w:rsid w:val="00B27F6E"/>
    <w:rsid w:val="00B27F9B"/>
    <w:rsid w:val="00B27FD0"/>
    <w:rsid w:val="00B27FDB"/>
    <w:rsid w:val="00B3022A"/>
    <w:rsid w:val="00B30614"/>
    <w:rsid w:val="00B30651"/>
    <w:rsid w:val="00B30676"/>
    <w:rsid w:val="00B306EC"/>
    <w:rsid w:val="00B3070F"/>
    <w:rsid w:val="00B30838"/>
    <w:rsid w:val="00B30842"/>
    <w:rsid w:val="00B3091D"/>
    <w:rsid w:val="00B30A55"/>
    <w:rsid w:val="00B30AAB"/>
    <w:rsid w:val="00B30C52"/>
    <w:rsid w:val="00B30D5B"/>
    <w:rsid w:val="00B30FF1"/>
    <w:rsid w:val="00B31004"/>
    <w:rsid w:val="00B31355"/>
    <w:rsid w:val="00B31533"/>
    <w:rsid w:val="00B31597"/>
    <w:rsid w:val="00B31839"/>
    <w:rsid w:val="00B319D3"/>
    <w:rsid w:val="00B31AA7"/>
    <w:rsid w:val="00B31C0A"/>
    <w:rsid w:val="00B31C5C"/>
    <w:rsid w:val="00B31EE5"/>
    <w:rsid w:val="00B320AB"/>
    <w:rsid w:val="00B321CF"/>
    <w:rsid w:val="00B321F3"/>
    <w:rsid w:val="00B3228B"/>
    <w:rsid w:val="00B32514"/>
    <w:rsid w:val="00B3253A"/>
    <w:rsid w:val="00B32726"/>
    <w:rsid w:val="00B32850"/>
    <w:rsid w:val="00B32917"/>
    <w:rsid w:val="00B32A2D"/>
    <w:rsid w:val="00B32C36"/>
    <w:rsid w:val="00B32D56"/>
    <w:rsid w:val="00B33152"/>
    <w:rsid w:val="00B333F7"/>
    <w:rsid w:val="00B3362F"/>
    <w:rsid w:val="00B3382B"/>
    <w:rsid w:val="00B33ADE"/>
    <w:rsid w:val="00B33B56"/>
    <w:rsid w:val="00B33BF1"/>
    <w:rsid w:val="00B33D27"/>
    <w:rsid w:val="00B33FC6"/>
    <w:rsid w:val="00B34190"/>
    <w:rsid w:val="00B34387"/>
    <w:rsid w:val="00B34477"/>
    <w:rsid w:val="00B344C6"/>
    <w:rsid w:val="00B34667"/>
    <w:rsid w:val="00B347FA"/>
    <w:rsid w:val="00B34844"/>
    <w:rsid w:val="00B348DC"/>
    <w:rsid w:val="00B3493F"/>
    <w:rsid w:val="00B349E9"/>
    <w:rsid w:val="00B349F2"/>
    <w:rsid w:val="00B34C6B"/>
    <w:rsid w:val="00B34C77"/>
    <w:rsid w:val="00B34D91"/>
    <w:rsid w:val="00B34DF0"/>
    <w:rsid w:val="00B35007"/>
    <w:rsid w:val="00B35349"/>
    <w:rsid w:val="00B356E8"/>
    <w:rsid w:val="00B3574F"/>
    <w:rsid w:val="00B35A79"/>
    <w:rsid w:val="00B35E88"/>
    <w:rsid w:val="00B36108"/>
    <w:rsid w:val="00B36226"/>
    <w:rsid w:val="00B3679E"/>
    <w:rsid w:val="00B369C0"/>
    <w:rsid w:val="00B36E7A"/>
    <w:rsid w:val="00B36E98"/>
    <w:rsid w:val="00B37084"/>
    <w:rsid w:val="00B370D8"/>
    <w:rsid w:val="00B370E6"/>
    <w:rsid w:val="00B3714C"/>
    <w:rsid w:val="00B373A3"/>
    <w:rsid w:val="00B37438"/>
    <w:rsid w:val="00B374AC"/>
    <w:rsid w:val="00B374B6"/>
    <w:rsid w:val="00B3765B"/>
    <w:rsid w:val="00B37762"/>
    <w:rsid w:val="00B377A7"/>
    <w:rsid w:val="00B3792C"/>
    <w:rsid w:val="00B37964"/>
    <w:rsid w:val="00B379A8"/>
    <w:rsid w:val="00B379CF"/>
    <w:rsid w:val="00B37A08"/>
    <w:rsid w:val="00B37A25"/>
    <w:rsid w:val="00B37B90"/>
    <w:rsid w:val="00B37D53"/>
    <w:rsid w:val="00B40275"/>
    <w:rsid w:val="00B402BC"/>
    <w:rsid w:val="00B40433"/>
    <w:rsid w:val="00B406E0"/>
    <w:rsid w:val="00B406F7"/>
    <w:rsid w:val="00B408D7"/>
    <w:rsid w:val="00B4092D"/>
    <w:rsid w:val="00B4097A"/>
    <w:rsid w:val="00B40B42"/>
    <w:rsid w:val="00B40CD7"/>
    <w:rsid w:val="00B40CF0"/>
    <w:rsid w:val="00B40D3B"/>
    <w:rsid w:val="00B40F84"/>
    <w:rsid w:val="00B410B8"/>
    <w:rsid w:val="00B41120"/>
    <w:rsid w:val="00B41825"/>
    <w:rsid w:val="00B41861"/>
    <w:rsid w:val="00B419A2"/>
    <w:rsid w:val="00B419A4"/>
    <w:rsid w:val="00B419F8"/>
    <w:rsid w:val="00B41A0F"/>
    <w:rsid w:val="00B41CE3"/>
    <w:rsid w:val="00B41D5C"/>
    <w:rsid w:val="00B41E5D"/>
    <w:rsid w:val="00B41E9B"/>
    <w:rsid w:val="00B420E2"/>
    <w:rsid w:val="00B4228E"/>
    <w:rsid w:val="00B422EC"/>
    <w:rsid w:val="00B42402"/>
    <w:rsid w:val="00B4251B"/>
    <w:rsid w:val="00B4265D"/>
    <w:rsid w:val="00B42958"/>
    <w:rsid w:val="00B42A25"/>
    <w:rsid w:val="00B42A67"/>
    <w:rsid w:val="00B42BE3"/>
    <w:rsid w:val="00B42C15"/>
    <w:rsid w:val="00B42C34"/>
    <w:rsid w:val="00B42F48"/>
    <w:rsid w:val="00B42FFC"/>
    <w:rsid w:val="00B43103"/>
    <w:rsid w:val="00B433F0"/>
    <w:rsid w:val="00B439E0"/>
    <w:rsid w:val="00B43C5C"/>
    <w:rsid w:val="00B43F75"/>
    <w:rsid w:val="00B441B6"/>
    <w:rsid w:val="00B44283"/>
    <w:rsid w:val="00B442B0"/>
    <w:rsid w:val="00B444D7"/>
    <w:rsid w:val="00B4458C"/>
    <w:rsid w:val="00B44769"/>
    <w:rsid w:val="00B44966"/>
    <w:rsid w:val="00B44E21"/>
    <w:rsid w:val="00B44F22"/>
    <w:rsid w:val="00B455BC"/>
    <w:rsid w:val="00B456F7"/>
    <w:rsid w:val="00B4577F"/>
    <w:rsid w:val="00B45822"/>
    <w:rsid w:val="00B45896"/>
    <w:rsid w:val="00B458B8"/>
    <w:rsid w:val="00B45B1D"/>
    <w:rsid w:val="00B45B22"/>
    <w:rsid w:val="00B45BB6"/>
    <w:rsid w:val="00B45CA6"/>
    <w:rsid w:val="00B45F37"/>
    <w:rsid w:val="00B46253"/>
    <w:rsid w:val="00B46631"/>
    <w:rsid w:val="00B4675D"/>
    <w:rsid w:val="00B46820"/>
    <w:rsid w:val="00B46848"/>
    <w:rsid w:val="00B46914"/>
    <w:rsid w:val="00B46996"/>
    <w:rsid w:val="00B469CF"/>
    <w:rsid w:val="00B469EB"/>
    <w:rsid w:val="00B470A9"/>
    <w:rsid w:val="00B470D5"/>
    <w:rsid w:val="00B47111"/>
    <w:rsid w:val="00B47195"/>
    <w:rsid w:val="00B471D8"/>
    <w:rsid w:val="00B47296"/>
    <w:rsid w:val="00B4729F"/>
    <w:rsid w:val="00B472E3"/>
    <w:rsid w:val="00B472F0"/>
    <w:rsid w:val="00B474F3"/>
    <w:rsid w:val="00B475B7"/>
    <w:rsid w:val="00B475DC"/>
    <w:rsid w:val="00B47683"/>
    <w:rsid w:val="00B477E4"/>
    <w:rsid w:val="00B4799A"/>
    <w:rsid w:val="00B47B69"/>
    <w:rsid w:val="00B47BA1"/>
    <w:rsid w:val="00B47BA2"/>
    <w:rsid w:val="00B47C79"/>
    <w:rsid w:val="00B47CAA"/>
    <w:rsid w:val="00B47CF8"/>
    <w:rsid w:val="00B47DBC"/>
    <w:rsid w:val="00B47DD9"/>
    <w:rsid w:val="00B47EC1"/>
    <w:rsid w:val="00B50102"/>
    <w:rsid w:val="00B5019F"/>
    <w:rsid w:val="00B5021B"/>
    <w:rsid w:val="00B502B5"/>
    <w:rsid w:val="00B503A7"/>
    <w:rsid w:val="00B5042D"/>
    <w:rsid w:val="00B507B6"/>
    <w:rsid w:val="00B50A9C"/>
    <w:rsid w:val="00B50B84"/>
    <w:rsid w:val="00B50DA1"/>
    <w:rsid w:val="00B50F98"/>
    <w:rsid w:val="00B50FFD"/>
    <w:rsid w:val="00B5115D"/>
    <w:rsid w:val="00B511B1"/>
    <w:rsid w:val="00B512C0"/>
    <w:rsid w:val="00B5130C"/>
    <w:rsid w:val="00B513C1"/>
    <w:rsid w:val="00B51514"/>
    <w:rsid w:val="00B517CD"/>
    <w:rsid w:val="00B5194A"/>
    <w:rsid w:val="00B51A00"/>
    <w:rsid w:val="00B51AF9"/>
    <w:rsid w:val="00B51CF3"/>
    <w:rsid w:val="00B51D93"/>
    <w:rsid w:val="00B51DCF"/>
    <w:rsid w:val="00B51FF0"/>
    <w:rsid w:val="00B52124"/>
    <w:rsid w:val="00B52504"/>
    <w:rsid w:val="00B5255E"/>
    <w:rsid w:val="00B525D4"/>
    <w:rsid w:val="00B52627"/>
    <w:rsid w:val="00B5276E"/>
    <w:rsid w:val="00B5279D"/>
    <w:rsid w:val="00B5279F"/>
    <w:rsid w:val="00B527C7"/>
    <w:rsid w:val="00B527CE"/>
    <w:rsid w:val="00B528C7"/>
    <w:rsid w:val="00B529EF"/>
    <w:rsid w:val="00B52D82"/>
    <w:rsid w:val="00B52E2B"/>
    <w:rsid w:val="00B52EC6"/>
    <w:rsid w:val="00B530B5"/>
    <w:rsid w:val="00B5328D"/>
    <w:rsid w:val="00B53334"/>
    <w:rsid w:val="00B53D54"/>
    <w:rsid w:val="00B53DCB"/>
    <w:rsid w:val="00B53EBB"/>
    <w:rsid w:val="00B53F1B"/>
    <w:rsid w:val="00B53F86"/>
    <w:rsid w:val="00B54784"/>
    <w:rsid w:val="00B54880"/>
    <w:rsid w:val="00B5491B"/>
    <w:rsid w:val="00B54927"/>
    <w:rsid w:val="00B54967"/>
    <w:rsid w:val="00B549A5"/>
    <w:rsid w:val="00B54AA1"/>
    <w:rsid w:val="00B54B9D"/>
    <w:rsid w:val="00B55085"/>
    <w:rsid w:val="00B550C4"/>
    <w:rsid w:val="00B5528C"/>
    <w:rsid w:val="00B5537E"/>
    <w:rsid w:val="00B55478"/>
    <w:rsid w:val="00B5549F"/>
    <w:rsid w:val="00B554F4"/>
    <w:rsid w:val="00B555F8"/>
    <w:rsid w:val="00B5562A"/>
    <w:rsid w:val="00B5562C"/>
    <w:rsid w:val="00B558E3"/>
    <w:rsid w:val="00B559E3"/>
    <w:rsid w:val="00B55A00"/>
    <w:rsid w:val="00B55AE1"/>
    <w:rsid w:val="00B55F6C"/>
    <w:rsid w:val="00B56015"/>
    <w:rsid w:val="00B561CA"/>
    <w:rsid w:val="00B562A3"/>
    <w:rsid w:val="00B56579"/>
    <w:rsid w:val="00B565C1"/>
    <w:rsid w:val="00B56726"/>
    <w:rsid w:val="00B56B0C"/>
    <w:rsid w:val="00B56B16"/>
    <w:rsid w:val="00B56BD3"/>
    <w:rsid w:val="00B5709E"/>
    <w:rsid w:val="00B57127"/>
    <w:rsid w:val="00B57273"/>
    <w:rsid w:val="00B5738A"/>
    <w:rsid w:val="00B5766F"/>
    <w:rsid w:val="00B57702"/>
    <w:rsid w:val="00B578DC"/>
    <w:rsid w:val="00B578F8"/>
    <w:rsid w:val="00B57DBB"/>
    <w:rsid w:val="00B57FEA"/>
    <w:rsid w:val="00B601F5"/>
    <w:rsid w:val="00B609BD"/>
    <w:rsid w:val="00B609E7"/>
    <w:rsid w:val="00B60B5D"/>
    <w:rsid w:val="00B60B72"/>
    <w:rsid w:val="00B60BAC"/>
    <w:rsid w:val="00B60C9B"/>
    <w:rsid w:val="00B60E86"/>
    <w:rsid w:val="00B60EDB"/>
    <w:rsid w:val="00B61197"/>
    <w:rsid w:val="00B6128B"/>
    <w:rsid w:val="00B6128C"/>
    <w:rsid w:val="00B6163F"/>
    <w:rsid w:val="00B6179E"/>
    <w:rsid w:val="00B617AB"/>
    <w:rsid w:val="00B6181E"/>
    <w:rsid w:val="00B61918"/>
    <w:rsid w:val="00B61983"/>
    <w:rsid w:val="00B61BE2"/>
    <w:rsid w:val="00B61D86"/>
    <w:rsid w:val="00B61F50"/>
    <w:rsid w:val="00B6201D"/>
    <w:rsid w:val="00B62086"/>
    <w:rsid w:val="00B6213E"/>
    <w:rsid w:val="00B6223E"/>
    <w:rsid w:val="00B624FB"/>
    <w:rsid w:val="00B62504"/>
    <w:rsid w:val="00B62823"/>
    <w:rsid w:val="00B62836"/>
    <w:rsid w:val="00B628AC"/>
    <w:rsid w:val="00B62A85"/>
    <w:rsid w:val="00B62CFF"/>
    <w:rsid w:val="00B62D8D"/>
    <w:rsid w:val="00B62E3A"/>
    <w:rsid w:val="00B62E52"/>
    <w:rsid w:val="00B62F41"/>
    <w:rsid w:val="00B632E4"/>
    <w:rsid w:val="00B636D2"/>
    <w:rsid w:val="00B63734"/>
    <w:rsid w:val="00B637A6"/>
    <w:rsid w:val="00B6382C"/>
    <w:rsid w:val="00B63846"/>
    <w:rsid w:val="00B639B5"/>
    <w:rsid w:val="00B63E27"/>
    <w:rsid w:val="00B63FC3"/>
    <w:rsid w:val="00B641AD"/>
    <w:rsid w:val="00B642D6"/>
    <w:rsid w:val="00B64310"/>
    <w:rsid w:val="00B64470"/>
    <w:rsid w:val="00B64471"/>
    <w:rsid w:val="00B646F1"/>
    <w:rsid w:val="00B64772"/>
    <w:rsid w:val="00B6485A"/>
    <w:rsid w:val="00B649FD"/>
    <w:rsid w:val="00B64FB4"/>
    <w:rsid w:val="00B650EC"/>
    <w:rsid w:val="00B6519F"/>
    <w:rsid w:val="00B65456"/>
    <w:rsid w:val="00B65606"/>
    <w:rsid w:val="00B65629"/>
    <w:rsid w:val="00B6564A"/>
    <w:rsid w:val="00B65A21"/>
    <w:rsid w:val="00B65ABD"/>
    <w:rsid w:val="00B65C78"/>
    <w:rsid w:val="00B65CF3"/>
    <w:rsid w:val="00B65D5D"/>
    <w:rsid w:val="00B65DBB"/>
    <w:rsid w:val="00B65ED7"/>
    <w:rsid w:val="00B65F3E"/>
    <w:rsid w:val="00B65F6A"/>
    <w:rsid w:val="00B66012"/>
    <w:rsid w:val="00B66016"/>
    <w:rsid w:val="00B6602F"/>
    <w:rsid w:val="00B660A8"/>
    <w:rsid w:val="00B6616B"/>
    <w:rsid w:val="00B66249"/>
    <w:rsid w:val="00B66283"/>
    <w:rsid w:val="00B663C5"/>
    <w:rsid w:val="00B666AE"/>
    <w:rsid w:val="00B666DF"/>
    <w:rsid w:val="00B666FD"/>
    <w:rsid w:val="00B667B7"/>
    <w:rsid w:val="00B66827"/>
    <w:rsid w:val="00B668B8"/>
    <w:rsid w:val="00B66917"/>
    <w:rsid w:val="00B669A3"/>
    <w:rsid w:val="00B66B87"/>
    <w:rsid w:val="00B66F35"/>
    <w:rsid w:val="00B66F8A"/>
    <w:rsid w:val="00B6736D"/>
    <w:rsid w:val="00B673EC"/>
    <w:rsid w:val="00B679A5"/>
    <w:rsid w:val="00B67EC8"/>
    <w:rsid w:val="00B67F5D"/>
    <w:rsid w:val="00B70115"/>
    <w:rsid w:val="00B7046D"/>
    <w:rsid w:val="00B704BA"/>
    <w:rsid w:val="00B7068A"/>
    <w:rsid w:val="00B706B2"/>
    <w:rsid w:val="00B70926"/>
    <w:rsid w:val="00B70B16"/>
    <w:rsid w:val="00B70FBF"/>
    <w:rsid w:val="00B71046"/>
    <w:rsid w:val="00B712C5"/>
    <w:rsid w:val="00B714A1"/>
    <w:rsid w:val="00B71517"/>
    <w:rsid w:val="00B71634"/>
    <w:rsid w:val="00B71B14"/>
    <w:rsid w:val="00B71C59"/>
    <w:rsid w:val="00B71D53"/>
    <w:rsid w:val="00B71DBB"/>
    <w:rsid w:val="00B7203B"/>
    <w:rsid w:val="00B7206A"/>
    <w:rsid w:val="00B72229"/>
    <w:rsid w:val="00B722F8"/>
    <w:rsid w:val="00B72349"/>
    <w:rsid w:val="00B72355"/>
    <w:rsid w:val="00B729F2"/>
    <w:rsid w:val="00B72A56"/>
    <w:rsid w:val="00B72C59"/>
    <w:rsid w:val="00B72D05"/>
    <w:rsid w:val="00B72D8C"/>
    <w:rsid w:val="00B72EEE"/>
    <w:rsid w:val="00B7316E"/>
    <w:rsid w:val="00B73205"/>
    <w:rsid w:val="00B737D5"/>
    <w:rsid w:val="00B739D0"/>
    <w:rsid w:val="00B742A4"/>
    <w:rsid w:val="00B743BF"/>
    <w:rsid w:val="00B744DA"/>
    <w:rsid w:val="00B744E8"/>
    <w:rsid w:val="00B747C8"/>
    <w:rsid w:val="00B747E0"/>
    <w:rsid w:val="00B7496C"/>
    <w:rsid w:val="00B74A23"/>
    <w:rsid w:val="00B74AB7"/>
    <w:rsid w:val="00B74B20"/>
    <w:rsid w:val="00B74C1F"/>
    <w:rsid w:val="00B74F93"/>
    <w:rsid w:val="00B7500F"/>
    <w:rsid w:val="00B75038"/>
    <w:rsid w:val="00B75044"/>
    <w:rsid w:val="00B75222"/>
    <w:rsid w:val="00B75271"/>
    <w:rsid w:val="00B75361"/>
    <w:rsid w:val="00B75588"/>
    <w:rsid w:val="00B755B3"/>
    <w:rsid w:val="00B756CA"/>
    <w:rsid w:val="00B75772"/>
    <w:rsid w:val="00B758AC"/>
    <w:rsid w:val="00B75C71"/>
    <w:rsid w:val="00B75DB6"/>
    <w:rsid w:val="00B75E9D"/>
    <w:rsid w:val="00B75EF1"/>
    <w:rsid w:val="00B76051"/>
    <w:rsid w:val="00B760D8"/>
    <w:rsid w:val="00B76427"/>
    <w:rsid w:val="00B76746"/>
    <w:rsid w:val="00B76756"/>
    <w:rsid w:val="00B7675E"/>
    <w:rsid w:val="00B7676C"/>
    <w:rsid w:val="00B76A57"/>
    <w:rsid w:val="00B76F71"/>
    <w:rsid w:val="00B76F7C"/>
    <w:rsid w:val="00B76F88"/>
    <w:rsid w:val="00B770A3"/>
    <w:rsid w:val="00B77653"/>
    <w:rsid w:val="00B77677"/>
    <w:rsid w:val="00B77702"/>
    <w:rsid w:val="00B77755"/>
    <w:rsid w:val="00B77A99"/>
    <w:rsid w:val="00B77C5C"/>
    <w:rsid w:val="00B77E68"/>
    <w:rsid w:val="00B77F2F"/>
    <w:rsid w:val="00B80354"/>
    <w:rsid w:val="00B803D4"/>
    <w:rsid w:val="00B805E3"/>
    <w:rsid w:val="00B80769"/>
    <w:rsid w:val="00B8089B"/>
    <w:rsid w:val="00B809F9"/>
    <w:rsid w:val="00B80A64"/>
    <w:rsid w:val="00B80AC7"/>
    <w:rsid w:val="00B80CFE"/>
    <w:rsid w:val="00B80DB5"/>
    <w:rsid w:val="00B80EB5"/>
    <w:rsid w:val="00B80EE7"/>
    <w:rsid w:val="00B811E3"/>
    <w:rsid w:val="00B81339"/>
    <w:rsid w:val="00B813A4"/>
    <w:rsid w:val="00B815FC"/>
    <w:rsid w:val="00B81666"/>
    <w:rsid w:val="00B81917"/>
    <w:rsid w:val="00B819EA"/>
    <w:rsid w:val="00B81A38"/>
    <w:rsid w:val="00B81AAE"/>
    <w:rsid w:val="00B81D67"/>
    <w:rsid w:val="00B81D99"/>
    <w:rsid w:val="00B82180"/>
    <w:rsid w:val="00B822E9"/>
    <w:rsid w:val="00B82414"/>
    <w:rsid w:val="00B8259E"/>
    <w:rsid w:val="00B825E1"/>
    <w:rsid w:val="00B8278F"/>
    <w:rsid w:val="00B827DE"/>
    <w:rsid w:val="00B829C6"/>
    <w:rsid w:val="00B82A67"/>
    <w:rsid w:val="00B82D09"/>
    <w:rsid w:val="00B82DE1"/>
    <w:rsid w:val="00B82DEE"/>
    <w:rsid w:val="00B82FEE"/>
    <w:rsid w:val="00B8326A"/>
    <w:rsid w:val="00B83366"/>
    <w:rsid w:val="00B8346F"/>
    <w:rsid w:val="00B837A5"/>
    <w:rsid w:val="00B837DF"/>
    <w:rsid w:val="00B8389D"/>
    <w:rsid w:val="00B83986"/>
    <w:rsid w:val="00B83A79"/>
    <w:rsid w:val="00B83C18"/>
    <w:rsid w:val="00B83E9D"/>
    <w:rsid w:val="00B84042"/>
    <w:rsid w:val="00B841E3"/>
    <w:rsid w:val="00B84202"/>
    <w:rsid w:val="00B84220"/>
    <w:rsid w:val="00B8452B"/>
    <w:rsid w:val="00B845B6"/>
    <w:rsid w:val="00B845C0"/>
    <w:rsid w:val="00B84785"/>
    <w:rsid w:val="00B847A2"/>
    <w:rsid w:val="00B847F4"/>
    <w:rsid w:val="00B84A99"/>
    <w:rsid w:val="00B84BE1"/>
    <w:rsid w:val="00B84F06"/>
    <w:rsid w:val="00B85168"/>
    <w:rsid w:val="00B851C0"/>
    <w:rsid w:val="00B851C8"/>
    <w:rsid w:val="00B8541E"/>
    <w:rsid w:val="00B854E3"/>
    <w:rsid w:val="00B855BF"/>
    <w:rsid w:val="00B855E8"/>
    <w:rsid w:val="00B855FE"/>
    <w:rsid w:val="00B856EF"/>
    <w:rsid w:val="00B857D2"/>
    <w:rsid w:val="00B85A9D"/>
    <w:rsid w:val="00B85AB2"/>
    <w:rsid w:val="00B85DBD"/>
    <w:rsid w:val="00B85E2D"/>
    <w:rsid w:val="00B85E4D"/>
    <w:rsid w:val="00B860D0"/>
    <w:rsid w:val="00B8611F"/>
    <w:rsid w:val="00B8632D"/>
    <w:rsid w:val="00B86685"/>
    <w:rsid w:val="00B86A28"/>
    <w:rsid w:val="00B86A9F"/>
    <w:rsid w:val="00B86B2E"/>
    <w:rsid w:val="00B86C60"/>
    <w:rsid w:val="00B86DA3"/>
    <w:rsid w:val="00B86E08"/>
    <w:rsid w:val="00B86E27"/>
    <w:rsid w:val="00B86E4B"/>
    <w:rsid w:val="00B86F50"/>
    <w:rsid w:val="00B8710A"/>
    <w:rsid w:val="00B8725B"/>
    <w:rsid w:val="00B8744E"/>
    <w:rsid w:val="00B8749B"/>
    <w:rsid w:val="00B87509"/>
    <w:rsid w:val="00B87605"/>
    <w:rsid w:val="00B87866"/>
    <w:rsid w:val="00B879C9"/>
    <w:rsid w:val="00B87A93"/>
    <w:rsid w:val="00B87B3A"/>
    <w:rsid w:val="00B87C93"/>
    <w:rsid w:val="00B87CA4"/>
    <w:rsid w:val="00B87FFC"/>
    <w:rsid w:val="00B90120"/>
    <w:rsid w:val="00B901BF"/>
    <w:rsid w:val="00B90279"/>
    <w:rsid w:val="00B90719"/>
    <w:rsid w:val="00B90804"/>
    <w:rsid w:val="00B9085F"/>
    <w:rsid w:val="00B90941"/>
    <w:rsid w:val="00B909C2"/>
    <w:rsid w:val="00B90D08"/>
    <w:rsid w:val="00B90D88"/>
    <w:rsid w:val="00B90EFE"/>
    <w:rsid w:val="00B90F21"/>
    <w:rsid w:val="00B90F63"/>
    <w:rsid w:val="00B911FF"/>
    <w:rsid w:val="00B91493"/>
    <w:rsid w:val="00B918CD"/>
    <w:rsid w:val="00B91BC3"/>
    <w:rsid w:val="00B91F6A"/>
    <w:rsid w:val="00B9216A"/>
    <w:rsid w:val="00B92413"/>
    <w:rsid w:val="00B924F0"/>
    <w:rsid w:val="00B92530"/>
    <w:rsid w:val="00B92BDF"/>
    <w:rsid w:val="00B93273"/>
    <w:rsid w:val="00B932D0"/>
    <w:rsid w:val="00B938D2"/>
    <w:rsid w:val="00B93975"/>
    <w:rsid w:val="00B93C62"/>
    <w:rsid w:val="00B93D26"/>
    <w:rsid w:val="00B93D49"/>
    <w:rsid w:val="00B941AB"/>
    <w:rsid w:val="00B9425C"/>
    <w:rsid w:val="00B942D0"/>
    <w:rsid w:val="00B9461E"/>
    <w:rsid w:val="00B9471A"/>
    <w:rsid w:val="00B94756"/>
    <w:rsid w:val="00B94870"/>
    <w:rsid w:val="00B94B00"/>
    <w:rsid w:val="00B94C15"/>
    <w:rsid w:val="00B94CAE"/>
    <w:rsid w:val="00B94CDD"/>
    <w:rsid w:val="00B94F21"/>
    <w:rsid w:val="00B9502B"/>
    <w:rsid w:val="00B950A3"/>
    <w:rsid w:val="00B9514E"/>
    <w:rsid w:val="00B951C5"/>
    <w:rsid w:val="00B95455"/>
    <w:rsid w:val="00B954F0"/>
    <w:rsid w:val="00B9579C"/>
    <w:rsid w:val="00B95BD1"/>
    <w:rsid w:val="00B95E18"/>
    <w:rsid w:val="00B95EBF"/>
    <w:rsid w:val="00B95EDF"/>
    <w:rsid w:val="00B95FA7"/>
    <w:rsid w:val="00B95FAA"/>
    <w:rsid w:val="00B96176"/>
    <w:rsid w:val="00B96183"/>
    <w:rsid w:val="00B9655D"/>
    <w:rsid w:val="00B96657"/>
    <w:rsid w:val="00B9668D"/>
    <w:rsid w:val="00B9669F"/>
    <w:rsid w:val="00B966EF"/>
    <w:rsid w:val="00B96AA2"/>
    <w:rsid w:val="00B96B18"/>
    <w:rsid w:val="00B96BC8"/>
    <w:rsid w:val="00B96BF7"/>
    <w:rsid w:val="00B97085"/>
    <w:rsid w:val="00B97207"/>
    <w:rsid w:val="00B97246"/>
    <w:rsid w:val="00B9767E"/>
    <w:rsid w:val="00B976DC"/>
    <w:rsid w:val="00B97742"/>
    <w:rsid w:val="00B97753"/>
    <w:rsid w:val="00B97870"/>
    <w:rsid w:val="00B979A4"/>
    <w:rsid w:val="00B97BA9"/>
    <w:rsid w:val="00B97D80"/>
    <w:rsid w:val="00B97DE6"/>
    <w:rsid w:val="00B97FB4"/>
    <w:rsid w:val="00BA01FF"/>
    <w:rsid w:val="00BA0451"/>
    <w:rsid w:val="00BA046E"/>
    <w:rsid w:val="00BA076D"/>
    <w:rsid w:val="00BA0777"/>
    <w:rsid w:val="00BA0864"/>
    <w:rsid w:val="00BA0DBE"/>
    <w:rsid w:val="00BA1136"/>
    <w:rsid w:val="00BA127C"/>
    <w:rsid w:val="00BA1424"/>
    <w:rsid w:val="00BA182F"/>
    <w:rsid w:val="00BA1AFA"/>
    <w:rsid w:val="00BA1BE1"/>
    <w:rsid w:val="00BA1CA4"/>
    <w:rsid w:val="00BA1E60"/>
    <w:rsid w:val="00BA1E99"/>
    <w:rsid w:val="00BA1F1F"/>
    <w:rsid w:val="00BA1F2D"/>
    <w:rsid w:val="00BA1FA6"/>
    <w:rsid w:val="00BA20D9"/>
    <w:rsid w:val="00BA213A"/>
    <w:rsid w:val="00BA2341"/>
    <w:rsid w:val="00BA2529"/>
    <w:rsid w:val="00BA2649"/>
    <w:rsid w:val="00BA26FF"/>
    <w:rsid w:val="00BA2710"/>
    <w:rsid w:val="00BA27BA"/>
    <w:rsid w:val="00BA27CD"/>
    <w:rsid w:val="00BA2924"/>
    <w:rsid w:val="00BA2986"/>
    <w:rsid w:val="00BA2A07"/>
    <w:rsid w:val="00BA2A66"/>
    <w:rsid w:val="00BA2A96"/>
    <w:rsid w:val="00BA2AA7"/>
    <w:rsid w:val="00BA2C74"/>
    <w:rsid w:val="00BA2D05"/>
    <w:rsid w:val="00BA2E7A"/>
    <w:rsid w:val="00BA2F06"/>
    <w:rsid w:val="00BA2FB8"/>
    <w:rsid w:val="00BA342A"/>
    <w:rsid w:val="00BA3458"/>
    <w:rsid w:val="00BA3569"/>
    <w:rsid w:val="00BA359A"/>
    <w:rsid w:val="00BA3871"/>
    <w:rsid w:val="00BA387D"/>
    <w:rsid w:val="00BA399D"/>
    <w:rsid w:val="00BA3E5B"/>
    <w:rsid w:val="00BA3F6C"/>
    <w:rsid w:val="00BA3F8A"/>
    <w:rsid w:val="00BA3F8E"/>
    <w:rsid w:val="00BA44E5"/>
    <w:rsid w:val="00BA4A10"/>
    <w:rsid w:val="00BA4B78"/>
    <w:rsid w:val="00BA4D49"/>
    <w:rsid w:val="00BA4EAB"/>
    <w:rsid w:val="00BA5077"/>
    <w:rsid w:val="00BA50AB"/>
    <w:rsid w:val="00BA50ED"/>
    <w:rsid w:val="00BA52AF"/>
    <w:rsid w:val="00BA5314"/>
    <w:rsid w:val="00BA53D6"/>
    <w:rsid w:val="00BA548C"/>
    <w:rsid w:val="00BA5507"/>
    <w:rsid w:val="00BA5551"/>
    <w:rsid w:val="00BA5701"/>
    <w:rsid w:val="00BA5877"/>
    <w:rsid w:val="00BA5BAE"/>
    <w:rsid w:val="00BA5BD3"/>
    <w:rsid w:val="00BA5DEB"/>
    <w:rsid w:val="00BA5E4C"/>
    <w:rsid w:val="00BA5EFB"/>
    <w:rsid w:val="00BA5FD3"/>
    <w:rsid w:val="00BA6035"/>
    <w:rsid w:val="00BA60ED"/>
    <w:rsid w:val="00BA6127"/>
    <w:rsid w:val="00BA664D"/>
    <w:rsid w:val="00BA691D"/>
    <w:rsid w:val="00BA69BD"/>
    <w:rsid w:val="00BA6A34"/>
    <w:rsid w:val="00BA6D6F"/>
    <w:rsid w:val="00BA6EC5"/>
    <w:rsid w:val="00BA6FD0"/>
    <w:rsid w:val="00BA7024"/>
    <w:rsid w:val="00BA7118"/>
    <w:rsid w:val="00BA7259"/>
    <w:rsid w:val="00BA7269"/>
    <w:rsid w:val="00BA7293"/>
    <w:rsid w:val="00BA745B"/>
    <w:rsid w:val="00BA75D4"/>
    <w:rsid w:val="00BA7787"/>
    <w:rsid w:val="00BA7907"/>
    <w:rsid w:val="00BA7C7A"/>
    <w:rsid w:val="00BA7E93"/>
    <w:rsid w:val="00BA7E9B"/>
    <w:rsid w:val="00BA7F6E"/>
    <w:rsid w:val="00BA7FBE"/>
    <w:rsid w:val="00BA7FEE"/>
    <w:rsid w:val="00BA8E51"/>
    <w:rsid w:val="00BAB652"/>
    <w:rsid w:val="00BAF463"/>
    <w:rsid w:val="00BB00B8"/>
    <w:rsid w:val="00BB0282"/>
    <w:rsid w:val="00BB02D6"/>
    <w:rsid w:val="00BB0339"/>
    <w:rsid w:val="00BB03CA"/>
    <w:rsid w:val="00BB04EE"/>
    <w:rsid w:val="00BB0591"/>
    <w:rsid w:val="00BB05FB"/>
    <w:rsid w:val="00BB088D"/>
    <w:rsid w:val="00BB08FE"/>
    <w:rsid w:val="00BB0979"/>
    <w:rsid w:val="00BB0AEE"/>
    <w:rsid w:val="00BB0C48"/>
    <w:rsid w:val="00BB0C55"/>
    <w:rsid w:val="00BB0CC3"/>
    <w:rsid w:val="00BB120F"/>
    <w:rsid w:val="00BB13DC"/>
    <w:rsid w:val="00BB1421"/>
    <w:rsid w:val="00BB175C"/>
    <w:rsid w:val="00BB17EC"/>
    <w:rsid w:val="00BB183D"/>
    <w:rsid w:val="00BB1A80"/>
    <w:rsid w:val="00BB1E12"/>
    <w:rsid w:val="00BB1E56"/>
    <w:rsid w:val="00BB1F39"/>
    <w:rsid w:val="00BB20D4"/>
    <w:rsid w:val="00BB21E1"/>
    <w:rsid w:val="00BB23B2"/>
    <w:rsid w:val="00BB23BF"/>
    <w:rsid w:val="00BB2539"/>
    <w:rsid w:val="00BB261B"/>
    <w:rsid w:val="00BB2902"/>
    <w:rsid w:val="00BB2A13"/>
    <w:rsid w:val="00BB2A39"/>
    <w:rsid w:val="00BB2A6D"/>
    <w:rsid w:val="00BB2B98"/>
    <w:rsid w:val="00BB2D44"/>
    <w:rsid w:val="00BB303A"/>
    <w:rsid w:val="00BB3391"/>
    <w:rsid w:val="00BB3410"/>
    <w:rsid w:val="00BB3790"/>
    <w:rsid w:val="00BB38FE"/>
    <w:rsid w:val="00BB39E1"/>
    <w:rsid w:val="00BB3A16"/>
    <w:rsid w:val="00BB3B27"/>
    <w:rsid w:val="00BB3BA9"/>
    <w:rsid w:val="00BB3E1A"/>
    <w:rsid w:val="00BB40E3"/>
    <w:rsid w:val="00BB41FD"/>
    <w:rsid w:val="00BB476D"/>
    <w:rsid w:val="00BB4DE1"/>
    <w:rsid w:val="00BB4EAE"/>
    <w:rsid w:val="00BB4F67"/>
    <w:rsid w:val="00BB4F83"/>
    <w:rsid w:val="00BB5598"/>
    <w:rsid w:val="00BB559C"/>
    <w:rsid w:val="00BB5911"/>
    <w:rsid w:val="00BB5BE9"/>
    <w:rsid w:val="00BB5C0F"/>
    <w:rsid w:val="00BB5D4B"/>
    <w:rsid w:val="00BB5DAC"/>
    <w:rsid w:val="00BB5DCE"/>
    <w:rsid w:val="00BB5E8D"/>
    <w:rsid w:val="00BB5EE7"/>
    <w:rsid w:val="00BB5F00"/>
    <w:rsid w:val="00BB5F04"/>
    <w:rsid w:val="00BB6315"/>
    <w:rsid w:val="00BB68FE"/>
    <w:rsid w:val="00BB6916"/>
    <w:rsid w:val="00BB697A"/>
    <w:rsid w:val="00BB6B79"/>
    <w:rsid w:val="00BB6BF5"/>
    <w:rsid w:val="00BB6D32"/>
    <w:rsid w:val="00BB6F6F"/>
    <w:rsid w:val="00BB6F99"/>
    <w:rsid w:val="00BB709A"/>
    <w:rsid w:val="00BB71DC"/>
    <w:rsid w:val="00BB71F4"/>
    <w:rsid w:val="00BB72F9"/>
    <w:rsid w:val="00BB72FD"/>
    <w:rsid w:val="00BB75CA"/>
    <w:rsid w:val="00BB7624"/>
    <w:rsid w:val="00BB776A"/>
    <w:rsid w:val="00BB7AB5"/>
    <w:rsid w:val="00BB7C5C"/>
    <w:rsid w:val="00BB7CDB"/>
    <w:rsid w:val="00BB7ED7"/>
    <w:rsid w:val="00BB7EEF"/>
    <w:rsid w:val="00BC032B"/>
    <w:rsid w:val="00BC0443"/>
    <w:rsid w:val="00BC04B1"/>
    <w:rsid w:val="00BC0569"/>
    <w:rsid w:val="00BC0593"/>
    <w:rsid w:val="00BC05EB"/>
    <w:rsid w:val="00BC06FC"/>
    <w:rsid w:val="00BC074D"/>
    <w:rsid w:val="00BC0773"/>
    <w:rsid w:val="00BC0A9F"/>
    <w:rsid w:val="00BC0BEC"/>
    <w:rsid w:val="00BC0D51"/>
    <w:rsid w:val="00BC0DA2"/>
    <w:rsid w:val="00BC0F36"/>
    <w:rsid w:val="00BC0F8B"/>
    <w:rsid w:val="00BC1079"/>
    <w:rsid w:val="00BC1306"/>
    <w:rsid w:val="00BC13AB"/>
    <w:rsid w:val="00BC14FE"/>
    <w:rsid w:val="00BC18E9"/>
    <w:rsid w:val="00BC19F9"/>
    <w:rsid w:val="00BC1DB1"/>
    <w:rsid w:val="00BC1EE4"/>
    <w:rsid w:val="00BC1F6C"/>
    <w:rsid w:val="00BC1F74"/>
    <w:rsid w:val="00BC2044"/>
    <w:rsid w:val="00BC21C1"/>
    <w:rsid w:val="00BC22A5"/>
    <w:rsid w:val="00BC22E0"/>
    <w:rsid w:val="00BC2474"/>
    <w:rsid w:val="00BC2533"/>
    <w:rsid w:val="00BC2859"/>
    <w:rsid w:val="00BC292E"/>
    <w:rsid w:val="00BC2932"/>
    <w:rsid w:val="00BC29F7"/>
    <w:rsid w:val="00BC2B50"/>
    <w:rsid w:val="00BC2DDC"/>
    <w:rsid w:val="00BC2E4A"/>
    <w:rsid w:val="00BC304C"/>
    <w:rsid w:val="00BC34C1"/>
    <w:rsid w:val="00BC350B"/>
    <w:rsid w:val="00BC35C9"/>
    <w:rsid w:val="00BC3C11"/>
    <w:rsid w:val="00BC3DE4"/>
    <w:rsid w:val="00BC3DFA"/>
    <w:rsid w:val="00BC3F77"/>
    <w:rsid w:val="00BC40F0"/>
    <w:rsid w:val="00BC4303"/>
    <w:rsid w:val="00BC45F5"/>
    <w:rsid w:val="00BC4750"/>
    <w:rsid w:val="00BC4ECA"/>
    <w:rsid w:val="00BC4EED"/>
    <w:rsid w:val="00BC521D"/>
    <w:rsid w:val="00BC5235"/>
    <w:rsid w:val="00BC5331"/>
    <w:rsid w:val="00BC57ED"/>
    <w:rsid w:val="00BC5AE0"/>
    <w:rsid w:val="00BC5B0E"/>
    <w:rsid w:val="00BC5EBD"/>
    <w:rsid w:val="00BC6009"/>
    <w:rsid w:val="00BC6201"/>
    <w:rsid w:val="00BC648F"/>
    <w:rsid w:val="00BC65B8"/>
    <w:rsid w:val="00BC69ED"/>
    <w:rsid w:val="00BC6FDB"/>
    <w:rsid w:val="00BC74AB"/>
    <w:rsid w:val="00BC7554"/>
    <w:rsid w:val="00BC75C8"/>
    <w:rsid w:val="00BC7DFF"/>
    <w:rsid w:val="00BC7E64"/>
    <w:rsid w:val="00BCA269"/>
    <w:rsid w:val="00BD0050"/>
    <w:rsid w:val="00BD0438"/>
    <w:rsid w:val="00BD049B"/>
    <w:rsid w:val="00BD05F6"/>
    <w:rsid w:val="00BD070C"/>
    <w:rsid w:val="00BD0A11"/>
    <w:rsid w:val="00BD0B1A"/>
    <w:rsid w:val="00BD0BCD"/>
    <w:rsid w:val="00BD0BD2"/>
    <w:rsid w:val="00BD0C34"/>
    <w:rsid w:val="00BD0DCE"/>
    <w:rsid w:val="00BD0F41"/>
    <w:rsid w:val="00BD1434"/>
    <w:rsid w:val="00BD14A4"/>
    <w:rsid w:val="00BD14D4"/>
    <w:rsid w:val="00BD156A"/>
    <w:rsid w:val="00BD16BF"/>
    <w:rsid w:val="00BD17F1"/>
    <w:rsid w:val="00BD1961"/>
    <w:rsid w:val="00BD1976"/>
    <w:rsid w:val="00BD197E"/>
    <w:rsid w:val="00BD1E5E"/>
    <w:rsid w:val="00BD1E8D"/>
    <w:rsid w:val="00BD20D8"/>
    <w:rsid w:val="00BD2183"/>
    <w:rsid w:val="00BD220E"/>
    <w:rsid w:val="00BD235B"/>
    <w:rsid w:val="00BD2547"/>
    <w:rsid w:val="00BD2723"/>
    <w:rsid w:val="00BD2749"/>
    <w:rsid w:val="00BD2796"/>
    <w:rsid w:val="00BD27D6"/>
    <w:rsid w:val="00BD27F3"/>
    <w:rsid w:val="00BD2881"/>
    <w:rsid w:val="00BD2BBF"/>
    <w:rsid w:val="00BD2FD8"/>
    <w:rsid w:val="00BD304D"/>
    <w:rsid w:val="00BD305F"/>
    <w:rsid w:val="00BD3130"/>
    <w:rsid w:val="00BD34DC"/>
    <w:rsid w:val="00BD3620"/>
    <w:rsid w:val="00BD3890"/>
    <w:rsid w:val="00BD3ADA"/>
    <w:rsid w:val="00BD3D12"/>
    <w:rsid w:val="00BD3DCD"/>
    <w:rsid w:val="00BD3DE9"/>
    <w:rsid w:val="00BD3EEB"/>
    <w:rsid w:val="00BD410D"/>
    <w:rsid w:val="00BD4118"/>
    <w:rsid w:val="00BD41FB"/>
    <w:rsid w:val="00BD45FB"/>
    <w:rsid w:val="00BD470F"/>
    <w:rsid w:val="00BD4BD1"/>
    <w:rsid w:val="00BD4DDA"/>
    <w:rsid w:val="00BD50B0"/>
    <w:rsid w:val="00BD50F5"/>
    <w:rsid w:val="00BD51BE"/>
    <w:rsid w:val="00BD5394"/>
    <w:rsid w:val="00BD5435"/>
    <w:rsid w:val="00BD55B8"/>
    <w:rsid w:val="00BD5A19"/>
    <w:rsid w:val="00BD602B"/>
    <w:rsid w:val="00BD60FB"/>
    <w:rsid w:val="00BD61B9"/>
    <w:rsid w:val="00BD6204"/>
    <w:rsid w:val="00BD6312"/>
    <w:rsid w:val="00BD6321"/>
    <w:rsid w:val="00BD6508"/>
    <w:rsid w:val="00BD6800"/>
    <w:rsid w:val="00BD6884"/>
    <w:rsid w:val="00BD6978"/>
    <w:rsid w:val="00BD6CDD"/>
    <w:rsid w:val="00BD6D70"/>
    <w:rsid w:val="00BD6E82"/>
    <w:rsid w:val="00BD7041"/>
    <w:rsid w:val="00BD704E"/>
    <w:rsid w:val="00BD709E"/>
    <w:rsid w:val="00BD70CA"/>
    <w:rsid w:val="00BD71AD"/>
    <w:rsid w:val="00BD7231"/>
    <w:rsid w:val="00BD7393"/>
    <w:rsid w:val="00BD743E"/>
    <w:rsid w:val="00BD75EB"/>
    <w:rsid w:val="00BD776B"/>
    <w:rsid w:val="00BD7774"/>
    <w:rsid w:val="00BD79FA"/>
    <w:rsid w:val="00BD7A77"/>
    <w:rsid w:val="00BD7DA4"/>
    <w:rsid w:val="00BD7F06"/>
    <w:rsid w:val="00BD7F68"/>
    <w:rsid w:val="00BDE5C3"/>
    <w:rsid w:val="00BE0249"/>
    <w:rsid w:val="00BE024E"/>
    <w:rsid w:val="00BE0259"/>
    <w:rsid w:val="00BE03EB"/>
    <w:rsid w:val="00BE0588"/>
    <w:rsid w:val="00BE0607"/>
    <w:rsid w:val="00BE0652"/>
    <w:rsid w:val="00BE0795"/>
    <w:rsid w:val="00BE0A40"/>
    <w:rsid w:val="00BE0F7F"/>
    <w:rsid w:val="00BE0FEC"/>
    <w:rsid w:val="00BE11BF"/>
    <w:rsid w:val="00BE17B7"/>
    <w:rsid w:val="00BE198E"/>
    <w:rsid w:val="00BE1AC5"/>
    <w:rsid w:val="00BE1ACA"/>
    <w:rsid w:val="00BE1BBC"/>
    <w:rsid w:val="00BE1EB0"/>
    <w:rsid w:val="00BE1F3A"/>
    <w:rsid w:val="00BE1F55"/>
    <w:rsid w:val="00BE2344"/>
    <w:rsid w:val="00BE2387"/>
    <w:rsid w:val="00BE239F"/>
    <w:rsid w:val="00BE248B"/>
    <w:rsid w:val="00BE24B5"/>
    <w:rsid w:val="00BE25D9"/>
    <w:rsid w:val="00BE2B69"/>
    <w:rsid w:val="00BE2FF1"/>
    <w:rsid w:val="00BE30D6"/>
    <w:rsid w:val="00BE314E"/>
    <w:rsid w:val="00BE3493"/>
    <w:rsid w:val="00BE3608"/>
    <w:rsid w:val="00BE36B7"/>
    <w:rsid w:val="00BE36D3"/>
    <w:rsid w:val="00BE3799"/>
    <w:rsid w:val="00BE3AD3"/>
    <w:rsid w:val="00BE3B94"/>
    <w:rsid w:val="00BE3D83"/>
    <w:rsid w:val="00BE3E59"/>
    <w:rsid w:val="00BE40F5"/>
    <w:rsid w:val="00BE42D1"/>
    <w:rsid w:val="00BE44C5"/>
    <w:rsid w:val="00BE462B"/>
    <w:rsid w:val="00BE4664"/>
    <w:rsid w:val="00BE47DF"/>
    <w:rsid w:val="00BE48DD"/>
    <w:rsid w:val="00BE4D59"/>
    <w:rsid w:val="00BE4E78"/>
    <w:rsid w:val="00BE4F96"/>
    <w:rsid w:val="00BE5132"/>
    <w:rsid w:val="00BE5184"/>
    <w:rsid w:val="00BE52F1"/>
    <w:rsid w:val="00BE530E"/>
    <w:rsid w:val="00BE537F"/>
    <w:rsid w:val="00BE53B7"/>
    <w:rsid w:val="00BE53C4"/>
    <w:rsid w:val="00BE5563"/>
    <w:rsid w:val="00BE56FD"/>
    <w:rsid w:val="00BE5705"/>
    <w:rsid w:val="00BE587F"/>
    <w:rsid w:val="00BE5933"/>
    <w:rsid w:val="00BE5A39"/>
    <w:rsid w:val="00BE5E7B"/>
    <w:rsid w:val="00BE5FA4"/>
    <w:rsid w:val="00BE6320"/>
    <w:rsid w:val="00BE638F"/>
    <w:rsid w:val="00BE63AB"/>
    <w:rsid w:val="00BE6519"/>
    <w:rsid w:val="00BE67A1"/>
    <w:rsid w:val="00BE67FC"/>
    <w:rsid w:val="00BE6A4E"/>
    <w:rsid w:val="00BE6B00"/>
    <w:rsid w:val="00BE6B5F"/>
    <w:rsid w:val="00BE6E46"/>
    <w:rsid w:val="00BE6EFA"/>
    <w:rsid w:val="00BE6FE7"/>
    <w:rsid w:val="00BE7082"/>
    <w:rsid w:val="00BE7164"/>
    <w:rsid w:val="00BE71A5"/>
    <w:rsid w:val="00BE7273"/>
    <w:rsid w:val="00BE7380"/>
    <w:rsid w:val="00BE742A"/>
    <w:rsid w:val="00BE753E"/>
    <w:rsid w:val="00BE76FD"/>
    <w:rsid w:val="00BE78BB"/>
    <w:rsid w:val="00BE798E"/>
    <w:rsid w:val="00BE79AC"/>
    <w:rsid w:val="00BE7A77"/>
    <w:rsid w:val="00BE7AEA"/>
    <w:rsid w:val="00BE7AF4"/>
    <w:rsid w:val="00BE7C5C"/>
    <w:rsid w:val="00BE7D9C"/>
    <w:rsid w:val="00BF03C8"/>
    <w:rsid w:val="00BF0416"/>
    <w:rsid w:val="00BF04D5"/>
    <w:rsid w:val="00BF06F7"/>
    <w:rsid w:val="00BF0829"/>
    <w:rsid w:val="00BF0AB0"/>
    <w:rsid w:val="00BF0ABE"/>
    <w:rsid w:val="00BF0AF1"/>
    <w:rsid w:val="00BF0CAE"/>
    <w:rsid w:val="00BF0D78"/>
    <w:rsid w:val="00BF0FC2"/>
    <w:rsid w:val="00BF1011"/>
    <w:rsid w:val="00BF106B"/>
    <w:rsid w:val="00BF1127"/>
    <w:rsid w:val="00BF125C"/>
    <w:rsid w:val="00BF1378"/>
    <w:rsid w:val="00BF1391"/>
    <w:rsid w:val="00BF14BE"/>
    <w:rsid w:val="00BF17DF"/>
    <w:rsid w:val="00BF19E9"/>
    <w:rsid w:val="00BF1A10"/>
    <w:rsid w:val="00BF1CA7"/>
    <w:rsid w:val="00BF1D11"/>
    <w:rsid w:val="00BF1FE2"/>
    <w:rsid w:val="00BF1FFD"/>
    <w:rsid w:val="00BF2291"/>
    <w:rsid w:val="00BF231F"/>
    <w:rsid w:val="00BF2708"/>
    <w:rsid w:val="00BF286D"/>
    <w:rsid w:val="00BF2951"/>
    <w:rsid w:val="00BF2A38"/>
    <w:rsid w:val="00BF2C24"/>
    <w:rsid w:val="00BF2D61"/>
    <w:rsid w:val="00BF2E4C"/>
    <w:rsid w:val="00BF31C6"/>
    <w:rsid w:val="00BF3269"/>
    <w:rsid w:val="00BF330F"/>
    <w:rsid w:val="00BF335D"/>
    <w:rsid w:val="00BF33A4"/>
    <w:rsid w:val="00BF33AA"/>
    <w:rsid w:val="00BF3504"/>
    <w:rsid w:val="00BF352F"/>
    <w:rsid w:val="00BF37E0"/>
    <w:rsid w:val="00BF3A83"/>
    <w:rsid w:val="00BF3AFC"/>
    <w:rsid w:val="00BF3BE7"/>
    <w:rsid w:val="00BF40ED"/>
    <w:rsid w:val="00BF4314"/>
    <w:rsid w:val="00BF4493"/>
    <w:rsid w:val="00BF44A4"/>
    <w:rsid w:val="00BF4681"/>
    <w:rsid w:val="00BF492F"/>
    <w:rsid w:val="00BF4C4A"/>
    <w:rsid w:val="00BF4C55"/>
    <w:rsid w:val="00BF4DCF"/>
    <w:rsid w:val="00BF4E1B"/>
    <w:rsid w:val="00BF4E52"/>
    <w:rsid w:val="00BF4FF0"/>
    <w:rsid w:val="00BF52CD"/>
    <w:rsid w:val="00BF533C"/>
    <w:rsid w:val="00BF541B"/>
    <w:rsid w:val="00BF5629"/>
    <w:rsid w:val="00BF56F6"/>
    <w:rsid w:val="00BF575E"/>
    <w:rsid w:val="00BF590B"/>
    <w:rsid w:val="00BF5946"/>
    <w:rsid w:val="00BF5A65"/>
    <w:rsid w:val="00BF5D3B"/>
    <w:rsid w:val="00BF5D9D"/>
    <w:rsid w:val="00BF5DD8"/>
    <w:rsid w:val="00BF603B"/>
    <w:rsid w:val="00BF6070"/>
    <w:rsid w:val="00BF6236"/>
    <w:rsid w:val="00BF6C5E"/>
    <w:rsid w:val="00BF6D18"/>
    <w:rsid w:val="00BF6E72"/>
    <w:rsid w:val="00BF6F7D"/>
    <w:rsid w:val="00BF7189"/>
    <w:rsid w:val="00BF71C3"/>
    <w:rsid w:val="00BF73E3"/>
    <w:rsid w:val="00BF73FF"/>
    <w:rsid w:val="00BF7618"/>
    <w:rsid w:val="00BF78DE"/>
    <w:rsid w:val="00BF7A04"/>
    <w:rsid w:val="00BF7A59"/>
    <w:rsid w:val="00BF7CC0"/>
    <w:rsid w:val="00BF7E23"/>
    <w:rsid w:val="00C0008F"/>
    <w:rsid w:val="00C0009C"/>
    <w:rsid w:val="00C000C7"/>
    <w:rsid w:val="00C00171"/>
    <w:rsid w:val="00C002BB"/>
    <w:rsid w:val="00C0063C"/>
    <w:rsid w:val="00C007BD"/>
    <w:rsid w:val="00C00B08"/>
    <w:rsid w:val="00C00B83"/>
    <w:rsid w:val="00C00CEC"/>
    <w:rsid w:val="00C00FE9"/>
    <w:rsid w:val="00C00FF8"/>
    <w:rsid w:val="00C0174F"/>
    <w:rsid w:val="00C017FF"/>
    <w:rsid w:val="00C018E8"/>
    <w:rsid w:val="00C01972"/>
    <w:rsid w:val="00C0209C"/>
    <w:rsid w:val="00C021EF"/>
    <w:rsid w:val="00C025DC"/>
    <w:rsid w:val="00C026AC"/>
    <w:rsid w:val="00C027C7"/>
    <w:rsid w:val="00C02CB9"/>
    <w:rsid w:val="00C02F0C"/>
    <w:rsid w:val="00C0316E"/>
    <w:rsid w:val="00C0338B"/>
    <w:rsid w:val="00C033C7"/>
    <w:rsid w:val="00C037CB"/>
    <w:rsid w:val="00C03867"/>
    <w:rsid w:val="00C039FB"/>
    <w:rsid w:val="00C03A8D"/>
    <w:rsid w:val="00C03AD5"/>
    <w:rsid w:val="00C03B8F"/>
    <w:rsid w:val="00C03ED6"/>
    <w:rsid w:val="00C03F46"/>
    <w:rsid w:val="00C03F98"/>
    <w:rsid w:val="00C040A6"/>
    <w:rsid w:val="00C04159"/>
    <w:rsid w:val="00C042D8"/>
    <w:rsid w:val="00C0435B"/>
    <w:rsid w:val="00C043E5"/>
    <w:rsid w:val="00C04505"/>
    <w:rsid w:val="00C04531"/>
    <w:rsid w:val="00C0462E"/>
    <w:rsid w:val="00C048CF"/>
    <w:rsid w:val="00C04901"/>
    <w:rsid w:val="00C049AC"/>
    <w:rsid w:val="00C04A75"/>
    <w:rsid w:val="00C04A80"/>
    <w:rsid w:val="00C04CA6"/>
    <w:rsid w:val="00C05052"/>
    <w:rsid w:val="00C05059"/>
    <w:rsid w:val="00C050F1"/>
    <w:rsid w:val="00C052C3"/>
    <w:rsid w:val="00C0555D"/>
    <w:rsid w:val="00C0559D"/>
    <w:rsid w:val="00C05673"/>
    <w:rsid w:val="00C0575E"/>
    <w:rsid w:val="00C059AB"/>
    <w:rsid w:val="00C05A43"/>
    <w:rsid w:val="00C05AFE"/>
    <w:rsid w:val="00C05CAD"/>
    <w:rsid w:val="00C061F2"/>
    <w:rsid w:val="00C063C9"/>
    <w:rsid w:val="00C06765"/>
    <w:rsid w:val="00C06786"/>
    <w:rsid w:val="00C068CC"/>
    <w:rsid w:val="00C06AEE"/>
    <w:rsid w:val="00C06DED"/>
    <w:rsid w:val="00C06E06"/>
    <w:rsid w:val="00C07182"/>
    <w:rsid w:val="00C073DA"/>
    <w:rsid w:val="00C0755D"/>
    <w:rsid w:val="00C075C0"/>
    <w:rsid w:val="00C0766E"/>
    <w:rsid w:val="00C077E8"/>
    <w:rsid w:val="00C077FB"/>
    <w:rsid w:val="00C07A6E"/>
    <w:rsid w:val="00C07AFE"/>
    <w:rsid w:val="00C07B5B"/>
    <w:rsid w:val="00C07B76"/>
    <w:rsid w:val="00C07DEF"/>
    <w:rsid w:val="00C07EF1"/>
    <w:rsid w:val="00C100CB"/>
    <w:rsid w:val="00C10152"/>
    <w:rsid w:val="00C102CC"/>
    <w:rsid w:val="00C10600"/>
    <w:rsid w:val="00C1066A"/>
    <w:rsid w:val="00C10708"/>
    <w:rsid w:val="00C10742"/>
    <w:rsid w:val="00C1084C"/>
    <w:rsid w:val="00C10862"/>
    <w:rsid w:val="00C10A48"/>
    <w:rsid w:val="00C10AE5"/>
    <w:rsid w:val="00C10AEF"/>
    <w:rsid w:val="00C10B4D"/>
    <w:rsid w:val="00C10BEB"/>
    <w:rsid w:val="00C10D1E"/>
    <w:rsid w:val="00C10DC9"/>
    <w:rsid w:val="00C11381"/>
    <w:rsid w:val="00C11383"/>
    <w:rsid w:val="00C113A5"/>
    <w:rsid w:val="00C114CE"/>
    <w:rsid w:val="00C1169C"/>
    <w:rsid w:val="00C118AE"/>
    <w:rsid w:val="00C11A35"/>
    <w:rsid w:val="00C11A91"/>
    <w:rsid w:val="00C11B41"/>
    <w:rsid w:val="00C11BDE"/>
    <w:rsid w:val="00C11DE0"/>
    <w:rsid w:val="00C11ED6"/>
    <w:rsid w:val="00C120F2"/>
    <w:rsid w:val="00C121E5"/>
    <w:rsid w:val="00C12256"/>
    <w:rsid w:val="00C12389"/>
    <w:rsid w:val="00C1238A"/>
    <w:rsid w:val="00C1252D"/>
    <w:rsid w:val="00C125C1"/>
    <w:rsid w:val="00C1261D"/>
    <w:rsid w:val="00C1267C"/>
    <w:rsid w:val="00C12712"/>
    <w:rsid w:val="00C12874"/>
    <w:rsid w:val="00C12897"/>
    <w:rsid w:val="00C12ACF"/>
    <w:rsid w:val="00C12DF3"/>
    <w:rsid w:val="00C12FC9"/>
    <w:rsid w:val="00C1337C"/>
    <w:rsid w:val="00C1340F"/>
    <w:rsid w:val="00C137A7"/>
    <w:rsid w:val="00C13832"/>
    <w:rsid w:val="00C13940"/>
    <w:rsid w:val="00C139BE"/>
    <w:rsid w:val="00C13F80"/>
    <w:rsid w:val="00C1401D"/>
    <w:rsid w:val="00C142A1"/>
    <w:rsid w:val="00C14367"/>
    <w:rsid w:val="00C143A4"/>
    <w:rsid w:val="00C143D2"/>
    <w:rsid w:val="00C14503"/>
    <w:rsid w:val="00C1457B"/>
    <w:rsid w:val="00C145FE"/>
    <w:rsid w:val="00C1490D"/>
    <w:rsid w:val="00C1492D"/>
    <w:rsid w:val="00C14A22"/>
    <w:rsid w:val="00C14B4D"/>
    <w:rsid w:val="00C14C87"/>
    <w:rsid w:val="00C14EE9"/>
    <w:rsid w:val="00C14F27"/>
    <w:rsid w:val="00C15077"/>
    <w:rsid w:val="00C152C4"/>
    <w:rsid w:val="00C153F4"/>
    <w:rsid w:val="00C15669"/>
    <w:rsid w:val="00C1577A"/>
    <w:rsid w:val="00C15781"/>
    <w:rsid w:val="00C159AF"/>
    <w:rsid w:val="00C15A71"/>
    <w:rsid w:val="00C15BCB"/>
    <w:rsid w:val="00C15BD8"/>
    <w:rsid w:val="00C15BEA"/>
    <w:rsid w:val="00C15D2F"/>
    <w:rsid w:val="00C160D6"/>
    <w:rsid w:val="00C165B3"/>
    <w:rsid w:val="00C165CD"/>
    <w:rsid w:val="00C1666E"/>
    <w:rsid w:val="00C1671D"/>
    <w:rsid w:val="00C16729"/>
    <w:rsid w:val="00C1673A"/>
    <w:rsid w:val="00C167A4"/>
    <w:rsid w:val="00C169F0"/>
    <w:rsid w:val="00C16A61"/>
    <w:rsid w:val="00C16F34"/>
    <w:rsid w:val="00C16F47"/>
    <w:rsid w:val="00C16FCD"/>
    <w:rsid w:val="00C17096"/>
    <w:rsid w:val="00C170B7"/>
    <w:rsid w:val="00C1772E"/>
    <w:rsid w:val="00C17811"/>
    <w:rsid w:val="00C1787A"/>
    <w:rsid w:val="00C17979"/>
    <w:rsid w:val="00C17A7C"/>
    <w:rsid w:val="00C17B4C"/>
    <w:rsid w:val="00C17B9D"/>
    <w:rsid w:val="00C17D00"/>
    <w:rsid w:val="00C17EBF"/>
    <w:rsid w:val="00C17FAC"/>
    <w:rsid w:val="00C2008F"/>
    <w:rsid w:val="00C200A3"/>
    <w:rsid w:val="00C201C0"/>
    <w:rsid w:val="00C20271"/>
    <w:rsid w:val="00C202F6"/>
    <w:rsid w:val="00C203BB"/>
    <w:rsid w:val="00C20478"/>
    <w:rsid w:val="00C205A8"/>
    <w:rsid w:val="00C208D4"/>
    <w:rsid w:val="00C20CB0"/>
    <w:rsid w:val="00C20D05"/>
    <w:rsid w:val="00C20FB9"/>
    <w:rsid w:val="00C213C5"/>
    <w:rsid w:val="00C215BC"/>
    <w:rsid w:val="00C216F7"/>
    <w:rsid w:val="00C21965"/>
    <w:rsid w:val="00C2196D"/>
    <w:rsid w:val="00C21CAE"/>
    <w:rsid w:val="00C21CEA"/>
    <w:rsid w:val="00C21D43"/>
    <w:rsid w:val="00C22191"/>
    <w:rsid w:val="00C2222B"/>
    <w:rsid w:val="00C22257"/>
    <w:rsid w:val="00C22336"/>
    <w:rsid w:val="00C22353"/>
    <w:rsid w:val="00C2259A"/>
    <w:rsid w:val="00C22771"/>
    <w:rsid w:val="00C2292B"/>
    <w:rsid w:val="00C229AF"/>
    <w:rsid w:val="00C22A36"/>
    <w:rsid w:val="00C22CAC"/>
    <w:rsid w:val="00C22D46"/>
    <w:rsid w:val="00C22DC2"/>
    <w:rsid w:val="00C22DE8"/>
    <w:rsid w:val="00C22F0C"/>
    <w:rsid w:val="00C230BE"/>
    <w:rsid w:val="00C2326A"/>
    <w:rsid w:val="00C232B9"/>
    <w:rsid w:val="00C2344F"/>
    <w:rsid w:val="00C2345E"/>
    <w:rsid w:val="00C23491"/>
    <w:rsid w:val="00C23995"/>
    <w:rsid w:val="00C23BEA"/>
    <w:rsid w:val="00C23CD2"/>
    <w:rsid w:val="00C23D71"/>
    <w:rsid w:val="00C24702"/>
    <w:rsid w:val="00C24920"/>
    <w:rsid w:val="00C24947"/>
    <w:rsid w:val="00C249DA"/>
    <w:rsid w:val="00C24D91"/>
    <w:rsid w:val="00C24E25"/>
    <w:rsid w:val="00C24EC1"/>
    <w:rsid w:val="00C25081"/>
    <w:rsid w:val="00C250C5"/>
    <w:rsid w:val="00C2511C"/>
    <w:rsid w:val="00C25549"/>
    <w:rsid w:val="00C25693"/>
    <w:rsid w:val="00C25B8F"/>
    <w:rsid w:val="00C25D54"/>
    <w:rsid w:val="00C25DE3"/>
    <w:rsid w:val="00C25EAA"/>
    <w:rsid w:val="00C26238"/>
    <w:rsid w:val="00C264FE"/>
    <w:rsid w:val="00C265EF"/>
    <w:rsid w:val="00C2684B"/>
    <w:rsid w:val="00C268FD"/>
    <w:rsid w:val="00C26960"/>
    <w:rsid w:val="00C26AC7"/>
    <w:rsid w:val="00C26C95"/>
    <w:rsid w:val="00C26D82"/>
    <w:rsid w:val="00C2744F"/>
    <w:rsid w:val="00C27459"/>
    <w:rsid w:val="00C27725"/>
    <w:rsid w:val="00C2776C"/>
    <w:rsid w:val="00C278BC"/>
    <w:rsid w:val="00C27928"/>
    <w:rsid w:val="00C2795E"/>
    <w:rsid w:val="00C279CB"/>
    <w:rsid w:val="00C27BAB"/>
    <w:rsid w:val="00C27CBE"/>
    <w:rsid w:val="00C27DDA"/>
    <w:rsid w:val="00C27E02"/>
    <w:rsid w:val="00C27E27"/>
    <w:rsid w:val="00C27F1C"/>
    <w:rsid w:val="00C27FA1"/>
    <w:rsid w:val="00C30077"/>
    <w:rsid w:val="00C30082"/>
    <w:rsid w:val="00C30164"/>
    <w:rsid w:val="00C30273"/>
    <w:rsid w:val="00C30379"/>
    <w:rsid w:val="00C30490"/>
    <w:rsid w:val="00C304BA"/>
    <w:rsid w:val="00C3093A"/>
    <w:rsid w:val="00C30B5B"/>
    <w:rsid w:val="00C30C43"/>
    <w:rsid w:val="00C30E32"/>
    <w:rsid w:val="00C30F26"/>
    <w:rsid w:val="00C31010"/>
    <w:rsid w:val="00C31125"/>
    <w:rsid w:val="00C3121F"/>
    <w:rsid w:val="00C31267"/>
    <w:rsid w:val="00C31272"/>
    <w:rsid w:val="00C31798"/>
    <w:rsid w:val="00C3188D"/>
    <w:rsid w:val="00C319C7"/>
    <w:rsid w:val="00C31E81"/>
    <w:rsid w:val="00C320A8"/>
    <w:rsid w:val="00C321F4"/>
    <w:rsid w:val="00C321F5"/>
    <w:rsid w:val="00C3268B"/>
    <w:rsid w:val="00C32965"/>
    <w:rsid w:val="00C329EA"/>
    <w:rsid w:val="00C32CC1"/>
    <w:rsid w:val="00C32EC6"/>
    <w:rsid w:val="00C32FEB"/>
    <w:rsid w:val="00C330AF"/>
    <w:rsid w:val="00C3316A"/>
    <w:rsid w:val="00C331CC"/>
    <w:rsid w:val="00C33245"/>
    <w:rsid w:val="00C335F0"/>
    <w:rsid w:val="00C3397B"/>
    <w:rsid w:val="00C33A19"/>
    <w:rsid w:val="00C33BD7"/>
    <w:rsid w:val="00C33E09"/>
    <w:rsid w:val="00C33FE5"/>
    <w:rsid w:val="00C34106"/>
    <w:rsid w:val="00C34223"/>
    <w:rsid w:val="00C3426F"/>
    <w:rsid w:val="00C3457F"/>
    <w:rsid w:val="00C34670"/>
    <w:rsid w:val="00C34A02"/>
    <w:rsid w:val="00C34A06"/>
    <w:rsid w:val="00C34A74"/>
    <w:rsid w:val="00C34B19"/>
    <w:rsid w:val="00C34DB8"/>
    <w:rsid w:val="00C35021"/>
    <w:rsid w:val="00C350B9"/>
    <w:rsid w:val="00C351C9"/>
    <w:rsid w:val="00C3530A"/>
    <w:rsid w:val="00C354BD"/>
    <w:rsid w:val="00C355E1"/>
    <w:rsid w:val="00C355E6"/>
    <w:rsid w:val="00C355EF"/>
    <w:rsid w:val="00C356B5"/>
    <w:rsid w:val="00C358E2"/>
    <w:rsid w:val="00C35A78"/>
    <w:rsid w:val="00C35F5B"/>
    <w:rsid w:val="00C3608D"/>
    <w:rsid w:val="00C36210"/>
    <w:rsid w:val="00C364DF"/>
    <w:rsid w:val="00C3669C"/>
    <w:rsid w:val="00C366F9"/>
    <w:rsid w:val="00C367A9"/>
    <w:rsid w:val="00C36810"/>
    <w:rsid w:val="00C36C73"/>
    <w:rsid w:val="00C36D76"/>
    <w:rsid w:val="00C36D83"/>
    <w:rsid w:val="00C36E72"/>
    <w:rsid w:val="00C36F71"/>
    <w:rsid w:val="00C37033"/>
    <w:rsid w:val="00C3762A"/>
    <w:rsid w:val="00C3781A"/>
    <w:rsid w:val="00C37868"/>
    <w:rsid w:val="00C37997"/>
    <w:rsid w:val="00C3799B"/>
    <w:rsid w:val="00C37A93"/>
    <w:rsid w:val="00C37B4C"/>
    <w:rsid w:val="00C37B6D"/>
    <w:rsid w:val="00C37B6F"/>
    <w:rsid w:val="00C37D83"/>
    <w:rsid w:val="00C37E31"/>
    <w:rsid w:val="00C37F46"/>
    <w:rsid w:val="00C4025B"/>
    <w:rsid w:val="00C40336"/>
    <w:rsid w:val="00C40373"/>
    <w:rsid w:val="00C4038B"/>
    <w:rsid w:val="00C4045B"/>
    <w:rsid w:val="00C4090A"/>
    <w:rsid w:val="00C40A81"/>
    <w:rsid w:val="00C40BB9"/>
    <w:rsid w:val="00C40D4D"/>
    <w:rsid w:val="00C40D63"/>
    <w:rsid w:val="00C40FAD"/>
    <w:rsid w:val="00C412C4"/>
    <w:rsid w:val="00C41351"/>
    <w:rsid w:val="00C413DF"/>
    <w:rsid w:val="00C414C1"/>
    <w:rsid w:val="00C41513"/>
    <w:rsid w:val="00C41566"/>
    <w:rsid w:val="00C41870"/>
    <w:rsid w:val="00C418F9"/>
    <w:rsid w:val="00C41951"/>
    <w:rsid w:val="00C41B9B"/>
    <w:rsid w:val="00C41D9B"/>
    <w:rsid w:val="00C41E10"/>
    <w:rsid w:val="00C41E63"/>
    <w:rsid w:val="00C421B8"/>
    <w:rsid w:val="00C42428"/>
    <w:rsid w:val="00C427B7"/>
    <w:rsid w:val="00C42B04"/>
    <w:rsid w:val="00C42B6A"/>
    <w:rsid w:val="00C42CA3"/>
    <w:rsid w:val="00C43165"/>
    <w:rsid w:val="00C431AD"/>
    <w:rsid w:val="00C4323C"/>
    <w:rsid w:val="00C43519"/>
    <w:rsid w:val="00C4359A"/>
    <w:rsid w:val="00C43791"/>
    <w:rsid w:val="00C43858"/>
    <w:rsid w:val="00C4385F"/>
    <w:rsid w:val="00C439CA"/>
    <w:rsid w:val="00C43AA8"/>
    <w:rsid w:val="00C43BA4"/>
    <w:rsid w:val="00C43E89"/>
    <w:rsid w:val="00C4433F"/>
    <w:rsid w:val="00C445B0"/>
    <w:rsid w:val="00C445B4"/>
    <w:rsid w:val="00C445CF"/>
    <w:rsid w:val="00C446C4"/>
    <w:rsid w:val="00C44954"/>
    <w:rsid w:val="00C44997"/>
    <w:rsid w:val="00C44A0D"/>
    <w:rsid w:val="00C44CDB"/>
    <w:rsid w:val="00C44D45"/>
    <w:rsid w:val="00C44D7F"/>
    <w:rsid w:val="00C44D82"/>
    <w:rsid w:val="00C44FDF"/>
    <w:rsid w:val="00C45162"/>
    <w:rsid w:val="00C45171"/>
    <w:rsid w:val="00C45414"/>
    <w:rsid w:val="00C45440"/>
    <w:rsid w:val="00C457C8"/>
    <w:rsid w:val="00C4589F"/>
    <w:rsid w:val="00C45A64"/>
    <w:rsid w:val="00C45A90"/>
    <w:rsid w:val="00C45B6E"/>
    <w:rsid w:val="00C45E16"/>
    <w:rsid w:val="00C4606A"/>
    <w:rsid w:val="00C46137"/>
    <w:rsid w:val="00C461F1"/>
    <w:rsid w:val="00C46218"/>
    <w:rsid w:val="00C462F5"/>
    <w:rsid w:val="00C463D4"/>
    <w:rsid w:val="00C463E1"/>
    <w:rsid w:val="00C4647C"/>
    <w:rsid w:val="00C464C7"/>
    <w:rsid w:val="00C464E0"/>
    <w:rsid w:val="00C464FD"/>
    <w:rsid w:val="00C465E7"/>
    <w:rsid w:val="00C46974"/>
    <w:rsid w:val="00C4698E"/>
    <w:rsid w:val="00C46AC6"/>
    <w:rsid w:val="00C46ACA"/>
    <w:rsid w:val="00C46CD2"/>
    <w:rsid w:val="00C4722D"/>
    <w:rsid w:val="00C47469"/>
    <w:rsid w:val="00C475CC"/>
    <w:rsid w:val="00C477AC"/>
    <w:rsid w:val="00C47835"/>
    <w:rsid w:val="00C47847"/>
    <w:rsid w:val="00C4790E"/>
    <w:rsid w:val="00C47914"/>
    <w:rsid w:val="00C47A98"/>
    <w:rsid w:val="00C47BE5"/>
    <w:rsid w:val="00C47D57"/>
    <w:rsid w:val="00C47E8F"/>
    <w:rsid w:val="00C47EE4"/>
    <w:rsid w:val="00C47F03"/>
    <w:rsid w:val="00C47FC7"/>
    <w:rsid w:val="00C50041"/>
    <w:rsid w:val="00C501A2"/>
    <w:rsid w:val="00C501C8"/>
    <w:rsid w:val="00C50200"/>
    <w:rsid w:val="00C50388"/>
    <w:rsid w:val="00C5042A"/>
    <w:rsid w:val="00C50884"/>
    <w:rsid w:val="00C508A4"/>
    <w:rsid w:val="00C5098B"/>
    <w:rsid w:val="00C50EB3"/>
    <w:rsid w:val="00C51005"/>
    <w:rsid w:val="00C5108D"/>
    <w:rsid w:val="00C51278"/>
    <w:rsid w:val="00C512F7"/>
    <w:rsid w:val="00C514BD"/>
    <w:rsid w:val="00C514D3"/>
    <w:rsid w:val="00C515E1"/>
    <w:rsid w:val="00C517F2"/>
    <w:rsid w:val="00C518E5"/>
    <w:rsid w:val="00C519C9"/>
    <w:rsid w:val="00C51C4F"/>
    <w:rsid w:val="00C51C96"/>
    <w:rsid w:val="00C51CC5"/>
    <w:rsid w:val="00C51D0B"/>
    <w:rsid w:val="00C51EB8"/>
    <w:rsid w:val="00C52011"/>
    <w:rsid w:val="00C52207"/>
    <w:rsid w:val="00C522BF"/>
    <w:rsid w:val="00C52411"/>
    <w:rsid w:val="00C52628"/>
    <w:rsid w:val="00C526A0"/>
    <w:rsid w:val="00C5273E"/>
    <w:rsid w:val="00C527F0"/>
    <w:rsid w:val="00C52868"/>
    <w:rsid w:val="00C52894"/>
    <w:rsid w:val="00C528B2"/>
    <w:rsid w:val="00C52958"/>
    <w:rsid w:val="00C529DD"/>
    <w:rsid w:val="00C52AC2"/>
    <w:rsid w:val="00C52B18"/>
    <w:rsid w:val="00C52B9A"/>
    <w:rsid w:val="00C52C65"/>
    <w:rsid w:val="00C531DE"/>
    <w:rsid w:val="00C533D4"/>
    <w:rsid w:val="00C5349C"/>
    <w:rsid w:val="00C539D0"/>
    <w:rsid w:val="00C53A2C"/>
    <w:rsid w:val="00C53C04"/>
    <w:rsid w:val="00C53E75"/>
    <w:rsid w:val="00C53ED0"/>
    <w:rsid w:val="00C541E1"/>
    <w:rsid w:val="00C54290"/>
    <w:rsid w:val="00C54299"/>
    <w:rsid w:val="00C5437C"/>
    <w:rsid w:val="00C5442E"/>
    <w:rsid w:val="00C54440"/>
    <w:rsid w:val="00C54471"/>
    <w:rsid w:val="00C546B6"/>
    <w:rsid w:val="00C5485C"/>
    <w:rsid w:val="00C54977"/>
    <w:rsid w:val="00C54C04"/>
    <w:rsid w:val="00C54DAA"/>
    <w:rsid w:val="00C54E53"/>
    <w:rsid w:val="00C54E74"/>
    <w:rsid w:val="00C54E8F"/>
    <w:rsid w:val="00C54FAD"/>
    <w:rsid w:val="00C55032"/>
    <w:rsid w:val="00C5510B"/>
    <w:rsid w:val="00C55239"/>
    <w:rsid w:val="00C5524C"/>
    <w:rsid w:val="00C55548"/>
    <w:rsid w:val="00C5564B"/>
    <w:rsid w:val="00C5570C"/>
    <w:rsid w:val="00C55756"/>
    <w:rsid w:val="00C55847"/>
    <w:rsid w:val="00C55888"/>
    <w:rsid w:val="00C55903"/>
    <w:rsid w:val="00C55ADC"/>
    <w:rsid w:val="00C55BA8"/>
    <w:rsid w:val="00C55C38"/>
    <w:rsid w:val="00C55DFF"/>
    <w:rsid w:val="00C55E0E"/>
    <w:rsid w:val="00C56190"/>
    <w:rsid w:val="00C562BC"/>
    <w:rsid w:val="00C564CF"/>
    <w:rsid w:val="00C565AA"/>
    <w:rsid w:val="00C569AB"/>
    <w:rsid w:val="00C56F14"/>
    <w:rsid w:val="00C56FC8"/>
    <w:rsid w:val="00C57389"/>
    <w:rsid w:val="00C574A6"/>
    <w:rsid w:val="00C574E3"/>
    <w:rsid w:val="00C5752C"/>
    <w:rsid w:val="00C5758C"/>
    <w:rsid w:val="00C575CF"/>
    <w:rsid w:val="00C575FE"/>
    <w:rsid w:val="00C57664"/>
    <w:rsid w:val="00C57795"/>
    <w:rsid w:val="00C577AD"/>
    <w:rsid w:val="00C57DAD"/>
    <w:rsid w:val="00C57EAB"/>
    <w:rsid w:val="00C57FB6"/>
    <w:rsid w:val="00C600B4"/>
    <w:rsid w:val="00C6010C"/>
    <w:rsid w:val="00C601E9"/>
    <w:rsid w:val="00C601ED"/>
    <w:rsid w:val="00C604A3"/>
    <w:rsid w:val="00C60619"/>
    <w:rsid w:val="00C6061D"/>
    <w:rsid w:val="00C60999"/>
    <w:rsid w:val="00C60C14"/>
    <w:rsid w:val="00C60D4F"/>
    <w:rsid w:val="00C60D5D"/>
    <w:rsid w:val="00C6101B"/>
    <w:rsid w:val="00C61134"/>
    <w:rsid w:val="00C6115C"/>
    <w:rsid w:val="00C61577"/>
    <w:rsid w:val="00C61621"/>
    <w:rsid w:val="00C6163A"/>
    <w:rsid w:val="00C61651"/>
    <w:rsid w:val="00C616B5"/>
    <w:rsid w:val="00C616B7"/>
    <w:rsid w:val="00C616B8"/>
    <w:rsid w:val="00C617B6"/>
    <w:rsid w:val="00C6189D"/>
    <w:rsid w:val="00C61B07"/>
    <w:rsid w:val="00C61DC6"/>
    <w:rsid w:val="00C61EB1"/>
    <w:rsid w:val="00C61F32"/>
    <w:rsid w:val="00C620D3"/>
    <w:rsid w:val="00C6212F"/>
    <w:rsid w:val="00C6214C"/>
    <w:rsid w:val="00C62271"/>
    <w:rsid w:val="00C62538"/>
    <w:rsid w:val="00C62551"/>
    <w:rsid w:val="00C6276D"/>
    <w:rsid w:val="00C628BF"/>
    <w:rsid w:val="00C629B0"/>
    <w:rsid w:val="00C629EC"/>
    <w:rsid w:val="00C62A04"/>
    <w:rsid w:val="00C62B00"/>
    <w:rsid w:val="00C62CC5"/>
    <w:rsid w:val="00C62F16"/>
    <w:rsid w:val="00C631D2"/>
    <w:rsid w:val="00C6321D"/>
    <w:rsid w:val="00C632C0"/>
    <w:rsid w:val="00C6354F"/>
    <w:rsid w:val="00C63610"/>
    <w:rsid w:val="00C6366F"/>
    <w:rsid w:val="00C636C8"/>
    <w:rsid w:val="00C6373D"/>
    <w:rsid w:val="00C6375F"/>
    <w:rsid w:val="00C63A85"/>
    <w:rsid w:val="00C63B05"/>
    <w:rsid w:val="00C63B7C"/>
    <w:rsid w:val="00C63BB2"/>
    <w:rsid w:val="00C63D7E"/>
    <w:rsid w:val="00C63EA4"/>
    <w:rsid w:val="00C63EBE"/>
    <w:rsid w:val="00C63F63"/>
    <w:rsid w:val="00C6413D"/>
    <w:rsid w:val="00C642E1"/>
    <w:rsid w:val="00C64310"/>
    <w:rsid w:val="00C64320"/>
    <w:rsid w:val="00C643B0"/>
    <w:rsid w:val="00C64536"/>
    <w:rsid w:val="00C64663"/>
    <w:rsid w:val="00C646CA"/>
    <w:rsid w:val="00C649E2"/>
    <w:rsid w:val="00C64BA7"/>
    <w:rsid w:val="00C64D4D"/>
    <w:rsid w:val="00C64DA2"/>
    <w:rsid w:val="00C64E14"/>
    <w:rsid w:val="00C64FC0"/>
    <w:rsid w:val="00C650A7"/>
    <w:rsid w:val="00C65281"/>
    <w:rsid w:val="00C6534F"/>
    <w:rsid w:val="00C65468"/>
    <w:rsid w:val="00C656E4"/>
    <w:rsid w:val="00C65813"/>
    <w:rsid w:val="00C65821"/>
    <w:rsid w:val="00C65BB9"/>
    <w:rsid w:val="00C65CCD"/>
    <w:rsid w:val="00C65D1D"/>
    <w:rsid w:val="00C65E55"/>
    <w:rsid w:val="00C65F78"/>
    <w:rsid w:val="00C6604A"/>
    <w:rsid w:val="00C661F3"/>
    <w:rsid w:val="00C662A8"/>
    <w:rsid w:val="00C667BE"/>
    <w:rsid w:val="00C66816"/>
    <w:rsid w:val="00C66B41"/>
    <w:rsid w:val="00C66B8C"/>
    <w:rsid w:val="00C66B9B"/>
    <w:rsid w:val="00C66C66"/>
    <w:rsid w:val="00C67130"/>
    <w:rsid w:val="00C6722B"/>
    <w:rsid w:val="00C6731A"/>
    <w:rsid w:val="00C673D0"/>
    <w:rsid w:val="00C675B9"/>
    <w:rsid w:val="00C67852"/>
    <w:rsid w:val="00C67A67"/>
    <w:rsid w:val="00C67B03"/>
    <w:rsid w:val="00C67CE8"/>
    <w:rsid w:val="00C67D5E"/>
    <w:rsid w:val="00C67DDB"/>
    <w:rsid w:val="00C67E9B"/>
    <w:rsid w:val="00C700F3"/>
    <w:rsid w:val="00C70141"/>
    <w:rsid w:val="00C701DC"/>
    <w:rsid w:val="00C7026D"/>
    <w:rsid w:val="00C7033A"/>
    <w:rsid w:val="00C709B0"/>
    <w:rsid w:val="00C709B2"/>
    <w:rsid w:val="00C70AA9"/>
    <w:rsid w:val="00C70AEC"/>
    <w:rsid w:val="00C70D5B"/>
    <w:rsid w:val="00C70E36"/>
    <w:rsid w:val="00C70EA8"/>
    <w:rsid w:val="00C70ED9"/>
    <w:rsid w:val="00C70FC3"/>
    <w:rsid w:val="00C70FF8"/>
    <w:rsid w:val="00C7111E"/>
    <w:rsid w:val="00C7117A"/>
    <w:rsid w:val="00C712AB"/>
    <w:rsid w:val="00C71543"/>
    <w:rsid w:val="00C71575"/>
    <w:rsid w:val="00C71586"/>
    <w:rsid w:val="00C7163D"/>
    <w:rsid w:val="00C71698"/>
    <w:rsid w:val="00C71BFC"/>
    <w:rsid w:val="00C71DE1"/>
    <w:rsid w:val="00C71E3F"/>
    <w:rsid w:val="00C71E9E"/>
    <w:rsid w:val="00C71EE2"/>
    <w:rsid w:val="00C71F35"/>
    <w:rsid w:val="00C72078"/>
    <w:rsid w:val="00C72199"/>
    <w:rsid w:val="00C7227B"/>
    <w:rsid w:val="00C723EA"/>
    <w:rsid w:val="00C72593"/>
    <w:rsid w:val="00C7265A"/>
    <w:rsid w:val="00C728B4"/>
    <w:rsid w:val="00C72A64"/>
    <w:rsid w:val="00C72C22"/>
    <w:rsid w:val="00C72C26"/>
    <w:rsid w:val="00C72D2B"/>
    <w:rsid w:val="00C72DFA"/>
    <w:rsid w:val="00C73025"/>
    <w:rsid w:val="00C7304E"/>
    <w:rsid w:val="00C732EB"/>
    <w:rsid w:val="00C736DF"/>
    <w:rsid w:val="00C73746"/>
    <w:rsid w:val="00C73777"/>
    <w:rsid w:val="00C737AB"/>
    <w:rsid w:val="00C73930"/>
    <w:rsid w:val="00C73AC5"/>
    <w:rsid w:val="00C73D83"/>
    <w:rsid w:val="00C73E23"/>
    <w:rsid w:val="00C73ED9"/>
    <w:rsid w:val="00C73F60"/>
    <w:rsid w:val="00C73F78"/>
    <w:rsid w:val="00C7408B"/>
    <w:rsid w:val="00C7439D"/>
    <w:rsid w:val="00C7444C"/>
    <w:rsid w:val="00C744F2"/>
    <w:rsid w:val="00C74538"/>
    <w:rsid w:val="00C74591"/>
    <w:rsid w:val="00C74768"/>
    <w:rsid w:val="00C748F0"/>
    <w:rsid w:val="00C74A8A"/>
    <w:rsid w:val="00C74A98"/>
    <w:rsid w:val="00C74B6B"/>
    <w:rsid w:val="00C74D8C"/>
    <w:rsid w:val="00C75287"/>
    <w:rsid w:val="00C75300"/>
    <w:rsid w:val="00C75B0A"/>
    <w:rsid w:val="00C75B76"/>
    <w:rsid w:val="00C75DB3"/>
    <w:rsid w:val="00C75F5E"/>
    <w:rsid w:val="00C75F71"/>
    <w:rsid w:val="00C75FD4"/>
    <w:rsid w:val="00C7602B"/>
    <w:rsid w:val="00C76117"/>
    <w:rsid w:val="00C763B5"/>
    <w:rsid w:val="00C764E7"/>
    <w:rsid w:val="00C766EE"/>
    <w:rsid w:val="00C766F4"/>
    <w:rsid w:val="00C76765"/>
    <w:rsid w:val="00C7696A"/>
    <w:rsid w:val="00C76CB5"/>
    <w:rsid w:val="00C76D47"/>
    <w:rsid w:val="00C770A7"/>
    <w:rsid w:val="00C771A7"/>
    <w:rsid w:val="00C77700"/>
    <w:rsid w:val="00C77725"/>
    <w:rsid w:val="00C77882"/>
    <w:rsid w:val="00C7789B"/>
    <w:rsid w:val="00C77906"/>
    <w:rsid w:val="00C77939"/>
    <w:rsid w:val="00C77F98"/>
    <w:rsid w:val="00C77FC6"/>
    <w:rsid w:val="00C800F1"/>
    <w:rsid w:val="00C8026D"/>
    <w:rsid w:val="00C80540"/>
    <w:rsid w:val="00C8057C"/>
    <w:rsid w:val="00C80910"/>
    <w:rsid w:val="00C80A51"/>
    <w:rsid w:val="00C80AEE"/>
    <w:rsid w:val="00C80C04"/>
    <w:rsid w:val="00C8120D"/>
    <w:rsid w:val="00C814BB"/>
    <w:rsid w:val="00C81508"/>
    <w:rsid w:val="00C81593"/>
    <w:rsid w:val="00C81726"/>
    <w:rsid w:val="00C81A4F"/>
    <w:rsid w:val="00C81A8C"/>
    <w:rsid w:val="00C81C12"/>
    <w:rsid w:val="00C81DDB"/>
    <w:rsid w:val="00C81E2A"/>
    <w:rsid w:val="00C81F8D"/>
    <w:rsid w:val="00C82005"/>
    <w:rsid w:val="00C8209F"/>
    <w:rsid w:val="00C824D1"/>
    <w:rsid w:val="00C824D9"/>
    <w:rsid w:val="00C8252A"/>
    <w:rsid w:val="00C8259B"/>
    <w:rsid w:val="00C826D7"/>
    <w:rsid w:val="00C82886"/>
    <w:rsid w:val="00C82A27"/>
    <w:rsid w:val="00C82AA6"/>
    <w:rsid w:val="00C82BC2"/>
    <w:rsid w:val="00C82BE1"/>
    <w:rsid w:val="00C82BE4"/>
    <w:rsid w:val="00C82CAF"/>
    <w:rsid w:val="00C82D5A"/>
    <w:rsid w:val="00C832A6"/>
    <w:rsid w:val="00C834C7"/>
    <w:rsid w:val="00C834FB"/>
    <w:rsid w:val="00C8352C"/>
    <w:rsid w:val="00C83544"/>
    <w:rsid w:val="00C835CE"/>
    <w:rsid w:val="00C838CD"/>
    <w:rsid w:val="00C83928"/>
    <w:rsid w:val="00C8398D"/>
    <w:rsid w:val="00C839C9"/>
    <w:rsid w:val="00C83AEC"/>
    <w:rsid w:val="00C83B92"/>
    <w:rsid w:val="00C83D18"/>
    <w:rsid w:val="00C840C6"/>
    <w:rsid w:val="00C8444D"/>
    <w:rsid w:val="00C84993"/>
    <w:rsid w:val="00C84A0D"/>
    <w:rsid w:val="00C84AA4"/>
    <w:rsid w:val="00C84B78"/>
    <w:rsid w:val="00C84BAC"/>
    <w:rsid w:val="00C84D71"/>
    <w:rsid w:val="00C84DE7"/>
    <w:rsid w:val="00C84E6E"/>
    <w:rsid w:val="00C85208"/>
    <w:rsid w:val="00C85250"/>
    <w:rsid w:val="00C85566"/>
    <w:rsid w:val="00C85793"/>
    <w:rsid w:val="00C857FA"/>
    <w:rsid w:val="00C85CD0"/>
    <w:rsid w:val="00C85DE7"/>
    <w:rsid w:val="00C85E8F"/>
    <w:rsid w:val="00C86020"/>
    <w:rsid w:val="00C86047"/>
    <w:rsid w:val="00C861FD"/>
    <w:rsid w:val="00C863EF"/>
    <w:rsid w:val="00C86426"/>
    <w:rsid w:val="00C864A9"/>
    <w:rsid w:val="00C864EA"/>
    <w:rsid w:val="00C86637"/>
    <w:rsid w:val="00C867B5"/>
    <w:rsid w:val="00C8697E"/>
    <w:rsid w:val="00C86AF8"/>
    <w:rsid w:val="00C86BB1"/>
    <w:rsid w:val="00C86BC6"/>
    <w:rsid w:val="00C86C07"/>
    <w:rsid w:val="00C86DAF"/>
    <w:rsid w:val="00C86DB6"/>
    <w:rsid w:val="00C86E9C"/>
    <w:rsid w:val="00C86F8B"/>
    <w:rsid w:val="00C870C4"/>
    <w:rsid w:val="00C87220"/>
    <w:rsid w:val="00C87239"/>
    <w:rsid w:val="00C87259"/>
    <w:rsid w:val="00C8736F"/>
    <w:rsid w:val="00C873DF"/>
    <w:rsid w:val="00C8760E"/>
    <w:rsid w:val="00C87A1C"/>
    <w:rsid w:val="00C87A5A"/>
    <w:rsid w:val="00C90026"/>
    <w:rsid w:val="00C900DC"/>
    <w:rsid w:val="00C90431"/>
    <w:rsid w:val="00C906D3"/>
    <w:rsid w:val="00C90744"/>
    <w:rsid w:val="00C9086D"/>
    <w:rsid w:val="00C909CE"/>
    <w:rsid w:val="00C909DE"/>
    <w:rsid w:val="00C90A5B"/>
    <w:rsid w:val="00C90B94"/>
    <w:rsid w:val="00C90D63"/>
    <w:rsid w:val="00C9101C"/>
    <w:rsid w:val="00C910FA"/>
    <w:rsid w:val="00C91260"/>
    <w:rsid w:val="00C91389"/>
    <w:rsid w:val="00C914A2"/>
    <w:rsid w:val="00C91830"/>
    <w:rsid w:val="00C91ABA"/>
    <w:rsid w:val="00C91C63"/>
    <w:rsid w:val="00C91D92"/>
    <w:rsid w:val="00C91E7B"/>
    <w:rsid w:val="00C9217C"/>
    <w:rsid w:val="00C923A1"/>
    <w:rsid w:val="00C923A7"/>
    <w:rsid w:val="00C92459"/>
    <w:rsid w:val="00C92502"/>
    <w:rsid w:val="00C926F7"/>
    <w:rsid w:val="00C927AE"/>
    <w:rsid w:val="00C9285D"/>
    <w:rsid w:val="00C92AA5"/>
    <w:rsid w:val="00C92F80"/>
    <w:rsid w:val="00C92FE5"/>
    <w:rsid w:val="00C93239"/>
    <w:rsid w:val="00C93635"/>
    <w:rsid w:val="00C93641"/>
    <w:rsid w:val="00C93954"/>
    <w:rsid w:val="00C93970"/>
    <w:rsid w:val="00C93A0D"/>
    <w:rsid w:val="00C93A83"/>
    <w:rsid w:val="00C93CA8"/>
    <w:rsid w:val="00C93ED8"/>
    <w:rsid w:val="00C94081"/>
    <w:rsid w:val="00C9453F"/>
    <w:rsid w:val="00C9473E"/>
    <w:rsid w:val="00C94B25"/>
    <w:rsid w:val="00C94BEA"/>
    <w:rsid w:val="00C94C28"/>
    <w:rsid w:val="00C94C4A"/>
    <w:rsid w:val="00C94DC1"/>
    <w:rsid w:val="00C94E12"/>
    <w:rsid w:val="00C94E36"/>
    <w:rsid w:val="00C94F92"/>
    <w:rsid w:val="00C951E3"/>
    <w:rsid w:val="00C9561C"/>
    <w:rsid w:val="00C9571F"/>
    <w:rsid w:val="00C95B3B"/>
    <w:rsid w:val="00C95CB9"/>
    <w:rsid w:val="00C95DB4"/>
    <w:rsid w:val="00C95DD4"/>
    <w:rsid w:val="00C95F57"/>
    <w:rsid w:val="00C96086"/>
    <w:rsid w:val="00C963A3"/>
    <w:rsid w:val="00C9659C"/>
    <w:rsid w:val="00C9694E"/>
    <w:rsid w:val="00C969B2"/>
    <w:rsid w:val="00C96A38"/>
    <w:rsid w:val="00C96A86"/>
    <w:rsid w:val="00C96AD3"/>
    <w:rsid w:val="00C96C0F"/>
    <w:rsid w:val="00C96D19"/>
    <w:rsid w:val="00C96E5A"/>
    <w:rsid w:val="00C96FF9"/>
    <w:rsid w:val="00C9702D"/>
    <w:rsid w:val="00C9717C"/>
    <w:rsid w:val="00C97252"/>
    <w:rsid w:val="00C972C2"/>
    <w:rsid w:val="00C972D4"/>
    <w:rsid w:val="00C97422"/>
    <w:rsid w:val="00C9748D"/>
    <w:rsid w:val="00C97C29"/>
    <w:rsid w:val="00C97D4E"/>
    <w:rsid w:val="00C97ED6"/>
    <w:rsid w:val="00CA0220"/>
    <w:rsid w:val="00CA02B9"/>
    <w:rsid w:val="00CA0302"/>
    <w:rsid w:val="00CA0323"/>
    <w:rsid w:val="00CA0514"/>
    <w:rsid w:val="00CA0856"/>
    <w:rsid w:val="00CA09E4"/>
    <w:rsid w:val="00CA0AAC"/>
    <w:rsid w:val="00CA0AFB"/>
    <w:rsid w:val="00CA0BA6"/>
    <w:rsid w:val="00CA0BD6"/>
    <w:rsid w:val="00CA0BE2"/>
    <w:rsid w:val="00CA0E4B"/>
    <w:rsid w:val="00CA108A"/>
    <w:rsid w:val="00CA10B2"/>
    <w:rsid w:val="00CA11BE"/>
    <w:rsid w:val="00CA1203"/>
    <w:rsid w:val="00CA15B8"/>
    <w:rsid w:val="00CA15EE"/>
    <w:rsid w:val="00CA1650"/>
    <w:rsid w:val="00CA1729"/>
    <w:rsid w:val="00CA1738"/>
    <w:rsid w:val="00CA1A95"/>
    <w:rsid w:val="00CA1BA1"/>
    <w:rsid w:val="00CA1BB0"/>
    <w:rsid w:val="00CA1D3B"/>
    <w:rsid w:val="00CA25A3"/>
    <w:rsid w:val="00CA264A"/>
    <w:rsid w:val="00CA266A"/>
    <w:rsid w:val="00CA2AD4"/>
    <w:rsid w:val="00CA2C19"/>
    <w:rsid w:val="00CA2D37"/>
    <w:rsid w:val="00CA2E09"/>
    <w:rsid w:val="00CA30E0"/>
    <w:rsid w:val="00CA30EE"/>
    <w:rsid w:val="00CA3248"/>
    <w:rsid w:val="00CA3559"/>
    <w:rsid w:val="00CA38E0"/>
    <w:rsid w:val="00CA38E4"/>
    <w:rsid w:val="00CA39AD"/>
    <w:rsid w:val="00CA3A7A"/>
    <w:rsid w:val="00CA3BD6"/>
    <w:rsid w:val="00CA3BF0"/>
    <w:rsid w:val="00CA3C03"/>
    <w:rsid w:val="00CA3D77"/>
    <w:rsid w:val="00CA3FB4"/>
    <w:rsid w:val="00CA3FBD"/>
    <w:rsid w:val="00CA3FFD"/>
    <w:rsid w:val="00CA40A5"/>
    <w:rsid w:val="00CA4317"/>
    <w:rsid w:val="00CA4370"/>
    <w:rsid w:val="00CA43EA"/>
    <w:rsid w:val="00CA4719"/>
    <w:rsid w:val="00CA4748"/>
    <w:rsid w:val="00CA485D"/>
    <w:rsid w:val="00CA4933"/>
    <w:rsid w:val="00CA49D2"/>
    <w:rsid w:val="00CA4A4D"/>
    <w:rsid w:val="00CA4AA9"/>
    <w:rsid w:val="00CA4EF5"/>
    <w:rsid w:val="00CA4FB8"/>
    <w:rsid w:val="00CA4FB9"/>
    <w:rsid w:val="00CA50D7"/>
    <w:rsid w:val="00CA57D2"/>
    <w:rsid w:val="00CA59D7"/>
    <w:rsid w:val="00CA5AED"/>
    <w:rsid w:val="00CA5D44"/>
    <w:rsid w:val="00CA5DF2"/>
    <w:rsid w:val="00CA5E0A"/>
    <w:rsid w:val="00CA5E83"/>
    <w:rsid w:val="00CA5EF0"/>
    <w:rsid w:val="00CA5EFF"/>
    <w:rsid w:val="00CA608B"/>
    <w:rsid w:val="00CA61CE"/>
    <w:rsid w:val="00CA6636"/>
    <w:rsid w:val="00CA66E6"/>
    <w:rsid w:val="00CA6727"/>
    <w:rsid w:val="00CA675B"/>
    <w:rsid w:val="00CA6A5A"/>
    <w:rsid w:val="00CA6CE1"/>
    <w:rsid w:val="00CA6EEF"/>
    <w:rsid w:val="00CA7057"/>
    <w:rsid w:val="00CA70DC"/>
    <w:rsid w:val="00CA7126"/>
    <w:rsid w:val="00CA794F"/>
    <w:rsid w:val="00CA79D7"/>
    <w:rsid w:val="00CA7AA6"/>
    <w:rsid w:val="00CA7DDA"/>
    <w:rsid w:val="00CA7E8E"/>
    <w:rsid w:val="00CA7F1E"/>
    <w:rsid w:val="00CB014A"/>
    <w:rsid w:val="00CB035B"/>
    <w:rsid w:val="00CB0510"/>
    <w:rsid w:val="00CB0607"/>
    <w:rsid w:val="00CB0703"/>
    <w:rsid w:val="00CB0823"/>
    <w:rsid w:val="00CB0979"/>
    <w:rsid w:val="00CB0A09"/>
    <w:rsid w:val="00CB0A53"/>
    <w:rsid w:val="00CB1142"/>
    <w:rsid w:val="00CB13BF"/>
    <w:rsid w:val="00CB1528"/>
    <w:rsid w:val="00CB16C3"/>
    <w:rsid w:val="00CB1A91"/>
    <w:rsid w:val="00CB1AF9"/>
    <w:rsid w:val="00CB1B40"/>
    <w:rsid w:val="00CB1C5D"/>
    <w:rsid w:val="00CB1CCB"/>
    <w:rsid w:val="00CB1D8B"/>
    <w:rsid w:val="00CB1D95"/>
    <w:rsid w:val="00CB1DB5"/>
    <w:rsid w:val="00CB225F"/>
    <w:rsid w:val="00CB2521"/>
    <w:rsid w:val="00CB25A7"/>
    <w:rsid w:val="00CB268A"/>
    <w:rsid w:val="00CB26E0"/>
    <w:rsid w:val="00CB2981"/>
    <w:rsid w:val="00CB2B31"/>
    <w:rsid w:val="00CB2C3B"/>
    <w:rsid w:val="00CB2D04"/>
    <w:rsid w:val="00CB2E2F"/>
    <w:rsid w:val="00CB2EBF"/>
    <w:rsid w:val="00CB2FE9"/>
    <w:rsid w:val="00CB3165"/>
    <w:rsid w:val="00CB326D"/>
    <w:rsid w:val="00CB3709"/>
    <w:rsid w:val="00CB38C3"/>
    <w:rsid w:val="00CB38C5"/>
    <w:rsid w:val="00CB3A02"/>
    <w:rsid w:val="00CB3C34"/>
    <w:rsid w:val="00CB3CFB"/>
    <w:rsid w:val="00CB3D04"/>
    <w:rsid w:val="00CB3D84"/>
    <w:rsid w:val="00CB3E0F"/>
    <w:rsid w:val="00CB3E3B"/>
    <w:rsid w:val="00CB466D"/>
    <w:rsid w:val="00CB48FE"/>
    <w:rsid w:val="00CB4D7D"/>
    <w:rsid w:val="00CB4E9D"/>
    <w:rsid w:val="00CB5222"/>
    <w:rsid w:val="00CB53AF"/>
    <w:rsid w:val="00CB53CF"/>
    <w:rsid w:val="00CB55A7"/>
    <w:rsid w:val="00CB564A"/>
    <w:rsid w:val="00CB572F"/>
    <w:rsid w:val="00CB57B3"/>
    <w:rsid w:val="00CB5A0D"/>
    <w:rsid w:val="00CB5A3F"/>
    <w:rsid w:val="00CB5A4E"/>
    <w:rsid w:val="00CB5B14"/>
    <w:rsid w:val="00CB5B4D"/>
    <w:rsid w:val="00CB5B72"/>
    <w:rsid w:val="00CB5DD8"/>
    <w:rsid w:val="00CB605E"/>
    <w:rsid w:val="00CB60D2"/>
    <w:rsid w:val="00CB61B7"/>
    <w:rsid w:val="00CB6252"/>
    <w:rsid w:val="00CB63DB"/>
    <w:rsid w:val="00CB63FA"/>
    <w:rsid w:val="00CB64C7"/>
    <w:rsid w:val="00CB64E6"/>
    <w:rsid w:val="00CB65DD"/>
    <w:rsid w:val="00CB660C"/>
    <w:rsid w:val="00CB66B0"/>
    <w:rsid w:val="00CB6707"/>
    <w:rsid w:val="00CB6A0B"/>
    <w:rsid w:val="00CB6CA0"/>
    <w:rsid w:val="00CB6CA5"/>
    <w:rsid w:val="00CB6E16"/>
    <w:rsid w:val="00CB6EE1"/>
    <w:rsid w:val="00CB73F2"/>
    <w:rsid w:val="00CB73F5"/>
    <w:rsid w:val="00CB7980"/>
    <w:rsid w:val="00CB7989"/>
    <w:rsid w:val="00CB79C0"/>
    <w:rsid w:val="00CB7BB3"/>
    <w:rsid w:val="00CB7C48"/>
    <w:rsid w:val="00CB7C56"/>
    <w:rsid w:val="00CB7E43"/>
    <w:rsid w:val="00CC0241"/>
    <w:rsid w:val="00CC05EE"/>
    <w:rsid w:val="00CC0620"/>
    <w:rsid w:val="00CC06E7"/>
    <w:rsid w:val="00CC0ADC"/>
    <w:rsid w:val="00CC0AE4"/>
    <w:rsid w:val="00CC0B0C"/>
    <w:rsid w:val="00CC0C84"/>
    <w:rsid w:val="00CC0D1F"/>
    <w:rsid w:val="00CC0D25"/>
    <w:rsid w:val="00CC0EA5"/>
    <w:rsid w:val="00CC0F1F"/>
    <w:rsid w:val="00CC0FA2"/>
    <w:rsid w:val="00CC1030"/>
    <w:rsid w:val="00CC15D1"/>
    <w:rsid w:val="00CC17B8"/>
    <w:rsid w:val="00CC182C"/>
    <w:rsid w:val="00CC1C04"/>
    <w:rsid w:val="00CC1D06"/>
    <w:rsid w:val="00CC1D43"/>
    <w:rsid w:val="00CC1F1A"/>
    <w:rsid w:val="00CC1F61"/>
    <w:rsid w:val="00CC1F65"/>
    <w:rsid w:val="00CC2112"/>
    <w:rsid w:val="00CC22ED"/>
    <w:rsid w:val="00CC240E"/>
    <w:rsid w:val="00CC2444"/>
    <w:rsid w:val="00CC24D0"/>
    <w:rsid w:val="00CC2528"/>
    <w:rsid w:val="00CC2C54"/>
    <w:rsid w:val="00CC2D11"/>
    <w:rsid w:val="00CC2D3E"/>
    <w:rsid w:val="00CC3013"/>
    <w:rsid w:val="00CC30C4"/>
    <w:rsid w:val="00CC325E"/>
    <w:rsid w:val="00CC32BE"/>
    <w:rsid w:val="00CC33C3"/>
    <w:rsid w:val="00CC33DD"/>
    <w:rsid w:val="00CC365E"/>
    <w:rsid w:val="00CC3A98"/>
    <w:rsid w:val="00CC3BF0"/>
    <w:rsid w:val="00CC3C35"/>
    <w:rsid w:val="00CC3E81"/>
    <w:rsid w:val="00CC3F44"/>
    <w:rsid w:val="00CC409B"/>
    <w:rsid w:val="00CC411D"/>
    <w:rsid w:val="00CC41A9"/>
    <w:rsid w:val="00CC4203"/>
    <w:rsid w:val="00CC4B09"/>
    <w:rsid w:val="00CC4B5B"/>
    <w:rsid w:val="00CC4C27"/>
    <w:rsid w:val="00CC4C53"/>
    <w:rsid w:val="00CC4CC7"/>
    <w:rsid w:val="00CC4E00"/>
    <w:rsid w:val="00CC4ECE"/>
    <w:rsid w:val="00CC4F4C"/>
    <w:rsid w:val="00CC5131"/>
    <w:rsid w:val="00CC52F1"/>
    <w:rsid w:val="00CC534A"/>
    <w:rsid w:val="00CC5547"/>
    <w:rsid w:val="00CC5551"/>
    <w:rsid w:val="00CC59C0"/>
    <w:rsid w:val="00CC59CF"/>
    <w:rsid w:val="00CC5C41"/>
    <w:rsid w:val="00CC5E6F"/>
    <w:rsid w:val="00CC5F5A"/>
    <w:rsid w:val="00CC6044"/>
    <w:rsid w:val="00CC61D7"/>
    <w:rsid w:val="00CC680B"/>
    <w:rsid w:val="00CC6827"/>
    <w:rsid w:val="00CC69AD"/>
    <w:rsid w:val="00CC6A98"/>
    <w:rsid w:val="00CC6E1F"/>
    <w:rsid w:val="00CC6FB1"/>
    <w:rsid w:val="00CC741F"/>
    <w:rsid w:val="00CC75D2"/>
    <w:rsid w:val="00CC764B"/>
    <w:rsid w:val="00CC7786"/>
    <w:rsid w:val="00CC7882"/>
    <w:rsid w:val="00CC7985"/>
    <w:rsid w:val="00CC7B1E"/>
    <w:rsid w:val="00CC7B2F"/>
    <w:rsid w:val="00CC7C02"/>
    <w:rsid w:val="00CC7EBB"/>
    <w:rsid w:val="00CD01EF"/>
    <w:rsid w:val="00CD02E0"/>
    <w:rsid w:val="00CD0574"/>
    <w:rsid w:val="00CD078D"/>
    <w:rsid w:val="00CD09C7"/>
    <w:rsid w:val="00CD0CB0"/>
    <w:rsid w:val="00CD0D5D"/>
    <w:rsid w:val="00CD0DC3"/>
    <w:rsid w:val="00CD0E19"/>
    <w:rsid w:val="00CD0FDB"/>
    <w:rsid w:val="00CD124A"/>
    <w:rsid w:val="00CD1456"/>
    <w:rsid w:val="00CD14A8"/>
    <w:rsid w:val="00CD17CF"/>
    <w:rsid w:val="00CD183B"/>
    <w:rsid w:val="00CD1939"/>
    <w:rsid w:val="00CD1A26"/>
    <w:rsid w:val="00CD1C19"/>
    <w:rsid w:val="00CD1F03"/>
    <w:rsid w:val="00CD2005"/>
    <w:rsid w:val="00CD2006"/>
    <w:rsid w:val="00CD2054"/>
    <w:rsid w:val="00CD243E"/>
    <w:rsid w:val="00CD24A7"/>
    <w:rsid w:val="00CD24C6"/>
    <w:rsid w:val="00CD259B"/>
    <w:rsid w:val="00CD26A8"/>
    <w:rsid w:val="00CD2B20"/>
    <w:rsid w:val="00CD2BA4"/>
    <w:rsid w:val="00CD2C08"/>
    <w:rsid w:val="00CD2DDD"/>
    <w:rsid w:val="00CD2E43"/>
    <w:rsid w:val="00CD2ECD"/>
    <w:rsid w:val="00CD306A"/>
    <w:rsid w:val="00CD306B"/>
    <w:rsid w:val="00CD30FC"/>
    <w:rsid w:val="00CD31E2"/>
    <w:rsid w:val="00CD3389"/>
    <w:rsid w:val="00CD33B5"/>
    <w:rsid w:val="00CD33FC"/>
    <w:rsid w:val="00CD347E"/>
    <w:rsid w:val="00CD358C"/>
    <w:rsid w:val="00CD368E"/>
    <w:rsid w:val="00CD36DB"/>
    <w:rsid w:val="00CD384C"/>
    <w:rsid w:val="00CD38A9"/>
    <w:rsid w:val="00CD3968"/>
    <w:rsid w:val="00CD3A0D"/>
    <w:rsid w:val="00CD3AE0"/>
    <w:rsid w:val="00CD3BCB"/>
    <w:rsid w:val="00CD402B"/>
    <w:rsid w:val="00CD417C"/>
    <w:rsid w:val="00CD41BD"/>
    <w:rsid w:val="00CD45F5"/>
    <w:rsid w:val="00CD4638"/>
    <w:rsid w:val="00CD490D"/>
    <w:rsid w:val="00CD4ABF"/>
    <w:rsid w:val="00CD4C35"/>
    <w:rsid w:val="00CD4C52"/>
    <w:rsid w:val="00CD4DC6"/>
    <w:rsid w:val="00CD4E14"/>
    <w:rsid w:val="00CD4E55"/>
    <w:rsid w:val="00CD4EAA"/>
    <w:rsid w:val="00CD4FC5"/>
    <w:rsid w:val="00CD5074"/>
    <w:rsid w:val="00CD516F"/>
    <w:rsid w:val="00CD5233"/>
    <w:rsid w:val="00CD52A8"/>
    <w:rsid w:val="00CD54C8"/>
    <w:rsid w:val="00CD58B6"/>
    <w:rsid w:val="00CD5E54"/>
    <w:rsid w:val="00CD5ED9"/>
    <w:rsid w:val="00CD6043"/>
    <w:rsid w:val="00CD60E7"/>
    <w:rsid w:val="00CD61CE"/>
    <w:rsid w:val="00CD6270"/>
    <w:rsid w:val="00CD6286"/>
    <w:rsid w:val="00CD6568"/>
    <w:rsid w:val="00CD6CB2"/>
    <w:rsid w:val="00CD6D45"/>
    <w:rsid w:val="00CD6FAF"/>
    <w:rsid w:val="00CD6FEE"/>
    <w:rsid w:val="00CD70A8"/>
    <w:rsid w:val="00CD716B"/>
    <w:rsid w:val="00CD7273"/>
    <w:rsid w:val="00CD7319"/>
    <w:rsid w:val="00CD7355"/>
    <w:rsid w:val="00CD768D"/>
    <w:rsid w:val="00CD7725"/>
    <w:rsid w:val="00CD7788"/>
    <w:rsid w:val="00CD77CD"/>
    <w:rsid w:val="00CD77E9"/>
    <w:rsid w:val="00CD77F5"/>
    <w:rsid w:val="00CD7C29"/>
    <w:rsid w:val="00CD7C49"/>
    <w:rsid w:val="00CD7D47"/>
    <w:rsid w:val="00CD7EAE"/>
    <w:rsid w:val="00CD7F68"/>
    <w:rsid w:val="00CE01C0"/>
    <w:rsid w:val="00CE04F5"/>
    <w:rsid w:val="00CE052B"/>
    <w:rsid w:val="00CE0547"/>
    <w:rsid w:val="00CE0581"/>
    <w:rsid w:val="00CE06A6"/>
    <w:rsid w:val="00CE09D4"/>
    <w:rsid w:val="00CE0A75"/>
    <w:rsid w:val="00CE0B36"/>
    <w:rsid w:val="00CE0BE8"/>
    <w:rsid w:val="00CE0D95"/>
    <w:rsid w:val="00CE0EA0"/>
    <w:rsid w:val="00CE0FF0"/>
    <w:rsid w:val="00CE12D5"/>
    <w:rsid w:val="00CE136E"/>
    <w:rsid w:val="00CE1393"/>
    <w:rsid w:val="00CE13F1"/>
    <w:rsid w:val="00CE16CE"/>
    <w:rsid w:val="00CE1792"/>
    <w:rsid w:val="00CE1840"/>
    <w:rsid w:val="00CE1CBF"/>
    <w:rsid w:val="00CE1EC0"/>
    <w:rsid w:val="00CE2077"/>
    <w:rsid w:val="00CE20F9"/>
    <w:rsid w:val="00CE229F"/>
    <w:rsid w:val="00CE26D8"/>
    <w:rsid w:val="00CE2724"/>
    <w:rsid w:val="00CE277B"/>
    <w:rsid w:val="00CE284D"/>
    <w:rsid w:val="00CE2A45"/>
    <w:rsid w:val="00CE2AD0"/>
    <w:rsid w:val="00CE2B34"/>
    <w:rsid w:val="00CE2CD8"/>
    <w:rsid w:val="00CE2F25"/>
    <w:rsid w:val="00CE301E"/>
    <w:rsid w:val="00CE3052"/>
    <w:rsid w:val="00CE33EF"/>
    <w:rsid w:val="00CE3402"/>
    <w:rsid w:val="00CE3419"/>
    <w:rsid w:val="00CE3566"/>
    <w:rsid w:val="00CE3702"/>
    <w:rsid w:val="00CE376F"/>
    <w:rsid w:val="00CE3779"/>
    <w:rsid w:val="00CE39B8"/>
    <w:rsid w:val="00CE39EE"/>
    <w:rsid w:val="00CE3A0C"/>
    <w:rsid w:val="00CE3AA8"/>
    <w:rsid w:val="00CE3CCF"/>
    <w:rsid w:val="00CE3D35"/>
    <w:rsid w:val="00CE3F29"/>
    <w:rsid w:val="00CE405F"/>
    <w:rsid w:val="00CE42FD"/>
    <w:rsid w:val="00CE4340"/>
    <w:rsid w:val="00CE447C"/>
    <w:rsid w:val="00CE44A6"/>
    <w:rsid w:val="00CE45A2"/>
    <w:rsid w:val="00CE478A"/>
    <w:rsid w:val="00CE4BCF"/>
    <w:rsid w:val="00CE4D1C"/>
    <w:rsid w:val="00CE4D6A"/>
    <w:rsid w:val="00CE4E61"/>
    <w:rsid w:val="00CE4F47"/>
    <w:rsid w:val="00CE4F77"/>
    <w:rsid w:val="00CE4FD2"/>
    <w:rsid w:val="00CE5326"/>
    <w:rsid w:val="00CE55D9"/>
    <w:rsid w:val="00CE5802"/>
    <w:rsid w:val="00CE58BD"/>
    <w:rsid w:val="00CE58CA"/>
    <w:rsid w:val="00CE59E0"/>
    <w:rsid w:val="00CE5A1A"/>
    <w:rsid w:val="00CE5A43"/>
    <w:rsid w:val="00CE5D8C"/>
    <w:rsid w:val="00CE5E2F"/>
    <w:rsid w:val="00CE6020"/>
    <w:rsid w:val="00CE60EA"/>
    <w:rsid w:val="00CE6178"/>
    <w:rsid w:val="00CE62DF"/>
    <w:rsid w:val="00CE64A1"/>
    <w:rsid w:val="00CE6616"/>
    <w:rsid w:val="00CE677A"/>
    <w:rsid w:val="00CE68B2"/>
    <w:rsid w:val="00CE6B13"/>
    <w:rsid w:val="00CE6B35"/>
    <w:rsid w:val="00CE6B5E"/>
    <w:rsid w:val="00CE708D"/>
    <w:rsid w:val="00CE725C"/>
    <w:rsid w:val="00CE7395"/>
    <w:rsid w:val="00CE745E"/>
    <w:rsid w:val="00CE7466"/>
    <w:rsid w:val="00CE768D"/>
    <w:rsid w:val="00CE7925"/>
    <w:rsid w:val="00CE792A"/>
    <w:rsid w:val="00CE7B14"/>
    <w:rsid w:val="00CE7B38"/>
    <w:rsid w:val="00CE7C06"/>
    <w:rsid w:val="00CED590"/>
    <w:rsid w:val="00CF00C1"/>
    <w:rsid w:val="00CF018B"/>
    <w:rsid w:val="00CF06E5"/>
    <w:rsid w:val="00CF0814"/>
    <w:rsid w:val="00CF084B"/>
    <w:rsid w:val="00CF0859"/>
    <w:rsid w:val="00CF08A8"/>
    <w:rsid w:val="00CF0AFF"/>
    <w:rsid w:val="00CF0E31"/>
    <w:rsid w:val="00CF0EE8"/>
    <w:rsid w:val="00CF0F66"/>
    <w:rsid w:val="00CF1058"/>
    <w:rsid w:val="00CF14B5"/>
    <w:rsid w:val="00CF170E"/>
    <w:rsid w:val="00CF17E1"/>
    <w:rsid w:val="00CF18CC"/>
    <w:rsid w:val="00CF1A2C"/>
    <w:rsid w:val="00CF1AB3"/>
    <w:rsid w:val="00CF1B5B"/>
    <w:rsid w:val="00CF1CE7"/>
    <w:rsid w:val="00CF1D62"/>
    <w:rsid w:val="00CF1D7A"/>
    <w:rsid w:val="00CF1FBC"/>
    <w:rsid w:val="00CF203D"/>
    <w:rsid w:val="00CF2277"/>
    <w:rsid w:val="00CF227A"/>
    <w:rsid w:val="00CF2417"/>
    <w:rsid w:val="00CF2494"/>
    <w:rsid w:val="00CF2581"/>
    <w:rsid w:val="00CF2591"/>
    <w:rsid w:val="00CF2629"/>
    <w:rsid w:val="00CF2875"/>
    <w:rsid w:val="00CF28FF"/>
    <w:rsid w:val="00CF2992"/>
    <w:rsid w:val="00CF2AC3"/>
    <w:rsid w:val="00CF2AE8"/>
    <w:rsid w:val="00CF2CF7"/>
    <w:rsid w:val="00CF2D1A"/>
    <w:rsid w:val="00CF2D27"/>
    <w:rsid w:val="00CF3015"/>
    <w:rsid w:val="00CF33C9"/>
    <w:rsid w:val="00CF35A1"/>
    <w:rsid w:val="00CF3928"/>
    <w:rsid w:val="00CF3F6D"/>
    <w:rsid w:val="00CF406F"/>
    <w:rsid w:val="00CF4416"/>
    <w:rsid w:val="00CF4724"/>
    <w:rsid w:val="00CF4C2C"/>
    <w:rsid w:val="00CF4CED"/>
    <w:rsid w:val="00CF4E2F"/>
    <w:rsid w:val="00CF527B"/>
    <w:rsid w:val="00CF540B"/>
    <w:rsid w:val="00CF57AC"/>
    <w:rsid w:val="00CF58F5"/>
    <w:rsid w:val="00CF5D37"/>
    <w:rsid w:val="00CF5E3C"/>
    <w:rsid w:val="00CF5EBA"/>
    <w:rsid w:val="00CF5F93"/>
    <w:rsid w:val="00CF6057"/>
    <w:rsid w:val="00CF6626"/>
    <w:rsid w:val="00CF6767"/>
    <w:rsid w:val="00CF6B40"/>
    <w:rsid w:val="00CF6B46"/>
    <w:rsid w:val="00CF6DBB"/>
    <w:rsid w:val="00CF6F5F"/>
    <w:rsid w:val="00CF70DF"/>
    <w:rsid w:val="00CF711B"/>
    <w:rsid w:val="00CF71C5"/>
    <w:rsid w:val="00CF771C"/>
    <w:rsid w:val="00CF7914"/>
    <w:rsid w:val="00CF7CB5"/>
    <w:rsid w:val="00CF7E4B"/>
    <w:rsid w:val="00CF7ECF"/>
    <w:rsid w:val="00CF7F18"/>
    <w:rsid w:val="00CF7F49"/>
    <w:rsid w:val="00CF7F56"/>
    <w:rsid w:val="00D001C9"/>
    <w:rsid w:val="00D00374"/>
    <w:rsid w:val="00D00A02"/>
    <w:rsid w:val="00D00C4E"/>
    <w:rsid w:val="00D00DA5"/>
    <w:rsid w:val="00D00FE0"/>
    <w:rsid w:val="00D010A7"/>
    <w:rsid w:val="00D010CB"/>
    <w:rsid w:val="00D01181"/>
    <w:rsid w:val="00D011F3"/>
    <w:rsid w:val="00D013E1"/>
    <w:rsid w:val="00D01462"/>
    <w:rsid w:val="00D014D1"/>
    <w:rsid w:val="00D01743"/>
    <w:rsid w:val="00D01797"/>
    <w:rsid w:val="00D01CCE"/>
    <w:rsid w:val="00D01CFE"/>
    <w:rsid w:val="00D01DF5"/>
    <w:rsid w:val="00D02170"/>
    <w:rsid w:val="00D0232D"/>
    <w:rsid w:val="00D0273B"/>
    <w:rsid w:val="00D027BB"/>
    <w:rsid w:val="00D02851"/>
    <w:rsid w:val="00D0297F"/>
    <w:rsid w:val="00D029B5"/>
    <w:rsid w:val="00D029C8"/>
    <w:rsid w:val="00D02A24"/>
    <w:rsid w:val="00D02A31"/>
    <w:rsid w:val="00D02A4D"/>
    <w:rsid w:val="00D02AA5"/>
    <w:rsid w:val="00D02BCA"/>
    <w:rsid w:val="00D02CA0"/>
    <w:rsid w:val="00D02CA3"/>
    <w:rsid w:val="00D02EF6"/>
    <w:rsid w:val="00D02FC0"/>
    <w:rsid w:val="00D03001"/>
    <w:rsid w:val="00D03062"/>
    <w:rsid w:val="00D0309C"/>
    <w:rsid w:val="00D03177"/>
    <w:rsid w:val="00D0325A"/>
    <w:rsid w:val="00D03347"/>
    <w:rsid w:val="00D033D0"/>
    <w:rsid w:val="00D03725"/>
    <w:rsid w:val="00D03928"/>
    <w:rsid w:val="00D03A8E"/>
    <w:rsid w:val="00D03C07"/>
    <w:rsid w:val="00D03CA1"/>
    <w:rsid w:val="00D03CA3"/>
    <w:rsid w:val="00D03EEF"/>
    <w:rsid w:val="00D0405B"/>
    <w:rsid w:val="00D04148"/>
    <w:rsid w:val="00D0421E"/>
    <w:rsid w:val="00D045F0"/>
    <w:rsid w:val="00D0471A"/>
    <w:rsid w:val="00D04740"/>
    <w:rsid w:val="00D0477B"/>
    <w:rsid w:val="00D04932"/>
    <w:rsid w:val="00D0497E"/>
    <w:rsid w:val="00D04B41"/>
    <w:rsid w:val="00D04E2A"/>
    <w:rsid w:val="00D04E5D"/>
    <w:rsid w:val="00D052F3"/>
    <w:rsid w:val="00D053A5"/>
    <w:rsid w:val="00D053D1"/>
    <w:rsid w:val="00D0547E"/>
    <w:rsid w:val="00D056A6"/>
    <w:rsid w:val="00D0570A"/>
    <w:rsid w:val="00D057C5"/>
    <w:rsid w:val="00D05858"/>
    <w:rsid w:val="00D05978"/>
    <w:rsid w:val="00D05A76"/>
    <w:rsid w:val="00D05A95"/>
    <w:rsid w:val="00D05D64"/>
    <w:rsid w:val="00D05E02"/>
    <w:rsid w:val="00D05E07"/>
    <w:rsid w:val="00D05ECC"/>
    <w:rsid w:val="00D05ED8"/>
    <w:rsid w:val="00D05FE1"/>
    <w:rsid w:val="00D05FF6"/>
    <w:rsid w:val="00D0608A"/>
    <w:rsid w:val="00D06229"/>
    <w:rsid w:val="00D0642D"/>
    <w:rsid w:val="00D06446"/>
    <w:rsid w:val="00D06494"/>
    <w:rsid w:val="00D064B1"/>
    <w:rsid w:val="00D06581"/>
    <w:rsid w:val="00D066A8"/>
    <w:rsid w:val="00D066ED"/>
    <w:rsid w:val="00D06771"/>
    <w:rsid w:val="00D06870"/>
    <w:rsid w:val="00D0689C"/>
    <w:rsid w:val="00D06C95"/>
    <w:rsid w:val="00D06C9F"/>
    <w:rsid w:val="00D06DBB"/>
    <w:rsid w:val="00D06E5E"/>
    <w:rsid w:val="00D06FC3"/>
    <w:rsid w:val="00D06FD3"/>
    <w:rsid w:val="00D0722E"/>
    <w:rsid w:val="00D0725D"/>
    <w:rsid w:val="00D072E7"/>
    <w:rsid w:val="00D072EE"/>
    <w:rsid w:val="00D07317"/>
    <w:rsid w:val="00D0736E"/>
    <w:rsid w:val="00D074B5"/>
    <w:rsid w:val="00D0783C"/>
    <w:rsid w:val="00D07A26"/>
    <w:rsid w:val="00D07ADB"/>
    <w:rsid w:val="00D07BF5"/>
    <w:rsid w:val="00D07CA3"/>
    <w:rsid w:val="00D07D61"/>
    <w:rsid w:val="00D07D63"/>
    <w:rsid w:val="00D07ED5"/>
    <w:rsid w:val="00D07F56"/>
    <w:rsid w:val="00D1004C"/>
    <w:rsid w:val="00D10098"/>
    <w:rsid w:val="00D10106"/>
    <w:rsid w:val="00D1014D"/>
    <w:rsid w:val="00D1016F"/>
    <w:rsid w:val="00D1025C"/>
    <w:rsid w:val="00D102C0"/>
    <w:rsid w:val="00D104AB"/>
    <w:rsid w:val="00D10571"/>
    <w:rsid w:val="00D105EF"/>
    <w:rsid w:val="00D10815"/>
    <w:rsid w:val="00D10914"/>
    <w:rsid w:val="00D10C27"/>
    <w:rsid w:val="00D10F0C"/>
    <w:rsid w:val="00D10F31"/>
    <w:rsid w:val="00D11166"/>
    <w:rsid w:val="00D11264"/>
    <w:rsid w:val="00D11316"/>
    <w:rsid w:val="00D11361"/>
    <w:rsid w:val="00D1142E"/>
    <w:rsid w:val="00D1171D"/>
    <w:rsid w:val="00D11BAC"/>
    <w:rsid w:val="00D11C2F"/>
    <w:rsid w:val="00D120FE"/>
    <w:rsid w:val="00D12169"/>
    <w:rsid w:val="00D1232F"/>
    <w:rsid w:val="00D1236D"/>
    <w:rsid w:val="00D123B9"/>
    <w:rsid w:val="00D1244B"/>
    <w:rsid w:val="00D12478"/>
    <w:rsid w:val="00D126FC"/>
    <w:rsid w:val="00D127FB"/>
    <w:rsid w:val="00D12876"/>
    <w:rsid w:val="00D12888"/>
    <w:rsid w:val="00D128BA"/>
    <w:rsid w:val="00D12B4E"/>
    <w:rsid w:val="00D12DCA"/>
    <w:rsid w:val="00D12E54"/>
    <w:rsid w:val="00D12F37"/>
    <w:rsid w:val="00D12FCA"/>
    <w:rsid w:val="00D12FF0"/>
    <w:rsid w:val="00D1306D"/>
    <w:rsid w:val="00D135BE"/>
    <w:rsid w:val="00D136FE"/>
    <w:rsid w:val="00D13895"/>
    <w:rsid w:val="00D13A45"/>
    <w:rsid w:val="00D13DC3"/>
    <w:rsid w:val="00D13E3B"/>
    <w:rsid w:val="00D13FB5"/>
    <w:rsid w:val="00D14011"/>
    <w:rsid w:val="00D14173"/>
    <w:rsid w:val="00D14271"/>
    <w:rsid w:val="00D1431B"/>
    <w:rsid w:val="00D1441D"/>
    <w:rsid w:val="00D14741"/>
    <w:rsid w:val="00D149B1"/>
    <w:rsid w:val="00D14A76"/>
    <w:rsid w:val="00D14BE1"/>
    <w:rsid w:val="00D14C63"/>
    <w:rsid w:val="00D14D40"/>
    <w:rsid w:val="00D14E17"/>
    <w:rsid w:val="00D15209"/>
    <w:rsid w:val="00D15931"/>
    <w:rsid w:val="00D159CF"/>
    <w:rsid w:val="00D1612F"/>
    <w:rsid w:val="00D16178"/>
    <w:rsid w:val="00D1636D"/>
    <w:rsid w:val="00D163AE"/>
    <w:rsid w:val="00D16438"/>
    <w:rsid w:val="00D164DB"/>
    <w:rsid w:val="00D16565"/>
    <w:rsid w:val="00D16588"/>
    <w:rsid w:val="00D16A59"/>
    <w:rsid w:val="00D16CBB"/>
    <w:rsid w:val="00D16DEE"/>
    <w:rsid w:val="00D16E0A"/>
    <w:rsid w:val="00D170A8"/>
    <w:rsid w:val="00D17172"/>
    <w:rsid w:val="00D17376"/>
    <w:rsid w:val="00D17398"/>
    <w:rsid w:val="00D17420"/>
    <w:rsid w:val="00D177B3"/>
    <w:rsid w:val="00D17897"/>
    <w:rsid w:val="00D178E0"/>
    <w:rsid w:val="00D17A1B"/>
    <w:rsid w:val="00D17A4C"/>
    <w:rsid w:val="00D17ABE"/>
    <w:rsid w:val="00D17C66"/>
    <w:rsid w:val="00D17D6A"/>
    <w:rsid w:val="00D17E58"/>
    <w:rsid w:val="00D17FEE"/>
    <w:rsid w:val="00D17FFD"/>
    <w:rsid w:val="00D20147"/>
    <w:rsid w:val="00D202BE"/>
    <w:rsid w:val="00D20530"/>
    <w:rsid w:val="00D20A74"/>
    <w:rsid w:val="00D20AF0"/>
    <w:rsid w:val="00D20B61"/>
    <w:rsid w:val="00D20B6A"/>
    <w:rsid w:val="00D20BFC"/>
    <w:rsid w:val="00D20CDD"/>
    <w:rsid w:val="00D20D0A"/>
    <w:rsid w:val="00D20EC6"/>
    <w:rsid w:val="00D20ECA"/>
    <w:rsid w:val="00D2106F"/>
    <w:rsid w:val="00D2109E"/>
    <w:rsid w:val="00D210B1"/>
    <w:rsid w:val="00D211B2"/>
    <w:rsid w:val="00D2125F"/>
    <w:rsid w:val="00D21297"/>
    <w:rsid w:val="00D21365"/>
    <w:rsid w:val="00D21598"/>
    <w:rsid w:val="00D21746"/>
    <w:rsid w:val="00D21747"/>
    <w:rsid w:val="00D219D3"/>
    <w:rsid w:val="00D21A1E"/>
    <w:rsid w:val="00D21A86"/>
    <w:rsid w:val="00D21B89"/>
    <w:rsid w:val="00D21BCE"/>
    <w:rsid w:val="00D21EB0"/>
    <w:rsid w:val="00D21EE0"/>
    <w:rsid w:val="00D21F18"/>
    <w:rsid w:val="00D21F4B"/>
    <w:rsid w:val="00D21FB1"/>
    <w:rsid w:val="00D2208D"/>
    <w:rsid w:val="00D22114"/>
    <w:rsid w:val="00D221C9"/>
    <w:rsid w:val="00D22445"/>
    <w:rsid w:val="00D22615"/>
    <w:rsid w:val="00D2287C"/>
    <w:rsid w:val="00D22A0F"/>
    <w:rsid w:val="00D22E9F"/>
    <w:rsid w:val="00D22F6B"/>
    <w:rsid w:val="00D230CA"/>
    <w:rsid w:val="00D232AE"/>
    <w:rsid w:val="00D23377"/>
    <w:rsid w:val="00D23387"/>
    <w:rsid w:val="00D2355C"/>
    <w:rsid w:val="00D235A2"/>
    <w:rsid w:val="00D23663"/>
    <w:rsid w:val="00D236AE"/>
    <w:rsid w:val="00D23798"/>
    <w:rsid w:val="00D23B20"/>
    <w:rsid w:val="00D23C7C"/>
    <w:rsid w:val="00D23D6B"/>
    <w:rsid w:val="00D242A2"/>
    <w:rsid w:val="00D2452E"/>
    <w:rsid w:val="00D2458A"/>
    <w:rsid w:val="00D245AA"/>
    <w:rsid w:val="00D245B4"/>
    <w:rsid w:val="00D24764"/>
    <w:rsid w:val="00D24B41"/>
    <w:rsid w:val="00D250DB"/>
    <w:rsid w:val="00D25223"/>
    <w:rsid w:val="00D252FA"/>
    <w:rsid w:val="00D25484"/>
    <w:rsid w:val="00D25517"/>
    <w:rsid w:val="00D25520"/>
    <w:rsid w:val="00D256CD"/>
    <w:rsid w:val="00D2575C"/>
    <w:rsid w:val="00D2576E"/>
    <w:rsid w:val="00D25823"/>
    <w:rsid w:val="00D25BAF"/>
    <w:rsid w:val="00D25F22"/>
    <w:rsid w:val="00D25FCC"/>
    <w:rsid w:val="00D26140"/>
    <w:rsid w:val="00D26510"/>
    <w:rsid w:val="00D2657B"/>
    <w:rsid w:val="00D2665D"/>
    <w:rsid w:val="00D26789"/>
    <w:rsid w:val="00D26AA2"/>
    <w:rsid w:val="00D26C33"/>
    <w:rsid w:val="00D26CB6"/>
    <w:rsid w:val="00D26DB9"/>
    <w:rsid w:val="00D26E25"/>
    <w:rsid w:val="00D26F10"/>
    <w:rsid w:val="00D271EB"/>
    <w:rsid w:val="00D2748B"/>
    <w:rsid w:val="00D27643"/>
    <w:rsid w:val="00D2771D"/>
    <w:rsid w:val="00D27739"/>
    <w:rsid w:val="00D277A8"/>
    <w:rsid w:val="00D27BD1"/>
    <w:rsid w:val="00D27D04"/>
    <w:rsid w:val="00D27DF7"/>
    <w:rsid w:val="00D27FF2"/>
    <w:rsid w:val="00D301F1"/>
    <w:rsid w:val="00D3025F"/>
    <w:rsid w:val="00D302CF"/>
    <w:rsid w:val="00D304BF"/>
    <w:rsid w:val="00D3050A"/>
    <w:rsid w:val="00D3062F"/>
    <w:rsid w:val="00D306C6"/>
    <w:rsid w:val="00D306EE"/>
    <w:rsid w:val="00D30798"/>
    <w:rsid w:val="00D309BA"/>
    <w:rsid w:val="00D30A74"/>
    <w:rsid w:val="00D30C4D"/>
    <w:rsid w:val="00D30C60"/>
    <w:rsid w:val="00D30F7E"/>
    <w:rsid w:val="00D30FAE"/>
    <w:rsid w:val="00D31231"/>
    <w:rsid w:val="00D31307"/>
    <w:rsid w:val="00D313B1"/>
    <w:rsid w:val="00D313C5"/>
    <w:rsid w:val="00D31537"/>
    <w:rsid w:val="00D3160A"/>
    <w:rsid w:val="00D3160D"/>
    <w:rsid w:val="00D316D5"/>
    <w:rsid w:val="00D3180B"/>
    <w:rsid w:val="00D3183C"/>
    <w:rsid w:val="00D31946"/>
    <w:rsid w:val="00D31A5A"/>
    <w:rsid w:val="00D31AB7"/>
    <w:rsid w:val="00D31CF0"/>
    <w:rsid w:val="00D31DE7"/>
    <w:rsid w:val="00D31E3B"/>
    <w:rsid w:val="00D320E5"/>
    <w:rsid w:val="00D3226C"/>
    <w:rsid w:val="00D3232C"/>
    <w:rsid w:val="00D326BD"/>
    <w:rsid w:val="00D327FC"/>
    <w:rsid w:val="00D328D1"/>
    <w:rsid w:val="00D32971"/>
    <w:rsid w:val="00D3297C"/>
    <w:rsid w:val="00D32B8A"/>
    <w:rsid w:val="00D32B8C"/>
    <w:rsid w:val="00D32C48"/>
    <w:rsid w:val="00D32D46"/>
    <w:rsid w:val="00D33075"/>
    <w:rsid w:val="00D332BA"/>
    <w:rsid w:val="00D3333A"/>
    <w:rsid w:val="00D33612"/>
    <w:rsid w:val="00D336AD"/>
    <w:rsid w:val="00D33746"/>
    <w:rsid w:val="00D337A6"/>
    <w:rsid w:val="00D33869"/>
    <w:rsid w:val="00D3387E"/>
    <w:rsid w:val="00D33A95"/>
    <w:rsid w:val="00D33BE1"/>
    <w:rsid w:val="00D33C3E"/>
    <w:rsid w:val="00D33CE5"/>
    <w:rsid w:val="00D33CEB"/>
    <w:rsid w:val="00D33E1D"/>
    <w:rsid w:val="00D33FF5"/>
    <w:rsid w:val="00D34379"/>
    <w:rsid w:val="00D343D9"/>
    <w:rsid w:val="00D344AB"/>
    <w:rsid w:val="00D344E1"/>
    <w:rsid w:val="00D345B8"/>
    <w:rsid w:val="00D348B7"/>
    <w:rsid w:val="00D3496E"/>
    <w:rsid w:val="00D34C91"/>
    <w:rsid w:val="00D34EF0"/>
    <w:rsid w:val="00D34F98"/>
    <w:rsid w:val="00D35007"/>
    <w:rsid w:val="00D3516C"/>
    <w:rsid w:val="00D351C1"/>
    <w:rsid w:val="00D35648"/>
    <w:rsid w:val="00D356DF"/>
    <w:rsid w:val="00D35737"/>
    <w:rsid w:val="00D357CD"/>
    <w:rsid w:val="00D35969"/>
    <w:rsid w:val="00D35AF4"/>
    <w:rsid w:val="00D35EDE"/>
    <w:rsid w:val="00D35F45"/>
    <w:rsid w:val="00D36682"/>
    <w:rsid w:val="00D36916"/>
    <w:rsid w:val="00D3692B"/>
    <w:rsid w:val="00D36EF0"/>
    <w:rsid w:val="00D3707F"/>
    <w:rsid w:val="00D37126"/>
    <w:rsid w:val="00D3715F"/>
    <w:rsid w:val="00D372F3"/>
    <w:rsid w:val="00D3736D"/>
    <w:rsid w:val="00D37877"/>
    <w:rsid w:val="00D37C70"/>
    <w:rsid w:val="00D37E77"/>
    <w:rsid w:val="00D40061"/>
    <w:rsid w:val="00D4012E"/>
    <w:rsid w:val="00D40132"/>
    <w:rsid w:val="00D401B0"/>
    <w:rsid w:val="00D401F0"/>
    <w:rsid w:val="00D4021D"/>
    <w:rsid w:val="00D4039C"/>
    <w:rsid w:val="00D405A2"/>
    <w:rsid w:val="00D40653"/>
    <w:rsid w:val="00D407E2"/>
    <w:rsid w:val="00D408E8"/>
    <w:rsid w:val="00D40EBE"/>
    <w:rsid w:val="00D40F17"/>
    <w:rsid w:val="00D40FEF"/>
    <w:rsid w:val="00D410D7"/>
    <w:rsid w:val="00D4139A"/>
    <w:rsid w:val="00D41654"/>
    <w:rsid w:val="00D41D07"/>
    <w:rsid w:val="00D41DA9"/>
    <w:rsid w:val="00D41FCE"/>
    <w:rsid w:val="00D4214C"/>
    <w:rsid w:val="00D421AF"/>
    <w:rsid w:val="00D422D6"/>
    <w:rsid w:val="00D4250B"/>
    <w:rsid w:val="00D42931"/>
    <w:rsid w:val="00D429D0"/>
    <w:rsid w:val="00D42B94"/>
    <w:rsid w:val="00D42BC6"/>
    <w:rsid w:val="00D42F0A"/>
    <w:rsid w:val="00D42FE5"/>
    <w:rsid w:val="00D430B0"/>
    <w:rsid w:val="00D430D3"/>
    <w:rsid w:val="00D43123"/>
    <w:rsid w:val="00D4315A"/>
    <w:rsid w:val="00D43624"/>
    <w:rsid w:val="00D436A6"/>
    <w:rsid w:val="00D437D9"/>
    <w:rsid w:val="00D43827"/>
    <w:rsid w:val="00D43B52"/>
    <w:rsid w:val="00D43C57"/>
    <w:rsid w:val="00D43CAC"/>
    <w:rsid w:val="00D43F97"/>
    <w:rsid w:val="00D442FD"/>
    <w:rsid w:val="00D44314"/>
    <w:rsid w:val="00D4440A"/>
    <w:rsid w:val="00D44410"/>
    <w:rsid w:val="00D44451"/>
    <w:rsid w:val="00D4446F"/>
    <w:rsid w:val="00D44A89"/>
    <w:rsid w:val="00D44E5E"/>
    <w:rsid w:val="00D450E9"/>
    <w:rsid w:val="00D45127"/>
    <w:rsid w:val="00D45143"/>
    <w:rsid w:val="00D45163"/>
    <w:rsid w:val="00D45193"/>
    <w:rsid w:val="00D452B3"/>
    <w:rsid w:val="00D45539"/>
    <w:rsid w:val="00D45588"/>
    <w:rsid w:val="00D4559C"/>
    <w:rsid w:val="00D455E7"/>
    <w:rsid w:val="00D45734"/>
    <w:rsid w:val="00D457C1"/>
    <w:rsid w:val="00D45860"/>
    <w:rsid w:val="00D45AAF"/>
    <w:rsid w:val="00D45B27"/>
    <w:rsid w:val="00D45BAD"/>
    <w:rsid w:val="00D45BB3"/>
    <w:rsid w:val="00D45DAD"/>
    <w:rsid w:val="00D45E56"/>
    <w:rsid w:val="00D46069"/>
    <w:rsid w:val="00D46078"/>
    <w:rsid w:val="00D4637E"/>
    <w:rsid w:val="00D468C8"/>
    <w:rsid w:val="00D468E0"/>
    <w:rsid w:val="00D46943"/>
    <w:rsid w:val="00D4700D"/>
    <w:rsid w:val="00D4712D"/>
    <w:rsid w:val="00D47424"/>
    <w:rsid w:val="00D4745E"/>
    <w:rsid w:val="00D474B9"/>
    <w:rsid w:val="00D478B7"/>
    <w:rsid w:val="00D47A97"/>
    <w:rsid w:val="00D47EBB"/>
    <w:rsid w:val="00D500F2"/>
    <w:rsid w:val="00D50423"/>
    <w:rsid w:val="00D5053A"/>
    <w:rsid w:val="00D507C6"/>
    <w:rsid w:val="00D508BE"/>
    <w:rsid w:val="00D50AA1"/>
    <w:rsid w:val="00D50C7D"/>
    <w:rsid w:val="00D50CBF"/>
    <w:rsid w:val="00D50FC9"/>
    <w:rsid w:val="00D50FEA"/>
    <w:rsid w:val="00D510B8"/>
    <w:rsid w:val="00D511D4"/>
    <w:rsid w:val="00D51264"/>
    <w:rsid w:val="00D5128C"/>
    <w:rsid w:val="00D512CB"/>
    <w:rsid w:val="00D5130D"/>
    <w:rsid w:val="00D51332"/>
    <w:rsid w:val="00D51474"/>
    <w:rsid w:val="00D51626"/>
    <w:rsid w:val="00D5164E"/>
    <w:rsid w:val="00D51725"/>
    <w:rsid w:val="00D517B9"/>
    <w:rsid w:val="00D517FE"/>
    <w:rsid w:val="00D51B20"/>
    <w:rsid w:val="00D51CFE"/>
    <w:rsid w:val="00D51E13"/>
    <w:rsid w:val="00D51E53"/>
    <w:rsid w:val="00D51ED7"/>
    <w:rsid w:val="00D51FE3"/>
    <w:rsid w:val="00D5200B"/>
    <w:rsid w:val="00D520A3"/>
    <w:rsid w:val="00D520FB"/>
    <w:rsid w:val="00D52137"/>
    <w:rsid w:val="00D52198"/>
    <w:rsid w:val="00D52567"/>
    <w:rsid w:val="00D525CC"/>
    <w:rsid w:val="00D5264D"/>
    <w:rsid w:val="00D528A2"/>
    <w:rsid w:val="00D52958"/>
    <w:rsid w:val="00D52C6E"/>
    <w:rsid w:val="00D52C7B"/>
    <w:rsid w:val="00D52D20"/>
    <w:rsid w:val="00D52D75"/>
    <w:rsid w:val="00D52DEA"/>
    <w:rsid w:val="00D52E1D"/>
    <w:rsid w:val="00D52EF7"/>
    <w:rsid w:val="00D52F07"/>
    <w:rsid w:val="00D52FBA"/>
    <w:rsid w:val="00D530DE"/>
    <w:rsid w:val="00D5329E"/>
    <w:rsid w:val="00D5332A"/>
    <w:rsid w:val="00D53355"/>
    <w:rsid w:val="00D53542"/>
    <w:rsid w:val="00D536D4"/>
    <w:rsid w:val="00D5370C"/>
    <w:rsid w:val="00D53A1E"/>
    <w:rsid w:val="00D53FA0"/>
    <w:rsid w:val="00D54072"/>
    <w:rsid w:val="00D540E1"/>
    <w:rsid w:val="00D544DA"/>
    <w:rsid w:val="00D546CA"/>
    <w:rsid w:val="00D54794"/>
    <w:rsid w:val="00D5480E"/>
    <w:rsid w:val="00D54875"/>
    <w:rsid w:val="00D549BC"/>
    <w:rsid w:val="00D54A10"/>
    <w:rsid w:val="00D54B7D"/>
    <w:rsid w:val="00D54C23"/>
    <w:rsid w:val="00D54CCA"/>
    <w:rsid w:val="00D54CE6"/>
    <w:rsid w:val="00D54F57"/>
    <w:rsid w:val="00D54FF0"/>
    <w:rsid w:val="00D5503E"/>
    <w:rsid w:val="00D550DB"/>
    <w:rsid w:val="00D55270"/>
    <w:rsid w:val="00D5540C"/>
    <w:rsid w:val="00D555D6"/>
    <w:rsid w:val="00D5592F"/>
    <w:rsid w:val="00D55959"/>
    <w:rsid w:val="00D55B86"/>
    <w:rsid w:val="00D55CBD"/>
    <w:rsid w:val="00D56213"/>
    <w:rsid w:val="00D563CD"/>
    <w:rsid w:val="00D56413"/>
    <w:rsid w:val="00D5653C"/>
    <w:rsid w:val="00D5653D"/>
    <w:rsid w:val="00D5676E"/>
    <w:rsid w:val="00D5678B"/>
    <w:rsid w:val="00D567E1"/>
    <w:rsid w:val="00D56885"/>
    <w:rsid w:val="00D568E8"/>
    <w:rsid w:val="00D569C9"/>
    <w:rsid w:val="00D56B14"/>
    <w:rsid w:val="00D56C6C"/>
    <w:rsid w:val="00D56F33"/>
    <w:rsid w:val="00D56F57"/>
    <w:rsid w:val="00D56FAD"/>
    <w:rsid w:val="00D570F6"/>
    <w:rsid w:val="00D571FE"/>
    <w:rsid w:val="00D572BC"/>
    <w:rsid w:val="00D575C4"/>
    <w:rsid w:val="00D576B7"/>
    <w:rsid w:val="00D5774B"/>
    <w:rsid w:val="00D57901"/>
    <w:rsid w:val="00D5790F"/>
    <w:rsid w:val="00D57C2B"/>
    <w:rsid w:val="00D57D83"/>
    <w:rsid w:val="00D57D9C"/>
    <w:rsid w:val="00D57F91"/>
    <w:rsid w:val="00D600C6"/>
    <w:rsid w:val="00D60278"/>
    <w:rsid w:val="00D602C4"/>
    <w:rsid w:val="00D60439"/>
    <w:rsid w:val="00D604A7"/>
    <w:rsid w:val="00D606DF"/>
    <w:rsid w:val="00D60702"/>
    <w:rsid w:val="00D608AE"/>
    <w:rsid w:val="00D608C5"/>
    <w:rsid w:val="00D60C1E"/>
    <w:rsid w:val="00D60C79"/>
    <w:rsid w:val="00D60D26"/>
    <w:rsid w:val="00D60E58"/>
    <w:rsid w:val="00D60F09"/>
    <w:rsid w:val="00D60F51"/>
    <w:rsid w:val="00D60F96"/>
    <w:rsid w:val="00D61366"/>
    <w:rsid w:val="00D61421"/>
    <w:rsid w:val="00D617CC"/>
    <w:rsid w:val="00D617F7"/>
    <w:rsid w:val="00D6180E"/>
    <w:rsid w:val="00D6191E"/>
    <w:rsid w:val="00D61B41"/>
    <w:rsid w:val="00D62041"/>
    <w:rsid w:val="00D62318"/>
    <w:rsid w:val="00D6241C"/>
    <w:rsid w:val="00D6275B"/>
    <w:rsid w:val="00D62783"/>
    <w:rsid w:val="00D628AD"/>
    <w:rsid w:val="00D62947"/>
    <w:rsid w:val="00D62B13"/>
    <w:rsid w:val="00D62D9C"/>
    <w:rsid w:val="00D62E61"/>
    <w:rsid w:val="00D62FFA"/>
    <w:rsid w:val="00D6301E"/>
    <w:rsid w:val="00D63062"/>
    <w:rsid w:val="00D6321A"/>
    <w:rsid w:val="00D634FF"/>
    <w:rsid w:val="00D63736"/>
    <w:rsid w:val="00D63963"/>
    <w:rsid w:val="00D63C67"/>
    <w:rsid w:val="00D63D91"/>
    <w:rsid w:val="00D63E9C"/>
    <w:rsid w:val="00D6419C"/>
    <w:rsid w:val="00D643B0"/>
    <w:rsid w:val="00D64500"/>
    <w:rsid w:val="00D645F6"/>
    <w:rsid w:val="00D64690"/>
    <w:rsid w:val="00D648C8"/>
    <w:rsid w:val="00D649DE"/>
    <w:rsid w:val="00D64CDE"/>
    <w:rsid w:val="00D64D3F"/>
    <w:rsid w:val="00D64D5F"/>
    <w:rsid w:val="00D64DB3"/>
    <w:rsid w:val="00D64E22"/>
    <w:rsid w:val="00D64F3A"/>
    <w:rsid w:val="00D64FD9"/>
    <w:rsid w:val="00D650BE"/>
    <w:rsid w:val="00D65438"/>
    <w:rsid w:val="00D656A9"/>
    <w:rsid w:val="00D656B1"/>
    <w:rsid w:val="00D657E7"/>
    <w:rsid w:val="00D658B4"/>
    <w:rsid w:val="00D659A5"/>
    <w:rsid w:val="00D65C8A"/>
    <w:rsid w:val="00D65F07"/>
    <w:rsid w:val="00D66075"/>
    <w:rsid w:val="00D660CE"/>
    <w:rsid w:val="00D66479"/>
    <w:rsid w:val="00D6689D"/>
    <w:rsid w:val="00D66933"/>
    <w:rsid w:val="00D66D36"/>
    <w:rsid w:val="00D66EF2"/>
    <w:rsid w:val="00D66F3A"/>
    <w:rsid w:val="00D67013"/>
    <w:rsid w:val="00D67198"/>
    <w:rsid w:val="00D671E5"/>
    <w:rsid w:val="00D67217"/>
    <w:rsid w:val="00D67649"/>
    <w:rsid w:val="00D67779"/>
    <w:rsid w:val="00D67880"/>
    <w:rsid w:val="00D6790B"/>
    <w:rsid w:val="00D6794D"/>
    <w:rsid w:val="00D679A2"/>
    <w:rsid w:val="00D67A53"/>
    <w:rsid w:val="00D67AD2"/>
    <w:rsid w:val="00D67D80"/>
    <w:rsid w:val="00D67FD3"/>
    <w:rsid w:val="00D70065"/>
    <w:rsid w:val="00D70071"/>
    <w:rsid w:val="00D70153"/>
    <w:rsid w:val="00D7016C"/>
    <w:rsid w:val="00D70179"/>
    <w:rsid w:val="00D701E9"/>
    <w:rsid w:val="00D704DD"/>
    <w:rsid w:val="00D70585"/>
    <w:rsid w:val="00D70671"/>
    <w:rsid w:val="00D70768"/>
    <w:rsid w:val="00D70915"/>
    <w:rsid w:val="00D70BE1"/>
    <w:rsid w:val="00D70D37"/>
    <w:rsid w:val="00D71031"/>
    <w:rsid w:val="00D7104B"/>
    <w:rsid w:val="00D712B3"/>
    <w:rsid w:val="00D7134E"/>
    <w:rsid w:val="00D7148A"/>
    <w:rsid w:val="00D71C59"/>
    <w:rsid w:val="00D71C5A"/>
    <w:rsid w:val="00D71C8B"/>
    <w:rsid w:val="00D71CDE"/>
    <w:rsid w:val="00D71D8E"/>
    <w:rsid w:val="00D71F56"/>
    <w:rsid w:val="00D71F8C"/>
    <w:rsid w:val="00D71FE0"/>
    <w:rsid w:val="00D72098"/>
    <w:rsid w:val="00D720AB"/>
    <w:rsid w:val="00D7211B"/>
    <w:rsid w:val="00D7236A"/>
    <w:rsid w:val="00D7260B"/>
    <w:rsid w:val="00D72654"/>
    <w:rsid w:val="00D726CF"/>
    <w:rsid w:val="00D72726"/>
    <w:rsid w:val="00D72748"/>
    <w:rsid w:val="00D72896"/>
    <w:rsid w:val="00D729B5"/>
    <w:rsid w:val="00D72A33"/>
    <w:rsid w:val="00D72A36"/>
    <w:rsid w:val="00D72B16"/>
    <w:rsid w:val="00D72BAE"/>
    <w:rsid w:val="00D72C6A"/>
    <w:rsid w:val="00D72DB6"/>
    <w:rsid w:val="00D72DBD"/>
    <w:rsid w:val="00D72EAE"/>
    <w:rsid w:val="00D72F40"/>
    <w:rsid w:val="00D7309A"/>
    <w:rsid w:val="00D73114"/>
    <w:rsid w:val="00D73146"/>
    <w:rsid w:val="00D732E3"/>
    <w:rsid w:val="00D7350C"/>
    <w:rsid w:val="00D735FF"/>
    <w:rsid w:val="00D737BA"/>
    <w:rsid w:val="00D738DC"/>
    <w:rsid w:val="00D73C07"/>
    <w:rsid w:val="00D73C31"/>
    <w:rsid w:val="00D73CBA"/>
    <w:rsid w:val="00D74049"/>
    <w:rsid w:val="00D740D3"/>
    <w:rsid w:val="00D740FB"/>
    <w:rsid w:val="00D740FC"/>
    <w:rsid w:val="00D74411"/>
    <w:rsid w:val="00D744B8"/>
    <w:rsid w:val="00D74648"/>
    <w:rsid w:val="00D74A0C"/>
    <w:rsid w:val="00D74C0D"/>
    <w:rsid w:val="00D74C9A"/>
    <w:rsid w:val="00D74CC9"/>
    <w:rsid w:val="00D74D2A"/>
    <w:rsid w:val="00D74F44"/>
    <w:rsid w:val="00D74F90"/>
    <w:rsid w:val="00D751BE"/>
    <w:rsid w:val="00D75211"/>
    <w:rsid w:val="00D7573F"/>
    <w:rsid w:val="00D757C1"/>
    <w:rsid w:val="00D75955"/>
    <w:rsid w:val="00D759CA"/>
    <w:rsid w:val="00D75E73"/>
    <w:rsid w:val="00D7603F"/>
    <w:rsid w:val="00D760EF"/>
    <w:rsid w:val="00D762E8"/>
    <w:rsid w:val="00D76622"/>
    <w:rsid w:val="00D76718"/>
    <w:rsid w:val="00D76767"/>
    <w:rsid w:val="00D7680C"/>
    <w:rsid w:val="00D76982"/>
    <w:rsid w:val="00D76CA1"/>
    <w:rsid w:val="00D76DEE"/>
    <w:rsid w:val="00D76FFD"/>
    <w:rsid w:val="00D77103"/>
    <w:rsid w:val="00D77209"/>
    <w:rsid w:val="00D77399"/>
    <w:rsid w:val="00D77402"/>
    <w:rsid w:val="00D775ED"/>
    <w:rsid w:val="00D77667"/>
    <w:rsid w:val="00D77777"/>
    <w:rsid w:val="00D77811"/>
    <w:rsid w:val="00D77B06"/>
    <w:rsid w:val="00D77EEE"/>
    <w:rsid w:val="00D77F91"/>
    <w:rsid w:val="00D77FAC"/>
    <w:rsid w:val="00D803C9"/>
    <w:rsid w:val="00D80527"/>
    <w:rsid w:val="00D8063D"/>
    <w:rsid w:val="00D80652"/>
    <w:rsid w:val="00D80837"/>
    <w:rsid w:val="00D808F0"/>
    <w:rsid w:val="00D80965"/>
    <w:rsid w:val="00D80ED2"/>
    <w:rsid w:val="00D80FBF"/>
    <w:rsid w:val="00D812BF"/>
    <w:rsid w:val="00D8139C"/>
    <w:rsid w:val="00D8139E"/>
    <w:rsid w:val="00D81418"/>
    <w:rsid w:val="00D81515"/>
    <w:rsid w:val="00D815ED"/>
    <w:rsid w:val="00D815F6"/>
    <w:rsid w:val="00D81604"/>
    <w:rsid w:val="00D8170B"/>
    <w:rsid w:val="00D817C1"/>
    <w:rsid w:val="00D81CD9"/>
    <w:rsid w:val="00D81D21"/>
    <w:rsid w:val="00D81E3E"/>
    <w:rsid w:val="00D81EA1"/>
    <w:rsid w:val="00D82030"/>
    <w:rsid w:val="00D822A9"/>
    <w:rsid w:val="00D82405"/>
    <w:rsid w:val="00D825C5"/>
    <w:rsid w:val="00D8271B"/>
    <w:rsid w:val="00D827CF"/>
    <w:rsid w:val="00D827E3"/>
    <w:rsid w:val="00D82812"/>
    <w:rsid w:val="00D828A6"/>
    <w:rsid w:val="00D8293F"/>
    <w:rsid w:val="00D82A18"/>
    <w:rsid w:val="00D82AA2"/>
    <w:rsid w:val="00D83110"/>
    <w:rsid w:val="00D8311C"/>
    <w:rsid w:val="00D832FD"/>
    <w:rsid w:val="00D833F0"/>
    <w:rsid w:val="00D8346A"/>
    <w:rsid w:val="00D83530"/>
    <w:rsid w:val="00D83A62"/>
    <w:rsid w:val="00D83CA9"/>
    <w:rsid w:val="00D83D40"/>
    <w:rsid w:val="00D83FE8"/>
    <w:rsid w:val="00D83FEA"/>
    <w:rsid w:val="00D840F4"/>
    <w:rsid w:val="00D84127"/>
    <w:rsid w:val="00D84293"/>
    <w:rsid w:val="00D84342"/>
    <w:rsid w:val="00D84386"/>
    <w:rsid w:val="00D8462B"/>
    <w:rsid w:val="00D847F6"/>
    <w:rsid w:val="00D848F1"/>
    <w:rsid w:val="00D84912"/>
    <w:rsid w:val="00D8498E"/>
    <w:rsid w:val="00D84A4E"/>
    <w:rsid w:val="00D84A63"/>
    <w:rsid w:val="00D84B5F"/>
    <w:rsid w:val="00D84C82"/>
    <w:rsid w:val="00D84CF0"/>
    <w:rsid w:val="00D84D8F"/>
    <w:rsid w:val="00D84E41"/>
    <w:rsid w:val="00D84E89"/>
    <w:rsid w:val="00D84ECE"/>
    <w:rsid w:val="00D84F5D"/>
    <w:rsid w:val="00D84FC6"/>
    <w:rsid w:val="00D85196"/>
    <w:rsid w:val="00D851A1"/>
    <w:rsid w:val="00D851D6"/>
    <w:rsid w:val="00D85227"/>
    <w:rsid w:val="00D85290"/>
    <w:rsid w:val="00D854A0"/>
    <w:rsid w:val="00D855BA"/>
    <w:rsid w:val="00D856E9"/>
    <w:rsid w:val="00D858F8"/>
    <w:rsid w:val="00D85AB7"/>
    <w:rsid w:val="00D85AE2"/>
    <w:rsid w:val="00D85B2A"/>
    <w:rsid w:val="00D85BF3"/>
    <w:rsid w:val="00D85E43"/>
    <w:rsid w:val="00D85F28"/>
    <w:rsid w:val="00D861BE"/>
    <w:rsid w:val="00D86514"/>
    <w:rsid w:val="00D86806"/>
    <w:rsid w:val="00D8687C"/>
    <w:rsid w:val="00D8697A"/>
    <w:rsid w:val="00D8699F"/>
    <w:rsid w:val="00D86AC2"/>
    <w:rsid w:val="00D86AD4"/>
    <w:rsid w:val="00D86E85"/>
    <w:rsid w:val="00D86F71"/>
    <w:rsid w:val="00D86FBB"/>
    <w:rsid w:val="00D870D9"/>
    <w:rsid w:val="00D870E0"/>
    <w:rsid w:val="00D8715A"/>
    <w:rsid w:val="00D872C2"/>
    <w:rsid w:val="00D87414"/>
    <w:rsid w:val="00D874FB"/>
    <w:rsid w:val="00D875B4"/>
    <w:rsid w:val="00D8768D"/>
    <w:rsid w:val="00D878B5"/>
    <w:rsid w:val="00D878F9"/>
    <w:rsid w:val="00D87B16"/>
    <w:rsid w:val="00D87B55"/>
    <w:rsid w:val="00D87EE5"/>
    <w:rsid w:val="00D87EE8"/>
    <w:rsid w:val="00D90002"/>
    <w:rsid w:val="00D9002D"/>
    <w:rsid w:val="00D90219"/>
    <w:rsid w:val="00D908AE"/>
    <w:rsid w:val="00D90A07"/>
    <w:rsid w:val="00D90E48"/>
    <w:rsid w:val="00D90F57"/>
    <w:rsid w:val="00D91040"/>
    <w:rsid w:val="00D910C4"/>
    <w:rsid w:val="00D912D0"/>
    <w:rsid w:val="00D91326"/>
    <w:rsid w:val="00D91411"/>
    <w:rsid w:val="00D9177D"/>
    <w:rsid w:val="00D917B2"/>
    <w:rsid w:val="00D91B2D"/>
    <w:rsid w:val="00D91B48"/>
    <w:rsid w:val="00D91CF2"/>
    <w:rsid w:val="00D91D07"/>
    <w:rsid w:val="00D92074"/>
    <w:rsid w:val="00D9218D"/>
    <w:rsid w:val="00D922E1"/>
    <w:rsid w:val="00D9243A"/>
    <w:rsid w:val="00D92714"/>
    <w:rsid w:val="00D9271A"/>
    <w:rsid w:val="00D927F9"/>
    <w:rsid w:val="00D92808"/>
    <w:rsid w:val="00D9280D"/>
    <w:rsid w:val="00D92824"/>
    <w:rsid w:val="00D92A18"/>
    <w:rsid w:val="00D92D5F"/>
    <w:rsid w:val="00D92DB2"/>
    <w:rsid w:val="00D934CF"/>
    <w:rsid w:val="00D935BE"/>
    <w:rsid w:val="00D93689"/>
    <w:rsid w:val="00D936C0"/>
    <w:rsid w:val="00D9372C"/>
    <w:rsid w:val="00D93ACB"/>
    <w:rsid w:val="00D93B74"/>
    <w:rsid w:val="00D93C12"/>
    <w:rsid w:val="00D93C95"/>
    <w:rsid w:val="00D93E6C"/>
    <w:rsid w:val="00D93ECA"/>
    <w:rsid w:val="00D94099"/>
    <w:rsid w:val="00D94278"/>
    <w:rsid w:val="00D945B2"/>
    <w:rsid w:val="00D94AB2"/>
    <w:rsid w:val="00D951A2"/>
    <w:rsid w:val="00D954BE"/>
    <w:rsid w:val="00D959B0"/>
    <w:rsid w:val="00D959D2"/>
    <w:rsid w:val="00D95BB4"/>
    <w:rsid w:val="00D95DA4"/>
    <w:rsid w:val="00D96068"/>
    <w:rsid w:val="00D96078"/>
    <w:rsid w:val="00D96163"/>
    <w:rsid w:val="00D962ED"/>
    <w:rsid w:val="00D9637D"/>
    <w:rsid w:val="00D963E0"/>
    <w:rsid w:val="00D96578"/>
    <w:rsid w:val="00D965A4"/>
    <w:rsid w:val="00D9678A"/>
    <w:rsid w:val="00D9679E"/>
    <w:rsid w:val="00D96893"/>
    <w:rsid w:val="00D96981"/>
    <w:rsid w:val="00D96C4F"/>
    <w:rsid w:val="00D96D60"/>
    <w:rsid w:val="00D96DD7"/>
    <w:rsid w:val="00D96E23"/>
    <w:rsid w:val="00D96F1E"/>
    <w:rsid w:val="00D972D6"/>
    <w:rsid w:val="00D97484"/>
    <w:rsid w:val="00D9765A"/>
    <w:rsid w:val="00D9766D"/>
    <w:rsid w:val="00D97840"/>
    <w:rsid w:val="00D97917"/>
    <w:rsid w:val="00D97920"/>
    <w:rsid w:val="00D97A53"/>
    <w:rsid w:val="00D97B22"/>
    <w:rsid w:val="00D97C9C"/>
    <w:rsid w:val="00D97DA0"/>
    <w:rsid w:val="00D97E26"/>
    <w:rsid w:val="00D97E7A"/>
    <w:rsid w:val="00DA0022"/>
    <w:rsid w:val="00DA0256"/>
    <w:rsid w:val="00DA0442"/>
    <w:rsid w:val="00DA047E"/>
    <w:rsid w:val="00DA0957"/>
    <w:rsid w:val="00DA0A8B"/>
    <w:rsid w:val="00DA0AA2"/>
    <w:rsid w:val="00DA0B6A"/>
    <w:rsid w:val="00DA0D51"/>
    <w:rsid w:val="00DA0EC8"/>
    <w:rsid w:val="00DA0FE1"/>
    <w:rsid w:val="00DA1135"/>
    <w:rsid w:val="00DA1279"/>
    <w:rsid w:val="00DA1293"/>
    <w:rsid w:val="00DA1375"/>
    <w:rsid w:val="00DA14E3"/>
    <w:rsid w:val="00DA15A6"/>
    <w:rsid w:val="00DA1639"/>
    <w:rsid w:val="00DA194F"/>
    <w:rsid w:val="00DA1C54"/>
    <w:rsid w:val="00DA1C8B"/>
    <w:rsid w:val="00DA1E9B"/>
    <w:rsid w:val="00DA2378"/>
    <w:rsid w:val="00DA2528"/>
    <w:rsid w:val="00DA2E0C"/>
    <w:rsid w:val="00DA3045"/>
    <w:rsid w:val="00DA308E"/>
    <w:rsid w:val="00DA33F8"/>
    <w:rsid w:val="00DA38E1"/>
    <w:rsid w:val="00DA3A99"/>
    <w:rsid w:val="00DA3BA1"/>
    <w:rsid w:val="00DA3D48"/>
    <w:rsid w:val="00DA3E58"/>
    <w:rsid w:val="00DA4173"/>
    <w:rsid w:val="00DA433D"/>
    <w:rsid w:val="00DA4364"/>
    <w:rsid w:val="00DA451C"/>
    <w:rsid w:val="00DA47CB"/>
    <w:rsid w:val="00DA4805"/>
    <w:rsid w:val="00DA4C33"/>
    <w:rsid w:val="00DA5056"/>
    <w:rsid w:val="00DA50A1"/>
    <w:rsid w:val="00DA510F"/>
    <w:rsid w:val="00DA52AB"/>
    <w:rsid w:val="00DA538F"/>
    <w:rsid w:val="00DA53D5"/>
    <w:rsid w:val="00DA5A97"/>
    <w:rsid w:val="00DA5AA2"/>
    <w:rsid w:val="00DA5E26"/>
    <w:rsid w:val="00DA60E4"/>
    <w:rsid w:val="00DA6146"/>
    <w:rsid w:val="00DA62EE"/>
    <w:rsid w:val="00DA65DD"/>
    <w:rsid w:val="00DA671A"/>
    <w:rsid w:val="00DA691D"/>
    <w:rsid w:val="00DA692A"/>
    <w:rsid w:val="00DA6BC7"/>
    <w:rsid w:val="00DA6C44"/>
    <w:rsid w:val="00DA6E38"/>
    <w:rsid w:val="00DA6EB6"/>
    <w:rsid w:val="00DA6F83"/>
    <w:rsid w:val="00DA717A"/>
    <w:rsid w:val="00DA74CD"/>
    <w:rsid w:val="00DA751F"/>
    <w:rsid w:val="00DA7643"/>
    <w:rsid w:val="00DA7922"/>
    <w:rsid w:val="00DA7A21"/>
    <w:rsid w:val="00DA7F41"/>
    <w:rsid w:val="00DB0020"/>
    <w:rsid w:val="00DB00C8"/>
    <w:rsid w:val="00DB0332"/>
    <w:rsid w:val="00DB0569"/>
    <w:rsid w:val="00DB0574"/>
    <w:rsid w:val="00DB05D1"/>
    <w:rsid w:val="00DB089F"/>
    <w:rsid w:val="00DB09B2"/>
    <w:rsid w:val="00DB0BBF"/>
    <w:rsid w:val="00DB0D02"/>
    <w:rsid w:val="00DB10E0"/>
    <w:rsid w:val="00DB11B8"/>
    <w:rsid w:val="00DB1215"/>
    <w:rsid w:val="00DB12BE"/>
    <w:rsid w:val="00DB1570"/>
    <w:rsid w:val="00DB199B"/>
    <w:rsid w:val="00DB1BD5"/>
    <w:rsid w:val="00DB1C5B"/>
    <w:rsid w:val="00DB1CB2"/>
    <w:rsid w:val="00DB1E60"/>
    <w:rsid w:val="00DB1F5D"/>
    <w:rsid w:val="00DB214D"/>
    <w:rsid w:val="00DB21C6"/>
    <w:rsid w:val="00DB2221"/>
    <w:rsid w:val="00DB22CA"/>
    <w:rsid w:val="00DB24EA"/>
    <w:rsid w:val="00DB24EE"/>
    <w:rsid w:val="00DB279C"/>
    <w:rsid w:val="00DB2A0A"/>
    <w:rsid w:val="00DB2D90"/>
    <w:rsid w:val="00DB325B"/>
    <w:rsid w:val="00DB32A5"/>
    <w:rsid w:val="00DB32C7"/>
    <w:rsid w:val="00DB354A"/>
    <w:rsid w:val="00DB3720"/>
    <w:rsid w:val="00DB3726"/>
    <w:rsid w:val="00DB3794"/>
    <w:rsid w:val="00DB38F0"/>
    <w:rsid w:val="00DB3B59"/>
    <w:rsid w:val="00DB3B8C"/>
    <w:rsid w:val="00DB3ED5"/>
    <w:rsid w:val="00DB4186"/>
    <w:rsid w:val="00DB4326"/>
    <w:rsid w:val="00DB4350"/>
    <w:rsid w:val="00DB44B0"/>
    <w:rsid w:val="00DB4538"/>
    <w:rsid w:val="00DB4622"/>
    <w:rsid w:val="00DB471A"/>
    <w:rsid w:val="00DB4838"/>
    <w:rsid w:val="00DB4E61"/>
    <w:rsid w:val="00DB4E8B"/>
    <w:rsid w:val="00DB4F05"/>
    <w:rsid w:val="00DB504D"/>
    <w:rsid w:val="00DB50E3"/>
    <w:rsid w:val="00DB5297"/>
    <w:rsid w:val="00DB5329"/>
    <w:rsid w:val="00DB54D4"/>
    <w:rsid w:val="00DB58E8"/>
    <w:rsid w:val="00DB5A39"/>
    <w:rsid w:val="00DB5A67"/>
    <w:rsid w:val="00DB5C8C"/>
    <w:rsid w:val="00DB5F11"/>
    <w:rsid w:val="00DB5F81"/>
    <w:rsid w:val="00DB6047"/>
    <w:rsid w:val="00DB6066"/>
    <w:rsid w:val="00DB607E"/>
    <w:rsid w:val="00DB61AE"/>
    <w:rsid w:val="00DB648E"/>
    <w:rsid w:val="00DB6578"/>
    <w:rsid w:val="00DB65CE"/>
    <w:rsid w:val="00DB6683"/>
    <w:rsid w:val="00DB67ED"/>
    <w:rsid w:val="00DB67FC"/>
    <w:rsid w:val="00DB696A"/>
    <w:rsid w:val="00DB6CAD"/>
    <w:rsid w:val="00DB6D0D"/>
    <w:rsid w:val="00DB6EF9"/>
    <w:rsid w:val="00DB6F4D"/>
    <w:rsid w:val="00DB7115"/>
    <w:rsid w:val="00DB712A"/>
    <w:rsid w:val="00DB7147"/>
    <w:rsid w:val="00DB721F"/>
    <w:rsid w:val="00DB73F0"/>
    <w:rsid w:val="00DB7452"/>
    <w:rsid w:val="00DB756D"/>
    <w:rsid w:val="00DB7670"/>
    <w:rsid w:val="00DB7791"/>
    <w:rsid w:val="00DB7838"/>
    <w:rsid w:val="00DB7854"/>
    <w:rsid w:val="00DB78D0"/>
    <w:rsid w:val="00DB79E1"/>
    <w:rsid w:val="00DB7A1B"/>
    <w:rsid w:val="00DB7A42"/>
    <w:rsid w:val="00DB7ADA"/>
    <w:rsid w:val="00DB7C6F"/>
    <w:rsid w:val="00DB7D21"/>
    <w:rsid w:val="00DB7E2C"/>
    <w:rsid w:val="00DB7E64"/>
    <w:rsid w:val="00DB7F17"/>
    <w:rsid w:val="00DB7F1C"/>
    <w:rsid w:val="00DC00A1"/>
    <w:rsid w:val="00DC00FC"/>
    <w:rsid w:val="00DC02CD"/>
    <w:rsid w:val="00DC08E9"/>
    <w:rsid w:val="00DC0BAC"/>
    <w:rsid w:val="00DC0C24"/>
    <w:rsid w:val="00DC0D56"/>
    <w:rsid w:val="00DC0E58"/>
    <w:rsid w:val="00DC0E6E"/>
    <w:rsid w:val="00DC0E7B"/>
    <w:rsid w:val="00DC111F"/>
    <w:rsid w:val="00DC12B8"/>
    <w:rsid w:val="00DC12F0"/>
    <w:rsid w:val="00DC170B"/>
    <w:rsid w:val="00DC1773"/>
    <w:rsid w:val="00DC18F8"/>
    <w:rsid w:val="00DC1A6F"/>
    <w:rsid w:val="00DC20B9"/>
    <w:rsid w:val="00DC237B"/>
    <w:rsid w:val="00DC24FF"/>
    <w:rsid w:val="00DC2541"/>
    <w:rsid w:val="00DC25C7"/>
    <w:rsid w:val="00DC2779"/>
    <w:rsid w:val="00DC29A3"/>
    <w:rsid w:val="00DC29D2"/>
    <w:rsid w:val="00DC29FF"/>
    <w:rsid w:val="00DC2A20"/>
    <w:rsid w:val="00DC2A75"/>
    <w:rsid w:val="00DC2B3D"/>
    <w:rsid w:val="00DC2C80"/>
    <w:rsid w:val="00DC2CDC"/>
    <w:rsid w:val="00DC2DAD"/>
    <w:rsid w:val="00DC2E5B"/>
    <w:rsid w:val="00DC2FD4"/>
    <w:rsid w:val="00DC3649"/>
    <w:rsid w:val="00DC37D0"/>
    <w:rsid w:val="00DC3DBD"/>
    <w:rsid w:val="00DC3E43"/>
    <w:rsid w:val="00DC403B"/>
    <w:rsid w:val="00DC4064"/>
    <w:rsid w:val="00DC427A"/>
    <w:rsid w:val="00DC4285"/>
    <w:rsid w:val="00DC42E0"/>
    <w:rsid w:val="00DC4459"/>
    <w:rsid w:val="00DC44FA"/>
    <w:rsid w:val="00DC46C1"/>
    <w:rsid w:val="00DC46EE"/>
    <w:rsid w:val="00DC4A2E"/>
    <w:rsid w:val="00DC4B25"/>
    <w:rsid w:val="00DC4B6F"/>
    <w:rsid w:val="00DC4B77"/>
    <w:rsid w:val="00DC4EEC"/>
    <w:rsid w:val="00DC50D1"/>
    <w:rsid w:val="00DC52E7"/>
    <w:rsid w:val="00DC54C2"/>
    <w:rsid w:val="00DC55D8"/>
    <w:rsid w:val="00DC566C"/>
    <w:rsid w:val="00DC58A9"/>
    <w:rsid w:val="00DC5D15"/>
    <w:rsid w:val="00DC5E2E"/>
    <w:rsid w:val="00DC5F32"/>
    <w:rsid w:val="00DC5F8F"/>
    <w:rsid w:val="00DC6076"/>
    <w:rsid w:val="00DC6278"/>
    <w:rsid w:val="00DC6449"/>
    <w:rsid w:val="00DC64AE"/>
    <w:rsid w:val="00DC6503"/>
    <w:rsid w:val="00DC650D"/>
    <w:rsid w:val="00DC6584"/>
    <w:rsid w:val="00DC68B6"/>
    <w:rsid w:val="00DC68C7"/>
    <w:rsid w:val="00DC68E2"/>
    <w:rsid w:val="00DC692B"/>
    <w:rsid w:val="00DC6959"/>
    <w:rsid w:val="00DC6BC0"/>
    <w:rsid w:val="00DC6CD3"/>
    <w:rsid w:val="00DC6D12"/>
    <w:rsid w:val="00DC6E39"/>
    <w:rsid w:val="00DC70EC"/>
    <w:rsid w:val="00DC716F"/>
    <w:rsid w:val="00DC7296"/>
    <w:rsid w:val="00DC73E4"/>
    <w:rsid w:val="00DC744A"/>
    <w:rsid w:val="00DC766E"/>
    <w:rsid w:val="00DC779D"/>
    <w:rsid w:val="00DC79BC"/>
    <w:rsid w:val="00DC7AB0"/>
    <w:rsid w:val="00DC7AD0"/>
    <w:rsid w:val="00DC7D60"/>
    <w:rsid w:val="00DC7F4A"/>
    <w:rsid w:val="00DD000A"/>
    <w:rsid w:val="00DD00A7"/>
    <w:rsid w:val="00DD00DF"/>
    <w:rsid w:val="00DD0273"/>
    <w:rsid w:val="00DD0384"/>
    <w:rsid w:val="00DD0A20"/>
    <w:rsid w:val="00DD0B7C"/>
    <w:rsid w:val="00DD0C0C"/>
    <w:rsid w:val="00DD0CB8"/>
    <w:rsid w:val="00DD0CBF"/>
    <w:rsid w:val="00DD0CF9"/>
    <w:rsid w:val="00DD0D96"/>
    <w:rsid w:val="00DD0DD4"/>
    <w:rsid w:val="00DD0E28"/>
    <w:rsid w:val="00DD0F8F"/>
    <w:rsid w:val="00DD102C"/>
    <w:rsid w:val="00DD125F"/>
    <w:rsid w:val="00DD143B"/>
    <w:rsid w:val="00DD187D"/>
    <w:rsid w:val="00DD18A9"/>
    <w:rsid w:val="00DD1908"/>
    <w:rsid w:val="00DD1963"/>
    <w:rsid w:val="00DD19FC"/>
    <w:rsid w:val="00DD1A43"/>
    <w:rsid w:val="00DD1BCF"/>
    <w:rsid w:val="00DD1D49"/>
    <w:rsid w:val="00DD1EAF"/>
    <w:rsid w:val="00DD1F4F"/>
    <w:rsid w:val="00DD1F9E"/>
    <w:rsid w:val="00DD2293"/>
    <w:rsid w:val="00DD22DF"/>
    <w:rsid w:val="00DD23A6"/>
    <w:rsid w:val="00DD2453"/>
    <w:rsid w:val="00DD24EA"/>
    <w:rsid w:val="00DD25D6"/>
    <w:rsid w:val="00DD2657"/>
    <w:rsid w:val="00DD26A5"/>
    <w:rsid w:val="00DD2782"/>
    <w:rsid w:val="00DD2798"/>
    <w:rsid w:val="00DD27E4"/>
    <w:rsid w:val="00DD28E7"/>
    <w:rsid w:val="00DD2A74"/>
    <w:rsid w:val="00DD2E24"/>
    <w:rsid w:val="00DD3054"/>
    <w:rsid w:val="00DD30A6"/>
    <w:rsid w:val="00DD30DE"/>
    <w:rsid w:val="00DD327D"/>
    <w:rsid w:val="00DD3318"/>
    <w:rsid w:val="00DD34B8"/>
    <w:rsid w:val="00DD34C8"/>
    <w:rsid w:val="00DD3B35"/>
    <w:rsid w:val="00DD3BF0"/>
    <w:rsid w:val="00DD3C0D"/>
    <w:rsid w:val="00DD3D23"/>
    <w:rsid w:val="00DD3DC9"/>
    <w:rsid w:val="00DD3E66"/>
    <w:rsid w:val="00DD40C8"/>
    <w:rsid w:val="00DD4155"/>
    <w:rsid w:val="00DD4262"/>
    <w:rsid w:val="00DD4524"/>
    <w:rsid w:val="00DD4665"/>
    <w:rsid w:val="00DD48DB"/>
    <w:rsid w:val="00DD491A"/>
    <w:rsid w:val="00DD4923"/>
    <w:rsid w:val="00DD49E7"/>
    <w:rsid w:val="00DD4B3F"/>
    <w:rsid w:val="00DD4D49"/>
    <w:rsid w:val="00DD4D4A"/>
    <w:rsid w:val="00DD4DA0"/>
    <w:rsid w:val="00DD4E32"/>
    <w:rsid w:val="00DD522A"/>
    <w:rsid w:val="00DD535F"/>
    <w:rsid w:val="00DD569C"/>
    <w:rsid w:val="00DD5700"/>
    <w:rsid w:val="00DD5973"/>
    <w:rsid w:val="00DD5999"/>
    <w:rsid w:val="00DD59AE"/>
    <w:rsid w:val="00DD5A5B"/>
    <w:rsid w:val="00DD5ABA"/>
    <w:rsid w:val="00DD5AF9"/>
    <w:rsid w:val="00DD5BEF"/>
    <w:rsid w:val="00DD5EE6"/>
    <w:rsid w:val="00DD6019"/>
    <w:rsid w:val="00DD6191"/>
    <w:rsid w:val="00DD62CB"/>
    <w:rsid w:val="00DD62DA"/>
    <w:rsid w:val="00DD62ED"/>
    <w:rsid w:val="00DD63FD"/>
    <w:rsid w:val="00DD6591"/>
    <w:rsid w:val="00DD65AB"/>
    <w:rsid w:val="00DD6696"/>
    <w:rsid w:val="00DD67D7"/>
    <w:rsid w:val="00DD6860"/>
    <w:rsid w:val="00DD695C"/>
    <w:rsid w:val="00DD6ACD"/>
    <w:rsid w:val="00DD6AF6"/>
    <w:rsid w:val="00DD6ED1"/>
    <w:rsid w:val="00DD72B6"/>
    <w:rsid w:val="00DD72D2"/>
    <w:rsid w:val="00DD72F9"/>
    <w:rsid w:val="00DD737D"/>
    <w:rsid w:val="00DD755A"/>
    <w:rsid w:val="00DD7669"/>
    <w:rsid w:val="00DD7A93"/>
    <w:rsid w:val="00DD7F5F"/>
    <w:rsid w:val="00DD7FD5"/>
    <w:rsid w:val="00DE015E"/>
    <w:rsid w:val="00DE046D"/>
    <w:rsid w:val="00DE0625"/>
    <w:rsid w:val="00DE084F"/>
    <w:rsid w:val="00DE0972"/>
    <w:rsid w:val="00DE0A46"/>
    <w:rsid w:val="00DE0A89"/>
    <w:rsid w:val="00DE0A8A"/>
    <w:rsid w:val="00DE0D5B"/>
    <w:rsid w:val="00DE0D63"/>
    <w:rsid w:val="00DE0EC3"/>
    <w:rsid w:val="00DE1008"/>
    <w:rsid w:val="00DE1013"/>
    <w:rsid w:val="00DE1063"/>
    <w:rsid w:val="00DE1118"/>
    <w:rsid w:val="00DE1453"/>
    <w:rsid w:val="00DE15A3"/>
    <w:rsid w:val="00DE15E0"/>
    <w:rsid w:val="00DE19D7"/>
    <w:rsid w:val="00DE1BB2"/>
    <w:rsid w:val="00DE20DF"/>
    <w:rsid w:val="00DE248E"/>
    <w:rsid w:val="00DE2551"/>
    <w:rsid w:val="00DE257C"/>
    <w:rsid w:val="00DE27DD"/>
    <w:rsid w:val="00DE2B18"/>
    <w:rsid w:val="00DE30F9"/>
    <w:rsid w:val="00DE318A"/>
    <w:rsid w:val="00DE3312"/>
    <w:rsid w:val="00DE3415"/>
    <w:rsid w:val="00DE34BA"/>
    <w:rsid w:val="00DE3801"/>
    <w:rsid w:val="00DE39B6"/>
    <w:rsid w:val="00DE39ED"/>
    <w:rsid w:val="00DE3A69"/>
    <w:rsid w:val="00DE3C7D"/>
    <w:rsid w:val="00DE3CA4"/>
    <w:rsid w:val="00DE3CB0"/>
    <w:rsid w:val="00DE3F39"/>
    <w:rsid w:val="00DE408F"/>
    <w:rsid w:val="00DE4104"/>
    <w:rsid w:val="00DE4124"/>
    <w:rsid w:val="00DE42CA"/>
    <w:rsid w:val="00DE43A3"/>
    <w:rsid w:val="00DE43A9"/>
    <w:rsid w:val="00DE4406"/>
    <w:rsid w:val="00DE44DA"/>
    <w:rsid w:val="00DE4727"/>
    <w:rsid w:val="00DE4750"/>
    <w:rsid w:val="00DE48F1"/>
    <w:rsid w:val="00DE4DFE"/>
    <w:rsid w:val="00DE4E66"/>
    <w:rsid w:val="00DE4E77"/>
    <w:rsid w:val="00DE4EF5"/>
    <w:rsid w:val="00DE50EC"/>
    <w:rsid w:val="00DE54E3"/>
    <w:rsid w:val="00DE54ED"/>
    <w:rsid w:val="00DE55B1"/>
    <w:rsid w:val="00DE570F"/>
    <w:rsid w:val="00DE5760"/>
    <w:rsid w:val="00DE58C3"/>
    <w:rsid w:val="00DE5AA4"/>
    <w:rsid w:val="00DE5AD3"/>
    <w:rsid w:val="00DE5C2D"/>
    <w:rsid w:val="00DE5EC8"/>
    <w:rsid w:val="00DE5FDA"/>
    <w:rsid w:val="00DE5FF2"/>
    <w:rsid w:val="00DE630C"/>
    <w:rsid w:val="00DE63A5"/>
    <w:rsid w:val="00DE6434"/>
    <w:rsid w:val="00DE649B"/>
    <w:rsid w:val="00DE65A1"/>
    <w:rsid w:val="00DE67A8"/>
    <w:rsid w:val="00DE690A"/>
    <w:rsid w:val="00DE6BD8"/>
    <w:rsid w:val="00DE6C17"/>
    <w:rsid w:val="00DE6D6D"/>
    <w:rsid w:val="00DE7053"/>
    <w:rsid w:val="00DE70EA"/>
    <w:rsid w:val="00DE721C"/>
    <w:rsid w:val="00DE75E9"/>
    <w:rsid w:val="00DE76AB"/>
    <w:rsid w:val="00DE76E4"/>
    <w:rsid w:val="00DE77C4"/>
    <w:rsid w:val="00DE79D1"/>
    <w:rsid w:val="00DE7BC1"/>
    <w:rsid w:val="00DE7D40"/>
    <w:rsid w:val="00DE7E1E"/>
    <w:rsid w:val="00DE7E54"/>
    <w:rsid w:val="00DE7E93"/>
    <w:rsid w:val="00DF02E1"/>
    <w:rsid w:val="00DF09E3"/>
    <w:rsid w:val="00DF0B36"/>
    <w:rsid w:val="00DF0C66"/>
    <w:rsid w:val="00DF0D9C"/>
    <w:rsid w:val="00DF0DCA"/>
    <w:rsid w:val="00DF0F80"/>
    <w:rsid w:val="00DF100A"/>
    <w:rsid w:val="00DF1216"/>
    <w:rsid w:val="00DF14BB"/>
    <w:rsid w:val="00DF15B1"/>
    <w:rsid w:val="00DF15FE"/>
    <w:rsid w:val="00DF168F"/>
    <w:rsid w:val="00DF193C"/>
    <w:rsid w:val="00DF1B4C"/>
    <w:rsid w:val="00DF1BA0"/>
    <w:rsid w:val="00DF1DAF"/>
    <w:rsid w:val="00DF1E14"/>
    <w:rsid w:val="00DF1EE3"/>
    <w:rsid w:val="00DF20A7"/>
    <w:rsid w:val="00DF2197"/>
    <w:rsid w:val="00DF223C"/>
    <w:rsid w:val="00DF2394"/>
    <w:rsid w:val="00DF2442"/>
    <w:rsid w:val="00DF2578"/>
    <w:rsid w:val="00DF25A0"/>
    <w:rsid w:val="00DF260E"/>
    <w:rsid w:val="00DF265D"/>
    <w:rsid w:val="00DF278E"/>
    <w:rsid w:val="00DF2A61"/>
    <w:rsid w:val="00DF2A75"/>
    <w:rsid w:val="00DF2AFE"/>
    <w:rsid w:val="00DF2E88"/>
    <w:rsid w:val="00DF2FBA"/>
    <w:rsid w:val="00DF2FBD"/>
    <w:rsid w:val="00DF30F7"/>
    <w:rsid w:val="00DF34D5"/>
    <w:rsid w:val="00DF35E2"/>
    <w:rsid w:val="00DF3621"/>
    <w:rsid w:val="00DF383B"/>
    <w:rsid w:val="00DF38A0"/>
    <w:rsid w:val="00DF394D"/>
    <w:rsid w:val="00DF3993"/>
    <w:rsid w:val="00DF39D5"/>
    <w:rsid w:val="00DF3C8E"/>
    <w:rsid w:val="00DF3D81"/>
    <w:rsid w:val="00DF3EB6"/>
    <w:rsid w:val="00DF3F1C"/>
    <w:rsid w:val="00DF4185"/>
    <w:rsid w:val="00DF4396"/>
    <w:rsid w:val="00DF471C"/>
    <w:rsid w:val="00DF4C8A"/>
    <w:rsid w:val="00DF4D8D"/>
    <w:rsid w:val="00DF4E0D"/>
    <w:rsid w:val="00DF5004"/>
    <w:rsid w:val="00DF50EC"/>
    <w:rsid w:val="00DF5494"/>
    <w:rsid w:val="00DF5512"/>
    <w:rsid w:val="00DF5538"/>
    <w:rsid w:val="00DF56CB"/>
    <w:rsid w:val="00DF573E"/>
    <w:rsid w:val="00DF57BB"/>
    <w:rsid w:val="00DF5A1E"/>
    <w:rsid w:val="00DF5B2B"/>
    <w:rsid w:val="00DF5CDD"/>
    <w:rsid w:val="00DF5D7B"/>
    <w:rsid w:val="00DF5E84"/>
    <w:rsid w:val="00DF5EC8"/>
    <w:rsid w:val="00DF5EDF"/>
    <w:rsid w:val="00DF614B"/>
    <w:rsid w:val="00DF632A"/>
    <w:rsid w:val="00DF6620"/>
    <w:rsid w:val="00DF6651"/>
    <w:rsid w:val="00DF6975"/>
    <w:rsid w:val="00DF69CA"/>
    <w:rsid w:val="00DF6AA3"/>
    <w:rsid w:val="00DF6AAD"/>
    <w:rsid w:val="00DF6C8D"/>
    <w:rsid w:val="00DF6CB6"/>
    <w:rsid w:val="00DF6D41"/>
    <w:rsid w:val="00DF6D50"/>
    <w:rsid w:val="00DF73F4"/>
    <w:rsid w:val="00DF75FB"/>
    <w:rsid w:val="00DF76FA"/>
    <w:rsid w:val="00DF777E"/>
    <w:rsid w:val="00DF77DE"/>
    <w:rsid w:val="00DF7AD1"/>
    <w:rsid w:val="00DF7C80"/>
    <w:rsid w:val="00DF7E97"/>
    <w:rsid w:val="00DF7F12"/>
    <w:rsid w:val="00DF7F84"/>
    <w:rsid w:val="00DF7FE8"/>
    <w:rsid w:val="00E00207"/>
    <w:rsid w:val="00E00299"/>
    <w:rsid w:val="00E0029D"/>
    <w:rsid w:val="00E0034B"/>
    <w:rsid w:val="00E003E1"/>
    <w:rsid w:val="00E0040F"/>
    <w:rsid w:val="00E004F2"/>
    <w:rsid w:val="00E006D4"/>
    <w:rsid w:val="00E007C7"/>
    <w:rsid w:val="00E008DC"/>
    <w:rsid w:val="00E00A29"/>
    <w:rsid w:val="00E00A96"/>
    <w:rsid w:val="00E00C5D"/>
    <w:rsid w:val="00E00C91"/>
    <w:rsid w:val="00E00CAE"/>
    <w:rsid w:val="00E00D12"/>
    <w:rsid w:val="00E01021"/>
    <w:rsid w:val="00E01139"/>
    <w:rsid w:val="00E012AE"/>
    <w:rsid w:val="00E01455"/>
    <w:rsid w:val="00E0150C"/>
    <w:rsid w:val="00E01775"/>
    <w:rsid w:val="00E019CA"/>
    <w:rsid w:val="00E01A56"/>
    <w:rsid w:val="00E01CF4"/>
    <w:rsid w:val="00E01D89"/>
    <w:rsid w:val="00E021B3"/>
    <w:rsid w:val="00E023B6"/>
    <w:rsid w:val="00E023CE"/>
    <w:rsid w:val="00E024F0"/>
    <w:rsid w:val="00E02555"/>
    <w:rsid w:val="00E02632"/>
    <w:rsid w:val="00E026EE"/>
    <w:rsid w:val="00E0280D"/>
    <w:rsid w:val="00E02937"/>
    <w:rsid w:val="00E02B77"/>
    <w:rsid w:val="00E02C8A"/>
    <w:rsid w:val="00E02F68"/>
    <w:rsid w:val="00E03154"/>
    <w:rsid w:val="00E032A9"/>
    <w:rsid w:val="00E03378"/>
    <w:rsid w:val="00E03544"/>
    <w:rsid w:val="00E0363B"/>
    <w:rsid w:val="00E038D6"/>
    <w:rsid w:val="00E0390F"/>
    <w:rsid w:val="00E03975"/>
    <w:rsid w:val="00E039A7"/>
    <w:rsid w:val="00E03B1A"/>
    <w:rsid w:val="00E03B70"/>
    <w:rsid w:val="00E03D3A"/>
    <w:rsid w:val="00E03DB4"/>
    <w:rsid w:val="00E03E59"/>
    <w:rsid w:val="00E03E61"/>
    <w:rsid w:val="00E04113"/>
    <w:rsid w:val="00E041C7"/>
    <w:rsid w:val="00E041EF"/>
    <w:rsid w:val="00E04219"/>
    <w:rsid w:val="00E0429C"/>
    <w:rsid w:val="00E042E4"/>
    <w:rsid w:val="00E04302"/>
    <w:rsid w:val="00E04319"/>
    <w:rsid w:val="00E0445A"/>
    <w:rsid w:val="00E0459A"/>
    <w:rsid w:val="00E045D1"/>
    <w:rsid w:val="00E04605"/>
    <w:rsid w:val="00E0460C"/>
    <w:rsid w:val="00E0476A"/>
    <w:rsid w:val="00E0476E"/>
    <w:rsid w:val="00E04781"/>
    <w:rsid w:val="00E048F4"/>
    <w:rsid w:val="00E0494A"/>
    <w:rsid w:val="00E04AEE"/>
    <w:rsid w:val="00E04DAA"/>
    <w:rsid w:val="00E05215"/>
    <w:rsid w:val="00E0530C"/>
    <w:rsid w:val="00E0540E"/>
    <w:rsid w:val="00E055C5"/>
    <w:rsid w:val="00E05655"/>
    <w:rsid w:val="00E056F7"/>
    <w:rsid w:val="00E05805"/>
    <w:rsid w:val="00E05867"/>
    <w:rsid w:val="00E05CA4"/>
    <w:rsid w:val="00E05D3E"/>
    <w:rsid w:val="00E05EA7"/>
    <w:rsid w:val="00E05F3F"/>
    <w:rsid w:val="00E05FCB"/>
    <w:rsid w:val="00E060E1"/>
    <w:rsid w:val="00E0630B"/>
    <w:rsid w:val="00E064F7"/>
    <w:rsid w:val="00E0663D"/>
    <w:rsid w:val="00E0679B"/>
    <w:rsid w:val="00E06850"/>
    <w:rsid w:val="00E06952"/>
    <w:rsid w:val="00E07127"/>
    <w:rsid w:val="00E0714A"/>
    <w:rsid w:val="00E07199"/>
    <w:rsid w:val="00E07335"/>
    <w:rsid w:val="00E0756D"/>
    <w:rsid w:val="00E0787A"/>
    <w:rsid w:val="00E078D0"/>
    <w:rsid w:val="00E07928"/>
    <w:rsid w:val="00E07974"/>
    <w:rsid w:val="00E079AF"/>
    <w:rsid w:val="00E07B1A"/>
    <w:rsid w:val="00E07CFF"/>
    <w:rsid w:val="00E07E00"/>
    <w:rsid w:val="00E07EDF"/>
    <w:rsid w:val="00E10321"/>
    <w:rsid w:val="00E10334"/>
    <w:rsid w:val="00E10375"/>
    <w:rsid w:val="00E10437"/>
    <w:rsid w:val="00E1044B"/>
    <w:rsid w:val="00E10509"/>
    <w:rsid w:val="00E10809"/>
    <w:rsid w:val="00E10944"/>
    <w:rsid w:val="00E109B9"/>
    <w:rsid w:val="00E10AFC"/>
    <w:rsid w:val="00E10B03"/>
    <w:rsid w:val="00E10B72"/>
    <w:rsid w:val="00E10D31"/>
    <w:rsid w:val="00E10E61"/>
    <w:rsid w:val="00E10E72"/>
    <w:rsid w:val="00E10FCB"/>
    <w:rsid w:val="00E11027"/>
    <w:rsid w:val="00E11055"/>
    <w:rsid w:val="00E1109D"/>
    <w:rsid w:val="00E117C9"/>
    <w:rsid w:val="00E11880"/>
    <w:rsid w:val="00E11AD6"/>
    <w:rsid w:val="00E11AD9"/>
    <w:rsid w:val="00E11BD0"/>
    <w:rsid w:val="00E11DBD"/>
    <w:rsid w:val="00E11DCE"/>
    <w:rsid w:val="00E11E6F"/>
    <w:rsid w:val="00E124C1"/>
    <w:rsid w:val="00E12569"/>
    <w:rsid w:val="00E1262E"/>
    <w:rsid w:val="00E1265B"/>
    <w:rsid w:val="00E1279C"/>
    <w:rsid w:val="00E12809"/>
    <w:rsid w:val="00E12868"/>
    <w:rsid w:val="00E12D5F"/>
    <w:rsid w:val="00E12DC5"/>
    <w:rsid w:val="00E12FBF"/>
    <w:rsid w:val="00E1300F"/>
    <w:rsid w:val="00E131F4"/>
    <w:rsid w:val="00E131FB"/>
    <w:rsid w:val="00E13368"/>
    <w:rsid w:val="00E1354B"/>
    <w:rsid w:val="00E1374B"/>
    <w:rsid w:val="00E1379F"/>
    <w:rsid w:val="00E137E9"/>
    <w:rsid w:val="00E13871"/>
    <w:rsid w:val="00E1390B"/>
    <w:rsid w:val="00E139A4"/>
    <w:rsid w:val="00E13A63"/>
    <w:rsid w:val="00E13F91"/>
    <w:rsid w:val="00E14015"/>
    <w:rsid w:val="00E140DD"/>
    <w:rsid w:val="00E1429A"/>
    <w:rsid w:val="00E142F6"/>
    <w:rsid w:val="00E143FC"/>
    <w:rsid w:val="00E1445C"/>
    <w:rsid w:val="00E144E2"/>
    <w:rsid w:val="00E14741"/>
    <w:rsid w:val="00E14802"/>
    <w:rsid w:val="00E14951"/>
    <w:rsid w:val="00E14A6C"/>
    <w:rsid w:val="00E14A75"/>
    <w:rsid w:val="00E14B50"/>
    <w:rsid w:val="00E14BF1"/>
    <w:rsid w:val="00E14CC7"/>
    <w:rsid w:val="00E14D67"/>
    <w:rsid w:val="00E14DCB"/>
    <w:rsid w:val="00E14F9E"/>
    <w:rsid w:val="00E15115"/>
    <w:rsid w:val="00E1526F"/>
    <w:rsid w:val="00E1547E"/>
    <w:rsid w:val="00E154D1"/>
    <w:rsid w:val="00E154D2"/>
    <w:rsid w:val="00E155BB"/>
    <w:rsid w:val="00E15660"/>
    <w:rsid w:val="00E156CD"/>
    <w:rsid w:val="00E157C4"/>
    <w:rsid w:val="00E1588F"/>
    <w:rsid w:val="00E158DD"/>
    <w:rsid w:val="00E15AAE"/>
    <w:rsid w:val="00E15AB0"/>
    <w:rsid w:val="00E15ADD"/>
    <w:rsid w:val="00E15BD5"/>
    <w:rsid w:val="00E15BFB"/>
    <w:rsid w:val="00E15C22"/>
    <w:rsid w:val="00E15D36"/>
    <w:rsid w:val="00E15DA2"/>
    <w:rsid w:val="00E15F66"/>
    <w:rsid w:val="00E160CD"/>
    <w:rsid w:val="00E16225"/>
    <w:rsid w:val="00E16607"/>
    <w:rsid w:val="00E16749"/>
    <w:rsid w:val="00E16995"/>
    <w:rsid w:val="00E169D7"/>
    <w:rsid w:val="00E16ACA"/>
    <w:rsid w:val="00E16BB2"/>
    <w:rsid w:val="00E16C24"/>
    <w:rsid w:val="00E16D28"/>
    <w:rsid w:val="00E16F39"/>
    <w:rsid w:val="00E17028"/>
    <w:rsid w:val="00E1711C"/>
    <w:rsid w:val="00E171C1"/>
    <w:rsid w:val="00E17526"/>
    <w:rsid w:val="00E176E8"/>
    <w:rsid w:val="00E1773B"/>
    <w:rsid w:val="00E177B2"/>
    <w:rsid w:val="00E179B5"/>
    <w:rsid w:val="00E17A61"/>
    <w:rsid w:val="00E17D0D"/>
    <w:rsid w:val="00E17E46"/>
    <w:rsid w:val="00E17F2E"/>
    <w:rsid w:val="00E17F93"/>
    <w:rsid w:val="00E204B6"/>
    <w:rsid w:val="00E20951"/>
    <w:rsid w:val="00E209DB"/>
    <w:rsid w:val="00E20B62"/>
    <w:rsid w:val="00E20F8C"/>
    <w:rsid w:val="00E20FA5"/>
    <w:rsid w:val="00E211B7"/>
    <w:rsid w:val="00E2127C"/>
    <w:rsid w:val="00E21629"/>
    <w:rsid w:val="00E21748"/>
    <w:rsid w:val="00E217BB"/>
    <w:rsid w:val="00E219AA"/>
    <w:rsid w:val="00E219C5"/>
    <w:rsid w:val="00E21A05"/>
    <w:rsid w:val="00E21A69"/>
    <w:rsid w:val="00E21A7D"/>
    <w:rsid w:val="00E21B45"/>
    <w:rsid w:val="00E2207D"/>
    <w:rsid w:val="00E221D3"/>
    <w:rsid w:val="00E22382"/>
    <w:rsid w:val="00E22384"/>
    <w:rsid w:val="00E223AD"/>
    <w:rsid w:val="00E224F0"/>
    <w:rsid w:val="00E225DF"/>
    <w:rsid w:val="00E227A1"/>
    <w:rsid w:val="00E22975"/>
    <w:rsid w:val="00E22995"/>
    <w:rsid w:val="00E22B9E"/>
    <w:rsid w:val="00E22BA6"/>
    <w:rsid w:val="00E22DE3"/>
    <w:rsid w:val="00E22FD2"/>
    <w:rsid w:val="00E230CD"/>
    <w:rsid w:val="00E2314C"/>
    <w:rsid w:val="00E23560"/>
    <w:rsid w:val="00E23686"/>
    <w:rsid w:val="00E24015"/>
    <w:rsid w:val="00E24082"/>
    <w:rsid w:val="00E24275"/>
    <w:rsid w:val="00E24345"/>
    <w:rsid w:val="00E2445D"/>
    <w:rsid w:val="00E2454C"/>
    <w:rsid w:val="00E246C6"/>
    <w:rsid w:val="00E24701"/>
    <w:rsid w:val="00E24A06"/>
    <w:rsid w:val="00E24B34"/>
    <w:rsid w:val="00E24E9F"/>
    <w:rsid w:val="00E24F03"/>
    <w:rsid w:val="00E24F53"/>
    <w:rsid w:val="00E25144"/>
    <w:rsid w:val="00E25197"/>
    <w:rsid w:val="00E251E3"/>
    <w:rsid w:val="00E2557B"/>
    <w:rsid w:val="00E25746"/>
    <w:rsid w:val="00E25A2D"/>
    <w:rsid w:val="00E25B2C"/>
    <w:rsid w:val="00E25B5D"/>
    <w:rsid w:val="00E25CD8"/>
    <w:rsid w:val="00E25F63"/>
    <w:rsid w:val="00E25F97"/>
    <w:rsid w:val="00E25FDD"/>
    <w:rsid w:val="00E260F9"/>
    <w:rsid w:val="00E26176"/>
    <w:rsid w:val="00E261E2"/>
    <w:rsid w:val="00E26232"/>
    <w:rsid w:val="00E2637C"/>
    <w:rsid w:val="00E264EC"/>
    <w:rsid w:val="00E26501"/>
    <w:rsid w:val="00E26859"/>
    <w:rsid w:val="00E268D6"/>
    <w:rsid w:val="00E26A72"/>
    <w:rsid w:val="00E26BB9"/>
    <w:rsid w:val="00E26CFE"/>
    <w:rsid w:val="00E26E27"/>
    <w:rsid w:val="00E272D3"/>
    <w:rsid w:val="00E276E1"/>
    <w:rsid w:val="00E27946"/>
    <w:rsid w:val="00E27964"/>
    <w:rsid w:val="00E27D07"/>
    <w:rsid w:val="00E27D4C"/>
    <w:rsid w:val="00E27E6E"/>
    <w:rsid w:val="00E27EAD"/>
    <w:rsid w:val="00E27F34"/>
    <w:rsid w:val="00E27F47"/>
    <w:rsid w:val="00E3003D"/>
    <w:rsid w:val="00E300A7"/>
    <w:rsid w:val="00E300B4"/>
    <w:rsid w:val="00E30257"/>
    <w:rsid w:val="00E3048B"/>
    <w:rsid w:val="00E30689"/>
    <w:rsid w:val="00E3103E"/>
    <w:rsid w:val="00E3111B"/>
    <w:rsid w:val="00E311FA"/>
    <w:rsid w:val="00E312E7"/>
    <w:rsid w:val="00E315A4"/>
    <w:rsid w:val="00E31620"/>
    <w:rsid w:val="00E31811"/>
    <w:rsid w:val="00E318E2"/>
    <w:rsid w:val="00E31950"/>
    <w:rsid w:val="00E31AE9"/>
    <w:rsid w:val="00E31B1F"/>
    <w:rsid w:val="00E31BC6"/>
    <w:rsid w:val="00E31C7E"/>
    <w:rsid w:val="00E31D51"/>
    <w:rsid w:val="00E320BE"/>
    <w:rsid w:val="00E322AD"/>
    <w:rsid w:val="00E32430"/>
    <w:rsid w:val="00E325AE"/>
    <w:rsid w:val="00E32C22"/>
    <w:rsid w:val="00E32D1E"/>
    <w:rsid w:val="00E32E12"/>
    <w:rsid w:val="00E32E13"/>
    <w:rsid w:val="00E32FD4"/>
    <w:rsid w:val="00E33001"/>
    <w:rsid w:val="00E3306D"/>
    <w:rsid w:val="00E3312C"/>
    <w:rsid w:val="00E33138"/>
    <w:rsid w:val="00E332BE"/>
    <w:rsid w:val="00E333B4"/>
    <w:rsid w:val="00E33533"/>
    <w:rsid w:val="00E33537"/>
    <w:rsid w:val="00E33566"/>
    <w:rsid w:val="00E3369A"/>
    <w:rsid w:val="00E337D4"/>
    <w:rsid w:val="00E337E9"/>
    <w:rsid w:val="00E3380D"/>
    <w:rsid w:val="00E338E5"/>
    <w:rsid w:val="00E3392D"/>
    <w:rsid w:val="00E33B7C"/>
    <w:rsid w:val="00E33C79"/>
    <w:rsid w:val="00E33DAF"/>
    <w:rsid w:val="00E33DC4"/>
    <w:rsid w:val="00E33F55"/>
    <w:rsid w:val="00E33FD0"/>
    <w:rsid w:val="00E34037"/>
    <w:rsid w:val="00E34155"/>
    <w:rsid w:val="00E34182"/>
    <w:rsid w:val="00E341DA"/>
    <w:rsid w:val="00E34625"/>
    <w:rsid w:val="00E349CF"/>
    <w:rsid w:val="00E34C15"/>
    <w:rsid w:val="00E34F9F"/>
    <w:rsid w:val="00E35023"/>
    <w:rsid w:val="00E3526F"/>
    <w:rsid w:val="00E35282"/>
    <w:rsid w:val="00E3529E"/>
    <w:rsid w:val="00E352A0"/>
    <w:rsid w:val="00E354D1"/>
    <w:rsid w:val="00E356E6"/>
    <w:rsid w:val="00E35866"/>
    <w:rsid w:val="00E35D38"/>
    <w:rsid w:val="00E35D50"/>
    <w:rsid w:val="00E35E1D"/>
    <w:rsid w:val="00E35EFD"/>
    <w:rsid w:val="00E360A3"/>
    <w:rsid w:val="00E3686A"/>
    <w:rsid w:val="00E36997"/>
    <w:rsid w:val="00E36C8A"/>
    <w:rsid w:val="00E36D78"/>
    <w:rsid w:val="00E36F54"/>
    <w:rsid w:val="00E370EF"/>
    <w:rsid w:val="00E373D8"/>
    <w:rsid w:val="00E37558"/>
    <w:rsid w:val="00E376D5"/>
    <w:rsid w:val="00E379BE"/>
    <w:rsid w:val="00E37D89"/>
    <w:rsid w:val="00E37DBC"/>
    <w:rsid w:val="00E4004F"/>
    <w:rsid w:val="00E40082"/>
    <w:rsid w:val="00E40156"/>
    <w:rsid w:val="00E406E5"/>
    <w:rsid w:val="00E40AD2"/>
    <w:rsid w:val="00E40BDC"/>
    <w:rsid w:val="00E40D8B"/>
    <w:rsid w:val="00E40DB8"/>
    <w:rsid w:val="00E40E8F"/>
    <w:rsid w:val="00E40F06"/>
    <w:rsid w:val="00E4102A"/>
    <w:rsid w:val="00E4107D"/>
    <w:rsid w:val="00E41084"/>
    <w:rsid w:val="00E410B3"/>
    <w:rsid w:val="00E4122C"/>
    <w:rsid w:val="00E4154C"/>
    <w:rsid w:val="00E41643"/>
    <w:rsid w:val="00E416F7"/>
    <w:rsid w:val="00E41991"/>
    <w:rsid w:val="00E419A4"/>
    <w:rsid w:val="00E41CD9"/>
    <w:rsid w:val="00E41D98"/>
    <w:rsid w:val="00E41DF1"/>
    <w:rsid w:val="00E41E23"/>
    <w:rsid w:val="00E41EC1"/>
    <w:rsid w:val="00E42006"/>
    <w:rsid w:val="00E420BC"/>
    <w:rsid w:val="00E4239F"/>
    <w:rsid w:val="00E4244F"/>
    <w:rsid w:val="00E4245B"/>
    <w:rsid w:val="00E424F5"/>
    <w:rsid w:val="00E426F5"/>
    <w:rsid w:val="00E428DF"/>
    <w:rsid w:val="00E42943"/>
    <w:rsid w:val="00E429E3"/>
    <w:rsid w:val="00E42B7F"/>
    <w:rsid w:val="00E42E50"/>
    <w:rsid w:val="00E430B7"/>
    <w:rsid w:val="00E4315E"/>
    <w:rsid w:val="00E431FA"/>
    <w:rsid w:val="00E4325C"/>
    <w:rsid w:val="00E433F5"/>
    <w:rsid w:val="00E43480"/>
    <w:rsid w:val="00E4353B"/>
    <w:rsid w:val="00E435FE"/>
    <w:rsid w:val="00E43692"/>
    <w:rsid w:val="00E436C9"/>
    <w:rsid w:val="00E43831"/>
    <w:rsid w:val="00E43D29"/>
    <w:rsid w:val="00E43DB2"/>
    <w:rsid w:val="00E43F6A"/>
    <w:rsid w:val="00E4409A"/>
    <w:rsid w:val="00E44144"/>
    <w:rsid w:val="00E4421B"/>
    <w:rsid w:val="00E442E4"/>
    <w:rsid w:val="00E4455A"/>
    <w:rsid w:val="00E44614"/>
    <w:rsid w:val="00E4473F"/>
    <w:rsid w:val="00E4486C"/>
    <w:rsid w:val="00E4488B"/>
    <w:rsid w:val="00E448C4"/>
    <w:rsid w:val="00E449BA"/>
    <w:rsid w:val="00E44CBF"/>
    <w:rsid w:val="00E44D2C"/>
    <w:rsid w:val="00E44E5D"/>
    <w:rsid w:val="00E450E8"/>
    <w:rsid w:val="00E45128"/>
    <w:rsid w:val="00E453D7"/>
    <w:rsid w:val="00E453E6"/>
    <w:rsid w:val="00E45407"/>
    <w:rsid w:val="00E4545F"/>
    <w:rsid w:val="00E4560F"/>
    <w:rsid w:val="00E45773"/>
    <w:rsid w:val="00E45868"/>
    <w:rsid w:val="00E45880"/>
    <w:rsid w:val="00E45894"/>
    <w:rsid w:val="00E45B9A"/>
    <w:rsid w:val="00E45BE7"/>
    <w:rsid w:val="00E45C9F"/>
    <w:rsid w:val="00E4617A"/>
    <w:rsid w:val="00E4631D"/>
    <w:rsid w:val="00E463DF"/>
    <w:rsid w:val="00E4651B"/>
    <w:rsid w:val="00E46827"/>
    <w:rsid w:val="00E46A47"/>
    <w:rsid w:val="00E46AB6"/>
    <w:rsid w:val="00E46BAE"/>
    <w:rsid w:val="00E46C74"/>
    <w:rsid w:val="00E46CA4"/>
    <w:rsid w:val="00E46DBE"/>
    <w:rsid w:val="00E46F49"/>
    <w:rsid w:val="00E4706A"/>
    <w:rsid w:val="00E472F8"/>
    <w:rsid w:val="00E47457"/>
    <w:rsid w:val="00E4757F"/>
    <w:rsid w:val="00E475C6"/>
    <w:rsid w:val="00E475E7"/>
    <w:rsid w:val="00E4775C"/>
    <w:rsid w:val="00E478F1"/>
    <w:rsid w:val="00E479B3"/>
    <w:rsid w:val="00E47CB5"/>
    <w:rsid w:val="00E47E6B"/>
    <w:rsid w:val="00E47ECE"/>
    <w:rsid w:val="00E503A0"/>
    <w:rsid w:val="00E50432"/>
    <w:rsid w:val="00E50467"/>
    <w:rsid w:val="00E505F7"/>
    <w:rsid w:val="00E50875"/>
    <w:rsid w:val="00E508E3"/>
    <w:rsid w:val="00E50A5F"/>
    <w:rsid w:val="00E50B1A"/>
    <w:rsid w:val="00E50BA0"/>
    <w:rsid w:val="00E50D95"/>
    <w:rsid w:val="00E50DD8"/>
    <w:rsid w:val="00E50EC5"/>
    <w:rsid w:val="00E510E1"/>
    <w:rsid w:val="00E51112"/>
    <w:rsid w:val="00E51276"/>
    <w:rsid w:val="00E5130E"/>
    <w:rsid w:val="00E51325"/>
    <w:rsid w:val="00E51348"/>
    <w:rsid w:val="00E513D6"/>
    <w:rsid w:val="00E514AB"/>
    <w:rsid w:val="00E514FF"/>
    <w:rsid w:val="00E516C2"/>
    <w:rsid w:val="00E51735"/>
    <w:rsid w:val="00E518E5"/>
    <w:rsid w:val="00E51952"/>
    <w:rsid w:val="00E51A37"/>
    <w:rsid w:val="00E51A74"/>
    <w:rsid w:val="00E51ACC"/>
    <w:rsid w:val="00E51B2A"/>
    <w:rsid w:val="00E51FB8"/>
    <w:rsid w:val="00E5206D"/>
    <w:rsid w:val="00E522E5"/>
    <w:rsid w:val="00E523CA"/>
    <w:rsid w:val="00E5253F"/>
    <w:rsid w:val="00E525A2"/>
    <w:rsid w:val="00E526F9"/>
    <w:rsid w:val="00E52770"/>
    <w:rsid w:val="00E52796"/>
    <w:rsid w:val="00E52838"/>
    <w:rsid w:val="00E52AA4"/>
    <w:rsid w:val="00E52CCE"/>
    <w:rsid w:val="00E52CD6"/>
    <w:rsid w:val="00E52FEA"/>
    <w:rsid w:val="00E52FF1"/>
    <w:rsid w:val="00E5302A"/>
    <w:rsid w:val="00E530DD"/>
    <w:rsid w:val="00E53957"/>
    <w:rsid w:val="00E539C4"/>
    <w:rsid w:val="00E53A73"/>
    <w:rsid w:val="00E53BFB"/>
    <w:rsid w:val="00E53E21"/>
    <w:rsid w:val="00E53E7C"/>
    <w:rsid w:val="00E53EE2"/>
    <w:rsid w:val="00E53F8F"/>
    <w:rsid w:val="00E54001"/>
    <w:rsid w:val="00E5405E"/>
    <w:rsid w:val="00E540D0"/>
    <w:rsid w:val="00E5429F"/>
    <w:rsid w:val="00E545DB"/>
    <w:rsid w:val="00E545E1"/>
    <w:rsid w:val="00E54701"/>
    <w:rsid w:val="00E54788"/>
    <w:rsid w:val="00E5484A"/>
    <w:rsid w:val="00E5489A"/>
    <w:rsid w:val="00E548F0"/>
    <w:rsid w:val="00E54957"/>
    <w:rsid w:val="00E54C51"/>
    <w:rsid w:val="00E54CF1"/>
    <w:rsid w:val="00E54F96"/>
    <w:rsid w:val="00E550BB"/>
    <w:rsid w:val="00E551F4"/>
    <w:rsid w:val="00E5568A"/>
    <w:rsid w:val="00E5580E"/>
    <w:rsid w:val="00E55D13"/>
    <w:rsid w:val="00E56328"/>
    <w:rsid w:val="00E563E0"/>
    <w:rsid w:val="00E5654B"/>
    <w:rsid w:val="00E565BB"/>
    <w:rsid w:val="00E5673A"/>
    <w:rsid w:val="00E56A49"/>
    <w:rsid w:val="00E56B75"/>
    <w:rsid w:val="00E571D1"/>
    <w:rsid w:val="00E57479"/>
    <w:rsid w:val="00E574E8"/>
    <w:rsid w:val="00E57591"/>
    <w:rsid w:val="00E5763D"/>
    <w:rsid w:val="00E576B4"/>
    <w:rsid w:val="00E5776D"/>
    <w:rsid w:val="00E5781F"/>
    <w:rsid w:val="00E5790C"/>
    <w:rsid w:val="00E57A3C"/>
    <w:rsid w:val="00E57BA6"/>
    <w:rsid w:val="00E57BCE"/>
    <w:rsid w:val="00E57C96"/>
    <w:rsid w:val="00E57D61"/>
    <w:rsid w:val="00E57ECE"/>
    <w:rsid w:val="00E57EDB"/>
    <w:rsid w:val="00E57F07"/>
    <w:rsid w:val="00E57FE2"/>
    <w:rsid w:val="00E60008"/>
    <w:rsid w:val="00E6003B"/>
    <w:rsid w:val="00E60078"/>
    <w:rsid w:val="00E600FA"/>
    <w:rsid w:val="00E60324"/>
    <w:rsid w:val="00E603B4"/>
    <w:rsid w:val="00E6043C"/>
    <w:rsid w:val="00E60484"/>
    <w:rsid w:val="00E60657"/>
    <w:rsid w:val="00E60681"/>
    <w:rsid w:val="00E60781"/>
    <w:rsid w:val="00E6085E"/>
    <w:rsid w:val="00E60AF6"/>
    <w:rsid w:val="00E60D8E"/>
    <w:rsid w:val="00E60D8F"/>
    <w:rsid w:val="00E60DA6"/>
    <w:rsid w:val="00E60E5B"/>
    <w:rsid w:val="00E610AE"/>
    <w:rsid w:val="00E61549"/>
    <w:rsid w:val="00E615FC"/>
    <w:rsid w:val="00E61756"/>
    <w:rsid w:val="00E617D4"/>
    <w:rsid w:val="00E6207B"/>
    <w:rsid w:val="00E62222"/>
    <w:rsid w:val="00E622F6"/>
    <w:rsid w:val="00E6282A"/>
    <w:rsid w:val="00E6285E"/>
    <w:rsid w:val="00E62AEA"/>
    <w:rsid w:val="00E62AFF"/>
    <w:rsid w:val="00E62BFD"/>
    <w:rsid w:val="00E62C6F"/>
    <w:rsid w:val="00E62DBE"/>
    <w:rsid w:val="00E63147"/>
    <w:rsid w:val="00E63836"/>
    <w:rsid w:val="00E63887"/>
    <w:rsid w:val="00E638E2"/>
    <w:rsid w:val="00E63919"/>
    <w:rsid w:val="00E63A2B"/>
    <w:rsid w:val="00E63B78"/>
    <w:rsid w:val="00E63D7A"/>
    <w:rsid w:val="00E63E99"/>
    <w:rsid w:val="00E6401D"/>
    <w:rsid w:val="00E64083"/>
    <w:rsid w:val="00E64449"/>
    <w:rsid w:val="00E64568"/>
    <w:rsid w:val="00E645BC"/>
    <w:rsid w:val="00E646E2"/>
    <w:rsid w:val="00E64798"/>
    <w:rsid w:val="00E647B0"/>
    <w:rsid w:val="00E64831"/>
    <w:rsid w:val="00E648FD"/>
    <w:rsid w:val="00E64B0D"/>
    <w:rsid w:val="00E64C7A"/>
    <w:rsid w:val="00E64C9E"/>
    <w:rsid w:val="00E64E0F"/>
    <w:rsid w:val="00E65014"/>
    <w:rsid w:val="00E650C5"/>
    <w:rsid w:val="00E651D1"/>
    <w:rsid w:val="00E6521C"/>
    <w:rsid w:val="00E65289"/>
    <w:rsid w:val="00E656DE"/>
    <w:rsid w:val="00E659EC"/>
    <w:rsid w:val="00E65B4B"/>
    <w:rsid w:val="00E65E7B"/>
    <w:rsid w:val="00E65E8A"/>
    <w:rsid w:val="00E66099"/>
    <w:rsid w:val="00E6615A"/>
    <w:rsid w:val="00E6621F"/>
    <w:rsid w:val="00E662A6"/>
    <w:rsid w:val="00E665AD"/>
    <w:rsid w:val="00E665EA"/>
    <w:rsid w:val="00E66675"/>
    <w:rsid w:val="00E66728"/>
    <w:rsid w:val="00E66AE7"/>
    <w:rsid w:val="00E66B17"/>
    <w:rsid w:val="00E66BE4"/>
    <w:rsid w:val="00E66C0D"/>
    <w:rsid w:val="00E66C86"/>
    <w:rsid w:val="00E66ED9"/>
    <w:rsid w:val="00E67165"/>
    <w:rsid w:val="00E671F3"/>
    <w:rsid w:val="00E67244"/>
    <w:rsid w:val="00E673F6"/>
    <w:rsid w:val="00E67457"/>
    <w:rsid w:val="00E67472"/>
    <w:rsid w:val="00E675FB"/>
    <w:rsid w:val="00E676C4"/>
    <w:rsid w:val="00E67817"/>
    <w:rsid w:val="00E6790F"/>
    <w:rsid w:val="00E67918"/>
    <w:rsid w:val="00E67C59"/>
    <w:rsid w:val="00E67D83"/>
    <w:rsid w:val="00E67E75"/>
    <w:rsid w:val="00E67EAA"/>
    <w:rsid w:val="00E67F85"/>
    <w:rsid w:val="00E67FEE"/>
    <w:rsid w:val="00E700AA"/>
    <w:rsid w:val="00E701F2"/>
    <w:rsid w:val="00E702E9"/>
    <w:rsid w:val="00E70475"/>
    <w:rsid w:val="00E70596"/>
    <w:rsid w:val="00E705FA"/>
    <w:rsid w:val="00E70706"/>
    <w:rsid w:val="00E7071A"/>
    <w:rsid w:val="00E70831"/>
    <w:rsid w:val="00E7088A"/>
    <w:rsid w:val="00E70E29"/>
    <w:rsid w:val="00E70EB1"/>
    <w:rsid w:val="00E71032"/>
    <w:rsid w:val="00E713F8"/>
    <w:rsid w:val="00E716B7"/>
    <w:rsid w:val="00E7183E"/>
    <w:rsid w:val="00E71A60"/>
    <w:rsid w:val="00E71AE5"/>
    <w:rsid w:val="00E71D2B"/>
    <w:rsid w:val="00E71DD0"/>
    <w:rsid w:val="00E71DFD"/>
    <w:rsid w:val="00E71E5B"/>
    <w:rsid w:val="00E71EE7"/>
    <w:rsid w:val="00E71FCE"/>
    <w:rsid w:val="00E72177"/>
    <w:rsid w:val="00E72690"/>
    <w:rsid w:val="00E72695"/>
    <w:rsid w:val="00E7272F"/>
    <w:rsid w:val="00E72820"/>
    <w:rsid w:val="00E729DB"/>
    <w:rsid w:val="00E72BC6"/>
    <w:rsid w:val="00E72D1F"/>
    <w:rsid w:val="00E72DCD"/>
    <w:rsid w:val="00E72FB1"/>
    <w:rsid w:val="00E72FB2"/>
    <w:rsid w:val="00E72FD5"/>
    <w:rsid w:val="00E7325C"/>
    <w:rsid w:val="00E7343F"/>
    <w:rsid w:val="00E73464"/>
    <w:rsid w:val="00E736CC"/>
    <w:rsid w:val="00E73A2D"/>
    <w:rsid w:val="00E73AE2"/>
    <w:rsid w:val="00E73B48"/>
    <w:rsid w:val="00E73B6D"/>
    <w:rsid w:val="00E73B9F"/>
    <w:rsid w:val="00E73BA2"/>
    <w:rsid w:val="00E73BFE"/>
    <w:rsid w:val="00E73F26"/>
    <w:rsid w:val="00E73F53"/>
    <w:rsid w:val="00E74193"/>
    <w:rsid w:val="00E742F2"/>
    <w:rsid w:val="00E743D0"/>
    <w:rsid w:val="00E7448C"/>
    <w:rsid w:val="00E747B7"/>
    <w:rsid w:val="00E74888"/>
    <w:rsid w:val="00E74948"/>
    <w:rsid w:val="00E74BF9"/>
    <w:rsid w:val="00E74C26"/>
    <w:rsid w:val="00E74D38"/>
    <w:rsid w:val="00E74DE6"/>
    <w:rsid w:val="00E74E5C"/>
    <w:rsid w:val="00E74E98"/>
    <w:rsid w:val="00E74F04"/>
    <w:rsid w:val="00E74F0E"/>
    <w:rsid w:val="00E750D5"/>
    <w:rsid w:val="00E751FE"/>
    <w:rsid w:val="00E75262"/>
    <w:rsid w:val="00E753A8"/>
    <w:rsid w:val="00E75530"/>
    <w:rsid w:val="00E755A7"/>
    <w:rsid w:val="00E755D7"/>
    <w:rsid w:val="00E75743"/>
    <w:rsid w:val="00E75774"/>
    <w:rsid w:val="00E757B1"/>
    <w:rsid w:val="00E7585B"/>
    <w:rsid w:val="00E758F6"/>
    <w:rsid w:val="00E759C5"/>
    <w:rsid w:val="00E759E7"/>
    <w:rsid w:val="00E75A3E"/>
    <w:rsid w:val="00E75A45"/>
    <w:rsid w:val="00E75C00"/>
    <w:rsid w:val="00E75F41"/>
    <w:rsid w:val="00E75FB5"/>
    <w:rsid w:val="00E76259"/>
    <w:rsid w:val="00E7627C"/>
    <w:rsid w:val="00E7639C"/>
    <w:rsid w:val="00E7647E"/>
    <w:rsid w:val="00E76659"/>
    <w:rsid w:val="00E7677B"/>
    <w:rsid w:val="00E76ABC"/>
    <w:rsid w:val="00E76C0E"/>
    <w:rsid w:val="00E76F8C"/>
    <w:rsid w:val="00E771BE"/>
    <w:rsid w:val="00E772F9"/>
    <w:rsid w:val="00E77341"/>
    <w:rsid w:val="00E77669"/>
    <w:rsid w:val="00E776EE"/>
    <w:rsid w:val="00E77872"/>
    <w:rsid w:val="00E779AB"/>
    <w:rsid w:val="00E779EF"/>
    <w:rsid w:val="00E77AD3"/>
    <w:rsid w:val="00E77BC3"/>
    <w:rsid w:val="00E77CD9"/>
    <w:rsid w:val="00E77DCA"/>
    <w:rsid w:val="00E801C8"/>
    <w:rsid w:val="00E8032E"/>
    <w:rsid w:val="00E805C8"/>
    <w:rsid w:val="00E805FB"/>
    <w:rsid w:val="00E807A2"/>
    <w:rsid w:val="00E80A58"/>
    <w:rsid w:val="00E80B0B"/>
    <w:rsid w:val="00E80B34"/>
    <w:rsid w:val="00E80B93"/>
    <w:rsid w:val="00E80D07"/>
    <w:rsid w:val="00E80D4E"/>
    <w:rsid w:val="00E80E43"/>
    <w:rsid w:val="00E80F5A"/>
    <w:rsid w:val="00E8107C"/>
    <w:rsid w:val="00E81387"/>
    <w:rsid w:val="00E8173A"/>
    <w:rsid w:val="00E81BDD"/>
    <w:rsid w:val="00E81BFD"/>
    <w:rsid w:val="00E81EF0"/>
    <w:rsid w:val="00E81F65"/>
    <w:rsid w:val="00E81FB6"/>
    <w:rsid w:val="00E82036"/>
    <w:rsid w:val="00E82183"/>
    <w:rsid w:val="00E82362"/>
    <w:rsid w:val="00E82384"/>
    <w:rsid w:val="00E823E8"/>
    <w:rsid w:val="00E8247F"/>
    <w:rsid w:val="00E82515"/>
    <w:rsid w:val="00E827BC"/>
    <w:rsid w:val="00E82817"/>
    <w:rsid w:val="00E82A51"/>
    <w:rsid w:val="00E82D3A"/>
    <w:rsid w:val="00E83211"/>
    <w:rsid w:val="00E8327E"/>
    <w:rsid w:val="00E832E7"/>
    <w:rsid w:val="00E83499"/>
    <w:rsid w:val="00E834FE"/>
    <w:rsid w:val="00E83505"/>
    <w:rsid w:val="00E83765"/>
    <w:rsid w:val="00E838A8"/>
    <w:rsid w:val="00E83B45"/>
    <w:rsid w:val="00E83F3E"/>
    <w:rsid w:val="00E83F81"/>
    <w:rsid w:val="00E83FAE"/>
    <w:rsid w:val="00E84374"/>
    <w:rsid w:val="00E843B9"/>
    <w:rsid w:val="00E846F2"/>
    <w:rsid w:val="00E847B9"/>
    <w:rsid w:val="00E8488C"/>
    <w:rsid w:val="00E84A0F"/>
    <w:rsid w:val="00E84B4A"/>
    <w:rsid w:val="00E84EFA"/>
    <w:rsid w:val="00E84FFA"/>
    <w:rsid w:val="00E85231"/>
    <w:rsid w:val="00E8544B"/>
    <w:rsid w:val="00E856EC"/>
    <w:rsid w:val="00E85929"/>
    <w:rsid w:val="00E85AE8"/>
    <w:rsid w:val="00E85B12"/>
    <w:rsid w:val="00E85B58"/>
    <w:rsid w:val="00E85C9A"/>
    <w:rsid w:val="00E85E99"/>
    <w:rsid w:val="00E8600F"/>
    <w:rsid w:val="00E86225"/>
    <w:rsid w:val="00E8640B"/>
    <w:rsid w:val="00E86422"/>
    <w:rsid w:val="00E865DF"/>
    <w:rsid w:val="00E86745"/>
    <w:rsid w:val="00E86792"/>
    <w:rsid w:val="00E869CF"/>
    <w:rsid w:val="00E869E3"/>
    <w:rsid w:val="00E86A8B"/>
    <w:rsid w:val="00E86B6C"/>
    <w:rsid w:val="00E87334"/>
    <w:rsid w:val="00E8748C"/>
    <w:rsid w:val="00E8769E"/>
    <w:rsid w:val="00E87710"/>
    <w:rsid w:val="00E87AC7"/>
    <w:rsid w:val="00E87BC6"/>
    <w:rsid w:val="00E87CBA"/>
    <w:rsid w:val="00E87DC6"/>
    <w:rsid w:val="00E87DC8"/>
    <w:rsid w:val="00E87EF2"/>
    <w:rsid w:val="00E9018E"/>
    <w:rsid w:val="00E90327"/>
    <w:rsid w:val="00E904F9"/>
    <w:rsid w:val="00E9056E"/>
    <w:rsid w:val="00E905B7"/>
    <w:rsid w:val="00E9095F"/>
    <w:rsid w:val="00E90A4E"/>
    <w:rsid w:val="00E90BE1"/>
    <w:rsid w:val="00E90C14"/>
    <w:rsid w:val="00E90D3F"/>
    <w:rsid w:val="00E90DF4"/>
    <w:rsid w:val="00E90E72"/>
    <w:rsid w:val="00E90F2D"/>
    <w:rsid w:val="00E90F53"/>
    <w:rsid w:val="00E90FCF"/>
    <w:rsid w:val="00E912CD"/>
    <w:rsid w:val="00E9130E"/>
    <w:rsid w:val="00E913A3"/>
    <w:rsid w:val="00E915C8"/>
    <w:rsid w:val="00E9176A"/>
    <w:rsid w:val="00E91EDA"/>
    <w:rsid w:val="00E9203E"/>
    <w:rsid w:val="00E920EF"/>
    <w:rsid w:val="00E92189"/>
    <w:rsid w:val="00E922BC"/>
    <w:rsid w:val="00E9234B"/>
    <w:rsid w:val="00E92375"/>
    <w:rsid w:val="00E92440"/>
    <w:rsid w:val="00E928A7"/>
    <w:rsid w:val="00E9291D"/>
    <w:rsid w:val="00E929B4"/>
    <w:rsid w:val="00E929F0"/>
    <w:rsid w:val="00E929F3"/>
    <w:rsid w:val="00E92AAF"/>
    <w:rsid w:val="00E92DAA"/>
    <w:rsid w:val="00E92FE9"/>
    <w:rsid w:val="00E930A9"/>
    <w:rsid w:val="00E934D7"/>
    <w:rsid w:val="00E9358B"/>
    <w:rsid w:val="00E93629"/>
    <w:rsid w:val="00E938BC"/>
    <w:rsid w:val="00E93A15"/>
    <w:rsid w:val="00E93C1C"/>
    <w:rsid w:val="00E93CA8"/>
    <w:rsid w:val="00E93E2A"/>
    <w:rsid w:val="00E93E82"/>
    <w:rsid w:val="00E93EDB"/>
    <w:rsid w:val="00E94072"/>
    <w:rsid w:val="00E94268"/>
    <w:rsid w:val="00E942A9"/>
    <w:rsid w:val="00E942F7"/>
    <w:rsid w:val="00E9483E"/>
    <w:rsid w:val="00E94985"/>
    <w:rsid w:val="00E94A0C"/>
    <w:rsid w:val="00E94A6D"/>
    <w:rsid w:val="00E94B5A"/>
    <w:rsid w:val="00E94D4C"/>
    <w:rsid w:val="00E94E3C"/>
    <w:rsid w:val="00E94E70"/>
    <w:rsid w:val="00E95085"/>
    <w:rsid w:val="00E9512D"/>
    <w:rsid w:val="00E95185"/>
    <w:rsid w:val="00E9538C"/>
    <w:rsid w:val="00E953D1"/>
    <w:rsid w:val="00E95551"/>
    <w:rsid w:val="00E955E0"/>
    <w:rsid w:val="00E9561F"/>
    <w:rsid w:val="00E95972"/>
    <w:rsid w:val="00E95A39"/>
    <w:rsid w:val="00E95C36"/>
    <w:rsid w:val="00E95D2C"/>
    <w:rsid w:val="00E95EB9"/>
    <w:rsid w:val="00E96203"/>
    <w:rsid w:val="00E96276"/>
    <w:rsid w:val="00E9656F"/>
    <w:rsid w:val="00E96693"/>
    <w:rsid w:val="00E966B2"/>
    <w:rsid w:val="00E9678A"/>
    <w:rsid w:val="00E96907"/>
    <w:rsid w:val="00E9691C"/>
    <w:rsid w:val="00E96979"/>
    <w:rsid w:val="00E96EA6"/>
    <w:rsid w:val="00E97103"/>
    <w:rsid w:val="00E97137"/>
    <w:rsid w:val="00E97496"/>
    <w:rsid w:val="00E9756C"/>
    <w:rsid w:val="00E97652"/>
    <w:rsid w:val="00E9771E"/>
    <w:rsid w:val="00E9776A"/>
    <w:rsid w:val="00E9777B"/>
    <w:rsid w:val="00E977CA"/>
    <w:rsid w:val="00E97CC5"/>
    <w:rsid w:val="00E97D60"/>
    <w:rsid w:val="00E97DF2"/>
    <w:rsid w:val="00E97E22"/>
    <w:rsid w:val="00EA0252"/>
    <w:rsid w:val="00EA0399"/>
    <w:rsid w:val="00EA045D"/>
    <w:rsid w:val="00EA04D9"/>
    <w:rsid w:val="00EA052A"/>
    <w:rsid w:val="00EA05B7"/>
    <w:rsid w:val="00EA0606"/>
    <w:rsid w:val="00EA07AB"/>
    <w:rsid w:val="00EA0AB7"/>
    <w:rsid w:val="00EA0B02"/>
    <w:rsid w:val="00EA0BE5"/>
    <w:rsid w:val="00EA0C2C"/>
    <w:rsid w:val="00EA0DCF"/>
    <w:rsid w:val="00EA1013"/>
    <w:rsid w:val="00EA112A"/>
    <w:rsid w:val="00EA1332"/>
    <w:rsid w:val="00EA14D3"/>
    <w:rsid w:val="00EA152F"/>
    <w:rsid w:val="00EA168A"/>
    <w:rsid w:val="00EA16D0"/>
    <w:rsid w:val="00EA16E0"/>
    <w:rsid w:val="00EA1840"/>
    <w:rsid w:val="00EA1AAC"/>
    <w:rsid w:val="00EA1E4B"/>
    <w:rsid w:val="00EA1EC8"/>
    <w:rsid w:val="00EA1F29"/>
    <w:rsid w:val="00EA2291"/>
    <w:rsid w:val="00EA2388"/>
    <w:rsid w:val="00EA240F"/>
    <w:rsid w:val="00EA263D"/>
    <w:rsid w:val="00EA2919"/>
    <w:rsid w:val="00EA295F"/>
    <w:rsid w:val="00EA2A49"/>
    <w:rsid w:val="00EA2DD6"/>
    <w:rsid w:val="00EA2DEA"/>
    <w:rsid w:val="00EA2DEE"/>
    <w:rsid w:val="00EA2E5D"/>
    <w:rsid w:val="00EA2E9B"/>
    <w:rsid w:val="00EA2FD6"/>
    <w:rsid w:val="00EA305D"/>
    <w:rsid w:val="00EA3121"/>
    <w:rsid w:val="00EA3128"/>
    <w:rsid w:val="00EA33AE"/>
    <w:rsid w:val="00EA33EF"/>
    <w:rsid w:val="00EA34F0"/>
    <w:rsid w:val="00EA3923"/>
    <w:rsid w:val="00EA3BE9"/>
    <w:rsid w:val="00EA3C09"/>
    <w:rsid w:val="00EA3DE1"/>
    <w:rsid w:val="00EA3E8F"/>
    <w:rsid w:val="00EA3F91"/>
    <w:rsid w:val="00EA423D"/>
    <w:rsid w:val="00EA44E4"/>
    <w:rsid w:val="00EA455B"/>
    <w:rsid w:val="00EA4616"/>
    <w:rsid w:val="00EA46DA"/>
    <w:rsid w:val="00EA4857"/>
    <w:rsid w:val="00EA4878"/>
    <w:rsid w:val="00EA487D"/>
    <w:rsid w:val="00EA48DF"/>
    <w:rsid w:val="00EA4A4E"/>
    <w:rsid w:val="00EA4A57"/>
    <w:rsid w:val="00EA4C6B"/>
    <w:rsid w:val="00EA4D4D"/>
    <w:rsid w:val="00EA4DF5"/>
    <w:rsid w:val="00EA50E6"/>
    <w:rsid w:val="00EA519D"/>
    <w:rsid w:val="00EA52EA"/>
    <w:rsid w:val="00EA53A4"/>
    <w:rsid w:val="00EA54AD"/>
    <w:rsid w:val="00EA569D"/>
    <w:rsid w:val="00EA56B3"/>
    <w:rsid w:val="00EA5743"/>
    <w:rsid w:val="00EA57AF"/>
    <w:rsid w:val="00EA57D5"/>
    <w:rsid w:val="00EA58F6"/>
    <w:rsid w:val="00EA5A5F"/>
    <w:rsid w:val="00EA5AAB"/>
    <w:rsid w:val="00EA5BC2"/>
    <w:rsid w:val="00EA5CDD"/>
    <w:rsid w:val="00EA5E2B"/>
    <w:rsid w:val="00EA5EF3"/>
    <w:rsid w:val="00EA5FE8"/>
    <w:rsid w:val="00EA60B1"/>
    <w:rsid w:val="00EA6754"/>
    <w:rsid w:val="00EA6794"/>
    <w:rsid w:val="00EA6B4F"/>
    <w:rsid w:val="00EA70C4"/>
    <w:rsid w:val="00EA71C4"/>
    <w:rsid w:val="00EA736A"/>
    <w:rsid w:val="00EA7376"/>
    <w:rsid w:val="00EA7445"/>
    <w:rsid w:val="00EA767C"/>
    <w:rsid w:val="00EA76F0"/>
    <w:rsid w:val="00EA7736"/>
    <w:rsid w:val="00EA7800"/>
    <w:rsid w:val="00EA7951"/>
    <w:rsid w:val="00EA79DB"/>
    <w:rsid w:val="00EA7B77"/>
    <w:rsid w:val="00EA7CA6"/>
    <w:rsid w:val="00EA7CD2"/>
    <w:rsid w:val="00EA7D33"/>
    <w:rsid w:val="00EA7DD8"/>
    <w:rsid w:val="00EA7FDC"/>
    <w:rsid w:val="00EB04F9"/>
    <w:rsid w:val="00EB0556"/>
    <w:rsid w:val="00EB067A"/>
    <w:rsid w:val="00EB06CB"/>
    <w:rsid w:val="00EB07F8"/>
    <w:rsid w:val="00EB0B66"/>
    <w:rsid w:val="00EB0D3C"/>
    <w:rsid w:val="00EB0DAF"/>
    <w:rsid w:val="00EB0DC3"/>
    <w:rsid w:val="00EB10F3"/>
    <w:rsid w:val="00EB1197"/>
    <w:rsid w:val="00EB119D"/>
    <w:rsid w:val="00EB12B7"/>
    <w:rsid w:val="00EB16DE"/>
    <w:rsid w:val="00EB1935"/>
    <w:rsid w:val="00EB19BD"/>
    <w:rsid w:val="00EB19C3"/>
    <w:rsid w:val="00EB1BFB"/>
    <w:rsid w:val="00EB1CD8"/>
    <w:rsid w:val="00EB1CF8"/>
    <w:rsid w:val="00EB1E25"/>
    <w:rsid w:val="00EB1FD5"/>
    <w:rsid w:val="00EB203B"/>
    <w:rsid w:val="00EB217E"/>
    <w:rsid w:val="00EB23C9"/>
    <w:rsid w:val="00EB24A4"/>
    <w:rsid w:val="00EB2738"/>
    <w:rsid w:val="00EB27D5"/>
    <w:rsid w:val="00EB291B"/>
    <w:rsid w:val="00EB2BFD"/>
    <w:rsid w:val="00EB2D37"/>
    <w:rsid w:val="00EB2D5C"/>
    <w:rsid w:val="00EB2F43"/>
    <w:rsid w:val="00EB2FB3"/>
    <w:rsid w:val="00EB30F3"/>
    <w:rsid w:val="00EB3191"/>
    <w:rsid w:val="00EB31CC"/>
    <w:rsid w:val="00EB3248"/>
    <w:rsid w:val="00EB33F7"/>
    <w:rsid w:val="00EB34B2"/>
    <w:rsid w:val="00EB3557"/>
    <w:rsid w:val="00EB3A0F"/>
    <w:rsid w:val="00EB3A87"/>
    <w:rsid w:val="00EB3B11"/>
    <w:rsid w:val="00EB3B37"/>
    <w:rsid w:val="00EB3FA1"/>
    <w:rsid w:val="00EB46C8"/>
    <w:rsid w:val="00EB47E8"/>
    <w:rsid w:val="00EB4B97"/>
    <w:rsid w:val="00EB4E4A"/>
    <w:rsid w:val="00EB5224"/>
    <w:rsid w:val="00EB534B"/>
    <w:rsid w:val="00EB5370"/>
    <w:rsid w:val="00EB55A9"/>
    <w:rsid w:val="00EB5633"/>
    <w:rsid w:val="00EB563C"/>
    <w:rsid w:val="00EB56A8"/>
    <w:rsid w:val="00EB5776"/>
    <w:rsid w:val="00EB58AA"/>
    <w:rsid w:val="00EB5934"/>
    <w:rsid w:val="00EB59FA"/>
    <w:rsid w:val="00EB5A80"/>
    <w:rsid w:val="00EB5EDA"/>
    <w:rsid w:val="00EB5F43"/>
    <w:rsid w:val="00EB60F3"/>
    <w:rsid w:val="00EB622E"/>
    <w:rsid w:val="00EB660A"/>
    <w:rsid w:val="00EB668A"/>
    <w:rsid w:val="00EB6751"/>
    <w:rsid w:val="00EB6757"/>
    <w:rsid w:val="00EB6915"/>
    <w:rsid w:val="00EB6AE7"/>
    <w:rsid w:val="00EB708A"/>
    <w:rsid w:val="00EB7280"/>
    <w:rsid w:val="00EB731D"/>
    <w:rsid w:val="00EB743D"/>
    <w:rsid w:val="00EB7470"/>
    <w:rsid w:val="00EB75C7"/>
    <w:rsid w:val="00EB76E6"/>
    <w:rsid w:val="00EB7801"/>
    <w:rsid w:val="00EB7907"/>
    <w:rsid w:val="00EB799F"/>
    <w:rsid w:val="00EB79C1"/>
    <w:rsid w:val="00EB7ABD"/>
    <w:rsid w:val="00EB7B72"/>
    <w:rsid w:val="00EB7C48"/>
    <w:rsid w:val="00EB7CF0"/>
    <w:rsid w:val="00EB7EFC"/>
    <w:rsid w:val="00EB95E7"/>
    <w:rsid w:val="00EC012C"/>
    <w:rsid w:val="00EC0191"/>
    <w:rsid w:val="00EC0793"/>
    <w:rsid w:val="00EC095B"/>
    <w:rsid w:val="00EC0D0C"/>
    <w:rsid w:val="00EC0E55"/>
    <w:rsid w:val="00EC0F5D"/>
    <w:rsid w:val="00EC0F8B"/>
    <w:rsid w:val="00EC107F"/>
    <w:rsid w:val="00EC10DD"/>
    <w:rsid w:val="00EC1211"/>
    <w:rsid w:val="00EC15FA"/>
    <w:rsid w:val="00EC1990"/>
    <w:rsid w:val="00EC19F2"/>
    <w:rsid w:val="00EC1A7C"/>
    <w:rsid w:val="00EC1B41"/>
    <w:rsid w:val="00EC1D52"/>
    <w:rsid w:val="00EC1D92"/>
    <w:rsid w:val="00EC1EA7"/>
    <w:rsid w:val="00EC1EF2"/>
    <w:rsid w:val="00EC203D"/>
    <w:rsid w:val="00EC21BF"/>
    <w:rsid w:val="00EC2485"/>
    <w:rsid w:val="00EC2570"/>
    <w:rsid w:val="00EC2988"/>
    <w:rsid w:val="00EC2B0F"/>
    <w:rsid w:val="00EC2B81"/>
    <w:rsid w:val="00EC2C4A"/>
    <w:rsid w:val="00EC2DB9"/>
    <w:rsid w:val="00EC2DFD"/>
    <w:rsid w:val="00EC2F93"/>
    <w:rsid w:val="00EC3081"/>
    <w:rsid w:val="00EC3303"/>
    <w:rsid w:val="00EC3460"/>
    <w:rsid w:val="00EC34D2"/>
    <w:rsid w:val="00EC353D"/>
    <w:rsid w:val="00EC35C1"/>
    <w:rsid w:val="00EC35FB"/>
    <w:rsid w:val="00EC38D4"/>
    <w:rsid w:val="00EC3A53"/>
    <w:rsid w:val="00EC3A96"/>
    <w:rsid w:val="00EC3B51"/>
    <w:rsid w:val="00EC4540"/>
    <w:rsid w:val="00EC45D1"/>
    <w:rsid w:val="00EC4750"/>
    <w:rsid w:val="00EC4CC5"/>
    <w:rsid w:val="00EC4CFC"/>
    <w:rsid w:val="00EC4E7A"/>
    <w:rsid w:val="00EC4FEE"/>
    <w:rsid w:val="00EC50F8"/>
    <w:rsid w:val="00EC5224"/>
    <w:rsid w:val="00EC5262"/>
    <w:rsid w:val="00EC529B"/>
    <w:rsid w:val="00EC5305"/>
    <w:rsid w:val="00EC5456"/>
    <w:rsid w:val="00EC54FB"/>
    <w:rsid w:val="00EC5A17"/>
    <w:rsid w:val="00EC5A2A"/>
    <w:rsid w:val="00EC5F66"/>
    <w:rsid w:val="00EC601D"/>
    <w:rsid w:val="00EC6101"/>
    <w:rsid w:val="00EC628D"/>
    <w:rsid w:val="00EC63B7"/>
    <w:rsid w:val="00EC63F6"/>
    <w:rsid w:val="00EC6409"/>
    <w:rsid w:val="00EC661F"/>
    <w:rsid w:val="00EC66EF"/>
    <w:rsid w:val="00EC6791"/>
    <w:rsid w:val="00EC67C1"/>
    <w:rsid w:val="00EC67E7"/>
    <w:rsid w:val="00EC6843"/>
    <w:rsid w:val="00EC684B"/>
    <w:rsid w:val="00EC6A91"/>
    <w:rsid w:val="00EC6A92"/>
    <w:rsid w:val="00EC6B00"/>
    <w:rsid w:val="00EC6CD7"/>
    <w:rsid w:val="00EC6CED"/>
    <w:rsid w:val="00EC6CFA"/>
    <w:rsid w:val="00EC6DF1"/>
    <w:rsid w:val="00EC6EA4"/>
    <w:rsid w:val="00EC6F22"/>
    <w:rsid w:val="00EC6F4F"/>
    <w:rsid w:val="00EC6FEE"/>
    <w:rsid w:val="00EC73AC"/>
    <w:rsid w:val="00EC75CC"/>
    <w:rsid w:val="00EC7921"/>
    <w:rsid w:val="00EC7C97"/>
    <w:rsid w:val="00EC7DD0"/>
    <w:rsid w:val="00EC7EB7"/>
    <w:rsid w:val="00EC922C"/>
    <w:rsid w:val="00ED00B2"/>
    <w:rsid w:val="00ED00F9"/>
    <w:rsid w:val="00ED00FE"/>
    <w:rsid w:val="00ED0123"/>
    <w:rsid w:val="00ED01CA"/>
    <w:rsid w:val="00ED0313"/>
    <w:rsid w:val="00ED05CF"/>
    <w:rsid w:val="00ED05E0"/>
    <w:rsid w:val="00ED08AB"/>
    <w:rsid w:val="00ED0A18"/>
    <w:rsid w:val="00ED0BBD"/>
    <w:rsid w:val="00ED0D9D"/>
    <w:rsid w:val="00ED0DCC"/>
    <w:rsid w:val="00ED0DFD"/>
    <w:rsid w:val="00ED0F1E"/>
    <w:rsid w:val="00ED0F60"/>
    <w:rsid w:val="00ED0FFE"/>
    <w:rsid w:val="00ED110B"/>
    <w:rsid w:val="00ED11B1"/>
    <w:rsid w:val="00ED130C"/>
    <w:rsid w:val="00ED131B"/>
    <w:rsid w:val="00ED1335"/>
    <w:rsid w:val="00ED1801"/>
    <w:rsid w:val="00ED1868"/>
    <w:rsid w:val="00ED1C69"/>
    <w:rsid w:val="00ED1D17"/>
    <w:rsid w:val="00ED1DB4"/>
    <w:rsid w:val="00ED1F05"/>
    <w:rsid w:val="00ED2057"/>
    <w:rsid w:val="00ED2157"/>
    <w:rsid w:val="00ED2199"/>
    <w:rsid w:val="00ED23C8"/>
    <w:rsid w:val="00ED241F"/>
    <w:rsid w:val="00ED2789"/>
    <w:rsid w:val="00ED2882"/>
    <w:rsid w:val="00ED29DB"/>
    <w:rsid w:val="00ED2A5D"/>
    <w:rsid w:val="00ED2A8E"/>
    <w:rsid w:val="00ED2AD0"/>
    <w:rsid w:val="00ED2C75"/>
    <w:rsid w:val="00ED2E8C"/>
    <w:rsid w:val="00ED2FA1"/>
    <w:rsid w:val="00ED3183"/>
    <w:rsid w:val="00ED31CF"/>
    <w:rsid w:val="00ED33C5"/>
    <w:rsid w:val="00ED342E"/>
    <w:rsid w:val="00ED35F5"/>
    <w:rsid w:val="00ED36FD"/>
    <w:rsid w:val="00ED3A26"/>
    <w:rsid w:val="00ED3B6E"/>
    <w:rsid w:val="00ED3BDF"/>
    <w:rsid w:val="00ED3F95"/>
    <w:rsid w:val="00ED403C"/>
    <w:rsid w:val="00ED4169"/>
    <w:rsid w:val="00ED439E"/>
    <w:rsid w:val="00ED47AC"/>
    <w:rsid w:val="00ED4995"/>
    <w:rsid w:val="00ED4C24"/>
    <w:rsid w:val="00ED4D00"/>
    <w:rsid w:val="00ED4E17"/>
    <w:rsid w:val="00ED515B"/>
    <w:rsid w:val="00ED5317"/>
    <w:rsid w:val="00ED537C"/>
    <w:rsid w:val="00ED544C"/>
    <w:rsid w:val="00ED54F1"/>
    <w:rsid w:val="00ED5584"/>
    <w:rsid w:val="00ED57AF"/>
    <w:rsid w:val="00ED58B5"/>
    <w:rsid w:val="00ED5AF5"/>
    <w:rsid w:val="00ED5E1B"/>
    <w:rsid w:val="00ED6366"/>
    <w:rsid w:val="00ED63AC"/>
    <w:rsid w:val="00ED663D"/>
    <w:rsid w:val="00ED664A"/>
    <w:rsid w:val="00ED6729"/>
    <w:rsid w:val="00ED68D2"/>
    <w:rsid w:val="00ED68F2"/>
    <w:rsid w:val="00ED6B03"/>
    <w:rsid w:val="00ED6C30"/>
    <w:rsid w:val="00ED6EC6"/>
    <w:rsid w:val="00ED6F4A"/>
    <w:rsid w:val="00ED7028"/>
    <w:rsid w:val="00ED7583"/>
    <w:rsid w:val="00ED75C5"/>
    <w:rsid w:val="00ED7629"/>
    <w:rsid w:val="00ED77E2"/>
    <w:rsid w:val="00ED7C54"/>
    <w:rsid w:val="00ED7CD0"/>
    <w:rsid w:val="00ED7D1F"/>
    <w:rsid w:val="00ED7D33"/>
    <w:rsid w:val="00ED7EF1"/>
    <w:rsid w:val="00ED7F0E"/>
    <w:rsid w:val="00EE01D6"/>
    <w:rsid w:val="00EE043B"/>
    <w:rsid w:val="00EE047B"/>
    <w:rsid w:val="00EE052F"/>
    <w:rsid w:val="00EE05E8"/>
    <w:rsid w:val="00EE064C"/>
    <w:rsid w:val="00EE06C2"/>
    <w:rsid w:val="00EE08D8"/>
    <w:rsid w:val="00EE0932"/>
    <w:rsid w:val="00EE0A36"/>
    <w:rsid w:val="00EE0A3F"/>
    <w:rsid w:val="00EE0ADB"/>
    <w:rsid w:val="00EE0BF3"/>
    <w:rsid w:val="00EE0C1D"/>
    <w:rsid w:val="00EE0C54"/>
    <w:rsid w:val="00EE0D00"/>
    <w:rsid w:val="00EE0DC1"/>
    <w:rsid w:val="00EE0DF7"/>
    <w:rsid w:val="00EE13D0"/>
    <w:rsid w:val="00EE1409"/>
    <w:rsid w:val="00EE142C"/>
    <w:rsid w:val="00EE1499"/>
    <w:rsid w:val="00EE1603"/>
    <w:rsid w:val="00EE18DD"/>
    <w:rsid w:val="00EE19F5"/>
    <w:rsid w:val="00EE1A10"/>
    <w:rsid w:val="00EE1A70"/>
    <w:rsid w:val="00EE1D21"/>
    <w:rsid w:val="00EE2147"/>
    <w:rsid w:val="00EE2593"/>
    <w:rsid w:val="00EE25C9"/>
    <w:rsid w:val="00EE26A3"/>
    <w:rsid w:val="00EE2A72"/>
    <w:rsid w:val="00EE2C31"/>
    <w:rsid w:val="00EE3178"/>
    <w:rsid w:val="00EE31A6"/>
    <w:rsid w:val="00EE328A"/>
    <w:rsid w:val="00EE32DF"/>
    <w:rsid w:val="00EE3439"/>
    <w:rsid w:val="00EE349A"/>
    <w:rsid w:val="00EE3525"/>
    <w:rsid w:val="00EE356A"/>
    <w:rsid w:val="00EE3649"/>
    <w:rsid w:val="00EE39C9"/>
    <w:rsid w:val="00EE3A53"/>
    <w:rsid w:val="00EE3A77"/>
    <w:rsid w:val="00EE3C6B"/>
    <w:rsid w:val="00EE3E95"/>
    <w:rsid w:val="00EE3EE0"/>
    <w:rsid w:val="00EE3F2C"/>
    <w:rsid w:val="00EE4193"/>
    <w:rsid w:val="00EE431F"/>
    <w:rsid w:val="00EE4471"/>
    <w:rsid w:val="00EE455C"/>
    <w:rsid w:val="00EE48EA"/>
    <w:rsid w:val="00EE4CAC"/>
    <w:rsid w:val="00EE4D94"/>
    <w:rsid w:val="00EE51F5"/>
    <w:rsid w:val="00EE570B"/>
    <w:rsid w:val="00EE5723"/>
    <w:rsid w:val="00EE5741"/>
    <w:rsid w:val="00EE5B48"/>
    <w:rsid w:val="00EE5BF7"/>
    <w:rsid w:val="00EE5EEC"/>
    <w:rsid w:val="00EE5FA7"/>
    <w:rsid w:val="00EE5FA8"/>
    <w:rsid w:val="00EE5FE0"/>
    <w:rsid w:val="00EE6035"/>
    <w:rsid w:val="00EE6037"/>
    <w:rsid w:val="00EE61D7"/>
    <w:rsid w:val="00EE62E4"/>
    <w:rsid w:val="00EE6406"/>
    <w:rsid w:val="00EE66F4"/>
    <w:rsid w:val="00EE6755"/>
    <w:rsid w:val="00EE6C89"/>
    <w:rsid w:val="00EE6D74"/>
    <w:rsid w:val="00EE709B"/>
    <w:rsid w:val="00EE70BE"/>
    <w:rsid w:val="00EE7119"/>
    <w:rsid w:val="00EE71FE"/>
    <w:rsid w:val="00EE723C"/>
    <w:rsid w:val="00EE7293"/>
    <w:rsid w:val="00EE7635"/>
    <w:rsid w:val="00EE7846"/>
    <w:rsid w:val="00EE7985"/>
    <w:rsid w:val="00EE7AB0"/>
    <w:rsid w:val="00EE7C8F"/>
    <w:rsid w:val="00EF00DA"/>
    <w:rsid w:val="00EF01F2"/>
    <w:rsid w:val="00EF03C2"/>
    <w:rsid w:val="00EF05DC"/>
    <w:rsid w:val="00EF069A"/>
    <w:rsid w:val="00EF0B19"/>
    <w:rsid w:val="00EF0BC8"/>
    <w:rsid w:val="00EF0E98"/>
    <w:rsid w:val="00EF0F4D"/>
    <w:rsid w:val="00EF0F99"/>
    <w:rsid w:val="00EF0F9F"/>
    <w:rsid w:val="00EF10CC"/>
    <w:rsid w:val="00EF11CB"/>
    <w:rsid w:val="00EF1270"/>
    <w:rsid w:val="00EF1368"/>
    <w:rsid w:val="00EF138A"/>
    <w:rsid w:val="00EF17E1"/>
    <w:rsid w:val="00EF1850"/>
    <w:rsid w:val="00EF1E2C"/>
    <w:rsid w:val="00EF1EB0"/>
    <w:rsid w:val="00EF1EDB"/>
    <w:rsid w:val="00EF2214"/>
    <w:rsid w:val="00EF2228"/>
    <w:rsid w:val="00EF242C"/>
    <w:rsid w:val="00EF26C5"/>
    <w:rsid w:val="00EF28B2"/>
    <w:rsid w:val="00EF2A3F"/>
    <w:rsid w:val="00EF2AFB"/>
    <w:rsid w:val="00EF2B46"/>
    <w:rsid w:val="00EF2EA3"/>
    <w:rsid w:val="00EF2EB1"/>
    <w:rsid w:val="00EF2FDA"/>
    <w:rsid w:val="00EF30DD"/>
    <w:rsid w:val="00EF36B6"/>
    <w:rsid w:val="00EF38C8"/>
    <w:rsid w:val="00EF39AB"/>
    <w:rsid w:val="00EF39C2"/>
    <w:rsid w:val="00EF3B9C"/>
    <w:rsid w:val="00EF3DBC"/>
    <w:rsid w:val="00EF3ECA"/>
    <w:rsid w:val="00EF3EE3"/>
    <w:rsid w:val="00EF3FD0"/>
    <w:rsid w:val="00EF4121"/>
    <w:rsid w:val="00EF42D8"/>
    <w:rsid w:val="00EF42EB"/>
    <w:rsid w:val="00EF4589"/>
    <w:rsid w:val="00EF464B"/>
    <w:rsid w:val="00EF4777"/>
    <w:rsid w:val="00EF49D8"/>
    <w:rsid w:val="00EF49EA"/>
    <w:rsid w:val="00EF4A1E"/>
    <w:rsid w:val="00EF4A4C"/>
    <w:rsid w:val="00EF4A4D"/>
    <w:rsid w:val="00EF4BBB"/>
    <w:rsid w:val="00EF4C71"/>
    <w:rsid w:val="00EF4C81"/>
    <w:rsid w:val="00EF4E8D"/>
    <w:rsid w:val="00EF4F95"/>
    <w:rsid w:val="00EF51E7"/>
    <w:rsid w:val="00EF527F"/>
    <w:rsid w:val="00EF53E0"/>
    <w:rsid w:val="00EF5486"/>
    <w:rsid w:val="00EF551E"/>
    <w:rsid w:val="00EF5554"/>
    <w:rsid w:val="00EF5744"/>
    <w:rsid w:val="00EF57C1"/>
    <w:rsid w:val="00EF57F0"/>
    <w:rsid w:val="00EF57F2"/>
    <w:rsid w:val="00EF5AB7"/>
    <w:rsid w:val="00EF5CB4"/>
    <w:rsid w:val="00EF62A7"/>
    <w:rsid w:val="00EF631A"/>
    <w:rsid w:val="00EF6649"/>
    <w:rsid w:val="00EF68D4"/>
    <w:rsid w:val="00EF6C03"/>
    <w:rsid w:val="00EF6C57"/>
    <w:rsid w:val="00EF6CCB"/>
    <w:rsid w:val="00EF6FCB"/>
    <w:rsid w:val="00EF7075"/>
    <w:rsid w:val="00EF713B"/>
    <w:rsid w:val="00EF71F6"/>
    <w:rsid w:val="00EF721C"/>
    <w:rsid w:val="00EF76A0"/>
    <w:rsid w:val="00EF76E8"/>
    <w:rsid w:val="00EF774E"/>
    <w:rsid w:val="00EF7B63"/>
    <w:rsid w:val="00EF7F9D"/>
    <w:rsid w:val="00F001F8"/>
    <w:rsid w:val="00F0035F"/>
    <w:rsid w:val="00F0098A"/>
    <w:rsid w:val="00F009F8"/>
    <w:rsid w:val="00F00A80"/>
    <w:rsid w:val="00F00B13"/>
    <w:rsid w:val="00F00C8A"/>
    <w:rsid w:val="00F00C9E"/>
    <w:rsid w:val="00F00F24"/>
    <w:rsid w:val="00F0112B"/>
    <w:rsid w:val="00F01137"/>
    <w:rsid w:val="00F01170"/>
    <w:rsid w:val="00F015A2"/>
    <w:rsid w:val="00F018E6"/>
    <w:rsid w:val="00F018FA"/>
    <w:rsid w:val="00F01D16"/>
    <w:rsid w:val="00F01D76"/>
    <w:rsid w:val="00F01EB7"/>
    <w:rsid w:val="00F0201B"/>
    <w:rsid w:val="00F02126"/>
    <w:rsid w:val="00F023CA"/>
    <w:rsid w:val="00F0254D"/>
    <w:rsid w:val="00F02619"/>
    <w:rsid w:val="00F02621"/>
    <w:rsid w:val="00F027D4"/>
    <w:rsid w:val="00F0285D"/>
    <w:rsid w:val="00F02927"/>
    <w:rsid w:val="00F02A09"/>
    <w:rsid w:val="00F02AF2"/>
    <w:rsid w:val="00F02EE6"/>
    <w:rsid w:val="00F02F36"/>
    <w:rsid w:val="00F030C9"/>
    <w:rsid w:val="00F030ED"/>
    <w:rsid w:val="00F03171"/>
    <w:rsid w:val="00F031E2"/>
    <w:rsid w:val="00F0345C"/>
    <w:rsid w:val="00F03624"/>
    <w:rsid w:val="00F03861"/>
    <w:rsid w:val="00F03CBA"/>
    <w:rsid w:val="00F03D67"/>
    <w:rsid w:val="00F03EA0"/>
    <w:rsid w:val="00F03EBC"/>
    <w:rsid w:val="00F04022"/>
    <w:rsid w:val="00F042D8"/>
    <w:rsid w:val="00F0455F"/>
    <w:rsid w:val="00F04799"/>
    <w:rsid w:val="00F04AF8"/>
    <w:rsid w:val="00F04B98"/>
    <w:rsid w:val="00F04EFD"/>
    <w:rsid w:val="00F04F5B"/>
    <w:rsid w:val="00F052A9"/>
    <w:rsid w:val="00F052D5"/>
    <w:rsid w:val="00F0556A"/>
    <w:rsid w:val="00F05793"/>
    <w:rsid w:val="00F05870"/>
    <w:rsid w:val="00F059E4"/>
    <w:rsid w:val="00F05D3C"/>
    <w:rsid w:val="00F05D53"/>
    <w:rsid w:val="00F05F44"/>
    <w:rsid w:val="00F05FDB"/>
    <w:rsid w:val="00F06049"/>
    <w:rsid w:val="00F0637D"/>
    <w:rsid w:val="00F067E9"/>
    <w:rsid w:val="00F06851"/>
    <w:rsid w:val="00F068C7"/>
    <w:rsid w:val="00F06BFB"/>
    <w:rsid w:val="00F06CF4"/>
    <w:rsid w:val="00F06D68"/>
    <w:rsid w:val="00F06F03"/>
    <w:rsid w:val="00F071A7"/>
    <w:rsid w:val="00F0741E"/>
    <w:rsid w:val="00F07531"/>
    <w:rsid w:val="00F076A0"/>
    <w:rsid w:val="00F07776"/>
    <w:rsid w:val="00F07A3D"/>
    <w:rsid w:val="00F07E4C"/>
    <w:rsid w:val="00F101E9"/>
    <w:rsid w:val="00F10202"/>
    <w:rsid w:val="00F1026D"/>
    <w:rsid w:val="00F10431"/>
    <w:rsid w:val="00F1049A"/>
    <w:rsid w:val="00F104E8"/>
    <w:rsid w:val="00F1062E"/>
    <w:rsid w:val="00F10735"/>
    <w:rsid w:val="00F108ED"/>
    <w:rsid w:val="00F10AC5"/>
    <w:rsid w:val="00F10BC7"/>
    <w:rsid w:val="00F10ED6"/>
    <w:rsid w:val="00F11601"/>
    <w:rsid w:val="00F1175F"/>
    <w:rsid w:val="00F1195B"/>
    <w:rsid w:val="00F11A36"/>
    <w:rsid w:val="00F11AF1"/>
    <w:rsid w:val="00F11C77"/>
    <w:rsid w:val="00F11D47"/>
    <w:rsid w:val="00F11F64"/>
    <w:rsid w:val="00F1222C"/>
    <w:rsid w:val="00F122D1"/>
    <w:rsid w:val="00F122DB"/>
    <w:rsid w:val="00F1230E"/>
    <w:rsid w:val="00F124F6"/>
    <w:rsid w:val="00F12530"/>
    <w:rsid w:val="00F12AA7"/>
    <w:rsid w:val="00F12B10"/>
    <w:rsid w:val="00F12FCA"/>
    <w:rsid w:val="00F130BB"/>
    <w:rsid w:val="00F132BF"/>
    <w:rsid w:val="00F13348"/>
    <w:rsid w:val="00F1346C"/>
    <w:rsid w:val="00F134E5"/>
    <w:rsid w:val="00F1368E"/>
    <w:rsid w:val="00F13771"/>
    <w:rsid w:val="00F138E7"/>
    <w:rsid w:val="00F13906"/>
    <w:rsid w:val="00F13BFB"/>
    <w:rsid w:val="00F13D0E"/>
    <w:rsid w:val="00F13E35"/>
    <w:rsid w:val="00F13E85"/>
    <w:rsid w:val="00F1424A"/>
    <w:rsid w:val="00F1451B"/>
    <w:rsid w:val="00F1461A"/>
    <w:rsid w:val="00F146BD"/>
    <w:rsid w:val="00F146CD"/>
    <w:rsid w:val="00F14704"/>
    <w:rsid w:val="00F1484A"/>
    <w:rsid w:val="00F14904"/>
    <w:rsid w:val="00F14A50"/>
    <w:rsid w:val="00F14A71"/>
    <w:rsid w:val="00F14A9E"/>
    <w:rsid w:val="00F14E42"/>
    <w:rsid w:val="00F14E5F"/>
    <w:rsid w:val="00F14EDC"/>
    <w:rsid w:val="00F1501C"/>
    <w:rsid w:val="00F150D8"/>
    <w:rsid w:val="00F1543B"/>
    <w:rsid w:val="00F1551F"/>
    <w:rsid w:val="00F15529"/>
    <w:rsid w:val="00F156B8"/>
    <w:rsid w:val="00F157F6"/>
    <w:rsid w:val="00F1583A"/>
    <w:rsid w:val="00F158FF"/>
    <w:rsid w:val="00F159E4"/>
    <w:rsid w:val="00F15CB0"/>
    <w:rsid w:val="00F15E37"/>
    <w:rsid w:val="00F15FF5"/>
    <w:rsid w:val="00F16017"/>
    <w:rsid w:val="00F16052"/>
    <w:rsid w:val="00F1610E"/>
    <w:rsid w:val="00F1613D"/>
    <w:rsid w:val="00F16249"/>
    <w:rsid w:val="00F1627D"/>
    <w:rsid w:val="00F1654B"/>
    <w:rsid w:val="00F1654D"/>
    <w:rsid w:val="00F165E6"/>
    <w:rsid w:val="00F166FA"/>
    <w:rsid w:val="00F168DE"/>
    <w:rsid w:val="00F16A91"/>
    <w:rsid w:val="00F16C6C"/>
    <w:rsid w:val="00F16D5B"/>
    <w:rsid w:val="00F16F93"/>
    <w:rsid w:val="00F1719F"/>
    <w:rsid w:val="00F17414"/>
    <w:rsid w:val="00F1756B"/>
    <w:rsid w:val="00F1759B"/>
    <w:rsid w:val="00F176F0"/>
    <w:rsid w:val="00F178DC"/>
    <w:rsid w:val="00F17A16"/>
    <w:rsid w:val="00F17DD5"/>
    <w:rsid w:val="00F17DE1"/>
    <w:rsid w:val="00F17FA4"/>
    <w:rsid w:val="00F17FBF"/>
    <w:rsid w:val="00F1C765"/>
    <w:rsid w:val="00F202D5"/>
    <w:rsid w:val="00F20468"/>
    <w:rsid w:val="00F2050A"/>
    <w:rsid w:val="00F20725"/>
    <w:rsid w:val="00F20769"/>
    <w:rsid w:val="00F208BA"/>
    <w:rsid w:val="00F20D52"/>
    <w:rsid w:val="00F20D60"/>
    <w:rsid w:val="00F20E95"/>
    <w:rsid w:val="00F20EFD"/>
    <w:rsid w:val="00F21395"/>
    <w:rsid w:val="00F2150B"/>
    <w:rsid w:val="00F21657"/>
    <w:rsid w:val="00F216C3"/>
    <w:rsid w:val="00F21AE9"/>
    <w:rsid w:val="00F21CE2"/>
    <w:rsid w:val="00F21CF1"/>
    <w:rsid w:val="00F21D32"/>
    <w:rsid w:val="00F21D4D"/>
    <w:rsid w:val="00F21DB6"/>
    <w:rsid w:val="00F2227D"/>
    <w:rsid w:val="00F223C3"/>
    <w:rsid w:val="00F223CD"/>
    <w:rsid w:val="00F2243C"/>
    <w:rsid w:val="00F2296B"/>
    <w:rsid w:val="00F22BEF"/>
    <w:rsid w:val="00F22DF7"/>
    <w:rsid w:val="00F22E40"/>
    <w:rsid w:val="00F23300"/>
    <w:rsid w:val="00F23708"/>
    <w:rsid w:val="00F2378E"/>
    <w:rsid w:val="00F2380B"/>
    <w:rsid w:val="00F239FF"/>
    <w:rsid w:val="00F23BAD"/>
    <w:rsid w:val="00F23C25"/>
    <w:rsid w:val="00F23C93"/>
    <w:rsid w:val="00F23DB4"/>
    <w:rsid w:val="00F23F79"/>
    <w:rsid w:val="00F23FE4"/>
    <w:rsid w:val="00F240AB"/>
    <w:rsid w:val="00F240EA"/>
    <w:rsid w:val="00F242D1"/>
    <w:rsid w:val="00F24620"/>
    <w:rsid w:val="00F24665"/>
    <w:rsid w:val="00F24701"/>
    <w:rsid w:val="00F24711"/>
    <w:rsid w:val="00F2478B"/>
    <w:rsid w:val="00F248C7"/>
    <w:rsid w:val="00F249E8"/>
    <w:rsid w:val="00F249EF"/>
    <w:rsid w:val="00F24B04"/>
    <w:rsid w:val="00F24C75"/>
    <w:rsid w:val="00F24DA4"/>
    <w:rsid w:val="00F24DB0"/>
    <w:rsid w:val="00F2519A"/>
    <w:rsid w:val="00F25270"/>
    <w:rsid w:val="00F252C9"/>
    <w:rsid w:val="00F25374"/>
    <w:rsid w:val="00F25581"/>
    <w:rsid w:val="00F255D7"/>
    <w:rsid w:val="00F257AA"/>
    <w:rsid w:val="00F25937"/>
    <w:rsid w:val="00F259CB"/>
    <w:rsid w:val="00F25D47"/>
    <w:rsid w:val="00F25DA6"/>
    <w:rsid w:val="00F26052"/>
    <w:rsid w:val="00F263DF"/>
    <w:rsid w:val="00F26600"/>
    <w:rsid w:val="00F2673B"/>
    <w:rsid w:val="00F268E4"/>
    <w:rsid w:val="00F26A89"/>
    <w:rsid w:val="00F26BD2"/>
    <w:rsid w:val="00F26C2A"/>
    <w:rsid w:val="00F26C50"/>
    <w:rsid w:val="00F26C66"/>
    <w:rsid w:val="00F26CEA"/>
    <w:rsid w:val="00F26DB7"/>
    <w:rsid w:val="00F26E38"/>
    <w:rsid w:val="00F26F8A"/>
    <w:rsid w:val="00F26FDA"/>
    <w:rsid w:val="00F27271"/>
    <w:rsid w:val="00F272A2"/>
    <w:rsid w:val="00F27301"/>
    <w:rsid w:val="00F27429"/>
    <w:rsid w:val="00F2761E"/>
    <w:rsid w:val="00F276D5"/>
    <w:rsid w:val="00F277F7"/>
    <w:rsid w:val="00F279DC"/>
    <w:rsid w:val="00F27EDF"/>
    <w:rsid w:val="00F27F80"/>
    <w:rsid w:val="00F27FC1"/>
    <w:rsid w:val="00F300D6"/>
    <w:rsid w:val="00F304E2"/>
    <w:rsid w:val="00F30B6B"/>
    <w:rsid w:val="00F30C58"/>
    <w:rsid w:val="00F30D01"/>
    <w:rsid w:val="00F30E80"/>
    <w:rsid w:val="00F30E9A"/>
    <w:rsid w:val="00F31097"/>
    <w:rsid w:val="00F3150A"/>
    <w:rsid w:val="00F31991"/>
    <w:rsid w:val="00F31ADE"/>
    <w:rsid w:val="00F31E93"/>
    <w:rsid w:val="00F31F5D"/>
    <w:rsid w:val="00F32126"/>
    <w:rsid w:val="00F32495"/>
    <w:rsid w:val="00F3258B"/>
    <w:rsid w:val="00F327B8"/>
    <w:rsid w:val="00F32A36"/>
    <w:rsid w:val="00F32DBD"/>
    <w:rsid w:val="00F32F3E"/>
    <w:rsid w:val="00F3323E"/>
    <w:rsid w:val="00F33280"/>
    <w:rsid w:val="00F332F0"/>
    <w:rsid w:val="00F334D8"/>
    <w:rsid w:val="00F3369A"/>
    <w:rsid w:val="00F3373E"/>
    <w:rsid w:val="00F33FA2"/>
    <w:rsid w:val="00F3403C"/>
    <w:rsid w:val="00F3403D"/>
    <w:rsid w:val="00F342EE"/>
    <w:rsid w:val="00F34357"/>
    <w:rsid w:val="00F34412"/>
    <w:rsid w:val="00F346EA"/>
    <w:rsid w:val="00F348B9"/>
    <w:rsid w:val="00F34AEC"/>
    <w:rsid w:val="00F34C1B"/>
    <w:rsid w:val="00F34CE9"/>
    <w:rsid w:val="00F34E90"/>
    <w:rsid w:val="00F34F2D"/>
    <w:rsid w:val="00F34F95"/>
    <w:rsid w:val="00F352F8"/>
    <w:rsid w:val="00F3559A"/>
    <w:rsid w:val="00F35C7D"/>
    <w:rsid w:val="00F35E07"/>
    <w:rsid w:val="00F35FEE"/>
    <w:rsid w:val="00F36104"/>
    <w:rsid w:val="00F36244"/>
    <w:rsid w:val="00F363F5"/>
    <w:rsid w:val="00F3650A"/>
    <w:rsid w:val="00F365FD"/>
    <w:rsid w:val="00F368AE"/>
    <w:rsid w:val="00F36D05"/>
    <w:rsid w:val="00F36D1D"/>
    <w:rsid w:val="00F36D95"/>
    <w:rsid w:val="00F36EC0"/>
    <w:rsid w:val="00F37075"/>
    <w:rsid w:val="00F374D1"/>
    <w:rsid w:val="00F3753F"/>
    <w:rsid w:val="00F37768"/>
    <w:rsid w:val="00F378E4"/>
    <w:rsid w:val="00F37B88"/>
    <w:rsid w:val="00F37B8C"/>
    <w:rsid w:val="00F37DE6"/>
    <w:rsid w:val="00F37FB8"/>
    <w:rsid w:val="00F4012B"/>
    <w:rsid w:val="00F402CB"/>
    <w:rsid w:val="00F40355"/>
    <w:rsid w:val="00F403E8"/>
    <w:rsid w:val="00F40459"/>
    <w:rsid w:val="00F406E5"/>
    <w:rsid w:val="00F4092C"/>
    <w:rsid w:val="00F4096B"/>
    <w:rsid w:val="00F40A48"/>
    <w:rsid w:val="00F40B01"/>
    <w:rsid w:val="00F40B09"/>
    <w:rsid w:val="00F40D88"/>
    <w:rsid w:val="00F410C2"/>
    <w:rsid w:val="00F41197"/>
    <w:rsid w:val="00F4120F"/>
    <w:rsid w:val="00F41283"/>
    <w:rsid w:val="00F4132A"/>
    <w:rsid w:val="00F413CF"/>
    <w:rsid w:val="00F41570"/>
    <w:rsid w:val="00F4157C"/>
    <w:rsid w:val="00F416A2"/>
    <w:rsid w:val="00F41744"/>
    <w:rsid w:val="00F4194A"/>
    <w:rsid w:val="00F41AA6"/>
    <w:rsid w:val="00F41D22"/>
    <w:rsid w:val="00F41DE1"/>
    <w:rsid w:val="00F41E43"/>
    <w:rsid w:val="00F423BC"/>
    <w:rsid w:val="00F4249D"/>
    <w:rsid w:val="00F42523"/>
    <w:rsid w:val="00F428C4"/>
    <w:rsid w:val="00F42B87"/>
    <w:rsid w:val="00F42DD1"/>
    <w:rsid w:val="00F42E05"/>
    <w:rsid w:val="00F42E66"/>
    <w:rsid w:val="00F42F89"/>
    <w:rsid w:val="00F42FBD"/>
    <w:rsid w:val="00F43191"/>
    <w:rsid w:val="00F43280"/>
    <w:rsid w:val="00F43324"/>
    <w:rsid w:val="00F43361"/>
    <w:rsid w:val="00F43419"/>
    <w:rsid w:val="00F4343C"/>
    <w:rsid w:val="00F43458"/>
    <w:rsid w:val="00F4348C"/>
    <w:rsid w:val="00F43500"/>
    <w:rsid w:val="00F4351F"/>
    <w:rsid w:val="00F435D1"/>
    <w:rsid w:val="00F436C6"/>
    <w:rsid w:val="00F43CAA"/>
    <w:rsid w:val="00F43DCA"/>
    <w:rsid w:val="00F43E0D"/>
    <w:rsid w:val="00F43F4A"/>
    <w:rsid w:val="00F43FEE"/>
    <w:rsid w:val="00F4431C"/>
    <w:rsid w:val="00F44390"/>
    <w:rsid w:val="00F4445C"/>
    <w:rsid w:val="00F444AD"/>
    <w:rsid w:val="00F446E4"/>
    <w:rsid w:val="00F4472C"/>
    <w:rsid w:val="00F4478A"/>
    <w:rsid w:val="00F447FD"/>
    <w:rsid w:val="00F44836"/>
    <w:rsid w:val="00F44E30"/>
    <w:rsid w:val="00F45068"/>
    <w:rsid w:val="00F453CD"/>
    <w:rsid w:val="00F458C1"/>
    <w:rsid w:val="00F45A8E"/>
    <w:rsid w:val="00F45AD4"/>
    <w:rsid w:val="00F45ADB"/>
    <w:rsid w:val="00F45C8C"/>
    <w:rsid w:val="00F4604F"/>
    <w:rsid w:val="00F46212"/>
    <w:rsid w:val="00F46327"/>
    <w:rsid w:val="00F46347"/>
    <w:rsid w:val="00F46556"/>
    <w:rsid w:val="00F46602"/>
    <w:rsid w:val="00F46668"/>
    <w:rsid w:val="00F466AE"/>
    <w:rsid w:val="00F466BE"/>
    <w:rsid w:val="00F46843"/>
    <w:rsid w:val="00F46949"/>
    <w:rsid w:val="00F469F3"/>
    <w:rsid w:val="00F46A7D"/>
    <w:rsid w:val="00F46ADD"/>
    <w:rsid w:val="00F46D0F"/>
    <w:rsid w:val="00F46DA7"/>
    <w:rsid w:val="00F46F12"/>
    <w:rsid w:val="00F46FD7"/>
    <w:rsid w:val="00F471B8"/>
    <w:rsid w:val="00F471FD"/>
    <w:rsid w:val="00F4723B"/>
    <w:rsid w:val="00F47329"/>
    <w:rsid w:val="00F474CD"/>
    <w:rsid w:val="00F4756B"/>
    <w:rsid w:val="00F47838"/>
    <w:rsid w:val="00F47A5D"/>
    <w:rsid w:val="00F47A7B"/>
    <w:rsid w:val="00F47B74"/>
    <w:rsid w:val="00F47CEB"/>
    <w:rsid w:val="00F47EEB"/>
    <w:rsid w:val="00F501AB"/>
    <w:rsid w:val="00F50284"/>
    <w:rsid w:val="00F5049C"/>
    <w:rsid w:val="00F50663"/>
    <w:rsid w:val="00F50928"/>
    <w:rsid w:val="00F5096B"/>
    <w:rsid w:val="00F509D1"/>
    <w:rsid w:val="00F50A10"/>
    <w:rsid w:val="00F50B1A"/>
    <w:rsid w:val="00F50B5A"/>
    <w:rsid w:val="00F50D83"/>
    <w:rsid w:val="00F50D99"/>
    <w:rsid w:val="00F50DAF"/>
    <w:rsid w:val="00F50E1A"/>
    <w:rsid w:val="00F50E30"/>
    <w:rsid w:val="00F50E8B"/>
    <w:rsid w:val="00F510CF"/>
    <w:rsid w:val="00F51208"/>
    <w:rsid w:val="00F51525"/>
    <w:rsid w:val="00F51551"/>
    <w:rsid w:val="00F5177A"/>
    <w:rsid w:val="00F518E5"/>
    <w:rsid w:val="00F5191E"/>
    <w:rsid w:val="00F523F9"/>
    <w:rsid w:val="00F5244D"/>
    <w:rsid w:val="00F52682"/>
    <w:rsid w:val="00F52770"/>
    <w:rsid w:val="00F529FF"/>
    <w:rsid w:val="00F52A35"/>
    <w:rsid w:val="00F52AB4"/>
    <w:rsid w:val="00F52C56"/>
    <w:rsid w:val="00F53015"/>
    <w:rsid w:val="00F53051"/>
    <w:rsid w:val="00F53096"/>
    <w:rsid w:val="00F5328C"/>
    <w:rsid w:val="00F5332C"/>
    <w:rsid w:val="00F533BA"/>
    <w:rsid w:val="00F5349F"/>
    <w:rsid w:val="00F53758"/>
    <w:rsid w:val="00F5387D"/>
    <w:rsid w:val="00F538E3"/>
    <w:rsid w:val="00F53E48"/>
    <w:rsid w:val="00F53E5B"/>
    <w:rsid w:val="00F53F5A"/>
    <w:rsid w:val="00F541B3"/>
    <w:rsid w:val="00F541D0"/>
    <w:rsid w:val="00F545C8"/>
    <w:rsid w:val="00F546AB"/>
    <w:rsid w:val="00F548C7"/>
    <w:rsid w:val="00F549F1"/>
    <w:rsid w:val="00F549F2"/>
    <w:rsid w:val="00F54A15"/>
    <w:rsid w:val="00F54B1B"/>
    <w:rsid w:val="00F54B65"/>
    <w:rsid w:val="00F54C9F"/>
    <w:rsid w:val="00F55119"/>
    <w:rsid w:val="00F551A2"/>
    <w:rsid w:val="00F553F9"/>
    <w:rsid w:val="00F5549F"/>
    <w:rsid w:val="00F55600"/>
    <w:rsid w:val="00F556AC"/>
    <w:rsid w:val="00F557D8"/>
    <w:rsid w:val="00F557E1"/>
    <w:rsid w:val="00F55B59"/>
    <w:rsid w:val="00F55B6D"/>
    <w:rsid w:val="00F55DB7"/>
    <w:rsid w:val="00F55E43"/>
    <w:rsid w:val="00F55F03"/>
    <w:rsid w:val="00F55FBC"/>
    <w:rsid w:val="00F56016"/>
    <w:rsid w:val="00F56109"/>
    <w:rsid w:val="00F5614D"/>
    <w:rsid w:val="00F5623E"/>
    <w:rsid w:val="00F56270"/>
    <w:rsid w:val="00F56827"/>
    <w:rsid w:val="00F56992"/>
    <w:rsid w:val="00F56AC7"/>
    <w:rsid w:val="00F56C40"/>
    <w:rsid w:val="00F56D26"/>
    <w:rsid w:val="00F56E39"/>
    <w:rsid w:val="00F56FD7"/>
    <w:rsid w:val="00F57173"/>
    <w:rsid w:val="00F57234"/>
    <w:rsid w:val="00F572FE"/>
    <w:rsid w:val="00F575AA"/>
    <w:rsid w:val="00F57A6F"/>
    <w:rsid w:val="00F60071"/>
    <w:rsid w:val="00F60299"/>
    <w:rsid w:val="00F60361"/>
    <w:rsid w:val="00F6036E"/>
    <w:rsid w:val="00F60586"/>
    <w:rsid w:val="00F605B2"/>
    <w:rsid w:val="00F60782"/>
    <w:rsid w:val="00F60D61"/>
    <w:rsid w:val="00F60DE1"/>
    <w:rsid w:val="00F60DFE"/>
    <w:rsid w:val="00F6125A"/>
    <w:rsid w:val="00F6145B"/>
    <w:rsid w:val="00F61480"/>
    <w:rsid w:val="00F6151A"/>
    <w:rsid w:val="00F61800"/>
    <w:rsid w:val="00F61856"/>
    <w:rsid w:val="00F61958"/>
    <w:rsid w:val="00F619D5"/>
    <w:rsid w:val="00F61AE4"/>
    <w:rsid w:val="00F61B65"/>
    <w:rsid w:val="00F61C42"/>
    <w:rsid w:val="00F61C83"/>
    <w:rsid w:val="00F61F4D"/>
    <w:rsid w:val="00F61FB9"/>
    <w:rsid w:val="00F62109"/>
    <w:rsid w:val="00F623A9"/>
    <w:rsid w:val="00F6258C"/>
    <w:rsid w:val="00F625A9"/>
    <w:rsid w:val="00F625FF"/>
    <w:rsid w:val="00F62783"/>
    <w:rsid w:val="00F62967"/>
    <w:rsid w:val="00F629AF"/>
    <w:rsid w:val="00F62A33"/>
    <w:rsid w:val="00F62AED"/>
    <w:rsid w:val="00F62B09"/>
    <w:rsid w:val="00F62EC6"/>
    <w:rsid w:val="00F62FC1"/>
    <w:rsid w:val="00F63046"/>
    <w:rsid w:val="00F63233"/>
    <w:rsid w:val="00F633CD"/>
    <w:rsid w:val="00F63447"/>
    <w:rsid w:val="00F6356C"/>
    <w:rsid w:val="00F635FA"/>
    <w:rsid w:val="00F63789"/>
    <w:rsid w:val="00F63991"/>
    <w:rsid w:val="00F63AF2"/>
    <w:rsid w:val="00F63B87"/>
    <w:rsid w:val="00F6404A"/>
    <w:rsid w:val="00F6423D"/>
    <w:rsid w:val="00F64612"/>
    <w:rsid w:val="00F647A9"/>
    <w:rsid w:val="00F64819"/>
    <w:rsid w:val="00F649B4"/>
    <w:rsid w:val="00F64AE5"/>
    <w:rsid w:val="00F64E75"/>
    <w:rsid w:val="00F64F53"/>
    <w:rsid w:val="00F651AF"/>
    <w:rsid w:val="00F6524E"/>
    <w:rsid w:val="00F6553F"/>
    <w:rsid w:val="00F656E0"/>
    <w:rsid w:val="00F6598E"/>
    <w:rsid w:val="00F65D85"/>
    <w:rsid w:val="00F65E5A"/>
    <w:rsid w:val="00F65EE0"/>
    <w:rsid w:val="00F660BB"/>
    <w:rsid w:val="00F66125"/>
    <w:rsid w:val="00F66161"/>
    <w:rsid w:val="00F661F8"/>
    <w:rsid w:val="00F66216"/>
    <w:rsid w:val="00F66228"/>
    <w:rsid w:val="00F66356"/>
    <w:rsid w:val="00F66644"/>
    <w:rsid w:val="00F66720"/>
    <w:rsid w:val="00F669B4"/>
    <w:rsid w:val="00F669E3"/>
    <w:rsid w:val="00F66A70"/>
    <w:rsid w:val="00F66BE7"/>
    <w:rsid w:val="00F66BED"/>
    <w:rsid w:val="00F66CB1"/>
    <w:rsid w:val="00F66F70"/>
    <w:rsid w:val="00F67178"/>
    <w:rsid w:val="00F671EA"/>
    <w:rsid w:val="00F671EF"/>
    <w:rsid w:val="00F67291"/>
    <w:rsid w:val="00F67639"/>
    <w:rsid w:val="00F6773E"/>
    <w:rsid w:val="00F67785"/>
    <w:rsid w:val="00F677CE"/>
    <w:rsid w:val="00F678DC"/>
    <w:rsid w:val="00F67A4E"/>
    <w:rsid w:val="00F67ACE"/>
    <w:rsid w:val="00F67D03"/>
    <w:rsid w:val="00F67D16"/>
    <w:rsid w:val="00F67ED5"/>
    <w:rsid w:val="00F67F3D"/>
    <w:rsid w:val="00F67F83"/>
    <w:rsid w:val="00F70204"/>
    <w:rsid w:val="00F70479"/>
    <w:rsid w:val="00F7051D"/>
    <w:rsid w:val="00F70631"/>
    <w:rsid w:val="00F7080A"/>
    <w:rsid w:val="00F70989"/>
    <w:rsid w:val="00F70ADC"/>
    <w:rsid w:val="00F70C47"/>
    <w:rsid w:val="00F70C8A"/>
    <w:rsid w:val="00F70D5D"/>
    <w:rsid w:val="00F70DEF"/>
    <w:rsid w:val="00F70E21"/>
    <w:rsid w:val="00F7112E"/>
    <w:rsid w:val="00F711D1"/>
    <w:rsid w:val="00F712D8"/>
    <w:rsid w:val="00F714D3"/>
    <w:rsid w:val="00F71593"/>
    <w:rsid w:val="00F716AE"/>
    <w:rsid w:val="00F716B8"/>
    <w:rsid w:val="00F717B6"/>
    <w:rsid w:val="00F71B72"/>
    <w:rsid w:val="00F71C4D"/>
    <w:rsid w:val="00F71FFC"/>
    <w:rsid w:val="00F7205A"/>
    <w:rsid w:val="00F7208A"/>
    <w:rsid w:val="00F7237F"/>
    <w:rsid w:val="00F723DF"/>
    <w:rsid w:val="00F72608"/>
    <w:rsid w:val="00F727E7"/>
    <w:rsid w:val="00F728FB"/>
    <w:rsid w:val="00F72D11"/>
    <w:rsid w:val="00F72E4D"/>
    <w:rsid w:val="00F730E9"/>
    <w:rsid w:val="00F7320C"/>
    <w:rsid w:val="00F733FA"/>
    <w:rsid w:val="00F7346E"/>
    <w:rsid w:val="00F7348B"/>
    <w:rsid w:val="00F734AC"/>
    <w:rsid w:val="00F734D7"/>
    <w:rsid w:val="00F734DF"/>
    <w:rsid w:val="00F737F2"/>
    <w:rsid w:val="00F73856"/>
    <w:rsid w:val="00F73A4F"/>
    <w:rsid w:val="00F73AC1"/>
    <w:rsid w:val="00F73D0C"/>
    <w:rsid w:val="00F73DD9"/>
    <w:rsid w:val="00F73ED5"/>
    <w:rsid w:val="00F73F5C"/>
    <w:rsid w:val="00F74018"/>
    <w:rsid w:val="00F74165"/>
    <w:rsid w:val="00F741DC"/>
    <w:rsid w:val="00F742F5"/>
    <w:rsid w:val="00F74433"/>
    <w:rsid w:val="00F7469E"/>
    <w:rsid w:val="00F747B5"/>
    <w:rsid w:val="00F74822"/>
    <w:rsid w:val="00F7487F"/>
    <w:rsid w:val="00F74AB1"/>
    <w:rsid w:val="00F74B8B"/>
    <w:rsid w:val="00F74BC8"/>
    <w:rsid w:val="00F74E1B"/>
    <w:rsid w:val="00F74E8C"/>
    <w:rsid w:val="00F74F29"/>
    <w:rsid w:val="00F74F3C"/>
    <w:rsid w:val="00F75116"/>
    <w:rsid w:val="00F751D0"/>
    <w:rsid w:val="00F751ED"/>
    <w:rsid w:val="00F7529B"/>
    <w:rsid w:val="00F7536A"/>
    <w:rsid w:val="00F753D5"/>
    <w:rsid w:val="00F754AC"/>
    <w:rsid w:val="00F7569B"/>
    <w:rsid w:val="00F75767"/>
    <w:rsid w:val="00F75917"/>
    <w:rsid w:val="00F75A14"/>
    <w:rsid w:val="00F75AF2"/>
    <w:rsid w:val="00F75B10"/>
    <w:rsid w:val="00F75BB0"/>
    <w:rsid w:val="00F75C54"/>
    <w:rsid w:val="00F75CA0"/>
    <w:rsid w:val="00F75CAF"/>
    <w:rsid w:val="00F75D73"/>
    <w:rsid w:val="00F75DDC"/>
    <w:rsid w:val="00F75F6B"/>
    <w:rsid w:val="00F76090"/>
    <w:rsid w:val="00F7662D"/>
    <w:rsid w:val="00F7684E"/>
    <w:rsid w:val="00F76851"/>
    <w:rsid w:val="00F76B7A"/>
    <w:rsid w:val="00F76D38"/>
    <w:rsid w:val="00F76E54"/>
    <w:rsid w:val="00F77322"/>
    <w:rsid w:val="00F7739D"/>
    <w:rsid w:val="00F774E2"/>
    <w:rsid w:val="00F77525"/>
    <w:rsid w:val="00F775AC"/>
    <w:rsid w:val="00F77BCF"/>
    <w:rsid w:val="00F77D72"/>
    <w:rsid w:val="00F80143"/>
    <w:rsid w:val="00F80449"/>
    <w:rsid w:val="00F80470"/>
    <w:rsid w:val="00F806CE"/>
    <w:rsid w:val="00F806D3"/>
    <w:rsid w:val="00F80778"/>
    <w:rsid w:val="00F8097F"/>
    <w:rsid w:val="00F80CE9"/>
    <w:rsid w:val="00F81006"/>
    <w:rsid w:val="00F813A2"/>
    <w:rsid w:val="00F81482"/>
    <w:rsid w:val="00F81620"/>
    <w:rsid w:val="00F81641"/>
    <w:rsid w:val="00F81749"/>
    <w:rsid w:val="00F81982"/>
    <w:rsid w:val="00F819EF"/>
    <w:rsid w:val="00F81A4D"/>
    <w:rsid w:val="00F81BD4"/>
    <w:rsid w:val="00F81C89"/>
    <w:rsid w:val="00F81FEC"/>
    <w:rsid w:val="00F8204F"/>
    <w:rsid w:val="00F8245D"/>
    <w:rsid w:val="00F82508"/>
    <w:rsid w:val="00F82702"/>
    <w:rsid w:val="00F82B3C"/>
    <w:rsid w:val="00F82BD6"/>
    <w:rsid w:val="00F8300C"/>
    <w:rsid w:val="00F833F8"/>
    <w:rsid w:val="00F83465"/>
    <w:rsid w:val="00F835CB"/>
    <w:rsid w:val="00F8370E"/>
    <w:rsid w:val="00F83885"/>
    <w:rsid w:val="00F839D5"/>
    <w:rsid w:val="00F83BB0"/>
    <w:rsid w:val="00F83E4C"/>
    <w:rsid w:val="00F83F7F"/>
    <w:rsid w:val="00F83FBD"/>
    <w:rsid w:val="00F84036"/>
    <w:rsid w:val="00F840C2"/>
    <w:rsid w:val="00F8413D"/>
    <w:rsid w:val="00F84534"/>
    <w:rsid w:val="00F84680"/>
    <w:rsid w:val="00F8471D"/>
    <w:rsid w:val="00F84742"/>
    <w:rsid w:val="00F848C6"/>
    <w:rsid w:val="00F84A02"/>
    <w:rsid w:val="00F84C74"/>
    <w:rsid w:val="00F84CEF"/>
    <w:rsid w:val="00F84EB1"/>
    <w:rsid w:val="00F84F70"/>
    <w:rsid w:val="00F850AF"/>
    <w:rsid w:val="00F85289"/>
    <w:rsid w:val="00F8530C"/>
    <w:rsid w:val="00F85429"/>
    <w:rsid w:val="00F85470"/>
    <w:rsid w:val="00F857C7"/>
    <w:rsid w:val="00F857F0"/>
    <w:rsid w:val="00F859F3"/>
    <w:rsid w:val="00F85AFE"/>
    <w:rsid w:val="00F85F37"/>
    <w:rsid w:val="00F860A7"/>
    <w:rsid w:val="00F860BF"/>
    <w:rsid w:val="00F8623B"/>
    <w:rsid w:val="00F86292"/>
    <w:rsid w:val="00F86596"/>
    <w:rsid w:val="00F865A8"/>
    <w:rsid w:val="00F86677"/>
    <w:rsid w:val="00F8670E"/>
    <w:rsid w:val="00F8682E"/>
    <w:rsid w:val="00F86994"/>
    <w:rsid w:val="00F86FAA"/>
    <w:rsid w:val="00F8707D"/>
    <w:rsid w:val="00F871C8"/>
    <w:rsid w:val="00F87221"/>
    <w:rsid w:val="00F87298"/>
    <w:rsid w:val="00F87319"/>
    <w:rsid w:val="00F8732E"/>
    <w:rsid w:val="00F8736C"/>
    <w:rsid w:val="00F875BD"/>
    <w:rsid w:val="00F875E1"/>
    <w:rsid w:val="00F87712"/>
    <w:rsid w:val="00F87729"/>
    <w:rsid w:val="00F877B7"/>
    <w:rsid w:val="00F87932"/>
    <w:rsid w:val="00F879BA"/>
    <w:rsid w:val="00F87E27"/>
    <w:rsid w:val="00F90029"/>
    <w:rsid w:val="00F9003B"/>
    <w:rsid w:val="00F90080"/>
    <w:rsid w:val="00F901A3"/>
    <w:rsid w:val="00F9025E"/>
    <w:rsid w:val="00F90354"/>
    <w:rsid w:val="00F905B6"/>
    <w:rsid w:val="00F90822"/>
    <w:rsid w:val="00F90A67"/>
    <w:rsid w:val="00F90C01"/>
    <w:rsid w:val="00F90D0B"/>
    <w:rsid w:val="00F90DAA"/>
    <w:rsid w:val="00F90EB3"/>
    <w:rsid w:val="00F90F34"/>
    <w:rsid w:val="00F91045"/>
    <w:rsid w:val="00F91185"/>
    <w:rsid w:val="00F91312"/>
    <w:rsid w:val="00F9164C"/>
    <w:rsid w:val="00F91692"/>
    <w:rsid w:val="00F9187A"/>
    <w:rsid w:val="00F918CA"/>
    <w:rsid w:val="00F91903"/>
    <w:rsid w:val="00F91B09"/>
    <w:rsid w:val="00F91C19"/>
    <w:rsid w:val="00F91C37"/>
    <w:rsid w:val="00F91CE6"/>
    <w:rsid w:val="00F91DCF"/>
    <w:rsid w:val="00F9204E"/>
    <w:rsid w:val="00F92138"/>
    <w:rsid w:val="00F921D0"/>
    <w:rsid w:val="00F922E7"/>
    <w:rsid w:val="00F92449"/>
    <w:rsid w:val="00F92465"/>
    <w:rsid w:val="00F928FA"/>
    <w:rsid w:val="00F92946"/>
    <w:rsid w:val="00F929EB"/>
    <w:rsid w:val="00F92BD5"/>
    <w:rsid w:val="00F92DAA"/>
    <w:rsid w:val="00F935B6"/>
    <w:rsid w:val="00F936C1"/>
    <w:rsid w:val="00F938EF"/>
    <w:rsid w:val="00F939C2"/>
    <w:rsid w:val="00F93BDE"/>
    <w:rsid w:val="00F93DAC"/>
    <w:rsid w:val="00F93F26"/>
    <w:rsid w:val="00F94200"/>
    <w:rsid w:val="00F9441F"/>
    <w:rsid w:val="00F9476C"/>
    <w:rsid w:val="00F94853"/>
    <w:rsid w:val="00F948B1"/>
    <w:rsid w:val="00F94B18"/>
    <w:rsid w:val="00F94D09"/>
    <w:rsid w:val="00F94DE5"/>
    <w:rsid w:val="00F94EF1"/>
    <w:rsid w:val="00F94F6E"/>
    <w:rsid w:val="00F95061"/>
    <w:rsid w:val="00F95135"/>
    <w:rsid w:val="00F95197"/>
    <w:rsid w:val="00F951F5"/>
    <w:rsid w:val="00F95212"/>
    <w:rsid w:val="00F95311"/>
    <w:rsid w:val="00F95313"/>
    <w:rsid w:val="00F9549D"/>
    <w:rsid w:val="00F95649"/>
    <w:rsid w:val="00F957EA"/>
    <w:rsid w:val="00F95998"/>
    <w:rsid w:val="00F95AE0"/>
    <w:rsid w:val="00F95D2E"/>
    <w:rsid w:val="00F95D46"/>
    <w:rsid w:val="00F95D63"/>
    <w:rsid w:val="00F95E6B"/>
    <w:rsid w:val="00F95F55"/>
    <w:rsid w:val="00F95F5F"/>
    <w:rsid w:val="00F95F6F"/>
    <w:rsid w:val="00F96337"/>
    <w:rsid w:val="00F963DB"/>
    <w:rsid w:val="00F9652A"/>
    <w:rsid w:val="00F96569"/>
    <w:rsid w:val="00F96692"/>
    <w:rsid w:val="00F9688B"/>
    <w:rsid w:val="00F969F9"/>
    <w:rsid w:val="00F96A87"/>
    <w:rsid w:val="00F96B5F"/>
    <w:rsid w:val="00F96B6A"/>
    <w:rsid w:val="00F96C31"/>
    <w:rsid w:val="00F96DC6"/>
    <w:rsid w:val="00F96F0B"/>
    <w:rsid w:val="00F96F0E"/>
    <w:rsid w:val="00F97066"/>
    <w:rsid w:val="00F971BD"/>
    <w:rsid w:val="00F97491"/>
    <w:rsid w:val="00F9781C"/>
    <w:rsid w:val="00F97860"/>
    <w:rsid w:val="00F97AA7"/>
    <w:rsid w:val="00F97BF7"/>
    <w:rsid w:val="00F97C22"/>
    <w:rsid w:val="00F97F71"/>
    <w:rsid w:val="00FA01A9"/>
    <w:rsid w:val="00FA01C1"/>
    <w:rsid w:val="00FA05F9"/>
    <w:rsid w:val="00FA078A"/>
    <w:rsid w:val="00FA0825"/>
    <w:rsid w:val="00FA0847"/>
    <w:rsid w:val="00FA08F7"/>
    <w:rsid w:val="00FA09B1"/>
    <w:rsid w:val="00FA09DF"/>
    <w:rsid w:val="00FA0A55"/>
    <w:rsid w:val="00FA0B6F"/>
    <w:rsid w:val="00FA0DB6"/>
    <w:rsid w:val="00FA0E87"/>
    <w:rsid w:val="00FA1419"/>
    <w:rsid w:val="00FA1642"/>
    <w:rsid w:val="00FA16D7"/>
    <w:rsid w:val="00FA170A"/>
    <w:rsid w:val="00FA1711"/>
    <w:rsid w:val="00FA1B9C"/>
    <w:rsid w:val="00FA1C50"/>
    <w:rsid w:val="00FA1D1E"/>
    <w:rsid w:val="00FA1E7E"/>
    <w:rsid w:val="00FA1EA7"/>
    <w:rsid w:val="00FA1FB0"/>
    <w:rsid w:val="00FA2075"/>
    <w:rsid w:val="00FA23B2"/>
    <w:rsid w:val="00FA24F6"/>
    <w:rsid w:val="00FA262C"/>
    <w:rsid w:val="00FA26A6"/>
    <w:rsid w:val="00FA27B2"/>
    <w:rsid w:val="00FA2D50"/>
    <w:rsid w:val="00FA2DFE"/>
    <w:rsid w:val="00FA2F70"/>
    <w:rsid w:val="00FA32F8"/>
    <w:rsid w:val="00FA32FA"/>
    <w:rsid w:val="00FA3376"/>
    <w:rsid w:val="00FA351E"/>
    <w:rsid w:val="00FA3725"/>
    <w:rsid w:val="00FA373E"/>
    <w:rsid w:val="00FA38B2"/>
    <w:rsid w:val="00FA38B3"/>
    <w:rsid w:val="00FA3D22"/>
    <w:rsid w:val="00FA3D56"/>
    <w:rsid w:val="00FA3EA2"/>
    <w:rsid w:val="00FA3FB3"/>
    <w:rsid w:val="00FA4140"/>
    <w:rsid w:val="00FA454F"/>
    <w:rsid w:val="00FA4953"/>
    <w:rsid w:val="00FA4997"/>
    <w:rsid w:val="00FA49FE"/>
    <w:rsid w:val="00FA4A0A"/>
    <w:rsid w:val="00FA4A85"/>
    <w:rsid w:val="00FA4FDD"/>
    <w:rsid w:val="00FA51E5"/>
    <w:rsid w:val="00FA5313"/>
    <w:rsid w:val="00FA5376"/>
    <w:rsid w:val="00FA5384"/>
    <w:rsid w:val="00FA5574"/>
    <w:rsid w:val="00FA562A"/>
    <w:rsid w:val="00FA57C6"/>
    <w:rsid w:val="00FA58A9"/>
    <w:rsid w:val="00FA592B"/>
    <w:rsid w:val="00FA5B32"/>
    <w:rsid w:val="00FA5BAC"/>
    <w:rsid w:val="00FA5C72"/>
    <w:rsid w:val="00FA5E83"/>
    <w:rsid w:val="00FA5EFD"/>
    <w:rsid w:val="00FA5F5F"/>
    <w:rsid w:val="00FA5FB7"/>
    <w:rsid w:val="00FA6321"/>
    <w:rsid w:val="00FA6323"/>
    <w:rsid w:val="00FA6331"/>
    <w:rsid w:val="00FA6336"/>
    <w:rsid w:val="00FA644E"/>
    <w:rsid w:val="00FA64E9"/>
    <w:rsid w:val="00FA66E4"/>
    <w:rsid w:val="00FA6911"/>
    <w:rsid w:val="00FA6C50"/>
    <w:rsid w:val="00FA6C96"/>
    <w:rsid w:val="00FA6F46"/>
    <w:rsid w:val="00FA6FE7"/>
    <w:rsid w:val="00FA7081"/>
    <w:rsid w:val="00FA708C"/>
    <w:rsid w:val="00FA7149"/>
    <w:rsid w:val="00FA7202"/>
    <w:rsid w:val="00FA726F"/>
    <w:rsid w:val="00FA72BA"/>
    <w:rsid w:val="00FA737D"/>
    <w:rsid w:val="00FA74BF"/>
    <w:rsid w:val="00FA75F2"/>
    <w:rsid w:val="00FA78C8"/>
    <w:rsid w:val="00FA7C3C"/>
    <w:rsid w:val="00FA7CC3"/>
    <w:rsid w:val="00FA7FDD"/>
    <w:rsid w:val="00FB0419"/>
    <w:rsid w:val="00FB05C0"/>
    <w:rsid w:val="00FB087E"/>
    <w:rsid w:val="00FB0A2E"/>
    <w:rsid w:val="00FB0B0D"/>
    <w:rsid w:val="00FB0B13"/>
    <w:rsid w:val="00FB0F0F"/>
    <w:rsid w:val="00FB10AC"/>
    <w:rsid w:val="00FB1342"/>
    <w:rsid w:val="00FB13EE"/>
    <w:rsid w:val="00FB188F"/>
    <w:rsid w:val="00FB1A02"/>
    <w:rsid w:val="00FB1A92"/>
    <w:rsid w:val="00FB1DCC"/>
    <w:rsid w:val="00FB1EFB"/>
    <w:rsid w:val="00FB20E9"/>
    <w:rsid w:val="00FB226E"/>
    <w:rsid w:val="00FB2300"/>
    <w:rsid w:val="00FB244A"/>
    <w:rsid w:val="00FB24C1"/>
    <w:rsid w:val="00FB2511"/>
    <w:rsid w:val="00FB2585"/>
    <w:rsid w:val="00FB2774"/>
    <w:rsid w:val="00FB28B6"/>
    <w:rsid w:val="00FB296E"/>
    <w:rsid w:val="00FB2F80"/>
    <w:rsid w:val="00FB2FE3"/>
    <w:rsid w:val="00FB316F"/>
    <w:rsid w:val="00FB355F"/>
    <w:rsid w:val="00FB359A"/>
    <w:rsid w:val="00FB3845"/>
    <w:rsid w:val="00FB3989"/>
    <w:rsid w:val="00FB399C"/>
    <w:rsid w:val="00FB3AF3"/>
    <w:rsid w:val="00FB3BE5"/>
    <w:rsid w:val="00FB3C35"/>
    <w:rsid w:val="00FB3F51"/>
    <w:rsid w:val="00FB3FDE"/>
    <w:rsid w:val="00FB408D"/>
    <w:rsid w:val="00FB4267"/>
    <w:rsid w:val="00FB4395"/>
    <w:rsid w:val="00FB43F4"/>
    <w:rsid w:val="00FB4654"/>
    <w:rsid w:val="00FB4846"/>
    <w:rsid w:val="00FB4B84"/>
    <w:rsid w:val="00FB507C"/>
    <w:rsid w:val="00FB5135"/>
    <w:rsid w:val="00FB51F5"/>
    <w:rsid w:val="00FB52CA"/>
    <w:rsid w:val="00FB53F1"/>
    <w:rsid w:val="00FB53FC"/>
    <w:rsid w:val="00FB548A"/>
    <w:rsid w:val="00FB54A9"/>
    <w:rsid w:val="00FB572E"/>
    <w:rsid w:val="00FB5A5C"/>
    <w:rsid w:val="00FB5CE4"/>
    <w:rsid w:val="00FB60C2"/>
    <w:rsid w:val="00FB613E"/>
    <w:rsid w:val="00FB61DF"/>
    <w:rsid w:val="00FB625A"/>
    <w:rsid w:val="00FB630F"/>
    <w:rsid w:val="00FB6344"/>
    <w:rsid w:val="00FB6744"/>
    <w:rsid w:val="00FB6844"/>
    <w:rsid w:val="00FB6AA1"/>
    <w:rsid w:val="00FB6C21"/>
    <w:rsid w:val="00FB6D73"/>
    <w:rsid w:val="00FB6E57"/>
    <w:rsid w:val="00FB7092"/>
    <w:rsid w:val="00FB70BF"/>
    <w:rsid w:val="00FB70F0"/>
    <w:rsid w:val="00FB71C6"/>
    <w:rsid w:val="00FB7229"/>
    <w:rsid w:val="00FB7245"/>
    <w:rsid w:val="00FB72AF"/>
    <w:rsid w:val="00FB7346"/>
    <w:rsid w:val="00FB73B5"/>
    <w:rsid w:val="00FB7485"/>
    <w:rsid w:val="00FB775F"/>
    <w:rsid w:val="00FB7A8D"/>
    <w:rsid w:val="00FB7AEA"/>
    <w:rsid w:val="00FB7B12"/>
    <w:rsid w:val="00FB7B34"/>
    <w:rsid w:val="00FB7BC2"/>
    <w:rsid w:val="00FB7C1C"/>
    <w:rsid w:val="00FB7FF0"/>
    <w:rsid w:val="00FC00B1"/>
    <w:rsid w:val="00FC01BC"/>
    <w:rsid w:val="00FC0250"/>
    <w:rsid w:val="00FC0292"/>
    <w:rsid w:val="00FC0345"/>
    <w:rsid w:val="00FC0380"/>
    <w:rsid w:val="00FC040C"/>
    <w:rsid w:val="00FC05C7"/>
    <w:rsid w:val="00FC0734"/>
    <w:rsid w:val="00FC07A1"/>
    <w:rsid w:val="00FC09A1"/>
    <w:rsid w:val="00FC0A0B"/>
    <w:rsid w:val="00FC0C57"/>
    <w:rsid w:val="00FC0EB6"/>
    <w:rsid w:val="00FC1117"/>
    <w:rsid w:val="00FC152A"/>
    <w:rsid w:val="00FC1672"/>
    <w:rsid w:val="00FC17B0"/>
    <w:rsid w:val="00FC1926"/>
    <w:rsid w:val="00FC1AA9"/>
    <w:rsid w:val="00FC1E6B"/>
    <w:rsid w:val="00FC1F6C"/>
    <w:rsid w:val="00FC24DF"/>
    <w:rsid w:val="00FC27E1"/>
    <w:rsid w:val="00FC2804"/>
    <w:rsid w:val="00FC292E"/>
    <w:rsid w:val="00FC29DC"/>
    <w:rsid w:val="00FC2C19"/>
    <w:rsid w:val="00FC2DA2"/>
    <w:rsid w:val="00FC2F7E"/>
    <w:rsid w:val="00FC2FC5"/>
    <w:rsid w:val="00FC309E"/>
    <w:rsid w:val="00FC32D3"/>
    <w:rsid w:val="00FC34B9"/>
    <w:rsid w:val="00FC35C6"/>
    <w:rsid w:val="00FC36FE"/>
    <w:rsid w:val="00FC3888"/>
    <w:rsid w:val="00FC39C2"/>
    <w:rsid w:val="00FC3C25"/>
    <w:rsid w:val="00FC3E62"/>
    <w:rsid w:val="00FC3E91"/>
    <w:rsid w:val="00FC4004"/>
    <w:rsid w:val="00FC4055"/>
    <w:rsid w:val="00FC40CB"/>
    <w:rsid w:val="00FC41C3"/>
    <w:rsid w:val="00FC42FF"/>
    <w:rsid w:val="00FC43B2"/>
    <w:rsid w:val="00FC43E8"/>
    <w:rsid w:val="00FC4619"/>
    <w:rsid w:val="00FC47EF"/>
    <w:rsid w:val="00FC49D4"/>
    <w:rsid w:val="00FC4E3B"/>
    <w:rsid w:val="00FC52D9"/>
    <w:rsid w:val="00FC5379"/>
    <w:rsid w:val="00FC58A2"/>
    <w:rsid w:val="00FC5916"/>
    <w:rsid w:val="00FC5980"/>
    <w:rsid w:val="00FC5A24"/>
    <w:rsid w:val="00FC5B44"/>
    <w:rsid w:val="00FC5C56"/>
    <w:rsid w:val="00FC5DC1"/>
    <w:rsid w:val="00FC5F99"/>
    <w:rsid w:val="00FC6183"/>
    <w:rsid w:val="00FC61CE"/>
    <w:rsid w:val="00FC627F"/>
    <w:rsid w:val="00FC6293"/>
    <w:rsid w:val="00FC633D"/>
    <w:rsid w:val="00FC64F5"/>
    <w:rsid w:val="00FC671F"/>
    <w:rsid w:val="00FC6ABA"/>
    <w:rsid w:val="00FC6DD5"/>
    <w:rsid w:val="00FC6DF6"/>
    <w:rsid w:val="00FC6E43"/>
    <w:rsid w:val="00FC6E69"/>
    <w:rsid w:val="00FC6F55"/>
    <w:rsid w:val="00FC6F92"/>
    <w:rsid w:val="00FC7195"/>
    <w:rsid w:val="00FC71C7"/>
    <w:rsid w:val="00FC765C"/>
    <w:rsid w:val="00FC76CB"/>
    <w:rsid w:val="00FC77D0"/>
    <w:rsid w:val="00FC79EB"/>
    <w:rsid w:val="00FC7A01"/>
    <w:rsid w:val="00FC7EF3"/>
    <w:rsid w:val="00FC7EF5"/>
    <w:rsid w:val="00FC7F3B"/>
    <w:rsid w:val="00FD023D"/>
    <w:rsid w:val="00FD038A"/>
    <w:rsid w:val="00FD03E6"/>
    <w:rsid w:val="00FD04F4"/>
    <w:rsid w:val="00FD06ED"/>
    <w:rsid w:val="00FD0822"/>
    <w:rsid w:val="00FD087E"/>
    <w:rsid w:val="00FD0895"/>
    <w:rsid w:val="00FD08D6"/>
    <w:rsid w:val="00FD08FE"/>
    <w:rsid w:val="00FD09B2"/>
    <w:rsid w:val="00FD0B1B"/>
    <w:rsid w:val="00FD0BC0"/>
    <w:rsid w:val="00FD0D26"/>
    <w:rsid w:val="00FD0E87"/>
    <w:rsid w:val="00FD0F0A"/>
    <w:rsid w:val="00FD10FB"/>
    <w:rsid w:val="00FD1119"/>
    <w:rsid w:val="00FD1180"/>
    <w:rsid w:val="00FD1237"/>
    <w:rsid w:val="00FD12E3"/>
    <w:rsid w:val="00FD1392"/>
    <w:rsid w:val="00FD1558"/>
    <w:rsid w:val="00FD1664"/>
    <w:rsid w:val="00FD17AE"/>
    <w:rsid w:val="00FD194A"/>
    <w:rsid w:val="00FD19CB"/>
    <w:rsid w:val="00FD1D55"/>
    <w:rsid w:val="00FD2178"/>
    <w:rsid w:val="00FD234E"/>
    <w:rsid w:val="00FD235A"/>
    <w:rsid w:val="00FD2688"/>
    <w:rsid w:val="00FD26DB"/>
    <w:rsid w:val="00FD28AB"/>
    <w:rsid w:val="00FD28DA"/>
    <w:rsid w:val="00FD2964"/>
    <w:rsid w:val="00FD2A87"/>
    <w:rsid w:val="00FD2AF3"/>
    <w:rsid w:val="00FD2E5F"/>
    <w:rsid w:val="00FD2E90"/>
    <w:rsid w:val="00FD2FD7"/>
    <w:rsid w:val="00FD3096"/>
    <w:rsid w:val="00FD3424"/>
    <w:rsid w:val="00FD3482"/>
    <w:rsid w:val="00FD34A9"/>
    <w:rsid w:val="00FD3783"/>
    <w:rsid w:val="00FD3A6A"/>
    <w:rsid w:val="00FD3B07"/>
    <w:rsid w:val="00FD3B92"/>
    <w:rsid w:val="00FD3BC6"/>
    <w:rsid w:val="00FD3C0A"/>
    <w:rsid w:val="00FD3C17"/>
    <w:rsid w:val="00FD3C29"/>
    <w:rsid w:val="00FD3CCB"/>
    <w:rsid w:val="00FD3CFD"/>
    <w:rsid w:val="00FD4515"/>
    <w:rsid w:val="00FD4519"/>
    <w:rsid w:val="00FD45A6"/>
    <w:rsid w:val="00FD45FF"/>
    <w:rsid w:val="00FD4615"/>
    <w:rsid w:val="00FD4953"/>
    <w:rsid w:val="00FD4ADA"/>
    <w:rsid w:val="00FD4B0C"/>
    <w:rsid w:val="00FD4B59"/>
    <w:rsid w:val="00FD4BCB"/>
    <w:rsid w:val="00FD4DAE"/>
    <w:rsid w:val="00FD4F8B"/>
    <w:rsid w:val="00FD515F"/>
    <w:rsid w:val="00FD535D"/>
    <w:rsid w:val="00FD53BD"/>
    <w:rsid w:val="00FD542A"/>
    <w:rsid w:val="00FD547F"/>
    <w:rsid w:val="00FD5501"/>
    <w:rsid w:val="00FD5504"/>
    <w:rsid w:val="00FD5511"/>
    <w:rsid w:val="00FD55C8"/>
    <w:rsid w:val="00FD5625"/>
    <w:rsid w:val="00FD56CF"/>
    <w:rsid w:val="00FD56DE"/>
    <w:rsid w:val="00FD576B"/>
    <w:rsid w:val="00FD5833"/>
    <w:rsid w:val="00FD584D"/>
    <w:rsid w:val="00FD58A1"/>
    <w:rsid w:val="00FD5903"/>
    <w:rsid w:val="00FD5F30"/>
    <w:rsid w:val="00FD6367"/>
    <w:rsid w:val="00FD63FF"/>
    <w:rsid w:val="00FD65A3"/>
    <w:rsid w:val="00FD65EA"/>
    <w:rsid w:val="00FD6665"/>
    <w:rsid w:val="00FD66CB"/>
    <w:rsid w:val="00FD6806"/>
    <w:rsid w:val="00FD68B2"/>
    <w:rsid w:val="00FD6AD9"/>
    <w:rsid w:val="00FD6C5A"/>
    <w:rsid w:val="00FD6C9E"/>
    <w:rsid w:val="00FD6E3A"/>
    <w:rsid w:val="00FD6E90"/>
    <w:rsid w:val="00FD712E"/>
    <w:rsid w:val="00FD7133"/>
    <w:rsid w:val="00FD719F"/>
    <w:rsid w:val="00FD7489"/>
    <w:rsid w:val="00FD7495"/>
    <w:rsid w:val="00FD76A2"/>
    <w:rsid w:val="00FD77FC"/>
    <w:rsid w:val="00FD783B"/>
    <w:rsid w:val="00FD78FF"/>
    <w:rsid w:val="00FD7B04"/>
    <w:rsid w:val="00FD7CEF"/>
    <w:rsid w:val="00FD7F14"/>
    <w:rsid w:val="00FD7F5A"/>
    <w:rsid w:val="00FE0266"/>
    <w:rsid w:val="00FE0343"/>
    <w:rsid w:val="00FE087B"/>
    <w:rsid w:val="00FE087C"/>
    <w:rsid w:val="00FE09AE"/>
    <w:rsid w:val="00FE09C8"/>
    <w:rsid w:val="00FE0DDE"/>
    <w:rsid w:val="00FE0FD5"/>
    <w:rsid w:val="00FE11E6"/>
    <w:rsid w:val="00FE128F"/>
    <w:rsid w:val="00FE1334"/>
    <w:rsid w:val="00FE144D"/>
    <w:rsid w:val="00FE1670"/>
    <w:rsid w:val="00FE16E0"/>
    <w:rsid w:val="00FE19C5"/>
    <w:rsid w:val="00FE1C41"/>
    <w:rsid w:val="00FE1D43"/>
    <w:rsid w:val="00FE1FB0"/>
    <w:rsid w:val="00FE20BC"/>
    <w:rsid w:val="00FE2534"/>
    <w:rsid w:val="00FE2575"/>
    <w:rsid w:val="00FE2766"/>
    <w:rsid w:val="00FE2839"/>
    <w:rsid w:val="00FE2A6E"/>
    <w:rsid w:val="00FE2BE7"/>
    <w:rsid w:val="00FE2C23"/>
    <w:rsid w:val="00FE3100"/>
    <w:rsid w:val="00FE318A"/>
    <w:rsid w:val="00FE327D"/>
    <w:rsid w:val="00FE3366"/>
    <w:rsid w:val="00FE3394"/>
    <w:rsid w:val="00FE33C6"/>
    <w:rsid w:val="00FE34D2"/>
    <w:rsid w:val="00FE3517"/>
    <w:rsid w:val="00FE3820"/>
    <w:rsid w:val="00FE3835"/>
    <w:rsid w:val="00FE384F"/>
    <w:rsid w:val="00FE389B"/>
    <w:rsid w:val="00FE3903"/>
    <w:rsid w:val="00FE39F0"/>
    <w:rsid w:val="00FE3B01"/>
    <w:rsid w:val="00FE3D2D"/>
    <w:rsid w:val="00FE3D37"/>
    <w:rsid w:val="00FE3D45"/>
    <w:rsid w:val="00FE3EBD"/>
    <w:rsid w:val="00FE3F99"/>
    <w:rsid w:val="00FE41A2"/>
    <w:rsid w:val="00FE43FC"/>
    <w:rsid w:val="00FE44C1"/>
    <w:rsid w:val="00FE4530"/>
    <w:rsid w:val="00FE46E1"/>
    <w:rsid w:val="00FE474B"/>
    <w:rsid w:val="00FE4777"/>
    <w:rsid w:val="00FE47B5"/>
    <w:rsid w:val="00FE48AD"/>
    <w:rsid w:val="00FE4C0A"/>
    <w:rsid w:val="00FE4DDD"/>
    <w:rsid w:val="00FE4E9B"/>
    <w:rsid w:val="00FE4FB8"/>
    <w:rsid w:val="00FE50DD"/>
    <w:rsid w:val="00FE5224"/>
    <w:rsid w:val="00FE525A"/>
    <w:rsid w:val="00FE5333"/>
    <w:rsid w:val="00FE5375"/>
    <w:rsid w:val="00FE5681"/>
    <w:rsid w:val="00FE56DF"/>
    <w:rsid w:val="00FE56E1"/>
    <w:rsid w:val="00FE57AC"/>
    <w:rsid w:val="00FE57D7"/>
    <w:rsid w:val="00FE59F5"/>
    <w:rsid w:val="00FE5A69"/>
    <w:rsid w:val="00FE5B1A"/>
    <w:rsid w:val="00FE5B7A"/>
    <w:rsid w:val="00FE6358"/>
    <w:rsid w:val="00FE661F"/>
    <w:rsid w:val="00FE663F"/>
    <w:rsid w:val="00FE6A8C"/>
    <w:rsid w:val="00FE6E10"/>
    <w:rsid w:val="00FE6E15"/>
    <w:rsid w:val="00FE6E38"/>
    <w:rsid w:val="00FE6E4D"/>
    <w:rsid w:val="00FE715F"/>
    <w:rsid w:val="00FE72D6"/>
    <w:rsid w:val="00FE75CA"/>
    <w:rsid w:val="00FE7661"/>
    <w:rsid w:val="00FE7668"/>
    <w:rsid w:val="00FE76F9"/>
    <w:rsid w:val="00FE77D5"/>
    <w:rsid w:val="00FE77E9"/>
    <w:rsid w:val="00FE7857"/>
    <w:rsid w:val="00FE791E"/>
    <w:rsid w:val="00FE7BC7"/>
    <w:rsid w:val="00FE7C58"/>
    <w:rsid w:val="00FE7CD7"/>
    <w:rsid w:val="00FE7DA9"/>
    <w:rsid w:val="00FE7DDE"/>
    <w:rsid w:val="00FE7F9A"/>
    <w:rsid w:val="00FF0214"/>
    <w:rsid w:val="00FF0231"/>
    <w:rsid w:val="00FF0236"/>
    <w:rsid w:val="00FF02EF"/>
    <w:rsid w:val="00FF036C"/>
    <w:rsid w:val="00FF03A0"/>
    <w:rsid w:val="00FF0430"/>
    <w:rsid w:val="00FF04F6"/>
    <w:rsid w:val="00FF08EE"/>
    <w:rsid w:val="00FF09CB"/>
    <w:rsid w:val="00FF09D5"/>
    <w:rsid w:val="00FF0C89"/>
    <w:rsid w:val="00FF0D16"/>
    <w:rsid w:val="00FF0EE8"/>
    <w:rsid w:val="00FF0F4F"/>
    <w:rsid w:val="00FF0FAA"/>
    <w:rsid w:val="00FF107E"/>
    <w:rsid w:val="00FF126F"/>
    <w:rsid w:val="00FF129F"/>
    <w:rsid w:val="00FF156C"/>
    <w:rsid w:val="00FF17C8"/>
    <w:rsid w:val="00FF17FA"/>
    <w:rsid w:val="00FF18D7"/>
    <w:rsid w:val="00FF1A95"/>
    <w:rsid w:val="00FF1AAE"/>
    <w:rsid w:val="00FF1AFB"/>
    <w:rsid w:val="00FF1EDA"/>
    <w:rsid w:val="00FF1FCD"/>
    <w:rsid w:val="00FF1FF0"/>
    <w:rsid w:val="00FF20A9"/>
    <w:rsid w:val="00FF215D"/>
    <w:rsid w:val="00FF2803"/>
    <w:rsid w:val="00FF2852"/>
    <w:rsid w:val="00FF292D"/>
    <w:rsid w:val="00FF29F0"/>
    <w:rsid w:val="00FF2C31"/>
    <w:rsid w:val="00FF2DB0"/>
    <w:rsid w:val="00FF2E11"/>
    <w:rsid w:val="00FF2E43"/>
    <w:rsid w:val="00FF2F8B"/>
    <w:rsid w:val="00FF320E"/>
    <w:rsid w:val="00FF3332"/>
    <w:rsid w:val="00FF3380"/>
    <w:rsid w:val="00FF33D3"/>
    <w:rsid w:val="00FF3437"/>
    <w:rsid w:val="00FF399D"/>
    <w:rsid w:val="00FF3D6F"/>
    <w:rsid w:val="00FF3DD8"/>
    <w:rsid w:val="00FF3DF8"/>
    <w:rsid w:val="00FF3E33"/>
    <w:rsid w:val="00FF3E4C"/>
    <w:rsid w:val="00FF3EB2"/>
    <w:rsid w:val="00FF3FE8"/>
    <w:rsid w:val="00FF4011"/>
    <w:rsid w:val="00FF40CD"/>
    <w:rsid w:val="00FF422F"/>
    <w:rsid w:val="00FF4246"/>
    <w:rsid w:val="00FF42CE"/>
    <w:rsid w:val="00FF42CF"/>
    <w:rsid w:val="00FF42F4"/>
    <w:rsid w:val="00FF4343"/>
    <w:rsid w:val="00FF4392"/>
    <w:rsid w:val="00FF43A4"/>
    <w:rsid w:val="00FF47C4"/>
    <w:rsid w:val="00FF481F"/>
    <w:rsid w:val="00FF4847"/>
    <w:rsid w:val="00FF48CB"/>
    <w:rsid w:val="00FF494B"/>
    <w:rsid w:val="00FF4987"/>
    <w:rsid w:val="00FF49C2"/>
    <w:rsid w:val="00FF4B8B"/>
    <w:rsid w:val="00FF4C1A"/>
    <w:rsid w:val="00FF4D05"/>
    <w:rsid w:val="00FF4E47"/>
    <w:rsid w:val="00FF5356"/>
    <w:rsid w:val="00FF53DC"/>
    <w:rsid w:val="00FF5616"/>
    <w:rsid w:val="00FF5624"/>
    <w:rsid w:val="00FF5772"/>
    <w:rsid w:val="00FF58E9"/>
    <w:rsid w:val="00FF598F"/>
    <w:rsid w:val="00FF59D3"/>
    <w:rsid w:val="00FF5A17"/>
    <w:rsid w:val="00FF5B30"/>
    <w:rsid w:val="00FF5E19"/>
    <w:rsid w:val="00FF5E7F"/>
    <w:rsid w:val="00FF5E90"/>
    <w:rsid w:val="00FF5F6D"/>
    <w:rsid w:val="00FF608A"/>
    <w:rsid w:val="00FF608E"/>
    <w:rsid w:val="00FF6133"/>
    <w:rsid w:val="00FF6148"/>
    <w:rsid w:val="00FF615E"/>
    <w:rsid w:val="00FF6260"/>
    <w:rsid w:val="00FF627E"/>
    <w:rsid w:val="00FF6534"/>
    <w:rsid w:val="00FF6871"/>
    <w:rsid w:val="00FF6993"/>
    <w:rsid w:val="00FF6C63"/>
    <w:rsid w:val="00FF6D12"/>
    <w:rsid w:val="00FF6DA4"/>
    <w:rsid w:val="00FF6DC4"/>
    <w:rsid w:val="00FF6FF5"/>
    <w:rsid w:val="00FF70B3"/>
    <w:rsid w:val="00FF73AA"/>
    <w:rsid w:val="00FF74C3"/>
    <w:rsid w:val="00FF78F0"/>
    <w:rsid w:val="00FF79A3"/>
    <w:rsid w:val="00FF7DDB"/>
    <w:rsid w:val="00FF7E64"/>
    <w:rsid w:val="00FF7E74"/>
    <w:rsid w:val="00FF7F3F"/>
    <w:rsid w:val="01065638"/>
    <w:rsid w:val="010671D2"/>
    <w:rsid w:val="010CAEC3"/>
    <w:rsid w:val="010EF410"/>
    <w:rsid w:val="01125F8E"/>
    <w:rsid w:val="01195163"/>
    <w:rsid w:val="01195CE5"/>
    <w:rsid w:val="0119F921"/>
    <w:rsid w:val="01211714"/>
    <w:rsid w:val="0125FD79"/>
    <w:rsid w:val="01284F0D"/>
    <w:rsid w:val="0129905D"/>
    <w:rsid w:val="012BEA7E"/>
    <w:rsid w:val="012E0D52"/>
    <w:rsid w:val="01342E4D"/>
    <w:rsid w:val="0134F82E"/>
    <w:rsid w:val="013AE652"/>
    <w:rsid w:val="013BE8CF"/>
    <w:rsid w:val="01427E2F"/>
    <w:rsid w:val="014350AF"/>
    <w:rsid w:val="0146158F"/>
    <w:rsid w:val="01483C05"/>
    <w:rsid w:val="014C240E"/>
    <w:rsid w:val="014D08C8"/>
    <w:rsid w:val="014D8CFE"/>
    <w:rsid w:val="014E52B9"/>
    <w:rsid w:val="01504AA8"/>
    <w:rsid w:val="015203FC"/>
    <w:rsid w:val="0155E74A"/>
    <w:rsid w:val="015A008F"/>
    <w:rsid w:val="0164A431"/>
    <w:rsid w:val="0166EAC3"/>
    <w:rsid w:val="016ADB3F"/>
    <w:rsid w:val="017AAA8B"/>
    <w:rsid w:val="017C2026"/>
    <w:rsid w:val="0180FC54"/>
    <w:rsid w:val="01827D71"/>
    <w:rsid w:val="01845B92"/>
    <w:rsid w:val="01889EE6"/>
    <w:rsid w:val="01991694"/>
    <w:rsid w:val="019DE80E"/>
    <w:rsid w:val="01A36337"/>
    <w:rsid w:val="01A40CBC"/>
    <w:rsid w:val="01A9155F"/>
    <w:rsid w:val="01ABF7B4"/>
    <w:rsid w:val="01AD1B73"/>
    <w:rsid w:val="01AE2C96"/>
    <w:rsid w:val="01B20A57"/>
    <w:rsid w:val="01B383E9"/>
    <w:rsid w:val="01B78EF4"/>
    <w:rsid w:val="01C345EC"/>
    <w:rsid w:val="01C6DF44"/>
    <w:rsid w:val="01C7513D"/>
    <w:rsid w:val="01CBBF87"/>
    <w:rsid w:val="01CDD5D8"/>
    <w:rsid w:val="01D09DC3"/>
    <w:rsid w:val="01D37F1F"/>
    <w:rsid w:val="01D6BB88"/>
    <w:rsid w:val="01DC21FF"/>
    <w:rsid w:val="01E1976B"/>
    <w:rsid w:val="01E7B2B6"/>
    <w:rsid w:val="01E864BE"/>
    <w:rsid w:val="01EB479F"/>
    <w:rsid w:val="01EBA5C8"/>
    <w:rsid w:val="01EE726A"/>
    <w:rsid w:val="01F10D21"/>
    <w:rsid w:val="01F5E0EF"/>
    <w:rsid w:val="01F91202"/>
    <w:rsid w:val="01FB4EF0"/>
    <w:rsid w:val="01FCC1FA"/>
    <w:rsid w:val="01FEE93C"/>
    <w:rsid w:val="020077A4"/>
    <w:rsid w:val="020401CF"/>
    <w:rsid w:val="020E1E37"/>
    <w:rsid w:val="020EA115"/>
    <w:rsid w:val="0211A5DB"/>
    <w:rsid w:val="021B99C0"/>
    <w:rsid w:val="02220E90"/>
    <w:rsid w:val="0223A024"/>
    <w:rsid w:val="022A3CC2"/>
    <w:rsid w:val="022AFE13"/>
    <w:rsid w:val="022B261F"/>
    <w:rsid w:val="022FAECE"/>
    <w:rsid w:val="022FED7D"/>
    <w:rsid w:val="0230A3DC"/>
    <w:rsid w:val="0234F688"/>
    <w:rsid w:val="023A8245"/>
    <w:rsid w:val="023FECF1"/>
    <w:rsid w:val="02468B13"/>
    <w:rsid w:val="024F43C8"/>
    <w:rsid w:val="025287DF"/>
    <w:rsid w:val="0257E540"/>
    <w:rsid w:val="025C3BA7"/>
    <w:rsid w:val="0266ED62"/>
    <w:rsid w:val="026ABDA5"/>
    <w:rsid w:val="026CC990"/>
    <w:rsid w:val="026DB55C"/>
    <w:rsid w:val="026E5862"/>
    <w:rsid w:val="026FC314"/>
    <w:rsid w:val="02750C9D"/>
    <w:rsid w:val="0276632F"/>
    <w:rsid w:val="0277D775"/>
    <w:rsid w:val="0279DA80"/>
    <w:rsid w:val="027A303F"/>
    <w:rsid w:val="027CE82E"/>
    <w:rsid w:val="0280245A"/>
    <w:rsid w:val="02891186"/>
    <w:rsid w:val="029C3710"/>
    <w:rsid w:val="029F6982"/>
    <w:rsid w:val="02A436FD"/>
    <w:rsid w:val="02A7D37E"/>
    <w:rsid w:val="02AB3EA4"/>
    <w:rsid w:val="02ABA55F"/>
    <w:rsid w:val="02ACD6F7"/>
    <w:rsid w:val="02B60F08"/>
    <w:rsid w:val="02B83DBB"/>
    <w:rsid w:val="02B9439E"/>
    <w:rsid w:val="02BC328B"/>
    <w:rsid w:val="02BE6390"/>
    <w:rsid w:val="02C1DD84"/>
    <w:rsid w:val="02C98F55"/>
    <w:rsid w:val="02CB5098"/>
    <w:rsid w:val="02D935B6"/>
    <w:rsid w:val="02E25F92"/>
    <w:rsid w:val="02E3E377"/>
    <w:rsid w:val="02E7C3D9"/>
    <w:rsid w:val="02F46E2F"/>
    <w:rsid w:val="02FA49AC"/>
    <w:rsid w:val="02FB0D6A"/>
    <w:rsid w:val="02FB5A75"/>
    <w:rsid w:val="02FC76AA"/>
    <w:rsid w:val="0301EDEB"/>
    <w:rsid w:val="0308DFBE"/>
    <w:rsid w:val="030CE5DB"/>
    <w:rsid w:val="030DC2DA"/>
    <w:rsid w:val="030E3434"/>
    <w:rsid w:val="0310F94D"/>
    <w:rsid w:val="0312AB57"/>
    <w:rsid w:val="031B8ECF"/>
    <w:rsid w:val="0320D7D4"/>
    <w:rsid w:val="03278E46"/>
    <w:rsid w:val="03285085"/>
    <w:rsid w:val="032D23E0"/>
    <w:rsid w:val="033CFD5A"/>
    <w:rsid w:val="0344BCC4"/>
    <w:rsid w:val="0345A039"/>
    <w:rsid w:val="0348330D"/>
    <w:rsid w:val="0348CE18"/>
    <w:rsid w:val="0350D20B"/>
    <w:rsid w:val="03527423"/>
    <w:rsid w:val="035602E5"/>
    <w:rsid w:val="035FB15F"/>
    <w:rsid w:val="03658ED6"/>
    <w:rsid w:val="03670E10"/>
    <w:rsid w:val="036B2B19"/>
    <w:rsid w:val="0370CF46"/>
    <w:rsid w:val="0374E656"/>
    <w:rsid w:val="03783617"/>
    <w:rsid w:val="037DC057"/>
    <w:rsid w:val="037DDDEA"/>
    <w:rsid w:val="03832A34"/>
    <w:rsid w:val="0383FA44"/>
    <w:rsid w:val="039758E0"/>
    <w:rsid w:val="0398E64B"/>
    <w:rsid w:val="03A206DF"/>
    <w:rsid w:val="03A2558A"/>
    <w:rsid w:val="03A4C15A"/>
    <w:rsid w:val="03A57FAD"/>
    <w:rsid w:val="03AEE272"/>
    <w:rsid w:val="03AF2916"/>
    <w:rsid w:val="03B05308"/>
    <w:rsid w:val="03B0B9D1"/>
    <w:rsid w:val="03B136CD"/>
    <w:rsid w:val="03B3AF7C"/>
    <w:rsid w:val="03B87FB5"/>
    <w:rsid w:val="03B89443"/>
    <w:rsid w:val="03B9D541"/>
    <w:rsid w:val="03BE9D2B"/>
    <w:rsid w:val="03BEEE42"/>
    <w:rsid w:val="03C08C77"/>
    <w:rsid w:val="03C2CDFF"/>
    <w:rsid w:val="03C662A4"/>
    <w:rsid w:val="03CA16A1"/>
    <w:rsid w:val="03CBB693"/>
    <w:rsid w:val="03CF7567"/>
    <w:rsid w:val="03D5A7CA"/>
    <w:rsid w:val="03D6062F"/>
    <w:rsid w:val="03DB2CE8"/>
    <w:rsid w:val="03DB328A"/>
    <w:rsid w:val="03DCD4A1"/>
    <w:rsid w:val="03DD6E5D"/>
    <w:rsid w:val="03E44B8C"/>
    <w:rsid w:val="03E769A4"/>
    <w:rsid w:val="03E89C41"/>
    <w:rsid w:val="03E93DD7"/>
    <w:rsid w:val="03F02340"/>
    <w:rsid w:val="03F0B863"/>
    <w:rsid w:val="03F4432B"/>
    <w:rsid w:val="04061A73"/>
    <w:rsid w:val="04063B6C"/>
    <w:rsid w:val="0407248F"/>
    <w:rsid w:val="0408EE9A"/>
    <w:rsid w:val="040BA8B4"/>
    <w:rsid w:val="040C0CEC"/>
    <w:rsid w:val="040C7874"/>
    <w:rsid w:val="040F95BC"/>
    <w:rsid w:val="0410FDEE"/>
    <w:rsid w:val="041227F6"/>
    <w:rsid w:val="0417F57B"/>
    <w:rsid w:val="041C36A6"/>
    <w:rsid w:val="041C873D"/>
    <w:rsid w:val="041D5E52"/>
    <w:rsid w:val="04203B66"/>
    <w:rsid w:val="042BA07D"/>
    <w:rsid w:val="042EEA94"/>
    <w:rsid w:val="043F2306"/>
    <w:rsid w:val="0442B078"/>
    <w:rsid w:val="044B5354"/>
    <w:rsid w:val="044C33BD"/>
    <w:rsid w:val="044D6F79"/>
    <w:rsid w:val="044E339E"/>
    <w:rsid w:val="044F0E69"/>
    <w:rsid w:val="044F4B93"/>
    <w:rsid w:val="04539DE9"/>
    <w:rsid w:val="0453DC0F"/>
    <w:rsid w:val="04544791"/>
    <w:rsid w:val="045574E7"/>
    <w:rsid w:val="0456A746"/>
    <w:rsid w:val="0456B79A"/>
    <w:rsid w:val="0457771D"/>
    <w:rsid w:val="0457CC72"/>
    <w:rsid w:val="04682EED"/>
    <w:rsid w:val="046882A8"/>
    <w:rsid w:val="0471EF9C"/>
    <w:rsid w:val="0472F24C"/>
    <w:rsid w:val="047638F6"/>
    <w:rsid w:val="047BA0C6"/>
    <w:rsid w:val="047E4E6D"/>
    <w:rsid w:val="04832D15"/>
    <w:rsid w:val="04850DEE"/>
    <w:rsid w:val="0485E54F"/>
    <w:rsid w:val="0486DB18"/>
    <w:rsid w:val="048ADB33"/>
    <w:rsid w:val="048D06B7"/>
    <w:rsid w:val="048D547D"/>
    <w:rsid w:val="0490B691"/>
    <w:rsid w:val="0491F23E"/>
    <w:rsid w:val="0491F936"/>
    <w:rsid w:val="04953FE0"/>
    <w:rsid w:val="0495802A"/>
    <w:rsid w:val="04961961"/>
    <w:rsid w:val="04982A01"/>
    <w:rsid w:val="049BC481"/>
    <w:rsid w:val="049D4F5C"/>
    <w:rsid w:val="04A1AB04"/>
    <w:rsid w:val="04A263E7"/>
    <w:rsid w:val="04A2FC5B"/>
    <w:rsid w:val="04A33322"/>
    <w:rsid w:val="04A43E1F"/>
    <w:rsid w:val="04A4FCC3"/>
    <w:rsid w:val="04AA1EE5"/>
    <w:rsid w:val="04AD92F6"/>
    <w:rsid w:val="04AF0A84"/>
    <w:rsid w:val="04BCE36E"/>
    <w:rsid w:val="04C4CE63"/>
    <w:rsid w:val="04C4CFF9"/>
    <w:rsid w:val="04CD0CC9"/>
    <w:rsid w:val="04D053EC"/>
    <w:rsid w:val="04D3E4FA"/>
    <w:rsid w:val="04D521DB"/>
    <w:rsid w:val="04D64835"/>
    <w:rsid w:val="04D86CCD"/>
    <w:rsid w:val="04DADB34"/>
    <w:rsid w:val="04DC311B"/>
    <w:rsid w:val="04DD4A9C"/>
    <w:rsid w:val="04E009B5"/>
    <w:rsid w:val="04E3E197"/>
    <w:rsid w:val="04E7A3EE"/>
    <w:rsid w:val="04E99A81"/>
    <w:rsid w:val="04EBEBAF"/>
    <w:rsid w:val="04EC1B87"/>
    <w:rsid w:val="04F353CE"/>
    <w:rsid w:val="04FDF50F"/>
    <w:rsid w:val="0500F4AA"/>
    <w:rsid w:val="05025727"/>
    <w:rsid w:val="0503655E"/>
    <w:rsid w:val="05126818"/>
    <w:rsid w:val="0514F78B"/>
    <w:rsid w:val="0516CE99"/>
    <w:rsid w:val="0517E049"/>
    <w:rsid w:val="0519D0CA"/>
    <w:rsid w:val="0520C849"/>
    <w:rsid w:val="0521816C"/>
    <w:rsid w:val="05251F37"/>
    <w:rsid w:val="052796F9"/>
    <w:rsid w:val="0534721D"/>
    <w:rsid w:val="05367834"/>
    <w:rsid w:val="053E04FE"/>
    <w:rsid w:val="0542F6C6"/>
    <w:rsid w:val="0545013D"/>
    <w:rsid w:val="05510917"/>
    <w:rsid w:val="055992C5"/>
    <w:rsid w:val="055A120C"/>
    <w:rsid w:val="055EC4E2"/>
    <w:rsid w:val="055FD0E8"/>
    <w:rsid w:val="0568CC21"/>
    <w:rsid w:val="056C390F"/>
    <w:rsid w:val="0570A558"/>
    <w:rsid w:val="0570C224"/>
    <w:rsid w:val="05722995"/>
    <w:rsid w:val="0573364B"/>
    <w:rsid w:val="057344AA"/>
    <w:rsid w:val="0578A596"/>
    <w:rsid w:val="05796FB6"/>
    <w:rsid w:val="057AB9F5"/>
    <w:rsid w:val="057C4ED1"/>
    <w:rsid w:val="057D1717"/>
    <w:rsid w:val="0583B23B"/>
    <w:rsid w:val="0584BAAE"/>
    <w:rsid w:val="0589A48E"/>
    <w:rsid w:val="058D832F"/>
    <w:rsid w:val="058DBA0B"/>
    <w:rsid w:val="058FC1D6"/>
    <w:rsid w:val="05916279"/>
    <w:rsid w:val="0592B480"/>
    <w:rsid w:val="059468E1"/>
    <w:rsid w:val="059A7FF9"/>
    <w:rsid w:val="059AC111"/>
    <w:rsid w:val="059BCD7A"/>
    <w:rsid w:val="059D4D53"/>
    <w:rsid w:val="05A17042"/>
    <w:rsid w:val="05A1FF10"/>
    <w:rsid w:val="05A6668E"/>
    <w:rsid w:val="05A66A56"/>
    <w:rsid w:val="05ACE6B9"/>
    <w:rsid w:val="05AD0219"/>
    <w:rsid w:val="05AF1390"/>
    <w:rsid w:val="05AFAC72"/>
    <w:rsid w:val="05B0BAD9"/>
    <w:rsid w:val="05BB94F4"/>
    <w:rsid w:val="05BBFD33"/>
    <w:rsid w:val="05BE7860"/>
    <w:rsid w:val="05C269B0"/>
    <w:rsid w:val="05C7222D"/>
    <w:rsid w:val="05CF0973"/>
    <w:rsid w:val="05CFD641"/>
    <w:rsid w:val="05D52374"/>
    <w:rsid w:val="05D82568"/>
    <w:rsid w:val="05D8C613"/>
    <w:rsid w:val="05D9CFCC"/>
    <w:rsid w:val="05DAA251"/>
    <w:rsid w:val="05E80D8B"/>
    <w:rsid w:val="05EB2CDE"/>
    <w:rsid w:val="05EEE10C"/>
    <w:rsid w:val="05EF8E77"/>
    <w:rsid w:val="05EF9090"/>
    <w:rsid w:val="05F7A331"/>
    <w:rsid w:val="05FE00ED"/>
    <w:rsid w:val="060112DE"/>
    <w:rsid w:val="0602A586"/>
    <w:rsid w:val="06053E02"/>
    <w:rsid w:val="060BD26D"/>
    <w:rsid w:val="060D98DD"/>
    <w:rsid w:val="060F5BD3"/>
    <w:rsid w:val="06118951"/>
    <w:rsid w:val="061BA25E"/>
    <w:rsid w:val="061CE891"/>
    <w:rsid w:val="061D3D5D"/>
    <w:rsid w:val="061D5D01"/>
    <w:rsid w:val="0624CD7F"/>
    <w:rsid w:val="0625092B"/>
    <w:rsid w:val="062684BF"/>
    <w:rsid w:val="0628EB46"/>
    <w:rsid w:val="06336558"/>
    <w:rsid w:val="06338A65"/>
    <w:rsid w:val="0634158F"/>
    <w:rsid w:val="0634D1ED"/>
    <w:rsid w:val="0635621E"/>
    <w:rsid w:val="063A8F1A"/>
    <w:rsid w:val="0640E1E0"/>
    <w:rsid w:val="06430F15"/>
    <w:rsid w:val="064377D7"/>
    <w:rsid w:val="06548CA9"/>
    <w:rsid w:val="0658C5DF"/>
    <w:rsid w:val="06625AB8"/>
    <w:rsid w:val="0664897A"/>
    <w:rsid w:val="06659BD9"/>
    <w:rsid w:val="0670EDB2"/>
    <w:rsid w:val="06728D98"/>
    <w:rsid w:val="0674297D"/>
    <w:rsid w:val="06783894"/>
    <w:rsid w:val="067B4C9C"/>
    <w:rsid w:val="068C5B36"/>
    <w:rsid w:val="068FD2F4"/>
    <w:rsid w:val="0690269F"/>
    <w:rsid w:val="06973192"/>
    <w:rsid w:val="06984553"/>
    <w:rsid w:val="06A58B9C"/>
    <w:rsid w:val="06A7B6DA"/>
    <w:rsid w:val="06AB0535"/>
    <w:rsid w:val="06B89AA0"/>
    <w:rsid w:val="06BE7BE0"/>
    <w:rsid w:val="06C0DD51"/>
    <w:rsid w:val="06C3BDB7"/>
    <w:rsid w:val="06C5D019"/>
    <w:rsid w:val="06C6E104"/>
    <w:rsid w:val="06CAD27B"/>
    <w:rsid w:val="06CB225F"/>
    <w:rsid w:val="06CB3F99"/>
    <w:rsid w:val="06CC8405"/>
    <w:rsid w:val="06CED17D"/>
    <w:rsid w:val="06D1694C"/>
    <w:rsid w:val="06D3B9E9"/>
    <w:rsid w:val="06DCB56E"/>
    <w:rsid w:val="06E61029"/>
    <w:rsid w:val="06E6C6D2"/>
    <w:rsid w:val="06E76CF2"/>
    <w:rsid w:val="06EB4EF4"/>
    <w:rsid w:val="06EB51EC"/>
    <w:rsid w:val="06EF8879"/>
    <w:rsid w:val="06F045E2"/>
    <w:rsid w:val="06F58D8A"/>
    <w:rsid w:val="06FAA36A"/>
    <w:rsid w:val="06FBF3A4"/>
    <w:rsid w:val="06FD1861"/>
    <w:rsid w:val="06FD9D83"/>
    <w:rsid w:val="06FDD62D"/>
    <w:rsid w:val="07083D45"/>
    <w:rsid w:val="070A1FC2"/>
    <w:rsid w:val="070E4901"/>
    <w:rsid w:val="071003D6"/>
    <w:rsid w:val="071091F4"/>
    <w:rsid w:val="07244FC5"/>
    <w:rsid w:val="072905E5"/>
    <w:rsid w:val="072DA101"/>
    <w:rsid w:val="072EEB18"/>
    <w:rsid w:val="072FD485"/>
    <w:rsid w:val="07306AE6"/>
    <w:rsid w:val="0731B886"/>
    <w:rsid w:val="07331A85"/>
    <w:rsid w:val="074514A0"/>
    <w:rsid w:val="07486446"/>
    <w:rsid w:val="074B7F8B"/>
    <w:rsid w:val="0753F0CB"/>
    <w:rsid w:val="0757689B"/>
    <w:rsid w:val="075847EA"/>
    <w:rsid w:val="075F3963"/>
    <w:rsid w:val="0769C8C6"/>
    <w:rsid w:val="076BCA25"/>
    <w:rsid w:val="0772AFF9"/>
    <w:rsid w:val="07753AE5"/>
    <w:rsid w:val="077D3FE9"/>
    <w:rsid w:val="077DA4CB"/>
    <w:rsid w:val="0780403D"/>
    <w:rsid w:val="0781E2FC"/>
    <w:rsid w:val="078316C9"/>
    <w:rsid w:val="078DE91E"/>
    <w:rsid w:val="07927B9A"/>
    <w:rsid w:val="07969F93"/>
    <w:rsid w:val="0799A3F0"/>
    <w:rsid w:val="0799C6D7"/>
    <w:rsid w:val="079C0AC7"/>
    <w:rsid w:val="07A19C34"/>
    <w:rsid w:val="07A4CEDB"/>
    <w:rsid w:val="07A8AB19"/>
    <w:rsid w:val="07AD20DD"/>
    <w:rsid w:val="07AD80F2"/>
    <w:rsid w:val="07B76CEC"/>
    <w:rsid w:val="07B85167"/>
    <w:rsid w:val="07BEE514"/>
    <w:rsid w:val="07BF0AFB"/>
    <w:rsid w:val="07C3B959"/>
    <w:rsid w:val="07C86D04"/>
    <w:rsid w:val="07CCFA29"/>
    <w:rsid w:val="07CD2AF7"/>
    <w:rsid w:val="07D2DAAB"/>
    <w:rsid w:val="07D4EF82"/>
    <w:rsid w:val="07D7A155"/>
    <w:rsid w:val="07D7B854"/>
    <w:rsid w:val="07D8CF1A"/>
    <w:rsid w:val="07D8D6BE"/>
    <w:rsid w:val="07DA2D2E"/>
    <w:rsid w:val="07DB68B7"/>
    <w:rsid w:val="07DBBE1E"/>
    <w:rsid w:val="07DE45B9"/>
    <w:rsid w:val="07E154A0"/>
    <w:rsid w:val="07E2CAC7"/>
    <w:rsid w:val="07E4EE5F"/>
    <w:rsid w:val="07E56C75"/>
    <w:rsid w:val="07E74443"/>
    <w:rsid w:val="07E75F94"/>
    <w:rsid w:val="07EA7D0A"/>
    <w:rsid w:val="07EE3E83"/>
    <w:rsid w:val="07EE9D90"/>
    <w:rsid w:val="07F45E1B"/>
    <w:rsid w:val="07F7F2AC"/>
    <w:rsid w:val="07F9FC4E"/>
    <w:rsid w:val="08003E8A"/>
    <w:rsid w:val="080B5525"/>
    <w:rsid w:val="080B619E"/>
    <w:rsid w:val="0819B104"/>
    <w:rsid w:val="0822ACDB"/>
    <w:rsid w:val="08290198"/>
    <w:rsid w:val="082CC26A"/>
    <w:rsid w:val="082CE7FA"/>
    <w:rsid w:val="08304F98"/>
    <w:rsid w:val="0837314F"/>
    <w:rsid w:val="083916F3"/>
    <w:rsid w:val="083A8727"/>
    <w:rsid w:val="083E0676"/>
    <w:rsid w:val="0843F9FC"/>
    <w:rsid w:val="0845BF94"/>
    <w:rsid w:val="08493985"/>
    <w:rsid w:val="0849ABC8"/>
    <w:rsid w:val="084A98CA"/>
    <w:rsid w:val="084FC457"/>
    <w:rsid w:val="08542BD2"/>
    <w:rsid w:val="08543A61"/>
    <w:rsid w:val="085599F1"/>
    <w:rsid w:val="0858D3C7"/>
    <w:rsid w:val="085ECD42"/>
    <w:rsid w:val="08634A26"/>
    <w:rsid w:val="0864D8EA"/>
    <w:rsid w:val="08675ECA"/>
    <w:rsid w:val="086867A5"/>
    <w:rsid w:val="087E4978"/>
    <w:rsid w:val="087EA7D2"/>
    <w:rsid w:val="087F6597"/>
    <w:rsid w:val="087FD2D4"/>
    <w:rsid w:val="08821E90"/>
    <w:rsid w:val="08836F1F"/>
    <w:rsid w:val="0885B840"/>
    <w:rsid w:val="088AB823"/>
    <w:rsid w:val="088DF37D"/>
    <w:rsid w:val="089002D4"/>
    <w:rsid w:val="089154F9"/>
    <w:rsid w:val="0891E4D6"/>
    <w:rsid w:val="08920691"/>
    <w:rsid w:val="089224ED"/>
    <w:rsid w:val="0894AA5E"/>
    <w:rsid w:val="0897D4DB"/>
    <w:rsid w:val="08A09180"/>
    <w:rsid w:val="08A53256"/>
    <w:rsid w:val="08A62CB4"/>
    <w:rsid w:val="08ABA164"/>
    <w:rsid w:val="08ABAA3F"/>
    <w:rsid w:val="08AFBBAB"/>
    <w:rsid w:val="08B13740"/>
    <w:rsid w:val="08B1DE04"/>
    <w:rsid w:val="08B292CD"/>
    <w:rsid w:val="08B43F38"/>
    <w:rsid w:val="08B618F0"/>
    <w:rsid w:val="08BA33DB"/>
    <w:rsid w:val="08BBBD8F"/>
    <w:rsid w:val="08C3FB78"/>
    <w:rsid w:val="08C53966"/>
    <w:rsid w:val="08C5CD6B"/>
    <w:rsid w:val="08D08CDE"/>
    <w:rsid w:val="08D704F9"/>
    <w:rsid w:val="08DFBAB7"/>
    <w:rsid w:val="08E60CFA"/>
    <w:rsid w:val="08E9062F"/>
    <w:rsid w:val="08EFED86"/>
    <w:rsid w:val="08F10527"/>
    <w:rsid w:val="08F2AEAB"/>
    <w:rsid w:val="08F534F5"/>
    <w:rsid w:val="08F9BD1E"/>
    <w:rsid w:val="08FAEB11"/>
    <w:rsid w:val="08FD34A9"/>
    <w:rsid w:val="08FEFEDF"/>
    <w:rsid w:val="0900297D"/>
    <w:rsid w:val="090551D0"/>
    <w:rsid w:val="09080537"/>
    <w:rsid w:val="0908F037"/>
    <w:rsid w:val="090D1B5C"/>
    <w:rsid w:val="090FCC9E"/>
    <w:rsid w:val="09157776"/>
    <w:rsid w:val="091C8222"/>
    <w:rsid w:val="091D1EAD"/>
    <w:rsid w:val="0924FBDE"/>
    <w:rsid w:val="092A0790"/>
    <w:rsid w:val="092B809B"/>
    <w:rsid w:val="092CF2F6"/>
    <w:rsid w:val="092D4CF3"/>
    <w:rsid w:val="092E2C2C"/>
    <w:rsid w:val="0930EA6F"/>
    <w:rsid w:val="0932A4CC"/>
    <w:rsid w:val="0934B9F3"/>
    <w:rsid w:val="0935D4D6"/>
    <w:rsid w:val="0937D8A9"/>
    <w:rsid w:val="093ED140"/>
    <w:rsid w:val="09426CC0"/>
    <w:rsid w:val="09462D27"/>
    <w:rsid w:val="0947B5BD"/>
    <w:rsid w:val="094E60C4"/>
    <w:rsid w:val="094FF30E"/>
    <w:rsid w:val="0951AC56"/>
    <w:rsid w:val="09539276"/>
    <w:rsid w:val="0966F079"/>
    <w:rsid w:val="096A69F1"/>
    <w:rsid w:val="096B7E1A"/>
    <w:rsid w:val="09796CBB"/>
    <w:rsid w:val="097CA5C4"/>
    <w:rsid w:val="097EE9E6"/>
    <w:rsid w:val="09828053"/>
    <w:rsid w:val="0994AE9E"/>
    <w:rsid w:val="0994B470"/>
    <w:rsid w:val="09973E4B"/>
    <w:rsid w:val="099A9335"/>
    <w:rsid w:val="099C5494"/>
    <w:rsid w:val="09A30C85"/>
    <w:rsid w:val="09A6C248"/>
    <w:rsid w:val="09A6CB64"/>
    <w:rsid w:val="09AFE235"/>
    <w:rsid w:val="09B5975E"/>
    <w:rsid w:val="09B9C856"/>
    <w:rsid w:val="09BA9E90"/>
    <w:rsid w:val="09BB646D"/>
    <w:rsid w:val="09BD5693"/>
    <w:rsid w:val="09CA02AE"/>
    <w:rsid w:val="09CB1592"/>
    <w:rsid w:val="09D5330D"/>
    <w:rsid w:val="09E33CF2"/>
    <w:rsid w:val="09E5A9B3"/>
    <w:rsid w:val="09E8BBFE"/>
    <w:rsid w:val="09EE4E5E"/>
    <w:rsid w:val="09EF9013"/>
    <w:rsid w:val="09F64AE8"/>
    <w:rsid w:val="09FA173A"/>
    <w:rsid w:val="09FA6EA0"/>
    <w:rsid w:val="09FC2D97"/>
    <w:rsid w:val="09FF6763"/>
    <w:rsid w:val="09FF6922"/>
    <w:rsid w:val="09FFB0B3"/>
    <w:rsid w:val="0A02ADA9"/>
    <w:rsid w:val="0A02E79A"/>
    <w:rsid w:val="0A043288"/>
    <w:rsid w:val="0A095657"/>
    <w:rsid w:val="0A09BFFD"/>
    <w:rsid w:val="0A102861"/>
    <w:rsid w:val="0A1103B7"/>
    <w:rsid w:val="0A1F330B"/>
    <w:rsid w:val="0A275580"/>
    <w:rsid w:val="0A290A30"/>
    <w:rsid w:val="0A29D0C7"/>
    <w:rsid w:val="0A2C177D"/>
    <w:rsid w:val="0A2DB2ED"/>
    <w:rsid w:val="0A32A2F6"/>
    <w:rsid w:val="0A362FD5"/>
    <w:rsid w:val="0A375AF2"/>
    <w:rsid w:val="0A3C0BB3"/>
    <w:rsid w:val="0A40BD0D"/>
    <w:rsid w:val="0A49E161"/>
    <w:rsid w:val="0A4E5A98"/>
    <w:rsid w:val="0A4F6FC3"/>
    <w:rsid w:val="0A527E73"/>
    <w:rsid w:val="0A563F8A"/>
    <w:rsid w:val="0A569997"/>
    <w:rsid w:val="0A5BEB9D"/>
    <w:rsid w:val="0A5DA8CA"/>
    <w:rsid w:val="0A6299BC"/>
    <w:rsid w:val="0A6389A4"/>
    <w:rsid w:val="0A6573F6"/>
    <w:rsid w:val="0A66BABC"/>
    <w:rsid w:val="0A724FCD"/>
    <w:rsid w:val="0A7A15C6"/>
    <w:rsid w:val="0A7B9D66"/>
    <w:rsid w:val="0A7C26A7"/>
    <w:rsid w:val="0A8059A4"/>
    <w:rsid w:val="0A86FA98"/>
    <w:rsid w:val="0A88B7A0"/>
    <w:rsid w:val="0A8F1AD3"/>
    <w:rsid w:val="0A97B848"/>
    <w:rsid w:val="0AA5FB9E"/>
    <w:rsid w:val="0AA6BB49"/>
    <w:rsid w:val="0AA80539"/>
    <w:rsid w:val="0AA8A0B1"/>
    <w:rsid w:val="0AB0EDD5"/>
    <w:rsid w:val="0AB15027"/>
    <w:rsid w:val="0AB34C82"/>
    <w:rsid w:val="0ABB27C3"/>
    <w:rsid w:val="0AC3B75C"/>
    <w:rsid w:val="0AC46DAD"/>
    <w:rsid w:val="0AC97426"/>
    <w:rsid w:val="0ACF3310"/>
    <w:rsid w:val="0AD11F65"/>
    <w:rsid w:val="0AD1281A"/>
    <w:rsid w:val="0AD3C47C"/>
    <w:rsid w:val="0AD77118"/>
    <w:rsid w:val="0AD94D2B"/>
    <w:rsid w:val="0AD9E78E"/>
    <w:rsid w:val="0ADB27DB"/>
    <w:rsid w:val="0ADD9FA0"/>
    <w:rsid w:val="0AEF196E"/>
    <w:rsid w:val="0AF15FBD"/>
    <w:rsid w:val="0AF1B33D"/>
    <w:rsid w:val="0AF39338"/>
    <w:rsid w:val="0AF58353"/>
    <w:rsid w:val="0AFA09FA"/>
    <w:rsid w:val="0AFF4E37"/>
    <w:rsid w:val="0B017BB7"/>
    <w:rsid w:val="0B0E8BBB"/>
    <w:rsid w:val="0B14B889"/>
    <w:rsid w:val="0B14C345"/>
    <w:rsid w:val="0B1B3CF0"/>
    <w:rsid w:val="0B1F9D20"/>
    <w:rsid w:val="0B208794"/>
    <w:rsid w:val="0B25F94E"/>
    <w:rsid w:val="0B2BC111"/>
    <w:rsid w:val="0B2C4D2B"/>
    <w:rsid w:val="0B3055A7"/>
    <w:rsid w:val="0B3161DE"/>
    <w:rsid w:val="0B32B0B7"/>
    <w:rsid w:val="0B34CE19"/>
    <w:rsid w:val="0B3B97DB"/>
    <w:rsid w:val="0B3E6081"/>
    <w:rsid w:val="0B3F03D6"/>
    <w:rsid w:val="0B3F7583"/>
    <w:rsid w:val="0B401CCD"/>
    <w:rsid w:val="0B414BBC"/>
    <w:rsid w:val="0B431C9B"/>
    <w:rsid w:val="0B4C07F8"/>
    <w:rsid w:val="0B4C0D02"/>
    <w:rsid w:val="0B552FFE"/>
    <w:rsid w:val="0B5AF4C6"/>
    <w:rsid w:val="0B5BF168"/>
    <w:rsid w:val="0B5C6578"/>
    <w:rsid w:val="0B5DE357"/>
    <w:rsid w:val="0B5F53A5"/>
    <w:rsid w:val="0B60B1F0"/>
    <w:rsid w:val="0B6676C8"/>
    <w:rsid w:val="0B6B426E"/>
    <w:rsid w:val="0B6D0EE6"/>
    <w:rsid w:val="0B6E1B83"/>
    <w:rsid w:val="0B6F9B79"/>
    <w:rsid w:val="0B72ACD7"/>
    <w:rsid w:val="0B7EF522"/>
    <w:rsid w:val="0B8095BF"/>
    <w:rsid w:val="0B80E82D"/>
    <w:rsid w:val="0B82B281"/>
    <w:rsid w:val="0B8A85AA"/>
    <w:rsid w:val="0B90C25B"/>
    <w:rsid w:val="0B96E678"/>
    <w:rsid w:val="0B990585"/>
    <w:rsid w:val="0B9DED4F"/>
    <w:rsid w:val="0BA1D34D"/>
    <w:rsid w:val="0BA3D944"/>
    <w:rsid w:val="0BA6666E"/>
    <w:rsid w:val="0BA86CD8"/>
    <w:rsid w:val="0BA8C9D1"/>
    <w:rsid w:val="0BA93860"/>
    <w:rsid w:val="0BAB423E"/>
    <w:rsid w:val="0BB8C1AE"/>
    <w:rsid w:val="0BC0630D"/>
    <w:rsid w:val="0BC3A2FE"/>
    <w:rsid w:val="0BC4D848"/>
    <w:rsid w:val="0BCCD03B"/>
    <w:rsid w:val="0BD13AA1"/>
    <w:rsid w:val="0BD722C3"/>
    <w:rsid w:val="0BD8D56D"/>
    <w:rsid w:val="0BDD7F90"/>
    <w:rsid w:val="0BDFDEC3"/>
    <w:rsid w:val="0BEC72BB"/>
    <w:rsid w:val="0BEFA4B2"/>
    <w:rsid w:val="0BEFF5B5"/>
    <w:rsid w:val="0BFBCB32"/>
    <w:rsid w:val="0BFDA64E"/>
    <w:rsid w:val="0C03AC68"/>
    <w:rsid w:val="0C0789D1"/>
    <w:rsid w:val="0C08DE17"/>
    <w:rsid w:val="0C0DC3FB"/>
    <w:rsid w:val="0C0F84CA"/>
    <w:rsid w:val="0C116008"/>
    <w:rsid w:val="0C1184F1"/>
    <w:rsid w:val="0C14D211"/>
    <w:rsid w:val="0C1D9159"/>
    <w:rsid w:val="0C22DCA4"/>
    <w:rsid w:val="0C233F60"/>
    <w:rsid w:val="0C23FB8C"/>
    <w:rsid w:val="0C2C0552"/>
    <w:rsid w:val="0C302BA6"/>
    <w:rsid w:val="0C33661F"/>
    <w:rsid w:val="0C362FDF"/>
    <w:rsid w:val="0C39E725"/>
    <w:rsid w:val="0C3D8307"/>
    <w:rsid w:val="0C426EB7"/>
    <w:rsid w:val="0C441F0B"/>
    <w:rsid w:val="0C46C8FD"/>
    <w:rsid w:val="0C4A1482"/>
    <w:rsid w:val="0C4A9971"/>
    <w:rsid w:val="0C4ADAFB"/>
    <w:rsid w:val="0C4D3BEF"/>
    <w:rsid w:val="0C4EC038"/>
    <w:rsid w:val="0C509889"/>
    <w:rsid w:val="0C5289A3"/>
    <w:rsid w:val="0C54429A"/>
    <w:rsid w:val="0C54A925"/>
    <w:rsid w:val="0C54B347"/>
    <w:rsid w:val="0C592838"/>
    <w:rsid w:val="0C5F5B32"/>
    <w:rsid w:val="0C61049C"/>
    <w:rsid w:val="0C61F205"/>
    <w:rsid w:val="0C6589AF"/>
    <w:rsid w:val="0C676F32"/>
    <w:rsid w:val="0C67D5A2"/>
    <w:rsid w:val="0C69C324"/>
    <w:rsid w:val="0C6F1DB3"/>
    <w:rsid w:val="0C703612"/>
    <w:rsid w:val="0C76775B"/>
    <w:rsid w:val="0C783600"/>
    <w:rsid w:val="0C7870E5"/>
    <w:rsid w:val="0C7D4089"/>
    <w:rsid w:val="0C82E4DB"/>
    <w:rsid w:val="0C8CA124"/>
    <w:rsid w:val="0C923338"/>
    <w:rsid w:val="0C9F8DCF"/>
    <w:rsid w:val="0C9FF0AB"/>
    <w:rsid w:val="0CA76684"/>
    <w:rsid w:val="0CB319AA"/>
    <w:rsid w:val="0CB4292C"/>
    <w:rsid w:val="0CB6B41D"/>
    <w:rsid w:val="0CB73DA1"/>
    <w:rsid w:val="0CB9DC42"/>
    <w:rsid w:val="0CBB717E"/>
    <w:rsid w:val="0CBE4473"/>
    <w:rsid w:val="0CBE52AB"/>
    <w:rsid w:val="0CC126DC"/>
    <w:rsid w:val="0CC37D15"/>
    <w:rsid w:val="0CC96A5D"/>
    <w:rsid w:val="0CD080A0"/>
    <w:rsid w:val="0CD110C6"/>
    <w:rsid w:val="0CD269DD"/>
    <w:rsid w:val="0CEBE1A9"/>
    <w:rsid w:val="0CEEC28C"/>
    <w:rsid w:val="0CF86248"/>
    <w:rsid w:val="0CF92C8D"/>
    <w:rsid w:val="0D00474D"/>
    <w:rsid w:val="0D02056E"/>
    <w:rsid w:val="0D063724"/>
    <w:rsid w:val="0D0734C1"/>
    <w:rsid w:val="0D093473"/>
    <w:rsid w:val="0D0DDBF9"/>
    <w:rsid w:val="0D0F8352"/>
    <w:rsid w:val="0D10908F"/>
    <w:rsid w:val="0D12B9D1"/>
    <w:rsid w:val="0D183912"/>
    <w:rsid w:val="0D1852EA"/>
    <w:rsid w:val="0D1A1816"/>
    <w:rsid w:val="0D1A9182"/>
    <w:rsid w:val="0D204C56"/>
    <w:rsid w:val="0D20CD2B"/>
    <w:rsid w:val="0D22BD37"/>
    <w:rsid w:val="0D244E37"/>
    <w:rsid w:val="0D27D97E"/>
    <w:rsid w:val="0D2B451A"/>
    <w:rsid w:val="0D31304D"/>
    <w:rsid w:val="0D32831B"/>
    <w:rsid w:val="0D33E299"/>
    <w:rsid w:val="0D35C7B4"/>
    <w:rsid w:val="0D3A8950"/>
    <w:rsid w:val="0D4648E3"/>
    <w:rsid w:val="0D46F0E2"/>
    <w:rsid w:val="0D4ACDAF"/>
    <w:rsid w:val="0D4BF989"/>
    <w:rsid w:val="0D514BB9"/>
    <w:rsid w:val="0D53D29C"/>
    <w:rsid w:val="0D560C68"/>
    <w:rsid w:val="0D584B15"/>
    <w:rsid w:val="0D5D3964"/>
    <w:rsid w:val="0D626018"/>
    <w:rsid w:val="0D632B9D"/>
    <w:rsid w:val="0D6373F7"/>
    <w:rsid w:val="0D64686E"/>
    <w:rsid w:val="0D648CCA"/>
    <w:rsid w:val="0D79699B"/>
    <w:rsid w:val="0D7CAF2C"/>
    <w:rsid w:val="0D7F5841"/>
    <w:rsid w:val="0D83E379"/>
    <w:rsid w:val="0D88038A"/>
    <w:rsid w:val="0D88ADA6"/>
    <w:rsid w:val="0D8D3BAA"/>
    <w:rsid w:val="0D91125A"/>
    <w:rsid w:val="0DA5FAE9"/>
    <w:rsid w:val="0DB7240C"/>
    <w:rsid w:val="0DB85C00"/>
    <w:rsid w:val="0DB8BDB7"/>
    <w:rsid w:val="0DC0C9BA"/>
    <w:rsid w:val="0DC3AB7D"/>
    <w:rsid w:val="0DC96B35"/>
    <w:rsid w:val="0DD2CF21"/>
    <w:rsid w:val="0DD45FAF"/>
    <w:rsid w:val="0DD8B7A6"/>
    <w:rsid w:val="0DDB6AC7"/>
    <w:rsid w:val="0DE431B2"/>
    <w:rsid w:val="0DE62EDC"/>
    <w:rsid w:val="0DE75502"/>
    <w:rsid w:val="0DE85BB9"/>
    <w:rsid w:val="0DE86221"/>
    <w:rsid w:val="0DE9BF3B"/>
    <w:rsid w:val="0DED98ED"/>
    <w:rsid w:val="0DEFC5B0"/>
    <w:rsid w:val="0DF0B351"/>
    <w:rsid w:val="0DF17832"/>
    <w:rsid w:val="0DF5D737"/>
    <w:rsid w:val="0DF610E5"/>
    <w:rsid w:val="0DF99EF2"/>
    <w:rsid w:val="0DFD7109"/>
    <w:rsid w:val="0E02D9B8"/>
    <w:rsid w:val="0E07EE9F"/>
    <w:rsid w:val="0E0A2F57"/>
    <w:rsid w:val="0E0C0F26"/>
    <w:rsid w:val="0E0CA32D"/>
    <w:rsid w:val="0E151158"/>
    <w:rsid w:val="0E20F7BF"/>
    <w:rsid w:val="0E27B86A"/>
    <w:rsid w:val="0E280850"/>
    <w:rsid w:val="0E30B68C"/>
    <w:rsid w:val="0E357DA2"/>
    <w:rsid w:val="0E3B5B34"/>
    <w:rsid w:val="0E3FFE8D"/>
    <w:rsid w:val="0E42E79E"/>
    <w:rsid w:val="0E45CB1A"/>
    <w:rsid w:val="0E4D7FFD"/>
    <w:rsid w:val="0E4DD9FD"/>
    <w:rsid w:val="0E4FEEEC"/>
    <w:rsid w:val="0E525FA9"/>
    <w:rsid w:val="0E55C7C0"/>
    <w:rsid w:val="0E5609D2"/>
    <w:rsid w:val="0E575642"/>
    <w:rsid w:val="0E57C98D"/>
    <w:rsid w:val="0E5BB07E"/>
    <w:rsid w:val="0E5E3FEA"/>
    <w:rsid w:val="0E5F766D"/>
    <w:rsid w:val="0E77E4CD"/>
    <w:rsid w:val="0E7951A6"/>
    <w:rsid w:val="0E7EC401"/>
    <w:rsid w:val="0E7F4EA7"/>
    <w:rsid w:val="0E7FDF36"/>
    <w:rsid w:val="0E811B03"/>
    <w:rsid w:val="0E83DD12"/>
    <w:rsid w:val="0E8560DF"/>
    <w:rsid w:val="0E873C93"/>
    <w:rsid w:val="0E87A7BB"/>
    <w:rsid w:val="0E88ED9C"/>
    <w:rsid w:val="0E8BF68D"/>
    <w:rsid w:val="0E8C8636"/>
    <w:rsid w:val="0E8E9104"/>
    <w:rsid w:val="0E90ED71"/>
    <w:rsid w:val="0E9431B2"/>
    <w:rsid w:val="0E94E5EE"/>
    <w:rsid w:val="0E94E724"/>
    <w:rsid w:val="0E95C438"/>
    <w:rsid w:val="0E988C45"/>
    <w:rsid w:val="0E9F3274"/>
    <w:rsid w:val="0EA4AB14"/>
    <w:rsid w:val="0EADD874"/>
    <w:rsid w:val="0EB5F896"/>
    <w:rsid w:val="0EB6D91A"/>
    <w:rsid w:val="0EB7EDED"/>
    <w:rsid w:val="0EB7F004"/>
    <w:rsid w:val="0EB8595F"/>
    <w:rsid w:val="0EB8B1EA"/>
    <w:rsid w:val="0EBA7121"/>
    <w:rsid w:val="0EBB9E3C"/>
    <w:rsid w:val="0ED3A6D1"/>
    <w:rsid w:val="0ED3F7A8"/>
    <w:rsid w:val="0ED8B11C"/>
    <w:rsid w:val="0EDBBF01"/>
    <w:rsid w:val="0EDD96B7"/>
    <w:rsid w:val="0EE0647B"/>
    <w:rsid w:val="0EE0C40D"/>
    <w:rsid w:val="0EE1B27E"/>
    <w:rsid w:val="0EE1F85E"/>
    <w:rsid w:val="0EE50AA4"/>
    <w:rsid w:val="0EE677B9"/>
    <w:rsid w:val="0EE9F398"/>
    <w:rsid w:val="0EEA8359"/>
    <w:rsid w:val="0EEB4FE2"/>
    <w:rsid w:val="0EEC5F23"/>
    <w:rsid w:val="0EEFFD4E"/>
    <w:rsid w:val="0EF14CFC"/>
    <w:rsid w:val="0EF5D080"/>
    <w:rsid w:val="0EF5EEE5"/>
    <w:rsid w:val="0EFC610F"/>
    <w:rsid w:val="0EFCE708"/>
    <w:rsid w:val="0EFD6109"/>
    <w:rsid w:val="0EFF25B8"/>
    <w:rsid w:val="0F07C32F"/>
    <w:rsid w:val="0F0E7C59"/>
    <w:rsid w:val="0F0F1AAE"/>
    <w:rsid w:val="0F1346BF"/>
    <w:rsid w:val="0F160C11"/>
    <w:rsid w:val="0F189D9A"/>
    <w:rsid w:val="0F1C9D35"/>
    <w:rsid w:val="0F2139CE"/>
    <w:rsid w:val="0F3E931B"/>
    <w:rsid w:val="0F414637"/>
    <w:rsid w:val="0F499BCC"/>
    <w:rsid w:val="0F4D38AE"/>
    <w:rsid w:val="0F4DBC09"/>
    <w:rsid w:val="0F503E2C"/>
    <w:rsid w:val="0F5391B4"/>
    <w:rsid w:val="0F53CA44"/>
    <w:rsid w:val="0F565D35"/>
    <w:rsid w:val="0F58F702"/>
    <w:rsid w:val="0F5A80AA"/>
    <w:rsid w:val="0F5F6C98"/>
    <w:rsid w:val="0F653B96"/>
    <w:rsid w:val="0F6C5A32"/>
    <w:rsid w:val="0F6DEE1D"/>
    <w:rsid w:val="0F708845"/>
    <w:rsid w:val="0F76908B"/>
    <w:rsid w:val="0F7D9EFC"/>
    <w:rsid w:val="0F7E39A1"/>
    <w:rsid w:val="0F89C04E"/>
    <w:rsid w:val="0F8AB7DF"/>
    <w:rsid w:val="0F8D517A"/>
    <w:rsid w:val="0F8E39E2"/>
    <w:rsid w:val="0F920131"/>
    <w:rsid w:val="0F92895B"/>
    <w:rsid w:val="0FA06E93"/>
    <w:rsid w:val="0FA48D7B"/>
    <w:rsid w:val="0FA4E7FF"/>
    <w:rsid w:val="0FA5D464"/>
    <w:rsid w:val="0FA60A87"/>
    <w:rsid w:val="0FAFEBCA"/>
    <w:rsid w:val="0FB4A3C8"/>
    <w:rsid w:val="0FB7237E"/>
    <w:rsid w:val="0FC27AD8"/>
    <w:rsid w:val="0FC52910"/>
    <w:rsid w:val="0FC98D8E"/>
    <w:rsid w:val="0FCB807F"/>
    <w:rsid w:val="0FCCD564"/>
    <w:rsid w:val="0FCF4649"/>
    <w:rsid w:val="0FCF5E61"/>
    <w:rsid w:val="0FDC0BA7"/>
    <w:rsid w:val="0FDEEEB7"/>
    <w:rsid w:val="0FE5612B"/>
    <w:rsid w:val="0FE70F87"/>
    <w:rsid w:val="0FEAFB9B"/>
    <w:rsid w:val="0FEF9AB2"/>
    <w:rsid w:val="0FF194E9"/>
    <w:rsid w:val="0FF5957A"/>
    <w:rsid w:val="0FF5A7BB"/>
    <w:rsid w:val="0FFF5F05"/>
    <w:rsid w:val="1000CE4E"/>
    <w:rsid w:val="1005F0CA"/>
    <w:rsid w:val="1019AFB8"/>
    <w:rsid w:val="101D42C8"/>
    <w:rsid w:val="10230867"/>
    <w:rsid w:val="1026F4A9"/>
    <w:rsid w:val="1027F330"/>
    <w:rsid w:val="10289A12"/>
    <w:rsid w:val="102B4207"/>
    <w:rsid w:val="102F1A53"/>
    <w:rsid w:val="1035DF86"/>
    <w:rsid w:val="10371ECE"/>
    <w:rsid w:val="103FE355"/>
    <w:rsid w:val="104BE52E"/>
    <w:rsid w:val="10514DC7"/>
    <w:rsid w:val="1056A6A1"/>
    <w:rsid w:val="105E221D"/>
    <w:rsid w:val="105F7CD0"/>
    <w:rsid w:val="106293B1"/>
    <w:rsid w:val="10632927"/>
    <w:rsid w:val="10661343"/>
    <w:rsid w:val="106ABB8E"/>
    <w:rsid w:val="106EAD6A"/>
    <w:rsid w:val="10712C03"/>
    <w:rsid w:val="1077AAF5"/>
    <w:rsid w:val="10804D1B"/>
    <w:rsid w:val="1080A219"/>
    <w:rsid w:val="1081DB15"/>
    <w:rsid w:val="1085DB00"/>
    <w:rsid w:val="108837AA"/>
    <w:rsid w:val="108DE2BC"/>
    <w:rsid w:val="109606E6"/>
    <w:rsid w:val="109A4217"/>
    <w:rsid w:val="109F8461"/>
    <w:rsid w:val="10A89523"/>
    <w:rsid w:val="10A9E87E"/>
    <w:rsid w:val="10AA154E"/>
    <w:rsid w:val="10B43ACD"/>
    <w:rsid w:val="10B46CD9"/>
    <w:rsid w:val="10B84A82"/>
    <w:rsid w:val="10BA884E"/>
    <w:rsid w:val="10BB6F0D"/>
    <w:rsid w:val="10CDFB84"/>
    <w:rsid w:val="10CE1233"/>
    <w:rsid w:val="10D30E8A"/>
    <w:rsid w:val="10D31149"/>
    <w:rsid w:val="10D366CE"/>
    <w:rsid w:val="10D7C626"/>
    <w:rsid w:val="10DED9A9"/>
    <w:rsid w:val="10E08D07"/>
    <w:rsid w:val="10E4E7B5"/>
    <w:rsid w:val="10E8C0E7"/>
    <w:rsid w:val="10E975C4"/>
    <w:rsid w:val="10EA1B14"/>
    <w:rsid w:val="10ECF7AD"/>
    <w:rsid w:val="10ED1491"/>
    <w:rsid w:val="10ED9143"/>
    <w:rsid w:val="10F58C24"/>
    <w:rsid w:val="10F6A681"/>
    <w:rsid w:val="10FA519F"/>
    <w:rsid w:val="10FC9751"/>
    <w:rsid w:val="10FD059B"/>
    <w:rsid w:val="11007092"/>
    <w:rsid w:val="11010BF7"/>
    <w:rsid w:val="110E988E"/>
    <w:rsid w:val="11162BA7"/>
    <w:rsid w:val="11169347"/>
    <w:rsid w:val="1119CAC5"/>
    <w:rsid w:val="111B6690"/>
    <w:rsid w:val="111F1296"/>
    <w:rsid w:val="11201873"/>
    <w:rsid w:val="112511D0"/>
    <w:rsid w:val="11262BC8"/>
    <w:rsid w:val="11274141"/>
    <w:rsid w:val="1127F6ED"/>
    <w:rsid w:val="112A0A43"/>
    <w:rsid w:val="112EF07B"/>
    <w:rsid w:val="1131A257"/>
    <w:rsid w:val="1135D637"/>
    <w:rsid w:val="113722C9"/>
    <w:rsid w:val="113CC80C"/>
    <w:rsid w:val="113CF8F2"/>
    <w:rsid w:val="114165F4"/>
    <w:rsid w:val="11468896"/>
    <w:rsid w:val="11480C80"/>
    <w:rsid w:val="11518D82"/>
    <w:rsid w:val="115401BB"/>
    <w:rsid w:val="1161D7F6"/>
    <w:rsid w:val="1166067C"/>
    <w:rsid w:val="116D738E"/>
    <w:rsid w:val="116F43E1"/>
    <w:rsid w:val="1176F359"/>
    <w:rsid w:val="1178778B"/>
    <w:rsid w:val="1178D09E"/>
    <w:rsid w:val="117BE2C4"/>
    <w:rsid w:val="117D1985"/>
    <w:rsid w:val="11886D05"/>
    <w:rsid w:val="118F7F9B"/>
    <w:rsid w:val="119377FF"/>
    <w:rsid w:val="119E743E"/>
    <w:rsid w:val="119F3BEF"/>
    <w:rsid w:val="119F5D07"/>
    <w:rsid w:val="11AAFEEC"/>
    <w:rsid w:val="11AFE0EE"/>
    <w:rsid w:val="11BA1F71"/>
    <w:rsid w:val="11BB65CB"/>
    <w:rsid w:val="11BDD942"/>
    <w:rsid w:val="11C89E8A"/>
    <w:rsid w:val="11CD04AA"/>
    <w:rsid w:val="11D97C35"/>
    <w:rsid w:val="11DAE8C2"/>
    <w:rsid w:val="11DBEF81"/>
    <w:rsid w:val="11DDE22C"/>
    <w:rsid w:val="11DE717E"/>
    <w:rsid w:val="11E2C7B2"/>
    <w:rsid w:val="11E35F57"/>
    <w:rsid w:val="11E64942"/>
    <w:rsid w:val="11E6C6F8"/>
    <w:rsid w:val="11E731AA"/>
    <w:rsid w:val="11E8F077"/>
    <w:rsid w:val="11EB71E4"/>
    <w:rsid w:val="11EB7222"/>
    <w:rsid w:val="11EBA607"/>
    <w:rsid w:val="11F6EB08"/>
    <w:rsid w:val="11FBBCEF"/>
    <w:rsid w:val="11FCB471"/>
    <w:rsid w:val="11FE98C7"/>
    <w:rsid w:val="11FEA662"/>
    <w:rsid w:val="11FF63E1"/>
    <w:rsid w:val="12089022"/>
    <w:rsid w:val="120A6E03"/>
    <w:rsid w:val="120F8F72"/>
    <w:rsid w:val="120FE5E1"/>
    <w:rsid w:val="121A3425"/>
    <w:rsid w:val="121F27F6"/>
    <w:rsid w:val="121F7782"/>
    <w:rsid w:val="1222EFF5"/>
    <w:rsid w:val="12237AEE"/>
    <w:rsid w:val="1226B62F"/>
    <w:rsid w:val="122833F4"/>
    <w:rsid w:val="1229C987"/>
    <w:rsid w:val="122B8A14"/>
    <w:rsid w:val="122D394D"/>
    <w:rsid w:val="122F806B"/>
    <w:rsid w:val="123093C8"/>
    <w:rsid w:val="12309A44"/>
    <w:rsid w:val="1232390D"/>
    <w:rsid w:val="12333ED2"/>
    <w:rsid w:val="12346C0C"/>
    <w:rsid w:val="1238A0DA"/>
    <w:rsid w:val="1238F4C3"/>
    <w:rsid w:val="1241594B"/>
    <w:rsid w:val="12442830"/>
    <w:rsid w:val="124A43E9"/>
    <w:rsid w:val="124C83CB"/>
    <w:rsid w:val="124D9913"/>
    <w:rsid w:val="1251F9C9"/>
    <w:rsid w:val="1252F668"/>
    <w:rsid w:val="1255C27F"/>
    <w:rsid w:val="1257D57F"/>
    <w:rsid w:val="12593170"/>
    <w:rsid w:val="125A4262"/>
    <w:rsid w:val="12620AD7"/>
    <w:rsid w:val="1265A683"/>
    <w:rsid w:val="1268C4F9"/>
    <w:rsid w:val="12697139"/>
    <w:rsid w:val="126D5CBE"/>
    <w:rsid w:val="126E5CC2"/>
    <w:rsid w:val="126EEF14"/>
    <w:rsid w:val="127167E0"/>
    <w:rsid w:val="1271DB49"/>
    <w:rsid w:val="127653F6"/>
    <w:rsid w:val="1276B494"/>
    <w:rsid w:val="12790A88"/>
    <w:rsid w:val="127E3F85"/>
    <w:rsid w:val="128714E7"/>
    <w:rsid w:val="1289FCA5"/>
    <w:rsid w:val="128D91B2"/>
    <w:rsid w:val="1290C9A8"/>
    <w:rsid w:val="129217FA"/>
    <w:rsid w:val="1292B348"/>
    <w:rsid w:val="129753FD"/>
    <w:rsid w:val="129F1A38"/>
    <w:rsid w:val="12A013F2"/>
    <w:rsid w:val="12A97A28"/>
    <w:rsid w:val="12B3E26B"/>
    <w:rsid w:val="12BC05A5"/>
    <w:rsid w:val="12BF1211"/>
    <w:rsid w:val="12C1DFD1"/>
    <w:rsid w:val="12C264C6"/>
    <w:rsid w:val="12C5232D"/>
    <w:rsid w:val="12C86EB9"/>
    <w:rsid w:val="12D0107D"/>
    <w:rsid w:val="12D5A3E1"/>
    <w:rsid w:val="12D7B593"/>
    <w:rsid w:val="12DE4EA0"/>
    <w:rsid w:val="12E176A3"/>
    <w:rsid w:val="12E4726A"/>
    <w:rsid w:val="12F80C82"/>
    <w:rsid w:val="12F89035"/>
    <w:rsid w:val="12F9A95C"/>
    <w:rsid w:val="13012E50"/>
    <w:rsid w:val="1309D5C6"/>
    <w:rsid w:val="130A66A3"/>
    <w:rsid w:val="130E6CC8"/>
    <w:rsid w:val="13110485"/>
    <w:rsid w:val="13131559"/>
    <w:rsid w:val="1318ECC7"/>
    <w:rsid w:val="131DAA99"/>
    <w:rsid w:val="131DCEC9"/>
    <w:rsid w:val="13209F2B"/>
    <w:rsid w:val="132656D5"/>
    <w:rsid w:val="13266D2D"/>
    <w:rsid w:val="132C969B"/>
    <w:rsid w:val="13303890"/>
    <w:rsid w:val="1331AF81"/>
    <w:rsid w:val="1334E041"/>
    <w:rsid w:val="1336A7E0"/>
    <w:rsid w:val="133B9158"/>
    <w:rsid w:val="1343FEE3"/>
    <w:rsid w:val="1346E9C7"/>
    <w:rsid w:val="13475053"/>
    <w:rsid w:val="134AFDA3"/>
    <w:rsid w:val="134B683A"/>
    <w:rsid w:val="135014F0"/>
    <w:rsid w:val="13527875"/>
    <w:rsid w:val="1355BD31"/>
    <w:rsid w:val="1357984A"/>
    <w:rsid w:val="135D08EF"/>
    <w:rsid w:val="135E09AF"/>
    <w:rsid w:val="135E2031"/>
    <w:rsid w:val="135F9826"/>
    <w:rsid w:val="13636D7E"/>
    <w:rsid w:val="13643E9F"/>
    <w:rsid w:val="1365961A"/>
    <w:rsid w:val="1367BF25"/>
    <w:rsid w:val="1372A2D0"/>
    <w:rsid w:val="1378D078"/>
    <w:rsid w:val="137DB9FF"/>
    <w:rsid w:val="1380CE2C"/>
    <w:rsid w:val="13831D14"/>
    <w:rsid w:val="13862A77"/>
    <w:rsid w:val="1386CBFB"/>
    <w:rsid w:val="138C80BF"/>
    <w:rsid w:val="1393ED6F"/>
    <w:rsid w:val="13A02EE5"/>
    <w:rsid w:val="13A7DBC2"/>
    <w:rsid w:val="13A8D0C7"/>
    <w:rsid w:val="13B89AB0"/>
    <w:rsid w:val="13BDF5BD"/>
    <w:rsid w:val="13BF077B"/>
    <w:rsid w:val="13C18F67"/>
    <w:rsid w:val="13C1E4C6"/>
    <w:rsid w:val="13C3B788"/>
    <w:rsid w:val="13C77DA9"/>
    <w:rsid w:val="13D6FCAD"/>
    <w:rsid w:val="13D7DC32"/>
    <w:rsid w:val="13DB7002"/>
    <w:rsid w:val="13DD29AC"/>
    <w:rsid w:val="13DD4618"/>
    <w:rsid w:val="13E0A4E1"/>
    <w:rsid w:val="13E721F1"/>
    <w:rsid w:val="13EED567"/>
    <w:rsid w:val="13EEE966"/>
    <w:rsid w:val="13F4CAAF"/>
    <w:rsid w:val="13FCA85D"/>
    <w:rsid w:val="1403C738"/>
    <w:rsid w:val="14068CB8"/>
    <w:rsid w:val="14086A5D"/>
    <w:rsid w:val="14088FAF"/>
    <w:rsid w:val="140970E7"/>
    <w:rsid w:val="140C4C1E"/>
    <w:rsid w:val="140D9529"/>
    <w:rsid w:val="140FBC23"/>
    <w:rsid w:val="1414DA28"/>
    <w:rsid w:val="1429949E"/>
    <w:rsid w:val="14336269"/>
    <w:rsid w:val="1433DF9B"/>
    <w:rsid w:val="143E7F86"/>
    <w:rsid w:val="144440AE"/>
    <w:rsid w:val="14521E06"/>
    <w:rsid w:val="14553331"/>
    <w:rsid w:val="145B7764"/>
    <w:rsid w:val="1462998D"/>
    <w:rsid w:val="14648BAC"/>
    <w:rsid w:val="1466DC32"/>
    <w:rsid w:val="146A657D"/>
    <w:rsid w:val="146B2A48"/>
    <w:rsid w:val="146C655F"/>
    <w:rsid w:val="146DF72D"/>
    <w:rsid w:val="146E3059"/>
    <w:rsid w:val="146F57C5"/>
    <w:rsid w:val="14747AAF"/>
    <w:rsid w:val="1475EABC"/>
    <w:rsid w:val="1479B310"/>
    <w:rsid w:val="147C9A0B"/>
    <w:rsid w:val="14853173"/>
    <w:rsid w:val="1486480F"/>
    <w:rsid w:val="148D0B3D"/>
    <w:rsid w:val="148E1BDC"/>
    <w:rsid w:val="148F01B0"/>
    <w:rsid w:val="149181DA"/>
    <w:rsid w:val="1491F5BF"/>
    <w:rsid w:val="14946F1B"/>
    <w:rsid w:val="149788FD"/>
    <w:rsid w:val="149882B4"/>
    <w:rsid w:val="14AACAA8"/>
    <w:rsid w:val="14AD7560"/>
    <w:rsid w:val="14AFC472"/>
    <w:rsid w:val="14BB6CCC"/>
    <w:rsid w:val="14BBBE3B"/>
    <w:rsid w:val="14BD8D34"/>
    <w:rsid w:val="14CA4BA8"/>
    <w:rsid w:val="14CC0EE1"/>
    <w:rsid w:val="14D05ECD"/>
    <w:rsid w:val="14E21892"/>
    <w:rsid w:val="14E407A3"/>
    <w:rsid w:val="14E4352F"/>
    <w:rsid w:val="14E57B0F"/>
    <w:rsid w:val="14E7F2DA"/>
    <w:rsid w:val="14EF6BF3"/>
    <w:rsid w:val="14F2CA5C"/>
    <w:rsid w:val="14F562AF"/>
    <w:rsid w:val="14FB34F5"/>
    <w:rsid w:val="14FBF4CB"/>
    <w:rsid w:val="14FE00D6"/>
    <w:rsid w:val="15094759"/>
    <w:rsid w:val="150E8464"/>
    <w:rsid w:val="15152F6F"/>
    <w:rsid w:val="1516F3C2"/>
    <w:rsid w:val="151B1F27"/>
    <w:rsid w:val="151FC13F"/>
    <w:rsid w:val="1520A26B"/>
    <w:rsid w:val="1521891D"/>
    <w:rsid w:val="152D814C"/>
    <w:rsid w:val="152E6E65"/>
    <w:rsid w:val="1530C661"/>
    <w:rsid w:val="1534F213"/>
    <w:rsid w:val="15388BB2"/>
    <w:rsid w:val="1539C80E"/>
    <w:rsid w:val="153BCD2C"/>
    <w:rsid w:val="153EE124"/>
    <w:rsid w:val="153F2F1C"/>
    <w:rsid w:val="154410B6"/>
    <w:rsid w:val="154557BA"/>
    <w:rsid w:val="15464182"/>
    <w:rsid w:val="1546EC39"/>
    <w:rsid w:val="154E9A03"/>
    <w:rsid w:val="155162DE"/>
    <w:rsid w:val="1552836D"/>
    <w:rsid w:val="155A0B51"/>
    <w:rsid w:val="155BB565"/>
    <w:rsid w:val="155FCCCD"/>
    <w:rsid w:val="1560D73A"/>
    <w:rsid w:val="15633597"/>
    <w:rsid w:val="15694699"/>
    <w:rsid w:val="156AFFE5"/>
    <w:rsid w:val="156E9130"/>
    <w:rsid w:val="15708A95"/>
    <w:rsid w:val="157286D1"/>
    <w:rsid w:val="1573434B"/>
    <w:rsid w:val="1574570B"/>
    <w:rsid w:val="15769BB1"/>
    <w:rsid w:val="15776B1F"/>
    <w:rsid w:val="157D17D8"/>
    <w:rsid w:val="1584C0BE"/>
    <w:rsid w:val="1585D078"/>
    <w:rsid w:val="1588F679"/>
    <w:rsid w:val="158A1DD7"/>
    <w:rsid w:val="158A4EA9"/>
    <w:rsid w:val="15918711"/>
    <w:rsid w:val="15918A10"/>
    <w:rsid w:val="1594E8B1"/>
    <w:rsid w:val="159EF8C5"/>
    <w:rsid w:val="15A1548D"/>
    <w:rsid w:val="15A22363"/>
    <w:rsid w:val="15A309AD"/>
    <w:rsid w:val="15A322A3"/>
    <w:rsid w:val="15AB4BD1"/>
    <w:rsid w:val="15B0A8AE"/>
    <w:rsid w:val="15B28680"/>
    <w:rsid w:val="15B54340"/>
    <w:rsid w:val="15BDB8DE"/>
    <w:rsid w:val="15BFC390"/>
    <w:rsid w:val="15C3EA07"/>
    <w:rsid w:val="15C4CF77"/>
    <w:rsid w:val="15C82AF1"/>
    <w:rsid w:val="15C9064A"/>
    <w:rsid w:val="15C99350"/>
    <w:rsid w:val="15CED8AA"/>
    <w:rsid w:val="15CF9831"/>
    <w:rsid w:val="15D566CD"/>
    <w:rsid w:val="15D9A0A4"/>
    <w:rsid w:val="15DB70F5"/>
    <w:rsid w:val="15DD139B"/>
    <w:rsid w:val="15DFFE4A"/>
    <w:rsid w:val="15E05DF4"/>
    <w:rsid w:val="15EE5195"/>
    <w:rsid w:val="15F0E892"/>
    <w:rsid w:val="15F1A820"/>
    <w:rsid w:val="15F2A10D"/>
    <w:rsid w:val="15F33518"/>
    <w:rsid w:val="15F4EA3E"/>
    <w:rsid w:val="15F793E8"/>
    <w:rsid w:val="15FEB833"/>
    <w:rsid w:val="15FFF102"/>
    <w:rsid w:val="1600AA2C"/>
    <w:rsid w:val="160B9F4D"/>
    <w:rsid w:val="160D32A7"/>
    <w:rsid w:val="1610127C"/>
    <w:rsid w:val="16131E7D"/>
    <w:rsid w:val="16185FA4"/>
    <w:rsid w:val="161E42C0"/>
    <w:rsid w:val="162193F1"/>
    <w:rsid w:val="1622AECA"/>
    <w:rsid w:val="162849B8"/>
    <w:rsid w:val="16339CE6"/>
    <w:rsid w:val="1633BDFB"/>
    <w:rsid w:val="16380898"/>
    <w:rsid w:val="163DBC2D"/>
    <w:rsid w:val="16442194"/>
    <w:rsid w:val="1645BF85"/>
    <w:rsid w:val="164BA0C7"/>
    <w:rsid w:val="164BFF6F"/>
    <w:rsid w:val="164E28B0"/>
    <w:rsid w:val="16520754"/>
    <w:rsid w:val="16588BEF"/>
    <w:rsid w:val="165EB868"/>
    <w:rsid w:val="166152B6"/>
    <w:rsid w:val="1665D745"/>
    <w:rsid w:val="16673D0E"/>
    <w:rsid w:val="16689788"/>
    <w:rsid w:val="1669C3A7"/>
    <w:rsid w:val="16785F66"/>
    <w:rsid w:val="1678D44E"/>
    <w:rsid w:val="167D4504"/>
    <w:rsid w:val="167E34B2"/>
    <w:rsid w:val="167F23E6"/>
    <w:rsid w:val="168296CA"/>
    <w:rsid w:val="168449C8"/>
    <w:rsid w:val="1686126A"/>
    <w:rsid w:val="168806D2"/>
    <w:rsid w:val="1688D9EA"/>
    <w:rsid w:val="168D34E0"/>
    <w:rsid w:val="168D81C1"/>
    <w:rsid w:val="168E5C84"/>
    <w:rsid w:val="1690B031"/>
    <w:rsid w:val="1690D5D8"/>
    <w:rsid w:val="16946775"/>
    <w:rsid w:val="169FE893"/>
    <w:rsid w:val="16AA54C5"/>
    <w:rsid w:val="16AC13D3"/>
    <w:rsid w:val="16AFADBA"/>
    <w:rsid w:val="16BE4C8A"/>
    <w:rsid w:val="16BE6EE8"/>
    <w:rsid w:val="16BFB26C"/>
    <w:rsid w:val="16C36A18"/>
    <w:rsid w:val="16C485B9"/>
    <w:rsid w:val="16D170FE"/>
    <w:rsid w:val="16D1FC13"/>
    <w:rsid w:val="16D7C780"/>
    <w:rsid w:val="16D7E9E1"/>
    <w:rsid w:val="16DD21A7"/>
    <w:rsid w:val="16DD4991"/>
    <w:rsid w:val="16E34AF0"/>
    <w:rsid w:val="16EF3101"/>
    <w:rsid w:val="16F12DE0"/>
    <w:rsid w:val="16F1CF13"/>
    <w:rsid w:val="16F33A22"/>
    <w:rsid w:val="16F43F85"/>
    <w:rsid w:val="16F8754D"/>
    <w:rsid w:val="16F9E9F6"/>
    <w:rsid w:val="16FBE4D8"/>
    <w:rsid w:val="16FF1EF8"/>
    <w:rsid w:val="1705464F"/>
    <w:rsid w:val="170DB40B"/>
    <w:rsid w:val="170E6E2C"/>
    <w:rsid w:val="1710053B"/>
    <w:rsid w:val="1717BE64"/>
    <w:rsid w:val="171C2C5F"/>
    <w:rsid w:val="171C3BD1"/>
    <w:rsid w:val="171D4EF1"/>
    <w:rsid w:val="171E0478"/>
    <w:rsid w:val="171F7AEE"/>
    <w:rsid w:val="1728A83A"/>
    <w:rsid w:val="172B671C"/>
    <w:rsid w:val="172C5EE9"/>
    <w:rsid w:val="1730B132"/>
    <w:rsid w:val="1732E6E5"/>
    <w:rsid w:val="173888F4"/>
    <w:rsid w:val="173B0886"/>
    <w:rsid w:val="1740F811"/>
    <w:rsid w:val="17410128"/>
    <w:rsid w:val="1748B379"/>
    <w:rsid w:val="174A6F55"/>
    <w:rsid w:val="174B05C6"/>
    <w:rsid w:val="174CACF6"/>
    <w:rsid w:val="174CAE56"/>
    <w:rsid w:val="175007EE"/>
    <w:rsid w:val="175608C0"/>
    <w:rsid w:val="175EBFAC"/>
    <w:rsid w:val="176F0F1B"/>
    <w:rsid w:val="177041B5"/>
    <w:rsid w:val="17708040"/>
    <w:rsid w:val="1775C656"/>
    <w:rsid w:val="1784C45D"/>
    <w:rsid w:val="178FFCB5"/>
    <w:rsid w:val="17908C62"/>
    <w:rsid w:val="1790F99A"/>
    <w:rsid w:val="179111D8"/>
    <w:rsid w:val="179C9571"/>
    <w:rsid w:val="179D3C31"/>
    <w:rsid w:val="17A415CE"/>
    <w:rsid w:val="17A4FA5B"/>
    <w:rsid w:val="17A57DDF"/>
    <w:rsid w:val="17AA9585"/>
    <w:rsid w:val="17AAD103"/>
    <w:rsid w:val="17B5E353"/>
    <w:rsid w:val="17B818FA"/>
    <w:rsid w:val="17B93D52"/>
    <w:rsid w:val="17B97229"/>
    <w:rsid w:val="17BD5B74"/>
    <w:rsid w:val="17C1E1AE"/>
    <w:rsid w:val="17C1E8A7"/>
    <w:rsid w:val="17C39E4A"/>
    <w:rsid w:val="17CAE964"/>
    <w:rsid w:val="17D13E32"/>
    <w:rsid w:val="17D4A37A"/>
    <w:rsid w:val="17D585A4"/>
    <w:rsid w:val="17D5C63D"/>
    <w:rsid w:val="17D5F337"/>
    <w:rsid w:val="17E20D26"/>
    <w:rsid w:val="17E99D8E"/>
    <w:rsid w:val="17EB9D58"/>
    <w:rsid w:val="17F8C68E"/>
    <w:rsid w:val="17FD3099"/>
    <w:rsid w:val="17FED6D3"/>
    <w:rsid w:val="18012B0D"/>
    <w:rsid w:val="18031A5C"/>
    <w:rsid w:val="18040FC0"/>
    <w:rsid w:val="18066112"/>
    <w:rsid w:val="18072C01"/>
    <w:rsid w:val="180A307C"/>
    <w:rsid w:val="180AD4CD"/>
    <w:rsid w:val="1811C170"/>
    <w:rsid w:val="18127166"/>
    <w:rsid w:val="18159C9C"/>
    <w:rsid w:val="18171051"/>
    <w:rsid w:val="181C90F5"/>
    <w:rsid w:val="181DE90B"/>
    <w:rsid w:val="18222E9A"/>
    <w:rsid w:val="182B6A0A"/>
    <w:rsid w:val="182BDC41"/>
    <w:rsid w:val="1830C812"/>
    <w:rsid w:val="18317C59"/>
    <w:rsid w:val="183C2889"/>
    <w:rsid w:val="183EBAF4"/>
    <w:rsid w:val="18461BC1"/>
    <w:rsid w:val="18473AA9"/>
    <w:rsid w:val="18499006"/>
    <w:rsid w:val="184BEADB"/>
    <w:rsid w:val="184D475E"/>
    <w:rsid w:val="184FCD33"/>
    <w:rsid w:val="18537B5E"/>
    <w:rsid w:val="18574343"/>
    <w:rsid w:val="185984A2"/>
    <w:rsid w:val="185D5CFE"/>
    <w:rsid w:val="1867E3A1"/>
    <w:rsid w:val="18693CE1"/>
    <w:rsid w:val="18694E26"/>
    <w:rsid w:val="186D3298"/>
    <w:rsid w:val="186DD368"/>
    <w:rsid w:val="186E5E4F"/>
    <w:rsid w:val="187211AA"/>
    <w:rsid w:val="18727564"/>
    <w:rsid w:val="18780A07"/>
    <w:rsid w:val="18791591"/>
    <w:rsid w:val="187A4AFA"/>
    <w:rsid w:val="18804E9C"/>
    <w:rsid w:val="18845F70"/>
    <w:rsid w:val="188E8222"/>
    <w:rsid w:val="189B01D7"/>
    <w:rsid w:val="189B64C7"/>
    <w:rsid w:val="189ECA5E"/>
    <w:rsid w:val="189F5466"/>
    <w:rsid w:val="18AA2793"/>
    <w:rsid w:val="18ABD291"/>
    <w:rsid w:val="18ABE0F5"/>
    <w:rsid w:val="18ADA848"/>
    <w:rsid w:val="18AE8005"/>
    <w:rsid w:val="18B26327"/>
    <w:rsid w:val="18B544E4"/>
    <w:rsid w:val="18B73A06"/>
    <w:rsid w:val="18BA1448"/>
    <w:rsid w:val="18BFB47F"/>
    <w:rsid w:val="18BFC270"/>
    <w:rsid w:val="18C0A933"/>
    <w:rsid w:val="18C0E0C3"/>
    <w:rsid w:val="18C98793"/>
    <w:rsid w:val="18CCC376"/>
    <w:rsid w:val="18D070F3"/>
    <w:rsid w:val="18D4EFB3"/>
    <w:rsid w:val="18D7D60E"/>
    <w:rsid w:val="18DD8506"/>
    <w:rsid w:val="18DF22E5"/>
    <w:rsid w:val="18E459AB"/>
    <w:rsid w:val="18E47794"/>
    <w:rsid w:val="18E6EB9F"/>
    <w:rsid w:val="18E70670"/>
    <w:rsid w:val="18E70888"/>
    <w:rsid w:val="18E8F393"/>
    <w:rsid w:val="18EB39EC"/>
    <w:rsid w:val="18EF9853"/>
    <w:rsid w:val="18F1F481"/>
    <w:rsid w:val="18F94E07"/>
    <w:rsid w:val="18FA415F"/>
    <w:rsid w:val="18FF8710"/>
    <w:rsid w:val="19009F7D"/>
    <w:rsid w:val="1904715A"/>
    <w:rsid w:val="190B274D"/>
    <w:rsid w:val="1913082A"/>
    <w:rsid w:val="1915A63B"/>
    <w:rsid w:val="1917C020"/>
    <w:rsid w:val="1917C31B"/>
    <w:rsid w:val="191C4E80"/>
    <w:rsid w:val="191F9F6A"/>
    <w:rsid w:val="1920CF04"/>
    <w:rsid w:val="1922299A"/>
    <w:rsid w:val="1922CDBC"/>
    <w:rsid w:val="1922DEB7"/>
    <w:rsid w:val="19254F54"/>
    <w:rsid w:val="1929B802"/>
    <w:rsid w:val="192AFE61"/>
    <w:rsid w:val="192EB3F0"/>
    <w:rsid w:val="193A0969"/>
    <w:rsid w:val="193C66A3"/>
    <w:rsid w:val="193CB023"/>
    <w:rsid w:val="194438DE"/>
    <w:rsid w:val="1948B7D4"/>
    <w:rsid w:val="1948CE45"/>
    <w:rsid w:val="194CB878"/>
    <w:rsid w:val="194E518A"/>
    <w:rsid w:val="1950DE2B"/>
    <w:rsid w:val="19548F55"/>
    <w:rsid w:val="195EEAED"/>
    <w:rsid w:val="1964EF74"/>
    <w:rsid w:val="19699210"/>
    <w:rsid w:val="19699E15"/>
    <w:rsid w:val="197175DB"/>
    <w:rsid w:val="19734ADC"/>
    <w:rsid w:val="197580CC"/>
    <w:rsid w:val="197BF2E5"/>
    <w:rsid w:val="1988E22E"/>
    <w:rsid w:val="198AC9A3"/>
    <w:rsid w:val="198B8686"/>
    <w:rsid w:val="198D0EA7"/>
    <w:rsid w:val="198E6FD3"/>
    <w:rsid w:val="1995BC78"/>
    <w:rsid w:val="199639A3"/>
    <w:rsid w:val="199A1D91"/>
    <w:rsid w:val="199ABD42"/>
    <w:rsid w:val="199CC64D"/>
    <w:rsid w:val="19A01797"/>
    <w:rsid w:val="19A0EAF9"/>
    <w:rsid w:val="19A2FF1A"/>
    <w:rsid w:val="19A49BAE"/>
    <w:rsid w:val="19A4DE57"/>
    <w:rsid w:val="19A9C802"/>
    <w:rsid w:val="19ACDC44"/>
    <w:rsid w:val="19AE7E87"/>
    <w:rsid w:val="19BA3153"/>
    <w:rsid w:val="19C33727"/>
    <w:rsid w:val="19C3B221"/>
    <w:rsid w:val="19CCF266"/>
    <w:rsid w:val="19CEAC11"/>
    <w:rsid w:val="19CFC11C"/>
    <w:rsid w:val="19D0D422"/>
    <w:rsid w:val="19DBB70A"/>
    <w:rsid w:val="19DFACE5"/>
    <w:rsid w:val="19DFE464"/>
    <w:rsid w:val="19E05491"/>
    <w:rsid w:val="19E515FD"/>
    <w:rsid w:val="19E8D5C2"/>
    <w:rsid w:val="19EA337A"/>
    <w:rsid w:val="19EEE9C6"/>
    <w:rsid w:val="19F08A96"/>
    <w:rsid w:val="19F13C0C"/>
    <w:rsid w:val="19F8D00D"/>
    <w:rsid w:val="19FE4C2E"/>
    <w:rsid w:val="1A013111"/>
    <w:rsid w:val="1A058F0A"/>
    <w:rsid w:val="1A05F842"/>
    <w:rsid w:val="1A095798"/>
    <w:rsid w:val="1A0B619B"/>
    <w:rsid w:val="1A0CF36A"/>
    <w:rsid w:val="1A0E54D2"/>
    <w:rsid w:val="1A0EA55B"/>
    <w:rsid w:val="1A0F6842"/>
    <w:rsid w:val="1A10DEE0"/>
    <w:rsid w:val="1A1742ED"/>
    <w:rsid w:val="1A180A94"/>
    <w:rsid w:val="1A1A2263"/>
    <w:rsid w:val="1A1B52EC"/>
    <w:rsid w:val="1A1ED350"/>
    <w:rsid w:val="1A263D53"/>
    <w:rsid w:val="1A2697E8"/>
    <w:rsid w:val="1A26B9E5"/>
    <w:rsid w:val="1A28E8E3"/>
    <w:rsid w:val="1A297B4F"/>
    <w:rsid w:val="1A2D3A6D"/>
    <w:rsid w:val="1A2E0047"/>
    <w:rsid w:val="1A2EF240"/>
    <w:rsid w:val="1A325E98"/>
    <w:rsid w:val="1A32BACA"/>
    <w:rsid w:val="1A349995"/>
    <w:rsid w:val="1A3BD2D3"/>
    <w:rsid w:val="1A3E66F9"/>
    <w:rsid w:val="1A3F1BC9"/>
    <w:rsid w:val="1A3F41DE"/>
    <w:rsid w:val="1A459DB5"/>
    <w:rsid w:val="1A46E360"/>
    <w:rsid w:val="1A4D07AA"/>
    <w:rsid w:val="1A4D962B"/>
    <w:rsid w:val="1A4E6F7E"/>
    <w:rsid w:val="1A5060CE"/>
    <w:rsid w:val="1A53609E"/>
    <w:rsid w:val="1A5445B5"/>
    <w:rsid w:val="1A55AA4A"/>
    <w:rsid w:val="1A5843FB"/>
    <w:rsid w:val="1A586F93"/>
    <w:rsid w:val="1A5EA405"/>
    <w:rsid w:val="1A6197A3"/>
    <w:rsid w:val="1A646226"/>
    <w:rsid w:val="1A682971"/>
    <w:rsid w:val="1A6EA99C"/>
    <w:rsid w:val="1A6F691A"/>
    <w:rsid w:val="1A704E15"/>
    <w:rsid w:val="1A72A627"/>
    <w:rsid w:val="1A7537EC"/>
    <w:rsid w:val="1A78E9F5"/>
    <w:rsid w:val="1A8090D7"/>
    <w:rsid w:val="1A81807C"/>
    <w:rsid w:val="1A8B2492"/>
    <w:rsid w:val="1A97827C"/>
    <w:rsid w:val="1A9AF19F"/>
    <w:rsid w:val="1A9B71B3"/>
    <w:rsid w:val="1A9DA075"/>
    <w:rsid w:val="1A9E5847"/>
    <w:rsid w:val="1A9EDE56"/>
    <w:rsid w:val="1A9FE271"/>
    <w:rsid w:val="1AA03546"/>
    <w:rsid w:val="1AA26A45"/>
    <w:rsid w:val="1AA28B18"/>
    <w:rsid w:val="1AA5E588"/>
    <w:rsid w:val="1AA5F602"/>
    <w:rsid w:val="1AAB2730"/>
    <w:rsid w:val="1AB4E3B8"/>
    <w:rsid w:val="1AB62848"/>
    <w:rsid w:val="1AB971B8"/>
    <w:rsid w:val="1ABA232C"/>
    <w:rsid w:val="1ABA2EDB"/>
    <w:rsid w:val="1ABBF8C9"/>
    <w:rsid w:val="1ABC402A"/>
    <w:rsid w:val="1ABE8C24"/>
    <w:rsid w:val="1AC4B3B2"/>
    <w:rsid w:val="1AC79897"/>
    <w:rsid w:val="1AC8620B"/>
    <w:rsid w:val="1ACB01D2"/>
    <w:rsid w:val="1ACDDA2D"/>
    <w:rsid w:val="1ACF76E6"/>
    <w:rsid w:val="1ACFE3D4"/>
    <w:rsid w:val="1AD96E6C"/>
    <w:rsid w:val="1AE0C243"/>
    <w:rsid w:val="1AEB2635"/>
    <w:rsid w:val="1AEC18EF"/>
    <w:rsid w:val="1AEEA0BA"/>
    <w:rsid w:val="1AEEDDC5"/>
    <w:rsid w:val="1AEEEE10"/>
    <w:rsid w:val="1AFA8B1D"/>
    <w:rsid w:val="1AFF541F"/>
    <w:rsid w:val="1B0082C6"/>
    <w:rsid w:val="1B054BED"/>
    <w:rsid w:val="1B0B7FB1"/>
    <w:rsid w:val="1B10D35D"/>
    <w:rsid w:val="1B18B9B6"/>
    <w:rsid w:val="1B1DFCA7"/>
    <w:rsid w:val="1B22AF5F"/>
    <w:rsid w:val="1B256663"/>
    <w:rsid w:val="1B282C93"/>
    <w:rsid w:val="1B2AD869"/>
    <w:rsid w:val="1B328E07"/>
    <w:rsid w:val="1B408254"/>
    <w:rsid w:val="1B4C4340"/>
    <w:rsid w:val="1B571196"/>
    <w:rsid w:val="1B583093"/>
    <w:rsid w:val="1B5BACA7"/>
    <w:rsid w:val="1B5E14CE"/>
    <w:rsid w:val="1B5FC72E"/>
    <w:rsid w:val="1B6F3490"/>
    <w:rsid w:val="1B70660F"/>
    <w:rsid w:val="1B8065D5"/>
    <w:rsid w:val="1B819699"/>
    <w:rsid w:val="1B823DD4"/>
    <w:rsid w:val="1B838502"/>
    <w:rsid w:val="1B86C291"/>
    <w:rsid w:val="1B8C7F27"/>
    <w:rsid w:val="1B8D1B85"/>
    <w:rsid w:val="1B8D7363"/>
    <w:rsid w:val="1B8F4449"/>
    <w:rsid w:val="1B94DF05"/>
    <w:rsid w:val="1B963EA0"/>
    <w:rsid w:val="1B966D93"/>
    <w:rsid w:val="1B9982C5"/>
    <w:rsid w:val="1B9DE2A0"/>
    <w:rsid w:val="1BA615BD"/>
    <w:rsid w:val="1BA85375"/>
    <w:rsid w:val="1BAC316C"/>
    <w:rsid w:val="1BADD411"/>
    <w:rsid w:val="1BAFC24C"/>
    <w:rsid w:val="1BB7D116"/>
    <w:rsid w:val="1BBF655D"/>
    <w:rsid w:val="1BC0DDD9"/>
    <w:rsid w:val="1BC36A1C"/>
    <w:rsid w:val="1BD38F1F"/>
    <w:rsid w:val="1BD8B772"/>
    <w:rsid w:val="1BDB6B58"/>
    <w:rsid w:val="1BDBB74B"/>
    <w:rsid w:val="1BE03B80"/>
    <w:rsid w:val="1BE0B8F8"/>
    <w:rsid w:val="1BE3B148"/>
    <w:rsid w:val="1BE7CEA5"/>
    <w:rsid w:val="1BF21D4C"/>
    <w:rsid w:val="1BF31FFA"/>
    <w:rsid w:val="1BF4F592"/>
    <w:rsid w:val="1BFCC762"/>
    <w:rsid w:val="1BFD7B97"/>
    <w:rsid w:val="1C06058A"/>
    <w:rsid w:val="1C072087"/>
    <w:rsid w:val="1C099A54"/>
    <w:rsid w:val="1C142F2A"/>
    <w:rsid w:val="1C152065"/>
    <w:rsid w:val="1C175980"/>
    <w:rsid w:val="1C2182CE"/>
    <w:rsid w:val="1C23E87A"/>
    <w:rsid w:val="1C245D71"/>
    <w:rsid w:val="1C26D10D"/>
    <w:rsid w:val="1C323F6F"/>
    <w:rsid w:val="1C4387E0"/>
    <w:rsid w:val="1C45F22D"/>
    <w:rsid w:val="1C4620DB"/>
    <w:rsid w:val="1C490F35"/>
    <w:rsid w:val="1C4A0C0A"/>
    <w:rsid w:val="1C4E5983"/>
    <w:rsid w:val="1C519B10"/>
    <w:rsid w:val="1C58E243"/>
    <w:rsid w:val="1C625548"/>
    <w:rsid w:val="1C651A11"/>
    <w:rsid w:val="1C683539"/>
    <w:rsid w:val="1C6A1E93"/>
    <w:rsid w:val="1C6D7F72"/>
    <w:rsid w:val="1C6DEB14"/>
    <w:rsid w:val="1C6FDB8F"/>
    <w:rsid w:val="1C76B890"/>
    <w:rsid w:val="1C7BE2DD"/>
    <w:rsid w:val="1C84E67A"/>
    <w:rsid w:val="1C86BF60"/>
    <w:rsid w:val="1C86F696"/>
    <w:rsid w:val="1C884BFE"/>
    <w:rsid w:val="1C8BD2B9"/>
    <w:rsid w:val="1C8BEB92"/>
    <w:rsid w:val="1C8C7108"/>
    <w:rsid w:val="1C971394"/>
    <w:rsid w:val="1C9927F2"/>
    <w:rsid w:val="1CA06636"/>
    <w:rsid w:val="1CA0B8EF"/>
    <w:rsid w:val="1CA2033D"/>
    <w:rsid w:val="1CAA2E39"/>
    <w:rsid w:val="1CAD1DCA"/>
    <w:rsid w:val="1CAD671D"/>
    <w:rsid w:val="1CB1B7AE"/>
    <w:rsid w:val="1CB649C5"/>
    <w:rsid w:val="1CB70BDD"/>
    <w:rsid w:val="1CBDC587"/>
    <w:rsid w:val="1CC1DEED"/>
    <w:rsid w:val="1CC27988"/>
    <w:rsid w:val="1CC3C698"/>
    <w:rsid w:val="1CC6F263"/>
    <w:rsid w:val="1CCBAE56"/>
    <w:rsid w:val="1CD5A788"/>
    <w:rsid w:val="1CDD8D38"/>
    <w:rsid w:val="1CDF204B"/>
    <w:rsid w:val="1CE61CC9"/>
    <w:rsid w:val="1CEB0969"/>
    <w:rsid w:val="1CEE3A6F"/>
    <w:rsid w:val="1CF604C1"/>
    <w:rsid w:val="1CFD6E62"/>
    <w:rsid w:val="1D00678D"/>
    <w:rsid w:val="1D035666"/>
    <w:rsid w:val="1D08B054"/>
    <w:rsid w:val="1D0CD4CA"/>
    <w:rsid w:val="1D16E860"/>
    <w:rsid w:val="1D1CE085"/>
    <w:rsid w:val="1D1D5B2A"/>
    <w:rsid w:val="1D1D6D53"/>
    <w:rsid w:val="1D237D03"/>
    <w:rsid w:val="1D23A31B"/>
    <w:rsid w:val="1D242D1D"/>
    <w:rsid w:val="1D244A68"/>
    <w:rsid w:val="1D2BDB5D"/>
    <w:rsid w:val="1D388348"/>
    <w:rsid w:val="1D3DFFD8"/>
    <w:rsid w:val="1D3F8A77"/>
    <w:rsid w:val="1D3FA4DC"/>
    <w:rsid w:val="1D409051"/>
    <w:rsid w:val="1D4A6BF7"/>
    <w:rsid w:val="1D4ABBD7"/>
    <w:rsid w:val="1D4DF48C"/>
    <w:rsid w:val="1D51E090"/>
    <w:rsid w:val="1D58E7F2"/>
    <w:rsid w:val="1D59D6EC"/>
    <w:rsid w:val="1D5A46F1"/>
    <w:rsid w:val="1D623C1F"/>
    <w:rsid w:val="1D63923E"/>
    <w:rsid w:val="1D69F7F4"/>
    <w:rsid w:val="1D6E5357"/>
    <w:rsid w:val="1D711DBA"/>
    <w:rsid w:val="1D727435"/>
    <w:rsid w:val="1D739A98"/>
    <w:rsid w:val="1D77D79D"/>
    <w:rsid w:val="1D7B538C"/>
    <w:rsid w:val="1D80D53A"/>
    <w:rsid w:val="1D83184E"/>
    <w:rsid w:val="1D8DB883"/>
    <w:rsid w:val="1D8E3FBC"/>
    <w:rsid w:val="1D93DA8A"/>
    <w:rsid w:val="1D96C97D"/>
    <w:rsid w:val="1DA5CEA0"/>
    <w:rsid w:val="1DA7D4ED"/>
    <w:rsid w:val="1DABA6F6"/>
    <w:rsid w:val="1DAED0EC"/>
    <w:rsid w:val="1DB6477A"/>
    <w:rsid w:val="1DBAC2E2"/>
    <w:rsid w:val="1DC666F5"/>
    <w:rsid w:val="1DC74D46"/>
    <w:rsid w:val="1DCB8D94"/>
    <w:rsid w:val="1DCCA446"/>
    <w:rsid w:val="1DD3D14E"/>
    <w:rsid w:val="1DD7FA98"/>
    <w:rsid w:val="1DE34454"/>
    <w:rsid w:val="1DE485E6"/>
    <w:rsid w:val="1DE532F4"/>
    <w:rsid w:val="1DE66152"/>
    <w:rsid w:val="1DE71C52"/>
    <w:rsid w:val="1DF344CC"/>
    <w:rsid w:val="1DF68765"/>
    <w:rsid w:val="1DF9010F"/>
    <w:rsid w:val="1DFD48F8"/>
    <w:rsid w:val="1DFE3B10"/>
    <w:rsid w:val="1E028903"/>
    <w:rsid w:val="1E16CCD7"/>
    <w:rsid w:val="1E17D67C"/>
    <w:rsid w:val="1E1CE0AF"/>
    <w:rsid w:val="1E1E95DE"/>
    <w:rsid w:val="1E24C94F"/>
    <w:rsid w:val="1E24F934"/>
    <w:rsid w:val="1E252249"/>
    <w:rsid w:val="1E25E916"/>
    <w:rsid w:val="1E2FAF83"/>
    <w:rsid w:val="1E326C34"/>
    <w:rsid w:val="1E3A1939"/>
    <w:rsid w:val="1E3EE2C8"/>
    <w:rsid w:val="1E416A0B"/>
    <w:rsid w:val="1E432E4E"/>
    <w:rsid w:val="1E54AB6B"/>
    <w:rsid w:val="1E57C7E3"/>
    <w:rsid w:val="1E60DCE4"/>
    <w:rsid w:val="1E64C36D"/>
    <w:rsid w:val="1E6ECD2F"/>
    <w:rsid w:val="1E733FF3"/>
    <w:rsid w:val="1E752F40"/>
    <w:rsid w:val="1E763DBF"/>
    <w:rsid w:val="1E769B12"/>
    <w:rsid w:val="1E7828E3"/>
    <w:rsid w:val="1E7C1D36"/>
    <w:rsid w:val="1E7CC726"/>
    <w:rsid w:val="1E7F483E"/>
    <w:rsid w:val="1E80E197"/>
    <w:rsid w:val="1E8192FB"/>
    <w:rsid w:val="1E8208E2"/>
    <w:rsid w:val="1E836BB8"/>
    <w:rsid w:val="1E8689D2"/>
    <w:rsid w:val="1E8B34CD"/>
    <w:rsid w:val="1E8B5184"/>
    <w:rsid w:val="1E8BA125"/>
    <w:rsid w:val="1E8BC6A8"/>
    <w:rsid w:val="1E90AA29"/>
    <w:rsid w:val="1E9118A2"/>
    <w:rsid w:val="1E958E44"/>
    <w:rsid w:val="1EA15CB2"/>
    <w:rsid w:val="1EA44294"/>
    <w:rsid w:val="1EA5BEBC"/>
    <w:rsid w:val="1EA5C29C"/>
    <w:rsid w:val="1EB87531"/>
    <w:rsid w:val="1EC11113"/>
    <w:rsid w:val="1EC32F2E"/>
    <w:rsid w:val="1EC52331"/>
    <w:rsid w:val="1ECAA0A5"/>
    <w:rsid w:val="1EDA0562"/>
    <w:rsid w:val="1EDCFFF3"/>
    <w:rsid w:val="1EDFF684"/>
    <w:rsid w:val="1EE061D5"/>
    <w:rsid w:val="1EE82EDD"/>
    <w:rsid w:val="1EED3126"/>
    <w:rsid w:val="1EF785A0"/>
    <w:rsid w:val="1EFA9326"/>
    <w:rsid w:val="1F012C6F"/>
    <w:rsid w:val="1F0809F5"/>
    <w:rsid w:val="1F08FC66"/>
    <w:rsid w:val="1F11140C"/>
    <w:rsid w:val="1F16D05C"/>
    <w:rsid w:val="1F23026A"/>
    <w:rsid w:val="1F2A3B53"/>
    <w:rsid w:val="1F30F463"/>
    <w:rsid w:val="1F33AC95"/>
    <w:rsid w:val="1F36FF97"/>
    <w:rsid w:val="1F40F5FD"/>
    <w:rsid w:val="1F4211C5"/>
    <w:rsid w:val="1F4360DF"/>
    <w:rsid w:val="1F4568EA"/>
    <w:rsid w:val="1F47B9B9"/>
    <w:rsid w:val="1F4A8B90"/>
    <w:rsid w:val="1F4E12AD"/>
    <w:rsid w:val="1F5074B9"/>
    <w:rsid w:val="1F519BF0"/>
    <w:rsid w:val="1F559CDD"/>
    <w:rsid w:val="1F5B6195"/>
    <w:rsid w:val="1F5DE8A9"/>
    <w:rsid w:val="1F612FAF"/>
    <w:rsid w:val="1F62EE0B"/>
    <w:rsid w:val="1F6305EC"/>
    <w:rsid w:val="1F63F797"/>
    <w:rsid w:val="1F646C16"/>
    <w:rsid w:val="1F6DDF52"/>
    <w:rsid w:val="1F6E60EE"/>
    <w:rsid w:val="1F6FD111"/>
    <w:rsid w:val="1F75BCBD"/>
    <w:rsid w:val="1F77F220"/>
    <w:rsid w:val="1F7C0AD9"/>
    <w:rsid w:val="1F7C28F9"/>
    <w:rsid w:val="1F7C5495"/>
    <w:rsid w:val="1F804F68"/>
    <w:rsid w:val="1F8649F0"/>
    <w:rsid w:val="1F8A7563"/>
    <w:rsid w:val="1F928A97"/>
    <w:rsid w:val="1F9302DB"/>
    <w:rsid w:val="1F9E7002"/>
    <w:rsid w:val="1F9F2783"/>
    <w:rsid w:val="1F9F64F8"/>
    <w:rsid w:val="1FA0C2B1"/>
    <w:rsid w:val="1FA10719"/>
    <w:rsid w:val="1FA5FB15"/>
    <w:rsid w:val="1FA74410"/>
    <w:rsid w:val="1FA9B0CA"/>
    <w:rsid w:val="1FAE3D1F"/>
    <w:rsid w:val="1FB385B3"/>
    <w:rsid w:val="1FB4E2EC"/>
    <w:rsid w:val="1FB61C2F"/>
    <w:rsid w:val="1FBC9591"/>
    <w:rsid w:val="1FBD766E"/>
    <w:rsid w:val="1FC01F96"/>
    <w:rsid w:val="1FC1537F"/>
    <w:rsid w:val="1FC8386C"/>
    <w:rsid w:val="1FCB431C"/>
    <w:rsid w:val="1FCDBABA"/>
    <w:rsid w:val="1FD2718A"/>
    <w:rsid w:val="1FD2C8C3"/>
    <w:rsid w:val="1FD3CFC8"/>
    <w:rsid w:val="1FD5B8D6"/>
    <w:rsid w:val="1FD86241"/>
    <w:rsid w:val="1FDC0E6F"/>
    <w:rsid w:val="1FDC9AE5"/>
    <w:rsid w:val="1FE92397"/>
    <w:rsid w:val="1FEAF204"/>
    <w:rsid w:val="1FF0E409"/>
    <w:rsid w:val="1FF1D9F0"/>
    <w:rsid w:val="1FF962EE"/>
    <w:rsid w:val="1FFA5740"/>
    <w:rsid w:val="20019F1E"/>
    <w:rsid w:val="200A56E7"/>
    <w:rsid w:val="200E4BC5"/>
    <w:rsid w:val="200F575C"/>
    <w:rsid w:val="20147072"/>
    <w:rsid w:val="20187A34"/>
    <w:rsid w:val="201D4671"/>
    <w:rsid w:val="2021E6EB"/>
    <w:rsid w:val="20258A3F"/>
    <w:rsid w:val="202AA687"/>
    <w:rsid w:val="2030030F"/>
    <w:rsid w:val="203DAA83"/>
    <w:rsid w:val="203DD0CF"/>
    <w:rsid w:val="20414C96"/>
    <w:rsid w:val="204382E6"/>
    <w:rsid w:val="20491F55"/>
    <w:rsid w:val="204C494F"/>
    <w:rsid w:val="204CA4A0"/>
    <w:rsid w:val="205204B2"/>
    <w:rsid w:val="205219B1"/>
    <w:rsid w:val="20583CA7"/>
    <w:rsid w:val="205AC9E0"/>
    <w:rsid w:val="205FC379"/>
    <w:rsid w:val="2060271C"/>
    <w:rsid w:val="206D865A"/>
    <w:rsid w:val="20719F4F"/>
    <w:rsid w:val="20731B59"/>
    <w:rsid w:val="20759933"/>
    <w:rsid w:val="2085D253"/>
    <w:rsid w:val="208A0919"/>
    <w:rsid w:val="208DD1F7"/>
    <w:rsid w:val="20977FCB"/>
    <w:rsid w:val="209DB36C"/>
    <w:rsid w:val="20A0445B"/>
    <w:rsid w:val="20A0E347"/>
    <w:rsid w:val="20A3EC93"/>
    <w:rsid w:val="20A66F80"/>
    <w:rsid w:val="20A71AD2"/>
    <w:rsid w:val="20B40199"/>
    <w:rsid w:val="20BE0648"/>
    <w:rsid w:val="20C3D6C1"/>
    <w:rsid w:val="20C457C4"/>
    <w:rsid w:val="20D0E163"/>
    <w:rsid w:val="20D23F98"/>
    <w:rsid w:val="20DDA152"/>
    <w:rsid w:val="20DF60EC"/>
    <w:rsid w:val="20E5A069"/>
    <w:rsid w:val="20E9F733"/>
    <w:rsid w:val="20ED1323"/>
    <w:rsid w:val="20F09FAF"/>
    <w:rsid w:val="20F6CAEA"/>
    <w:rsid w:val="20F9189B"/>
    <w:rsid w:val="20F99432"/>
    <w:rsid w:val="20FBF3CD"/>
    <w:rsid w:val="20FF787D"/>
    <w:rsid w:val="210025A3"/>
    <w:rsid w:val="2102C363"/>
    <w:rsid w:val="210C45B4"/>
    <w:rsid w:val="210EEF93"/>
    <w:rsid w:val="2124ACD9"/>
    <w:rsid w:val="213260B7"/>
    <w:rsid w:val="213655CC"/>
    <w:rsid w:val="21374787"/>
    <w:rsid w:val="213A0F3C"/>
    <w:rsid w:val="213B3085"/>
    <w:rsid w:val="21495D3F"/>
    <w:rsid w:val="214A0D80"/>
    <w:rsid w:val="214E37EA"/>
    <w:rsid w:val="214F0D2B"/>
    <w:rsid w:val="2150DD71"/>
    <w:rsid w:val="21553535"/>
    <w:rsid w:val="21571F37"/>
    <w:rsid w:val="2159C9C6"/>
    <w:rsid w:val="215B1A9D"/>
    <w:rsid w:val="215C665A"/>
    <w:rsid w:val="215F01E9"/>
    <w:rsid w:val="2166AEB3"/>
    <w:rsid w:val="2167E4EC"/>
    <w:rsid w:val="216D8689"/>
    <w:rsid w:val="2173E65F"/>
    <w:rsid w:val="21757460"/>
    <w:rsid w:val="21757D89"/>
    <w:rsid w:val="2178B9F8"/>
    <w:rsid w:val="217C4038"/>
    <w:rsid w:val="217D71D1"/>
    <w:rsid w:val="2182E666"/>
    <w:rsid w:val="2183A21C"/>
    <w:rsid w:val="21858E02"/>
    <w:rsid w:val="218781E1"/>
    <w:rsid w:val="218843B3"/>
    <w:rsid w:val="218C3AE7"/>
    <w:rsid w:val="218C86B1"/>
    <w:rsid w:val="218E2D53"/>
    <w:rsid w:val="218F2DC5"/>
    <w:rsid w:val="2195DC55"/>
    <w:rsid w:val="21978C4D"/>
    <w:rsid w:val="219AC1DB"/>
    <w:rsid w:val="219D2A05"/>
    <w:rsid w:val="21A14B88"/>
    <w:rsid w:val="21A2E5C4"/>
    <w:rsid w:val="21A311E5"/>
    <w:rsid w:val="21A76FF4"/>
    <w:rsid w:val="21A9D777"/>
    <w:rsid w:val="21ABB220"/>
    <w:rsid w:val="21AD61C7"/>
    <w:rsid w:val="21BB7E5F"/>
    <w:rsid w:val="21BD4906"/>
    <w:rsid w:val="21BDCB75"/>
    <w:rsid w:val="21C2AF79"/>
    <w:rsid w:val="21D3DFA3"/>
    <w:rsid w:val="21D4E062"/>
    <w:rsid w:val="21E04FA2"/>
    <w:rsid w:val="21E43BE8"/>
    <w:rsid w:val="21ECDC0C"/>
    <w:rsid w:val="21ED145C"/>
    <w:rsid w:val="21FDFA39"/>
    <w:rsid w:val="2200FF31"/>
    <w:rsid w:val="220A7078"/>
    <w:rsid w:val="220BB516"/>
    <w:rsid w:val="220D9BC7"/>
    <w:rsid w:val="2210A0A5"/>
    <w:rsid w:val="22163DFB"/>
    <w:rsid w:val="2216B7E0"/>
    <w:rsid w:val="22170DB0"/>
    <w:rsid w:val="22182FA7"/>
    <w:rsid w:val="221AA5B4"/>
    <w:rsid w:val="221B8FB7"/>
    <w:rsid w:val="221D59E8"/>
    <w:rsid w:val="2222EF76"/>
    <w:rsid w:val="2229AAB2"/>
    <w:rsid w:val="222AB66B"/>
    <w:rsid w:val="2231F62D"/>
    <w:rsid w:val="223AF0A5"/>
    <w:rsid w:val="2248A010"/>
    <w:rsid w:val="22497543"/>
    <w:rsid w:val="224B7C07"/>
    <w:rsid w:val="224C0CA0"/>
    <w:rsid w:val="224E6AFC"/>
    <w:rsid w:val="225667F4"/>
    <w:rsid w:val="2258D780"/>
    <w:rsid w:val="225D39AE"/>
    <w:rsid w:val="225DB3DA"/>
    <w:rsid w:val="225EECE8"/>
    <w:rsid w:val="2262AACF"/>
    <w:rsid w:val="22650AE1"/>
    <w:rsid w:val="2266815D"/>
    <w:rsid w:val="2267230F"/>
    <w:rsid w:val="2269ACC3"/>
    <w:rsid w:val="226E4C94"/>
    <w:rsid w:val="2272A75D"/>
    <w:rsid w:val="2276280C"/>
    <w:rsid w:val="22765399"/>
    <w:rsid w:val="227884F4"/>
    <w:rsid w:val="227F4C8A"/>
    <w:rsid w:val="2286F423"/>
    <w:rsid w:val="22879DB0"/>
    <w:rsid w:val="229410DE"/>
    <w:rsid w:val="22952E02"/>
    <w:rsid w:val="229A6B12"/>
    <w:rsid w:val="22A29D3B"/>
    <w:rsid w:val="22A7800E"/>
    <w:rsid w:val="22B06C2F"/>
    <w:rsid w:val="22B17B86"/>
    <w:rsid w:val="22B8C320"/>
    <w:rsid w:val="22BE8886"/>
    <w:rsid w:val="22C03CFF"/>
    <w:rsid w:val="22C61D08"/>
    <w:rsid w:val="22C69B65"/>
    <w:rsid w:val="22C6DB3F"/>
    <w:rsid w:val="22CC5184"/>
    <w:rsid w:val="22D4E2FE"/>
    <w:rsid w:val="22DCC534"/>
    <w:rsid w:val="22E2A1FD"/>
    <w:rsid w:val="22E5A56D"/>
    <w:rsid w:val="22EB9363"/>
    <w:rsid w:val="22EFEA4A"/>
    <w:rsid w:val="22F11818"/>
    <w:rsid w:val="22F59A27"/>
    <w:rsid w:val="22F5C437"/>
    <w:rsid w:val="22F6CAB1"/>
    <w:rsid w:val="22FA8F47"/>
    <w:rsid w:val="22FB6054"/>
    <w:rsid w:val="2303C56A"/>
    <w:rsid w:val="2305697E"/>
    <w:rsid w:val="23077767"/>
    <w:rsid w:val="230A8C1D"/>
    <w:rsid w:val="2313CBEC"/>
    <w:rsid w:val="2314B1EE"/>
    <w:rsid w:val="23158607"/>
    <w:rsid w:val="231D1F36"/>
    <w:rsid w:val="23239C56"/>
    <w:rsid w:val="232AEA72"/>
    <w:rsid w:val="232D5C36"/>
    <w:rsid w:val="232E0C21"/>
    <w:rsid w:val="232E142E"/>
    <w:rsid w:val="2334EC4F"/>
    <w:rsid w:val="2342D731"/>
    <w:rsid w:val="23449B37"/>
    <w:rsid w:val="2348AA74"/>
    <w:rsid w:val="234B9DC1"/>
    <w:rsid w:val="23501BF7"/>
    <w:rsid w:val="2350AD6E"/>
    <w:rsid w:val="235577F8"/>
    <w:rsid w:val="235A4BA0"/>
    <w:rsid w:val="235D5DFA"/>
    <w:rsid w:val="2362C9D9"/>
    <w:rsid w:val="2366BF5F"/>
    <w:rsid w:val="236A3F50"/>
    <w:rsid w:val="236D5704"/>
    <w:rsid w:val="236D9EAB"/>
    <w:rsid w:val="2372E955"/>
    <w:rsid w:val="237342D4"/>
    <w:rsid w:val="23781746"/>
    <w:rsid w:val="237A04F2"/>
    <w:rsid w:val="237C6F06"/>
    <w:rsid w:val="23849A61"/>
    <w:rsid w:val="2389CA8D"/>
    <w:rsid w:val="238E27EA"/>
    <w:rsid w:val="238E71C3"/>
    <w:rsid w:val="238F56B0"/>
    <w:rsid w:val="238FE1E8"/>
    <w:rsid w:val="23932F18"/>
    <w:rsid w:val="23997D3F"/>
    <w:rsid w:val="2399C166"/>
    <w:rsid w:val="23A5BB82"/>
    <w:rsid w:val="23A6F463"/>
    <w:rsid w:val="23A73210"/>
    <w:rsid w:val="23A9C802"/>
    <w:rsid w:val="23B31701"/>
    <w:rsid w:val="23B598E6"/>
    <w:rsid w:val="23BC129F"/>
    <w:rsid w:val="23BDD8C1"/>
    <w:rsid w:val="23C1B056"/>
    <w:rsid w:val="23C3DF8B"/>
    <w:rsid w:val="23CA3E03"/>
    <w:rsid w:val="23D2705B"/>
    <w:rsid w:val="23E3787B"/>
    <w:rsid w:val="23E8005B"/>
    <w:rsid w:val="23E98A0D"/>
    <w:rsid w:val="23EA7806"/>
    <w:rsid w:val="23ED0B63"/>
    <w:rsid w:val="23F683FA"/>
    <w:rsid w:val="2405D793"/>
    <w:rsid w:val="2409BB4B"/>
    <w:rsid w:val="240B0061"/>
    <w:rsid w:val="24102605"/>
    <w:rsid w:val="241374B0"/>
    <w:rsid w:val="2415D4EE"/>
    <w:rsid w:val="241A28FE"/>
    <w:rsid w:val="2420C047"/>
    <w:rsid w:val="242AC065"/>
    <w:rsid w:val="24331659"/>
    <w:rsid w:val="2435325F"/>
    <w:rsid w:val="243608B0"/>
    <w:rsid w:val="243962DF"/>
    <w:rsid w:val="243A4542"/>
    <w:rsid w:val="2444805F"/>
    <w:rsid w:val="244C558E"/>
    <w:rsid w:val="244C6CF7"/>
    <w:rsid w:val="244D3D8D"/>
    <w:rsid w:val="244F40E6"/>
    <w:rsid w:val="2454D980"/>
    <w:rsid w:val="2459E625"/>
    <w:rsid w:val="245E24F4"/>
    <w:rsid w:val="24671DA3"/>
    <w:rsid w:val="2468A813"/>
    <w:rsid w:val="246AE940"/>
    <w:rsid w:val="24730AC4"/>
    <w:rsid w:val="247BDF2C"/>
    <w:rsid w:val="247FECF8"/>
    <w:rsid w:val="24863EB6"/>
    <w:rsid w:val="24888996"/>
    <w:rsid w:val="248AF05C"/>
    <w:rsid w:val="248BC2B5"/>
    <w:rsid w:val="24903100"/>
    <w:rsid w:val="24913025"/>
    <w:rsid w:val="2496898B"/>
    <w:rsid w:val="2498C42D"/>
    <w:rsid w:val="249ED4DF"/>
    <w:rsid w:val="249EFB6A"/>
    <w:rsid w:val="24A0CBEB"/>
    <w:rsid w:val="24A3E04F"/>
    <w:rsid w:val="24A7FD51"/>
    <w:rsid w:val="24B613F7"/>
    <w:rsid w:val="24BC1F51"/>
    <w:rsid w:val="24BE2665"/>
    <w:rsid w:val="24C2DB55"/>
    <w:rsid w:val="24C4552C"/>
    <w:rsid w:val="24C7A10E"/>
    <w:rsid w:val="24DFE8A1"/>
    <w:rsid w:val="24E55698"/>
    <w:rsid w:val="24E91E01"/>
    <w:rsid w:val="24EA59F2"/>
    <w:rsid w:val="24ED2905"/>
    <w:rsid w:val="24ED923C"/>
    <w:rsid w:val="24EED58E"/>
    <w:rsid w:val="24F4ACD8"/>
    <w:rsid w:val="24F97FBE"/>
    <w:rsid w:val="24FD0223"/>
    <w:rsid w:val="2503D474"/>
    <w:rsid w:val="25056AFA"/>
    <w:rsid w:val="25082F39"/>
    <w:rsid w:val="2508B65F"/>
    <w:rsid w:val="250AE1FA"/>
    <w:rsid w:val="25112009"/>
    <w:rsid w:val="2511B925"/>
    <w:rsid w:val="251401EC"/>
    <w:rsid w:val="2514A909"/>
    <w:rsid w:val="2514D752"/>
    <w:rsid w:val="251BF2E7"/>
    <w:rsid w:val="251CE71A"/>
    <w:rsid w:val="251FF62C"/>
    <w:rsid w:val="2525F08B"/>
    <w:rsid w:val="2526C862"/>
    <w:rsid w:val="2527BCBD"/>
    <w:rsid w:val="253A7AC5"/>
    <w:rsid w:val="253C20BC"/>
    <w:rsid w:val="253E749D"/>
    <w:rsid w:val="2541AC6A"/>
    <w:rsid w:val="2549B1CB"/>
    <w:rsid w:val="254C79A1"/>
    <w:rsid w:val="2551842A"/>
    <w:rsid w:val="25526965"/>
    <w:rsid w:val="2558C0BD"/>
    <w:rsid w:val="2558C4A6"/>
    <w:rsid w:val="2559FC16"/>
    <w:rsid w:val="255AA623"/>
    <w:rsid w:val="255F989F"/>
    <w:rsid w:val="25650D14"/>
    <w:rsid w:val="25694987"/>
    <w:rsid w:val="256BD59B"/>
    <w:rsid w:val="256CFE72"/>
    <w:rsid w:val="25738C0C"/>
    <w:rsid w:val="25764A5E"/>
    <w:rsid w:val="2576622F"/>
    <w:rsid w:val="257CF848"/>
    <w:rsid w:val="2585B001"/>
    <w:rsid w:val="258C8BDF"/>
    <w:rsid w:val="258CEDE5"/>
    <w:rsid w:val="258DFCD0"/>
    <w:rsid w:val="259060C1"/>
    <w:rsid w:val="25930ABF"/>
    <w:rsid w:val="2593AD8C"/>
    <w:rsid w:val="2593D859"/>
    <w:rsid w:val="2593EEE8"/>
    <w:rsid w:val="259475C9"/>
    <w:rsid w:val="25962058"/>
    <w:rsid w:val="25964616"/>
    <w:rsid w:val="259D2BEA"/>
    <w:rsid w:val="25AFE7DD"/>
    <w:rsid w:val="25B26CD5"/>
    <w:rsid w:val="25B8BA4A"/>
    <w:rsid w:val="25C029C5"/>
    <w:rsid w:val="25C19DDF"/>
    <w:rsid w:val="25CCFB71"/>
    <w:rsid w:val="25D186A5"/>
    <w:rsid w:val="25D7C03B"/>
    <w:rsid w:val="25D7E525"/>
    <w:rsid w:val="25DBBF05"/>
    <w:rsid w:val="25DCD038"/>
    <w:rsid w:val="25E0DE58"/>
    <w:rsid w:val="25E1798B"/>
    <w:rsid w:val="25E8994F"/>
    <w:rsid w:val="25EDE63D"/>
    <w:rsid w:val="25EFD7D9"/>
    <w:rsid w:val="25F583F7"/>
    <w:rsid w:val="25FD09FF"/>
    <w:rsid w:val="26068B81"/>
    <w:rsid w:val="26077EFA"/>
    <w:rsid w:val="2608250F"/>
    <w:rsid w:val="260A32C5"/>
    <w:rsid w:val="260BAF5F"/>
    <w:rsid w:val="260C18F7"/>
    <w:rsid w:val="260E38E3"/>
    <w:rsid w:val="260F3994"/>
    <w:rsid w:val="26260EA9"/>
    <w:rsid w:val="2626E8A7"/>
    <w:rsid w:val="262B3552"/>
    <w:rsid w:val="262C5560"/>
    <w:rsid w:val="26308000"/>
    <w:rsid w:val="26327A3E"/>
    <w:rsid w:val="263E7CBC"/>
    <w:rsid w:val="263F9993"/>
    <w:rsid w:val="2640914F"/>
    <w:rsid w:val="2641F643"/>
    <w:rsid w:val="26421EB0"/>
    <w:rsid w:val="26427C5F"/>
    <w:rsid w:val="2645A00F"/>
    <w:rsid w:val="26472042"/>
    <w:rsid w:val="264A23BE"/>
    <w:rsid w:val="26524339"/>
    <w:rsid w:val="265D0C01"/>
    <w:rsid w:val="265D5CF8"/>
    <w:rsid w:val="266BB30A"/>
    <w:rsid w:val="266F7FCF"/>
    <w:rsid w:val="267350F1"/>
    <w:rsid w:val="26752AE7"/>
    <w:rsid w:val="2679927E"/>
    <w:rsid w:val="267E1F74"/>
    <w:rsid w:val="2681D05A"/>
    <w:rsid w:val="26832C65"/>
    <w:rsid w:val="26852CA6"/>
    <w:rsid w:val="2686A18B"/>
    <w:rsid w:val="26890614"/>
    <w:rsid w:val="26895B70"/>
    <w:rsid w:val="26918BE0"/>
    <w:rsid w:val="2694A0C9"/>
    <w:rsid w:val="2696271E"/>
    <w:rsid w:val="269E6B0E"/>
    <w:rsid w:val="26A0AB63"/>
    <w:rsid w:val="26A2CBAA"/>
    <w:rsid w:val="26A62C15"/>
    <w:rsid w:val="26A848FE"/>
    <w:rsid w:val="26AD7328"/>
    <w:rsid w:val="26B290EF"/>
    <w:rsid w:val="26B34A3A"/>
    <w:rsid w:val="26B5880E"/>
    <w:rsid w:val="26B80970"/>
    <w:rsid w:val="26B899BB"/>
    <w:rsid w:val="26BA5527"/>
    <w:rsid w:val="26BB19FB"/>
    <w:rsid w:val="26BEF7B6"/>
    <w:rsid w:val="26C41222"/>
    <w:rsid w:val="26CA9CF7"/>
    <w:rsid w:val="26CCE602"/>
    <w:rsid w:val="26DA2193"/>
    <w:rsid w:val="26E244EC"/>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058A6"/>
    <w:rsid w:val="2711DC2A"/>
    <w:rsid w:val="271259C5"/>
    <w:rsid w:val="27146074"/>
    <w:rsid w:val="2719DA06"/>
    <w:rsid w:val="2719DAE7"/>
    <w:rsid w:val="271F911B"/>
    <w:rsid w:val="27223440"/>
    <w:rsid w:val="27249C62"/>
    <w:rsid w:val="2727EA6F"/>
    <w:rsid w:val="27351302"/>
    <w:rsid w:val="273D9BE3"/>
    <w:rsid w:val="273F28DE"/>
    <w:rsid w:val="27460D56"/>
    <w:rsid w:val="27466A0E"/>
    <w:rsid w:val="27489039"/>
    <w:rsid w:val="274A39D7"/>
    <w:rsid w:val="27554387"/>
    <w:rsid w:val="2756C36B"/>
    <w:rsid w:val="27609B44"/>
    <w:rsid w:val="27636835"/>
    <w:rsid w:val="2772712F"/>
    <w:rsid w:val="27730EC4"/>
    <w:rsid w:val="27751299"/>
    <w:rsid w:val="277A92A3"/>
    <w:rsid w:val="277DCE57"/>
    <w:rsid w:val="2782BE4D"/>
    <w:rsid w:val="2787DBEB"/>
    <w:rsid w:val="2788B81E"/>
    <w:rsid w:val="278B6166"/>
    <w:rsid w:val="278CA71E"/>
    <w:rsid w:val="27928FE1"/>
    <w:rsid w:val="27948A50"/>
    <w:rsid w:val="27978DC9"/>
    <w:rsid w:val="2799DBD1"/>
    <w:rsid w:val="279AFB40"/>
    <w:rsid w:val="279B5AD1"/>
    <w:rsid w:val="27A27BAD"/>
    <w:rsid w:val="27A3FA9E"/>
    <w:rsid w:val="27A57435"/>
    <w:rsid w:val="27A745A7"/>
    <w:rsid w:val="27B393E9"/>
    <w:rsid w:val="27B85A72"/>
    <w:rsid w:val="27CBDC50"/>
    <w:rsid w:val="27CD4139"/>
    <w:rsid w:val="27CD5FD6"/>
    <w:rsid w:val="27D11D2D"/>
    <w:rsid w:val="27D71A16"/>
    <w:rsid w:val="27DA91C7"/>
    <w:rsid w:val="27DBADAA"/>
    <w:rsid w:val="27E124CA"/>
    <w:rsid w:val="27E2B861"/>
    <w:rsid w:val="27E4607A"/>
    <w:rsid w:val="27E5F24D"/>
    <w:rsid w:val="27E6029A"/>
    <w:rsid w:val="27E9A18A"/>
    <w:rsid w:val="27EE2A10"/>
    <w:rsid w:val="27F8A917"/>
    <w:rsid w:val="27F8E25F"/>
    <w:rsid w:val="27FB9D98"/>
    <w:rsid w:val="27FCF0FB"/>
    <w:rsid w:val="27FD5161"/>
    <w:rsid w:val="280116A3"/>
    <w:rsid w:val="28055E98"/>
    <w:rsid w:val="2806E441"/>
    <w:rsid w:val="280862A9"/>
    <w:rsid w:val="280C6A5B"/>
    <w:rsid w:val="28103CE2"/>
    <w:rsid w:val="2812600E"/>
    <w:rsid w:val="28191EE2"/>
    <w:rsid w:val="282269F3"/>
    <w:rsid w:val="28319D38"/>
    <w:rsid w:val="2836B012"/>
    <w:rsid w:val="28382928"/>
    <w:rsid w:val="2842AD18"/>
    <w:rsid w:val="284841B6"/>
    <w:rsid w:val="28499B3C"/>
    <w:rsid w:val="284A0D9D"/>
    <w:rsid w:val="284A8F57"/>
    <w:rsid w:val="284C20BB"/>
    <w:rsid w:val="284F19FF"/>
    <w:rsid w:val="284F3EFA"/>
    <w:rsid w:val="2851A3CA"/>
    <w:rsid w:val="2852A211"/>
    <w:rsid w:val="28587A14"/>
    <w:rsid w:val="285944B9"/>
    <w:rsid w:val="2859C787"/>
    <w:rsid w:val="285BB104"/>
    <w:rsid w:val="28604207"/>
    <w:rsid w:val="286239BF"/>
    <w:rsid w:val="286307D4"/>
    <w:rsid w:val="28639A06"/>
    <w:rsid w:val="28643647"/>
    <w:rsid w:val="2868B979"/>
    <w:rsid w:val="286929F6"/>
    <w:rsid w:val="286CFBD1"/>
    <w:rsid w:val="286FAF3A"/>
    <w:rsid w:val="28730E25"/>
    <w:rsid w:val="287F87BB"/>
    <w:rsid w:val="288124A4"/>
    <w:rsid w:val="2887B666"/>
    <w:rsid w:val="2887D606"/>
    <w:rsid w:val="2888635A"/>
    <w:rsid w:val="28888803"/>
    <w:rsid w:val="288B8AFB"/>
    <w:rsid w:val="2892E422"/>
    <w:rsid w:val="289D2D40"/>
    <w:rsid w:val="289E1AC3"/>
    <w:rsid w:val="28A0A208"/>
    <w:rsid w:val="28A1A89F"/>
    <w:rsid w:val="28A9B5B7"/>
    <w:rsid w:val="28ABF3F0"/>
    <w:rsid w:val="28B3187F"/>
    <w:rsid w:val="28B57E0F"/>
    <w:rsid w:val="28B9EBFC"/>
    <w:rsid w:val="28C2C0F0"/>
    <w:rsid w:val="28C4A160"/>
    <w:rsid w:val="28C5A74C"/>
    <w:rsid w:val="28C7D1CF"/>
    <w:rsid w:val="28CBCA21"/>
    <w:rsid w:val="28D36A62"/>
    <w:rsid w:val="28D9C626"/>
    <w:rsid w:val="28DE67FA"/>
    <w:rsid w:val="28E5F224"/>
    <w:rsid w:val="28E9A3BF"/>
    <w:rsid w:val="28EA5F79"/>
    <w:rsid w:val="28EA9DDD"/>
    <w:rsid w:val="28EEB983"/>
    <w:rsid w:val="28EF6A58"/>
    <w:rsid w:val="28F05E7E"/>
    <w:rsid w:val="28F81BF0"/>
    <w:rsid w:val="28F87C95"/>
    <w:rsid w:val="29007864"/>
    <w:rsid w:val="290167C4"/>
    <w:rsid w:val="29016AD9"/>
    <w:rsid w:val="2901D73A"/>
    <w:rsid w:val="290793FB"/>
    <w:rsid w:val="2909281B"/>
    <w:rsid w:val="290F8282"/>
    <w:rsid w:val="291C9E74"/>
    <w:rsid w:val="291DEBD3"/>
    <w:rsid w:val="2922D821"/>
    <w:rsid w:val="292798FB"/>
    <w:rsid w:val="292C5553"/>
    <w:rsid w:val="292EDCF2"/>
    <w:rsid w:val="2930C778"/>
    <w:rsid w:val="29345669"/>
    <w:rsid w:val="29380C6B"/>
    <w:rsid w:val="293B11ED"/>
    <w:rsid w:val="293BF1EF"/>
    <w:rsid w:val="293D7384"/>
    <w:rsid w:val="2947BFAE"/>
    <w:rsid w:val="2948E7B1"/>
    <w:rsid w:val="2954BB8D"/>
    <w:rsid w:val="295DECB2"/>
    <w:rsid w:val="2960708E"/>
    <w:rsid w:val="296664F5"/>
    <w:rsid w:val="296CD961"/>
    <w:rsid w:val="296D3875"/>
    <w:rsid w:val="2976EE1D"/>
    <w:rsid w:val="297C6710"/>
    <w:rsid w:val="29806BF0"/>
    <w:rsid w:val="29859BF4"/>
    <w:rsid w:val="299C192E"/>
    <w:rsid w:val="29A056F7"/>
    <w:rsid w:val="29AC6559"/>
    <w:rsid w:val="29B10571"/>
    <w:rsid w:val="29B6E99C"/>
    <w:rsid w:val="29B88084"/>
    <w:rsid w:val="29B9A099"/>
    <w:rsid w:val="29BE5911"/>
    <w:rsid w:val="29C0A9F3"/>
    <w:rsid w:val="29C21A5A"/>
    <w:rsid w:val="29CD3A2D"/>
    <w:rsid w:val="29D5BF9D"/>
    <w:rsid w:val="29D8A205"/>
    <w:rsid w:val="29D948A9"/>
    <w:rsid w:val="29D9B2EE"/>
    <w:rsid w:val="29DC22D8"/>
    <w:rsid w:val="29DD4E68"/>
    <w:rsid w:val="29DFD8EF"/>
    <w:rsid w:val="29E3985C"/>
    <w:rsid w:val="29E86453"/>
    <w:rsid w:val="29E8A1FB"/>
    <w:rsid w:val="29EA6608"/>
    <w:rsid w:val="29F3D3E2"/>
    <w:rsid w:val="29F55283"/>
    <w:rsid w:val="29F6A841"/>
    <w:rsid w:val="29FED819"/>
    <w:rsid w:val="2A063ACA"/>
    <w:rsid w:val="2A0D3B25"/>
    <w:rsid w:val="2A0DAD5D"/>
    <w:rsid w:val="2A1B2EF1"/>
    <w:rsid w:val="2A1D34C5"/>
    <w:rsid w:val="2A22E3FB"/>
    <w:rsid w:val="2A2416DE"/>
    <w:rsid w:val="2A2C4483"/>
    <w:rsid w:val="2A2CA9E6"/>
    <w:rsid w:val="2A2EBE78"/>
    <w:rsid w:val="2A31CB25"/>
    <w:rsid w:val="2A36BB6C"/>
    <w:rsid w:val="2A37579D"/>
    <w:rsid w:val="2A387EB6"/>
    <w:rsid w:val="2A3C441A"/>
    <w:rsid w:val="2A3F3513"/>
    <w:rsid w:val="2A4159A7"/>
    <w:rsid w:val="2A42DD85"/>
    <w:rsid w:val="2A437983"/>
    <w:rsid w:val="2A46DFF2"/>
    <w:rsid w:val="2A48002C"/>
    <w:rsid w:val="2A57EB46"/>
    <w:rsid w:val="2A593D8A"/>
    <w:rsid w:val="2A599E1E"/>
    <w:rsid w:val="2A5A7BCB"/>
    <w:rsid w:val="2A65F395"/>
    <w:rsid w:val="2A67B41B"/>
    <w:rsid w:val="2A6ECA1F"/>
    <w:rsid w:val="2A7A5D32"/>
    <w:rsid w:val="2A7BC1E1"/>
    <w:rsid w:val="2A84E546"/>
    <w:rsid w:val="2A87FE1A"/>
    <w:rsid w:val="2A8DB699"/>
    <w:rsid w:val="2A94CB69"/>
    <w:rsid w:val="2A95CC23"/>
    <w:rsid w:val="2A9A38AD"/>
    <w:rsid w:val="2AA71F53"/>
    <w:rsid w:val="2AACAB0A"/>
    <w:rsid w:val="2AAD79D3"/>
    <w:rsid w:val="2AB134C0"/>
    <w:rsid w:val="2AB3453A"/>
    <w:rsid w:val="2AB46CC6"/>
    <w:rsid w:val="2AB5C955"/>
    <w:rsid w:val="2AB67DA0"/>
    <w:rsid w:val="2AB6D796"/>
    <w:rsid w:val="2AB88C09"/>
    <w:rsid w:val="2AB9D55E"/>
    <w:rsid w:val="2ABB8122"/>
    <w:rsid w:val="2ABFB92F"/>
    <w:rsid w:val="2AC00A3B"/>
    <w:rsid w:val="2AC88B14"/>
    <w:rsid w:val="2AC93650"/>
    <w:rsid w:val="2ACA9904"/>
    <w:rsid w:val="2ACB4EE4"/>
    <w:rsid w:val="2ACE0FF8"/>
    <w:rsid w:val="2AD065E4"/>
    <w:rsid w:val="2AD3F0F5"/>
    <w:rsid w:val="2ADA561D"/>
    <w:rsid w:val="2AE1B1EB"/>
    <w:rsid w:val="2AE99925"/>
    <w:rsid w:val="2AEF2D0F"/>
    <w:rsid w:val="2AF0D970"/>
    <w:rsid w:val="2AF109CE"/>
    <w:rsid w:val="2AF252B0"/>
    <w:rsid w:val="2AF535C5"/>
    <w:rsid w:val="2AFAC9CD"/>
    <w:rsid w:val="2AFC916B"/>
    <w:rsid w:val="2B02A17F"/>
    <w:rsid w:val="2B03AC96"/>
    <w:rsid w:val="2B04FA3A"/>
    <w:rsid w:val="2B053CC8"/>
    <w:rsid w:val="2B0C58F8"/>
    <w:rsid w:val="2B128521"/>
    <w:rsid w:val="2B12F530"/>
    <w:rsid w:val="2B165090"/>
    <w:rsid w:val="2B16823F"/>
    <w:rsid w:val="2B17441B"/>
    <w:rsid w:val="2B1902FA"/>
    <w:rsid w:val="2B19E663"/>
    <w:rsid w:val="2B1E3EE4"/>
    <w:rsid w:val="2B1F0DE9"/>
    <w:rsid w:val="2B20CBDA"/>
    <w:rsid w:val="2B213B41"/>
    <w:rsid w:val="2B239802"/>
    <w:rsid w:val="2B23F4B5"/>
    <w:rsid w:val="2B268CB7"/>
    <w:rsid w:val="2B2A66A5"/>
    <w:rsid w:val="2B2E0549"/>
    <w:rsid w:val="2B2E5ECE"/>
    <w:rsid w:val="2B2F9453"/>
    <w:rsid w:val="2B36430E"/>
    <w:rsid w:val="2B391E06"/>
    <w:rsid w:val="2B3D2848"/>
    <w:rsid w:val="2B3F9C06"/>
    <w:rsid w:val="2B419578"/>
    <w:rsid w:val="2B41F2BA"/>
    <w:rsid w:val="2B44B3FF"/>
    <w:rsid w:val="2B464E12"/>
    <w:rsid w:val="2B4C60A9"/>
    <w:rsid w:val="2B53BEF2"/>
    <w:rsid w:val="2B551357"/>
    <w:rsid w:val="2B59D140"/>
    <w:rsid w:val="2B607438"/>
    <w:rsid w:val="2B673930"/>
    <w:rsid w:val="2B69B8F8"/>
    <w:rsid w:val="2B722E9A"/>
    <w:rsid w:val="2B7462FB"/>
    <w:rsid w:val="2B7A3801"/>
    <w:rsid w:val="2B7EFEDD"/>
    <w:rsid w:val="2B853532"/>
    <w:rsid w:val="2B8A6549"/>
    <w:rsid w:val="2B8EB91A"/>
    <w:rsid w:val="2B99F00F"/>
    <w:rsid w:val="2BA0606F"/>
    <w:rsid w:val="2BA0A22D"/>
    <w:rsid w:val="2BA22D60"/>
    <w:rsid w:val="2BA83DBD"/>
    <w:rsid w:val="2BAADCC7"/>
    <w:rsid w:val="2BB4356F"/>
    <w:rsid w:val="2BB4C2EB"/>
    <w:rsid w:val="2BBC5AE3"/>
    <w:rsid w:val="2BBD1D59"/>
    <w:rsid w:val="2BBE4889"/>
    <w:rsid w:val="2BBF61AA"/>
    <w:rsid w:val="2BC33BB5"/>
    <w:rsid w:val="2BC48A40"/>
    <w:rsid w:val="2BC8B0E3"/>
    <w:rsid w:val="2BCA93C8"/>
    <w:rsid w:val="2BCDC31E"/>
    <w:rsid w:val="2BD09754"/>
    <w:rsid w:val="2BD423B1"/>
    <w:rsid w:val="2BD7B410"/>
    <w:rsid w:val="2BDF0BCA"/>
    <w:rsid w:val="2BEAB43D"/>
    <w:rsid w:val="2BEB1D62"/>
    <w:rsid w:val="2BEEFDAF"/>
    <w:rsid w:val="2BF1EDC8"/>
    <w:rsid w:val="2BF3499F"/>
    <w:rsid w:val="2BF76050"/>
    <w:rsid w:val="2BFFA65B"/>
    <w:rsid w:val="2C06649F"/>
    <w:rsid w:val="2C07E2CA"/>
    <w:rsid w:val="2C0807A1"/>
    <w:rsid w:val="2C08546F"/>
    <w:rsid w:val="2C0B86C9"/>
    <w:rsid w:val="2C10E7A7"/>
    <w:rsid w:val="2C16DB0E"/>
    <w:rsid w:val="2C1E812E"/>
    <w:rsid w:val="2C21338A"/>
    <w:rsid w:val="2C2B2837"/>
    <w:rsid w:val="2C2BCC5F"/>
    <w:rsid w:val="2C3451AA"/>
    <w:rsid w:val="2C3B7B1E"/>
    <w:rsid w:val="2C3C9261"/>
    <w:rsid w:val="2C3DAA13"/>
    <w:rsid w:val="2C3E99B1"/>
    <w:rsid w:val="2C42E2EE"/>
    <w:rsid w:val="2C4C1D76"/>
    <w:rsid w:val="2C53A020"/>
    <w:rsid w:val="2C55FD7A"/>
    <w:rsid w:val="2C58595A"/>
    <w:rsid w:val="2C594126"/>
    <w:rsid w:val="2C5BA1F9"/>
    <w:rsid w:val="2C61FAD7"/>
    <w:rsid w:val="2C6275D0"/>
    <w:rsid w:val="2C6B1876"/>
    <w:rsid w:val="2C6BE87C"/>
    <w:rsid w:val="2C6BECCF"/>
    <w:rsid w:val="2C7259AE"/>
    <w:rsid w:val="2C74F8EA"/>
    <w:rsid w:val="2C84C479"/>
    <w:rsid w:val="2C8716FA"/>
    <w:rsid w:val="2C878824"/>
    <w:rsid w:val="2C8BC4D7"/>
    <w:rsid w:val="2C8BE2F3"/>
    <w:rsid w:val="2C8BE3E6"/>
    <w:rsid w:val="2C906C77"/>
    <w:rsid w:val="2C91935F"/>
    <w:rsid w:val="2C983433"/>
    <w:rsid w:val="2C99D806"/>
    <w:rsid w:val="2C9ACC48"/>
    <w:rsid w:val="2C9CE40F"/>
    <w:rsid w:val="2C9E314B"/>
    <w:rsid w:val="2CA1C28B"/>
    <w:rsid w:val="2CAB8B6A"/>
    <w:rsid w:val="2CAFBCAA"/>
    <w:rsid w:val="2CB03446"/>
    <w:rsid w:val="2CB4803A"/>
    <w:rsid w:val="2CB5C955"/>
    <w:rsid w:val="2CC14FB4"/>
    <w:rsid w:val="2CC21255"/>
    <w:rsid w:val="2CC3493A"/>
    <w:rsid w:val="2CC81CEF"/>
    <w:rsid w:val="2CC9897C"/>
    <w:rsid w:val="2CCB06BE"/>
    <w:rsid w:val="2CCD6330"/>
    <w:rsid w:val="2CCEA223"/>
    <w:rsid w:val="2CD25FD4"/>
    <w:rsid w:val="2CD52365"/>
    <w:rsid w:val="2CD704DF"/>
    <w:rsid w:val="2CDACA41"/>
    <w:rsid w:val="2CDD1D73"/>
    <w:rsid w:val="2CDD49DC"/>
    <w:rsid w:val="2CE89CB5"/>
    <w:rsid w:val="2CECC298"/>
    <w:rsid w:val="2CFBDC49"/>
    <w:rsid w:val="2CFD73A4"/>
    <w:rsid w:val="2D022CD5"/>
    <w:rsid w:val="2D02CE58"/>
    <w:rsid w:val="2D06960C"/>
    <w:rsid w:val="2D0A6DE7"/>
    <w:rsid w:val="2D17F7B0"/>
    <w:rsid w:val="2D1C794A"/>
    <w:rsid w:val="2D1F4785"/>
    <w:rsid w:val="2D1FD9A3"/>
    <w:rsid w:val="2D234F60"/>
    <w:rsid w:val="2D27478D"/>
    <w:rsid w:val="2D297DD8"/>
    <w:rsid w:val="2D29B159"/>
    <w:rsid w:val="2D2E58B5"/>
    <w:rsid w:val="2D33EED6"/>
    <w:rsid w:val="2D3904B0"/>
    <w:rsid w:val="2D39705D"/>
    <w:rsid w:val="2D47AA21"/>
    <w:rsid w:val="2D482C07"/>
    <w:rsid w:val="2D512248"/>
    <w:rsid w:val="2D54E474"/>
    <w:rsid w:val="2D56B82A"/>
    <w:rsid w:val="2D5A22AD"/>
    <w:rsid w:val="2D6237E5"/>
    <w:rsid w:val="2D684BB5"/>
    <w:rsid w:val="2D6BC90B"/>
    <w:rsid w:val="2D6F1FE0"/>
    <w:rsid w:val="2D7779C4"/>
    <w:rsid w:val="2D7DA3C3"/>
    <w:rsid w:val="2D7FFBC9"/>
    <w:rsid w:val="2D8037A2"/>
    <w:rsid w:val="2D91191F"/>
    <w:rsid w:val="2D927EEF"/>
    <w:rsid w:val="2D939402"/>
    <w:rsid w:val="2D9621B8"/>
    <w:rsid w:val="2DA6BBAF"/>
    <w:rsid w:val="2DA83602"/>
    <w:rsid w:val="2DAB9AD7"/>
    <w:rsid w:val="2DB02AC3"/>
    <w:rsid w:val="2DB23DB0"/>
    <w:rsid w:val="2DB6F1B0"/>
    <w:rsid w:val="2DB93709"/>
    <w:rsid w:val="2DBB3570"/>
    <w:rsid w:val="2DBB423B"/>
    <w:rsid w:val="2DBB7B7C"/>
    <w:rsid w:val="2DC608CF"/>
    <w:rsid w:val="2DC64026"/>
    <w:rsid w:val="2DC9D3D5"/>
    <w:rsid w:val="2DCB98A5"/>
    <w:rsid w:val="2DD1477C"/>
    <w:rsid w:val="2DD2C858"/>
    <w:rsid w:val="2DD3CFFA"/>
    <w:rsid w:val="2DDC2BBD"/>
    <w:rsid w:val="2DE0DBBE"/>
    <w:rsid w:val="2DE443E4"/>
    <w:rsid w:val="2DE7DA8C"/>
    <w:rsid w:val="2DE98843"/>
    <w:rsid w:val="2DEB19D0"/>
    <w:rsid w:val="2DECA81E"/>
    <w:rsid w:val="2DEF48D6"/>
    <w:rsid w:val="2DF3FF65"/>
    <w:rsid w:val="2DF4E145"/>
    <w:rsid w:val="2DF5DD01"/>
    <w:rsid w:val="2DF6D05B"/>
    <w:rsid w:val="2DF7A515"/>
    <w:rsid w:val="2DF8B778"/>
    <w:rsid w:val="2DFC11B1"/>
    <w:rsid w:val="2DFF2E36"/>
    <w:rsid w:val="2E087693"/>
    <w:rsid w:val="2E08788E"/>
    <w:rsid w:val="2E0AF886"/>
    <w:rsid w:val="2E0D8686"/>
    <w:rsid w:val="2E166610"/>
    <w:rsid w:val="2E1A399A"/>
    <w:rsid w:val="2E1A8246"/>
    <w:rsid w:val="2E1D52D9"/>
    <w:rsid w:val="2E1DC17C"/>
    <w:rsid w:val="2E22138E"/>
    <w:rsid w:val="2E22BD6C"/>
    <w:rsid w:val="2E234DA0"/>
    <w:rsid w:val="2E257A43"/>
    <w:rsid w:val="2E32D9F1"/>
    <w:rsid w:val="2E369FCE"/>
    <w:rsid w:val="2E3823EF"/>
    <w:rsid w:val="2E3EBA22"/>
    <w:rsid w:val="2E40D095"/>
    <w:rsid w:val="2E46D52A"/>
    <w:rsid w:val="2E4FEB74"/>
    <w:rsid w:val="2E51129A"/>
    <w:rsid w:val="2E51DB7E"/>
    <w:rsid w:val="2E54F789"/>
    <w:rsid w:val="2E5A5F5D"/>
    <w:rsid w:val="2E5DF966"/>
    <w:rsid w:val="2E5E733F"/>
    <w:rsid w:val="2E61A996"/>
    <w:rsid w:val="2E61FD44"/>
    <w:rsid w:val="2E63FFBC"/>
    <w:rsid w:val="2E6D84BA"/>
    <w:rsid w:val="2E754877"/>
    <w:rsid w:val="2E7A227C"/>
    <w:rsid w:val="2E8C7A3E"/>
    <w:rsid w:val="2E95B91A"/>
    <w:rsid w:val="2E995C5A"/>
    <w:rsid w:val="2E9C17E0"/>
    <w:rsid w:val="2EA3B827"/>
    <w:rsid w:val="2EA8C0C7"/>
    <w:rsid w:val="2EB21074"/>
    <w:rsid w:val="2EB548BD"/>
    <w:rsid w:val="2EB75C75"/>
    <w:rsid w:val="2EBB0CB8"/>
    <w:rsid w:val="2EBD84E9"/>
    <w:rsid w:val="2EC0E386"/>
    <w:rsid w:val="2EC2B8EA"/>
    <w:rsid w:val="2EC44E17"/>
    <w:rsid w:val="2EC8E16C"/>
    <w:rsid w:val="2ED19EBE"/>
    <w:rsid w:val="2ED49AD7"/>
    <w:rsid w:val="2EDF19FE"/>
    <w:rsid w:val="2EE1D07D"/>
    <w:rsid w:val="2EE27552"/>
    <w:rsid w:val="2EE327C0"/>
    <w:rsid w:val="2EE7BFE4"/>
    <w:rsid w:val="2EE84DBC"/>
    <w:rsid w:val="2EEAF7B4"/>
    <w:rsid w:val="2EF1DECF"/>
    <w:rsid w:val="2EF4E9FF"/>
    <w:rsid w:val="2EFE3A1C"/>
    <w:rsid w:val="2EFEA23B"/>
    <w:rsid w:val="2F04AA18"/>
    <w:rsid w:val="2F08645D"/>
    <w:rsid w:val="2F0FE5E7"/>
    <w:rsid w:val="2F166550"/>
    <w:rsid w:val="2F170619"/>
    <w:rsid w:val="2F182611"/>
    <w:rsid w:val="2F186FDF"/>
    <w:rsid w:val="2F246296"/>
    <w:rsid w:val="2F247794"/>
    <w:rsid w:val="2F28A9F1"/>
    <w:rsid w:val="2F2D43D6"/>
    <w:rsid w:val="2F372858"/>
    <w:rsid w:val="2F3DF6D8"/>
    <w:rsid w:val="2F430076"/>
    <w:rsid w:val="2F5150A8"/>
    <w:rsid w:val="2F51F7D2"/>
    <w:rsid w:val="2F5217F4"/>
    <w:rsid w:val="2F55DEFC"/>
    <w:rsid w:val="2F5973D9"/>
    <w:rsid w:val="2F5A9D84"/>
    <w:rsid w:val="2F5D368A"/>
    <w:rsid w:val="2F5DA5CC"/>
    <w:rsid w:val="2F5F408E"/>
    <w:rsid w:val="2F6473AF"/>
    <w:rsid w:val="2F67951D"/>
    <w:rsid w:val="2F6CF6D7"/>
    <w:rsid w:val="2F72AEC7"/>
    <w:rsid w:val="2F76B81A"/>
    <w:rsid w:val="2F782629"/>
    <w:rsid w:val="2F78D774"/>
    <w:rsid w:val="2F7A04BB"/>
    <w:rsid w:val="2F7F3EB6"/>
    <w:rsid w:val="2F809163"/>
    <w:rsid w:val="2F878CDC"/>
    <w:rsid w:val="2F8A8E0D"/>
    <w:rsid w:val="2F8FCFC6"/>
    <w:rsid w:val="2F931434"/>
    <w:rsid w:val="2F93235F"/>
    <w:rsid w:val="2F9413D6"/>
    <w:rsid w:val="2F96E60F"/>
    <w:rsid w:val="2F97A491"/>
    <w:rsid w:val="2F99828B"/>
    <w:rsid w:val="2F9C0C26"/>
    <w:rsid w:val="2F9D9BC9"/>
    <w:rsid w:val="2FA00C0A"/>
    <w:rsid w:val="2FA61EAB"/>
    <w:rsid w:val="2FA67577"/>
    <w:rsid w:val="2FA75978"/>
    <w:rsid w:val="2FA884EE"/>
    <w:rsid w:val="2FA9645C"/>
    <w:rsid w:val="2FAA004F"/>
    <w:rsid w:val="2FAAE30A"/>
    <w:rsid w:val="2FAE19AD"/>
    <w:rsid w:val="2FB042A3"/>
    <w:rsid w:val="2FB1DBE0"/>
    <w:rsid w:val="2FB37A16"/>
    <w:rsid w:val="2FB5362D"/>
    <w:rsid w:val="2FB59626"/>
    <w:rsid w:val="2FBA46A9"/>
    <w:rsid w:val="2FBCB92C"/>
    <w:rsid w:val="2FBE0BCB"/>
    <w:rsid w:val="2FC01056"/>
    <w:rsid w:val="2FC47908"/>
    <w:rsid w:val="2FC93421"/>
    <w:rsid w:val="2FCAD327"/>
    <w:rsid w:val="2FCD84B4"/>
    <w:rsid w:val="2FD09182"/>
    <w:rsid w:val="2FD4F6E4"/>
    <w:rsid w:val="2FDB4B06"/>
    <w:rsid w:val="2FDF0DD4"/>
    <w:rsid w:val="2FE58780"/>
    <w:rsid w:val="2FE9317F"/>
    <w:rsid w:val="2FF117F4"/>
    <w:rsid w:val="2FF89843"/>
    <w:rsid w:val="2FF9DF5E"/>
    <w:rsid w:val="2FFDA6C6"/>
    <w:rsid w:val="3000F5D4"/>
    <w:rsid w:val="300370AE"/>
    <w:rsid w:val="300528CE"/>
    <w:rsid w:val="3010AB77"/>
    <w:rsid w:val="30125552"/>
    <w:rsid w:val="3022B0DE"/>
    <w:rsid w:val="3022D83C"/>
    <w:rsid w:val="3024C6BD"/>
    <w:rsid w:val="3029282F"/>
    <w:rsid w:val="302C2BA7"/>
    <w:rsid w:val="302FB27A"/>
    <w:rsid w:val="30374D5C"/>
    <w:rsid w:val="304298ED"/>
    <w:rsid w:val="30481856"/>
    <w:rsid w:val="3048785C"/>
    <w:rsid w:val="304FA73D"/>
    <w:rsid w:val="3055AB67"/>
    <w:rsid w:val="30588C59"/>
    <w:rsid w:val="305956EF"/>
    <w:rsid w:val="305A9C06"/>
    <w:rsid w:val="305FC515"/>
    <w:rsid w:val="306D6B7E"/>
    <w:rsid w:val="3070BEEF"/>
    <w:rsid w:val="3072202B"/>
    <w:rsid w:val="3076FC22"/>
    <w:rsid w:val="307CA662"/>
    <w:rsid w:val="30841823"/>
    <w:rsid w:val="309A718B"/>
    <w:rsid w:val="309C888B"/>
    <w:rsid w:val="309EDED6"/>
    <w:rsid w:val="309F4BA2"/>
    <w:rsid w:val="30A081F0"/>
    <w:rsid w:val="30A200FA"/>
    <w:rsid w:val="30A9E432"/>
    <w:rsid w:val="30ABE5D1"/>
    <w:rsid w:val="30ADDF91"/>
    <w:rsid w:val="30B1DBCB"/>
    <w:rsid w:val="30B2194E"/>
    <w:rsid w:val="30B56415"/>
    <w:rsid w:val="30B5ED2B"/>
    <w:rsid w:val="30B6349C"/>
    <w:rsid w:val="30B759B3"/>
    <w:rsid w:val="30B920D8"/>
    <w:rsid w:val="30B9776C"/>
    <w:rsid w:val="30BC50B1"/>
    <w:rsid w:val="30C3E3BE"/>
    <w:rsid w:val="30CDBC9B"/>
    <w:rsid w:val="30D1D81E"/>
    <w:rsid w:val="30DA8D24"/>
    <w:rsid w:val="30DB0735"/>
    <w:rsid w:val="30DB4832"/>
    <w:rsid w:val="30DC0D42"/>
    <w:rsid w:val="30E084F3"/>
    <w:rsid w:val="30E22525"/>
    <w:rsid w:val="30E2695F"/>
    <w:rsid w:val="30E75F47"/>
    <w:rsid w:val="30E7B5BD"/>
    <w:rsid w:val="30E83654"/>
    <w:rsid w:val="30EDC6A9"/>
    <w:rsid w:val="30F30CEF"/>
    <w:rsid w:val="30F66C37"/>
    <w:rsid w:val="30F7D526"/>
    <w:rsid w:val="30F898CB"/>
    <w:rsid w:val="30F8EDB5"/>
    <w:rsid w:val="30FB88DC"/>
    <w:rsid w:val="30FE605E"/>
    <w:rsid w:val="31018DDA"/>
    <w:rsid w:val="3102294D"/>
    <w:rsid w:val="3102F702"/>
    <w:rsid w:val="31065808"/>
    <w:rsid w:val="3113FAEF"/>
    <w:rsid w:val="31194749"/>
    <w:rsid w:val="311BD76D"/>
    <w:rsid w:val="311EB0EA"/>
    <w:rsid w:val="311FCFD5"/>
    <w:rsid w:val="312027AC"/>
    <w:rsid w:val="31208A70"/>
    <w:rsid w:val="3125EE5E"/>
    <w:rsid w:val="312661E7"/>
    <w:rsid w:val="312A1DB1"/>
    <w:rsid w:val="312E6A0A"/>
    <w:rsid w:val="312F76CF"/>
    <w:rsid w:val="312FF72C"/>
    <w:rsid w:val="3130278B"/>
    <w:rsid w:val="31331CAD"/>
    <w:rsid w:val="31373C19"/>
    <w:rsid w:val="313E6E39"/>
    <w:rsid w:val="3141A472"/>
    <w:rsid w:val="31449D05"/>
    <w:rsid w:val="3144B460"/>
    <w:rsid w:val="3148803E"/>
    <w:rsid w:val="3148F7DA"/>
    <w:rsid w:val="315D425B"/>
    <w:rsid w:val="315DAD42"/>
    <w:rsid w:val="315E9E94"/>
    <w:rsid w:val="31700E0B"/>
    <w:rsid w:val="3171577F"/>
    <w:rsid w:val="3172F297"/>
    <w:rsid w:val="317C79C2"/>
    <w:rsid w:val="317CA1C2"/>
    <w:rsid w:val="317CE98A"/>
    <w:rsid w:val="31804C5B"/>
    <w:rsid w:val="3183D3F2"/>
    <w:rsid w:val="318623F7"/>
    <w:rsid w:val="3186280B"/>
    <w:rsid w:val="31868A6D"/>
    <w:rsid w:val="3188DEFF"/>
    <w:rsid w:val="3189F19C"/>
    <w:rsid w:val="318C19E4"/>
    <w:rsid w:val="318DDB14"/>
    <w:rsid w:val="318ECA33"/>
    <w:rsid w:val="318F372D"/>
    <w:rsid w:val="3194111D"/>
    <w:rsid w:val="3194791D"/>
    <w:rsid w:val="31973D8C"/>
    <w:rsid w:val="319CE6F5"/>
    <w:rsid w:val="31A0913A"/>
    <w:rsid w:val="31A1AE79"/>
    <w:rsid w:val="31A2CCE8"/>
    <w:rsid w:val="31A593C2"/>
    <w:rsid w:val="31A680AF"/>
    <w:rsid w:val="31A74008"/>
    <w:rsid w:val="31A7AB1B"/>
    <w:rsid w:val="31AA1DBA"/>
    <w:rsid w:val="31AA9763"/>
    <w:rsid w:val="31ABDACD"/>
    <w:rsid w:val="31B06F05"/>
    <w:rsid w:val="31BA907E"/>
    <w:rsid w:val="31CB175E"/>
    <w:rsid w:val="31CFC1EC"/>
    <w:rsid w:val="31D963B3"/>
    <w:rsid w:val="31D9BDC2"/>
    <w:rsid w:val="31DD4792"/>
    <w:rsid w:val="31DED4B2"/>
    <w:rsid w:val="31E060E7"/>
    <w:rsid w:val="31E0D47D"/>
    <w:rsid w:val="31E11B75"/>
    <w:rsid w:val="31E3B020"/>
    <w:rsid w:val="31F1081B"/>
    <w:rsid w:val="31FB11E8"/>
    <w:rsid w:val="3202D07B"/>
    <w:rsid w:val="320E681C"/>
    <w:rsid w:val="320FF304"/>
    <w:rsid w:val="32110665"/>
    <w:rsid w:val="32120891"/>
    <w:rsid w:val="3214179F"/>
    <w:rsid w:val="321750DE"/>
    <w:rsid w:val="3219FE9F"/>
    <w:rsid w:val="32222B8D"/>
    <w:rsid w:val="32243BA8"/>
    <w:rsid w:val="322BDB05"/>
    <w:rsid w:val="32341837"/>
    <w:rsid w:val="323818E1"/>
    <w:rsid w:val="3238D9F3"/>
    <w:rsid w:val="3239F428"/>
    <w:rsid w:val="323F47D8"/>
    <w:rsid w:val="3242DB24"/>
    <w:rsid w:val="324B5824"/>
    <w:rsid w:val="32501A31"/>
    <w:rsid w:val="3250580B"/>
    <w:rsid w:val="32546026"/>
    <w:rsid w:val="3256B90C"/>
    <w:rsid w:val="325B17D8"/>
    <w:rsid w:val="3262FE87"/>
    <w:rsid w:val="326553B4"/>
    <w:rsid w:val="326555F3"/>
    <w:rsid w:val="3269156A"/>
    <w:rsid w:val="32795BE9"/>
    <w:rsid w:val="3279D821"/>
    <w:rsid w:val="327D84D8"/>
    <w:rsid w:val="32850C75"/>
    <w:rsid w:val="3286E68E"/>
    <w:rsid w:val="32871F85"/>
    <w:rsid w:val="328F0241"/>
    <w:rsid w:val="329B2D9C"/>
    <w:rsid w:val="329B5CE5"/>
    <w:rsid w:val="329D17AE"/>
    <w:rsid w:val="329F5C07"/>
    <w:rsid w:val="32A25433"/>
    <w:rsid w:val="32A52E68"/>
    <w:rsid w:val="32A5544E"/>
    <w:rsid w:val="32A6B7BA"/>
    <w:rsid w:val="32AA6E56"/>
    <w:rsid w:val="32B0DB4E"/>
    <w:rsid w:val="32B6B5C7"/>
    <w:rsid w:val="32BCF69A"/>
    <w:rsid w:val="32CCF22C"/>
    <w:rsid w:val="32D8BEA9"/>
    <w:rsid w:val="32DB8828"/>
    <w:rsid w:val="32DC32DC"/>
    <w:rsid w:val="32DC9B15"/>
    <w:rsid w:val="32DCCDE6"/>
    <w:rsid w:val="32E5AECD"/>
    <w:rsid w:val="32ED4BBA"/>
    <w:rsid w:val="32F0DE13"/>
    <w:rsid w:val="32F1BD91"/>
    <w:rsid w:val="32F40485"/>
    <w:rsid w:val="32F47729"/>
    <w:rsid w:val="32FD43F8"/>
    <w:rsid w:val="32FD8045"/>
    <w:rsid w:val="32FE31F7"/>
    <w:rsid w:val="32FED2B9"/>
    <w:rsid w:val="330364FF"/>
    <w:rsid w:val="33080C73"/>
    <w:rsid w:val="330D564A"/>
    <w:rsid w:val="3314E1DB"/>
    <w:rsid w:val="33163205"/>
    <w:rsid w:val="33172B54"/>
    <w:rsid w:val="331A5C08"/>
    <w:rsid w:val="331EE24A"/>
    <w:rsid w:val="331F0AF1"/>
    <w:rsid w:val="33217C45"/>
    <w:rsid w:val="3325216A"/>
    <w:rsid w:val="332ACDAA"/>
    <w:rsid w:val="332DD7AA"/>
    <w:rsid w:val="332E04C2"/>
    <w:rsid w:val="332F5D26"/>
    <w:rsid w:val="332F7241"/>
    <w:rsid w:val="33306F01"/>
    <w:rsid w:val="3330806D"/>
    <w:rsid w:val="333A9DEB"/>
    <w:rsid w:val="333CB365"/>
    <w:rsid w:val="333F75EC"/>
    <w:rsid w:val="334B5623"/>
    <w:rsid w:val="334BBC76"/>
    <w:rsid w:val="334E0C42"/>
    <w:rsid w:val="334FBDC3"/>
    <w:rsid w:val="3353D942"/>
    <w:rsid w:val="3357CAA4"/>
    <w:rsid w:val="33594DEB"/>
    <w:rsid w:val="335B2E1B"/>
    <w:rsid w:val="33665A6A"/>
    <w:rsid w:val="336E18D8"/>
    <w:rsid w:val="337210FA"/>
    <w:rsid w:val="33769FBA"/>
    <w:rsid w:val="3377E36D"/>
    <w:rsid w:val="337DAFB5"/>
    <w:rsid w:val="33804A0E"/>
    <w:rsid w:val="3382B4F7"/>
    <w:rsid w:val="3388548E"/>
    <w:rsid w:val="33964D9F"/>
    <w:rsid w:val="3396E9DB"/>
    <w:rsid w:val="33992290"/>
    <w:rsid w:val="339BD968"/>
    <w:rsid w:val="339BE283"/>
    <w:rsid w:val="33A24F02"/>
    <w:rsid w:val="33AA07CC"/>
    <w:rsid w:val="33AA2462"/>
    <w:rsid w:val="33AE867E"/>
    <w:rsid w:val="33AF86C9"/>
    <w:rsid w:val="33B8B051"/>
    <w:rsid w:val="33BB1C8A"/>
    <w:rsid w:val="33BD0E87"/>
    <w:rsid w:val="33C4251E"/>
    <w:rsid w:val="33C4BFDE"/>
    <w:rsid w:val="33D2FA48"/>
    <w:rsid w:val="33DF6208"/>
    <w:rsid w:val="33E04C41"/>
    <w:rsid w:val="33E9E3B9"/>
    <w:rsid w:val="33ECF6D9"/>
    <w:rsid w:val="33F0FA20"/>
    <w:rsid w:val="33F103A1"/>
    <w:rsid w:val="33F43CFA"/>
    <w:rsid w:val="33FA70DF"/>
    <w:rsid w:val="33FC9016"/>
    <w:rsid w:val="33FD9A48"/>
    <w:rsid w:val="3400A8AF"/>
    <w:rsid w:val="34039F29"/>
    <w:rsid w:val="3406B921"/>
    <w:rsid w:val="340903BC"/>
    <w:rsid w:val="34107B71"/>
    <w:rsid w:val="3411022D"/>
    <w:rsid w:val="34138C7B"/>
    <w:rsid w:val="3414F305"/>
    <w:rsid w:val="3414F9E9"/>
    <w:rsid w:val="341EE6D1"/>
    <w:rsid w:val="34247908"/>
    <w:rsid w:val="3424EECB"/>
    <w:rsid w:val="342FA901"/>
    <w:rsid w:val="3438E036"/>
    <w:rsid w:val="34399AF2"/>
    <w:rsid w:val="343B6BDC"/>
    <w:rsid w:val="344CEEF1"/>
    <w:rsid w:val="34515B96"/>
    <w:rsid w:val="345B59CB"/>
    <w:rsid w:val="345E907D"/>
    <w:rsid w:val="34668DD4"/>
    <w:rsid w:val="3467E413"/>
    <w:rsid w:val="3468DC27"/>
    <w:rsid w:val="3469A7BE"/>
    <w:rsid w:val="3469AF22"/>
    <w:rsid w:val="346B497B"/>
    <w:rsid w:val="346BD62C"/>
    <w:rsid w:val="34705C6D"/>
    <w:rsid w:val="347224F3"/>
    <w:rsid w:val="3473048D"/>
    <w:rsid w:val="3476D720"/>
    <w:rsid w:val="347AA42E"/>
    <w:rsid w:val="347C6316"/>
    <w:rsid w:val="347DC0B0"/>
    <w:rsid w:val="3485EF22"/>
    <w:rsid w:val="3487943D"/>
    <w:rsid w:val="34887D7B"/>
    <w:rsid w:val="3489CA74"/>
    <w:rsid w:val="348A1440"/>
    <w:rsid w:val="348B11AF"/>
    <w:rsid w:val="348B8727"/>
    <w:rsid w:val="349AD68C"/>
    <w:rsid w:val="34A8D8A4"/>
    <w:rsid w:val="34AA5755"/>
    <w:rsid w:val="34AAF903"/>
    <w:rsid w:val="34AF1CE6"/>
    <w:rsid w:val="34BF619D"/>
    <w:rsid w:val="34C52C02"/>
    <w:rsid w:val="34C81EF6"/>
    <w:rsid w:val="34C99179"/>
    <w:rsid w:val="34C9FD8F"/>
    <w:rsid w:val="34CC447D"/>
    <w:rsid w:val="34D6A81D"/>
    <w:rsid w:val="34D6DF57"/>
    <w:rsid w:val="34D71F53"/>
    <w:rsid w:val="34D7A28A"/>
    <w:rsid w:val="34D8991A"/>
    <w:rsid w:val="34D89E11"/>
    <w:rsid w:val="34D9F4F3"/>
    <w:rsid w:val="34DAB07E"/>
    <w:rsid w:val="34DE9B49"/>
    <w:rsid w:val="34DFCD7B"/>
    <w:rsid w:val="34DFF6B9"/>
    <w:rsid w:val="34E1BD1F"/>
    <w:rsid w:val="34E3E1FA"/>
    <w:rsid w:val="34E9DE1A"/>
    <w:rsid w:val="34F51E0D"/>
    <w:rsid w:val="34F8056E"/>
    <w:rsid w:val="34F86F78"/>
    <w:rsid w:val="34FC2C2A"/>
    <w:rsid w:val="34FCDEB6"/>
    <w:rsid w:val="35012F63"/>
    <w:rsid w:val="35077793"/>
    <w:rsid w:val="350C396F"/>
    <w:rsid w:val="35139E10"/>
    <w:rsid w:val="351D8BFA"/>
    <w:rsid w:val="35208100"/>
    <w:rsid w:val="3524B566"/>
    <w:rsid w:val="352B11EE"/>
    <w:rsid w:val="35332BC8"/>
    <w:rsid w:val="3535755E"/>
    <w:rsid w:val="353ABA94"/>
    <w:rsid w:val="3542CC82"/>
    <w:rsid w:val="35434797"/>
    <w:rsid w:val="3543B8DB"/>
    <w:rsid w:val="3544BAD8"/>
    <w:rsid w:val="354987C4"/>
    <w:rsid w:val="354F6F9F"/>
    <w:rsid w:val="35535196"/>
    <w:rsid w:val="35575A31"/>
    <w:rsid w:val="355C060B"/>
    <w:rsid w:val="35671B37"/>
    <w:rsid w:val="3567D798"/>
    <w:rsid w:val="3569BE77"/>
    <w:rsid w:val="356C31B0"/>
    <w:rsid w:val="356D2598"/>
    <w:rsid w:val="356FCA10"/>
    <w:rsid w:val="35713294"/>
    <w:rsid w:val="3575E023"/>
    <w:rsid w:val="357696FD"/>
    <w:rsid w:val="358FE977"/>
    <w:rsid w:val="35912B4D"/>
    <w:rsid w:val="3594668E"/>
    <w:rsid w:val="359A6A71"/>
    <w:rsid w:val="359E2394"/>
    <w:rsid w:val="35A28BCA"/>
    <w:rsid w:val="35A7CC8C"/>
    <w:rsid w:val="35A7D0AA"/>
    <w:rsid w:val="35AA0409"/>
    <w:rsid w:val="35B34B73"/>
    <w:rsid w:val="35B4C3E5"/>
    <w:rsid w:val="35B9E1B1"/>
    <w:rsid w:val="35C06101"/>
    <w:rsid w:val="35C62559"/>
    <w:rsid w:val="35CA1107"/>
    <w:rsid w:val="35CAD104"/>
    <w:rsid w:val="35CDD8A6"/>
    <w:rsid w:val="35D08427"/>
    <w:rsid w:val="35D4A9E8"/>
    <w:rsid w:val="35D92B32"/>
    <w:rsid w:val="35E2AFD2"/>
    <w:rsid w:val="35E2C363"/>
    <w:rsid w:val="35E47AE1"/>
    <w:rsid w:val="35E906BF"/>
    <w:rsid w:val="35F54482"/>
    <w:rsid w:val="35F9A840"/>
    <w:rsid w:val="35FC0DA3"/>
    <w:rsid w:val="35FFC862"/>
    <w:rsid w:val="36012001"/>
    <w:rsid w:val="3606F773"/>
    <w:rsid w:val="360850C2"/>
    <w:rsid w:val="36099284"/>
    <w:rsid w:val="360BC141"/>
    <w:rsid w:val="360C5147"/>
    <w:rsid w:val="360C6ABF"/>
    <w:rsid w:val="360F3AEB"/>
    <w:rsid w:val="3611067C"/>
    <w:rsid w:val="3613F3C7"/>
    <w:rsid w:val="361C8276"/>
    <w:rsid w:val="361F89DB"/>
    <w:rsid w:val="362464D0"/>
    <w:rsid w:val="3624DCEE"/>
    <w:rsid w:val="3624FED9"/>
    <w:rsid w:val="3628194D"/>
    <w:rsid w:val="362A99C2"/>
    <w:rsid w:val="36317A4E"/>
    <w:rsid w:val="3637312F"/>
    <w:rsid w:val="363B20E6"/>
    <w:rsid w:val="363C05AF"/>
    <w:rsid w:val="363C8465"/>
    <w:rsid w:val="363F67DC"/>
    <w:rsid w:val="3642AEA5"/>
    <w:rsid w:val="3643307C"/>
    <w:rsid w:val="3645BC32"/>
    <w:rsid w:val="36465559"/>
    <w:rsid w:val="364C64FC"/>
    <w:rsid w:val="364D7347"/>
    <w:rsid w:val="36568249"/>
    <w:rsid w:val="3657997A"/>
    <w:rsid w:val="36588029"/>
    <w:rsid w:val="3659992E"/>
    <w:rsid w:val="365A88F4"/>
    <w:rsid w:val="365CDD02"/>
    <w:rsid w:val="365EC2AC"/>
    <w:rsid w:val="366356F9"/>
    <w:rsid w:val="36641089"/>
    <w:rsid w:val="36671C2D"/>
    <w:rsid w:val="366AA118"/>
    <w:rsid w:val="366D9C47"/>
    <w:rsid w:val="366EC5D3"/>
    <w:rsid w:val="36702D78"/>
    <w:rsid w:val="3670B28C"/>
    <w:rsid w:val="3672B532"/>
    <w:rsid w:val="36738775"/>
    <w:rsid w:val="36784AAF"/>
    <w:rsid w:val="367AC914"/>
    <w:rsid w:val="36802388"/>
    <w:rsid w:val="3683FD9E"/>
    <w:rsid w:val="368C5CC9"/>
    <w:rsid w:val="368D2584"/>
    <w:rsid w:val="369287CE"/>
    <w:rsid w:val="36A2CF75"/>
    <w:rsid w:val="36A6A89A"/>
    <w:rsid w:val="36B531F0"/>
    <w:rsid w:val="36B658B4"/>
    <w:rsid w:val="36BA82B5"/>
    <w:rsid w:val="36BEDE67"/>
    <w:rsid w:val="36BFD0CF"/>
    <w:rsid w:val="36C03507"/>
    <w:rsid w:val="36D24A74"/>
    <w:rsid w:val="36D317AF"/>
    <w:rsid w:val="36D3BDF8"/>
    <w:rsid w:val="36DCAF47"/>
    <w:rsid w:val="36DE4D7D"/>
    <w:rsid w:val="36E0AFE6"/>
    <w:rsid w:val="36E7B394"/>
    <w:rsid w:val="36EDFC0F"/>
    <w:rsid w:val="36F82296"/>
    <w:rsid w:val="36F9D57C"/>
    <w:rsid w:val="36FF32AE"/>
    <w:rsid w:val="37092AB0"/>
    <w:rsid w:val="370CA0B7"/>
    <w:rsid w:val="370DB949"/>
    <w:rsid w:val="370DBA1A"/>
    <w:rsid w:val="3715E234"/>
    <w:rsid w:val="371EDC69"/>
    <w:rsid w:val="37228823"/>
    <w:rsid w:val="37282F26"/>
    <w:rsid w:val="372B4FEC"/>
    <w:rsid w:val="372D2FBC"/>
    <w:rsid w:val="372E43BB"/>
    <w:rsid w:val="37309876"/>
    <w:rsid w:val="3734ED07"/>
    <w:rsid w:val="373640CB"/>
    <w:rsid w:val="373679D7"/>
    <w:rsid w:val="3736BBBC"/>
    <w:rsid w:val="3739A34D"/>
    <w:rsid w:val="373A4C44"/>
    <w:rsid w:val="373B875E"/>
    <w:rsid w:val="374285D0"/>
    <w:rsid w:val="37435AB0"/>
    <w:rsid w:val="374BD4F0"/>
    <w:rsid w:val="374D21F4"/>
    <w:rsid w:val="3750F88B"/>
    <w:rsid w:val="3753DCBA"/>
    <w:rsid w:val="37645770"/>
    <w:rsid w:val="37654B4D"/>
    <w:rsid w:val="3765E336"/>
    <w:rsid w:val="376C109E"/>
    <w:rsid w:val="376E3D72"/>
    <w:rsid w:val="3774610A"/>
    <w:rsid w:val="377D6B0B"/>
    <w:rsid w:val="377F213A"/>
    <w:rsid w:val="37855A8C"/>
    <w:rsid w:val="378961AA"/>
    <w:rsid w:val="378BB236"/>
    <w:rsid w:val="37911B96"/>
    <w:rsid w:val="3793B310"/>
    <w:rsid w:val="379B056A"/>
    <w:rsid w:val="379F1ACB"/>
    <w:rsid w:val="37A18E66"/>
    <w:rsid w:val="37A49B71"/>
    <w:rsid w:val="37A4FA96"/>
    <w:rsid w:val="37A54387"/>
    <w:rsid w:val="37ABCE06"/>
    <w:rsid w:val="37AD0C42"/>
    <w:rsid w:val="37AEA2F2"/>
    <w:rsid w:val="37B54A36"/>
    <w:rsid w:val="37B89E00"/>
    <w:rsid w:val="37BBA0E1"/>
    <w:rsid w:val="37BFACF1"/>
    <w:rsid w:val="37C5CB82"/>
    <w:rsid w:val="37C89285"/>
    <w:rsid w:val="37C99C0F"/>
    <w:rsid w:val="37CAB181"/>
    <w:rsid w:val="37D1C345"/>
    <w:rsid w:val="37D6A768"/>
    <w:rsid w:val="37E347A5"/>
    <w:rsid w:val="37E68C96"/>
    <w:rsid w:val="37EA759E"/>
    <w:rsid w:val="37ED87F2"/>
    <w:rsid w:val="37F6B661"/>
    <w:rsid w:val="37F8DFE2"/>
    <w:rsid w:val="37F92C03"/>
    <w:rsid w:val="38032F40"/>
    <w:rsid w:val="38067F9A"/>
    <w:rsid w:val="380AFBC0"/>
    <w:rsid w:val="380B7852"/>
    <w:rsid w:val="380C2879"/>
    <w:rsid w:val="38117E58"/>
    <w:rsid w:val="3814D4A6"/>
    <w:rsid w:val="381C666B"/>
    <w:rsid w:val="381C993C"/>
    <w:rsid w:val="381CCD8D"/>
    <w:rsid w:val="381DD745"/>
    <w:rsid w:val="382200A9"/>
    <w:rsid w:val="38224E3F"/>
    <w:rsid w:val="38229B82"/>
    <w:rsid w:val="38238CBE"/>
    <w:rsid w:val="3826C75E"/>
    <w:rsid w:val="3826F014"/>
    <w:rsid w:val="38270174"/>
    <w:rsid w:val="3827878C"/>
    <w:rsid w:val="382787B9"/>
    <w:rsid w:val="3829BF49"/>
    <w:rsid w:val="382A7A91"/>
    <w:rsid w:val="382E783B"/>
    <w:rsid w:val="38330BC2"/>
    <w:rsid w:val="383924CF"/>
    <w:rsid w:val="383D2C96"/>
    <w:rsid w:val="383E5384"/>
    <w:rsid w:val="384176BC"/>
    <w:rsid w:val="38437671"/>
    <w:rsid w:val="3845515B"/>
    <w:rsid w:val="3846F658"/>
    <w:rsid w:val="3849F041"/>
    <w:rsid w:val="384C3F23"/>
    <w:rsid w:val="384C6175"/>
    <w:rsid w:val="3854D20E"/>
    <w:rsid w:val="385B3AEB"/>
    <w:rsid w:val="385E9A22"/>
    <w:rsid w:val="3862FB13"/>
    <w:rsid w:val="3866141B"/>
    <w:rsid w:val="3866B644"/>
    <w:rsid w:val="3866F75F"/>
    <w:rsid w:val="386C4891"/>
    <w:rsid w:val="387025FC"/>
    <w:rsid w:val="3871E038"/>
    <w:rsid w:val="3874A62C"/>
    <w:rsid w:val="3875B2CF"/>
    <w:rsid w:val="388456DC"/>
    <w:rsid w:val="3884D79A"/>
    <w:rsid w:val="3885DCB5"/>
    <w:rsid w:val="38863A38"/>
    <w:rsid w:val="38868722"/>
    <w:rsid w:val="388A36D9"/>
    <w:rsid w:val="388AB709"/>
    <w:rsid w:val="388E9776"/>
    <w:rsid w:val="38928F63"/>
    <w:rsid w:val="38968E22"/>
    <w:rsid w:val="38977043"/>
    <w:rsid w:val="38978098"/>
    <w:rsid w:val="389949F6"/>
    <w:rsid w:val="389A37F1"/>
    <w:rsid w:val="389BD32E"/>
    <w:rsid w:val="38A02FE1"/>
    <w:rsid w:val="38A136B2"/>
    <w:rsid w:val="38A4D764"/>
    <w:rsid w:val="38A63A70"/>
    <w:rsid w:val="38AC2158"/>
    <w:rsid w:val="38AD2083"/>
    <w:rsid w:val="38AFE71F"/>
    <w:rsid w:val="38BE149A"/>
    <w:rsid w:val="38C3377E"/>
    <w:rsid w:val="38C43250"/>
    <w:rsid w:val="38C75518"/>
    <w:rsid w:val="38C7D797"/>
    <w:rsid w:val="38D25270"/>
    <w:rsid w:val="38D81C82"/>
    <w:rsid w:val="38D98EA1"/>
    <w:rsid w:val="38DCAD69"/>
    <w:rsid w:val="38DD4F88"/>
    <w:rsid w:val="38E4B512"/>
    <w:rsid w:val="38E827BB"/>
    <w:rsid w:val="38EF7600"/>
    <w:rsid w:val="38F11847"/>
    <w:rsid w:val="38F74A76"/>
    <w:rsid w:val="38F7B673"/>
    <w:rsid w:val="38F9457E"/>
    <w:rsid w:val="38F98BFD"/>
    <w:rsid w:val="3907C883"/>
    <w:rsid w:val="39181F62"/>
    <w:rsid w:val="3918B2BD"/>
    <w:rsid w:val="392237F7"/>
    <w:rsid w:val="3927CA4D"/>
    <w:rsid w:val="3927EE0B"/>
    <w:rsid w:val="39289E22"/>
    <w:rsid w:val="392A8A53"/>
    <w:rsid w:val="392C97FE"/>
    <w:rsid w:val="392CA7D0"/>
    <w:rsid w:val="39350DC1"/>
    <w:rsid w:val="39371038"/>
    <w:rsid w:val="393B0633"/>
    <w:rsid w:val="393FD152"/>
    <w:rsid w:val="39526623"/>
    <w:rsid w:val="39532A7C"/>
    <w:rsid w:val="3955A9A7"/>
    <w:rsid w:val="395A24EE"/>
    <w:rsid w:val="395A4A51"/>
    <w:rsid w:val="395B5243"/>
    <w:rsid w:val="3961650E"/>
    <w:rsid w:val="39622883"/>
    <w:rsid w:val="3962D00F"/>
    <w:rsid w:val="3964C78D"/>
    <w:rsid w:val="396D6456"/>
    <w:rsid w:val="397252D1"/>
    <w:rsid w:val="39772C98"/>
    <w:rsid w:val="398196CD"/>
    <w:rsid w:val="3984D4C3"/>
    <w:rsid w:val="39893CBA"/>
    <w:rsid w:val="398B9D99"/>
    <w:rsid w:val="398C0451"/>
    <w:rsid w:val="398F2F25"/>
    <w:rsid w:val="398F3A3C"/>
    <w:rsid w:val="398F5C27"/>
    <w:rsid w:val="3995C77C"/>
    <w:rsid w:val="3998C772"/>
    <w:rsid w:val="3999DCCB"/>
    <w:rsid w:val="399DA8D1"/>
    <w:rsid w:val="399DB3FF"/>
    <w:rsid w:val="39A49DD9"/>
    <w:rsid w:val="39A7D0D6"/>
    <w:rsid w:val="39A891A4"/>
    <w:rsid w:val="39AC2CAE"/>
    <w:rsid w:val="39ACDB39"/>
    <w:rsid w:val="39B6D6CC"/>
    <w:rsid w:val="39B6E09E"/>
    <w:rsid w:val="39BA39D7"/>
    <w:rsid w:val="39BC4E02"/>
    <w:rsid w:val="39BE2393"/>
    <w:rsid w:val="39C62BD5"/>
    <w:rsid w:val="39CCD937"/>
    <w:rsid w:val="39CD4B70"/>
    <w:rsid w:val="39CD770E"/>
    <w:rsid w:val="39CE2A3B"/>
    <w:rsid w:val="39D6DC0E"/>
    <w:rsid w:val="39D6EECF"/>
    <w:rsid w:val="39DE0ACE"/>
    <w:rsid w:val="39DE361D"/>
    <w:rsid w:val="39E35CB4"/>
    <w:rsid w:val="39E82CBD"/>
    <w:rsid w:val="39E85977"/>
    <w:rsid w:val="39F04EC4"/>
    <w:rsid w:val="39F6548E"/>
    <w:rsid w:val="39FFA491"/>
    <w:rsid w:val="3A026735"/>
    <w:rsid w:val="3A02E79C"/>
    <w:rsid w:val="3A084526"/>
    <w:rsid w:val="3A0DBD97"/>
    <w:rsid w:val="3A14E562"/>
    <w:rsid w:val="3A1B108F"/>
    <w:rsid w:val="3A1DA98F"/>
    <w:rsid w:val="3A1DAB2B"/>
    <w:rsid w:val="3A20D56C"/>
    <w:rsid w:val="3A2126FD"/>
    <w:rsid w:val="3A23C669"/>
    <w:rsid w:val="3A276ACE"/>
    <w:rsid w:val="3A27A214"/>
    <w:rsid w:val="3A288594"/>
    <w:rsid w:val="3A292FC9"/>
    <w:rsid w:val="3A2C7949"/>
    <w:rsid w:val="3A2D0741"/>
    <w:rsid w:val="3A2EE2B1"/>
    <w:rsid w:val="3A327755"/>
    <w:rsid w:val="3A33905D"/>
    <w:rsid w:val="3A36ECA1"/>
    <w:rsid w:val="3A377C93"/>
    <w:rsid w:val="3A3E4A24"/>
    <w:rsid w:val="3A409C71"/>
    <w:rsid w:val="3A435A4F"/>
    <w:rsid w:val="3A436007"/>
    <w:rsid w:val="3A483F58"/>
    <w:rsid w:val="3A485F60"/>
    <w:rsid w:val="3A4BFDC5"/>
    <w:rsid w:val="3A4C6514"/>
    <w:rsid w:val="3A4FA2F3"/>
    <w:rsid w:val="3A519AB7"/>
    <w:rsid w:val="3A52CDE7"/>
    <w:rsid w:val="3A537BBF"/>
    <w:rsid w:val="3A54D90F"/>
    <w:rsid w:val="3A54ECAA"/>
    <w:rsid w:val="3A55C0FA"/>
    <w:rsid w:val="3A5E350F"/>
    <w:rsid w:val="3A5EB36A"/>
    <w:rsid w:val="3A6870FD"/>
    <w:rsid w:val="3A6A4A07"/>
    <w:rsid w:val="3A708B7C"/>
    <w:rsid w:val="3A7689FC"/>
    <w:rsid w:val="3A78BC6D"/>
    <w:rsid w:val="3A7A052E"/>
    <w:rsid w:val="3A802B2D"/>
    <w:rsid w:val="3A8431D4"/>
    <w:rsid w:val="3A87B3D7"/>
    <w:rsid w:val="3A88F18D"/>
    <w:rsid w:val="3A93A3FB"/>
    <w:rsid w:val="3A97350F"/>
    <w:rsid w:val="3A9A8382"/>
    <w:rsid w:val="3A9D2FB8"/>
    <w:rsid w:val="3A9DA8ED"/>
    <w:rsid w:val="3A9FB2DB"/>
    <w:rsid w:val="3AA09992"/>
    <w:rsid w:val="3AA714E8"/>
    <w:rsid w:val="3AA779CB"/>
    <w:rsid w:val="3AAF20ED"/>
    <w:rsid w:val="3AB0A8E0"/>
    <w:rsid w:val="3ABC84AB"/>
    <w:rsid w:val="3AC46F9C"/>
    <w:rsid w:val="3AC7DBAF"/>
    <w:rsid w:val="3ACAC90E"/>
    <w:rsid w:val="3ACBE521"/>
    <w:rsid w:val="3AD7320B"/>
    <w:rsid w:val="3AE212BC"/>
    <w:rsid w:val="3AE3E843"/>
    <w:rsid w:val="3AE70E48"/>
    <w:rsid w:val="3AE8E8BD"/>
    <w:rsid w:val="3AEC4E6F"/>
    <w:rsid w:val="3AEE5539"/>
    <w:rsid w:val="3AF02984"/>
    <w:rsid w:val="3AF07921"/>
    <w:rsid w:val="3AF1FC22"/>
    <w:rsid w:val="3AFC5F4E"/>
    <w:rsid w:val="3B045B77"/>
    <w:rsid w:val="3B0A9ACA"/>
    <w:rsid w:val="3B0CC4C8"/>
    <w:rsid w:val="3B0F0768"/>
    <w:rsid w:val="3B13D7BA"/>
    <w:rsid w:val="3B15961C"/>
    <w:rsid w:val="3B1DD06E"/>
    <w:rsid w:val="3B25135E"/>
    <w:rsid w:val="3B26E022"/>
    <w:rsid w:val="3B2709AB"/>
    <w:rsid w:val="3B285DE6"/>
    <w:rsid w:val="3B2B0A9D"/>
    <w:rsid w:val="3B30BFC6"/>
    <w:rsid w:val="3B31F788"/>
    <w:rsid w:val="3B32D055"/>
    <w:rsid w:val="3B3B465E"/>
    <w:rsid w:val="3B43A949"/>
    <w:rsid w:val="3B43C93B"/>
    <w:rsid w:val="3B46FD0B"/>
    <w:rsid w:val="3B4A0906"/>
    <w:rsid w:val="3B4B8D52"/>
    <w:rsid w:val="3B4E1EE0"/>
    <w:rsid w:val="3B536FB5"/>
    <w:rsid w:val="3B53E237"/>
    <w:rsid w:val="3B599FC7"/>
    <w:rsid w:val="3B5A1499"/>
    <w:rsid w:val="3B5C010A"/>
    <w:rsid w:val="3B5E2031"/>
    <w:rsid w:val="3B6073BE"/>
    <w:rsid w:val="3B631A72"/>
    <w:rsid w:val="3B63234E"/>
    <w:rsid w:val="3B638526"/>
    <w:rsid w:val="3B65D4C0"/>
    <w:rsid w:val="3B66E315"/>
    <w:rsid w:val="3B67E653"/>
    <w:rsid w:val="3B6D49D6"/>
    <w:rsid w:val="3B73887E"/>
    <w:rsid w:val="3B762965"/>
    <w:rsid w:val="3B7B83E9"/>
    <w:rsid w:val="3B7FB7BD"/>
    <w:rsid w:val="3B806D37"/>
    <w:rsid w:val="3B834A8A"/>
    <w:rsid w:val="3B844155"/>
    <w:rsid w:val="3B850C14"/>
    <w:rsid w:val="3B8EAC73"/>
    <w:rsid w:val="3B92B195"/>
    <w:rsid w:val="3B92C6FA"/>
    <w:rsid w:val="3B9540A3"/>
    <w:rsid w:val="3B96F0D8"/>
    <w:rsid w:val="3B995099"/>
    <w:rsid w:val="3B9B2350"/>
    <w:rsid w:val="3B9B73E6"/>
    <w:rsid w:val="3B9CF7A8"/>
    <w:rsid w:val="3BA40F49"/>
    <w:rsid w:val="3BA5C880"/>
    <w:rsid w:val="3BAA7063"/>
    <w:rsid w:val="3BAB1A2D"/>
    <w:rsid w:val="3BB8E4B9"/>
    <w:rsid w:val="3BBB8942"/>
    <w:rsid w:val="3BC0F9AE"/>
    <w:rsid w:val="3BC2ADE1"/>
    <w:rsid w:val="3BC7AF45"/>
    <w:rsid w:val="3BC8046B"/>
    <w:rsid w:val="3BD5A107"/>
    <w:rsid w:val="3BD74F9C"/>
    <w:rsid w:val="3BDB68FD"/>
    <w:rsid w:val="3BDE14EE"/>
    <w:rsid w:val="3BE177F8"/>
    <w:rsid w:val="3BE64E0B"/>
    <w:rsid w:val="3BEF44E8"/>
    <w:rsid w:val="3BF791D5"/>
    <w:rsid w:val="3BFFB4AA"/>
    <w:rsid w:val="3C010EE1"/>
    <w:rsid w:val="3C07C606"/>
    <w:rsid w:val="3C0BBC09"/>
    <w:rsid w:val="3C0F8EA5"/>
    <w:rsid w:val="3C101726"/>
    <w:rsid w:val="3C13C668"/>
    <w:rsid w:val="3C17F5B2"/>
    <w:rsid w:val="3C1C6E89"/>
    <w:rsid w:val="3C1EAD01"/>
    <w:rsid w:val="3C21EDB0"/>
    <w:rsid w:val="3C249FA0"/>
    <w:rsid w:val="3C2827DA"/>
    <w:rsid w:val="3C298AE9"/>
    <w:rsid w:val="3C2A71F1"/>
    <w:rsid w:val="3C2C966C"/>
    <w:rsid w:val="3C2CF9C6"/>
    <w:rsid w:val="3C3115A3"/>
    <w:rsid w:val="3C314940"/>
    <w:rsid w:val="3C3425C3"/>
    <w:rsid w:val="3C378C2E"/>
    <w:rsid w:val="3C37B37A"/>
    <w:rsid w:val="3C398DF5"/>
    <w:rsid w:val="3C3BC05A"/>
    <w:rsid w:val="3C3C497D"/>
    <w:rsid w:val="3C46A0AB"/>
    <w:rsid w:val="3C483D5A"/>
    <w:rsid w:val="3C48AB6E"/>
    <w:rsid w:val="3C4DE8A1"/>
    <w:rsid w:val="3C511E0E"/>
    <w:rsid w:val="3C57A028"/>
    <w:rsid w:val="3C5993BE"/>
    <w:rsid w:val="3C5A2D39"/>
    <w:rsid w:val="3C5DBB00"/>
    <w:rsid w:val="3C5FDF78"/>
    <w:rsid w:val="3C628731"/>
    <w:rsid w:val="3C62A18E"/>
    <w:rsid w:val="3C635278"/>
    <w:rsid w:val="3C63C3E0"/>
    <w:rsid w:val="3C63C8D4"/>
    <w:rsid w:val="3C6BF4FF"/>
    <w:rsid w:val="3C73510F"/>
    <w:rsid w:val="3C787D41"/>
    <w:rsid w:val="3C7EECD1"/>
    <w:rsid w:val="3C7F127F"/>
    <w:rsid w:val="3C8525B4"/>
    <w:rsid w:val="3C8DF407"/>
    <w:rsid w:val="3C9093B8"/>
    <w:rsid w:val="3C92F8B6"/>
    <w:rsid w:val="3C9659B2"/>
    <w:rsid w:val="3CB2BE50"/>
    <w:rsid w:val="3CB4AE6B"/>
    <w:rsid w:val="3CB7257D"/>
    <w:rsid w:val="3CBA6AA8"/>
    <w:rsid w:val="3CBAFF7B"/>
    <w:rsid w:val="3CBBC19A"/>
    <w:rsid w:val="3CBBF334"/>
    <w:rsid w:val="3CBCCB95"/>
    <w:rsid w:val="3CC67376"/>
    <w:rsid w:val="3CC7DC9A"/>
    <w:rsid w:val="3CCAC697"/>
    <w:rsid w:val="3CDA84D3"/>
    <w:rsid w:val="3CDA8AA5"/>
    <w:rsid w:val="3CE372A3"/>
    <w:rsid w:val="3CE84FAA"/>
    <w:rsid w:val="3CED5D08"/>
    <w:rsid w:val="3CF68012"/>
    <w:rsid w:val="3CF8F938"/>
    <w:rsid w:val="3CF98A16"/>
    <w:rsid w:val="3CFCDDB8"/>
    <w:rsid w:val="3D01448E"/>
    <w:rsid w:val="3D0617F4"/>
    <w:rsid w:val="3D086873"/>
    <w:rsid w:val="3D090C85"/>
    <w:rsid w:val="3D0E14D1"/>
    <w:rsid w:val="3D126293"/>
    <w:rsid w:val="3D1A6F9C"/>
    <w:rsid w:val="3D1C559C"/>
    <w:rsid w:val="3D1CAA1F"/>
    <w:rsid w:val="3D21604C"/>
    <w:rsid w:val="3D26285B"/>
    <w:rsid w:val="3D267056"/>
    <w:rsid w:val="3D2773D5"/>
    <w:rsid w:val="3D2928D6"/>
    <w:rsid w:val="3D2E8A88"/>
    <w:rsid w:val="3D302493"/>
    <w:rsid w:val="3D32205E"/>
    <w:rsid w:val="3D34DFF1"/>
    <w:rsid w:val="3D38FF75"/>
    <w:rsid w:val="3D3FABA4"/>
    <w:rsid w:val="3D41BE5B"/>
    <w:rsid w:val="3D45086E"/>
    <w:rsid w:val="3D4841C3"/>
    <w:rsid w:val="3D4D5F62"/>
    <w:rsid w:val="3D53EFBA"/>
    <w:rsid w:val="3D53F0EE"/>
    <w:rsid w:val="3D5495AC"/>
    <w:rsid w:val="3D57A511"/>
    <w:rsid w:val="3D5DD027"/>
    <w:rsid w:val="3D612B7A"/>
    <w:rsid w:val="3D627E79"/>
    <w:rsid w:val="3D63D4C9"/>
    <w:rsid w:val="3D641110"/>
    <w:rsid w:val="3D64B868"/>
    <w:rsid w:val="3D6BFB3F"/>
    <w:rsid w:val="3D6E55F6"/>
    <w:rsid w:val="3D7337A2"/>
    <w:rsid w:val="3D75BAB2"/>
    <w:rsid w:val="3D7AD409"/>
    <w:rsid w:val="3D82A3E3"/>
    <w:rsid w:val="3D85F523"/>
    <w:rsid w:val="3D894155"/>
    <w:rsid w:val="3D8F7377"/>
    <w:rsid w:val="3D905BAE"/>
    <w:rsid w:val="3D907E9B"/>
    <w:rsid w:val="3D93909F"/>
    <w:rsid w:val="3D9F836A"/>
    <w:rsid w:val="3DA1A557"/>
    <w:rsid w:val="3DA66236"/>
    <w:rsid w:val="3DA7F5E9"/>
    <w:rsid w:val="3DADB34B"/>
    <w:rsid w:val="3DAEF6C7"/>
    <w:rsid w:val="3DB1FA5C"/>
    <w:rsid w:val="3DB2FCF1"/>
    <w:rsid w:val="3DB52578"/>
    <w:rsid w:val="3DB780AB"/>
    <w:rsid w:val="3DB7A1FA"/>
    <w:rsid w:val="3DBAFB70"/>
    <w:rsid w:val="3DBBC703"/>
    <w:rsid w:val="3DBD0186"/>
    <w:rsid w:val="3DC9BF70"/>
    <w:rsid w:val="3DCAEEB7"/>
    <w:rsid w:val="3DCDEB64"/>
    <w:rsid w:val="3DD0964B"/>
    <w:rsid w:val="3DD530E5"/>
    <w:rsid w:val="3DDCEB75"/>
    <w:rsid w:val="3DE8B847"/>
    <w:rsid w:val="3DEAF5D9"/>
    <w:rsid w:val="3DEBE2AE"/>
    <w:rsid w:val="3DEE433E"/>
    <w:rsid w:val="3DEFA8FD"/>
    <w:rsid w:val="3DF1541B"/>
    <w:rsid w:val="3DF16A54"/>
    <w:rsid w:val="3DF237C7"/>
    <w:rsid w:val="3DF50A41"/>
    <w:rsid w:val="3DF7E21D"/>
    <w:rsid w:val="3DFC0AAA"/>
    <w:rsid w:val="3DFCBF09"/>
    <w:rsid w:val="3E00A5B8"/>
    <w:rsid w:val="3E01F3C5"/>
    <w:rsid w:val="3E047497"/>
    <w:rsid w:val="3E0C726E"/>
    <w:rsid w:val="3E11624C"/>
    <w:rsid w:val="3E1513FF"/>
    <w:rsid w:val="3E15675D"/>
    <w:rsid w:val="3E17FE05"/>
    <w:rsid w:val="3E19303C"/>
    <w:rsid w:val="3E20A3EA"/>
    <w:rsid w:val="3E215EB3"/>
    <w:rsid w:val="3E2988E1"/>
    <w:rsid w:val="3E2D4DD5"/>
    <w:rsid w:val="3E2EBCD8"/>
    <w:rsid w:val="3E311DC3"/>
    <w:rsid w:val="3E360E77"/>
    <w:rsid w:val="3E384757"/>
    <w:rsid w:val="3E411142"/>
    <w:rsid w:val="3E422D91"/>
    <w:rsid w:val="3E525C96"/>
    <w:rsid w:val="3E577285"/>
    <w:rsid w:val="3E58ED61"/>
    <w:rsid w:val="3E5C2F34"/>
    <w:rsid w:val="3E66BE44"/>
    <w:rsid w:val="3E66E849"/>
    <w:rsid w:val="3E6FB7CB"/>
    <w:rsid w:val="3E73AF77"/>
    <w:rsid w:val="3E75DE2A"/>
    <w:rsid w:val="3E86649D"/>
    <w:rsid w:val="3E8BBE1D"/>
    <w:rsid w:val="3E8C6CEE"/>
    <w:rsid w:val="3E8EE34D"/>
    <w:rsid w:val="3E8F7B12"/>
    <w:rsid w:val="3E92B2B9"/>
    <w:rsid w:val="3E979442"/>
    <w:rsid w:val="3E9AB3A2"/>
    <w:rsid w:val="3E9B116F"/>
    <w:rsid w:val="3EA0FBDC"/>
    <w:rsid w:val="3EA45855"/>
    <w:rsid w:val="3EA8088A"/>
    <w:rsid w:val="3EAAB91F"/>
    <w:rsid w:val="3EAC871D"/>
    <w:rsid w:val="3EAD0311"/>
    <w:rsid w:val="3EB4B6CA"/>
    <w:rsid w:val="3EB702B4"/>
    <w:rsid w:val="3EBA5D9F"/>
    <w:rsid w:val="3EBB81BF"/>
    <w:rsid w:val="3EC5E128"/>
    <w:rsid w:val="3ECA83C5"/>
    <w:rsid w:val="3ECB3957"/>
    <w:rsid w:val="3ED5C581"/>
    <w:rsid w:val="3ED6F7D2"/>
    <w:rsid w:val="3EDDFCBC"/>
    <w:rsid w:val="3EE09CAF"/>
    <w:rsid w:val="3EE1D729"/>
    <w:rsid w:val="3EE291F2"/>
    <w:rsid w:val="3EE2BBB6"/>
    <w:rsid w:val="3EE61A2B"/>
    <w:rsid w:val="3EE9946A"/>
    <w:rsid w:val="3EEA1E63"/>
    <w:rsid w:val="3EEBD439"/>
    <w:rsid w:val="3EF0DA50"/>
    <w:rsid w:val="3EF381B5"/>
    <w:rsid w:val="3EF4DB2F"/>
    <w:rsid w:val="3EF6BD0C"/>
    <w:rsid w:val="3EF81214"/>
    <w:rsid w:val="3EF9881A"/>
    <w:rsid w:val="3EFEA605"/>
    <w:rsid w:val="3F0146F9"/>
    <w:rsid w:val="3F05C555"/>
    <w:rsid w:val="3F15D538"/>
    <w:rsid w:val="3F160D99"/>
    <w:rsid w:val="3F1FD097"/>
    <w:rsid w:val="3F30A740"/>
    <w:rsid w:val="3F36133D"/>
    <w:rsid w:val="3F39EB97"/>
    <w:rsid w:val="3F44C505"/>
    <w:rsid w:val="3F5001A1"/>
    <w:rsid w:val="3F5027CC"/>
    <w:rsid w:val="3F50EF3C"/>
    <w:rsid w:val="3F5627FB"/>
    <w:rsid w:val="3F5BC80E"/>
    <w:rsid w:val="3F5F7744"/>
    <w:rsid w:val="3F5FCF6E"/>
    <w:rsid w:val="3F6583B8"/>
    <w:rsid w:val="3F6F4002"/>
    <w:rsid w:val="3F733F2A"/>
    <w:rsid w:val="3F7376EE"/>
    <w:rsid w:val="3F75620A"/>
    <w:rsid w:val="3F7788B2"/>
    <w:rsid w:val="3F779C21"/>
    <w:rsid w:val="3F7D046C"/>
    <w:rsid w:val="3F7E64CA"/>
    <w:rsid w:val="3F7F4D89"/>
    <w:rsid w:val="3F8DA2CB"/>
    <w:rsid w:val="3F9DAED4"/>
    <w:rsid w:val="3FA2EE11"/>
    <w:rsid w:val="3FA3A810"/>
    <w:rsid w:val="3FA59421"/>
    <w:rsid w:val="3FA8505E"/>
    <w:rsid w:val="3FAB60FC"/>
    <w:rsid w:val="3FAC6935"/>
    <w:rsid w:val="3FB9AD53"/>
    <w:rsid w:val="3FCBCE89"/>
    <w:rsid w:val="3FCDBC8A"/>
    <w:rsid w:val="3FCDFDC8"/>
    <w:rsid w:val="3FCFC92F"/>
    <w:rsid w:val="3FD51716"/>
    <w:rsid w:val="3FD7BB83"/>
    <w:rsid w:val="3FDA6205"/>
    <w:rsid w:val="3FDEF2A5"/>
    <w:rsid w:val="3FDF3BB2"/>
    <w:rsid w:val="3FE33D67"/>
    <w:rsid w:val="3FE64D9C"/>
    <w:rsid w:val="3FEC49CC"/>
    <w:rsid w:val="3FECD199"/>
    <w:rsid w:val="3FF08682"/>
    <w:rsid w:val="3FF12DA6"/>
    <w:rsid w:val="3FF15E56"/>
    <w:rsid w:val="3FF54E11"/>
    <w:rsid w:val="3FF83F05"/>
    <w:rsid w:val="3FF92671"/>
    <w:rsid w:val="3FFF3570"/>
    <w:rsid w:val="4001CA28"/>
    <w:rsid w:val="40028367"/>
    <w:rsid w:val="4011AD1F"/>
    <w:rsid w:val="40130D06"/>
    <w:rsid w:val="40195ED3"/>
    <w:rsid w:val="401B4F13"/>
    <w:rsid w:val="401E12AB"/>
    <w:rsid w:val="4025767C"/>
    <w:rsid w:val="4030C2BD"/>
    <w:rsid w:val="403EFC91"/>
    <w:rsid w:val="40423B9F"/>
    <w:rsid w:val="40447483"/>
    <w:rsid w:val="404D2682"/>
    <w:rsid w:val="404FC31A"/>
    <w:rsid w:val="405239E6"/>
    <w:rsid w:val="4056100E"/>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9729"/>
    <w:rsid w:val="40856EFD"/>
    <w:rsid w:val="40879AEE"/>
    <w:rsid w:val="408AE20F"/>
    <w:rsid w:val="408B2524"/>
    <w:rsid w:val="408ED2F1"/>
    <w:rsid w:val="408F572F"/>
    <w:rsid w:val="4095A4EE"/>
    <w:rsid w:val="409BB13E"/>
    <w:rsid w:val="40A00419"/>
    <w:rsid w:val="40A2C9C6"/>
    <w:rsid w:val="40ADFD77"/>
    <w:rsid w:val="40B20904"/>
    <w:rsid w:val="40B63CF7"/>
    <w:rsid w:val="40B64CEE"/>
    <w:rsid w:val="40B668F4"/>
    <w:rsid w:val="40BC8B4B"/>
    <w:rsid w:val="40BED862"/>
    <w:rsid w:val="40C0C564"/>
    <w:rsid w:val="40C333C1"/>
    <w:rsid w:val="40C3AFB2"/>
    <w:rsid w:val="40C515C1"/>
    <w:rsid w:val="40C9CC18"/>
    <w:rsid w:val="40CCC4B5"/>
    <w:rsid w:val="40CE6261"/>
    <w:rsid w:val="40CF9DD4"/>
    <w:rsid w:val="40D18EB8"/>
    <w:rsid w:val="40D50CCE"/>
    <w:rsid w:val="40E1604C"/>
    <w:rsid w:val="40E49347"/>
    <w:rsid w:val="40E68F65"/>
    <w:rsid w:val="40E6D33E"/>
    <w:rsid w:val="40F33950"/>
    <w:rsid w:val="40F4F536"/>
    <w:rsid w:val="40F6E4E2"/>
    <w:rsid w:val="40FF25E2"/>
    <w:rsid w:val="41064847"/>
    <w:rsid w:val="41085938"/>
    <w:rsid w:val="410AAC61"/>
    <w:rsid w:val="410BC2BE"/>
    <w:rsid w:val="410D920F"/>
    <w:rsid w:val="410EC65B"/>
    <w:rsid w:val="41144A0A"/>
    <w:rsid w:val="41166ECE"/>
    <w:rsid w:val="412B547C"/>
    <w:rsid w:val="412DA491"/>
    <w:rsid w:val="412F9A6A"/>
    <w:rsid w:val="412FA9F8"/>
    <w:rsid w:val="4136C13E"/>
    <w:rsid w:val="414329D0"/>
    <w:rsid w:val="41452241"/>
    <w:rsid w:val="414D43F1"/>
    <w:rsid w:val="4150F364"/>
    <w:rsid w:val="41555F7E"/>
    <w:rsid w:val="41605FDE"/>
    <w:rsid w:val="4161B8DB"/>
    <w:rsid w:val="4163AB07"/>
    <w:rsid w:val="416B9C36"/>
    <w:rsid w:val="416D8725"/>
    <w:rsid w:val="41739CFB"/>
    <w:rsid w:val="41767B31"/>
    <w:rsid w:val="41825E47"/>
    <w:rsid w:val="418A3156"/>
    <w:rsid w:val="418B8FF2"/>
    <w:rsid w:val="418DC2B1"/>
    <w:rsid w:val="418F9277"/>
    <w:rsid w:val="419013D2"/>
    <w:rsid w:val="4195F2CE"/>
    <w:rsid w:val="419A40DD"/>
    <w:rsid w:val="41A300BF"/>
    <w:rsid w:val="41A33388"/>
    <w:rsid w:val="41A6711D"/>
    <w:rsid w:val="41AB9D76"/>
    <w:rsid w:val="41AC1C54"/>
    <w:rsid w:val="41B0F365"/>
    <w:rsid w:val="41B30E58"/>
    <w:rsid w:val="41B3AACD"/>
    <w:rsid w:val="41B85E38"/>
    <w:rsid w:val="41C02480"/>
    <w:rsid w:val="41CF1145"/>
    <w:rsid w:val="41CF54B9"/>
    <w:rsid w:val="41D62688"/>
    <w:rsid w:val="41DE1922"/>
    <w:rsid w:val="41DFD7BD"/>
    <w:rsid w:val="41E02EC8"/>
    <w:rsid w:val="41E1366B"/>
    <w:rsid w:val="41E70006"/>
    <w:rsid w:val="41EA3C3A"/>
    <w:rsid w:val="41EB9553"/>
    <w:rsid w:val="41EDCEE5"/>
    <w:rsid w:val="41F43881"/>
    <w:rsid w:val="41F48C04"/>
    <w:rsid w:val="41FA4C07"/>
    <w:rsid w:val="41FE03C6"/>
    <w:rsid w:val="41FEC196"/>
    <w:rsid w:val="42001560"/>
    <w:rsid w:val="4206AC09"/>
    <w:rsid w:val="420C3FD6"/>
    <w:rsid w:val="420C6CF6"/>
    <w:rsid w:val="42133465"/>
    <w:rsid w:val="421FA779"/>
    <w:rsid w:val="42211042"/>
    <w:rsid w:val="4222EA1F"/>
    <w:rsid w:val="42279983"/>
    <w:rsid w:val="422E413C"/>
    <w:rsid w:val="423305FC"/>
    <w:rsid w:val="4237636A"/>
    <w:rsid w:val="423980AC"/>
    <w:rsid w:val="423C9258"/>
    <w:rsid w:val="423E8313"/>
    <w:rsid w:val="424C1FB5"/>
    <w:rsid w:val="42538040"/>
    <w:rsid w:val="42596E85"/>
    <w:rsid w:val="4260F37D"/>
    <w:rsid w:val="426199C0"/>
    <w:rsid w:val="4262B4C3"/>
    <w:rsid w:val="4265F052"/>
    <w:rsid w:val="426FAC0F"/>
    <w:rsid w:val="4271F2BB"/>
    <w:rsid w:val="42750CCE"/>
    <w:rsid w:val="4275FF7D"/>
    <w:rsid w:val="427914B4"/>
    <w:rsid w:val="4279FDD3"/>
    <w:rsid w:val="428B3D12"/>
    <w:rsid w:val="428B4817"/>
    <w:rsid w:val="428B6EEB"/>
    <w:rsid w:val="428E0F14"/>
    <w:rsid w:val="428FDAF5"/>
    <w:rsid w:val="4291D08F"/>
    <w:rsid w:val="4292B543"/>
    <w:rsid w:val="4295FC70"/>
    <w:rsid w:val="429A6861"/>
    <w:rsid w:val="429C9393"/>
    <w:rsid w:val="429D0AA5"/>
    <w:rsid w:val="42A73771"/>
    <w:rsid w:val="42A7B098"/>
    <w:rsid w:val="42ABA69B"/>
    <w:rsid w:val="42ABF3D9"/>
    <w:rsid w:val="42ADF2CA"/>
    <w:rsid w:val="42AEF9E7"/>
    <w:rsid w:val="42B08F21"/>
    <w:rsid w:val="42B31A2D"/>
    <w:rsid w:val="42B5275A"/>
    <w:rsid w:val="42B64C92"/>
    <w:rsid w:val="42B8459A"/>
    <w:rsid w:val="42BDABFE"/>
    <w:rsid w:val="42C4D0DF"/>
    <w:rsid w:val="42C9FB84"/>
    <w:rsid w:val="42D4F685"/>
    <w:rsid w:val="42D84013"/>
    <w:rsid w:val="42D9836A"/>
    <w:rsid w:val="42DE64F8"/>
    <w:rsid w:val="42E806B5"/>
    <w:rsid w:val="42EBA471"/>
    <w:rsid w:val="42F2F17F"/>
    <w:rsid w:val="42F3B46C"/>
    <w:rsid w:val="42F5B1EF"/>
    <w:rsid w:val="42F63775"/>
    <w:rsid w:val="42F68C14"/>
    <w:rsid w:val="42FFFEE6"/>
    <w:rsid w:val="43005C2C"/>
    <w:rsid w:val="43012BC1"/>
    <w:rsid w:val="4302FD60"/>
    <w:rsid w:val="430323C3"/>
    <w:rsid w:val="43073173"/>
    <w:rsid w:val="4307F512"/>
    <w:rsid w:val="430851EC"/>
    <w:rsid w:val="43098B02"/>
    <w:rsid w:val="430D7865"/>
    <w:rsid w:val="4313D17F"/>
    <w:rsid w:val="43150967"/>
    <w:rsid w:val="43174D82"/>
    <w:rsid w:val="431F0F98"/>
    <w:rsid w:val="4327D380"/>
    <w:rsid w:val="432946B4"/>
    <w:rsid w:val="432A9119"/>
    <w:rsid w:val="432CCAF2"/>
    <w:rsid w:val="432CFE26"/>
    <w:rsid w:val="432FF9E9"/>
    <w:rsid w:val="433035B7"/>
    <w:rsid w:val="4331A3BF"/>
    <w:rsid w:val="433CBFE6"/>
    <w:rsid w:val="433E3E79"/>
    <w:rsid w:val="43426E87"/>
    <w:rsid w:val="434436EE"/>
    <w:rsid w:val="434CD1AD"/>
    <w:rsid w:val="4352B887"/>
    <w:rsid w:val="43578915"/>
    <w:rsid w:val="4358C2BE"/>
    <w:rsid w:val="435943B7"/>
    <w:rsid w:val="43674401"/>
    <w:rsid w:val="436914D4"/>
    <w:rsid w:val="4369422B"/>
    <w:rsid w:val="436AE327"/>
    <w:rsid w:val="436F7CED"/>
    <w:rsid w:val="437086BA"/>
    <w:rsid w:val="438130F5"/>
    <w:rsid w:val="43845444"/>
    <w:rsid w:val="4384E853"/>
    <w:rsid w:val="43885501"/>
    <w:rsid w:val="4388ADDD"/>
    <w:rsid w:val="4389E9B1"/>
    <w:rsid w:val="438E4542"/>
    <w:rsid w:val="439118D6"/>
    <w:rsid w:val="439961B5"/>
    <w:rsid w:val="43A37889"/>
    <w:rsid w:val="43A55741"/>
    <w:rsid w:val="43A7E258"/>
    <w:rsid w:val="43A8AE20"/>
    <w:rsid w:val="43B096EA"/>
    <w:rsid w:val="43B86011"/>
    <w:rsid w:val="43C1B06A"/>
    <w:rsid w:val="43C4DCBC"/>
    <w:rsid w:val="43C6C331"/>
    <w:rsid w:val="43CB6AB6"/>
    <w:rsid w:val="43CF46DC"/>
    <w:rsid w:val="43CF857F"/>
    <w:rsid w:val="43D3289E"/>
    <w:rsid w:val="43D7311A"/>
    <w:rsid w:val="43DD6BB3"/>
    <w:rsid w:val="43DF3633"/>
    <w:rsid w:val="43E995D2"/>
    <w:rsid w:val="43F2F94E"/>
    <w:rsid w:val="43F38D08"/>
    <w:rsid w:val="43F3A0E3"/>
    <w:rsid w:val="43F3D129"/>
    <w:rsid w:val="43FDE2B7"/>
    <w:rsid w:val="43FF852B"/>
    <w:rsid w:val="440C529A"/>
    <w:rsid w:val="440E6C2E"/>
    <w:rsid w:val="4415C667"/>
    <w:rsid w:val="4418CCAF"/>
    <w:rsid w:val="4419E10C"/>
    <w:rsid w:val="442B02D0"/>
    <w:rsid w:val="442B6BEA"/>
    <w:rsid w:val="4438AF09"/>
    <w:rsid w:val="444385CA"/>
    <w:rsid w:val="444465CD"/>
    <w:rsid w:val="444C3B59"/>
    <w:rsid w:val="444DEF74"/>
    <w:rsid w:val="444F0DCC"/>
    <w:rsid w:val="44519229"/>
    <w:rsid w:val="445BBF13"/>
    <w:rsid w:val="445F9980"/>
    <w:rsid w:val="44600AC0"/>
    <w:rsid w:val="4466D2B0"/>
    <w:rsid w:val="44688E12"/>
    <w:rsid w:val="44697850"/>
    <w:rsid w:val="446BAC55"/>
    <w:rsid w:val="44736D72"/>
    <w:rsid w:val="4481BCD0"/>
    <w:rsid w:val="4486761E"/>
    <w:rsid w:val="448F63FD"/>
    <w:rsid w:val="44947CE2"/>
    <w:rsid w:val="44956F9C"/>
    <w:rsid w:val="44978E8F"/>
    <w:rsid w:val="449A960E"/>
    <w:rsid w:val="449C8FBB"/>
    <w:rsid w:val="449F1CEE"/>
    <w:rsid w:val="449FB169"/>
    <w:rsid w:val="44A46E2D"/>
    <w:rsid w:val="44A921BF"/>
    <w:rsid w:val="44AB1B73"/>
    <w:rsid w:val="44AD4182"/>
    <w:rsid w:val="44AFF94D"/>
    <w:rsid w:val="44B6958F"/>
    <w:rsid w:val="44B7D829"/>
    <w:rsid w:val="44BB6F69"/>
    <w:rsid w:val="44BC4D60"/>
    <w:rsid w:val="44BD457D"/>
    <w:rsid w:val="44C6707A"/>
    <w:rsid w:val="44D1ECE3"/>
    <w:rsid w:val="44D668AD"/>
    <w:rsid w:val="44DB24D6"/>
    <w:rsid w:val="44E53A54"/>
    <w:rsid w:val="44E66AD4"/>
    <w:rsid w:val="44EE8EC3"/>
    <w:rsid w:val="44F39227"/>
    <w:rsid w:val="44F7E84B"/>
    <w:rsid w:val="44F7F96B"/>
    <w:rsid w:val="44FC855A"/>
    <w:rsid w:val="4501B228"/>
    <w:rsid w:val="45023EEB"/>
    <w:rsid w:val="45054FC9"/>
    <w:rsid w:val="4509583B"/>
    <w:rsid w:val="450B6662"/>
    <w:rsid w:val="450D0E67"/>
    <w:rsid w:val="450D9679"/>
    <w:rsid w:val="451071ED"/>
    <w:rsid w:val="451242D2"/>
    <w:rsid w:val="45144F36"/>
    <w:rsid w:val="451617A3"/>
    <w:rsid w:val="45185124"/>
    <w:rsid w:val="451A52A6"/>
    <w:rsid w:val="452056F6"/>
    <w:rsid w:val="452D0DA2"/>
    <w:rsid w:val="4530D31F"/>
    <w:rsid w:val="45315AC0"/>
    <w:rsid w:val="4531A402"/>
    <w:rsid w:val="4534A762"/>
    <w:rsid w:val="453549D6"/>
    <w:rsid w:val="453FE6DA"/>
    <w:rsid w:val="4543B2B9"/>
    <w:rsid w:val="4543F29B"/>
    <w:rsid w:val="45491601"/>
    <w:rsid w:val="454DC894"/>
    <w:rsid w:val="454EAC30"/>
    <w:rsid w:val="454FFCB9"/>
    <w:rsid w:val="45512E89"/>
    <w:rsid w:val="455268FE"/>
    <w:rsid w:val="4556A263"/>
    <w:rsid w:val="45570F06"/>
    <w:rsid w:val="455E5C32"/>
    <w:rsid w:val="4561E960"/>
    <w:rsid w:val="456303B3"/>
    <w:rsid w:val="45635FDA"/>
    <w:rsid w:val="456503A6"/>
    <w:rsid w:val="45666F9E"/>
    <w:rsid w:val="456720D0"/>
    <w:rsid w:val="456768FE"/>
    <w:rsid w:val="456FA676"/>
    <w:rsid w:val="4575D795"/>
    <w:rsid w:val="458E0154"/>
    <w:rsid w:val="4590C3C3"/>
    <w:rsid w:val="4595E71B"/>
    <w:rsid w:val="459E99E3"/>
    <w:rsid w:val="459F3F8D"/>
    <w:rsid w:val="45A557C0"/>
    <w:rsid w:val="45A8EE41"/>
    <w:rsid w:val="45AE26A5"/>
    <w:rsid w:val="45B231C3"/>
    <w:rsid w:val="45B25E69"/>
    <w:rsid w:val="45B487B6"/>
    <w:rsid w:val="45B6B00F"/>
    <w:rsid w:val="45BAF5B0"/>
    <w:rsid w:val="45C28E05"/>
    <w:rsid w:val="45C759E6"/>
    <w:rsid w:val="45C891A4"/>
    <w:rsid w:val="45CDFDB3"/>
    <w:rsid w:val="45D00EDD"/>
    <w:rsid w:val="45D2A1C0"/>
    <w:rsid w:val="45D39C14"/>
    <w:rsid w:val="45D3CA86"/>
    <w:rsid w:val="45D778D8"/>
    <w:rsid w:val="45DEB8B3"/>
    <w:rsid w:val="45DF81DA"/>
    <w:rsid w:val="45DFA90B"/>
    <w:rsid w:val="45E0643A"/>
    <w:rsid w:val="45E27179"/>
    <w:rsid w:val="45E920EE"/>
    <w:rsid w:val="45EE8C5D"/>
    <w:rsid w:val="45EF08D4"/>
    <w:rsid w:val="45F21760"/>
    <w:rsid w:val="45FB0959"/>
    <w:rsid w:val="45FB1903"/>
    <w:rsid w:val="45FF36BB"/>
    <w:rsid w:val="45FF9336"/>
    <w:rsid w:val="46020BAE"/>
    <w:rsid w:val="4603EB57"/>
    <w:rsid w:val="4603F90C"/>
    <w:rsid w:val="46056A94"/>
    <w:rsid w:val="46056F5E"/>
    <w:rsid w:val="4608CFCC"/>
    <w:rsid w:val="4610C148"/>
    <w:rsid w:val="46164485"/>
    <w:rsid w:val="461975ED"/>
    <w:rsid w:val="4620A7B1"/>
    <w:rsid w:val="4624A983"/>
    <w:rsid w:val="462F3914"/>
    <w:rsid w:val="4630C6B6"/>
    <w:rsid w:val="46332F9A"/>
    <w:rsid w:val="46364EA8"/>
    <w:rsid w:val="463A32B3"/>
    <w:rsid w:val="463A7B4E"/>
    <w:rsid w:val="463D01A2"/>
    <w:rsid w:val="4640C577"/>
    <w:rsid w:val="46420CED"/>
    <w:rsid w:val="464A2A79"/>
    <w:rsid w:val="464C8C56"/>
    <w:rsid w:val="464E41A8"/>
    <w:rsid w:val="464F02DC"/>
    <w:rsid w:val="46534534"/>
    <w:rsid w:val="4654DF9D"/>
    <w:rsid w:val="46564C86"/>
    <w:rsid w:val="465A385A"/>
    <w:rsid w:val="465D182C"/>
    <w:rsid w:val="465F817B"/>
    <w:rsid w:val="466457F9"/>
    <w:rsid w:val="4666C7F5"/>
    <w:rsid w:val="466785C9"/>
    <w:rsid w:val="4679DF2C"/>
    <w:rsid w:val="467A9D6A"/>
    <w:rsid w:val="46843FC0"/>
    <w:rsid w:val="46858800"/>
    <w:rsid w:val="46864946"/>
    <w:rsid w:val="468661BC"/>
    <w:rsid w:val="4695263D"/>
    <w:rsid w:val="469D3D53"/>
    <w:rsid w:val="46A02E7C"/>
    <w:rsid w:val="46A6D8FC"/>
    <w:rsid w:val="46A81493"/>
    <w:rsid w:val="46B09F9B"/>
    <w:rsid w:val="46B3531F"/>
    <w:rsid w:val="46BDBBF7"/>
    <w:rsid w:val="46BEB621"/>
    <w:rsid w:val="46BFD3B9"/>
    <w:rsid w:val="46CA4691"/>
    <w:rsid w:val="46CABDA2"/>
    <w:rsid w:val="46D5885F"/>
    <w:rsid w:val="46D89B3C"/>
    <w:rsid w:val="46E02C9C"/>
    <w:rsid w:val="46E2E394"/>
    <w:rsid w:val="46E36B09"/>
    <w:rsid w:val="46E77B7F"/>
    <w:rsid w:val="46E8731A"/>
    <w:rsid w:val="46E9D3AD"/>
    <w:rsid w:val="46EF778F"/>
    <w:rsid w:val="46F0C45F"/>
    <w:rsid w:val="46F11280"/>
    <w:rsid w:val="46F18236"/>
    <w:rsid w:val="46F2E4A6"/>
    <w:rsid w:val="46F40B95"/>
    <w:rsid w:val="46F54B37"/>
    <w:rsid w:val="46FEEE7E"/>
    <w:rsid w:val="46FF31BA"/>
    <w:rsid w:val="470D0E59"/>
    <w:rsid w:val="470D286E"/>
    <w:rsid w:val="470F0752"/>
    <w:rsid w:val="4712AB22"/>
    <w:rsid w:val="471424D4"/>
    <w:rsid w:val="471496DF"/>
    <w:rsid w:val="471D5DD5"/>
    <w:rsid w:val="4723F51F"/>
    <w:rsid w:val="4725E519"/>
    <w:rsid w:val="47268D9A"/>
    <w:rsid w:val="472700A6"/>
    <w:rsid w:val="472AEEB0"/>
    <w:rsid w:val="4732DE89"/>
    <w:rsid w:val="4739A9CE"/>
    <w:rsid w:val="473F3A5F"/>
    <w:rsid w:val="47473755"/>
    <w:rsid w:val="474A91A3"/>
    <w:rsid w:val="474BDECC"/>
    <w:rsid w:val="474D8E51"/>
    <w:rsid w:val="4752C0FA"/>
    <w:rsid w:val="475606BB"/>
    <w:rsid w:val="4756564C"/>
    <w:rsid w:val="4756D1F8"/>
    <w:rsid w:val="475701DF"/>
    <w:rsid w:val="47602166"/>
    <w:rsid w:val="476EE0BD"/>
    <w:rsid w:val="47737F79"/>
    <w:rsid w:val="4773EFD6"/>
    <w:rsid w:val="4774E692"/>
    <w:rsid w:val="477C095A"/>
    <w:rsid w:val="477DC528"/>
    <w:rsid w:val="477E067C"/>
    <w:rsid w:val="47882D69"/>
    <w:rsid w:val="4798C559"/>
    <w:rsid w:val="479F1633"/>
    <w:rsid w:val="479FB6AC"/>
    <w:rsid w:val="47A686C0"/>
    <w:rsid w:val="47B2E4F3"/>
    <w:rsid w:val="47B34EDF"/>
    <w:rsid w:val="47B3A5CD"/>
    <w:rsid w:val="47BF81FC"/>
    <w:rsid w:val="47C3CB6C"/>
    <w:rsid w:val="47C400AE"/>
    <w:rsid w:val="47C49CBC"/>
    <w:rsid w:val="47C522CE"/>
    <w:rsid w:val="47D0A9C7"/>
    <w:rsid w:val="47E0F557"/>
    <w:rsid w:val="47EB1100"/>
    <w:rsid w:val="47EC5697"/>
    <w:rsid w:val="47EFB999"/>
    <w:rsid w:val="47FA1358"/>
    <w:rsid w:val="48090D32"/>
    <w:rsid w:val="480DB4F5"/>
    <w:rsid w:val="480F09A8"/>
    <w:rsid w:val="4810792E"/>
    <w:rsid w:val="481158C6"/>
    <w:rsid w:val="4816B0F7"/>
    <w:rsid w:val="481AE599"/>
    <w:rsid w:val="481BF7EE"/>
    <w:rsid w:val="48224B7D"/>
    <w:rsid w:val="48275283"/>
    <w:rsid w:val="482DA7B7"/>
    <w:rsid w:val="482F7B46"/>
    <w:rsid w:val="483FC320"/>
    <w:rsid w:val="48409541"/>
    <w:rsid w:val="4841D0BE"/>
    <w:rsid w:val="484348A3"/>
    <w:rsid w:val="4844B0C7"/>
    <w:rsid w:val="484728EA"/>
    <w:rsid w:val="48483638"/>
    <w:rsid w:val="484A8AA0"/>
    <w:rsid w:val="484A9EC9"/>
    <w:rsid w:val="484C2BB6"/>
    <w:rsid w:val="484EB6B4"/>
    <w:rsid w:val="484F0BD6"/>
    <w:rsid w:val="48551B2D"/>
    <w:rsid w:val="485C3E5D"/>
    <w:rsid w:val="485F2F5C"/>
    <w:rsid w:val="486D0F7B"/>
    <w:rsid w:val="4875D034"/>
    <w:rsid w:val="4875E335"/>
    <w:rsid w:val="48767740"/>
    <w:rsid w:val="487AC0DE"/>
    <w:rsid w:val="487E08E8"/>
    <w:rsid w:val="487EF5DA"/>
    <w:rsid w:val="4883CD7B"/>
    <w:rsid w:val="4883FC7A"/>
    <w:rsid w:val="488E430B"/>
    <w:rsid w:val="4895D583"/>
    <w:rsid w:val="48986B4B"/>
    <w:rsid w:val="489CA8D1"/>
    <w:rsid w:val="48A1A96E"/>
    <w:rsid w:val="48A24DE2"/>
    <w:rsid w:val="48A31EE4"/>
    <w:rsid w:val="48A6E920"/>
    <w:rsid w:val="48AC121D"/>
    <w:rsid w:val="48B44044"/>
    <w:rsid w:val="48BDA147"/>
    <w:rsid w:val="48C607FF"/>
    <w:rsid w:val="48C69D15"/>
    <w:rsid w:val="48C75432"/>
    <w:rsid w:val="48CDC95F"/>
    <w:rsid w:val="48CFE49F"/>
    <w:rsid w:val="48D58A68"/>
    <w:rsid w:val="48D5E871"/>
    <w:rsid w:val="48D6AB36"/>
    <w:rsid w:val="48DC473C"/>
    <w:rsid w:val="48E06F0B"/>
    <w:rsid w:val="48E4F5B3"/>
    <w:rsid w:val="48E7C6DB"/>
    <w:rsid w:val="48EB3B9F"/>
    <w:rsid w:val="48F1AB51"/>
    <w:rsid w:val="48F2F038"/>
    <w:rsid w:val="48F819EE"/>
    <w:rsid w:val="4900B4DA"/>
    <w:rsid w:val="490146D7"/>
    <w:rsid w:val="490466EA"/>
    <w:rsid w:val="4904AAAF"/>
    <w:rsid w:val="49064BB2"/>
    <w:rsid w:val="49141DFB"/>
    <w:rsid w:val="49155295"/>
    <w:rsid w:val="491C8953"/>
    <w:rsid w:val="491E9FC5"/>
    <w:rsid w:val="49237D46"/>
    <w:rsid w:val="4926AD43"/>
    <w:rsid w:val="49277382"/>
    <w:rsid w:val="49288923"/>
    <w:rsid w:val="4929AF93"/>
    <w:rsid w:val="492AC513"/>
    <w:rsid w:val="492D7CD2"/>
    <w:rsid w:val="492E442C"/>
    <w:rsid w:val="4938B907"/>
    <w:rsid w:val="49397780"/>
    <w:rsid w:val="493F8AED"/>
    <w:rsid w:val="493FDA2C"/>
    <w:rsid w:val="4948062A"/>
    <w:rsid w:val="4948CAA3"/>
    <w:rsid w:val="49505E8C"/>
    <w:rsid w:val="4954AB70"/>
    <w:rsid w:val="4954CC3B"/>
    <w:rsid w:val="4955699A"/>
    <w:rsid w:val="49585894"/>
    <w:rsid w:val="495A3B16"/>
    <w:rsid w:val="495AC950"/>
    <w:rsid w:val="495B2532"/>
    <w:rsid w:val="495E6472"/>
    <w:rsid w:val="496CA021"/>
    <w:rsid w:val="49725B5F"/>
    <w:rsid w:val="4975EB72"/>
    <w:rsid w:val="49785BA1"/>
    <w:rsid w:val="497AC4EC"/>
    <w:rsid w:val="497CD870"/>
    <w:rsid w:val="497E35FB"/>
    <w:rsid w:val="49823CAB"/>
    <w:rsid w:val="498CAE57"/>
    <w:rsid w:val="498E16ED"/>
    <w:rsid w:val="49907D0E"/>
    <w:rsid w:val="499420DE"/>
    <w:rsid w:val="49973B32"/>
    <w:rsid w:val="49A4B43B"/>
    <w:rsid w:val="49A86736"/>
    <w:rsid w:val="49A8F703"/>
    <w:rsid w:val="49B111E9"/>
    <w:rsid w:val="49B19665"/>
    <w:rsid w:val="49B2C43C"/>
    <w:rsid w:val="49B39FD9"/>
    <w:rsid w:val="49B4CE65"/>
    <w:rsid w:val="49BA05AC"/>
    <w:rsid w:val="49BB0499"/>
    <w:rsid w:val="49BB7CE7"/>
    <w:rsid w:val="49BDE1E4"/>
    <w:rsid w:val="49C36412"/>
    <w:rsid w:val="49C43D88"/>
    <w:rsid w:val="49C4BD3A"/>
    <w:rsid w:val="49CAF92C"/>
    <w:rsid w:val="49CDBA88"/>
    <w:rsid w:val="49D4DE0F"/>
    <w:rsid w:val="49D60B8A"/>
    <w:rsid w:val="49D7820D"/>
    <w:rsid w:val="49D9E6D9"/>
    <w:rsid w:val="49DBE754"/>
    <w:rsid w:val="49DED88C"/>
    <w:rsid w:val="49DFEB5C"/>
    <w:rsid w:val="49E85AEC"/>
    <w:rsid w:val="49E8E56B"/>
    <w:rsid w:val="49F44037"/>
    <w:rsid w:val="49F6C01F"/>
    <w:rsid w:val="4A074D77"/>
    <w:rsid w:val="4A107C97"/>
    <w:rsid w:val="4A10B8EC"/>
    <w:rsid w:val="4A12BB36"/>
    <w:rsid w:val="4A1ACA05"/>
    <w:rsid w:val="4A2209F8"/>
    <w:rsid w:val="4A251BAF"/>
    <w:rsid w:val="4A290DC7"/>
    <w:rsid w:val="4A29E138"/>
    <w:rsid w:val="4A2E307E"/>
    <w:rsid w:val="4A321BDA"/>
    <w:rsid w:val="4A345AF3"/>
    <w:rsid w:val="4A36E8CA"/>
    <w:rsid w:val="4A38D99D"/>
    <w:rsid w:val="4A3D645B"/>
    <w:rsid w:val="4A3F16CA"/>
    <w:rsid w:val="4A43982B"/>
    <w:rsid w:val="4A45FBD9"/>
    <w:rsid w:val="4A520C65"/>
    <w:rsid w:val="4A52AFC7"/>
    <w:rsid w:val="4A58AA66"/>
    <w:rsid w:val="4A5A76CE"/>
    <w:rsid w:val="4A613E86"/>
    <w:rsid w:val="4A6AE5D2"/>
    <w:rsid w:val="4A7770A9"/>
    <w:rsid w:val="4A7B0F13"/>
    <w:rsid w:val="4A7D8B41"/>
    <w:rsid w:val="4A7DA59F"/>
    <w:rsid w:val="4A823B38"/>
    <w:rsid w:val="4A91318D"/>
    <w:rsid w:val="4A929F11"/>
    <w:rsid w:val="4A933261"/>
    <w:rsid w:val="4A94E790"/>
    <w:rsid w:val="4A95336C"/>
    <w:rsid w:val="4A9560C2"/>
    <w:rsid w:val="4A95B77F"/>
    <w:rsid w:val="4A9880D6"/>
    <w:rsid w:val="4A992723"/>
    <w:rsid w:val="4A9FFD99"/>
    <w:rsid w:val="4AA162F0"/>
    <w:rsid w:val="4AA49476"/>
    <w:rsid w:val="4AA94BF3"/>
    <w:rsid w:val="4AAD1408"/>
    <w:rsid w:val="4AAF25E8"/>
    <w:rsid w:val="4AC062B4"/>
    <w:rsid w:val="4AC0E6CD"/>
    <w:rsid w:val="4AC0F7F2"/>
    <w:rsid w:val="4AC4D826"/>
    <w:rsid w:val="4AC58885"/>
    <w:rsid w:val="4AC71E07"/>
    <w:rsid w:val="4AC72E61"/>
    <w:rsid w:val="4AC88972"/>
    <w:rsid w:val="4ACC7BAB"/>
    <w:rsid w:val="4ACE84FD"/>
    <w:rsid w:val="4AD1B42C"/>
    <w:rsid w:val="4AD7AB51"/>
    <w:rsid w:val="4AE1005C"/>
    <w:rsid w:val="4AE17CE9"/>
    <w:rsid w:val="4AE26813"/>
    <w:rsid w:val="4AE3A2CC"/>
    <w:rsid w:val="4AEE1921"/>
    <w:rsid w:val="4AF06CF7"/>
    <w:rsid w:val="4AF08AC9"/>
    <w:rsid w:val="4AF186A1"/>
    <w:rsid w:val="4AF1FB41"/>
    <w:rsid w:val="4AF294B2"/>
    <w:rsid w:val="4AF3A69A"/>
    <w:rsid w:val="4AFBC558"/>
    <w:rsid w:val="4B01B869"/>
    <w:rsid w:val="4B05FF75"/>
    <w:rsid w:val="4B0ABBD3"/>
    <w:rsid w:val="4B12EF37"/>
    <w:rsid w:val="4B1D2238"/>
    <w:rsid w:val="4B2286DB"/>
    <w:rsid w:val="4B23DAFC"/>
    <w:rsid w:val="4B24D8B6"/>
    <w:rsid w:val="4B25AD0E"/>
    <w:rsid w:val="4B271657"/>
    <w:rsid w:val="4B3480F6"/>
    <w:rsid w:val="4B3A456F"/>
    <w:rsid w:val="4B3CF037"/>
    <w:rsid w:val="4B3D814B"/>
    <w:rsid w:val="4B49B6C4"/>
    <w:rsid w:val="4B4D65E2"/>
    <w:rsid w:val="4B4DFEE9"/>
    <w:rsid w:val="4B4FA0A1"/>
    <w:rsid w:val="4B5AB9DA"/>
    <w:rsid w:val="4B651443"/>
    <w:rsid w:val="4B660027"/>
    <w:rsid w:val="4B682A23"/>
    <w:rsid w:val="4B68FC07"/>
    <w:rsid w:val="4B6D07AD"/>
    <w:rsid w:val="4B6DFA3A"/>
    <w:rsid w:val="4B70497F"/>
    <w:rsid w:val="4B73361A"/>
    <w:rsid w:val="4B73B421"/>
    <w:rsid w:val="4B77E837"/>
    <w:rsid w:val="4B7ABDD5"/>
    <w:rsid w:val="4B7FC630"/>
    <w:rsid w:val="4B874D90"/>
    <w:rsid w:val="4B8A3999"/>
    <w:rsid w:val="4B8DBE3C"/>
    <w:rsid w:val="4B910905"/>
    <w:rsid w:val="4B9A3F83"/>
    <w:rsid w:val="4BA3CD81"/>
    <w:rsid w:val="4BA54A89"/>
    <w:rsid w:val="4BA7F0C9"/>
    <w:rsid w:val="4BA8486B"/>
    <w:rsid w:val="4BA869E0"/>
    <w:rsid w:val="4BAAA578"/>
    <w:rsid w:val="4BABA0A9"/>
    <w:rsid w:val="4BAF7F52"/>
    <w:rsid w:val="4BBDD856"/>
    <w:rsid w:val="4BC077C2"/>
    <w:rsid w:val="4BC471DE"/>
    <w:rsid w:val="4BC88789"/>
    <w:rsid w:val="4BCEA5EC"/>
    <w:rsid w:val="4BD5374C"/>
    <w:rsid w:val="4BDD28EF"/>
    <w:rsid w:val="4BDECB71"/>
    <w:rsid w:val="4BE275C6"/>
    <w:rsid w:val="4BE53EBD"/>
    <w:rsid w:val="4BF2B80F"/>
    <w:rsid w:val="4BF2C25D"/>
    <w:rsid w:val="4BF5F3BA"/>
    <w:rsid w:val="4BF94AEC"/>
    <w:rsid w:val="4BF9B5D3"/>
    <w:rsid w:val="4BFAB9E3"/>
    <w:rsid w:val="4C01CC79"/>
    <w:rsid w:val="4C0263A9"/>
    <w:rsid w:val="4C039421"/>
    <w:rsid w:val="4C073D9E"/>
    <w:rsid w:val="4C1096EA"/>
    <w:rsid w:val="4C148E03"/>
    <w:rsid w:val="4C1AA4F0"/>
    <w:rsid w:val="4C1E8958"/>
    <w:rsid w:val="4C200B99"/>
    <w:rsid w:val="4C2828F6"/>
    <w:rsid w:val="4C2C5EE3"/>
    <w:rsid w:val="4C301590"/>
    <w:rsid w:val="4C310B08"/>
    <w:rsid w:val="4C31EC87"/>
    <w:rsid w:val="4C32A8C0"/>
    <w:rsid w:val="4C342D9C"/>
    <w:rsid w:val="4C34F15A"/>
    <w:rsid w:val="4C35C667"/>
    <w:rsid w:val="4C35E3C1"/>
    <w:rsid w:val="4C37A967"/>
    <w:rsid w:val="4C3A7984"/>
    <w:rsid w:val="4C3B23BB"/>
    <w:rsid w:val="4C400C0D"/>
    <w:rsid w:val="4C476F31"/>
    <w:rsid w:val="4C4C0EC2"/>
    <w:rsid w:val="4C4C4FF0"/>
    <w:rsid w:val="4C512F7F"/>
    <w:rsid w:val="4C54A1B6"/>
    <w:rsid w:val="4C571DC7"/>
    <w:rsid w:val="4C5C2DCD"/>
    <w:rsid w:val="4C5ED48A"/>
    <w:rsid w:val="4C690F78"/>
    <w:rsid w:val="4C6BEF72"/>
    <w:rsid w:val="4C6C5B66"/>
    <w:rsid w:val="4C6E4B79"/>
    <w:rsid w:val="4C6E65D2"/>
    <w:rsid w:val="4C7973CD"/>
    <w:rsid w:val="4C79EB60"/>
    <w:rsid w:val="4C7B8A1B"/>
    <w:rsid w:val="4C7BD02A"/>
    <w:rsid w:val="4C7C4CB8"/>
    <w:rsid w:val="4C7EA205"/>
    <w:rsid w:val="4C7F2D48"/>
    <w:rsid w:val="4C8B516C"/>
    <w:rsid w:val="4C972572"/>
    <w:rsid w:val="4C99D5B5"/>
    <w:rsid w:val="4C9BA7F0"/>
    <w:rsid w:val="4CA6259B"/>
    <w:rsid w:val="4CA7DC45"/>
    <w:rsid w:val="4CAC2FDE"/>
    <w:rsid w:val="4CAC7F75"/>
    <w:rsid w:val="4CB554F9"/>
    <w:rsid w:val="4CB9215E"/>
    <w:rsid w:val="4CBA09BB"/>
    <w:rsid w:val="4CC6142B"/>
    <w:rsid w:val="4CCD63C8"/>
    <w:rsid w:val="4CD1C1B4"/>
    <w:rsid w:val="4CD3107A"/>
    <w:rsid w:val="4CD3A883"/>
    <w:rsid w:val="4CD68585"/>
    <w:rsid w:val="4CD80ABC"/>
    <w:rsid w:val="4CE35E6C"/>
    <w:rsid w:val="4CE3A3A9"/>
    <w:rsid w:val="4CE45F63"/>
    <w:rsid w:val="4CE6859A"/>
    <w:rsid w:val="4CED5ACD"/>
    <w:rsid w:val="4CF13B7E"/>
    <w:rsid w:val="4CF5E946"/>
    <w:rsid w:val="4CF8DCD5"/>
    <w:rsid w:val="4CFA1D9E"/>
    <w:rsid w:val="4CFB43C6"/>
    <w:rsid w:val="4CFC1A2D"/>
    <w:rsid w:val="4CFF2AFC"/>
    <w:rsid w:val="4D0051A8"/>
    <w:rsid w:val="4D0136B3"/>
    <w:rsid w:val="4D0326EE"/>
    <w:rsid w:val="4D05251C"/>
    <w:rsid w:val="4D05F625"/>
    <w:rsid w:val="4D0A2853"/>
    <w:rsid w:val="4D1481FA"/>
    <w:rsid w:val="4D15D569"/>
    <w:rsid w:val="4D176754"/>
    <w:rsid w:val="4D1ECC2C"/>
    <w:rsid w:val="4D2D1A05"/>
    <w:rsid w:val="4D2F4A0C"/>
    <w:rsid w:val="4D312C4A"/>
    <w:rsid w:val="4D33241C"/>
    <w:rsid w:val="4D36F2A3"/>
    <w:rsid w:val="4D3998C3"/>
    <w:rsid w:val="4D3F11B4"/>
    <w:rsid w:val="4D41EBA2"/>
    <w:rsid w:val="4D47AB6A"/>
    <w:rsid w:val="4D4A896D"/>
    <w:rsid w:val="4D4D23FA"/>
    <w:rsid w:val="4D53D276"/>
    <w:rsid w:val="4D5473FB"/>
    <w:rsid w:val="4D5553EB"/>
    <w:rsid w:val="4D57FB64"/>
    <w:rsid w:val="4D65D1E2"/>
    <w:rsid w:val="4D67B111"/>
    <w:rsid w:val="4D67F972"/>
    <w:rsid w:val="4D6D09E5"/>
    <w:rsid w:val="4D6E3C15"/>
    <w:rsid w:val="4D6FA621"/>
    <w:rsid w:val="4D720D05"/>
    <w:rsid w:val="4D75BF05"/>
    <w:rsid w:val="4D873ECF"/>
    <w:rsid w:val="4D89AACA"/>
    <w:rsid w:val="4D8ACBCC"/>
    <w:rsid w:val="4D8B209C"/>
    <w:rsid w:val="4D8B8152"/>
    <w:rsid w:val="4D8F1EED"/>
    <w:rsid w:val="4D9069A7"/>
    <w:rsid w:val="4D98B487"/>
    <w:rsid w:val="4DA11CF0"/>
    <w:rsid w:val="4DA647D9"/>
    <w:rsid w:val="4DA8B223"/>
    <w:rsid w:val="4DAAD61B"/>
    <w:rsid w:val="4DBC4AF4"/>
    <w:rsid w:val="4DBD1437"/>
    <w:rsid w:val="4DBD53AF"/>
    <w:rsid w:val="4DBD5960"/>
    <w:rsid w:val="4DC83AD7"/>
    <w:rsid w:val="4DCACDEC"/>
    <w:rsid w:val="4DCB2659"/>
    <w:rsid w:val="4DCF11E0"/>
    <w:rsid w:val="4DCFE9DE"/>
    <w:rsid w:val="4DD650D7"/>
    <w:rsid w:val="4DD8CBAF"/>
    <w:rsid w:val="4DDBA6DC"/>
    <w:rsid w:val="4DDD9C71"/>
    <w:rsid w:val="4DDE0BD1"/>
    <w:rsid w:val="4DDFCCA0"/>
    <w:rsid w:val="4DE114F3"/>
    <w:rsid w:val="4DE16037"/>
    <w:rsid w:val="4DEC7904"/>
    <w:rsid w:val="4DF0ADFC"/>
    <w:rsid w:val="4DF120EB"/>
    <w:rsid w:val="4DFB3CB0"/>
    <w:rsid w:val="4DFC4EDD"/>
    <w:rsid w:val="4DFD57BC"/>
    <w:rsid w:val="4E007EF9"/>
    <w:rsid w:val="4E04EB07"/>
    <w:rsid w:val="4E0563C5"/>
    <w:rsid w:val="4E084822"/>
    <w:rsid w:val="4E0B8BDE"/>
    <w:rsid w:val="4E0E218C"/>
    <w:rsid w:val="4E10F746"/>
    <w:rsid w:val="4E1A9382"/>
    <w:rsid w:val="4E2E87C0"/>
    <w:rsid w:val="4E310599"/>
    <w:rsid w:val="4E363C95"/>
    <w:rsid w:val="4E374758"/>
    <w:rsid w:val="4E3ABDD7"/>
    <w:rsid w:val="4E3B452F"/>
    <w:rsid w:val="4E3C7198"/>
    <w:rsid w:val="4E3CD179"/>
    <w:rsid w:val="4E3FDB94"/>
    <w:rsid w:val="4E40DE0E"/>
    <w:rsid w:val="4E4E45C5"/>
    <w:rsid w:val="4E4F9EC1"/>
    <w:rsid w:val="4E55B9D8"/>
    <w:rsid w:val="4E56EC9D"/>
    <w:rsid w:val="4E596201"/>
    <w:rsid w:val="4E5DE661"/>
    <w:rsid w:val="4E65B10E"/>
    <w:rsid w:val="4E6FC8F7"/>
    <w:rsid w:val="4E7002B8"/>
    <w:rsid w:val="4E7A0530"/>
    <w:rsid w:val="4E7C2E3E"/>
    <w:rsid w:val="4E7C7727"/>
    <w:rsid w:val="4E7EB948"/>
    <w:rsid w:val="4E7FD562"/>
    <w:rsid w:val="4E811194"/>
    <w:rsid w:val="4E86EFA7"/>
    <w:rsid w:val="4E8A71A2"/>
    <w:rsid w:val="4E8D1FA6"/>
    <w:rsid w:val="4E8EC54E"/>
    <w:rsid w:val="4E90DF1A"/>
    <w:rsid w:val="4E989DD3"/>
    <w:rsid w:val="4E9F6FEB"/>
    <w:rsid w:val="4EA44B66"/>
    <w:rsid w:val="4EA46E0A"/>
    <w:rsid w:val="4EA4D7BB"/>
    <w:rsid w:val="4EA4EA8B"/>
    <w:rsid w:val="4EA615BF"/>
    <w:rsid w:val="4EB5DF42"/>
    <w:rsid w:val="4EB683E8"/>
    <w:rsid w:val="4EB7B7F9"/>
    <w:rsid w:val="4EB8FA51"/>
    <w:rsid w:val="4EB9CA09"/>
    <w:rsid w:val="4EBAFF3A"/>
    <w:rsid w:val="4EBE895B"/>
    <w:rsid w:val="4EC05D9B"/>
    <w:rsid w:val="4ECB8CCF"/>
    <w:rsid w:val="4ECBAE66"/>
    <w:rsid w:val="4ECCD47E"/>
    <w:rsid w:val="4ED3B8D3"/>
    <w:rsid w:val="4EDC8D01"/>
    <w:rsid w:val="4EDE2157"/>
    <w:rsid w:val="4EDEAFB9"/>
    <w:rsid w:val="4EE1F88F"/>
    <w:rsid w:val="4EE3AA76"/>
    <w:rsid w:val="4EE8DD60"/>
    <w:rsid w:val="4EE9B3B0"/>
    <w:rsid w:val="4EE9D7DE"/>
    <w:rsid w:val="4EEBE1EF"/>
    <w:rsid w:val="4EEFAC4D"/>
    <w:rsid w:val="4EF1C58E"/>
    <w:rsid w:val="4EF1C6BD"/>
    <w:rsid w:val="4F00C134"/>
    <w:rsid w:val="4F02B824"/>
    <w:rsid w:val="4F034F3D"/>
    <w:rsid w:val="4F0A9DAD"/>
    <w:rsid w:val="4F0D6BAB"/>
    <w:rsid w:val="4F0E32BE"/>
    <w:rsid w:val="4F1484B6"/>
    <w:rsid w:val="4F23BC76"/>
    <w:rsid w:val="4F249FA0"/>
    <w:rsid w:val="4F2A0238"/>
    <w:rsid w:val="4F2AF559"/>
    <w:rsid w:val="4F383FB7"/>
    <w:rsid w:val="4F389654"/>
    <w:rsid w:val="4F3B21A3"/>
    <w:rsid w:val="4F447E74"/>
    <w:rsid w:val="4F470DBB"/>
    <w:rsid w:val="4F496C67"/>
    <w:rsid w:val="4F4B9389"/>
    <w:rsid w:val="4F5097B5"/>
    <w:rsid w:val="4F56BEDB"/>
    <w:rsid w:val="4F593299"/>
    <w:rsid w:val="4F5A2104"/>
    <w:rsid w:val="4F5B68CE"/>
    <w:rsid w:val="4F5C454A"/>
    <w:rsid w:val="4F5FB1E4"/>
    <w:rsid w:val="4F6189F7"/>
    <w:rsid w:val="4F62EA3B"/>
    <w:rsid w:val="4F6364BE"/>
    <w:rsid w:val="4F63B913"/>
    <w:rsid w:val="4F69002B"/>
    <w:rsid w:val="4F7655CB"/>
    <w:rsid w:val="4F7B9C7B"/>
    <w:rsid w:val="4F7C48BA"/>
    <w:rsid w:val="4F7E540E"/>
    <w:rsid w:val="4F7EE53A"/>
    <w:rsid w:val="4F821E2A"/>
    <w:rsid w:val="4F822A2E"/>
    <w:rsid w:val="4F83A68C"/>
    <w:rsid w:val="4F87C023"/>
    <w:rsid w:val="4F8BE9A4"/>
    <w:rsid w:val="4F8EEEFB"/>
    <w:rsid w:val="4F94BBE1"/>
    <w:rsid w:val="4F96B21F"/>
    <w:rsid w:val="4F97DCD6"/>
    <w:rsid w:val="4F9C8D0B"/>
    <w:rsid w:val="4F9D3021"/>
    <w:rsid w:val="4F9F9037"/>
    <w:rsid w:val="4FA0B8D2"/>
    <w:rsid w:val="4FA3E1C0"/>
    <w:rsid w:val="4FA9287C"/>
    <w:rsid w:val="4FA9DD67"/>
    <w:rsid w:val="4FADECC0"/>
    <w:rsid w:val="4FB9F8A6"/>
    <w:rsid w:val="4FBD239C"/>
    <w:rsid w:val="4FBE0F50"/>
    <w:rsid w:val="4FCD4BE9"/>
    <w:rsid w:val="4FCD7D61"/>
    <w:rsid w:val="4FCF8A0E"/>
    <w:rsid w:val="4FD49720"/>
    <w:rsid w:val="4FD948E6"/>
    <w:rsid w:val="4FE0211B"/>
    <w:rsid w:val="4FE21228"/>
    <w:rsid w:val="4FE5A43B"/>
    <w:rsid w:val="4FE86DB1"/>
    <w:rsid w:val="4FF7CC38"/>
    <w:rsid w:val="4FF8C4FD"/>
    <w:rsid w:val="4FF921E5"/>
    <w:rsid w:val="4FF95D95"/>
    <w:rsid w:val="4FF9C812"/>
    <w:rsid w:val="4FFAB66B"/>
    <w:rsid w:val="4FFE4670"/>
    <w:rsid w:val="5000E020"/>
    <w:rsid w:val="5000EFCA"/>
    <w:rsid w:val="500B30FE"/>
    <w:rsid w:val="500D4D28"/>
    <w:rsid w:val="5011CED3"/>
    <w:rsid w:val="5025380A"/>
    <w:rsid w:val="502837F1"/>
    <w:rsid w:val="50372A4B"/>
    <w:rsid w:val="50387954"/>
    <w:rsid w:val="5039FA3D"/>
    <w:rsid w:val="503A8073"/>
    <w:rsid w:val="503B7D64"/>
    <w:rsid w:val="5046B806"/>
    <w:rsid w:val="5047AB8B"/>
    <w:rsid w:val="504FE9EA"/>
    <w:rsid w:val="505080B3"/>
    <w:rsid w:val="50546492"/>
    <w:rsid w:val="50553537"/>
    <w:rsid w:val="50575806"/>
    <w:rsid w:val="50584E39"/>
    <w:rsid w:val="505FE223"/>
    <w:rsid w:val="5065C047"/>
    <w:rsid w:val="50663737"/>
    <w:rsid w:val="5066C4E6"/>
    <w:rsid w:val="50694698"/>
    <w:rsid w:val="50697C8C"/>
    <w:rsid w:val="506CCAB1"/>
    <w:rsid w:val="506DD609"/>
    <w:rsid w:val="506EDCF9"/>
    <w:rsid w:val="506EFA52"/>
    <w:rsid w:val="506FC8DC"/>
    <w:rsid w:val="5071D535"/>
    <w:rsid w:val="50761D44"/>
    <w:rsid w:val="50796868"/>
    <w:rsid w:val="507ABB50"/>
    <w:rsid w:val="507CF4E6"/>
    <w:rsid w:val="507F1350"/>
    <w:rsid w:val="507FE746"/>
    <w:rsid w:val="508421E4"/>
    <w:rsid w:val="50849AA3"/>
    <w:rsid w:val="508789CA"/>
    <w:rsid w:val="5087949E"/>
    <w:rsid w:val="508943DA"/>
    <w:rsid w:val="508EE0F3"/>
    <w:rsid w:val="5093A4E9"/>
    <w:rsid w:val="509EAAD8"/>
    <w:rsid w:val="509FCF9D"/>
    <w:rsid w:val="50A35AEA"/>
    <w:rsid w:val="50AA7513"/>
    <w:rsid w:val="50B5978B"/>
    <w:rsid w:val="50B5AF13"/>
    <w:rsid w:val="50B82D41"/>
    <w:rsid w:val="50B9D776"/>
    <w:rsid w:val="50B9EF73"/>
    <w:rsid w:val="50BBDAA7"/>
    <w:rsid w:val="50CB9CF8"/>
    <w:rsid w:val="50D99968"/>
    <w:rsid w:val="50DC0228"/>
    <w:rsid w:val="50DCBABA"/>
    <w:rsid w:val="50E1434E"/>
    <w:rsid w:val="50E146E7"/>
    <w:rsid w:val="50E37E76"/>
    <w:rsid w:val="50E6E1F0"/>
    <w:rsid w:val="50E978E4"/>
    <w:rsid w:val="50F1C1F6"/>
    <w:rsid w:val="50F3BA26"/>
    <w:rsid w:val="50F4EBA0"/>
    <w:rsid w:val="50FD9E39"/>
    <w:rsid w:val="50FE4A8D"/>
    <w:rsid w:val="51014E32"/>
    <w:rsid w:val="5104FB1B"/>
    <w:rsid w:val="5105F311"/>
    <w:rsid w:val="51071760"/>
    <w:rsid w:val="5108627D"/>
    <w:rsid w:val="51096C4E"/>
    <w:rsid w:val="510F48E1"/>
    <w:rsid w:val="51100BA6"/>
    <w:rsid w:val="511447C4"/>
    <w:rsid w:val="51187C02"/>
    <w:rsid w:val="511B8E94"/>
    <w:rsid w:val="511BE9DC"/>
    <w:rsid w:val="511F8428"/>
    <w:rsid w:val="511FDEBE"/>
    <w:rsid w:val="511FF67C"/>
    <w:rsid w:val="511FF816"/>
    <w:rsid w:val="512495C7"/>
    <w:rsid w:val="5127DF8E"/>
    <w:rsid w:val="51290F01"/>
    <w:rsid w:val="51381F17"/>
    <w:rsid w:val="513AC0B3"/>
    <w:rsid w:val="513C6448"/>
    <w:rsid w:val="513D6FA0"/>
    <w:rsid w:val="513E5526"/>
    <w:rsid w:val="5140E8F4"/>
    <w:rsid w:val="5148E859"/>
    <w:rsid w:val="514C2555"/>
    <w:rsid w:val="514D7579"/>
    <w:rsid w:val="514E34EB"/>
    <w:rsid w:val="514F2020"/>
    <w:rsid w:val="515C098F"/>
    <w:rsid w:val="515C4FFF"/>
    <w:rsid w:val="515F21E5"/>
    <w:rsid w:val="5160857A"/>
    <w:rsid w:val="51637ADA"/>
    <w:rsid w:val="51647043"/>
    <w:rsid w:val="51660CEC"/>
    <w:rsid w:val="51678F7C"/>
    <w:rsid w:val="516AA0C3"/>
    <w:rsid w:val="516D2353"/>
    <w:rsid w:val="516EC522"/>
    <w:rsid w:val="517018B0"/>
    <w:rsid w:val="5170BD29"/>
    <w:rsid w:val="5170F9ED"/>
    <w:rsid w:val="5176CAA9"/>
    <w:rsid w:val="5177D34B"/>
    <w:rsid w:val="517EE586"/>
    <w:rsid w:val="51850A05"/>
    <w:rsid w:val="518AA589"/>
    <w:rsid w:val="5194424B"/>
    <w:rsid w:val="5196226B"/>
    <w:rsid w:val="5196B112"/>
    <w:rsid w:val="51983E5A"/>
    <w:rsid w:val="51A404F8"/>
    <w:rsid w:val="51AEEED9"/>
    <w:rsid w:val="51B0F3AA"/>
    <w:rsid w:val="51B4AB23"/>
    <w:rsid w:val="51B4D917"/>
    <w:rsid w:val="51B85D71"/>
    <w:rsid w:val="51BE9B75"/>
    <w:rsid w:val="51BF52D4"/>
    <w:rsid w:val="51C48570"/>
    <w:rsid w:val="51C715E6"/>
    <w:rsid w:val="51C7401D"/>
    <w:rsid w:val="51C7491A"/>
    <w:rsid w:val="51CFDC64"/>
    <w:rsid w:val="51D1EB01"/>
    <w:rsid w:val="51D51C0E"/>
    <w:rsid w:val="51D59415"/>
    <w:rsid w:val="51D6041F"/>
    <w:rsid w:val="51E3B8FE"/>
    <w:rsid w:val="51EBEC14"/>
    <w:rsid w:val="51EF16C3"/>
    <w:rsid w:val="51F08742"/>
    <w:rsid w:val="51F19C4E"/>
    <w:rsid w:val="520270EB"/>
    <w:rsid w:val="5207156C"/>
    <w:rsid w:val="520EC5B6"/>
    <w:rsid w:val="52145D3D"/>
    <w:rsid w:val="521ED239"/>
    <w:rsid w:val="52246D2F"/>
    <w:rsid w:val="522A0A52"/>
    <w:rsid w:val="522C4B8D"/>
    <w:rsid w:val="52326F82"/>
    <w:rsid w:val="5234F0EA"/>
    <w:rsid w:val="5239C16E"/>
    <w:rsid w:val="52436EAC"/>
    <w:rsid w:val="5243CB3F"/>
    <w:rsid w:val="5244A070"/>
    <w:rsid w:val="52515305"/>
    <w:rsid w:val="5256C2CD"/>
    <w:rsid w:val="525B7A73"/>
    <w:rsid w:val="525CE876"/>
    <w:rsid w:val="526BB679"/>
    <w:rsid w:val="526C1BEE"/>
    <w:rsid w:val="526EBEB9"/>
    <w:rsid w:val="52706669"/>
    <w:rsid w:val="5270BF46"/>
    <w:rsid w:val="5270EC02"/>
    <w:rsid w:val="527111AB"/>
    <w:rsid w:val="5276A2E6"/>
    <w:rsid w:val="5276F64B"/>
    <w:rsid w:val="52865DA9"/>
    <w:rsid w:val="52890BC0"/>
    <w:rsid w:val="528CA4F6"/>
    <w:rsid w:val="528CCFDB"/>
    <w:rsid w:val="5293EEA6"/>
    <w:rsid w:val="52980838"/>
    <w:rsid w:val="529AA17F"/>
    <w:rsid w:val="529AF240"/>
    <w:rsid w:val="529C52CF"/>
    <w:rsid w:val="529C9A24"/>
    <w:rsid w:val="52A05943"/>
    <w:rsid w:val="52A91B19"/>
    <w:rsid w:val="52AAF02D"/>
    <w:rsid w:val="52AB5670"/>
    <w:rsid w:val="52ABC8BE"/>
    <w:rsid w:val="52AE6EF6"/>
    <w:rsid w:val="52B66A99"/>
    <w:rsid w:val="52B6DB08"/>
    <w:rsid w:val="52BA3AAF"/>
    <w:rsid w:val="52BB5DB4"/>
    <w:rsid w:val="52C3079F"/>
    <w:rsid w:val="52C387CF"/>
    <w:rsid w:val="52C3C0FF"/>
    <w:rsid w:val="52C8A31C"/>
    <w:rsid w:val="52C8EF35"/>
    <w:rsid w:val="52D1FD63"/>
    <w:rsid w:val="52D489D8"/>
    <w:rsid w:val="52D954D4"/>
    <w:rsid w:val="52DA41B0"/>
    <w:rsid w:val="52E9397E"/>
    <w:rsid w:val="52EABC72"/>
    <w:rsid w:val="52EC540C"/>
    <w:rsid w:val="52EDA1F9"/>
    <w:rsid w:val="52FC90DE"/>
    <w:rsid w:val="52FF2DB8"/>
    <w:rsid w:val="530061B0"/>
    <w:rsid w:val="53018993"/>
    <w:rsid w:val="53047211"/>
    <w:rsid w:val="5304C203"/>
    <w:rsid w:val="5307D61A"/>
    <w:rsid w:val="5309C509"/>
    <w:rsid w:val="5318C85A"/>
    <w:rsid w:val="531B6E2F"/>
    <w:rsid w:val="531E106F"/>
    <w:rsid w:val="5322A1FD"/>
    <w:rsid w:val="53237C0C"/>
    <w:rsid w:val="532693C0"/>
    <w:rsid w:val="53279B5C"/>
    <w:rsid w:val="532AD01E"/>
    <w:rsid w:val="532B1743"/>
    <w:rsid w:val="532BBBB1"/>
    <w:rsid w:val="532E2A6D"/>
    <w:rsid w:val="532EAADB"/>
    <w:rsid w:val="53372406"/>
    <w:rsid w:val="533F1218"/>
    <w:rsid w:val="533F6F9B"/>
    <w:rsid w:val="5342EE12"/>
    <w:rsid w:val="53453084"/>
    <w:rsid w:val="53462B2B"/>
    <w:rsid w:val="534B5090"/>
    <w:rsid w:val="534D297B"/>
    <w:rsid w:val="534DCF44"/>
    <w:rsid w:val="535586EB"/>
    <w:rsid w:val="535E1998"/>
    <w:rsid w:val="53712C04"/>
    <w:rsid w:val="5371BDF2"/>
    <w:rsid w:val="5374E587"/>
    <w:rsid w:val="537C7368"/>
    <w:rsid w:val="538133B6"/>
    <w:rsid w:val="53841ACE"/>
    <w:rsid w:val="538BE8D9"/>
    <w:rsid w:val="53923824"/>
    <w:rsid w:val="539524C2"/>
    <w:rsid w:val="5397BD72"/>
    <w:rsid w:val="53987301"/>
    <w:rsid w:val="539CAEFB"/>
    <w:rsid w:val="53A19521"/>
    <w:rsid w:val="53A3B22B"/>
    <w:rsid w:val="53A545B0"/>
    <w:rsid w:val="53A7E229"/>
    <w:rsid w:val="53A83562"/>
    <w:rsid w:val="53AF348F"/>
    <w:rsid w:val="53B81142"/>
    <w:rsid w:val="53B82DB2"/>
    <w:rsid w:val="53B856E6"/>
    <w:rsid w:val="53C3F734"/>
    <w:rsid w:val="53C724D2"/>
    <w:rsid w:val="53C87935"/>
    <w:rsid w:val="53C946D2"/>
    <w:rsid w:val="53CACDB2"/>
    <w:rsid w:val="53D07ADE"/>
    <w:rsid w:val="53D5A13B"/>
    <w:rsid w:val="53D89FCB"/>
    <w:rsid w:val="53EB3213"/>
    <w:rsid w:val="53EC2ACC"/>
    <w:rsid w:val="53EDBA31"/>
    <w:rsid w:val="53F002AA"/>
    <w:rsid w:val="53F40470"/>
    <w:rsid w:val="53F8C46C"/>
    <w:rsid w:val="54000A42"/>
    <w:rsid w:val="5406781E"/>
    <w:rsid w:val="54082B3C"/>
    <w:rsid w:val="54094706"/>
    <w:rsid w:val="540B6C4B"/>
    <w:rsid w:val="540BCC80"/>
    <w:rsid w:val="540D421D"/>
    <w:rsid w:val="5410B306"/>
    <w:rsid w:val="54252F0C"/>
    <w:rsid w:val="542776E3"/>
    <w:rsid w:val="542F8E65"/>
    <w:rsid w:val="5434BF68"/>
    <w:rsid w:val="5439D4FB"/>
    <w:rsid w:val="543AF00A"/>
    <w:rsid w:val="543D751E"/>
    <w:rsid w:val="543F1809"/>
    <w:rsid w:val="544095D4"/>
    <w:rsid w:val="544492C2"/>
    <w:rsid w:val="5446C5AC"/>
    <w:rsid w:val="544DE14C"/>
    <w:rsid w:val="54526823"/>
    <w:rsid w:val="545F9724"/>
    <w:rsid w:val="54621457"/>
    <w:rsid w:val="54667605"/>
    <w:rsid w:val="54671520"/>
    <w:rsid w:val="5467BE1E"/>
    <w:rsid w:val="547A5B39"/>
    <w:rsid w:val="547A6065"/>
    <w:rsid w:val="547F156C"/>
    <w:rsid w:val="547FACBE"/>
    <w:rsid w:val="547FFA1D"/>
    <w:rsid w:val="5481B929"/>
    <w:rsid w:val="5485700E"/>
    <w:rsid w:val="548A955F"/>
    <w:rsid w:val="548ADC93"/>
    <w:rsid w:val="548DD999"/>
    <w:rsid w:val="548E00C0"/>
    <w:rsid w:val="548F4F34"/>
    <w:rsid w:val="5490F876"/>
    <w:rsid w:val="54970EEA"/>
    <w:rsid w:val="54A89AAF"/>
    <w:rsid w:val="54B480B1"/>
    <w:rsid w:val="54BB38C8"/>
    <w:rsid w:val="54BFF40B"/>
    <w:rsid w:val="54C29D44"/>
    <w:rsid w:val="54C3AA83"/>
    <w:rsid w:val="54C420E5"/>
    <w:rsid w:val="54C85F18"/>
    <w:rsid w:val="54C90C28"/>
    <w:rsid w:val="54CA80BD"/>
    <w:rsid w:val="54CD49E5"/>
    <w:rsid w:val="54D0C19D"/>
    <w:rsid w:val="54DFE6CB"/>
    <w:rsid w:val="54E490BE"/>
    <w:rsid w:val="54E8A93E"/>
    <w:rsid w:val="54E9259C"/>
    <w:rsid w:val="54EA1D4F"/>
    <w:rsid w:val="54EE8167"/>
    <w:rsid w:val="54EEC392"/>
    <w:rsid w:val="54F457CA"/>
    <w:rsid w:val="54F4C8D5"/>
    <w:rsid w:val="54FA1946"/>
    <w:rsid w:val="5500509B"/>
    <w:rsid w:val="5508B9D1"/>
    <w:rsid w:val="5510E887"/>
    <w:rsid w:val="5511E3F3"/>
    <w:rsid w:val="5518C7F2"/>
    <w:rsid w:val="551A91A1"/>
    <w:rsid w:val="551AD65B"/>
    <w:rsid w:val="551DFC24"/>
    <w:rsid w:val="551F6024"/>
    <w:rsid w:val="5521FDE8"/>
    <w:rsid w:val="55221E8E"/>
    <w:rsid w:val="552B2DCB"/>
    <w:rsid w:val="552CA7F7"/>
    <w:rsid w:val="552DA43D"/>
    <w:rsid w:val="552FD29F"/>
    <w:rsid w:val="5535936C"/>
    <w:rsid w:val="5535C627"/>
    <w:rsid w:val="5536BE24"/>
    <w:rsid w:val="553799D7"/>
    <w:rsid w:val="553AD0D0"/>
    <w:rsid w:val="5540791E"/>
    <w:rsid w:val="5543AA2B"/>
    <w:rsid w:val="5545FCD9"/>
    <w:rsid w:val="554957DC"/>
    <w:rsid w:val="554A5F73"/>
    <w:rsid w:val="554A9EDE"/>
    <w:rsid w:val="554AB0D8"/>
    <w:rsid w:val="554ACC0F"/>
    <w:rsid w:val="55537168"/>
    <w:rsid w:val="555974F7"/>
    <w:rsid w:val="555B3114"/>
    <w:rsid w:val="555B69A5"/>
    <w:rsid w:val="555CE02F"/>
    <w:rsid w:val="555DD1FF"/>
    <w:rsid w:val="555E68C6"/>
    <w:rsid w:val="55648A11"/>
    <w:rsid w:val="556623B6"/>
    <w:rsid w:val="5567486F"/>
    <w:rsid w:val="55678D48"/>
    <w:rsid w:val="5568D212"/>
    <w:rsid w:val="5568FDC9"/>
    <w:rsid w:val="556AB923"/>
    <w:rsid w:val="55700006"/>
    <w:rsid w:val="55771CFB"/>
    <w:rsid w:val="557A3816"/>
    <w:rsid w:val="557AFBA0"/>
    <w:rsid w:val="557C2F22"/>
    <w:rsid w:val="55850A57"/>
    <w:rsid w:val="55862920"/>
    <w:rsid w:val="5586E6DA"/>
    <w:rsid w:val="558DEDC4"/>
    <w:rsid w:val="558EE80E"/>
    <w:rsid w:val="558F022D"/>
    <w:rsid w:val="558FC72A"/>
    <w:rsid w:val="5594CE6C"/>
    <w:rsid w:val="5595790A"/>
    <w:rsid w:val="5597384A"/>
    <w:rsid w:val="55A1BFFA"/>
    <w:rsid w:val="55A453ED"/>
    <w:rsid w:val="55B07E4B"/>
    <w:rsid w:val="55B0EE6C"/>
    <w:rsid w:val="55B1B2B9"/>
    <w:rsid w:val="55B83016"/>
    <w:rsid w:val="55BEE6C4"/>
    <w:rsid w:val="55CD93FA"/>
    <w:rsid w:val="55CE5743"/>
    <w:rsid w:val="55CF9E82"/>
    <w:rsid w:val="55D558C8"/>
    <w:rsid w:val="55D5A748"/>
    <w:rsid w:val="55D621BE"/>
    <w:rsid w:val="55D76AC1"/>
    <w:rsid w:val="55D84A8E"/>
    <w:rsid w:val="55E6ECAE"/>
    <w:rsid w:val="55EEB2ED"/>
    <w:rsid w:val="55EF8A7E"/>
    <w:rsid w:val="55F44102"/>
    <w:rsid w:val="55F47354"/>
    <w:rsid w:val="55F53757"/>
    <w:rsid w:val="55F5682E"/>
    <w:rsid w:val="55F63152"/>
    <w:rsid w:val="55F6C968"/>
    <w:rsid w:val="56011DFC"/>
    <w:rsid w:val="56084F48"/>
    <w:rsid w:val="56093B7E"/>
    <w:rsid w:val="5619DD86"/>
    <w:rsid w:val="561F67EF"/>
    <w:rsid w:val="5628E761"/>
    <w:rsid w:val="56299205"/>
    <w:rsid w:val="562B3B9D"/>
    <w:rsid w:val="56304688"/>
    <w:rsid w:val="563E891E"/>
    <w:rsid w:val="563F0093"/>
    <w:rsid w:val="5642EA54"/>
    <w:rsid w:val="5643AE88"/>
    <w:rsid w:val="56455DC6"/>
    <w:rsid w:val="5646EBEA"/>
    <w:rsid w:val="56484F6E"/>
    <w:rsid w:val="564985CB"/>
    <w:rsid w:val="564B5BED"/>
    <w:rsid w:val="564DCD13"/>
    <w:rsid w:val="565740F5"/>
    <w:rsid w:val="5662D667"/>
    <w:rsid w:val="5667F148"/>
    <w:rsid w:val="56728BEA"/>
    <w:rsid w:val="56746334"/>
    <w:rsid w:val="5674A1E2"/>
    <w:rsid w:val="5677DC82"/>
    <w:rsid w:val="567C06EB"/>
    <w:rsid w:val="56865616"/>
    <w:rsid w:val="5687FA29"/>
    <w:rsid w:val="568DAAC0"/>
    <w:rsid w:val="568DDE46"/>
    <w:rsid w:val="568EF050"/>
    <w:rsid w:val="568FFB77"/>
    <w:rsid w:val="5696C5E3"/>
    <w:rsid w:val="56970ADF"/>
    <w:rsid w:val="569F11F6"/>
    <w:rsid w:val="56A6F9F2"/>
    <w:rsid w:val="56B3C1D6"/>
    <w:rsid w:val="56B6B821"/>
    <w:rsid w:val="56B86DEA"/>
    <w:rsid w:val="56BDF392"/>
    <w:rsid w:val="56C08008"/>
    <w:rsid w:val="56C157CD"/>
    <w:rsid w:val="56C6D246"/>
    <w:rsid w:val="56C7198B"/>
    <w:rsid w:val="56C9F974"/>
    <w:rsid w:val="56CC854E"/>
    <w:rsid w:val="56CE4B2E"/>
    <w:rsid w:val="56CE5A2A"/>
    <w:rsid w:val="56D41351"/>
    <w:rsid w:val="56DC0917"/>
    <w:rsid w:val="56DC6F82"/>
    <w:rsid w:val="56DCE28D"/>
    <w:rsid w:val="56E5C581"/>
    <w:rsid w:val="56E98FFC"/>
    <w:rsid w:val="56ED156E"/>
    <w:rsid w:val="56EF6F78"/>
    <w:rsid w:val="56F24F78"/>
    <w:rsid w:val="56F2CDE6"/>
    <w:rsid w:val="56F32E76"/>
    <w:rsid w:val="56F65085"/>
    <w:rsid w:val="56FA1F78"/>
    <w:rsid w:val="56FAC0D3"/>
    <w:rsid w:val="56FF975A"/>
    <w:rsid w:val="5701BE31"/>
    <w:rsid w:val="5702A95B"/>
    <w:rsid w:val="5707B4AD"/>
    <w:rsid w:val="571189E7"/>
    <w:rsid w:val="5714E691"/>
    <w:rsid w:val="57196778"/>
    <w:rsid w:val="571C7835"/>
    <w:rsid w:val="57231168"/>
    <w:rsid w:val="572757D3"/>
    <w:rsid w:val="5730D213"/>
    <w:rsid w:val="5736C54A"/>
    <w:rsid w:val="5737F82E"/>
    <w:rsid w:val="573B44F0"/>
    <w:rsid w:val="574752FB"/>
    <w:rsid w:val="5747575D"/>
    <w:rsid w:val="5747D67F"/>
    <w:rsid w:val="57483A07"/>
    <w:rsid w:val="5748E519"/>
    <w:rsid w:val="574CC1BC"/>
    <w:rsid w:val="57596B3E"/>
    <w:rsid w:val="575CA44B"/>
    <w:rsid w:val="5765CEDD"/>
    <w:rsid w:val="5766462D"/>
    <w:rsid w:val="57699F00"/>
    <w:rsid w:val="576CA8D7"/>
    <w:rsid w:val="576CD909"/>
    <w:rsid w:val="576D56B5"/>
    <w:rsid w:val="57779F1E"/>
    <w:rsid w:val="57794C18"/>
    <w:rsid w:val="577A6FBF"/>
    <w:rsid w:val="57813B08"/>
    <w:rsid w:val="57815AE4"/>
    <w:rsid w:val="57855579"/>
    <w:rsid w:val="57880716"/>
    <w:rsid w:val="578E2002"/>
    <w:rsid w:val="578EBC61"/>
    <w:rsid w:val="5793F9D3"/>
    <w:rsid w:val="579EA853"/>
    <w:rsid w:val="57A417EB"/>
    <w:rsid w:val="57A5455B"/>
    <w:rsid w:val="57A7A308"/>
    <w:rsid w:val="57A98050"/>
    <w:rsid w:val="57AA0317"/>
    <w:rsid w:val="57B1121A"/>
    <w:rsid w:val="57B284DC"/>
    <w:rsid w:val="57B2B8E4"/>
    <w:rsid w:val="57B67F43"/>
    <w:rsid w:val="57B7CEC9"/>
    <w:rsid w:val="57BEF946"/>
    <w:rsid w:val="57C14717"/>
    <w:rsid w:val="57C78784"/>
    <w:rsid w:val="57C79BB8"/>
    <w:rsid w:val="57CAE6B2"/>
    <w:rsid w:val="57CFD6B7"/>
    <w:rsid w:val="57DA5D6A"/>
    <w:rsid w:val="57DC99CE"/>
    <w:rsid w:val="57E7CB96"/>
    <w:rsid w:val="57EB344E"/>
    <w:rsid w:val="57ECEC93"/>
    <w:rsid w:val="57F055D3"/>
    <w:rsid w:val="57F63D48"/>
    <w:rsid w:val="57FC8E9A"/>
    <w:rsid w:val="58000401"/>
    <w:rsid w:val="58001F7D"/>
    <w:rsid w:val="580C5A28"/>
    <w:rsid w:val="580FAD1C"/>
    <w:rsid w:val="5814CDA6"/>
    <w:rsid w:val="581507BA"/>
    <w:rsid w:val="581888AD"/>
    <w:rsid w:val="5818FC50"/>
    <w:rsid w:val="5824B8E2"/>
    <w:rsid w:val="58272BDA"/>
    <w:rsid w:val="582E8A7E"/>
    <w:rsid w:val="5831FFBE"/>
    <w:rsid w:val="5833F7AC"/>
    <w:rsid w:val="58390473"/>
    <w:rsid w:val="583A1A85"/>
    <w:rsid w:val="5846E8BF"/>
    <w:rsid w:val="58475FCB"/>
    <w:rsid w:val="584920A6"/>
    <w:rsid w:val="5850040D"/>
    <w:rsid w:val="5857B5DA"/>
    <w:rsid w:val="586142A5"/>
    <w:rsid w:val="58637A17"/>
    <w:rsid w:val="586EBC28"/>
    <w:rsid w:val="5875758E"/>
    <w:rsid w:val="5876D4C6"/>
    <w:rsid w:val="587B1636"/>
    <w:rsid w:val="587B8EC9"/>
    <w:rsid w:val="587C9CE8"/>
    <w:rsid w:val="5886B27D"/>
    <w:rsid w:val="5886B8B7"/>
    <w:rsid w:val="58908F9C"/>
    <w:rsid w:val="589D88B1"/>
    <w:rsid w:val="589DAA62"/>
    <w:rsid w:val="589DCB49"/>
    <w:rsid w:val="589E2A7F"/>
    <w:rsid w:val="589E3A1C"/>
    <w:rsid w:val="58A70316"/>
    <w:rsid w:val="58A9B15B"/>
    <w:rsid w:val="58ABD93E"/>
    <w:rsid w:val="58B1FB49"/>
    <w:rsid w:val="58B5A986"/>
    <w:rsid w:val="58BE2333"/>
    <w:rsid w:val="58C6FB44"/>
    <w:rsid w:val="58CDFB38"/>
    <w:rsid w:val="58CE695D"/>
    <w:rsid w:val="58D7CE7E"/>
    <w:rsid w:val="58D8C38E"/>
    <w:rsid w:val="58D915D0"/>
    <w:rsid w:val="58DE2287"/>
    <w:rsid w:val="58E0E9E6"/>
    <w:rsid w:val="58E69BB6"/>
    <w:rsid w:val="58E7FB0E"/>
    <w:rsid w:val="58EE5E88"/>
    <w:rsid w:val="58EF084B"/>
    <w:rsid w:val="58F378B4"/>
    <w:rsid w:val="58F4FBDE"/>
    <w:rsid w:val="59005ACC"/>
    <w:rsid w:val="590311E0"/>
    <w:rsid w:val="5906D2D7"/>
    <w:rsid w:val="59084A0F"/>
    <w:rsid w:val="59129571"/>
    <w:rsid w:val="5914F06B"/>
    <w:rsid w:val="591C0315"/>
    <w:rsid w:val="591F9DEE"/>
    <w:rsid w:val="59234895"/>
    <w:rsid w:val="592634F0"/>
    <w:rsid w:val="592BB726"/>
    <w:rsid w:val="592BB84A"/>
    <w:rsid w:val="5934EEFF"/>
    <w:rsid w:val="5937218B"/>
    <w:rsid w:val="5938EFB5"/>
    <w:rsid w:val="593AB22B"/>
    <w:rsid w:val="59424DC7"/>
    <w:rsid w:val="5945FEA9"/>
    <w:rsid w:val="594B82D2"/>
    <w:rsid w:val="594F246D"/>
    <w:rsid w:val="594FE170"/>
    <w:rsid w:val="5954E22A"/>
    <w:rsid w:val="5955883A"/>
    <w:rsid w:val="59570BA2"/>
    <w:rsid w:val="595CEBBF"/>
    <w:rsid w:val="595D2235"/>
    <w:rsid w:val="5966F7A1"/>
    <w:rsid w:val="596D7D8C"/>
    <w:rsid w:val="59753D85"/>
    <w:rsid w:val="597714E0"/>
    <w:rsid w:val="597E6309"/>
    <w:rsid w:val="598013B5"/>
    <w:rsid w:val="5981E226"/>
    <w:rsid w:val="5983AAE0"/>
    <w:rsid w:val="5984B42D"/>
    <w:rsid w:val="5987769D"/>
    <w:rsid w:val="59887D43"/>
    <w:rsid w:val="5991A66B"/>
    <w:rsid w:val="59920684"/>
    <w:rsid w:val="59955E26"/>
    <w:rsid w:val="5995AA7E"/>
    <w:rsid w:val="599E4D0E"/>
    <w:rsid w:val="59A581CA"/>
    <w:rsid w:val="59A8BFE2"/>
    <w:rsid w:val="59AB31E5"/>
    <w:rsid w:val="59B53093"/>
    <w:rsid w:val="59B705C5"/>
    <w:rsid w:val="59BEBAA4"/>
    <w:rsid w:val="59C0A237"/>
    <w:rsid w:val="59C1AF44"/>
    <w:rsid w:val="59C61705"/>
    <w:rsid w:val="59C901CF"/>
    <w:rsid w:val="59D061B4"/>
    <w:rsid w:val="59D122F4"/>
    <w:rsid w:val="59D4D51D"/>
    <w:rsid w:val="59E03E64"/>
    <w:rsid w:val="59E2135D"/>
    <w:rsid w:val="59E6EC0B"/>
    <w:rsid w:val="59E8DFBA"/>
    <w:rsid w:val="59EBA593"/>
    <w:rsid w:val="59EC7F1F"/>
    <w:rsid w:val="59EF29B1"/>
    <w:rsid w:val="59F0E5FF"/>
    <w:rsid w:val="59F37798"/>
    <w:rsid w:val="59FC26B0"/>
    <w:rsid w:val="5A00583C"/>
    <w:rsid w:val="5A00CA06"/>
    <w:rsid w:val="5A0AB0D9"/>
    <w:rsid w:val="5A0DEF9D"/>
    <w:rsid w:val="5A0FD399"/>
    <w:rsid w:val="5A15273E"/>
    <w:rsid w:val="5A15D402"/>
    <w:rsid w:val="5A29A519"/>
    <w:rsid w:val="5A3077CC"/>
    <w:rsid w:val="5A3895A6"/>
    <w:rsid w:val="5A3A9EC5"/>
    <w:rsid w:val="5A3CB59B"/>
    <w:rsid w:val="5A3D533C"/>
    <w:rsid w:val="5A3D61DA"/>
    <w:rsid w:val="5A45DC33"/>
    <w:rsid w:val="5A49AD94"/>
    <w:rsid w:val="5A49FEBE"/>
    <w:rsid w:val="5A4D1BEF"/>
    <w:rsid w:val="5A4E475E"/>
    <w:rsid w:val="5A4E4D6A"/>
    <w:rsid w:val="5A4F9080"/>
    <w:rsid w:val="5A534BA3"/>
    <w:rsid w:val="5A539DE2"/>
    <w:rsid w:val="5A5A9EB2"/>
    <w:rsid w:val="5A5E2D86"/>
    <w:rsid w:val="5A5EE4B0"/>
    <w:rsid w:val="5A605C38"/>
    <w:rsid w:val="5A611D3E"/>
    <w:rsid w:val="5A66061D"/>
    <w:rsid w:val="5A66079B"/>
    <w:rsid w:val="5A668D7B"/>
    <w:rsid w:val="5A6BA9B7"/>
    <w:rsid w:val="5A6EDC44"/>
    <w:rsid w:val="5A74F3F0"/>
    <w:rsid w:val="5A75E138"/>
    <w:rsid w:val="5A773388"/>
    <w:rsid w:val="5A77548B"/>
    <w:rsid w:val="5A782435"/>
    <w:rsid w:val="5A7C840A"/>
    <w:rsid w:val="5A7C9677"/>
    <w:rsid w:val="5A7EDFC9"/>
    <w:rsid w:val="5A7F9B88"/>
    <w:rsid w:val="5A81A29D"/>
    <w:rsid w:val="5A900AC7"/>
    <w:rsid w:val="5A940F9C"/>
    <w:rsid w:val="5A960B19"/>
    <w:rsid w:val="5A985781"/>
    <w:rsid w:val="5A9BA941"/>
    <w:rsid w:val="5AA13F99"/>
    <w:rsid w:val="5AAEDBC0"/>
    <w:rsid w:val="5AAFA6F4"/>
    <w:rsid w:val="5AB20AF9"/>
    <w:rsid w:val="5AC05379"/>
    <w:rsid w:val="5AC84805"/>
    <w:rsid w:val="5ACC612F"/>
    <w:rsid w:val="5ACCED06"/>
    <w:rsid w:val="5ACF087F"/>
    <w:rsid w:val="5AD41C4D"/>
    <w:rsid w:val="5AD9F8A5"/>
    <w:rsid w:val="5ADB8A0A"/>
    <w:rsid w:val="5ADCD995"/>
    <w:rsid w:val="5ADF3369"/>
    <w:rsid w:val="5AEB94DA"/>
    <w:rsid w:val="5AF11251"/>
    <w:rsid w:val="5AF19D90"/>
    <w:rsid w:val="5AF23428"/>
    <w:rsid w:val="5AFA8CD5"/>
    <w:rsid w:val="5B016C18"/>
    <w:rsid w:val="5B018FCF"/>
    <w:rsid w:val="5B0750B8"/>
    <w:rsid w:val="5B07C720"/>
    <w:rsid w:val="5B08A7C9"/>
    <w:rsid w:val="5B0F2499"/>
    <w:rsid w:val="5B100417"/>
    <w:rsid w:val="5B169704"/>
    <w:rsid w:val="5B1A3892"/>
    <w:rsid w:val="5B1D14C7"/>
    <w:rsid w:val="5B1DE003"/>
    <w:rsid w:val="5B1EF165"/>
    <w:rsid w:val="5B1F3ECD"/>
    <w:rsid w:val="5B20268F"/>
    <w:rsid w:val="5B237153"/>
    <w:rsid w:val="5B2663AC"/>
    <w:rsid w:val="5B29628C"/>
    <w:rsid w:val="5B2A5F63"/>
    <w:rsid w:val="5B34555B"/>
    <w:rsid w:val="5B3462AA"/>
    <w:rsid w:val="5B3F9728"/>
    <w:rsid w:val="5B41EB31"/>
    <w:rsid w:val="5B436E0E"/>
    <w:rsid w:val="5B4868AD"/>
    <w:rsid w:val="5B4B29CE"/>
    <w:rsid w:val="5B4C1BB3"/>
    <w:rsid w:val="5B4F631B"/>
    <w:rsid w:val="5B50A17A"/>
    <w:rsid w:val="5B5122DE"/>
    <w:rsid w:val="5B51ADA3"/>
    <w:rsid w:val="5B5261EB"/>
    <w:rsid w:val="5B53E3FB"/>
    <w:rsid w:val="5B5A7004"/>
    <w:rsid w:val="5B657CCB"/>
    <w:rsid w:val="5B6979D3"/>
    <w:rsid w:val="5B6CC19D"/>
    <w:rsid w:val="5B718918"/>
    <w:rsid w:val="5B71E097"/>
    <w:rsid w:val="5B76A509"/>
    <w:rsid w:val="5B7C5890"/>
    <w:rsid w:val="5B8242DF"/>
    <w:rsid w:val="5B89D5A6"/>
    <w:rsid w:val="5B8C76A2"/>
    <w:rsid w:val="5B8F17F1"/>
    <w:rsid w:val="5B8F7286"/>
    <w:rsid w:val="5B8F901B"/>
    <w:rsid w:val="5B92E2F0"/>
    <w:rsid w:val="5B94F8FF"/>
    <w:rsid w:val="5B959C23"/>
    <w:rsid w:val="5B97B906"/>
    <w:rsid w:val="5B98EF68"/>
    <w:rsid w:val="5B9B9FD8"/>
    <w:rsid w:val="5B9D04F5"/>
    <w:rsid w:val="5B9EECC5"/>
    <w:rsid w:val="5B9F31A8"/>
    <w:rsid w:val="5BAF522C"/>
    <w:rsid w:val="5BAFA417"/>
    <w:rsid w:val="5BB02743"/>
    <w:rsid w:val="5BB3136C"/>
    <w:rsid w:val="5BB87D09"/>
    <w:rsid w:val="5BB92323"/>
    <w:rsid w:val="5BB9FCDE"/>
    <w:rsid w:val="5BBC7E09"/>
    <w:rsid w:val="5BBD3BC2"/>
    <w:rsid w:val="5BBE487A"/>
    <w:rsid w:val="5BC32EDA"/>
    <w:rsid w:val="5BCA919E"/>
    <w:rsid w:val="5BCDA407"/>
    <w:rsid w:val="5BD23E50"/>
    <w:rsid w:val="5BD7F63C"/>
    <w:rsid w:val="5BDA36A9"/>
    <w:rsid w:val="5BDA9385"/>
    <w:rsid w:val="5BE070E3"/>
    <w:rsid w:val="5BE5962D"/>
    <w:rsid w:val="5BE9D1AD"/>
    <w:rsid w:val="5BEB3822"/>
    <w:rsid w:val="5BF31A15"/>
    <w:rsid w:val="5BF6AF7B"/>
    <w:rsid w:val="5BF7FFF4"/>
    <w:rsid w:val="5BFF42CE"/>
    <w:rsid w:val="5C015D67"/>
    <w:rsid w:val="5C043F01"/>
    <w:rsid w:val="5C0E28FB"/>
    <w:rsid w:val="5C0E7FFC"/>
    <w:rsid w:val="5C10B52F"/>
    <w:rsid w:val="5C13A136"/>
    <w:rsid w:val="5C171B23"/>
    <w:rsid w:val="5C20AF0F"/>
    <w:rsid w:val="5C233409"/>
    <w:rsid w:val="5C23B2B8"/>
    <w:rsid w:val="5C276010"/>
    <w:rsid w:val="5C27C8AA"/>
    <w:rsid w:val="5C2A50AC"/>
    <w:rsid w:val="5C2EEC4F"/>
    <w:rsid w:val="5C37C144"/>
    <w:rsid w:val="5C3DAF19"/>
    <w:rsid w:val="5C3DD372"/>
    <w:rsid w:val="5C3EAE4F"/>
    <w:rsid w:val="5C4199F6"/>
    <w:rsid w:val="5C49D97C"/>
    <w:rsid w:val="5C5445D7"/>
    <w:rsid w:val="5C571819"/>
    <w:rsid w:val="5C58E883"/>
    <w:rsid w:val="5C58FF83"/>
    <w:rsid w:val="5C59ED38"/>
    <w:rsid w:val="5C5B8943"/>
    <w:rsid w:val="5C5E9C03"/>
    <w:rsid w:val="5C60C0A3"/>
    <w:rsid w:val="5C642973"/>
    <w:rsid w:val="5C6507C4"/>
    <w:rsid w:val="5C698DE0"/>
    <w:rsid w:val="5C72C29A"/>
    <w:rsid w:val="5C77B72B"/>
    <w:rsid w:val="5C80F4FA"/>
    <w:rsid w:val="5C86BF5C"/>
    <w:rsid w:val="5C86DDEE"/>
    <w:rsid w:val="5C90516E"/>
    <w:rsid w:val="5C91B1C8"/>
    <w:rsid w:val="5C92A035"/>
    <w:rsid w:val="5C968005"/>
    <w:rsid w:val="5C99BC30"/>
    <w:rsid w:val="5CA06F28"/>
    <w:rsid w:val="5CA6ACEE"/>
    <w:rsid w:val="5CA7E672"/>
    <w:rsid w:val="5CA9F8DB"/>
    <w:rsid w:val="5CAA00EB"/>
    <w:rsid w:val="5CB49C55"/>
    <w:rsid w:val="5CBC7507"/>
    <w:rsid w:val="5CC824B5"/>
    <w:rsid w:val="5CCE41CD"/>
    <w:rsid w:val="5CCF1E4F"/>
    <w:rsid w:val="5CD79625"/>
    <w:rsid w:val="5CD8154D"/>
    <w:rsid w:val="5CDAC980"/>
    <w:rsid w:val="5CDBF045"/>
    <w:rsid w:val="5CDE5905"/>
    <w:rsid w:val="5CE2113D"/>
    <w:rsid w:val="5CE6F273"/>
    <w:rsid w:val="5CE7A63D"/>
    <w:rsid w:val="5CEA22C1"/>
    <w:rsid w:val="5CF4EC24"/>
    <w:rsid w:val="5CF6855E"/>
    <w:rsid w:val="5CFA24A3"/>
    <w:rsid w:val="5CFA26DC"/>
    <w:rsid w:val="5CFBF983"/>
    <w:rsid w:val="5D04DBCF"/>
    <w:rsid w:val="5D098FDC"/>
    <w:rsid w:val="5D0D57D0"/>
    <w:rsid w:val="5D0E2846"/>
    <w:rsid w:val="5D1134CC"/>
    <w:rsid w:val="5D14BDAC"/>
    <w:rsid w:val="5D17267F"/>
    <w:rsid w:val="5D175C1B"/>
    <w:rsid w:val="5D1BCBCF"/>
    <w:rsid w:val="5D1F337A"/>
    <w:rsid w:val="5D28EEC3"/>
    <w:rsid w:val="5D2C3457"/>
    <w:rsid w:val="5D2F4794"/>
    <w:rsid w:val="5D3453DF"/>
    <w:rsid w:val="5D35DD7D"/>
    <w:rsid w:val="5D35E034"/>
    <w:rsid w:val="5D35EEB8"/>
    <w:rsid w:val="5D3C4089"/>
    <w:rsid w:val="5D40CE18"/>
    <w:rsid w:val="5D411EEC"/>
    <w:rsid w:val="5D460EA2"/>
    <w:rsid w:val="5D46FEE7"/>
    <w:rsid w:val="5D4AB07C"/>
    <w:rsid w:val="5D4CB593"/>
    <w:rsid w:val="5D4F101A"/>
    <w:rsid w:val="5D54E03D"/>
    <w:rsid w:val="5D556B55"/>
    <w:rsid w:val="5D5C2FEE"/>
    <w:rsid w:val="5D61D84F"/>
    <w:rsid w:val="5D62341A"/>
    <w:rsid w:val="5D63AD0A"/>
    <w:rsid w:val="5D68D439"/>
    <w:rsid w:val="5D6DAB9B"/>
    <w:rsid w:val="5D6E6F62"/>
    <w:rsid w:val="5D6FB027"/>
    <w:rsid w:val="5D75D89D"/>
    <w:rsid w:val="5D7D63EC"/>
    <w:rsid w:val="5D7DDFDF"/>
    <w:rsid w:val="5D7F3955"/>
    <w:rsid w:val="5D8965A9"/>
    <w:rsid w:val="5D908B77"/>
    <w:rsid w:val="5D9B8BBD"/>
    <w:rsid w:val="5D9BD00C"/>
    <w:rsid w:val="5D9D8769"/>
    <w:rsid w:val="5DA5A79E"/>
    <w:rsid w:val="5DA68E4A"/>
    <w:rsid w:val="5DABB676"/>
    <w:rsid w:val="5DADE133"/>
    <w:rsid w:val="5DB62CE7"/>
    <w:rsid w:val="5DB79B76"/>
    <w:rsid w:val="5DB7FE15"/>
    <w:rsid w:val="5DB9D853"/>
    <w:rsid w:val="5DBAA8D2"/>
    <w:rsid w:val="5DBC7F00"/>
    <w:rsid w:val="5DC339E9"/>
    <w:rsid w:val="5DCCFC5D"/>
    <w:rsid w:val="5DD0EC1F"/>
    <w:rsid w:val="5DDAF9FB"/>
    <w:rsid w:val="5DE0EA94"/>
    <w:rsid w:val="5DE30DCD"/>
    <w:rsid w:val="5DE43FA4"/>
    <w:rsid w:val="5DE4F4E8"/>
    <w:rsid w:val="5DE5392C"/>
    <w:rsid w:val="5DE72010"/>
    <w:rsid w:val="5DE736BA"/>
    <w:rsid w:val="5DE8E31C"/>
    <w:rsid w:val="5DEE1218"/>
    <w:rsid w:val="5DF205CD"/>
    <w:rsid w:val="5DF5FF1E"/>
    <w:rsid w:val="5DF7384D"/>
    <w:rsid w:val="5DFBB003"/>
    <w:rsid w:val="5DFC3740"/>
    <w:rsid w:val="5DFCCF76"/>
    <w:rsid w:val="5DFF2A09"/>
    <w:rsid w:val="5E072E35"/>
    <w:rsid w:val="5E0C5BB1"/>
    <w:rsid w:val="5E238B02"/>
    <w:rsid w:val="5E2EF2C5"/>
    <w:rsid w:val="5E312813"/>
    <w:rsid w:val="5E33E21D"/>
    <w:rsid w:val="5E34EFBD"/>
    <w:rsid w:val="5E39F51F"/>
    <w:rsid w:val="5E44DAEA"/>
    <w:rsid w:val="5E4E1FAA"/>
    <w:rsid w:val="5E4E43AF"/>
    <w:rsid w:val="5E58A881"/>
    <w:rsid w:val="5E5F2E07"/>
    <w:rsid w:val="5E601765"/>
    <w:rsid w:val="5E61B41B"/>
    <w:rsid w:val="5E62B315"/>
    <w:rsid w:val="5E6C2FF7"/>
    <w:rsid w:val="5E6DFF10"/>
    <w:rsid w:val="5E702F56"/>
    <w:rsid w:val="5E703153"/>
    <w:rsid w:val="5E75E904"/>
    <w:rsid w:val="5E7737EA"/>
    <w:rsid w:val="5E78BB0B"/>
    <w:rsid w:val="5E7A2E6A"/>
    <w:rsid w:val="5E7EE9C2"/>
    <w:rsid w:val="5E80270F"/>
    <w:rsid w:val="5E842982"/>
    <w:rsid w:val="5E863D63"/>
    <w:rsid w:val="5E868D42"/>
    <w:rsid w:val="5E8821E3"/>
    <w:rsid w:val="5E9148F0"/>
    <w:rsid w:val="5E98046D"/>
    <w:rsid w:val="5E9CA870"/>
    <w:rsid w:val="5E9E88F2"/>
    <w:rsid w:val="5E9E9266"/>
    <w:rsid w:val="5EA2F30D"/>
    <w:rsid w:val="5EA4263B"/>
    <w:rsid w:val="5EADE85F"/>
    <w:rsid w:val="5EAEB43B"/>
    <w:rsid w:val="5EB7F681"/>
    <w:rsid w:val="5EB8E9FB"/>
    <w:rsid w:val="5EB95346"/>
    <w:rsid w:val="5EBB24AB"/>
    <w:rsid w:val="5EBEE566"/>
    <w:rsid w:val="5EC322E0"/>
    <w:rsid w:val="5ECBA441"/>
    <w:rsid w:val="5ED27B7F"/>
    <w:rsid w:val="5ED4E427"/>
    <w:rsid w:val="5ED60676"/>
    <w:rsid w:val="5EDC402F"/>
    <w:rsid w:val="5EDEB011"/>
    <w:rsid w:val="5EE0C138"/>
    <w:rsid w:val="5EE3948F"/>
    <w:rsid w:val="5EE94FD3"/>
    <w:rsid w:val="5EE974D5"/>
    <w:rsid w:val="5EEEE8A4"/>
    <w:rsid w:val="5EF83C17"/>
    <w:rsid w:val="5EF9CB03"/>
    <w:rsid w:val="5EFC7D04"/>
    <w:rsid w:val="5EFCF430"/>
    <w:rsid w:val="5F051A2F"/>
    <w:rsid w:val="5F07919C"/>
    <w:rsid w:val="5F07931E"/>
    <w:rsid w:val="5F0914BA"/>
    <w:rsid w:val="5F0DC786"/>
    <w:rsid w:val="5F168A79"/>
    <w:rsid w:val="5F17338D"/>
    <w:rsid w:val="5F18E43F"/>
    <w:rsid w:val="5F1987B1"/>
    <w:rsid w:val="5F1997A4"/>
    <w:rsid w:val="5F19A7DA"/>
    <w:rsid w:val="5F1D8F53"/>
    <w:rsid w:val="5F1F2F70"/>
    <w:rsid w:val="5F235A82"/>
    <w:rsid w:val="5F254226"/>
    <w:rsid w:val="5F27C478"/>
    <w:rsid w:val="5F294B3A"/>
    <w:rsid w:val="5F2F67FE"/>
    <w:rsid w:val="5F31B9FE"/>
    <w:rsid w:val="5F341F3E"/>
    <w:rsid w:val="5F387CF0"/>
    <w:rsid w:val="5F3C0DF6"/>
    <w:rsid w:val="5F3E0F1A"/>
    <w:rsid w:val="5F444FBE"/>
    <w:rsid w:val="5F4FD200"/>
    <w:rsid w:val="5F524A2E"/>
    <w:rsid w:val="5F525374"/>
    <w:rsid w:val="5F5D6764"/>
    <w:rsid w:val="5F5F4D84"/>
    <w:rsid w:val="5F69149E"/>
    <w:rsid w:val="5F69CFF4"/>
    <w:rsid w:val="5F6D5EBB"/>
    <w:rsid w:val="5F70B5C8"/>
    <w:rsid w:val="5F8168DE"/>
    <w:rsid w:val="5F82A745"/>
    <w:rsid w:val="5F8BD80F"/>
    <w:rsid w:val="5F93ADFA"/>
    <w:rsid w:val="5F9A6075"/>
    <w:rsid w:val="5F9E22D1"/>
    <w:rsid w:val="5FA55335"/>
    <w:rsid w:val="5FA8AF1A"/>
    <w:rsid w:val="5FAC8C0B"/>
    <w:rsid w:val="5FB3BBE8"/>
    <w:rsid w:val="5FBD2F72"/>
    <w:rsid w:val="5FBD3AAF"/>
    <w:rsid w:val="5FC207BE"/>
    <w:rsid w:val="5FC50EAB"/>
    <w:rsid w:val="5FC79A17"/>
    <w:rsid w:val="5FCAA7AD"/>
    <w:rsid w:val="5FD2E2A7"/>
    <w:rsid w:val="5FD4B4F2"/>
    <w:rsid w:val="5FD9412A"/>
    <w:rsid w:val="5FDA5903"/>
    <w:rsid w:val="5FDD0818"/>
    <w:rsid w:val="5FF5C7F3"/>
    <w:rsid w:val="5FFBDC37"/>
    <w:rsid w:val="5FFD35E4"/>
    <w:rsid w:val="60006137"/>
    <w:rsid w:val="60019AA3"/>
    <w:rsid w:val="60032AA0"/>
    <w:rsid w:val="6003CEF5"/>
    <w:rsid w:val="60084408"/>
    <w:rsid w:val="600AEF01"/>
    <w:rsid w:val="600D749C"/>
    <w:rsid w:val="601B2084"/>
    <w:rsid w:val="601EC587"/>
    <w:rsid w:val="601F7E99"/>
    <w:rsid w:val="6023D023"/>
    <w:rsid w:val="60248A64"/>
    <w:rsid w:val="602A1E26"/>
    <w:rsid w:val="602D81DE"/>
    <w:rsid w:val="602DC036"/>
    <w:rsid w:val="602DC9DB"/>
    <w:rsid w:val="60305B74"/>
    <w:rsid w:val="603878D1"/>
    <w:rsid w:val="6039B023"/>
    <w:rsid w:val="6046B07B"/>
    <w:rsid w:val="604755FB"/>
    <w:rsid w:val="604B261C"/>
    <w:rsid w:val="604DA83D"/>
    <w:rsid w:val="605FEA53"/>
    <w:rsid w:val="606BE565"/>
    <w:rsid w:val="60702AF3"/>
    <w:rsid w:val="6070CD27"/>
    <w:rsid w:val="60732D2E"/>
    <w:rsid w:val="607484A2"/>
    <w:rsid w:val="607689FC"/>
    <w:rsid w:val="607FC60B"/>
    <w:rsid w:val="6083F485"/>
    <w:rsid w:val="60864FEB"/>
    <w:rsid w:val="60901BAB"/>
    <w:rsid w:val="609074E0"/>
    <w:rsid w:val="6094EA7F"/>
    <w:rsid w:val="60A156BF"/>
    <w:rsid w:val="60B0105D"/>
    <w:rsid w:val="60B0FD81"/>
    <w:rsid w:val="60B4C54C"/>
    <w:rsid w:val="60B5AF3A"/>
    <w:rsid w:val="60B601DF"/>
    <w:rsid w:val="60B61256"/>
    <w:rsid w:val="60B61609"/>
    <w:rsid w:val="60B6A823"/>
    <w:rsid w:val="60B9788E"/>
    <w:rsid w:val="60B99205"/>
    <w:rsid w:val="60C2B802"/>
    <w:rsid w:val="60C604B9"/>
    <w:rsid w:val="60C69C30"/>
    <w:rsid w:val="60CB7117"/>
    <w:rsid w:val="60D0C709"/>
    <w:rsid w:val="60D205A2"/>
    <w:rsid w:val="60D314C4"/>
    <w:rsid w:val="60D3665B"/>
    <w:rsid w:val="60D563A3"/>
    <w:rsid w:val="60D74184"/>
    <w:rsid w:val="60D9D1C3"/>
    <w:rsid w:val="60DF8BCC"/>
    <w:rsid w:val="60E23E7A"/>
    <w:rsid w:val="60E3E2CD"/>
    <w:rsid w:val="60E790B0"/>
    <w:rsid w:val="60ECA86E"/>
    <w:rsid w:val="60F4BF16"/>
    <w:rsid w:val="60F7782F"/>
    <w:rsid w:val="60F90BC6"/>
    <w:rsid w:val="60F9BD6A"/>
    <w:rsid w:val="6105C38C"/>
    <w:rsid w:val="610BD95B"/>
    <w:rsid w:val="61113F23"/>
    <w:rsid w:val="6111DB31"/>
    <w:rsid w:val="6112B0CE"/>
    <w:rsid w:val="611843B7"/>
    <w:rsid w:val="611985FE"/>
    <w:rsid w:val="611C00A8"/>
    <w:rsid w:val="6131330D"/>
    <w:rsid w:val="6132AABE"/>
    <w:rsid w:val="6137940F"/>
    <w:rsid w:val="613E6BDC"/>
    <w:rsid w:val="6144E8AF"/>
    <w:rsid w:val="6146CE06"/>
    <w:rsid w:val="6148B35F"/>
    <w:rsid w:val="6149198F"/>
    <w:rsid w:val="614F6B42"/>
    <w:rsid w:val="6150E653"/>
    <w:rsid w:val="6151101E"/>
    <w:rsid w:val="615A681E"/>
    <w:rsid w:val="615DFFDA"/>
    <w:rsid w:val="61627273"/>
    <w:rsid w:val="61632526"/>
    <w:rsid w:val="616472C3"/>
    <w:rsid w:val="6165F3DB"/>
    <w:rsid w:val="6171C713"/>
    <w:rsid w:val="61725019"/>
    <w:rsid w:val="6172E2F0"/>
    <w:rsid w:val="61742904"/>
    <w:rsid w:val="617490D8"/>
    <w:rsid w:val="617583C8"/>
    <w:rsid w:val="617716DA"/>
    <w:rsid w:val="617AFF0C"/>
    <w:rsid w:val="617B1378"/>
    <w:rsid w:val="617C5F3C"/>
    <w:rsid w:val="6184EC5C"/>
    <w:rsid w:val="6186E34C"/>
    <w:rsid w:val="61892F5B"/>
    <w:rsid w:val="619189CD"/>
    <w:rsid w:val="61921179"/>
    <w:rsid w:val="619F06F6"/>
    <w:rsid w:val="619F60CB"/>
    <w:rsid w:val="61A35D04"/>
    <w:rsid w:val="61A5910F"/>
    <w:rsid w:val="61ACBCD8"/>
    <w:rsid w:val="61AEADD7"/>
    <w:rsid w:val="61B0FB95"/>
    <w:rsid w:val="61B2A9CE"/>
    <w:rsid w:val="61B41455"/>
    <w:rsid w:val="61B5A260"/>
    <w:rsid w:val="61B6876D"/>
    <w:rsid w:val="61BCAFE0"/>
    <w:rsid w:val="61C5572F"/>
    <w:rsid w:val="61CAAC9A"/>
    <w:rsid w:val="61CDB1EA"/>
    <w:rsid w:val="61D00B5C"/>
    <w:rsid w:val="61D49917"/>
    <w:rsid w:val="61D4A06A"/>
    <w:rsid w:val="61D5791B"/>
    <w:rsid w:val="61D622AE"/>
    <w:rsid w:val="61DD4E7B"/>
    <w:rsid w:val="61E2F2A1"/>
    <w:rsid w:val="61EF75EE"/>
    <w:rsid w:val="61EFD8D8"/>
    <w:rsid w:val="61F42A85"/>
    <w:rsid w:val="61F5518E"/>
    <w:rsid w:val="61F597F4"/>
    <w:rsid w:val="61FEEC2F"/>
    <w:rsid w:val="61FFA900"/>
    <w:rsid w:val="62005B05"/>
    <w:rsid w:val="6208C03D"/>
    <w:rsid w:val="620F82E3"/>
    <w:rsid w:val="62106BE8"/>
    <w:rsid w:val="621074C3"/>
    <w:rsid w:val="62128021"/>
    <w:rsid w:val="62145C90"/>
    <w:rsid w:val="621C5103"/>
    <w:rsid w:val="6224E7FB"/>
    <w:rsid w:val="62290DD9"/>
    <w:rsid w:val="622CE117"/>
    <w:rsid w:val="622FDA49"/>
    <w:rsid w:val="62319F71"/>
    <w:rsid w:val="62321C9F"/>
    <w:rsid w:val="6232306F"/>
    <w:rsid w:val="62387AAD"/>
    <w:rsid w:val="62392EFB"/>
    <w:rsid w:val="623C7682"/>
    <w:rsid w:val="623D0663"/>
    <w:rsid w:val="62418795"/>
    <w:rsid w:val="6241F1C6"/>
    <w:rsid w:val="62487B6A"/>
    <w:rsid w:val="624E0890"/>
    <w:rsid w:val="62543B0F"/>
    <w:rsid w:val="6254F1E3"/>
    <w:rsid w:val="62553A8A"/>
    <w:rsid w:val="625BBDF0"/>
    <w:rsid w:val="625E3FD0"/>
    <w:rsid w:val="625ED723"/>
    <w:rsid w:val="6267CC24"/>
    <w:rsid w:val="626DB576"/>
    <w:rsid w:val="626F0E39"/>
    <w:rsid w:val="6272FB14"/>
    <w:rsid w:val="627311E5"/>
    <w:rsid w:val="62745C3E"/>
    <w:rsid w:val="627B5592"/>
    <w:rsid w:val="627D3F6B"/>
    <w:rsid w:val="6280CFF1"/>
    <w:rsid w:val="62852978"/>
    <w:rsid w:val="62866CE8"/>
    <w:rsid w:val="62925735"/>
    <w:rsid w:val="6294EDB6"/>
    <w:rsid w:val="6299018C"/>
    <w:rsid w:val="62A193ED"/>
    <w:rsid w:val="62A29820"/>
    <w:rsid w:val="62A5F913"/>
    <w:rsid w:val="62AB4C95"/>
    <w:rsid w:val="62AC2099"/>
    <w:rsid w:val="62ADDA03"/>
    <w:rsid w:val="62AED149"/>
    <w:rsid w:val="62B09EFF"/>
    <w:rsid w:val="62B0CD9C"/>
    <w:rsid w:val="62B1B9B3"/>
    <w:rsid w:val="62B340B3"/>
    <w:rsid w:val="62B9F4BC"/>
    <w:rsid w:val="62BA5133"/>
    <w:rsid w:val="62BAB6FA"/>
    <w:rsid w:val="62BD5C93"/>
    <w:rsid w:val="62C81829"/>
    <w:rsid w:val="62CC3204"/>
    <w:rsid w:val="62CF6C3F"/>
    <w:rsid w:val="62D4CD9D"/>
    <w:rsid w:val="62D61D14"/>
    <w:rsid w:val="62DAF124"/>
    <w:rsid w:val="62DD0604"/>
    <w:rsid w:val="62E1D988"/>
    <w:rsid w:val="62E3494A"/>
    <w:rsid w:val="62E5018F"/>
    <w:rsid w:val="62EABE9D"/>
    <w:rsid w:val="62EC80D3"/>
    <w:rsid w:val="62F0EFF6"/>
    <w:rsid w:val="62F1E4B5"/>
    <w:rsid w:val="62FB6006"/>
    <w:rsid w:val="62FDAC3B"/>
    <w:rsid w:val="62FEB98F"/>
    <w:rsid w:val="630314B5"/>
    <w:rsid w:val="63033C6D"/>
    <w:rsid w:val="6303F1AB"/>
    <w:rsid w:val="6308F750"/>
    <w:rsid w:val="630A9BD8"/>
    <w:rsid w:val="630E87E0"/>
    <w:rsid w:val="63161A20"/>
    <w:rsid w:val="63199CE0"/>
    <w:rsid w:val="631D4106"/>
    <w:rsid w:val="631D9FEE"/>
    <w:rsid w:val="6320377B"/>
    <w:rsid w:val="63260BCE"/>
    <w:rsid w:val="6331655E"/>
    <w:rsid w:val="633296BC"/>
    <w:rsid w:val="6336CFDF"/>
    <w:rsid w:val="633863A3"/>
    <w:rsid w:val="633F3A7C"/>
    <w:rsid w:val="63454D2E"/>
    <w:rsid w:val="63462345"/>
    <w:rsid w:val="634D5A5E"/>
    <w:rsid w:val="634F86B1"/>
    <w:rsid w:val="63513AC6"/>
    <w:rsid w:val="6354F301"/>
    <w:rsid w:val="63561D0C"/>
    <w:rsid w:val="6356DD3A"/>
    <w:rsid w:val="63574788"/>
    <w:rsid w:val="635E2C33"/>
    <w:rsid w:val="635EA153"/>
    <w:rsid w:val="63630209"/>
    <w:rsid w:val="6370B4DC"/>
    <w:rsid w:val="6371F780"/>
    <w:rsid w:val="63729380"/>
    <w:rsid w:val="63780B36"/>
    <w:rsid w:val="637F277E"/>
    <w:rsid w:val="637F82DA"/>
    <w:rsid w:val="6383D406"/>
    <w:rsid w:val="6394F6C0"/>
    <w:rsid w:val="63995BA7"/>
    <w:rsid w:val="63A081A3"/>
    <w:rsid w:val="63A462E4"/>
    <w:rsid w:val="63AA7880"/>
    <w:rsid w:val="63ACC1FF"/>
    <w:rsid w:val="63B2902D"/>
    <w:rsid w:val="63B3C2EA"/>
    <w:rsid w:val="63B50914"/>
    <w:rsid w:val="63B7528C"/>
    <w:rsid w:val="63BC0251"/>
    <w:rsid w:val="63BC74C9"/>
    <w:rsid w:val="63C7D52B"/>
    <w:rsid w:val="63C87F92"/>
    <w:rsid w:val="63CD0AD4"/>
    <w:rsid w:val="63CDE87A"/>
    <w:rsid w:val="63D3F995"/>
    <w:rsid w:val="63D7A50D"/>
    <w:rsid w:val="63DB4628"/>
    <w:rsid w:val="63DBFBE9"/>
    <w:rsid w:val="63E2961E"/>
    <w:rsid w:val="63EB1E21"/>
    <w:rsid w:val="63EF0347"/>
    <w:rsid w:val="63F89B18"/>
    <w:rsid w:val="63F9F8A2"/>
    <w:rsid w:val="63FE9A76"/>
    <w:rsid w:val="6400ACE7"/>
    <w:rsid w:val="6402E4BD"/>
    <w:rsid w:val="6408BF69"/>
    <w:rsid w:val="64098413"/>
    <w:rsid w:val="640B61B3"/>
    <w:rsid w:val="640CA409"/>
    <w:rsid w:val="640F548A"/>
    <w:rsid w:val="64109648"/>
    <w:rsid w:val="641096BD"/>
    <w:rsid w:val="64112C94"/>
    <w:rsid w:val="64181DBB"/>
    <w:rsid w:val="6419E041"/>
    <w:rsid w:val="641DFD74"/>
    <w:rsid w:val="641FAB0C"/>
    <w:rsid w:val="6421CBA9"/>
    <w:rsid w:val="642830D5"/>
    <w:rsid w:val="6428FA4F"/>
    <w:rsid w:val="642A2407"/>
    <w:rsid w:val="642AACA4"/>
    <w:rsid w:val="642AE9B2"/>
    <w:rsid w:val="642C05CC"/>
    <w:rsid w:val="642FE23F"/>
    <w:rsid w:val="6433B854"/>
    <w:rsid w:val="6438EDC4"/>
    <w:rsid w:val="6439D41D"/>
    <w:rsid w:val="64428FE7"/>
    <w:rsid w:val="64499261"/>
    <w:rsid w:val="6454FDCE"/>
    <w:rsid w:val="6456C16E"/>
    <w:rsid w:val="645D26CA"/>
    <w:rsid w:val="645DE74C"/>
    <w:rsid w:val="64600495"/>
    <w:rsid w:val="6462785B"/>
    <w:rsid w:val="6463DC86"/>
    <w:rsid w:val="6478A4B8"/>
    <w:rsid w:val="647D6FFD"/>
    <w:rsid w:val="647EA5CF"/>
    <w:rsid w:val="648149E2"/>
    <w:rsid w:val="6482E59B"/>
    <w:rsid w:val="6483BAB0"/>
    <w:rsid w:val="648F553E"/>
    <w:rsid w:val="64962FD3"/>
    <w:rsid w:val="6498DC08"/>
    <w:rsid w:val="649BA690"/>
    <w:rsid w:val="64B220FB"/>
    <w:rsid w:val="64B3E022"/>
    <w:rsid w:val="64B4E2E1"/>
    <w:rsid w:val="64BA63A6"/>
    <w:rsid w:val="64C33CA2"/>
    <w:rsid w:val="64C55015"/>
    <w:rsid w:val="64CB18C0"/>
    <w:rsid w:val="64CFA882"/>
    <w:rsid w:val="64D5B5AE"/>
    <w:rsid w:val="64D5D13E"/>
    <w:rsid w:val="64D780CA"/>
    <w:rsid w:val="64E08145"/>
    <w:rsid w:val="64E28E17"/>
    <w:rsid w:val="64E37D85"/>
    <w:rsid w:val="64E57CE8"/>
    <w:rsid w:val="64E972CD"/>
    <w:rsid w:val="64EA0EF6"/>
    <w:rsid w:val="64F945CC"/>
    <w:rsid w:val="64FD0929"/>
    <w:rsid w:val="6506E668"/>
    <w:rsid w:val="65079CB4"/>
    <w:rsid w:val="6507FEB4"/>
    <w:rsid w:val="6508C200"/>
    <w:rsid w:val="650FA8EB"/>
    <w:rsid w:val="6512399C"/>
    <w:rsid w:val="6515A4DB"/>
    <w:rsid w:val="651DC7C4"/>
    <w:rsid w:val="65203253"/>
    <w:rsid w:val="65226E53"/>
    <w:rsid w:val="65232525"/>
    <w:rsid w:val="652834F8"/>
    <w:rsid w:val="6531EBAC"/>
    <w:rsid w:val="65346A1A"/>
    <w:rsid w:val="653544B0"/>
    <w:rsid w:val="653A7492"/>
    <w:rsid w:val="65418339"/>
    <w:rsid w:val="654238A9"/>
    <w:rsid w:val="6546ECC6"/>
    <w:rsid w:val="6548BE94"/>
    <w:rsid w:val="654A1C60"/>
    <w:rsid w:val="654D5044"/>
    <w:rsid w:val="654E5D11"/>
    <w:rsid w:val="655213E1"/>
    <w:rsid w:val="6553B629"/>
    <w:rsid w:val="65558079"/>
    <w:rsid w:val="6559054C"/>
    <w:rsid w:val="655D6B88"/>
    <w:rsid w:val="65619192"/>
    <w:rsid w:val="6562F408"/>
    <w:rsid w:val="6565E0D7"/>
    <w:rsid w:val="656AFF56"/>
    <w:rsid w:val="6572AEFF"/>
    <w:rsid w:val="6573CCFB"/>
    <w:rsid w:val="657565ED"/>
    <w:rsid w:val="6576F939"/>
    <w:rsid w:val="657CBB88"/>
    <w:rsid w:val="658228D2"/>
    <w:rsid w:val="65836544"/>
    <w:rsid w:val="6583D22C"/>
    <w:rsid w:val="6585B9DD"/>
    <w:rsid w:val="6588906A"/>
    <w:rsid w:val="658C61C2"/>
    <w:rsid w:val="65979D74"/>
    <w:rsid w:val="659BB87A"/>
    <w:rsid w:val="65A3895C"/>
    <w:rsid w:val="65A975C2"/>
    <w:rsid w:val="65B04911"/>
    <w:rsid w:val="65B64F1D"/>
    <w:rsid w:val="65B6595F"/>
    <w:rsid w:val="65B7FDCF"/>
    <w:rsid w:val="65BFD6D8"/>
    <w:rsid w:val="65C01DD3"/>
    <w:rsid w:val="65C19D24"/>
    <w:rsid w:val="65C37965"/>
    <w:rsid w:val="65C52C9A"/>
    <w:rsid w:val="65C5790A"/>
    <w:rsid w:val="65C5D853"/>
    <w:rsid w:val="65CB8368"/>
    <w:rsid w:val="65D24228"/>
    <w:rsid w:val="65D72FC0"/>
    <w:rsid w:val="65D951DB"/>
    <w:rsid w:val="65DDC587"/>
    <w:rsid w:val="65E05332"/>
    <w:rsid w:val="65E361A1"/>
    <w:rsid w:val="65E7B669"/>
    <w:rsid w:val="65E816A8"/>
    <w:rsid w:val="65ED5F19"/>
    <w:rsid w:val="65F89486"/>
    <w:rsid w:val="65FD4F06"/>
    <w:rsid w:val="660452BA"/>
    <w:rsid w:val="6604F83B"/>
    <w:rsid w:val="66053034"/>
    <w:rsid w:val="660D54D4"/>
    <w:rsid w:val="661468FB"/>
    <w:rsid w:val="661777A0"/>
    <w:rsid w:val="6619ACAD"/>
    <w:rsid w:val="662674EB"/>
    <w:rsid w:val="662BAE4A"/>
    <w:rsid w:val="662F510E"/>
    <w:rsid w:val="66301BFA"/>
    <w:rsid w:val="663567E3"/>
    <w:rsid w:val="6637C4CF"/>
    <w:rsid w:val="663B5FC9"/>
    <w:rsid w:val="663D4C03"/>
    <w:rsid w:val="66421FB3"/>
    <w:rsid w:val="66457EB8"/>
    <w:rsid w:val="664A2723"/>
    <w:rsid w:val="66598A6C"/>
    <w:rsid w:val="6659DEC8"/>
    <w:rsid w:val="665E63BF"/>
    <w:rsid w:val="66612E29"/>
    <w:rsid w:val="66629834"/>
    <w:rsid w:val="66680709"/>
    <w:rsid w:val="666B83DD"/>
    <w:rsid w:val="666CF814"/>
    <w:rsid w:val="667094A8"/>
    <w:rsid w:val="6673D55C"/>
    <w:rsid w:val="667B2289"/>
    <w:rsid w:val="667FFD0C"/>
    <w:rsid w:val="6681C078"/>
    <w:rsid w:val="6682858D"/>
    <w:rsid w:val="6682A818"/>
    <w:rsid w:val="6684A253"/>
    <w:rsid w:val="66854DB0"/>
    <w:rsid w:val="66855126"/>
    <w:rsid w:val="6686E09C"/>
    <w:rsid w:val="668ABFC8"/>
    <w:rsid w:val="6693BD84"/>
    <w:rsid w:val="6699F051"/>
    <w:rsid w:val="669B15A9"/>
    <w:rsid w:val="66A8597F"/>
    <w:rsid w:val="66AB61DA"/>
    <w:rsid w:val="66AC12DC"/>
    <w:rsid w:val="66B9C037"/>
    <w:rsid w:val="66BB4507"/>
    <w:rsid w:val="66CBF074"/>
    <w:rsid w:val="66CD89E5"/>
    <w:rsid w:val="66CE9298"/>
    <w:rsid w:val="66D0334F"/>
    <w:rsid w:val="66D3B98A"/>
    <w:rsid w:val="66D4D47D"/>
    <w:rsid w:val="66D8D179"/>
    <w:rsid w:val="66DB83B3"/>
    <w:rsid w:val="66EA928C"/>
    <w:rsid w:val="66ED23D4"/>
    <w:rsid w:val="66EE86B3"/>
    <w:rsid w:val="66EF2537"/>
    <w:rsid w:val="66F3B3C6"/>
    <w:rsid w:val="66F470E8"/>
    <w:rsid w:val="66F5AF65"/>
    <w:rsid w:val="66F84432"/>
    <w:rsid w:val="6702F24E"/>
    <w:rsid w:val="6704A5B2"/>
    <w:rsid w:val="670D2356"/>
    <w:rsid w:val="670DB336"/>
    <w:rsid w:val="670E62BA"/>
    <w:rsid w:val="6710AF68"/>
    <w:rsid w:val="6712159E"/>
    <w:rsid w:val="671363D7"/>
    <w:rsid w:val="6716F489"/>
    <w:rsid w:val="67174348"/>
    <w:rsid w:val="6717E7BF"/>
    <w:rsid w:val="671DC396"/>
    <w:rsid w:val="671EC05F"/>
    <w:rsid w:val="671FDC49"/>
    <w:rsid w:val="672A39C2"/>
    <w:rsid w:val="672DAC24"/>
    <w:rsid w:val="672DEEEE"/>
    <w:rsid w:val="673209C1"/>
    <w:rsid w:val="6732D1C8"/>
    <w:rsid w:val="6741B871"/>
    <w:rsid w:val="6744B208"/>
    <w:rsid w:val="6747A9D6"/>
    <w:rsid w:val="674C4677"/>
    <w:rsid w:val="675362AA"/>
    <w:rsid w:val="6759226B"/>
    <w:rsid w:val="676698F8"/>
    <w:rsid w:val="67681B3F"/>
    <w:rsid w:val="676983D4"/>
    <w:rsid w:val="677133EF"/>
    <w:rsid w:val="67778F19"/>
    <w:rsid w:val="6782D308"/>
    <w:rsid w:val="67870C85"/>
    <w:rsid w:val="67889A01"/>
    <w:rsid w:val="6788E9FE"/>
    <w:rsid w:val="678BC334"/>
    <w:rsid w:val="678E57E6"/>
    <w:rsid w:val="679040F6"/>
    <w:rsid w:val="6793CFC7"/>
    <w:rsid w:val="6795FB37"/>
    <w:rsid w:val="67974222"/>
    <w:rsid w:val="679A5ED0"/>
    <w:rsid w:val="679C0A28"/>
    <w:rsid w:val="67AC34B2"/>
    <w:rsid w:val="67AFE03A"/>
    <w:rsid w:val="67B511AC"/>
    <w:rsid w:val="67B58552"/>
    <w:rsid w:val="67B8B520"/>
    <w:rsid w:val="67BDBBC9"/>
    <w:rsid w:val="67BEB734"/>
    <w:rsid w:val="67BFB8CA"/>
    <w:rsid w:val="67C1131C"/>
    <w:rsid w:val="67C4E599"/>
    <w:rsid w:val="67C7D5AC"/>
    <w:rsid w:val="67CAF7A5"/>
    <w:rsid w:val="67CF69BD"/>
    <w:rsid w:val="67CF8A23"/>
    <w:rsid w:val="67DD1D3E"/>
    <w:rsid w:val="67E68F84"/>
    <w:rsid w:val="67E71A23"/>
    <w:rsid w:val="67ED8AFB"/>
    <w:rsid w:val="67EEB155"/>
    <w:rsid w:val="67F489D0"/>
    <w:rsid w:val="67F6A676"/>
    <w:rsid w:val="67FBBEE7"/>
    <w:rsid w:val="67FE96B7"/>
    <w:rsid w:val="68031F3C"/>
    <w:rsid w:val="6803C645"/>
    <w:rsid w:val="68049912"/>
    <w:rsid w:val="68070223"/>
    <w:rsid w:val="68079E2F"/>
    <w:rsid w:val="6808B5CB"/>
    <w:rsid w:val="68090ED2"/>
    <w:rsid w:val="680BB5CE"/>
    <w:rsid w:val="680C059E"/>
    <w:rsid w:val="681023C0"/>
    <w:rsid w:val="6813FC05"/>
    <w:rsid w:val="6817F003"/>
    <w:rsid w:val="68187A14"/>
    <w:rsid w:val="681E7479"/>
    <w:rsid w:val="682183F1"/>
    <w:rsid w:val="68219DDF"/>
    <w:rsid w:val="68229179"/>
    <w:rsid w:val="68234CF1"/>
    <w:rsid w:val="6828FDF1"/>
    <w:rsid w:val="682A5E45"/>
    <w:rsid w:val="682B9C8F"/>
    <w:rsid w:val="682BE4EF"/>
    <w:rsid w:val="682C3B2C"/>
    <w:rsid w:val="682E02E0"/>
    <w:rsid w:val="6831E8C4"/>
    <w:rsid w:val="68327D61"/>
    <w:rsid w:val="6832DB07"/>
    <w:rsid w:val="6833BB75"/>
    <w:rsid w:val="68362217"/>
    <w:rsid w:val="683F4793"/>
    <w:rsid w:val="683FDDDC"/>
    <w:rsid w:val="6841E979"/>
    <w:rsid w:val="68458403"/>
    <w:rsid w:val="684784FD"/>
    <w:rsid w:val="6849546A"/>
    <w:rsid w:val="684D5569"/>
    <w:rsid w:val="684F872A"/>
    <w:rsid w:val="685BA976"/>
    <w:rsid w:val="685D0480"/>
    <w:rsid w:val="68619652"/>
    <w:rsid w:val="68688BD5"/>
    <w:rsid w:val="686AE1BA"/>
    <w:rsid w:val="686F45B1"/>
    <w:rsid w:val="68713214"/>
    <w:rsid w:val="6871D71B"/>
    <w:rsid w:val="68759122"/>
    <w:rsid w:val="6875BACA"/>
    <w:rsid w:val="687DD724"/>
    <w:rsid w:val="6895BC69"/>
    <w:rsid w:val="689943E1"/>
    <w:rsid w:val="689C618E"/>
    <w:rsid w:val="689CC7DC"/>
    <w:rsid w:val="68A61B7C"/>
    <w:rsid w:val="68A71487"/>
    <w:rsid w:val="68A7D944"/>
    <w:rsid w:val="68A92B3F"/>
    <w:rsid w:val="68A9B386"/>
    <w:rsid w:val="68AC550A"/>
    <w:rsid w:val="68AD2499"/>
    <w:rsid w:val="68AE501C"/>
    <w:rsid w:val="68B31667"/>
    <w:rsid w:val="68B4872D"/>
    <w:rsid w:val="68B7023F"/>
    <w:rsid w:val="68BC6E89"/>
    <w:rsid w:val="68C193EA"/>
    <w:rsid w:val="68C478A2"/>
    <w:rsid w:val="68D82BC3"/>
    <w:rsid w:val="68DF486B"/>
    <w:rsid w:val="68E2C132"/>
    <w:rsid w:val="68EA5285"/>
    <w:rsid w:val="68F2CA8A"/>
    <w:rsid w:val="68F3F856"/>
    <w:rsid w:val="68F83B4E"/>
    <w:rsid w:val="68FA0BED"/>
    <w:rsid w:val="68FBFE4F"/>
    <w:rsid w:val="68FCD953"/>
    <w:rsid w:val="68FE4A04"/>
    <w:rsid w:val="68FEE565"/>
    <w:rsid w:val="68FF0647"/>
    <w:rsid w:val="69033857"/>
    <w:rsid w:val="690454D7"/>
    <w:rsid w:val="6905F405"/>
    <w:rsid w:val="690C49B7"/>
    <w:rsid w:val="691414B5"/>
    <w:rsid w:val="6915645E"/>
    <w:rsid w:val="691A5A34"/>
    <w:rsid w:val="692554DE"/>
    <w:rsid w:val="692F36B3"/>
    <w:rsid w:val="69363665"/>
    <w:rsid w:val="6939B99D"/>
    <w:rsid w:val="693C06AE"/>
    <w:rsid w:val="6942F9A6"/>
    <w:rsid w:val="69446837"/>
    <w:rsid w:val="694CC9B9"/>
    <w:rsid w:val="694CFF1E"/>
    <w:rsid w:val="6952C220"/>
    <w:rsid w:val="6953841B"/>
    <w:rsid w:val="69565AD1"/>
    <w:rsid w:val="69588EA1"/>
    <w:rsid w:val="695905CC"/>
    <w:rsid w:val="695A181C"/>
    <w:rsid w:val="695B1C2B"/>
    <w:rsid w:val="695BDF53"/>
    <w:rsid w:val="695FA69B"/>
    <w:rsid w:val="69638A2C"/>
    <w:rsid w:val="69639901"/>
    <w:rsid w:val="69645CAB"/>
    <w:rsid w:val="696B278B"/>
    <w:rsid w:val="696D416A"/>
    <w:rsid w:val="6970CDFA"/>
    <w:rsid w:val="69718A77"/>
    <w:rsid w:val="69749E78"/>
    <w:rsid w:val="69806921"/>
    <w:rsid w:val="69810854"/>
    <w:rsid w:val="6981388E"/>
    <w:rsid w:val="6981C968"/>
    <w:rsid w:val="6982A66E"/>
    <w:rsid w:val="6985B95C"/>
    <w:rsid w:val="69886196"/>
    <w:rsid w:val="698E1E2B"/>
    <w:rsid w:val="698EC542"/>
    <w:rsid w:val="699627E5"/>
    <w:rsid w:val="69981E67"/>
    <w:rsid w:val="699937A6"/>
    <w:rsid w:val="69A34B88"/>
    <w:rsid w:val="69A4227F"/>
    <w:rsid w:val="69A49573"/>
    <w:rsid w:val="69A581FB"/>
    <w:rsid w:val="69A941C2"/>
    <w:rsid w:val="69AE805D"/>
    <w:rsid w:val="69B67FD0"/>
    <w:rsid w:val="69B8F279"/>
    <w:rsid w:val="69B9DC52"/>
    <w:rsid w:val="69C30E91"/>
    <w:rsid w:val="69C55138"/>
    <w:rsid w:val="69CB2002"/>
    <w:rsid w:val="69CC9155"/>
    <w:rsid w:val="69CED827"/>
    <w:rsid w:val="69CF42D7"/>
    <w:rsid w:val="69CF4DFB"/>
    <w:rsid w:val="69D2E588"/>
    <w:rsid w:val="69D5882D"/>
    <w:rsid w:val="69DB679E"/>
    <w:rsid w:val="69DD839C"/>
    <w:rsid w:val="69E0DF76"/>
    <w:rsid w:val="69E13CFE"/>
    <w:rsid w:val="69E1FAC5"/>
    <w:rsid w:val="69E5268A"/>
    <w:rsid w:val="69E73C44"/>
    <w:rsid w:val="69EBA3FC"/>
    <w:rsid w:val="69F9DA41"/>
    <w:rsid w:val="69FAB179"/>
    <w:rsid w:val="69FF124A"/>
    <w:rsid w:val="6A0129E7"/>
    <w:rsid w:val="6A035D81"/>
    <w:rsid w:val="6A05B39B"/>
    <w:rsid w:val="6A07CAB8"/>
    <w:rsid w:val="6A0B9726"/>
    <w:rsid w:val="6A145316"/>
    <w:rsid w:val="6A177B52"/>
    <w:rsid w:val="6A1A1CAA"/>
    <w:rsid w:val="6A2751F6"/>
    <w:rsid w:val="6A2C5551"/>
    <w:rsid w:val="6A36DD5F"/>
    <w:rsid w:val="6A39B257"/>
    <w:rsid w:val="6A3DA079"/>
    <w:rsid w:val="6A408168"/>
    <w:rsid w:val="6A5702F4"/>
    <w:rsid w:val="6A5B5368"/>
    <w:rsid w:val="6A5CA5BF"/>
    <w:rsid w:val="6A5E0E0D"/>
    <w:rsid w:val="6A6248AE"/>
    <w:rsid w:val="6A6616AE"/>
    <w:rsid w:val="6A680E71"/>
    <w:rsid w:val="6A69AD9C"/>
    <w:rsid w:val="6A69C202"/>
    <w:rsid w:val="6A6BA30F"/>
    <w:rsid w:val="6A6D2B20"/>
    <w:rsid w:val="6A71E585"/>
    <w:rsid w:val="6A756EA3"/>
    <w:rsid w:val="6A759D5C"/>
    <w:rsid w:val="6A7A3D07"/>
    <w:rsid w:val="6A7CB02D"/>
    <w:rsid w:val="6A7CE328"/>
    <w:rsid w:val="6A7E92D8"/>
    <w:rsid w:val="6A80B94B"/>
    <w:rsid w:val="6A83D327"/>
    <w:rsid w:val="6A87A7F6"/>
    <w:rsid w:val="6A8D7E90"/>
    <w:rsid w:val="6A8F67FA"/>
    <w:rsid w:val="6A953EFA"/>
    <w:rsid w:val="6A9645B1"/>
    <w:rsid w:val="6A9D813A"/>
    <w:rsid w:val="6AA2B550"/>
    <w:rsid w:val="6AA8452A"/>
    <w:rsid w:val="6AAD1906"/>
    <w:rsid w:val="6AB013E7"/>
    <w:rsid w:val="6AB03E3E"/>
    <w:rsid w:val="6AB346E1"/>
    <w:rsid w:val="6AB6E032"/>
    <w:rsid w:val="6ABF6C44"/>
    <w:rsid w:val="6AC59580"/>
    <w:rsid w:val="6ACE2A2A"/>
    <w:rsid w:val="6ACF2C8B"/>
    <w:rsid w:val="6AD0DD9C"/>
    <w:rsid w:val="6AD2BA60"/>
    <w:rsid w:val="6AD45619"/>
    <w:rsid w:val="6AD6312C"/>
    <w:rsid w:val="6AE2B37F"/>
    <w:rsid w:val="6AE5B00D"/>
    <w:rsid w:val="6AE85377"/>
    <w:rsid w:val="6AE92F3F"/>
    <w:rsid w:val="6AEA73A6"/>
    <w:rsid w:val="6AED57B6"/>
    <w:rsid w:val="6AF03294"/>
    <w:rsid w:val="6AF30CFC"/>
    <w:rsid w:val="6AF36E13"/>
    <w:rsid w:val="6AF4CBA6"/>
    <w:rsid w:val="6AFAC2D8"/>
    <w:rsid w:val="6AFB0473"/>
    <w:rsid w:val="6AFC538A"/>
    <w:rsid w:val="6AFF6D03"/>
    <w:rsid w:val="6AFF6E1C"/>
    <w:rsid w:val="6B0000DA"/>
    <w:rsid w:val="6B02C7AC"/>
    <w:rsid w:val="6B08A27A"/>
    <w:rsid w:val="6B0E6F72"/>
    <w:rsid w:val="6B1213B2"/>
    <w:rsid w:val="6B13A5E5"/>
    <w:rsid w:val="6B187FD0"/>
    <w:rsid w:val="6B203147"/>
    <w:rsid w:val="6B278DC7"/>
    <w:rsid w:val="6B2BBCC6"/>
    <w:rsid w:val="6B2F6A95"/>
    <w:rsid w:val="6B301C6B"/>
    <w:rsid w:val="6B3410D4"/>
    <w:rsid w:val="6B371CF9"/>
    <w:rsid w:val="6B38902F"/>
    <w:rsid w:val="6B3E5EB5"/>
    <w:rsid w:val="6B42611D"/>
    <w:rsid w:val="6B478B92"/>
    <w:rsid w:val="6B576771"/>
    <w:rsid w:val="6B5FB91B"/>
    <w:rsid w:val="6B6020FD"/>
    <w:rsid w:val="6B61D133"/>
    <w:rsid w:val="6B6388C9"/>
    <w:rsid w:val="6B6959FE"/>
    <w:rsid w:val="6B6A8CF2"/>
    <w:rsid w:val="6B6A9CB9"/>
    <w:rsid w:val="6B6BF040"/>
    <w:rsid w:val="6B6D8611"/>
    <w:rsid w:val="6B6FD40C"/>
    <w:rsid w:val="6B70007A"/>
    <w:rsid w:val="6B712633"/>
    <w:rsid w:val="6B77009C"/>
    <w:rsid w:val="6B778AE9"/>
    <w:rsid w:val="6B7A2558"/>
    <w:rsid w:val="6B7A8D85"/>
    <w:rsid w:val="6B8481F6"/>
    <w:rsid w:val="6B868D97"/>
    <w:rsid w:val="6B8CD429"/>
    <w:rsid w:val="6B902967"/>
    <w:rsid w:val="6B960118"/>
    <w:rsid w:val="6B96DEC8"/>
    <w:rsid w:val="6B9BCF60"/>
    <w:rsid w:val="6BA29BD3"/>
    <w:rsid w:val="6BA7883C"/>
    <w:rsid w:val="6BA86256"/>
    <w:rsid w:val="6BAE2863"/>
    <w:rsid w:val="6BAF2D34"/>
    <w:rsid w:val="6BB1520A"/>
    <w:rsid w:val="6BB1DAC1"/>
    <w:rsid w:val="6BB21747"/>
    <w:rsid w:val="6BB3AC42"/>
    <w:rsid w:val="6BB859E4"/>
    <w:rsid w:val="6BBCB474"/>
    <w:rsid w:val="6BC81811"/>
    <w:rsid w:val="6BCC01A5"/>
    <w:rsid w:val="6BCCC042"/>
    <w:rsid w:val="6BCD2AA4"/>
    <w:rsid w:val="6BD22D39"/>
    <w:rsid w:val="6BD4C331"/>
    <w:rsid w:val="6BD6173D"/>
    <w:rsid w:val="6BD6C327"/>
    <w:rsid w:val="6BDA6F5D"/>
    <w:rsid w:val="6BDED597"/>
    <w:rsid w:val="6BDFAE0B"/>
    <w:rsid w:val="6BE67EDD"/>
    <w:rsid w:val="6BE72245"/>
    <w:rsid w:val="6BEA4C61"/>
    <w:rsid w:val="6BF568B8"/>
    <w:rsid w:val="6BF74640"/>
    <w:rsid w:val="6BFA6003"/>
    <w:rsid w:val="6BFE2824"/>
    <w:rsid w:val="6BFEC0FD"/>
    <w:rsid w:val="6BFFAA1E"/>
    <w:rsid w:val="6C173F28"/>
    <w:rsid w:val="6C24BC2D"/>
    <w:rsid w:val="6C256504"/>
    <w:rsid w:val="6C262E71"/>
    <w:rsid w:val="6C26A20F"/>
    <w:rsid w:val="6C28626C"/>
    <w:rsid w:val="6C293477"/>
    <w:rsid w:val="6C2BCC0A"/>
    <w:rsid w:val="6C306000"/>
    <w:rsid w:val="6C35AF79"/>
    <w:rsid w:val="6C3C1942"/>
    <w:rsid w:val="6C3C48A2"/>
    <w:rsid w:val="6C3C960A"/>
    <w:rsid w:val="6C47568B"/>
    <w:rsid w:val="6C4F942D"/>
    <w:rsid w:val="6C5D3340"/>
    <w:rsid w:val="6C5EF38B"/>
    <w:rsid w:val="6C5F6D77"/>
    <w:rsid w:val="6C69F4E2"/>
    <w:rsid w:val="6C6F1316"/>
    <w:rsid w:val="6C700254"/>
    <w:rsid w:val="6C72AE20"/>
    <w:rsid w:val="6C73B24F"/>
    <w:rsid w:val="6C7A045B"/>
    <w:rsid w:val="6C82ED05"/>
    <w:rsid w:val="6C84893E"/>
    <w:rsid w:val="6C869A50"/>
    <w:rsid w:val="6C8913F6"/>
    <w:rsid w:val="6C8C1304"/>
    <w:rsid w:val="6C94D1F7"/>
    <w:rsid w:val="6C9B52FC"/>
    <w:rsid w:val="6CA59EDF"/>
    <w:rsid w:val="6CA76E67"/>
    <w:rsid w:val="6CA8BCBA"/>
    <w:rsid w:val="6CB683D4"/>
    <w:rsid w:val="6CBB358C"/>
    <w:rsid w:val="6CBB73D8"/>
    <w:rsid w:val="6CC009F0"/>
    <w:rsid w:val="6CC553FB"/>
    <w:rsid w:val="6CC56644"/>
    <w:rsid w:val="6CCAE711"/>
    <w:rsid w:val="6CCD0C4E"/>
    <w:rsid w:val="6CCD2A5F"/>
    <w:rsid w:val="6CD0C21C"/>
    <w:rsid w:val="6CD3B75E"/>
    <w:rsid w:val="6CD89093"/>
    <w:rsid w:val="6CD9045A"/>
    <w:rsid w:val="6CD94E9F"/>
    <w:rsid w:val="6CD98170"/>
    <w:rsid w:val="6CDB17AF"/>
    <w:rsid w:val="6CE06B9B"/>
    <w:rsid w:val="6CE2AA3D"/>
    <w:rsid w:val="6CE44678"/>
    <w:rsid w:val="6CE4AE69"/>
    <w:rsid w:val="6CE70412"/>
    <w:rsid w:val="6CEAB3AD"/>
    <w:rsid w:val="6CEDC61C"/>
    <w:rsid w:val="6CF03225"/>
    <w:rsid w:val="6CF04D7B"/>
    <w:rsid w:val="6CF081D0"/>
    <w:rsid w:val="6CF155DF"/>
    <w:rsid w:val="6CF1A23E"/>
    <w:rsid w:val="6CFA20AC"/>
    <w:rsid w:val="6D0EBDD7"/>
    <w:rsid w:val="6D0F0E88"/>
    <w:rsid w:val="6D12378B"/>
    <w:rsid w:val="6D15E8AC"/>
    <w:rsid w:val="6D1AB45E"/>
    <w:rsid w:val="6D1E659E"/>
    <w:rsid w:val="6D218E56"/>
    <w:rsid w:val="6D27DB28"/>
    <w:rsid w:val="6D2A955C"/>
    <w:rsid w:val="6D33A85D"/>
    <w:rsid w:val="6D429806"/>
    <w:rsid w:val="6D48F8DA"/>
    <w:rsid w:val="6D4FBEED"/>
    <w:rsid w:val="6D5465FA"/>
    <w:rsid w:val="6D551FB9"/>
    <w:rsid w:val="6D56C41E"/>
    <w:rsid w:val="6D5F2589"/>
    <w:rsid w:val="6D606436"/>
    <w:rsid w:val="6D64C77E"/>
    <w:rsid w:val="6D6EF663"/>
    <w:rsid w:val="6D7104B2"/>
    <w:rsid w:val="6D718CE0"/>
    <w:rsid w:val="6D71FBC0"/>
    <w:rsid w:val="6D72B737"/>
    <w:rsid w:val="6D75626F"/>
    <w:rsid w:val="6D7A4BC9"/>
    <w:rsid w:val="6D88871F"/>
    <w:rsid w:val="6D895248"/>
    <w:rsid w:val="6D8CBBF0"/>
    <w:rsid w:val="6D8D15CE"/>
    <w:rsid w:val="6D8F2691"/>
    <w:rsid w:val="6D927A86"/>
    <w:rsid w:val="6D943457"/>
    <w:rsid w:val="6D98181D"/>
    <w:rsid w:val="6DA36CDA"/>
    <w:rsid w:val="6DA44966"/>
    <w:rsid w:val="6DAB2C0B"/>
    <w:rsid w:val="6DACA568"/>
    <w:rsid w:val="6DAD2F56"/>
    <w:rsid w:val="6DAEA94B"/>
    <w:rsid w:val="6DB71F66"/>
    <w:rsid w:val="6DB76441"/>
    <w:rsid w:val="6DB9EF3C"/>
    <w:rsid w:val="6DBAC2A0"/>
    <w:rsid w:val="6DBC0725"/>
    <w:rsid w:val="6DC014F3"/>
    <w:rsid w:val="6DC3414D"/>
    <w:rsid w:val="6DC6604E"/>
    <w:rsid w:val="6DCEF122"/>
    <w:rsid w:val="6DD4A5CF"/>
    <w:rsid w:val="6DD531F4"/>
    <w:rsid w:val="6DEBF2D5"/>
    <w:rsid w:val="6DF53144"/>
    <w:rsid w:val="6DFA2ED3"/>
    <w:rsid w:val="6DFC86F5"/>
    <w:rsid w:val="6DFD6FCB"/>
    <w:rsid w:val="6DFE8CAD"/>
    <w:rsid w:val="6DFEB9DE"/>
    <w:rsid w:val="6E07B702"/>
    <w:rsid w:val="6E0EBD02"/>
    <w:rsid w:val="6E1344A9"/>
    <w:rsid w:val="6E17A5D4"/>
    <w:rsid w:val="6E1A1FB9"/>
    <w:rsid w:val="6E201E42"/>
    <w:rsid w:val="6E23C4DA"/>
    <w:rsid w:val="6E260D4B"/>
    <w:rsid w:val="6E27A40E"/>
    <w:rsid w:val="6E2CCE51"/>
    <w:rsid w:val="6E2F15BF"/>
    <w:rsid w:val="6E3272DB"/>
    <w:rsid w:val="6E35A773"/>
    <w:rsid w:val="6E35C19C"/>
    <w:rsid w:val="6E390CAC"/>
    <w:rsid w:val="6E397855"/>
    <w:rsid w:val="6E3F6BF4"/>
    <w:rsid w:val="6E3FD04C"/>
    <w:rsid w:val="6E40BF9B"/>
    <w:rsid w:val="6E41F056"/>
    <w:rsid w:val="6E433A81"/>
    <w:rsid w:val="6E436F11"/>
    <w:rsid w:val="6E459803"/>
    <w:rsid w:val="6E484259"/>
    <w:rsid w:val="6E4F921C"/>
    <w:rsid w:val="6E5127CE"/>
    <w:rsid w:val="6E535C7F"/>
    <w:rsid w:val="6E576FAA"/>
    <w:rsid w:val="6E5EC4BD"/>
    <w:rsid w:val="6E5EF528"/>
    <w:rsid w:val="6E60D94C"/>
    <w:rsid w:val="6E63EA88"/>
    <w:rsid w:val="6E640A73"/>
    <w:rsid w:val="6E64F198"/>
    <w:rsid w:val="6E6D7209"/>
    <w:rsid w:val="6E750395"/>
    <w:rsid w:val="6E785CDD"/>
    <w:rsid w:val="6E789410"/>
    <w:rsid w:val="6E7DE7A3"/>
    <w:rsid w:val="6E7E54D9"/>
    <w:rsid w:val="6E878F36"/>
    <w:rsid w:val="6E87F7E3"/>
    <w:rsid w:val="6E888F49"/>
    <w:rsid w:val="6E8A866F"/>
    <w:rsid w:val="6E9016C2"/>
    <w:rsid w:val="6E90F134"/>
    <w:rsid w:val="6E954FBF"/>
    <w:rsid w:val="6E9A2A4D"/>
    <w:rsid w:val="6EA2A58A"/>
    <w:rsid w:val="6EA34BA1"/>
    <w:rsid w:val="6EA55EE3"/>
    <w:rsid w:val="6EAA5924"/>
    <w:rsid w:val="6EB0F4BF"/>
    <w:rsid w:val="6EB19044"/>
    <w:rsid w:val="6EB1CF46"/>
    <w:rsid w:val="6EB46487"/>
    <w:rsid w:val="6EB700CF"/>
    <w:rsid w:val="6EB7FB56"/>
    <w:rsid w:val="6EBA115C"/>
    <w:rsid w:val="6EBAB9C0"/>
    <w:rsid w:val="6EC39EF6"/>
    <w:rsid w:val="6EC8FE26"/>
    <w:rsid w:val="6ED8206B"/>
    <w:rsid w:val="6ED9220B"/>
    <w:rsid w:val="6EE1D48D"/>
    <w:rsid w:val="6EE73DAC"/>
    <w:rsid w:val="6EE85066"/>
    <w:rsid w:val="6EEE09AE"/>
    <w:rsid w:val="6EEE39AB"/>
    <w:rsid w:val="6EEE5250"/>
    <w:rsid w:val="6EEFF1A5"/>
    <w:rsid w:val="6EF338C1"/>
    <w:rsid w:val="6EF4B9D8"/>
    <w:rsid w:val="6EF9AE69"/>
    <w:rsid w:val="6F002F03"/>
    <w:rsid w:val="6F08B6BF"/>
    <w:rsid w:val="6F0BBCCC"/>
    <w:rsid w:val="6F0D557A"/>
    <w:rsid w:val="6F12010B"/>
    <w:rsid w:val="6F14D232"/>
    <w:rsid w:val="6F15A517"/>
    <w:rsid w:val="6F15B01D"/>
    <w:rsid w:val="6F2135A3"/>
    <w:rsid w:val="6F21B0E8"/>
    <w:rsid w:val="6F245A7B"/>
    <w:rsid w:val="6F25E82A"/>
    <w:rsid w:val="6F26A4F5"/>
    <w:rsid w:val="6F2B2968"/>
    <w:rsid w:val="6F39091F"/>
    <w:rsid w:val="6F3C9619"/>
    <w:rsid w:val="6F3D1361"/>
    <w:rsid w:val="6F3E028C"/>
    <w:rsid w:val="6F3FA950"/>
    <w:rsid w:val="6F403B55"/>
    <w:rsid w:val="6F41A2C4"/>
    <w:rsid w:val="6F434CF3"/>
    <w:rsid w:val="6F483145"/>
    <w:rsid w:val="6F4A7889"/>
    <w:rsid w:val="6F4C4E31"/>
    <w:rsid w:val="6F4EDDF2"/>
    <w:rsid w:val="6F514592"/>
    <w:rsid w:val="6F5204B5"/>
    <w:rsid w:val="6F530C7C"/>
    <w:rsid w:val="6F536DBC"/>
    <w:rsid w:val="6F5B57FD"/>
    <w:rsid w:val="6F5D1DC4"/>
    <w:rsid w:val="6F5D9CE9"/>
    <w:rsid w:val="6F63C45C"/>
    <w:rsid w:val="6F63F523"/>
    <w:rsid w:val="6F645E0C"/>
    <w:rsid w:val="6F703BEE"/>
    <w:rsid w:val="6F7046B4"/>
    <w:rsid w:val="6F7CD0AB"/>
    <w:rsid w:val="6F7D7FE5"/>
    <w:rsid w:val="6F87BFEA"/>
    <w:rsid w:val="6F886217"/>
    <w:rsid w:val="6F8AB335"/>
    <w:rsid w:val="6F8C326C"/>
    <w:rsid w:val="6F8FEC95"/>
    <w:rsid w:val="6F919900"/>
    <w:rsid w:val="6F929056"/>
    <w:rsid w:val="6F9D02B2"/>
    <w:rsid w:val="6F9E6BD3"/>
    <w:rsid w:val="6FA16C5D"/>
    <w:rsid w:val="6FA48CAE"/>
    <w:rsid w:val="6FA7A0AB"/>
    <w:rsid w:val="6FB56BEF"/>
    <w:rsid w:val="6FB65CE5"/>
    <w:rsid w:val="6FB7AF68"/>
    <w:rsid w:val="6FBAAF42"/>
    <w:rsid w:val="6FBE8B5C"/>
    <w:rsid w:val="6FC4048C"/>
    <w:rsid w:val="6FCC89BC"/>
    <w:rsid w:val="6FD2F3EA"/>
    <w:rsid w:val="6FD32C3E"/>
    <w:rsid w:val="6FD4DA95"/>
    <w:rsid w:val="6FD5400C"/>
    <w:rsid w:val="6FDBF5CA"/>
    <w:rsid w:val="6FE04AAB"/>
    <w:rsid w:val="6FE09CBD"/>
    <w:rsid w:val="6FE2833E"/>
    <w:rsid w:val="6FE8B8FD"/>
    <w:rsid w:val="6FEAD479"/>
    <w:rsid w:val="6FEBEBBC"/>
    <w:rsid w:val="6FEDF076"/>
    <w:rsid w:val="6FF037A9"/>
    <w:rsid w:val="6FF59EC5"/>
    <w:rsid w:val="6FF5E5C9"/>
    <w:rsid w:val="6FF6D37C"/>
    <w:rsid w:val="6FF80E08"/>
    <w:rsid w:val="6FF8E79B"/>
    <w:rsid w:val="6FFBAFC9"/>
    <w:rsid w:val="6FFE55FD"/>
    <w:rsid w:val="70035DFE"/>
    <w:rsid w:val="70065E64"/>
    <w:rsid w:val="700DD218"/>
    <w:rsid w:val="700F34A0"/>
    <w:rsid w:val="7012DD20"/>
    <w:rsid w:val="7012F507"/>
    <w:rsid w:val="701BA277"/>
    <w:rsid w:val="701CA7FA"/>
    <w:rsid w:val="702115B0"/>
    <w:rsid w:val="7029412C"/>
    <w:rsid w:val="702FFD6B"/>
    <w:rsid w:val="7033684A"/>
    <w:rsid w:val="703418B3"/>
    <w:rsid w:val="70366198"/>
    <w:rsid w:val="7036973D"/>
    <w:rsid w:val="70393CF0"/>
    <w:rsid w:val="703FB50E"/>
    <w:rsid w:val="704A7033"/>
    <w:rsid w:val="704EA238"/>
    <w:rsid w:val="70550967"/>
    <w:rsid w:val="70573643"/>
    <w:rsid w:val="705C864B"/>
    <w:rsid w:val="705D098D"/>
    <w:rsid w:val="706D64B3"/>
    <w:rsid w:val="7072E283"/>
    <w:rsid w:val="70731554"/>
    <w:rsid w:val="707384F6"/>
    <w:rsid w:val="7074E961"/>
    <w:rsid w:val="707661BB"/>
    <w:rsid w:val="707BDEFC"/>
    <w:rsid w:val="707CBAAF"/>
    <w:rsid w:val="707CF068"/>
    <w:rsid w:val="7081A9B7"/>
    <w:rsid w:val="70854AE9"/>
    <w:rsid w:val="70861A1A"/>
    <w:rsid w:val="708B0EC1"/>
    <w:rsid w:val="708D45A6"/>
    <w:rsid w:val="7091060E"/>
    <w:rsid w:val="70935E71"/>
    <w:rsid w:val="70940F6B"/>
    <w:rsid w:val="709A3F0D"/>
    <w:rsid w:val="70A50A51"/>
    <w:rsid w:val="70A72C63"/>
    <w:rsid w:val="70A8F56D"/>
    <w:rsid w:val="70A9B1D0"/>
    <w:rsid w:val="70AC6854"/>
    <w:rsid w:val="70AFDC86"/>
    <w:rsid w:val="70B487FC"/>
    <w:rsid w:val="70B69FB1"/>
    <w:rsid w:val="70BB6A2C"/>
    <w:rsid w:val="70BCB503"/>
    <w:rsid w:val="70BD5E2D"/>
    <w:rsid w:val="70BFEC02"/>
    <w:rsid w:val="70C1F207"/>
    <w:rsid w:val="70D37E57"/>
    <w:rsid w:val="70DCFF27"/>
    <w:rsid w:val="70DEE7A3"/>
    <w:rsid w:val="70DF4F7D"/>
    <w:rsid w:val="70E2FBEC"/>
    <w:rsid w:val="70E60531"/>
    <w:rsid w:val="70EA9FE0"/>
    <w:rsid w:val="70F60C95"/>
    <w:rsid w:val="70F9CABC"/>
    <w:rsid w:val="70FCD7C1"/>
    <w:rsid w:val="7103E6C9"/>
    <w:rsid w:val="71093164"/>
    <w:rsid w:val="710D74AB"/>
    <w:rsid w:val="710F5892"/>
    <w:rsid w:val="7110FD42"/>
    <w:rsid w:val="711199DD"/>
    <w:rsid w:val="7112C263"/>
    <w:rsid w:val="71148A70"/>
    <w:rsid w:val="7117587B"/>
    <w:rsid w:val="71199111"/>
    <w:rsid w:val="71261078"/>
    <w:rsid w:val="71273C1D"/>
    <w:rsid w:val="7129125C"/>
    <w:rsid w:val="712CD66F"/>
    <w:rsid w:val="71313F2C"/>
    <w:rsid w:val="713229B1"/>
    <w:rsid w:val="7140C158"/>
    <w:rsid w:val="71441D59"/>
    <w:rsid w:val="71487304"/>
    <w:rsid w:val="7148B6E4"/>
    <w:rsid w:val="714E4C81"/>
    <w:rsid w:val="714FF9D9"/>
    <w:rsid w:val="71539128"/>
    <w:rsid w:val="71541BD2"/>
    <w:rsid w:val="7155140B"/>
    <w:rsid w:val="7157FBFA"/>
    <w:rsid w:val="7158D712"/>
    <w:rsid w:val="71645D79"/>
    <w:rsid w:val="71646E7A"/>
    <w:rsid w:val="716A591E"/>
    <w:rsid w:val="716E8A66"/>
    <w:rsid w:val="71755E85"/>
    <w:rsid w:val="7175749F"/>
    <w:rsid w:val="7175F3D2"/>
    <w:rsid w:val="717AFDCA"/>
    <w:rsid w:val="717D6955"/>
    <w:rsid w:val="7182B449"/>
    <w:rsid w:val="7185A99E"/>
    <w:rsid w:val="7189F672"/>
    <w:rsid w:val="7190669A"/>
    <w:rsid w:val="7192137D"/>
    <w:rsid w:val="7195FFC8"/>
    <w:rsid w:val="71974A6D"/>
    <w:rsid w:val="719D56F4"/>
    <w:rsid w:val="719DF0CD"/>
    <w:rsid w:val="71A1C667"/>
    <w:rsid w:val="71A4F18F"/>
    <w:rsid w:val="71A95D43"/>
    <w:rsid w:val="71AACB84"/>
    <w:rsid w:val="71AEDDF1"/>
    <w:rsid w:val="71B737AC"/>
    <w:rsid w:val="71B7A1A5"/>
    <w:rsid w:val="71BC2F77"/>
    <w:rsid w:val="71CA4C31"/>
    <w:rsid w:val="71D10AFA"/>
    <w:rsid w:val="71D5AD7F"/>
    <w:rsid w:val="71D6FC7E"/>
    <w:rsid w:val="71DAC4F6"/>
    <w:rsid w:val="71DD4A14"/>
    <w:rsid w:val="71DF8639"/>
    <w:rsid w:val="71E04911"/>
    <w:rsid w:val="71E82B3C"/>
    <w:rsid w:val="71EB841E"/>
    <w:rsid w:val="71ECBA3F"/>
    <w:rsid w:val="71ED5EEF"/>
    <w:rsid w:val="71EF426C"/>
    <w:rsid w:val="71F28B22"/>
    <w:rsid w:val="71F2CDA3"/>
    <w:rsid w:val="71F48986"/>
    <w:rsid w:val="71FB974A"/>
    <w:rsid w:val="71FD9BDB"/>
    <w:rsid w:val="72017D63"/>
    <w:rsid w:val="7203533E"/>
    <w:rsid w:val="720C2834"/>
    <w:rsid w:val="7222B33F"/>
    <w:rsid w:val="72234265"/>
    <w:rsid w:val="722CB83B"/>
    <w:rsid w:val="722DEE36"/>
    <w:rsid w:val="72311DFA"/>
    <w:rsid w:val="72340A2F"/>
    <w:rsid w:val="7235318C"/>
    <w:rsid w:val="72369464"/>
    <w:rsid w:val="723C6551"/>
    <w:rsid w:val="723DA3E4"/>
    <w:rsid w:val="72401D16"/>
    <w:rsid w:val="724B1563"/>
    <w:rsid w:val="724F3E85"/>
    <w:rsid w:val="724FAD8B"/>
    <w:rsid w:val="7252FA33"/>
    <w:rsid w:val="725B4485"/>
    <w:rsid w:val="725B5F12"/>
    <w:rsid w:val="725EB3BA"/>
    <w:rsid w:val="726086F1"/>
    <w:rsid w:val="7261B0DA"/>
    <w:rsid w:val="72627497"/>
    <w:rsid w:val="72635369"/>
    <w:rsid w:val="72655C6E"/>
    <w:rsid w:val="7265DEA8"/>
    <w:rsid w:val="72697C4D"/>
    <w:rsid w:val="726AC67E"/>
    <w:rsid w:val="726BE7B2"/>
    <w:rsid w:val="726DF51D"/>
    <w:rsid w:val="726EBFD6"/>
    <w:rsid w:val="72705267"/>
    <w:rsid w:val="7270D5C4"/>
    <w:rsid w:val="72714B06"/>
    <w:rsid w:val="7273C0D7"/>
    <w:rsid w:val="7276C963"/>
    <w:rsid w:val="727B1D3C"/>
    <w:rsid w:val="72860822"/>
    <w:rsid w:val="7291AD59"/>
    <w:rsid w:val="729C2225"/>
    <w:rsid w:val="72A10254"/>
    <w:rsid w:val="72ACD50F"/>
    <w:rsid w:val="72AFA729"/>
    <w:rsid w:val="72BBA894"/>
    <w:rsid w:val="72BED5DC"/>
    <w:rsid w:val="72C09B7E"/>
    <w:rsid w:val="72C97B1E"/>
    <w:rsid w:val="72CA4855"/>
    <w:rsid w:val="72CFD6A4"/>
    <w:rsid w:val="72D44403"/>
    <w:rsid w:val="72D82F18"/>
    <w:rsid w:val="72DBC8B2"/>
    <w:rsid w:val="72DC8019"/>
    <w:rsid w:val="72DE61FA"/>
    <w:rsid w:val="72E1BEB3"/>
    <w:rsid w:val="72E3795B"/>
    <w:rsid w:val="72E9A31F"/>
    <w:rsid w:val="72EBCA02"/>
    <w:rsid w:val="72EF0243"/>
    <w:rsid w:val="72EF2401"/>
    <w:rsid w:val="72F40A3C"/>
    <w:rsid w:val="72F5858B"/>
    <w:rsid w:val="72F9CCE3"/>
    <w:rsid w:val="72FCA61A"/>
    <w:rsid w:val="72FD25CF"/>
    <w:rsid w:val="7302DAE0"/>
    <w:rsid w:val="730380DA"/>
    <w:rsid w:val="7304F662"/>
    <w:rsid w:val="7305A819"/>
    <w:rsid w:val="7305FC5E"/>
    <w:rsid w:val="730B5F7C"/>
    <w:rsid w:val="73166079"/>
    <w:rsid w:val="73171595"/>
    <w:rsid w:val="73181B25"/>
    <w:rsid w:val="7318A462"/>
    <w:rsid w:val="731A4382"/>
    <w:rsid w:val="731CFC08"/>
    <w:rsid w:val="731FA281"/>
    <w:rsid w:val="732059BF"/>
    <w:rsid w:val="73286992"/>
    <w:rsid w:val="7328AD28"/>
    <w:rsid w:val="7328CD16"/>
    <w:rsid w:val="732B7F7A"/>
    <w:rsid w:val="732E5CE2"/>
    <w:rsid w:val="732EA456"/>
    <w:rsid w:val="732F4FF0"/>
    <w:rsid w:val="73319166"/>
    <w:rsid w:val="73331B98"/>
    <w:rsid w:val="73348E80"/>
    <w:rsid w:val="7335B91F"/>
    <w:rsid w:val="7335F69E"/>
    <w:rsid w:val="7338ED5D"/>
    <w:rsid w:val="733AB3EB"/>
    <w:rsid w:val="73406495"/>
    <w:rsid w:val="7345E28B"/>
    <w:rsid w:val="734BCF72"/>
    <w:rsid w:val="734EF09D"/>
    <w:rsid w:val="735022B5"/>
    <w:rsid w:val="735848CB"/>
    <w:rsid w:val="7363607C"/>
    <w:rsid w:val="73672B36"/>
    <w:rsid w:val="73688274"/>
    <w:rsid w:val="736ED222"/>
    <w:rsid w:val="73797F1C"/>
    <w:rsid w:val="7381A889"/>
    <w:rsid w:val="7384E12C"/>
    <w:rsid w:val="738A42FE"/>
    <w:rsid w:val="738AA552"/>
    <w:rsid w:val="738CFB6C"/>
    <w:rsid w:val="73A3222F"/>
    <w:rsid w:val="73AF9B40"/>
    <w:rsid w:val="73B28F94"/>
    <w:rsid w:val="73B8619A"/>
    <w:rsid w:val="73BA64D9"/>
    <w:rsid w:val="73BE5164"/>
    <w:rsid w:val="73BF5D73"/>
    <w:rsid w:val="73C0D8D5"/>
    <w:rsid w:val="73C405B1"/>
    <w:rsid w:val="73CD3B65"/>
    <w:rsid w:val="73D2D507"/>
    <w:rsid w:val="73D70C45"/>
    <w:rsid w:val="73D8FBC7"/>
    <w:rsid w:val="73DD987B"/>
    <w:rsid w:val="73DDAEB7"/>
    <w:rsid w:val="73E06910"/>
    <w:rsid w:val="73E0F970"/>
    <w:rsid w:val="73E7E50F"/>
    <w:rsid w:val="73E875E6"/>
    <w:rsid w:val="73E9CC51"/>
    <w:rsid w:val="73EDFB35"/>
    <w:rsid w:val="73F2236B"/>
    <w:rsid w:val="73F35E13"/>
    <w:rsid w:val="73FC0E87"/>
    <w:rsid w:val="73FCF22F"/>
    <w:rsid w:val="73FD4E86"/>
    <w:rsid w:val="73FF0167"/>
    <w:rsid w:val="73FFA5BE"/>
    <w:rsid w:val="7407C51A"/>
    <w:rsid w:val="7409560B"/>
    <w:rsid w:val="740B5352"/>
    <w:rsid w:val="740C0768"/>
    <w:rsid w:val="740F10F1"/>
    <w:rsid w:val="7411A5AF"/>
    <w:rsid w:val="74121A33"/>
    <w:rsid w:val="7418E3EE"/>
    <w:rsid w:val="7420E230"/>
    <w:rsid w:val="742528DB"/>
    <w:rsid w:val="742768ED"/>
    <w:rsid w:val="743460D6"/>
    <w:rsid w:val="74353829"/>
    <w:rsid w:val="7435883F"/>
    <w:rsid w:val="743C2358"/>
    <w:rsid w:val="7445FB98"/>
    <w:rsid w:val="7449B7F0"/>
    <w:rsid w:val="744A028B"/>
    <w:rsid w:val="744DDE43"/>
    <w:rsid w:val="744FEBCD"/>
    <w:rsid w:val="7454A2BE"/>
    <w:rsid w:val="74565398"/>
    <w:rsid w:val="74567317"/>
    <w:rsid w:val="74581295"/>
    <w:rsid w:val="7462C849"/>
    <w:rsid w:val="746F3180"/>
    <w:rsid w:val="746FECB0"/>
    <w:rsid w:val="747386B4"/>
    <w:rsid w:val="74769886"/>
    <w:rsid w:val="747C5E44"/>
    <w:rsid w:val="748CB774"/>
    <w:rsid w:val="74918513"/>
    <w:rsid w:val="7494E2BC"/>
    <w:rsid w:val="7495B5AF"/>
    <w:rsid w:val="7499B88F"/>
    <w:rsid w:val="7499E21B"/>
    <w:rsid w:val="749E37EB"/>
    <w:rsid w:val="749EBD1A"/>
    <w:rsid w:val="74A2A2CB"/>
    <w:rsid w:val="74A52CD2"/>
    <w:rsid w:val="74A5C66E"/>
    <w:rsid w:val="74A7C0AD"/>
    <w:rsid w:val="74ABCD2E"/>
    <w:rsid w:val="74AC932A"/>
    <w:rsid w:val="74AE1F60"/>
    <w:rsid w:val="74AF03F5"/>
    <w:rsid w:val="74B083A2"/>
    <w:rsid w:val="74B73E60"/>
    <w:rsid w:val="74BCD290"/>
    <w:rsid w:val="74C2DEA4"/>
    <w:rsid w:val="74D48DF0"/>
    <w:rsid w:val="74D86DA3"/>
    <w:rsid w:val="74DC821E"/>
    <w:rsid w:val="74E63359"/>
    <w:rsid w:val="74E78920"/>
    <w:rsid w:val="74EE1931"/>
    <w:rsid w:val="74FE7AC1"/>
    <w:rsid w:val="7509CCFE"/>
    <w:rsid w:val="750CDF77"/>
    <w:rsid w:val="751103C9"/>
    <w:rsid w:val="75171129"/>
    <w:rsid w:val="75178CE3"/>
    <w:rsid w:val="751C93EA"/>
    <w:rsid w:val="751E80A0"/>
    <w:rsid w:val="751F259C"/>
    <w:rsid w:val="7521F7F9"/>
    <w:rsid w:val="752352C5"/>
    <w:rsid w:val="7523616F"/>
    <w:rsid w:val="752C248E"/>
    <w:rsid w:val="7531E782"/>
    <w:rsid w:val="753243B6"/>
    <w:rsid w:val="7538BC18"/>
    <w:rsid w:val="753AA7C2"/>
    <w:rsid w:val="753AF323"/>
    <w:rsid w:val="75409B86"/>
    <w:rsid w:val="75429F54"/>
    <w:rsid w:val="754A34E6"/>
    <w:rsid w:val="754C67DE"/>
    <w:rsid w:val="754E3599"/>
    <w:rsid w:val="754F405F"/>
    <w:rsid w:val="75535600"/>
    <w:rsid w:val="7556D0DA"/>
    <w:rsid w:val="755AABC1"/>
    <w:rsid w:val="755FA8D3"/>
    <w:rsid w:val="7560FA35"/>
    <w:rsid w:val="7563827C"/>
    <w:rsid w:val="756DB6EA"/>
    <w:rsid w:val="75834BB3"/>
    <w:rsid w:val="75839A14"/>
    <w:rsid w:val="75854C48"/>
    <w:rsid w:val="7587F2DC"/>
    <w:rsid w:val="758F6CB2"/>
    <w:rsid w:val="7592A7B2"/>
    <w:rsid w:val="759540FC"/>
    <w:rsid w:val="7597903B"/>
    <w:rsid w:val="75A1BD5C"/>
    <w:rsid w:val="75A3B207"/>
    <w:rsid w:val="75A44CA0"/>
    <w:rsid w:val="75A5CDE6"/>
    <w:rsid w:val="75A811BB"/>
    <w:rsid w:val="75AA1C12"/>
    <w:rsid w:val="75AE3657"/>
    <w:rsid w:val="75AEB6C1"/>
    <w:rsid w:val="75B0017E"/>
    <w:rsid w:val="75B29566"/>
    <w:rsid w:val="75B90B6A"/>
    <w:rsid w:val="75BB18E8"/>
    <w:rsid w:val="75C2DA6F"/>
    <w:rsid w:val="75C32470"/>
    <w:rsid w:val="75C435A9"/>
    <w:rsid w:val="75C53BA1"/>
    <w:rsid w:val="75D0760C"/>
    <w:rsid w:val="75D13D75"/>
    <w:rsid w:val="75D1A583"/>
    <w:rsid w:val="75D8FCFC"/>
    <w:rsid w:val="75D92DA9"/>
    <w:rsid w:val="75E743F6"/>
    <w:rsid w:val="75EB6BC0"/>
    <w:rsid w:val="75EE601E"/>
    <w:rsid w:val="75F443FA"/>
    <w:rsid w:val="76010B70"/>
    <w:rsid w:val="7604C6EA"/>
    <w:rsid w:val="76060187"/>
    <w:rsid w:val="76061ED2"/>
    <w:rsid w:val="7606F10D"/>
    <w:rsid w:val="76147875"/>
    <w:rsid w:val="7616F389"/>
    <w:rsid w:val="761C3783"/>
    <w:rsid w:val="761D90D1"/>
    <w:rsid w:val="761DDA9C"/>
    <w:rsid w:val="762022A6"/>
    <w:rsid w:val="7626010B"/>
    <w:rsid w:val="76264D7D"/>
    <w:rsid w:val="76269A88"/>
    <w:rsid w:val="76284EB8"/>
    <w:rsid w:val="762EF48E"/>
    <w:rsid w:val="762FF3DF"/>
    <w:rsid w:val="7630A8B5"/>
    <w:rsid w:val="76312B69"/>
    <w:rsid w:val="76313315"/>
    <w:rsid w:val="7631C18A"/>
    <w:rsid w:val="76380EED"/>
    <w:rsid w:val="7638A427"/>
    <w:rsid w:val="7638FA2D"/>
    <w:rsid w:val="76392AC8"/>
    <w:rsid w:val="763AAE11"/>
    <w:rsid w:val="763B9EB7"/>
    <w:rsid w:val="763BC5B9"/>
    <w:rsid w:val="76412C4D"/>
    <w:rsid w:val="76440460"/>
    <w:rsid w:val="7644566C"/>
    <w:rsid w:val="764653FB"/>
    <w:rsid w:val="76472453"/>
    <w:rsid w:val="7648C64A"/>
    <w:rsid w:val="764A4AB9"/>
    <w:rsid w:val="764CC723"/>
    <w:rsid w:val="764E33D3"/>
    <w:rsid w:val="7653F944"/>
    <w:rsid w:val="765680C9"/>
    <w:rsid w:val="7657FE53"/>
    <w:rsid w:val="765B0E50"/>
    <w:rsid w:val="765B7314"/>
    <w:rsid w:val="765F1F67"/>
    <w:rsid w:val="76607F63"/>
    <w:rsid w:val="76654620"/>
    <w:rsid w:val="76674302"/>
    <w:rsid w:val="766B760C"/>
    <w:rsid w:val="766BFBFA"/>
    <w:rsid w:val="766CA5E1"/>
    <w:rsid w:val="766FE307"/>
    <w:rsid w:val="76705E07"/>
    <w:rsid w:val="767BDFBF"/>
    <w:rsid w:val="768137AD"/>
    <w:rsid w:val="7682236D"/>
    <w:rsid w:val="76854FE6"/>
    <w:rsid w:val="76860805"/>
    <w:rsid w:val="768AD85C"/>
    <w:rsid w:val="768B6227"/>
    <w:rsid w:val="76914544"/>
    <w:rsid w:val="76947591"/>
    <w:rsid w:val="769B7F95"/>
    <w:rsid w:val="76A3CE9A"/>
    <w:rsid w:val="76A9839E"/>
    <w:rsid w:val="76AD1242"/>
    <w:rsid w:val="76AD24BF"/>
    <w:rsid w:val="76AD5963"/>
    <w:rsid w:val="76B085CB"/>
    <w:rsid w:val="76BFA44D"/>
    <w:rsid w:val="76C0F4C1"/>
    <w:rsid w:val="76C2F5A8"/>
    <w:rsid w:val="76CEE0DD"/>
    <w:rsid w:val="76D29459"/>
    <w:rsid w:val="76D630D5"/>
    <w:rsid w:val="76D95A1B"/>
    <w:rsid w:val="76E061FA"/>
    <w:rsid w:val="76F34A74"/>
    <w:rsid w:val="76FBE674"/>
    <w:rsid w:val="76FD11C8"/>
    <w:rsid w:val="7702848C"/>
    <w:rsid w:val="7707E64F"/>
    <w:rsid w:val="77092E23"/>
    <w:rsid w:val="770A2701"/>
    <w:rsid w:val="77179AF4"/>
    <w:rsid w:val="77212CAD"/>
    <w:rsid w:val="772D4D80"/>
    <w:rsid w:val="773D95B0"/>
    <w:rsid w:val="77412A44"/>
    <w:rsid w:val="774E0BB8"/>
    <w:rsid w:val="774E1D32"/>
    <w:rsid w:val="774E7C4D"/>
    <w:rsid w:val="7751553E"/>
    <w:rsid w:val="7753A1C5"/>
    <w:rsid w:val="7757187A"/>
    <w:rsid w:val="77571C9B"/>
    <w:rsid w:val="775CE323"/>
    <w:rsid w:val="775F3523"/>
    <w:rsid w:val="775F36AB"/>
    <w:rsid w:val="776ADD24"/>
    <w:rsid w:val="776E2EB3"/>
    <w:rsid w:val="77752A91"/>
    <w:rsid w:val="7777DB18"/>
    <w:rsid w:val="77799598"/>
    <w:rsid w:val="777DE6EE"/>
    <w:rsid w:val="777F583B"/>
    <w:rsid w:val="77804416"/>
    <w:rsid w:val="778312CB"/>
    <w:rsid w:val="7783D775"/>
    <w:rsid w:val="77846724"/>
    <w:rsid w:val="77862C8F"/>
    <w:rsid w:val="7795ACE8"/>
    <w:rsid w:val="7797F5FF"/>
    <w:rsid w:val="779C91F2"/>
    <w:rsid w:val="779E2C48"/>
    <w:rsid w:val="77A22668"/>
    <w:rsid w:val="77A36EA8"/>
    <w:rsid w:val="77A489BB"/>
    <w:rsid w:val="77A4B871"/>
    <w:rsid w:val="77A57BDF"/>
    <w:rsid w:val="77AF02ED"/>
    <w:rsid w:val="77AF9173"/>
    <w:rsid w:val="77B11D6F"/>
    <w:rsid w:val="77B2B4DA"/>
    <w:rsid w:val="77B52996"/>
    <w:rsid w:val="77B8D782"/>
    <w:rsid w:val="77BC2663"/>
    <w:rsid w:val="77C2640D"/>
    <w:rsid w:val="77C670D8"/>
    <w:rsid w:val="77C87672"/>
    <w:rsid w:val="77CC0C96"/>
    <w:rsid w:val="77CD2346"/>
    <w:rsid w:val="77CFC99A"/>
    <w:rsid w:val="77D27BDF"/>
    <w:rsid w:val="77D54669"/>
    <w:rsid w:val="77DB5B23"/>
    <w:rsid w:val="77DC8F6B"/>
    <w:rsid w:val="77E6A6D3"/>
    <w:rsid w:val="77F1C446"/>
    <w:rsid w:val="77F353FE"/>
    <w:rsid w:val="78045B8F"/>
    <w:rsid w:val="78053B6A"/>
    <w:rsid w:val="78082DBC"/>
    <w:rsid w:val="7810D4DD"/>
    <w:rsid w:val="7815F771"/>
    <w:rsid w:val="7817DBDF"/>
    <w:rsid w:val="781EDA46"/>
    <w:rsid w:val="78200FC1"/>
    <w:rsid w:val="7821BCC3"/>
    <w:rsid w:val="7823E712"/>
    <w:rsid w:val="782D15A5"/>
    <w:rsid w:val="782E9169"/>
    <w:rsid w:val="7830AB32"/>
    <w:rsid w:val="7833D534"/>
    <w:rsid w:val="7834F931"/>
    <w:rsid w:val="78361331"/>
    <w:rsid w:val="783D2720"/>
    <w:rsid w:val="783ED19D"/>
    <w:rsid w:val="78410815"/>
    <w:rsid w:val="78446627"/>
    <w:rsid w:val="78452750"/>
    <w:rsid w:val="784B2BEF"/>
    <w:rsid w:val="78551A4C"/>
    <w:rsid w:val="785F0ED0"/>
    <w:rsid w:val="7866A49A"/>
    <w:rsid w:val="786C1BC6"/>
    <w:rsid w:val="786CEC62"/>
    <w:rsid w:val="786F63A5"/>
    <w:rsid w:val="78717E3B"/>
    <w:rsid w:val="7878A2C2"/>
    <w:rsid w:val="788546C9"/>
    <w:rsid w:val="78879D2C"/>
    <w:rsid w:val="788C210F"/>
    <w:rsid w:val="7890288D"/>
    <w:rsid w:val="7890B125"/>
    <w:rsid w:val="78922DE4"/>
    <w:rsid w:val="789474EF"/>
    <w:rsid w:val="789FB807"/>
    <w:rsid w:val="78A0C102"/>
    <w:rsid w:val="78A0F908"/>
    <w:rsid w:val="78A2212A"/>
    <w:rsid w:val="78ABBC3B"/>
    <w:rsid w:val="78ABFC03"/>
    <w:rsid w:val="78AF83D7"/>
    <w:rsid w:val="78B1FF21"/>
    <w:rsid w:val="78B46A87"/>
    <w:rsid w:val="78B73AF7"/>
    <w:rsid w:val="78BD199B"/>
    <w:rsid w:val="78C73637"/>
    <w:rsid w:val="78D16A3E"/>
    <w:rsid w:val="78DB30E8"/>
    <w:rsid w:val="78E3F821"/>
    <w:rsid w:val="78E4A447"/>
    <w:rsid w:val="78ED5442"/>
    <w:rsid w:val="78F246A2"/>
    <w:rsid w:val="78F404EE"/>
    <w:rsid w:val="78FF4B79"/>
    <w:rsid w:val="790D5B8B"/>
    <w:rsid w:val="790DA079"/>
    <w:rsid w:val="79128622"/>
    <w:rsid w:val="7912ABB6"/>
    <w:rsid w:val="791459C2"/>
    <w:rsid w:val="79155371"/>
    <w:rsid w:val="79195623"/>
    <w:rsid w:val="791B5977"/>
    <w:rsid w:val="79217031"/>
    <w:rsid w:val="79266075"/>
    <w:rsid w:val="792ABEB0"/>
    <w:rsid w:val="792CBEE1"/>
    <w:rsid w:val="792E9464"/>
    <w:rsid w:val="792F4E96"/>
    <w:rsid w:val="793594DE"/>
    <w:rsid w:val="7936D5D8"/>
    <w:rsid w:val="7937D61C"/>
    <w:rsid w:val="793AC97D"/>
    <w:rsid w:val="793CC14B"/>
    <w:rsid w:val="793DBE52"/>
    <w:rsid w:val="793DCC5A"/>
    <w:rsid w:val="793DD342"/>
    <w:rsid w:val="7942E043"/>
    <w:rsid w:val="794FED35"/>
    <w:rsid w:val="7957CC69"/>
    <w:rsid w:val="795B3B90"/>
    <w:rsid w:val="795CE410"/>
    <w:rsid w:val="795E3AD7"/>
    <w:rsid w:val="7961D2B2"/>
    <w:rsid w:val="797023E5"/>
    <w:rsid w:val="79718F1D"/>
    <w:rsid w:val="79746902"/>
    <w:rsid w:val="7975DE23"/>
    <w:rsid w:val="797A14AC"/>
    <w:rsid w:val="797A8FCB"/>
    <w:rsid w:val="797B1472"/>
    <w:rsid w:val="797BFD75"/>
    <w:rsid w:val="79815262"/>
    <w:rsid w:val="798702DF"/>
    <w:rsid w:val="79890512"/>
    <w:rsid w:val="7999B143"/>
    <w:rsid w:val="799BB242"/>
    <w:rsid w:val="79A04874"/>
    <w:rsid w:val="79A2D17C"/>
    <w:rsid w:val="79A3883B"/>
    <w:rsid w:val="79AB6DF1"/>
    <w:rsid w:val="79AEC408"/>
    <w:rsid w:val="79B1496F"/>
    <w:rsid w:val="79C4FDFE"/>
    <w:rsid w:val="79C7ABB8"/>
    <w:rsid w:val="79CF5583"/>
    <w:rsid w:val="79D10AE7"/>
    <w:rsid w:val="79D1B669"/>
    <w:rsid w:val="79D75A21"/>
    <w:rsid w:val="79D962C0"/>
    <w:rsid w:val="79DD9ACD"/>
    <w:rsid w:val="79EC2117"/>
    <w:rsid w:val="79EC99AA"/>
    <w:rsid w:val="79ECCF0F"/>
    <w:rsid w:val="79EF6C75"/>
    <w:rsid w:val="79F38403"/>
    <w:rsid w:val="79FA624F"/>
    <w:rsid w:val="79FD0FE4"/>
    <w:rsid w:val="79FD648C"/>
    <w:rsid w:val="79FEDF69"/>
    <w:rsid w:val="7A00922D"/>
    <w:rsid w:val="7A024CA5"/>
    <w:rsid w:val="7A083F28"/>
    <w:rsid w:val="7A0CA2A7"/>
    <w:rsid w:val="7A0D1A2C"/>
    <w:rsid w:val="7A0E856D"/>
    <w:rsid w:val="7A101D5E"/>
    <w:rsid w:val="7A11B94A"/>
    <w:rsid w:val="7A123CE5"/>
    <w:rsid w:val="7A1553D4"/>
    <w:rsid w:val="7A21A6BC"/>
    <w:rsid w:val="7A22BBE1"/>
    <w:rsid w:val="7A22E13F"/>
    <w:rsid w:val="7A240677"/>
    <w:rsid w:val="7A25ECB2"/>
    <w:rsid w:val="7A269AAF"/>
    <w:rsid w:val="7A285A16"/>
    <w:rsid w:val="7A3D9804"/>
    <w:rsid w:val="7A3DBBB1"/>
    <w:rsid w:val="7A40B64D"/>
    <w:rsid w:val="7A418D66"/>
    <w:rsid w:val="7A483092"/>
    <w:rsid w:val="7A4858FF"/>
    <w:rsid w:val="7A4D6ACE"/>
    <w:rsid w:val="7A4F59B2"/>
    <w:rsid w:val="7A4FB648"/>
    <w:rsid w:val="7A581780"/>
    <w:rsid w:val="7A59FA9D"/>
    <w:rsid w:val="7A5B4725"/>
    <w:rsid w:val="7A5CA9FA"/>
    <w:rsid w:val="7A5CAADB"/>
    <w:rsid w:val="7A5DCF76"/>
    <w:rsid w:val="7A63E57C"/>
    <w:rsid w:val="7A657334"/>
    <w:rsid w:val="7A6D4010"/>
    <w:rsid w:val="7A6FDF56"/>
    <w:rsid w:val="7A718A6D"/>
    <w:rsid w:val="7A742BE7"/>
    <w:rsid w:val="7A77D67D"/>
    <w:rsid w:val="7A79E343"/>
    <w:rsid w:val="7A843156"/>
    <w:rsid w:val="7A8B4F69"/>
    <w:rsid w:val="7A916AA9"/>
    <w:rsid w:val="7A91E586"/>
    <w:rsid w:val="7A91E78B"/>
    <w:rsid w:val="7A9D0AC6"/>
    <w:rsid w:val="7A9EAD7C"/>
    <w:rsid w:val="7AA66E4D"/>
    <w:rsid w:val="7AAAB9D6"/>
    <w:rsid w:val="7AAB1B2F"/>
    <w:rsid w:val="7AB12EE0"/>
    <w:rsid w:val="7AB20330"/>
    <w:rsid w:val="7AB98BD1"/>
    <w:rsid w:val="7ABEB04D"/>
    <w:rsid w:val="7AC69247"/>
    <w:rsid w:val="7AC99F60"/>
    <w:rsid w:val="7AD0D22C"/>
    <w:rsid w:val="7ADACE8B"/>
    <w:rsid w:val="7ADDF4B4"/>
    <w:rsid w:val="7AE715FF"/>
    <w:rsid w:val="7AE8DAD7"/>
    <w:rsid w:val="7AEC3FC3"/>
    <w:rsid w:val="7AEC91FF"/>
    <w:rsid w:val="7AEFFE7B"/>
    <w:rsid w:val="7AF3CF67"/>
    <w:rsid w:val="7AF57463"/>
    <w:rsid w:val="7AF7758E"/>
    <w:rsid w:val="7AF8AFC1"/>
    <w:rsid w:val="7AFD7677"/>
    <w:rsid w:val="7AFFF52D"/>
    <w:rsid w:val="7B02F3C2"/>
    <w:rsid w:val="7B081EA2"/>
    <w:rsid w:val="7B093D41"/>
    <w:rsid w:val="7B0A1481"/>
    <w:rsid w:val="7B13E33C"/>
    <w:rsid w:val="7B1C0785"/>
    <w:rsid w:val="7B21ECBE"/>
    <w:rsid w:val="7B23D929"/>
    <w:rsid w:val="7B266F5A"/>
    <w:rsid w:val="7B29A4A5"/>
    <w:rsid w:val="7B2C1208"/>
    <w:rsid w:val="7B2D18B4"/>
    <w:rsid w:val="7B3015CA"/>
    <w:rsid w:val="7B31C04C"/>
    <w:rsid w:val="7B33ECAC"/>
    <w:rsid w:val="7B3E7F3C"/>
    <w:rsid w:val="7B3F562D"/>
    <w:rsid w:val="7B41EB88"/>
    <w:rsid w:val="7B42FC16"/>
    <w:rsid w:val="7B45C01F"/>
    <w:rsid w:val="7B46039D"/>
    <w:rsid w:val="7B46A871"/>
    <w:rsid w:val="7B47CE5D"/>
    <w:rsid w:val="7B4AB074"/>
    <w:rsid w:val="7B4ED1C8"/>
    <w:rsid w:val="7B5C42E2"/>
    <w:rsid w:val="7B5EE4A6"/>
    <w:rsid w:val="7B5FC7F4"/>
    <w:rsid w:val="7B5FE21F"/>
    <w:rsid w:val="7B64B667"/>
    <w:rsid w:val="7B6835D4"/>
    <w:rsid w:val="7B717F3A"/>
    <w:rsid w:val="7B7443AD"/>
    <w:rsid w:val="7B7509FA"/>
    <w:rsid w:val="7B837E3A"/>
    <w:rsid w:val="7B842DEA"/>
    <w:rsid w:val="7B88ACCF"/>
    <w:rsid w:val="7B890A2B"/>
    <w:rsid w:val="7B928448"/>
    <w:rsid w:val="7B930D07"/>
    <w:rsid w:val="7B97F39E"/>
    <w:rsid w:val="7B9A4B2B"/>
    <w:rsid w:val="7BA51EFC"/>
    <w:rsid w:val="7BA5D50B"/>
    <w:rsid w:val="7BA64986"/>
    <w:rsid w:val="7BAA553C"/>
    <w:rsid w:val="7BAADF0E"/>
    <w:rsid w:val="7BAE667B"/>
    <w:rsid w:val="7BAF5CF3"/>
    <w:rsid w:val="7BB4BA0C"/>
    <w:rsid w:val="7BB5B3AC"/>
    <w:rsid w:val="7BB67F91"/>
    <w:rsid w:val="7BB7E843"/>
    <w:rsid w:val="7BBD7A12"/>
    <w:rsid w:val="7BCF1E58"/>
    <w:rsid w:val="7BE4B066"/>
    <w:rsid w:val="7BE969AA"/>
    <w:rsid w:val="7BF156B2"/>
    <w:rsid w:val="7BF28B0D"/>
    <w:rsid w:val="7BF7A2CE"/>
    <w:rsid w:val="7BFBE568"/>
    <w:rsid w:val="7BFF8394"/>
    <w:rsid w:val="7C040F17"/>
    <w:rsid w:val="7C0864DC"/>
    <w:rsid w:val="7C092B85"/>
    <w:rsid w:val="7C0CED0C"/>
    <w:rsid w:val="7C0FDD45"/>
    <w:rsid w:val="7C1128E9"/>
    <w:rsid w:val="7C1E351B"/>
    <w:rsid w:val="7C20EDF9"/>
    <w:rsid w:val="7C26B4A9"/>
    <w:rsid w:val="7C2EF248"/>
    <w:rsid w:val="7C2FE7E0"/>
    <w:rsid w:val="7C3495AA"/>
    <w:rsid w:val="7C3C4CC9"/>
    <w:rsid w:val="7C3F9EBA"/>
    <w:rsid w:val="7C40748F"/>
    <w:rsid w:val="7C45B4A6"/>
    <w:rsid w:val="7C468A06"/>
    <w:rsid w:val="7C52E1CC"/>
    <w:rsid w:val="7C53EA2D"/>
    <w:rsid w:val="7C57EF13"/>
    <w:rsid w:val="7C59397A"/>
    <w:rsid w:val="7C59984C"/>
    <w:rsid w:val="7C5CB2AB"/>
    <w:rsid w:val="7C64FB1F"/>
    <w:rsid w:val="7C6B880F"/>
    <w:rsid w:val="7C846F14"/>
    <w:rsid w:val="7C8658AF"/>
    <w:rsid w:val="7C88AC2C"/>
    <w:rsid w:val="7C8BEE5F"/>
    <w:rsid w:val="7C8C6E52"/>
    <w:rsid w:val="7C938A1D"/>
    <w:rsid w:val="7C9C4845"/>
    <w:rsid w:val="7C9FD64D"/>
    <w:rsid w:val="7CA0597E"/>
    <w:rsid w:val="7CAA3B3D"/>
    <w:rsid w:val="7CABD7E6"/>
    <w:rsid w:val="7CB051E0"/>
    <w:rsid w:val="7CB07B5A"/>
    <w:rsid w:val="7CB216BF"/>
    <w:rsid w:val="7CB2A69D"/>
    <w:rsid w:val="7CB40FA7"/>
    <w:rsid w:val="7CB58694"/>
    <w:rsid w:val="7CB75B95"/>
    <w:rsid w:val="7CB98ADB"/>
    <w:rsid w:val="7CBD4608"/>
    <w:rsid w:val="7CC0C3F7"/>
    <w:rsid w:val="7CC36017"/>
    <w:rsid w:val="7CC735B6"/>
    <w:rsid w:val="7CCB9C88"/>
    <w:rsid w:val="7CCC29F2"/>
    <w:rsid w:val="7CD0EDCC"/>
    <w:rsid w:val="7CD4DA8F"/>
    <w:rsid w:val="7CD54FBF"/>
    <w:rsid w:val="7CD77F7B"/>
    <w:rsid w:val="7CD9085D"/>
    <w:rsid w:val="7CDA7661"/>
    <w:rsid w:val="7CDC2E90"/>
    <w:rsid w:val="7CDD979A"/>
    <w:rsid w:val="7CDEDE29"/>
    <w:rsid w:val="7CDF4020"/>
    <w:rsid w:val="7CE41C8B"/>
    <w:rsid w:val="7CE532DE"/>
    <w:rsid w:val="7CED2CFA"/>
    <w:rsid w:val="7CF4DE21"/>
    <w:rsid w:val="7CF4F385"/>
    <w:rsid w:val="7CF5A911"/>
    <w:rsid w:val="7CFC3775"/>
    <w:rsid w:val="7D040B0D"/>
    <w:rsid w:val="7D075C3B"/>
    <w:rsid w:val="7D0B73E3"/>
    <w:rsid w:val="7D0DE415"/>
    <w:rsid w:val="7D14F39A"/>
    <w:rsid w:val="7D16E140"/>
    <w:rsid w:val="7D1745CC"/>
    <w:rsid w:val="7D186D07"/>
    <w:rsid w:val="7D1B665E"/>
    <w:rsid w:val="7D1BE287"/>
    <w:rsid w:val="7D1BE4CC"/>
    <w:rsid w:val="7D1CC439"/>
    <w:rsid w:val="7D1D1302"/>
    <w:rsid w:val="7D1E96CE"/>
    <w:rsid w:val="7D1ECB55"/>
    <w:rsid w:val="7D1ED5C4"/>
    <w:rsid w:val="7D214635"/>
    <w:rsid w:val="7D25E3D3"/>
    <w:rsid w:val="7D26AD32"/>
    <w:rsid w:val="7D2D0956"/>
    <w:rsid w:val="7D2F9087"/>
    <w:rsid w:val="7D3212C3"/>
    <w:rsid w:val="7D33C13A"/>
    <w:rsid w:val="7D356347"/>
    <w:rsid w:val="7D356E4F"/>
    <w:rsid w:val="7D37CBA7"/>
    <w:rsid w:val="7D3C50BF"/>
    <w:rsid w:val="7D413FB8"/>
    <w:rsid w:val="7D446DD3"/>
    <w:rsid w:val="7D4569C3"/>
    <w:rsid w:val="7D4B7874"/>
    <w:rsid w:val="7D4DF820"/>
    <w:rsid w:val="7D4ECD3F"/>
    <w:rsid w:val="7D503757"/>
    <w:rsid w:val="7D52EE19"/>
    <w:rsid w:val="7D6039AB"/>
    <w:rsid w:val="7D61E0BB"/>
    <w:rsid w:val="7D630A0A"/>
    <w:rsid w:val="7D6BE520"/>
    <w:rsid w:val="7D7287F0"/>
    <w:rsid w:val="7D74C5E9"/>
    <w:rsid w:val="7D796F3C"/>
    <w:rsid w:val="7D7ECA96"/>
    <w:rsid w:val="7D7FCCBA"/>
    <w:rsid w:val="7D83B7EB"/>
    <w:rsid w:val="7D94B656"/>
    <w:rsid w:val="7D9EF17B"/>
    <w:rsid w:val="7DA0FC4B"/>
    <w:rsid w:val="7DA72A6D"/>
    <w:rsid w:val="7DA8073D"/>
    <w:rsid w:val="7DA8ADB6"/>
    <w:rsid w:val="7DA94CCA"/>
    <w:rsid w:val="7DAC2505"/>
    <w:rsid w:val="7DB3BA19"/>
    <w:rsid w:val="7DB69DD7"/>
    <w:rsid w:val="7DBA68F6"/>
    <w:rsid w:val="7DBB65D0"/>
    <w:rsid w:val="7DBD695A"/>
    <w:rsid w:val="7DBDB444"/>
    <w:rsid w:val="7DBF5FAE"/>
    <w:rsid w:val="7DC5CED1"/>
    <w:rsid w:val="7DC5CF5E"/>
    <w:rsid w:val="7DC70626"/>
    <w:rsid w:val="7DCA7C86"/>
    <w:rsid w:val="7DCFC4DE"/>
    <w:rsid w:val="7DD14B66"/>
    <w:rsid w:val="7DDA6B4B"/>
    <w:rsid w:val="7DDA8BAB"/>
    <w:rsid w:val="7DE4A578"/>
    <w:rsid w:val="7DEAFD88"/>
    <w:rsid w:val="7DEB1D01"/>
    <w:rsid w:val="7DED276F"/>
    <w:rsid w:val="7DEE09C3"/>
    <w:rsid w:val="7DEE7A1B"/>
    <w:rsid w:val="7DEFDCFA"/>
    <w:rsid w:val="7DF5923D"/>
    <w:rsid w:val="7DF5E152"/>
    <w:rsid w:val="7DFA80D5"/>
    <w:rsid w:val="7DFB2459"/>
    <w:rsid w:val="7DFD5F6B"/>
    <w:rsid w:val="7E021F35"/>
    <w:rsid w:val="7E03DA89"/>
    <w:rsid w:val="7E0469FB"/>
    <w:rsid w:val="7E06613F"/>
    <w:rsid w:val="7E11E885"/>
    <w:rsid w:val="7E1441DF"/>
    <w:rsid w:val="7E14BBCD"/>
    <w:rsid w:val="7E14BC9F"/>
    <w:rsid w:val="7E15EAAA"/>
    <w:rsid w:val="7E1B293E"/>
    <w:rsid w:val="7E1CA47B"/>
    <w:rsid w:val="7E216BB0"/>
    <w:rsid w:val="7E23EF68"/>
    <w:rsid w:val="7E2C94A6"/>
    <w:rsid w:val="7E35ECA2"/>
    <w:rsid w:val="7E3EF082"/>
    <w:rsid w:val="7E3F1E73"/>
    <w:rsid w:val="7E463E1D"/>
    <w:rsid w:val="7E46EEE9"/>
    <w:rsid w:val="7E4A1F2D"/>
    <w:rsid w:val="7E4CFF78"/>
    <w:rsid w:val="7E4DA004"/>
    <w:rsid w:val="7E531E45"/>
    <w:rsid w:val="7E55EB80"/>
    <w:rsid w:val="7E5B9A86"/>
    <w:rsid w:val="7E5CDDE1"/>
    <w:rsid w:val="7E659246"/>
    <w:rsid w:val="7E71181C"/>
    <w:rsid w:val="7E71CB32"/>
    <w:rsid w:val="7E72E792"/>
    <w:rsid w:val="7E796041"/>
    <w:rsid w:val="7E7CF3A9"/>
    <w:rsid w:val="7E7E0E77"/>
    <w:rsid w:val="7E7FCB01"/>
    <w:rsid w:val="7E8090F4"/>
    <w:rsid w:val="7E815909"/>
    <w:rsid w:val="7E853398"/>
    <w:rsid w:val="7E8AA9D1"/>
    <w:rsid w:val="7E8EBCD1"/>
    <w:rsid w:val="7E901084"/>
    <w:rsid w:val="7E934946"/>
    <w:rsid w:val="7E945060"/>
    <w:rsid w:val="7E9772C5"/>
    <w:rsid w:val="7E979B9E"/>
    <w:rsid w:val="7E9FB6DD"/>
    <w:rsid w:val="7EA0FAF1"/>
    <w:rsid w:val="7EA3C632"/>
    <w:rsid w:val="7EA54209"/>
    <w:rsid w:val="7EAE2CC3"/>
    <w:rsid w:val="7EAE51B1"/>
    <w:rsid w:val="7EAF3C99"/>
    <w:rsid w:val="7EAFB3B3"/>
    <w:rsid w:val="7EB18405"/>
    <w:rsid w:val="7EB7BEB7"/>
    <w:rsid w:val="7EB855C2"/>
    <w:rsid w:val="7ECF0F34"/>
    <w:rsid w:val="7ED01BB3"/>
    <w:rsid w:val="7ED0A7AB"/>
    <w:rsid w:val="7ED6C7D9"/>
    <w:rsid w:val="7EDA5113"/>
    <w:rsid w:val="7EDC8CD8"/>
    <w:rsid w:val="7EF4FA86"/>
    <w:rsid w:val="7EF6E49D"/>
    <w:rsid w:val="7EF95DB0"/>
    <w:rsid w:val="7EFAB16A"/>
    <w:rsid w:val="7EFBE250"/>
    <w:rsid w:val="7EFE6541"/>
    <w:rsid w:val="7F01CC7C"/>
    <w:rsid w:val="7F024259"/>
    <w:rsid w:val="7F0339A8"/>
    <w:rsid w:val="7F0824D9"/>
    <w:rsid w:val="7F0AC916"/>
    <w:rsid w:val="7F0FE666"/>
    <w:rsid w:val="7F1065E7"/>
    <w:rsid w:val="7F106D8E"/>
    <w:rsid w:val="7F1116B7"/>
    <w:rsid w:val="7F1D8023"/>
    <w:rsid w:val="7F20D207"/>
    <w:rsid w:val="7F25A231"/>
    <w:rsid w:val="7F27245F"/>
    <w:rsid w:val="7F2ACFC5"/>
    <w:rsid w:val="7F2E9F18"/>
    <w:rsid w:val="7F30A78D"/>
    <w:rsid w:val="7F3106A7"/>
    <w:rsid w:val="7F3137E6"/>
    <w:rsid w:val="7F385F6E"/>
    <w:rsid w:val="7F390DE3"/>
    <w:rsid w:val="7F3E0B9A"/>
    <w:rsid w:val="7F42F153"/>
    <w:rsid w:val="7F45301C"/>
    <w:rsid w:val="7F4A51C6"/>
    <w:rsid w:val="7F5804D8"/>
    <w:rsid w:val="7F582F59"/>
    <w:rsid w:val="7F5A0EB4"/>
    <w:rsid w:val="7F5EC624"/>
    <w:rsid w:val="7F626191"/>
    <w:rsid w:val="7F631AC0"/>
    <w:rsid w:val="7F69CA53"/>
    <w:rsid w:val="7F6F17EA"/>
    <w:rsid w:val="7F789122"/>
    <w:rsid w:val="7F794A67"/>
    <w:rsid w:val="7F7E2DFB"/>
    <w:rsid w:val="7F7FA9A2"/>
    <w:rsid w:val="7F88615B"/>
    <w:rsid w:val="7F8DEE47"/>
    <w:rsid w:val="7F8F5953"/>
    <w:rsid w:val="7F944825"/>
    <w:rsid w:val="7F9B05D1"/>
    <w:rsid w:val="7F9CB2E1"/>
    <w:rsid w:val="7FA220A8"/>
    <w:rsid w:val="7FA41512"/>
    <w:rsid w:val="7FAE6D8C"/>
    <w:rsid w:val="7FAFEE8F"/>
    <w:rsid w:val="7FB00166"/>
    <w:rsid w:val="7FB13A36"/>
    <w:rsid w:val="7FB17535"/>
    <w:rsid w:val="7FBC30CB"/>
    <w:rsid w:val="7FC45EEA"/>
    <w:rsid w:val="7FCD12C0"/>
    <w:rsid w:val="7FCF1DFA"/>
    <w:rsid w:val="7FD04C7A"/>
    <w:rsid w:val="7FD72BA1"/>
    <w:rsid w:val="7FDA5024"/>
    <w:rsid w:val="7FE59940"/>
    <w:rsid w:val="7FE83D14"/>
    <w:rsid w:val="7FEA4F0F"/>
    <w:rsid w:val="7FF12CFF"/>
    <w:rsid w:val="7FF15A7C"/>
    <w:rsid w:val="7FF3B5B7"/>
    <w:rsid w:val="7FFB7600"/>
    <w:rsid w:val="7FFBB481"/>
    <w:rsid w:val="7FFC5C2F"/>
    <w:rsid w:val="7FFF07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5D1CEB26-DBA6-4532-9F35-7615A6CF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5077E"/>
    <w:pPr>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732E86"/>
    <w:pPr>
      <w:numPr>
        <w:numId w:val="5"/>
      </w:numPr>
      <w:spacing w:before="120"/>
    </w:pPr>
    <w:rPr>
      <w:rFonts w:eastAsia="Times New Roman" w:cs="Times New Roman"/>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260ED6"/>
    <w:pPr>
      <w:spacing w:before="120"/>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ont151">
    <w:name w:val="font151"/>
    <w:basedOn w:val="DefaultParagraphFont"/>
    <w:rsid w:val="00AD41DD"/>
    <w:rPr>
      <w:rFonts w:ascii="Calibri" w:hAnsi="Calibri" w:cs="Calibri" w:hint="default"/>
      <w:b w:val="0"/>
      <w:bCs w:val="0"/>
      <w:i w:val="0"/>
      <w:iCs w:val="0"/>
      <w:strike w:val="0"/>
      <w:dstrike w:val="0"/>
      <w:color w:val="000000"/>
      <w:sz w:val="18"/>
      <w:szCs w:val="18"/>
      <w:u w:val="none"/>
      <w:effect w:val="none"/>
    </w:rPr>
  </w:style>
  <w:style w:type="paragraph" w:customStyle="1" w:styleId="p1">
    <w:name w:val="p1"/>
    <w:basedOn w:val="Normal"/>
    <w:rsid w:val="00073D2A"/>
    <w:pPr>
      <w:spacing w:line="240" w:lineRule="auto"/>
    </w:pPr>
    <w:rPr>
      <w:rFonts w:ascii="Menlo" w:eastAsia="Times New Roman" w:hAnsi="Menlo" w:cs="Menlo"/>
      <w:color w:val="000000"/>
      <w:sz w:val="16"/>
      <w:szCs w:val="16"/>
    </w:rPr>
  </w:style>
  <w:style w:type="paragraph" w:styleId="TableofFigures">
    <w:name w:val="table of figures"/>
    <w:basedOn w:val="Normal"/>
    <w:next w:val="Normal"/>
    <w:uiPriority w:val="99"/>
    <w:unhideWhenUsed/>
    <w:rsid w:val="00B87CA4"/>
    <w:pPr>
      <w:spacing w:after="60"/>
    </w:pPr>
  </w:style>
  <w:style w:type="paragraph" w:customStyle="1" w:styleId="xxmsonormal">
    <w:name w:val="x_xmsonormal"/>
    <w:basedOn w:val="Normal"/>
    <w:rsid w:val="00B8632D"/>
    <w:pPr>
      <w:spacing w:line="240" w:lineRule="auto"/>
    </w:pPr>
    <w:rPr>
      <w:rFonts w:ascii="Aptos" w:hAnsi="Aptos" w:cs="Aptos"/>
      <w:sz w:val="24"/>
      <w:szCs w:val="24"/>
    </w:rPr>
  </w:style>
  <w:style w:type="character" w:customStyle="1" w:styleId="Greentext">
    <w:name w:val="Green text"/>
    <w:basedOn w:val="DefaultParagraphFont"/>
    <w:uiPriority w:val="1"/>
    <w:qFormat/>
    <w:rsid w:val="00732E86"/>
    <w:rPr>
      <w:rFonts w:eastAsia="Aptos" w:cs="Aptos"/>
      <w:color w:val="70AD47" w:themeColor="accent6"/>
    </w:rPr>
  </w:style>
  <w:style w:type="numbering" w:customStyle="1" w:styleId="TableBulletList">
    <w:name w:val="Table Bullet List"/>
    <w:uiPriority w:val="99"/>
    <w:rsid w:val="00F53F5A"/>
    <w:pPr>
      <w:numPr>
        <w:numId w:val="12"/>
      </w:numPr>
    </w:pPr>
  </w:style>
  <w:style w:type="paragraph" w:customStyle="1" w:styleId="TableETitle">
    <w:name w:val="Table E Title"/>
    <w:basedOn w:val="TableTitle0"/>
    <w:qFormat/>
    <w:rsid w:val="00654CC6"/>
    <w:pPr>
      <w:spacing w:before="120" w:line="240" w:lineRule="auto"/>
    </w:pPr>
  </w:style>
  <w:style w:type="paragraph" w:styleId="BodyTextFirstIndent">
    <w:name w:val="Body Text First Indent"/>
    <w:basedOn w:val="BodyText"/>
    <w:link w:val="BodyTextFirstIndentChar"/>
    <w:rsid w:val="000F6E90"/>
    <w:pPr>
      <w:spacing w:before="0" w:after="0"/>
      <w:ind w:firstLine="360"/>
    </w:pPr>
  </w:style>
  <w:style w:type="character" w:customStyle="1" w:styleId="BodyTextFirstIndentChar">
    <w:name w:val="Body Text First Indent Char"/>
    <w:basedOn w:val="BodyTextChar"/>
    <w:link w:val="BodyTextFirstIndent"/>
    <w:rsid w:val="000F6E90"/>
    <w:rPr>
      <w:rFonts w:asciiTheme="minorHAnsi" w:eastAsiaTheme="minorHAnsi" w:hAnsiTheme="minorHAnsi" w:cstheme="minorBidi"/>
      <w:sz w:val="22"/>
      <w:szCs w:val="22"/>
    </w:rPr>
  </w:style>
  <w:style w:type="paragraph" w:styleId="BodyText3">
    <w:name w:val="Body Text 3"/>
    <w:basedOn w:val="Normal"/>
    <w:link w:val="BodyText3Char"/>
    <w:unhideWhenUsed/>
    <w:rsid w:val="000F6E90"/>
    <w:pPr>
      <w:spacing w:after="120"/>
    </w:pPr>
    <w:rPr>
      <w:sz w:val="16"/>
      <w:szCs w:val="16"/>
    </w:rPr>
  </w:style>
  <w:style w:type="character" w:customStyle="1" w:styleId="BodyText3Char">
    <w:name w:val="Body Text 3 Char"/>
    <w:basedOn w:val="DefaultParagraphFont"/>
    <w:link w:val="BodyText3"/>
    <w:rsid w:val="000F6E90"/>
    <w:rPr>
      <w:rFonts w:asciiTheme="minorHAnsi" w:eastAsiaTheme="minorHAnsi" w:hAnsiTheme="minorHAnsi" w:cstheme="minorBidi"/>
      <w:sz w:val="16"/>
      <w:szCs w:val="16"/>
    </w:rPr>
  </w:style>
  <w:style w:type="character" w:styleId="SubtleEmphasis">
    <w:name w:val="Subtle Emphasis"/>
    <w:basedOn w:val="DefaultParagraphFont"/>
    <w:uiPriority w:val="19"/>
    <w:qFormat/>
    <w:rsid w:val="003F4F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515927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27">
          <w:marLeft w:val="0"/>
          <w:marRight w:val="0"/>
          <w:marTop w:val="0"/>
          <w:marBottom w:val="0"/>
          <w:divBdr>
            <w:top w:val="none" w:sz="0" w:space="0" w:color="auto"/>
            <w:left w:val="none" w:sz="0" w:space="0" w:color="auto"/>
            <w:bottom w:val="none" w:sz="0" w:space="0" w:color="auto"/>
            <w:right w:val="none" w:sz="0" w:space="0" w:color="auto"/>
          </w:divBdr>
        </w:div>
      </w:divsChild>
    </w:div>
    <w:div w:id="41903607">
      <w:bodyDiv w:val="1"/>
      <w:marLeft w:val="0"/>
      <w:marRight w:val="0"/>
      <w:marTop w:val="0"/>
      <w:marBottom w:val="0"/>
      <w:divBdr>
        <w:top w:val="none" w:sz="0" w:space="0" w:color="auto"/>
        <w:left w:val="none" w:sz="0" w:space="0" w:color="auto"/>
        <w:bottom w:val="none" w:sz="0" w:space="0" w:color="auto"/>
        <w:right w:val="none" w:sz="0" w:space="0" w:color="auto"/>
      </w:divBdr>
      <w:divsChild>
        <w:div w:id="99882893">
          <w:marLeft w:val="0"/>
          <w:marRight w:val="0"/>
          <w:marTop w:val="0"/>
          <w:marBottom w:val="0"/>
          <w:divBdr>
            <w:top w:val="none" w:sz="0" w:space="0" w:color="auto"/>
            <w:left w:val="none" w:sz="0" w:space="0" w:color="auto"/>
            <w:bottom w:val="none" w:sz="0" w:space="0" w:color="auto"/>
            <w:right w:val="none" w:sz="0" w:space="0" w:color="auto"/>
          </w:divBdr>
        </w:div>
      </w:divsChild>
    </w:div>
    <w:div w:id="69616671">
      <w:bodyDiv w:val="1"/>
      <w:marLeft w:val="0"/>
      <w:marRight w:val="0"/>
      <w:marTop w:val="0"/>
      <w:marBottom w:val="0"/>
      <w:divBdr>
        <w:top w:val="none" w:sz="0" w:space="0" w:color="auto"/>
        <w:left w:val="none" w:sz="0" w:space="0" w:color="auto"/>
        <w:bottom w:val="none" w:sz="0" w:space="0" w:color="auto"/>
        <w:right w:val="none" w:sz="0" w:space="0" w:color="auto"/>
      </w:divBdr>
      <w:divsChild>
        <w:div w:id="1034769764">
          <w:marLeft w:val="0"/>
          <w:marRight w:val="0"/>
          <w:marTop w:val="0"/>
          <w:marBottom w:val="0"/>
          <w:divBdr>
            <w:top w:val="none" w:sz="0" w:space="0" w:color="auto"/>
            <w:left w:val="none" w:sz="0" w:space="0" w:color="auto"/>
            <w:bottom w:val="none" w:sz="0" w:space="0" w:color="auto"/>
            <w:right w:val="none" w:sz="0" w:space="0" w:color="auto"/>
          </w:divBdr>
        </w:div>
      </w:divsChild>
    </w:div>
    <w:div w:id="69692269">
      <w:bodyDiv w:val="1"/>
      <w:marLeft w:val="0"/>
      <w:marRight w:val="0"/>
      <w:marTop w:val="0"/>
      <w:marBottom w:val="0"/>
      <w:divBdr>
        <w:top w:val="none" w:sz="0" w:space="0" w:color="auto"/>
        <w:left w:val="none" w:sz="0" w:space="0" w:color="auto"/>
        <w:bottom w:val="none" w:sz="0" w:space="0" w:color="auto"/>
        <w:right w:val="none" w:sz="0" w:space="0" w:color="auto"/>
      </w:divBdr>
      <w:divsChild>
        <w:div w:id="1043991209">
          <w:marLeft w:val="0"/>
          <w:marRight w:val="0"/>
          <w:marTop w:val="0"/>
          <w:marBottom w:val="0"/>
          <w:divBdr>
            <w:top w:val="none" w:sz="0" w:space="0" w:color="auto"/>
            <w:left w:val="none" w:sz="0" w:space="0" w:color="auto"/>
            <w:bottom w:val="none" w:sz="0" w:space="0" w:color="auto"/>
            <w:right w:val="none" w:sz="0" w:space="0" w:color="auto"/>
          </w:divBdr>
        </w:div>
      </w:divsChild>
    </w:div>
    <w:div w:id="711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3">
          <w:marLeft w:val="0"/>
          <w:marRight w:val="0"/>
          <w:marTop w:val="0"/>
          <w:marBottom w:val="0"/>
          <w:divBdr>
            <w:top w:val="none" w:sz="0" w:space="0" w:color="auto"/>
            <w:left w:val="none" w:sz="0" w:space="0" w:color="auto"/>
            <w:bottom w:val="none" w:sz="0" w:space="0" w:color="auto"/>
            <w:right w:val="none" w:sz="0" w:space="0" w:color="auto"/>
          </w:divBdr>
        </w:div>
      </w:divsChild>
    </w:div>
    <w:div w:id="86124313">
      <w:bodyDiv w:val="1"/>
      <w:marLeft w:val="0"/>
      <w:marRight w:val="0"/>
      <w:marTop w:val="0"/>
      <w:marBottom w:val="0"/>
      <w:divBdr>
        <w:top w:val="none" w:sz="0" w:space="0" w:color="auto"/>
        <w:left w:val="none" w:sz="0" w:space="0" w:color="auto"/>
        <w:bottom w:val="none" w:sz="0" w:space="0" w:color="auto"/>
        <w:right w:val="none" w:sz="0" w:space="0" w:color="auto"/>
      </w:divBdr>
      <w:divsChild>
        <w:div w:id="386031506">
          <w:marLeft w:val="0"/>
          <w:marRight w:val="0"/>
          <w:marTop w:val="0"/>
          <w:marBottom w:val="0"/>
          <w:divBdr>
            <w:top w:val="none" w:sz="0" w:space="0" w:color="auto"/>
            <w:left w:val="none" w:sz="0" w:space="0" w:color="auto"/>
            <w:bottom w:val="none" w:sz="0" w:space="0" w:color="auto"/>
            <w:right w:val="none" w:sz="0" w:space="0" w:color="auto"/>
          </w:divBdr>
        </w:div>
        <w:div w:id="1783839048">
          <w:marLeft w:val="0"/>
          <w:marRight w:val="0"/>
          <w:marTop w:val="0"/>
          <w:marBottom w:val="0"/>
          <w:divBdr>
            <w:top w:val="none" w:sz="0" w:space="0" w:color="auto"/>
            <w:left w:val="none" w:sz="0" w:space="0" w:color="auto"/>
            <w:bottom w:val="none" w:sz="0" w:space="0" w:color="auto"/>
            <w:right w:val="none" w:sz="0" w:space="0" w:color="auto"/>
          </w:divBdr>
        </w:div>
        <w:div w:id="2031101380">
          <w:marLeft w:val="0"/>
          <w:marRight w:val="0"/>
          <w:marTop w:val="0"/>
          <w:marBottom w:val="0"/>
          <w:divBdr>
            <w:top w:val="none" w:sz="0" w:space="0" w:color="auto"/>
            <w:left w:val="none" w:sz="0" w:space="0" w:color="auto"/>
            <w:bottom w:val="none" w:sz="0" w:space="0" w:color="auto"/>
            <w:right w:val="none" w:sz="0" w:space="0" w:color="auto"/>
          </w:divBdr>
        </w:div>
      </w:divsChild>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12408823">
      <w:bodyDiv w:val="1"/>
      <w:marLeft w:val="0"/>
      <w:marRight w:val="0"/>
      <w:marTop w:val="0"/>
      <w:marBottom w:val="0"/>
      <w:divBdr>
        <w:top w:val="none" w:sz="0" w:space="0" w:color="auto"/>
        <w:left w:val="none" w:sz="0" w:space="0" w:color="auto"/>
        <w:bottom w:val="none" w:sz="0" w:space="0" w:color="auto"/>
        <w:right w:val="none" w:sz="0" w:space="0" w:color="auto"/>
      </w:divBdr>
      <w:divsChild>
        <w:div w:id="691498912">
          <w:marLeft w:val="0"/>
          <w:marRight w:val="0"/>
          <w:marTop w:val="0"/>
          <w:marBottom w:val="0"/>
          <w:divBdr>
            <w:top w:val="none" w:sz="0" w:space="0" w:color="auto"/>
            <w:left w:val="none" w:sz="0" w:space="0" w:color="auto"/>
            <w:bottom w:val="none" w:sz="0" w:space="0" w:color="auto"/>
            <w:right w:val="none" w:sz="0" w:space="0" w:color="auto"/>
          </w:divBdr>
        </w:div>
      </w:divsChild>
    </w:div>
    <w:div w:id="136924707">
      <w:bodyDiv w:val="1"/>
      <w:marLeft w:val="0"/>
      <w:marRight w:val="0"/>
      <w:marTop w:val="0"/>
      <w:marBottom w:val="0"/>
      <w:divBdr>
        <w:top w:val="none" w:sz="0" w:space="0" w:color="auto"/>
        <w:left w:val="none" w:sz="0" w:space="0" w:color="auto"/>
        <w:bottom w:val="none" w:sz="0" w:space="0" w:color="auto"/>
        <w:right w:val="none" w:sz="0" w:space="0" w:color="auto"/>
      </w:divBdr>
      <w:divsChild>
        <w:div w:id="1486317674">
          <w:marLeft w:val="0"/>
          <w:marRight w:val="0"/>
          <w:marTop w:val="0"/>
          <w:marBottom w:val="0"/>
          <w:divBdr>
            <w:top w:val="none" w:sz="0" w:space="0" w:color="auto"/>
            <w:left w:val="none" w:sz="0" w:space="0" w:color="auto"/>
            <w:bottom w:val="none" w:sz="0" w:space="0" w:color="auto"/>
            <w:right w:val="none" w:sz="0" w:space="0" w:color="auto"/>
          </w:divBdr>
          <w:divsChild>
            <w:div w:id="1682731408">
              <w:marLeft w:val="0"/>
              <w:marRight w:val="0"/>
              <w:marTop w:val="0"/>
              <w:marBottom w:val="0"/>
              <w:divBdr>
                <w:top w:val="none" w:sz="0" w:space="0" w:color="auto"/>
                <w:left w:val="none" w:sz="0" w:space="0" w:color="auto"/>
                <w:bottom w:val="none" w:sz="0" w:space="0" w:color="auto"/>
                <w:right w:val="none" w:sz="0" w:space="0" w:color="auto"/>
              </w:divBdr>
              <w:divsChild>
                <w:div w:id="1666278423">
                  <w:marLeft w:val="0"/>
                  <w:marRight w:val="0"/>
                  <w:marTop w:val="0"/>
                  <w:marBottom w:val="0"/>
                  <w:divBdr>
                    <w:top w:val="none" w:sz="0" w:space="0" w:color="auto"/>
                    <w:left w:val="none" w:sz="0" w:space="0" w:color="auto"/>
                    <w:bottom w:val="none" w:sz="0" w:space="0" w:color="auto"/>
                    <w:right w:val="none" w:sz="0" w:space="0" w:color="auto"/>
                  </w:divBdr>
                  <w:divsChild>
                    <w:div w:id="1864126926">
                      <w:marLeft w:val="0"/>
                      <w:marRight w:val="0"/>
                      <w:marTop w:val="0"/>
                      <w:marBottom w:val="0"/>
                      <w:divBdr>
                        <w:top w:val="none" w:sz="0" w:space="0" w:color="auto"/>
                        <w:left w:val="none" w:sz="0" w:space="0" w:color="auto"/>
                        <w:bottom w:val="none" w:sz="0" w:space="0" w:color="auto"/>
                        <w:right w:val="none" w:sz="0" w:space="0" w:color="auto"/>
                      </w:divBdr>
                      <w:divsChild>
                        <w:div w:id="647706941">
                          <w:marLeft w:val="0"/>
                          <w:marRight w:val="0"/>
                          <w:marTop w:val="0"/>
                          <w:marBottom w:val="0"/>
                          <w:divBdr>
                            <w:top w:val="none" w:sz="0" w:space="0" w:color="auto"/>
                            <w:left w:val="none" w:sz="0" w:space="0" w:color="auto"/>
                            <w:bottom w:val="none" w:sz="0" w:space="0" w:color="auto"/>
                            <w:right w:val="none" w:sz="0" w:space="0" w:color="auto"/>
                          </w:divBdr>
                          <w:divsChild>
                            <w:div w:id="1643851183">
                              <w:marLeft w:val="0"/>
                              <w:marRight w:val="0"/>
                              <w:marTop w:val="0"/>
                              <w:marBottom w:val="0"/>
                              <w:divBdr>
                                <w:top w:val="none" w:sz="0" w:space="0" w:color="auto"/>
                                <w:left w:val="none" w:sz="0" w:space="0" w:color="auto"/>
                                <w:bottom w:val="none" w:sz="0" w:space="0" w:color="auto"/>
                                <w:right w:val="none" w:sz="0" w:space="0" w:color="auto"/>
                              </w:divBdr>
                              <w:divsChild>
                                <w:div w:id="8144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33573">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sChild>
    </w:div>
    <w:div w:id="154221891">
      <w:bodyDiv w:val="1"/>
      <w:marLeft w:val="0"/>
      <w:marRight w:val="0"/>
      <w:marTop w:val="0"/>
      <w:marBottom w:val="0"/>
      <w:divBdr>
        <w:top w:val="none" w:sz="0" w:space="0" w:color="auto"/>
        <w:left w:val="none" w:sz="0" w:space="0" w:color="auto"/>
        <w:bottom w:val="none" w:sz="0" w:space="0" w:color="auto"/>
        <w:right w:val="none" w:sz="0" w:space="0" w:color="auto"/>
      </w:divBdr>
      <w:divsChild>
        <w:div w:id="915092056">
          <w:marLeft w:val="0"/>
          <w:marRight w:val="0"/>
          <w:marTop w:val="0"/>
          <w:marBottom w:val="0"/>
          <w:divBdr>
            <w:top w:val="none" w:sz="0" w:space="0" w:color="auto"/>
            <w:left w:val="none" w:sz="0" w:space="0" w:color="auto"/>
            <w:bottom w:val="none" w:sz="0" w:space="0" w:color="auto"/>
            <w:right w:val="none" w:sz="0" w:space="0" w:color="auto"/>
          </w:divBdr>
        </w:div>
        <w:div w:id="2142992619">
          <w:marLeft w:val="0"/>
          <w:marRight w:val="0"/>
          <w:marTop w:val="0"/>
          <w:marBottom w:val="0"/>
          <w:divBdr>
            <w:top w:val="none" w:sz="0" w:space="0" w:color="auto"/>
            <w:left w:val="none" w:sz="0" w:space="0" w:color="auto"/>
            <w:bottom w:val="none" w:sz="0" w:space="0" w:color="auto"/>
            <w:right w:val="none" w:sz="0" w:space="0" w:color="auto"/>
          </w:divBdr>
        </w:div>
      </w:divsChild>
    </w:div>
    <w:div w:id="155540682">
      <w:bodyDiv w:val="1"/>
      <w:marLeft w:val="0"/>
      <w:marRight w:val="0"/>
      <w:marTop w:val="0"/>
      <w:marBottom w:val="0"/>
      <w:divBdr>
        <w:top w:val="none" w:sz="0" w:space="0" w:color="auto"/>
        <w:left w:val="none" w:sz="0" w:space="0" w:color="auto"/>
        <w:bottom w:val="none" w:sz="0" w:space="0" w:color="auto"/>
        <w:right w:val="none" w:sz="0" w:space="0" w:color="auto"/>
      </w:divBdr>
      <w:divsChild>
        <w:div w:id="610741495">
          <w:marLeft w:val="0"/>
          <w:marRight w:val="0"/>
          <w:marTop w:val="0"/>
          <w:marBottom w:val="0"/>
          <w:divBdr>
            <w:top w:val="none" w:sz="0" w:space="0" w:color="auto"/>
            <w:left w:val="none" w:sz="0" w:space="0" w:color="auto"/>
            <w:bottom w:val="none" w:sz="0" w:space="0" w:color="auto"/>
            <w:right w:val="none" w:sz="0" w:space="0" w:color="auto"/>
          </w:divBdr>
        </w:div>
      </w:divsChild>
    </w:div>
    <w:div w:id="159394368">
      <w:bodyDiv w:val="1"/>
      <w:marLeft w:val="0"/>
      <w:marRight w:val="0"/>
      <w:marTop w:val="0"/>
      <w:marBottom w:val="0"/>
      <w:divBdr>
        <w:top w:val="none" w:sz="0" w:space="0" w:color="auto"/>
        <w:left w:val="none" w:sz="0" w:space="0" w:color="auto"/>
        <w:bottom w:val="none" w:sz="0" w:space="0" w:color="auto"/>
        <w:right w:val="none" w:sz="0" w:space="0" w:color="auto"/>
      </w:divBdr>
    </w:div>
    <w:div w:id="189952487">
      <w:bodyDiv w:val="1"/>
      <w:marLeft w:val="0"/>
      <w:marRight w:val="0"/>
      <w:marTop w:val="0"/>
      <w:marBottom w:val="0"/>
      <w:divBdr>
        <w:top w:val="none" w:sz="0" w:space="0" w:color="auto"/>
        <w:left w:val="none" w:sz="0" w:space="0" w:color="auto"/>
        <w:bottom w:val="none" w:sz="0" w:space="0" w:color="auto"/>
        <w:right w:val="none" w:sz="0" w:space="0" w:color="auto"/>
      </w:divBdr>
      <w:divsChild>
        <w:div w:id="866214902">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08957456">
      <w:bodyDiv w:val="1"/>
      <w:marLeft w:val="0"/>
      <w:marRight w:val="0"/>
      <w:marTop w:val="0"/>
      <w:marBottom w:val="0"/>
      <w:divBdr>
        <w:top w:val="none" w:sz="0" w:space="0" w:color="auto"/>
        <w:left w:val="none" w:sz="0" w:space="0" w:color="auto"/>
        <w:bottom w:val="none" w:sz="0" w:space="0" w:color="auto"/>
        <w:right w:val="none" w:sz="0" w:space="0" w:color="auto"/>
      </w:divBdr>
      <w:divsChild>
        <w:div w:id="1158692842">
          <w:marLeft w:val="0"/>
          <w:marRight w:val="0"/>
          <w:marTop w:val="0"/>
          <w:marBottom w:val="0"/>
          <w:divBdr>
            <w:top w:val="none" w:sz="0" w:space="0" w:color="auto"/>
            <w:left w:val="none" w:sz="0" w:space="0" w:color="auto"/>
            <w:bottom w:val="none" w:sz="0" w:space="0" w:color="auto"/>
            <w:right w:val="none" w:sz="0" w:space="0" w:color="auto"/>
          </w:divBdr>
        </w:div>
      </w:divsChild>
    </w:div>
    <w:div w:id="227300724">
      <w:bodyDiv w:val="1"/>
      <w:marLeft w:val="0"/>
      <w:marRight w:val="0"/>
      <w:marTop w:val="0"/>
      <w:marBottom w:val="0"/>
      <w:divBdr>
        <w:top w:val="none" w:sz="0" w:space="0" w:color="auto"/>
        <w:left w:val="none" w:sz="0" w:space="0" w:color="auto"/>
        <w:bottom w:val="none" w:sz="0" w:space="0" w:color="auto"/>
        <w:right w:val="none" w:sz="0" w:space="0" w:color="auto"/>
      </w:divBdr>
      <w:divsChild>
        <w:div w:id="509874204">
          <w:marLeft w:val="0"/>
          <w:marRight w:val="0"/>
          <w:marTop w:val="0"/>
          <w:marBottom w:val="0"/>
          <w:divBdr>
            <w:top w:val="none" w:sz="0" w:space="0" w:color="auto"/>
            <w:left w:val="none" w:sz="0" w:space="0" w:color="auto"/>
            <w:bottom w:val="none" w:sz="0" w:space="0" w:color="auto"/>
            <w:right w:val="none" w:sz="0" w:space="0" w:color="auto"/>
          </w:divBdr>
        </w:div>
      </w:divsChild>
    </w:div>
    <w:div w:id="239993231">
      <w:bodyDiv w:val="1"/>
      <w:marLeft w:val="0"/>
      <w:marRight w:val="0"/>
      <w:marTop w:val="0"/>
      <w:marBottom w:val="0"/>
      <w:divBdr>
        <w:top w:val="none" w:sz="0" w:space="0" w:color="auto"/>
        <w:left w:val="none" w:sz="0" w:space="0" w:color="auto"/>
        <w:bottom w:val="none" w:sz="0" w:space="0" w:color="auto"/>
        <w:right w:val="none" w:sz="0" w:space="0" w:color="auto"/>
      </w:divBdr>
      <w:divsChild>
        <w:div w:id="2137143554">
          <w:marLeft w:val="0"/>
          <w:marRight w:val="0"/>
          <w:marTop w:val="0"/>
          <w:marBottom w:val="0"/>
          <w:divBdr>
            <w:top w:val="none" w:sz="0" w:space="0" w:color="auto"/>
            <w:left w:val="none" w:sz="0" w:space="0" w:color="auto"/>
            <w:bottom w:val="none" w:sz="0" w:space="0" w:color="auto"/>
            <w:right w:val="none" w:sz="0" w:space="0" w:color="auto"/>
          </w:divBdr>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57644527">
      <w:bodyDiv w:val="1"/>
      <w:marLeft w:val="0"/>
      <w:marRight w:val="0"/>
      <w:marTop w:val="0"/>
      <w:marBottom w:val="0"/>
      <w:divBdr>
        <w:top w:val="none" w:sz="0" w:space="0" w:color="auto"/>
        <w:left w:val="none" w:sz="0" w:space="0" w:color="auto"/>
        <w:bottom w:val="none" w:sz="0" w:space="0" w:color="auto"/>
        <w:right w:val="none" w:sz="0" w:space="0" w:color="auto"/>
      </w:divBdr>
      <w:divsChild>
        <w:div w:id="527572611">
          <w:marLeft w:val="0"/>
          <w:marRight w:val="0"/>
          <w:marTop w:val="0"/>
          <w:marBottom w:val="0"/>
          <w:divBdr>
            <w:top w:val="none" w:sz="0" w:space="0" w:color="auto"/>
            <w:left w:val="none" w:sz="0" w:space="0" w:color="auto"/>
            <w:bottom w:val="none" w:sz="0" w:space="0" w:color="auto"/>
            <w:right w:val="none" w:sz="0" w:space="0" w:color="auto"/>
          </w:divBdr>
        </w:div>
      </w:divsChild>
    </w:div>
    <w:div w:id="271865793">
      <w:bodyDiv w:val="1"/>
      <w:marLeft w:val="0"/>
      <w:marRight w:val="0"/>
      <w:marTop w:val="0"/>
      <w:marBottom w:val="0"/>
      <w:divBdr>
        <w:top w:val="none" w:sz="0" w:space="0" w:color="auto"/>
        <w:left w:val="none" w:sz="0" w:space="0" w:color="auto"/>
        <w:bottom w:val="none" w:sz="0" w:space="0" w:color="auto"/>
        <w:right w:val="none" w:sz="0" w:space="0" w:color="auto"/>
      </w:divBdr>
      <w:divsChild>
        <w:div w:id="227348581">
          <w:marLeft w:val="0"/>
          <w:marRight w:val="0"/>
          <w:marTop w:val="0"/>
          <w:marBottom w:val="0"/>
          <w:divBdr>
            <w:top w:val="none" w:sz="0" w:space="0" w:color="auto"/>
            <w:left w:val="none" w:sz="0" w:space="0" w:color="auto"/>
            <w:bottom w:val="none" w:sz="0" w:space="0" w:color="auto"/>
            <w:right w:val="none" w:sz="0" w:space="0" w:color="auto"/>
          </w:divBdr>
        </w:div>
      </w:divsChild>
    </w:div>
    <w:div w:id="286279493">
      <w:bodyDiv w:val="1"/>
      <w:marLeft w:val="0"/>
      <w:marRight w:val="0"/>
      <w:marTop w:val="0"/>
      <w:marBottom w:val="0"/>
      <w:divBdr>
        <w:top w:val="none" w:sz="0" w:space="0" w:color="auto"/>
        <w:left w:val="none" w:sz="0" w:space="0" w:color="auto"/>
        <w:bottom w:val="none" w:sz="0" w:space="0" w:color="auto"/>
        <w:right w:val="none" w:sz="0" w:space="0" w:color="auto"/>
      </w:divBdr>
      <w:divsChild>
        <w:div w:id="483281115">
          <w:marLeft w:val="0"/>
          <w:marRight w:val="0"/>
          <w:marTop w:val="0"/>
          <w:marBottom w:val="0"/>
          <w:divBdr>
            <w:top w:val="none" w:sz="0" w:space="0" w:color="auto"/>
            <w:left w:val="none" w:sz="0" w:space="0" w:color="auto"/>
            <w:bottom w:val="none" w:sz="0" w:space="0" w:color="auto"/>
            <w:right w:val="none" w:sz="0" w:space="0" w:color="auto"/>
          </w:divBdr>
        </w:div>
      </w:divsChild>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136107">
      <w:bodyDiv w:val="1"/>
      <w:marLeft w:val="0"/>
      <w:marRight w:val="0"/>
      <w:marTop w:val="0"/>
      <w:marBottom w:val="0"/>
      <w:divBdr>
        <w:top w:val="none" w:sz="0" w:space="0" w:color="auto"/>
        <w:left w:val="none" w:sz="0" w:space="0" w:color="auto"/>
        <w:bottom w:val="none" w:sz="0" w:space="0" w:color="auto"/>
        <w:right w:val="none" w:sz="0" w:space="0" w:color="auto"/>
      </w:divBdr>
      <w:divsChild>
        <w:div w:id="1993018507">
          <w:marLeft w:val="0"/>
          <w:marRight w:val="0"/>
          <w:marTop w:val="0"/>
          <w:marBottom w:val="0"/>
          <w:divBdr>
            <w:top w:val="none" w:sz="0" w:space="0" w:color="auto"/>
            <w:left w:val="none" w:sz="0" w:space="0" w:color="auto"/>
            <w:bottom w:val="none" w:sz="0" w:space="0" w:color="auto"/>
            <w:right w:val="none" w:sz="0" w:space="0" w:color="auto"/>
          </w:divBdr>
          <w:divsChild>
            <w:div w:id="1518302840">
              <w:marLeft w:val="0"/>
              <w:marRight w:val="0"/>
              <w:marTop w:val="0"/>
              <w:marBottom w:val="0"/>
              <w:divBdr>
                <w:top w:val="none" w:sz="0" w:space="0" w:color="auto"/>
                <w:left w:val="none" w:sz="0" w:space="0" w:color="auto"/>
                <w:bottom w:val="none" w:sz="0" w:space="0" w:color="auto"/>
                <w:right w:val="none" w:sz="0" w:space="0" w:color="auto"/>
              </w:divBdr>
              <w:divsChild>
                <w:div w:id="988552820">
                  <w:marLeft w:val="0"/>
                  <w:marRight w:val="0"/>
                  <w:marTop w:val="0"/>
                  <w:marBottom w:val="0"/>
                  <w:divBdr>
                    <w:top w:val="none" w:sz="0" w:space="0" w:color="auto"/>
                    <w:left w:val="none" w:sz="0" w:space="0" w:color="auto"/>
                    <w:bottom w:val="none" w:sz="0" w:space="0" w:color="auto"/>
                    <w:right w:val="none" w:sz="0" w:space="0" w:color="auto"/>
                  </w:divBdr>
                  <w:divsChild>
                    <w:div w:id="52047269">
                      <w:marLeft w:val="0"/>
                      <w:marRight w:val="0"/>
                      <w:marTop w:val="0"/>
                      <w:marBottom w:val="0"/>
                      <w:divBdr>
                        <w:top w:val="none" w:sz="0" w:space="0" w:color="auto"/>
                        <w:left w:val="none" w:sz="0" w:space="0" w:color="auto"/>
                        <w:bottom w:val="none" w:sz="0" w:space="0" w:color="auto"/>
                        <w:right w:val="none" w:sz="0" w:space="0" w:color="auto"/>
                      </w:divBdr>
                      <w:divsChild>
                        <w:div w:id="1651249423">
                          <w:marLeft w:val="0"/>
                          <w:marRight w:val="0"/>
                          <w:marTop w:val="0"/>
                          <w:marBottom w:val="0"/>
                          <w:divBdr>
                            <w:top w:val="none" w:sz="0" w:space="0" w:color="auto"/>
                            <w:left w:val="none" w:sz="0" w:space="0" w:color="auto"/>
                            <w:bottom w:val="none" w:sz="0" w:space="0" w:color="auto"/>
                            <w:right w:val="none" w:sz="0" w:space="0" w:color="auto"/>
                          </w:divBdr>
                          <w:divsChild>
                            <w:div w:id="1894735047">
                              <w:marLeft w:val="0"/>
                              <w:marRight w:val="0"/>
                              <w:marTop w:val="0"/>
                              <w:marBottom w:val="0"/>
                              <w:divBdr>
                                <w:top w:val="none" w:sz="0" w:space="0" w:color="auto"/>
                                <w:left w:val="none" w:sz="0" w:space="0" w:color="auto"/>
                                <w:bottom w:val="none" w:sz="0" w:space="0" w:color="auto"/>
                                <w:right w:val="none" w:sz="0" w:space="0" w:color="auto"/>
                              </w:divBdr>
                              <w:divsChild>
                                <w:div w:id="10181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3700790">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09936003">
      <w:bodyDiv w:val="1"/>
      <w:marLeft w:val="0"/>
      <w:marRight w:val="0"/>
      <w:marTop w:val="0"/>
      <w:marBottom w:val="0"/>
      <w:divBdr>
        <w:top w:val="none" w:sz="0" w:space="0" w:color="auto"/>
        <w:left w:val="none" w:sz="0" w:space="0" w:color="auto"/>
        <w:bottom w:val="none" w:sz="0" w:space="0" w:color="auto"/>
        <w:right w:val="none" w:sz="0" w:space="0" w:color="auto"/>
      </w:divBdr>
      <w:divsChild>
        <w:div w:id="218707756">
          <w:marLeft w:val="0"/>
          <w:marRight w:val="0"/>
          <w:marTop w:val="0"/>
          <w:marBottom w:val="0"/>
          <w:divBdr>
            <w:top w:val="none" w:sz="0" w:space="0" w:color="auto"/>
            <w:left w:val="none" w:sz="0" w:space="0" w:color="auto"/>
            <w:bottom w:val="none" w:sz="0" w:space="0" w:color="auto"/>
            <w:right w:val="none" w:sz="0" w:space="0" w:color="auto"/>
          </w:divBdr>
        </w:div>
      </w:divsChild>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27192857">
      <w:bodyDiv w:val="1"/>
      <w:marLeft w:val="0"/>
      <w:marRight w:val="0"/>
      <w:marTop w:val="0"/>
      <w:marBottom w:val="0"/>
      <w:divBdr>
        <w:top w:val="none" w:sz="0" w:space="0" w:color="auto"/>
        <w:left w:val="none" w:sz="0" w:space="0" w:color="auto"/>
        <w:bottom w:val="none" w:sz="0" w:space="0" w:color="auto"/>
        <w:right w:val="none" w:sz="0" w:space="0" w:color="auto"/>
      </w:divBdr>
      <w:divsChild>
        <w:div w:id="1109469835">
          <w:marLeft w:val="0"/>
          <w:marRight w:val="0"/>
          <w:marTop w:val="0"/>
          <w:marBottom w:val="0"/>
          <w:divBdr>
            <w:top w:val="none" w:sz="0" w:space="0" w:color="auto"/>
            <w:left w:val="none" w:sz="0" w:space="0" w:color="auto"/>
            <w:bottom w:val="none" w:sz="0" w:space="0" w:color="auto"/>
            <w:right w:val="none" w:sz="0" w:space="0" w:color="auto"/>
          </w:divBdr>
        </w:div>
      </w:divsChild>
    </w:div>
    <w:div w:id="429661198">
      <w:bodyDiv w:val="1"/>
      <w:marLeft w:val="0"/>
      <w:marRight w:val="0"/>
      <w:marTop w:val="0"/>
      <w:marBottom w:val="0"/>
      <w:divBdr>
        <w:top w:val="none" w:sz="0" w:space="0" w:color="auto"/>
        <w:left w:val="none" w:sz="0" w:space="0" w:color="auto"/>
        <w:bottom w:val="none" w:sz="0" w:space="0" w:color="auto"/>
        <w:right w:val="none" w:sz="0" w:space="0" w:color="auto"/>
      </w:divBdr>
      <w:divsChild>
        <w:div w:id="1787312439">
          <w:marLeft w:val="0"/>
          <w:marRight w:val="0"/>
          <w:marTop w:val="0"/>
          <w:marBottom w:val="0"/>
          <w:divBdr>
            <w:top w:val="none" w:sz="0" w:space="0" w:color="auto"/>
            <w:left w:val="none" w:sz="0" w:space="0" w:color="auto"/>
            <w:bottom w:val="none" w:sz="0" w:space="0" w:color="auto"/>
            <w:right w:val="none" w:sz="0" w:space="0" w:color="auto"/>
          </w:divBdr>
        </w:div>
      </w:divsChild>
    </w:div>
    <w:div w:id="430128612">
      <w:bodyDiv w:val="1"/>
      <w:marLeft w:val="0"/>
      <w:marRight w:val="0"/>
      <w:marTop w:val="0"/>
      <w:marBottom w:val="0"/>
      <w:divBdr>
        <w:top w:val="none" w:sz="0" w:space="0" w:color="auto"/>
        <w:left w:val="none" w:sz="0" w:space="0" w:color="auto"/>
        <w:bottom w:val="none" w:sz="0" w:space="0" w:color="auto"/>
        <w:right w:val="none" w:sz="0" w:space="0" w:color="auto"/>
      </w:divBdr>
      <w:divsChild>
        <w:div w:id="1223298021">
          <w:marLeft w:val="0"/>
          <w:marRight w:val="0"/>
          <w:marTop w:val="0"/>
          <w:marBottom w:val="0"/>
          <w:divBdr>
            <w:top w:val="none" w:sz="0" w:space="0" w:color="auto"/>
            <w:left w:val="none" w:sz="0" w:space="0" w:color="auto"/>
            <w:bottom w:val="none" w:sz="0" w:space="0" w:color="auto"/>
            <w:right w:val="none" w:sz="0" w:space="0" w:color="auto"/>
          </w:divBdr>
        </w:div>
        <w:div w:id="1543976677">
          <w:marLeft w:val="0"/>
          <w:marRight w:val="0"/>
          <w:marTop w:val="0"/>
          <w:marBottom w:val="0"/>
          <w:divBdr>
            <w:top w:val="none" w:sz="0" w:space="0" w:color="auto"/>
            <w:left w:val="none" w:sz="0" w:space="0" w:color="auto"/>
            <w:bottom w:val="none" w:sz="0" w:space="0" w:color="auto"/>
            <w:right w:val="none" w:sz="0" w:space="0" w:color="auto"/>
          </w:divBdr>
        </w:div>
      </w:divsChild>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32421191">
      <w:bodyDiv w:val="1"/>
      <w:marLeft w:val="0"/>
      <w:marRight w:val="0"/>
      <w:marTop w:val="0"/>
      <w:marBottom w:val="0"/>
      <w:divBdr>
        <w:top w:val="none" w:sz="0" w:space="0" w:color="auto"/>
        <w:left w:val="none" w:sz="0" w:space="0" w:color="auto"/>
        <w:bottom w:val="none" w:sz="0" w:space="0" w:color="auto"/>
        <w:right w:val="none" w:sz="0" w:space="0" w:color="auto"/>
      </w:divBdr>
      <w:divsChild>
        <w:div w:id="693464466">
          <w:marLeft w:val="0"/>
          <w:marRight w:val="0"/>
          <w:marTop w:val="0"/>
          <w:marBottom w:val="0"/>
          <w:divBdr>
            <w:top w:val="none" w:sz="0" w:space="0" w:color="auto"/>
            <w:left w:val="none" w:sz="0" w:space="0" w:color="auto"/>
            <w:bottom w:val="none" w:sz="0" w:space="0" w:color="auto"/>
            <w:right w:val="none" w:sz="0" w:space="0" w:color="auto"/>
          </w:divBdr>
        </w:div>
      </w:divsChild>
    </w:div>
    <w:div w:id="5363511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57">
          <w:marLeft w:val="0"/>
          <w:marRight w:val="0"/>
          <w:marTop w:val="0"/>
          <w:marBottom w:val="0"/>
          <w:divBdr>
            <w:top w:val="none" w:sz="0" w:space="0" w:color="auto"/>
            <w:left w:val="none" w:sz="0" w:space="0" w:color="auto"/>
            <w:bottom w:val="none" w:sz="0" w:space="0" w:color="auto"/>
            <w:right w:val="none" w:sz="0" w:space="0" w:color="auto"/>
          </w:divBdr>
        </w:div>
      </w:divsChild>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575632381">
      <w:bodyDiv w:val="1"/>
      <w:marLeft w:val="0"/>
      <w:marRight w:val="0"/>
      <w:marTop w:val="0"/>
      <w:marBottom w:val="0"/>
      <w:divBdr>
        <w:top w:val="none" w:sz="0" w:space="0" w:color="auto"/>
        <w:left w:val="none" w:sz="0" w:space="0" w:color="auto"/>
        <w:bottom w:val="none" w:sz="0" w:space="0" w:color="auto"/>
        <w:right w:val="none" w:sz="0" w:space="0" w:color="auto"/>
      </w:divBdr>
    </w:div>
    <w:div w:id="578254509">
      <w:bodyDiv w:val="1"/>
      <w:marLeft w:val="0"/>
      <w:marRight w:val="0"/>
      <w:marTop w:val="0"/>
      <w:marBottom w:val="0"/>
      <w:divBdr>
        <w:top w:val="none" w:sz="0" w:space="0" w:color="auto"/>
        <w:left w:val="none" w:sz="0" w:space="0" w:color="auto"/>
        <w:bottom w:val="none" w:sz="0" w:space="0" w:color="auto"/>
        <w:right w:val="none" w:sz="0" w:space="0" w:color="auto"/>
      </w:divBdr>
      <w:divsChild>
        <w:div w:id="1065761662">
          <w:marLeft w:val="0"/>
          <w:marRight w:val="0"/>
          <w:marTop w:val="0"/>
          <w:marBottom w:val="0"/>
          <w:divBdr>
            <w:top w:val="none" w:sz="0" w:space="0" w:color="auto"/>
            <w:left w:val="none" w:sz="0" w:space="0" w:color="auto"/>
            <w:bottom w:val="none" w:sz="0" w:space="0" w:color="auto"/>
            <w:right w:val="none" w:sz="0" w:space="0" w:color="auto"/>
          </w:divBdr>
          <w:divsChild>
            <w:div w:id="1074203514">
              <w:marLeft w:val="0"/>
              <w:marRight w:val="0"/>
              <w:marTop w:val="0"/>
              <w:marBottom w:val="0"/>
              <w:divBdr>
                <w:top w:val="none" w:sz="0" w:space="0" w:color="auto"/>
                <w:left w:val="none" w:sz="0" w:space="0" w:color="auto"/>
                <w:bottom w:val="none" w:sz="0" w:space="0" w:color="auto"/>
                <w:right w:val="none" w:sz="0" w:space="0" w:color="auto"/>
              </w:divBdr>
              <w:divsChild>
                <w:div w:id="939676329">
                  <w:marLeft w:val="0"/>
                  <w:marRight w:val="0"/>
                  <w:marTop w:val="0"/>
                  <w:marBottom w:val="0"/>
                  <w:divBdr>
                    <w:top w:val="none" w:sz="0" w:space="0" w:color="auto"/>
                    <w:left w:val="none" w:sz="0" w:space="0" w:color="auto"/>
                    <w:bottom w:val="none" w:sz="0" w:space="0" w:color="auto"/>
                    <w:right w:val="none" w:sz="0" w:space="0" w:color="auto"/>
                  </w:divBdr>
                  <w:divsChild>
                    <w:div w:id="89548708">
                      <w:marLeft w:val="0"/>
                      <w:marRight w:val="0"/>
                      <w:marTop w:val="0"/>
                      <w:marBottom w:val="0"/>
                      <w:divBdr>
                        <w:top w:val="none" w:sz="0" w:space="0" w:color="auto"/>
                        <w:left w:val="none" w:sz="0" w:space="0" w:color="auto"/>
                        <w:bottom w:val="none" w:sz="0" w:space="0" w:color="auto"/>
                        <w:right w:val="none" w:sz="0" w:space="0" w:color="auto"/>
                      </w:divBdr>
                      <w:divsChild>
                        <w:div w:id="879904416">
                          <w:marLeft w:val="0"/>
                          <w:marRight w:val="0"/>
                          <w:marTop w:val="0"/>
                          <w:marBottom w:val="0"/>
                          <w:divBdr>
                            <w:top w:val="none" w:sz="0" w:space="0" w:color="auto"/>
                            <w:left w:val="none" w:sz="0" w:space="0" w:color="auto"/>
                            <w:bottom w:val="none" w:sz="0" w:space="0" w:color="auto"/>
                            <w:right w:val="none" w:sz="0" w:space="0" w:color="auto"/>
                          </w:divBdr>
                          <w:divsChild>
                            <w:div w:id="2059814451">
                              <w:marLeft w:val="0"/>
                              <w:marRight w:val="0"/>
                              <w:marTop w:val="0"/>
                              <w:marBottom w:val="0"/>
                              <w:divBdr>
                                <w:top w:val="none" w:sz="0" w:space="0" w:color="auto"/>
                                <w:left w:val="none" w:sz="0" w:space="0" w:color="auto"/>
                                <w:bottom w:val="none" w:sz="0" w:space="0" w:color="auto"/>
                                <w:right w:val="none" w:sz="0" w:space="0" w:color="auto"/>
                              </w:divBdr>
                              <w:divsChild>
                                <w:div w:id="4446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62047682">
      <w:bodyDiv w:val="1"/>
      <w:marLeft w:val="0"/>
      <w:marRight w:val="0"/>
      <w:marTop w:val="0"/>
      <w:marBottom w:val="0"/>
      <w:divBdr>
        <w:top w:val="none" w:sz="0" w:space="0" w:color="auto"/>
        <w:left w:val="none" w:sz="0" w:space="0" w:color="auto"/>
        <w:bottom w:val="none" w:sz="0" w:space="0" w:color="auto"/>
        <w:right w:val="none" w:sz="0" w:space="0" w:color="auto"/>
      </w:divBdr>
      <w:divsChild>
        <w:div w:id="1708136400">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06414515">
      <w:bodyDiv w:val="1"/>
      <w:marLeft w:val="0"/>
      <w:marRight w:val="0"/>
      <w:marTop w:val="0"/>
      <w:marBottom w:val="0"/>
      <w:divBdr>
        <w:top w:val="none" w:sz="0" w:space="0" w:color="auto"/>
        <w:left w:val="none" w:sz="0" w:space="0" w:color="auto"/>
        <w:bottom w:val="none" w:sz="0" w:space="0" w:color="auto"/>
        <w:right w:val="none" w:sz="0" w:space="0" w:color="auto"/>
      </w:divBdr>
      <w:divsChild>
        <w:div w:id="1217350395">
          <w:marLeft w:val="0"/>
          <w:marRight w:val="0"/>
          <w:marTop w:val="0"/>
          <w:marBottom w:val="0"/>
          <w:divBdr>
            <w:top w:val="none" w:sz="0" w:space="0" w:color="auto"/>
            <w:left w:val="none" w:sz="0" w:space="0" w:color="auto"/>
            <w:bottom w:val="none" w:sz="0" w:space="0" w:color="auto"/>
            <w:right w:val="none" w:sz="0" w:space="0" w:color="auto"/>
          </w:divBdr>
        </w:div>
      </w:divsChild>
    </w:div>
    <w:div w:id="714037321">
      <w:bodyDiv w:val="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
      </w:divsChild>
    </w:div>
    <w:div w:id="736630173">
      <w:bodyDiv w:val="1"/>
      <w:marLeft w:val="0"/>
      <w:marRight w:val="0"/>
      <w:marTop w:val="0"/>
      <w:marBottom w:val="0"/>
      <w:divBdr>
        <w:top w:val="none" w:sz="0" w:space="0" w:color="auto"/>
        <w:left w:val="none" w:sz="0" w:space="0" w:color="auto"/>
        <w:bottom w:val="none" w:sz="0" w:space="0" w:color="auto"/>
        <w:right w:val="none" w:sz="0" w:space="0" w:color="auto"/>
      </w:divBdr>
      <w:divsChild>
        <w:div w:id="1034429317">
          <w:marLeft w:val="0"/>
          <w:marRight w:val="0"/>
          <w:marTop w:val="0"/>
          <w:marBottom w:val="0"/>
          <w:divBdr>
            <w:top w:val="none" w:sz="0" w:space="0" w:color="auto"/>
            <w:left w:val="none" w:sz="0" w:space="0" w:color="auto"/>
            <w:bottom w:val="none" w:sz="0" w:space="0" w:color="auto"/>
            <w:right w:val="none" w:sz="0" w:space="0" w:color="auto"/>
          </w:divBdr>
        </w:div>
      </w:divsChild>
    </w:div>
    <w:div w:id="737630278">
      <w:bodyDiv w:val="1"/>
      <w:marLeft w:val="0"/>
      <w:marRight w:val="0"/>
      <w:marTop w:val="0"/>
      <w:marBottom w:val="0"/>
      <w:divBdr>
        <w:top w:val="none" w:sz="0" w:space="0" w:color="auto"/>
        <w:left w:val="none" w:sz="0" w:space="0" w:color="auto"/>
        <w:bottom w:val="none" w:sz="0" w:space="0" w:color="auto"/>
        <w:right w:val="none" w:sz="0" w:space="0" w:color="auto"/>
      </w:divBdr>
      <w:divsChild>
        <w:div w:id="868373030">
          <w:marLeft w:val="0"/>
          <w:marRight w:val="0"/>
          <w:marTop w:val="0"/>
          <w:marBottom w:val="0"/>
          <w:divBdr>
            <w:top w:val="none" w:sz="0" w:space="0" w:color="auto"/>
            <w:left w:val="none" w:sz="0" w:space="0" w:color="auto"/>
            <w:bottom w:val="none" w:sz="0" w:space="0" w:color="auto"/>
            <w:right w:val="none" w:sz="0" w:space="0" w:color="auto"/>
          </w:divBdr>
        </w:div>
      </w:divsChild>
    </w:div>
    <w:div w:id="7814552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06">
          <w:marLeft w:val="0"/>
          <w:marRight w:val="0"/>
          <w:marTop w:val="0"/>
          <w:marBottom w:val="0"/>
          <w:divBdr>
            <w:top w:val="none" w:sz="0" w:space="0" w:color="auto"/>
            <w:left w:val="none" w:sz="0" w:space="0" w:color="auto"/>
            <w:bottom w:val="none" w:sz="0" w:space="0" w:color="auto"/>
            <w:right w:val="none" w:sz="0" w:space="0" w:color="auto"/>
          </w:divBdr>
        </w:div>
      </w:divsChild>
    </w:div>
    <w:div w:id="785000636">
      <w:bodyDiv w:val="1"/>
      <w:marLeft w:val="0"/>
      <w:marRight w:val="0"/>
      <w:marTop w:val="0"/>
      <w:marBottom w:val="0"/>
      <w:divBdr>
        <w:top w:val="none" w:sz="0" w:space="0" w:color="auto"/>
        <w:left w:val="none" w:sz="0" w:space="0" w:color="auto"/>
        <w:bottom w:val="none" w:sz="0" w:space="0" w:color="auto"/>
        <w:right w:val="none" w:sz="0" w:space="0" w:color="auto"/>
      </w:divBdr>
      <w:divsChild>
        <w:div w:id="1603221869">
          <w:marLeft w:val="0"/>
          <w:marRight w:val="0"/>
          <w:marTop w:val="0"/>
          <w:marBottom w:val="0"/>
          <w:divBdr>
            <w:top w:val="none" w:sz="0" w:space="0" w:color="auto"/>
            <w:left w:val="none" w:sz="0" w:space="0" w:color="auto"/>
            <w:bottom w:val="none" w:sz="0" w:space="0" w:color="auto"/>
            <w:right w:val="none" w:sz="0" w:space="0" w:color="auto"/>
          </w:divBdr>
        </w:div>
      </w:divsChild>
    </w:div>
    <w:div w:id="793057659">
      <w:bodyDiv w:val="1"/>
      <w:marLeft w:val="0"/>
      <w:marRight w:val="0"/>
      <w:marTop w:val="0"/>
      <w:marBottom w:val="0"/>
      <w:divBdr>
        <w:top w:val="none" w:sz="0" w:space="0" w:color="auto"/>
        <w:left w:val="none" w:sz="0" w:space="0" w:color="auto"/>
        <w:bottom w:val="none" w:sz="0" w:space="0" w:color="auto"/>
        <w:right w:val="none" w:sz="0" w:space="0" w:color="auto"/>
      </w:divBdr>
      <w:divsChild>
        <w:div w:id="320282200">
          <w:marLeft w:val="0"/>
          <w:marRight w:val="0"/>
          <w:marTop w:val="0"/>
          <w:marBottom w:val="0"/>
          <w:divBdr>
            <w:top w:val="none" w:sz="0" w:space="0" w:color="auto"/>
            <w:left w:val="none" w:sz="0" w:space="0" w:color="auto"/>
            <w:bottom w:val="none" w:sz="0" w:space="0" w:color="auto"/>
            <w:right w:val="none" w:sz="0" w:space="0" w:color="auto"/>
          </w:divBdr>
        </w:div>
      </w:divsChild>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325">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6965575">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68496664">
      <w:bodyDiv w:val="1"/>
      <w:marLeft w:val="0"/>
      <w:marRight w:val="0"/>
      <w:marTop w:val="0"/>
      <w:marBottom w:val="0"/>
      <w:divBdr>
        <w:top w:val="none" w:sz="0" w:space="0" w:color="auto"/>
        <w:left w:val="none" w:sz="0" w:space="0" w:color="auto"/>
        <w:bottom w:val="none" w:sz="0" w:space="0" w:color="auto"/>
        <w:right w:val="none" w:sz="0" w:space="0" w:color="auto"/>
      </w:divBdr>
      <w:divsChild>
        <w:div w:id="517816699">
          <w:marLeft w:val="0"/>
          <w:marRight w:val="0"/>
          <w:marTop w:val="0"/>
          <w:marBottom w:val="0"/>
          <w:divBdr>
            <w:top w:val="none" w:sz="0" w:space="0" w:color="auto"/>
            <w:left w:val="none" w:sz="0" w:space="0" w:color="auto"/>
            <w:bottom w:val="none" w:sz="0" w:space="0" w:color="auto"/>
            <w:right w:val="none" w:sz="0" w:space="0" w:color="auto"/>
          </w:divBdr>
        </w:div>
      </w:divsChild>
    </w:div>
    <w:div w:id="870530420">
      <w:bodyDiv w:val="1"/>
      <w:marLeft w:val="0"/>
      <w:marRight w:val="0"/>
      <w:marTop w:val="0"/>
      <w:marBottom w:val="0"/>
      <w:divBdr>
        <w:top w:val="none" w:sz="0" w:space="0" w:color="auto"/>
        <w:left w:val="none" w:sz="0" w:space="0" w:color="auto"/>
        <w:bottom w:val="none" w:sz="0" w:space="0" w:color="auto"/>
        <w:right w:val="none" w:sz="0" w:space="0" w:color="auto"/>
      </w:divBdr>
      <w:divsChild>
        <w:div w:id="1278830881">
          <w:marLeft w:val="0"/>
          <w:marRight w:val="0"/>
          <w:marTop w:val="0"/>
          <w:marBottom w:val="0"/>
          <w:divBdr>
            <w:top w:val="none" w:sz="0" w:space="0" w:color="auto"/>
            <w:left w:val="none" w:sz="0" w:space="0" w:color="auto"/>
            <w:bottom w:val="none" w:sz="0" w:space="0" w:color="auto"/>
            <w:right w:val="none" w:sz="0" w:space="0" w:color="auto"/>
          </w:divBdr>
        </w:div>
      </w:divsChild>
    </w:div>
    <w:div w:id="873423096">
      <w:bodyDiv w:val="1"/>
      <w:marLeft w:val="0"/>
      <w:marRight w:val="0"/>
      <w:marTop w:val="0"/>
      <w:marBottom w:val="0"/>
      <w:divBdr>
        <w:top w:val="none" w:sz="0" w:space="0" w:color="auto"/>
        <w:left w:val="none" w:sz="0" w:space="0" w:color="auto"/>
        <w:bottom w:val="none" w:sz="0" w:space="0" w:color="auto"/>
        <w:right w:val="none" w:sz="0" w:space="0" w:color="auto"/>
      </w:divBdr>
    </w:div>
    <w:div w:id="875892605">
      <w:bodyDiv w:val="1"/>
      <w:marLeft w:val="0"/>
      <w:marRight w:val="0"/>
      <w:marTop w:val="0"/>
      <w:marBottom w:val="0"/>
      <w:divBdr>
        <w:top w:val="none" w:sz="0" w:space="0" w:color="auto"/>
        <w:left w:val="none" w:sz="0" w:space="0" w:color="auto"/>
        <w:bottom w:val="none" w:sz="0" w:space="0" w:color="auto"/>
        <w:right w:val="none" w:sz="0" w:space="0" w:color="auto"/>
      </w:divBdr>
      <w:divsChild>
        <w:div w:id="1601791211">
          <w:marLeft w:val="0"/>
          <w:marRight w:val="0"/>
          <w:marTop w:val="0"/>
          <w:marBottom w:val="0"/>
          <w:divBdr>
            <w:top w:val="none" w:sz="0" w:space="0" w:color="auto"/>
            <w:left w:val="none" w:sz="0" w:space="0" w:color="auto"/>
            <w:bottom w:val="none" w:sz="0" w:space="0" w:color="auto"/>
            <w:right w:val="none" w:sz="0" w:space="0" w:color="auto"/>
          </w:divBdr>
        </w:div>
      </w:divsChild>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03685690">
      <w:bodyDiv w:val="1"/>
      <w:marLeft w:val="0"/>
      <w:marRight w:val="0"/>
      <w:marTop w:val="0"/>
      <w:marBottom w:val="0"/>
      <w:divBdr>
        <w:top w:val="none" w:sz="0" w:space="0" w:color="auto"/>
        <w:left w:val="none" w:sz="0" w:space="0" w:color="auto"/>
        <w:bottom w:val="none" w:sz="0" w:space="0" w:color="auto"/>
        <w:right w:val="none" w:sz="0" w:space="0" w:color="auto"/>
      </w:divBdr>
      <w:divsChild>
        <w:div w:id="652375288">
          <w:marLeft w:val="0"/>
          <w:marRight w:val="0"/>
          <w:marTop w:val="0"/>
          <w:marBottom w:val="0"/>
          <w:divBdr>
            <w:top w:val="none" w:sz="0" w:space="0" w:color="auto"/>
            <w:left w:val="none" w:sz="0" w:space="0" w:color="auto"/>
            <w:bottom w:val="none" w:sz="0" w:space="0" w:color="auto"/>
            <w:right w:val="none" w:sz="0" w:space="0" w:color="auto"/>
          </w:divBdr>
          <w:divsChild>
            <w:div w:id="1305890996">
              <w:marLeft w:val="0"/>
              <w:marRight w:val="0"/>
              <w:marTop w:val="0"/>
              <w:marBottom w:val="0"/>
              <w:divBdr>
                <w:top w:val="none" w:sz="0" w:space="0" w:color="auto"/>
                <w:left w:val="none" w:sz="0" w:space="0" w:color="auto"/>
                <w:bottom w:val="none" w:sz="0" w:space="0" w:color="auto"/>
                <w:right w:val="none" w:sz="0" w:space="0" w:color="auto"/>
              </w:divBdr>
              <w:divsChild>
                <w:div w:id="1116559118">
                  <w:marLeft w:val="0"/>
                  <w:marRight w:val="0"/>
                  <w:marTop w:val="0"/>
                  <w:marBottom w:val="0"/>
                  <w:divBdr>
                    <w:top w:val="none" w:sz="0" w:space="0" w:color="auto"/>
                    <w:left w:val="none" w:sz="0" w:space="0" w:color="auto"/>
                    <w:bottom w:val="none" w:sz="0" w:space="0" w:color="auto"/>
                    <w:right w:val="none" w:sz="0" w:space="0" w:color="auto"/>
                  </w:divBdr>
                  <w:divsChild>
                    <w:div w:id="1469935906">
                      <w:marLeft w:val="0"/>
                      <w:marRight w:val="0"/>
                      <w:marTop w:val="0"/>
                      <w:marBottom w:val="0"/>
                      <w:divBdr>
                        <w:top w:val="none" w:sz="0" w:space="0" w:color="auto"/>
                        <w:left w:val="none" w:sz="0" w:space="0" w:color="auto"/>
                        <w:bottom w:val="none" w:sz="0" w:space="0" w:color="auto"/>
                        <w:right w:val="none" w:sz="0" w:space="0" w:color="auto"/>
                      </w:divBdr>
                      <w:divsChild>
                        <w:div w:id="542523315">
                          <w:marLeft w:val="0"/>
                          <w:marRight w:val="0"/>
                          <w:marTop w:val="0"/>
                          <w:marBottom w:val="0"/>
                          <w:divBdr>
                            <w:top w:val="none" w:sz="0" w:space="0" w:color="auto"/>
                            <w:left w:val="none" w:sz="0" w:space="0" w:color="auto"/>
                            <w:bottom w:val="none" w:sz="0" w:space="0" w:color="auto"/>
                            <w:right w:val="none" w:sz="0" w:space="0" w:color="auto"/>
                          </w:divBdr>
                          <w:divsChild>
                            <w:div w:id="233854529">
                              <w:marLeft w:val="0"/>
                              <w:marRight w:val="0"/>
                              <w:marTop w:val="0"/>
                              <w:marBottom w:val="0"/>
                              <w:divBdr>
                                <w:top w:val="none" w:sz="0" w:space="0" w:color="auto"/>
                                <w:left w:val="none" w:sz="0" w:space="0" w:color="auto"/>
                                <w:bottom w:val="none" w:sz="0" w:space="0" w:color="auto"/>
                                <w:right w:val="none" w:sz="0" w:space="0" w:color="auto"/>
                              </w:divBdr>
                              <w:divsChild>
                                <w:div w:id="11696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31645">
      <w:bodyDiv w:val="1"/>
      <w:marLeft w:val="0"/>
      <w:marRight w:val="0"/>
      <w:marTop w:val="0"/>
      <w:marBottom w:val="0"/>
      <w:divBdr>
        <w:top w:val="none" w:sz="0" w:space="0" w:color="auto"/>
        <w:left w:val="none" w:sz="0" w:space="0" w:color="auto"/>
        <w:bottom w:val="none" w:sz="0" w:space="0" w:color="auto"/>
        <w:right w:val="none" w:sz="0" w:space="0" w:color="auto"/>
      </w:divBdr>
    </w:div>
    <w:div w:id="917901543">
      <w:bodyDiv w:val="1"/>
      <w:marLeft w:val="0"/>
      <w:marRight w:val="0"/>
      <w:marTop w:val="0"/>
      <w:marBottom w:val="0"/>
      <w:divBdr>
        <w:top w:val="none" w:sz="0" w:space="0" w:color="auto"/>
        <w:left w:val="none" w:sz="0" w:space="0" w:color="auto"/>
        <w:bottom w:val="none" w:sz="0" w:space="0" w:color="auto"/>
        <w:right w:val="none" w:sz="0" w:space="0" w:color="auto"/>
      </w:divBdr>
      <w:divsChild>
        <w:div w:id="136923112">
          <w:marLeft w:val="0"/>
          <w:marRight w:val="0"/>
          <w:marTop w:val="0"/>
          <w:marBottom w:val="0"/>
          <w:divBdr>
            <w:top w:val="none" w:sz="0" w:space="0" w:color="auto"/>
            <w:left w:val="none" w:sz="0" w:space="0" w:color="auto"/>
            <w:bottom w:val="none" w:sz="0" w:space="0" w:color="auto"/>
            <w:right w:val="none" w:sz="0" w:space="0" w:color="auto"/>
          </w:divBdr>
        </w:div>
      </w:divsChild>
    </w:div>
    <w:div w:id="920867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816">
          <w:marLeft w:val="0"/>
          <w:marRight w:val="0"/>
          <w:marTop w:val="0"/>
          <w:marBottom w:val="0"/>
          <w:divBdr>
            <w:top w:val="none" w:sz="0" w:space="0" w:color="auto"/>
            <w:left w:val="none" w:sz="0" w:space="0" w:color="auto"/>
            <w:bottom w:val="none" w:sz="0" w:space="0" w:color="auto"/>
            <w:right w:val="none" w:sz="0" w:space="0" w:color="auto"/>
          </w:divBdr>
        </w:div>
      </w:divsChild>
    </w:div>
    <w:div w:id="924149647">
      <w:bodyDiv w:val="1"/>
      <w:marLeft w:val="0"/>
      <w:marRight w:val="0"/>
      <w:marTop w:val="0"/>
      <w:marBottom w:val="0"/>
      <w:divBdr>
        <w:top w:val="none" w:sz="0" w:space="0" w:color="auto"/>
        <w:left w:val="none" w:sz="0" w:space="0" w:color="auto"/>
        <w:bottom w:val="none" w:sz="0" w:space="0" w:color="auto"/>
        <w:right w:val="none" w:sz="0" w:space="0" w:color="auto"/>
      </w:divBdr>
      <w:divsChild>
        <w:div w:id="273171816">
          <w:marLeft w:val="0"/>
          <w:marRight w:val="0"/>
          <w:marTop w:val="0"/>
          <w:marBottom w:val="0"/>
          <w:divBdr>
            <w:top w:val="none" w:sz="0" w:space="0" w:color="auto"/>
            <w:left w:val="none" w:sz="0" w:space="0" w:color="auto"/>
            <w:bottom w:val="none" w:sz="0" w:space="0" w:color="auto"/>
            <w:right w:val="none" w:sz="0" w:space="0" w:color="auto"/>
          </w:divBdr>
        </w:div>
        <w:div w:id="883715684">
          <w:marLeft w:val="0"/>
          <w:marRight w:val="0"/>
          <w:marTop w:val="0"/>
          <w:marBottom w:val="0"/>
          <w:divBdr>
            <w:top w:val="none" w:sz="0" w:space="0" w:color="auto"/>
            <w:left w:val="none" w:sz="0" w:space="0" w:color="auto"/>
            <w:bottom w:val="none" w:sz="0" w:space="0" w:color="auto"/>
            <w:right w:val="none" w:sz="0" w:space="0" w:color="auto"/>
          </w:divBdr>
        </w:div>
      </w:divsChild>
    </w:div>
    <w:div w:id="940920422">
      <w:bodyDiv w:val="1"/>
      <w:marLeft w:val="0"/>
      <w:marRight w:val="0"/>
      <w:marTop w:val="0"/>
      <w:marBottom w:val="0"/>
      <w:divBdr>
        <w:top w:val="none" w:sz="0" w:space="0" w:color="auto"/>
        <w:left w:val="none" w:sz="0" w:space="0" w:color="auto"/>
        <w:bottom w:val="none" w:sz="0" w:space="0" w:color="auto"/>
        <w:right w:val="none" w:sz="0" w:space="0" w:color="auto"/>
      </w:divBdr>
    </w:div>
    <w:div w:id="96234589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8">
          <w:marLeft w:val="0"/>
          <w:marRight w:val="0"/>
          <w:marTop w:val="0"/>
          <w:marBottom w:val="0"/>
          <w:divBdr>
            <w:top w:val="none" w:sz="0" w:space="0" w:color="auto"/>
            <w:left w:val="none" w:sz="0" w:space="0" w:color="auto"/>
            <w:bottom w:val="none" w:sz="0" w:space="0" w:color="auto"/>
            <w:right w:val="none" w:sz="0" w:space="0" w:color="auto"/>
          </w:divBdr>
        </w:div>
      </w:divsChild>
    </w:div>
    <w:div w:id="980499579">
      <w:bodyDiv w:val="1"/>
      <w:marLeft w:val="0"/>
      <w:marRight w:val="0"/>
      <w:marTop w:val="0"/>
      <w:marBottom w:val="0"/>
      <w:divBdr>
        <w:top w:val="none" w:sz="0" w:space="0" w:color="auto"/>
        <w:left w:val="none" w:sz="0" w:space="0" w:color="auto"/>
        <w:bottom w:val="none" w:sz="0" w:space="0" w:color="auto"/>
        <w:right w:val="none" w:sz="0" w:space="0" w:color="auto"/>
      </w:divBdr>
      <w:divsChild>
        <w:div w:id="2019232073">
          <w:marLeft w:val="0"/>
          <w:marRight w:val="0"/>
          <w:marTop w:val="0"/>
          <w:marBottom w:val="0"/>
          <w:divBdr>
            <w:top w:val="none" w:sz="0" w:space="0" w:color="auto"/>
            <w:left w:val="none" w:sz="0" w:space="0" w:color="auto"/>
            <w:bottom w:val="none" w:sz="0" w:space="0" w:color="auto"/>
            <w:right w:val="none" w:sz="0" w:space="0" w:color="auto"/>
          </w:divBdr>
        </w:div>
      </w:divsChild>
    </w:div>
    <w:div w:id="984705371">
      <w:bodyDiv w:val="1"/>
      <w:marLeft w:val="0"/>
      <w:marRight w:val="0"/>
      <w:marTop w:val="0"/>
      <w:marBottom w:val="0"/>
      <w:divBdr>
        <w:top w:val="none" w:sz="0" w:space="0" w:color="auto"/>
        <w:left w:val="none" w:sz="0" w:space="0" w:color="auto"/>
        <w:bottom w:val="none" w:sz="0" w:space="0" w:color="auto"/>
        <w:right w:val="none" w:sz="0" w:space="0" w:color="auto"/>
      </w:divBdr>
      <w:divsChild>
        <w:div w:id="991525901">
          <w:marLeft w:val="0"/>
          <w:marRight w:val="0"/>
          <w:marTop w:val="0"/>
          <w:marBottom w:val="0"/>
          <w:divBdr>
            <w:top w:val="none" w:sz="0" w:space="0" w:color="auto"/>
            <w:left w:val="none" w:sz="0" w:space="0" w:color="auto"/>
            <w:bottom w:val="none" w:sz="0" w:space="0" w:color="auto"/>
            <w:right w:val="none" w:sz="0" w:space="0" w:color="auto"/>
          </w:divBdr>
        </w:div>
      </w:divsChild>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2524">
      <w:bodyDiv w:val="1"/>
      <w:marLeft w:val="0"/>
      <w:marRight w:val="0"/>
      <w:marTop w:val="0"/>
      <w:marBottom w:val="0"/>
      <w:divBdr>
        <w:top w:val="none" w:sz="0" w:space="0" w:color="auto"/>
        <w:left w:val="none" w:sz="0" w:space="0" w:color="auto"/>
        <w:bottom w:val="none" w:sz="0" w:space="0" w:color="auto"/>
        <w:right w:val="none" w:sz="0" w:space="0" w:color="auto"/>
      </w:divBdr>
      <w:divsChild>
        <w:div w:id="1863088041">
          <w:marLeft w:val="0"/>
          <w:marRight w:val="0"/>
          <w:marTop w:val="0"/>
          <w:marBottom w:val="0"/>
          <w:divBdr>
            <w:top w:val="none" w:sz="0" w:space="0" w:color="auto"/>
            <w:left w:val="none" w:sz="0" w:space="0" w:color="auto"/>
            <w:bottom w:val="none" w:sz="0" w:space="0" w:color="auto"/>
            <w:right w:val="none" w:sz="0" w:space="0" w:color="auto"/>
          </w:divBdr>
        </w:div>
      </w:divsChild>
    </w:div>
    <w:div w:id="10821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012650">
          <w:marLeft w:val="0"/>
          <w:marRight w:val="0"/>
          <w:marTop w:val="0"/>
          <w:marBottom w:val="0"/>
          <w:divBdr>
            <w:top w:val="none" w:sz="0" w:space="0" w:color="auto"/>
            <w:left w:val="none" w:sz="0" w:space="0" w:color="auto"/>
            <w:bottom w:val="none" w:sz="0" w:space="0" w:color="auto"/>
            <w:right w:val="none" w:sz="0" w:space="0" w:color="auto"/>
          </w:divBdr>
        </w:div>
      </w:divsChild>
    </w:div>
    <w:div w:id="1097943556">
      <w:bodyDiv w:val="1"/>
      <w:marLeft w:val="0"/>
      <w:marRight w:val="0"/>
      <w:marTop w:val="0"/>
      <w:marBottom w:val="0"/>
      <w:divBdr>
        <w:top w:val="none" w:sz="0" w:space="0" w:color="auto"/>
        <w:left w:val="none" w:sz="0" w:space="0" w:color="auto"/>
        <w:bottom w:val="none" w:sz="0" w:space="0" w:color="auto"/>
        <w:right w:val="none" w:sz="0" w:space="0" w:color="auto"/>
      </w:divBdr>
      <w:divsChild>
        <w:div w:id="1044870854">
          <w:marLeft w:val="0"/>
          <w:marRight w:val="0"/>
          <w:marTop w:val="0"/>
          <w:marBottom w:val="0"/>
          <w:divBdr>
            <w:top w:val="none" w:sz="0" w:space="0" w:color="auto"/>
            <w:left w:val="none" w:sz="0" w:space="0" w:color="auto"/>
            <w:bottom w:val="none" w:sz="0" w:space="0" w:color="auto"/>
            <w:right w:val="none" w:sz="0" w:space="0" w:color="auto"/>
          </w:divBdr>
        </w:div>
      </w:divsChild>
    </w:div>
    <w:div w:id="1100562064">
      <w:bodyDiv w:val="1"/>
      <w:marLeft w:val="0"/>
      <w:marRight w:val="0"/>
      <w:marTop w:val="0"/>
      <w:marBottom w:val="0"/>
      <w:divBdr>
        <w:top w:val="none" w:sz="0" w:space="0" w:color="auto"/>
        <w:left w:val="none" w:sz="0" w:space="0" w:color="auto"/>
        <w:bottom w:val="none" w:sz="0" w:space="0" w:color="auto"/>
        <w:right w:val="none" w:sz="0" w:space="0" w:color="auto"/>
      </w:divBdr>
      <w:divsChild>
        <w:div w:id="1082989558">
          <w:marLeft w:val="0"/>
          <w:marRight w:val="0"/>
          <w:marTop w:val="0"/>
          <w:marBottom w:val="0"/>
          <w:divBdr>
            <w:top w:val="none" w:sz="0" w:space="0" w:color="auto"/>
            <w:left w:val="none" w:sz="0" w:space="0" w:color="auto"/>
            <w:bottom w:val="none" w:sz="0" w:space="0" w:color="auto"/>
            <w:right w:val="none" w:sz="0" w:space="0" w:color="auto"/>
          </w:divBdr>
        </w:div>
        <w:div w:id="1292249269">
          <w:marLeft w:val="0"/>
          <w:marRight w:val="0"/>
          <w:marTop w:val="0"/>
          <w:marBottom w:val="0"/>
          <w:divBdr>
            <w:top w:val="none" w:sz="0" w:space="0" w:color="auto"/>
            <w:left w:val="none" w:sz="0" w:space="0" w:color="auto"/>
            <w:bottom w:val="none" w:sz="0" w:space="0" w:color="auto"/>
            <w:right w:val="none" w:sz="0" w:space="0" w:color="auto"/>
          </w:divBdr>
        </w:div>
      </w:divsChild>
    </w:div>
    <w:div w:id="1127550334">
      <w:bodyDiv w:val="1"/>
      <w:marLeft w:val="0"/>
      <w:marRight w:val="0"/>
      <w:marTop w:val="0"/>
      <w:marBottom w:val="0"/>
      <w:divBdr>
        <w:top w:val="none" w:sz="0" w:space="0" w:color="auto"/>
        <w:left w:val="none" w:sz="0" w:space="0" w:color="auto"/>
        <w:bottom w:val="none" w:sz="0" w:space="0" w:color="auto"/>
        <w:right w:val="none" w:sz="0" w:space="0" w:color="auto"/>
      </w:divBdr>
      <w:divsChild>
        <w:div w:id="1203982086">
          <w:marLeft w:val="0"/>
          <w:marRight w:val="0"/>
          <w:marTop w:val="0"/>
          <w:marBottom w:val="0"/>
          <w:divBdr>
            <w:top w:val="none" w:sz="0" w:space="0" w:color="auto"/>
            <w:left w:val="none" w:sz="0" w:space="0" w:color="auto"/>
            <w:bottom w:val="none" w:sz="0" w:space="0" w:color="auto"/>
            <w:right w:val="none" w:sz="0" w:space="0" w:color="auto"/>
          </w:divBdr>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68714988">
      <w:bodyDiv w:val="1"/>
      <w:marLeft w:val="0"/>
      <w:marRight w:val="0"/>
      <w:marTop w:val="0"/>
      <w:marBottom w:val="0"/>
      <w:divBdr>
        <w:top w:val="none" w:sz="0" w:space="0" w:color="auto"/>
        <w:left w:val="none" w:sz="0" w:space="0" w:color="auto"/>
        <w:bottom w:val="none" w:sz="0" w:space="0" w:color="auto"/>
        <w:right w:val="none" w:sz="0" w:space="0" w:color="auto"/>
      </w:divBdr>
      <w:divsChild>
        <w:div w:id="1740906136">
          <w:marLeft w:val="0"/>
          <w:marRight w:val="0"/>
          <w:marTop w:val="0"/>
          <w:marBottom w:val="0"/>
          <w:divBdr>
            <w:top w:val="none" w:sz="0" w:space="0" w:color="auto"/>
            <w:left w:val="none" w:sz="0" w:space="0" w:color="auto"/>
            <w:bottom w:val="none" w:sz="0" w:space="0" w:color="auto"/>
            <w:right w:val="none" w:sz="0" w:space="0" w:color="auto"/>
          </w:divBdr>
          <w:divsChild>
            <w:div w:id="1118717246">
              <w:marLeft w:val="0"/>
              <w:marRight w:val="0"/>
              <w:marTop w:val="0"/>
              <w:marBottom w:val="0"/>
              <w:divBdr>
                <w:top w:val="none" w:sz="0" w:space="0" w:color="auto"/>
                <w:left w:val="none" w:sz="0" w:space="0" w:color="auto"/>
                <w:bottom w:val="none" w:sz="0" w:space="0" w:color="auto"/>
                <w:right w:val="none" w:sz="0" w:space="0" w:color="auto"/>
              </w:divBdr>
              <w:divsChild>
                <w:div w:id="693651232">
                  <w:marLeft w:val="0"/>
                  <w:marRight w:val="0"/>
                  <w:marTop w:val="0"/>
                  <w:marBottom w:val="0"/>
                  <w:divBdr>
                    <w:top w:val="none" w:sz="0" w:space="0" w:color="auto"/>
                    <w:left w:val="none" w:sz="0" w:space="0" w:color="auto"/>
                    <w:bottom w:val="none" w:sz="0" w:space="0" w:color="auto"/>
                    <w:right w:val="none" w:sz="0" w:space="0" w:color="auto"/>
                  </w:divBdr>
                  <w:divsChild>
                    <w:div w:id="1195114684">
                      <w:marLeft w:val="0"/>
                      <w:marRight w:val="0"/>
                      <w:marTop w:val="0"/>
                      <w:marBottom w:val="0"/>
                      <w:divBdr>
                        <w:top w:val="none" w:sz="0" w:space="0" w:color="auto"/>
                        <w:left w:val="none" w:sz="0" w:space="0" w:color="auto"/>
                        <w:bottom w:val="none" w:sz="0" w:space="0" w:color="auto"/>
                        <w:right w:val="none" w:sz="0" w:space="0" w:color="auto"/>
                      </w:divBdr>
                      <w:divsChild>
                        <w:div w:id="1016736469">
                          <w:marLeft w:val="0"/>
                          <w:marRight w:val="0"/>
                          <w:marTop w:val="0"/>
                          <w:marBottom w:val="0"/>
                          <w:divBdr>
                            <w:top w:val="none" w:sz="0" w:space="0" w:color="auto"/>
                            <w:left w:val="none" w:sz="0" w:space="0" w:color="auto"/>
                            <w:bottom w:val="none" w:sz="0" w:space="0" w:color="auto"/>
                            <w:right w:val="none" w:sz="0" w:space="0" w:color="auto"/>
                          </w:divBdr>
                          <w:divsChild>
                            <w:div w:id="1974872055">
                              <w:marLeft w:val="0"/>
                              <w:marRight w:val="0"/>
                              <w:marTop w:val="0"/>
                              <w:marBottom w:val="0"/>
                              <w:divBdr>
                                <w:top w:val="none" w:sz="0" w:space="0" w:color="auto"/>
                                <w:left w:val="none" w:sz="0" w:space="0" w:color="auto"/>
                                <w:bottom w:val="none" w:sz="0" w:space="0" w:color="auto"/>
                                <w:right w:val="none" w:sz="0" w:space="0" w:color="auto"/>
                              </w:divBdr>
                              <w:divsChild>
                                <w:div w:id="18732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555446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22">
          <w:marLeft w:val="0"/>
          <w:marRight w:val="0"/>
          <w:marTop w:val="0"/>
          <w:marBottom w:val="0"/>
          <w:divBdr>
            <w:top w:val="none" w:sz="0" w:space="0" w:color="auto"/>
            <w:left w:val="none" w:sz="0" w:space="0" w:color="auto"/>
            <w:bottom w:val="none" w:sz="0" w:space="0" w:color="auto"/>
            <w:right w:val="none" w:sz="0" w:space="0" w:color="auto"/>
          </w:divBdr>
        </w:div>
      </w:divsChild>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16434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55">
          <w:marLeft w:val="0"/>
          <w:marRight w:val="0"/>
          <w:marTop w:val="0"/>
          <w:marBottom w:val="0"/>
          <w:divBdr>
            <w:top w:val="none" w:sz="0" w:space="0" w:color="auto"/>
            <w:left w:val="none" w:sz="0" w:space="0" w:color="auto"/>
            <w:bottom w:val="none" w:sz="0" w:space="0" w:color="auto"/>
            <w:right w:val="none" w:sz="0" w:space="0" w:color="auto"/>
          </w:divBdr>
        </w:div>
      </w:divsChild>
    </w:div>
    <w:div w:id="1227492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353">
          <w:marLeft w:val="0"/>
          <w:marRight w:val="0"/>
          <w:marTop w:val="0"/>
          <w:marBottom w:val="0"/>
          <w:divBdr>
            <w:top w:val="none" w:sz="0" w:space="0" w:color="auto"/>
            <w:left w:val="none" w:sz="0" w:space="0" w:color="auto"/>
            <w:bottom w:val="none" w:sz="0" w:space="0" w:color="auto"/>
            <w:right w:val="none" w:sz="0" w:space="0" w:color="auto"/>
          </w:divBdr>
        </w:div>
      </w:divsChild>
    </w:div>
    <w:div w:id="1240940820">
      <w:bodyDiv w:val="1"/>
      <w:marLeft w:val="0"/>
      <w:marRight w:val="0"/>
      <w:marTop w:val="0"/>
      <w:marBottom w:val="0"/>
      <w:divBdr>
        <w:top w:val="none" w:sz="0" w:space="0" w:color="auto"/>
        <w:left w:val="none" w:sz="0" w:space="0" w:color="auto"/>
        <w:bottom w:val="none" w:sz="0" w:space="0" w:color="auto"/>
        <w:right w:val="none" w:sz="0" w:space="0" w:color="auto"/>
      </w:divBdr>
      <w:divsChild>
        <w:div w:id="561720015">
          <w:marLeft w:val="0"/>
          <w:marRight w:val="0"/>
          <w:marTop w:val="0"/>
          <w:marBottom w:val="0"/>
          <w:divBdr>
            <w:top w:val="none" w:sz="0" w:space="0" w:color="auto"/>
            <w:left w:val="none" w:sz="0" w:space="0" w:color="auto"/>
            <w:bottom w:val="none" w:sz="0" w:space="0" w:color="auto"/>
            <w:right w:val="none" w:sz="0" w:space="0" w:color="auto"/>
          </w:divBdr>
        </w:div>
      </w:divsChild>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783">
      <w:bodyDiv w:val="1"/>
      <w:marLeft w:val="0"/>
      <w:marRight w:val="0"/>
      <w:marTop w:val="0"/>
      <w:marBottom w:val="0"/>
      <w:divBdr>
        <w:top w:val="none" w:sz="0" w:space="0" w:color="auto"/>
        <w:left w:val="none" w:sz="0" w:space="0" w:color="auto"/>
        <w:bottom w:val="none" w:sz="0" w:space="0" w:color="auto"/>
        <w:right w:val="none" w:sz="0" w:space="0" w:color="auto"/>
      </w:divBdr>
      <w:divsChild>
        <w:div w:id="1858691621">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23847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4447">
          <w:marLeft w:val="0"/>
          <w:marRight w:val="0"/>
          <w:marTop w:val="0"/>
          <w:marBottom w:val="0"/>
          <w:divBdr>
            <w:top w:val="none" w:sz="0" w:space="0" w:color="auto"/>
            <w:left w:val="none" w:sz="0" w:space="0" w:color="auto"/>
            <w:bottom w:val="none" w:sz="0" w:space="0" w:color="auto"/>
            <w:right w:val="none" w:sz="0" w:space="0" w:color="auto"/>
          </w:divBdr>
        </w:div>
      </w:divsChild>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sChild>
        <w:div w:id="86313783">
          <w:marLeft w:val="0"/>
          <w:marRight w:val="0"/>
          <w:marTop w:val="0"/>
          <w:marBottom w:val="0"/>
          <w:divBdr>
            <w:top w:val="none" w:sz="0" w:space="0" w:color="auto"/>
            <w:left w:val="none" w:sz="0" w:space="0" w:color="auto"/>
            <w:bottom w:val="none" w:sz="0" w:space="0" w:color="auto"/>
            <w:right w:val="none" w:sz="0" w:space="0" w:color="auto"/>
          </w:divBdr>
        </w:div>
      </w:divsChild>
    </w:div>
    <w:div w:id="13452794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668">
          <w:marLeft w:val="0"/>
          <w:marRight w:val="0"/>
          <w:marTop w:val="0"/>
          <w:marBottom w:val="0"/>
          <w:divBdr>
            <w:top w:val="none" w:sz="0" w:space="0" w:color="auto"/>
            <w:left w:val="none" w:sz="0" w:space="0" w:color="auto"/>
            <w:bottom w:val="none" w:sz="0" w:space="0" w:color="auto"/>
            <w:right w:val="none" w:sz="0" w:space="0" w:color="auto"/>
          </w:divBdr>
        </w:div>
      </w:divsChild>
    </w:div>
    <w:div w:id="1379428181">
      <w:bodyDiv w:val="1"/>
      <w:marLeft w:val="0"/>
      <w:marRight w:val="0"/>
      <w:marTop w:val="0"/>
      <w:marBottom w:val="0"/>
      <w:divBdr>
        <w:top w:val="none" w:sz="0" w:space="0" w:color="auto"/>
        <w:left w:val="none" w:sz="0" w:space="0" w:color="auto"/>
        <w:bottom w:val="none" w:sz="0" w:space="0" w:color="auto"/>
        <w:right w:val="none" w:sz="0" w:space="0" w:color="auto"/>
      </w:divBdr>
      <w:divsChild>
        <w:div w:id="1570573218">
          <w:marLeft w:val="0"/>
          <w:marRight w:val="0"/>
          <w:marTop w:val="0"/>
          <w:marBottom w:val="0"/>
          <w:divBdr>
            <w:top w:val="none" w:sz="0" w:space="0" w:color="auto"/>
            <w:left w:val="none" w:sz="0" w:space="0" w:color="auto"/>
            <w:bottom w:val="none" w:sz="0" w:space="0" w:color="auto"/>
            <w:right w:val="none" w:sz="0" w:space="0" w:color="auto"/>
          </w:divBdr>
        </w:div>
      </w:divsChild>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595391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20373565">
      <w:bodyDiv w:val="1"/>
      <w:marLeft w:val="0"/>
      <w:marRight w:val="0"/>
      <w:marTop w:val="0"/>
      <w:marBottom w:val="0"/>
      <w:divBdr>
        <w:top w:val="none" w:sz="0" w:space="0" w:color="auto"/>
        <w:left w:val="none" w:sz="0" w:space="0" w:color="auto"/>
        <w:bottom w:val="none" w:sz="0" w:space="0" w:color="auto"/>
        <w:right w:val="none" w:sz="0" w:space="0" w:color="auto"/>
      </w:divBdr>
      <w:divsChild>
        <w:div w:id="1675840743">
          <w:marLeft w:val="0"/>
          <w:marRight w:val="0"/>
          <w:marTop w:val="0"/>
          <w:marBottom w:val="0"/>
          <w:divBdr>
            <w:top w:val="none" w:sz="0" w:space="0" w:color="auto"/>
            <w:left w:val="none" w:sz="0" w:space="0" w:color="auto"/>
            <w:bottom w:val="none" w:sz="0" w:space="0" w:color="auto"/>
            <w:right w:val="none" w:sz="0" w:space="0" w:color="auto"/>
          </w:divBdr>
        </w:div>
      </w:divsChild>
    </w:div>
    <w:div w:id="1420520820">
      <w:bodyDiv w:val="1"/>
      <w:marLeft w:val="0"/>
      <w:marRight w:val="0"/>
      <w:marTop w:val="0"/>
      <w:marBottom w:val="0"/>
      <w:divBdr>
        <w:top w:val="none" w:sz="0" w:space="0" w:color="auto"/>
        <w:left w:val="none" w:sz="0" w:space="0" w:color="auto"/>
        <w:bottom w:val="none" w:sz="0" w:space="0" w:color="auto"/>
        <w:right w:val="none" w:sz="0" w:space="0" w:color="auto"/>
      </w:divBdr>
      <w:divsChild>
        <w:div w:id="1800607561">
          <w:marLeft w:val="0"/>
          <w:marRight w:val="0"/>
          <w:marTop w:val="0"/>
          <w:marBottom w:val="0"/>
          <w:divBdr>
            <w:top w:val="none" w:sz="0" w:space="0" w:color="auto"/>
            <w:left w:val="none" w:sz="0" w:space="0" w:color="auto"/>
            <w:bottom w:val="none" w:sz="0" w:space="0" w:color="auto"/>
            <w:right w:val="none" w:sz="0" w:space="0" w:color="auto"/>
          </w:divBdr>
        </w:div>
      </w:divsChild>
    </w:div>
    <w:div w:id="1428042769">
      <w:bodyDiv w:val="1"/>
      <w:marLeft w:val="0"/>
      <w:marRight w:val="0"/>
      <w:marTop w:val="0"/>
      <w:marBottom w:val="0"/>
      <w:divBdr>
        <w:top w:val="none" w:sz="0" w:space="0" w:color="auto"/>
        <w:left w:val="none" w:sz="0" w:space="0" w:color="auto"/>
        <w:bottom w:val="none" w:sz="0" w:space="0" w:color="auto"/>
        <w:right w:val="none" w:sz="0" w:space="0" w:color="auto"/>
      </w:divBdr>
    </w:div>
    <w:div w:id="1433474913">
      <w:bodyDiv w:val="1"/>
      <w:marLeft w:val="0"/>
      <w:marRight w:val="0"/>
      <w:marTop w:val="0"/>
      <w:marBottom w:val="0"/>
      <w:divBdr>
        <w:top w:val="none" w:sz="0" w:space="0" w:color="auto"/>
        <w:left w:val="none" w:sz="0" w:space="0" w:color="auto"/>
        <w:bottom w:val="none" w:sz="0" w:space="0" w:color="auto"/>
        <w:right w:val="none" w:sz="0" w:space="0" w:color="auto"/>
      </w:divBdr>
    </w:div>
    <w:div w:id="1456799834">
      <w:bodyDiv w:val="1"/>
      <w:marLeft w:val="0"/>
      <w:marRight w:val="0"/>
      <w:marTop w:val="0"/>
      <w:marBottom w:val="0"/>
      <w:divBdr>
        <w:top w:val="none" w:sz="0" w:space="0" w:color="auto"/>
        <w:left w:val="none" w:sz="0" w:space="0" w:color="auto"/>
        <w:bottom w:val="none" w:sz="0" w:space="0" w:color="auto"/>
        <w:right w:val="none" w:sz="0" w:space="0" w:color="auto"/>
      </w:divBdr>
      <w:divsChild>
        <w:div w:id="919101696">
          <w:marLeft w:val="0"/>
          <w:marRight w:val="0"/>
          <w:marTop w:val="0"/>
          <w:marBottom w:val="0"/>
          <w:divBdr>
            <w:top w:val="none" w:sz="0" w:space="0" w:color="auto"/>
            <w:left w:val="none" w:sz="0" w:space="0" w:color="auto"/>
            <w:bottom w:val="none" w:sz="0" w:space="0" w:color="auto"/>
            <w:right w:val="none" w:sz="0" w:space="0" w:color="auto"/>
          </w:divBdr>
          <w:divsChild>
            <w:div w:id="1836341789">
              <w:marLeft w:val="0"/>
              <w:marRight w:val="0"/>
              <w:marTop w:val="0"/>
              <w:marBottom w:val="0"/>
              <w:divBdr>
                <w:top w:val="none" w:sz="0" w:space="0" w:color="auto"/>
                <w:left w:val="none" w:sz="0" w:space="0" w:color="auto"/>
                <w:bottom w:val="none" w:sz="0" w:space="0" w:color="auto"/>
                <w:right w:val="none" w:sz="0" w:space="0" w:color="auto"/>
              </w:divBdr>
              <w:divsChild>
                <w:div w:id="840004399">
                  <w:marLeft w:val="0"/>
                  <w:marRight w:val="0"/>
                  <w:marTop w:val="0"/>
                  <w:marBottom w:val="0"/>
                  <w:divBdr>
                    <w:top w:val="none" w:sz="0" w:space="0" w:color="auto"/>
                    <w:left w:val="none" w:sz="0" w:space="0" w:color="auto"/>
                    <w:bottom w:val="none" w:sz="0" w:space="0" w:color="auto"/>
                    <w:right w:val="none" w:sz="0" w:space="0" w:color="auto"/>
                  </w:divBdr>
                  <w:divsChild>
                    <w:div w:id="644356993">
                      <w:marLeft w:val="0"/>
                      <w:marRight w:val="0"/>
                      <w:marTop w:val="0"/>
                      <w:marBottom w:val="0"/>
                      <w:divBdr>
                        <w:top w:val="none" w:sz="0" w:space="0" w:color="auto"/>
                        <w:left w:val="none" w:sz="0" w:space="0" w:color="auto"/>
                        <w:bottom w:val="none" w:sz="0" w:space="0" w:color="auto"/>
                        <w:right w:val="none" w:sz="0" w:space="0" w:color="auto"/>
                      </w:divBdr>
                      <w:divsChild>
                        <w:div w:id="1998486998">
                          <w:marLeft w:val="0"/>
                          <w:marRight w:val="0"/>
                          <w:marTop w:val="0"/>
                          <w:marBottom w:val="0"/>
                          <w:divBdr>
                            <w:top w:val="none" w:sz="0" w:space="0" w:color="auto"/>
                            <w:left w:val="none" w:sz="0" w:space="0" w:color="auto"/>
                            <w:bottom w:val="none" w:sz="0" w:space="0" w:color="auto"/>
                            <w:right w:val="none" w:sz="0" w:space="0" w:color="auto"/>
                          </w:divBdr>
                          <w:divsChild>
                            <w:div w:id="1303774705">
                              <w:marLeft w:val="0"/>
                              <w:marRight w:val="0"/>
                              <w:marTop w:val="0"/>
                              <w:marBottom w:val="0"/>
                              <w:divBdr>
                                <w:top w:val="none" w:sz="0" w:space="0" w:color="auto"/>
                                <w:left w:val="none" w:sz="0" w:space="0" w:color="auto"/>
                                <w:bottom w:val="none" w:sz="0" w:space="0" w:color="auto"/>
                                <w:right w:val="none" w:sz="0" w:space="0" w:color="auto"/>
                              </w:divBdr>
                              <w:divsChild>
                                <w:div w:id="14049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466536">
      <w:bodyDiv w:val="1"/>
      <w:marLeft w:val="0"/>
      <w:marRight w:val="0"/>
      <w:marTop w:val="0"/>
      <w:marBottom w:val="0"/>
      <w:divBdr>
        <w:top w:val="none" w:sz="0" w:space="0" w:color="auto"/>
        <w:left w:val="none" w:sz="0" w:space="0" w:color="auto"/>
        <w:bottom w:val="none" w:sz="0" w:space="0" w:color="auto"/>
        <w:right w:val="none" w:sz="0" w:space="0" w:color="auto"/>
      </w:divBdr>
      <w:divsChild>
        <w:div w:id="126166227">
          <w:marLeft w:val="0"/>
          <w:marRight w:val="0"/>
          <w:marTop w:val="0"/>
          <w:marBottom w:val="0"/>
          <w:divBdr>
            <w:top w:val="none" w:sz="0" w:space="0" w:color="auto"/>
            <w:left w:val="none" w:sz="0" w:space="0" w:color="auto"/>
            <w:bottom w:val="none" w:sz="0" w:space="0" w:color="auto"/>
            <w:right w:val="none" w:sz="0" w:space="0" w:color="auto"/>
          </w:divBdr>
        </w:div>
      </w:divsChild>
    </w:div>
    <w:div w:id="1466309486">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
      </w:divsChild>
    </w:div>
    <w:div w:id="1513642648">
      <w:bodyDiv w:val="1"/>
      <w:marLeft w:val="0"/>
      <w:marRight w:val="0"/>
      <w:marTop w:val="0"/>
      <w:marBottom w:val="0"/>
      <w:divBdr>
        <w:top w:val="none" w:sz="0" w:space="0" w:color="auto"/>
        <w:left w:val="none" w:sz="0" w:space="0" w:color="auto"/>
        <w:bottom w:val="none" w:sz="0" w:space="0" w:color="auto"/>
        <w:right w:val="none" w:sz="0" w:space="0" w:color="auto"/>
      </w:divBdr>
      <w:divsChild>
        <w:div w:id="609045225">
          <w:marLeft w:val="0"/>
          <w:marRight w:val="0"/>
          <w:marTop w:val="0"/>
          <w:marBottom w:val="0"/>
          <w:divBdr>
            <w:top w:val="none" w:sz="0" w:space="0" w:color="auto"/>
            <w:left w:val="none" w:sz="0" w:space="0" w:color="auto"/>
            <w:bottom w:val="none" w:sz="0" w:space="0" w:color="auto"/>
            <w:right w:val="none" w:sz="0" w:space="0" w:color="auto"/>
          </w:divBdr>
        </w:div>
      </w:divsChild>
    </w:div>
    <w:div w:id="1551500657">
      <w:bodyDiv w:val="1"/>
      <w:marLeft w:val="0"/>
      <w:marRight w:val="0"/>
      <w:marTop w:val="0"/>
      <w:marBottom w:val="0"/>
      <w:divBdr>
        <w:top w:val="none" w:sz="0" w:space="0" w:color="auto"/>
        <w:left w:val="none" w:sz="0" w:space="0" w:color="auto"/>
        <w:bottom w:val="none" w:sz="0" w:space="0" w:color="auto"/>
        <w:right w:val="none" w:sz="0" w:space="0" w:color="auto"/>
      </w:divBdr>
      <w:divsChild>
        <w:div w:id="191461760">
          <w:marLeft w:val="0"/>
          <w:marRight w:val="0"/>
          <w:marTop w:val="0"/>
          <w:marBottom w:val="0"/>
          <w:divBdr>
            <w:top w:val="none" w:sz="0" w:space="0" w:color="auto"/>
            <w:left w:val="none" w:sz="0" w:space="0" w:color="auto"/>
            <w:bottom w:val="none" w:sz="0" w:space="0" w:color="auto"/>
            <w:right w:val="none" w:sz="0" w:space="0" w:color="auto"/>
          </w:divBdr>
          <w:divsChild>
            <w:div w:id="685834454">
              <w:marLeft w:val="0"/>
              <w:marRight w:val="0"/>
              <w:marTop w:val="0"/>
              <w:marBottom w:val="0"/>
              <w:divBdr>
                <w:top w:val="none" w:sz="0" w:space="0" w:color="auto"/>
                <w:left w:val="none" w:sz="0" w:space="0" w:color="auto"/>
                <w:bottom w:val="none" w:sz="0" w:space="0" w:color="auto"/>
                <w:right w:val="none" w:sz="0" w:space="0" w:color="auto"/>
              </w:divBdr>
              <w:divsChild>
                <w:div w:id="459105652">
                  <w:marLeft w:val="0"/>
                  <w:marRight w:val="0"/>
                  <w:marTop w:val="0"/>
                  <w:marBottom w:val="0"/>
                  <w:divBdr>
                    <w:top w:val="none" w:sz="0" w:space="0" w:color="auto"/>
                    <w:left w:val="none" w:sz="0" w:space="0" w:color="auto"/>
                    <w:bottom w:val="none" w:sz="0" w:space="0" w:color="auto"/>
                    <w:right w:val="none" w:sz="0" w:space="0" w:color="auto"/>
                  </w:divBdr>
                  <w:divsChild>
                    <w:div w:id="1704400284">
                      <w:marLeft w:val="0"/>
                      <w:marRight w:val="0"/>
                      <w:marTop w:val="0"/>
                      <w:marBottom w:val="0"/>
                      <w:divBdr>
                        <w:top w:val="none" w:sz="0" w:space="0" w:color="auto"/>
                        <w:left w:val="none" w:sz="0" w:space="0" w:color="auto"/>
                        <w:bottom w:val="none" w:sz="0" w:space="0" w:color="auto"/>
                        <w:right w:val="none" w:sz="0" w:space="0" w:color="auto"/>
                      </w:divBdr>
                      <w:divsChild>
                        <w:div w:id="194999520">
                          <w:marLeft w:val="0"/>
                          <w:marRight w:val="0"/>
                          <w:marTop w:val="0"/>
                          <w:marBottom w:val="0"/>
                          <w:divBdr>
                            <w:top w:val="none" w:sz="0" w:space="0" w:color="auto"/>
                            <w:left w:val="none" w:sz="0" w:space="0" w:color="auto"/>
                            <w:bottom w:val="none" w:sz="0" w:space="0" w:color="auto"/>
                            <w:right w:val="none" w:sz="0" w:space="0" w:color="auto"/>
                          </w:divBdr>
                          <w:divsChild>
                            <w:div w:id="415398821">
                              <w:marLeft w:val="0"/>
                              <w:marRight w:val="0"/>
                              <w:marTop w:val="0"/>
                              <w:marBottom w:val="0"/>
                              <w:divBdr>
                                <w:top w:val="none" w:sz="0" w:space="0" w:color="auto"/>
                                <w:left w:val="none" w:sz="0" w:space="0" w:color="auto"/>
                                <w:bottom w:val="none" w:sz="0" w:space="0" w:color="auto"/>
                                <w:right w:val="none" w:sz="0" w:space="0" w:color="auto"/>
                              </w:divBdr>
                              <w:divsChild>
                                <w:div w:id="19077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8206">
          <w:marLeft w:val="0"/>
          <w:marRight w:val="0"/>
          <w:marTop w:val="0"/>
          <w:marBottom w:val="0"/>
          <w:divBdr>
            <w:top w:val="none" w:sz="0" w:space="0" w:color="auto"/>
            <w:left w:val="none" w:sz="0" w:space="0" w:color="auto"/>
            <w:bottom w:val="none" w:sz="0" w:space="0" w:color="auto"/>
            <w:right w:val="none" w:sz="0" w:space="0" w:color="auto"/>
          </w:divBdr>
        </w:div>
      </w:divsChild>
    </w:div>
    <w:div w:id="1577396513">
      <w:bodyDiv w:val="1"/>
      <w:marLeft w:val="0"/>
      <w:marRight w:val="0"/>
      <w:marTop w:val="0"/>
      <w:marBottom w:val="0"/>
      <w:divBdr>
        <w:top w:val="none" w:sz="0" w:space="0" w:color="auto"/>
        <w:left w:val="none" w:sz="0" w:space="0" w:color="auto"/>
        <w:bottom w:val="none" w:sz="0" w:space="0" w:color="auto"/>
        <w:right w:val="none" w:sz="0" w:space="0" w:color="auto"/>
      </w:divBdr>
      <w:divsChild>
        <w:div w:id="1644195260">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4825232">
      <w:bodyDiv w:val="1"/>
      <w:marLeft w:val="0"/>
      <w:marRight w:val="0"/>
      <w:marTop w:val="0"/>
      <w:marBottom w:val="0"/>
      <w:divBdr>
        <w:top w:val="none" w:sz="0" w:space="0" w:color="auto"/>
        <w:left w:val="none" w:sz="0" w:space="0" w:color="auto"/>
        <w:bottom w:val="none" w:sz="0" w:space="0" w:color="auto"/>
        <w:right w:val="none" w:sz="0" w:space="0" w:color="auto"/>
      </w:divBdr>
      <w:divsChild>
        <w:div w:id="1141191135">
          <w:marLeft w:val="0"/>
          <w:marRight w:val="0"/>
          <w:marTop w:val="0"/>
          <w:marBottom w:val="0"/>
          <w:divBdr>
            <w:top w:val="none" w:sz="0" w:space="0" w:color="auto"/>
            <w:left w:val="none" w:sz="0" w:space="0" w:color="auto"/>
            <w:bottom w:val="none" w:sz="0" w:space="0" w:color="auto"/>
            <w:right w:val="none" w:sz="0" w:space="0" w:color="auto"/>
          </w:divBdr>
        </w:div>
      </w:divsChild>
    </w:div>
    <w:div w:id="1615359863">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29429341">
      <w:bodyDiv w:val="1"/>
      <w:marLeft w:val="0"/>
      <w:marRight w:val="0"/>
      <w:marTop w:val="0"/>
      <w:marBottom w:val="0"/>
      <w:divBdr>
        <w:top w:val="none" w:sz="0" w:space="0" w:color="auto"/>
        <w:left w:val="none" w:sz="0" w:space="0" w:color="auto"/>
        <w:bottom w:val="none" w:sz="0" w:space="0" w:color="auto"/>
        <w:right w:val="none" w:sz="0" w:space="0" w:color="auto"/>
      </w:divBdr>
      <w:divsChild>
        <w:div w:id="551693878">
          <w:marLeft w:val="0"/>
          <w:marRight w:val="0"/>
          <w:marTop w:val="0"/>
          <w:marBottom w:val="0"/>
          <w:divBdr>
            <w:top w:val="none" w:sz="0" w:space="0" w:color="auto"/>
            <w:left w:val="none" w:sz="0" w:space="0" w:color="auto"/>
            <w:bottom w:val="none" w:sz="0" w:space="0" w:color="auto"/>
            <w:right w:val="none" w:sz="0" w:space="0" w:color="auto"/>
          </w:divBdr>
        </w:div>
      </w:divsChild>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5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737397">
          <w:marLeft w:val="0"/>
          <w:marRight w:val="0"/>
          <w:marTop w:val="0"/>
          <w:marBottom w:val="0"/>
          <w:divBdr>
            <w:top w:val="none" w:sz="0" w:space="0" w:color="auto"/>
            <w:left w:val="none" w:sz="0" w:space="0" w:color="auto"/>
            <w:bottom w:val="none" w:sz="0" w:space="0" w:color="auto"/>
            <w:right w:val="none" w:sz="0" w:space="0" w:color="auto"/>
          </w:divBdr>
        </w:div>
      </w:divsChild>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7489728">
      <w:bodyDiv w:val="1"/>
      <w:marLeft w:val="0"/>
      <w:marRight w:val="0"/>
      <w:marTop w:val="0"/>
      <w:marBottom w:val="0"/>
      <w:divBdr>
        <w:top w:val="none" w:sz="0" w:space="0" w:color="auto"/>
        <w:left w:val="none" w:sz="0" w:space="0" w:color="auto"/>
        <w:bottom w:val="none" w:sz="0" w:space="0" w:color="auto"/>
        <w:right w:val="none" w:sz="0" w:space="0" w:color="auto"/>
      </w:divBdr>
      <w:divsChild>
        <w:div w:id="587272254">
          <w:marLeft w:val="0"/>
          <w:marRight w:val="0"/>
          <w:marTop w:val="0"/>
          <w:marBottom w:val="0"/>
          <w:divBdr>
            <w:top w:val="none" w:sz="0" w:space="0" w:color="auto"/>
            <w:left w:val="none" w:sz="0" w:space="0" w:color="auto"/>
            <w:bottom w:val="none" w:sz="0" w:space="0" w:color="auto"/>
            <w:right w:val="none" w:sz="0" w:space="0" w:color="auto"/>
          </w:divBdr>
          <w:divsChild>
            <w:div w:id="172692155">
              <w:marLeft w:val="0"/>
              <w:marRight w:val="0"/>
              <w:marTop w:val="0"/>
              <w:marBottom w:val="0"/>
              <w:divBdr>
                <w:top w:val="none" w:sz="0" w:space="0" w:color="auto"/>
                <w:left w:val="none" w:sz="0" w:space="0" w:color="auto"/>
                <w:bottom w:val="none" w:sz="0" w:space="0" w:color="auto"/>
                <w:right w:val="none" w:sz="0" w:space="0" w:color="auto"/>
              </w:divBdr>
              <w:divsChild>
                <w:div w:id="1573806060">
                  <w:marLeft w:val="0"/>
                  <w:marRight w:val="0"/>
                  <w:marTop w:val="0"/>
                  <w:marBottom w:val="0"/>
                  <w:divBdr>
                    <w:top w:val="none" w:sz="0" w:space="0" w:color="auto"/>
                    <w:left w:val="none" w:sz="0" w:space="0" w:color="auto"/>
                    <w:bottom w:val="none" w:sz="0" w:space="0" w:color="auto"/>
                    <w:right w:val="none" w:sz="0" w:space="0" w:color="auto"/>
                  </w:divBdr>
                  <w:divsChild>
                    <w:div w:id="1420521782">
                      <w:marLeft w:val="0"/>
                      <w:marRight w:val="0"/>
                      <w:marTop w:val="0"/>
                      <w:marBottom w:val="0"/>
                      <w:divBdr>
                        <w:top w:val="none" w:sz="0" w:space="0" w:color="auto"/>
                        <w:left w:val="none" w:sz="0" w:space="0" w:color="auto"/>
                        <w:bottom w:val="none" w:sz="0" w:space="0" w:color="auto"/>
                        <w:right w:val="none" w:sz="0" w:space="0" w:color="auto"/>
                      </w:divBdr>
                      <w:divsChild>
                        <w:div w:id="1416199773">
                          <w:marLeft w:val="0"/>
                          <w:marRight w:val="0"/>
                          <w:marTop w:val="0"/>
                          <w:marBottom w:val="0"/>
                          <w:divBdr>
                            <w:top w:val="none" w:sz="0" w:space="0" w:color="auto"/>
                            <w:left w:val="none" w:sz="0" w:space="0" w:color="auto"/>
                            <w:bottom w:val="none" w:sz="0" w:space="0" w:color="auto"/>
                            <w:right w:val="none" w:sz="0" w:space="0" w:color="auto"/>
                          </w:divBdr>
                          <w:divsChild>
                            <w:div w:id="1616869160">
                              <w:marLeft w:val="0"/>
                              <w:marRight w:val="0"/>
                              <w:marTop w:val="0"/>
                              <w:marBottom w:val="0"/>
                              <w:divBdr>
                                <w:top w:val="none" w:sz="0" w:space="0" w:color="auto"/>
                                <w:left w:val="none" w:sz="0" w:space="0" w:color="auto"/>
                                <w:bottom w:val="none" w:sz="0" w:space="0" w:color="auto"/>
                                <w:right w:val="none" w:sz="0" w:space="0" w:color="auto"/>
                              </w:divBdr>
                              <w:divsChild>
                                <w:div w:id="1785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51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173">
          <w:marLeft w:val="0"/>
          <w:marRight w:val="0"/>
          <w:marTop w:val="0"/>
          <w:marBottom w:val="0"/>
          <w:divBdr>
            <w:top w:val="none" w:sz="0" w:space="0" w:color="auto"/>
            <w:left w:val="none" w:sz="0" w:space="0" w:color="auto"/>
            <w:bottom w:val="none" w:sz="0" w:space="0" w:color="auto"/>
            <w:right w:val="none" w:sz="0" w:space="0" w:color="auto"/>
          </w:divBdr>
        </w:div>
      </w:divsChild>
    </w:div>
    <w:div w:id="1656176635">
      <w:bodyDiv w:val="1"/>
      <w:marLeft w:val="0"/>
      <w:marRight w:val="0"/>
      <w:marTop w:val="0"/>
      <w:marBottom w:val="0"/>
      <w:divBdr>
        <w:top w:val="none" w:sz="0" w:space="0" w:color="auto"/>
        <w:left w:val="none" w:sz="0" w:space="0" w:color="auto"/>
        <w:bottom w:val="none" w:sz="0" w:space="0" w:color="auto"/>
        <w:right w:val="none" w:sz="0" w:space="0" w:color="auto"/>
      </w:divBdr>
      <w:divsChild>
        <w:div w:id="538470600">
          <w:marLeft w:val="0"/>
          <w:marRight w:val="0"/>
          <w:marTop w:val="0"/>
          <w:marBottom w:val="0"/>
          <w:divBdr>
            <w:top w:val="none" w:sz="0" w:space="0" w:color="auto"/>
            <w:left w:val="none" w:sz="0" w:space="0" w:color="auto"/>
            <w:bottom w:val="none" w:sz="0" w:space="0" w:color="auto"/>
            <w:right w:val="none" w:sz="0" w:space="0" w:color="auto"/>
          </w:divBdr>
        </w:div>
      </w:divsChild>
    </w:div>
    <w:div w:id="1656183914">
      <w:bodyDiv w:val="1"/>
      <w:marLeft w:val="0"/>
      <w:marRight w:val="0"/>
      <w:marTop w:val="0"/>
      <w:marBottom w:val="0"/>
      <w:divBdr>
        <w:top w:val="none" w:sz="0" w:space="0" w:color="auto"/>
        <w:left w:val="none" w:sz="0" w:space="0" w:color="auto"/>
        <w:bottom w:val="none" w:sz="0" w:space="0" w:color="auto"/>
        <w:right w:val="none" w:sz="0" w:space="0" w:color="auto"/>
      </w:divBdr>
      <w:divsChild>
        <w:div w:id="640767008">
          <w:marLeft w:val="0"/>
          <w:marRight w:val="0"/>
          <w:marTop w:val="0"/>
          <w:marBottom w:val="0"/>
          <w:divBdr>
            <w:top w:val="none" w:sz="0" w:space="0" w:color="auto"/>
            <w:left w:val="none" w:sz="0" w:space="0" w:color="auto"/>
            <w:bottom w:val="none" w:sz="0" w:space="0" w:color="auto"/>
            <w:right w:val="none" w:sz="0" w:space="0" w:color="auto"/>
          </w:divBdr>
        </w:div>
      </w:divsChild>
    </w:div>
    <w:div w:id="1707950175">
      <w:bodyDiv w:val="1"/>
      <w:marLeft w:val="0"/>
      <w:marRight w:val="0"/>
      <w:marTop w:val="0"/>
      <w:marBottom w:val="0"/>
      <w:divBdr>
        <w:top w:val="none" w:sz="0" w:space="0" w:color="auto"/>
        <w:left w:val="none" w:sz="0" w:space="0" w:color="auto"/>
        <w:bottom w:val="none" w:sz="0" w:space="0" w:color="auto"/>
        <w:right w:val="none" w:sz="0" w:space="0" w:color="auto"/>
      </w:divBdr>
      <w:divsChild>
        <w:div w:id="262420526">
          <w:marLeft w:val="0"/>
          <w:marRight w:val="0"/>
          <w:marTop w:val="0"/>
          <w:marBottom w:val="0"/>
          <w:divBdr>
            <w:top w:val="none" w:sz="0" w:space="0" w:color="auto"/>
            <w:left w:val="none" w:sz="0" w:space="0" w:color="auto"/>
            <w:bottom w:val="none" w:sz="0" w:space="0" w:color="auto"/>
            <w:right w:val="none" w:sz="0" w:space="0" w:color="auto"/>
          </w:divBdr>
        </w:div>
      </w:divsChild>
    </w:div>
    <w:div w:id="1711958673">
      <w:bodyDiv w:val="1"/>
      <w:marLeft w:val="0"/>
      <w:marRight w:val="0"/>
      <w:marTop w:val="0"/>
      <w:marBottom w:val="0"/>
      <w:divBdr>
        <w:top w:val="none" w:sz="0" w:space="0" w:color="auto"/>
        <w:left w:val="none" w:sz="0" w:space="0" w:color="auto"/>
        <w:bottom w:val="none" w:sz="0" w:space="0" w:color="auto"/>
        <w:right w:val="none" w:sz="0" w:space="0" w:color="auto"/>
      </w:divBdr>
      <w:divsChild>
        <w:div w:id="233009529">
          <w:marLeft w:val="0"/>
          <w:marRight w:val="0"/>
          <w:marTop w:val="0"/>
          <w:marBottom w:val="0"/>
          <w:divBdr>
            <w:top w:val="none" w:sz="0" w:space="0" w:color="auto"/>
            <w:left w:val="none" w:sz="0" w:space="0" w:color="auto"/>
            <w:bottom w:val="none" w:sz="0" w:space="0" w:color="auto"/>
            <w:right w:val="none" w:sz="0" w:space="0" w:color="auto"/>
          </w:divBdr>
        </w:div>
      </w:divsChild>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444">
      <w:bodyDiv w:val="1"/>
      <w:marLeft w:val="0"/>
      <w:marRight w:val="0"/>
      <w:marTop w:val="0"/>
      <w:marBottom w:val="0"/>
      <w:divBdr>
        <w:top w:val="none" w:sz="0" w:space="0" w:color="auto"/>
        <w:left w:val="none" w:sz="0" w:space="0" w:color="auto"/>
        <w:bottom w:val="none" w:sz="0" w:space="0" w:color="auto"/>
        <w:right w:val="none" w:sz="0" w:space="0" w:color="auto"/>
      </w:divBdr>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29051433">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76119602">
      <w:bodyDiv w:val="1"/>
      <w:marLeft w:val="0"/>
      <w:marRight w:val="0"/>
      <w:marTop w:val="0"/>
      <w:marBottom w:val="0"/>
      <w:divBdr>
        <w:top w:val="none" w:sz="0" w:space="0" w:color="auto"/>
        <w:left w:val="none" w:sz="0" w:space="0" w:color="auto"/>
        <w:bottom w:val="none" w:sz="0" w:space="0" w:color="auto"/>
        <w:right w:val="none" w:sz="0" w:space="0" w:color="auto"/>
      </w:divBdr>
      <w:divsChild>
        <w:div w:id="605962938">
          <w:marLeft w:val="0"/>
          <w:marRight w:val="0"/>
          <w:marTop w:val="0"/>
          <w:marBottom w:val="0"/>
          <w:divBdr>
            <w:top w:val="none" w:sz="0" w:space="0" w:color="auto"/>
            <w:left w:val="none" w:sz="0" w:space="0" w:color="auto"/>
            <w:bottom w:val="none" w:sz="0" w:space="0" w:color="auto"/>
            <w:right w:val="none" w:sz="0" w:space="0" w:color="auto"/>
          </w:divBdr>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11572887">
      <w:bodyDiv w:val="1"/>
      <w:marLeft w:val="0"/>
      <w:marRight w:val="0"/>
      <w:marTop w:val="0"/>
      <w:marBottom w:val="0"/>
      <w:divBdr>
        <w:top w:val="none" w:sz="0" w:space="0" w:color="auto"/>
        <w:left w:val="none" w:sz="0" w:space="0" w:color="auto"/>
        <w:bottom w:val="none" w:sz="0" w:space="0" w:color="auto"/>
        <w:right w:val="none" w:sz="0" w:space="0" w:color="auto"/>
      </w:divBdr>
    </w:div>
    <w:div w:id="1930700636">
      <w:bodyDiv w:val="1"/>
      <w:marLeft w:val="0"/>
      <w:marRight w:val="0"/>
      <w:marTop w:val="0"/>
      <w:marBottom w:val="0"/>
      <w:divBdr>
        <w:top w:val="none" w:sz="0" w:space="0" w:color="auto"/>
        <w:left w:val="none" w:sz="0" w:space="0" w:color="auto"/>
        <w:bottom w:val="none" w:sz="0" w:space="0" w:color="auto"/>
        <w:right w:val="none" w:sz="0" w:space="0" w:color="auto"/>
      </w:divBdr>
      <w:divsChild>
        <w:div w:id="517500555">
          <w:marLeft w:val="0"/>
          <w:marRight w:val="0"/>
          <w:marTop w:val="0"/>
          <w:marBottom w:val="0"/>
          <w:divBdr>
            <w:top w:val="none" w:sz="0" w:space="0" w:color="auto"/>
            <w:left w:val="none" w:sz="0" w:space="0" w:color="auto"/>
            <w:bottom w:val="none" w:sz="0" w:space="0" w:color="auto"/>
            <w:right w:val="none" w:sz="0" w:space="0" w:color="auto"/>
          </w:divBdr>
        </w:div>
      </w:divsChild>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3133">
      <w:bodyDiv w:val="1"/>
      <w:marLeft w:val="0"/>
      <w:marRight w:val="0"/>
      <w:marTop w:val="0"/>
      <w:marBottom w:val="0"/>
      <w:divBdr>
        <w:top w:val="none" w:sz="0" w:space="0" w:color="auto"/>
        <w:left w:val="none" w:sz="0" w:space="0" w:color="auto"/>
        <w:bottom w:val="none" w:sz="0" w:space="0" w:color="auto"/>
        <w:right w:val="none" w:sz="0" w:space="0" w:color="auto"/>
      </w:divBdr>
    </w:div>
    <w:div w:id="2024504048">
      <w:bodyDiv w:val="1"/>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
      </w:divsChild>
    </w:div>
    <w:div w:id="2026712592">
      <w:bodyDiv w:val="1"/>
      <w:marLeft w:val="0"/>
      <w:marRight w:val="0"/>
      <w:marTop w:val="0"/>
      <w:marBottom w:val="0"/>
      <w:divBdr>
        <w:top w:val="none" w:sz="0" w:space="0" w:color="auto"/>
        <w:left w:val="none" w:sz="0" w:space="0" w:color="auto"/>
        <w:bottom w:val="none" w:sz="0" w:space="0" w:color="auto"/>
        <w:right w:val="none" w:sz="0" w:space="0" w:color="auto"/>
      </w:divBdr>
      <w:divsChild>
        <w:div w:id="196625963">
          <w:marLeft w:val="0"/>
          <w:marRight w:val="0"/>
          <w:marTop w:val="0"/>
          <w:marBottom w:val="0"/>
          <w:divBdr>
            <w:top w:val="none" w:sz="0" w:space="0" w:color="auto"/>
            <w:left w:val="none" w:sz="0" w:space="0" w:color="auto"/>
            <w:bottom w:val="none" w:sz="0" w:space="0" w:color="auto"/>
            <w:right w:val="none" w:sz="0" w:space="0" w:color="auto"/>
          </w:divBdr>
        </w:div>
        <w:div w:id="1173957098">
          <w:marLeft w:val="0"/>
          <w:marRight w:val="0"/>
          <w:marTop w:val="0"/>
          <w:marBottom w:val="0"/>
          <w:divBdr>
            <w:top w:val="none" w:sz="0" w:space="0" w:color="auto"/>
            <w:left w:val="none" w:sz="0" w:space="0" w:color="auto"/>
            <w:bottom w:val="none" w:sz="0" w:space="0" w:color="auto"/>
            <w:right w:val="none" w:sz="0" w:space="0" w:color="auto"/>
          </w:divBdr>
        </w:div>
        <w:div w:id="1784155292">
          <w:marLeft w:val="0"/>
          <w:marRight w:val="0"/>
          <w:marTop w:val="0"/>
          <w:marBottom w:val="0"/>
          <w:divBdr>
            <w:top w:val="none" w:sz="0" w:space="0" w:color="auto"/>
            <w:left w:val="none" w:sz="0" w:space="0" w:color="auto"/>
            <w:bottom w:val="none" w:sz="0" w:space="0" w:color="auto"/>
            <w:right w:val="none" w:sz="0" w:space="0" w:color="auto"/>
          </w:divBdr>
        </w:div>
      </w:divsChild>
    </w:div>
    <w:div w:id="2030911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2339">
          <w:marLeft w:val="0"/>
          <w:marRight w:val="0"/>
          <w:marTop w:val="0"/>
          <w:marBottom w:val="0"/>
          <w:divBdr>
            <w:top w:val="none" w:sz="0" w:space="0" w:color="auto"/>
            <w:left w:val="none" w:sz="0" w:space="0" w:color="auto"/>
            <w:bottom w:val="none" w:sz="0" w:space="0" w:color="auto"/>
            <w:right w:val="none" w:sz="0" w:space="0" w:color="auto"/>
          </w:divBdr>
        </w:div>
      </w:divsChild>
    </w:div>
    <w:div w:id="2118986048">
      <w:bodyDiv w:val="1"/>
      <w:marLeft w:val="0"/>
      <w:marRight w:val="0"/>
      <w:marTop w:val="0"/>
      <w:marBottom w:val="0"/>
      <w:divBdr>
        <w:top w:val="none" w:sz="0" w:space="0" w:color="auto"/>
        <w:left w:val="none" w:sz="0" w:space="0" w:color="auto"/>
        <w:bottom w:val="none" w:sz="0" w:space="0" w:color="auto"/>
        <w:right w:val="none" w:sz="0" w:space="0" w:color="auto"/>
      </w:divBdr>
      <w:divsChild>
        <w:div w:id="1510291757">
          <w:marLeft w:val="0"/>
          <w:marRight w:val="0"/>
          <w:marTop w:val="0"/>
          <w:marBottom w:val="0"/>
          <w:divBdr>
            <w:top w:val="none" w:sz="0" w:space="0" w:color="auto"/>
            <w:left w:val="none" w:sz="0" w:space="0" w:color="auto"/>
            <w:bottom w:val="none" w:sz="0" w:space="0" w:color="auto"/>
            <w:right w:val="none" w:sz="0" w:space="0" w:color="auto"/>
          </w:divBdr>
        </w:div>
      </w:divsChild>
    </w:div>
    <w:div w:id="2124878476">
      <w:bodyDiv w:val="1"/>
      <w:marLeft w:val="0"/>
      <w:marRight w:val="0"/>
      <w:marTop w:val="0"/>
      <w:marBottom w:val="0"/>
      <w:divBdr>
        <w:top w:val="none" w:sz="0" w:space="0" w:color="auto"/>
        <w:left w:val="none" w:sz="0" w:space="0" w:color="auto"/>
        <w:bottom w:val="none" w:sz="0" w:space="0" w:color="auto"/>
        <w:right w:val="none" w:sz="0" w:space="0" w:color="auto"/>
      </w:divBdr>
      <w:divsChild>
        <w:div w:id="151606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xml"/><Relationship Id="rId117" Type="http://schemas.openxmlformats.org/officeDocument/2006/relationships/header" Target="header9.xml"/><Relationship Id="rId21" Type="http://schemas.openxmlformats.org/officeDocument/2006/relationships/hyperlink" Target="https://www.census.gov/quickfacts/fact/table/medwaytownnorfolkcountymassachusetts,MA" TargetMode="External"/><Relationship Id="rId42" Type="http://schemas.openxmlformats.org/officeDocument/2006/relationships/footer" Target="footer7.xml"/><Relationship Id="rId47" Type="http://schemas.openxmlformats.org/officeDocument/2006/relationships/hyperlink" Target="https://www.doe.mass.edu/instruction/impd/default.html" TargetMode="External"/><Relationship Id="rId63" Type="http://schemas.openxmlformats.org/officeDocument/2006/relationships/hyperlink" Target="https://www.doe.mass.edu/stem/ste/assess-resources.html" TargetMode="External"/><Relationship Id="rId68" Type="http://schemas.openxmlformats.org/officeDocument/2006/relationships/hyperlink" Target="https://www.doe.mass.edu/edeval/implementation/default.html" TargetMode="External"/><Relationship Id="rId84" Type="http://schemas.openxmlformats.org/officeDocument/2006/relationships/hyperlink" Target="https://rems.ed.gov/?AspxAutoDetectCookieSupport=1" TargetMode="External"/><Relationship Id="rId89" Type="http://schemas.openxmlformats.org/officeDocument/2006/relationships/hyperlink" Target="https://matoolsforschools.com/" TargetMode="External"/><Relationship Id="rId112" Type="http://schemas.openxmlformats.org/officeDocument/2006/relationships/footer" Target="footer10.xml"/><Relationship Id="rId16" Type="http://schemas.openxmlformats.org/officeDocument/2006/relationships/image" Target="media/image4.jpeg"/><Relationship Id="rId107" Type="http://schemas.openxmlformats.org/officeDocument/2006/relationships/hyperlink" Target="https://www.doe.mass.edu/research/radar/default.html" TargetMode="External"/><Relationship Id="rId11" Type="http://schemas.openxmlformats.org/officeDocument/2006/relationships/hyperlink" Target="http://www.doe.mass.edu" TargetMode="External"/><Relationship Id="rId32" Type="http://schemas.openxmlformats.org/officeDocument/2006/relationships/footer" Target="footer4.xml"/><Relationship Id="rId37" Type="http://schemas.openxmlformats.org/officeDocument/2006/relationships/header" Target="header5.xml"/><Relationship Id="rId53" Type="http://schemas.openxmlformats.org/officeDocument/2006/relationships/hyperlink" Target="https://www.doe.mass.edu/edeval/guidebook/" TargetMode="External"/><Relationship Id="rId58" Type="http://schemas.openxmlformats.org/officeDocument/2006/relationships/hyperlink" Target="https://www.doe.mass.edu/stem/ste/openscied.html" TargetMode="External"/><Relationship Id="rId74" Type="http://schemas.openxmlformats.org/officeDocument/2006/relationships/hyperlink" Target="https://plpartnerguide.org/" TargetMode="External"/><Relationship Id="rId79" Type="http://schemas.openxmlformats.org/officeDocument/2006/relationships/hyperlink" Target="https://www.doe.mass.edu/ccte/sec-supports/massgrad/default.html" TargetMode="External"/><Relationship Id="rId102" Type="http://schemas.openxmlformats.org/officeDocument/2006/relationships/hyperlink" Target="https://www.doe.mass.edu/research/radar/" TargetMode="External"/><Relationship Id="rId5" Type="http://schemas.openxmlformats.org/officeDocument/2006/relationships/numbering" Target="numbering.xml"/><Relationship Id="rId90" Type="http://schemas.openxmlformats.org/officeDocument/2006/relationships/hyperlink" Target="https://www.sassma.org/" TargetMode="External"/><Relationship Id="rId95" Type="http://schemas.openxmlformats.org/officeDocument/2006/relationships/hyperlink" Target="https://view.officeapps.live.com/op/view.aspx?src=https%3A%2F%2Fwww.doe.mass.edu%2Fsfs%2Fearlylearning%2Fresources%2FSEL-APL-Standards.docx&amp;wdOrigin=BROWSELINK" TargetMode="External"/><Relationship Id="rId22" Type="http://schemas.openxmlformats.org/officeDocument/2006/relationships/image" Target="media/image5.png"/><Relationship Id="rId27" Type="http://schemas.openxmlformats.org/officeDocument/2006/relationships/chart" Target="charts/chart2.xml"/><Relationship Id="rId43" Type="http://schemas.openxmlformats.org/officeDocument/2006/relationships/hyperlink" Target="https://www.doe.mass.edu/csdp/guidebook/coherence-guidebook.pdf" TargetMode="External"/><Relationship Id="rId48" Type="http://schemas.openxmlformats.org/officeDocument/2006/relationships/hyperlink" Target="https://www.doe.mass.edu/frameworks/current.html" TargetMode="External"/><Relationship Id="rId64" Type="http://schemas.openxmlformats.org/officeDocument/2006/relationships/hyperlink" Target="http://www.doe.mass.edu/accountability/toolkit/" TargetMode="External"/><Relationship Id="rId69" Type="http://schemas.openxmlformats.org/officeDocument/2006/relationships/hyperlink" Target="https://www.doe.mass.edu/edeffectiveness/mentor/default.html" TargetMode="External"/><Relationship Id="rId113" Type="http://schemas.openxmlformats.org/officeDocument/2006/relationships/header" Target="header8.xml"/><Relationship Id="rId118" Type="http://schemas.openxmlformats.org/officeDocument/2006/relationships/fontTable" Target="fontTable.xml"/><Relationship Id="rId80" Type="http://schemas.openxmlformats.org/officeDocument/2006/relationships/hyperlink" Target="https://www.doe.mass.edu/ccte/sec-supports/ewis/default.html" TargetMode="External"/><Relationship Id="rId85" Type="http://schemas.openxmlformats.org/officeDocument/2006/relationships/hyperlink" Target="https://www.doe.mass.edu/sfs/emergencyplan/default.html"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header" Target="header3.xml"/><Relationship Id="rId38" Type="http://schemas.openxmlformats.org/officeDocument/2006/relationships/footer" Target="footer6.xml"/><Relationship Id="rId59" Type="http://schemas.openxmlformats.org/officeDocument/2006/relationships/hyperlink" Target="https://www.doe.mass.edu/sped/dyslexia-guidelines.pdf" TargetMode="External"/><Relationship Id="rId103" Type="http://schemas.openxmlformats.org/officeDocument/2006/relationships/hyperlink" Target="https://www.projectbread.org/resource-directory/breakfast-after-the-bell-resources" TargetMode="External"/><Relationship Id="rId108" Type="http://schemas.openxmlformats.org/officeDocument/2006/relationships/hyperlink" Target="https://www.doe.mass.edu/finance/chapter70/default.html" TargetMode="External"/><Relationship Id="rId54" Type="http://schemas.openxmlformats.org/officeDocument/2006/relationships/hyperlink" Target="https://view.officeapps.live.com/op/view.aspx?src=https%3A%2F%2Fwww.doe.mass.edu%2Finstruction%2Farts%2Fdiverse-arts-guidebook.docx&amp;wdOrigin=BROWSELINK" TargetMode="External"/><Relationship Id="rId70" Type="http://schemas.openxmlformats.org/officeDocument/2006/relationships/hyperlink" Target="https://www.doe.mass.edu/edeffectiveness/mentor/principal.html" TargetMode="External"/><Relationship Id="rId75" Type="http://schemas.openxmlformats.org/officeDocument/2006/relationships/hyperlink" Target="https://view.officeapps.live.com/op/view.aspx?src=https%3A%2F%2Fwww.doe.mass.edu%2Fcsi%2Fdiverse-workforce%2Fteacher-diversification.docx&amp;wdOrigin=BROWSELINK" TargetMode="External"/><Relationship Id="rId91" Type="http://schemas.openxmlformats.org/officeDocument/2006/relationships/hyperlink" Target="https://www.doe.mass.edu/sfs/lgbtq/" TargetMode="External"/><Relationship Id="rId96" Type="http://schemas.openxmlformats.org/officeDocument/2006/relationships/hyperlink" Target="https://www.doe.mass.edu/sfs/earlylearning/pli.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6.svg"/><Relationship Id="rId28" Type="http://schemas.openxmlformats.org/officeDocument/2006/relationships/image" Target="media/image9.png"/><Relationship Id="rId49" Type="http://schemas.openxmlformats.org/officeDocument/2006/relationships/hyperlink" Target="https://www.doe.mass.edu/instruction/impd/implement-ma.html" TargetMode="External"/><Relationship Id="rId114" Type="http://schemas.openxmlformats.org/officeDocument/2006/relationships/footer" Target="footer11.xm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2.xml"/><Relationship Id="rId44" Type="http://schemas.openxmlformats.org/officeDocument/2006/relationships/hyperlink" Target="https://www.massupt.org/professional-development/annual-programs/new-superintendent-induction-program/" TargetMode="External"/><Relationship Id="rId52" Type="http://schemas.openxmlformats.org/officeDocument/2006/relationships/hyperlink" Target="https://www.doe.mass.edu/massliteracy/" TargetMode="External"/><Relationship Id="rId60" Type="http://schemas.openxmlformats.org/officeDocument/2006/relationships/hyperlink" Target="https://www.doe.mass.edu/ele/esl-toolkit/default.html" TargetMode="External"/><Relationship Id="rId65" Type="http://schemas.openxmlformats.org/officeDocument/2006/relationships/hyperlink" Target="https://www.doe.mass.edu/instruction/screening-assessments/default.html" TargetMode="External"/><Relationship Id="rId73" Type="http://schemas.openxmlformats.org/officeDocument/2006/relationships/hyperlink" Target="https://www.ma-optic.com/" TargetMode="External"/><Relationship Id="rId78" Type="http://schemas.openxmlformats.org/officeDocument/2006/relationships/hyperlink" Target="https://www.doe.mass.edu/ele/prof-learning/wida/default.html" TargetMode="External"/><Relationship Id="rId81" Type="http://schemas.openxmlformats.org/officeDocument/2006/relationships/hyperlink" Target="https://www.doe.mass.edu/sfs/edstability.html" TargetMode="External"/><Relationship Id="rId86" Type="http://schemas.openxmlformats.org/officeDocument/2006/relationships/hyperlink" Target="https://www.doe.mass.edu/families/" TargetMode="External"/><Relationship Id="rId94" Type="http://schemas.openxmlformats.org/officeDocument/2006/relationships/hyperlink" Target="https://massschoolwellness.org/" TargetMode="External"/><Relationship Id="rId99" Type="http://schemas.openxmlformats.org/officeDocument/2006/relationships/hyperlink" Target="https://www.doe.mass.edu/federalgrants/resources/default.html" TargetMode="External"/><Relationship Id="rId101" Type="http://schemas.openxmlformats.org/officeDocument/2006/relationships/hyperlink" Target="https://www.doe.mass.edu/research/succes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www.teachstone.com/wp-content/uploads/2011/05/class-mtp-pk-12-brief.pdf" TargetMode="External"/><Relationship Id="rId109" Type="http://schemas.openxmlformats.org/officeDocument/2006/relationships/footer" Target="footer9.xml"/><Relationship Id="rId34" Type="http://schemas.openxmlformats.org/officeDocument/2006/relationships/hyperlink" Target="http://www.air.org" TargetMode="External"/><Relationship Id="rId50" Type="http://schemas.openxmlformats.org/officeDocument/2006/relationships/hyperlink" Target="https://www.doe.mass.edu/instruction/curate/default.html" TargetMode="External"/><Relationship Id="rId55" Type="http://schemas.openxmlformats.org/officeDocument/2006/relationships/hyperlink" Target="https://www.doe.mass.edu/ele/blueprint/default.html" TargetMode="External"/><Relationship Id="rId76" Type="http://schemas.openxmlformats.org/officeDocument/2006/relationships/hyperlink" Target="https://www.doe.mass.edu/frameworks/observation/" TargetMode="External"/><Relationship Id="rId97" Type="http://schemas.openxmlformats.org/officeDocument/2006/relationships/hyperlink" Target="https://www.doe.mass.edu/sfs/sel/sel-all.docx" TargetMode="External"/><Relationship Id="rId104" Type="http://schemas.openxmlformats.org/officeDocument/2006/relationships/hyperlink" Target="https://us14.list-manage.com/subscribe?u=d8f37d1a90dacd97f207f0b4a&amp;id=d29c4bc847" TargetMode="External"/><Relationship Id="rId7" Type="http://schemas.openxmlformats.org/officeDocument/2006/relationships/settings" Target="settings.xml"/><Relationship Id="rId71" Type="http://schemas.openxmlformats.org/officeDocument/2006/relationships/hyperlink" Target="https://www.doe.mass.edu/edeffectiveness/mentor/default.html" TargetMode="External"/><Relationship Id="rId92" Type="http://schemas.openxmlformats.org/officeDocument/2006/relationships/hyperlink" Target="https://www.doe.mass.edu/sfs/bullying/default.html" TargetMode="External"/><Relationship Id="rId2" Type="http://schemas.openxmlformats.org/officeDocument/2006/relationships/customXml" Target="../customXml/item2.xml"/><Relationship Id="rId29" Type="http://schemas.openxmlformats.org/officeDocument/2006/relationships/image" Target="media/image10.svg"/><Relationship Id="rId24" Type="http://schemas.openxmlformats.org/officeDocument/2006/relationships/image" Target="media/image7.png"/><Relationship Id="rId40" Type="http://schemas.openxmlformats.org/officeDocument/2006/relationships/hyperlink" Target="http://metproject.org/resources/CLASS_10_29_10.pdf" TargetMode="External"/><Relationship Id="rId45" Type="http://schemas.openxmlformats.org/officeDocument/2006/relationships/hyperlink" Target="https://www.doe.mass.edu/edeffectiveness/mentor/principal.html" TargetMode="External"/><Relationship Id="rId66" Type="http://schemas.openxmlformats.org/officeDocument/2006/relationships/hyperlink" Target="https://www.doe.mass.edu/assessment/" TargetMode="External"/><Relationship Id="rId87" Type="http://schemas.openxmlformats.org/officeDocument/2006/relationships/hyperlink" Target="https://www.doe.mass.edu/sfs/family-engagement-framework.pdf" TargetMode="External"/><Relationship Id="rId110" Type="http://schemas.openxmlformats.org/officeDocument/2006/relationships/hyperlink" Target="https://www.doe.mass.edu/research/radar/default.html" TargetMode="External"/><Relationship Id="rId115" Type="http://schemas.openxmlformats.org/officeDocument/2006/relationships/footer" Target="footer12.xml"/><Relationship Id="rId61" Type="http://schemas.openxmlformats.org/officeDocument/2006/relationships/hyperlink" Target="https://view.officeapps.live.com/op/view.aspx?src=https%3A%2F%2Fwww.doe.mass.edu%2Fcsdp%2Fguidebook%2Fappendix-ilt-framework.docx&amp;wdOrigin=BROWSELINK" TargetMode="External"/><Relationship Id="rId82" Type="http://schemas.openxmlformats.org/officeDocument/2006/relationships/hyperlink" Target="https://www.doe.mass.edu/ele/slife/default.html"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footer" Target="footer3.xml"/><Relationship Id="rId35" Type="http://schemas.openxmlformats.org/officeDocument/2006/relationships/header" Target="header4.xml"/><Relationship Id="rId56" Type="http://schemas.openxmlformats.org/officeDocument/2006/relationships/hyperlink" Target="https://sites.google.com/view/appleseedsk2/home" TargetMode="External"/><Relationship Id="rId77" Type="http://schemas.openxmlformats.org/officeDocument/2006/relationships/hyperlink" Target="https://www.doe.mass.edu/edeffectiveness/talent-guide/default.html" TargetMode="External"/><Relationship Id="rId100" Type="http://schemas.openxmlformats.org/officeDocument/2006/relationships/hyperlink" Target="https://www.doe.mass.edu/cnp/" TargetMode="External"/><Relationship Id="rId105"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8" Type="http://schemas.openxmlformats.org/officeDocument/2006/relationships/webSettings" Target="webSettings.xml"/><Relationship Id="rId51" Type="http://schemas.openxmlformats.org/officeDocument/2006/relationships/hyperlink" Target="https://www.doe.mass.edu/instruction/culturally-sustaining/default.html" TargetMode="External"/><Relationship Id="rId72" Type="http://schemas.openxmlformats.org/officeDocument/2006/relationships/hyperlink" Target="https://www.doe.mass.edu/mtel/" TargetMode="External"/><Relationship Id="rId93" Type="http://schemas.openxmlformats.org/officeDocument/2006/relationships/hyperlink" Target="https://www.doe.mass.edu/sfs/discipline/" TargetMode="External"/><Relationship Id="rId98" Type="http://schemas.openxmlformats.org/officeDocument/2006/relationships/hyperlink" Target="https://www.doe.mass.edu/finance/statistics/default.html" TargetMode="External"/><Relationship Id="rId3" Type="http://schemas.openxmlformats.org/officeDocument/2006/relationships/customXml" Target="../customXml/item3.xml"/><Relationship Id="rId25" Type="http://schemas.openxmlformats.org/officeDocument/2006/relationships/image" Target="media/image8.svg"/><Relationship Id="rId46" Type="http://schemas.openxmlformats.org/officeDocument/2006/relationships/hyperlink" Target="https://www.doe.mass.edu/research/success/" TargetMode="External"/><Relationship Id="rId67" Type="http://schemas.openxmlformats.org/officeDocument/2006/relationships/hyperlink" Target="https://www.doe.mass.edu/edprep/resources/early-literacy-observation.html" TargetMode="External"/><Relationship Id="rId116" Type="http://schemas.openxmlformats.org/officeDocument/2006/relationships/footer" Target="footer13.xml"/><Relationship Id="rId20" Type="http://schemas.openxmlformats.org/officeDocument/2006/relationships/footer" Target="footer2.xml"/><Relationship Id="rId41" Type="http://schemas.openxmlformats.org/officeDocument/2006/relationships/header" Target="header6.xml"/><Relationship Id="rId62" Type="http://schemas.openxmlformats.org/officeDocument/2006/relationships/hyperlink" Target="https://www.doe.mass.edu/acls/assessment/continuum.pdf" TargetMode="External"/><Relationship Id="rId83" Type="http://schemas.openxmlformats.org/officeDocument/2006/relationships/hyperlink" Target="https://www.doe.mass.edu/ele/resources/immigrant-refugee.html" TargetMode="External"/><Relationship Id="rId88" Type="http://schemas.openxmlformats.org/officeDocument/2006/relationships/hyperlink" Target="https://www.doe.mass.edu/sfss/mtss/" TargetMode="External"/><Relationship Id="rId111" Type="http://schemas.openxmlformats.org/officeDocument/2006/relationships/header" Target="header7.xml"/><Relationship Id="rId15" Type="http://schemas.openxmlformats.org/officeDocument/2006/relationships/image" Target="media/image3.jpeg"/><Relationship Id="rId36" Type="http://schemas.openxmlformats.org/officeDocument/2006/relationships/footer" Target="footer5.xml"/><Relationship Id="rId57" Type="http://schemas.openxmlformats.org/officeDocument/2006/relationships/hyperlink" Target="https://www.doe.mass.edu/investigatinghistory/" TargetMode="External"/><Relationship Id="rId106"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teachstone.com/class/" TargetMode="External"/><Relationship Id="rId1" Type="http://schemas.openxmlformats.org/officeDocument/2006/relationships/hyperlink" Target="https://www.doe.mass.edu/accountability/district-review/district-standards-indicators.docx" TargetMode="External"/><Relationship Id="rId4" Type="http://schemas.openxmlformats.org/officeDocument/2006/relationships/hyperlink" Target="https://www.doe.mass.edu/instruction/curate"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sair-my.sharepoint.com/personal/smalhotra_air_org/Documents/UPDATED%20Medway%20MA%20DR%20Profile%20Figures%20-%20Copy.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msair-my.sharepoint.com/personal/smalhotra_air_org/Documents/UPDATED%20Medway%20MA%20DR%20Profile%20Figures%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2'!$B$1</c:f>
              <c:strCache>
                <c:ptCount val="1"/>
                <c:pt idx="0">
                  <c:v>Medway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2'!$A$2:$A$7</c:f>
              <c:strCache>
                <c:ptCount val="6"/>
                <c:pt idx="0">
                  <c:v>Grades 3-8 (ELA)</c:v>
                </c:pt>
                <c:pt idx="1">
                  <c:v>Grades 3-8 (Math)</c:v>
                </c:pt>
                <c:pt idx="2">
                  <c:v>Grades 5&amp;8 (Science)</c:v>
                </c:pt>
                <c:pt idx="3">
                  <c:v>Grade 10 (ELA)</c:v>
                </c:pt>
                <c:pt idx="4">
                  <c:v>Grade 10 (Math)</c:v>
                </c:pt>
                <c:pt idx="5">
                  <c:v>Grade 10 (Science)</c:v>
                </c:pt>
              </c:strCache>
            </c:strRef>
          </c:cat>
          <c:val>
            <c:numRef>
              <c:f>'Figure 2'!$B$2:$B$7</c:f>
              <c:numCache>
                <c:formatCode>0%</c:formatCode>
                <c:ptCount val="6"/>
                <c:pt idx="0">
                  <c:v>0.54</c:v>
                </c:pt>
                <c:pt idx="1">
                  <c:v>0.61</c:v>
                </c:pt>
                <c:pt idx="2">
                  <c:v>0.6</c:v>
                </c:pt>
                <c:pt idx="3">
                  <c:v>0.73</c:v>
                </c:pt>
                <c:pt idx="4">
                  <c:v>0.68</c:v>
                </c:pt>
                <c:pt idx="5">
                  <c:v>0.76</c:v>
                </c:pt>
              </c:numCache>
            </c:numRef>
          </c:val>
          <c:extLst>
            <c:ext xmlns:c16="http://schemas.microsoft.com/office/drawing/2014/chart" uri="{C3380CC4-5D6E-409C-BE32-E72D297353CC}">
              <c16:uniqueId val="{00000000-E556-4AF0-9E26-CB914CC10090}"/>
            </c:ext>
          </c:extLst>
        </c:ser>
        <c:ser>
          <c:idx val="1"/>
          <c:order val="1"/>
          <c:tx>
            <c:strRef>
              <c:f>'Figure 2'!$C$1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2'!$A$2:$A$7</c:f>
              <c:strCache>
                <c:ptCount val="6"/>
                <c:pt idx="0">
                  <c:v>Grades 3-8 (ELA)</c:v>
                </c:pt>
                <c:pt idx="1">
                  <c:v>Grades 3-8 (Math)</c:v>
                </c:pt>
                <c:pt idx="2">
                  <c:v>Grades 5&amp;8 (Science)</c:v>
                </c:pt>
                <c:pt idx="3">
                  <c:v>Grade 10 (ELA)</c:v>
                </c:pt>
                <c:pt idx="4">
                  <c:v>Grade 10 (Math)</c:v>
                </c:pt>
                <c:pt idx="5">
                  <c:v>Grade 10 (Science)</c:v>
                </c:pt>
              </c:strCache>
            </c:strRef>
          </c:cat>
          <c:val>
            <c:numRef>
              <c:f>'Figure 2'!$C$2:$C$7</c:f>
              <c:numCache>
                <c:formatCode>0%</c:formatCode>
                <c:ptCount val="6"/>
                <c:pt idx="0">
                  <c:v>0.39</c:v>
                </c:pt>
                <c:pt idx="1">
                  <c:v>0.41</c:v>
                </c:pt>
                <c:pt idx="2">
                  <c:v>0.42</c:v>
                </c:pt>
                <c:pt idx="3">
                  <c:v>0.56999999999999995</c:v>
                </c:pt>
                <c:pt idx="4">
                  <c:v>0.48</c:v>
                </c:pt>
                <c:pt idx="5">
                  <c:v>0.49</c:v>
                </c:pt>
              </c:numCache>
            </c:numRef>
          </c:val>
          <c:extLst>
            <c:ext xmlns:c16="http://schemas.microsoft.com/office/drawing/2014/chart" uri="{C3380CC4-5D6E-409C-BE32-E72D297353CC}">
              <c16:uniqueId val="{00000001-E556-4AF0-9E26-CB914CC10090}"/>
            </c:ext>
          </c:extLst>
        </c:ser>
        <c:dLbls>
          <c:dLblPos val="outEnd"/>
          <c:showLegendKey val="0"/>
          <c:showVal val="1"/>
          <c:showCatName val="0"/>
          <c:showSerName val="0"/>
          <c:showPercent val="0"/>
          <c:showBubbleSize val="0"/>
        </c:dLbls>
        <c:gapWidth val="219"/>
        <c:overlap val="-27"/>
        <c:axId val="702160272"/>
        <c:axId val="702164592"/>
      </c:barChart>
      <c:catAx>
        <c:axId val="70216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164592"/>
        <c:crosses val="autoZero"/>
        <c:auto val="1"/>
        <c:lblAlgn val="ctr"/>
        <c:lblOffset val="100"/>
        <c:noMultiLvlLbl val="0"/>
      </c:catAx>
      <c:valAx>
        <c:axId val="702164592"/>
        <c:scaling>
          <c:orientation val="minMax"/>
        </c:scaling>
        <c:delete val="1"/>
        <c:axPos val="l"/>
        <c:numFmt formatCode="0%" sourceLinked="1"/>
        <c:majorTickMark val="none"/>
        <c:minorTickMark val="none"/>
        <c:tickLblPos val="nextTo"/>
        <c:crossAx val="702160272"/>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3'!$B$1</c:f>
              <c:strCache>
                <c:ptCount val="1"/>
                <c:pt idx="0">
                  <c:v>Medway</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3'!$A$2:$A$7</c:f>
              <c:strCache>
                <c:ptCount val="6"/>
                <c:pt idx="0">
                  <c:v>Grades 3-8 (ELA)</c:v>
                </c:pt>
                <c:pt idx="1">
                  <c:v>Grades 3-8 (Math)</c:v>
                </c:pt>
                <c:pt idx="2">
                  <c:v>Grades 5&amp;8 (Science)</c:v>
                </c:pt>
                <c:pt idx="3">
                  <c:v>Grade 10 (ELA)</c:v>
                </c:pt>
                <c:pt idx="4">
                  <c:v>Grade 10 (Math)</c:v>
                </c:pt>
                <c:pt idx="5">
                  <c:v>Grade 10 (Science)</c:v>
                </c:pt>
              </c:strCache>
            </c:strRef>
          </c:cat>
          <c:val>
            <c:numRef>
              <c:f>'Figure 3'!$B$2:$B$7</c:f>
              <c:numCache>
                <c:formatCode>0%</c:formatCode>
                <c:ptCount val="6"/>
                <c:pt idx="0">
                  <c:v>0.26</c:v>
                </c:pt>
                <c:pt idx="1">
                  <c:v>0.34</c:v>
                </c:pt>
                <c:pt idx="2">
                  <c:v>0.35</c:v>
                </c:pt>
                <c:pt idx="3">
                  <c:v>0.47</c:v>
                </c:pt>
                <c:pt idx="4">
                  <c:v>0.32</c:v>
                </c:pt>
                <c:pt idx="5">
                  <c:v>0.55000000000000004</c:v>
                </c:pt>
              </c:numCache>
            </c:numRef>
          </c:val>
          <c:extLst>
            <c:ext xmlns:c16="http://schemas.microsoft.com/office/drawing/2014/chart" uri="{C3380CC4-5D6E-409C-BE32-E72D297353CC}">
              <c16:uniqueId val="{00000000-503A-42F4-A1F7-58C030E7AD47}"/>
            </c:ext>
          </c:extLst>
        </c:ser>
        <c:ser>
          <c:idx val="1"/>
          <c:order val="1"/>
          <c:tx>
            <c:strRef>
              <c:f>'Figure 3'!$C$1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3'!$A$2:$A$7</c:f>
              <c:strCache>
                <c:ptCount val="6"/>
                <c:pt idx="0">
                  <c:v>Grades 3-8 (ELA)</c:v>
                </c:pt>
                <c:pt idx="1">
                  <c:v>Grades 3-8 (Math)</c:v>
                </c:pt>
                <c:pt idx="2">
                  <c:v>Grades 5&amp;8 (Science)</c:v>
                </c:pt>
                <c:pt idx="3">
                  <c:v>Grade 10 (ELA)</c:v>
                </c:pt>
                <c:pt idx="4">
                  <c:v>Grade 10 (Math)</c:v>
                </c:pt>
                <c:pt idx="5">
                  <c:v>Grade 10 (Science)</c:v>
                </c:pt>
              </c:strCache>
            </c:strRef>
          </c:cat>
          <c:val>
            <c:numRef>
              <c:f>'Figure 3'!$C$2:$C$7</c:f>
              <c:numCache>
                <c:formatCode>0%</c:formatCode>
                <c:ptCount val="6"/>
                <c:pt idx="0">
                  <c:v>0.22</c:v>
                </c:pt>
                <c:pt idx="1">
                  <c:v>0.23</c:v>
                </c:pt>
                <c:pt idx="2">
                  <c:v>0.24</c:v>
                </c:pt>
                <c:pt idx="3">
                  <c:v>0.37</c:v>
                </c:pt>
                <c:pt idx="4">
                  <c:v>0.27</c:v>
                </c:pt>
                <c:pt idx="5">
                  <c:v>0.28000000000000003</c:v>
                </c:pt>
              </c:numCache>
            </c:numRef>
          </c:val>
          <c:extLst>
            <c:ext xmlns:c16="http://schemas.microsoft.com/office/drawing/2014/chart" uri="{C3380CC4-5D6E-409C-BE32-E72D297353CC}">
              <c16:uniqueId val="{00000001-503A-42F4-A1F7-58C030E7AD47}"/>
            </c:ext>
          </c:extLst>
        </c:ser>
        <c:dLbls>
          <c:dLblPos val="outEnd"/>
          <c:showLegendKey val="0"/>
          <c:showVal val="1"/>
          <c:showCatName val="0"/>
          <c:showSerName val="0"/>
          <c:showPercent val="0"/>
          <c:showBubbleSize val="0"/>
        </c:dLbls>
        <c:gapWidth val="219"/>
        <c:overlap val="-27"/>
        <c:axId val="1910934735"/>
        <c:axId val="1910932815"/>
      </c:barChart>
      <c:catAx>
        <c:axId val="191093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0932815"/>
        <c:crosses val="autoZero"/>
        <c:auto val="1"/>
        <c:lblAlgn val="ctr"/>
        <c:lblOffset val="100"/>
        <c:noMultiLvlLbl val="0"/>
      </c:catAx>
      <c:valAx>
        <c:axId val="1910932815"/>
        <c:scaling>
          <c:orientation val="minMax"/>
        </c:scaling>
        <c:delete val="1"/>
        <c:axPos val="l"/>
        <c:numFmt formatCode="0%" sourceLinked="1"/>
        <c:majorTickMark val="none"/>
        <c:minorTickMark val="none"/>
        <c:tickLblPos val="nextTo"/>
        <c:crossAx val="1910934735"/>
        <c:crosses val="autoZero"/>
        <c:crossBetween val="between"/>
      </c:valAx>
      <c:spPr>
        <a:noFill/>
        <a:ln>
          <a:noFill/>
        </a:ln>
        <a:effectLst/>
      </c:spPr>
    </c:plotArea>
    <c:legend>
      <c:legendPos val="r"/>
      <c:layout>
        <c:manualLayout>
          <c:xMode val="edge"/>
          <c:yMode val="edge"/>
          <c:x val="0.85082239199576559"/>
          <c:y val="0.39987952944730831"/>
          <c:w val="0.12973305166122526"/>
          <c:h val="0.16187163654902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Davis, Timara</DisplayName>
        <AccountId>55</AccountId>
        <AccountType/>
      </UserInfo>
      <UserInfo>
        <DisplayName>Kistner, Alex</DisplayName>
        <AccountId>25</AccountId>
        <AccountType/>
      </UserInfo>
      <UserInfo>
        <DisplayName>Stein, Laura</DisplayName>
        <AccountId>12</AccountId>
        <AccountType/>
      </UserInfo>
      <UserInfo>
        <DisplayName>Welch, Matthew</DisplayName>
        <AccountId>14</AccountId>
        <AccountType/>
      </UserInfo>
      <UserInfo>
        <DisplayName>Rasmussen, Cathy</DisplayName>
        <AccountId>223</AccountId>
        <AccountType/>
      </UserInfo>
      <UserInfo>
        <DisplayName>Lyke, Betheny</DisplayName>
        <AccountId>10</AccountId>
        <AccountType/>
      </UserInfo>
      <UserInfo>
        <DisplayName>Garcia, Joyce</DisplayName>
        <AccountId>221</AccountId>
        <AccountType/>
      </UserInfo>
      <UserInfo>
        <DisplayName>Baskin, Bertha</DisplayName>
        <AccountId>222</AccountId>
        <AccountType/>
      </UserInfo>
      <UserInfo>
        <DisplayName>Wenzel, Caryl</DisplayName>
        <AccountId>232</AccountId>
        <AccountType/>
      </UserInfo>
      <UserInfo>
        <DisplayName>Willey, Sarah</DisplayName>
        <AccountId>263</AccountId>
        <AccountType/>
      </UserInfo>
      <UserInfo>
        <DisplayName>Mass DESE District Reviews Members</DisplayName>
        <AccountId>7</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3.xml><?xml version="1.0" encoding="utf-8"?>
<ds:datastoreItem xmlns:ds="http://schemas.openxmlformats.org/officeDocument/2006/customXml" ds:itemID="{0AB067BC-6B9E-4837-B04E-A3AB3E3BE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8E5E8-958F-48D8-B769-C97F3E1B872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411</TotalTime>
  <Pages>100</Pages>
  <Words>38848</Words>
  <Characters>221438</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Medway District Review Report 2025</vt:lpstr>
    </vt:vector>
  </TitlesOfParts>
  <Company/>
  <LinksUpToDate>false</LinksUpToDate>
  <CharactersWithSpaces>259767</CharactersWithSpaces>
  <SharedDoc>false</SharedDoc>
  <HLinks>
    <vt:vector size="972" baseType="variant">
      <vt:variant>
        <vt:i4>1376311</vt:i4>
      </vt:variant>
      <vt:variant>
        <vt:i4>626</vt:i4>
      </vt:variant>
      <vt:variant>
        <vt:i4>0</vt:i4>
      </vt:variant>
      <vt:variant>
        <vt:i4>5</vt:i4>
      </vt:variant>
      <vt:variant>
        <vt:lpwstr/>
      </vt:variant>
      <vt:variant>
        <vt:lpwstr>_Toc196169634</vt:lpwstr>
      </vt:variant>
      <vt:variant>
        <vt:i4>1376311</vt:i4>
      </vt:variant>
      <vt:variant>
        <vt:i4>620</vt:i4>
      </vt:variant>
      <vt:variant>
        <vt:i4>0</vt:i4>
      </vt:variant>
      <vt:variant>
        <vt:i4>5</vt:i4>
      </vt:variant>
      <vt:variant>
        <vt:lpwstr/>
      </vt:variant>
      <vt:variant>
        <vt:lpwstr>_Toc196169633</vt:lpwstr>
      </vt:variant>
      <vt:variant>
        <vt:i4>1376311</vt:i4>
      </vt:variant>
      <vt:variant>
        <vt:i4>614</vt:i4>
      </vt:variant>
      <vt:variant>
        <vt:i4>0</vt:i4>
      </vt:variant>
      <vt:variant>
        <vt:i4>5</vt:i4>
      </vt:variant>
      <vt:variant>
        <vt:lpwstr/>
      </vt:variant>
      <vt:variant>
        <vt:lpwstr>_Toc196169632</vt:lpwstr>
      </vt:variant>
      <vt:variant>
        <vt:i4>1376311</vt:i4>
      </vt:variant>
      <vt:variant>
        <vt:i4>608</vt:i4>
      </vt:variant>
      <vt:variant>
        <vt:i4>0</vt:i4>
      </vt:variant>
      <vt:variant>
        <vt:i4>5</vt:i4>
      </vt:variant>
      <vt:variant>
        <vt:lpwstr/>
      </vt:variant>
      <vt:variant>
        <vt:lpwstr>_Toc196169631</vt:lpwstr>
      </vt:variant>
      <vt:variant>
        <vt:i4>1376311</vt:i4>
      </vt:variant>
      <vt:variant>
        <vt:i4>602</vt:i4>
      </vt:variant>
      <vt:variant>
        <vt:i4>0</vt:i4>
      </vt:variant>
      <vt:variant>
        <vt:i4>5</vt:i4>
      </vt:variant>
      <vt:variant>
        <vt:lpwstr/>
      </vt:variant>
      <vt:variant>
        <vt:lpwstr>_Toc196169630</vt:lpwstr>
      </vt:variant>
      <vt:variant>
        <vt:i4>1310775</vt:i4>
      </vt:variant>
      <vt:variant>
        <vt:i4>596</vt:i4>
      </vt:variant>
      <vt:variant>
        <vt:i4>0</vt:i4>
      </vt:variant>
      <vt:variant>
        <vt:i4>5</vt:i4>
      </vt:variant>
      <vt:variant>
        <vt:lpwstr/>
      </vt:variant>
      <vt:variant>
        <vt:lpwstr>_Toc196169629</vt:lpwstr>
      </vt:variant>
      <vt:variant>
        <vt:i4>1310775</vt:i4>
      </vt:variant>
      <vt:variant>
        <vt:i4>590</vt:i4>
      </vt:variant>
      <vt:variant>
        <vt:i4>0</vt:i4>
      </vt:variant>
      <vt:variant>
        <vt:i4>5</vt:i4>
      </vt:variant>
      <vt:variant>
        <vt:lpwstr/>
      </vt:variant>
      <vt:variant>
        <vt:lpwstr>_Toc196169628</vt:lpwstr>
      </vt:variant>
      <vt:variant>
        <vt:i4>1310775</vt:i4>
      </vt:variant>
      <vt:variant>
        <vt:i4>584</vt:i4>
      </vt:variant>
      <vt:variant>
        <vt:i4>0</vt:i4>
      </vt:variant>
      <vt:variant>
        <vt:i4>5</vt:i4>
      </vt:variant>
      <vt:variant>
        <vt:lpwstr/>
      </vt:variant>
      <vt:variant>
        <vt:lpwstr>_Toc196169627</vt:lpwstr>
      </vt:variant>
      <vt:variant>
        <vt:i4>1310775</vt:i4>
      </vt:variant>
      <vt:variant>
        <vt:i4>578</vt:i4>
      </vt:variant>
      <vt:variant>
        <vt:i4>0</vt:i4>
      </vt:variant>
      <vt:variant>
        <vt:i4>5</vt:i4>
      </vt:variant>
      <vt:variant>
        <vt:lpwstr/>
      </vt:variant>
      <vt:variant>
        <vt:lpwstr>_Toc196169626</vt:lpwstr>
      </vt:variant>
      <vt:variant>
        <vt:i4>1310775</vt:i4>
      </vt:variant>
      <vt:variant>
        <vt:i4>572</vt:i4>
      </vt:variant>
      <vt:variant>
        <vt:i4>0</vt:i4>
      </vt:variant>
      <vt:variant>
        <vt:i4>5</vt:i4>
      </vt:variant>
      <vt:variant>
        <vt:lpwstr/>
      </vt:variant>
      <vt:variant>
        <vt:lpwstr>_Toc196169625</vt:lpwstr>
      </vt:variant>
      <vt:variant>
        <vt:i4>1310775</vt:i4>
      </vt:variant>
      <vt:variant>
        <vt:i4>566</vt:i4>
      </vt:variant>
      <vt:variant>
        <vt:i4>0</vt:i4>
      </vt:variant>
      <vt:variant>
        <vt:i4>5</vt:i4>
      </vt:variant>
      <vt:variant>
        <vt:lpwstr/>
      </vt:variant>
      <vt:variant>
        <vt:lpwstr>_Toc196169624</vt:lpwstr>
      </vt:variant>
      <vt:variant>
        <vt:i4>1310775</vt:i4>
      </vt:variant>
      <vt:variant>
        <vt:i4>560</vt:i4>
      </vt:variant>
      <vt:variant>
        <vt:i4>0</vt:i4>
      </vt:variant>
      <vt:variant>
        <vt:i4>5</vt:i4>
      </vt:variant>
      <vt:variant>
        <vt:lpwstr/>
      </vt:variant>
      <vt:variant>
        <vt:lpwstr>_Toc196169623</vt:lpwstr>
      </vt:variant>
      <vt:variant>
        <vt:i4>1310775</vt:i4>
      </vt:variant>
      <vt:variant>
        <vt:i4>554</vt:i4>
      </vt:variant>
      <vt:variant>
        <vt:i4>0</vt:i4>
      </vt:variant>
      <vt:variant>
        <vt:i4>5</vt:i4>
      </vt:variant>
      <vt:variant>
        <vt:lpwstr/>
      </vt:variant>
      <vt:variant>
        <vt:lpwstr>_Toc196169622</vt:lpwstr>
      </vt:variant>
      <vt:variant>
        <vt:i4>1310775</vt:i4>
      </vt:variant>
      <vt:variant>
        <vt:i4>548</vt:i4>
      </vt:variant>
      <vt:variant>
        <vt:i4>0</vt:i4>
      </vt:variant>
      <vt:variant>
        <vt:i4>5</vt:i4>
      </vt:variant>
      <vt:variant>
        <vt:lpwstr/>
      </vt:variant>
      <vt:variant>
        <vt:lpwstr>_Toc196169621</vt:lpwstr>
      </vt:variant>
      <vt:variant>
        <vt:i4>1310775</vt:i4>
      </vt:variant>
      <vt:variant>
        <vt:i4>542</vt:i4>
      </vt:variant>
      <vt:variant>
        <vt:i4>0</vt:i4>
      </vt:variant>
      <vt:variant>
        <vt:i4>5</vt:i4>
      </vt:variant>
      <vt:variant>
        <vt:lpwstr/>
      </vt:variant>
      <vt:variant>
        <vt:lpwstr>_Toc196169620</vt:lpwstr>
      </vt:variant>
      <vt:variant>
        <vt:i4>1507383</vt:i4>
      </vt:variant>
      <vt:variant>
        <vt:i4>536</vt:i4>
      </vt:variant>
      <vt:variant>
        <vt:i4>0</vt:i4>
      </vt:variant>
      <vt:variant>
        <vt:i4>5</vt:i4>
      </vt:variant>
      <vt:variant>
        <vt:lpwstr/>
      </vt:variant>
      <vt:variant>
        <vt:lpwstr>_Toc196169619</vt:lpwstr>
      </vt:variant>
      <vt:variant>
        <vt:i4>1507383</vt:i4>
      </vt:variant>
      <vt:variant>
        <vt:i4>530</vt:i4>
      </vt:variant>
      <vt:variant>
        <vt:i4>0</vt:i4>
      </vt:variant>
      <vt:variant>
        <vt:i4>5</vt:i4>
      </vt:variant>
      <vt:variant>
        <vt:lpwstr/>
      </vt:variant>
      <vt:variant>
        <vt:lpwstr>_Toc196169618</vt:lpwstr>
      </vt:variant>
      <vt:variant>
        <vt:i4>1507383</vt:i4>
      </vt:variant>
      <vt:variant>
        <vt:i4>524</vt:i4>
      </vt:variant>
      <vt:variant>
        <vt:i4>0</vt:i4>
      </vt:variant>
      <vt:variant>
        <vt:i4>5</vt:i4>
      </vt:variant>
      <vt:variant>
        <vt:lpwstr/>
      </vt:variant>
      <vt:variant>
        <vt:lpwstr>_Toc196169617</vt:lpwstr>
      </vt:variant>
      <vt:variant>
        <vt:i4>1507383</vt:i4>
      </vt:variant>
      <vt:variant>
        <vt:i4>518</vt:i4>
      </vt:variant>
      <vt:variant>
        <vt:i4>0</vt:i4>
      </vt:variant>
      <vt:variant>
        <vt:i4>5</vt:i4>
      </vt:variant>
      <vt:variant>
        <vt:lpwstr/>
      </vt:variant>
      <vt:variant>
        <vt:lpwstr>_Toc196169616</vt:lpwstr>
      </vt:variant>
      <vt:variant>
        <vt:i4>1507383</vt:i4>
      </vt:variant>
      <vt:variant>
        <vt:i4>512</vt:i4>
      </vt:variant>
      <vt:variant>
        <vt:i4>0</vt:i4>
      </vt:variant>
      <vt:variant>
        <vt:i4>5</vt:i4>
      </vt:variant>
      <vt:variant>
        <vt:lpwstr/>
      </vt:variant>
      <vt:variant>
        <vt:lpwstr>_Toc196169615</vt:lpwstr>
      </vt:variant>
      <vt:variant>
        <vt:i4>1507383</vt:i4>
      </vt:variant>
      <vt:variant>
        <vt:i4>506</vt:i4>
      </vt:variant>
      <vt:variant>
        <vt:i4>0</vt:i4>
      </vt:variant>
      <vt:variant>
        <vt:i4>5</vt:i4>
      </vt:variant>
      <vt:variant>
        <vt:lpwstr/>
      </vt:variant>
      <vt:variant>
        <vt:lpwstr>_Toc196169614</vt:lpwstr>
      </vt:variant>
      <vt:variant>
        <vt:i4>1507383</vt:i4>
      </vt:variant>
      <vt:variant>
        <vt:i4>500</vt:i4>
      </vt:variant>
      <vt:variant>
        <vt:i4>0</vt:i4>
      </vt:variant>
      <vt:variant>
        <vt:i4>5</vt:i4>
      </vt:variant>
      <vt:variant>
        <vt:lpwstr/>
      </vt:variant>
      <vt:variant>
        <vt:lpwstr>_Toc196169613</vt:lpwstr>
      </vt:variant>
      <vt:variant>
        <vt:i4>5636162</vt:i4>
      </vt:variant>
      <vt:variant>
        <vt:i4>495</vt:i4>
      </vt:variant>
      <vt:variant>
        <vt:i4>0</vt:i4>
      </vt:variant>
      <vt:variant>
        <vt:i4>5</vt:i4>
      </vt:variant>
      <vt:variant>
        <vt:lpwstr>https://www.doe.mass.edu/research/radar/default.html</vt:lpwstr>
      </vt:variant>
      <vt:variant>
        <vt:lpwstr/>
      </vt:variant>
      <vt:variant>
        <vt:i4>3801129</vt:i4>
      </vt:variant>
      <vt:variant>
        <vt:i4>492</vt:i4>
      </vt:variant>
      <vt:variant>
        <vt:i4>0</vt:i4>
      </vt:variant>
      <vt:variant>
        <vt:i4>5</vt:i4>
      </vt:variant>
      <vt:variant>
        <vt:lpwstr>https://www.doe.mass.edu/finance/chapter70/default.html</vt:lpwstr>
      </vt:variant>
      <vt:variant>
        <vt:lpwstr/>
      </vt:variant>
      <vt:variant>
        <vt:i4>5636162</vt:i4>
      </vt:variant>
      <vt:variant>
        <vt:i4>489</vt:i4>
      </vt:variant>
      <vt:variant>
        <vt:i4>0</vt:i4>
      </vt:variant>
      <vt:variant>
        <vt:i4>5</vt:i4>
      </vt:variant>
      <vt:variant>
        <vt:lpwstr>https://www.doe.mass.edu/research/radar/default.html</vt:lpwstr>
      </vt:variant>
      <vt:variant>
        <vt:lpwstr/>
      </vt:variant>
      <vt:variant>
        <vt:i4>5636162</vt:i4>
      </vt:variant>
      <vt:variant>
        <vt:i4>486</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6029400</vt:i4>
      </vt:variant>
      <vt:variant>
        <vt:i4>483</vt:i4>
      </vt:variant>
      <vt:variant>
        <vt:i4>0</vt:i4>
      </vt:variant>
      <vt:variant>
        <vt:i4>5</vt:i4>
      </vt:variant>
      <vt:variant>
        <vt:lpwstr>https://us14.list-manage.com/subscribe?u=d8f37d1a90dacd97f207f0b4a&amp;id=d29c4bc847</vt:lpwstr>
      </vt:variant>
      <vt:variant>
        <vt:lpwstr/>
      </vt:variant>
      <vt:variant>
        <vt:i4>6946913</vt:i4>
      </vt:variant>
      <vt:variant>
        <vt:i4>480</vt:i4>
      </vt:variant>
      <vt:variant>
        <vt:i4>0</vt:i4>
      </vt:variant>
      <vt:variant>
        <vt:i4>5</vt:i4>
      </vt:variant>
      <vt:variant>
        <vt:lpwstr>https://www.projectbread.org/resource-directory/breakfast-after-the-bell-resources</vt:lpwstr>
      </vt:variant>
      <vt:variant>
        <vt:lpwstr/>
      </vt:variant>
      <vt:variant>
        <vt:i4>524356</vt:i4>
      </vt:variant>
      <vt:variant>
        <vt:i4>477</vt:i4>
      </vt:variant>
      <vt:variant>
        <vt:i4>0</vt:i4>
      </vt:variant>
      <vt:variant>
        <vt:i4>5</vt:i4>
      </vt:variant>
      <vt:variant>
        <vt:lpwstr>https://www.doe.mass.edu/research/radar/</vt:lpwstr>
      </vt:variant>
      <vt:variant>
        <vt:lpwstr/>
      </vt:variant>
      <vt:variant>
        <vt:i4>7143462</vt:i4>
      </vt:variant>
      <vt:variant>
        <vt:i4>474</vt:i4>
      </vt:variant>
      <vt:variant>
        <vt:i4>0</vt:i4>
      </vt:variant>
      <vt:variant>
        <vt:i4>5</vt:i4>
      </vt:variant>
      <vt:variant>
        <vt:lpwstr>https://www.doe.mass.edu/research/success/</vt:lpwstr>
      </vt:variant>
      <vt:variant>
        <vt:lpwstr/>
      </vt:variant>
      <vt:variant>
        <vt:i4>1572948</vt:i4>
      </vt:variant>
      <vt:variant>
        <vt:i4>471</vt:i4>
      </vt:variant>
      <vt:variant>
        <vt:i4>0</vt:i4>
      </vt:variant>
      <vt:variant>
        <vt:i4>5</vt:i4>
      </vt:variant>
      <vt:variant>
        <vt:lpwstr>https://www.doe.mass.edu/cnp/</vt:lpwstr>
      </vt:variant>
      <vt:variant>
        <vt:lpwstr/>
      </vt:variant>
      <vt:variant>
        <vt:i4>1703942</vt:i4>
      </vt:variant>
      <vt:variant>
        <vt:i4>468</vt:i4>
      </vt:variant>
      <vt:variant>
        <vt:i4>0</vt:i4>
      </vt:variant>
      <vt:variant>
        <vt:i4>5</vt:i4>
      </vt:variant>
      <vt:variant>
        <vt:lpwstr>https://www.doe.mass.edu/federalgrants/resources/default.html</vt:lpwstr>
      </vt:variant>
      <vt:variant>
        <vt:lpwstr/>
      </vt:variant>
      <vt:variant>
        <vt:i4>1376273</vt:i4>
      </vt:variant>
      <vt:variant>
        <vt:i4>465</vt:i4>
      </vt:variant>
      <vt:variant>
        <vt:i4>0</vt:i4>
      </vt:variant>
      <vt:variant>
        <vt:i4>5</vt:i4>
      </vt:variant>
      <vt:variant>
        <vt:lpwstr>https://www.doe.mass.edu/finance/statistics/default.html</vt:lpwstr>
      </vt:variant>
      <vt:variant>
        <vt:lpwstr/>
      </vt:variant>
      <vt:variant>
        <vt:i4>65628</vt:i4>
      </vt:variant>
      <vt:variant>
        <vt:i4>462</vt:i4>
      </vt:variant>
      <vt:variant>
        <vt:i4>0</vt:i4>
      </vt:variant>
      <vt:variant>
        <vt:i4>5</vt:i4>
      </vt:variant>
      <vt:variant>
        <vt:lpwstr>https://www.doe.mass.edu/sfs/sel/sel-all.docx</vt:lpwstr>
      </vt:variant>
      <vt:variant>
        <vt:lpwstr/>
      </vt:variant>
      <vt:variant>
        <vt:i4>6291562</vt:i4>
      </vt:variant>
      <vt:variant>
        <vt:i4>459</vt:i4>
      </vt:variant>
      <vt:variant>
        <vt:i4>0</vt:i4>
      </vt:variant>
      <vt:variant>
        <vt:i4>5</vt:i4>
      </vt:variant>
      <vt:variant>
        <vt:lpwstr>https://www.doe.mass.edu/sfs/earlylearning/pli.html</vt:lpwstr>
      </vt:variant>
      <vt:variant>
        <vt:lpwstr/>
      </vt:variant>
      <vt:variant>
        <vt:i4>7864362</vt:i4>
      </vt:variant>
      <vt:variant>
        <vt:i4>456</vt:i4>
      </vt:variant>
      <vt:variant>
        <vt:i4>0</vt:i4>
      </vt:variant>
      <vt:variant>
        <vt:i4>5</vt:i4>
      </vt:variant>
      <vt:variant>
        <vt:lpwstr>https://view.officeapps.live.com/op/view.aspx?src=https%3A%2F%2Fwww.doe.mass.edu%2Fsfs%2Fearlylearning%2Fresources%2FSEL-APL-Standards.docx&amp;wdOrigin=BROWSELINK</vt:lpwstr>
      </vt:variant>
      <vt:variant>
        <vt:lpwstr/>
      </vt:variant>
      <vt:variant>
        <vt:i4>7602288</vt:i4>
      </vt:variant>
      <vt:variant>
        <vt:i4>453</vt:i4>
      </vt:variant>
      <vt:variant>
        <vt:i4>0</vt:i4>
      </vt:variant>
      <vt:variant>
        <vt:i4>5</vt:i4>
      </vt:variant>
      <vt:variant>
        <vt:lpwstr>https://massschoolwellness.org/</vt:lpwstr>
      </vt:variant>
      <vt:variant>
        <vt:lpwstr/>
      </vt:variant>
      <vt:variant>
        <vt:i4>5767173</vt:i4>
      </vt:variant>
      <vt:variant>
        <vt:i4>450</vt:i4>
      </vt:variant>
      <vt:variant>
        <vt:i4>0</vt:i4>
      </vt:variant>
      <vt:variant>
        <vt:i4>5</vt:i4>
      </vt:variant>
      <vt:variant>
        <vt:lpwstr>https://www.doe.mass.edu/sfs/discipline/</vt:lpwstr>
      </vt:variant>
      <vt:variant>
        <vt:lpwstr/>
      </vt:variant>
      <vt:variant>
        <vt:i4>6488162</vt:i4>
      </vt:variant>
      <vt:variant>
        <vt:i4>447</vt:i4>
      </vt:variant>
      <vt:variant>
        <vt:i4>0</vt:i4>
      </vt:variant>
      <vt:variant>
        <vt:i4>5</vt:i4>
      </vt:variant>
      <vt:variant>
        <vt:lpwstr>https://www.doe.mass.edu/sfs/bullying/default.html</vt:lpwstr>
      </vt:variant>
      <vt:variant>
        <vt:lpwstr/>
      </vt:variant>
      <vt:variant>
        <vt:i4>7602272</vt:i4>
      </vt:variant>
      <vt:variant>
        <vt:i4>444</vt:i4>
      </vt:variant>
      <vt:variant>
        <vt:i4>0</vt:i4>
      </vt:variant>
      <vt:variant>
        <vt:i4>5</vt:i4>
      </vt:variant>
      <vt:variant>
        <vt:lpwstr>https://www.doe.mass.edu/sfs/lgbtq/</vt:lpwstr>
      </vt:variant>
      <vt:variant>
        <vt:lpwstr/>
      </vt:variant>
      <vt:variant>
        <vt:i4>3342449</vt:i4>
      </vt:variant>
      <vt:variant>
        <vt:i4>441</vt:i4>
      </vt:variant>
      <vt:variant>
        <vt:i4>0</vt:i4>
      </vt:variant>
      <vt:variant>
        <vt:i4>5</vt:i4>
      </vt:variant>
      <vt:variant>
        <vt:lpwstr>https://www.sassma.org/</vt:lpwstr>
      </vt:variant>
      <vt:variant>
        <vt:lpwstr/>
      </vt:variant>
      <vt:variant>
        <vt:i4>6881315</vt:i4>
      </vt:variant>
      <vt:variant>
        <vt:i4>438</vt:i4>
      </vt:variant>
      <vt:variant>
        <vt:i4>0</vt:i4>
      </vt:variant>
      <vt:variant>
        <vt:i4>5</vt:i4>
      </vt:variant>
      <vt:variant>
        <vt:lpwstr>https://matoolsforschools.com/</vt:lpwstr>
      </vt:variant>
      <vt:variant>
        <vt:lpwstr/>
      </vt:variant>
      <vt:variant>
        <vt:i4>2293809</vt:i4>
      </vt:variant>
      <vt:variant>
        <vt:i4>435</vt:i4>
      </vt:variant>
      <vt:variant>
        <vt:i4>0</vt:i4>
      </vt:variant>
      <vt:variant>
        <vt:i4>5</vt:i4>
      </vt:variant>
      <vt:variant>
        <vt:lpwstr>https://www.doe.mass.edu/sfss/mtss/</vt:lpwstr>
      </vt:variant>
      <vt:variant>
        <vt:lpwstr/>
      </vt:variant>
      <vt:variant>
        <vt:i4>4849689</vt:i4>
      </vt:variant>
      <vt:variant>
        <vt:i4>432</vt:i4>
      </vt:variant>
      <vt:variant>
        <vt:i4>0</vt:i4>
      </vt:variant>
      <vt:variant>
        <vt:i4>5</vt:i4>
      </vt:variant>
      <vt:variant>
        <vt:lpwstr>https://www.doe.mass.edu/sfs/family-engagement-framework.pdf</vt:lpwstr>
      </vt:variant>
      <vt:variant>
        <vt:lpwstr/>
      </vt:variant>
      <vt:variant>
        <vt:i4>2490408</vt:i4>
      </vt:variant>
      <vt:variant>
        <vt:i4>429</vt:i4>
      </vt:variant>
      <vt:variant>
        <vt:i4>0</vt:i4>
      </vt:variant>
      <vt:variant>
        <vt:i4>5</vt:i4>
      </vt:variant>
      <vt:variant>
        <vt:lpwstr>https://www.doe.mass.edu/families/</vt:lpwstr>
      </vt:variant>
      <vt:variant>
        <vt:lpwstr/>
      </vt:variant>
      <vt:variant>
        <vt:i4>8323174</vt:i4>
      </vt:variant>
      <vt:variant>
        <vt:i4>426</vt:i4>
      </vt:variant>
      <vt:variant>
        <vt:i4>0</vt:i4>
      </vt:variant>
      <vt:variant>
        <vt:i4>5</vt:i4>
      </vt:variant>
      <vt:variant>
        <vt:lpwstr>https://www.doe.mass.edu/sfs/emergencyplan/default.html</vt:lpwstr>
      </vt:variant>
      <vt:variant>
        <vt:lpwstr/>
      </vt:variant>
      <vt:variant>
        <vt:i4>3604597</vt:i4>
      </vt:variant>
      <vt:variant>
        <vt:i4>423</vt:i4>
      </vt:variant>
      <vt:variant>
        <vt:i4>0</vt:i4>
      </vt:variant>
      <vt:variant>
        <vt:i4>5</vt:i4>
      </vt:variant>
      <vt:variant>
        <vt:lpwstr>https://rems.ed.gov/?AspxAutoDetectCookieSupport=1</vt:lpwstr>
      </vt:variant>
      <vt:variant>
        <vt:lpwstr/>
      </vt:variant>
      <vt:variant>
        <vt:i4>655441</vt:i4>
      </vt:variant>
      <vt:variant>
        <vt:i4>420</vt:i4>
      </vt:variant>
      <vt:variant>
        <vt:i4>0</vt:i4>
      </vt:variant>
      <vt:variant>
        <vt:i4>5</vt:i4>
      </vt:variant>
      <vt:variant>
        <vt:lpwstr>https://www.doe.mass.edu/ele/resources/immigrant-refugee.html</vt:lpwstr>
      </vt:variant>
      <vt:variant>
        <vt:lpwstr/>
      </vt:variant>
      <vt:variant>
        <vt:i4>7471214</vt:i4>
      </vt:variant>
      <vt:variant>
        <vt:i4>417</vt:i4>
      </vt:variant>
      <vt:variant>
        <vt:i4>0</vt:i4>
      </vt:variant>
      <vt:variant>
        <vt:i4>5</vt:i4>
      </vt:variant>
      <vt:variant>
        <vt:lpwstr>https://www.doe.mass.edu/ele/slife/default.html</vt:lpwstr>
      </vt:variant>
      <vt:variant>
        <vt:lpwstr/>
      </vt:variant>
      <vt:variant>
        <vt:i4>67</vt:i4>
      </vt:variant>
      <vt:variant>
        <vt:i4>414</vt:i4>
      </vt:variant>
      <vt:variant>
        <vt:i4>0</vt:i4>
      </vt:variant>
      <vt:variant>
        <vt:i4>5</vt:i4>
      </vt:variant>
      <vt:variant>
        <vt:lpwstr>https://www.doe.mass.edu/sfs/edstability.html</vt:lpwstr>
      </vt:variant>
      <vt:variant>
        <vt:lpwstr/>
      </vt:variant>
      <vt:variant>
        <vt:i4>131097</vt:i4>
      </vt:variant>
      <vt:variant>
        <vt:i4>411</vt:i4>
      </vt:variant>
      <vt:variant>
        <vt:i4>0</vt:i4>
      </vt:variant>
      <vt:variant>
        <vt:i4>5</vt:i4>
      </vt:variant>
      <vt:variant>
        <vt:lpwstr>https://www.doe.mass.edu/ccte/sec-supports/ewis/default.html</vt:lpwstr>
      </vt:variant>
      <vt:variant>
        <vt:lpwstr/>
      </vt:variant>
      <vt:variant>
        <vt:i4>1441817</vt:i4>
      </vt:variant>
      <vt:variant>
        <vt:i4>408</vt:i4>
      </vt:variant>
      <vt:variant>
        <vt:i4>0</vt:i4>
      </vt:variant>
      <vt:variant>
        <vt:i4>5</vt:i4>
      </vt:variant>
      <vt:variant>
        <vt:lpwstr>https://www.doe.mass.edu/ccte/sec-supports/massgrad/default.html</vt:lpwstr>
      </vt:variant>
      <vt:variant>
        <vt:lpwstr/>
      </vt:variant>
      <vt:variant>
        <vt:i4>4325441</vt:i4>
      </vt:variant>
      <vt:variant>
        <vt:i4>405</vt:i4>
      </vt:variant>
      <vt:variant>
        <vt:i4>0</vt:i4>
      </vt:variant>
      <vt:variant>
        <vt:i4>5</vt:i4>
      </vt:variant>
      <vt:variant>
        <vt:lpwstr>https://www.doe.mass.edu/ele/prof-learning/wida/default.html</vt:lpwstr>
      </vt:variant>
      <vt:variant>
        <vt:lpwstr/>
      </vt:variant>
      <vt:variant>
        <vt:i4>3080304</vt:i4>
      </vt:variant>
      <vt:variant>
        <vt:i4>402</vt:i4>
      </vt:variant>
      <vt:variant>
        <vt:i4>0</vt:i4>
      </vt:variant>
      <vt:variant>
        <vt:i4>5</vt:i4>
      </vt:variant>
      <vt:variant>
        <vt:lpwstr>https://www.doe.mass.edu/edeffectiveness/talent-guide/default.html</vt:lpwstr>
      </vt:variant>
      <vt:variant>
        <vt:lpwstr/>
      </vt:variant>
      <vt:variant>
        <vt:i4>458843</vt:i4>
      </vt:variant>
      <vt:variant>
        <vt:i4>399</vt:i4>
      </vt:variant>
      <vt:variant>
        <vt:i4>0</vt:i4>
      </vt:variant>
      <vt:variant>
        <vt:i4>5</vt:i4>
      </vt:variant>
      <vt:variant>
        <vt:lpwstr>https://www.doe.mass.edu/frameworks/observation/</vt:lpwstr>
      </vt:variant>
      <vt:variant>
        <vt:lpwstr/>
      </vt:variant>
      <vt:variant>
        <vt:i4>5111838</vt:i4>
      </vt:variant>
      <vt:variant>
        <vt:i4>396</vt:i4>
      </vt:variant>
      <vt:variant>
        <vt:i4>0</vt:i4>
      </vt:variant>
      <vt:variant>
        <vt:i4>5</vt:i4>
      </vt:variant>
      <vt:variant>
        <vt:lpwstr>https://view.officeapps.live.com/op/view.aspx?src=https%3A%2F%2Fwww.doe.mass.edu%2Fcsi%2Fdiverse-workforce%2Fteacher-diversification.docx&amp;wdOrigin=BROWSELINK</vt:lpwstr>
      </vt:variant>
      <vt:variant>
        <vt:lpwstr/>
      </vt:variant>
      <vt:variant>
        <vt:i4>7209059</vt:i4>
      </vt:variant>
      <vt:variant>
        <vt:i4>393</vt:i4>
      </vt:variant>
      <vt:variant>
        <vt:i4>0</vt:i4>
      </vt:variant>
      <vt:variant>
        <vt:i4>5</vt:i4>
      </vt:variant>
      <vt:variant>
        <vt:lpwstr>https://plpartnerguide.org/</vt:lpwstr>
      </vt:variant>
      <vt:variant>
        <vt:lpwstr/>
      </vt:variant>
      <vt:variant>
        <vt:i4>6226008</vt:i4>
      </vt:variant>
      <vt:variant>
        <vt:i4>390</vt:i4>
      </vt:variant>
      <vt:variant>
        <vt:i4>0</vt:i4>
      </vt:variant>
      <vt:variant>
        <vt:i4>5</vt:i4>
      </vt:variant>
      <vt:variant>
        <vt:lpwstr>https://www.ma-optic.com/</vt:lpwstr>
      </vt:variant>
      <vt:variant>
        <vt:lpwstr/>
      </vt:variant>
      <vt:variant>
        <vt:i4>2883618</vt:i4>
      </vt:variant>
      <vt:variant>
        <vt:i4>387</vt:i4>
      </vt:variant>
      <vt:variant>
        <vt:i4>0</vt:i4>
      </vt:variant>
      <vt:variant>
        <vt:i4>5</vt:i4>
      </vt:variant>
      <vt:variant>
        <vt:lpwstr>https://www.doe.mass.edu/mtel/</vt:lpwstr>
      </vt:variant>
      <vt:variant>
        <vt:lpwstr/>
      </vt:variant>
      <vt:variant>
        <vt:i4>589832</vt:i4>
      </vt:variant>
      <vt:variant>
        <vt:i4>384</vt:i4>
      </vt:variant>
      <vt:variant>
        <vt:i4>0</vt:i4>
      </vt:variant>
      <vt:variant>
        <vt:i4>5</vt:i4>
      </vt:variant>
      <vt:variant>
        <vt:lpwstr>https://www.doe.mass.edu/edeffectiveness/mentor/default.html</vt:lpwstr>
      </vt:variant>
      <vt:variant>
        <vt:lpwstr/>
      </vt:variant>
      <vt:variant>
        <vt:i4>7667821</vt:i4>
      </vt:variant>
      <vt:variant>
        <vt:i4>381</vt:i4>
      </vt:variant>
      <vt:variant>
        <vt:i4>0</vt:i4>
      </vt:variant>
      <vt:variant>
        <vt:i4>5</vt:i4>
      </vt:variant>
      <vt:variant>
        <vt:lpwstr>https://www.doe.mass.edu/edeffectiveness/mentor/principal.html</vt:lpwstr>
      </vt:variant>
      <vt:variant>
        <vt:lpwstr/>
      </vt:variant>
      <vt:variant>
        <vt:i4>589832</vt:i4>
      </vt:variant>
      <vt:variant>
        <vt:i4>378</vt:i4>
      </vt:variant>
      <vt:variant>
        <vt:i4>0</vt:i4>
      </vt:variant>
      <vt:variant>
        <vt:i4>5</vt:i4>
      </vt:variant>
      <vt:variant>
        <vt:lpwstr>https://www.doe.mass.edu/edeffectiveness/mentor/default.html</vt:lpwstr>
      </vt:variant>
      <vt:variant>
        <vt:lpwstr/>
      </vt:variant>
      <vt:variant>
        <vt:i4>2555951</vt:i4>
      </vt:variant>
      <vt:variant>
        <vt:i4>375</vt:i4>
      </vt:variant>
      <vt:variant>
        <vt:i4>0</vt:i4>
      </vt:variant>
      <vt:variant>
        <vt:i4>5</vt:i4>
      </vt:variant>
      <vt:variant>
        <vt:lpwstr>https://www.doe.mass.edu/edeval/implementation/default.html</vt:lpwstr>
      </vt:variant>
      <vt:variant>
        <vt:lpwstr/>
      </vt:variant>
      <vt:variant>
        <vt:i4>6225986</vt:i4>
      </vt:variant>
      <vt:variant>
        <vt:i4>372</vt:i4>
      </vt:variant>
      <vt:variant>
        <vt:i4>0</vt:i4>
      </vt:variant>
      <vt:variant>
        <vt:i4>5</vt:i4>
      </vt:variant>
      <vt:variant>
        <vt:lpwstr>https://www.doe.mass.edu/edprep/resources/early-literacy-observation.html</vt:lpwstr>
      </vt:variant>
      <vt:variant>
        <vt:lpwstr/>
      </vt:variant>
      <vt:variant>
        <vt:i4>4587598</vt:i4>
      </vt:variant>
      <vt:variant>
        <vt:i4>369</vt:i4>
      </vt:variant>
      <vt:variant>
        <vt:i4>0</vt:i4>
      </vt:variant>
      <vt:variant>
        <vt:i4>5</vt:i4>
      </vt:variant>
      <vt:variant>
        <vt:lpwstr>https://www.doe.mass.edu/assessment/</vt:lpwstr>
      </vt:variant>
      <vt:variant>
        <vt:lpwstr/>
      </vt:variant>
      <vt:variant>
        <vt:i4>7995427</vt:i4>
      </vt:variant>
      <vt:variant>
        <vt:i4>366</vt:i4>
      </vt:variant>
      <vt:variant>
        <vt:i4>0</vt:i4>
      </vt:variant>
      <vt:variant>
        <vt:i4>5</vt:i4>
      </vt:variant>
      <vt:variant>
        <vt:lpwstr>https://www.doe.mass.edu/instruction/screening-assessments/default.html</vt:lpwstr>
      </vt:variant>
      <vt:variant>
        <vt:lpwstr/>
      </vt:variant>
      <vt:variant>
        <vt:i4>3080239</vt:i4>
      </vt:variant>
      <vt:variant>
        <vt:i4>363</vt:i4>
      </vt:variant>
      <vt:variant>
        <vt:i4>0</vt:i4>
      </vt:variant>
      <vt:variant>
        <vt:i4>5</vt:i4>
      </vt:variant>
      <vt:variant>
        <vt:lpwstr>http://www.doe.mass.edu/accountability/toolkit/</vt:lpwstr>
      </vt:variant>
      <vt:variant>
        <vt:lpwstr/>
      </vt:variant>
      <vt:variant>
        <vt:i4>7143486</vt:i4>
      </vt:variant>
      <vt:variant>
        <vt:i4>360</vt:i4>
      </vt:variant>
      <vt:variant>
        <vt:i4>0</vt:i4>
      </vt:variant>
      <vt:variant>
        <vt:i4>5</vt:i4>
      </vt:variant>
      <vt:variant>
        <vt:lpwstr>https://www.doe.mass.edu/stem/ste/assess-resources.html</vt:lpwstr>
      </vt:variant>
      <vt:variant>
        <vt:lpwstr/>
      </vt:variant>
      <vt:variant>
        <vt:i4>3604525</vt:i4>
      </vt:variant>
      <vt:variant>
        <vt:i4>357</vt:i4>
      </vt:variant>
      <vt:variant>
        <vt:i4>0</vt:i4>
      </vt:variant>
      <vt:variant>
        <vt:i4>5</vt:i4>
      </vt:variant>
      <vt:variant>
        <vt:lpwstr>https://www.doe.mass.edu/acls/assessment/continuum.pdf</vt:lpwstr>
      </vt:variant>
      <vt:variant>
        <vt:lpwstr/>
      </vt:variant>
      <vt:variant>
        <vt:i4>5570580</vt:i4>
      </vt:variant>
      <vt:variant>
        <vt:i4>354</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80</vt:i4>
      </vt:variant>
      <vt:variant>
        <vt:i4>351</vt:i4>
      </vt:variant>
      <vt:variant>
        <vt:i4>0</vt:i4>
      </vt:variant>
      <vt:variant>
        <vt:i4>5</vt:i4>
      </vt:variant>
      <vt:variant>
        <vt:lpwstr>https://www.doe.mass.edu/ele/esl-toolkit/default.html</vt:lpwstr>
      </vt:variant>
      <vt:variant>
        <vt:lpwstr/>
      </vt:variant>
      <vt:variant>
        <vt:i4>1245192</vt:i4>
      </vt:variant>
      <vt:variant>
        <vt:i4>348</vt:i4>
      </vt:variant>
      <vt:variant>
        <vt:i4>0</vt:i4>
      </vt:variant>
      <vt:variant>
        <vt:i4>5</vt:i4>
      </vt:variant>
      <vt:variant>
        <vt:lpwstr>https://www.doe.mass.edu/sped/dyslexia-guidelines.pdf</vt:lpwstr>
      </vt:variant>
      <vt:variant>
        <vt:lpwstr/>
      </vt:variant>
      <vt:variant>
        <vt:i4>4653124</vt:i4>
      </vt:variant>
      <vt:variant>
        <vt:i4>345</vt:i4>
      </vt:variant>
      <vt:variant>
        <vt:i4>0</vt:i4>
      </vt:variant>
      <vt:variant>
        <vt:i4>5</vt:i4>
      </vt:variant>
      <vt:variant>
        <vt:lpwstr>https://www.doe.mass.edu/stem/ste/openscied.html</vt:lpwstr>
      </vt:variant>
      <vt:variant>
        <vt:lpwstr/>
      </vt:variant>
      <vt:variant>
        <vt:i4>2162741</vt:i4>
      </vt:variant>
      <vt:variant>
        <vt:i4>342</vt:i4>
      </vt:variant>
      <vt:variant>
        <vt:i4>0</vt:i4>
      </vt:variant>
      <vt:variant>
        <vt:i4>5</vt:i4>
      </vt:variant>
      <vt:variant>
        <vt:lpwstr>https://www.doe.mass.edu/investigatinghistory/</vt:lpwstr>
      </vt:variant>
      <vt:variant>
        <vt:lpwstr/>
      </vt:variant>
      <vt:variant>
        <vt:i4>2228350</vt:i4>
      </vt:variant>
      <vt:variant>
        <vt:i4>339</vt:i4>
      </vt:variant>
      <vt:variant>
        <vt:i4>0</vt:i4>
      </vt:variant>
      <vt:variant>
        <vt:i4>5</vt:i4>
      </vt:variant>
      <vt:variant>
        <vt:lpwstr>https://sites.google.com/view/appleseedsk2/home</vt:lpwstr>
      </vt:variant>
      <vt:variant>
        <vt:lpwstr/>
      </vt:variant>
      <vt:variant>
        <vt:i4>7798897</vt:i4>
      </vt:variant>
      <vt:variant>
        <vt:i4>336</vt:i4>
      </vt:variant>
      <vt:variant>
        <vt:i4>0</vt:i4>
      </vt:variant>
      <vt:variant>
        <vt:i4>5</vt:i4>
      </vt:variant>
      <vt:variant>
        <vt:lpwstr>https://www.doe.mass.edu/ele/blueprint/default.html</vt:lpwstr>
      </vt:variant>
      <vt:variant>
        <vt:lpwstr/>
      </vt:variant>
      <vt:variant>
        <vt:i4>6815805</vt:i4>
      </vt:variant>
      <vt:variant>
        <vt:i4>333</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330</vt:i4>
      </vt:variant>
      <vt:variant>
        <vt:i4>0</vt:i4>
      </vt:variant>
      <vt:variant>
        <vt:i4>5</vt:i4>
      </vt:variant>
      <vt:variant>
        <vt:lpwstr>https://www.doe.mass.edu/edeval/guidebook/</vt:lpwstr>
      </vt:variant>
      <vt:variant>
        <vt:lpwstr/>
      </vt:variant>
      <vt:variant>
        <vt:i4>3342396</vt:i4>
      </vt:variant>
      <vt:variant>
        <vt:i4>327</vt:i4>
      </vt:variant>
      <vt:variant>
        <vt:i4>0</vt:i4>
      </vt:variant>
      <vt:variant>
        <vt:i4>5</vt:i4>
      </vt:variant>
      <vt:variant>
        <vt:lpwstr>https://www.doe.mass.edu/massliteracy/</vt:lpwstr>
      </vt:variant>
      <vt:variant>
        <vt:lpwstr/>
      </vt:variant>
      <vt:variant>
        <vt:i4>3997819</vt:i4>
      </vt:variant>
      <vt:variant>
        <vt:i4>324</vt:i4>
      </vt:variant>
      <vt:variant>
        <vt:i4>0</vt:i4>
      </vt:variant>
      <vt:variant>
        <vt:i4>5</vt:i4>
      </vt:variant>
      <vt:variant>
        <vt:lpwstr>https://www.doe.mass.edu/instruction/culturally-sustaining/default.html</vt:lpwstr>
      </vt:variant>
      <vt:variant>
        <vt:lpwstr/>
      </vt:variant>
      <vt:variant>
        <vt:i4>1245206</vt:i4>
      </vt:variant>
      <vt:variant>
        <vt:i4>321</vt:i4>
      </vt:variant>
      <vt:variant>
        <vt:i4>0</vt:i4>
      </vt:variant>
      <vt:variant>
        <vt:i4>5</vt:i4>
      </vt:variant>
      <vt:variant>
        <vt:lpwstr>https://www.doe.mass.edu/instruction/curate/default.html</vt:lpwstr>
      </vt:variant>
      <vt:variant>
        <vt:lpwstr/>
      </vt:variant>
      <vt:variant>
        <vt:i4>7995442</vt:i4>
      </vt:variant>
      <vt:variant>
        <vt:i4>318</vt:i4>
      </vt:variant>
      <vt:variant>
        <vt:i4>0</vt:i4>
      </vt:variant>
      <vt:variant>
        <vt:i4>5</vt:i4>
      </vt:variant>
      <vt:variant>
        <vt:lpwstr>https://www.doe.mass.edu/instruction/impd/implement-ma.html</vt:lpwstr>
      </vt:variant>
      <vt:variant>
        <vt:lpwstr/>
      </vt:variant>
      <vt:variant>
        <vt:i4>1900630</vt:i4>
      </vt:variant>
      <vt:variant>
        <vt:i4>315</vt:i4>
      </vt:variant>
      <vt:variant>
        <vt:i4>0</vt:i4>
      </vt:variant>
      <vt:variant>
        <vt:i4>5</vt:i4>
      </vt:variant>
      <vt:variant>
        <vt:lpwstr>https://www.doe.mass.edu/frameworks/current.html</vt:lpwstr>
      </vt:variant>
      <vt:variant>
        <vt:lpwstr/>
      </vt:variant>
      <vt:variant>
        <vt:i4>7274606</vt:i4>
      </vt:variant>
      <vt:variant>
        <vt:i4>312</vt:i4>
      </vt:variant>
      <vt:variant>
        <vt:i4>0</vt:i4>
      </vt:variant>
      <vt:variant>
        <vt:i4>5</vt:i4>
      </vt:variant>
      <vt:variant>
        <vt:lpwstr>https://www.doe.mass.edu/instruction/impd/default.html</vt:lpwstr>
      </vt:variant>
      <vt:variant>
        <vt:lpwstr/>
      </vt:variant>
      <vt:variant>
        <vt:i4>7143462</vt:i4>
      </vt:variant>
      <vt:variant>
        <vt:i4>309</vt:i4>
      </vt:variant>
      <vt:variant>
        <vt:i4>0</vt:i4>
      </vt:variant>
      <vt:variant>
        <vt:i4>5</vt:i4>
      </vt:variant>
      <vt:variant>
        <vt:lpwstr>https://www.doe.mass.edu/research/success/</vt:lpwstr>
      </vt:variant>
      <vt:variant>
        <vt:lpwstr/>
      </vt:variant>
      <vt:variant>
        <vt:i4>7667821</vt:i4>
      </vt:variant>
      <vt:variant>
        <vt:i4>306</vt:i4>
      </vt:variant>
      <vt:variant>
        <vt:i4>0</vt:i4>
      </vt:variant>
      <vt:variant>
        <vt:i4>5</vt:i4>
      </vt:variant>
      <vt:variant>
        <vt:lpwstr>https://www.doe.mass.edu/edeffectiveness/mentor/principal.html</vt:lpwstr>
      </vt:variant>
      <vt:variant>
        <vt:lpwstr/>
      </vt:variant>
      <vt:variant>
        <vt:i4>3932213</vt:i4>
      </vt:variant>
      <vt:variant>
        <vt:i4>303</vt:i4>
      </vt:variant>
      <vt:variant>
        <vt:i4>0</vt:i4>
      </vt:variant>
      <vt:variant>
        <vt:i4>5</vt:i4>
      </vt:variant>
      <vt:variant>
        <vt:lpwstr>https://www.massupt.org/professional-development/annual-programs/new-superintendent-induction-program/</vt:lpwstr>
      </vt:variant>
      <vt:variant>
        <vt:lpwstr/>
      </vt:variant>
      <vt:variant>
        <vt:i4>6750267</vt:i4>
      </vt:variant>
      <vt:variant>
        <vt:i4>300</vt:i4>
      </vt:variant>
      <vt:variant>
        <vt:i4>0</vt:i4>
      </vt:variant>
      <vt:variant>
        <vt:i4>5</vt:i4>
      </vt:variant>
      <vt:variant>
        <vt:lpwstr>https://www.doe.mass.edu/csdp/guidebook/coherence-guidebook.pdf</vt:lpwstr>
      </vt:variant>
      <vt:variant>
        <vt:lpwstr/>
      </vt:variant>
      <vt:variant>
        <vt:i4>3342419</vt:i4>
      </vt:variant>
      <vt:variant>
        <vt:i4>297</vt:i4>
      </vt:variant>
      <vt:variant>
        <vt:i4>0</vt:i4>
      </vt:variant>
      <vt:variant>
        <vt:i4>5</vt:i4>
      </vt:variant>
      <vt:variant>
        <vt:lpwstr>http://metproject.org/resources/CLASS_10_29_10.pdf</vt:lpwstr>
      </vt:variant>
      <vt:variant>
        <vt:lpwstr/>
      </vt:variant>
      <vt:variant>
        <vt:i4>2359338</vt:i4>
      </vt:variant>
      <vt:variant>
        <vt:i4>294</vt:i4>
      </vt:variant>
      <vt:variant>
        <vt:i4>0</vt:i4>
      </vt:variant>
      <vt:variant>
        <vt:i4>5</vt:i4>
      </vt:variant>
      <vt:variant>
        <vt:lpwstr>http://www.teachstone.com/wp-content/uploads/2011/05/class-mtp-pk-12-brief.pdf</vt:lpwstr>
      </vt:variant>
      <vt:variant>
        <vt:lpwstr/>
      </vt:variant>
      <vt:variant>
        <vt:i4>2031675</vt:i4>
      </vt:variant>
      <vt:variant>
        <vt:i4>287</vt:i4>
      </vt:variant>
      <vt:variant>
        <vt:i4>0</vt:i4>
      </vt:variant>
      <vt:variant>
        <vt:i4>5</vt:i4>
      </vt:variant>
      <vt:variant>
        <vt:lpwstr/>
      </vt:variant>
      <vt:variant>
        <vt:lpwstr>_Toc92194271</vt:lpwstr>
      </vt:variant>
      <vt:variant>
        <vt:i4>1966139</vt:i4>
      </vt:variant>
      <vt:variant>
        <vt:i4>281</vt:i4>
      </vt:variant>
      <vt:variant>
        <vt:i4>0</vt:i4>
      </vt:variant>
      <vt:variant>
        <vt:i4>5</vt:i4>
      </vt:variant>
      <vt:variant>
        <vt:lpwstr/>
      </vt:variant>
      <vt:variant>
        <vt:lpwstr>_Toc92194270</vt:lpwstr>
      </vt:variant>
      <vt:variant>
        <vt:i4>1507386</vt:i4>
      </vt:variant>
      <vt:variant>
        <vt:i4>275</vt:i4>
      </vt:variant>
      <vt:variant>
        <vt:i4>0</vt:i4>
      </vt:variant>
      <vt:variant>
        <vt:i4>5</vt:i4>
      </vt:variant>
      <vt:variant>
        <vt:lpwstr/>
      </vt:variant>
      <vt:variant>
        <vt:lpwstr>_Toc92194269</vt:lpwstr>
      </vt:variant>
      <vt:variant>
        <vt:i4>1441850</vt:i4>
      </vt:variant>
      <vt:variant>
        <vt:i4>269</vt:i4>
      </vt:variant>
      <vt:variant>
        <vt:i4>0</vt:i4>
      </vt:variant>
      <vt:variant>
        <vt:i4>5</vt:i4>
      </vt:variant>
      <vt:variant>
        <vt:lpwstr/>
      </vt:variant>
      <vt:variant>
        <vt:lpwstr>_Toc92194268</vt:lpwstr>
      </vt:variant>
      <vt:variant>
        <vt:i4>1638458</vt:i4>
      </vt:variant>
      <vt:variant>
        <vt:i4>263</vt:i4>
      </vt:variant>
      <vt:variant>
        <vt:i4>0</vt:i4>
      </vt:variant>
      <vt:variant>
        <vt:i4>5</vt:i4>
      </vt:variant>
      <vt:variant>
        <vt:lpwstr/>
      </vt:variant>
      <vt:variant>
        <vt:lpwstr>_Toc92194267</vt:lpwstr>
      </vt:variant>
      <vt:variant>
        <vt:i4>1572922</vt:i4>
      </vt:variant>
      <vt:variant>
        <vt:i4>257</vt:i4>
      </vt:variant>
      <vt:variant>
        <vt:i4>0</vt:i4>
      </vt:variant>
      <vt:variant>
        <vt:i4>5</vt:i4>
      </vt:variant>
      <vt:variant>
        <vt:lpwstr/>
      </vt:variant>
      <vt:variant>
        <vt:lpwstr>_Toc92194266</vt:lpwstr>
      </vt:variant>
      <vt:variant>
        <vt:i4>1769530</vt:i4>
      </vt:variant>
      <vt:variant>
        <vt:i4>251</vt:i4>
      </vt:variant>
      <vt:variant>
        <vt:i4>0</vt:i4>
      </vt:variant>
      <vt:variant>
        <vt:i4>5</vt:i4>
      </vt:variant>
      <vt:variant>
        <vt:lpwstr/>
      </vt:variant>
      <vt:variant>
        <vt:lpwstr>_Toc92194265</vt:lpwstr>
      </vt:variant>
      <vt:variant>
        <vt:i4>1703994</vt:i4>
      </vt:variant>
      <vt:variant>
        <vt:i4>245</vt:i4>
      </vt:variant>
      <vt:variant>
        <vt:i4>0</vt:i4>
      </vt:variant>
      <vt:variant>
        <vt:i4>5</vt:i4>
      </vt:variant>
      <vt:variant>
        <vt:lpwstr/>
      </vt:variant>
      <vt:variant>
        <vt:lpwstr>_Toc92194264</vt:lpwstr>
      </vt:variant>
      <vt:variant>
        <vt:i4>1900602</vt:i4>
      </vt:variant>
      <vt:variant>
        <vt:i4>239</vt:i4>
      </vt:variant>
      <vt:variant>
        <vt:i4>0</vt:i4>
      </vt:variant>
      <vt:variant>
        <vt:i4>5</vt:i4>
      </vt:variant>
      <vt:variant>
        <vt:lpwstr/>
      </vt:variant>
      <vt:variant>
        <vt:lpwstr>_Toc92194263</vt:lpwstr>
      </vt:variant>
      <vt:variant>
        <vt:i4>1835066</vt:i4>
      </vt:variant>
      <vt:variant>
        <vt:i4>233</vt:i4>
      </vt:variant>
      <vt:variant>
        <vt:i4>0</vt:i4>
      </vt:variant>
      <vt:variant>
        <vt:i4>5</vt:i4>
      </vt:variant>
      <vt:variant>
        <vt:lpwstr/>
      </vt:variant>
      <vt:variant>
        <vt:lpwstr>_Toc92194262</vt:lpwstr>
      </vt:variant>
      <vt:variant>
        <vt:i4>2031674</vt:i4>
      </vt:variant>
      <vt:variant>
        <vt:i4>227</vt:i4>
      </vt:variant>
      <vt:variant>
        <vt:i4>0</vt:i4>
      </vt:variant>
      <vt:variant>
        <vt:i4>5</vt:i4>
      </vt:variant>
      <vt:variant>
        <vt:lpwstr/>
      </vt:variant>
      <vt:variant>
        <vt:lpwstr>_Toc92194261</vt:lpwstr>
      </vt:variant>
      <vt:variant>
        <vt:i4>1966138</vt:i4>
      </vt:variant>
      <vt:variant>
        <vt:i4>221</vt:i4>
      </vt:variant>
      <vt:variant>
        <vt:i4>0</vt:i4>
      </vt:variant>
      <vt:variant>
        <vt:i4>5</vt:i4>
      </vt:variant>
      <vt:variant>
        <vt:lpwstr/>
      </vt:variant>
      <vt:variant>
        <vt:lpwstr>_Toc92194260</vt:lpwstr>
      </vt:variant>
      <vt:variant>
        <vt:i4>1507385</vt:i4>
      </vt:variant>
      <vt:variant>
        <vt:i4>215</vt:i4>
      </vt:variant>
      <vt:variant>
        <vt:i4>0</vt:i4>
      </vt:variant>
      <vt:variant>
        <vt:i4>5</vt:i4>
      </vt:variant>
      <vt:variant>
        <vt:lpwstr/>
      </vt:variant>
      <vt:variant>
        <vt:lpwstr>_Toc92194259</vt:lpwstr>
      </vt:variant>
      <vt:variant>
        <vt:i4>1441849</vt:i4>
      </vt:variant>
      <vt:variant>
        <vt:i4>209</vt:i4>
      </vt:variant>
      <vt:variant>
        <vt:i4>0</vt:i4>
      </vt:variant>
      <vt:variant>
        <vt:i4>5</vt:i4>
      </vt:variant>
      <vt:variant>
        <vt:lpwstr/>
      </vt:variant>
      <vt:variant>
        <vt:lpwstr>_Toc92194258</vt:lpwstr>
      </vt:variant>
      <vt:variant>
        <vt:i4>1638457</vt:i4>
      </vt:variant>
      <vt:variant>
        <vt:i4>203</vt:i4>
      </vt:variant>
      <vt:variant>
        <vt:i4>0</vt:i4>
      </vt:variant>
      <vt:variant>
        <vt:i4>5</vt:i4>
      </vt:variant>
      <vt:variant>
        <vt:lpwstr/>
      </vt:variant>
      <vt:variant>
        <vt:lpwstr>_Toc92194257</vt:lpwstr>
      </vt:variant>
      <vt:variant>
        <vt:i4>1572921</vt:i4>
      </vt:variant>
      <vt:variant>
        <vt:i4>197</vt:i4>
      </vt:variant>
      <vt:variant>
        <vt:i4>0</vt:i4>
      </vt:variant>
      <vt:variant>
        <vt:i4>5</vt:i4>
      </vt:variant>
      <vt:variant>
        <vt:lpwstr/>
      </vt:variant>
      <vt:variant>
        <vt:lpwstr>_Toc92194256</vt:lpwstr>
      </vt:variant>
      <vt:variant>
        <vt:i4>1769529</vt:i4>
      </vt:variant>
      <vt:variant>
        <vt:i4>191</vt:i4>
      </vt:variant>
      <vt:variant>
        <vt:i4>0</vt:i4>
      </vt:variant>
      <vt:variant>
        <vt:i4>5</vt:i4>
      </vt:variant>
      <vt:variant>
        <vt:lpwstr/>
      </vt:variant>
      <vt:variant>
        <vt:lpwstr>_Toc92194255</vt:lpwstr>
      </vt:variant>
      <vt:variant>
        <vt:i4>1703993</vt:i4>
      </vt:variant>
      <vt:variant>
        <vt:i4>185</vt:i4>
      </vt:variant>
      <vt:variant>
        <vt:i4>0</vt:i4>
      </vt:variant>
      <vt:variant>
        <vt:i4>5</vt:i4>
      </vt:variant>
      <vt:variant>
        <vt:lpwstr/>
      </vt:variant>
      <vt:variant>
        <vt:lpwstr>_Toc92194254</vt:lpwstr>
      </vt:variant>
      <vt:variant>
        <vt:i4>1900601</vt:i4>
      </vt:variant>
      <vt:variant>
        <vt:i4>179</vt:i4>
      </vt:variant>
      <vt:variant>
        <vt:i4>0</vt:i4>
      </vt:variant>
      <vt:variant>
        <vt:i4>5</vt:i4>
      </vt:variant>
      <vt:variant>
        <vt:lpwstr/>
      </vt:variant>
      <vt:variant>
        <vt:lpwstr>_Toc92194253</vt:lpwstr>
      </vt:variant>
      <vt:variant>
        <vt:i4>3145829</vt:i4>
      </vt:variant>
      <vt:variant>
        <vt:i4>174</vt:i4>
      </vt:variant>
      <vt:variant>
        <vt:i4>0</vt:i4>
      </vt:variant>
      <vt:variant>
        <vt:i4>5</vt:i4>
      </vt:variant>
      <vt:variant>
        <vt:lpwstr>http://www.air.org/</vt:lpwstr>
      </vt:variant>
      <vt:variant>
        <vt:lpwstr/>
      </vt:variant>
      <vt:variant>
        <vt:i4>393276</vt:i4>
      </vt:variant>
      <vt:variant>
        <vt:i4>171</vt:i4>
      </vt:variant>
      <vt:variant>
        <vt:i4>0</vt:i4>
      </vt:variant>
      <vt:variant>
        <vt:i4>5</vt:i4>
      </vt:variant>
      <vt:variant>
        <vt:lpwstr/>
      </vt:variant>
      <vt:variant>
        <vt:lpwstr>_Managing_Capital_Assets</vt:lpwstr>
      </vt:variant>
      <vt:variant>
        <vt:i4>7077958</vt:i4>
      </vt:variant>
      <vt:variant>
        <vt:i4>168</vt:i4>
      </vt:variant>
      <vt:variant>
        <vt:i4>0</vt:i4>
      </vt:variant>
      <vt:variant>
        <vt:i4>5</vt:i4>
      </vt:variant>
      <vt:variant>
        <vt:lpwstr/>
      </vt:variant>
      <vt:variant>
        <vt:lpwstr>_Operations</vt:lpwstr>
      </vt:variant>
      <vt:variant>
        <vt:i4>720939</vt:i4>
      </vt:variant>
      <vt:variant>
        <vt:i4>165</vt:i4>
      </vt:variant>
      <vt:variant>
        <vt:i4>0</vt:i4>
      </vt:variant>
      <vt:variant>
        <vt:i4>5</vt:i4>
      </vt:variant>
      <vt:variant>
        <vt:lpwstr/>
      </vt:variant>
      <vt:variant>
        <vt:lpwstr>_Budgeting_and_Budget</vt:lpwstr>
      </vt:variant>
      <vt:variant>
        <vt:i4>2293787</vt:i4>
      </vt:variant>
      <vt:variant>
        <vt:i4>162</vt:i4>
      </vt:variant>
      <vt:variant>
        <vt:i4>0</vt:i4>
      </vt:variant>
      <vt:variant>
        <vt:i4>5</vt:i4>
      </vt:variant>
      <vt:variant>
        <vt:lpwstr/>
      </vt:variant>
      <vt:variant>
        <vt:lpwstr>_Business_Office_Staffing</vt:lpwstr>
      </vt:variant>
      <vt:variant>
        <vt:i4>1704053</vt:i4>
      </vt:variant>
      <vt:variant>
        <vt:i4>159</vt:i4>
      </vt:variant>
      <vt:variant>
        <vt:i4>0</vt:i4>
      </vt:variant>
      <vt:variant>
        <vt:i4>5</vt:i4>
      </vt:variant>
      <vt:variant>
        <vt:lpwstr/>
      </vt:variant>
      <vt:variant>
        <vt:lpwstr>_Multi-Tiered_Systems_of</vt:lpwstr>
      </vt:variant>
      <vt:variant>
        <vt:i4>1114169</vt:i4>
      </vt:variant>
      <vt:variant>
        <vt:i4>156</vt:i4>
      </vt:variant>
      <vt:variant>
        <vt:i4>0</vt:i4>
      </vt:variant>
      <vt:variant>
        <vt:i4>5</vt:i4>
      </vt:variant>
      <vt:variant>
        <vt:lpwstr/>
      </vt:variant>
      <vt:variant>
        <vt:lpwstr>_Family_and_Community</vt:lpwstr>
      </vt:variant>
      <vt:variant>
        <vt:i4>7471193</vt:i4>
      </vt:variant>
      <vt:variant>
        <vt:i4>153</vt:i4>
      </vt:variant>
      <vt:variant>
        <vt:i4>0</vt:i4>
      </vt:variant>
      <vt:variant>
        <vt:i4>5</vt:i4>
      </vt:variant>
      <vt:variant>
        <vt:lpwstr/>
      </vt:variant>
      <vt:variant>
        <vt:lpwstr>_Tiered_Systems_of</vt:lpwstr>
      </vt:variant>
      <vt:variant>
        <vt:i4>48</vt:i4>
      </vt:variant>
      <vt:variant>
        <vt:i4>150</vt:i4>
      </vt:variant>
      <vt:variant>
        <vt:i4>0</vt:i4>
      </vt:variant>
      <vt:variant>
        <vt:i4>5</vt:i4>
      </vt:variant>
      <vt:variant>
        <vt:lpwstr/>
      </vt:variant>
      <vt:variant>
        <vt:lpwstr>_Safe_and_Supportive</vt:lpwstr>
      </vt:variant>
      <vt:variant>
        <vt:i4>4259934</vt:i4>
      </vt:variant>
      <vt:variant>
        <vt:i4>147</vt:i4>
      </vt:variant>
      <vt:variant>
        <vt:i4>0</vt:i4>
      </vt:variant>
      <vt:variant>
        <vt:i4>5</vt:i4>
      </vt:variant>
      <vt:variant>
        <vt:lpwstr/>
      </vt:variant>
      <vt:variant>
        <vt:lpwstr>_Professional_Learning</vt:lpwstr>
      </vt:variant>
      <vt:variant>
        <vt:i4>4522051</vt:i4>
      </vt:variant>
      <vt:variant>
        <vt:i4>144</vt:i4>
      </vt:variant>
      <vt:variant>
        <vt:i4>0</vt:i4>
      </vt:variant>
      <vt:variant>
        <vt:i4>5</vt:i4>
      </vt:variant>
      <vt:variant>
        <vt:lpwstr/>
      </vt:variant>
      <vt:variant>
        <vt:lpwstr>_Staffing_1</vt:lpwstr>
      </vt:variant>
      <vt:variant>
        <vt:i4>6881364</vt:i4>
      </vt:variant>
      <vt:variant>
        <vt:i4>141</vt:i4>
      </vt:variant>
      <vt:variant>
        <vt:i4>0</vt:i4>
      </vt:variant>
      <vt:variant>
        <vt:i4>5</vt:i4>
      </vt:variant>
      <vt:variant>
        <vt:lpwstr/>
      </vt:variant>
      <vt:variant>
        <vt:lpwstr>_Infrastructure</vt:lpwstr>
      </vt:variant>
      <vt:variant>
        <vt:i4>786453</vt:i4>
      </vt:variant>
      <vt:variant>
        <vt:i4>138</vt:i4>
      </vt:variant>
      <vt:variant>
        <vt:i4>0</vt:i4>
      </vt:variant>
      <vt:variant>
        <vt:i4>5</vt:i4>
      </vt:variant>
      <vt:variant>
        <vt:lpwstr/>
      </vt:variant>
      <vt:variant>
        <vt:lpwstr>_Sharing_Data</vt:lpwstr>
      </vt:variant>
      <vt:variant>
        <vt:i4>852014</vt:i4>
      </vt:variant>
      <vt:variant>
        <vt:i4>135</vt:i4>
      </vt:variant>
      <vt:variant>
        <vt:i4>0</vt:i4>
      </vt:variant>
      <vt:variant>
        <vt:i4>5</vt:i4>
      </vt:variant>
      <vt:variant>
        <vt:lpwstr/>
      </vt:variant>
      <vt:variant>
        <vt:lpwstr>_Data_Use_and</vt:lpwstr>
      </vt:variant>
      <vt:variant>
        <vt:i4>2621486</vt:i4>
      </vt:variant>
      <vt:variant>
        <vt:i4>132</vt:i4>
      </vt:variant>
      <vt:variant>
        <vt:i4>0</vt:i4>
      </vt:variant>
      <vt:variant>
        <vt:i4>5</vt:i4>
      </vt:variant>
      <vt:variant>
        <vt:lpwstr/>
      </vt:variant>
      <vt:variant>
        <vt:lpwstr>_Data_Collection</vt:lpwstr>
      </vt:variant>
      <vt:variant>
        <vt:i4>6619204</vt:i4>
      </vt:variant>
      <vt:variant>
        <vt:i4>129</vt:i4>
      </vt:variant>
      <vt:variant>
        <vt:i4>0</vt:i4>
      </vt:variant>
      <vt:variant>
        <vt:i4>5</vt:i4>
      </vt:variant>
      <vt:variant>
        <vt:lpwstr/>
      </vt:variant>
      <vt:variant>
        <vt:lpwstr>_Effective_Instruction_and</vt:lpwstr>
      </vt:variant>
      <vt:variant>
        <vt:i4>2228326</vt:i4>
      </vt:variant>
      <vt:variant>
        <vt:i4>126</vt:i4>
      </vt:variant>
      <vt:variant>
        <vt:i4>0</vt:i4>
      </vt:variant>
      <vt:variant>
        <vt:i4>5</vt:i4>
      </vt:variant>
      <vt:variant>
        <vt:lpwstr/>
      </vt:variant>
      <vt:variant>
        <vt:lpwstr>_Equitable_Practices_and_1</vt:lpwstr>
      </vt:variant>
      <vt:variant>
        <vt:i4>196659</vt:i4>
      </vt:variant>
      <vt:variant>
        <vt:i4>123</vt:i4>
      </vt:variant>
      <vt:variant>
        <vt:i4>0</vt:i4>
      </vt:variant>
      <vt:variant>
        <vt:i4>5</vt:i4>
      </vt:variant>
      <vt:variant>
        <vt:lpwstr/>
      </vt:variant>
      <vt:variant>
        <vt:lpwstr>_Curriculum_and_Instructional</vt:lpwstr>
      </vt:variant>
      <vt:variant>
        <vt:i4>1179662</vt:i4>
      </vt:variant>
      <vt:variant>
        <vt:i4>120</vt:i4>
      </vt:variant>
      <vt:variant>
        <vt:i4>0</vt:i4>
      </vt:variant>
      <vt:variant>
        <vt:i4>5</vt:i4>
      </vt:variant>
      <vt:variant>
        <vt:lpwstr/>
      </vt:variant>
      <vt:variant>
        <vt:lpwstr>_Instructional_Leadership</vt:lpwstr>
      </vt:variant>
      <vt:variant>
        <vt:i4>2752549</vt:i4>
      </vt:variant>
      <vt:variant>
        <vt:i4>117</vt:i4>
      </vt:variant>
      <vt:variant>
        <vt:i4>0</vt:i4>
      </vt:variant>
      <vt:variant>
        <vt:i4>5</vt:i4>
      </vt:variant>
      <vt:variant>
        <vt:lpwstr/>
      </vt:variant>
      <vt:variant>
        <vt:lpwstr>_District_Culture</vt:lpwstr>
      </vt:variant>
      <vt:variant>
        <vt:i4>1441838</vt:i4>
      </vt:variant>
      <vt:variant>
        <vt:i4>114</vt:i4>
      </vt:variant>
      <vt:variant>
        <vt:i4>0</vt:i4>
      </vt:variant>
      <vt:variant>
        <vt:i4>5</vt:i4>
      </vt:variant>
      <vt:variant>
        <vt:lpwstr/>
      </vt:variant>
      <vt:variant>
        <vt:lpwstr>_Strategic_Planning,_Implementation,</vt:lpwstr>
      </vt:variant>
      <vt:variant>
        <vt:i4>1441851</vt:i4>
      </vt:variant>
      <vt:variant>
        <vt:i4>111</vt:i4>
      </vt:variant>
      <vt:variant>
        <vt:i4>0</vt:i4>
      </vt:variant>
      <vt:variant>
        <vt:i4>5</vt:i4>
      </vt:variant>
      <vt:variant>
        <vt:lpwstr/>
      </vt:variant>
      <vt:variant>
        <vt:lpwstr>_Leadership_and_Governing</vt:lpwstr>
      </vt:variant>
      <vt:variant>
        <vt:i4>4194397</vt:i4>
      </vt:variant>
      <vt:variant>
        <vt:i4>108</vt:i4>
      </vt:variant>
      <vt:variant>
        <vt:i4>0</vt:i4>
      </vt:variant>
      <vt:variant>
        <vt:i4>5</vt:i4>
      </vt:variant>
      <vt:variant>
        <vt:lpwstr>https://www.census.gov/quickfacts/fact/table/medwaytownnorfolkcountymassachusetts,MA</vt:lpwstr>
      </vt:variant>
      <vt:variant>
        <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1966134</vt:i4>
      </vt:variant>
      <vt:variant>
        <vt:i4>80</vt:i4>
      </vt:variant>
      <vt:variant>
        <vt:i4>0</vt:i4>
      </vt:variant>
      <vt:variant>
        <vt:i4>5</vt:i4>
      </vt:variant>
      <vt:variant>
        <vt:lpwstr/>
      </vt:variant>
      <vt:variant>
        <vt:lpwstr>_Toc196726315</vt:lpwstr>
      </vt:variant>
      <vt:variant>
        <vt:i4>1966134</vt:i4>
      </vt:variant>
      <vt:variant>
        <vt:i4>74</vt:i4>
      </vt:variant>
      <vt:variant>
        <vt:i4>0</vt:i4>
      </vt:variant>
      <vt:variant>
        <vt:i4>5</vt:i4>
      </vt:variant>
      <vt:variant>
        <vt:lpwstr/>
      </vt:variant>
      <vt:variant>
        <vt:lpwstr>_Toc196726314</vt:lpwstr>
      </vt:variant>
      <vt:variant>
        <vt:i4>1966134</vt:i4>
      </vt:variant>
      <vt:variant>
        <vt:i4>68</vt:i4>
      </vt:variant>
      <vt:variant>
        <vt:i4>0</vt:i4>
      </vt:variant>
      <vt:variant>
        <vt:i4>5</vt:i4>
      </vt:variant>
      <vt:variant>
        <vt:lpwstr/>
      </vt:variant>
      <vt:variant>
        <vt:lpwstr>_Toc196726313</vt:lpwstr>
      </vt:variant>
      <vt:variant>
        <vt:i4>1966134</vt:i4>
      </vt:variant>
      <vt:variant>
        <vt:i4>62</vt:i4>
      </vt:variant>
      <vt:variant>
        <vt:i4>0</vt:i4>
      </vt:variant>
      <vt:variant>
        <vt:i4>5</vt:i4>
      </vt:variant>
      <vt:variant>
        <vt:lpwstr/>
      </vt:variant>
      <vt:variant>
        <vt:lpwstr>_Toc196726312</vt:lpwstr>
      </vt:variant>
      <vt:variant>
        <vt:i4>1966134</vt:i4>
      </vt:variant>
      <vt:variant>
        <vt:i4>56</vt:i4>
      </vt:variant>
      <vt:variant>
        <vt:i4>0</vt:i4>
      </vt:variant>
      <vt:variant>
        <vt:i4>5</vt:i4>
      </vt:variant>
      <vt:variant>
        <vt:lpwstr/>
      </vt:variant>
      <vt:variant>
        <vt:lpwstr>_Toc196726311</vt:lpwstr>
      </vt:variant>
      <vt:variant>
        <vt:i4>1966134</vt:i4>
      </vt:variant>
      <vt:variant>
        <vt:i4>50</vt:i4>
      </vt:variant>
      <vt:variant>
        <vt:i4>0</vt:i4>
      </vt:variant>
      <vt:variant>
        <vt:i4>5</vt:i4>
      </vt:variant>
      <vt:variant>
        <vt:lpwstr/>
      </vt:variant>
      <vt:variant>
        <vt:lpwstr>_Toc196726310</vt:lpwstr>
      </vt:variant>
      <vt:variant>
        <vt:i4>2031670</vt:i4>
      </vt:variant>
      <vt:variant>
        <vt:i4>44</vt:i4>
      </vt:variant>
      <vt:variant>
        <vt:i4>0</vt:i4>
      </vt:variant>
      <vt:variant>
        <vt:i4>5</vt:i4>
      </vt:variant>
      <vt:variant>
        <vt:lpwstr/>
      </vt:variant>
      <vt:variant>
        <vt:lpwstr>_Toc196726309</vt:lpwstr>
      </vt:variant>
      <vt:variant>
        <vt:i4>2031670</vt:i4>
      </vt:variant>
      <vt:variant>
        <vt:i4>38</vt:i4>
      </vt:variant>
      <vt:variant>
        <vt:i4>0</vt:i4>
      </vt:variant>
      <vt:variant>
        <vt:i4>5</vt:i4>
      </vt:variant>
      <vt:variant>
        <vt:lpwstr/>
      </vt:variant>
      <vt:variant>
        <vt:lpwstr>_Toc196726308</vt:lpwstr>
      </vt:variant>
      <vt:variant>
        <vt:i4>2031670</vt:i4>
      </vt:variant>
      <vt:variant>
        <vt:i4>32</vt:i4>
      </vt:variant>
      <vt:variant>
        <vt:i4>0</vt:i4>
      </vt:variant>
      <vt:variant>
        <vt:i4>5</vt:i4>
      </vt:variant>
      <vt:variant>
        <vt:lpwstr/>
      </vt:variant>
      <vt:variant>
        <vt:lpwstr>_Toc196726307</vt:lpwstr>
      </vt:variant>
      <vt:variant>
        <vt:i4>2031670</vt:i4>
      </vt:variant>
      <vt:variant>
        <vt:i4>26</vt:i4>
      </vt:variant>
      <vt:variant>
        <vt:i4>0</vt:i4>
      </vt:variant>
      <vt:variant>
        <vt:i4>5</vt:i4>
      </vt:variant>
      <vt:variant>
        <vt:lpwstr/>
      </vt:variant>
      <vt:variant>
        <vt:lpwstr>_Toc196726306</vt:lpwstr>
      </vt:variant>
      <vt:variant>
        <vt:i4>2031670</vt:i4>
      </vt:variant>
      <vt:variant>
        <vt:i4>20</vt:i4>
      </vt:variant>
      <vt:variant>
        <vt:i4>0</vt:i4>
      </vt:variant>
      <vt:variant>
        <vt:i4>5</vt:i4>
      </vt:variant>
      <vt:variant>
        <vt:lpwstr/>
      </vt:variant>
      <vt:variant>
        <vt:lpwstr>_Toc196726305</vt:lpwstr>
      </vt:variant>
      <vt:variant>
        <vt:i4>2031670</vt:i4>
      </vt:variant>
      <vt:variant>
        <vt:i4>14</vt:i4>
      </vt:variant>
      <vt:variant>
        <vt:i4>0</vt:i4>
      </vt:variant>
      <vt:variant>
        <vt:i4>5</vt:i4>
      </vt:variant>
      <vt:variant>
        <vt:lpwstr/>
      </vt:variant>
      <vt:variant>
        <vt:lpwstr>_Toc196726304</vt:lpwstr>
      </vt:variant>
      <vt:variant>
        <vt:i4>2031670</vt:i4>
      </vt:variant>
      <vt:variant>
        <vt:i4>8</vt:i4>
      </vt:variant>
      <vt:variant>
        <vt:i4>0</vt:i4>
      </vt:variant>
      <vt:variant>
        <vt:i4>5</vt:i4>
      </vt:variant>
      <vt:variant>
        <vt:lpwstr/>
      </vt:variant>
      <vt:variant>
        <vt:lpwstr>_Toc196726303</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6422645</vt:i4>
      </vt:variant>
      <vt:variant>
        <vt:i4>9</vt:i4>
      </vt:variant>
      <vt:variant>
        <vt:i4>0</vt:i4>
      </vt:variant>
      <vt:variant>
        <vt:i4>5</vt:i4>
      </vt:variant>
      <vt:variant>
        <vt:lpwstr>https://www.doe.mass.edu/instruction/curate</vt:lpwstr>
      </vt:variant>
      <vt:variant>
        <vt:lpwstr/>
      </vt:variant>
      <vt:variant>
        <vt:i4>524356</vt:i4>
      </vt:variant>
      <vt:variant>
        <vt:i4>6</vt:i4>
      </vt:variant>
      <vt:variant>
        <vt:i4>0</vt:i4>
      </vt:variant>
      <vt:variant>
        <vt:i4>5</vt:i4>
      </vt:variant>
      <vt:variant>
        <vt:lpwstr>https://www.doe.mass.edu/research/radar/</vt:lpwstr>
      </vt:variant>
      <vt:variant>
        <vt:lpwstr/>
      </vt:variant>
      <vt:variant>
        <vt:i4>1114198</vt:i4>
      </vt:variant>
      <vt:variant>
        <vt:i4>3</vt:i4>
      </vt:variant>
      <vt:variant>
        <vt:i4>0</vt:i4>
      </vt:variant>
      <vt:variant>
        <vt:i4>5</vt:i4>
      </vt:variant>
      <vt:variant>
        <vt:lpwstr>https://teachstone.com/class/</vt:lpwstr>
      </vt:variant>
      <vt:variant>
        <vt:lpwstr/>
      </vt:variant>
      <vt:variant>
        <vt:i4>3473524</vt:i4>
      </vt:variant>
      <vt:variant>
        <vt:i4>0</vt:i4>
      </vt:variant>
      <vt:variant>
        <vt:i4>0</vt:i4>
      </vt:variant>
      <vt:variant>
        <vt:i4>5</vt:i4>
      </vt:variant>
      <vt:variant>
        <vt:lpwstr>https://www.doe.mass.edu/accountability/district-review/district-standards-indicators.docx</vt:lpwstr>
      </vt:variant>
      <vt:variant>
        <vt:lpwstr/>
      </vt:variant>
      <vt:variant>
        <vt:i4>3473419</vt:i4>
      </vt:variant>
      <vt:variant>
        <vt:i4>9</vt:i4>
      </vt:variant>
      <vt:variant>
        <vt:i4>0</vt:i4>
      </vt:variant>
      <vt:variant>
        <vt:i4>5</vt:i4>
      </vt:variant>
      <vt:variant>
        <vt:lpwstr>mailto:corinne.t.thomas@mass.gov</vt:lpwstr>
      </vt:variant>
      <vt:variant>
        <vt:lpwstr/>
      </vt:variant>
      <vt:variant>
        <vt:i4>3473419</vt:i4>
      </vt:variant>
      <vt:variant>
        <vt:i4>6</vt:i4>
      </vt:variant>
      <vt:variant>
        <vt:i4>0</vt:i4>
      </vt:variant>
      <vt:variant>
        <vt:i4>5</vt:i4>
      </vt:variant>
      <vt:variant>
        <vt:lpwstr>mailto:corinne.t.thomas@mass.gov</vt:lpwstr>
      </vt:variant>
      <vt:variant>
        <vt:lpwstr/>
      </vt:variant>
      <vt:variant>
        <vt:i4>3473419</vt:i4>
      </vt:variant>
      <vt:variant>
        <vt:i4>3</vt:i4>
      </vt:variant>
      <vt:variant>
        <vt:i4>0</vt:i4>
      </vt:variant>
      <vt:variant>
        <vt:i4>5</vt:i4>
      </vt:variant>
      <vt:variant>
        <vt:lpwstr>mailto:corinne.t.thomas@mass.gov</vt:lpwstr>
      </vt:variant>
      <vt:variant>
        <vt:lpwstr/>
      </vt:variant>
      <vt:variant>
        <vt:i4>3473419</vt:i4>
      </vt:variant>
      <vt:variant>
        <vt:i4>0</vt:i4>
      </vt:variant>
      <vt:variant>
        <vt:i4>0</vt:i4>
      </vt:variant>
      <vt:variant>
        <vt:i4>5</vt:i4>
      </vt:variant>
      <vt:variant>
        <vt:lpwstr>mailto:corinne.t.thomas@mass.gov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District Review Report 2025</dc:title>
  <dc:subject/>
  <dc:creator>DESE</dc:creator>
  <cp:keywords/>
  <cp:lastModifiedBy>Zou, Dong (EOE)</cp:lastModifiedBy>
  <cp:revision>294</cp:revision>
  <cp:lastPrinted>2022-09-23T07:45:00Z</cp:lastPrinted>
  <dcterms:created xsi:type="dcterms:W3CDTF">2025-05-30T17:13:00Z</dcterms:created>
  <dcterms:modified xsi:type="dcterms:W3CDTF">2025-07-11T20:49:00Z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2025 12:00AM</vt:lpwstr>
  </property>
</Properties>
</file>